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bCs/>
          <w:sz w:val="44"/>
          <w:szCs w:val="44"/>
          <w:highlight w:val="none"/>
          <w:lang w:val="en-US" w:eastAsia="zh-CN"/>
        </w:rPr>
      </w:pPr>
      <w:r>
        <w:rPr>
          <w:rFonts w:hint="eastAsia" w:ascii="宋体" w:hAnsi="宋体" w:cs="宋体"/>
          <w:b/>
          <w:bCs/>
          <w:sz w:val="44"/>
          <w:szCs w:val="44"/>
          <w:highlight w:val="none"/>
          <w:lang w:val="en-US" w:eastAsia="zh-CN"/>
        </w:rPr>
        <w:t>民丰县尼雅乡光明村乡村振兴示范村建设项目（公共设施采购）-（包二）</w:t>
      </w:r>
    </w:p>
    <w:p>
      <w:pPr>
        <w:pStyle w:val="17"/>
        <w:rPr>
          <w:rFonts w:hint="eastAsia" w:ascii="宋体" w:hAnsi="宋体" w:cs="宋体"/>
          <w:b/>
          <w:bCs/>
          <w:sz w:val="44"/>
          <w:szCs w:val="44"/>
          <w:highlight w:val="none"/>
          <w:lang w:val="en-US" w:eastAsia="zh-CN"/>
        </w:rPr>
      </w:pPr>
    </w:p>
    <w:p>
      <w:pPr>
        <w:pStyle w:val="7"/>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竞争性磋商文件</w:t>
      </w:r>
    </w:p>
    <w:p>
      <w:pPr>
        <w:keepNext w:val="0"/>
        <w:keepLines w:val="0"/>
        <w:pageBreakBefore w:val="0"/>
        <w:widowControl/>
        <w:shd w:val="clear" w:color="auto" w:fill="FFFFFF"/>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项目编号：XJDJZFCG-MFX-2022-006号</w:t>
      </w:r>
    </w:p>
    <w:p>
      <w:pPr>
        <w:spacing w:line="360" w:lineRule="auto"/>
        <w:jc w:val="center"/>
        <w:rPr>
          <w:rFonts w:hint="eastAsia" w:ascii="宋体" w:hAnsi="宋体" w:eastAsia="宋体" w:cs="宋体"/>
          <w:b/>
          <w:bCs/>
          <w:sz w:val="44"/>
          <w:szCs w:val="44"/>
          <w:highlight w:val="none"/>
          <w:lang w:val="en-US" w:eastAsia="zh-CN"/>
        </w:rPr>
      </w:pPr>
    </w:p>
    <w:p>
      <w:pPr>
        <w:pStyle w:val="29"/>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drawing>
          <wp:anchor distT="0" distB="0" distL="114300" distR="114300" simplePos="0" relativeHeight="251659264" behindDoc="1" locked="0" layoutInCell="1" allowOverlap="1">
            <wp:simplePos x="0" y="0"/>
            <wp:positionH relativeFrom="column">
              <wp:posOffset>598805</wp:posOffset>
            </wp:positionH>
            <wp:positionV relativeFrom="paragraph">
              <wp:posOffset>170180</wp:posOffset>
            </wp:positionV>
            <wp:extent cx="3723005" cy="2629535"/>
            <wp:effectExtent l="0" t="0" r="1270" b="8890"/>
            <wp:wrapThrough wrapText="bothSides">
              <wp:wrapPolygon>
                <wp:start x="21592" y="-2"/>
                <wp:lineTo x="0" y="0"/>
                <wp:lineTo x="0" y="21600"/>
                <wp:lineTo x="21592" y="21602"/>
                <wp:lineTo x="8" y="21602"/>
                <wp:lineTo x="21600" y="21600"/>
                <wp:lineTo x="21600" y="0"/>
                <wp:lineTo x="8" y="-2"/>
                <wp:lineTo x="21592" y="-2"/>
              </wp:wrapPolygon>
            </wp:wrapThrough>
            <wp:docPr id="1" name="图片 2" descr="c97ea7a7c3516a97135e97f0119f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97ea7a7c3516a97135e97f0119f824"/>
                    <pic:cNvPicPr>
                      <a:picLocks noChangeAspect="1"/>
                    </pic:cNvPicPr>
                  </pic:nvPicPr>
                  <pic:blipFill>
                    <a:blip r:embed="rId10"/>
                    <a:stretch>
                      <a:fillRect/>
                    </a:stretch>
                  </pic:blipFill>
                  <pic:spPr>
                    <a:xfrm>
                      <a:off x="0" y="0"/>
                      <a:ext cx="3723005" cy="2629535"/>
                    </a:xfrm>
                    <a:prstGeom prst="rect">
                      <a:avLst/>
                    </a:prstGeom>
                    <a:noFill/>
                    <a:ln>
                      <a:noFill/>
                    </a:ln>
                  </pic:spPr>
                </pic:pic>
              </a:graphicData>
            </a:graphic>
          </wp:anchor>
        </w:drawing>
      </w:r>
    </w:p>
    <w:p>
      <w:pPr>
        <w:jc w:val="center"/>
        <w:rPr>
          <w:rFonts w:hint="eastAsia" w:ascii="宋体" w:hAnsi="宋体" w:eastAsia="宋体" w:cs="宋体"/>
          <w:b/>
          <w:bCs/>
          <w:sz w:val="44"/>
          <w:szCs w:val="44"/>
          <w:highlight w:val="none"/>
          <w:lang w:val="en-US" w:eastAsia="zh-CN"/>
        </w:rPr>
      </w:pPr>
    </w:p>
    <w:p>
      <w:pPr>
        <w:spacing w:line="360" w:lineRule="auto"/>
        <w:ind w:firstLine="883" w:firstLineChars="200"/>
        <w:jc w:val="center"/>
        <w:rPr>
          <w:rFonts w:hint="eastAsia" w:ascii="宋体" w:hAnsi="宋体" w:eastAsia="宋体" w:cs="宋体"/>
          <w:b/>
          <w:bCs/>
          <w:sz w:val="44"/>
          <w:szCs w:val="44"/>
          <w:highlight w:val="none"/>
          <w:lang w:val="en-US" w:eastAsia="zh-CN"/>
        </w:rPr>
      </w:pPr>
    </w:p>
    <w:p>
      <w:pPr>
        <w:spacing w:line="360" w:lineRule="auto"/>
        <w:ind w:firstLine="883" w:firstLineChars="200"/>
        <w:jc w:val="center"/>
        <w:rPr>
          <w:rFonts w:hint="eastAsia" w:ascii="宋体" w:hAnsi="宋体" w:eastAsia="宋体" w:cs="宋体"/>
          <w:b/>
          <w:bCs/>
          <w:sz w:val="44"/>
          <w:szCs w:val="44"/>
          <w:highlight w:val="none"/>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32"/>
          <w:szCs w:val="32"/>
          <w:highlight w:val="none"/>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32"/>
          <w:szCs w:val="32"/>
          <w:highlight w:val="none"/>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32"/>
          <w:szCs w:val="32"/>
          <w:highlight w:val="none"/>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32"/>
          <w:szCs w:val="32"/>
          <w:highlight w:val="none"/>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480" w:lineRule="auto"/>
        <w:ind w:firstLine="1606" w:firstLineChars="500"/>
        <w:jc w:val="both"/>
        <w:textAlignment w:val="auto"/>
        <w:rPr>
          <w:rFonts w:hint="eastAsia" w:ascii="宋体" w:hAnsi="宋体" w:eastAsia="宋体" w:cs="宋体"/>
          <w:b/>
          <w:bCs/>
          <w:sz w:val="32"/>
          <w:szCs w:val="32"/>
          <w:u w:val="single"/>
        </w:rPr>
      </w:pPr>
      <w:r>
        <w:rPr>
          <w:rFonts w:hint="eastAsia" w:ascii="宋体" w:hAnsi="宋体" w:eastAsia="宋体" w:cs="宋体"/>
          <w:b/>
          <w:sz w:val="32"/>
        </w:rPr>
        <w:t>招 标 人：</w:t>
      </w:r>
      <w:r>
        <w:rPr>
          <w:rFonts w:hint="eastAsia" w:ascii="宋体" w:hAnsi="宋体" w:cs="宋体"/>
          <w:b/>
          <w:kern w:val="0"/>
          <w:sz w:val="32"/>
          <w:szCs w:val="24"/>
          <w:lang w:val="en-US" w:eastAsia="zh-CN" w:bidi="ar-SA"/>
        </w:rPr>
        <w:t>民丰县尼雅乡人民政府</w:t>
      </w:r>
    </w:p>
    <w:p>
      <w:pPr>
        <w:pStyle w:val="19"/>
        <w:spacing w:before="0" w:beforeAutospacing="0" w:after="0" w:afterAutospacing="0"/>
        <w:jc w:val="center"/>
        <w:rPr>
          <w:rFonts w:hint="eastAsia" w:ascii="宋体" w:hAnsi="宋体" w:eastAsia="宋体" w:cs="宋体"/>
          <w:b/>
          <w:w w:val="92"/>
          <w:sz w:val="32"/>
          <w:szCs w:val="32"/>
          <w:lang w:eastAsia="zh-CN"/>
        </w:rPr>
      </w:pPr>
      <w:r>
        <w:rPr>
          <w:rFonts w:hint="eastAsia" w:eastAsia="宋体" w:cs="宋体"/>
          <w:b/>
          <w:sz w:val="32"/>
          <w:lang w:val="en-US" w:eastAsia="zh-CN"/>
        </w:rPr>
        <w:t xml:space="preserve"> </w:t>
      </w:r>
      <w:r>
        <w:rPr>
          <w:rFonts w:hint="eastAsia" w:ascii="宋体" w:hAnsi="宋体" w:eastAsia="宋体" w:cs="宋体"/>
          <w:b/>
          <w:sz w:val="32"/>
        </w:rPr>
        <w:t>招 标 代 理：</w:t>
      </w:r>
      <w:r>
        <w:rPr>
          <w:rFonts w:hint="eastAsia" w:cs="宋体"/>
          <w:b/>
          <w:sz w:val="32"/>
          <w:lang w:eastAsia="zh-CN"/>
        </w:rPr>
        <w:t>鼎建项目管理有限公司</w:t>
      </w:r>
    </w:p>
    <w:p>
      <w:pPr>
        <w:widowControl/>
        <w:spacing w:line="360" w:lineRule="auto"/>
        <w:rPr>
          <w:rFonts w:hint="eastAsia" w:ascii="宋体" w:hAnsi="宋体" w:eastAsia="宋体" w:cs="宋体"/>
          <w:b/>
          <w:w w:val="92"/>
          <w:sz w:val="32"/>
          <w:szCs w:val="32"/>
        </w:rPr>
      </w:pPr>
      <w:r>
        <w:rPr>
          <w:rFonts w:hint="eastAsia" w:ascii="宋体" w:hAnsi="宋体" w:eastAsia="宋体" w:cs="宋体"/>
          <w:b/>
          <w:w w:val="92"/>
          <w:sz w:val="32"/>
          <w:szCs w:val="32"/>
        </w:rPr>
        <w:t xml:space="preserve">       </w:t>
      </w:r>
    </w:p>
    <w:p>
      <w:pPr>
        <w:pStyle w:val="17"/>
        <w:rPr>
          <w:rFonts w:hint="eastAsia"/>
        </w:rPr>
      </w:pPr>
    </w:p>
    <w:p>
      <w:pPr>
        <w:spacing w:line="480" w:lineRule="auto"/>
        <w:ind w:firstLine="3012" w:firstLineChars="1000"/>
        <w:jc w:val="both"/>
        <w:rPr>
          <w:rFonts w:hint="eastAsia" w:ascii="宋体" w:hAnsi="宋体" w:eastAsia="宋体" w:cs="宋体"/>
          <w:b/>
          <w:sz w:val="30"/>
        </w:rPr>
      </w:pPr>
      <w:r>
        <w:rPr>
          <w:rFonts w:hint="eastAsia" w:ascii="宋体" w:hAnsi="宋体" w:eastAsia="宋体" w:cs="宋体"/>
          <w:b/>
          <w:sz w:val="30"/>
        </w:rPr>
        <w:t>二零</w:t>
      </w:r>
      <w:r>
        <w:rPr>
          <w:rFonts w:hint="eastAsia" w:ascii="宋体" w:hAnsi="宋体" w:cs="宋体"/>
          <w:b/>
          <w:sz w:val="30"/>
          <w:lang w:eastAsia="zh-CN"/>
        </w:rPr>
        <w:t>二</w:t>
      </w:r>
      <w:r>
        <w:rPr>
          <w:rFonts w:hint="eastAsia" w:ascii="宋体" w:hAnsi="宋体" w:cs="宋体"/>
          <w:b/>
          <w:sz w:val="30"/>
          <w:lang w:val="en-US" w:eastAsia="zh-CN"/>
        </w:rPr>
        <w:t>二</w:t>
      </w:r>
      <w:r>
        <w:rPr>
          <w:rFonts w:hint="eastAsia" w:ascii="宋体" w:hAnsi="宋体" w:eastAsia="宋体" w:cs="宋体"/>
          <w:b/>
          <w:sz w:val="30"/>
        </w:rPr>
        <w:t>年</w:t>
      </w:r>
      <w:r>
        <w:rPr>
          <w:rFonts w:hint="eastAsia" w:ascii="宋体" w:hAnsi="宋体" w:cs="宋体"/>
          <w:b/>
          <w:sz w:val="30"/>
          <w:lang w:val="en-US" w:eastAsia="zh-CN"/>
        </w:rPr>
        <w:t>五</w:t>
      </w:r>
      <w:r>
        <w:rPr>
          <w:rFonts w:hint="eastAsia" w:ascii="宋体" w:hAnsi="宋体" w:eastAsia="宋体" w:cs="宋体"/>
          <w:b/>
          <w:sz w:val="30"/>
        </w:rPr>
        <w:t>月</w:t>
      </w:r>
    </w:p>
    <w:p>
      <w:pPr>
        <w:rPr>
          <w:rFonts w:hint="default" w:ascii="宋体" w:hAnsi="宋体" w:eastAsia="宋体" w:cs="宋体"/>
          <w:b/>
          <w:bCs/>
          <w:sz w:val="28"/>
          <w:szCs w:val="28"/>
          <w:highlight w:val="none"/>
          <w:lang w:val="en-US" w:eastAsia="zh-CN"/>
        </w:rPr>
      </w:pPr>
    </w:p>
    <w:p>
      <w:pPr>
        <w:rPr>
          <w:rFonts w:hint="default" w:ascii="宋体" w:hAnsi="宋体" w:eastAsia="宋体" w:cs="宋体"/>
          <w:b/>
          <w:bCs/>
          <w:sz w:val="28"/>
          <w:szCs w:val="28"/>
          <w:highlight w:val="none"/>
          <w:lang w:val="en-US" w:eastAsia="zh-CN"/>
        </w:rPr>
      </w:pPr>
    </w:p>
    <w:p>
      <w:pPr>
        <w:rPr>
          <w:rFonts w:hint="eastAsia" w:ascii="宋体" w:hAnsi="宋体" w:eastAsia="宋体" w:cs="宋体"/>
          <w:b/>
          <w:bCs/>
          <w:sz w:val="28"/>
          <w:szCs w:val="28"/>
          <w:highlight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ind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招投标监督管理机构备案登记栏：</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3" w:hRule="atLeast"/>
          <w:jc w:val="center"/>
        </w:trPr>
        <w:tc>
          <w:tcPr>
            <w:tcW w:w="9249" w:type="dxa"/>
            <w:noWrap w:val="0"/>
            <w:vAlign w:val="top"/>
          </w:tcPr>
          <w:p>
            <w:pPr>
              <w:ind w:left="0" w:leftChars="0" w:firstLine="560" w:firstLineChars="200"/>
              <w:jc w:val="center"/>
              <w:rPr>
                <w:rFonts w:hint="eastAsia" w:ascii="宋体" w:hAnsi="宋体" w:eastAsia="宋体" w:cs="宋体"/>
                <w:sz w:val="28"/>
                <w:szCs w:val="28"/>
                <w:highlight w:val="none"/>
              </w:rPr>
            </w:pPr>
          </w:p>
          <w:p>
            <w:pPr>
              <w:ind w:left="0" w:leftChars="0" w:firstLine="560" w:firstLineChars="200"/>
              <w:jc w:val="center"/>
              <w:rPr>
                <w:rFonts w:hint="eastAsia" w:ascii="宋体" w:hAnsi="宋体" w:eastAsia="宋体" w:cs="宋体"/>
                <w:sz w:val="28"/>
                <w:szCs w:val="28"/>
                <w:highlight w:val="none"/>
              </w:rPr>
            </w:pPr>
          </w:p>
          <w:p>
            <w:pPr>
              <w:ind w:left="0" w:leftChars="0" w:firstLine="560" w:firstLineChars="200"/>
              <w:jc w:val="center"/>
              <w:rPr>
                <w:rFonts w:hint="eastAsia" w:ascii="宋体" w:hAnsi="宋体" w:eastAsia="宋体" w:cs="宋体"/>
                <w:sz w:val="28"/>
                <w:szCs w:val="28"/>
                <w:highlight w:val="none"/>
              </w:rPr>
            </w:pPr>
          </w:p>
          <w:p>
            <w:pPr>
              <w:ind w:left="0" w:leftChars="0" w:firstLine="560" w:firstLineChars="200"/>
              <w:jc w:val="center"/>
              <w:rPr>
                <w:rFonts w:hint="eastAsia" w:ascii="宋体" w:hAnsi="宋体" w:eastAsia="宋体" w:cs="宋体"/>
                <w:sz w:val="28"/>
                <w:szCs w:val="28"/>
                <w:highlight w:val="none"/>
              </w:rPr>
            </w:pPr>
          </w:p>
          <w:p>
            <w:pPr>
              <w:ind w:left="0" w:leftChars="0" w:firstLine="560" w:firstLineChars="200"/>
              <w:jc w:val="center"/>
              <w:rPr>
                <w:rFonts w:hint="eastAsia" w:ascii="宋体" w:hAnsi="宋体" w:eastAsia="宋体" w:cs="宋体"/>
                <w:sz w:val="28"/>
                <w:szCs w:val="28"/>
                <w:highlight w:val="none"/>
              </w:rPr>
            </w:pPr>
          </w:p>
          <w:p>
            <w:pPr>
              <w:ind w:left="0" w:leftChars="0" w:firstLine="560" w:firstLineChars="200"/>
              <w:jc w:val="center"/>
              <w:rPr>
                <w:rFonts w:hint="eastAsia" w:ascii="宋体" w:hAnsi="宋体" w:eastAsia="宋体" w:cs="宋体"/>
                <w:sz w:val="28"/>
                <w:szCs w:val="28"/>
                <w:highlight w:val="none"/>
              </w:rPr>
            </w:pPr>
          </w:p>
          <w:p>
            <w:pPr>
              <w:ind w:left="0" w:leftChars="0" w:firstLine="560" w:firstLineChars="200"/>
              <w:jc w:val="center"/>
              <w:rPr>
                <w:rFonts w:hint="eastAsia" w:ascii="宋体" w:hAnsi="宋体" w:eastAsia="宋体" w:cs="宋体"/>
                <w:sz w:val="28"/>
                <w:szCs w:val="28"/>
                <w:highlight w:val="none"/>
              </w:rPr>
            </w:pPr>
          </w:p>
          <w:p>
            <w:pPr>
              <w:ind w:left="0" w:leftChars="0" w:firstLine="560" w:firstLineChars="200"/>
              <w:jc w:val="center"/>
              <w:rPr>
                <w:rFonts w:hint="eastAsia" w:ascii="宋体" w:hAnsi="宋体" w:eastAsia="宋体" w:cs="宋体"/>
                <w:sz w:val="28"/>
                <w:szCs w:val="28"/>
                <w:highlight w:val="none"/>
              </w:rPr>
            </w:pPr>
          </w:p>
          <w:p>
            <w:pPr>
              <w:ind w:left="0" w:leftChars="0" w:firstLine="560" w:firstLineChars="200"/>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t>本招标文件已报备</w:t>
            </w:r>
          </w:p>
          <w:p>
            <w:pPr>
              <w:widowControl/>
              <w:spacing w:line="560" w:lineRule="exact"/>
              <w:ind w:left="0" w:leftChars="0" w:firstLine="560" w:firstLineChars="200"/>
              <w:rPr>
                <w:rFonts w:hint="eastAsia" w:ascii="宋体" w:hAnsi="宋体" w:eastAsia="宋体" w:cs="宋体"/>
                <w:bCs/>
                <w:sz w:val="28"/>
                <w:szCs w:val="28"/>
                <w:highlight w:val="none"/>
                <w:lang w:val="zh-CN"/>
              </w:rPr>
            </w:pPr>
          </w:p>
          <w:p>
            <w:pPr>
              <w:widowControl/>
              <w:spacing w:line="560" w:lineRule="exact"/>
              <w:ind w:left="0" w:leftChars="0" w:firstLine="560" w:firstLineChars="200"/>
              <w:rPr>
                <w:rFonts w:hint="eastAsia" w:ascii="宋体" w:hAnsi="宋体" w:eastAsia="宋体" w:cs="宋体"/>
                <w:bCs/>
                <w:sz w:val="28"/>
                <w:szCs w:val="28"/>
                <w:highlight w:val="none"/>
                <w:lang w:val="zh-CN"/>
              </w:rPr>
            </w:pPr>
          </w:p>
          <w:p>
            <w:pPr>
              <w:widowControl/>
              <w:spacing w:line="560" w:lineRule="exact"/>
              <w:ind w:left="0" w:leftChars="0" w:firstLine="560" w:firstLineChars="200"/>
              <w:rPr>
                <w:rFonts w:hint="eastAsia" w:ascii="宋体" w:hAnsi="宋体" w:eastAsia="宋体" w:cs="宋体"/>
                <w:bCs/>
                <w:sz w:val="28"/>
                <w:szCs w:val="28"/>
                <w:highlight w:val="none"/>
                <w:lang w:val="zh-CN"/>
              </w:rPr>
            </w:pPr>
          </w:p>
          <w:p>
            <w:pPr>
              <w:widowControl/>
              <w:spacing w:line="560" w:lineRule="exact"/>
              <w:ind w:left="0" w:leftChars="0" w:firstLine="560" w:firstLineChars="200"/>
              <w:rPr>
                <w:rFonts w:hint="eastAsia" w:ascii="宋体" w:hAnsi="宋体" w:eastAsia="宋体" w:cs="宋体"/>
                <w:bCs/>
                <w:sz w:val="28"/>
                <w:szCs w:val="28"/>
                <w:highlight w:val="none"/>
                <w:lang w:val="zh-CN"/>
              </w:rPr>
            </w:pPr>
          </w:p>
          <w:p>
            <w:pPr>
              <w:widowControl/>
              <w:spacing w:line="560" w:lineRule="exact"/>
              <w:jc w:val="center"/>
              <w:rPr>
                <w:rFonts w:hint="eastAsia" w:ascii="宋体" w:hAnsi="宋体" w:eastAsia="宋体" w:cs="宋体"/>
                <w:bCs/>
                <w:sz w:val="28"/>
                <w:szCs w:val="28"/>
                <w:highlight w:val="none"/>
                <w:lang w:val="zh-CN"/>
              </w:rPr>
            </w:pPr>
            <w:r>
              <w:rPr>
                <w:rFonts w:hint="eastAsia" w:ascii="宋体" w:hAnsi="宋体" w:eastAsia="宋体" w:cs="宋体"/>
                <w:bCs/>
                <w:sz w:val="28"/>
                <w:szCs w:val="28"/>
                <w:highlight w:val="none"/>
                <w:lang w:val="zh-CN"/>
              </w:rPr>
              <w:t>项目名称：</w:t>
            </w:r>
            <w:r>
              <w:rPr>
                <w:rFonts w:hint="eastAsia" w:ascii="宋体" w:hAnsi="宋体" w:eastAsia="宋体" w:cs="宋体"/>
                <w:bCs/>
                <w:sz w:val="28"/>
                <w:szCs w:val="28"/>
                <w:highlight w:val="none"/>
                <w:lang w:val="en-US" w:eastAsia="zh-CN"/>
              </w:rPr>
              <w:t xml:space="preserve"> </w:t>
            </w:r>
            <w:r>
              <w:rPr>
                <w:rFonts w:hint="eastAsia" w:ascii="宋体" w:hAnsi="宋体" w:eastAsia="宋体" w:cs="宋体"/>
                <w:bCs/>
                <w:sz w:val="28"/>
                <w:szCs w:val="28"/>
                <w:highlight w:val="none"/>
                <w:lang w:val="zh-CN" w:eastAsia="zh-CN"/>
              </w:rPr>
              <w:t>民丰县尼雅乡光明村乡村振兴示范村建设项目（公共设施采购）-（包二）</w:t>
            </w:r>
          </w:p>
          <w:p>
            <w:pPr>
              <w:rPr>
                <w:rFonts w:hint="eastAsia" w:ascii="宋体" w:hAnsi="宋体" w:eastAsia="宋体" w:cs="宋体"/>
                <w:b/>
                <w:bCs/>
                <w:sz w:val="28"/>
                <w:szCs w:val="28"/>
                <w:highlight w:val="none"/>
                <w:lang w:eastAsia="zh-CN"/>
              </w:rPr>
            </w:pPr>
          </w:p>
          <w:p>
            <w:pPr>
              <w:rPr>
                <w:rFonts w:hint="eastAsia" w:ascii="宋体" w:hAnsi="宋体" w:eastAsia="宋体" w:cs="宋体"/>
                <w:b/>
                <w:bCs/>
                <w:sz w:val="28"/>
                <w:szCs w:val="28"/>
                <w:highlight w:val="none"/>
                <w:lang w:eastAsia="zh-CN"/>
              </w:rPr>
            </w:pPr>
          </w:p>
          <w:p>
            <w:pPr>
              <w:rPr>
                <w:rFonts w:hint="eastAsia" w:ascii="宋体" w:hAnsi="宋体" w:eastAsia="宋体" w:cs="宋体"/>
                <w:b/>
                <w:bCs/>
                <w:sz w:val="28"/>
                <w:szCs w:val="28"/>
                <w:highlight w:val="none"/>
                <w:lang w:eastAsia="zh-CN"/>
              </w:rPr>
            </w:pPr>
          </w:p>
          <w:p>
            <w:pPr>
              <w:rPr>
                <w:rFonts w:hint="eastAsia" w:ascii="宋体" w:hAnsi="宋体" w:eastAsia="宋体" w:cs="宋体"/>
                <w:b/>
                <w:bCs/>
                <w:sz w:val="28"/>
                <w:szCs w:val="28"/>
                <w:highlight w:val="none"/>
                <w:lang w:eastAsia="zh-CN"/>
              </w:rPr>
            </w:pPr>
          </w:p>
          <w:p>
            <w:pPr>
              <w:jc w:val="right"/>
              <w:rPr>
                <w:rFonts w:hint="eastAsia" w:ascii="宋体" w:hAnsi="宋体" w:eastAsia="宋体" w:cs="宋体"/>
                <w:b/>
                <w:bCs/>
                <w:sz w:val="28"/>
                <w:szCs w:val="28"/>
                <w:highlight w:val="none"/>
              </w:rPr>
            </w:pPr>
          </w:p>
        </w:tc>
      </w:tr>
    </w:tbl>
    <w:p>
      <w:pPr>
        <w:ind w:firstLine="883" w:firstLineChars="200"/>
        <w:jc w:val="left"/>
        <w:rPr>
          <w:rFonts w:hint="eastAsia" w:ascii="宋体" w:hAnsi="宋体" w:eastAsia="宋体" w:cs="宋体"/>
          <w:highlight w:val="none"/>
        </w:rPr>
      </w:pPr>
      <w:r>
        <w:rPr>
          <w:rFonts w:hint="eastAsia" w:ascii="仿宋" w:hAnsi="仿宋" w:eastAsia="仿宋" w:cs="仿宋"/>
          <w:b/>
          <w:bCs/>
          <w:sz w:val="44"/>
          <w:szCs w:val="44"/>
          <w:highlight w:val="none"/>
        </w:rPr>
        <w:br w:type="page"/>
      </w:r>
    </w:p>
    <w:p>
      <w:pPr>
        <w:ind w:firstLine="883" w:firstLineChars="200"/>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目</w:t>
      </w:r>
      <w:r>
        <w:rPr>
          <w:rFonts w:hint="eastAsia" w:ascii="宋体" w:hAnsi="宋体" w:eastAsia="宋体" w:cs="宋体"/>
          <w:b/>
          <w:bCs/>
          <w:sz w:val="44"/>
          <w:szCs w:val="44"/>
          <w:highlight w:val="none"/>
          <w:lang w:eastAsia="zh-CN"/>
        </w:rPr>
        <w:t>录</w:t>
      </w:r>
      <w:r>
        <w:rPr>
          <w:rFonts w:hint="eastAsia" w:ascii="宋体" w:hAnsi="宋体" w:eastAsia="宋体" w:cs="宋体"/>
          <w:b/>
          <w:bCs/>
          <w:sz w:val="44"/>
          <w:szCs w:val="44"/>
          <w:highlight w:val="none"/>
        </w:rPr>
        <w:t xml:space="preserve">  </w:t>
      </w:r>
    </w:p>
    <w:p>
      <w:pPr>
        <w:pStyle w:val="6"/>
        <w:rPr>
          <w:rFonts w:hint="eastAsia"/>
          <w:highlight w:val="none"/>
        </w:rPr>
      </w:pPr>
    </w:p>
    <w:p>
      <w:pPr>
        <w:pStyle w:val="28"/>
        <w:tabs>
          <w:tab w:val="right" w:leader="dot" w:pos="8306"/>
        </w:tabs>
        <w:rPr>
          <w:rFonts w:hint="eastAsia" w:ascii="宋体" w:hAnsi="宋体" w:eastAsia="宋体" w:cs="宋体"/>
          <w:b/>
          <w:bCs/>
          <w:sz w:val="32"/>
          <w:szCs w:val="32"/>
          <w:highlight w:val="none"/>
        </w:rPr>
      </w:pPr>
      <w:r>
        <w:rPr>
          <w:rFonts w:hint="eastAsia" w:ascii="宋体" w:hAnsi="宋体" w:cs="宋体"/>
          <w:b/>
          <w:bCs/>
          <w:sz w:val="32"/>
          <w:szCs w:val="32"/>
          <w:highlight w:val="none"/>
          <w:lang w:eastAsia="zh-CN"/>
        </w:rPr>
        <w:t>第一部分</w:t>
      </w:r>
      <w:r>
        <w:rPr>
          <w:rFonts w:hint="eastAsia" w:ascii="宋体" w:hAnsi="宋体" w:cs="宋体"/>
          <w:b/>
          <w:bCs/>
          <w:sz w:val="32"/>
          <w:szCs w:val="32"/>
          <w:highlight w:val="none"/>
          <w:lang w:val="en-US" w:eastAsia="zh-CN"/>
        </w:rPr>
        <w:t xml:space="preserve">  </w:t>
      </w:r>
      <w:r>
        <w:rPr>
          <w:rFonts w:hint="eastAsia" w:ascii="宋体" w:hAnsi="宋体" w:cs="宋体"/>
          <w:b/>
          <w:bCs/>
          <w:sz w:val="32"/>
          <w:szCs w:val="32"/>
          <w:highlight w:val="none"/>
          <w:lang w:eastAsia="zh-CN"/>
        </w:rPr>
        <w:t>竞争性磋商公告</w:t>
      </w:r>
      <w:r>
        <w:rPr>
          <w:rFonts w:hint="eastAsia" w:ascii="宋体" w:hAnsi="宋体" w:eastAsia="宋体" w:cs="宋体"/>
          <w:b/>
          <w:bCs/>
          <w:sz w:val="32"/>
          <w:szCs w:val="32"/>
          <w:highlight w:val="none"/>
        </w:rPr>
        <w:tab/>
      </w:r>
      <w:r>
        <w:rPr>
          <w:rFonts w:hint="eastAsia" w:ascii="宋体" w:hAnsi="宋体" w:cs="宋体"/>
          <w:b/>
          <w:bCs/>
          <w:sz w:val="32"/>
          <w:szCs w:val="32"/>
          <w:highlight w:val="none"/>
          <w:lang w:val="en-US" w:eastAsia="zh-CN"/>
        </w:rPr>
        <w:t>3</w:t>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TOC \o "1-1" \h \u </w:instrText>
      </w:r>
      <w:r>
        <w:rPr>
          <w:rFonts w:hint="eastAsia" w:ascii="宋体" w:hAnsi="宋体" w:eastAsia="宋体" w:cs="宋体"/>
          <w:b/>
          <w:bCs/>
          <w:sz w:val="32"/>
          <w:szCs w:val="32"/>
          <w:highlight w:val="none"/>
        </w:rPr>
        <w:fldChar w:fldCharType="separate"/>
      </w:r>
    </w:p>
    <w:p>
      <w:pPr>
        <w:pStyle w:val="28"/>
        <w:tabs>
          <w:tab w:val="right" w:leader="dot" w:pos="8306"/>
        </w:tabs>
        <w:rPr>
          <w:rFonts w:hint="eastAsia" w:ascii="宋体" w:hAnsi="宋体" w:eastAsia="宋体" w:cs="宋体"/>
          <w:b/>
          <w:bCs/>
          <w:sz w:val="32"/>
          <w:szCs w:val="32"/>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"_Toc32716" </w:instrText>
      </w:r>
      <w:r>
        <w:rPr>
          <w:rFonts w:hint="eastAsia" w:ascii="宋体" w:hAnsi="宋体" w:eastAsia="宋体" w:cs="宋体"/>
          <w:highlight w:val="none"/>
        </w:rPr>
        <w:fldChar w:fldCharType="separate"/>
      </w:r>
      <w:r>
        <w:rPr>
          <w:rFonts w:hint="eastAsia" w:ascii="宋体" w:hAnsi="宋体" w:eastAsia="宋体" w:cs="宋体"/>
          <w:b/>
          <w:bCs/>
          <w:sz w:val="32"/>
          <w:szCs w:val="32"/>
          <w:highlight w:val="none"/>
        </w:rPr>
        <w:t>第二部分  供应商须知</w:t>
      </w:r>
      <w:r>
        <w:rPr>
          <w:rFonts w:hint="eastAsia" w:ascii="宋体" w:hAnsi="宋体" w:eastAsia="宋体" w:cs="宋体"/>
          <w:b/>
          <w:bCs/>
          <w:sz w:val="32"/>
          <w:szCs w:val="32"/>
          <w:highlight w:val="none"/>
          <w:lang w:val="en-US" w:eastAsia="zh-CN"/>
        </w:rPr>
        <w:t>前附表</w:t>
      </w:r>
      <w:r>
        <w:rPr>
          <w:rFonts w:hint="eastAsia" w:ascii="宋体" w:hAnsi="宋体" w:eastAsia="宋体" w:cs="宋体"/>
          <w:b/>
          <w:bCs/>
          <w:sz w:val="32"/>
          <w:szCs w:val="32"/>
          <w:highlight w:val="none"/>
        </w:rPr>
        <w:tab/>
      </w:r>
      <w:r>
        <w:rPr>
          <w:rFonts w:hint="eastAsia" w:ascii="宋体" w:hAnsi="宋体" w:cs="宋体"/>
          <w:b/>
          <w:bCs/>
          <w:sz w:val="32"/>
          <w:szCs w:val="32"/>
          <w:highlight w:val="none"/>
          <w:lang w:val="en-US" w:eastAsia="zh-CN"/>
        </w:rPr>
        <w:t>5</w:t>
      </w:r>
      <w:r>
        <w:rPr>
          <w:rFonts w:hint="eastAsia" w:ascii="宋体" w:hAnsi="宋体" w:eastAsia="宋体" w:cs="宋体"/>
          <w:b/>
          <w:bCs/>
          <w:sz w:val="32"/>
          <w:szCs w:val="32"/>
          <w:highlight w:val="none"/>
        </w:rPr>
        <w:fldChar w:fldCharType="end"/>
      </w:r>
    </w:p>
    <w:p>
      <w:pPr>
        <w:pStyle w:val="28"/>
        <w:tabs>
          <w:tab w:val="right" w:leader="dot" w:pos="8306"/>
        </w:tabs>
        <w:rPr>
          <w:rFonts w:hint="eastAsia" w:ascii="宋体" w:hAnsi="宋体" w:eastAsia="宋体" w:cs="宋体"/>
          <w:b/>
          <w:bCs/>
          <w:sz w:val="32"/>
          <w:szCs w:val="32"/>
          <w:highlight w:val="none"/>
          <w:lang w:val="en-US"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"_Toc7500" </w:instrText>
      </w:r>
      <w:r>
        <w:rPr>
          <w:rFonts w:hint="eastAsia" w:ascii="宋体" w:hAnsi="宋体" w:eastAsia="宋体" w:cs="宋体"/>
          <w:highlight w:val="none"/>
        </w:rPr>
        <w:fldChar w:fldCharType="separate"/>
      </w:r>
      <w:r>
        <w:rPr>
          <w:rFonts w:hint="eastAsia" w:ascii="宋体" w:hAnsi="宋体" w:eastAsia="宋体" w:cs="宋体"/>
          <w:b/>
          <w:bCs/>
          <w:sz w:val="32"/>
          <w:szCs w:val="32"/>
          <w:highlight w:val="none"/>
        </w:rPr>
        <w:t>第三部分  授予合同（仅供参考）</w:t>
      </w:r>
      <w:r>
        <w:rPr>
          <w:rFonts w:hint="eastAsia" w:ascii="宋体" w:hAnsi="宋体" w:eastAsia="宋体" w:cs="宋体"/>
          <w:b/>
          <w:bCs/>
          <w:sz w:val="32"/>
          <w:szCs w:val="32"/>
          <w:highlight w:val="none"/>
        </w:rPr>
        <w:tab/>
      </w:r>
      <w:r>
        <w:rPr>
          <w:rFonts w:hint="eastAsia" w:ascii="宋体" w:hAnsi="宋体" w:cs="宋体"/>
          <w:b/>
          <w:bCs/>
          <w:sz w:val="32"/>
          <w:szCs w:val="32"/>
          <w:highlight w:val="none"/>
          <w:lang w:val="en-US" w:eastAsia="zh-CN"/>
        </w:rPr>
        <w:t>2</w:t>
      </w:r>
      <w:r>
        <w:rPr>
          <w:rFonts w:hint="eastAsia" w:ascii="宋体" w:hAnsi="宋体" w:eastAsia="宋体" w:cs="宋体"/>
          <w:b/>
          <w:bCs/>
          <w:sz w:val="32"/>
          <w:szCs w:val="32"/>
          <w:highlight w:val="none"/>
        </w:rPr>
        <w:fldChar w:fldCharType="end"/>
      </w:r>
      <w:r>
        <w:rPr>
          <w:rFonts w:hint="eastAsia" w:ascii="宋体" w:hAnsi="宋体" w:cs="宋体"/>
          <w:b/>
          <w:bCs/>
          <w:sz w:val="32"/>
          <w:szCs w:val="32"/>
          <w:highlight w:val="none"/>
          <w:lang w:val="en-US" w:eastAsia="zh-CN"/>
        </w:rPr>
        <w:t>5</w:t>
      </w:r>
    </w:p>
    <w:p>
      <w:pPr>
        <w:pStyle w:val="28"/>
        <w:tabs>
          <w:tab w:val="right" w:leader="dot" w:pos="8306"/>
        </w:tabs>
        <w:rPr>
          <w:rFonts w:hint="cs" w:ascii="宋体" w:hAnsi="宋体" w:eastAsia="宋体" w:cs="Times New Roman"/>
          <w:b/>
          <w:bCs/>
          <w:sz w:val="32"/>
          <w:szCs w:val="32"/>
          <w:highlight w:val="none"/>
          <w:cs/>
          <w:lang w:val="en-US" w:eastAsia="zh-CN" w:bidi="ar-SA"/>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_Toc23208" </w:instrText>
      </w:r>
      <w:r>
        <w:rPr>
          <w:rFonts w:hint="eastAsia" w:ascii="宋体" w:hAnsi="宋体" w:eastAsia="宋体" w:cs="宋体"/>
          <w:highlight w:val="none"/>
        </w:rPr>
        <w:fldChar w:fldCharType="separate"/>
      </w:r>
      <w:r>
        <w:rPr>
          <w:rFonts w:hint="eastAsia" w:ascii="宋体" w:hAnsi="宋体" w:eastAsia="宋体" w:cs="宋体"/>
          <w:b/>
          <w:bCs/>
          <w:sz w:val="32"/>
          <w:szCs w:val="32"/>
          <w:highlight w:val="none"/>
        </w:rPr>
        <w:t>第四部分  项目招标要求及说明</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end"/>
      </w:r>
      <w:r>
        <w:rPr>
          <w:rFonts w:hint="eastAsia" w:ascii="宋体" w:hAnsi="宋体" w:cs="宋体"/>
          <w:b/>
          <w:bCs/>
          <w:sz w:val="32"/>
          <w:szCs w:val="32"/>
          <w:highlight w:val="none"/>
          <w:lang w:val="en-US" w:eastAsia="zh-CN"/>
        </w:rPr>
        <w:t>4</w:t>
      </w:r>
      <w:r>
        <w:rPr>
          <w:rFonts w:hint="eastAsia" w:ascii="宋体" w:hAnsi="宋体" w:cs="Times New Roman"/>
          <w:b/>
          <w:bCs/>
          <w:sz w:val="32"/>
          <w:szCs w:val="32"/>
          <w:highlight w:val="none"/>
          <w:rtl w:val="0"/>
          <w:lang w:val="en-US" w:eastAsia="zh-CN" w:bidi="ar-SA"/>
        </w:rPr>
        <w:t>2</w:t>
      </w:r>
    </w:p>
    <w:p>
      <w:pPr>
        <w:pStyle w:val="28"/>
        <w:tabs>
          <w:tab w:val="right" w:leader="dot" w:pos="8306"/>
        </w:tabs>
        <w:rPr>
          <w:rFonts w:hint="default" w:ascii="宋体" w:hAnsi="宋体" w:eastAsia="宋体" w:cs="Times New Roman"/>
          <w:b/>
          <w:bCs/>
          <w:sz w:val="32"/>
          <w:szCs w:val="32"/>
          <w:highlight w:val="none"/>
          <w:lang w:val="en-US" w:eastAsia="zh-CN" w:bidi="ar-SA"/>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_Toc23343" </w:instrText>
      </w:r>
      <w:r>
        <w:rPr>
          <w:rFonts w:hint="eastAsia" w:ascii="宋体" w:hAnsi="宋体" w:eastAsia="宋体" w:cs="宋体"/>
          <w:highlight w:val="none"/>
        </w:rPr>
        <w:fldChar w:fldCharType="separate"/>
      </w:r>
      <w:r>
        <w:rPr>
          <w:rFonts w:hint="eastAsia" w:ascii="宋体" w:hAnsi="宋体" w:eastAsia="宋体" w:cs="宋体"/>
          <w:b/>
          <w:bCs/>
          <w:sz w:val="32"/>
          <w:szCs w:val="32"/>
          <w:highlight w:val="none"/>
        </w:rPr>
        <w:t>第五部分  响应文件格式</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end"/>
      </w:r>
      <w:r>
        <w:rPr>
          <w:rFonts w:hint="eastAsia" w:ascii="宋体" w:hAnsi="宋体" w:cs="宋体"/>
          <w:b/>
          <w:bCs/>
          <w:sz w:val="32"/>
          <w:szCs w:val="32"/>
          <w:highlight w:val="none"/>
          <w:lang w:val="en-US" w:eastAsia="zh-CN"/>
        </w:rPr>
        <w:t>43</w:t>
      </w:r>
    </w:p>
    <w:p>
      <w:pPr>
        <w:ind w:firstLine="643" w:firstLineChars="200"/>
        <w:rPr>
          <w:rFonts w:hint="eastAsia" w:ascii="宋体" w:hAnsi="宋体" w:eastAsia="宋体" w:cs="宋体"/>
          <w:b/>
          <w:bCs/>
          <w:sz w:val="28"/>
          <w:szCs w:val="28"/>
          <w:highlight w:val="none"/>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宋体" w:hAnsi="宋体" w:eastAsia="宋体" w:cs="宋体"/>
          <w:b/>
          <w:bCs/>
          <w:sz w:val="32"/>
          <w:szCs w:val="32"/>
          <w:highlight w:val="none"/>
        </w:rPr>
        <w:fldChar w:fldCharType="end"/>
      </w:r>
      <w:bookmarkStart w:id="0" w:name="_Toc22613"/>
      <w:bookmarkStart w:id="1" w:name="_Toc8469"/>
    </w:p>
    <w:bookmarkEnd w:id="0"/>
    <w:bookmarkEnd w:id="1"/>
    <w:p>
      <w:pPr>
        <w:pStyle w:val="4"/>
        <w:keepNext/>
        <w:keepLines/>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kern w:val="0"/>
          <w:sz w:val="32"/>
          <w:szCs w:val="32"/>
          <w:lang w:val="en-US" w:eastAsia="zh-CN" w:bidi="ar-SA"/>
        </w:rPr>
      </w:pPr>
      <w:bookmarkStart w:id="2" w:name="_Toc32716"/>
      <w:bookmarkStart w:id="3" w:name="_Toc20127"/>
      <w:bookmarkStart w:id="4" w:name="_Toc16868"/>
      <w:r>
        <w:rPr>
          <w:rFonts w:hint="eastAsia" w:ascii="宋体" w:hAnsi="宋体" w:eastAsia="宋体" w:cs="宋体"/>
          <w:b/>
          <w:bCs/>
          <w:color w:val="auto"/>
          <w:kern w:val="0"/>
          <w:sz w:val="32"/>
          <w:szCs w:val="32"/>
          <w:lang w:val="en-US" w:eastAsia="zh-CN" w:bidi="ar-SA"/>
        </w:rPr>
        <w:t>第一部分 竞争性磋商招标公告</w:t>
      </w:r>
    </w:p>
    <w:tbl>
      <w:tblPr>
        <w:tblStyle w:val="23"/>
        <w:tblW w:w="9733" w:type="dxa"/>
        <w:tblInd w:w="-2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3"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highlight w:val="none"/>
              </w:rPr>
            </w:pPr>
            <w:r>
              <w:rPr>
                <w:rFonts w:hint="eastAsia" w:ascii="仿宋" w:hAnsi="仿宋" w:eastAsia="仿宋" w:cs="仿宋"/>
                <w:sz w:val="24"/>
                <w:highlight w:val="none"/>
                <w:lang w:val="en-US" w:eastAsia="zh-CN"/>
              </w:rPr>
              <w:t>民丰县尼雅乡光明村乡村振兴示范村建设项目（公共设施采购）（包二）的潜在供应商应在新疆政府采购网（http://www.ccgp-xinjiang.gov.cn/）查阅本项目公告，并在该项目采购公告附件中获取采购文件，并于05月30日12点00分（北京时间）前提交响应文件。</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sz w:val="24"/>
          <w:highlight w:val="none"/>
          <w:lang w:val="en-US" w:eastAsia="zh-CN"/>
        </w:rPr>
      </w:pPr>
      <w:bookmarkStart w:id="5" w:name="_Toc2875_WPSOffice_Level2"/>
      <w:bookmarkStart w:id="6" w:name="_Toc28359089"/>
      <w:bookmarkStart w:id="7" w:name="_Toc6237"/>
      <w:bookmarkStart w:id="8" w:name="_Toc35393798"/>
      <w:bookmarkStart w:id="9" w:name="_Toc35393629"/>
      <w:bookmarkStart w:id="10" w:name="_Toc28359012"/>
      <w:r>
        <w:rPr>
          <w:rFonts w:hint="eastAsia" w:ascii="仿宋" w:hAnsi="仿宋" w:eastAsia="仿宋" w:cs="仿宋"/>
          <w:b/>
          <w:bCs/>
          <w:sz w:val="24"/>
          <w:highlight w:val="none"/>
          <w:lang w:val="en-US" w:eastAsia="zh-CN"/>
        </w:rPr>
        <w:t>一、项目基本情况</w:t>
      </w:r>
      <w:bookmarkEnd w:id="5"/>
      <w:bookmarkEnd w:id="6"/>
      <w:bookmarkEnd w:id="7"/>
      <w:bookmarkEnd w:id="8"/>
      <w:bookmarkEnd w:id="9"/>
      <w:bookmarkEnd w:id="1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sz w:val="24"/>
          <w:highlight w:val="none"/>
          <w:lang w:val="en-US" w:eastAsia="zh-CN"/>
        </w:rPr>
      </w:pPr>
      <w:bookmarkStart w:id="11" w:name="_Toc28359090"/>
      <w:bookmarkStart w:id="12" w:name="_Toc35393799"/>
      <w:bookmarkStart w:id="13" w:name="_Toc28359013"/>
      <w:bookmarkStart w:id="14" w:name="_Toc31877"/>
      <w:bookmarkStart w:id="15" w:name="_Toc35393630"/>
      <w:bookmarkStart w:id="16" w:name="_Toc13117_WPSOffice_Level2"/>
      <w:r>
        <w:rPr>
          <w:rFonts w:hint="eastAsia" w:ascii="仿宋" w:hAnsi="仿宋" w:eastAsia="仿宋" w:cs="仿宋"/>
          <w:b w:val="0"/>
          <w:bCs w:val="0"/>
          <w:sz w:val="24"/>
          <w:highlight w:val="none"/>
          <w:lang w:val="en-US" w:eastAsia="zh-CN"/>
        </w:rPr>
        <w:t>项目编号：</w:t>
      </w:r>
      <w:r>
        <w:rPr>
          <w:rFonts w:hint="eastAsia" w:ascii="宋体" w:hAnsi="宋体" w:cs="宋体"/>
          <w:i w:val="0"/>
          <w:iCs w:val="0"/>
          <w:caps w:val="0"/>
          <w:color w:val="000000"/>
          <w:spacing w:val="0"/>
          <w:sz w:val="24"/>
          <w:szCs w:val="24"/>
          <w:lang w:eastAsia="zh-CN"/>
        </w:rPr>
        <w:t>XJDJZFCG-MFX-2022-006号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项目名称：</w:t>
      </w:r>
      <w:r>
        <w:rPr>
          <w:rFonts w:hint="eastAsia" w:ascii="仿宋" w:hAnsi="仿宋" w:eastAsia="仿宋" w:cs="仿宋"/>
          <w:sz w:val="24"/>
          <w:highlight w:val="none"/>
          <w:lang w:val="en-US" w:eastAsia="zh-CN"/>
        </w:rPr>
        <w:t>民丰县尼雅乡光明村乡村振兴示范村建设项目（公共设施采购）-（包二）</w:t>
      </w:r>
      <w:r>
        <w:rPr>
          <w:rFonts w:hint="eastAsia" w:ascii="仿宋" w:hAnsi="仿宋" w:eastAsia="仿宋" w:cs="仿宋"/>
          <w:b w:val="0"/>
          <w:bCs w:val="0"/>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采购方式：竞争性磋商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b w:val="0"/>
          <w:bCs w:val="0"/>
          <w:sz w:val="24"/>
          <w:highlight w:val="none"/>
          <w:lang w:val="en-US" w:eastAsia="zh-CN"/>
        </w:rPr>
        <w:t>预算金额（元）:</w:t>
      </w:r>
      <w:r>
        <w:rPr>
          <w:rFonts w:hint="eastAsia" w:ascii="仿宋" w:hAnsi="仿宋" w:eastAsia="仿宋" w:cs="仿宋"/>
          <w:sz w:val="24"/>
          <w:highlight w:val="none"/>
          <w:lang w:val="en-US" w:eastAsia="zh-CN"/>
        </w:rPr>
        <w:t>5020000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最高限价（元）:</w:t>
      </w:r>
      <w:r>
        <w:rPr>
          <w:rFonts w:hint="eastAsia" w:ascii="仿宋" w:hAnsi="仿宋" w:eastAsia="仿宋" w:cs="仿宋"/>
          <w:sz w:val="24"/>
          <w:highlight w:val="none"/>
          <w:lang w:val="en-US" w:eastAsia="zh-CN"/>
        </w:rPr>
        <w:t>1372820.00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采购需求：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标项名称:民丰县尼雅乡光明村乡村振兴示范村建设项目（公共设施采购）-（包二）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简要规格描述或项目基本概况介绍、用途：采购环卫设备一批（详见招标文件）。</w:t>
      </w:r>
    </w:p>
    <w:p>
      <w:pPr>
        <w:spacing w:line="360" w:lineRule="exact"/>
        <w:ind w:firstLine="0" w:firstLineChars="0"/>
        <w:jc w:val="left"/>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合同履约期限：标项 1，供货期：50日历天</w:t>
      </w:r>
      <w:r>
        <w:rPr>
          <w:rFonts w:hint="eastAsia" w:ascii="宋体" w:hAnsi="宋体" w:eastAsia="宋体" w:cs="宋体"/>
          <w:b w:val="0"/>
          <w:bCs w:val="0"/>
          <w:color w:val="000000"/>
          <w:sz w:val="24"/>
          <w:highlight w:val="none"/>
          <w:u w:val="none"/>
          <w:lang w:val="en-US" w:eastAsia="zh-CN"/>
        </w:rPr>
        <w:t xml:space="preserve"> </w:t>
      </w:r>
      <w:r>
        <w:rPr>
          <w:rFonts w:hint="eastAsia" w:ascii="仿宋" w:hAnsi="仿宋" w:eastAsia="仿宋" w:cs="仿宋"/>
          <w:b w:val="0"/>
          <w:bCs w:val="0"/>
          <w:sz w:val="24"/>
          <w:highlight w:val="none"/>
          <w:lang w:val="en-US" w:eastAsia="zh-CN"/>
        </w:rPr>
        <w:t>。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本项目（否）接受联合体投标。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二、申请人的资格要求：</w:t>
      </w:r>
      <w:bookmarkEnd w:id="11"/>
      <w:bookmarkEnd w:id="12"/>
      <w:bookmarkEnd w:id="13"/>
      <w:bookmarkEnd w:id="14"/>
      <w:bookmarkEnd w:id="15"/>
      <w:bookmarkEnd w:id="16"/>
    </w:p>
    <w:p>
      <w:pPr>
        <w:pStyle w:val="19"/>
        <w:keepNext w:val="0"/>
        <w:keepLines w:val="0"/>
        <w:widowControl/>
        <w:suppressLineNumbers w:val="0"/>
        <w:spacing w:before="75" w:beforeAutospacing="0" w:after="75" w:afterAutospacing="0" w:line="360" w:lineRule="auto"/>
        <w:ind w:left="0" w:right="0" w:firstLine="657" w:firstLineChars="274"/>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rPr>
        <w:t>1</w:t>
      </w:r>
      <w:r>
        <w:rPr>
          <w:rFonts w:hint="eastAsia" w:ascii="仿宋" w:hAnsi="仿宋" w:eastAsia="仿宋" w:cs="仿宋"/>
          <w:i w:val="0"/>
          <w:iCs w:val="0"/>
          <w:caps w:val="0"/>
          <w:color w:val="000000"/>
          <w:spacing w:val="0"/>
          <w:sz w:val="24"/>
          <w:szCs w:val="24"/>
          <w:highlight w:val="none"/>
          <w:lang w:eastAsia="zh-CN"/>
        </w:rPr>
        <w:t>、</w:t>
      </w:r>
      <w:r>
        <w:rPr>
          <w:rFonts w:hint="eastAsia" w:ascii="仿宋" w:hAnsi="仿宋" w:eastAsia="仿宋" w:cs="仿宋"/>
          <w:i w:val="0"/>
          <w:iCs w:val="0"/>
          <w:caps w:val="0"/>
          <w:color w:val="000000"/>
          <w:spacing w:val="0"/>
          <w:sz w:val="24"/>
          <w:szCs w:val="24"/>
          <w:highlight w:val="none"/>
        </w:rPr>
        <w:t>满足《中华人民共和国政府采购法》第二十二条规定；</w:t>
      </w:r>
    </w:p>
    <w:p>
      <w:pPr>
        <w:pStyle w:val="19"/>
        <w:keepNext w:val="0"/>
        <w:keepLines w:val="0"/>
        <w:widowControl/>
        <w:suppressLineNumbers w:val="0"/>
        <w:spacing w:before="75" w:beforeAutospacing="0" w:after="75" w:afterAutospacing="0" w:line="360" w:lineRule="auto"/>
        <w:ind w:left="0" w:right="0" w:firstLine="657" w:firstLineChars="274"/>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rPr>
        <w:t>2</w:t>
      </w:r>
      <w:r>
        <w:rPr>
          <w:rFonts w:hint="eastAsia" w:ascii="仿宋" w:hAnsi="仿宋" w:eastAsia="仿宋" w:cs="仿宋"/>
          <w:i w:val="0"/>
          <w:iCs w:val="0"/>
          <w:caps w:val="0"/>
          <w:color w:val="000000"/>
          <w:spacing w:val="0"/>
          <w:sz w:val="24"/>
          <w:szCs w:val="24"/>
          <w:highlight w:val="none"/>
          <w:lang w:eastAsia="zh-CN"/>
        </w:rPr>
        <w:t>、</w:t>
      </w:r>
      <w:r>
        <w:rPr>
          <w:rFonts w:hint="eastAsia" w:ascii="仿宋" w:hAnsi="仿宋" w:eastAsia="仿宋" w:cs="仿宋"/>
          <w:i w:val="0"/>
          <w:iCs w:val="0"/>
          <w:caps w:val="0"/>
          <w:color w:val="000000"/>
          <w:spacing w:val="0"/>
          <w:sz w:val="24"/>
          <w:szCs w:val="24"/>
          <w:highlight w:val="none"/>
        </w:rPr>
        <w:t>落实政府采购政策需满足的资格要求：</w:t>
      </w:r>
    </w:p>
    <w:p>
      <w:pPr>
        <w:pStyle w:val="19"/>
        <w:keepNext w:val="0"/>
        <w:keepLines w:val="0"/>
        <w:widowControl/>
        <w:suppressLineNumbers w:val="0"/>
        <w:spacing w:before="75" w:beforeAutospacing="0" w:after="75" w:afterAutospacing="0" w:line="360" w:lineRule="auto"/>
        <w:ind w:right="0" w:firstLine="240" w:firstLineChars="100"/>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rPr>
        <w:t xml:space="preserve">（一）财政部、国家发展改革委《关于印发《节能产品政府采购实施意见》的通知》（财库[2004]185号文）；（二）《财政部发展改革委 生态环境部 市场监管总局关于调整优化节能产品 环境标志产品政府采购执行机制的通知》（财库〔2019〕9号）;（三）财政部、工业和信息化部《关于印发《政府采购促进中小企业展暂行办法》的通知》（财库[2011]181号文）；（四）财政部、民政部、中国残疾人联合会《关于促进残疾人就业政府采购政策的通知》（财库[2017]141号）；（五）财政部、司法部《关于政府采购支持监狱企业发展有关问题的通知》（财库[2014]68号文）。  </w:t>
      </w:r>
    </w:p>
    <w:p>
      <w:pPr>
        <w:pStyle w:val="19"/>
        <w:keepNext w:val="0"/>
        <w:keepLines w:val="0"/>
        <w:widowControl/>
        <w:suppressLineNumbers w:val="0"/>
        <w:spacing w:before="75" w:beforeAutospacing="0" w:after="75" w:afterAutospacing="0" w:line="360" w:lineRule="auto"/>
        <w:ind w:right="0" w:firstLine="240" w:firstLineChars="100"/>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rPr>
        <w:t>  3.本项目的特定资格要求：</w:t>
      </w:r>
    </w:p>
    <w:p>
      <w:pPr>
        <w:pStyle w:val="19"/>
        <w:keepNext w:val="0"/>
        <w:keepLines w:val="0"/>
        <w:widowControl/>
        <w:suppressLineNumbers w:val="0"/>
        <w:spacing w:before="75" w:beforeAutospacing="0" w:after="75" w:afterAutospacing="0" w:line="360" w:lineRule="auto"/>
        <w:ind w:right="0"/>
        <w:rPr>
          <w:rFonts w:hint="eastAsia" w:ascii="仿宋" w:hAnsi="仿宋" w:eastAsia="仿宋" w:cs="仿宋"/>
          <w:i w:val="0"/>
          <w:iCs w:val="0"/>
          <w:caps w:val="0"/>
          <w:color w:val="000000"/>
          <w:spacing w:val="0"/>
          <w:sz w:val="24"/>
          <w:szCs w:val="24"/>
          <w:highlight w:val="none"/>
          <w:lang w:eastAsia="zh-CN"/>
        </w:rPr>
      </w:pPr>
      <w:r>
        <w:rPr>
          <w:rFonts w:hint="eastAsia" w:ascii="仿宋" w:hAnsi="仿宋" w:eastAsia="仿宋" w:cs="仿宋"/>
          <w:i w:val="0"/>
          <w:iCs w:val="0"/>
          <w:caps w:val="0"/>
          <w:color w:val="000000"/>
          <w:spacing w:val="0"/>
          <w:sz w:val="24"/>
          <w:szCs w:val="24"/>
          <w:highlight w:val="none"/>
        </w:rPr>
        <w:t>（1）</w:t>
      </w:r>
      <w:r>
        <w:rPr>
          <w:rFonts w:hint="eastAsia" w:ascii="仿宋" w:hAnsi="仿宋" w:eastAsia="仿宋" w:cs="仿宋"/>
          <w:i w:val="0"/>
          <w:iCs w:val="0"/>
          <w:caps w:val="0"/>
          <w:color w:val="000000"/>
          <w:spacing w:val="0"/>
          <w:sz w:val="24"/>
          <w:szCs w:val="24"/>
          <w:highlight w:val="none"/>
          <w:lang w:eastAsia="zh-CN"/>
        </w:rPr>
        <w:t>具有经年审合格的三证合一营业执照</w:t>
      </w:r>
      <w:r>
        <w:rPr>
          <w:rFonts w:hint="eastAsia" w:ascii="仿宋" w:hAnsi="仿宋" w:eastAsia="仿宋" w:cs="仿宋"/>
          <w:i w:val="0"/>
          <w:iCs w:val="0"/>
          <w:caps w:val="0"/>
          <w:color w:val="000000"/>
          <w:spacing w:val="0"/>
          <w:sz w:val="24"/>
          <w:szCs w:val="24"/>
          <w:highlight w:val="none"/>
        </w:rPr>
        <w:t>；</w:t>
      </w:r>
    </w:p>
    <w:p>
      <w:pPr>
        <w:pStyle w:val="19"/>
        <w:keepNext w:val="0"/>
        <w:keepLines w:val="0"/>
        <w:widowControl/>
        <w:suppressLineNumbers w:val="0"/>
        <w:spacing w:before="75" w:beforeAutospacing="0" w:after="75" w:afterAutospacing="0" w:line="360" w:lineRule="auto"/>
        <w:ind w:right="0"/>
        <w:rPr>
          <w:rFonts w:hint="eastAsia" w:ascii="仿宋" w:hAnsi="仿宋" w:eastAsia="仿宋" w:cs="仿宋"/>
          <w:i w:val="0"/>
          <w:iCs w:val="0"/>
          <w:caps w:val="0"/>
          <w:color w:val="000000"/>
          <w:spacing w:val="0"/>
          <w:sz w:val="24"/>
          <w:szCs w:val="24"/>
          <w:highlight w:val="none"/>
          <w:lang w:eastAsia="zh-CN"/>
        </w:rPr>
      </w:pPr>
      <w:r>
        <w:rPr>
          <w:rFonts w:hint="eastAsia" w:ascii="仿宋" w:hAnsi="仿宋" w:eastAsia="仿宋" w:cs="仿宋"/>
          <w:i w:val="0"/>
          <w:iCs w:val="0"/>
          <w:caps w:val="0"/>
          <w:color w:val="000000"/>
          <w:spacing w:val="0"/>
          <w:sz w:val="24"/>
          <w:szCs w:val="24"/>
          <w:highlight w:val="none"/>
        </w:rPr>
        <w:t>（</w:t>
      </w:r>
      <w:r>
        <w:rPr>
          <w:rFonts w:hint="eastAsia" w:ascii="仿宋" w:hAnsi="仿宋" w:eastAsia="仿宋" w:cs="仿宋"/>
          <w:i w:val="0"/>
          <w:iCs w:val="0"/>
          <w:caps w:val="0"/>
          <w:color w:val="000000"/>
          <w:spacing w:val="0"/>
          <w:sz w:val="24"/>
          <w:szCs w:val="24"/>
          <w:highlight w:val="none"/>
          <w:lang w:val="en-US" w:eastAsia="zh-CN"/>
        </w:rPr>
        <w:t>2</w:t>
      </w:r>
      <w:r>
        <w:rPr>
          <w:rFonts w:hint="eastAsia" w:ascii="仿宋" w:hAnsi="仿宋" w:eastAsia="仿宋" w:cs="仿宋"/>
          <w:i w:val="0"/>
          <w:iCs w:val="0"/>
          <w:caps w:val="0"/>
          <w:color w:val="000000"/>
          <w:spacing w:val="0"/>
          <w:sz w:val="24"/>
          <w:szCs w:val="24"/>
          <w:highlight w:val="none"/>
        </w:rPr>
        <w:t>）法定代表人投标需携带法定代表人证明书及法定代表人身份证（原件），委托代理人投标需携带法定代表人授权委托书及委托代理人身份证（原件）；被委托人必须是投标单位正式员工，需提供社保部门出具的投标单位的缴纳社保证明（提供被委托人及法人近六个月个人明细表，缴费</w:t>
      </w:r>
      <w:r>
        <w:rPr>
          <w:rFonts w:hint="eastAsia" w:ascii="仿宋" w:hAnsi="仿宋" w:eastAsia="仿宋" w:cs="仿宋"/>
          <w:i w:val="0"/>
          <w:iCs w:val="0"/>
          <w:caps w:val="0"/>
          <w:color w:val="000000"/>
          <w:spacing w:val="0"/>
          <w:sz w:val="24"/>
          <w:szCs w:val="24"/>
          <w:highlight w:val="none"/>
          <w:lang w:val="en-US" w:eastAsia="zh-CN"/>
        </w:rPr>
        <w:t>凭证</w:t>
      </w:r>
      <w:r>
        <w:rPr>
          <w:rFonts w:hint="eastAsia" w:ascii="仿宋" w:hAnsi="仿宋" w:eastAsia="仿宋" w:cs="仿宋"/>
          <w:i w:val="0"/>
          <w:iCs w:val="0"/>
          <w:caps w:val="0"/>
          <w:color w:val="000000"/>
          <w:spacing w:val="0"/>
          <w:sz w:val="24"/>
          <w:szCs w:val="24"/>
          <w:highlight w:val="none"/>
        </w:rPr>
        <w:t>）。</w:t>
      </w:r>
    </w:p>
    <w:p>
      <w:pPr>
        <w:pStyle w:val="19"/>
        <w:keepNext w:val="0"/>
        <w:keepLines w:val="0"/>
        <w:widowControl/>
        <w:suppressLineNumbers w:val="0"/>
        <w:spacing w:before="75" w:beforeAutospacing="0" w:after="75" w:afterAutospacing="0" w:line="360" w:lineRule="auto"/>
        <w:ind w:right="0"/>
        <w:rPr>
          <w:rFonts w:hint="eastAsia" w:ascii="仿宋" w:hAnsi="仿宋" w:eastAsia="仿宋" w:cs="仿宋"/>
          <w:i w:val="0"/>
          <w:iCs w:val="0"/>
          <w:caps w:val="0"/>
          <w:color w:val="000000"/>
          <w:spacing w:val="0"/>
          <w:sz w:val="24"/>
          <w:szCs w:val="24"/>
          <w:highlight w:val="none"/>
          <w:lang w:eastAsia="zh-CN"/>
        </w:rPr>
      </w:pPr>
      <w:r>
        <w:rPr>
          <w:rFonts w:hint="eastAsia" w:ascii="仿宋" w:hAnsi="仿宋" w:eastAsia="仿宋" w:cs="仿宋"/>
          <w:i w:val="0"/>
          <w:iCs w:val="0"/>
          <w:caps w:val="0"/>
          <w:color w:val="000000"/>
          <w:spacing w:val="0"/>
          <w:sz w:val="24"/>
          <w:szCs w:val="24"/>
          <w:highlight w:val="none"/>
        </w:rPr>
        <w:t>（</w:t>
      </w:r>
      <w:r>
        <w:rPr>
          <w:rFonts w:hint="eastAsia" w:ascii="仿宋" w:hAnsi="仿宋" w:eastAsia="仿宋" w:cs="仿宋"/>
          <w:i w:val="0"/>
          <w:iCs w:val="0"/>
          <w:caps w:val="0"/>
          <w:color w:val="000000"/>
          <w:spacing w:val="0"/>
          <w:sz w:val="24"/>
          <w:szCs w:val="24"/>
          <w:highlight w:val="none"/>
          <w:lang w:val="en-US" w:eastAsia="zh-CN"/>
        </w:rPr>
        <w:t>3</w:t>
      </w:r>
      <w:r>
        <w:rPr>
          <w:rFonts w:hint="eastAsia" w:ascii="仿宋" w:hAnsi="仿宋" w:eastAsia="仿宋" w:cs="仿宋"/>
          <w:i w:val="0"/>
          <w:iCs w:val="0"/>
          <w:caps w:val="0"/>
          <w:color w:val="000000"/>
          <w:spacing w:val="0"/>
          <w:sz w:val="24"/>
          <w:szCs w:val="24"/>
          <w:highlight w:val="none"/>
        </w:rPr>
        <w:t>）具有良好的商业信誉和健全的财务会计制度（需提供会计事务所出具2021年度财务审计报告，2021年10月以后成立的公司可不提供但需提供银行出具的近三个月的资信证明）。</w:t>
      </w:r>
    </w:p>
    <w:p>
      <w:pPr>
        <w:pStyle w:val="19"/>
        <w:keepNext w:val="0"/>
        <w:keepLines w:val="0"/>
        <w:widowControl/>
        <w:suppressLineNumbers w:val="0"/>
        <w:spacing w:before="75" w:beforeAutospacing="0" w:after="75" w:afterAutospacing="0" w:line="360" w:lineRule="auto"/>
        <w:ind w:right="0"/>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rPr>
        <w:t>（</w:t>
      </w:r>
      <w:r>
        <w:rPr>
          <w:rFonts w:hint="eastAsia" w:ascii="仿宋" w:hAnsi="仿宋" w:eastAsia="仿宋" w:cs="仿宋"/>
          <w:i w:val="0"/>
          <w:iCs w:val="0"/>
          <w:caps w:val="0"/>
          <w:color w:val="000000"/>
          <w:spacing w:val="0"/>
          <w:sz w:val="24"/>
          <w:szCs w:val="24"/>
          <w:highlight w:val="none"/>
          <w:lang w:val="en-US" w:eastAsia="zh-CN"/>
        </w:rPr>
        <w:t>4</w:t>
      </w:r>
      <w:r>
        <w:rPr>
          <w:rFonts w:hint="eastAsia" w:ascii="仿宋" w:hAnsi="仿宋" w:eastAsia="仿宋" w:cs="仿宋"/>
          <w:i w:val="0"/>
          <w:iCs w:val="0"/>
          <w:caps w:val="0"/>
          <w:color w:val="000000"/>
          <w:spacing w:val="0"/>
          <w:sz w:val="24"/>
          <w:szCs w:val="24"/>
          <w:highlight w:val="none"/>
        </w:rPr>
        <w:t>）提供税务机关出具近三个月的完税证明</w:t>
      </w:r>
      <w:r>
        <w:rPr>
          <w:rFonts w:hint="eastAsia" w:ascii="仿宋" w:hAnsi="仿宋" w:eastAsia="仿宋" w:cs="仿宋"/>
          <w:i w:val="0"/>
          <w:iCs w:val="0"/>
          <w:caps w:val="0"/>
          <w:color w:val="000000"/>
          <w:spacing w:val="0"/>
          <w:sz w:val="24"/>
          <w:szCs w:val="24"/>
          <w:highlight w:val="none"/>
          <w:lang w:eastAsia="zh-CN"/>
        </w:rPr>
        <w:t>，</w:t>
      </w:r>
      <w:r>
        <w:rPr>
          <w:rFonts w:hint="eastAsia" w:ascii="仿宋" w:hAnsi="仿宋" w:eastAsia="仿宋" w:cs="仿宋"/>
          <w:i w:val="0"/>
          <w:iCs w:val="0"/>
          <w:caps w:val="0"/>
          <w:color w:val="000000"/>
          <w:spacing w:val="0"/>
          <w:sz w:val="24"/>
          <w:szCs w:val="24"/>
          <w:highlight w:val="none"/>
          <w:lang w:val="en-US" w:eastAsia="zh-CN"/>
        </w:rPr>
        <w:t>以填发日期为准。</w:t>
      </w:r>
      <w:r>
        <w:rPr>
          <w:rFonts w:hint="eastAsia" w:ascii="仿宋" w:hAnsi="仿宋" w:eastAsia="仿宋" w:cs="仿宋"/>
          <w:i w:val="0"/>
          <w:iCs w:val="0"/>
          <w:caps w:val="0"/>
          <w:color w:val="000000"/>
          <w:spacing w:val="0"/>
          <w:sz w:val="24"/>
          <w:szCs w:val="24"/>
          <w:highlight w:val="none"/>
        </w:rPr>
        <w:t>（新成立公司按实际发生提供）。</w:t>
      </w:r>
    </w:p>
    <w:p>
      <w:pPr>
        <w:pStyle w:val="29"/>
        <w:numPr>
          <w:ilvl w:val="0"/>
          <w:numId w:val="0"/>
        </w:numPr>
        <w:ind w:firstLine="480" w:firstLineChars="200"/>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rPr>
        <w:t>（</w:t>
      </w:r>
      <w:r>
        <w:rPr>
          <w:rFonts w:hint="eastAsia" w:ascii="仿宋" w:hAnsi="仿宋" w:eastAsia="仿宋" w:cs="仿宋"/>
          <w:i w:val="0"/>
          <w:iCs w:val="0"/>
          <w:caps w:val="0"/>
          <w:color w:val="000000"/>
          <w:spacing w:val="0"/>
          <w:sz w:val="24"/>
          <w:szCs w:val="24"/>
          <w:highlight w:val="none"/>
          <w:lang w:val="en-US" w:eastAsia="zh-CN"/>
        </w:rPr>
        <w:t>5</w:t>
      </w:r>
      <w:r>
        <w:rPr>
          <w:rFonts w:hint="eastAsia" w:ascii="仿宋" w:hAnsi="仿宋" w:eastAsia="仿宋" w:cs="仿宋"/>
          <w:i w:val="0"/>
          <w:iCs w:val="0"/>
          <w:caps w:val="0"/>
          <w:color w:val="000000"/>
          <w:spacing w:val="0"/>
          <w:sz w:val="24"/>
          <w:szCs w:val="24"/>
          <w:highlight w:val="none"/>
        </w:rPr>
        <w:t>）凡拟参加本次采购项目的投标企业如在“信用中国”网站(www.creditchina.gov.cn)被列入失信被执行人、重大税收违法案件当事人名单、政府采购严重违法失信行为记录名单的、中国政府釆购网(www.ccgp.gov.cn)政府采购严重违法失信行为记录名单的、国家企业信用信息公示系统(www.gsxt.go</w:t>
      </w:r>
      <w:r>
        <w:rPr>
          <w:rFonts w:hint="eastAsia" w:ascii="仿宋" w:hAnsi="仿宋" w:eastAsia="仿宋" w:cs="仿宋"/>
          <w:i w:val="0"/>
          <w:iCs w:val="0"/>
          <w:caps w:val="0"/>
          <w:color w:val="000000"/>
          <w:spacing w:val="0"/>
          <w:kern w:val="0"/>
          <w:sz w:val="24"/>
          <w:szCs w:val="24"/>
          <w:highlight w:val="none"/>
          <w:lang w:val="en-US" w:eastAsia="zh-CN" w:bidi="ar-SA"/>
        </w:rPr>
        <w:t>v.cn)经营异常名录的（尚在处罚期内的），将拒绝其参与本次政府釆购活动；（开标现场查验）</w:t>
      </w:r>
    </w:p>
    <w:p>
      <w:pPr>
        <w:spacing w:line="360" w:lineRule="auto"/>
        <w:ind w:firstLine="240" w:firstLineChars="100"/>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kern w:val="0"/>
          <w:sz w:val="24"/>
          <w:szCs w:val="24"/>
          <w:highlight w:val="none"/>
          <w:lang w:val="en-US" w:eastAsia="zh-CN" w:bidi="ar-SA"/>
        </w:rPr>
        <w:t>（6）参加政府采购活动前三年内，在经营活动中没有重大违法记录，无失信行为，（投标人须出具企业及法定代表人无重大违法记录承诺书，无失信行为承诺书）；</w:t>
      </w:r>
    </w:p>
    <w:p>
      <w:pPr>
        <w:pStyle w:val="19"/>
        <w:keepNext w:val="0"/>
        <w:keepLines w:val="0"/>
        <w:widowControl/>
        <w:suppressLineNumbers w:val="0"/>
        <w:spacing w:before="75" w:beforeAutospacing="0" w:after="75" w:afterAutospacing="0" w:line="360" w:lineRule="auto"/>
        <w:ind w:left="0" w:right="0" w:firstLine="240" w:firstLineChars="100"/>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lang w:eastAsia="zh-CN"/>
        </w:rPr>
        <w:t>（</w:t>
      </w:r>
      <w:r>
        <w:rPr>
          <w:rFonts w:hint="eastAsia" w:ascii="仿宋" w:hAnsi="仿宋" w:eastAsia="仿宋" w:cs="仿宋"/>
          <w:i w:val="0"/>
          <w:iCs w:val="0"/>
          <w:caps w:val="0"/>
          <w:color w:val="000000"/>
          <w:spacing w:val="0"/>
          <w:sz w:val="24"/>
          <w:szCs w:val="24"/>
          <w:highlight w:val="none"/>
          <w:lang w:val="en-US" w:eastAsia="zh-CN"/>
        </w:rPr>
        <w:t>7</w:t>
      </w:r>
      <w:r>
        <w:rPr>
          <w:rFonts w:hint="eastAsia" w:ascii="仿宋" w:hAnsi="仿宋" w:eastAsia="仿宋" w:cs="仿宋"/>
          <w:i w:val="0"/>
          <w:iCs w:val="0"/>
          <w:caps w:val="0"/>
          <w:color w:val="000000"/>
          <w:spacing w:val="0"/>
          <w:sz w:val="24"/>
          <w:szCs w:val="24"/>
          <w:highlight w:val="none"/>
          <w:lang w:eastAsia="zh-CN"/>
        </w:rPr>
        <w:t>）</w:t>
      </w:r>
      <w:r>
        <w:rPr>
          <w:rFonts w:hint="eastAsia" w:ascii="仿宋" w:hAnsi="仿宋" w:eastAsia="仿宋" w:cs="仿宋"/>
          <w:i w:val="0"/>
          <w:iCs w:val="0"/>
          <w:caps w:val="0"/>
          <w:color w:val="000000"/>
          <w:spacing w:val="0"/>
          <w:sz w:val="24"/>
          <w:szCs w:val="24"/>
          <w:highlight w:val="none"/>
        </w:rPr>
        <w:t>企业负责人为同一人或者存在直接控股、管理关系的不同</w:t>
      </w:r>
      <w:r>
        <w:rPr>
          <w:rFonts w:hint="eastAsia" w:ascii="仿宋" w:hAnsi="仿宋" w:eastAsia="仿宋" w:cs="仿宋"/>
          <w:i w:val="0"/>
          <w:iCs w:val="0"/>
          <w:caps w:val="0"/>
          <w:color w:val="000000"/>
          <w:spacing w:val="0"/>
          <w:sz w:val="24"/>
          <w:szCs w:val="24"/>
          <w:highlight w:val="none"/>
          <w:lang w:eastAsia="zh-CN"/>
        </w:rPr>
        <w:t>磋商响应人</w:t>
      </w:r>
      <w:r>
        <w:rPr>
          <w:rFonts w:hint="eastAsia" w:ascii="仿宋" w:hAnsi="仿宋" w:eastAsia="仿宋" w:cs="仿宋"/>
          <w:i w:val="0"/>
          <w:iCs w:val="0"/>
          <w:caps w:val="0"/>
          <w:color w:val="000000"/>
          <w:spacing w:val="0"/>
          <w:sz w:val="24"/>
          <w:szCs w:val="24"/>
          <w:highlight w:val="none"/>
        </w:rPr>
        <w:t>，不得参加同一合同项下的政府采购活动。否则，皆取消投标资格。</w:t>
      </w:r>
    </w:p>
    <w:p>
      <w:pPr>
        <w:pStyle w:val="19"/>
        <w:keepNext w:val="0"/>
        <w:keepLines w:val="0"/>
        <w:widowControl/>
        <w:suppressLineNumbers w:val="0"/>
        <w:spacing w:before="75" w:beforeAutospacing="0" w:after="75" w:afterAutospacing="0" w:line="360" w:lineRule="auto"/>
        <w:ind w:left="0" w:right="0" w:firstLine="240" w:firstLineChars="100"/>
        <w:rPr>
          <w:rFonts w:hint="eastAsia" w:ascii="仿宋" w:hAnsi="仿宋" w:eastAsia="仿宋" w:cs="仿宋"/>
          <w:i w:val="0"/>
          <w:iCs w:val="0"/>
          <w:caps w:val="0"/>
          <w:color w:val="000000"/>
          <w:spacing w:val="0"/>
          <w:kern w:val="0"/>
          <w:sz w:val="24"/>
          <w:szCs w:val="24"/>
          <w:highlight w:val="none"/>
          <w:lang w:val="en-US" w:eastAsia="zh-CN" w:bidi="ar-SA"/>
        </w:rPr>
      </w:pPr>
      <w:r>
        <w:rPr>
          <w:rFonts w:hint="eastAsia" w:ascii="仿宋" w:hAnsi="仿宋" w:eastAsia="仿宋" w:cs="仿宋"/>
          <w:i w:val="0"/>
          <w:iCs w:val="0"/>
          <w:caps w:val="0"/>
          <w:color w:val="000000"/>
          <w:spacing w:val="0"/>
          <w:kern w:val="0"/>
          <w:sz w:val="24"/>
          <w:szCs w:val="24"/>
          <w:highlight w:val="none"/>
          <w:lang w:val="en-US" w:eastAsia="zh-CN" w:bidi="ar-SA"/>
        </w:rPr>
        <w:t>（8）投标保证金回单（加盖公章）</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仿宋" w:hAnsi="仿宋" w:eastAsia="仿宋" w:cs="仿宋"/>
          <w:b/>
          <w:bCs/>
          <w:color w:val="auto"/>
          <w:sz w:val="24"/>
          <w:highlight w:val="none"/>
        </w:rPr>
      </w:pPr>
      <w:r>
        <w:rPr>
          <w:rFonts w:hint="eastAsia" w:ascii="仿宋" w:hAnsi="仿宋" w:eastAsia="仿宋" w:cs="仿宋"/>
          <w:b/>
          <w:bCs/>
          <w:sz w:val="24"/>
          <w:highlight w:val="none"/>
          <w:lang w:eastAsia="zh-CN"/>
        </w:rPr>
        <w:t>三</w:t>
      </w:r>
      <w:r>
        <w:rPr>
          <w:rFonts w:hint="eastAsia" w:ascii="仿宋" w:hAnsi="仿宋" w:eastAsia="仿宋" w:cs="仿宋"/>
          <w:b/>
          <w:bCs/>
          <w:sz w:val="24"/>
          <w:highlight w:val="none"/>
        </w:rPr>
        <w:t>、获</w:t>
      </w:r>
      <w:r>
        <w:rPr>
          <w:rFonts w:hint="eastAsia" w:ascii="仿宋" w:hAnsi="仿宋" w:eastAsia="仿宋" w:cs="仿宋"/>
          <w:b/>
          <w:bCs/>
          <w:color w:val="auto"/>
          <w:sz w:val="24"/>
          <w:highlight w:val="none"/>
        </w:rPr>
        <w:t>取</w:t>
      </w:r>
      <w:r>
        <w:rPr>
          <w:rFonts w:hint="eastAsia" w:ascii="仿宋" w:hAnsi="仿宋" w:eastAsia="仿宋" w:cs="仿宋"/>
          <w:b/>
          <w:bCs/>
          <w:color w:val="auto"/>
          <w:sz w:val="24"/>
          <w:highlight w:val="none"/>
          <w:lang w:eastAsia="zh-CN"/>
        </w:rPr>
        <w:t>采购</w:t>
      </w:r>
      <w:r>
        <w:rPr>
          <w:rFonts w:hint="eastAsia" w:ascii="仿宋" w:hAnsi="仿宋" w:eastAsia="仿宋" w:cs="仿宋"/>
          <w:b/>
          <w:bCs/>
          <w:color w:val="auto"/>
          <w:sz w:val="24"/>
          <w:highlight w:val="none"/>
        </w:rPr>
        <w:t>文件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i w:val="0"/>
          <w:iCs w:val="0"/>
          <w:caps w:val="0"/>
          <w:color w:val="000000"/>
          <w:spacing w:val="0"/>
          <w:kern w:val="0"/>
          <w:sz w:val="24"/>
          <w:szCs w:val="24"/>
          <w:highlight w:val="none"/>
          <w:lang w:val="en-US" w:eastAsia="zh-CN" w:bidi="ar-SA"/>
        </w:rPr>
      </w:pPr>
      <w:r>
        <w:rPr>
          <w:rFonts w:hint="default" w:ascii="仿宋" w:hAnsi="仿宋" w:eastAsia="仿宋" w:cs="仿宋"/>
          <w:i w:val="0"/>
          <w:iCs w:val="0"/>
          <w:caps w:val="0"/>
          <w:color w:val="000000"/>
          <w:spacing w:val="0"/>
          <w:kern w:val="0"/>
          <w:sz w:val="24"/>
          <w:szCs w:val="24"/>
          <w:highlight w:val="none"/>
          <w:lang w:val="en-US" w:eastAsia="zh-CN" w:bidi="ar-SA"/>
        </w:rPr>
        <w:t>时间：2022年05月19日至2022年05月2</w:t>
      </w:r>
      <w:r>
        <w:rPr>
          <w:rFonts w:hint="eastAsia" w:ascii="仿宋" w:hAnsi="仿宋" w:eastAsia="仿宋" w:cs="仿宋"/>
          <w:i w:val="0"/>
          <w:iCs w:val="0"/>
          <w:caps w:val="0"/>
          <w:color w:val="000000"/>
          <w:spacing w:val="0"/>
          <w:kern w:val="0"/>
          <w:sz w:val="24"/>
          <w:szCs w:val="24"/>
          <w:highlight w:val="none"/>
          <w:lang w:val="en-US" w:eastAsia="zh-CN" w:bidi="ar-SA"/>
        </w:rPr>
        <w:t>6</w:t>
      </w:r>
      <w:r>
        <w:rPr>
          <w:rFonts w:hint="default" w:ascii="仿宋" w:hAnsi="仿宋" w:eastAsia="仿宋" w:cs="仿宋"/>
          <w:i w:val="0"/>
          <w:iCs w:val="0"/>
          <w:caps w:val="0"/>
          <w:color w:val="000000"/>
          <w:spacing w:val="0"/>
          <w:kern w:val="0"/>
          <w:sz w:val="24"/>
          <w:szCs w:val="24"/>
          <w:highlight w:val="none"/>
          <w:lang w:val="en-US" w:eastAsia="zh-CN" w:bidi="ar-SA"/>
        </w:rPr>
        <w:t>日，每天上午00:00至12:00，下午12:00至23:59（北京时间，法定节假日除外）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地点：新疆政府采购网</w:t>
      </w:r>
      <w:r>
        <w:rPr>
          <w:rFonts w:hint="eastAsia" w:ascii="仿宋" w:hAnsi="仿宋" w:eastAsia="仿宋" w:cs="仿宋"/>
          <w:color w:val="auto"/>
          <w:sz w:val="24"/>
          <w:highlight w:val="none"/>
          <w:lang w:val="en-US" w:eastAsia="zh-CN"/>
        </w:rPr>
        <w:t>下载（http://www.cc</w:t>
      </w:r>
      <w:r>
        <w:rPr>
          <w:rFonts w:hint="eastAsia" w:ascii="仿宋" w:hAnsi="仿宋" w:eastAsia="仿宋" w:cs="仿宋"/>
          <w:sz w:val="24"/>
          <w:highlight w:val="none"/>
          <w:lang w:val="en-US" w:eastAsia="zh-CN"/>
        </w:rPr>
        <w:t>gp-xinjiang.gov.cn/)</w:t>
      </w:r>
    </w:p>
    <w:p>
      <w:pPr>
        <w:pStyle w:val="19"/>
        <w:keepNext w:val="0"/>
        <w:keepLines w:val="0"/>
        <w:widowControl/>
        <w:suppressLineNumbers w:val="0"/>
        <w:spacing w:before="75" w:beforeAutospacing="0" w:after="75" w:afterAutospacing="0" w:line="360" w:lineRule="auto"/>
        <w:ind w:left="0" w:right="0" w:firstLine="240" w:firstLineChars="100"/>
        <w:rPr>
          <w:rFonts w:hint="eastAsia" w:ascii="仿宋" w:hAnsi="仿宋" w:eastAsia="仿宋" w:cs="仿宋"/>
          <w:sz w:val="24"/>
          <w:highlight w:val="none"/>
          <w:lang w:val="en-US" w:eastAsia="zh-CN"/>
        </w:rPr>
      </w:pPr>
      <w:r>
        <w:rPr>
          <w:rFonts w:hint="eastAsia" w:ascii="仿宋" w:hAnsi="仿宋" w:eastAsia="仿宋" w:cs="仿宋"/>
          <w:color w:val="auto"/>
          <w:sz w:val="24"/>
          <w:highlight w:val="none"/>
          <w:lang w:val="en-US" w:eastAsia="zh-CN"/>
        </w:rPr>
        <w:t>方式：</w:t>
      </w:r>
      <w:r>
        <w:rPr>
          <w:rFonts w:hint="eastAsia" w:ascii="仿宋" w:hAnsi="仿宋" w:eastAsia="仿宋" w:cs="仿宋"/>
          <w:i w:val="0"/>
          <w:iCs w:val="0"/>
          <w:caps w:val="0"/>
          <w:color w:val="000000"/>
          <w:spacing w:val="0"/>
          <w:sz w:val="24"/>
          <w:szCs w:val="24"/>
          <w:highlight w:val="none"/>
        </w:rPr>
        <w:t>供应商企业自行登录新疆政府采购网官网（http://www.ccgp-xinjiang.gov.cn/），首页点击“采购公告”，进入项目公告中自行下载</w:t>
      </w:r>
      <w:r>
        <w:rPr>
          <w:rFonts w:hint="eastAsia" w:ascii="仿宋" w:hAnsi="仿宋" w:eastAsia="仿宋" w:cs="仿宋"/>
          <w:i w:val="0"/>
          <w:iCs w:val="0"/>
          <w:caps w:val="0"/>
          <w:color w:val="000000"/>
          <w:spacing w:val="0"/>
          <w:sz w:val="24"/>
          <w:szCs w:val="24"/>
          <w:highlight w:val="none"/>
          <w:lang w:val="en-US" w:eastAsia="zh-CN"/>
        </w:rPr>
        <w:t>磋商</w:t>
      </w:r>
      <w:r>
        <w:rPr>
          <w:rFonts w:hint="eastAsia" w:ascii="仿宋" w:hAnsi="仿宋" w:eastAsia="仿宋" w:cs="仿宋"/>
          <w:i w:val="0"/>
          <w:iCs w:val="0"/>
          <w:caps w:val="0"/>
          <w:color w:val="000000"/>
          <w:spacing w:val="0"/>
          <w:sz w:val="24"/>
          <w:szCs w:val="24"/>
          <w:highlight w:val="none"/>
        </w:rPr>
        <w:t>文件并参与投标。    </w:t>
      </w:r>
      <w:r>
        <w:rPr>
          <w:rFonts w:hint="eastAsia" w:ascii="仿宋" w:hAnsi="仿宋" w:eastAsia="仿宋" w:cs="仿宋"/>
          <w:sz w:val="24"/>
          <w:highlight w:val="none"/>
          <w:lang w:val="en-US" w:eastAsia="zh-CN"/>
        </w:rPr>
        <w:t>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售价（元）：0</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60" w:leftChars="0"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响应文件提交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auto"/>
          <w:sz w:val="24"/>
          <w:highlight w:val="yellow"/>
          <w:lang w:val="en-US" w:eastAsia="zh-CN"/>
        </w:rPr>
      </w:pPr>
      <w:r>
        <w:rPr>
          <w:rFonts w:hint="default" w:ascii="仿宋" w:hAnsi="仿宋" w:eastAsia="仿宋" w:cs="仿宋"/>
          <w:color w:val="auto"/>
          <w:sz w:val="24"/>
          <w:highlight w:val="none"/>
          <w:lang w:val="en-US" w:eastAsia="zh-CN"/>
        </w:rPr>
        <w:t xml:space="preserve">截止时间：2022年05月30日 </w:t>
      </w:r>
      <w:r>
        <w:rPr>
          <w:rFonts w:hint="eastAsia" w:ascii="仿宋" w:hAnsi="仿宋" w:eastAsia="仿宋" w:cs="仿宋"/>
          <w:color w:val="auto"/>
          <w:sz w:val="24"/>
          <w:highlight w:val="none"/>
          <w:lang w:val="en-US" w:eastAsia="zh-CN"/>
        </w:rPr>
        <w:t>12</w:t>
      </w: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00</w:t>
      </w:r>
      <w:r>
        <w:rPr>
          <w:rFonts w:hint="default" w:ascii="仿宋" w:hAnsi="仿宋" w:eastAsia="仿宋" w:cs="仿宋"/>
          <w:color w:val="auto"/>
          <w:sz w:val="24"/>
          <w:highlight w:val="none"/>
          <w:lang w:val="en-US" w:eastAsia="zh-CN"/>
        </w:rPr>
        <w:t>（北京时间）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地点：民丰县行政服务和公共资源交易中心 （民丰县买迪尼也提东路7号）民丰县青少年活动中心二楼</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60" w:leftChars="0"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响应文件开启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开启时间：</w:t>
      </w:r>
      <w:r>
        <w:rPr>
          <w:rFonts w:hint="default" w:ascii="仿宋" w:hAnsi="仿宋" w:eastAsia="仿宋" w:cs="仿宋"/>
          <w:color w:val="auto"/>
          <w:sz w:val="24"/>
          <w:highlight w:val="none"/>
          <w:lang w:val="en-US" w:eastAsia="zh-CN"/>
        </w:rPr>
        <w:t xml:space="preserve">2022年05月30日 </w:t>
      </w:r>
      <w:r>
        <w:rPr>
          <w:rFonts w:hint="eastAsia" w:ascii="仿宋" w:hAnsi="仿宋" w:eastAsia="仿宋" w:cs="仿宋"/>
          <w:color w:val="auto"/>
          <w:sz w:val="24"/>
          <w:highlight w:val="none"/>
          <w:lang w:val="en-US" w:eastAsia="zh-CN"/>
        </w:rPr>
        <w:t>12</w:t>
      </w: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00</w:t>
      </w:r>
      <w:r>
        <w:rPr>
          <w:rFonts w:hint="default" w:ascii="仿宋" w:hAnsi="仿宋" w:eastAsia="仿宋" w:cs="仿宋"/>
          <w:color w:val="auto"/>
          <w:sz w:val="24"/>
          <w:highlight w:val="none"/>
          <w:lang w:val="en-US" w:eastAsia="zh-CN"/>
        </w:rPr>
        <w:t>（北京时间）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地点：民丰县行政服务和公共资源交易中心 （民丰县买迪尼也提东路7号）民丰县青少年活动中心二楼</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60" w:leftChars="0" w:firstLine="482" w:firstLineChars="200"/>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公告期限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firstLine="480" w:firstLineChars="200"/>
        <w:textAlignment w:val="auto"/>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自本公告发布之日起</w:t>
      </w:r>
      <w:r>
        <w:rPr>
          <w:rFonts w:hint="eastAsia" w:ascii="仿宋" w:hAnsi="仿宋" w:eastAsia="仿宋" w:cs="仿宋"/>
          <w:sz w:val="24"/>
          <w:highlight w:val="none"/>
          <w:lang w:val="en-US" w:eastAsia="zh-CN"/>
        </w:rPr>
        <w:t>5</w:t>
      </w:r>
      <w:r>
        <w:rPr>
          <w:rFonts w:hint="default" w:ascii="仿宋" w:hAnsi="仿宋" w:eastAsia="仿宋" w:cs="仿宋"/>
          <w:sz w:val="24"/>
          <w:highlight w:val="none"/>
          <w:lang w:val="en-US" w:eastAsia="zh-CN"/>
        </w:rPr>
        <w:t>个工作日。</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七、其他补充事宜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无</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八、凡对本次招标提出询问，请按以下方式联系</w:t>
      </w:r>
    </w:p>
    <w:p>
      <w:pPr>
        <w:pStyle w:val="19"/>
        <w:keepNext w:val="0"/>
        <w:keepLines w:val="0"/>
        <w:widowControl/>
        <w:suppressLineNumbers w:val="0"/>
        <w:spacing w:before="75" w:beforeAutospacing="0" w:after="75" w:afterAutospacing="0" w:line="240" w:lineRule="auto"/>
        <w:ind w:right="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招标单位：民丰县尼雅乡人民政府</w:t>
      </w:r>
    </w:p>
    <w:p>
      <w:pPr>
        <w:pStyle w:val="19"/>
        <w:keepNext w:val="0"/>
        <w:keepLines w:val="0"/>
        <w:widowControl/>
        <w:suppressLineNumbers w:val="0"/>
        <w:spacing w:before="75" w:beforeAutospacing="0" w:after="75" w:afterAutospacing="0" w:line="240" w:lineRule="auto"/>
        <w:ind w:right="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联 系 人：李国辉                   联系电话：0903-6751969</w:t>
      </w:r>
    </w:p>
    <w:p>
      <w:pPr>
        <w:pStyle w:val="19"/>
        <w:keepNext w:val="0"/>
        <w:keepLines w:val="0"/>
        <w:widowControl/>
        <w:suppressLineNumbers w:val="0"/>
        <w:spacing w:before="75" w:beforeAutospacing="0" w:after="75" w:afterAutospacing="0" w:line="240" w:lineRule="auto"/>
        <w:ind w:right="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招标代理机构：鼎建项目管理有限公司</w:t>
      </w:r>
    </w:p>
    <w:p>
      <w:pPr>
        <w:pStyle w:val="19"/>
        <w:keepNext w:val="0"/>
        <w:keepLines w:val="0"/>
        <w:widowControl/>
        <w:suppressLineNumbers w:val="0"/>
        <w:spacing w:before="75" w:beforeAutospacing="0" w:after="75" w:afterAutospacing="0" w:line="240" w:lineRule="auto"/>
        <w:ind w:right="0"/>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联 系 人：宋丽                     联系电话：0903-2022612</w:t>
      </w:r>
    </w:p>
    <w:p>
      <w:pPr>
        <w:pStyle w:val="19"/>
        <w:keepNext w:val="0"/>
        <w:keepLines w:val="0"/>
        <w:widowControl/>
        <w:suppressLineNumbers w:val="0"/>
        <w:spacing w:before="75" w:beforeAutospacing="0" w:after="75" w:afterAutospacing="0" w:line="240" w:lineRule="auto"/>
        <w:ind w:right="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监督单位：民丰县政府采购管理办公室</w:t>
      </w:r>
    </w:p>
    <w:p>
      <w:pPr>
        <w:pStyle w:val="19"/>
        <w:keepNext w:val="0"/>
        <w:keepLines w:val="0"/>
        <w:widowControl/>
        <w:suppressLineNumbers w:val="0"/>
        <w:spacing w:before="75" w:beforeAutospacing="0" w:after="75" w:afterAutospacing="0" w:line="240" w:lineRule="auto"/>
        <w:ind w:right="0"/>
        <w:rPr>
          <w:rFonts w:hint="eastAsia" w:ascii="宋体" w:hAnsi="宋体" w:eastAsia="宋体" w:cs="宋体"/>
          <w:i w:val="0"/>
          <w:iCs w:val="0"/>
          <w:caps w:val="0"/>
          <w:color w:val="000000"/>
          <w:spacing w:val="0"/>
          <w:sz w:val="24"/>
          <w:szCs w:val="24"/>
          <w:lang w:val="en-US" w:eastAsia="zh-CN"/>
        </w:rPr>
      </w:pPr>
      <w:r>
        <w:rPr>
          <w:rFonts w:hint="eastAsia" w:ascii="仿宋" w:hAnsi="仿宋" w:eastAsia="仿宋" w:cs="仿宋"/>
          <w:kern w:val="2"/>
          <w:sz w:val="24"/>
          <w:szCs w:val="24"/>
          <w:highlight w:val="none"/>
          <w:lang w:val="en-US" w:eastAsia="zh-CN" w:bidi="ar-SA"/>
        </w:rPr>
        <w:t>联 系 人：张涛                     联系电话：0903-6750784</w:t>
      </w:r>
      <w:r>
        <w:rPr>
          <w:rFonts w:hint="eastAsia" w:ascii="宋体" w:hAnsi="宋体" w:eastAsia="宋体" w:cs="宋体"/>
          <w:i w:val="0"/>
          <w:iCs w:val="0"/>
          <w:caps w:val="0"/>
          <w:color w:val="000000"/>
          <w:spacing w:val="0"/>
          <w:sz w:val="24"/>
          <w:szCs w:val="24"/>
          <w:lang w:val="en-US" w:eastAsia="zh-CN"/>
        </w:rPr>
        <w:t xml:space="preserve"> </w:t>
      </w:r>
    </w:p>
    <w:p>
      <w:pPr>
        <w:rPr>
          <w:rFonts w:hint="eastAsia" w:ascii="宋体" w:hAnsi="宋体" w:eastAsia="宋体" w:cs="宋体"/>
          <w:b/>
          <w:bCs/>
          <w:sz w:val="28"/>
          <w:szCs w:val="28"/>
          <w:highlight w:val="none"/>
        </w:rPr>
      </w:pPr>
    </w:p>
    <w:p>
      <w:pPr>
        <w:pStyle w:val="19"/>
        <w:keepNext w:val="0"/>
        <w:keepLines w:val="0"/>
        <w:widowControl/>
        <w:suppressLineNumbers w:val="0"/>
        <w:spacing w:before="75" w:beforeAutospacing="0" w:after="75" w:afterAutospacing="0" w:line="240" w:lineRule="auto"/>
        <w:ind w:right="0"/>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lang w:eastAsia="zh-CN"/>
        </w:rPr>
        <w:t xml:space="preserve">民丰县尼雅乡人民政府  </w:t>
      </w:r>
      <w:r>
        <w:rPr>
          <w:rFonts w:hint="eastAsia" w:ascii="宋体" w:hAnsi="宋体"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lang w:eastAsia="zh-CN"/>
        </w:rPr>
        <w:t>鼎建项目管理有限公司</w:t>
      </w:r>
    </w:p>
    <w:p>
      <w:pPr>
        <w:pStyle w:val="19"/>
        <w:keepNext w:val="0"/>
        <w:keepLines w:val="0"/>
        <w:widowControl/>
        <w:suppressLineNumbers w:val="0"/>
        <w:spacing w:before="75" w:beforeAutospacing="0" w:after="75" w:afterAutospacing="0" w:line="240" w:lineRule="auto"/>
        <w:ind w:right="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  2022年05月18日                       2022年05月18日</w:t>
      </w:r>
    </w:p>
    <w:p>
      <w:pPr>
        <w:pStyle w:val="7"/>
        <w:ind w:left="0" w:leftChars="0" w:firstLine="0" w:firstLineChars="0"/>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rPr>
      </w:pPr>
    </w:p>
    <w:p>
      <w:pPr>
        <w:pStyle w:val="17"/>
        <w:rPr>
          <w:rFonts w:hint="eastAsia"/>
        </w:rPr>
      </w:pPr>
    </w:p>
    <w:p>
      <w:pPr>
        <w:pStyle w:val="16"/>
        <w:tabs>
          <w:tab w:val="right" w:leader="dot" w:pos="9070"/>
        </w:tabs>
        <w:ind w:firstLine="723" w:firstLineChars="200"/>
        <w:jc w:val="center"/>
        <w:outlineLvl w:val="0"/>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rPr>
        <w:t xml:space="preserve">第二部分  </w:t>
      </w:r>
      <w:r>
        <w:rPr>
          <w:rFonts w:hint="eastAsia" w:ascii="宋体" w:hAnsi="宋体" w:eastAsia="宋体" w:cs="宋体"/>
          <w:b/>
          <w:bCs/>
          <w:sz w:val="36"/>
          <w:szCs w:val="36"/>
          <w:highlight w:val="none"/>
          <w:lang w:val="en-US" w:eastAsia="zh-CN"/>
        </w:rPr>
        <w:t>供</w:t>
      </w:r>
      <w:r>
        <w:rPr>
          <w:rFonts w:hint="eastAsia" w:ascii="宋体" w:hAnsi="宋体" w:eastAsia="宋体" w:cs="宋体"/>
          <w:b/>
          <w:bCs/>
          <w:sz w:val="36"/>
          <w:szCs w:val="36"/>
          <w:highlight w:val="none"/>
        </w:rPr>
        <w:t>应商须知</w:t>
      </w:r>
      <w:bookmarkEnd w:id="2"/>
      <w:bookmarkEnd w:id="3"/>
      <w:bookmarkEnd w:id="4"/>
      <w:r>
        <w:rPr>
          <w:rFonts w:hint="eastAsia" w:ascii="宋体" w:hAnsi="宋体" w:eastAsia="宋体" w:cs="宋体"/>
          <w:b/>
          <w:bCs/>
          <w:sz w:val="36"/>
          <w:szCs w:val="36"/>
          <w:highlight w:val="none"/>
          <w:lang w:val="en-US" w:eastAsia="zh-CN"/>
        </w:rPr>
        <w:t>前附表</w:t>
      </w:r>
    </w:p>
    <w:tbl>
      <w:tblPr>
        <w:tblStyle w:val="22"/>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2025"/>
        <w:gridCol w:w="7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blHeader/>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highlight w:val="none"/>
              </w:rPr>
            </w:pPr>
            <w:bookmarkStart w:id="17" w:name="_Toc20870"/>
            <w:bookmarkStart w:id="18" w:name="_Toc21138"/>
            <w:r>
              <w:rPr>
                <w:rFonts w:hint="eastAsia" w:ascii="宋体" w:hAnsi="宋体" w:eastAsia="宋体" w:cs="宋体"/>
                <w:sz w:val="24"/>
                <w:highlight w:val="none"/>
              </w:rPr>
              <w:t>项号</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项目</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 SEQ 前附表 \* MERGEFORMAT </w:instrText>
            </w:r>
            <w:r>
              <w:rPr>
                <w:rFonts w:hint="eastAsia" w:ascii="宋体" w:hAnsi="宋体" w:eastAsia="宋体" w:cs="宋体"/>
                <w:sz w:val="24"/>
                <w:highlight w:val="none"/>
              </w:rPr>
              <w:fldChar w:fldCharType="separate"/>
            </w:r>
            <w:r>
              <w:rPr>
                <w:rFonts w:hint="eastAsia" w:ascii="宋体" w:hAnsi="宋体" w:eastAsia="宋体" w:cs="宋体"/>
                <w:sz w:val="24"/>
                <w:highlight w:val="none"/>
              </w:rPr>
              <w:t>1</w:t>
            </w:r>
            <w:r>
              <w:rPr>
                <w:rFonts w:hint="eastAsia" w:ascii="宋体" w:hAnsi="宋体" w:eastAsia="宋体" w:cs="宋体"/>
                <w:sz w:val="24"/>
                <w:highlight w:val="none"/>
              </w:rPr>
              <w:fldChar w:fldCharType="end"/>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项目名称及编号</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项目名称：民丰县尼雅乡光明村乡村振兴示范村建设项目（公共设施采购）-（包二）</w:t>
            </w:r>
          </w:p>
          <w:p>
            <w:pPr>
              <w:spacing w:line="360" w:lineRule="auto"/>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项目编号：XJDJZFCG-MFX-2022-006号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2</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Cs/>
                <w:kern w:val="0"/>
                <w:sz w:val="24"/>
                <w:highlight w:val="none"/>
                <w:lang w:eastAsia="zh-CN"/>
              </w:rPr>
            </w:pPr>
            <w:r>
              <w:rPr>
                <w:rFonts w:hint="eastAsia" w:ascii="宋体" w:hAnsi="宋体" w:eastAsia="宋体" w:cs="宋体"/>
                <w:bCs/>
                <w:kern w:val="0"/>
                <w:sz w:val="24"/>
                <w:highlight w:val="none"/>
              </w:rPr>
              <w:t>采购人</w:t>
            </w:r>
            <w:r>
              <w:rPr>
                <w:rFonts w:hint="eastAsia" w:ascii="宋体" w:hAnsi="宋体" w:eastAsia="宋体" w:cs="宋体"/>
                <w:bCs/>
                <w:kern w:val="0"/>
                <w:sz w:val="24"/>
                <w:highlight w:val="none"/>
                <w:lang w:eastAsia="zh-CN"/>
              </w:rPr>
              <w:t>及采购代理机构</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采购人名称：民丰县尼雅乡人民政府</w:t>
            </w:r>
          </w:p>
          <w:p>
            <w:pPr>
              <w:spacing w:line="360" w:lineRule="auto"/>
              <w:rPr>
                <w:rFonts w:hint="eastAsia" w:ascii="宋体" w:hAnsi="宋体" w:eastAsia="宋体" w:cs="宋体"/>
                <w:sz w:val="24"/>
                <w:highlight w:val="none"/>
                <w:lang w:val="en-US" w:eastAsia="zh-CN"/>
              </w:rPr>
            </w:pPr>
            <w:r>
              <w:rPr>
                <w:rFonts w:hint="default" w:ascii="宋体" w:hAnsi="宋体" w:eastAsia="宋体" w:cs="宋体"/>
                <w:sz w:val="24"/>
                <w:highlight w:val="none"/>
                <w:lang w:val="en-US" w:eastAsia="zh-CN"/>
              </w:rPr>
              <w:t>地址：</w:t>
            </w:r>
            <w:r>
              <w:rPr>
                <w:rFonts w:hint="eastAsia" w:ascii="宋体" w:hAnsi="宋体" w:eastAsia="宋体" w:cs="宋体"/>
                <w:sz w:val="24"/>
                <w:highlight w:val="none"/>
                <w:lang w:val="en-US" w:eastAsia="zh-CN"/>
              </w:rPr>
              <w:t>民丰县尼雅乡人民政府</w:t>
            </w:r>
          </w:p>
          <w:p>
            <w:pPr>
              <w:spacing w:line="360" w:lineRule="auto"/>
              <w:rPr>
                <w:rFonts w:hint="default" w:ascii="宋体" w:hAnsi="宋体" w:eastAsia="宋体" w:cs="宋体"/>
                <w:sz w:val="24"/>
                <w:highlight w:val="none"/>
                <w:lang w:val="en-US" w:eastAsia="zh-CN"/>
              </w:rPr>
            </w:pPr>
            <w:r>
              <w:rPr>
                <w:rFonts w:hint="default" w:ascii="宋体" w:hAnsi="宋体" w:eastAsia="宋体" w:cs="宋体"/>
                <w:sz w:val="24"/>
                <w:highlight w:val="none"/>
                <w:lang w:val="en-US" w:eastAsia="zh-CN"/>
              </w:rPr>
              <w:t>联系人：</w:t>
            </w:r>
            <w:r>
              <w:rPr>
                <w:rFonts w:hint="eastAsia" w:ascii="宋体" w:hAnsi="宋体" w:eastAsia="宋体" w:cs="宋体"/>
                <w:sz w:val="24"/>
                <w:highlight w:val="none"/>
                <w:lang w:val="en-US" w:eastAsia="zh-CN"/>
              </w:rPr>
              <w:t>李国辉</w:t>
            </w:r>
          </w:p>
          <w:p>
            <w:pPr>
              <w:spacing w:line="360" w:lineRule="auto"/>
              <w:rPr>
                <w:rFonts w:hint="default" w:ascii="宋体" w:hAnsi="宋体" w:eastAsia="宋体" w:cs="宋体"/>
                <w:sz w:val="24"/>
                <w:highlight w:val="none"/>
                <w:lang w:val="en-US" w:eastAsia="zh-CN"/>
              </w:rPr>
            </w:pPr>
            <w:r>
              <w:rPr>
                <w:rFonts w:hint="default" w:ascii="宋体" w:hAnsi="宋体" w:eastAsia="宋体" w:cs="宋体"/>
                <w:sz w:val="24"/>
                <w:highlight w:val="none"/>
                <w:lang w:val="en-US" w:eastAsia="zh-CN"/>
              </w:rPr>
              <w:t>联系电话：</w:t>
            </w:r>
            <w:r>
              <w:rPr>
                <w:rFonts w:hint="eastAsia" w:ascii="宋体" w:hAnsi="宋体" w:eastAsia="宋体" w:cs="宋体"/>
                <w:sz w:val="24"/>
                <w:highlight w:val="none"/>
                <w:lang w:val="en-US" w:eastAsia="zh-CN"/>
              </w:rPr>
              <w:t>17389479652</w:t>
            </w:r>
          </w:p>
          <w:p>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代 理 机构：鼎建项目管理有限公司</w:t>
            </w:r>
          </w:p>
          <w:p>
            <w:pPr>
              <w:spacing w:line="360" w:lineRule="auto"/>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联 系 人 ：宋丽</w:t>
            </w:r>
          </w:p>
          <w:p>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联系电话：18197899000</w:t>
            </w:r>
          </w:p>
          <w:p>
            <w:pPr>
              <w:spacing w:line="360" w:lineRule="auto"/>
              <w:rPr>
                <w:rFonts w:hint="default"/>
                <w:highlight w:val="none"/>
                <w:lang w:val="en-US" w:eastAsia="zh-CN"/>
              </w:rPr>
            </w:pPr>
            <w:r>
              <w:rPr>
                <w:rFonts w:hint="eastAsia" w:ascii="宋体" w:hAnsi="宋体" w:eastAsia="宋体" w:cs="宋体"/>
                <w:sz w:val="24"/>
                <w:highlight w:val="none"/>
                <w:lang w:val="en-US" w:eastAsia="zh-CN"/>
              </w:rPr>
              <w:t xml:space="preserve">联系地址：和田市安泰广场写字楼17楼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3</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资金来源</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lang w:val="en-US" w:eastAsia="zh-CN"/>
              </w:rPr>
            </w:pPr>
            <w:r>
              <w:rPr>
                <w:rFonts w:hint="eastAsia" w:ascii="宋体" w:hAnsi="宋体" w:cs="宋体"/>
                <w:sz w:val="24"/>
                <w:lang w:val="en-US" w:eastAsia="zh-CN"/>
              </w:rPr>
              <w:t>乡村振兴示范创建专项资金480万元、整合资金22万元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4</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cs="宋体"/>
                <w:sz w:val="24"/>
                <w:highlight w:val="none"/>
                <w:lang w:val="en-US" w:eastAsia="zh-CN"/>
              </w:rPr>
            </w:pPr>
            <w:r>
              <w:rPr>
                <w:rFonts w:hint="eastAsia" w:ascii="宋体" w:hAnsi="宋体" w:eastAsia="宋体" w:cs="宋体"/>
                <w:color w:val="000000"/>
                <w:sz w:val="24"/>
                <w:highlight w:val="none"/>
              </w:rPr>
              <w:t>交货地点</w:t>
            </w:r>
            <w:r>
              <w:rPr>
                <w:rFonts w:hint="eastAsia" w:ascii="宋体" w:hAnsi="宋体" w:eastAsia="宋体" w:cs="宋体"/>
                <w:color w:val="000000"/>
                <w:sz w:val="24"/>
                <w:highlight w:val="none"/>
                <w:lang w:val="en-US" w:eastAsia="zh-CN"/>
              </w:rPr>
              <w:t>、</w:t>
            </w:r>
            <w:r>
              <w:rPr>
                <w:rFonts w:hint="eastAsia" w:ascii="宋体" w:hAnsi="宋体" w:cs="宋体"/>
                <w:color w:val="000000"/>
                <w:sz w:val="24"/>
                <w:highlight w:val="none"/>
                <w:lang w:val="en-US" w:eastAsia="zh-CN"/>
              </w:rPr>
              <w:t>供货期、质量要求、质保期</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 xml:space="preserve">供货期：50日历天 </w:t>
            </w:r>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地点：民丰县尼雅乡</w:t>
            </w:r>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质量要求：符合国家验收标准</w:t>
            </w:r>
          </w:p>
          <w:p>
            <w:pPr>
              <w:spacing w:line="360" w:lineRule="auto"/>
              <w:rPr>
                <w:rFonts w:hint="default"/>
                <w:lang w:val="en-US" w:eastAsia="zh-CN"/>
              </w:rPr>
            </w:pPr>
            <w:r>
              <w:rPr>
                <w:rFonts w:hint="eastAsia" w:ascii="宋体" w:hAnsi="宋体" w:eastAsia="宋体" w:cs="宋体"/>
                <w:sz w:val="24"/>
                <w:lang w:val="en-US" w:eastAsia="zh-CN"/>
              </w:rPr>
              <w:t>质保期：两年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cs="宋体"/>
                <w:sz w:val="24"/>
                <w:highlight w:val="none"/>
                <w:lang w:val="en-US"/>
              </w:rPr>
            </w:pPr>
            <w:r>
              <w:rPr>
                <w:rFonts w:hint="eastAsia" w:ascii="宋体" w:hAnsi="宋体" w:eastAsia="宋体" w:cs="宋体"/>
                <w:sz w:val="24"/>
                <w:highlight w:val="none"/>
                <w:lang w:val="en-US" w:eastAsia="zh-CN"/>
              </w:rPr>
              <w:t>最高限价</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1372820</w:t>
            </w:r>
            <w:r>
              <w:rPr>
                <w:rFonts w:hint="default" w:ascii="仿宋" w:hAnsi="仿宋" w:eastAsia="仿宋" w:cs="仿宋"/>
                <w:b/>
                <w:bCs/>
                <w:sz w:val="24"/>
                <w:highlight w:val="none"/>
                <w:lang w:val="en-US" w:eastAsia="zh-CN"/>
              </w:rPr>
              <w:t>元</w:t>
            </w:r>
          </w:p>
          <w:p>
            <w:pPr>
              <w:spacing w:line="360" w:lineRule="auto"/>
              <w:rPr>
                <w:rFonts w:hint="eastAsia" w:ascii="宋体" w:hAnsi="宋体" w:eastAsia="宋体" w:cs="宋体"/>
                <w:color w:val="auto"/>
                <w:sz w:val="24"/>
                <w:highlight w:val="none"/>
                <w:lang w:val="en-US"/>
              </w:rPr>
            </w:pPr>
            <w:r>
              <w:rPr>
                <w:rFonts w:hint="eastAsia" w:ascii="宋体" w:hAnsi="宋体" w:eastAsia="宋体" w:cs="宋体"/>
                <w:bCs/>
                <w:color w:val="auto"/>
                <w:kern w:val="0"/>
                <w:sz w:val="24"/>
                <w:highlight w:val="none"/>
                <w:lang w:val="en-US" w:eastAsia="zh-CN"/>
              </w:rPr>
              <w:t>【供应商的报价高于最高限价视为无效报价（即作否决投标处理）】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采购方式</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lang w:val="en-US" w:eastAsia="zh-CN"/>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lang w:eastAsia="zh-CN"/>
              </w:rPr>
              <w:t>供应商</w:t>
            </w:r>
            <w:r>
              <w:rPr>
                <w:rFonts w:hint="eastAsia" w:ascii="宋体" w:hAnsi="宋体" w:eastAsia="宋体" w:cs="宋体"/>
                <w:sz w:val="24"/>
                <w:highlight w:val="none"/>
              </w:rPr>
              <w:t>资格</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1.满足《中华人民共和国政府采购法》第二十二条规定；</w:t>
            </w:r>
          </w:p>
          <w:p>
            <w:pPr>
              <w:spacing w:line="360" w:lineRule="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2.落实政府采购政策需满足的资格要求：（1）根据《政府采购促进中小企业发展管理办法》（财库﹝2020﹞46 号）。</w:t>
            </w:r>
          </w:p>
          <w:p>
            <w:pPr>
              <w:spacing w:line="360" w:lineRule="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2）投标人及其所投产品的制造商均属于《工业和信息化部、国家统计局、国家发展和改革委员会、财政部关于印发中小企业划型标准规定的通知》(工信部联企业[2011]300号)中规定的小型、微型企业标准的，按招标文件格式提供《中小企业声明函》等政府采购政策。</w:t>
            </w:r>
          </w:p>
          <w:p>
            <w:pPr>
              <w:spacing w:line="360" w:lineRule="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（3）《财政部发展改革委生态环境部市场监管总局关于调整优化节能产品、环境标志产品政府采购执行机制的通知》（财库〔2019〕9号）</w:t>
            </w:r>
          </w:p>
          <w:p>
            <w:pPr>
              <w:spacing w:line="360" w:lineRule="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3.本项目的特定资格要求：</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bCs/>
                <w:color w:val="auto"/>
                <w:kern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rPr>
              <w:t>（</w:t>
            </w:r>
            <w:r>
              <w:rPr>
                <w:rFonts w:hint="eastAsia" w:ascii="宋体" w:hAnsi="宋体" w:eastAsia="宋体" w:cs="宋体"/>
                <w:bCs/>
                <w:color w:val="auto"/>
                <w:kern w:val="0"/>
                <w:sz w:val="24"/>
                <w:szCs w:val="24"/>
                <w:highlight w:val="none"/>
                <w:lang w:val="en-US" w:eastAsia="zh-CN" w:bidi="ar-SA"/>
              </w:rPr>
              <w:t>1）具有经年审合格的三证合一营业执照；</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2）法定代表人投标需携带法定代表人证明书及法定代表人身份证（原件），委托代理人投标需携带法定代表人授权委托书及委托代理人身份证（原件）；被委托人必须是投标单位正式员工，需提供社保部门出具的投标单位的缴纳社保证明（提供被委托人及法人近六个月个人明细表，缴费凭证）。</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（3）具有良好的商业信誉和健全的财务会计制度（需提供会计事务所出具2021年度财务审计报告，2021年10月以后成立的公司可不提供但需提供银行出具的近三个月的资信证明）。</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（4）提供税务机关出具近三个月的完税证明，以填发日期为准。（新成立公司按实际发生提供）。</w:t>
            </w:r>
          </w:p>
          <w:p>
            <w:pPr>
              <w:pStyle w:val="29"/>
              <w:numPr>
                <w:ilvl w:val="0"/>
                <w:numId w:val="0"/>
              </w:numPr>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5）凡拟参加本次采购项目的投标企业如在“信用中国”网站(www.creditchina.gov.cn)被列入失信被执行人、重大税收违法案件当事人名单、政府采购严重违法失信行为记录名单的、中国政府釆购网(www.ccgp.gov.cn)政府采购严重违法失信行为记录名单的、国家企业信用信息公示系统(www.gsxt.gov.cn)经营异常名录的（尚在处罚期内的），将拒绝其参与本次政府釆购活动；（开标现场查验）</w:t>
            </w:r>
          </w:p>
          <w:p>
            <w:pPr>
              <w:spacing w:line="360" w:lineRule="auto"/>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（6）参加政府采购活动前三年内，在经营活动中没有重大违法记录，无失信行为，（投标人须出具企业及法定代表人无重大违法记录承诺书，无失信行为承诺书）；</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（7）企业负责人为同一人或者存在直接控股、管理关系的不同磋商响应人，不得参加同一合同项下的政府采购活动。否则，皆取消投标资格。</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szCs w:val="24"/>
                <w:highlight w:val="none"/>
                <w:lang w:val="en-US" w:eastAsia="zh-CN" w:bidi="ar-SA"/>
              </w:rPr>
              <w:t>（8）投标保证金回单（加盖公章）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10</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磋商有效期</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lang w:val="en-US" w:eastAsia="zh-CN"/>
              </w:rPr>
              <w:t>90</w:t>
            </w:r>
            <w:r>
              <w:rPr>
                <w:rFonts w:hint="eastAsia" w:ascii="宋体" w:hAnsi="宋体" w:eastAsia="宋体" w:cs="宋体"/>
                <w:b w:val="0"/>
                <w:bCs w:val="0"/>
                <w:color w:val="auto"/>
                <w:sz w:val="24"/>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11</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评标方法</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color w:val="auto"/>
                <w:sz w:val="24"/>
                <w:highlight w:val="none"/>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12</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资格审查</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13</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是否接受联合体投标</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14</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磋商时间</w:t>
            </w:r>
            <w:r>
              <w:rPr>
                <w:rFonts w:hint="eastAsia" w:ascii="宋体" w:hAnsi="宋体" w:eastAsia="宋体" w:cs="宋体"/>
                <w:color w:val="auto"/>
                <w:sz w:val="24"/>
                <w:highlight w:val="none"/>
              </w:rPr>
              <w:t>及</w:t>
            </w:r>
            <w:r>
              <w:rPr>
                <w:rFonts w:hint="eastAsia" w:ascii="宋体" w:hAnsi="宋体" w:eastAsia="宋体" w:cs="宋体"/>
                <w:color w:val="auto"/>
                <w:sz w:val="24"/>
                <w:highlight w:val="none"/>
                <w:lang w:eastAsia="zh-CN"/>
              </w:rPr>
              <w:t>响应文件</w:t>
            </w:r>
            <w:r>
              <w:rPr>
                <w:rFonts w:hint="eastAsia" w:ascii="宋体" w:hAnsi="宋体" w:eastAsia="宋体" w:cs="宋体"/>
                <w:color w:val="auto"/>
                <w:sz w:val="24"/>
                <w:highlight w:val="none"/>
              </w:rPr>
              <w:t>递交截止时间</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2022年05月30日 </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lang w:val="en-US" w:eastAsia="zh-CN"/>
              </w:rPr>
              <w:t>:00（北京时间）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15</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递交及开标地点</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民丰县行政服务和公共资源交易中心（民丰县买迪尼也提东路7号）民丰县青少年活动中心二楼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16</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lang w:val="en-US" w:eastAsia="zh-CN"/>
              </w:rPr>
              <w:t>磋商</w:t>
            </w:r>
            <w:r>
              <w:rPr>
                <w:rFonts w:hint="eastAsia" w:ascii="宋体" w:hAnsi="宋体" w:eastAsia="宋体" w:cs="宋体"/>
                <w:sz w:val="24"/>
                <w:highlight w:val="none"/>
              </w:rPr>
              <w:t>保证金</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both"/>
              <w:rPr>
                <w:rFonts w:hint="eastAsia" w:ascii="宋体" w:hAnsi="宋体" w:eastAsia="宋体" w:cs="宋体"/>
                <w:sz w:val="24"/>
                <w:highlight w:val="none"/>
                <w:lang w:val="en-US" w:eastAsia="zh-CN"/>
              </w:rPr>
            </w:pPr>
            <w:r>
              <w:rPr>
                <w:rFonts w:hint="eastAsia" w:ascii="宋体" w:hAnsi="宋体" w:eastAsia="宋体" w:cs="宋体"/>
                <w:sz w:val="24"/>
                <w:highlight w:val="none"/>
              </w:rPr>
              <w:t>保证金</w:t>
            </w:r>
            <w:r>
              <w:rPr>
                <w:rFonts w:hint="eastAsia" w:ascii="宋体" w:hAnsi="宋体" w:eastAsia="宋体" w:cs="宋体"/>
                <w:color w:val="auto"/>
                <w:sz w:val="24"/>
                <w:highlight w:val="none"/>
                <w:lang w:val="en-US" w:eastAsia="zh-CN"/>
              </w:rPr>
              <w:t>：13000</w:t>
            </w:r>
            <w:r>
              <w:rPr>
                <w:rFonts w:hint="default" w:ascii="宋体" w:hAnsi="宋体" w:eastAsia="宋体" w:cs="宋体"/>
                <w:color w:val="auto"/>
                <w:sz w:val="24"/>
                <w:highlight w:val="none"/>
                <w:lang w:val="en-US" w:eastAsia="zh-CN"/>
              </w:rPr>
              <w:t>元（</w:t>
            </w:r>
            <w:r>
              <w:rPr>
                <w:rFonts w:hint="eastAsia" w:ascii="宋体" w:hAnsi="宋体" w:eastAsia="宋体" w:cs="宋体"/>
                <w:color w:val="auto"/>
                <w:sz w:val="24"/>
                <w:highlight w:val="none"/>
                <w:lang w:val="en-US" w:eastAsia="zh-CN"/>
              </w:rPr>
              <w:t>壹万叁仟</w:t>
            </w:r>
            <w:r>
              <w:rPr>
                <w:rFonts w:hint="default" w:ascii="宋体" w:hAnsi="宋体" w:eastAsia="宋体" w:cs="宋体"/>
                <w:color w:val="auto"/>
                <w:sz w:val="24"/>
                <w:highlight w:val="none"/>
                <w:lang w:val="en-US" w:eastAsia="zh-CN"/>
              </w:rPr>
              <w:t>元整）</w:t>
            </w:r>
          </w:p>
          <w:p>
            <w:pPr>
              <w:spacing w:line="240" w:lineRule="auto"/>
              <w:jc w:val="both"/>
              <w:rPr>
                <w:rFonts w:hint="eastAsia" w:ascii="宋体" w:hAnsi="宋体" w:eastAsia="宋体" w:cs="宋体"/>
                <w:sz w:val="24"/>
                <w:highlight w:val="none"/>
              </w:rPr>
            </w:pPr>
            <w:r>
              <w:rPr>
                <w:rFonts w:hint="eastAsia" w:ascii="宋体" w:hAnsi="宋体" w:eastAsia="宋体" w:cs="宋体"/>
                <w:sz w:val="24"/>
                <w:highlight w:val="none"/>
              </w:rPr>
              <w:t>保证金的形式：</w:t>
            </w:r>
            <w:r>
              <w:rPr>
                <w:rFonts w:hint="eastAsia" w:ascii="宋体" w:hAnsi="宋体" w:eastAsia="宋体" w:cs="宋体"/>
                <w:sz w:val="24"/>
                <w:highlight w:val="none"/>
                <w:lang w:val="en-US" w:eastAsia="zh-CN"/>
              </w:rPr>
              <w:t>银行电汇、银行转账</w:t>
            </w:r>
            <w:r>
              <w:rPr>
                <w:rFonts w:hint="eastAsia" w:ascii="宋体" w:hAnsi="宋体" w:eastAsia="宋体" w:cs="宋体"/>
                <w:sz w:val="24"/>
                <w:highlight w:val="none"/>
              </w:rPr>
              <w:t>（须从其基本账户转出）</w:t>
            </w:r>
          </w:p>
          <w:p>
            <w:pPr>
              <w:spacing w:line="240" w:lineRule="auto"/>
              <w:jc w:val="both"/>
              <w:rPr>
                <w:rFonts w:hint="eastAsia" w:ascii="宋体" w:hAnsi="宋体" w:eastAsia="宋体" w:cs="宋体"/>
                <w:sz w:val="24"/>
                <w:highlight w:val="none"/>
                <w:lang w:eastAsia="zh-CN"/>
              </w:rPr>
            </w:pPr>
            <w:r>
              <w:rPr>
                <w:rFonts w:hint="eastAsia" w:ascii="宋体" w:hAnsi="宋体" w:eastAsia="宋体" w:cs="宋体"/>
                <w:sz w:val="24"/>
                <w:highlight w:val="none"/>
              </w:rPr>
              <w:t>开户名称：</w:t>
            </w:r>
            <w:r>
              <w:rPr>
                <w:rFonts w:hint="eastAsia" w:ascii="宋体" w:hAnsi="宋体" w:eastAsia="宋体" w:cs="宋体"/>
                <w:sz w:val="24"/>
                <w:highlight w:val="none"/>
                <w:lang w:val="en-US" w:eastAsia="zh-CN"/>
              </w:rPr>
              <w:t>民丰县行政服务和公共资源交易中心</w:t>
            </w:r>
          </w:p>
          <w:p>
            <w:pPr>
              <w:spacing w:line="240" w:lineRule="auto"/>
              <w:jc w:val="both"/>
              <w:rPr>
                <w:rFonts w:hint="eastAsia" w:ascii="宋体" w:hAnsi="宋体" w:eastAsia="宋体" w:cs="宋体"/>
                <w:sz w:val="24"/>
                <w:highlight w:val="none"/>
                <w:lang w:val="en-US" w:eastAsia="zh-CN"/>
              </w:rPr>
            </w:pPr>
            <w:r>
              <w:rPr>
                <w:rFonts w:hint="eastAsia" w:ascii="宋体" w:hAnsi="宋体" w:eastAsia="宋体" w:cs="宋体"/>
                <w:sz w:val="24"/>
                <w:highlight w:val="none"/>
              </w:rPr>
              <w:t>账号</w:t>
            </w:r>
            <w:r>
              <w:rPr>
                <w:rFonts w:hint="eastAsia" w:ascii="宋体" w:hAnsi="宋体" w:eastAsia="宋体" w:cs="宋体"/>
                <w:sz w:val="24"/>
                <w:highlight w:val="none"/>
                <w:lang w:val="en-US" w:eastAsia="zh-CN"/>
              </w:rPr>
              <w:t>：30582301040020842</w:t>
            </w:r>
          </w:p>
          <w:p>
            <w:pPr>
              <w:spacing w:line="360" w:lineRule="auto"/>
              <w:ind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开户银行：中国农业银行股份有限公司民丰县支行</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特别注意：</w:t>
            </w:r>
            <w:r>
              <w:rPr>
                <w:rFonts w:hint="eastAsia" w:ascii="宋体" w:eastAsia="宋体" w:cs="Times New Roman"/>
                <w:b/>
                <w:color w:val="000000"/>
                <w:sz w:val="24"/>
                <w:highlight w:val="none"/>
                <w:lang w:val="en-US" w:eastAsia="zh-CN"/>
              </w:rPr>
              <w:t>1、</w:t>
            </w:r>
            <w:r>
              <w:rPr>
                <w:rFonts w:hint="eastAsia" w:ascii="宋体" w:hAnsi="Times New Roman" w:eastAsia="宋体" w:cs="Times New Roman"/>
                <w:b/>
                <w:color w:val="000000"/>
                <w:sz w:val="24"/>
                <w:highlight w:val="none"/>
                <w:lang w:val="en-US" w:eastAsia="zh-CN"/>
              </w:rPr>
              <w:t>投标人请于投标截止时间及开标时间前将投标保证金缴入指定账户，注明项目名称及用途，以进账时间为准确定投标保证金缴纳的时效性当与投标有效期一致，无须到民丰县公共资源交易中心换取收据，开标时需携带投标保证金电子回单。</w:t>
            </w:r>
          </w:p>
          <w:p>
            <w:pPr>
              <w:spacing w:line="360" w:lineRule="auto"/>
              <w:ind w:firstLine="0" w:firstLineChars="0"/>
              <w:rPr>
                <w:rFonts w:hint="eastAsia" w:ascii="宋体" w:hAnsi="Times New Roman" w:eastAsia="宋体" w:cs="Times New Roman"/>
                <w:b/>
                <w:color w:val="000000"/>
                <w:sz w:val="24"/>
                <w:highlight w:val="none"/>
              </w:rPr>
            </w:pPr>
            <w:r>
              <w:rPr>
                <w:rFonts w:hint="eastAsia" w:ascii="宋体" w:eastAsia="宋体" w:cs="Times New Roman"/>
                <w:b/>
                <w:color w:val="000000"/>
                <w:sz w:val="24"/>
                <w:highlight w:val="none"/>
                <w:lang w:val="en-US" w:eastAsia="zh-CN"/>
              </w:rPr>
              <w:t>2、</w:t>
            </w:r>
            <w:r>
              <w:rPr>
                <w:rFonts w:hint="eastAsia" w:ascii="宋体" w:hAnsi="Times New Roman" w:eastAsia="宋体" w:cs="Times New Roman"/>
                <w:b/>
                <w:color w:val="000000"/>
                <w:sz w:val="24"/>
                <w:highlight w:val="none"/>
              </w:rPr>
              <w:t>由投标人基本账户汇出，且不得以分公司的名义转账。</w:t>
            </w:r>
          </w:p>
          <w:p>
            <w:pPr>
              <w:spacing w:line="360" w:lineRule="auto"/>
              <w:ind w:firstLine="0" w:firstLineChars="0"/>
              <w:rPr>
                <w:rFonts w:hint="eastAsia" w:ascii="宋体" w:hAnsi="宋体" w:eastAsia="宋体" w:cs="宋体"/>
                <w:sz w:val="24"/>
                <w:highlight w:val="none"/>
                <w:lang w:val="en-US" w:eastAsia="zh-CN"/>
              </w:rPr>
            </w:pPr>
            <w:r>
              <w:rPr>
                <w:rFonts w:hint="eastAsia" w:ascii="宋体" w:eastAsia="宋体" w:cs="Times New Roman"/>
                <w:b/>
                <w:color w:val="000000"/>
                <w:sz w:val="24"/>
                <w:highlight w:val="none"/>
                <w:lang w:val="en-US" w:eastAsia="zh-CN"/>
              </w:rPr>
              <w:t>3、</w:t>
            </w:r>
            <w:r>
              <w:rPr>
                <w:rFonts w:hint="eastAsia" w:ascii="宋体" w:hAnsi="Times New Roman" w:eastAsia="宋体" w:cs="Times New Roman"/>
                <w:b/>
                <w:color w:val="000000"/>
                <w:sz w:val="24"/>
                <w:highlight w:val="none"/>
              </w:rPr>
              <w:t>投标单位须在汇款单备注栏标明：XXX项目XXX包段（标段）及项目编号。</w:t>
            </w:r>
          </w:p>
          <w:p>
            <w:pPr>
              <w:pStyle w:val="34"/>
              <w:spacing w:line="364" w:lineRule="auto"/>
              <w:ind w:left="37" w:right="-44"/>
              <w:jc w:val="both"/>
              <w:rPr>
                <w:rFonts w:hint="eastAsia"/>
                <w:b/>
                <w:spacing w:val="-2"/>
                <w:sz w:val="24"/>
                <w:highlight w:val="none"/>
                <w:lang w:eastAsia="zh-CN"/>
              </w:rPr>
            </w:pPr>
            <w:r>
              <w:rPr>
                <w:rFonts w:hint="eastAsia"/>
                <w:b/>
                <w:spacing w:val="-5"/>
                <w:sz w:val="24"/>
                <w:lang w:val="en-US" w:eastAsia="zh-CN"/>
              </w:rPr>
              <w:t>4、</w:t>
            </w:r>
            <w:r>
              <w:rPr>
                <w:b/>
                <w:spacing w:val="-5"/>
                <w:sz w:val="24"/>
              </w:rPr>
              <w:t>投标保证金需在</w:t>
            </w:r>
            <w:r>
              <w:rPr>
                <w:rFonts w:hint="eastAsia" w:ascii="宋体" w:hAnsi="宋体" w:eastAsia="宋体" w:cs="宋体"/>
                <w:b/>
                <w:spacing w:val="-5"/>
                <w:sz w:val="24"/>
                <w:lang w:val="en-US" w:eastAsia="zh-CN"/>
              </w:rPr>
              <w:t>开标截止日期前一天将投标保证金足额汇入</w:t>
            </w:r>
            <w:r>
              <w:rPr>
                <w:rFonts w:ascii="宋体" w:hAnsi="宋体" w:eastAsia="宋体" w:cs="宋体"/>
                <w:b/>
                <w:spacing w:val="-5"/>
                <w:sz w:val="24"/>
              </w:rPr>
              <w:t xml:space="preserve"> ；</w:t>
            </w:r>
          </w:p>
          <w:p>
            <w:pPr>
              <w:pStyle w:val="2"/>
              <w:rPr>
                <w:rFonts w:hint="default"/>
                <w:highlight w:val="none"/>
                <w:lang w:val="en-US" w:eastAsia="zh-CN"/>
              </w:rPr>
            </w:pPr>
            <w:r>
              <w:rPr>
                <w:rFonts w:hint="eastAsia" w:ascii="宋体" w:hAnsi="Times New Roman" w:eastAsia="宋体" w:cs="Times New Roman"/>
                <w:b/>
                <w:color w:val="000000"/>
                <w:sz w:val="24"/>
                <w:highlight w:val="none"/>
                <w:lang w:val="en-US" w:eastAsia="zh-CN"/>
              </w:rPr>
              <w:t>5、退保证金：投标保证金回执单、开户许可证、退回保证金收据，交至</w:t>
            </w:r>
            <w:r>
              <w:rPr>
                <w:rFonts w:hint="default" w:ascii="宋体" w:hAnsi="宋体" w:eastAsia="宋体" w:cs="宋体"/>
                <w:b/>
                <w:spacing w:val="-5"/>
                <w:sz w:val="24"/>
                <w:lang w:val="en-US" w:eastAsia="zh-CN"/>
              </w:rPr>
              <w:t>民丰县行政服务和公共资源交易中</w:t>
            </w:r>
            <w:r>
              <w:rPr>
                <w:rFonts w:hint="default" w:ascii="宋体" w:hAnsi="Times New Roman" w:eastAsia="宋体" w:cs="Times New Roman"/>
                <w:b/>
                <w:color w:val="000000"/>
                <w:sz w:val="24"/>
                <w:highlight w:val="none"/>
                <w:lang w:val="en-US" w:eastAsia="zh-CN"/>
              </w:rPr>
              <w:t>心</w:t>
            </w:r>
            <w:r>
              <w:rPr>
                <w:rFonts w:hint="eastAsia" w:ascii="宋体" w:hAnsi="Times New Roman" w:eastAsia="宋体" w:cs="Times New Roman"/>
                <w:b/>
                <w:color w:val="000000"/>
                <w:sz w:val="24"/>
                <w:highlight w:val="none"/>
                <w:lang w:val="en-US" w:eastAsia="zh-CN"/>
              </w:rPr>
              <w:t>财务室（均加盖鲜章）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17</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pacing w:val="-14"/>
                <w:sz w:val="24"/>
                <w:highlight w:val="none"/>
              </w:rPr>
            </w:pPr>
            <w:r>
              <w:rPr>
                <w:rFonts w:hint="eastAsia" w:ascii="宋体" w:hAnsi="宋体" w:eastAsia="宋体" w:cs="宋体"/>
                <w:color w:val="auto"/>
                <w:sz w:val="24"/>
                <w:highlight w:val="none"/>
              </w:rPr>
              <w:t>招标代理服务费</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参考国家计委计价格【2002】1980号文及国家现行收费标准收取</w:t>
            </w:r>
            <w:r>
              <w:rPr>
                <w:rFonts w:hint="eastAsia" w:ascii="宋体" w:hAnsi="宋体" w:eastAsia="宋体" w:cs="宋体"/>
                <w:color w:val="auto"/>
                <w:sz w:val="24"/>
                <w:highlight w:val="none"/>
                <w:u w:val="none"/>
                <w:lang w:val="en-US" w:eastAsia="zh-CN"/>
              </w:rPr>
              <w:t>采购人在招标工作完成后</w:t>
            </w:r>
            <w:r>
              <w:rPr>
                <w:rFonts w:hint="eastAsia" w:ascii="宋体" w:hAnsi="宋体" w:eastAsia="宋体" w:cs="宋体"/>
                <w:color w:val="auto"/>
                <w:sz w:val="24"/>
                <w:highlight w:val="none"/>
                <w:u w:val="none"/>
              </w:rPr>
              <w:t>向招标代理机构</w:t>
            </w:r>
            <w:r>
              <w:rPr>
                <w:rFonts w:hint="eastAsia" w:ascii="宋体" w:hAnsi="宋体" w:eastAsia="宋体" w:cs="宋体"/>
                <w:color w:val="auto"/>
                <w:sz w:val="24"/>
                <w:highlight w:val="none"/>
                <w:u w:val="none"/>
                <w:lang w:val="en-US" w:eastAsia="zh-CN"/>
              </w:rPr>
              <w:t>一次性</w:t>
            </w:r>
            <w:r>
              <w:rPr>
                <w:rFonts w:hint="eastAsia" w:ascii="宋体" w:hAnsi="宋体" w:eastAsia="宋体" w:cs="宋体"/>
                <w:color w:val="auto"/>
                <w:sz w:val="24"/>
                <w:highlight w:val="none"/>
                <w:u w:val="none"/>
              </w:rPr>
              <w:t>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18</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rPr>
            </w:pPr>
            <w:r>
              <w:rPr>
                <w:rFonts w:hint="eastAsia" w:ascii="宋体" w:hAnsi="宋体" w:eastAsia="宋体" w:cs="宋体"/>
                <w:spacing w:val="-14"/>
                <w:sz w:val="24"/>
                <w:highlight w:val="none"/>
                <w:lang w:eastAsia="zh-CN"/>
              </w:rPr>
              <w:t>响应文件</w:t>
            </w:r>
            <w:r>
              <w:rPr>
                <w:rFonts w:hint="eastAsia" w:ascii="宋体" w:hAnsi="宋体" w:eastAsia="宋体" w:cs="宋体"/>
                <w:sz w:val="24"/>
                <w:highlight w:val="none"/>
              </w:rPr>
              <w:t>份数</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Times New Roman"/>
                <w:b/>
                <w:bCs/>
                <w:color w:val="auto"/>
                <w:sz w:val="24"/>
                <w:highlight w:val="none"/>
                <w:lang w:val="en-US" w:eastAsia="zh-CN"/>
              </w:rPr>
            </w:pPr>
            <w:r>
              <w:rPr>
                <w:rFonts w:hint="eastAsia" w:ascii="宋体" w:hAnsi="宋体"/>
                <w:b/>
                <w:bCs/>
                <w:color w:val="auto"/>
                <w:sz w:val="24"/>
                <w:highlight w:val="none"/>
                <w:lang w:val="en-US" w:eastAsia="zh-CN"/>
              </w:rPr>
              <w:t>响应文件</w:t>
            </w:r>
            <w:r>
              <w:rPr>
                <w:rFonts w:hint="eastAsia" w:ascii="宋体" w:hAnsi="宋体"/>
                <w:b/>
                <w:bCs/>
                <w:color w:val="auto"/>
                <w:sz w:val="24"/>
                <w:highlight w:val="none"/>
              </w:rPr>
              <w:t>：</w:t>
            </w:r>
            <w:r>
              <w:rPr>
                <w:rFonts w:hint="eastAsia" w:ascii="宋体" w:hAnsi="宋体" w:eastAsia="宋体" w:cs="Times New Roman"/>
                <w:b/>
                <w:bCs/>
                <w:color w:val="auto"/>
                <w:sz w:val="24"/>
                <w:highlight w:val="none"/>
                <w:lang w:val="en-US" w:eastAsia="zh-CN"/>
              </w:rPr>
              <w:t>正本壹份（单独密封），副本三份（装入一个档案袋内密封）</w:t>
            </w:r>
          </w:p>
          <w:p>
            <w:pPr>
              <w:spacing w:line="360" w:lineRule="auto"/>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报价一览表</w:t>
            </w:r>
            <w:r>
              <w:rPr>
                <w:rFonts w:hint="eastAsia" w:ascii="宋体" w:hAnsi="宋体"/>
                <w:b/>
                <w:bCs/>
                <w:color w:val="auto"/>
                <w:sz w:val="24"/>
                <w:highlight w:val="none"/>
                <w:lang w:eastAsia="zh-CN"/>
              </w:rPr>
              <w:t>：</w:t>
            </w:r>
            <w:r>
              <w:rPr>
                <w:rFonts w:hint="eastAsia" w:ascii="宋体" w:hAnsi="宋体"/>
                <w:b/>
                <w:bCs/>
                <w:color w:val="auto"/>
                <w:sz w:val="24"/>
                <w:highlight w:val="none"/>
              </w:rPr>
              <w:t>壹份</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单独密封</w:t>
            </w:r>
            <w:r>
              <w:rPr>
                <w:rFonts w:hint="eastAsia" w:ascii="宋体" w:hAnsi="宋体"/>
                <w:b/>
                <w:bCs/>
                <w:color w:val="auto"/>
                <w:sz w:val="24"/>
                <w:highlight w:val="none"/>
                <w:lang w:eastAsia="zh-CN"/>
              </w:rPr>
              <w:t>）</w:t>
            </w:r>
          </w:p>
          <w:p>
            <w:pPr>
              <w:spacing w:line="360" w:lineRule="auto"/>
              <w:rPr>
                <w:rFonts w:hint="eastAsia" w:ascii="宋体" w:hAnsi="宋体"/>
                <w:b/>
                <w:bCs/>
                <w:color w:val="auto"/>
                <w:sz w:val="24"/>
                <w:highlight w:val="none"/>
              </w:rPr>
            </w:pPr>
            <w:r>
              <w:rPr>
                <w:rFonts w:hint="eastAsia" w:ascii="宋体" w:hAnsi="宋体"/>
                <w:b/>
                <w:bCs/>
                <w:color w:val="auto"/>
                <w:sz w:val="24"/>
                <w:highlight w:val="none"/>
              </w:rPr>
              <w:t>电子版</w:t>
            </w:r>
            <w:r>
              <w:rPr>
                <w:rFonts w:hint="eastAsia" w:ascii="宋体" w:hAnsi="宋体"/>
                <w:b/>
                <w:bCs/>
                <w:color w:val="auto"/>
                <w:sz w:val="24"/>
                <w:highlight w:val="none"/>
                <w:lang w:val="en-US" w:eastAsia="zh-CN"/>
              </w:rPr>
              <w:t>响应</w:t>
            </w:r>
            <w:r>
              <w:rPr>
                <w:rFonts w:hint="eastAsia" w:ascii="宋体" w:hAnsi="宋体"/>
                <w:b/>
                <w:bCs/>
                <w:color w:val="auto"/>
                <w:sz w:val="24"/>
                <w:highlight w:val="none"/>
              </w:rPr>
              <w:t>文件</w:t>
            </w:r>
            <w:r>
              <w:rPr>
                <w:rFonts w:hint="eastAsia" w:ascii="宋体" w:hAnsi="宋体"/>
                <w:b/>
                <w:bCs/>
                <w:color w:val="auto"/>
                <w:sz w:val="24"/>
                <w:highlight w:val="none"/>
                <w:lang w:eastAsia="zh-CN"/>
              </w:rPr>
              <w:t>：</w:t>
            </w:r>
            <w:r>
              <w:rPr>
                <w:rFonts w:hint="eastAsia" w:ascii="宋体" w:hAnsi="宋体"/>
                <w:b/>
                <w:bCs/>
                <w:color w:val="auto"/>
                <w:sz w:val="24"/>
                <w:highlight w:val="none"/>
              </w:rPr>
              <w:t>壹份</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单独密封</w:t>
            </w:r>
            <w:r>
              <w:rPr>
                <w:rFonts w:hint="eastAsia" w:ascii="宋体" w:hAnsi="宋体"/>
                <w:b/>
                <w:bCs/>
                <w:color w:val="auto"/>
                <w:sz w:val="24"/>
                <w:highlight w:val="none"/>
                <w:lang w:eastAsia="zh-CN"/>
              </w:rPr>
              <w:t>）</w:t>
            </w:r>
          </w:p>
          <w:p>
            <w:pPr>
              <w:spacing w:line="360" w:lineRule="auto"/>
              <w:rPr>
                <w:rFonts w:hint="eastAsia" w:ascii="宋体" w:hAnsi="宋体"/>
                <w:b/>
                <w:bCs/>
                <w:color w:val="auto"/>
                <w:sz w:val="24"/>
                <w:highlight w:val="none"/>
              </w:rPr>
            </w:pPr>
            <w:r>
              <w:rPr>
                <w:rFonts w:hint="eastAsia" w:ascii="宋体" w:hAnsi="宋体"/>
                <w:b/>
                <w:bCs/>
                <w:color w:val="auto"/>
                <w:sz w:val="24"/>
                <w:highlight w:val="none"/>
              </w:rPr>
              <w:t>电子版</w:t>
            </w:r>
            <w:r>
              <w:rPr>
                <w:rFonts w:hint="eastAsia" w:ascii="宋体" w:hAnsi="宋体"/>
                <w:b/>
                <w:bCs/>
                <w:color w:val="auto"/>
                <w:sz w:val="24"/>
                <w:highlight w:val="none"/>
                <w:lang w:val="en-US" w:eastAsia="zh-CN"/>
              </w:rPr>
              <w:t>响应</w:t>
            </w:r>
            <w:r>
              <w:rPr>
                <w:rFonts w:hint="eastAsia" w:ascii="宋体" w:hAnsi="宋体"/>
                <w:b/>
                <w:bCs/>
                <w:color w:val="auto"/>
                <w:sz w:val="24"/>
                <w:highlight w:val="none"/>
              </w:rPr>
              <w:t>文件的格式为：文件采用WORD文档</w:t>
            </w:r>
            <w:r>
              <w:rPr>
                <w:rFonts w:hint="eastAsia" w:ascii="宋体" w:hAnsi="宋体" w:eastAsia="宋体" w:cs="宋体"/>
                <w:b/>
                <w:bCs/>
                <w:color w:val="auto"/>
                <w:sz w:val="24"/>
                <w:highlight w:val="none"/>
              </w:rPr>
              <w:t>（U盘）</w:t>
            </w:r>
            <w:r>
              <w:rPr>
                <w:rFonts w:hint="eastAsia" w:ascii="宋体" w:hAnsi="宋体"/>
                <w:b/>
                <w:bCs/>
                <w:color w:val="auto"/>
                <w:sz w:val="24"/>
                <w:highlight w:val="none"/>
              </w:rPr>
              <w:t>。</w:t>
            </w:r>
          </w:p>
          <w:p>
            <w:pPr>
              <w:spacing w:line="36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正、副不得采用活页装订，否则视为无标处理，</w:t>
            </w:r>
            <w:r>
              <w:rPr>
                <w:rFonts w:hint="eastAsia" w:ascii="宋体" w:hAnsi="宋体" w:eastAsia="宋体" w:cs="宋体"/>
                <w:b/>
                <w:bCs/>
                <w:color w:val="auto"/>
                <w:sz w:val="24"/>
                <w:highlight w:val="none"/>
                <w:lang w:eastAsia="zh-CN"/>
              </w:rPr>
              <w:t>响应文件</w:t>
            </w:r>
            <w:r>
              <w:rPr>
                <w:rFonts w:hint="eastAsia" w:ascii="宋体" w:hAnsi="宋体" w:eastAsia="宋体" w:cs="宋体"/>
                <w:b/>
                <w:bCs/>
                <w:color w:val="auto"/>
                <w:sz w:val="24"/>
                <w:highlight w:val="none"/>
              </w:rPr>
              <w:t>一律不退，未按照述密封、封装的视为不</w:t>
            </w:r>
            <w:r>
              <w:rPr>
                <w:rFonts w:hint="eastAsia" w:ascii="宋体" w:hAnsi="宋体" w:eastAsia="宋体" w:cs="宋体"/>
                <w:b/>
                <w:bCs/>
                <w:color w:val="auto"/>
                <w:sz w:val="24"/>
                <w:highlight w:val="none"/>
                <w:lang w:eastAsia="zh-CN"/>
              </w:rPr>
              <w:t>响应文件</w:t>
            </w:r>
            <w:r>
              <w:rPr>
                <w:rFonts w:hint="eastAsia" w:ascii="宋体" w:hAnsi="宋体" w:eastAsia="宋体" w:cs="宋体"/>
                <w:b/>
                <w:bCs/>
                <w:color w:val="auto"/>
                <w:sz w:val="24"/>
                <w:highlight w:val="none"/>
              </w:rPr>
              <w:t>要求，投标将被拒绝。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9</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106" w:leftChars="0" w:right="62" w:rightChars="0" w:hanging="106" w:hangingChars="50"/>
              <w:jc w:val="center"/>
              <w:textAlignment w:val="auto"/>
              <w:rPr>
                <w:rFonts w:hint="eastAsia" w:ascii="宋体" w:hAnsi="宋体" w:eastAsia="宋体" w:cs="宋体"/>
                <w:spacing w:val="-14"/>
                <w:sz w:val="24"/>
                <w:highlight w:val="none"/>
                <w:lang w:eastAsia="zh-CN"/>
              </w:rPr>
            </w:pPr>
            <w:r>
              <w:rPr>
                <w:rFonts w:hint="eastAsia" w:ascii="宋体" w:hAnsi="宋体" w:eastAsia="宋体" w:cs="宋体"/>
                <w:spacing w:val="-14"/>
                <w:sz w:val="24"/>
                <w:highlight w:val="none"/>
                <w:lang w:eastAsia="zh-CN"/>
              </w:rPr>
              <w:t>响应文</w:t>
            </w:r>
            <w:r>
              <w:rPr>
                <w:rFonts w:hint="eastAsia" w:ascii="宋体" w:hAnsi="宋体"/>
                <w:sz w:val="24"/>
                <w:highlight w:val="none"/>
                <w:lang w:eastAsia="zh-CN"/>
              </w:rPr>
              <w:t>件封面</w:t>
            </w:r>
            <w:r>
              <w:rPr>
                <w:rFonts w:hint="eastAsia" w:ascii="宋体" w:hAnsi="宋体"/>
                <w:sz w:val="24"/>
                <w:highlight w:val="none"/>
              </w:rPr>
              <w:t>的标注</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在谈判响应文件密封袋上均应：</w:t>
            </w:r>
          </w:p>
          <w:p>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1、写明采购人名称；</w:t>
            </w:r>
          </w:p>
          <w:p>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2、注明下列识别标志：</w:t>
            </w:r>
          </w:p>
          <w:p>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(1)项目信息</w:t>
            </w:r>
          </w:p>
          <w:p>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(2)投标单位信息</w:t>
            </w:r>
          </w:p>
          <w:p>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（3）联系人姓名及联系方式</w:t>
            </w:r>
          </w:p>
          <w:p>
            <w:pPr>
              <w:spacing w:line="360" w:lineRule="auto"/>
              <w:rPr>
                <w:rFonts w:hint="eastAsia" w:ascii="宋体" w:hAnsi="宋体" w:eastAsia="宋体" w:cs="宋体"/>
                <w:sz w:val="24"/>
                <w:highlight w:val="none"/>
              </w:rPr>
            </w:pPr>
            <w:r>
              <w:rPr>
                <w:rFonts w:hint="eastAsia" w:ascii="宋体" w:hAnsi="宋体" w:eastAsia="宋体" w:cs="宋体"/>
                <w:color w:val="auto"/>
                <w:sz w:val="24"/>
                <w:highlight w:val="none"/>
                <w:lang w:val="en-US" w:eastAsia="zh-CN"/>
              </w:rPr>
              <w:t>(4)     年   月   日   上午    时    分谈判，此时间以前不得开封（北京时间）。</w:t>
            </w:r>
            <w:r>
              <w:rPr>
                <w:rFonts w:hint="eastAsia" w:ascii="宋体" w:hAnsi="宋体" w:eastAsia="宋体" w:cs="Times New Roman"/>
                <w:sz w:val="24"/>
                <w:highlight w:val="none"/>
                <w:lang w:eastAsia="zh-CN"/>
              </w:rPr>
              <w:t>并</w:t>
            </w:r>
            <w:r>
              <w:rPr>
                <w:rFonts w:hint="eastAsia" w:ascii="宋体" w:hAnsi="宋体" w:eastAsia="宋体" w:cs="Times New Roman"/>
                <w:sz w:val="24"/>
                <w:highlight w:val="none"/>
              </w:rPr>
              <w:t>加盖</w:t>
            </w:r>
            <w:r>
              <w:rPr>
                <w:rFonts w:hint="eastAsia" w:ascii="宋体" w:hAnsi="宋体" w:eastAsia="宋体" w:cs="Times New Roman"/>
                <w:sz w:val="24"/>
                <w:highlight w:val="none"/>
                <w:lang w:val="en-US" w:eastAsia="zh-CN"/>
              </w:rPr>
              <w:t>单位</w:t>
            </w:r>
            <w:r>
              <w:rPr>
                <w:rFonts w:hint="eastAsia" w:ascii="宋体" w:hAnsi="宋体" w:eastAsia="宋体" w:cs="Times New Roman"/>
                <w:sz w:val="24"/>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20</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106" w:leftChars="0" w:right="62" w:rightChars="0" w:hanging="106" w:hangingChars="50"/>
              <w:jc w:val="center"/>
              <w:textAlignment w:val="auto"/>
              <w:rPr>
                <w:rFonts w:hint="eastAsia" w:ascii="宋体" w:hAnsi="宋体" w:eastAsia="宋体" w:cs="宋体"/>
                <w:spacing w:val="-14"/>
                <w:sz w:val="24"/>
                <w:highlight w:val="none"/>
                <w:lang w:eastAsia="zh-CN"/>
              </w:rPr>
            </w:pPr>
            <w:r>
              <w:rPr>
                <w:rFonts w:hint="eastAsia" w:ascii="宋体" w:hAnsi="宋体" w:eastAsia="宋体" w:cs="宋体"/>
                <w:spacing w:val="-14"/>
                <w:sz w:val="24"/>
                <w:highlight w:val="none"/>
                <w:lang w:eastAsia="zh-CN"/>
              </w:rPr>
              <w:t>响应文件</w:t>
            </w:r>
            <w:r>
              <w:rPr>
                <w:rFonts w:hint="eastAsia" w:ascii="宋体" w:hAnsi="宋体"/>
                <w:sz w:val="24"/>
                <w:highlight w:val="none"/>
              </w:rPr>
              <w:t>外层密封袋的标注</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highlight w:val="none"/>
                <w:lang w:val="en-US" w:eastAsia="zh-CN"/>
              </w:rPr>
            </w:pPr>
            <w:r>
              <w:rPr>
                <w:rFonts w:hint="eastAsia" w:ascii="宋体" w:hAnsi="宋体" w:eastAsia="宋体" w:cs="宋体"/>
                <w:sz w:val="24"/>
                <w:szCs w:val="24"/>
                <w:lang w:val="en-US" w:eastAsia="zh-CN"/>
              </w:rPr>
              <w:t>谈判响应人应将所有的谈判响应文件的正本、副本及电子版分别密封在封袋中，在封袋正面注明：“谈判响应文件（正本）”、“谈判响应文件（副本）”、“谈判响应文件（电子版）”“</w:t>
            </w:r>
            <w:r>
              <w:rPr>
                <w:rFonts w:hint="eastAsia" w:ascii="宋体" w:hAnsi="宋体" w:eastAsia="宋体" w:cs="宋体"/>
                <w:color w:val="000000"/>
                <w:kern w:val="0"/>
                <w:sz w:val="24"/>
                <w:lang w:val="en-US" w:eastAsia="zh-CN"/>
              </w:rPr>
              <w:t>报价一览表</w:t>
            </w:r>
            <w:r>
              <w:rPr>
                <w:rFonts w:hint="default" w:ascii="宋体" w:hAnsi="宋体" w:eastAsia="宋体" w:cs="宋体"/>
                <w:color w:val="000000"/>
                <w:kern w:val="0"/>
                <w:sz w:val="24"/>
                <w:lang w:val="en-US" w:eastAsia="zh-CN"/>
              </w:rPr>
              <w:t>”</w:t>
            </w:r>
            <w:r>
              <w:rPr>
                <w:rFonts w:hint="eastAsia" w:ascii="宋体" w:hAnsi="宋体" w:eastAsia="宋体" w:cs="宋体"/>
                <w:sz w:val="24"/>
                <w:szCs w:val="24"/>
                <w:lang w:val="en-US" w:eastAsia="zh-CN"/>
              </w:rPr>
              <w:t>的响应字样。封袋上加贴封条，并在封袋的封口处加盖谈判响应人企业印章、企业法定代表人或其委托代理人印章。（否则为无效投标文件）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21</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0" w:firstLineChars="0"/>
              <w:jc w:val="center"/>
              <w:rPr>
                <w:rFonts w:hint="eastAsia" w:ascii="宋体" w:hAnsi="宋体" w:eastAsia="宋体" w:cs="宋体"/>
                <w:spacing w:val="-14"/>
                <w:sz w:val="24"/>
                <w:highlight w:val="none"/>
                <w:lang w:eastAsia="zh-CN"/>
              </w:rPr>
            </w:pPr>
            <w:r>
              <w:rPr>
                <w:rFonts w:hint="eastAsia" w:ascii="宋体" w:hAnsi="宋体" w:eastAsia="宋体" w:cs="宋体"/>
                <w:color w:val="000000"/>
                <w:sz w:val="24"/>
                <w:lang w:eastAsia="zh-CN"/>
              </w:rPr>
              <w:t>签字或盖章</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both"/>
              <w:rPr>
                <w:rFonts w:hint="eastAsia" w:ascii="宋体" w:hAnsi="宋体" w:eastAsia="宋体" w:cs="宋体"/>
                <w:sz w:val="24"/>
                <w:szCs w:val="24"/>
                <w:lang w:val="en-US" w:eastAsia="zh-CN"/>
              </w:rPr>
            </w:pPr>
            <w:r>
              <w:rPr>
                <w:rFonts w:hint="eastAsia" w:ascii="宋体" w:hAnsi="宋体" w:eastAsia="宋体" w:cs="宋体"/>
                <w:color w:val="000000"/>
                <w:sz w:val="24"/>
                <w:highlight w:val="none"/>
              </w:rPr>
              <w:t>投标人必须按照</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的规定和要求</w:t>
            </w:r>
            <w:r>
              <w:rPr>
                <w:rFonts w:hint="eastAsia" w:ascii="宋体" w:hAnsi="宋体" w:eastAsia="宋体" w:cs="宋体"/>
                <w:color w:val="000000"/>
                <w:sz w:val="24"/>
                <w:highlight w:val="none"/>
                <w:lang w:eastAsia="zh-CN"/>
              </w:rPr>
              <w:t>签字或盖章</w:t>
            </w:r>
            <w:r>
              <w:rPr>
                <w:rFonts w:hint="eastAsia" w:ascii="宋体" w:hAnsi="宋体" w:eastAsia="宋体" w:cs="宋体"/>
                <w:color w:val="000000"/>
                <w:sz w:val="24"/>
                <w:highlight w:val="none"/>
              </w:rPr>
              <w:t>（法人代表的签字可用具有法定效力的签字章）</w:t>
            </w:r>
            <w:r>
              <w:rPr>
                <w:rFonts w:hint="eastAsia" w:ascii="宋体" w:hAnsi="宋体" w:eastAsia="宋体" w:cs="宋体"/>
                <w:sz w:val="24"/>
                <w:szCs w:val="24"/>
                <w:lang w:val="en-US" w:eastAsia="zh-CN"/>
              </w:rPr>
              <w:t>（否则为无效投标文件）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22</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color w:val="000000"/>
                <w:sz w:val="24"/>
                <w:highlight w:val="none"/>
              </w:rPr>
              <w:t>评标委员的组建</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cs="宋体"/>
                <w:sz w:val="24"/>
                <w:highlight w:val="none"/>
                <w:lang w:val="en-US" w:eastAsia="zh-CN"/>
              </w:rPr>
            </w:pPr>
            <w:r>
              <w:rPr>
                <w:rFonts w:hint="eastAsia" w:ascii="宋体" w:hAnsi="宋体" w:eastAsia="宋体" w:cs="宋体"/>
                <w:bCs/>
                <w:color w:val="auto"/>
                <w:sz w:val="24"/>
                <w:highlight w:val="none"/>
              </w:rPr>
              <w:t>评标委员会构成</w:t>
            </w:r>
            <w:r>
              <w:rPr>
                <w:rFonts w:hint="eastAsia" w:ascii="宋体" w:hAnsi="宋体" w:eastAsia="宋体" w:cs="宋体"/>
                <w:bCs/>
                <w:color w:val="auto"/>
                <w:sz w:val="24"/>
                <w:highlight w:val="none"/>
                <w:lang w:val="en-US" w:eastAsia="zh-CN"/>
              </w:rPr>
              <w:t>5</w:t>
            </w:r>
            <w:r>
              <w:rPr>
                <w:rFonts w:hint="eastAsia" w:ascii="宋体" w:hAnsi="宋体" w:eastAsia="宋体" w:cs="宋体"/>
                <w:bCs/>
                <w:color w:val="auto"/>
                <w:sz w:val="24"/>
                <w:highlight w:val="none"/>
              </w:rPr>
              <w:t>人或</w:t>
            </w:r>
            <w:r>
              <w:rPr>
                <w:rFonts w:hint="eastAsia" w:ascii="宋体" w:hAnsi="宋体" w:eastAsia="宋体" w:cs="宋体"/>
                <w:bCs/>
                <w:color w:val="auto"/>
                <w:sz w:val="24"/>
                <w:highlight w:val="none"/>
                <w:lang w:val="en-US" w:eastAsia="zh-CN"/>
              </w:rPr>
              <w:t>5人</w:t>
            </w:r>
            <w:r>
              <w:rPr>
                <w:rFonts w:hint="eastAsia" w:ascii="宋体" w:hAnsi="宋体" w:eastAsia="宋体" w:cs="宋体"/>
                <w:bCs/>
                <w:color w:val="auto"/>
                <w:sz w:val="24"/>
                <w:highlight w:val="none"/>
              </w:rPr>
              <w:t>以上单数组成，</w:t>
            </w:r>
            <w:r>
              <w:rPr>
                <w:rFonts w:hint="eastAsia" w:ascii="宋体" w:hAnsi="宋体" w:eastAsia="宋体" w:cs="宋体"/>
                <w:bCs/>
                <w:color w:val="auto"/>
                <w:sz w:val="24"/>
                <w:highlight w:val="none"/>
                <w:lang w:val="en-US" w:eastAsia="zh-CN"/>
              </w:rPr>
              <w:t>其中</w:t>
            </w:r>
            <w:r>
              <w:rPr>
                <w:rFonts w:hint="eastAsia" w:ascii="宋体" w:hAnsi="宋体" w:eastAsia="宋体" w:cs="宋体"/>
                <w:bCs/>
                <w:color w:val="auto"/>
                <w:sz w:val="24"/>
                <w:highlight w:val="none"/>
              </w:rPr>
              <w:t>业主专家1人；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78" w:type="dxa"/>
            <w:tcBorders>
              <w:top w:val="single" w:color="auto" w:sz="4" w:space="0"/>
              <w:left w:val="single" w:color="auto" w:sz="4" w:space="0"/>
              <w:right w:val="single" w:color="auto" w:sz="4" w:space="0"/>
            </w:tcBorders>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23</w:t>
            </w:r>
          </w:p>
        </w:tc>
        <w:tc>
          <w:tcPr>
            <w:tcW w:w="2025" w:type="dxa"/>
            <w:tcBorders>
              <w:top w:val="single" w:color="auto" w:sz="4" w:space="0"/>
              <w:left w:val="single" w:color="auto" w:sz="4" w:space="0"/>
              <w:right w:val="single" w:color="auto" w:sz="4" w:space="0"/>
            </w:tcBorders>
            <w:noWrap w:val="0"/>
            <w:vAlign w:val="center"/>
          </w:tcPr>
          <w:p>
            <w:pPr>
              <w:spacing w:line="240" w:lineRule="auto"/>
              <w:jc w:val="both"/>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履约保证金</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both"/>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履约保证金：中标单位在</w:t>
            </w:r>
            <w:r>
              <w:rPr>
                <w:rFonts w:hint="eastAsia" w:ascii="宋体" w:hAnsi="宋体" w:eastAsia="宋体" w:cs="宋体"/>
                <w:color w:val="000000"/>
                <w:sz w:val="24"/>
                <w:highlight w:val="none"/>
                <w:lang w:val="en-US" w:eastAsia="zh-CN"/>
              </w:rPr>
              <w:t>签订合同前</w:t>
            </w:r>
            <w:r>
              <w:rPr>
                <w:rFonts w:hint="eastAsia" w:ascii="宋体" w:hAnsi="宋体" w:eastAsia="宋体" w:cs="宋体"/>
                <w:color w:val="000000"/>
                <w:sz w:val="24"/>
                <w:highlight w:val="none"/>
                <w:lang w:eastAsia="zh-CN"/>
              </w:rPr>
              <w:t>，将中标价10%的履约保证金交到用户单位财务账上并与用户单位签订合同。产品验收合格后将10%的履约保证</w:t>
            </w:r>
            <w:r>
              <w:rPr>
                <w:rFonts w:hint="eastAsia" w:ascii="宋体" w:hAnsi="宋体" w:eastAsia="宋体" w:cs="宋体"/>
                <w:color w:val="000000"/>
                <w:sz w:val="24"/>
                <w:highlight w:val="none"/>
                <w:lang w:val="en-US" w:eastAsia="zh-CN"/>
              </w:rPr>
              <w:t>一</w:t>
            </w:r>
            <w:r>
              <w:rPr>
                <w:rFonts w:hint="eastAsia" w:ascii="宋体" w:hAnsi="宋体" w:eastAsia="宋体" w:cs="宋体"/>
                <w:color w:val="000000"/>
                <w:sz w:val="24"/>
                <w:highlight w:val="none"/>
                <w:lang w:eastAsia="zh-CN"/>
              </w:rPr>
              <w:t>次性无息退还中标单位。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24</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特别说明</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right="105" w:rightChars="50"/>
              <w:rPr>
                <w:rFonts w:ascii="宋体" w:hAnsi="宋体"/>
                <w:bCs/>
                <w:color w:val="000000"/>
                <w:sz w:val="24"/>
                <w:szCs w:val="24"/>
                <w:highlight w:val="none"/>
              </w:rPr>
            </w:pPr>
            <w:r>
              <w:rPr>
                <w:rFonts w:ascii="宋体" w:hAnsi="宋体"/>
                <w:bCs/>
                <w:color w:val="000000"/>
                <w:sz w:val="24"/>
                <w:szCs w:val="24"/>
                <w:highlight w:val="none"/>
              </w:rPr>
              <w:t>1.为保证本项目质量，良好的售后服务，低报价不作为中标的唯一依据。</w:t>
            </w:r>
          </w:p>
          <w:p>
            <w:pPr>
              <w:snapToGrid w:val="0"/>
              <w:spacing w:line="360" w:lineRule="auto"/>
              <w:ind w:right="105" w:rightChars="50"/>
              <w:rPr>
                <w:rFonts w:ascii="宋体" w:hAnsi="宋体"/>
                <w:sz w:val="24"/>
                <w:szCs w:val="24"/>
                <w:highlight w:val="none"/>
              </w:rPr>
            </w:pPr>
            <w:r>
              <w:rPr>
                <w:rFonts w:ascii="宋体" w:hAnsi="宋体"/>
                <w:bCs/>
                <w:sz w:val="24"/>
                <w:szCs w:val="24"/>
                <w:highlight w:val="none"/>
              </w:rPr>
              <w:t>2.</w:t>
            </w:r>
            <w:r>
              <w:rPr>
                <w:rFonts w:hint="eastAsia" w:ascii="宋体" w:hAnsi="宋体"/>
                <w:sz w:val="24"/>
                <w:szCs w:val="24"/>
                <w:highlight w:val="none"/>
              </w:rPr>
              <w:t>采购人若发现成交候选人在竞标过程中提供虚假证明文件，故意隐瞒公司不良信誉和财务状况，以及存在可能对合同圆满履行造成风险的其因素等，则按规定取消其成交资格，监管部门依法进行处理。</w:t>
            </w:r>
          </w:p>
          <w:p>
            <w:pPr>
              <w:spacing w:line="360" w:lineRule="auto"/>
              <w:ind w:right="105" w:rightChars="50"/>
              <w:rPr>
                <w:rFonts w:ascii="宋体" w:hAnsi="宋体"/>
                <w:sz w:val="24"/>
                <w:highlight w:val="none"/>
              </w:rPr>
            </w:pPr>
            <w:r>
              <w:rPr>
                <w:rFonts w:ascii="宋体" w:hAnsi="宋体"/>
                <w:sz w:val="24"/>
                <w:szCs w:val="24"/>
                <w:highlight w:val="none"/>
              </w:rPr>
              <w:t>3.</w:t>
            </w:r>
            <w:r>
              <w:rPr>
                <w:rFonts w:hint="eastAsia" w:ascii="宋体" w:hAnsi="宋体"/>
                <w:sz w:val="24"/>
                <w:highlight w:val="none"/>
              </w:rPr>
              <w:t>生产制造商供货后使用方对所供产品进行抽样到权威检验部门进行检测，如未达到招标要求，使用方有权做退货处理。</w:t>
            </w:r>
          </w:p>
          <w:p>
            <w:pPr>
              <w:spacing w:line="360" w:lineRule="auto"/>
              <w:ind w:right="105" w:rightChars="50"/>
              <w:rPr>
                <w:rFonts w:ascii="宋体" w:hAnsi="宋体"/>
                <w:sz w:val="24"/>
                <w:highlight w:val="none"/>
              </w:rPr>
            </w:pPr>
            <w:r>
              <w:rPr>
                <w:rFonts w:hint="eastAsia" w:ascii="宋体" w:hAnsi="宋体"/>
                <w:sz w:val="24"/>
                <w:highlight w:val="none"/>
              </w:rPr>
              <w:t>4.为确保产品质达标，在生产、供货过程中，使用方有权派人员到生产现场监督生产、发货过程。如产品质量、交货期未按合同履约，则使方有权终止合同；中标厂家不得分包、转包给第三方，否则做废标处理。</w:t>
            </w:r>
          </w:p>
          <w:p>
            <w:pPr>
              <w:spacing w:line="360" w:lineRule="auto"/>
              <w:rPr>
                <w:rFonts w:ascii="宋体" w:hAnsi="宋体" w:cs="宋体"/>
                <w:sz w:val="24"/>
                <w:szCs w:val="20"/>
                <w:highlight w:val="none"/>
              </w:rPr>
            </w:pPr>
            <w:r>
              <w:rPr>
                <w:rFonts w:hint="eastAsia" w:ascii="宋体" w:hAnsi="宋体"/>
                <w:b/>
                <w:bCs/>
                <w:sz w:val="24"/>
                <w:szCs w:val="24"/>
                <w:highlight w:val="none"/>
              </w:rPr>
              <w:t>5.</w:t>
            </w:r>
            <w:r>
              <w:rPr>
                <w:rFonts w:hint="eastAsia" w:ascii="宋体" w:hAnsi="宋体" w:cs="宋体"/>
                <w:sz w:val="24"/>
                <w:szCs w:val="20"/>
                <w:highlight w:val="none"/>
              </w:rPr>
              <w:t>本次竞争性磋商各项事宜执行《政府采购竞争性磋商采购方式管理暂行办法》（财库〔2014〕214号）和财政部关于政府采购竞争性商采购方式管理暂行办法有关问题的补充通知财库〔2015〕124号相关规定。</w:t>
            </w:r>
          </w:p>
          <w:p>
            <w:pPr>
              <w:widowControl/>
              <w:spacing w:line="360" w:lineRule="auto"/>
              <w:jc w:val="left"/>
              <w:rPr>
                <w:rFonts w:hint="eastAsia" w:ascii="宋体" w:hAnsi="宋体" w:eastAsia="宋体" w:cs="宋体"/>
                <w:b/>
                <w:kern w:val="0"/>
                <w:sz w:val="24"/>
                <w:highlight w:val="none"/>
              </w:rPr>
            </w:pPr>
            <w:r>
              <w:rPr>
                <w:rFonts w:ascii="宋体" w:hAnsi="宋体"/>
                <w:sz w:val="24"/>
                <w:szCs w:val="24"/>
                <w:highlight w:val="none"/>
              </w:rPr>
              <w:t>本项目无论中标与否，响应文件均不予退还。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36" w:lineRule="auto"/>
              <w:jc w:val="center"/>
              <w:textAlignment w:val="auto"/>
              <w:rPr>
                <w:rFonts w:hint="default"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25</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0"/>
                <w:highlight w:val="none"/>
                <w:lang w:val="en-US" w:eastAsia="zh-CN"/>
              </w:rPr>
            </w:pPr>
            <w:r>
              <w:rPr>
                <w:rFonts w:hint="default" w:ascii="宋体" w:hAnsi="宋体" w:eastAsia="宋体" w:cs="宋体"/>
                <w:sz w:val="24"/>
                <w:szCs w:val="20"/>
                <w:highlight w:val="none"/>
                <w:lang w:val="en-US" w:eastAsia="zh-CN"/>
              </w:rPr>
              <w:t>付款方式</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招标工作结束后由采购人与中标人签订合同时自主协商。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36" w:lineRule="auto"/>
              <w:jc w:val="center"/>
              <w:textAlignment w:val="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26</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利害关系投标企业处理</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单位负责人为同一人或者存在直接控股、管理关系的不同投标企业不得参加同一合同项下的政府采购活动。采购项目实行资格预审的，单位负责人为同一人或者存在直接控股、管理关系的不同投标企业可以参加资格预审，但只能由投标企业确定其中一家符合条件的投标企业参加后续的政府采购活动，否则，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36" w:lineRule="auto"/>
              <w:jc w:val="center"/>
              <w:textAlignment w:val="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27</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备选投标方案和报价</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36" w:lineRule="auto"/>
              <w:jc w:val="center"/>
              <w:textAlignment w:val="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28</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联合体投标</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36" w:lineRule="auto"/>
              <w:jc w:val="center"/>
              <w:textAlignment w:val="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29</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0"/>
                <w:highlight w:val="none"/>
                <w:lang w:val="en-US" w:eastAsia="zh-CN"/>
              </w:rPr>
            </w:pPr>
            <w:r>
              <w:rPr>
                <w:rFonts w:hint="eastAsia" w:ascii="宋体" w:hAnsi="宋体" w:eastAsia="宋体" w:cs="宋体"/>
                <w:color w:val="000000"/>
                <w:sz w:val="24"/>
                <w:highlight w:val="none"/>
                <w:lang w:val="en-US" w:eastAsia="zh-CN"/>
              </w:rPr>
              <w:t>随身携带资料</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供应商须在规定的时间和地点准时参加投标，并在响应文件接收截止时间前提供以下资料：</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0"/>
                <w:highlight w:val="none"/>
                <w:lang w:val="en-US" w:eastAsia="zh-CN" w:bidi="ar-SA"/>
              </w:rPr>
            </w:pPr>
            <w:r>
              <w:rPr>
                <w:rFonts w:hint="eastAsia" w:ascii="宋体" w:hAnsi="宋体" w:eastAsia="宋体" w:cs="宋体"/>
                <w:kern w:val="2"/>
                <w:sz w:val="24"/>
                <w:szCs w:val="20"/>
                <w:highlight w:val="none"/>
                <w:lang w:val="en-US" w:eastAsia="zh-CN" w:bidi="ar-SA"/>
              </w:rPr>
              <w:t>（1）具有经年审合格的三证合一营业执照；</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0"/>
                <w:highlight w:val="none"/>
                <w:lang w:val="en-US" w:eastAsia="zh-CN" w:bidi="ar-SA"/>
              </w:rPr>
            </w:pPr>
            <w:r>
              <w:rPr>
                <w:rFonts w:hint="eastAsia" w:ascii="宋体" w:hAnsi="宋体" w:eastAsia="宋体" w:cs="宋体"/>
                <w:kern w:val="2"/>
                <w:sz w:val="24"/>
                <w:szCs w:val="20"/>
                <w:highlight w:val="none"/>
                <w:lang w:val="en-US" w:eastAsia="zh-CN" w:bidi="ar-SA"/>
              </w:rPr>
              <w:t>（2）法定代表人投标需携带法定代表人证明书及法定代表人身份证（原件），委托代理人投标需携带法定代表人授权委托书及委托代理人身份证（原件）；被委托人必须是投标单位正式员工，需提供社保部门出具的投标单位的缴纳社保证明（提供被委托人及法人近六个月个人明细表，缴费凭证）。</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0"/>
                <w:highlight w:val="none"/>
                <w:lang w:val="en-US" w:eastAsia="zh-CN" w:bidi="ar-SA"/>
              </w:rPr>
            </w:pPr>
            <w:r>
              <w:rPr>
                <w:rFonts w:hint="eastAsia" w:ascii="宋体" w:hAnsi="宋体" w:eastAsia="宋体" w:cs="宋体"/>
                <w:kern w:val="2"/>
                <w:sz w:val="24"/>
                <w:szCs w:val="20"/>
                <w:highlight w:val="none"/>
                <w:lang w:val="en-US" w:eastAsia="zh-CN" w:bidi="ar-SA"/>
              </w:rPr>
              <w:t>（3）具有良好的商业信誉和健全的财务会计制度（需提供会计事务所出具2021年度财务审计报告，2021年10月以后成立的公司可不提供但需提供银行出具的近三个月的资信证明）。</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0"/>
                <w:highlight w:val="none"/>
                <w:lang w:val="en-US" w:eastAsia="zh-CN" w:bidi="ar-SA"/>
              </w:rPr>
            </w:pPr>
            <w:r>
              <w:rPr>
                <w:rFonts w:hint="eastAsia" w:ascii="宋体" w:hAnsi="宋体" w:eastAsia="宋体" w:cs="宋体"/>
                <w:kern w:val="2"/>
                <w:sz w:val="24"/>
                <w:szCs w:val="20"/>
                <w:highlight w:val="none"/>
                <w:lang w:val="en-US" w:eastAsia="zh-CN" w:bidi="ar-SA"/>
              </w:rPr>
              <w:t>（4）提供税务机关出具近三个月的完税证明，以填发日期为准。（新成立公司按实际发生提供）。</w:t>
            </w:r>
          </w:p>
          <w:p>
            <w:pPr>
              <w:pStyle w:val="29"/>
              <w:numPr>
                <w:ilvl w:val="0"/>
                <w:numId w:val="0"/>
              </w:numPr>
              <w:rPr>
                <w:rFonts w:hint="eastAsia" w:ascii="宋体" w:hAnsi="宋体" w:eastAsia="宋体" w:cs="宋体"/>
                <w:kern w:val="2"/>
                <w:sz w:val="24"/>
                <w:szCs w:val="20"/>
                <w:highlight w:val="none"/>
                <w:lang w:val="en-US" w:eastAsia="zh-CN" w:bidi="ar-SA"/>
              </w:rPr>
            </w:pPr>
            <w:r>
              <w:rPr>
                <w:rFonts w:hint="eastAsia" w:ascii="宋体" w:hAnsi="宋体" w:eastAsia="宋体" w:cs="宋体"/>
                <w:kern w:val="2"/>
                <w:sz w:val="24"/>
                <w:szCs w:val="20"/>
                <w:highlight w:val="none"/>
                <w:lang w:val="en-US" w:eastAsia="zh-CN" w:bidi="ar-SA"/>
              </w:rPr>
              <w:t>（5）凡拟参加本次采购项目的投标企业如在“信用中国”网站(www.creditchina.gov.cn)被列入失信被执行人、重大税收违法案件当事人名单、政府采购严重违法失信行为记录名单的、中国政府釆购网(www.ccgp.gov.cn)政府采购严重违法失信行为记录名单的、国家企业信用信息公示系统(www.gsxt.gov.cn)经营异常名录的（尚在处罚期内的），将拒绝其参与本次政府釆购活动；（开标现场查验）</w:t>
            </w:r>
          </w:p>
          <w:p>
            <w:pPr>
              <w:spacing w:line="360" w:lineRule="auto"/>
              <w:rPr>
                <w:rFonts w:hint="eastAsia" w:ascii="宋体" w:hAnsi="宋体" w:eastAsia="宋体" w:cs="宋体"/>
                <w:kern w:val="2"/>
                <w:sz w:val="24"/>
                <w:szCs w:val="20"/>
                <w:highlight w:val="none"/>
                <w:lang w:val="en-US" w:eastAsia="zh-CN" w:bidi="ar-SA"/>
              </w:rPr>
            </w:pPr>
            <w:r>
              <w:rPr>
                <w:rFonts w:hint="eastAsia" w:ascii="宋体" w:hAnsi="宋体" w:eastAsia="宋体" w:cs="宋体"/>
                <w:kern w:val="2"/>
                <w:sz w:val="24"/>
                <w:szCs w:val="20"/>
                <w:highlight w:val="none"/>
                <w:lang w:val="en-US" w:eastAsia="zh-CN" w:bidi="ar-SA"/>
              </w:rPr>
              <w:t>（6）参加政府采购活动前三年内，在经营活动中没有重大违法记录，无失信行为，（投标人须出具企业及法定代表人无重大违法记录承诺书，无失信行为承诺书）；</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0"/>
                <w:highlight w:val="none"/>
                <w:lang w:val="en-US" w:eastAsia="zh-CN" w:bidi="ar-SA"/>
              </w:rPr>
            </w:pPr>
            <w:r>
              <w:rPr>
                <w:rFonts w:hint="eastAsia" w:ascii="宋体" w:hAnsi="宋体" w:eastAsia="宋体" w:cs="宋体"/>
                <w:kern w:val="2"/>
                <w:sz w:val="24"/>
                <w:szCs w:val="20"/>
                <w:highlight w:val="none"/>
                <w:lang w:val="en-US" w:eastAsia="zh-CN" w:bidi="ar-SA"/>
              </w:rPr>
              <w:t>（7）企业负责人为同一人或者存在直接控股、管理关系的不同磋商响应人，不得参加同一合同项下的政府采购活动。否则，皆取消投标资格。</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0"/>
                <w:highlight w:val="none"/>
                <w:lang w:val="en-US" w:eastAsia="zh-CN" w:bidi="ar-SA"/>
              </w:rPr>
            </w:pPr>
            <w:r>
              <w:rPr>
                <w:rFonts w:hint="eastAsia" w:ascii="宋体" w:hAnsi="宋体" w:eastAsia="宋体" w:cs="宋体"/>
                <w:kern w:val="2"/>
                <w:sz w:val="24"/>
                <w:szCs w:val="20"/>
                <w:highlight w:val="none"/>
                <w:lang w:val="en-US" w:eastAsia="zh-CN" w:bidi="ar-SA"/>
              </w:rPr>
              <w:t>（8）投标保证金回单（加盖公章）</w:t>
            </w:r>
          </w:p>
          <w:p>
            <w:pPr>
              <w:spacing w:line="360" w:lineRule="auto"/>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注：以上证件由监督人查验，未按照要求提供者，其响应文件将被拒绝评审。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36" w:lineRule="auto"/>
              <w:jc w:val="center"/>
              <w:textAlignment w:val="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30</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rPr>
              <w:t>谈判答疑</w:t>
            </w:r>
          </w:p>
        </w:tc>
        <w:tc>
          <w:tcPr>
            <w:tcW w:w="71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both"/>
              <w:rPr>
                <w:rFonts w:hint="eastAsia" w:ascii="宋体" w:hAnsi="宋体" w:eastAsia="宋体" w:cs="Times New Roman"/>
                <w:color w:val="000000"/>
                <w:sz w:val="24"/>
                <w:highlight w:val="yellow"/>
                <w:lang w:val="en-US" w:eastAsia="zh-CN"/>
              </w:rPr>
            </w:pPr>
            <w:r>
              <w:rPr>
                <w:rFonts w:hint="eastAsia" w:ascii="宋体" w:hAnsi="宋体" w:eastAsia="宋体" w:cs="宋体"/>
                <w:color w:val="000000"/>
                <w:sz w:val="24"/>
                <w:highlight w:val="none"/>
              </w:rPr>
              <w:t>自</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发售时间起的</w:t>
            </w:r>
            <w:r>
              <w:rPr>
                <w:rFonts w:hint="eastAsia" w:ascii="宋体" w:hAnsi="宋体" w:eastAsia="宋体" w:cs="宋体"/>
                <w:color w:val="000000"/>
                <w:sz w:val="24"/>
                <w:highlight w:val="none"/>
                <w:lang w:eastAsia="zh-CN"/>
              </w:rPr>
              <w:t>三</w:t>
            </w:r>
            <w:r>
              <w:rPr>
                <w:rFonts w:hint="eastAsia" w:ascii="宋体" w:hAnsi="宋体" w:eastAsia="宋体" w:cs="宋体"/>
                <w:color w:val="000000"/>
                <w:sz w:val="24"/>
                <w:highlight w:val="none"/>
              </w:rPr>
              <w:t>个工作日内（各潜在投标人如有质疑，请于规定的日期内提出，以书面形式提出质疑，质疑书应列明理由、依据，加盖单位公章递交至</w:t>
            </w:r>
            <w:r>
              <w:rPr>
                <w:rFonts w:hint="eastAsia" w:ascii="宋体" w:hAnsi="宋体" w:eastAsia="宋体" w:cs="宋体"/>
                <w:color w:val="000000"/>
                <w:sz w:val="24"/>
                <w:highlight w:val="none"/>
                <w:lang w:eastAsia="zh-CN"/>
              </w:rPr>
              <w:t>鼎建项目管理有限公司</w:t>
            </w:r>
            <w:r>
              <w:rPr>
                <w:rFonts w:hint="eastAsia" w:ascii="宋体" w:hAnsi="宋体" w:eastAsia="宋体" w:cs="宋体"/>
                <w:color w:val="000000"/>
                <w:sz w:val="24"/>
                <w:highlight w:val="none"/>
              </w:rPr>
              <w:t>；投标人须对质疑内容的真实性承担责任，由</w:t>
            </w: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人或</w:t>
            </w: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代理机构负责解释。如在规定的日期内未收到任何投标人递交的质疑书，视为投标人可完全响应。）</w:t>
            </w:r>
          </w:p>
        </w:tc>
      </w:tr>
      <w:bookmarkEnd w:id="17"/>
      <w:bookmarkEnd w:id="18"/>
    </w:tbl>
    <w:p>
      <w:pPr>
        <w:spacing w:line="360" w:lineRule="auto"/>
        <w:ind w:firstLine="883" w:firstLineChars="200"/>
        <w:jc w:val="center"/>
        <w:outlineLvl w:val="1"/>
        <w:rPr>
          <w:rFonts w:hint="eastAsia" w:ascii="宋体" w:hAnsi="宋体" w:eastAsia="宋体" w:cs="宋体"/>
          <w:b/>
          <w:sz w:val="44"/>
          <w:szCs w:val="44"/>
          <w:highlight w:val="none"/>
          <w:lang w:val="en-US" w:eastAsia="zh-CN"/>
        </w:rPr>
      </w:pPr>
    </w:p>
    <w:p>
      <w:pPr>
        <w:spacing w:line="360" w:lineRule="auto"/>
        <w:ind w:firstLine="883" w:firstLineChars="200"/>
        <w:jc w:val="center"/>
        <w:outlineLvl w:val="1"/>
        <w:rPr>
          <w:rFonts w:hint="eastAsia" w:ascii="宋体" w:hAnsi="宋体" w:eastAsia="宋体" w:cs="宋体"/>
          <w:b/>
          <w:sz w:val="44"/>
          <w:szCs w:val="44"/>
          <w:highlight w:val="none"/>
          <w:lang w:val="en-US" w:eastAsia="zh-CN"/>
        </w:rPr>
      </w:pPr>
    </w:p>
    <w:p>
      <w:pPr>
        <w:spacing w:line="360" w:lineRule="auto"/>
        <w:ind w:firstLine="883" w:firstLineChars="200"/>
        <w:jc w:val="center"/>
        <w:outlineLvl w:val="1"/>
        <w:rPr>
          <w:rFonts w:hint="eastAsia" w:ascii="宋体" w:hAnsi="宋体" w:eastAsia="宋体" w:cs="宋体"/>
          <w:b/>
          <w:sz w:val="44"/>
          <w:szCs w:val="44"/>
          <w:highlight w:val="none"/>
          <w:lang w:val="en-US" w:eastAsia="zh-CN"/>
        </w:rPr>
      </w:pPr>
    </w:p>
    <w:p>
      <w:pPr>
        <w:spacing w:line="360" w:lineRule="auto"/>
        <w:ind w:firstLine="883" w:firstLineChars="200"/>
        <w:jc w:val="center"/>
        <w:outlineLvl w:val="1"/>
        <w:rPr>
          <w:rFonts w:hint="eastAsia" w:ascii="宋体" w:hAnsi="宋体" w:eastAsia="宋体" w:cs="宋体"/>
          <w:b/>
          <w:sz w:val="44"/>
          <w:szCs w:val="44"/>
          <w:highlight w:val="none"/>
          <w:lang w:val="en-US" w:eastAsia="zh-CN"/>
        </w:rPr>
      </w:pPr>
    </w:p>
    <w:p>
      <w:pPr>
        <w:spacing w:line="360" w:lineRule="auto"/>
        <w:ind w:firstLine="883" w:firstLineChars="200"/>
        <w:jc w:val="center"/>
        <w:outlineLvl w:val="1"/>
        <w:rPr>
          <w:rFonts w:hint="eastAsia" w:ascii="宋体" w:hAnsi="宋体" w:eastAsia="宋体" w:cs="宋体"/>
          <w:b/>
          <w:sz w:val="44"/>
          <w:szCs w:val="44"/>
          <w:highlight w:val="none"/>
          <w:lang w:val="en-US" w:eastAsia="zh-CN"/>
        </w:rPr>
      </w:pPr>
    </w:p>
    <w:p>
      <w:pPr>
        <w:spacing w:line="360" w:lineRule="auto"/>
        <w:ind w:firstLine="883" w:firstLineChars="200"/>
        <w:jc w:val="center"/>
        <w:outlineLvl w:val="1"/>
        <w:rPr>
          <w:rFonts w:hint="eastAsia" w:ascii="宋体" w:hAnsi="宋体" w:eastAsia="宋体" w:cs="宋体"/>
          <w:b/>
          <w:sz w:val="44"/>
          <w:szCs w:val="44"/>
          <w:highlight w:val="none"/>
          <w:lang w:val="en-US" w:eastAsia="zh-CN"/>
        </w:rPr>
      </w:pPr>
    </w:p>
    <w:p>
      <w:pPr>
        <w:spacing w:line="360" w:lineRule="auto"/>
        <w:ind w:firstLine="883" w:firstLineChars="200"/>
        <w:jc w:val="center"/>
        <w:outlineLvl w:val="1"/>
        <w:rPr>
          <w:rFonts w:hint="default" w:ascii="宋体" w:hAnsi="宋体" w:eastAsia="宋体" w:cs="宋体"/>
          <w:b/>
          <w:sz w:val="44"/>
          <w:szCs w:val="44"/>
          <w:highlight w:val="none"/>
          <w:lang w:val="en-US" w:eastAsia="zh-CN"/>
        </w:rPr>
      </w:pPr>
      <w:r>
        <w:rPr>
          <w:rFonts w:hint="eastAsia" w:ascii="宋体" w:hAnsi="宋体" w:eastAsia="宋体" w:cs="宋体"/>
          <w:b/>
          <w:sz w:val="44"/>
          <w:szCs w:val="44"/>
          <w:highlight w:val="none"/>
          <w:lang w:val="en-US" w:eastAsia="zh-CN"/>
        </w:rPr>
        <w:t>第一章</w:t>
      </w:r>
    </w:p>
    <w:p>
      <w:pPr>
        <w:spacing w:line="360" w:lineRule="auto"/>
        <w:ind w:firstLine="482" w:firstLineChars="200"/>
        <w:jc w:val="left"/>
        <w:rPr>
          <w:rFonts w:hint="eastAsia" w:ascii="宋体" w:hAnsi="宋体" w:eastAsia="宋体" w:cs="宋体"/>
          <w:sz w:val="24"/>
          <w:highlight w:val="none"/>
        </w:rPr>
      </w:pPr>
      <w:bookmarkStart w:id="19" w:name="_Toc3132"/>
      <w:r>
        <w:rPr>
          <w:rFonts w:hint="eastAsia" w:ascii="宋体" w:hAnsi="宋体" w:eastAsia="宋体" w:cs="宋体"/>
          <w:b/>
          <w:bCs/>
          <w:sz w:val="24"/>
          <w:highlight w:val="none"/>
        </w:rPr>
        <w:t>（一）采购方式</w:t>
      </w:r>
      <w:bookmarkEnd w:id="19"/>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本项目采取竞争性磋商的招标方式采购。</w:t>
      </w:r>
    </w:p>
    <w:p>
      <w:pPr>
        <w:spacing w:line="360" w:lineRule="auto"/>
        <w:ind w:firstLine="482" w:firstLineChars="200"/>
        <w:jc w:val="left"/>
        <w:rPr>
          <w:rFonts w:hint="eastAsia" w:ascii="宋体" w:hAnsi="宋体" w:eastAsia="宋体" w:cs="宋体"/>
          <w:b/>
          <w:bCs/>
          <w:sz w:val="24"/>
          <w:highlight w:val="none"/>
          <w:lang w:eastAsia="zh-CN"/>
        </w:rPr>
      </w:pPr>
      <w:bookmarkStart w:id="20" w:name="_Toc14076"/>
      <w:r>
        <w:rPr>
          <w:rFonts w:hint="eastAsia" w:ascii="宋体" w:hAnsi="宋体" w:eastAsia="宋体" w:cs="宋体"/>
          <w:b/>
          <w:bCs/>
          <w:sz w:val="24"/>
          <w:highlight w:val="none"/>
        </w:rPr>
        <w:t>（二）合格的</w:t>
      </w:r>
      <w:r>
        <w:rPr>
          <w:rFonts w:hint="eastAsia" w:ascii="宋体" w:hAnsi="宋体" w:eastAsia="宋体" w:cs="宋体"/>
          <w:b/>
          <w:bCs/>
          <w:sz w:val="24"/>
          <w:highlight w:val="none"/>
          <w:lang w:eastAsia="zh-CN"/>
        </w:rPr>
        <w:t>供应商</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1、合格的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必须是有能力按照本竞争性磋商文件规定的要求提供服务，且具有独立承担民事等法律责任的法人或其它经济组织，本次磋商不接受联合体投标。</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sz w:val="24"/>
          <w:highlight w:val="none"/>
        </w:rPr>
        <w:t>2、合格的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必须符合竞争性磋商文件第一部分《竞争性磋商招标公告》</w:t>
      </w:r>
      <w:r>
        <w:rPr>
          <w:rFonts w:hint="eastAsia" w:ascii="宋体" w:hAnsi="宋体" w:eastAsia="宋体" w:cs="宋体"/>
          <w:color w:val="auto"/>
          <w:sz w:val="24"/>
          <w:highlight w:val="none"/>
        </w:rPr>
        <w:t>第</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条规定，且具备独立完成本项目的能力。</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3、合格的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应遵守中华人民共和国《政府</w:t>
      </w:r>
      <w:r>
        <w:rPr>
          <w:rFonts w:hint="eastAsia" w:ascii="宋体" w:hAnsi="宋体" w:eastAsia="宋体" w:cs="宋体"/>
          <w:sz w:val="24"/>
          <w:highlight w:val="none"/>
          <w:lang w:val="en-US" w:eastAsia="zh-CN"/>
        </w:rPr>
        <w:t>采购</w:t>
      </w:r>
      <w:r>
        <w:rPr>
          <w:rFonts w:hint="eastAsia" w:ascii="宋体" w:hAnsi="宋体" w:eastAsia="宋体" w:cs="宋体"/>
          <w:sz w:val="24"/>
          <w:highlight w:val="none"/>
        </w:rPr>
        <w:t>法》</w:t>
      </w:r>
      <w:r>
        <w:rPr>
          <w:rFonts w:hint="eastAsia" w:ascii="宋体" w:hAnsi="宋体" w:eastAsia="宋体" w:cs="宋体"/>
          <w:sz w:val="24"/>
          <w:highlight w:val="none"/>
          <w:lang w:eastAsia="zh-CN"/>
        </w:rPr>
        <w:t>、</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政府采购法实施条例</w:t>
      </w:r>
      <w:r>
        <w:rPr>
          <w:rFonts w:hint="eastAsia" w:ascii="宋体" w:hAnsi="宋体" w:eastAsia="宋体" w:cs="宋体"/>
          <w:sz w:val="24"/>
          <w:highlight w:val="none"/>
        </w:rPr>
        <w:t>》和《反不正当竞争法》等有关法律、法规。</w:t>
      </w:r>
    </w:p>
    <w:p>
      <w:pPr>
        <w:spacing w:line="360" w:lineRule="auto"/>
        <w:ind w:firstLine="482" w:firstLineChars="200"/>
        <w:jc w:val="left"/>
        <w:rPr>
          <w:rFonts w:hint="eastAsia" w:ascii="宋体" w:hAnsi="宋体" w:eastAsia="宋体" w:cs="宋体"/>
          <w:sz w:val="24"/>
          <w:highlight w:val="none"/>
        </w:rPr>
      </w:pPr>
      <w:r>
        <w:rPr>
          <w:rFonts w:hint="eastAsia" w:ascii="宋体" w:hAnsi="宋体" w:eastAsia="宋体" w:cs="宋体"/>
          <w:b/>
          <w:bCs/>
          <w:sz w:val="24"/>
          <w:highlight w:val="none"/>
        </w:rPr>
        <w:t>（三）适用法律</w:t>
      </w:r>
      <w:bookmarkEnd w:id="20"/>
    </w:p>
    <w:p>
      <w:pPr>
        <w:spacing w:line="360" w:lineRule="auto"/>
        <w:ind w:firstLine="480" w:firstLineChars="200"/>
        <w:jc w:val="left"/>
        <w:rPr>
          <w:rFonts w:hint="eastAsia" w:ascii="宋体" w:hAnsi="宋体" w:eastAsia="宋体" w:cs="宋体"/>
          <w:sz w:val="24"/>
          <w:highlight w:val="none"/>
        </w:rPr>
      </w:pPr>
      <w:bookmarkStart w:id="21" w:name="_Toc24127"/>
      <w:r>
        <w:rPr>
          <w:rFonts w:hint="eastAsia" w:ascii="宋体" w:hAnsi="宋体" w:eastAsia="宋体" w:cs="宋体"/>
          <w:sz w:val="24"/>
          <w:highlight w:val="none"/>
        </w:rPr>
        <w:t>本次磋商及由本次磋商产生的合同受中华人民共和国的相关法律、法规制约和保护。</w:t>
      </w:r>
    </w:p>
    <w:p>
      <w:pPr>
        <w:spacing w:line="360" w:lineRule="auto"/>
        <w:ind w:firstLine="482" w:firstLineChars="200"/>
        <w:jc w:val="left"/>
        <w:rPr>
          <w:rFonts w:hint="eastAsia" w:ascii="宋体" w:hAnsi="宋体" w:eastAsia="宋体" w:cs="宋体"/>
          <w:b/>
          <w:bCs/>
          <w:sz w:val="24"/>
          <w:highlight w:val="none"/>
        </w:rPr>
      </w:pPr>
      <w:r>
        <w:rPr>
          <w:rFonts w:hint="eastAsia" w:ascii="宋体" w:hAnsi="宋体" w:eastAsia="宋体" w:cs="宋体"/>
          <w:b/>
          <w:bCs/>
          <w:sz w:val="24"/>
          <w:highlight w:val="none"/>
        </w:rPr>
        <w:t>（四）</w:t>
      </w:r>
      <w:bookmarkEnd w:id="21"/>
      <w:bookmarkStart w:id="22" w:name="_Toc15005"/>
      <w:r>
        <w:rPr>
          <w:rFonts w:hint="eastAsia" w:ascii="宋体" w:hAnsi="宋体" w:eastAsia="宋体" w:cs="宋体"/>
          <w:b/>
          <w:bCs/>
          <w:sz w:val="24"/>
          <w:highlight w:val="none"/>
        </w:rPr>
        <w:t>竞争性磋商文件的约束力</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eastAsia="zh-CN"/>
        </w:rPr>
        <w:t>供应商</w:t>
      </w:r>
      <w:r>
        <w:rPr>
          <w:rFonts w:hint="eastAsia" w:ascii="宋体" w:hAnsi="宋体" w:eastAsia="宋体" w:cs="宋体"/>
          <w:sz w:val="24"/>
          <w:highlight w:val="none"/>
        </w:rPr>
        <w:t>一旦报名参加本项目竞标，即被认为接受了本竞争性磋商文件中的所有条件和规定。</w:t>
      </w:r>
    </w:p>
    <w:bookmarkEnd w:id="22"/>
    <w:p>
      <w:pPr>
        <w:spacing w:line="360" w:lineRule="auto"/>
        <w:ind w:firstLine="562" w:firstLineChars="200"/>
        <w:jc w:val="center"/>
        <w:outlineLvl w:val="1"/>
        <w:rPr>
          <w:rFonts w:hint="eastAsia" w:ascii="宋体" w:hAnsi="宋体" w:eastAsia="宋体" w:cs="宋体"/>
          <w:b/>
          <w:sz w:val="32"/>
          <w:szCs w:val="32"/>
          <w:highlight w:val="none"/>
        </w:rPr>
      </w:pPr>
      <w:bookmarkStart w:id="23" w:name="_Toc22908"/>
      <w:bookmarkStart w:id="24" w:name="_Toc26674"/>
      <w:r>
        <w:rPr>
          <w:rFonts w:hint="eastAsia" w:ascii="宋体" w:hAnsi="宋体" w:eastAsia="宋体" w:cs="宋体"/>
          <w:b/>
          <w:sz w:val="28"/>
          <w:szCs w:val="28"/>
          <w:highlight w:val="none"/>
        </w:rPr>
        <w:t>二、</w:t>
      </w:r>
      <w:bookmarkEnd w:id="23"/>
      <w:bookmarkEnd w:id="24"/>
      <w:r>
        <w:rPr>
          <w:rFonts w:hint="eastAsia" w:ascii="宋体" w:hAnsi="宋体" w:eastAsia="宋体" w:cs="宋体"/>
          <w:b/>
          <w:sz w:val="28"/>
          <w:szCs w:val="28"/>
          <w:highlight w:val="none"/>
        </w:rPr>
        <w:t>竞争性磋商文件</w:t>
      </w:r>
    </w:p>
    <w:p>
      <w:pPr>
        <w:spacing w:line="360" w:lineRule="auto"/>
        <w:ind w:firstLine="482" w:firstLineChars="200"/>
        <w:jc w:val="left"/>
        <w:rPr>
          <w:rFonts w:hint="eastAsia" w:ascii="宋体" w:hAnsi="宋体" w:eastAsia="宋体" w:cs="宋体"/>
          <w:sz w:val="24"/>
          <w:highlight w:val="none"/>
        </w:rPr>
      </w:pPr>
      <w:bookmarkStart w:id="25" w:name="_Toc8615"/>
      <w:r>
        <w:rPr>
          <w:rFonts w:hint="eastAsia" w:ascii="宋体" w:hAnsi="宋体" w:eastAsia="宋体" w:cs="宋体"/>
          <w:b/>
          <w:bCs/>
          <w:sz w:val="24"/>
          <w:highlight w:val="none"/>
        </w:rPr>
        <w:t>（</w:t>
      </w:r>
      <w:r>
        <w:rPr>
          <w:rFonts w:hint="eastAsia" w:ascii="宋体" w:hAnsi="宋体" w:eastAsia="宋体" w:cs="宋体"/>
          <w:b/>
          <w:bCs/>
          <w:sz w:val="24"/>
          <w:highlight w:val="none"/>
          <w:lang w:eastAsia="zh-CN"/>
        </w:rPr>
        <w:t>一</w:t>
      </w:r>
      <w:r>
        <w:rPr>
          <w:rFonts w:hint="eastAsia" w:ascii="宋体" w:hAnsi="宋体" w:eastAsia="宋体" w:cs="宋体"/>
          <w:b/>
          <w:bCs/>
          <w:sz w:val="24"/>
          <w:highlight w:val="none"/>
        </w:rPr>
        <w:t>）竞争性磋商文件构成</w:t>
      </w:r>
      <w:bookmarkEnd w:id="25"/>
    </w:p>
    <w:p>
      <w:pPr>
        <w:spacing w:line="360" w:lineRule="auto"/>
        <w:ind w:firstLine="480" w:firstLineChars="200"/>
        <w:rPr>
          <w:rFonts w:hint="eastAsia" w:ascii="宋体" w:hAnsi="宋体" w:eastAsia="宋体" w:cs="宋体"/>
          <w:sz w:val="24"/>
          <w:highlight w:val="none"/>
        </w:rPr>
      </w:pPr>
      <w:bookmarkStart w:id="26" w:name="_Toc22722"/>
      <w:r>
        <w:rPr>
          <w:rFonts w:hint="eastAsia" w:ascii="宋体" w:hAnsi="宋体" w:eastAsia="宋体" w:cs="宋体"/>
          <w:sz w:val="24"/>
          <w:highlight w:val="none"/>
        </w:rPr>
        <w:t>竞争性磋商招标公告；</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供应商须知；</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授予合同；</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项目招标要求及说明；</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响应文件格式。</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eastAsia="zh-CN"/>
        </w:rPr>
        <w:t>供应商</w:t>
      </w:r>
      <w:r>
        <w:rPr>
          <w:rFonts w:hint="eastAsia" w:ascii="宋体" w:hAnsi="宋体" w:eastAsia="宋体" w:cs="宋体"/>
          <w:sz w:val="24"/>
          <w:highlight w:val="none"/>
        </w:rPr>
        <w:t>获取竞争性磋商文件后，应仔细检查磋商文件的所有内容，如有残缺等问题应在获得谈判文件3日内向采购人提出，否则，由此引起的损失由磋商响应人自己承担。磋商响应人同时应认真审阅磋商文件中所有的事项、格式、条款和规范要求等，若磋商响应人的磋商响应文件没有按磋商文件要求提交全部资料，或磋商响应文件没有对磋商文件做出实质性响应，其风险由磋商响应人自行承担，并根据有关条款规定，该磋商响应文件有可能被拒绝。</w:t>
      </w:r>
    </w:p>
    <w:p>
      <w:pPr>
        <w:spacing w:line="360" w:lineRule="auto"/>
        <w:ind w:firstLine="482" w:firstLineChars="200"/>
        <w:rPr>
          <w:rFonts w:hint="eastAsia" w:ascii="宋体" w:hAnsi="宋体" w:eastAsia="宋体" w:cs="宋体"/>
          <w:sz w:val="24"/>
          <w:highlight w:val="none"/>
        </w:rPr>
      </w:pPr>
      <w:r>
        <w:rPr>
          <w:rFonts w:hint="eastAsia" w:ascii="宋体" w:hAnsi="宋体" w:eastAsia="宋体" w:cs="宋体"/>
          <w:b/>
          <w:bCs/>
          <w:sz w:val="24"/>
          <w:highlight w:val="none"/>
        </w:rPr>
        <w:t>（</w:t>
      </w:r>
      <w:r>
        <w:rPr>
          <w:rFonts w:hint="eastAsia" w:ascii="宋体" w:hAnsi="宋体" w:eastAsia="宋体" w:cs="宋体"/>
          <w:b/>
          <w:bCs/>
          <w:sz w:val="24"/>
          <w:highlight w:val="none"/>
          <w:lang w:eastAsia="zh-CN"/>
        </w:rPr>
        <w:t>二</w:t>
      </w:r>
      <w:r>
        <w:rPr>
          <w:rFonts w:hint="eastAsia" w:ascii="宋体" w:hAnsi="宋体" w:eastAsia="宋体" w:cs="宋体"/>
          <w:b/>
          <w:bCs/>
          <w:sz w:val="24"/>
          <w:highlight w:val="none"/>
        </w:rPr>
        <w:t>）竞争性磋商文件的澄清</w:t>
      </w:r>
      <w:bookmarkEnd w:id="26"/>
    </w:p>
    <w:p>
      <w:pPr>
        <w:spacing w:line="500" w:lineRule="exact"/>
        <w:ind w:firstLine="480"/>
        <w:rPr>
          <w:rFonts w:hint="eastAsia" w:ascii="宋体" w:hAnsi="宋体" w:eastAsia="宋体" w:cs="宋体"/>
          <w:bCs/>
          <w:kern w:val="2"/>
          <w:sz w:val="24"/>
          <w:szCs w:val="20"/>
        </w:rPr>
      </w:pPr>
      <w:bookmarkStart w:id="27" w:name="_Toc19148"/>
      <w:r>
        <w:rPr>
          <w:rFonts w:hint="eastAsia" w:ascii="宋体" w:hAnsi="宋体" w:eastAsia="宋体" w:cs="宋体"/>
          <w:sz w:val="24"/>
          <w:highlight w:val="none"/>
        </w:rPr>
        <w:t>自采购文件发售时间起的三个工作日内（各潜在投标人如有质疑，请于规定的日期内提出，以书面形式提出质疑，质疑书应列明理由、依据，加盖单位公章递交至鼎建项目管理有限公司；投标人须对质疑内容的真实性承担责任，由采购人或采购代理机构负责解释。如在规定的日期内未收到任何投标人递交的质疑书，视为投标人可完全响应。）采购代理机构对规定时间内收到的澄清要求以书面形式予以答复，</w:t>
      </w:r>
      <w:r>
        <w:rPr>
          <w:rFonts w:hint="eastAsia" w:ascii="宋体" w:hAnsi="宋体" w:eastAsia="宋体" w:cs="宋体"/>
          <w:bCs/>
          <w:kern w:val="2"/>
          <w:sz w:val="24"/>
          <w:szCs w:val="20"/>
        </w:rPr>
        <w:t>代理机构将答复发给所有谈判文件收受人( 包括对要求澄清问题的说明，但不指明问题的来源。</w:t>
      </w:r>
    </w:p>
    <w:p>
      <w:pPr>
        <w:spacing w:line="360" w:lineRule="auto"/>
        <w:ind w:firstLine="482" w:firstLineChars="200"/>
        <w:jc w:val="left"/>
        <w:rPr>
          <w:rFonts w:hint="eastAsia" w:ascii="宋体" w:hAnsi="宋体" w:eastAsia="宋体" w:cs="宋体"/>
          <w:b/>
          <w:bCs/>
          <w:sz w:val="24"/>
          <w:highlight w:val="none"/>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三</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竞争性磋商文件的修改</w:t>
      </w:r>
      <w:bookmarkEnd w:id="27"/>
    </w:p>
    <w:p>
      <w:pPr>
        <w:spacing w:line="360" w:lineRule="auto"/>
        <w:ind w:firstLine="480" w:firstLineChars="200"/>
        <w:jc w:val="left"/>
        <w:rPr>
          <w:rFonts w:hint="eastAsia" w:ascii="宋体" w:hAnsi="宋体" w:eastAsia="宋体" w:cs="宋体"/>
          <w:sz w:val="24"/>
          <w:highlight w:val="none"/>
        </w:rPr>
      </w:pPr>
      <w:bookmarkStart w:id="28" w:name="_Toc13840"/>
      <w:bookmarkStart w:id="29" w:name="_Toc7177"/>
      <w:r>
        <w:rPr>
          <w:rFonts w:hint="eastAsia" w:ascii="宋体" w:hAnsi="宋体" w:eastAsia="宋体" w:cs="宋体"/>
          <w:sz w:val="24"/>
          <w:highlight w:val="none"/>
        </w:rPr>
        <w:t>1、在响应文件接收截止日期前，采购人可以更正公告或补充文件的形式对竞争性磋商文件进行修改。</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2、竞争性磋商文件的修改将以书面形式通知所有已报名</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，并对</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具有约束力。</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收到修改文件后，应于1个工作日内回复采购人，逾期不回的，视同已收。</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3、为使</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有充分的时间对竞争性磋商文件的修改部分进行分析、研究，采购人有权推迟响应文件接收截止日期和磋商时间，并将此变更书面通知所有购买竞争性磋商文件的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4、采购人发出的所有补充、修改和变更文件均作为竞争性磋商文件的组成部分，与竞争性磋商文件具有同等法律效力。</w:t>
      </w:r>
    </w:p>
    <w:p>
      <w:pPr>
        <w:spacing w:line="360" w:lineRule="auto"/>
        <w:ind w:firstLine="562" w:firstLineChars="200"/>
        <w:jc w:val="center"/>
        <w:outlineLvl w:val="1"/>
        <w:rPr>
          <w:rFonts w:hint="eastAsia" w:ascii="宋体" w:hAnsi="宋体" w:eastAsia="宋体" w:cs="宋体"/>
          <w:b/>
          <w:sz w:val="28"/>
          <w:szCs w:val="28"/>
          <w:highlight w:val="none"/>
        </w:rPr>
      </w:pPr>
      <w:r>
        <w:rPr>
          <w:rFonts w:hint="eastAsia" w:ascii="宋体" w:hAnsi="宋体" w:eastAsia="宋体" w:cs="宋体"/>
          <w:b/>
          <w:sz w:val="28"/>
          <w:szCs w:val="28"/>
          <w:highlight w:val="none"/>
        </w:rPr>
        <w:t>三、响应文件的编制</w:t>
      </w:r>
      <w:bookmarkEnd w:id="28"/>
      <w:bookmarkEnd w:id="29"/>
    </w:p>
    <w:p>
      <w:pPr>
        <w:spacing w:line="360" w:lineRule="auto"/>
        <w:ind w:firstLine="482" w:firstLineChars="200"/>
        <w:rPr>
          <w:rFonts w:hint="eastAsia" w:ascii="宋体" w:hAnsi="宋体" w:eastAsia="宋体" w:cs="宋体"/>
          <w:b/>
          <w:color w:val="000000"/>
          <w:sz w:val="24"/>
          <w:highlight w:val="none"/>
        </w:rPr>
      </w:pPr>
      <w:bookmarkStart w:id="30" w:name="_Toc32746"/>
      <w:r>
        <w:rPr>
          <w:rFonts w:hint="eastAsia" w:ascii="宋体" w:hAnsi="宋体" w:eastAsia="宋体" w:cs="宋体"/>
          <w:b/>
          <w:color w:val="000000"/>
          <w:sz w:val="24"/>
          <w:highlight w:val="none"/>
          <w:lang w:eastAsia="zh-CN"/>
        </w:rPr>
        <w:t>（一）</w:t>
      </w:r>
      <w:r>
        <w:rPr>
          <w:rFonts w:hint="eastAsia" w:ascii="宋体" w:hAnsi="宋体" w:eastAsia="宋体" w:cs="宋体"/>
          <w:b/>
          <w:color w:val="000000"/>
          <w:sz w:val="24"/>
          <w:highlight w:val="none"/>
        </w:rPr>
        <w:t>投标资质</w:t>
      </w:r>
    </w:p>
    <w:p>
      <w:pPr>
        <w:spacing w:line="360" w:lineRule="auto"/>
        <w:ind w:firstLine="480" w:firstLineChars="200"/>
        <w:jc w:val="left"/>
        <w:rPr>
          <w:rFonts w:hint="eastAsia" w:ascii="宋体" w:hAnsi="宋体" w:eastAsia="宋体" w:cs="宋体"/>
          <w:sz w:val="24"/>
          <w:highlight w:val="none"/>
          <w:lang w:val="en-US" w:eastAsia="zh-CN"/>
        </w:rPr>
      </w:pPr>
      <w:bookmarkStart w:id="31" w:name="_Toc13062_WPSOffice_Level2"/>
      <w:r>
        <w:rPr>
          <w:rFonts w:hint="eastAsia" w:ascii="宋体" w:hAnsi="宋体" w:eastAsia="宋体" w:cs="宋体"/>
          <w:sz w:val="24"/>
          <w:highlight w:val="none"/>
          <w:lang w:val="en-US" w:eastAsia="zh-CN"/>
        </w:rPr>
        <w:t>1.满足《中华人民共和国政府采购法》第二十二条规定；</w:t>
      </w:r>
    </w:p>
    <w:p>
      <w:pPr>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2.落实政府采购政策需满足的资格要求：</w:t>
      </w:r>
    </w:p>
    <w:p>
      <w:pPr>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（1）根据《政府采购促进中小企业发展管理办法》（财库﹝2020﹞46 号）。</w:t>
      </w:r>
    </w:p>
    <w:p>
      <w:pPr>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投标人及其所投产品的制造商均属于《工业和信息化部、国家统计局、国家发展和改革委员会、财政部关于印发中小企业划型标准规定的通知》(工信部联企业[2011]300号)中规定的小型、微型企业标准的，按招标文件格式提供《中小企业声明函》等政府采购政策。</w:t>
      </w:r>
    </w:p>
    <w:p>
      <w:pPr>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（3）《财政部发展改革委生态环境部市场监管总局关于调整优化节能产品、环境标志产品政府采购执行机制的通知》（财库〔2019〕9号） </w:t>
      </w:r>
    </w:p>
    <w:p>
      <w:pPr>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3.本项目的特定资格要求：</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（1）具有经年审合格的三证合一营业执照；</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法定代表人投标需携带法定代表人证明书及法定代表人身份证（原件），委托代理人投标需携带法定代表人授权委托书及委托代理人身份证（原件）；被委托人必须是投标单位正式员工，需提供社保部门出具的投标单位的缴纳社保证明（提供被委托人及法人近六个月个人明细表，缴费凭证）。</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（3）具有良好的商业信誉和健全的财务会计制度（需提供会计事务所出具2021年度财务审计报告，2021年10月以后成立的公司可不提供但需提供银行出具的近三个月的资信证明）。</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（4）提供税务机关出具近三个月的完税证明，以填发日期为准。（新成立公司按实际发生提供）。</w:t>
      </w:r>
    </w:p>
    <w:p>
      <w:pPr>
        <w:pStyle w:val="29"/>
        <w:numPr>
          <w:ilvl w:val="0"/>
          <w:numId w:val="0"/>
        </w:numP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拟参加本次采购项目的投标企业如在“信用中国”网站(www.creditchina.gov.cn)被列入失信被执行人、重大税收违法案件当事人名单、政府采购严重违法失信行为记录名单的、中国政府釆购网(www.ccgp.gov.cn)政府采购严重违法失信行为记录名单的、国家企业信用信息公示系统(www.gsxt.gov.cn)经营异常名录的（尚在处罚期内的），将拒绝其参与本次政府釆购活动；（开标现场查验）</w:t>
      </w:r>
    </w:p>
    <w:p>
      <w:pPr>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（6）参加政府采购活动前三年内，在经营活动中没有重大违法记录，无失信行为，（投标人须出具企业及法定代表人无重大违法记录承诺书，无失信行为承诺书）；</w:t>
      </w:r>
    </w:p>
    <w:p>
      <w:pPr>
        <w:pStyle w:val="19"/>
        <w:keepNext w:val="0"/>
        <w:keepLines w:val="0"/>
        <w:widowControl/>
        <w:suppressLineNumbers w:val="0"/>
        <w:spacing w:before="75" w:beforeAutospacing="0" w:after="75" w:afterAutospacing="0" w:line="360" w:lineRule="auto"/>
        <w:ind w:left="0" w:right="0"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（7）企业负责人为同一人或者存在直接控股、管理关系的不同磋商响应人，不得参加同一合同项下的政府采购活动。否则，皆取消投标资格。</w:t>
      </w:r>
    </w:p>
    <w:p>
      <w:pPr>
        <w:pStyle w:val="19"/>
        <w:keepNext w:val="0"/>
        <w:keepLines w:val="0"/>
        <w:widowControl/>
        <w:suppressLineNumbers w:val="0"/>
        <w:spacing w:before="75" w:beforeAutospacing="0" w:after="75" w:afterAutospacing="0" w:line="360" w:lineRule="auto"/>
        <w:ind w:left="0" w:right="0"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（8）投标保证金回单（加盖公章）</w:t>
      </w:r>
    </w:p>
    <w:p>
      <w:pPr>
        <w:pStyle w:val="19"/>
        <w:keepNext w:val="0"/>
        <w:keepLines w:val="0"/>
        <w:widowControl/>
        <w:suppressLineNumbers w:val="0"/>
        <w:spacing w:before="75" w:beforeAutospacing="0" w:after="75" w:afterAutospacing="0" w:line="360" w:lineRule="auto"/>
        <w:ind w:left="0" w:right="0" w:firstLine="240" w:firstLineChars="100"/>
        <w:rPr>
          <w:rFonts w:hint="eastAsia" w:ascii="宋体" w:hAnsi="宋体" w:eastAsia="宋体" w:cs="宋体"/>
          <w:kern w:val="2"/>
          <w:sz w:val="24"/>
          <w:szCs w:val="24"/>
          <w:highlight w:val="none"/>
          <w:lang w:val="en-US" w:eastAsia="zh-CN" w:bidi="ar-SA"/>
        </w:rPr>
      </w:pPr>
    </w:p>
    <w:p>
      <w:pPr>
        <w:spacing w:line="360" w:lineRule="auto"/>
        <w:ind w:firstLine="562" w:firstLineChars="20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lang w:eastAsia="zh-CN"/>
        </w:rPr>
        <w:t>响应文件</w:t>
      </w:r>
      <w:r>
        <w:rPr>
          <w:rFonts w:hint="eastAsia" w:ascii="宋体" w:hAnsi="宋体" w:eastAsia="宋体" w:cs="宋体"/>
          <w:b/>
          <w:sz w:val="28"/>
          <w:szCs w:val="28"/>
          <w:highlight w:val="none"/>
        </w:rPr>
        <w:t>的编写及编制顺序</w:t>
      </w:r>
      <w:bookmarkEnd w:id="31"/>
    </w:p>
    <w:p>
      <w:pPr>
        <w:ind w:firstLine="482" w:firstLineChars="200"/>
        <w:rPr>
          <w:rFonts w:hint="eastAsia" w:ascii="宋体" w:hAnsi="宋体" w:eastAsia="宋体" w:cs="宋体"/>
          <w:b/>
          <w:sz w:val="24"/>
          <w:highlight w:val="none"/>
        </w:rPr>
      </w:pPr>
      <w:r>
        <w:rPr>
          <w:rFonts w:hint="eastAsia" w:ascii="宋体" w:hAnsi="宋体" w:eastAsia="宋体" w:cs="宋体"/>
          <w:b/>
          <w:sz w:val="24"/>
          <w:highlight w:val="none"/>
          <w:lang w:eastAsia="zh-CN"/>
        </w:rPr>
        <w:t>（二）</w:t>
      </w:r>
      <w:r>
        <w:rPr>
          <w:rFonts w:hint="eastAsia" w:ascii="宋体" w:hAnsi="宋体" w:eastAsia="宋体" w:cs="宋体"/>
          <w:b/>
          <w:sz w:val="24"/>
          <w:highlight w:val="none"/>
        </w:rPr>
        <w:t>要求</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应详细阅读</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中的条款、规范、表示、条件和格式等所有内容，按</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的要求份数提供</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，并保证所提供部材料的真实性，以使其投标对</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做出实质性响应。否则，其投标会被拒绝。</w:t>
      </w:r>
    </w:p>
    <w:p>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lang w:eastAsia="zh-CN"/>
        </w:rPr>
        <w:t>（三）</w:t>
      </w:r>
      <w:r>
        <w:rPr>
          <w:rFonts w:hint="eastAsia" w:ascii="宋体" w:hAnsi="宋体" w:eastAsia="宋体" w:cs="宋体"/>
          <w:b/>
          <w:sz w:val="24"/>
          <w:highlight w:val="none"/>
        </w:rPr>
        <w:t xml:space="preserve"> </w:t>
      </w:r>
      <w:r>
        <w:rPr>
          <w:rFonts w:hint="eastAsia" w:ascii="宋体" w:hAnsi="宋体" w:eastAsia="宋体" w:cs="宋体"/>
          <w:b/>
          <w:sz w:val="24"/>
          <w:highlight w:val="none"/>
          <w:lang w:eastAsia="zh-CN"/>
        </w:rPr>
        <w:t>响应文件</w:t>
      </w:r>
      <w:r>
        <w:rPr>
          <w:rFonts w:hint="eastAsia" w:ascii="宋体" w:hAnsi="宋体" w:eastAsia="宋体" w:cs="宋体"/>
          <w:b/>
          <w:sz w:val="24"/>
          <w:highlight w:val="none"/>
        </w:rPr>
        <w:t>语言和度量单位</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及</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和采购人就本次采购交换的文件和往来信件，须以中文书写。</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除在</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的术规格中另有规定外，计量单位应使用中华人民共和国法定计量单位。</w:t>
      </w:r>
    </w:p>
    <w:p>
      <w:pPr>
        <w:spacing w:line="360" w:lineRule="auto"/>
        <w:ind w:firstLine="480" w:firstLineChars="200"/>
        <w:rPr>
          <w:rFonts w:hint="eastAsia" w:ascii="宋体" w:hAnsi="宋体" w:eastAsia="宋体" w:cs="宋体"/>
          <w:sz w:val="24"/>
          <w:highlight w:val="none"/>
        </w:rPr>
      </w:pPr>
      <w:bookmarkStart w:id="32" w:name="_Toc47261674"/>
      <w:bookmarkStart w:id="33" w:name="_Toc48791219"/>
      <w:bookmarkStart w:id="34" w:name="_Toc47261869"/>
      <w:bookmarkStart w:id="35" w:name="_Toc47261054"/>
      <w:bookmarkStart w:id="36" w:name="_Toc47418715"/>
      <w:bookmarkStart w:id="37" w:name="_Toc47418922"/>
      <w:bookmarkStart w:id="38" w:name="_Toc205342862"/>
      <w:bookmarkStart w:id="39" w:name="_Toc47418239"/>
      <w:bookmarkStart w:id="40" w:name="_Toc47262053"/>
      <w:bookmarkStart w:id="41" w:name="_Toc49019220"/>
      <w:bookmarkStart w:id="42" w:name="_Toc48995835"/>
      <w:r>
        <w:rPr>
          <w:rFonts w:hint="eastAsia" w:ascii="宋体" w:hAnsi="宋体" w:eastAsia="宋体" w:cs="宋体"/>
          <w:sz w:val="24"/>
          <w:highlight w:val="none"/>
        </w:rPr>
        <w:t>3</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 xml:space="preserve">提供已印刷好的产品资料如产品样本、说明书等可以用其他语言，但在解释响应性文件时，以翻译成中文为准。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本</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所表述的时间均为北京时间。</w:t>
      </w:r>
    </w:p>
    <w:p>
      <w:pPr>
        <w:ind w:firstLine="482" w:firstLineChars="200"/>
        <w:rPr>
          <w:rFonts w:hint="eastAsia" w:ascii="宋体" w:hAnsi="宋体" w:eastAsia="宋体" w:cs="宋体"/>
          <w:b/>
          <w:sz w:val="24"/>
          <w:highlight w:val="none"/>
        </w:rPr>
      </w:pPr>
      <w:r>
        <w:rPr>
          <w:rFonts w:hint="eastAsia" w:ascii="宋体" w:hAnsi="宋体" w:eastAsia="宋体" w:cs="宋体"/>
          <w:b/>
          <w:sz w:val="24"/>
          <w:highlight w:val="none"/>
          <w:lang w:eastAsia="zh-CN"/>
        </w:rPr>
        <w:t>（四）响应文件</w:t>
      </w:r>
      <w:r>
        <w:rPr>
          <w:rFonts w:hint="eastAsia" w:ascii="宋体" w:hAnsi="宋体" w:eastAsia="宋体" w:cs="宋体"/>
          <w:b/>
          <w:sz w:val="24"/>
          <w:highlight w:val="none"/>
        </w:rPr>
        <w:t>的</w:t>
      </w:r>
      <w:bookmarkEnd w:id="32"/>
      <w:bookmarkEnd w:id="33"/>
      <w:bookmarkEnd w:id="34"/>
      <w:bookmarkEnd w:id="35"/>
      <w:bookmarkEnd w:id="36"/>
      <w:bookmarkEnd w:id="37"/>
      <w:bookmarkEnd w:id="38"/>
      <w:bookmarkEnd w:id="39"/>
      <w:bookmarkEnd w:id="40"/>
      <w:bookmarkEnd w:id="41"/>
      <w:bookmarkEnd w:id="42"/>
      <w:r>
        <w:rPr>
          <w:rFonts w:hint="eastAsia" w:ascii="宋体" w:hAnsi="宋体" w:eastAsia="宋体" w:cs="宋体"/>
          <w:b/>
          <w:sz w:val="24"/>
          <w:highlight w:val="none"/>
        </w:rPr>
        <w:t>构成</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应认真阅读</w:t>
      </w:r>
      <w:r>
        <w:rPr>
          <w:rFonts w:hint="eastAsia" w:ascii="宋体" w:hAnsi="宋体" w:eastAsia="宋体" w:cs="宋体"/>
          <w:color w:val="auto"/>
          <w:sz w:val="24"/>
          <w:highlight w:val="none"/>
          <w:lang w:eastAsia="zh-CN"/>
        </w:rPr>
        <w:t>磋商文件</w:t>
      </w:r>
      <w:r>
        <w:rPr>
          <w:rFonts w:hint="eastAsia" w:ascii="宋体" w:hAnsi="宋体" w:eastAsia="宋体" w:cs="宋体"/>
          <w:color w:val="auto"/>
          <w:sz w:val="24"/>
          <w:highlight w:val="none"/>
        </w:rPr>
        <w:t>的所有内容，按</w:t>
      </w:r>
      <w:r>
        <w:rPr>
          <w:rFonts w:hint="eastAsia" w:ascii="宋体" w:hAnsi="宋体" w:eastAsia="宋体" w:cs="宋体"/>
          <w:color w:val="auto"/>
          <w:sz w:val="24"/>
          <w:highlight w:val="none"/>
          <w:lang w:eastAsia="zh-CN"/>
        </w:rPr>
        <w:t>磋商文件</w:t>
      </w:r>
      <w:r>
        <w:rPr>
          <w:rFonts w:hint="eastAsia" w:ascii="宋体" w:hAnsi="宋体" w:eastAsia="宋体" w:cs="宋体"/>
          <w:color w:val="auto"/>
          <w:sz w:val="24"/>
          <w:highlight w:val="none"/>
        </w:rPr>
        <w:t>的要求提供</w:t>
      </w:r>
      <w:r>
        <w:rPr>
          <w:rFonts w:hint="eastAsia" w:ascii="宋体" w:hAnsi="宋体" w:eastAsia="宋体" w:cs="宋体"/>
          <w:color w:val="auto"/>
          <w:sz w:val="24"/>
          <w:highlight w:val="none"/>
          <w:lang w:eastAsia="zh-CN"/>
        </w:rPr>
        <w:t>响应文件</w:t>
      </w:r>
      <w:r>
        <w:rPr>
          <w:rFonts w:hint="eastAsia" w:ascii="宋体" w:hAnsi="宋体" w:eastAsia="宋体" w:cs="宋体"/>
          <w:color w:val="auto"/>
          <w:sz w:val="24"/>
          <w:highlight w:val="none"/>
        </w:rPr>
        <w:t>，并保证提供的全部资料的真实性，以使投标对</w:t>
      </w:r>
      <w:r>
        <w:rPr>
          <w:rFonts w:hint="eastAsia" w:ascii="宋体" w:hAnsi="宋体" w:eastAsia="宋体" w:cs="宋体"/>
          <w:color w:val="auto"/>
          <w:sz w:val="24"/>
          <w:highlight w:val="none"/>
          <w:lang w:eastAsia="zh-CN"/>
        </w:rPr>
        <w:t>磋商文件</w:t>
      </w:r>
      <w:r>
        <w:rPr>
          <w:rFonts w:hint="eastAsia" w:ascii="宋体" w:hAnsi="宋体" w:eastAsia="宋体" w:cs="宋体"/>
          <w:color w:val="auto"/>
          <w:sz w:val="24"/>
          <w:highlight w:val="none"/>
        </w:rPr>
        <w:t>作出实质性响应，否则，其投标将被拒绝。</w:t>
      </w:r>
    </w:p>
    <w:p>
      <w:pPr>
        <w:pStyle w:val="8"/>
        <w:spacing w:line="360" w:lineRule="auto"/>
        <w:ind w:firstLine="480" w:firstLineChars="200"/>
        <w:rPr>
          <w:rFonts w:hint="default" w:eastAsia="宋体"/>
          <w:color w:val="auto"/>
          <w:highlight w:val="none"/>
          <w:lang w:val="en-US" w:eastAsia="zh-CN"/>
        </w:rPr>
      </w:pPr>
      <w:r>
        <w:rPr>
          <w:rFonts w:hint="eastAsia"/>
          <w:color w:val="auto"/>
          <w:highlight w:val="none"/>
          <w:lang w:val="en-US" w:eastAsia="zh-CN"/>
        </w:rPr>
        <w:t>响应文件目录</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一、法定代表人身份证明书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二、响应文件签署授权委托书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三、报价一览表及报价明细表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四、磋商响应人基本情况表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五、投标保证金凭证</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六、项目方案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七、磋商响应人无失信行为承诺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八、售后服务承诺书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九、反商业贿赂承诺书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十、无重大违法承诺书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十一、无失信行为承诺书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十二、磋商响应人认为应附的其他资料</w:t>
      </w:r>
    </w:p>
    <w:p>
      <w:pPr>
        <w:spacing w:line="360" w:lineRule="auto"/>
        <w:ind w:firstLine="480" w:firstLineChars="200"/>
        <w:rPr>
          <w:rFonts w:hint="eastAsia" w:ascii="宋体" w:hAnsi="宋体" w:eastAsia="宋体" w:cs="宋体"/>
          <w:b/>
          <w:sz w:val="24"/>
          <w:highlight w:val="none"/>
        </w:rPr>
      </w:pPr>
      <w:r>
        <w:rPr>
          <w:rFonts w:hint="eastAsia" w:ascii="宋体" w:hAnsi="宋体" w:eastAsia="宋体" w:cs="宋体"/>
          <w:sz w:val="24"/>
          <w:highlight w:val="none"/>
        </w:rPr>
        <w:t>本项目要求按上述内容编制标书，并按照标书中所附的</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 xml:space="preserve">规格编写，并要求打印装订成册 </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应完整、真实、准确的填写</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中规定的所有内容，对</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所提供的全部资料的真实性承担法律责任，并无条件接受招标采购单位及政府采购监督管理部门等对其中任何资料进行核实的要求。</w:t>
      </w:r>
    </w:p>
    <w:p>
      <w:pPr>
        <w:ind w:firstLine="482" w:firstLineChars="200"/>
        <w:rPr>
          <w:rFonts w:hint="eastAsia" w:ascii="宋体" w:hAnsi="宋体" w:eastAsia="宋体" w:cs="宋体"/>
          <w:b/>
          <w:sz w:val="24"/>
          <w:highlight w:val="none"/>
        </w:rPr>
      </w:pPr>
      <w:r>
        <w:rPr>
          <w:rFonts w:hint="eastAsia" w:ascii="宋体" w:hAnsi="宋体" w:eastAsia="宋体" w:cs="宋体"/>
          <w:b/>
          <w:sz w:val="24"/>
          <w:highlight w:val="none"/>
          <w:lang w:eastAsia="zh-CN"/>
        </w:rPr>
        <w:t>（五）响应文件</w:t>
      </w:r>
      <w:r>
        <w:rPr>
          <w:rFonts w:hint="eastAsia" w:ascii="宋体" w:hAnsi="宋体" w:eastAsia="宋体" w:cs="宋体"/>
          <w:b/>
          <w:sz w:val="24"/>
          <w:highlight w:val="none"/>
        </w:rPr>
        <w:t>格式：</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应按</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的内容与要求和提供的格式编写其</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不得缺少或留空任何</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要求填写的格或提交的资料。如</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没有提供格式的，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可自行设置。</w:t>
      </w:r>
      <w:r>
        <w:rPr>
          <w:rFonts w:hint="eastAsia" w:ascii="宋体" w:hAnsi="宋体" w:eastAsia="宋体" w:cs="宋体"/>
          <w:color w:val="000000"/>
          <w:sz w:val="24"/>
          <w:lang w:val="en-US" w:eastAsia="zh-CN"/>
        </w:rPr>
        <w:t>磋商</w:t>
      </w:r>
      <w:r>
        <w:rPr>
          <w:rFonts w:hint="eastAsia" w:ascii="宋体" w:hAnsi="宋体" w:eastAsia="宋体" w:cs="宋体"/>
          <w:color w:val="000000"/>
          <w:sz w:val="24"/>
        </w:rPr>
        <w:t>响应文件应当使用</w:t>
      </w:r>
      <w:r>
        <w:rPr>
          <w:rFonts w:hint="eastAsia" w:ascii="宋体" w:hAnsi="宋体" w:eastAsia="宋体" w:cs="宋体"/>
          <w:color w:val="000000"/>
          <w:sz w:val="24"/>
          <w:lang w:val="en-US" w:eastAsia="zh-CN"/>
        </w:rPr>
        <w:t>磋商</w:t>
      </w:r>
      <w:r>
        <w:rPr>
          <w:rFonts w:hint="eastAsia" w:ascii="宋体" w:hAnsi="宋体" w:eastAsia="宋体" w:cs="宋体"/>
          <w:color w:val="000000"/>
          <w:sz w:val="24"/>
        </w:rPr>
        <w:t>文件所提供格式（表格可以按同样格式扩展）</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2.供应商</w:t>
      </w:r>
      <w:r>
        <w:rPr>
          <w:rFonts w:hint="eastAsia" w:ascii="宋体" w:hAnsi="宋体" w:eastAsia="宋体" w:cs="宋体"/>
          <w:sz w:val="24"/>
          <w:highlight w:val="none"/>
        </w:rPr>
        <w:t>应将</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按规定的顺序编排，应编制目录、逐页标注连续页码，</w:t>
      </w:r>
      <w:r>
        <w:rPr>
          <w:rFonts w:hint="eastAsia" w:ascii="宋体" w:hAnsi="宋体" w:eastAsia="宋体" w:cs="宋体"/>
          <w:sz w:val="24"/>
          <w:highlight w:val="none"/>
          <w:lang w:eastAsia="zh-CN"/>
        </w:rPr>
        <w:t>应</w:t>
      </w:r>
      <w:r>
        <w:rPr>
          <w:rFonts w:hint="eastAsia" w:ascii="宋体" w:hAnsi="宋体" w:eastAsia="宋体" w:cs="宋体"/>
          <w:sz w:val="24"/>
          <w:highlight w:val="none"/>
        </w:rPr>
        <w:t>采用胶装装订成册，</w:t>
      </w:r>
      <w:r>
        <w:rPr>
          <w:rFonts w:hint="eastAsia" w:ascii="宋体" w:hAnsi="宋体" w:eastAsia="宋体" w:cs="宋体"/>
          <w:b/>
          <w:sz w:val="24"/>
          <w:highlight w:val="none"/>
        </w:rPr>
        <w:t>不得采用活页装订，否则视为无效响应性文件。</w:t>
      </w:r>
    </w:p>
    <w:p>
      <w:pPr>
        <w:spacing w:line="360" w:lineRule="auto"/>
        <w:ind w:firstLine="482" w:firstLineChars="200"/>
        <w:rPr>
          <w:rFonts w:hint="eastAsia" w:ascii="宋体" w:hAnsi="宋体" w:eastAsia="宋体" w:cs="宋体"/>
          <w:b/>
          <w:sz w:val="24"/>
          <w:highlight w:val="none"/>
          <w:lang w:eastAsia="zh-CN"/>
        </w:rPr>
      </w:pPr>
      <w:r>
        <w:rPr>
          <w:rFonts w:hint="eastAsia" w:ascii="宋体" w:hAnsi="宋体" w:eastAsia="宋体" w:cs="宋体"/>
          <w:b/>
          <w:sz w:val="24"/>
          <w:highlight w:val="none"/>
          <w:lang w:eastAsia="zh-CN"/>
        </w:rPr>
        <w:t>（六）竞标报价</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应在</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响应性明细报价表标明：所有报价均以验收后的全部费用，必须包括</w:t>
      </w:r>
      <w:r>
        <w:rPr>
          <w:rFonts w:hint="eastAsia" w:ascii="宋体" w:hAnsi="宋体" w:eastAsia="宋体" w:cs="宋体"/>
          <w:sz w:val="24"/>
          <w:highlight w:val="none"/>
          <w:lang w:val="en-US" w:eastAsia="zh-CN"/>
        </w:rPr>
        <w:t>完成本项目的所有工作的费用</w:t>
      </w:r>
      <w:r>
        <w:rPr>
          <w:rFonts w:hint="eastAsia" w:ascii="宋体" w:hAnsi="宋体" w:eastAsia="宋体" w:cs="宋体"/>
          <w:sz w:val="24"/>
          <w:highlight w:val="none"/>
        </w:rPr>
        <w:t>。</w:t>
      </w:r>
      <w:r>
        <w:rPr>
          <w:rFonts w:hint="eastAsia" w:ascii="宋体" w:hAnsi="宋体" w:eastAsia="宋体" w:cs="宋体"/>
          <w:b/>
          <w:sz w:val="24"/>
          <w:highlight w:val="none"/>
        </w:rPr>
        <w:t>何有选择的报价将不予接受。</w:t>
      </w:r>
    </w:p>
    <w:p>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lang w:val="en-US" w:eastAsia="zh-CN"/>
        </w:rPr>
        <w:t>2.</w:t>
      </w:r>
      <w:r>
        <w:rPr>
          <w:rFonts w:hint="eastAsia" w:ascii="宋体" w:hAnsi="宋体" w:eastAsia="宋体" w:cs="宋体"/>
          <w:b/>
          <w:sz w:val="24"/>
          <w:highlight w:val="none"/>
          <w:lang w:eastAsia="zh-CN"/>
        </w:rPr>
        <w:t>竞标报价</w:t>
      </w:r>
      <w:r>
        <w:rPr>
          <w:rFonts w:hint="eastAsia" w:ascii="宋体" w:hAnsi="宋体" w:eastAsia="宋体" w:cs="宋体"/>
          <w:b/>
          <w:sz w:val="24"/>
          <w:highlight w:val="none"/>
        </w:rPr>
        <w:t>时应注意下列几点：</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.1本项目如非因重大需求变化导致成本增加，不得追加费用，</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应该考虑但没有考虑到的任何费用将由</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自行承担；</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.2</w:t>
      </w:r>
      <w:r>
        <w:rPr>
          <w:rFonts w:hint="eastAsia" w:ascii="宋体" w:hAnsi="宋体" w:eastAsia="宋体" w:cs="宋体"/>
          <w:b/>
          <w:sz w:val="24"/>
          <w:highlight w:val="none"/>
        </w:rPr>
        <w:t xml:space="preserve"> </w:t>
      </w:r>
      <w:r>
        <w:rPr>
          <w:rFonts w:hint="eastAsia" w:ascii="宋体" w:hAnsi="宋体" w:eastAsia="宋体" w:cs="宋体"/>
          <w:sz w:val="24"/>
          <w:highlight w:val="none"/>
          <w:lang w:eastAsia="zh-CN"/>
        </w:rPr>
        <w:t>竞标报价</w:t>
      </w:r>
      <w:r>
        <w:rPr>
          <w:rFonts w:hint="eastAsia" w:ascii="宋体" w:hAnsi="宋体" w:eastAsia="宋体" w:cs="宋体"/>
          <w:sz w:val="24"/>
          <w:highlight w:val="none"/>
        </w:rPr>
        <w:t>超过</w:t>
      </w:r>
      <w:r>
        <w:rPr>
          <w:rFonts w:hint="eastAsia" w:ascii="宋体" w:hAnsi="宋体" w:eastAsia="宋体" w:cs="宋体"/>
          <w:sz w:val="24"/>
          <w:highlight w:val="none"/>
          <w:lang w:val="en-US" w:eastAsia="zh-CN"/>
        </w:rPr>
        <w:t>采购预算</w:t>
      </w:r>
      <w:r>
        <w:rPr>
          <w:rFonts w:hint="eastAsia" w:ascii="宋体" w:hAnsi="宋体" w:eastAsia="宋体" w:cs="宋体"/>
          <w:sz w:val="24"/>
          <w:highlight w:val="none"/>
        </w:rPr>
        <w:t>的，</w:t>
      </w:r>
      <w:r>
        <w:rPr>
          <w:rFonts w:hint="eastAsia" w:ascii="宋体" w:hAnsi="宋体" w:eastAsia="宋体" w:cs="宋体"/>
          <w:sz w:val="24"/>
          <w:highlight w:val="none"/>
          <w:lang w:val="en-US" w:eastAsia="zh-CN"/>
        </w:rPr>
        <w:t>按废标处理</w:t>
      </w:r>
      <w:r>
        <w:rPr>
          <w:rFonts w:hint="eastAsia" w:ascii="宋体" w:hAnsi="宋体" w:eastAsia="宋体" w:cs="宋体"/>
          <w:sz w:val="24"/>
          <w:highlight w:val="none"/>
        </w:rPr>
        <w:t>。</w:t>
      </w:r>
    </w:p>
    <w:p>
      <w:pPr>
        <w:snapToGrid w:val="0"/>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 xml:space="preserve">.3报价应包括实施和完成本项目服务内容的全部所需的人工费、交通、通讯、现场 勘察、协调、技术处理、办公、耗材等以及管理费、利润、税金、保险、政策性文件规定费用等一切费用。本次报价须为人民币报价，中标后的价格为一次性不变价，在合同有效期内不做调整。 </w:t>
      </w:r>
    </w:p>
    <w:p>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lang w:eastAsia="zh-CN"/>
        </w:rPr>
        <w:t>（七）竞标报价</w:t>
      </w:r>
      <w:r>
        <w:rPr>
          <w:rFonts w:hint="eastAsia" w:ascii="宋体" w:hAnsi="宋体" w:eastAsia="宋体" w:cs="宋体"/>
          <w:b/>
          <w:sz w:val="24"/>
          <w:highlight w:val="none"/>
        </w:rPr>
        <w:t>的货币单位</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1 </w:t>
      </w:r>
      <w:r>
        <w:rPr>
          <w:rFonts w:hint="eastAsia" w:ascii="宋体" w:hAnsi="宋体" w:eastAsia="宋体" w:cs="宋体"/>
          <w:sz w:val="24"/>
          <w:highlight w:val="none"/>
          <w:lang w:eastAsia="zh-CN"/>
        </w:rPr>
        <w:t>竞标报价</w:t>
      </w:r>
      <w:r>
        <w:rPr>
          <w:rFonts w:hint="eastAsia" w:ascii="宋体" w:hAnsi="宋体" w:eastAsia="宋体" w:cs="宋体"/>
          <w:sz w:val="24"/>
          <w:highlight w:val="none"/>
        </w:rPr>
        <w:t>应以人民币方式报价，各项价格必须清楚、准确、详细。</w:t>
      </w:r>
    </w:p>
    <w:p>
      <w:pPr>
        <w:spacing w:line="360" w:lineRule="auto"/>
        <w:ind w:firstLine="482" w:firstLineChars="200"/>
        <w:rPr>
          <w:rFonts w:hint="eastAsia" w:ascii="宋体" w:hAnsi="宋体" w:eastAsia="宋体" w:cs="宋体"/>
          <w:sz w:val="24"/>
          <w:highlight w:val="none"/>
          <w:lang w:eastAsia="zh-CN"/>
        </w:rPr>
      </w:pPr>
      <w:r>
        <w:rPr>
          <w:rFonts w:hint="eastAsia" w:ascii="宋体" w:hAnsi="宋体" w:eastAsia="宋体" w:cs="宋体"/>
          <w:b/>
          <w:sz w:val="24"/>
          <w:highlight w:val="none"/>
          <w:lang w:eastAsia="zh-CN"/>
        </w:rPr>
        <w:t>（八）磋商文件</w:t>
      </w:r>
      <w:r>
        <w:rPr>
          <w:rFonts w:hint="eastAsia" w:ascii="宋体" w:hAnsi="宋体" w:eastAsia="宋体" w:cs="宋体"/>
          <w:b/>
          <w:sz w:val="24"/>
          <w:highlight w:val="none"/>
        </w:rPr>
        <w:t>规定的技术</w:t>
      </w:r>
      <w:r>
        <w:rPr>
          <w:rFonts w:hint="eastAsia" w:ascii="宋体" w:hAnsi="宋体" w:eastAsia="宋体" w:cs="宋体"/>
          <w:b/>
          <w:sz w:val="24"/>
          <w:highlight w:val="none"/>
          <w:lang w:eastAsia="zh-CN"/>
        </w:rPr>
        <w:t>响应文件</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1供应商</w:t>
      </w:r>
      <w:r>
        <w:rPr>
          <w:rFonts w:hint="eastAsia" w:ascii="宋体" w:hAnsi="宋体" w:eastAsia="宋体" w:cs="宋体"/>
          <w:sz w:val="24"/>
          <w:highlight w:val="none"/>
        </w:rPr>
        <w:t>须提交证明</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证明其拟</w:t>
      </w:r>
      <w:r>
        <w:rPr>
          <w:rFonts w:hint="eastAsia" w:ascii="宋体" w:hAnsi="宋体" w:eastAsia="宋体" w:cs="宋体"/>
          <w:sz w:val="24"/>
          <w:highlight w:val="none"/>
        </w:rPr>
        <w:t>投标的服务符合</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规定，该证明文件作为</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的一部分。</w:t>
      </w:r>
    </w:p>
    <w:p>
      <w:pPr>
        <w:spacing w:line="360" w:lineRule="auto"/>
        <w:ind w:firstLine="720" w:firstLineChars="300"/>
        <w:rPr>
          <w:rFonts w:hint="eastAsia" w:ascii="宋体" w:hAnsi="宋体" w:eastAsia="宋体" w:cs="宋体"/>
          <w:sz w:val="24"/>
          <w:highlight w:val="none"/>
        </w:rPr>
      </w:pPr>
      <w:r>
        <w:rPr>
          <w:rFonts w:hint="eastAsia" w:ascii="宋体" w:hAnsi="宋体" w:eastAsia="宋体" w:cs="宋体"/>
          <w:sz w:val="24"/>
          <w:highlight w:val="none"/>
        </w:rPr>
        <w:t>证明服务与</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要求一致的文件，可以是文字资料、图纸和数据，它包括：</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主要服务方案</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2</w:t>
      </w:r>
      <w:r>
        <w:rPr>
          <w:rFonts w:hint="eastAsia" w:ascii="宋体" w:hAnsi="宋体" w:eastAsia="宋体" w:cs="宋体"/>
          <w:sz w:val="24"/>
          <w:highlight w:val="none"/>
        </w:rPr>
        <w:t>）对照</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技术规格、参数与要求，逐条说明所提供服务做出了实质性的响应，或申明与技术规格、参数与要求条文的偏差和例外。特别对于有具体参数要求的指标，</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必须提供所投设备的具体参数值。</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没有按要求提供资料或提供资料不完全的，将被视为对</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没有做出实质性响应，其风险由</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自行承担。</w:t>
      </w:r>
    </w:p>
    <w:p>
      <w:pPr>
        <w:spacing w:line="360" w:lineRule="auto"/>
        <w:ind w:firstLine="482" w:firstLineChars="200"/>
        <w:rPr>
          <w:rFonts w:hint="eastAsia" w:ascii="宋体" w:hAnsi="宋体" w:eastAsia="宋体" w:cs="宋体"/>
          <w:b/>
          <w:sz w:val="24"/>
          <w:highlight w:val="none"/>
          <w:lang w:eastAsia="zh-CN"/>
        </w:rPr>
      </w:pPr>
      <w:r>
        <w:rPr>
          <w:rFonts w:hint="eastAsia" w:ascii="宋体" w:hAnsi="宋体" w:eastAsia="宋体" w:cs="宋体"/>
          <w:b/>
          <w:sz w:val="24"/>
          <w:highlight w:val="none"/>
          <w:lang w:eastAsia="zh-CN"/>
        </w:rPr>
        <w:t>（九）磋商有效期</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从开标之日起，</w:t>
      </w:r>
      <w:r>
        <w:rPr>
          <w:rFonts w:hint="eastAsia" w:ascii="宋体" w:hAnsi="宋体" w:eastAsia="宋体" w:cs="宋体"/>
          <w:sz w:val="24"/>
          <w:highlight w:val="none"/>
          <w:lang w:eastAsia="zh-CN"/>
        </w:rPr>
        <w:t>磋商有效期</w:t>
      </w:r>
      <w:r>
        <w:rPr>
          <w:rFonts w:hint="eastAsia" w:ascii="宋体" w:hAnsi="宋体" w:eastAsia="宋体" w:cs="宋体"/>
          <w:sz w:val="24"/>
          <w:highlight w:val="none"/>
          <w:lang w:val="en-US" w:eastAsia="zh-CN"/>
        </w:rPr>
        <w:t>90</w:t>
      </w:r>
      <w:r>
        <w:rPr>
          <w:rFonts w:hint="eastAsia" w:ascii="宋体" w:hAnsi="宋体" w:eastAsia="宋体" w:cs="宋体"/>
          <w:sz w:val="24"/>
          <w:highlight w:val="none"/>
          <w:lang w:eastAsia="zh-CN"/>
        </w:rPr>
        <w:t>天（如不</w:t>
      </w:r>
      <w:r>
        <w:rPr>
          <w:rFonts w:hint="eastAsia" w:ascii="宋体" w:hAnsi="宋体" w:eastAsia="宋体" w:cs="宋体"/>
          <w:sz w:val="24"/>
          <w:highlight w:val="none"/>
        </w:rPr>
        <w:t>满足将导致废标）在此期限内，凡符合本谈判文件要求的谈判响应文件均保持有效。。</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在特殊情况下，采购人在原定谈判有效期内，可以根据需要以书面形式向谈判响应人提出延长谈判有效期的要求，对此要求谈判响应人须以书面形式予以答复。同意延长谈判有效期的谈判响应人既不能要求也不允许修改其谈判响应文件。</w:t>
      </w:r>
    </w:p>
    <w:p>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lang w:eastAsia="zh-CN"/>
        </w:rPr>
        <w:t>（十）响应文件</w:t>
      </w:r>
      <w:r>
        <w:rPr>
          <w:rFonts w:hint="eastAsia" w:ascii="宋体" w:hAnsi="宋体" w:eastAsia="宋体" w:cs="宋体"/>
          <w:b/>
          <w:sz w:val="24"/>
          <w:highlight w:val="none"/>
        </w:rPr>
        <w:t>的签署规定</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的页面必须用印刷体打印。</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应清楚工整，一般不准修改。个别非实质性修改之处应由</w:t>
      </w:r>
      <w:r>
        <w:rPr>
          <w:rFonts w:hint="eastAsia" w:ascii="宋体" w:hAnsi="宋体" w:eastAsia="宋体" w:cs="宋体"/>
          <w:sz w:val="24"/>
          <w:highlight w:val="none"/>
          <w:lang w:val="en-US" w:eastAsia="zh-CN"/>
        </w:rPr>
        <w:t>应商</w:t>
      </w:r>
      <w:r>
        <w:rPr>
          <w:rFonts w:hint="eastAsia" w:ascii="宋体" w:hAnsi="宋体" w:eastAsia="宋体" w:cs="宋体"/>
          <w:sz w:val="24"/>
          <w:highlight w:val="none"/>
        </w:rPr>
        <w:t>的被授权人或法人代表签章。</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应由法人代表或授权代表在规定的签章处逐一</w:t>
      </w:r>
      <w:r>
        <w:rPr>
          <w:rFonts w:hint="eastAsia" w:ascii="宋体" w:hAnsi="宋体" w:eastAsia="宋体" w:cs="宋体"/>
          <w:sz w:val="24"/>
          <w:highlight w:val="none"/>
          <w:lang w:val="en-US" w:eastAsia="zh-CN"/>
        </w:rPr>
        <w:t>签字或盖章</w:t>
      </w:r>
      <w:r>
        <w:rPr>
          <w:rFonts w:hint="eastAsia" w:ascii="宋体" w:hAnsi="宋体" w:eastAsia="宋体" w:cs="宋体"/>
          <w:sz w:val="24"/>
          <w:highlight w:val="none"/>
        </w:rPr>
        <w:t>并加盖单位公章。所有法人代表、法人代表授权人签字</w:t>
      </w:r>
      <w:r>
        <w:rPr>
          <w:rFonts w:hint="eastAsia" w:ascii="宋体" w:hAnsi="宋体" w:eastAsia="宋体" w:cs="宋体"/>
          <w:sz w:val="24"/>
          <w:highlight w:val="none"/>
          <w:lang w:val="en-US" w:eastAsia="zh-CN"/>
        </w:rPr>
        <w:t>或盖章处，</w:t>
      </w:r>
      <w:r>
        <w:rPr>
          <w:rFonts w:hint="eastAsia" w:ascii="宋体" w:hAnsi="宋体" w:eastAsia="宋体" w:cs="宋体"/>
          <w:sz w:val="24"/>
          <w:highlight w:val="none"/>
        </w:rPr>
        <w:t>必须</w:t>
      </w:r>
      <w:r>
        <w:rPr>
          <w:rFonts w:hint="eastAsia" w:ascii="宋体" w:hAnsi="宋体" w:eastAsia="宋体" w:cs="宋体"/>
          <w:sz w:val="24"/>
          <w:highlight w:val="none"/>
          <w:lang w:val="en-US" w:eastAsia="zh-CN"/>
        </w:rPr>
        <w:t>签字或</w:t>
      </w:r>
      <w:r>
        <w:rPr>
          <w:rFonts w:hint="eastAsia" w:ascii="宋体" w:hAnsi="宋体" w:eastAsia="宋体" w:cs="宋体"/>
          <w:sz w:val="24"/>
          <w:highlight w:val="none"/>
        </w:rPr>
        <w:t>加盖</w:t>
      </w:r>
      <w:r>
        <w:rPr>
          <w:rFonts w:hint="eastAsia" w:ascii="宋体" w:hAnsi="宋体" w:eastAsia="宋体" w:cs="宋体"/>
          <w:sz w:val="24"/>
          <w:highlight w:val="none"/>
          <w:lang w:val="en-US" w:eastAsia="zh-CN"/>
        </w:rPr>
        <w:t>后才</w:t>
      </w:r>
      <w:r>
        <w:rPr>
          <w:rFonts w:hint="eastAsia" w:ascii="宋体" w:hAnsi="宋体" w:eastAsia="宋体" w:cs="宋体"/>
          <w:sz w:val="24"/>
          <w:highlight w:val="none"/>
        </w:rPr>
        <w:t>具有法律效力，</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方为有效。</w:t>
      </w:r>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4</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所有</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必须提交一式</w:t>
      </w:r>
      <w:r>
        <w:rPr>
          <w:rFonts w:hint="eastAsia" w:ascii="宋体" w:hAnsi="宋体" w:eastAsia="宋体" w:cs="宋体"/>
          <w:sz w:val="24"/>
          <w:highlight w:val="none"/>
          <w:lang w:val="en-US" w:eastAsia="zh-CN"/>
        </w:rPr>
        <w:t>四</w:t>
      </w:r>
      <w:r>
        <w:rPr>
          <w:rFonts w:hint="eastAsia" w:ascii="宋体" w:hAnsi="宋体" w:eastAsia="宋体" w:cs="宋体"/>
          <w:sz w:val="24"/>
          <w:highlight w:val="none"/>
        </w:rPr>
        <w:t>份，其中正本一份、副本</w:t>
      </w:r>
      <w:r>
        <w:rPr>
          <w:rFonts w:hint="eastAsia" w:ascii="宋体" w:hAnsi="宋体" w:eastAsia="宋体" w:cs="宋体"/>
          <w:sz w:val="24"/>
          <w:highlight w:val="none"/>
          <w:lang w:val="en-US" w:eastAsia="zh-CN"/>
        </w:rPr>
        <w:t>三</w:t>
      </w:r>
      <w:r>
        <w:rPr>
          <w:rFonts w:hint="eastAsia" w:ascii="宋体" w:hAnsi="宋体" w:eastAsia="宋体" w:cs="宋体"/>
          <w:sz w:val="24"/>
          <w:highlight w:val="none"/>
        </w:rPr>
        <w:t>份（</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一律不退），并在</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封面清楚标明“正本”</w:t>
      </w:r>
      <w:r>
        <w:rPr>
          <w:rFonts w:hint="eastAsia" w:ascii="宋体" w:hAnsi="宋体" w:eastAsia="宋体" w:cs="宋体"/>
          <w:sz w:val="24"/>
          <w:highlight w:val="none"/>
          <w:lang w:eastAsia="zh-CN"/>
        </w:rPr>
        <w:t>、</w:t>
      </w:r>
      <w:r>
        <w:rPr>
          <w:rFonts w:hint="eastAsia" w:ascii="宋体" w:hAnsi="宋体" w:eastAsia="宋体" w:cs="宋体"/>
          <w:sz w:val="24"/>
          <w:highlight w:val="none"/>
        </w:rPr>
        <w:t>“副本”</w:t>
      </w:r>
      <w:r>
        <w:rPr>
          <w:rFonts w:hint="eastAsia" w:ascii="宋体" w:hAnsi="宋体" w:eastAsia="宋体" w:cs="宋体"/>
          <w:sz w:val="24"/>
          <w:highlight w:val="none"/>
          <w:lang w:eastAsia="zh-CN"/>
        </w:rPr>
        <w:t>、</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电子版响应文件</w:t>
      </w:r>
      <w:r>
        <w:rPr>
          <w:rFonts w:hint="eastAsia" w:ascii="宋体" w:hAnsi="宋体" w:eastAsia="宋体" w:cs="宋体"/>
          <w:sz w:val="24"/>
          <w:highlight w:val="none"/>
        </w:rPr>
        <w:t>”</w:t>
      </w:r>
      <w:r>
        <w:rPr>
          <w:rFonts w:hint="eastAsia" w:ascii="宋体" w:hAnsi="宋体" w:eastAsia="宋体" w:cs="宋体"/>
          <w:sz w:val="24"/>
          <w:highlight w:val="none"/>
          <w:lang w:eastAsia="zh-CN"/>
        </w:rPr>
        <w:t>、</w:t>
      </w:r>
      <w:r>
        <w:rPr>
          <w:rFonts w:hint="eastAsia" w:ascii="宋体" w:hAnsi="宋体" w:eastAsia="宋体" w:cs="宋体"/>
          <w:sz w:val="24"/>
          <w:highlight w:val="none"/>
        </w:rPr>
        <w:t>“</w:t>
      </w:r>
      <w:r>
        <w:rPr>
          <w:rFonts w:hint="eastAsia" w:ascii="宋体" w:hAnsi="宋体" w:eastAsia="宋体"/>
          <w:sz w:val="24"/>
          <w:highlight w:val="none"/>
          <w:lang w:val="en-US" w:eastAsia="zh-CN"/>
        </w:rPr>
        <w:t>报价一览表</w:t>
      </w:r>
      <w:r>
        <w:rPr>
          <w:rFonts w:hint="eastAsia" w:ascii="宋体" w:hAnsi="宋体" w:eastAsia="宋体" w:cs="宋体"/>
          <w:sz w:val="24"/>
          <w:highlight w:val="none"/>
        </w:rPr>
        <w:t>”字样</w:t>
      </w:r>
      <w:r>
        <w:rPr>
          <w:rFonts w:hint="eastAsia" w:ascii="宋体" w:hAnsi="宋体"/>
          <w:sz w:val="24"/>
          <w:highlight w:val="none"/>
          <w:lang w:val="en-US" w:eastAsia="zh-CN"/>
        </w:rPr>
        <w:t>。</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响应文件</w:t>
      </w:r>
      <w:r>
        <w:rPr>
          <w:rFonts w:hint="eastAsia" w:ascii="宋体" w:hAnsi="宋体" w:eastAsia="宋体" w:cs="宋体"/>
          <w:sz w:val="24"/>
          <w:highlight w:val="none"/>
        </w:rPr>
        <w:t>的正本与副本应当完全一致。当正本和副本之间出现差异时，以正本为准。</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6</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 xml:space="preserve"> 电报、电话、传真、电子邮件等形式的投标概不接受。</w:t>
      </w:r>
    </w:p>
    <w:p>
      <w:pPr>
        <w:spacing w:line="360" w:lineRule="auto"/>
        <w:ind w:firstLine="482" w:firstLineChars="200"/>
        <w:rPr>
          <w:rFonts w:hint="eastAsia" w:ascii="宋体" w:hAnsi="宋体" w:eastAsia="宋体" w:cs="宋体"/>
          <w:sz w:val="24"/>
          <w:highlight w:val="none"/>
          <w:lang w:val="en-US" w:eastAsia="zh-CN"/>
        </w:rPr>
      </w:pPr>
      <w:r>
        <w:rPr>
          <w:rFonts w:hint="eastAsia" w:ascii="宋体" w:hAnsi="宋体" w:eastAsia="宋体" w:cs="宋体"/>
          <w:b/>
          <w:sz w:val="24"/>
          <w:highlight w:val="none"/>
          <w:lang w:eastAsia="zh-CN"/>
        </w:rPr>
        <w:t>（十一）</w:t>
      </w:r>
      <w:r>
        <w:rPr>
          <w:rFonts w:hint="eastAsia" w:ascii="宋体" w:hAnsi="宋体" w:eastAsia="宋体" w:cs="宋体"/>
          <w:b/>
          <w:sz w:val="24"/>
          <w:highlight w:val="none"/>
          <w:lang w:val="en-US" w:eastAsia="zh-CN"/>
        </w:rPr>
        <w:t>招标代理</w:t>
      </w:r>
      <w:r>
        <w:rPr>
          <w:rFonts w:hint="eastAsia" w:ascii="宋体" w:hAnsi="宋体" w:eastAsia="宋体" w:cs="宋体"/>
          <w:b/>
          <w:sz w:val="24"/>
          <w:highlight w:val="none"/>
        </w:rPr>
        <w:t>服务费</w:t>
      </w:r>
      <w:bookmarkEnd w:id="30"/>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参考国家计委计价格【2002】1980号文及国家现行收费标准收取由采购人</w:t>
      </w:r>
      <w:r>
        <w:rPr>
          <w:rFonts w:hint="eastAsia" w:ascii="宋体" w:hAnsi="宋体" w:eastAsia="宋体" w:cs="宋体"/>
          <w:color w:val="auto"/>
          <w:sz w:val="24"/>
          <w:highlight w:val="none"/>
          <w:u w:val="none"/>
          <w:lang w:val="en-US" w:eastAsia="zh-CN"/>
        </w:rPr>
        <w:t>在招标工作完成后</w:t>
      </w:r>
      <w:r>
        <w:rPr>
          <w:rFonts w:hint="eastAsia" w:ascii="宋体" w:hAnsi="宋体" w:eastAsia="宋体" w:cs="宋体"/>
          <w:color w:val="auto"/>
          <w:sz w:val="24"/>
          <w:highlight w:val="none"/>
          <w:u w:val="none"/>
        </w:rPr>
        <w:t>向招标代理机构支付。</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color w:val="auto"/>
          <w:sz w:val="24"/>
          <w:highlight w:val="none"/>
          <w:lang w:eastAsia="zh-CN"/>
        </w:rPr>
        <w:t>（十二）</w:t>
      </w:r>
      <w:r>
        <w:rPr>
          <w:rFonts w:hint="eastAsia" w:ascii="宋体" w:hAnsi="宋体" w:eastAsia="宋体" w:cs="宋体"/>
          <w:b/>
          <w:bCs/>
          <w:color w:val="auto"/>
          <w:sz w:val="24"/>
          <w:highlight w:val="none"/>
        </w:rPr>
        <w:t>磋商保证金</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供应商需提交投标保证金（投标保证金额、银行账号</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递交截止时间</w:t>
      </w:r>
      <w:r>
        <w:rPr>
          <w:rFonts w:hint="eastAsia" w:ascii="宋体" w:hAnsi="宋体" w:eastAsia="宋体" w:cs="宋体"/>
          <w:sz w:val="24"/>
          <w:highlight w:val="none"/>
        </w:rPr>
        <w:t>见前附表），并作为投标组成部分之一。</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于未按要求提交投标保证金的，将被视为非响应性投标而予以拒绝。</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下列任何情况发生时，投标保证金将被没收:</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（1）供应商在</w:t>
      </w:r>
      <w:r>
        <w:rPr>
          <w:rFonts w:hint="eastAsia" w:ascii="宋体" w:hAnsi="宋体" w:eastAsia="宋体" w:cs="宋体"/>
          <w:sz w:val="24"/>
          <w:highlight w:val="none"/>
          <w:lang w:eastAsia="zh-CN"/>
        </w:rPr>
        <w:t>磋商有效期</w:t>
      </w:r>
      <w:r>
        <w:rPr>
          <w:rFonts w:hint="eastAsia" w:ascii="宋体" w:hAnsi="宋体" w:eastAsia="宋体" w:cs="宋体"/>
          <w:sz w:val="24"/>
          <w:highlight w:val="none"/>
        </w:rPr>
        <w:t>内撤回其响应文件的；</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（2）成交人未在规定期限内及时签订项目合同的；</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磋商</w:t>
      </w:r>
      <w:r>
        <w:rPr>
          <w:rFonts w:hint="eastAsia" w:ascii="宋体" w:hAnsi="宋体" w:eastAsia="宋体" w:cs="宋体"/>
          <w:sz w:val="24"/>
          <w:highlight w:val="none"/>
        </w:rPr>
        <w:t>响应人违反有关规定，串通作弊；</w:t>
      </w:r>
    </w:p>
    <w:p>
      <w:pPr>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）磋商</w:t>
      </w:r>
      <w:r>
        <w:rPr>
          <w:rFonts w:hint="eastAsia" w:ascii="宋体" w:hAnsi="宋体" w:eastAsia="宋体" w:cs="宋体"/>
          <w:sz w:val="24"/>
          <w:highlight w:val="none"/>
        </w:rPr>
        <w:t>响应人提供假证件的</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）其它违反政府采购法律法规的有关情况。</w:t>
      </w:r>
    </w:p>
    <w:p>
      <w:pPr>
        <w:spacing w:line="520" w:lineRule="exact"/>
        <w:ind w:firstLine="500"/>
        <w:rPr>
          <w:rFonts w:hint="eastAsia" w:ascii="宋体" w:hAnsi="宋体" w:eastAsia="宋体" w:cs="宋体"/>
          <w:color w:val="000000"/>
          <w:sz w:val="24"/>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w:t>
      </w:r>
      <w:r>
        <w:rPr>
          <w:rFonts w:hint="eastAsia" w:ascii="宋体" w:hAnsi="宋体" w:eastAsia="宋体" w:cs="宋体"/>
          <w:color w:val="000000"/>
          <w:sz w:val="24"/>
        </w:rPr>
        <w:t>对于未能按要求提交</w:t>
      </w:r>
      <w:r>
        <w:rPr>
          <w:rFonts w:hint="eastAsia" w:ascii="宋体" w:hAnsi="宋体" w:eastAsia="宋体" w:cs="宋体"/>
          <w:sz w:val="24"/>
          <w:highlight w:val="none"/>
          <w:lang w:eastAsia="zh-CN"/>
        </w:rPr>
        <w:t>磋商</w:t>
      </w:r>
      <w:r>
        <w:rPr>
          <w:rFonts w:hint="eastAsia" w:ascii="宋体" w:hAnsi="宋体" w:eastAsia="宋体" w:cs="宋体"/>
          <w:color w:val="000000"/>
          <w:sz w:val="24"/>
        </w:rPr>
        <w:t>保证金的谈判，采购人将视为不响应</w:t>
      </w:r>
      <w:r>
        <w:rPr>
          <w:rFonts w:hint="eastAsia" w:ascii="宋体" w:hAnsi="宋体" w:eastAsia="宋体" w:cs="宋体"/>
          <w:sz w:val="24"/>
          <w:highlight w:val="none"/>
          <w:lang w:eastAsia="zh-CN"/>
        </w:rPr>
        <w:t>磋商</w:t>
      </w:r>
      <w:r>
        <w:rPr>
          <w:rFonts w:hint="eastAsia" w:ascii="宋体" w:hAnsi="宋体" w:eastAsia="宋体" w:cs="宋体"/>
          <w:color w:val="000000"/>
          <w:sz w:val="24"/>
        </w:rPr>
        <w:t>文件而予以拒绝。</w:t>
      </w:r>
    </w:p>
    <w:p>
      <w:pPr>
        <w:spacing w:line="520" w:lineRule="exact"/>
        <w:ind w:firstLine="500"/>
        <w:rPr>
          <w:rFonts w:hint="eastAsia" w:eastAsia="宋体"/>
          <w:lang w:eastAsia="zh-CN"/>
        </w:rPr>
      </w:pP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7</w:t>
      </w:r>
      <w:r>
        <w:rPr>
          <w:rFonts w:hint="eastAsia" w:ascii="宋体" w:hAnsi="宋体" w:eastAsia="宋体" w:cs="宋体"/>
          <w:color w:val="000000"/>
          <w:sz w:val="24"/>
          <w:lang w:eastAsia="zh-CN"/>
        </w:rPr>
        <w:t>）</w:t>
      </w:r>
      <w:r>
        <w:rPr>
          <w:rFonts w:hint="eastAsia" w:ascii="宋体" w:hAnsi="宋体" w:eastAsia="宋体" w:cs="宋体"/>
          <w:color w:val="000000"/>
          <w:sz w:val="24"/>
        </w:rPr>
        <w:t>在</w:t>
      </w:r>
      <w:r>
        <w:rPr>
          <w:rFonts w:hint="eastAsia" w:ascii="宋体" w:hAnsi="宋体" w:eastAsia="宋体" w:cs="宋体"/>
          <w:sz w:val="24"/>
          <w:highlight w:val="none"/>
          <w:lang w:eastAsia="zh-CN"/>
        </w:rPr>
        <w:t>磋商</w:t>
      </w:r>
      <w:r>
        <w:rPr>
          <w:rFonts w:hint="eastAsia" w:ascii="宋体" w:hAnsi="宋体" w:eastAsia="宋体" w:cs="宋体"/>
          <w:color w:val="000000"/>
          <w:sz w:val="24"/>
        </w:rPr>
        <w:t>有效期满后五个工作日内向未成交人退还</w:t>
      </w:r>
      <w:r>
        <w:rPr>
          <w:rFonts w:hint="eastAsia" w:ascii="宋体" w:hAnsi="宋体" w:eastAsia="宋体" w:cs="宋体"/>
          <w:sz w:val="24"/>
          <w:highlight w:val="none"/>
          <w:lang w:eastAsia="zh-CN"/>
        </w:rPr>
        <w:t>磋商</w:t>
      </w:r>
      <w:r>
        <w:rPr>
          <w:rFonts w:hint="eastAsia" w:ascii="宋体" w:hAnsi="宋体" w:eastAsia="宋体" w:cs="宋体"/>
          <w:color w:val="000000"/>
          <w:sz w:val="24"/>
        </w:rPr>
        <w:t>保证金。在</w:t>
      </w:r>
      <w:r>
        <w:rPr>
          <w:rFonts w:hint="eastAsia" w:ascii="宋体" w:hAnsi="宋体" w:eastAsia="宋体" w:cs="宋体"/>
          <w:sz w:val="24"/>
          <w:highlight w:val="none"/>
          <w:lang w:eastAsia="zh-CN"/>
        </w:rPr>
        <w:t>磋商</w:t>
      </w:r>
      <w:r>
        <w:rPr>
          <w:rFonts w:hint="eastAsia" w:ascii="宋体" w:hAnsi="宋体" w:eastAsia="宋体" w:cs="宋体"/>
          <w:color w:val="000000"/>
          <w:sz w:val="24"/>
        </w:rPr>
        <w:t>有效期满前确定成交人的，在确定成交人后五个工作日内退还。</w:t>
      </w:r>
    </w:p>
    <w:p>
      <w:pPr>
        <w:pStyle w:val="17"/>
        <w:rPr>
          <w:rFonts w:hint="eastAsia" w:eastAsia="宋体"/>
          <w:lang w:eastAsia="zh-CN"/>
        </w:rPr>
      </w:pPr>
    </w:p>
    <w:p>
      <w:pPr>
        <w:spacing w:line="360" w:lineRule="auto"/>
        <w:ind w:firstLine="482" w:firstLineChars="200"/>
        <w:jc w:val="left"/>
        <w:rPr>
          <w:rFonts w:hint="eastAsia" w:ascii="宋体" w:hAnsi="宋体" w:eastAsia="宋体" w:cs="宋体"/>
          <w:sz w:val="24"/>
          <w:highlight w:val="none"/>
          <w:lang w:eastAsia="zh-CN"/>
        </w:rPr>
      </w:pPr>
      <w:bookmarkStart w:id="43" w:name="_Toc4057"/>
      <w:r>
        <w:rPr>
          <w:rFonts w:hint="eastAsia" w:ascii="宋体" w:hAnsi="宋体" w:eastAsia="宋体" w:cs="宋体"/>
          <w:b/>
          <w:sz w:val="24"/>
          <w:highlight w:val="none"/>
          <w:lang w:eastAsia="zh-CN"/>
        </w:rPr>
        <w:t>（十三）</w:t>
      </w:r>
      <w:bookmarkEnd w:id="43"/>
      <w:r>
        <w:rPr>
          <w:rFonts w:hint="eastAsia" w:ascii="宋体" w:hAnsi="宋体" w:eastAsia="宋体" w:cs="宋体"/>
          <w:b/>
          <w:bCs/>
          <w:sz w:val="24"/>
          <w:highlight w:val="none"/>
          <w:lang w:eastAsia="zh-CN"/>
        </w:rPr>
        <w:t>磋商有效期</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磋商有效期</w:t>
      </w:r>
      <w:r>
        <w:rPr>
          <w:rFonts w:hint="eastAsia" w:ascii="宋体" w:hAnsi="宋体" w:eastAsia="宋体" w:cs="宋体"/>
          <w:sz w:val="24"/>
          <w:highlight w:val="none"/>
        </w:rPr>
        <w:t>为竞争性磋商文件规定的供应商提交响应文件截止之日起</w:t>
      </w:r>
      <w:r>
        <w:rPr>
          <w:rFonts w:hint="eastAsia" w:ascii="宋体" w:hAnsi="宋体" w:eastAsia="宋体" w:cs="宋体"/>
          <w:sz w:val="24"/>
          <w:highlight w:val="none"/>
          <w:lang w:val="en-US" w:eastAsia="zh-CN"/>
        </w:rPr>
        <w:t>90</w:t>
      </w:r>
      <w:r>
        <w:rPr>
          <w:rFonts w:hint="eastAsia" w:ascii="宋体" w:hAnsi="宋体" w:eastAsia="宋体" w:cs="宋体"/>
          <w:sz w:val="24"/>
          <w:highlight w:val="none"/>
        </w:rPr>
        <w:t>天。</w:t>
      </w:r>
      <w:r>
        <w:rPr>
          <w:rFonts w:hint="eastAsia" w:ascii="宋体" w:hAnsi="宋体" w:eastAsia="宋体" w:cs="宋体"/>
          <w:sz w:val="24"/>
          <w:highlight w:val="none"/>
          <w:lang w:eastAsia="zh-CN"/>
        </w:rPr>
        <w:t>磋商有效期</w:t>
      </w:r>
      <w:r>
        <w:rPr>
          <w:rFonts w:hint="eastAsia" w:ascii="宋体" w:hAnsi="宋体" w:eastAsia="宋体" w:cs="宋体"/>
          <w:sz w:val="24"/>
          <w:highlight w:val="none"/>
        </w:rPr>
        <w:t>不满足竞争性磋商文件要求将视为非响应性文件而予以拒绝。</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w:t>
      </w:r>
      <w:bookmarkStart w:id="44" w:name="_Toc32415"/>
      <w:r>
        <w:rPr>
          <w:rFonts w:hint="eastAsia" w:ascii="宋体" w:hAnsi="宋体" w:eastAsia="宋体" w:cs="宋体"/>
          <w:sz w:val="24"/>
          <w:highlight w:val="none"/>
          <w:lang w:val="en-US" w:eastAsia="zh-CN"/>
        </w:rPr>
        <w:t>.</w:t>
      </w:r>
      <w:r>
        <w:rPr>
          <w:rFonts w:hint="eastAsia" w:ascii="宋体" w:hAnsi="宋体" w:eastAsia="宋体" w:cs="宋体"/>
          <w:sz w:val="24"/>
          <w:highlight w:val="none"/>
        </w:rPr>
        <w:t>在特殊情况下，采购人于原</w:t>
      </w:r>
      <w:r>
        <w:rPr>
          <w:rFonts w:hint="eastAsia" w:ascii="宋体" w:hAnsi="宋体" w:eastAsia="宋体" w:cs="宋体"/>
          <w:sz w:val="24"/>
          <w:highlight w:val="none"/>
          <w:lang w:eastAsia="zh-CN"/>
        </w:rPr>
        <w:t>磋商有效期</w:t>
      </w:r>
      <w:r>
        <w:rPr>
          <w:rFonts w:hint="eastAsia" w:ascii="宋体" w:hAnsi="宋体" w:eastAsia="宋体" w:cs="宋体"/>
          <w:sz w:val="24"/>
          <w:highlight w:val="none"/>
        </w:rPr>
        <w:t>满之前，可向</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提出延长</w:t>
      </w:r>
      <w:r>
        <w:rPr>
          <w:rFonts w:hint="eastAsia" w:ascii="宋体" w:hAnsi="宋体" w:eastAsia="宋体" w:cs="宋体"/>
          <w:sz w:val="24"/>
          <w:highlight w:val="none"/>
          <w:lang w:eastAsia="zh-CN"/>
        </w:rPr>
        <w:t>磋商有效期</w:t>
      </w:r>
      <w:r>
        <w:rPr>
          <w:rFonts w:hint="eastAsia" w:ascii="宋体" w:hAnsi="宋体" w:eastAsia="宋体" w:cs="宋体"/>
          <w:sz w:val="24"/>
          <w:highlight w:val="none"/>
        </w:rPr>
        <w:t>的要求，这种要求与答复均应采用书面形式（如信件、传真或电报等），</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可以拒绝采购人的这一要求而放弃参与磋商，磋商保证金予以退回；同意延长的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既不能要求也不允许修改其响应文件。第十四条有关磋商保证金的没收和退还的规定在延长期内继续有效。</w:t>
      </w:r>
    </w:p>
    <w:p>
      <w:pPr>
        <w:spacing w:line="360" w:lineRule="auto"/>
        <w:ind w:firstLine="482" w:firstLineChars="200"/>
        <w:jc w:val="left"/>
        <w:rPr>
          <w:rFonts w:hint="eastAsia" w:ascii="宋体" w:hAnsi="宋体" w:eastAsia="宋体" w:cs="宋体"/>
          <w:sz w:val="24"/>
          <w:highlight w:val="none"/>
        </w:rPr>
      </w:pPr>
      <w:r>
        <w:rPr>
          <w:rFonts w:hint="eastAsia" w:ascii="宋体" w:hAnsi="宋体" w:eastAsia="宋体" w:cs="宋体"/>
          <w:b/>
          <w:sz w:val="24"/>
          <w:highlight w:val="none"/>
          <w:lang w:eastAsia="zh-CN"/>
        </w:rPr>
        <w:t>（十四）</w:t>
      </w:r>
      <w:r>
        <w:rPr>
          <w:rFonts w:hint="eastAsia" w:ascii="宋体" w:hAnsi="宋体" w:eastAsia="宋体" w:cs="宋体"/>
          <w:b/>
          <w:bCs/>
          <w:sz w:val="24"/>
          <w:highlight w:val="none"/>
        </w:rPr>
        <w:t>响应文件份数和签署</w:t>
      </w:r>
      <w:bookmarkEnd w:id="44"/>
    </w:p>
    <w:p>
      <w:pPr>
        <w:spacing w:line="360" w:lineRule="auto"/>
        <w:ind w:firstLine="480" w:firstLineChars="200"/>
        <w:jc w:val="left"/>
        <w:rPr>
          <w:rFonts w:hint="eastAsia" w:ascii="宋体" w:hAnsi="宋体" w:eastAsia="宋体" w:cs="宋体"/>
          <w:sz w:val="24"/>
          <w:highlight w:val="none"/>
        </w:rPr>
      </w:pPr>
      <w:bookmarkStart w:id="45" w:name="_Toc11128"/>
      <w:r>
        <w:rPr>
          <w:rFonts w:hint="eastAsia" w:ascii="宋体" w:hAnsi="宋体" w:eastAsia="宋体" w:cs="宋体"/>
          <w:sz w:val="24"/>
          <w:highlight w:val="none"/>
        </w:rPr>
        <w:t>1</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应严格按照</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须知的要求准备响应文件，每份响应文件封面显著处必须清楚地标明“正本”</w:t>
      </w:r>
      <w:r>
        <w:rPr>
          <w:rFonts w:hint="eastAsia" w:ascii="宋体" w:hAnsi="宋体" w:eastAsia="宋体" w:cs="宋体"/>
          <w:sz w:val="24"/>
          <w:highlight w:val="none"/>
          <w:lang w:eastAsia="zh-CN"/>
        </w:rPr>
        <w:t>、</w:t>
      </w:r>
      <w:r>
        <w:rPr>
          <w:rFonts w:hint="eastAsia" w:ascii="宋体" w:hAnsi="宋体" w:eastAsia="宋体" w:cs="宋体"/>
          <w:sz w:val="24"/>
          <w:highlight w:val="none"/>
        </w:rPr>
        <w:t>“副本”</w:t>
      </w:r>
      <w:r>
        <w:rPr>
          <w:rFonts w:hint="eastAsia" w:ascii="宋体" w:hAnsi="宋体" w:eastAsia="宋体" w:cs="宋体"/>
          <w:sz w:val="24"/>
          <w:highlight w:val="none"/>
          <w:lang w:eastAsia="zh-CN"/>
        </w:rPr>
        <w:t>、</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电子版响应文件</w:t>
      </w:r>
      <w:r>
        <w:rPr>
          <w:rFonts w:hint="eastAsia" w:ascii="宋体" w:hAnsi="宋体" w:eastAsia="宋体" w:cs="宋体"/>
          <w:sz w:val="24"/>
          <w:highlight w:val="none"/>
        </w:rPr>
        <w:t>”</w:t>
      </w:r>
      <w:r>
        <w:rPr>
          <w:rFonts w:hint="eastAsia" w:ascii="宋体" w:hAnsi="宋体" w:eastAsia="宋体" w:cs="宋体"/>
          <w:sz w:val="24"/>
          <w:highlight w:val="none"/>
          <w:lang w:eastAsia="zh-CN"/>
        </w:rPr>
        <w:t>、</w:t>
      </w:r>
      <w:r>
        <w:rPr>
          <w:rFonts w:hint="eastAsia" w:ascii="宋体" w:hAnsi="宋体" w:eastAsia="宋体" w:cs="宋体"/>
          <w:sz w:val="24"/>
          <w:highlight w:val="none"/>
        </w:rPr>
        <w:t>“</w:t>
      </w:r>
      <w:r>
        <w:rPr>
          <w:rFonts w:hint="eastAsia" w:ascii="宋体" w:hAnsi="宋体" w:eastAsia="宋体"/>
          <w:sz w:val="24"/>
          <w:highlight w:val="none"/>
          <w:lang w:val="en-US" w:eastAsia="zh-CN"/>
        </w:rPr>
        <w:t>报价一览表</w:t>
      </w:r>
      <w:r>
        <w:rPr>
          <w:rFonts w:hint="eastAsia" w:ascii="宋体" w:hAnsi="宋体" w:eastAsia="宋体" w:cs="宋体"/>
          <w:sz w:val="24"/>
          <w:highlight w:val="none"/>
        </w:rPr>
        <w:t>”字样。响应文件的正本和副本均需打印，正本和副本不符的，以正本为准。响应文件包括：正本壹份，副本</w:t>
      </w:r>
      <w:r>
        <w:rPr>
          <w:rFonts w:hint="eastAsia" w:ascii="宋体" w:hAnsi="宋体" w:eastAsia="宋体" w:cs="宋体"/>
          <w:sz w:val="24"/>
          <w:highlight w:val="none"/>
          <w:lang w:val="en-US" w:eastAsia="zh-CN"/>
        </w:rPr>
        <w:t>叁</w:t>
      </w:r>
      <w:r>
        <w:rPr>
          <w:rFonts w:hint="eastAsia" w:ascii="宋体" w:hAnsi="宋体" w:eastAsia="宋体" w:cs="宋体"/>
          <w:sz w:val="24"/>
          <w:highlight w:val="none"/>
        </w:rPr>
        <w:t>份，</w:t>
      </w:r>
      <w:r>
        <w:rPr>
          <w:rFonts w:hint="eastAsia" w:ascii="宋体" w:hAnsi="宋体" w:eastAsia="宋体"/>
          <w:sz w:val="24"/>
          <w:highlight w:val="none"/>
          <w:lang w:val="en-US" w:eastAsia="zh-CN"/>
        </w:rPr>
        <w:t>报价一览表</w:t>
      </w:r>
      <w:r>
        <w:rPr>
          <w:rFonts w:hint="eastAsia" w:ascii="宋体" w:hAnsi="宋体" w:eastAsia="宋体" w:cs="宋体"/>
          <w:sz w:val="24"/>
          <w:highlight w:val="none"/>
        </w:rPr>
        <w:t>、电子版响应文件壹份。</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除谈判响应人对错误处须修改外，全套谈判响应文件应无涂改或行间插字和增删。如有修改，修改处应由谈判响应人加盖谈判响应人的印章或由谈判响应文件签字人签字或盖章。</w:t>
      </w:r>
    </w:p>
    <w:p>
      <w:pPr>
        <w:pStyle w:val="17"/>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3.谈判响应文件的正本和副本均需打印或使用不褪色的墨水笔书写，字迹应清晰易于辨认，正本和副本如有不一致之处，以正本为准。</w:t>
      </w:r>
    </w:p>
    <w:p>
      <w:pPr>
        <w:spacing w:line="360" w:lineRule="auto"/>
        <w:ind w:firstLine="480" w:firstLineChars="200"/>
        <w:jc w:val="left"/>
        <w:rPr>
          <w:rFonts w:hint="default"/>
          <w:lang w:val="en-US"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谈判响应文件封面、谈判函均应加盖谈判响应人印章并经法定代表人或其委托代理人签字或盖章。由委托代理人签字或盖章的在谈判响应文件中须同时提交谈判响应文件签署授权委托书。谈判响应文件签署授权委托书格式、签字、盖章及内容均应符合要求，否则谈判响应文件签署授权委托书无效。</w:t>
      </w:r>
    </w:p>
    <w:p>
      <w:pPr>
        <w:spacing w:line="360" w:lineRule="auto"/>
        <w:ind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（十五）响应文件装订</w:t>
      </w:r>
      <w:bookmarkEnd w:id="45"/>
    </w:p>
    <w:p>
      <w:pPr>
        <w:spacing w:line="360" w:lineRule="auto"/>
        <w:ind w:firstLine="480" w:firstLineChars="200"/>
        <w:rPr>
          <w:rFonts w:hint="eastAsia" w:ascii="宋体" w:hAnsi="宋体" w:eastAsia="宋体" w:cs="宋体"/>
          <w:b/>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除特别说明外，全套响应文件的书面部分均使用A4规格纸张无线胶装方式装订，</w:t>
      </w:r>
      <w:r>
        <w:rPr>
          <w:rFonts w:hint="eastAsia" w:ascii="宋体" w:hAnsi="宋体" w:eastAsia="宋体" w:cs="宋体"/>
          <w:b/>
          <w:sz w:val="24"/>
          <w:highlight w:val="none"/>
        </w:rPr>
        <w:t>不得采用活页夹等可随时拆换的式装订。</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密封件外层</w:t>
      </w:r>
      <w:r>
        <w:rPr>
          <w:rFonts w:hint="eastAsia" w:ascii="宋体" w:hAnsi="宋体" w:eastAsia="宋体" w:cs="宋体"/>
          <w:sz w:val="24"/>
          <w:highlight w:val="none"/>
          <w:lang w:val="en-US" w:eastAsia="zh-CN"/>
        </w:rPr>
        <w:t>要求详见前附表</w:t>
      </w:r>
      <w:r>
        <w:rPr>
          <w:rFonts w:hint="eastAsia" w:ascii="宋体" w:hAnsi="宋体" w:eastAsia="宋体" w:cs="宋体"/>
          <w:sz w:val="24"/>
          <w:highlight w:val="none"/>
        </w:rPr>
        <w:t>。</w:t>
      </w:r>
    </w:p>
    <w:p>
      <w:pPr>
        <w:spacing w:line="360" w:lineRule="auto"/>
        <w:ind w:firstLine="480" w:firstLineChars="200"/>
        <w:rPr>
          <w:rFonts w:hint="eastAsia" w:ascii="宋体" w:hAnsi="宋体" w:eastAsia="宋体" w:cs="宋体"/>
          <w:b/>
          <w:sz w:val="28"/>
          <w:szCs w:val="28"/>
          <w:highlight w:val="none"/>
        </w:rPr>
      </w:pPr>
      <w:r>
        <w:rPr>
          <w:rFonts w:hint="eastAsia" w:ascii="宋体" w:hAnsi="宋体" w:eastAsia="宋体" w:cs="宋体"/>
          <w:sz w:val="24"/>
          <w:highlight w:val="none"/>
        </w:rPr>
        <w:t>若响应文件未按第（</w:t>
      </w:r>
      <w:r>
        <w:rPr>
          <w:rFonts w:hint="eastAsia" w:ascii="宋体" w:hAnsi="宋体" w:eastAsia="宋体" w:cs="宋体"/>
          <w:sz w:val="24"/>
          <w:highlight w:val="none"/>
          <w:lang w:val="en-US" w:eastAsia="zh-CN"/>
        </w:rPr>
        <w:t>十四</w:t>
      </w:r>
      <w:r>
        <w:rPr>
          <w:rFonts w:hint="eastAsia" w:ascii="宋体" w:hAnsi="宋体" w:eastAsia="宋体" w:cs="宋体"/>
          <w:sz w:val="24"/>
          <w:highlight w:val="none"/>
        </w:rPr>
        <w:t>）条款和第（</w:t>
      </w:r>
      <w:r>
        <w:rPr>
          <w:rFonts w:hint="eastAsia" w:ascii="宋体" w:hAnsi="宋体" w:eastAsia="宋体" w:cs="宋体"/>
          <w:sz w:val="24"/>
          <w:highlight w:val="none"/>
          <w:lang w:val="en-US" w:eastAsia="zh-CN"/>
        </w:rPr>
        <w:t>十五</w:t>
      </w:r>
      <w:r>
        <w:rPr>
          <w:rFonts w:hint="eastAsia" w:ascii="宋体" w:hAnsi="宋体" w:eastAsia="宋体" w:cs="宋体"/>
          <w:sz w:val="24"/>
          <w:highlight w:val="none"/>
        </w:rPr>
        <w:t>）条款要求密封和加写标记，将作为无效标处理。</w:t>
      </w:r>
      <w:bookmarkStart w:id="46" w:name="_Toc6236"/>
      <w:bookmarkStart w:id="47" w:name="_Toc10561"/>
    </w:p>
    <w:p>
      <w:pPr>
        <w:spacing w:line="360" w:lineRule="auto"/>
        <w:ind w:firstLine="562" w:firstLineChars="20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四、响应文件的递交</w:t>
      </w:r>
      <w:bookmarkEnd w:id="46"/>
      <w:bookmarkEnd w:id="47"/>
    </w:p>
    <w:p>
      <w:pPr>
        <w:spacing w:line="360" w:lineRule="auto"/>
        <w:ind w:firstLine="482" w:firstLineChars="200"/>
        <w:rPr>
          <w:rFonts w:hint="eastAsia" w:ascii="宋体" w:hAnsi="宋体" w:eastAsia="宋体" w:cs="宋体"/>
          <w:b/>
          <w:sz w:val="24"/>
          <w:highlight w:val="none"/>
        </w:rPr>
      </w:pPr>
      <w:bookmarkStart w:id="48" w:name="_Toc6804"/>
      <w:r>
        <w:rPr>
          <w:rFonts w:hint="eastAsia" w:ascii="宋体" w:hAnsi="宋体" w:eastAsia="宋体" w:cs="宋体"/>
          <w:b/>
          <w:sz w:val="24"/>
          <w:highlight w:val="none"/>
        </w:rPr>
        <w:t>（</w:t>
      </w:r>
      <w:r>
        <w:rPr>
          <w:rFonts w:hint="eastAsia" w:ascii="宋体" w:hAnsi="宋体" w:eastAsia="宋体" w:cs="宋体"/>
          <w:b/>
          <w:sz w:val="24"/>
          <w:highlight w:val="none"/>
          <w:lang w:eastAsia="zh-CN"/>
        </w:rPr>
        <w:t>一</w:t>
      </w:r>
      <w:r>
        <w:rPr>
          <w:rFonts w:hint="eastAsia" w:ascii="宋体" w:hAnsi="宋体" w:eastAsia="宋体" w:cs="宋体"/>
          <w:b/>
          <w:sz w:val="24"/>
          <w:highlight w:val="none"/>
        </w:rPr>
        <w:t>）</w:t>
      </w:r>
      <w:bookmarkEnd w:id="48"/>
      <w:bookmarkStart w:id="49" w:name="_Toc16896"/>
      <w:bookmarkStart w:id="50" w:name="_Toc27048"/>
      <w:bookmarkStart w:id="51" w:name="_Toc213839734"/>
      <w:r>
        <w:rPr>
          <w:rFonts w:hint="eastAsia" w:ascii="宋体" w:hAnsi="宋体" w:eastAsia="宋体" w:cs="宋体"/>
          <w:b/>
          <w:sz w:val="24"/>
          <w:highlight w:val="none"/>
        </w:rPr>
        <w:t>响应文件递交截止日期及方式</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1、所有响应文件都必须在竞争性磋商文件规定的递交截止时间前送达指定磋商地，</w:t>
      </w:r>
      <w:r>
        <w:rPr>
          <w:rFonts w:hint="eastAsia" w:ascii="宋体" w:hAnsi="宋体" w:eastAsia="宋体" w:cs="宋体"/>
          <w:bCs/>
          <w:sz w:val="24"/>
          <w:highlight w:val="none"/>
          <w:lang w:val="en-US" w:eastAsia="zh-CN"/>
        </w:rPr>
        <w:t>未在规定时间内递到指定地点的响应文件将被拒收。</w:t>
      </w:r>
      <w:r>
        <w:rPr>
          <w:rFonts w:hint="eastAsia" w:ascii="宋体" w:hAnsi="宋体" w:eastAsia="宋体" w:cs="宋体"/>
          <w:bCs/>
          <w:sz w:val="24"/>
          <w:highlight w:val="none"/>
        </w:rPr>
        <w:t>采购人对误投概不负责。</w:t>
      </w:r>
    </w:p>
    <w:p>
      <w:pPr>
        <w:spacing w:line="360" w:lineRule="auto"/>
        <w:ind w:firstLine="480" w:firstLineChars="200"/>
        <w:rPr>
          <w:rFonts w:hint="eastAsia" w:ascii="宋体" w:hAnsi="宋体" w:eastAsia="宋体" w:cs="宋体"/>
          <w:b/>
          <w:sz w:val="24"/>
          <w:highlight w:val="none"/>
        </w:rPr>
      </w:pPr>
      <w:r>
        <w:rPr>
          <w:rFonts w:hint="eastAsia" w:ascii="宋体" w:hAnsi="宋体" w:eastAsia="宋体" w:cs="宋体"/>
          <w:bCs/>
          <w:sz w:val="24"/>
          <w:highlight w:val="none"/>
        </w:rPr>
        <w:t>2、采购代理机构将在竞争性磋商文件规定的时间和地点组织磋商会议，</w:t>
      </w:r>
      <w:r>
        <w:rPr>
          <w:rFonts w:hint="eastAsia" w:ascii="宋体" w:hAnsi="宋体" w:eastAsia="宋体" w:cs="宋体"/>
          <w:b/>
          <w:sz w:val="24"/>
          <w:highlight w:val="none"/>
          <w:lang w:eastAsia="zh-CN"/>
        </w:rPr>
        <w:t>供应商</w:t>
      </w:r>
      <w:r>
        <w:rPr>
          <w:rFonts w:hint="eastAsia" w:ascii="宋体" w:hAnsi="宋体" w:eastAsia="宋体" w:cs="宋体"/>
          <w:b/>
          <w:sz w:val="24"/>
          <w:highlight w:val="none"/>
        </w:rPr>
        <w:t>必须派法定代表人或其授权的委托人出席会议。</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3、采购人可以通过修改竞争性磋商文件酌情延长响应文件接收截止日期，在此情况下，</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的所有权利和义务以及</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受制约的截止日期均应以延长后新的截止日期为准。</w:t>
      </w:r>
    </w:p>
    <w:p>
      <w:pPr>
        <w:pStyle w:val="17"/>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4、谈判响应人应将所有谈判响应文件的正本和所有副本、电子文档密封。</w:t>
      </w:r>
    </w:p>
    <w:p>
      <w:pPr>
        <w:pStyle w:val="7"/>
        <w:ind w:left="0" w:leftChars="0" w:firstLine="0" w:firstLineChars="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5、在谈判响应文件密封袋上均应：</w:t>
      </w:r>
    </w:p>
    <w:p>
      <w:pPr>
        <w:pStyle w:val="7"/>
        <w:ind w:left="0" w:leftChars="0" w:firstLine="720" w:firstLineChars="30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写明采购人名称；</w:t>
      </w:r>
    </w:p>
    <w:p>
      <w:pPr>
        <w:ind w:firstLine="720" w:firstLineChars="30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注明下列识别标志：</w:t>
      </w:r>
    </w:p>
    <w:p>
      <w:pPr>
        <w:ind w:firstLine="720" w:firstLineChars="30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(1)项目信息</w:t>
      </w:r>
    </w:p>
    <w:p>
      <w:pPr>
        <w:ind w:firstLine="720" w:firstLineChars="30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(2)投标单位信息</w:t>
      </w:r>
    </w:p>
    <w:p>
      <w:pPr>
        <w:pStyle w:val="17"/>
        <w:rPr>
          <w:rFonts w:hint="default"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 xml:space="preserve">     （3）联系人姓名及联系方式</w:t>
      </w:r>
    </w:p>
    <w:p>
      <w:pPr>
        <w:spacing w:line="520" w:lineRule="exact"/>
        <w:ind w:firstLine="811" w:firstLineChars="338"/>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(4) 年  月  日  上午  时  分谈判，此时间以前不得开封（北京时间）。</w:t>
      </w:r>
    </w:p>
    <w:p>
      <w:pPr>
        <w:spacing w:line="520" w:lineRule="exact"/>
        <w:ind w:firstLine="50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(5)谈判响应人应将所有的谈判响应文件的正本、副本及电子版分别密封在封袋中，在封袋正面注明：“谈判响应文件（正本）”、“谈判响应文件（副本）”、“谈判响应文件（电子版）”“报价一览表”的响应字样。封袋上加贴封条，并在封袋的封口处加盖谈判响应人企业印章、企业法定代表人或其委托代理人印章。注：如不按以上格式密封的将拒绝接受其谈判响应文件！</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Cs/>
          <w:kern w:val="2"/>
          <w:sz w:val="24"/>
          <w:szCs w:val="24"/>
          <w:highlight w:val="none"/>
          <w:lang w:val="en-US" w:eastAsia="zh-CN" w:bidi="ar-SA"/>
        </w:rPr>
        <w:t>6、</w:t>
      </w:r>
      <w:r>
        <w:rPr>
          <w:rFonts w:hint="eastAsia" w:ascii="宋体" w:hAnsi="宋体" w:eastAsia="宋体" w:cs="宋体"/>
          <w:b w:val="0"/>
          <w:bCs w:val="0"/>
          <w:color w:val="000000"/>
          <w:sz w:val="24"/>
        </w:rPr>
        <w:t>如果谈判响应文件没有按本谈判须知的规定装订(采用死页胶装)和加写标记及密封，采购人将不承担谈判响应文件提前开封的责任。对由此造成提前开封的谈判响应文件将予以拒绝，并退还给谈判响应人。</w:t>
      </w:r>
    </w:p>
    <w:p>
      <w:pPr>
        <w:pStyle w:val="17"/>
        <w:rPr>
          <w:rFonts w:hint="default"/>
          <w:lang w:val="en-US" w:eastAsia="zh-CN"/>
        </w:rPr>
      </w:pPr>
    </w:p>
    <w:p>
      <w:pPr>
        <w:pStyle w:val="7"/>
        <w:rPr>
          <w:rFonts w:hint="eastAsia" w:ascii="宋体" w:hAnsi="宋体" w:eastAsia="宋体" w:cs="宋体"/>
          <w:bCs/>
          <w:kern w:val="2"/>
          <w:sz w:val="24"/>
          <w:szCs w:val="24"/>
          <w:highlight w:val="none"/>
          <w:lang w:val="en-US" w:eastAsia="zh-CN" w:bidi="ar-SA"/>
        </w:rPr>
      </w:pPr>
    </w:p>
    <w:p>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w:t>
      </w:r>
      <w:r>
        <w:rPr>
          <w:rFonts w:hint="eastAsia" w:ascii="宋体" w:hAnsi="宋体" w:eastAsia="宋体" w:cs="宋体"/>
          <w:b/>
          <w:sz w:val="24"/>
          <w:highlight w:val="none"/>
          <w:lang w:eastAsia="zh-CN"/>
        </w:rPr>
        <w:t>二</w:t>
      </w:r>
      <w:r>
        <w:rPr>
          <w:rFonts w:hint="eastAsia" w:ascii="宋体" w:hAnsi="宋体" w:eastAsia="宋体" w:cs="宋体"/>
          <w:b/>
          <w:sz w:val="24"/>
          <w:highlight w:val="none"/>
        </w:rPr>
        <w:t>）迟交的响应文件</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采购人将拒绝接收在规定的截止</w:t>
      </w:r>
      <w:r>
        <w:rPr>
          <w:rFonts w:hint="eastAsia" w:ascii="宋体" w:hAnsi="宋体" w:eastAsia="宋体" w:cs="宋体"/>
          <w:bCs/>
          <w:sz w:val="24"/>
          <w:highlight w:val="none"/>
          <w:lang w:val="en-US" w:eastAsia="zh-CN"/>
        </w:rPr>
        <w:t>时间</w:t>
      </w:r>
      <w:r>
        <w:rPr>
          <w:rFonts w:hint="eastAsia" w:ascii="宋体" w:hAnsi="宋体" w:eastAsia="宋体" w:cs="宋体"/>
          <w:bCs/>
          <w:sz w:val="24"/>
          <w:highlight w:val="none"/>
        </w:rPr>
        <w:t>后递交的任何响应文件。</w:t>
      </w:r>
      <w:bookmarkStart w:id="52" w:name="_Toc213839733"/>
    </w:p>
    <w:p>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w:t>
      </w:r>
      <w:r>
        <w:rPr>
          <w:rFonts w:hint="eastAsia" w:ascii="宋体" w:hAnsi="宋体" w:eastAsia="宋体" w:cs="宋体"/>
          <w:b/>
          <w:sz w:val="24"/>
          <w:highlight w:val="none"/>
          <w:lang w:eastAsia="zh-CN"/>
        </w:rPr>
        <w:t>三</w:t>
      </w:r>
      <w:r>
        <w:rPr>
          <w:rFonts w:hint="eastAsia" w:ascii="宋体" w:hAnsi="宋体" w:eastAsia="宋体" w:cs="宋体"/>
          <w:b/>
          <w:sz w:val="24"/>
          <w:highlight w:val="none"/>
        </w:rPr>
        <w:t>）响应文件的修改</w:t>
      </w:r>
      <w:bookmarkEnd w:id="52"/>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1、</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在递交响应文件截止时之前，</w:t>
      </w:r>
      <w:bookmarkStart w:id="53" w:name="_Toc5405"/>
      <w:r>
        <w:rPr>
          <w:rFonts w:hint="eastAsia" w:ascii="宋体" w:hAnsi="宋体" w:eastAsia="宋体" w:cs="宋体"/>
          <w:bCs/>
          <w:sz w:val="24"/>
          <w:highlight w:val="none"/>
        </w:rPr>
        <w:t>可以书面形式补充修改或撤回已提交的谈判响应文件，并以书面形式通知采购人。补充、修改的内容为谈判响应文件的组成部分。</w:t>
      </w:r>
    </w:p>
    <w:p>
      <w:pPr>
        <w:spacing w:line="360" w:lineRule="auto"/>
        <w:ind w:firstLine="480" w:firstLineChars="200"/>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2、</w:t>
      </w:r>
      <w:r>
        <w:rPr>
          <w:rFonts w:hint="eastAsia" w:ascii="宋体" w:hAnsi="宋体" w:eastAsia="宋体" w:cs="宋体"/>
          <w:bCs/>
          <w:sz w:val="24"/>
          <w:highlight w:val="none"/>
        </w:rPr>
        <w:t>谈判响应人对谈判响应文件的补充、修改，应按本须知有关规定密封、标记和提交，并在内外层谈判响应文件密封袋上清楚标明“补充、修改”或“撤回”字样。</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3、</w:t>
      </w:r>
      <w:r>
        <w:rPr>
          <w:rFonts w:hint="eastAsia" w:ascii="宋体" w:hAnsi="宋体" w:eastAsia="宋体" w:cs="宋体"/>
          <w:bCs/>
          <w:sz w:val="24"/>
          <w:highlight w:val="none"/>
        </w:rPr>
        <w:t>在谈判截止时间之后，谈判响应人不得补充、修改谈判文件。</w:t>
      </w:r>
    </w:p>
    <w:p>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4、</w:t>
      </w:r>
      <w:r>
        <w:rPr>
          <w:rFonts w:hint="eastAsia" w:ascii="宋体" w:hAnsi="宋体" w:eastAsia="宋体" w:cs="宋体"/>
          <w:bCs/>
          <w:sz w:val="24"/>
          <w:highlight w:val="none"/>
        </w:rPr>
        <w:t>在谈判截止时间至谈判有效期满之前，谈判响应人不得撤回其谈判响应文件，否则其谈判保证金将被没收。</w:t>
      </w:r>
    </w:p>
    <w:p>
      <w:pPr>
        <w:pStyle w:val="7"/>
        <w:rPr>
          <w:rFonts w:hint="default"/>
          <w:lang w:val="en-US" w:eastAsia="zh-CN"/>
        </w:rPr>
      </w:pPr>
    </w:p>
    <w:p>
      <w:pPr>
        <w:spacing w:line="360" w:lineRule="auto"/>
        <w:ind w:firstLine="562" w:firstLineChars="200"/>
        <w:rPr>
          <w:rFonts w:hint="eastAsia" w:ascii="宋体" w:hAnsi="宋体" w:eastAsia="宋体" w:cs="宋体"/>
          <w:b/>
          <w:sz w:val="28"/>
          <w:szCs w:val="28"/>
          <w:highlight w:val="none"/>
        </w:rPr>
      </w:pPr>
    </w:p>
    <w:p>
      <w:pPr>
        <w:snapToGrid w:val="0"/>
        <w:spacing w:line="360" w:lineRule="auto"/>
        <w:ind w:firstLine="562" w:firstLineChars="200"/>
        <w:jc w:val="center"/>
        <w:outlineLvl w:val="1"/>
        <w:rPr>
          <w:rFonts w:hint="eastAsia" w:ascii="宋体" w:hAnsi="宋体" w:eastAsia="宋体" w:cs="宋体"/>
          <w:b/>
          <w:sz w:val="28"/>
          <w:szCs w:val="28"/>
          <w:highlight w:val="none"/>
        </w:rPr>
      </w:pPr>
      <w:r>
        <w:rPr>
          <w:rFonts w:hint="eastAsia" w:ascii="宋体" w:hAnsi="宋体" w:eastAsia="宋体" w:cs="宋体"/>
          <w:b/>
          <w:sz w:val="28"/>
          <w:szCs w:val="28"/>
          <w:highlight w:val="none"/>
        </w:rPr>
        <w:t>五、无效标、废标条款</w:t>
      </w:r>
      <w:bookmarkEnd w:id="53"/>
    </w:p>
    <w:p>
      <w:pPr>
        <w:snapToGrid w:val="0"/>
        <w:spacing w:line="360" w:lineRule="auto"/>
        <w:ind w:firstLine="482" w:firstLineChars="200"/>
        <w:jc w:val="left"/>
        <w:rPr>
          <w:rFonts w:hint="eastAsia" w:ascii="宋体" w:hAnsi="宋体" w:eastAsia="宋体" w:cs="宋体"/>
          <w:b/>
          <w:bCs/>
          <w:sz w:val="24"/>
          <w:highlight w:val="none"/>
        </w:rPr>
      </w:pPr>
      <w:r>
        <w:rPr>
          <w:rFonts w:hint="eastAsia" w:ascii="宋体" w:hAnsi="宋体" w:eastAsia="宋体" w:cs="宋体"/>
          <w:b/>
          <w:bCs/>
          <w:sz w:val="24"/>
          <w:highlight w:val="none"/>
        </w:rPr>
        <w:t>（一）无效竞标条款</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资格不符合竞争性磋商文件规定或未按规定提交资质证件的；</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未在规定的时间内提交磋商保证</w:t>
      </w:r>
      <w:r>
        <w:rPr>
          <w:rFonts w:hint="eastAsia" w:ascii="宋体" w:hAnsi="宋体" w:eastAsia="宋体" w:cs="宋体"/>
          <w:sz w:val="24"/>
          <w:highlight w:val="none"/>
          <w:lang w:val="en-US" w:eastAsia="zh-CN"/>
        </w:rPr>
        <w:t>金款凭证</w:t>
      </w:r>
      <w:r>
        <w:rPr>
          <w:rFonts w:hint="eastAsia" w:ascii="宋体" w:hAnsi="宋体" w:eastAsia="宋体" w:cs="宋体"/>
          <w:sz w:val="24"/>
          <w:highlight w:val="none"/>
        </w:rPr>
        <w:t>的；</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3、响应文件密封、签署、盖章不符合竞争性磋商文件要求的；</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4、响应文件出现重大偏差，未对竞争性磋商文件进行实质性响应；</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5、被授权人不参加磋商仪式及质询事宜的；</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6、其它磋商小组认为有必要取消的投标；</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7、法律、法规规定的其他情况。</w:t>
      </w:r>
    </w:p>
    <w:p>
      <w:pPr>
        <w:snapToGrid w:val="0"/>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（二）废标条款</w:t>
      </w:r>
    </w:p>
    <w:p>
      <w:pPr>
        <w:snapToGrid w:val="0"/>
        <w:spacing w:line="360" w:lineRule="auto"/>
        <w:ind w:firstLine="480" w:firstLineChars="200"/>
        <w:jc w:val="left"/>
        <w:rPr>
          <w:rFonts w:hint="eastAsia" w:ascii="宋体" w:hAnsi="宋体" w:eastAsia="宋体" w:cs="宋体"/>
          <w:bCs/>
          <w:sz w:val="24"/>
          <w:highlight w:val="none"/>
        </w:rPr>
      </w:pPr>
      <w:r>
        <w:rPr>
          <w:rFonts w:hint="eastAsia" w:ascii="宋体" w:hAnsi="宋体" w:eastAsia="宋体" w:cs="宋体"/>
          <w:bCs/>
          <w:sz w:val="24"/>
          <w:highlight w:val="none"/>
        </w:rPr>
        <w:t>1、符合专业条件的</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或者对竞争性磋商文件作实质响应的</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不足三家的；</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2、出现影响招标公正的违法、违规行的；</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的报价均超过了招标预算，采购人不能支付的；</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4、因重大变故，招标任务取消的。</w:t>
      </w:r>
    </w:p>
    <w:p>
      <w:pPr>
        <w:snapToGrid w:val="0"/>
        <w:spacing w:line="360" w:lineRule="auto"/>
        <w:ind w:firstLine="482" w:firstLineChars="200"/>
        <w:jc w:val="left"/>
        <w:rPr>
          <w:rFonts w:hint="eastAsia" w:ascii="宋体" w:hAnsi="宋体" w:eastAsia="宋体" w:cs="宋体"/>
          <w:b/>
          <w:bCs/>
          <w:sz w:val="24"/>
          <w:highlight w:val="none"/>
        </w:rPr>
      </w:pPr>
      <w:r>
        <w:rPr>
          <w:rFonts w:hint="eastAsia" w:ascii="宋体" w:hAnsi="宋体" w:eastAsia="宋体" w:cs="宋体"/>
          <w:b/>
          <w:bCs/>
          <w:sz w:val="24"/>
          <w:highlight w:val="none"/>
        </w:rPr>
        <w:t>（三）参与</w:t>
      </w:r>
      <w:r>
        <w:rPr>
          <w:rFonts w:hint="eastAsia" w:ascii="宋体" w:hAnsi="宋体" w:eastAsia="宋体" w:cs="宋体"/>
          <w:b/>
          <w:bCs/>
          <w:sz w:val="24"/>
          <w:highlight w:val="none"/>
          <w:lang w:eastAsia="zh-CN"/>
        </w:rPr>
        <w:t>供应商</w:t>
      </w:r>
      <w:r>
        <w:rPr>
          <w:rFonts w:hint="eastAsia" w:ascii="宋体" w:hAnsi="宋体" w:eastAsia="宋体" w:cs="宋体"/>
          <w:b/>
          <w:bCs/>
          <w:sz w:val="24"/>
          <w:highlight w:val="none"/>
        </w:rPr>
        <w:t>不得少于三家</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根据《政府招标竞争性磋商招标方式管理暂行办法》的规定，参与项目的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不得少于三家。</w:t>
      </w:r>
    </w:p>
    <w:p>
      <w:pPr>
        <w:snapToGrid w:val="0"/>
        <w:spacing w:line="360" w:lineRule="auto"/>
        <w:ind w:firstLine="482" w:firstLineChars="200"/>
        <w:rPr>
          <w:rFonts w:hint="eastAsia" w:ascii="宋体" w:hAnsi="宋体" w:eastAsia="宋体" w:cs="宋体"/>
          <w:sz w:val="24"/>
          <w:highlight w:val="none"/>
        </w:rPr>
      </w:pPr>
      <w:r>
        <w:rPr>
          <w:rFonts w:hint="eastAsia" w:ascii="宋体" w:hAnsi="宋体" w:eastAsia="宋体" w:cs="宋体"/>
          <w:b/>
          <w:bCs/>
          <w:sz w:val="24"/>
          <w:highlight w:val="none"/>
        </w:rPr>
        <w:t>（四）取消交候选人资格条款</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1、提供虚假材料谋取成交的；</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2、采取不正当手段诋毁、排挤其他</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的；</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3、与采购人、其他</w:t>
      </w:r>
      <w:r>
        <w:rPr>
          <w:rFonts w:hint="eastAsia" w:ascii="宋体" w:hAnsi="宋体" w:eastAsia="宋体" w:cs="宋体"/>
          <w:sz w:val="24"/>
          <w:highlight w:val="none"/>
          <w:lang w:eastAsia="zh-CN"/>
        </w:rPr>
        <w:t>供应</w:t>
      </w:r>
      <w:r>
        <w:rPr>
          <w:rFonts w:hint="eastAsia" w:ascii="宋体" w:hAnsi="宋体" w:eastAsia="宋体" w:cs="宋体"/>
          <w:sz w:val="24"/>
          <w:highlight w:val="none"/>
        </w:rPr>
        <w:t>或者采购代理机构恶意串通的；</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4、向采购人、采购代理机构行贿或者提供其他不正当利益的；</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5、在规定的时间内未与采购人签订招标合同的；</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6、法律、法规规定的其他情况。</w:t>
      </w:r>
    </w:p>
    <w:bookmarkEnd w:id="49"/>
    <w:bookmarkEnd w:id="50"/>
    <w:bookmarkEnd w:id="51"/>
    <w:p>
      <w:pPr>
        <w:snapToGrid w:val="0"/>
        <w:spacing w:line="360" w:lineRule="auto"/>
        <w:ind w:firstLine="562" w:firstLineChars="200"/>
        <w:jc w:val="center"/>
        <w:outlineLvl w:val="1"/>
        <w:rPr>
          <w:rFonts w:hint="eastAsia" w:ascii="宋体" w:hAnsi="宋体" w:eastAsia="宋体" w:cs="宋体"/>
          <w:b/>
          <w:sz w:val="28"/>
          <w:szCs w:val="28"/>
          <w:highlight w:val="none"/>
        </w:rPr>
      </w:pPr>
      <w:bookmarkStart w:id="54" w:name="_Toc11937"/>
      <w:r>
        <w:rPr>
          <w:rFonts w:hint="eastAsia" w:ascii="宋体" w:hAnsi="宋体" w:eastAsia="宋体" w:cs="宋体"/>
          <w:b/>
          <w:sz w:val="28"/>
          <w:szCs w:val="28"/>
          <w:highlight w:val="none"/>
        </w:rPr>
        <w:t>六、磋商程序及最终报价</w:t>
      </w:r>
      <w:bookmarkEnd w:id="54"/>
    </w:p>
    <w:p>
      <w:pPr>
        <w:snapToGrid w:val="0"/>
        <w:spacing w:line="360" w:lineRule="auto"/>
        <w:ind w:firstLine="482" w:firstLineChars="200"/>
        <w:rPr>
          <w:rFonts w:hint="eastAsia" w:ascii="宋体" w:hAnsi="宋体" w:eastAsia="宋体" w:cs="宋体"/>
          <w:b/>
          <w:bCs/>
          <w:sz w:val="24"/>
          <w:highlight w:val="none"/>
        </w:rPr>
      </w:pPr>
      <w:r>
        <w:rPr>
          <w:rFonts w:hint="eastAsia" w:ascii="宋体" w:hAnsi="宋体" w:eastAsia="宋体" w:cs="宋体"/>
          <w:b/>
          <w:bCs/>
          <w:sz w:val="24"/>
          <w:highlight w:val="none"/>
        </w:rPr>
        <w:t>（</w:t>
      </w:r>
      <w:r>
        <w:rPr>
          <w:rFonts w:hint="eastAsia" w:ascii="宋体" w:hAnsi="宋体" w:eastAsia="宋体" w:cs="宋体"/>
          <w:b/>
          <w:bCs/>
          <w:sz w:val="24"/>
          <w:highlight w:val="none"/>
          <w:lang w:eastAsia="zh-CN"/>
        </w:rPr>
        <w:t>一</w:t>
      </w:r>
      <w:r>
        <w:rPr>
          <w:rFonts w:hint="eastAsia" w:ascii="宋体" w:hAnsi="宋体" w:eastAsia="宋体" w:cs="宋体"/>
          <w:b/>
          <w:bCs/>
          <w:sz w:val="24"/>
          <w:highlight w:val="none"/>
        </w:rPr>
        <w:t>）磋商原则</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评、定标依据《</w:t>
      </w:r>
      <w:r>
        <w:rPr>
          <w:rFonts w:hint="eastAsia" w:ascii="宋体" w:hAnsi="宋体" w:eastAsia="宋体" w:cs="宋体"/>
          <w:sz w:val="24"/>
          <w:highlight w:val="none"/>
          <w:lang w:eastAsia="zh-CN"/>
        </w:rPr>
        <w:t>中华人民共和国政府采购法</w:t>
      </w:r>
      <w:r>
        <w:rPr>
          <w:rFonts w:hint="eastAsia" w:ascii="宋体" w:hAnsi="宋体" w:eastAsia="宋体" w:cs="宋体"/>
          <w:sz w:val="24"/>
          <w:highlight w:val="none"/>
        </w:rPr>
        <w:t>》及新疆维吾尔自治区财政厅</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和田地区及民丰县</w:t>
      </w:r>
      <w:r>
        <w:rPr>
          <w:rFonts w:hint="eastAsia" w:ascii="宋体" w:hAnsi="宋体" w:eastAsia="宋体" w:cs="宋体"/>
          <w:sz w:val="24"/>
          <w:highlight w:val="none"/>
        </w:rPr>
        <w:t>等相关规定，遵循公开、公平、正、竞争的原则。</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1、严格执行《</w:t>
      </w:r>
      <w:r>
        <w:rPr>
          <w:rFonts w:hint="eastAsia" w:ascii="宋体" w:hAnsi="宋体" w:eastAsia="宋体" w:cs="宋体"/>
          <w:sz w:val="24"/>
          <w:highlight w:val="none"/>
          <w:lang w:eastAsia="zh-CN"/>
        </w:rPr>
        <w:t>中华人民共和国政府采购法</w:t>
      </w:r>
      <w:r>
        <w:rPr>
          <w:rFonts w:hint="eastAsia" w:ascii="宋体" w:hAnsi="宋体" w:eastAsia="宋体" w:cs="宋体"/>
          <w:sz w:val="24"/>
          <w:highlight w:val="none"/>
        </w:rPr>
        <w:t>》及自治区有关法规、政策、维护采购人、</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的合法权益，选择对采购人最为有利的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或候选</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2、磋商小组所有成员应当集中与单一</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分别进行磋商，并给予所有参加磋商的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平等的磋商机会。不应谈及与</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所提供的服务质量、技术、价格等无关的话题。</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在磋商过程中，磋商小组可以根据竞争性磋商文件和磋商情况实质性变动招标需求中的技术、服务要求以及合同草案条款，但不得变动竞争性磋商文件中的其他内容。实质性变动的内容，须经采购人代表确认。对竞争性磋商文件做出的实质性变动是竞争性磋商文件的有效组成部分，磋商小组应当及时以书面形式同时通知所有参加磋商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4、坚持价格合理、方案第一的原则，不以最低报价作为中标唯一标准。</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5、磋商工作由评审专家及采购人代表共同组建的磋商小组承担。评审专家占磋商小组总数的三分之二以上。</w:t>
      </w:r>
    </w:p>
    <w:p>
      <w:pPr>
        <w:adjustRightInd w:val="0"/>
        <w:snapToGrid w:val="0"/>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bCs/>
          <w:sz w:val="24"/>
          <w:highlight w:val="none"/>
        </w:rPr>
        <w:t>（二）</w:t>
      </w:r>
      <w:r>
        <w:rPr>
          <w:rFonts w:hint="eastAsia" w:ascii="宋体" w:hAnsi="宋体" w:eastAsia="宋体" w:cs="宋体"/>
          <w:b/>
          <w:sz w:val="24"/>
          <w:highlight w:val="none"/>
        </w:rPr>
        <w:t>磋商小组</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采购人根据本项目的特点，于开标前24小时内，从</w:t>
      </w:r>
      <w:r>
        <w:rPr>
          <w:rFonts w:hint="eastAsia" w:ascii="宋体" w:hAnsi="宋体" w:eastAsia="宋体" w:cs="宋体"/>
          <w:sz w:val="24"/>
          <w:highlight w:val="none"/>
          <w:lang w:val="en-US" w:eastAsia="zh-CN"/>
        </w:rPr>
        <w:t>和田地区</w:t>
      </w:r>
      <w:r>
        <w:rPr>
          <w:rFonts w:hint="eastAsia" w:ascii="宋体" w:hAnsi="宋体" w:eastAsia="宋体" w:cs="宋体"/>
          <w:sz w:val="24"/>
          <w:highlight w:val="none"/>
        </w:rPr>
        <w:t>评审专家库中随机抽取组建磋商小组，其成员由有关技术、经济方面的专家2人，业主代表1人组成。磋商小组在监督部门的监督下独立完成磋商工作，负责对响应文件进行审查、质询、评审、推选成交候选</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w:t>
      </w:r>
    </w:p>
    <w:p>
      <w:pPr>
        <w:snapToGrid w:val="0"/>
        <w:spacing w:line="360" w:lineRule="auto"/>
        <w:ind w:firstLine="482" w:firstLineChars="200"/>
        <w:rPr>
          <w:rFonts w:hint="eastAsia" w:ascii="宋体" w:hAnsi="宋体" w:eastAsia="宋体" w:cs="宋体"/>
          <w:b/>
          <w:bCs/>
          <w:sz w:val="24"/>
          <w:highlight w:val="none"/>
        </w:rPr>
      </w:pPr>
      <w:r>
        <w:rPr>
          <w:rFonts w:hint="eastAsia" w:ascii="宋体" w:hAnsi="宋体" w:eastAsia="宋体" w:cs="宋体"/>
          <w:b/>
          <w:bCs/>
          <w:sz w:val="24"/>
          <w:highlight w:val="none"/>
        </w:rPr>
        <w:t>（</w:t>
      </w:r>
      <w:r>
        <w:rPr>
          <w:rFonts w:hint="eastAsia" w:ascii="宋体" w:hAnsi="宋体" w:eastAsia="宋体" w:cs="宋体"/>
          <w:b/>
          <w:bCs/>
          <w:sz w:val="24"/>
          <w:highlight w:val="none"/>
          <w:lang w:eastAsia="zh-CN"/>
        </w:rPr>
        <w:t>三</w:t>
      </w:r>
      <w:r>
        <w:rPr>
          <w:rFonts w:hint="eastAsia" w:ascii="宋体" w:hAnsi="宋体" w:eastAsia="宋体" w:cs="宋体"/>
          <w:b/>
          <w:bCs/>
          <w:sz w:val="24"/>
          <w:highlight w:val="none"/>
        </w:rPr>
        <w:t>）磋商程序</w:t>
      </w:r>
    </w:p>
    <w:p>
      <w:pPr>
        <w:widowControl/>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1、代理机构按竞争性磋商文件规定的时间、地点组织开标、磋商。招标单位代表及有关工作人员参加，政府招标监管部门视况参与。</w:t>
      </w:r>
    </w:p>
    <w:p>
      <w:pPr>
        <w:widowControl/>
        <w:snapToGrid w:val="0"/>
        <w:spacing w:line="360" w:lineRule="auto"/>
        <w:ind w:firstLine="480" w:firstLineChars="200"/>
        <w:rPr>
          <w:rFonts w:hint="eastAsia" w:ascii="宋体" w:hAnsi="宋体" w:eastAsia="宋体" w:cs="宋体"/>
          <w:b/>
          <w:sz w:val="24"/>
          <w:highlight w:val="none"/>
          <w:u w:val="single"/>
        </w:rPr>
      </w:pPr>
      <w:r>
        <w:rPr>
          <w:rFonts w:hint="eastAsia" w:ascii="宋体" w:hAnsi="宋体" w:eastAsia="宋体" w:cs="宋体"/>
          <w:sz w:val="24"/>
          <w:highlight w:val="none"/>
        </w:rPr>
        <w:t>2、</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应委派法人或授权代表磋商活动</w:t>
      </w:r>
      <w:r>
        <w:rPr>
          <w:rFonts w:hint="eastAsia" w:ascii="宋体" w:hAnsi="宋体" w:eastAsia="宋体" w:cs="宋体"/>
          <w:b w:val="0"/>
          <w:bCs w:val="0"/>
          <w:sz w:val="24"/>
          <w:highlight w:val="none"/>
        </w:rPr>
        <w:t>，</w:t>
      </w:r>
      <w:r>
        <w:rPr>
          <w:rFonts w:hint="eastAsia" w:ascii="宋体" w:hAnsi="宋体" w:eastAsia="宋体" w:cs="宋体"/>
          <w:b w:val="0"/>
          <w:bCs w:val="0"/>
          <w:sz w:val="24"/>
          <w:highlight w:val="none"/>
          <w:u w:val="single"/>
        </w:rPr>
        <w:t>参加磋商的人员须持本人身份证原件签名报到</w:t>
      </w:r>
      <w:r>
        <w:rPr>
          <w:rFonts w:hint="eastAsia" w:ascii="宋体" w:hAnsi="宋体" w:eastAsia="宋体" w:cs="宋体"/>
          <w:b w:val="0"/>
          <w:bCs w:val="0"/>
          <w:sz w:val="24"/>
          <w:highlight w:val="none"/>
          <w:u w:val="single"/>
          <w:lang w:val="en-US" w:eastAsia="zh-CN"/>
        </w:rPr>
        <w:t>。</w:t>
      </w:r>
    </w:p>
    <w:p>
      <w:pPr>
        <w:pStyle w:val="29"/>
        <w:numPr>
          <w:ilvl w:val="0"/>
          <w:numId w:val="0"/>
        </w:numPr>
        <w:ind w:firstLine="480" w:firstLineChars="200"/>
        <w:rPr>
          <w:rFonts w:hint="eastAsia" w:ascii="宋体" w:hAnsi="宋体" w:cs="宋体"/>
          <w:b/>
          <w:bCs/>
          <w:sz w:val="24"/>
          <w:highlight w:val="none"/>
          <w:u w:val="none"/>
          <w:lang w:eastAsia="zh-CN"/>
        </w:rPr>
      </w:pPr>
      <w:r>
        <w:rPr>
          <w:rFonts w:hint="eastAsia" w:ascii="宋体" w:hAnsi="宋体" w:eastAsia="宋体" w:cs="宋体"/>
          <w:sz w:val="24"/>
          <w:highlight w:val="none"/>
        </w:rPr>
        <w:t>3、开标会议由代理机构主持。</w:t>
      </w:r>
      <w:r>
        <w:rPr>
          <w:rFonts w:hint="eastAsia" w:ascii="宋体" w:hAnsi="宋体" w:eastAsia="宋体" w:cs="宋体"/>
          <w:b/>
          <w:bCs/>
          <w:sz w:val="24"/>
          <w:highlight w:val="none"/>
          <w:u w:val="none"/>
        </w:rPr>
        <w:t>开标时，由采购人、监管部门检查</w:t>
      </w:r>
      <w:r>
        <w:rPr>
          <w:rFonts w:hint="eastAsia" w:ascii="宋体" w:hAnsi="宋体" w:cs="宋体"/>
          <w:b/>
          <w:bCs/>
          <w:sz w:val="24"/>
          <w:highlight w:val="none"/>
          <w:u w:val="none"/>
          <w:lang w:eastAsia="zh-CN"/>
        </w:rPr>
        <w:t>供应商</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（1）具有经年审合格的三证合一营业执照；</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法定代表人投标需携带法定代表人证明书及法定代表人身份证（原件），委托代理人投标需携带法定代表人授权委托书及委托代理人身份证（原件）；被委托人必须是投标单位正式员工，需提供社保部门出具的投标单位的缴纳社保证明（提供被委托人及法人近六个月个人明细表，缴费凭证）。</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（3）具有良好的商业信誉和健全的财务会计制度（需提供会计事务所出具2021年度财务审计报告，2021年10月以后成立的公司可不提供但需提供银行出具的近三个月的资信证明）。</w:t>
      </w:r>
    </w:p>
    <w:p>
      <w:pPr>
        <w:pStyle w:val="19"/>
        <w:keepNext w:val="0"/>
        <w:keepLines w:val="0"/>
        <w:widowControl/>
        <w:suppressLineNumbers w:val="0"/>
        <w:spacing w:before="75" w:beforeAutospacing="0" w:after="75" w:afterAutospacing="0" w:line="360" w:lineRule="auto"/>
        <w:ind w:right="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（4）提供税务机关出具近三个月的完税证明，以填发日期为准。（新成立公司按实际发生提供）。</w:t>
      </w:r>
    </w:p>
    <w:p>
      <w:pPr>
        <w:pStyle w:val="29"/>
        <w:numPr>
          <w:ilvl w:val="0"/>
          <w:numId w:val="0"/>
        </w:numPr>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拟参加本次采购项目的投标企业如在“信用中国”网站(www.creditchina.gov.cn)被列入失信被执行人、重大税收违法案件当事人名单、政府采购严重违法失信行为记录名单的、中国政府釆购网(www.ccgp.gov.cn)政府采购严重违法失信行为记录名单的、国家企业信用信息公示系统(www.gsxt.gov.cn)经营异常名录的（尚在处罚期内的），将拒绝其参与本次政府釆购活动；（开标现场查验）</w:t>
      </w:r>
    </w:p>
    <w:p>
      <w:pPr>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（6）参加政府采购活动前三年内，在经营活动中没有重大违法记录，无失信行为，（投标人须出具企业及法定代表人无重大违法记录承诺书，无失信行为承诺书）；</w:t>
      </w:r>
    </w:p>
    <w:p>
      <w:pPr>
        <w:pStyle w:val="19"/>
        <w:keepNext w:val="0"/>
        <w:keepLines w:val="0"/>
        <w:widowControl/>
        <w:suppressLineNumbers w:val="0"/>
        <w:spacing w:before="75" w:beforeAutospacing="0" w:after="75" w:afterAutospacing="0" w:line="360" w:lineRule="auto"/>
        <w:ind w:left="0" w:right="0"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（7）企业负责人为同一人或者存在直接控股、管理关系的不同磋商响应人，不得参加同一合同项下的政府采购活动。否则，皆取消投标资格。</w:t>
      </w:r>
    </w:p>
    <w:p>
      <w:pPr>
        <w:pStyle w:val="19"/>
        <w:keepNext w:val="0"/>
        <w:keepLines w:val="0"/>
        <w:widowControl/>
        <w:suppressLineNumbers w:val="0"/>
        <w:spacing w:before="75" w:beforeAutospacing="0" w:after="75" w:afterAutospacing="0" w:line="360" w:lineRule="auto"/>
        <w:ind w:left="0" w:right="0"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（8）投标保证金回单（加盖公章）</w:t>
      </w:r>
    </w:p>
    <w:p>
      <w:pPr>
        <w:pStyle w:val="29"/>
        <w:numPr>
          <w:ilvl w:val="0"/>
          <w:numId w:val="0"/>
        </w:numPr>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4、磋商会议由磋商小组组长主持。磋商小组首先对各响应文件进行初步审查，初步审查包括资格性审查和符合性审查，未通过审查的为无效标</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⑴资格性检查：磋商小组将根据法律法规和竞争性磋商文件的规定，对响应文件的资格证明文件、磋商保证金等进行审查，以确定</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是否具备竞争性磋商资格。</w:t>
      </w:r>
    </w:p>
    <w:p>
      <w:pPr>
        <w:widowControl/>
        <w:tabs>
          <w:tab w:val="left" w:pos="540"/>
        </w:tabs>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⑵符合性检查：依据竞争性磋商文件的规定，从响应文件的有效性、完整性和对竞争性磋商文件的响应程度进行审查，以确定是否对竞争性磋商文件的要求做出了实质性的响应，存在重大偏离的响应文件为无效标。所谓重大偏离是指</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响应文件中所述服务质量、技术、规格、数量、交货期等和服务明显不能满足竞争性磋商文件要求。重大偏离的认定须经竞争性磋商小组三分之二以上组员同意。</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5、磋商小组判断“响应文件”的响应性，仅基于“响应文件”本身而不靠外部证据。对非实质性响应的响应文件，</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不能通过修正或撤销不符之处，而使其成为实质性响应。</w:t>
      </w:r>
    </w:p>
    <w:p>
      <w:pPr>
        <w:pStyle w:val="11"/>
        <w:tabs>
          <w:tab w:val="left" w:pos="1260"/>
        </w:tabs>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6、磋商小组根据竞争性磋商文件要求，讨论、通过磋商工作流程和磋商要点。</w:t>
      </w:r>
    </w:p>
    <w:p>
      <w:pPr>
        <w:pStyle w:val="11"/>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7、采购人按照签到逆顺序通知有效</w:t>
      </w:r>
      <w:r>
        <w:rPr>
          <w:rFonts w:hint="eastAsia" w:hAnsi="宋体" w:eastAsia="宋体" w:cs="宋体"/>
          <w:sz w:val="24"/>
          <w:szCs w:val="24"/>
          <w:highlight w:val="none"/>
          <w:lang w:eastAsia="zh-CN"/>
        </w:rPr>
        <w:t>供应商</w:t>
      </w:r>
      <w:r>
        <w:rPr>
          <w:rFonts w:hint="eastAsia" w:ascii="宋体" w:hAnsi="宋体" w:eastAsia="宋体" w:cs="宋体"/>
          <w:sz w:val="24"/>
          <w:szCs w:val="24"/>
          <w:highlight w:val="none"/>
        </w:rPr>
        <w:t>磋商。</w:t>
      </w:r>
    </w:p>
    <w:p>
      <w:pPr>
        <w:pStyle w:val="11"/>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参与二次及多次报价及服务承诺的人员须是</w:t>
      </w:r>
      <w:r>
        <w:rPr>
          <w:rFonts w:hint="eastAsia" w:hAnsi="宋体" w:eastAsia="宋体" w:cs="宋体"/>
          <w:sz w:val="24"/>
          <w:szCs w:val="24"/>
          <w:highlight w:val="none"/>
          <w:u w:val="single"/>
          <w:lang w:eastAsia="zh-CN"/>
        </w:rPr>
        <w:t>供应商</w:t>
      </w:r>
      <w:r>
        <w:rPr>
          <w:rFonts w:hint="eastAsia" w:ascii="宋体" w:hAnsi="宋体" w:eastAsia="宋体" w:cs="宋体"/>
          <w:sz w:val="24"/>
          <w:szCs w:val="24"/>
          <w:highlight w:val="none"/>
          <w:u w:val="single"/>
        </w:rPr>
        <w:t>法定代表人或其授权代表（核对身份证）。</w:t>
      </w:r>
    </w:p>
    <w:p>
      <w:pPr>
        <w:adjustRightInd w:val="0"/>
        <w:snapToGrid w:val="0"/>
        <w:spacing w:line="360" w:lineRule="auto"/>
        <w:ind w:firstLine="480" w:firstLineChars="200"/>
        <w:rPr>
          <w:rFonts w:hint="eastAsia" w:ascii="宋体" w:hAnsi="宋体" w:eastAsia="宋体" w:cs="宋体"/>
          <w:b/>
          <w:bCs/>
          <w:sz w:val="24"/>
          <w:highlight w:val="none"/>
        </w:rPr>
      </w:pPr>
      <w:r>
        <w:rPr>
          <w:rFonts w:hint="eastAsia" w:ascii="宋体" w:hAnsi="宋体" w:eastAsia="宋体" w:cs="宋体"/>
          <w:sz w:val="24"/>
          <w:highlight w:val="none"/>
        </w:rPr>
        <w:t>8、围绕磋商要点，</w:t>
      </w:r>
      <w:r>
        <w:rPr>
          <w:rFonts w:hint="eastAsia" w:ascii="宋体" w:hAnsi="宋体" w:eastAsia="宋体" w:cs="宋体"/>
          <w:b/>
          <w:bCs/>
          <w:sz w:val="24"/>
          <w:highlight w:val="none"/>
        </w:rPr>
        <w:t>磋商小组全体成员集中与单一</w:t>
      </w:r>
      <w:r>
        <w:rPr>
          <w:rFonts w:hint="eastAsia" w:ascii="宋体" w:hAnsi="宋体" w:eastAsia="宋体" w:cs="宋体"/>
          <w:b/>
          <w:bCs/>
          <w:sz w:val="24"/>
          <w:highlight w:val="none"/>
          <w:lang w:eastAsia="zh-CN"/>
        </w:rPr>
        <w:t>供应商</w:t>
      </w:r>
      <w:r>
        <w:rPr>
          <w:rFonts w:hint="eastAsia" w:ascii="宋体" w:hAnsi="宋体" w:eastAsia="宋体" w:cs="宋体"/>
          <w:b/>
          <w:bCs/>
          <w:sz w:val="24"/>
          <w:highlight w:val="none"/>
        </w:rPr>
        <w:t>分别进行磋商，逐家磋商一次为一个轮次，磋商轮次原则上为两轮，具体由磋商小组视情况决定。</w:t>
      </w:r>
    </w:p>
    <w:p>
      <w:pPr>
        <w:pStyle w:val="11"/>
        <w:snapToGrid w:val="0"/>
        <w:spacing w:line="360" w:lineRule="auto"/>
        <w:ind w:firstLine="480" w:firstLineChars="200"/>
        <w:rPr>
          <w:rFonts w:hint="eastAsia" w:ascii="宋体" w:hAnsi="宋体" w:eastAsia="宋体" w:cs="宋体"/>
          <w:b/>
          <w:sz w:val="24"/>
          <w:szCs w:val="24"/>
          <w:highlight w:val="none"/>
          <w:u w:val="single"/>
        </w:rPr>
      </w:pPr>
      <w:r>
        <w:rPr>
          <w:rFonts w:hint="eastAsia" w:ascii="宋体" w:hAnsi="宋体" w:eastAsia="宋体" w:cs="宋体"/>
          <w:sz w:val="24"/>
          <w:szCs w:val="24"/>
          <w:highlight w:val="none"/>
        </w:rPr>
        <w:t>9、竞争性磋商文件有较大变动的，磋商小组将以书面形式通知所有参加磋商的</w:t>
      </w:r>
      <w:r>
        <w:rPr>
          <w:rFonts w:hint="eastAsia" w:hAnsi="宋体" w:eastAsia="宋体" w:cs="宋体"/>
          <w:sz w:val="24"/>
          <w:szCs w:val="24"/>
          <w:highlight w:val="none"/>
          <w:lang w:eastAsia="zh-CN"/>
        </w:rPr>
        <w:t>供应商</w:t>
      </w:r>
      <w:r>
        <w:rPr>
          <w:rFonts w:hint="eastAsia" w:ascii="宋体" w:hAnsi="宋体" w:eastAsia="宋体" w:cs="宋体"/>
          <w:sz w:val="24"/>
          <w:szCs w:val="24"/>
          <w:highlight w:val="none"/>
        </w:rPr>
        <w:t>。</w:t>
      </w:r>
    </w:p>
    <w:p>
      <w:pPr>
        <w:pStyle w:val="11"/>
        <w:snapToGrid w:val="0"/>
        <w:spacing w:line="360" w:lineRule="auto"/>
        <w:ind w:left="359" w:leftChars="171" w:firstLine="482" w:firstLineChars="200"/>
        <w:rPr>
          <w:rFonts w:hint="eastAsia" w:ascii="宋体" w:hAnsi="宋体" w:eastAsia="宋体" w:cs="宋体"/>
          <w:b/>
          <w:sz w:val="24"/>
          <w:szCs w:val="24"/>
          <w:highlight w:val="none"/>
          <w:u w:val="single"/>
        </w:rPr>
      </w:pPr>
      <w:r>
        <w:rPr>
          <w:rFonts w:hint="eastAsia" w:ascii="宋体" w:hAnsi="宋体" w:eastAsia="宋体" w:cs="宋体"/>
          <w:b/>
          <w:sz w:val="24"/>
          <w:szCs w:val="24"/>
          <w:highlight w:val="none"/>
          <w:u w:val="single"/>
        </w:rPr>
        <w:t>10、</w:t>
      </w:r>
      <w:r>
        <w:rPr>
          <w:rFonts w:hint="eastAsia" w:hAnsi="宋体" w:eastAsia="宋体" w:cs="宋体"/>
          <w:b/>
          <w:sz w:val="24"/>
          <w:szCs w:val="24"/>
          <w:highlight w:val="none"/>
          <w:u w:val="single"/>
          <w:lang w:eastAsia="zh-CN"/>
        </w:rPr>
        <w:t>供应商</w:t>
      </w:r>
      <w:r>
        <w:rPr>
          <w:rFonts w:hint="eastAsia" w:ascii="宋体" w:hAnsi="宋体" w:eastAsia="宋体" w:cs="宋体"/>
          <w:b/>
          <w:sz w:val="24"/>
          <w:szCs w:val="24"/>
          <w:highlight w:val="none"/>
          <w:u w:val="single"/>
        </w:rPr>
        <w:t>未及时参与磋商或多次报价的，视为自动放弃参与磋商</w:t>
      </w:r>
      <w:r>
        <w:rPr>
          <w:rFonts w:hint="eastAsia" w:hAnsi="宋体" w:eastAsia="宋体" w:cs="宋体"/>
          <w:b/>
          <w:sz w:val="24"/>
          <w:szCs w:val="24"/>
          <w:highlight w:val="none"/>
          <w:u w:val="single"/>
          <w:lang w:eastAsia="zh-CN"/>
        </w:rPr>
        <w:t>磋商</w:t>
      </w:r>
      <w:r>
        <w:rPr>
          <w:rFonts w:hint="eastAsia" w:ascii="宋体" w:hAnsi="宋体" w:eastAsia="宋体" w:cs="宋体"/>
          <w:b/>
          <w:sz w:val="24"/>
          <w:szCs w:val="24"/>
          <w:highlight w:val="none"/>
          <w:u w:val="single"/>
        </w:rPr>
        <w:t>的资格。</w:t>
      </w:r>
    </w:p>
    <w:p>
      <w:pPr>
        <w:pStyle w:val="11"/>
        <w:snapToGrid w:val="0"/>
        <w:spacing w:line="360" w:lineRule="auto"/>
        <w:ind w:firstLine="482" w:firstLineChars="200"/>
        <w:rPr>
          <w:rFonts w:hint="eastAsia" w:ascii="宋体" w:hAnsi="宋体" w:eastAsia="宋体" w:cs="宋体"/>
          <w:b/>
          <w:sz w:val="24"/>
          <w:szCs w:val="24"/>
          <w:highlight w:val="none"/>
        </w:rPr>
      </w:pPr>
      <w:bookmarkStart w:id="55" w:name="_Toc213839741"/>
      <w:r>
        <w:rPr>
          <w:rFonts w:hint="eastAsia" w:ascii="宋体" w:hAnsi="宋体" w:eastAsia="宋体" w:cs="宋体"/>
          <w:b/>
          <w:sz w:val="24"/>
          <w:szCs w:val="24"/>
          <w:highlight w:val="none"/>
        </w:rPr>
        <w:t>（</w:t>
      </w:r>
      <w:r>
        <w:rPr>
          <w:rFonts w:hint="eastAsia" w:ascii="宋体" w:hAnsi="宋体" w:eastAsia="宋体" w:cs="宋体"/>
          <w:b/>
          <w:sz w:val="24"/>
          <w:szCs w:val="24"/>
          <w:highlight w:val="none"/>
          <w:lang w:eastAsia="zh-CN"/>
        </w:rPr>
        <w:t>四</w:t>
      </w:r>
      <w:r>
        <w:rPr>
          <w:rFonts w:hint="eastAsia" w:ascii="宋体" w:hAnsi="宋体" w:eastAsia="宋体" w:cs="宋体"/>
          <w:b/>
          <w:sz w:val="24"/>
          <w:szCs w:val="24"/>
          <w:highlight w:val="none"/>
        </w:rPr>
        <w:t>）最终报价</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磋商结束后，磋商小组将要求所有有效</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在规定时间内提交最终报价及服务承诺。</w:t>
      </w:r>
    </w:p>
    <w:p>
      <w:pPr>
        <w:snapToGrid w:val="0"/>
        <w:spacing w:line="360" w:lineRule="auto"/>
        <w:ind w:firstLine="482" w:firstLineChars="200"/>
        <w:rPr>
          <w:rFonts w:hint="eastAsia" w:ascii="宋体" w:hAnsi="宋体" w:eastAsia="宋体" w:cs="宋体"/>
          <w:b/>
          <w:sz w:val="24"/>
          <w:highlight w:val="none"/>
          <w:lang w:eastAsia="zh-CN"/>
        </w:rPr>
      </w:pPr>
      <w:r>
        <w:rPr>
          <w:rFonts w:hint="eastAsia" w:ascii="宋体" w:hAnsi="宋体" w:eastAsia="宋体" w:cs="宋体"/>
          <w:b/>
          <w:sz w:val="24"/>
          <w:highlight w:val="none"/>
        </w:rPr>
        <w:t>（</w:t>
      </w:r>
      <w:r>
        <w:rPr>
          <w:rFonts w:hint="eastAsia" w:ascii="宋体" w:hAnsi="宋体" w:eastAsia="宋体" w:cs="宋体"/>
          <w:b/>
          <w:sz w:val="24"/>
          <w:highlight w:val="none"/>
          <w:lang w:eastAsia="zh-CN"/>
        </w:rPr>
        <w:t>五</w:t>
      </w:r>
      <w:r>
        <w:rPr>
          <w:rFonts w:hint="eastAsia" w:ascii="宋体" w:hAnsi="宋体" w:eastAsia="宋体" w:cs="宋体"/>
          <w:b/>
          <w:sz w:val="24"/>
          <w:highlight w:val="none"/>
        </w:rPr>
        <w:t>）确定成交候选</w:t>
      </w:r>
      <w:r>
        <w:rPr>
          <w:rFonts w:hint="eastAsia" w:ascii="宋体" w:hAnsi="宋体" w:eastAsia="宋体" w:cs="宋体"/>
          <w:b/>
          <w:sz w:val="24"/>
          <w:highlight w:val="none"/>
          <w:lang w:eastAsia="zh-CN"/>
        </w:rPr>
        <w:t>供应商</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经磋商定最终招标需求和提交最后报价的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后，由磋商小组采用综合评分法对提交最后报价的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的响应件和最后报价进行综合评分。</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综合评分法，是指响应文件满足磋商文件全部实质性要求且按评审因素的量化指标评审得分最高的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为成交候选</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的评审方法。</w:t>
      </w:r>
    </w:p>
    <w:p>
      <w:pPr>
        <w:snapToGrid w:val="0"/>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磋商小组</w:t>
      </w:r>
      <w:r>
        <w:rPr>
          <w:rFonts w:hint="eastAsia" w:ascii="宋体" w:hAnsi="宋体" w:eastAsia="宋体" w:cs="宋体"/>
          <w:sz w:val="24"/>
          <w:highlight w:val="none"/>
        </w:rPr>
        <w:t>通过上述评标方法以最终合计得分【为所有评委评分总和的算术平均值】，并按得分由高到低顺序排列，选择前三名</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依次推荐为第一名、第二名和第三名</w:t>
      </w:r>
      <w:r>
        <w:rPr>
          <w:rFonts w:hint="eastAsia" w:ascii="宋体" w:hAnsi="宋体" w:eastAsia="宋体" w:cs="宋体"/>
          <w:sz w:val="24"/>
          <w:highlight w:val="none"/>
          <w:lang w:val="en-US" w:eastAsia="zh-CN"/>
        </w:rPr>
        <w:t>成交</w:t>
      </w:r>
      <w:r>
        <w:rPr>
          <w:rFonts w:hint="eastAsia" w:ascii="宋体" w:hAnsi="宋体" w:eastAsia="宋体" w:cs="宋体"/>
          <w:sz w:val="24"/>
          <w:highlight w:val="none"/>
        </w:rPr>
        <w:t>候选人。</w:t>
      </w:r>
      <w:r>
        <w:rPr>
          <w:rFonts w:hint="eastAsia" w:ascii="宋体" w:hAnsi="宋体" w:eastAsia="宋体" w:cs="宋体"/>
          <w:color w:val="auto"/>
          <w:sz w:val="24"/>
          <w:highlight w:val="none"/>
        </w:rPr>
        <w:t>当</w:t>
      </w:r>
      <w:r>
        <w:rPr>
          <w:rFonts w:hint="eastAsia" w:ascii="宋体" w:hAnsi="宋体" w:eastAsia="宋体" w:cs="宋体"/>
          <w:color w:val="auto"/>
          <w:sz w:val="24"/>
          <w:highlight w:val="none"/>
          <w:lang w:val="en-US" w:eastAsia="zh-CN"/>
        </w:rPr>
        <w:t>供应商综合得分相等时，</w:t>
      </w:r>
      <w:r>
        <w:rPr>
          <w:rFonts w:hint="eastAsia" w:ascii="宋体" w:hAnsi="宋体" w:eastAsia="宋体" w:cs="宋体"/>
          <w:color w:val="auto"/>
          <w:sz w:val="24"/>
          <w:highlight w:val="none"/>
        </w:rPr>
        <w:t>以评标价较低者优先</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报价得分相等时，以技术标得分高者优先。</w:t>
      </w:r>
    </w:p>
    <w:p>
      <w:pPr>
        <w:pStyle w:val="2"/>
        <w:ind w:firstLine="482" w:firstLineChars="200"/>
        <w:rPr>
          <w:rFonts w:hint="default"/>
          <w:highlight w:val="none"/>
          <w:lang w:val="en-US"/>
        </w:rPr>
      </w:pPr>
      <w:r>
        <w:rPr>
          <w:rFonts w:hint="eastAsia" w:ascii="宋体" w:hAnsi="宋体"/>
          <w:color w:val="000000"/>
          <w:sz w:val="24"/>
          <w:highlight w:val="none"/>
          <w:lang w:val="en-US" w:eastAsia="zh-CN"/>
        </w:rPr>
        <w:t xml:space="preserve">第一中标候选人未按规定缴纳履约保证金或因不可抗力未能按时履行合同或不符合法律法规规定得其他情形，招标人有权确认排名第二的中标候选人为中标人，也有权重新组织招标。 </w:t>
      </w:r>
    </w:p>
    <w:p>
      <w:pPr>
        <w:snapToGrid w:val="0"/>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w:t>
      </w:r>
      <w:r>
        <w:rPr>
          <w:rFonts w:hint="eastAsia" w:ascii="宋体" w:hAnsi="宋体" w:eastAsia="宋体" w:cs="宋体"/>
          <w:b/>
          <w:sz w:val="24"/>
          <w:highlight w:val="none"/>
          <w:lang w:eastAsia="zh-CN"/>
        </w:rPr>
        <w:t>六</w:t>
      </w:r>
      <w:r>
        <w:rPr>
          <w:rFonts w:hint="eastAsia" w:ascii="宋体" w:hAnsi="宋体" w:eastAsia="宋体" w:cs="宋体"/>
          <w:b/>
          <w:sz w:val="24"/>
          <w:highlight w:val="none"/>
        </w:rPr>
        <w:t>）磋商过程</w:t>
      </w:r>
      <w:bookmarkEnd w:id="55"/>
      <w:r>
        <w:rPr>
          <w:rFonts w:hint="eastAsia" w:ascii="宋体" w:hAnsi="宋体" w:eastAsia="宋体" w:cs="宋体"/>
          <w:b/>
          <w:sz w:val="24"/>
          <w:highlight w:val="none"/>
        </w:rPr>
        <w:t>保密</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1、在宣布成交结果之前，凡属于审查、澄清、评价、比较竞争性磋商文件等有关信息，相关当事人均不得泄露给任何磋</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或与磋商工作无关的人员。</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不得探听上述信息，不得以任何行为影响磋商过程，否则其响应文件将被作为无效响应文件。</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3、在磋商期间，代理机构有专门工作人员与</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进行联络。</w:t>
      </w:r>
    </w:p>
    <w:p>
      <w:pPr>
        <w:snapToGrid w:val="0"/>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4、采购人和磋商小组不向未成交的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解释未成交原因，也不对磋商过程中的细节问题进行公布</w:t>
      </w:r>
      <w:bookmarkStart w:id="56" w:name="_Toc3891"/>
      <w:bookmarkStart w:id="57" w:name="_Toc6582"/>
      <w:r>
        <w:rPr>
          <w:rFonts w:hint="eastAsia" w:ascii="宋体" w:hAnsi="宋体" w:eastAsia="宋体" w:cs="宋体"/>
          <w:sz w:val="24"/>
          <w:highlight w:val="none"/>
          <w:lang w:eastAsia="zh-CN"/>
        </w:rPr>
        <w:t>。</w:t>
      </w:r>
    </w:p>
    <w:p>
      <w:pPr>
        <w:snapToGrid w:val="0"/>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七）1、本项目无论开评标结果如何，投标单位应自行承担投标费用。</w:t>
      </w:r>
    </w:p>
    <w:p>
      <w:pPr>
        <w:snapToGrid w:val="0"/>
        <w:spacing w:line="360" w:lineRule="auto"/>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对招标文件提出质疑的时间</w:t>
      </w:r>
      <w:r>
        <w:rPr>
          <w:rFonts w:hint="eastAsia" w:ascii="宋体" w:hAnsi="宋体" w:eastAsia="宋体" w:cs="宋体"/>
          <w:sz w:val="24"/>
          <w:highlight w:val="none"/>
          <w:lang w:eastAsia="zh-CN"/>
        </w:rPr>
        <w:t>：</w:t>
      </w:r>
      <w:r>
        <w:rPr>
          <w:rFonts w:hint="eastAsia" w:ascii="宋体" w:hAnsi="宋体" w:eastAsia="宋体" w:cs="宋体"/>
          <w:sz w:val="24"/>
          <w:highlight w:val="none"/>
        </w:rPr>
        <w:t>自招标文件发售时间起的</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个工作日内</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如在规定时间内未提出质疑，视为响应招标文件。</w:t>
      </w:r>
    </w:p>
    <w:p>
      <w:pPr>
        <w:pStyle w:val="6"/>
        <w:rPr>
          <w:rFonts w:hint="eastAsia" w:ascii="宋体" w:hAnsi="宋体" w:eastAsia="宋体" w:cs="宋体"/>
          <w:sz w:val="24"/>
          <w:highlight w:val="none"/>
          <w:lang w:eastAsia="zh-CN"/>
        </w:rPr>
      </w:pPr>
    </w:p>
    <w:p>
      <w:pPr>
        <w:rPr>
          <w:rFonts w:hint="eastAsia" w:ascii="宋体" w:hAnsi="宋体" w:eastAsia="宋体" w:cs="宋体"/>
          <w:sz w:val="24"/>
          <w:highlight w:val="none"/>
          <w:lang w:eastAsia="zh-CN"/>
        </w:rPr>
      </w:pPr>
    </w:p>
    <w:p>
      <w:pPr>
        <w:rPr>
          <w:rFonts w:hint="eastAsia" w:ascii="宋体" w:hAnsi="宋体" w:eastAsia="宋体" w:cs="宋体"/>
          <w:sz w:val="24"/>
          <w:highlight w:val="none"/>
          <w:lang w:eastAsia="zh-CN"/>
        </w:rPr>
      </w:pPr>
    </w:p>
    <w:p>
      <w:pPr>
        <w:snapToGrid w:val="0"/>
        <w:spacing w:line="360" w:lineRule="auto"/>
        <w:ind w:firstLine="562" w:firstLineChars="200"/>
        <w:jc w:val="center"/>
        <w:outlineLvl w:val="1"/>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r>
        <w:rPr>
          <w:rFonts w:hint="eastAsia" w:ascii="宋体" w:hAnsi="宋体" w:eastAsia="宋体" w:cs="宋体"/>
          <w:b/>
          <w:sz w:val="28"/>
          <w:szCs w:val="28"/>
          <w:highlight w:val="none"/>
        </w:rPr>
        <w:t>七、评标办法</w:t>
      </w:r>
    </w:p>
    <w:p>
      <w:pPr>
        <w:pStyle w:val="19"/>
        <w:snapToGrid w:val="0"/>
        <w:spacing w:line="360" w:lineRule="auto"/>
        <w:ind w:firstLine="482" w:firstLineChars="200"/>
        <w:jc w:val="center"/>
        <w:rPr>
          <w:rFonts w:hint="default" w:ascii="宋体" w:hAnsi="宋体" w:eastAsia="宋体" w:cs="宋体"/>
          <w:b/>
          <w:bCs/>
          <w:sz w:val="24"/>
          <w:highlight w:val="none"/>
          <w:lang w:val="en-US"/>
        </w:rPr>
      </w:pPr>
      <w:r>
        <w:rPr>
          <w:rFonts w:hint="eastAsia" w:ascii="宋体" w:hAnsi="宋体" w:eastAsia="宋体" w:cs="宋体"/>
          <w:b/>
          <w:sz w:val="24"/>
          <w:highlight w:val="none"/>
        </w:rPr>
        <w:t>（一）</w:t>
      </w:r>
      <w:bookmarkStart w:id="58" w:name="_Toc14921"/>
      <w:r>
        <w:rPr>
          <w:rFonts w:hint="eastAsia" w:ascii="宋体" w:hAnsi="宋体" w:eastAsia="宋体" w:cs="宋体"/>
          <w:b/>
          <w:bCs/>
          <w:highlight w:val="none"/>
        </w:rPr>
        <w:t>初步审查</w:t>
      </w:r>
      <w:r>
        <w:rPr>
          <w:rFonts w:hint="eastAsia" w:ascii="宋体" w:hAnsi="宋体" w:eastAsia="宋体" w:cs="宋体"/>
          <w:b/>
          <w:bCs/>
          <w:highlight w:val="none"/>
          <w:lang w:val="en-US" w:eastAsia="zh-CN"/>
        </w:rPr>
        <w:t>--资格审查表</w:t>
      </w:r>
    </w:p>
    <w:bookmarkEnd w:id="58"/>
    <w:tbl>
      <w:tblPr>
        <w:tblStyle w:val="22"/>
        <w:tblW w:w="90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12"/>
        <w:gridCol w:w="7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0" w:hRule="atLeast"/>
        </w:trPr>
        <w:tc>
          <w:tcPr>
            <w:tcW w:w="13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序号</w:t>
            </w:r>
          </w:p>
        </w:tc>
        <w:tc>
          <w:tcPr>
            <w:tcW w:w="77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评审因素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3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highlight w:val="none"/>
                <w:u w:val="none"/>
              </w:rPr>
            </w:pPr>
          </w:p>
        </w:tc>
        <w:tc>
          <w:tcPr>
            <w:tcW w:w="778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是否提供经年审合格的三证合一营业执照；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2</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是否具有法定代表人证明书/法人授权委托书，及身份证原件；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1"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3</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是否提供法人及委托人近六个月社保证明（明细表，缴费凭证）；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7"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4</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是否提供三个月的完税证明（新成立公司按实际发生提供）；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7"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5</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是否提供会计事务所出具2021年度财务审计报告，2021年10月以后成立的公司可不提供但需提供银行出具的近三个月的资信证明；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7"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6</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是否提供无重大违法记录承诺书；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7"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7</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是否提供无失信行为承诺书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9"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8</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是否具有满足磋商文件要求所需缴纳的磋商保证金；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5" w:hRule="atLeast"/>
        </w:trPr>
        <w:tc>
          <w:tcPr>
            <w:tcW w:w="90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结论：（通过〝√〞，</w:t>
            </w:r>
            <w:r>
              <w:rPr>
                <w:rFonts w:hint="eastAsia" w:ascii="宋体" w:hAnsi="宋体" w:eastAsia="宋体" w:cs="宋体"/>
                <w:i w:val="0"/>
                <w:color w:val="000000"/>
                <w:kern w:val="0"/>
                <w:sz w:val="22"/>
                <w:szCs w:val="22"/>
                <w:highlight w:val="none"/>
                <w:u w:val="none"/>
                <w:lang w:val="en-US" w:eastAsia="zh-CN" w:bidi="ar"/>
              </w:rPr>
              <w:t>不通过</w:t>
            </w:r>
            <w:r>
              <w:rPr>
                <w:rFonts w:hint="eastAsia" w:ascii="宋体" w:hAnsi="宋体" w:eastAsia="宋体" w:cs="宋体"/>
                <w:i w:val="0"/>
                <w:color w:val="000000"/>
                <w:kern w:val="0"/>
                <w:sz w:val="24"/>
                <w:szCs w:val="24"/>
                <w:highlight w:val="none"/>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（以上评审有任意一项不通过，则不进入下一环节）</w:t>
            </w:r>
          </w:p>
        </w:tc>
      </w:tr>
    </w:tbl>
    <w:p>
      <w:pPr>
        <w:snapToGrid w:val="0"/>
        <w:spacing w:line="360" w:lineRule="auto"/>
        <w:ind w:firstLine="482" w:firstLineChars="200"/>
        <w:rPr>
          <w:rFonts w:hint="eastAsia" w:ascii="宋体" w:hAnsi="宋体" w:eastAsia="宋体" w:cs="宋体"/>
          <w:b/>
          <w:bCs/>
          <w:sz w:val="24"/>
          <w:highlight w:val="none"/>
        </w:rPr>
      </w:pP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备注：如果</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提供的响应文件中初步审查有一项未通过上述审查标准，磋商小组将认定整个响应文件不响应竞争性磋商文件而</w:t>
      </w:r>
      <w:r>
        <w:rPr>
          <w:rFonts w:hint="eastAsia" w:ascii="宋体" w:hAnsi="宋体" w:eastAsia="宋体" w:cs="宋体"/>
          <w:sz w:val="24"/>
          <w:highlight w:val="none"/>
          <w:lang w:val="en-US" w:eastAsia="zh-CN"/>
        </w:rPr>
        <w:t>被视为无效投标</w:t>
      </w:r>
      <w:r>
        <w:rPr>
          <w:rFonts w:hint="eastAsia" w:ascii="宋体" w:hAnsi="宋体" w:eastAsia="宋体" w:cs="宋体"/>
          <w:sz w:val="24"/>
          <w:highlight w:val="none"/>
        </w:rPr>
        <w:t>，并且不允许</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通过修改或撤销其不符合要求的差异或保留，使之成为具有响应性的竞标。</w:t>
      </w:r>
    </w:p>
    <w:p>
      <w:pPr>
        <w:pStyle w:val="17"/>
        <w:rPr>
          <w:rFonts w:hint="eastAsia" w:ascii="宋体" w:hAnsi="宋体" w:eastAsia="宋体" w:cs="宋体"/>
          <w:sz w:val="24"/>
          <w:highlight w:val="none"/>
        </w:rPr>
      </w:pPr>
    </w:p>
    <w:p>
      <w:pPr>
        <w:pStyle w:val="7"/>
        <w:rPr>
          <w:rFonts w:hint="eastAsia" w:ascii="宋体" w:hAnsi="宋体" w:eastAsia="宋体" w:cs="宋体"/>
          <w:sz w:val="24"/>
          <w:highlight w:val="none"/>
        </w:rPr>
      </w:pPr>
    </w:p>
    <w:p>
      <w:pPr>
        <w:rPr>
          <w:rFonts w:hint="eastAsia" w:ascii="宋体" w:hAnsi="宋体" w:eastAsia="宋体" w:cs="宋体"/>
          <w:sz w:val="24"/>
          <w:highlight w:val="none"/>
        </w:rPr>
      </w:pPr>
    </w:p>
    <w:p>
      <w:pPr>
        <w:pStyle w:val="17"/>
        <w:rPr>
          <w:rFonts w:hint="eastAsia" w:ascii="宋体" w:hAnsi="宋体" w:eastAsia="宋体" w:cs="宋体"/>
          <w:sz w:val="24"/>
          <w:highlight w:val="none"/>
        </w:rPr>
      </w:pPr>
    </w:p>
    <w:p>
      <w:pPr>
        <w:pStyle w:val="7"/>
        <w:rPr>
          <w:rFonts w:hint="eastAsia" w:ascii="宋体" w:hAnsi="宋体" w:eastAsia="宋体" w:cs="宋体"/>
          <w:sz w:val="24"/>
          <w:highlight w:val="none"/>
        </w:rPr>
      </w:pPr>
    </w:p>
    <w:p>
      <w:pPr>
        <w:rPr>
          <w:rFonts w:hint="eastAsia"/>
          <w:highlight w:val="none"/>
        </w:rPr>
      </w:pPr>
    </w:p>
    <w:p>
      <w:pPr>
        <w:pStyle w:val="17"/>
        <w:rPr>
          <w:rFonts w:hint="eastAsia"/>
          <w:highlight w:val="none"/>
        </w:rPr>
      </w:pPr>
    </w:p>
    <w:p>
      <w:pPr>
        <w:pStyle w:val="19"/>
        <w:snapToGrid w:val="0"/>
        <w:spacing w:line="360" w:lineRule="auto"/>
        <w:ind w:firstLine="482" w:firstLineChars="200"/>
        <w:jc w:val="center"/>
        <w:rPr>
          <w:rFonts w:hint="eastAsia"/>
          <w:sz w:val="24"/>
          <w:szCs w:val="24"/>
          <w:highlight w:val="none"/>
        </w:rPr>
      </w:pPr>
      <w:r>
        <w:rPr>
          <w:rFonts w:hint="eastAsia" w:eastAsia="宋体" w:cs="宋体"/>
          <w:b/>
          <w:bCs/>
          <w:sz w:val="24"/>
          <w:szCs w:val="24"/>
          <w:highlight w:val="none"/>
          <w:lang w:eastAsia="zh-CN"/>
        </w:rPr>
        <w:br w:type="page"/>
      </w:r>
      <w:r>
        <w:rPr>
          <w:rFonts w:hint="eastAsia" w:eastAsia="宋体" w:cs="宋体"/>
          <w:b/>
          <w:bCs/>
          <w:sz w:val="24"/>
          <w:szCs w:val="24"/>
          <w:highlight w:val="none"/>
          <w:lang w:eastAsia="zh-CN"/>
        </w:rPr>
        <w:t>（</w:t>
      </w:r>
      <w:r>
        <w:rPr>
          <w:rFonts w:hint="eastAsia" w:eastAsia="宋体" w:cs="宋体"/>
          <w:b/>
          <w:bCs/>
          <w:sz w:val="24"/>
          <w:szCs w:val="24"/>
          <w:highlight w:val="none"/>
          <w:lang w:val="en-US" w:eastAsia="zh-CN"/>
        </w:rPr>
        <w:t>二）</w:t>
      </w:r>
      <w:r>
        <w:rPr>
          <w:rFonts w:hint="eastAsia" w:ascii="宋体" w:hAnsi="宋体" w:eastAsia="宋体" w:cs="宋体"/>
          <w:b/>
          <w:bCs/>
          <w:sz w:val="24"/>
          <w:szCs w:val="24"/>
          <w:highlight w:val="none"/>
        </w:rPr>
        <w:t>初步审查表</w:t>
      </w:r>
      <w:r>
        <w:rPr>
          <w:rFonts w:hint="eastAsia" w:ascii="宋体" w:hAnsi="宋体" w:eastAsia="宋体" w:cs="宋体"/>
          <w:b/>
          <w:bCs/>
          <w:sz w:val="24"/>
          <w:szCs w:val="24"/>
          <w:highlight w:val="none"/>
          <w:lang w:val="en-US" w:eastAsia="zh-CN"/>
        </w:rPr>
        <w:t>--符合性审查</w:t>
      </w:r>
      <w:r>
        <w:rPr>
          <w:rFonts w:hint="eastAsia" w:ascii="宋体" w:hAnsi="宋体" w:eastAsia="宋体" w:cs="宋体"/>
          <w:b/>
          <w:bCs/>
          <w:highlight w:val="none"/>
          <w:lang w:val="en-US" w:eastAsia="zh-CN"/>
        </w:rPr>
        <w:t>表</w:t>
      </w:r>
    </w:p>
    <w:tbl>
      <w:tblPr>
        <w:tblStyle w:val="22"/>
        <w:tblpPr w:leftFromText="180" w:rightFromText="180" w:vertAnchor="text" w:horzAnchor="page" w:tblpXSpec="center" w:tblpY="16"/>
        <w:tblOverlap w:val="never"/>
        <w:tblW w:w="0" w:type="auto"/>
        <w:jc w:val="center"/>
        <w:tblLayout w:type="fixed"/>
        <w:tblCellMar>
          <w:top w:w="15" w:type="dxa"/>
          <w:left w:w="15" w:type="dxa"/>
          <w:bottom w:w="15" w:type="dxa"/>
          <w:right w:w="15" w:type="dxa"/>
        </w:tblCellMar>
      </w:tblPr>
      <w:tblGrid>
        <w:gridCol w:w="688"/>
        <w:gridCol w:w="5825"/>
        <w:gridCol w:w="2582"/>
      </w:tblGrid>
      <w:tr>
        <w:tblPrEx>
          <w:tblCellMar>
            <w:top w:w="15" w:type="dxa"/>
            <w:left w:w="15" w:type="dxa"/>
            <w:bottom w:w="15" w:type="dxa"/>
            <w:right w:w="15" w:type="dxa"/>
          </w:tblCellMar>
        </w:tblPrEx>
        <w:trPr>
          <w:trHeight w:val="93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序号</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评审内容</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是否通过评审（注：通过的打“√”，未通过的打“×”）</w:t>
            </w:r>
          </w:p>
        </w:tc>
      </w:tr>
      <w:tr>
        <w:tblPrEx>
          <w:tblCellMar>
            <w:top w:w="15" w:type="dxa"/>
            <w:left w:w="15" w:type="dxa"/>
            <w:bottom w:w="15" w:type="dxa"/>
            <w:right w:w="15" w:type="dxa"/>
          </w:tblCellMar>
        </w:tblPrEx>
        <w:trPr>
          <w:trHeight w:val="77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1</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响应文件签字或盖章是否满足采购文件要求；</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p>
        </w:tc>
      </w:tr>
      <w:tr>
        <w:tblPrEx>
          <w:tblCellMar>
            <w:top w:w="15" w:type="dxa"/>
            <w:left w:w="15" w:type="dxa"/>
            <w:bottom w:w="15" w:type="dxa"/>
            <w:right w:w="15" w:type="dxa"/>
          </w:tblCellMar>
        </w:tblPrEx>
        <w:trPr>
          <w:trHeight w:val="77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2</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响应文件是否按磋商文件要求编制，内容是否全面或字迹是否模糊、辨认不清的；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p>
        </w:tc>
      </w:tr>
      <w:tr>
        <w:tblPrEx>
          <w:tblCellMar>
            <w:top w:w="15" w:type="dxa"/>
            <w:left w:w="15" w:type="dxa"/>
            <w:bottom w:w="15" w:type="dxa"/>
            <w:right w:w="15" w:type="dxa"/>
          </w:tblCellMar>
        </w:tblPrEx>
        <w:trPr>
          <w:trHeight w:val="71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3</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响应文件</w:t>
            </w:r>
            <w:r>
              <w:rPr>
                <w:rFonts w:hint="eastAsia" w:ascii="宋体" w:hAnsi="宋体" w:eastAsia="宋体" w:cs="宋体"/>
                <w:color w:val="000000"/>
                <w:kern w:val="2"/>
                <w:sz w:val="24"/>
                <w:szCs w:val="24"/>
                <w:highlight w:val="none"/>
                <w:lang w:val="en-US" w:eastAsia="zh-CN"/>
              </w:rPr>
              <w:t>是否不齐全或者内容虚假的；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p>
        </w:tc>
      </w:tr>
      <w:tr>
        <w:tblPrEx>
          <w:tblCellMar>
            <w:top w:w="15" w:type="dxa"/>
            <w:left w:w="15" w:type="dxa"/>
            <w:bottom w:w="15" w:type="dxa"/>
            <w:right w:w="15" w:type="dxa"/>
          </w:tblCellMar>
        </w:tblPrEx>
        <w:trPr>
          <w:trHeight w:val="761"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4</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both"/>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响应文件记载的项目工期是否超过采购文件规定的工期；</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p>
        </w:tc>
      </w:tr>
      <w:tr>
        <w:tblPrEx>
          <w:tblCellMar>
            <w:top w:w="15" w:type="dxa"/>
            <w:left w:w="15" w:type="dxa"/>
            <w:bottom w:w="15" w:type="dxa"/>
            <w:right w:w="15" w:type="dxa"/>
          </w:tblCellMar>
        </w:tblPrEx>
        <w:trPr>
          <w:trHeight w:val="56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5</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磋商有效期是否满足磋商文件要求的；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p>
        </w:tc>
      </w:tr>
      <w:tr>
        <w:tblPrEx>
          <w:tblCellMar>
            <w:top w:w="15" w:type="dxa"/>
            <w:left w:w="15" w:type="dxa"/>
            <w:bottom w:w="15" w:type="dxa"/>
            <w:right w:w="15" w:type="dxa"/>
          </w:tblCellMar>
        </w:tblPrEx>
        <w:trPr>
          <w:trHeight w:val="525"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6</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响应文件</w:t>
            </w:r>
            <w:r>
              <w:rPr>
                <w:rFonts w:hint="eastAsia" w:ascii="宋体" w:hAnsi="宋体" w:eastAsia="宋体" w:cs="宋体"/>
                <w:i w:val="0"/>
                <w:color w:val="000000"/>
                <w:kern w:val="0"/>
                <w:sz w:val="24"/>
                <w:szCs w:val="24"/>
                <w:highlight w:val="none"/>
                <w:u w:val="none"/>
                <w:lang w:val="en-US" w:eastAsia="zh-CN" w:bidi="ar"/>
              </w:rPr>
              <w:t>没有高于最高限价；</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p>
        </w:tc>
      </w:tr>
      <w:tr>
        <w:tblPrEx>
          <w:tblCellMar>
            <w:top w:w="15" w:type="dxa"/>
            <w:left w:w="15" w:type="dxa"/>
            <w:bottom w:w="15" w:type="dxa"/>
            <w:right w:w="15" w:type="dxa"/>
          </w:tblCellMar>
        </w:tblPrEx>
        <w:trPr>
          <w:trHeight w:val="83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7</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r>
              <w:rPr>
                <w:rFonts w:hint="eastAsia" w:ascii="宋体" w:hAnsi="宋体" w:eastAsia="宋体" w:cs="宋体"/>
                <w:i w:val="0"/>
                <w:color w:val="000000"/>
                <w:kern w:val="0"/>
                <w:sz w:val="24"/>
                <w:szCs w:val="24"/>
                <w:highlight w:val="none"/>
                <w:u w:val="none"/>
                <w:lang w:val="en-US" w:eastAsia="zh-CN" w:bidi="ar"/>
              </w:rPr>
              <w:t>响应人没有递交两份或两份以上内容不同的投标书，已声明哪一份有效的；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p>
        </w:tc>
      </w:tr>
      <w:tr>
        <w:tblPrEx>
          <w:tblCellMar>
            <w:top w:w="15" w:type="dxa"/>
            <w:left w:w="15" w:type="dxa"/>
            <w:bottom w:w="15" w:type="dxa"/>
            <w:right w:w="15" w:type="dxa"/>
          </w:tblCellMar>
        </w:tblPrEx>
        <w:trPr>
          <w:trHeight w:val="791"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8</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明显不符合技术规格和技术标准（技术规格、合同条款有偏离情况的）；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p>
        </w:tc>
      </w:tr>
      <w:tr>
        <w:tblPrEx>
          <w:tblCellMar>
            <w:top w:w="15" w:type="dxa"/>
            <w:left w:w="15" w:type="dxa"/>
            <w:bottom w:w="15" w:type="dxa"/>
            <w:right w:w="15" w:type="dxa"/>
          </w:tblCellMar>
        </w:tblPrEx>
        <w:trPr>
          <w:trHeight w:val="69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9</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商务条款是否有偏离情况的；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p>
        </w:tc>
      </w:tr>
      <w:tr>
        <w:tblPrEx>
          <w:tblCellMar>
            <w:top w:w="15" w:type="dxa"/>
            <w:left w:w="15" w:type="dxa"/>
            <w:bottom w:w="15" w:type="dxa"/>
            <w:right w:w="15" w:type="dxa"/>
          </w:tblCellMar>
        </w:tblPrEx>
        <w:trPr>
          <w:trHeight w:val="66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10</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响应文件是否附有采购人不能接受条件的；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p>
        </w:tc>
      </w:tr>
      <w:tr>
        <w:tblPrEx>
          <w:tblCellMar>
            <w:top w:w="15" w:type="dxa"/>
            <w:left w:w="15" w:type="dxa"/>
            <w:bottom w:w="15" w:type="dxa"/>
            <w:right w:w="15" w:type="dxa"/>
          </w:tblCellMar>
        </w:tblPrEx>
        <w:trPr>
          <w:trHeight w:val="73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11</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磋商保证金的缴纳主体与响应人是否一致；</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p>
        </w:tc>
      </w:tr>
      <w:tr>
        <w:tblPrEx>
          <w:tblCellMar>
            <w:top w:w="15" w:type="dxa"/>
            <w:left w:w="15" w:type="dxa"/>
            <w:bottom w:w="15" w:type="dxa"/>
            <w:right w:w="15" w:type="dxa"/>
          </w:tblCellMar>
        </w:tblPrEx>
        <w:trPr>
          <w:trHeight w:val="78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12</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是否满足磋商文件实质性要求的其他情形；</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highlight w:val="none"/>
                <w:lang w:val="en-US" w:eastAsia="zh-CN"/>
              </w:rPr>
            </w:pPr>
          </w:p>
        </w:tc>
      </w:tr>
    </w:tbl>
    <w:p>
      <w:pPr>
        <w:snapToGrid w:val="0"/>
        <w:spacing w:line="360" w:lineRule="auto"/>
        <w:ind w:firstLine="480" w:firstLineChars="200"/>
        <w:rPr>
          <w:rFonts w:hint="eastAsia" w:ascii="宋体" w:hAnsi="宋体" w:eastAsia="宋体" w:cs="宋体"/>
          <w:b/>
          <w:sz w:val="32"/>
          <w:szCs w:val="32"/>
          <w:highlight w:val="none"/>
        </w:rPr>
      </w:pPr>
      <w:r>
        <w:rPr>
          <w:rFonts w:hint="eastAsia" w:ascii="宋体" w:hAnsi="宋体" w:eastAsia="宋体" w:cs="宋体"/>
          <w:sz w:val="24"/>
          <w:highlight w:val="none"/>
        </w:rPr>
        <w:t>备注：如果</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提供的响应文件中初步审查有一项未通过上述审查标准，磋商小组将认定整个响应文件不响应竞争性磋商文件而予以废标，并且不允许</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通过修改或撤销其不符合要求的差异或保留，使之成为具有响应性的竞标。</w:t>
      </w:r>
    </w:p>
    <w:p>
      <w:pPr>
        <w:jc w:val="both"/>
        <w:rPr>
          <w:rFonts w:hint="eastAsia" w:ascii="Tahoma" w:hAnsi="Tahoma" w:cs="Tahoma"/>
          <w:b/>
          <w:bCs/>
          <w:sz w:val="20"/>
          <w:szCs w:val="22"/>
          <w:highlight w:val="none"/>
          <w:lang w:val="en-US" w:eastAsia="zh-CN"/>
        </w:rPr>
      </w:pPr>
      <w:r>
        <w:rPr>
          <w:rFonts w:hint="eastAsia" w:ascii="Tahoma" w:hAnsi="Tahoma" w:cs="Tahoma"/>
          <w:b/>
          <w:bCs/>
          <w:sz w:val="20"/>
          <w:szCs w:val="22"/>
          <w:highlight w:val="none"/>
          <w:lang w:val="en-US" w:eastAsia="zh-CN"/>
        </w:rPr>
        <w:t xml:space="preserve">  </w:t>
      </w:r>
    </w:p>
    <w:p>
      <w:pPr>
        <w:jc w:val="both"/>
        <w:rPr>
          <w:rFonts w:hint="eastAsia" w:ascii="Tahoma" w:hAnsi="Tahoma" w:cs="Tahoma"/>
          <w:b/>
          <w:bCs/>
          <w:sz w:val="20"/>
          <w:szCs w:val="22"/>
          <w:highlight w:val="none"/>
          <w:lang w:val="en-US" w:eastAsia="zh-CN"/>
        </w:rPr>
      </w:pPr>
    </w:p>
    <w:p>
      <w:pPr>
        <w:pStyle w:val="17"/>
        <w:rPr>
          <w:rFonts w:hint="eastAsia" w:ascii="Tahoma" w:hAnsi="Tahoma" w:cs="Tahoma"/>
          <w:b/>
          <w:bCs/>
          <w:sz w:val="20"/>
          <w:szCs w:val="22"/>
          <w:highlight w:val="none"/>
          <w:lang w:val="en-US" w:eastAsia="zh-CN"/>
        </w:rPr>
      </w:pPr>
    </w:p>
    <w:p>
      <w:pPr>
        <w:jc w:val="center"/>
        <w:rPr>
          <w:rFonts w:hint="eastAsia" w:ascii="Tahoma" w:hAnsi="Tahoma" w:cs="Tahoma"/>
          <w:b/>
          <w:bCs/>
          <w:sz w:val="36"/>
          <w:szCs w:val="44"/>
          <w:highlight w:val="none"/>
          <w:lang w:val="en-US" w:eastAsia="zh-CN"/>
        </w:rPr>
      </w:pPr>
      <w:r>
        <w:rPr>
          <w:rFonts w:hint="eastAsia" w:ascii="Tahoma" w:hAnsi="Tahoma" w:cs="Tahoma"/>
          <w:b/>
          <w:bCs/>
          <w:sz w:val="36"/>
          <w:szCs w:val="44"/>
          <w:highlight w:val="none"/>
          <w:lang w:val="en-US" w:eastAsia="zh-CN"/>
        </w:rPr>
        <w:t>详细评审表</w:t>
      </w:r>
    </w:p>
    <w:tbl>
      <w:tblPr>
        <w:tblStyle w:val="22"/>
        <w:tblW w:w="9812" w:type="dxa"/>
        <w:tblInd w:w="-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7"/>
        <w:gridCol w:w="1393"/>
        <w:gridCol w:w="7007"/>
        <w:gridCol w:w="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9812" w:type="dxa"/>
            <w:gridSpan w:val="4"/>
            <w:noWrap w:val="0"/>
            <w:vAlign w:val="center"/>
          </w:tcPr>
          <w:p>
            <w:pPr>
              <w:spacing w:line="240" w:lineRule="auto"/>
              <w:jc w:val="center"/>
              <w:rPr>
                <w:rFonts w:hint="eastAsia" w:ascii="宋体" w:hAnsi="宋体" w:eastAsia="宋体" w:cs="宋体"/>
                <w:bCs/>
                <w:sz w:val="24"/>
                <w:szCs w:val="24"/>
                <w:highlight w:val="none"/>
                <w:lang w:eastAsia="zh-CN"/>
              </w:rPr>
            </w:pPr>
            <w:r>
              <w:rPr>
                <w:rFonts w:hint="eastAsia" w:ascii="宋体" w:hAnsi="宋体" w:cs="宋体"/>
                <w:b/>
                <w:bCs/>
                <w:sz w:val="24"/>
                <w:szCs w:val="24"/>
                <w:lang w:bidi="en-US"/>
              </w:rPr>
              <w:t>报价得分</w:t>
            </w:r>
            <w:r>
              <w:rPr>
                <w:rFonts w:hint="eastAsia" w:ascii="宋体" w:hAnsi="宋体" w:cs="宋体"/>
                <w:b/>
                <w:bCs/>
                <w:sz w:val="24"/>
                <w:szCs w:val="24"/>
                <w:lang w:eastAsia="zh-CN" w:bidi="en-US"/>
              </w:rPr>
              <w:t>（</w:t>
            </w:r>
            <w:r>
              <w:rPr>
                <w:rFonts w:hint="eastAsia" w:ascii="宋体" w:hAnsi="宋体" w:cs="宋体"/>
                <w:b/>
                <w:bCs/>
                <w:sz w:val="24"/>
                <w:szCs w:val="24"/>
                <w:lang w:val="en-US" w:eastAsia="zh-CN" w:bidi="en-US"/>
              </w:rPr>
              <w:t>30分</w:t>
            </w:r>
            <w:r>
              <w:rPr>
                <w:rFonts w:hint="eastAsia" w:ascii="宋体" w:hAnsi="宋体" w:cs="宋体"/>
                <w:b/>
                <w:bCs/>
                <w:sz w:val="24"/>
                <w:szCs w:val="24"/>
                <w:lang w:eastAsia="zh-CN" w:bidi="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707" w:type="dxa"/>
            <w:noWrap w:val="0"/>
            <w:vAlign w:val="center"/>
          </w:tcPr>
          <w:p>
            <w:pPr>
              <w:spacing w:line="240" w:lineRule="auto"/>
              <w:jc w:val="center"/>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lang w:val="en-US" w:eastAsia="zh-CN"/>
              </w:rPr>
              <w:t>序号</w:t>
            </w:r>
          </w:p>
        </w:tc>
        <w:tc>
          <w:tcPr>
            <w:tcW w:w="1393" w:type="dxa"/>
            <w:noWrap w:val="0"/>
            <w:vAlign w:val="center"/>
          </w:tcPr>
          <w:p>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分类</w:t>
            </w:r>
          </w:p>
        </w:tc>
        <w:tc>
          <w:tcPr>
            <w:tcW w:w="7007" w:type="dxa"/>
            <w:noWrap w:val="0"/>
            <w:vAlign w:val="center"/>
          </w:tcPr>
          <w:p>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评分标准</w:t>
            </w:r>
          </w:p>
        </w:tc>
        <w:tc>
          <w:tcPr>
            <w:tcW w:w="705" w:type="dxa"/>
            <w:noWrap w:val="0"/>
            <w:vAlign w:val="center"/>
          </w:tcPr>
          <w:p>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分数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568" w:hRule="atLeast"/>
        </w:trPr>
        <w:tc>
          <w:tcPr>
            <w:tcW w:w="707" w:type="dxa"/>
            <w:noWrap w:val="0"/>
            <w:vAlign w:val="center"/>
          </w:tcPr>
          <w:p>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1</w:t>
            </w:r>
          </w:p>
        </w:tc>
        <w:tc>
          <w:tcPr>
            <w:tcW w:w="1393" w:type="dxa"/>
            <w:noWrap w:val="0"/>
            <w:vAlign w:val="center"/>
          </w:tcPr>
          <w:p>
            <w:pPr>
              <w:snapToGrid w:val="0"/>
              <w:spacing w:line="360" w:lineRule="exact"/>
              <w:jc w:val="center"/>
              <w:rPr>
                <w:rFonts w:hint="eastAsia" w:ascii="宋体" w:hAnsi="宋体"/>
                <w:color w:val="auto"/>
                <w:sz w:val="22"/>
                <w:szCs w:val="22"/>
                <w:highlight w:val="none"/>
              </w:rPr>
            </w:pPr>
            <w:r>
              <w:rPr>
                <w:rFonts w:hint="eastAsia" w:ascii="宋体" w:hAnsi="宋体"/>
                <w:color w:val="auto"/>
                <w:sz w:val="22"/>
                <w:szCs w:val="22"/>
                <w:highlight w:val="none"/>
                <w:lang w:val="en-US" w:eastAsia="zh-CN"/>
              </w:rPr>
              <w:t>磋商</w:t>
            </w:r>
            <w:r>
              <w:rPr>
                <w:rFonts w:hint="eastAsia" w:ascii="宋体" w:hAnsi="宋体"/>
                <w:color w:val="auto"/>
                <w:sz w:val="22"/>
                <w:szCs w:val="22"/>
                <w:highlight w:val="none"/>
              </w:rPr>
              <w:t>总报价</w:t>
            </w:r>
          </w:p>
          <w:p>
            <w:pPr>
              <w:snapToGrid w:val="0"/>
              <w:spacing w:line="360" w:lineRule="exact"/>
              <w:jc w:val="center"/>
              <w:rPr>
                <w:rFonts w:hint="eastAsia" w:ascii="宋体" w:hAnsi="宋体" w:eastAsia="宋体" w:cs="宋体"/>
                <w:bCs/>
                <w:sz w:val="24"/>
                <w:szCs w:val="24"/>
                <w:highlight w:val="none"/>
              </w:rPr>
            </w:pPr>
            <w:r>
              <w:rPr>
                <w:rFonts w:hint="eastAsia" w:ascii="宋体" w:hAnsi="宋体"/>
                <w:color w:val="auto"/>
                <w:sz w:val="22"/>
                <w:szCs w:val="22"/>
                <w:highlight w:val="none"/>
              </w:rPr>
              <w:t>（</w:t>
            </w:r>
            <w:r>
              <w:rPr>
                <w:rFonts w:hint="eastAsia" w:ascii="宋体" w:hAnsi="宋体"/>
                <w:color w:val="auto"/>
                <w:sz w:val="22"/>
                <w:szCs w:val="22"/>
                <w:highlight w:val="none"/>
                <w:lang w:val="en-US" w:eastAsia="zh-CN"/>
              </w:rPr>
              <w:t>30</w:t>
            </w:r>
            <w:r>
              <w:rPr>
                <w:rFonts w:hint="eastAsia" w:ascii="宋体" w:hAnsi="宋体"/>
                <w:color w:val="auto"/>
                <w:sz w:val="22"/>
                <w:szCs w:val="22"/>
                <w:highlight w:val="none"/>
              </w:rPr>
              <w:t>分）</w:t>
            </w:r>
          </w:p>
        </w:tc>
        <w:tc>
          <w:tcPr>
            <w:tcW w:w="7007" w:type="dxa"/>
            <w:noWrap w:val="0"/>
            <w:vAlign w:val="center"/>
          </w:tcPr>
          <w:p>
            <w:pPr>
              <w:tabs>
                <w:tab w:val="left" w:pos="1007"/>
              </w:tabs>
              <w:snapToGrid w:val="0"/>
              <w:spacing w:line="360" w:lineRule="exact"/>
              <w:jc w:val="left"/>
              <w:rPr>
                <w:rFonts w:hint="eastAsia" w:ascii="宋体" w:hAnsi="宋体" w:eastAsia="宋体" w:cs="宋体"/>
                <w:bCs/>
                <w:sz w:val="24"/>
                <w:szCs w:val="24"/>
                <w:highlight w:val="none"/>
              </w:rPr>
            </w:pPr>
            <w:r>
              <w:rPr>
                <w:rFonts w:hint="eastAsia" w:ascii="宋体" w:hAnsi="宋体"/>
                <w:color w:val="000000"/>
                <w:sz w:val="22"/>
                <w:szCs w:val="22"/>
                <w:highlight w:val="none"/>
              </w:rPr>
              <w:t>以满足</w:t>
            </w:r>
            <w:r>
              <w:rPr>
                <w:rFonts w:hint="eastAsia" w:ascii="宋体" w:hAnsi="宋体"/>
                <w:color w:val="000000"/>
                <w:sz w:val="22"/>
                <w:szCs w:val="22"/>
                <w:highlight w:val="none"/>
                <w:lang w:val="en-US" w:eastAsia="zh-CN"/>
              </w:rPr>
              <w:t>磋商</w:t>
            </w:r>
            <w:r>
              <w:rPr>
                <w:rFonts w:hint="eastAsia" w:ascii="宋体" w:hAnsi="宋体"/>
                <w:color w:val="000000"/>
                <w:sz w:val="22"/>
                <w:szCs w:val="22"/>
                <w:highlight w:val="none"/>
              </w:rPr>
              <w:t>文件要求且最终报价最低的报价为评标基准价，其价格分为满分</w:t>
            </w:r>
            <w:r>
              <w:rPr>
                <w:rFonts w:hint="eastAsia" w:ascii="宋体" w:hAnsi="宋体"/>
                <w:color w:val="000000"/>
                <w:sz w:val="22"/>
                <w:szCs w:val="22"/>
                <w:highlight w:val="none"/>
                <w:lang w:val="en-US" w:eastAsia="zh-CN"/>
              </w:rPr>
              <w:t>30</w:t>
            </w:r>
            <w:r>
              <w:rPr>
                <w:rFonts w:hint="eastAsia" w:ascii="宋体" w:hAnsi="宋体"/>
                <w:color w:val="000000"/>
                <w:sz w:val="22"/>
                <w:szCs w:val="22"/>
                <w:highlight w:val="none"/>
              </w:rPr>
              <w:t>分，其他供应商的价格得分按照下列公式计算：报价得分=（评标基准价/最终报价）×</w:t>
            </w:r>
            <w:r>
              <w:rPr>
                <w:rFonts w:hint="eastAsia" w:ascii="宋体" w:hAnsi="宋体"/>
                <w:color w:val="000000"/>
                <w:sz w:val="22"/>
                <w:szCs w:val="22"/>
                <w:highlight w:val="none"/>
                <w:lang w:val="en-US" w:eastAsia="zh-CN"/>
              </w:rPr>
              <w:t>30</w:t>
            </w:r>
            <w:r>
              <w:rPr>
                <w:rFonts w:hint="eastAsia" w:ascii="宋体" w:hAnsi="宋体"/>
                <w:color w:val="000000"/>
                <w:sz w:val="22"/>
                <w:szCs w:val="22"/>
                <w:highlight w:val="none"/>
              </w:rPr>
              <w:t>%×100，报价高于预算价的，按无效报价处理。</w:t>
            </w:r>
          </w:p>
        </w:tc>
        <w:tc>
          <w:tcPr>
            <w:tcW w:w="705" w:type="dxa"/>
            <w:noWrap w:val="0"/>
            <w:vAlign w:val="center"/>
          </w:tcPr>
          <w:p>
            <w:pPr>
              <w:tabs>
                <w:tab w:val="left" w:pos="1007"/>
              </w:tabs>
              <w:snapToGrid w:val="0"/>
              <w:spacing w:line="360" w:lineRule="exact"/>
              <w:jc w:val="center"/>
              <w:rPr>
                <w:rFonts w:hint="eastAsia" w:ascii="宋体" w:hAnsi="宋体" w:eastAsia="宋体" w:cs="宋体"/>
                <w:bCs/>
                <w:sz w:val="24"/>
                <w:szCs w:val="24"/>
                <w:highlight w:val="none"/>
              </w:rPr>
            </w:pPr>
            <w:r>
              <w:rPr>
                <w:rFonts w:hint="eastAsia" w:ascii="宋体" w:hAnsi="宋体"/>
                <w:color w:val="auto"/>
                <w:sz w:val="22"/>
                <w:szCs w:val="22"/>
                <w:highlight w:val="none"/>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59" w:hRule="atLeast"/>
        </w:trPr>
        <w:tc>
          <w:tcPr>
            <w:tcW w:w="9812" w:type="dxa"/>
            <w:gridSpan w:val="4"/>
            <w:noWrap w:val="0"/>
            <w:vAlign w:val="center"/>
          </w:tcPr>
          <w:p>
            <w:pPr>
              <w:tabs>
                <w:tab w:val="left" w:pos="3632"/>
              </w:tabs>
              <w:spacing w:line="240" w:lineRule="auto"/>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ab/>
            </w:r>
            <w:r>
              <w:rPr>
                <w:rFonts w:hint="eastAsia" w:ascii="宋体" w:hAnsi="宋体" w:cs="宋体"/>
                <w:b/>
                <w:sz w:val="24"/>
                <w:szCs w:val="24"/>
              </w:rPr>
              <w:t>商务部分评分</w:t>
            </w:r>
            <w:r>
              <w:rPr>
                <w:rFonts w:hint="eastAsia" w:ascii="宋体" w:hAnsi="宋体" w:cs="宋体"/>
                <w:b/>
                <w:sz w:val="24"/>
                <w:szCs w:val="24"/>
                <w:lang w:eastAsia="zh-CN"/>
              </w:rPr>
              <w:t>（</w:t>
            </w:r>
            <w:r>
              <w:rPr>
                <w:rFonts w:hint="eastAsia" w:ascii="宋体" w:hAnsi="宋体" w:cs="宋体"/>
                <w:b/>
                <w:sz w:val="24"/>
                <w:szCs w:val="24"/>
                <w:lang w:val="en-US" w:eastAsia="zh-CN"/>
              </w:rPr>
              <w:t>10分</w:t>
            </w:r>
            <w:r>
              <w:rPr>
                <w:rFonts w:hint="eastAsia" w:ascii="宋体" w:hAnsi="宋体" w:cs="宋体"/>
                <w:b/>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707" w:type="dxa"/>
            <w:noWrap w:val="0"/>
            <w:vAlign w:val="center"/>
          </w:tcPr>
          <w:p>
            <w:pPr>
              <w:spacing w:line="240" w:lineRule="auto"/>
              <w:jc w:val="center"/>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val="en-US" w:eastAsia="zh-CN"/>
              </w:rPr>
              <w:t>2</w:t>
            </w:r>
          </w:p>
        </w:tc>
        <w:tc>
          <w:tcPr>
            <w:tcW w:w="1393" w:type="dxa"/>
            <w:tcBorders>
              <w:bottom w:val="single" w:color="auto" w:sz="4" w:space="0"/>
            </w:tcBorders>
            <w:noWrap w:val="0"/>
            <w:vAlign w:val="center"/>
          </w:tcPr>
          <w:p>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类似</w:t>
            </w:r>
            <w:r>
              <w:rPr>
                <w:rFonts w:hint="eastAsia" w:ascii="宋体" w:hAnsi="宋体" w:eastAsia="宋体" w:cs="宋体"/>
                <w:bCs/>
                <w:sz w:val="24"/>
                <w:szCs w:val="24"/>
                <w:highlight w:val="none"/>
              </w:rPr>
              <w:t>业绩</w:t>
            </w:r>
          </w:p>
        </w:tc>
        <w:tc>
          <w:tcPr>
            <w:tcW w:w="7007" w:type="dxa"/>
            <w:tcBorders>
              <w:bottom w:val="single" w:color="auto" w:sz="4" w:space="0"/>
            </w:tcBorders>
            <w:noWrap w:val="0"/>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cs="宋体"/>
                <w:color w:val="auto"/>
                <w:sz w:val="22"/>
                <w:szCs w:val="22"/>
                <w:lang w:eastAsia="zh-CN"/>
              </w:rPr>
              <w:t>响应人</w:t>
            </w:r>
            <w:r>
              <w:rPr>
                <w:rFonts w:hint="eastAsia" w:ascii="宋体" w:hAnsi="宋体" w:cs="宋体"/>
                <w:color w:val="auto"/>
                <w:sz w:val="22"/>
                <w:szCs w:val="22"/>
              </w:rPr>
              <w:t>近三</w:t>
            </w:r>
            <w:r>
              <w:rPr>
                <w:rFonts w:hint="eastAsia" w:ascii="宋体" w:hAnsi="宋体" w:cs="宋体"/>
                <w:color w:val="auto"/>
                <w:sz w:val="22"/>
                <w:szCs w:val="22"/>
                <w:lang w:eastAsia="zh-CN"/>
              </w:rPr>
              <w:t>年（</w:t>
            </w:r>
            <w:r>
              <w:rPr>
                <w:rFonts w:hint="eastAsia" w:ascii="宋体" w:hAnsi="宋体" w:cs="宋体"/>
                <w:color w:val="auto"/>
                <w:sz w:val="22"/>
                <w:szCs w:val="22"/>
                <w:lang w:val="en-US" w:eastAsia="zh-CN"/>
              </w:rPr>
              <w:t>2019年05月至今）</w:t>
            </w:r>
            <w:r>
              <w:rPr>
                <w:rFonts w:hint="eastAsia" w:ascii="宋体" w:hAnsi="宋体" w:cs="宋体"/>
                <w:color w:val="auto"/>
                <w:sz w:val="22"/>
                <w:szCs w:val="22"/>
                <w:lang w:eastAsia="zh-CN"/>
              </w:rPr>
              <w:t>承担过类似项目（</w:t>
            </w:r>
            <w:r>
              <w:rPr>
                <w:rFonts w:hint="eastAsia" w:ascii="宋体" w:hAnsi="宋体" w:cs="宋体"/>
                <w:color w:val="auto"/>
                <w:sz w:val="22"/>
                <w:szCs w:val="22"/>
                <w:lang w:val="en-US" w:eastAsia="zh-CN"/>
              </w:rPr>
              <w:t>须附合同协议书和中标通知书复印件）</w:t>
            </w:r>
            <w:r>
              <w:rPr>
                <w:rFonts w:hint="eastAsia" w:ascii="宋体" w:hAnsi="宋体" w:cs="宋体"/>
                <w:color w:val="auto"/>
                <w:sz w:val="22"/>
                <w:szCs w:val="22"/>
                <w:lang w:eastAsia="zh-CN"/>
              </w:rPr>
              <w:t>每</w:t>
            </w:r>
            <w:r>
              <w:rPr>
                <w:rFonts w:hint="eastAsia" w:ascii="宋体" w:hAnsi="宋体" w:cs="宋体"/>
                <w:color w:val="auto"/>
                <w:sz w:val="22"/>
                <w:szCs w:val="22"/>
                <w:lang w:val="en-US" w:eastAsia="zh-CN"/>
              </w:rPr>
              <w:t>个得1.5</w:t>
            </w:r>
            <w:r>
              <w:rPr>
                <w:rFonts w:hint="eastAsia" w:ascii="宋体" w:hAnsi="宋体" w:cs="宋体"/>
                <w:color w:val="auto"/>
                <w:sz w:val="22"/>
                <w:szCs w:val="22"/>
                <w:lang w:eastAsia="zh-CN"/>
              </w:rPr>
              <w:t>分，最高得</w:t>
            </w:r>
            <w:r>
              <w:rPr>
                <w:rFonts w:hint="eastAsia" w:ascii="宋体" w:hAnsi="宋体" w:cs="宋体"/>
                <w:color w:val="auto"/>
                <w:sz w:val="22"/>
                <w:szCs w:val="22"/>
                <w:lang w:val="en-US" w:eastAsia="zh-CN"/>
              </w:rPr>
              <w:t>3</w:t>
            </w:r>
            <w:r>
              <w:rPr>
                <w:rFonts w:hint="eastAsia" w:ascii="宋体" w:hAnsi="宋体" w:cs="宋体"/>
                <w:color w:val="auto"/>
                <w:sz w:val="22"/>
                <w:szCs w:val="22"/>
                <w:lang w:eastAsia="zh-CN"/>
              </w:rPr>
              <w:t>分。</w:t>
            </w:r>
          </w:p>
        </w:tc>
        <w:tc>
          <w:tcPr>
            <w:tcW w:w="705" w:type="dxa"/>
            <w:noWrap w:val="0"/>
            <w:vAlign w:val="center"/>
          </w:tcPr>
          <w:p>
            <w:pPr>
              <w:spacing w:line="240" w:lineRule="auto"/>
              <w:rPr>
                <w:rFonts w:hint="eastAsia" w:ascii="宋体" w:hAnsi="宋体" w:eastAsia="宋体" w:cs="宋体"/>
                <w:bCs/>
                <w:sz w:val="24"/>
                <w:szCs w:val="24"/>
                <w:highlight w:val="none"/>
              </w:rPr>
            </w:pPr>
            <w:r>
              <w:rPr>
                <w:rFonts w:hint="eastAsia" w:ascii="宋体" w:hAnsi="宋体" w:cs="宋体"/>
                <w:bCs/>
                <w:sz w:val="24"/>
                <w:szCs w:val="24"/>
                <w:highlight w:val="none"/>
                <w:lang w:val="en-US" w:eastAsia="zh-CN"/>
              </w:rPr>
              <w:t>3</w:t>
            </w:r>
            <w:r>
              <w:rPr>
                <w:rFonts w:hint="eastAsia" w:ascii="宋体" w:hAnsi="宋体" w:eastAsia="宋体" w:cs="宋体"/>
                <w:bCs/>
                <w:sz w:val="24"/>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707" w:type="dxa"/>
            <w:noWrap w:val="0"/>
            <w:vAlign w:val="center"/>
          </w:tcPr>
          <w:p>
            <w:pPr>
              <w:spacing w:line="240" w:lineRule="auto"/>
              <w:jc w:val="center"/>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3</w:t>
            </w:r>
          </w:p>
        </w:tc>
        <w:tc>
          <w:tcPr>
            <w:tcW w:w="1393" w:type="dxa"/>
            <w:tcBorders>
              <w:bottom w:val="single" w:color="auto" w:sz="4" w:space="0"/>
            </w:tcBorders>
            <w:noWrap w:val="0"/>
            <w:vAlign w:val="center"/>
          </w:tcPr>
          <w:p>
            <w:pPr>
              <w:keepNext w:val="0"/>
              <w:keepLines w:val="0"/>
              <w:widowControl/>
              <w:suppressLineNumbers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人员配备</w:t>
            </w:r>
          </w:p>
        </w:tc>
        <w:tc>
          <w:tcPr>
            <w:tcW w:w="7007" w:type="dxa"/>
            <w:tcBorders>
              <w:bottom w:val="single" w:color="auto" w:sz="4" w:space="0"/>
            </w:tcBorders>
            <w:noWrap w:val="0"/>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2"/>
                <w:szCs w:val="22"/>
                <w:highlight w:val="none"/>
                <w:lang w:val="en-US" w:eastAsia="zh-CN"/>
              </w:rPr>
              <w:t>合理配备安排工作人员有全面周到的考虑和安排，符合采购人的需求的，得4-6分；基本符合采购人的需求的，得2-4分；部分符合采购人的需求的，得0-2分。</w:t>
            </w:r>
          </w:p>
        </w:tc>
        <w:tc>
          <w:tcPr>
            <w:tcW w:w="705" w:type="dxa"/>
            <w:noWrap w:val="0"/>
            <w:vAlign w:val="center"/>
          </w:tcPr>
          <w:p>
            <w:pPr>
              <w:spacing w:line="240" w:lineRule="auto"/>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4</w:t>
            </w:r>
            <w:r>
              <w:rPr>
                <w:rFonts w:hint="eastAsia" w:ascii="宋体" w:hAnsi="宋体" w:eastAsia="宋体" w:cs="宋体"/>
                <w:bCs/>
                <w:sz w:val="24"/>
                <w:szCs w:val="24"/>
                <w:highlight w:val="none"/>
                <w:lang w:val="en-US"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707" w:type="dxa"/>
            <w:noWrap w:val="0"/>
            <w:vAlign w:val="center"/>
          </w:tcPr>
          <w:p>
            <w:pPr>
              <w:spacing w:line="240" w:lineRule="auto"/>
              <w:jc w:val="center"/>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4</w:t>
            </w:r>
          </w:p>
        </w:tc>
        <w:tc>
          <w:tcPr>
            <w:tcW w:w="1393" w:type="dxa"/>
            <w:tcBorders>
              <w:bottom w:val="single" w:color="auto" w:sz="4" w:space="0"/>
            </w:tcBorders>
            <w:noWrap w:val="0"/>
            <w:vAlign w:val="center"/>
          </w:tcPr>
          <w:p>
            <w:pPr>
              <w:keepNext w:val="0"/>
              <w:keepLines w:val="0"/>
              <w:widowControl/>
              <w:suppressLineNumbers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文件制作</w:t>
            </w:r>
          </w:p>
        </w:tc>
        <w:tc>
          <w:tcPr>
            <w:tcW w:w="7007" w:type="dxa"/>
            <w:tcBorders>
              <w:bottom w:val="single" w:color="auto" w:sz="4" w:space="0"/>
            </w:tcBorders>
            <w:noWrap w:val="0"/>
            <w:vAlign w:val="center"/>
          </w:tcPr>
          <w:p>
            <w:pPr>
              <w:keepNext w:val="0"/>
              <w:keepLines w:val="0"/>
              <w:widowControl/>
              <w:suppressLineNumbers w:val="0"/>
              <w:jc w:val="left"/>
              <w:rPr>
                <w:rFonts w:hint="eastAsia" w:ascii="宋体" w:hAnsi="宋体" w:eastAsia="宋体" w:cs="宋体"/>
                <w:sz w:val="24"/>
                <w:szCs w:val="24"/>
                <w:highlight w:val="none"/>
                <w:lang w:val="en-US" w:eastAsia="zh-CN"/>
              </w:rPr>
            </w:pPr>
            <w:r>
              <w:rPr>
                <w:rFonts w:hint="eastAsia" w:ascii="宋体" w:hAnsi="宋体" w:cs="宋体"/>
                <w:color w:val="auto"/>
                <w:sz w:val="22"/>
                <w:szCs w:val="22"/>
                <w:lang w:val="en-US" w:eastAsia="zh-CN"/>
              </w:rPr>
              <w:t>文件</w:t>
            </w:r>
            <w:r>
              <w:rPr>
                <w:rFonts w:hint="eastAsia" w:ascii="宋体" w:hAnsi="宋体" w:cs="宋体"/>
                <w:color w:val="auto"/>
                <w:sz w:val="22"/>
                <w:szCs w:val="22"/>
              </w:rPr>
              <w:t>编制内容完整、齐全、叙述严谨、标书无涂改、错页、漏页现象，得</w:t>
            </w:r>
            <w:r>
              <w:rPr>
                <w:rFonts w:hint="eastAsia" w:ascii="宋体" w:hAnsi="宋体" w:cs="宋体"/>
                <w:color w:val="auto"/>
                <w:sz w:val="22"/>
                <w:szCs w:val="22"/>
                <w:lang w:val="en-US" w:eastAsia="zh-CN"/>
              </w:rPr>
              <w:t>3</w:t>
            </w:r>
            <w:r>
              <w:rPr>
                <w:rFonts w:hint="eastAsia" w:ascii="宋体" w:hAnsi="宋体" w:cs="宋体"/>
                <w:color w:val="auto"/>
                <w:sz w:val="22"/>
                <w:szCs w:val="22"/>
              </w:rPr>
              <w:t>分</w:t>
            </w:r>
            <w:r>
              <w:rPr>
                <w:rFonts w:hint="eastAsia" w:ascii="宋体" w:hAnsi="宋体" w:cs="宋体"/>
                <w:color w:val="auto"/>
                <w:sz w:val="22"/>
                <w:szCs w:val="22"/>
                <w:lang w:eastAsia="zh-CN"/>
              </w:rPr>
              <w:t>，一般得</w:t>
            </w:r>
            <w:r>
              <w:rPr>
                <w:rFonts w:hint="eastAsia" w:ascii="宋体" w:hAnsi="宋体" w:cs="宋体"/>
                <w:color w:val="auto"/>
                <w:sz w:val="22"/>
                <w:szCs w:val="22"/>
                <w:lang w:val="en-US" w:eastAsia="zh-CN"/>
              </w:rPr>
              <w:t>0-2分</w:t>
            </w:r>
            <w:r>
              <w:rPr>
                <w:rFonts w:hint="eastAsia" w:ascii="宋体" w:hAnsi="宋体" w:cs="宋体"/>
                <w:color w:val="auto"/>
                <w:sz w:val="22"/>
                <w:szCs w:val="22"/>
              </w:rPr>
              <w:t>。</w:t>
            </w:r>
          </w:p>
        </w:tc>
        <w:tc>
          <w:tcPr>
            <w:tcW w:w="705" w:type="dxa"/>
            <w:noWrap w:val="0"/>
            <w:vAlign w:val="center"/>
          </w:tcPr>
          <w:p>
            <w:pPr>
              <w:spacing w:line="240" w:lineRule="auto"/>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3</w:t>
            </w:r>
            <w:r>
              <w:rPr>
                <w:rFonts w:hint="eastAsia" w:ascii="宋体" w:hAnsi="宋体" w:eastAsia="宋体" w:cs="宋体"/>
                <w:bCs/>
                <w:sz w:val="24"/>
                <w:szCs w:val="24"/>
                <w:highlight w:val="none"/>
                <w:lang w:val="en-US"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9812" w:type="dxa"/>
            <w:gridSpan w:val="4"/>
            <w:noWrap w:val="0"/>
            <w:vAlign w:val="center"/>
          </w:tcPr>
          <w:p>
            <w:pPr>
              <w:spacing w:line="240" w:lineRule="auto"/>
              <w:jc w:val="center"/>
              <w:rPr>
                <w:rFonts w:hint="eastAsia" w:ascii="宋体" w:hAnsi="宋体" w:eastAsia="宋体" w:cs="宋体"/>
                <w:bCs/>
                <w:sz w:val="24"/>
                <w:szCs w:val="24"/>
                <w:highlight w:val="none"/>
                <w:lang w:val="en-US" w:eastAsia="zh-CN"/>
              </w:rPr>
            </w:pPr>
            <w:r>
              <w:rPr>
                <w:rFonts w:hint="eastAsia" w:ascii="宋体" w:hAnsi="宋体" w:cs="宋体"/>
                <w:b/>
                <w:sz w:val="24"/>
                <w:szCs w:val="24"/>
              </w:rPr>
              <w:t>技术部分评分</w:t>
            </w:r>
            <w:r>
              <w:rPr>
                <w:rFonts w:hint="eastAsia" w:ascii="宋体" w:hAnsi="宋体" w:cs="宋体"/>
                <w:b/>
                <w:sz w:val="24"/>
                <w:szCs w:val="24"/>
                <w:lang w:eastAsia="zh-CN"/>
              </w:rPr>
              <w:t>（</w:t>
            </w:r>
            <w:r>
              <w:rPr>
                <w:rFonts w:hint="eastAsia" w:ascii="宋体" w:hAnsi="宋体" w:cs="宋体"/>
                <w:b/>
                <w:sz w:val="24"/>
                <w:szCs w:val="24"/>
                <w:lang w:val="en-US" w:eastAsia="zh-CN"/>
              </w:rPr>
              <w:t>60分</w:t>
            </w:r>
            <w:r>
              <w:rPr>
                <w:rFonts w:hint="eastAsia" w:ascii="宋体" w:hAnsi="宋体" w:cs="宋体"/>
                <w:b/>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707" w:type="dxa"/>
            <w:noWrap w:val="0"/>
            <w:vAlign w:val="center"/>
          </w:tcPr>
          <w:p>
            <w:pPr>
              <w:keepNext w:val="0"/>
              <w:keepLines w:val="0"/>
              <w:widowControl/>
              <w:suppressLineNumbers w:val="0"/>
              <w:jc w:val="lef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393" w:type="dxa"/>
            <w:tcBorders>
              <w:top w:val="single" w:color="auto" w:sz="4" w:space="0"/>
              <w:bottom w:val="single" w:color="auto" w:sz="4" w:space="0"/>
            </w:tcBorders>
            <w:noWrap w:val="0"/>
            <w:vAlign w:val="center"/>
          </w:tcPr>
          <w:p>
            <w:pPr>
              <w:keepNext w:val="0"/>
              <w:keepLines w:val="0"/>
              <w:widowControl/>
              <w:suppressLineNumbers w:val="0"/>
              <w:jc w:val="lef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项目方案</w:t>
            </w:r>
          </w:p>
        </w:tc>
        <w:tc>
          <w:tcPr>
            <w:tcW w:w="7007" w:type="dxa"/>
            <w:tcBorders>
              <w:top w:val="single" w:color="auto" w:sz="4" w:space="0"/>
            </w:tcBorders>
            <w:noWrap w:val="0"/>
            <w:vAlign w:val="center"/>
          </w:tcPr>
          <w:p>
            <w:pPr>
              <w:keepNext w:val="0"/>
              <w:keepLines w:val="0"/>
              <w:widowControl/>
              <w:suppressLineNumbers w:val="0"/>
              <w:jc w:val="lef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进度安排及其措施的合理性。对按照招标文件要求，保质保量完成本项目编制工作，根据投标人对项目的理解，具有针对本项目具体合理的、可行全面的实施方案及验收方案，根据投标人实施、配送方案（内容应包括人员组织、工作内容、时间进度表、提供的场地、配送队伍、运输工具、配送方案、质量控制、项目实施人员、运输能力等保障条件和管理能力项目验收等），内容全面合理，培训工作的目标、任务、计划、组织等安排是否合理、清晰、可行，满足本项目的管理制度是否完整、现场服务措施是否合理等情况得0-20分，评委均衡得分。</w:t>
            </w:r>
          </w:p>
        </w:tc>
        <w:tc>
          <w:tcPr>
            <w:tcW w:w="705" w:type="dxa"/>
            <w:noWrap w:val="0"/>
            <w:vAlign w:val="center"/>
          </w:tcPr>
          <w:p>
            <w:pPr>
              <w:keepNext w:val="0"/>
              <w:keepLines w:val="0"/>
              <w:widowControl/>
              <w:suppressLineNumbers w:val="0"/>
              <w:jc w:val="lef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707" w:type="dxa"/>
            <w:tcBorders>
              <w:bottom w:val="single" w:color="auto" w:sz="4" w:space="0"/>
            </w:tcBorders>
            <w:noWrap w:val="0"/>
            <w:vAlign w:val="center"/>
          </w:tcPr>
          <w:p>
            <w:pPr>
              <w:keepNext w:val="0"/>
              <w:keepLines w:val="0"/>
              <w:widowControl/>
              <w:suppressLineNumbers w:val="0"/>
              <w:jc w:val="lef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6</w:t>
            </w:r>
          </w:p>
        </w:tc>
        <w:tc>
          <w:tcPr>
            <w:tcW w:w="1393" w:type="dxa"/>
            <w:tcBorders>
              <w:top w:val="single" w:color="auto" w:sz="4" w:space="0"/>
              <w:bottom w:val="single" w:color="auto" w:sz="4" w:space="0"/>
            </w:tcBorders>
            <w:noWrap w:val="0"/>
            <w:vAlign w:val="center"/>
          </w:tcPr>
          <w:p>
            <w:pPr>
              <w:keepNext w:val="0"/>
              <w:keepLines w:val="0"/>
              <w:widowControl/>
              <w:suppressLineNumbers w:val="0"/>
              <w:jc w:val="left"/>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质量保证方案</w:t>
            </w:r>
          </w:p>
        </w:tc>
        <w:tc>
          <w:tcPr>
            <w:tcW w:w="7007" w:type="dxa"/>
            <w:noWrap w:val="0"/>
            <w:vAlign w:val="center"/>
          </w:tcPr>
          <w:p>
            <w:pPr>
              <w:keepNext w:val="0"/>
              <w:keepLines w:val="0"/>
              <w:widowControl/>
              <w:suppressLineNumbers w:val="0"/>
              <w:jc w:val="lef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质量保证方案及措施详细，实施计划、组织方案等方面均合理可行，方案总体相对优秀的，得10-15分；质量保证方案及措施较详细，有实施计划组织方案等方面的描述，方案总体相对较好的，得5-9分；提供了项目质量保证方案及措施，方案总体相对一般的，得0-4分</w:t>
            </w:r>
            <w:r>
              <w:rPr>
                <w:rFonts w:hint="eastAsia" w:ascii="宋体" w:hAnsi="宋体" w:cs="宋体"/>
                <w:color w:val="auto"/>
                <w:sz w:val="22"/>
                <w:szCs w:val="22"/>
                <w:lang w:val="en-US" w:eastAsia="zh-CN"/>
              </w:rPr>
              <w:t>。</w:t>
            </w:r>
          </w:p>
        </w:tc>
        <w:tc>
          <w:tcPr>
            <w:tcW w:w="705" w:type="dxa"/>
            <w:noWrap w:val="0"/>
            <w:vAlign w:val="center"/>
          </w:tcPr>
          <w:p>
            <w:pPr>
              <w:keepNext w:val="0"/>
              <w:keepLines w:val="0"/>
              <w:widowControl/>
              <w:suppressLineNumbers w:val="0"/>
              <w:jc w:val="lef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707" w:type="dxa"/>
            <w:tcBorders>
              <w:top w:val="single" w:color="auto" w:sz="4" w:space="0"/>
              <w:bottom w:val="single" w:color="auto" w:sz="4" w:space="0"/>
            </w:tcBorders>
            <w:noWrap w:val="0"/>
            <w:vAlign w:val="center"/>
          </w:tcPr>
          <w:p>
            <w:pPr>
              <w:keepNext w:val="0"/>
              <w:keepLines w:val="0"/>
              <w:widowControl/>
              <w:suppressLineNumbers w:val="0"/>
              <w:jc w:val="lef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7</w:t>
            </w:r>
          </w:p>
        </w:tc>
        <w:tc>
          <w:tcPr>
            <w:tcW w:w="1393" w:type="dxa"/>
            <w:tcBorders>
              <w:top w:val="single" w:color="auto" w:sz="4" w:space="0"/>
              <w:bottom w:val="single" w:color="auto" w:sz="4" w:space="0"/>
            </w:tcBorders>
            <w:noWrap w:val="0"/>
            <w:vAlign w:val="center"/>
          </w:tcPr>
          <w:p>
            <w:pPr>
              <w:keepNext w:val="0"/>
              <w:keepLines w:val="0"/>
              <w:widowControl/>
              <w:suppressLineNumbers w:val="0"/>
              <w:jc w:val="left"/>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项目服务方案</w:t>
            </w:r>
          </w:p>
        </w:tc>
        <w:tc>
          <w:tcPr>
            <w:tcW w:w="7007" w:type="dxa"/>
            <w:noWrap w:val="0"/>
            <w:vAlign w:val="center"/>
          </w:tcPr>
          <w:p>
            <w:pPr>
              <w:keepNext w:val="0"/>
              <w:keepLines w:val="0"/>
              <w:widowControl/>
              <w:suppressLineNumbers w:val="0"/>
              <w:jc w:val="lef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投标文件中服务方案清晰，提供完善的技术支持体系、服务响应时间快捷、后续服务承诺合理的得3-5分，一般得1-2分。</w:t>
            </w:r>
          </w:p>
        </w:tc>
        <w:tc>
          <w:tcPr>
            <w:tcW w:w="705" w:type="dxa"/>
            <w:noWrap w:val="0"/>
            <w:vAlign w:val="center"/>
          </w:tcPr>
          <w:p>
            <w:pPr>
              <w:keepNext w:val="0"/>
              <w:keepLines w:val="0"/>
              <w:widowControl/>
              <w:suppressLineNumbers w:val="0"/>
              <w:jc w:val="lef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707" w:type="dxa"/>
            <w:tcBorders>
              <w:top w:val="single" w:color="auto" w:sz="4" w:space="0"/>
              <w:bottom w:val="single" w:color="auto" w:sz="4" w:space="0"/>
            </w:tcBorders>
            <w:noWrap w:val="0"/>
            <w:vAlign w:val="center"/>
          </w:tcPr>
          <w:p>
            <w:pPr>
              <w:keepNext w:val="0"/>
              <w:keepLines w:val="0"/>
              <w:widowControl/>
              <w:suppressLineNumbers w:val="0"/>
              <w:jc w:val="left"/>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8</w:t>
            </w:r>
          </w:p>
        </w:tc>
        <w:tc>
          <w:tcPr>
            <w:tcW w:w="1393" w:type="dxa"/>
            <w:tcBorders>
              <w:top w:val="single" w:color="auto" w:sz="4" w:space="0"/>
              <w:bottom w:val="single" w:color="auto" w:sz="4" w:space="0"/>
            </w:tcBorders>
            <w:noWrap w:val="0"/>
            <w:vAlign w:val="center"/>
          </w:tcPr>
          <w:p>
            <w:pPr>
              <w:keepNext w:val="0"/>
              <w:keepLines w:val="0"/>
              <w:widowControl/>
              <w:suppressLineNumbers w:val="0"/>
              <w:jc w:val="left"/>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售后服务承诺</w:t>
            </w:r>
          </w:p>
        </w:tc>
        <w:tc>
          <w:tcPr>
            <w:tcW w:w="7007" w:type="dxa"/>
            <w:noWrap w:val="0"/>
            <w:vAlign w:val="center"/>
          </w:tcPr>
          <w:p>
            <w:pPr>
              <w:keepNext w:val="0"/>
              <w:keepLines w:val="0"/>
              <w:widowControl/>
              <w:suppressLineNumbers w:val="0"/>
              <w:jc w:val="lef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投标文件中有详细的、可操作性的、体现保障能力的售后服务方案和服务承诺，人员培训具体计划、售后响应时间，0-10分，评委均衡得分，否则酌情扣分；</w:t>
            </w:r>
          </w:p>
          <w:p>
            <w:pPr>
              <w:keepNext w:val="0"/>
              <w:keepLines w:val="0"/>
              <w:widowControl/>
              <w:suppressLineNumbers w:val="0"/>
              <w:jc w:val="lef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设有本地售后服务机构并提供相关证明材料，得5分；不提供不得分；</w:t>
            </w:r>
          </w:p>
          <w:p>
            <w:pPr>
              <w:keepNext w:val="0"/>
              <w:keepLines w:val="0"/>
              <w:widowControl/>
              <w:suppressLineNumbers w:val="0"/>
              <w:jc w:val="left"/>
              <w:rPr>
                <w:rFonts w:hint="eastAsia" w:ascii="宋体" w:hAnsi="宋体" w:eastAsia="宋体" w:cs="宋体"/>
                <w:color w:val="auto"/>
                <w:sz w:val="22"/>
                <w:szCs w:val="22"/>
                <w:lang w:val="en-US" w:eastAsia="en-US"/>
              </w:rPr>
            </w:pPr>
            <w:r>
              <w:rPr>
                <w:rFonts w:hint="eastAsia" w:ascii="宋体" w:hAnsi="宋体" w:eastAsia="宋体" w:cs="宋体"/>
                <w:color w:val="auto"/>
                <w:sz w:val="22"/>
                <w:szCs w:val="22"/>
                <w:lang w:val="en-US" w:eastAsia="zh-CN"/>
              </w:rPr>
              <w:t>在质保期内或承诺能在质保期外，定期回访，投标货物的质量保证及保证措施承诺达到优质质量标准、并有切实可行质量保证措施的得5分，否则酌情扣分。</w:t>
            </w:r>
          </w:p>
        </w:tc>
        <w:tc>
          <w:tcPr>
            <w:tcW w:w="705" w:type="dxa"/>
            <w:noWrap w:val="0"/>
            <w:vAlign w:val="center"/>
          </w:tcPr>
          <w:p>
            <w:pPr>
              <w:keepNext w:val="0"/>
              <w:keepLines w:val="0"/>
              <w:widowControl/>
              <w:suppressLineNumbers w:val="0"/>
              <w:jc w:val="left"/>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572" w:hRule="atLeast"/>
        </w:trPr>
        <w:tc>
          <w:tcPr>
            <w:tcW w:w="9812" w:type="dxa"/>
            <w:gridSpan w:val="4"/>
            <w:noWrap w:val="0"/>
            <w:vAlign w:val="center"/>
          </w:tcPr>
          <w:p>
            <w:pPr>
              <w:spacing w:line="240" w:lineRule="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 xml:space="preserve">合计：                                    </w:t>
            </w:r>
            <w:r>
              <w:rPr>
                <w:rFonts w:hint="eastAsia" w:ascii="宋体" w:hAnsi="宋体" w:cs="宋体"/>
                <w:bCs/>
                <w:sz w:val="24"/>
                <w:szCs w:val="24"/>
                <w:highlight w:val="none"/>
                <w:lang w:val="en-US" w:eastAsia="zh-CN"/>
              </w:rPr>
              <w:t>100</w:t>
            </w:r>
            <w:r>
              <w:rPr>
                <w:rFonts w:hint="eastAsia" w:ascii="宋体" w:hAnsi="宋体" w:eastAsia="宋体" w:cs="宋体"/>
                <w:bCs/>
                <w:sz w:val="24"/>
                <w:szCs w:val="24"/>
                <w:highlight w:val="none"/>
                <w:lang w:val="en-US" w:eastAsia="zh-CN"/>
              </w:rPr>
              <w:t>分</w:t>
            </w:r>
          </w:p>
        </w:tc>
      </w:tr>
    </w:tbl>
    <w:p>
      <w:pPr>
        <w:spacing w:line="360" w:lineRule="auto"/>
        <w:ind w:firstLine="643" w:firstLineChars="200"/>
        <w:jc w:val="center"/>
        <w:outlineLvl w:val="1"/>
        <w:rPr>
          <w:rFonts w:hint="eastAsia" w:ascii="宋体" w:hAnsi="宋体" w:eastAsia="宋体" w:cs="宋体"/>
          <w:b/>
          <w:sz w:val="32"/>
          <w:szCs w:val="32"/>
          <w:highlight w:val="none"/>
        </w:rPr>
      </w:pPr>
      <w:r>
        <w:rPr>
          <w:rFonts w:hint="eastAsia" w:ascii="宋体" w:hAnsi="宋体" w:eastAsia="宋体" w:cs="宋体"/>
          <w:b/>
          <w:sz w:val="32"/>
          <w:szCs w:val="32"/>
          <w:highlight w:val="none"/>
        </w:rPr>
        <w:br w:type="page"/>
      </w:r>
      <w:r>
        <w:rPr>
          <w:rFonts w:hint="eastAsia" w:ascii="宋体" w:hAnsi="宋体" w:eastAsia="宋体" w:cs="宋体"/>
          <w:b/>
          <w:sz w:val="32"/>
          <w:szCs w:val="32"/>
          <w:highlight w:val="none"/>
        </w:rPr>
        <w:t>八、成交及合同签订</w:t>
      </w:r>
      <w:bookmarkEnd w:id="56"/>
      <w:bookmarkEnd w:id="57"/>
    </w:p>
    <w:p>
      <w:pPr>
        <w:snapToGrid w:val="0"/>
        <w:spacing w:line="360" w:lineRule="auto"/>
        <w:ind w:firstLine="482" w:firstLineChars="200"/>
        <w:jc w:val="left"/>
        <w:rPr>
          <w:rFonts w:hint="eastAsia" w:ascii="宋体" w:hAnsi="宋体" w:eastAsia="宋体" w:cs="宋体"/>
          <w:sz w:val="24"/>
          <w:highlight w:val="none"/>
          <w:lang w:eastAsia="zh-CN"/>
        </w:rPr>
      </w:pPr>
      <w:bookmarkStart w:id="59" w:name="_Toc13949"/>
      <w:r>
        <w:rPr>
          <w:rFonts w:hint="eastAsia" w:ascii="宋体" w:hAnsi="宋体" w:eastAsia="宋体" w:cs="宋体"/>
          <w:b/>
          <w:bCs/>
          <w:sz w:val="24"/>
          <w:highlight w:val="none"/>
        </w:rPr>
        <w:t>（</w:t>
      </w:r>
      <w:r>
        <w:rPr>
          <w:rFonts w:hint="eastAsia" w:ascii="宋体" w:hAnsi="宋体" w:eastAsia="宋体" w:cs="宋体"/>
          <w:b/>
          <w:bCs/>
          <w:sz w:val="24"/>
          <w:highlight w:val="none"/>
          <w:lang w:eastAsia="zh-CN"/>
        </w:rPr>
        <w:t>一</w:t>
      </w:r>
      <w:r>
        <w:rPr>
          <w:rFonts w:hint="eastAsia" w:ascii="宋体" w:hAnsi="宋体" w:eastAsia="宋体" w:cs="宋体"/>
          <w:b/>
          <w:bCs/>
          <w:sz w:val="24"/>
          <w:highlight w:val="none"/>
        </w:rPr>
        <w:t>）</w:t>
      </w:r>
      <w:bookmarkEnd w:id="59"/>
      <w:r>
        <w:rPr>
          <w:rFonts w:hint="eastAsia" w:ascii="宋体" w:hAnsi="宋体" w:eastAsia="宋体" w:cs="宋体"/>
          <w:b/>
          <w:bCs/>
          <w:sz w:val="24"/>
          <w:highlight w:val="none"/>
          <w:lang w:val="en-US" w:eastAsia="zh-CN"/>
        </w:rPr>
        <w:t>评标办法</w:t>
      </w:r>
    </w:p>
    <w:p>
      <w:pPr>
        <w:snapToGrid w:val="0"/>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综合评分法，是指响应文件满足磋商文件全部实质性要求，且按照评审因素的量化指标评审得分最高得供应商为中标候选人的评标办法。</w:t>
      </w:r>
    </w:p>
    <w:p>
      <w:pPr>
        <w:snapToGrid w:val="0"/>
        <w:spacing w:line="360" w:lineRule="auto"/>
        <w:ind w:firstLine="482" w:firstLineChars="200"/>
        <w:rPr>
          <w:rFonts w:hint="eastAsia" w:ascii="宋体" w:hAnsi="宋体" w:eastAsia="宋体" w:cs="宋体"/>
          <w:sz w:val="24"/>
          <w:highlight w:val="none"/>
        </w:rPr>
      </w:pPr>
      <w:r>
        <w:rPr>
          <w:rFonts w:hint="eastAsia" w:ascii="宋体" w:hAnsi="宋体" w:eastAsia="宋体" w:cs="宋体"/>
          <w:b/>
          <w:bCs/>
          <w:sz w:val="24"/>
          <w:highlight w:val="none"/>
        </w:rPr>
        <w:t>（</w:t>
      </w:r>
      <w:r>
        <w:rPr>
          <w:rFonts w:hint="eastAsia" w:ascii="宋体" w:hAnsi="宋体" w:eastAsia="宋体" w:cs="宋体"/>
          <w:b/>
          <w:bCs/>
          <w:sz w:val="24"/>
          <w:highlight w:val="none"/>
          <w:lang w:eastAsia="zh-CN"/>
        </w:rPr>
        <w:t>二</w:t>
      </w:r>
      <w:r>
        <w:rPr>
          <w:rFonts w:hint="eastAsia" w:ascii="宋体" w:hAnsi="宋体" w:eastAsia="宋体" w:cs="宋体"/>
          <w:b/>
          <w:bCs/>
          <w:sz w:val="24"/>
          <w:highlight w:val="none"/>
        </w:rPr>
        <w:t>）资格条件</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1、采购人将在签订合同前对成交候选</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是否能圆满地履行合同进行审查。审查包括成交候选</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响应文件中提供的所资格证明材料原件，成交候选</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响应文件及补充承诺中涉及的其他相关资料原件，以及对本项目实施可能存在风险的其他因素。</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2、采购人若发现成交候选</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在竞标过程中提供虚假证明文件，故意隐瞒公司不良信誉和财务状况，以及存在可能对合同圆满履行造成风险的其他因素等，则按规定取消其成交资格，监管部门依法进行处理。</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3、如果成交候选</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被确认为不具备执行合同的能力，采购人将考虑按同样的程序审查下一个成交候选</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w:t>
      </w:r>
    </w:p>
    <w:p>
      <w:pPr>
        <w:snapToGrid w:val="0"/>
        <w:spacing w:line="360" w:lineRule="auto"/>
        <w:ind w:firstLine="482" w:firstLineChars="200"/>
        <w:jc w:val="left"/>
        <w:rPr>
          <w:rFonts w:hint="eastAsia" w:ascii="宋体" w:hAnsi="宋体" w:eastAsia="宋体" w:cs="宋体"/>
          <w:sz w:val="24"/>
          <w:highlight w:val="none"/>
        </w:rPr>
      </w:pPr>
      <w:r>
        <w:rPr>
          <w:rFonts w:hint="eastAsia" w:ascii="宋体" w:hAnsi="宋体" w:eastAsia="宋体" w:cs="宋体"/>
          <w:b/>
          <w:bCs/>
          <w:sz w:val="24"/>
          <w:highlight w:val="none"/>
        </w:rPr>
        <w:t>（三）成交通知书</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1、成交结果在</w:t>
      </w:r>
      <w:r>
        <w:rPr>
          <w:rFonts w:hint="eastAsia" w:ascii="宋体" w:hAnsi="宋体" w:eastAsia="宋体" w:cs="宋体"/>
          <w:i w:val="0"/>
          <w:iCs w:val="0"/>
          <w:caps w:val="0"/>
          <w:color w:val="000000"/>
          <w:spacing w:val="0"/>
          <w:sz w:val="24"/>
          <w:szCs w:val="24"/>
          <w:highlight w:val="none"/>
        </w:rPr>
        <w:t>新疆政府采购网官网（http://www.ccgp-xinjiang.gov.cn/)</w:t>
      </w:r>
      <w:r>
        <w:rPr>
          <w:rFonts w:hint="eastAsia" w:ascii="宋体" w:hAnsi="宋体" w:eastAsia="宋体" w:cs="宋体"/>
          <w:sz w:val="24"/>
          <w:highlight w:val="none"/>
        </w:rPr>
        <w:t>发布公告，采购人将向成交</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发出成交通知书。</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2、成交</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应及时到政府采购人领取成交通知书，成交通知书是签订合同的依据和组成部分。</w:t>
      </w:r>
    </w:p>
    <w:p>
      <w:pPr>
        <w:snapToGrid w:val="0"/>
        <w:spacing w:line="360" w:lineRule="auto"/>
        <w:ind w:firstLine="482" w:firstLineChars="200"/>
        <w:jc w:val="left"/>
        <w:rPr>
          <w:rFonts w:hint="eastAsia" w:ascii="宋体" w:hAnsi="宋体" w:eastAsia="宋体" w:cs="宋体"/>
          <w:sz w:val="24"/>
          <w:highlight w:val="none"/>
        </w:rPr>
      </w:pPr>
      <w:r>
        <w:rPr>
          <w:rFonts w:hint="eastAsia" w:ascii="宋体" w:hAnsi="宋体" w:eastAsia="宋体" w:cs="宋体"/>
          <w:b/>
          <w:bCs/>
          <w:sz w:val="24"/>
          <w:highlight w:val="none"/>
        </w:rPr>
        <w:t>（</w:t>
      </w:r>
      <w:r>
        <w:rPr>
          <w:rFonts w:hint="eastAsia" w:ascii="宋体" w:hAnsi="宋体" w:eastAsia="宋体" w:cs="宋体"/>
          <w:b/>
          <w:bCs/>
          <w:sz w:val="24"/>
          <w:highlight w:val="none"/>
          <w:lang w:eastAsia="zh-CN"/>
        </w:rPr>
        <w:t>四</w:t>
      </w:r>
      <w:r>
        <w:rPr>
          <w:rFonts w:hint="eastAsia" w:ascii="宋体" w:hAnsi="宋体" w:eastAsia="宋体" w:cs="宋体"/>
          <w:b/>
          <w:bCs/>
          <w:sz w:val="24"/>
          <w:highlight w:val="none"/>
        </w:rPr>
        <w:t>）签订合同</w:t>
      </w:r>
    </w:p>
    <w:p>
      <w:pPr>
        <w:snapToGrid w:val="0"/>
        <w:spacing w:line="360" w:lineRule="auto"/>
        <w:ind w:firstLine="480" w:firstLineChars="200"/>
        <w:jc w:val="left"/>
        <w:rPr>
          <w:rFonts w:hint="eastAsia" w:ascii="宋体" w:hAnsi="宋体" w:eastAsia="宋体" w:cs="宋体"/>
          <w:b/>
          <w:sz w:val="24"/>
          <w:highlight w:val="none"/>
        </w:rPr>
      </w:pPr>
      <w:r>
        <w:rPr>
          <w:rFonts w:hint="eastAsia" w:ascii="宋体" w:hAnsi="宋体" w:eastAsia="宋体" w:cs="宋体"/>
          <w:sz w:val="24"/>
          <w:highlight w:val="none"/>
        </w:rPr>
        <w:t>成交</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应在规定的时间、地点与采购人签订合同，竞争性磋商文件、成交人的响应文件、分次报价及服务承诺文件以及评过程中有关澄清文件均作为合同附件，</w:t>
      </w:r>
      <w:r>
        <w:rPr>
          <w:rFonts w:hint="eastAsia" w:ascii="宋体" w:hAnsi="宋体" w:eastAsia="宋体" w:cs="宋体"/>
          <w:b/>
          <w:sz w:val="24"/>
          <w:highlight w:val="none"/>
        </w:rPr>
        <w:t>合同经采购人审核盖章后实施</w:t>
      </w:r>
      <w:r>
        <w:rPr>
          <w:rFonts w:hint="eastAsia" w:ascii="宋体" w:hAnsi="宋体" w:eastAsia="宋体" w:cs="宋体"/>
          <w:sz w:val="24"/>
          <w:highlight w:val="none"/>
        </w:rPr>
        <w:t>。</w:t>
      </w:r>
    </w:p>
    <w:p>
      <w:pPr>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成交</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无正当理由未在规定时间内与采购人签订合同的，采购人有权建议取消其成交资格，监管部门将对其依法处理。</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成交人应当按照合同约定履行义务，完成成交项目供货，不得将成交项目转让（转包）给他人,否则采购人有权提出赔偿。</w:t>
      </w:r>
    </w:p>
    <w:p>
      <w:pPr>
        <w:pStyle w:val="17"/>
        <w:rPr>
          <w:rFonts w:hint="eastAsia"/>
        </w:rPr>
      </w:pPr>
    </w:p>
    <w:p>
      <w:pPr>
        <w:pStyle w:val="17"/>
        <w:rPr>
          <w:rFonts w:hint="eastAsia"/>
        </w:rPr>
      </w:pPr>
    </w:p>
    <w:p>
      <w:pPr>
        <w:snapToGrid w:val="0"/>
        <w:spacing w:line="360" w:lineRule="auto"/>
        <w:ind w:firstLine="602" w:firstLineChars="200"/>
        <w:jc w:val="center"/>
        <w:outlineLvl w:val="1"/>
        <w:rPr>
          <w:rFonts w:hint="eastAsia" w:ascii="宋体" w:hAnsi="宋体" w:eastAsia="宋体" w:cs="宋体"/>
          <w:b/>
          <w:sz w:val="30"/>
          <w:szCs w:val="30"/>
          <w:highlight w:val="none"/>
        </w:rPr>
      </w:pPr>
      <w:bookmarkStart w:id="60" w:name="_Toc5106"/>
      <w:r>
        <w:rPr>
          <w:rFonts w:hint="eastAsia" w:ascii="宋体" w:hAnsi="宋体" w:eastAsia="宋体" w:cs="宋体"/>
          <w:b/>
          <w:sz w:val="30"/>
          <w:szCs w:val="30"/>
          <w:highlight w:val="none"/>
        </w:rPr>
        <w:t>九、验收及付款</w:t>
      </w:r>
      <w:bookmarkEnd w:id="60"/>
    </w:p>
    <w:p>
      <w:pPr>
        <w:snapToGrid w:val="0"/>
        <w:spacing w:line="360" w:lineRule="auto"/>
        <w:ind w:firstLine="482" w:firstLineChars="200"/>
        <w:jc w:val="left"/>
        <w:rPr>
          <w:rFonts w:hint="eastAsia" w:ascii="宋体" w:hAnsi="宋体" w:eastAsia="宋体" w:cs="宋体"/>
          <w:b/>
          <w:bCs/>
          <w:sz w:val="24"/>
          <w:highlight w:val="none"/>
        </w:rPr>
      </w:pPr>
      <w:r>
        <w:rPr>
          <w:rFonts w:hint="eastAsia" w:ascii="宋体" w:hAnsi="宋体" w:eastAsia="宋体" w:cs="宋体"/>
          <w:b/>
          <w:bCs/>
          <w:sz w:val="24"/>
          <w:highlight w:val="none"/>
        </w:rPr>
        <w:t>（</w:t>
      </w:r>
      <w:r>
        <w:rPr>
          <w:rFonts w:hint="eastAsia" w:ascii="宋体" w:hAnsi="宋体" w:eastAsia="宋体" w:cs="宋体"/>
          <w:b/>
          <w:bCs/>
          <w:sz w:val="24"/>
          <w:highlight w:val="none"/>
          <w:lang w:eastAsia="zh-CN"/>
        </w:rPr>
        <w:t>一</w:t>
      </w:r>
      <w:r>
        <w:rPr>
          <w:rFonts w:hint="eastAsia" w:ascii="宋体" w:hAnsi="宋体" w:eastAsia="宋体" w:cs="宋体"/>
          <w:b/>
          <w:bCs/>
          <w:sz w:val="24"/>
          <w:highlight w:val="none"/>
        </w:rPr>
        <w:t>）验收</w:t>
      </w:r>
    </w:p>
    <w:p>
      <w:pPr>
        <w:snapToGrid w:val="0"/>
        <w:spacing w:line="360" w:lineRule="auto"/>
        <w:ind w:right="105" w:rightChars="5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招标单位组建验收小组，验收小组由招标单位三人以上组成，按</w:t>
      </w:r>
      <w:r>
        <w:rPr>
          <w:rFonts w:hint="eastAsia" w:ascii="宋体" w:hAnsi="宋体" w:eastAsia="宋体" w:cs="宋体"/>
          <w:bCs/>
          <w:sz w:val="24"/>
          <w:highlight w:val="none"/>
        </w:rPr>
        <w:t>招标合同约定的时间组织验收。</w:t>
      </w:r>
    </w:p>
    <w:p>
      <w:pPr>
        <w:snapToGrid w:val="0"/>
        <w:spacing w:line="360" w:lineRule="auto"/>
        <w:ind w:firstLine="482" w:firstLineChars="200"/>
        <w:jc w:val="left"/>
        <w:rPr>
          <w:rFonts w:hint="eastAsia" w:ascii="宋体" w:hAnsi="宋体" w:eastAsia="宋体" w:cs="宋体"/>
          <w:b/>
          <w:bCs/>
          <w:sz w:val="24"/>
          <w:highlight w:val="none"/>
        </w:rPr>
      </w:pPr>
      <w:r>
        <w:rPr>
          <w:rFonts w:hint="eastAsia" w:ascii="宋体" w:hAnsi="宋体" w:eastAsia="宋体" w:cs="宋体"/>
          <w:b/>
          <w:bCs/>
          <w:sz w:val="24"/>
          <w:highlight w:val="none"/>
        </w:rPr>
        <w:t>（</w:t>
      </w:r>
      <w:r>
        <w:rPr>
          <w:rFonts w:hint="eastAsia" w:ascii="宋体" w:hAnsi="宋体" w:eastAsia="宋体" w:cs="宋体"/>
          <w:b/>
          <w:bCs/>
          <w:sz w:val="24"/>
          <w:highlight w:val="none"/>
          <w:lang w:eastAsia="zh-CN"/>
        </w:rPr>
        <w:t>二</w:t>
      </w:r>
      <w:r>
        <w:rPr>
          <w:rFonts w:hint="eastAsia" w:ascii="宋体" w:hAnsi="宋体" w:eastAsia="宋体" w:cs="宋体"/>
          <w:b/>
          <w:bCs/>
          <w:sz w:val="24"/>
          <w:highlight w:val="none"/>
        </w:rPr>
        <w:t>）项目办结及付款</w:t>
      </w:r>
    </w:p>
    <w:p>
      <w:pPr>
        <w:snapToGrid w:val="0"/>
        <w:spacing w:line="360" w:lineRule="auto"/>
        <w:ind w:firstLine="480" w:firstLineChars="200"/>
        <w:jc w:val="center"/>
        <w:rPr>
          <w:rFonts w:hint="eastAsia" w:ascii="宋体" w:hAnsi="宋体" w:eastAsia="宋体" w:cs="宋体"/>
          <w:b/>
          <w:sz w:val="28"/>
          <w:szCs w:val="28"/>
          <w:highlight w:val="none"/>
        </w:rPr>
      </w:pPr>
      <w:r>
        <w:rPr>
          <w:rFonts w:hint="eastAsia" w:ascii="宋体" w:hAnsi="宋体" w:eastAsia="宋体" w:cs="宋体"/>
          <w:sz w:val="24"/>
          <w:highlight w:val="none"/>
        </w:rPr>
        <w:t>采购人项目合同、验收报告和经政府招标处签章的发票原件在合同约定的时间内办理招标款支付手续。</w:t>
      </w:r>
      <w:bookmarkStart w:id="61" w:name="_Toc21912"/>
      <w:bookmarkStart w:id="62" w:name="_Toc1613"/>
      <w:r>
        <w:rPr>
          <w:rFonts w:hint="eastAsia" w:ascii="宋体" w:hAnsi="宋体" w:eastAsia="宋体" w:cs="宋体"/>
          <w:b/>
          <w:sz w:val="28"/>
          <w:szCs w:val="28"/>
          <w:highlight w:val="none"/>
        </w:rPr>
        <w:br w:type="page"/>
      </w:r>
      <w:bookmarkEnd w:id="61"/>
      <w:bookmarkEnd w:id="62"/>
      <w:bookmarkStart w:id="63" w:name="_Toc8586"/>
      <w:bookmarkStart w:id="64" w:name="_Toc31101"/>
      <w:bookmarkStart w:id="65" w:name="_Toc603"/>
      <w:bookmarkStart w:id="66" w:name="_Toc5426"/>
      <w:bookmarkStart w:id="67" w:name="_Toc25157"/>
      <w:bookmarkStart w:id="68" w:name="_Toc2509"/>
      <w:bookmarkStart w:id="69" w:name="_Toc7500"/>
      <w:r>
        <w:rPr>
          <w:rFonts w:hint="eastAsia" w:ascii="宋体" w:hAnsi="宋体" w:eastAsia="宋体" w:cs="宋体"/>
          <w:b/>
          <w:sz w:val="28"/>
          <w:szCs w:val="28"/>
          <w:highlight w:val="none"/>
          <w:lang w:eastAsia="zh-CN"/>
        </w:rPr>
        <w:t>第三部</w:t>
      </w:r>
      <w:r>
        <w:rPr>
          <w:rFonts w:hint="eastAsia" w:ascii="宋体" w:hAnsi="宋体" w:eastAsia="宋体" w:cs="宋体"/>
          <w:b/>
          <w:sz w:val="28"/>
          <w:szCs w:val="28"/>
          <w:highlight w:val="none"/>
        </w:rPr>
        <w:t xml:space="preserve"> 授予合同</w:t>
      </w:r>
      <w:bookmarkEnd w:id="63"/>
      <w:bookmarkEnd w:id="64"/>
      <w:bookmarkEnd w:id="65"/>
      <w:bookmarkEnd w:id="66"/>
      <w:bookmarkEnd w:id="67"/>
      <w:bookmarkEnd w:id="68"/>
      <w:bookmarkEnd w:id="69"/>
      <w:bookmarkStart w:id="70" w:name="_Toc23208"/>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1.定义</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1.1 本合同下列词语应解释为：</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① “合同”系指买方卖方(以下简称合同双方)以达成的协议，即有双方签定的合同格式中的文件，包括所有附件、附表和组成合同部分的所有文件。</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② “合同价格”系指根据合同规定，在卖方全面正确的履行合同义务时买方应支付给卖方的货币额。</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③ “货物”系指卖方按合同要求，须向买方提供的一切产品及其它技术资料和材料。</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④ “服务” 系指合同规定卖方须承担的技术协助、本地化开发、安装、调试、培训和交付使用后免费维护期内应履行的义务及售后服务等其他类似的义务。</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⑤ “买方”系指买货物的单位。</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⑥ “卖方”系指提供合同货物和服务的经济实体。</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⑦ “现场”系指将要进行货运安装和运转的地点。</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⑧ “验收”系指买方依据技术规定接受所供货物应依据的程序和条件。</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2、技术规格和标准</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2.1 本合同项下所供货物的技术规格应与本</w:t>
      </w:r>
      <w:r>
        <w:rPr>
          <w:rFonts w:hint="eastAsia" w:ascii="宋体" w:hAnsi="宋体" w:cs="宋体"/>
          <w:sz w:val="24"/>
          <w:szCs w:val="24"/>
          <w:highlight w:val="none"/>
          <w:lang w:eastAsia="zh-CN"/>
        </w:rPr>
        <w:t>磋商</w:t>
      </w:r>
      <w:r>
        <w:rPr>
          <w:rFonts w:ascii="宋体" w:hAnsi="宋体" w:cs="宋体"/>
          <w:sz w:val="24"/>
          <w:szCs w:val="24"/>
          <w:highlight w:val="none"/>
        </w:rPr>
        <w:t>文件技术规格规定的标准相一致。若技术规格中无相应规定，货物则应符合国家有关部门最新颁布的相应标准。</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3、专有权</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3.1 卖方须保证买方在使用其货物、服务及其任何一部分时不受第三方关于侵权的指控。如果出现此类情况，由卖方与第三方交涉并承担可能发生的一切经济和法律责任。</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4、货款支付办法</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4.1 合同签订后乙</w:t>
      </w:r>
      <w:r>
        <w:rPr>
          <w:rFonts w:ascii="宋体" w:hAnsi="宋体" w:cs="宋体"/>
          <w:color w:val="auto"/>
          <w:sz w:val="24"/>
          <w:szCs w:val="24"/>
          <w:highlight w:val="none"/>
        </w:rPr>
        <w:t>方完成所有</w:t>
      </w:r>
      <w:r>
        <w:rPr>
          <w:rFonts w:hint="eastAsia" w:ascii="宋体" w:hAnsi="宋体" w:cs="宋体"/>
          <w:sz w:val="24"/>
          <w:szCs w:val="24"/>
          <w:highlight w:val="none"/>
        </w:rPr>
        <w:t>供货内容</w:t>
      </w:r>
      <w:r>
        <w:rPr>
          <w:rFonts w:ascii="宋体" w:hAnsi="宋体" w:cs="宋体"/>
          <w:sz w:val="24"/>
          <w:szCs w:val="24"/>
          <w:highlight w:val="none"/>
        </w:rPr>
        <w:t>，经甲方验收合格并出具验收证明后，支付合同价款的</w:t>
      </w:r>
      <w:r>
        <w:rPr>
          <w:rFonts w:ascii="宋体" w:hAnsi="宋体" w:cs="宋体"/>
          <w:sz w:val="24"/>
          <w:szCs w:val="24"/>
          <w:highlight w:val="none"/>
          <w:u w:val="single"/>
        </w:rPr>
        <w:t>9</w:t>
      </w:r>
      <w:r>
        <w:rPr>
          <w:rFonts w:hint="eastAsia" w:ascii="宋体" w:hAnsi="宋体" w:cs="宋体"/>
          <w:sz w:val="24"/>
          <w:szCs w:val="24"/>
          <w:highlight w:val="none"/>
          <w:u w:val="single"/>
          <w:lang w:val="en-US" w:eastAsia="zh-CN"/>
        </w:rPr>
        <w:t>7</w:t>
      </w:r>
      <w:r>
        <w:rPr>
          <w:rFonts w:ascii="宋体" w:hAnsi="宋体" w:cs="宋体"/>
          <w:sz w:val="24"/>
          <w:szCs w:val="24"/>
          <w:highlight w:val="none"/>
        </w:rPr>
        <w:t>%，剩余</w:t>
      </w:r>
      <w:r>
        <w:rPr>
          <w:rFonts w:hint="eastAsia" w:ascii="宋体" w:hAnsi="宋体" w:cs="宋体"/>
          <w:sz w:val="24"/>
          <w:szCs w:val="24"/>
          <w:highlight w:val="none"/>
          <w:u w:val="single"/>
          <w:lang w:val="en-US" w:eastAsia="zh-CN"/>
        </w:rPr>
        <w:t>3</w:t>
      </w:r>
      <w:r>
        <w:rPr>
          <w:rFonts w:ascii="宋体" w:hAnsi="宋体" w:cs="宋体"/>
          <w:sz w:val="24"/>
          <w:szCs w:val="24"/>
          <w:highlight w:val="none"/>
        </w:rPr>
        <w:t>%作为所供货物质量保证金，自产品验收合格之日起正常使用无质量问题</w:t>
      </w:r>
      <w:r>
        <w:rPr>
          <w:rFonts w:hint="eastAsia" w:ascii="宋体" w:hAnsi="宋体" w:cs="宋体"/>
          <w:sz w:val="24"/>
          <w:szCs w:val="24"/>
          <w:highlight w:val="none"/>
        </w:rPr>
        <w:t xml:space="preserve"> 1 </w:t>
      </w:r>
      <w:r>
        <w:rPr>
          <w:rFonts w:ascii="宋体" w:hAnsi="宋体" w:cs="宋体"/>
          <w:sz w:val="24"/>
          <w:szCs w:val="24"/>
          <w:highlight w:val="none"/>
        </w:rPr>
        <w:t>年后</w:t>
      </w:r>
      <w:r>
        <w:rPr>
          <w:rFonts w:hint="eastAsia" w:ascii="宋体" w:hAnsi="宋体" w:cs="宋体"/>
          <w:sz w:val="24"/>
          <w:szCs w:val="24"/>
          <w:highlight w:val="none"/>
          <w:lang w:val="en-US" w:eastAsia="zh-CN"/>
        </w:rPr>
        <w:t>退还</w:t>
      </w:r>
      <w:r>
        <w:rPr>
          <w:rFonts w:ascii="宋体" w:hAnsi="宋体" w:cs="宋体"/>
          <w:sz w:val="24"/>
          <w:szCs w:val="24"/>
          <w:highlight w:val="none"/>
        </w:rPr>
        <w:t>。</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5、技术资料</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5.1 卖方应向买方提供所有相关资料,包括安装程序、调试、培训等，如本条款所述资料不完整或丢失，卖方应在收到买方通知后5天内免费提供。</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6、价格</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6.1 卖方为其提供货物和服务而要求买方支付的金额应与其</w:t>
      </w:r>
      <w:r>
        <w:rPr>
          <w:rFonts w:hint="eastAsia" w:ascii="宋体" w:hAnsi="宋体" w:cs="宋体"/>
          <w:sz w:val="24"/>
          <w:szCs w:val="24"/>
          <w:highlight w:val="none"/>
          <w:lang w:eastAsia="zh-CN"/>
        </w:rPr>
        <w:t>竞标报价</w:t>
      </w:r>
      <w:r>
        <w:rPr>
          <w:rFonts w:ascii="宋体" w:hAnsi="宋体" w:cs="宋体"/>
          <w:sz w:val="24"/>
          <w:szCs w:val="24"/>
          <w:highlight w:val="none"/>
        </w:rPr>
        <w:t>一致。</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7、质量保证</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7.1卖方应保证其提供的货物及服务符合</w:t>
      </w:r>
      <w:r>
        <w:rPr>
          <w:rFonts w:hint="eastAsia" w:ascii="宋体" w:hAnsi="宋体" w:cs="宋体"/>
          <w:sz w:val="24"/>
          <w:szCs w:val="24"/>
          <w:highlight w:val="none"/>
          <w:lang w:eastAsia="zh-CN"/>
        </w:rPr>
        <w:t>磋商</w:t>
      </w:r>
      <w:r>
        <w:rPr>
          <w:rFonts w:ascii="宋体" w:hAnsi="宋体" w:cs="宋体"/>
          <w:sz w:val="24"/>
          <w:szCs w:val="24"/>
          <w:highlight w:val="none"/>
        </w:rPr>
        <w:t>文件规定的质量和性能。</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8、验收</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12.1 见投标须知。</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9．延期交货与核定损失额</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9.1</w:t>
      </w:r>
      <w:r>
        <w:rPr>
          <w:rFonts w:ascii="宋体" w:hAnsi="宋体" w:cs="宋体"/>
          <w:b/>
          <w:sz w:val="24"/>
          <w:szCs w:val="24"/>
          <w:highlight w:val="none"/>
        </w:rPr>
        <w:t xml:space="preserve"> </w:t>
      </w:r>
      <w:r>
        <w:rPr>
          <w:rFonts w:ascii="宋体" w:hAnsi="宋体" w:cs="宋体"/>
          <w:sz w:val="24"/>
          <w:szCs w:val="24"/>
          <w:highlight w:val="none"/>
          <w:u w:val="single"/>
        </w:rPr>
        <w:t>如果卖方未能按合同规定的时间按期交货（本合同</w:t>
      </w:r>
      <w:r>
        <w:rPr>
          <w:rFonts w:hint="eastAsia" w:ascii="宋体" w:hAnsi="宋体" w:cs="宋体"/>
          <w:sz w:val="24"/>
          <w:szCs w:val="24"/>
          <w:highlight w:val="none"/>
          <w:u w:val="single"/>
          <w:lang w:val="en-US" w:eastAsia="zh-CN"/>
        </w:rPr>
        <w:t>10</w:t>
      </w:r>
      <w:r>
        <w:rPr>
          <w:rFonts w:ascii="宋体" w:hAnsi="宋体" w:cs="宋体"/>
          <w:sz w:val="24"/>
          <w:szCs w:val="24"/>
          <w:highlight w:val="none"/>
          <w:u w:val="single"/>
        </w:rPr>
        <w:t>款规定的不可抗力因素除外）。核定损失比率为每迟交1天，按合同金额的1%进行罚款。</w:t>
      </w:r>
      <w:r>
        <w:rPr>
          <w:rFonts w:ascii="宋体" w:hAnsi="宋体" w:cs="宋体"/>
          <w:sz w:val="24"/>
          <w:szCs w:val="24"/>
          <w:highlight w:val="none"/>
        </w:rPr>
        <w:t>如果卖方在买方同意延长的时间内仍不能交货，买方有权因卖方违约撤销合同，而卖方除赔偿买方经济损失外，仍需要接受上述迟交核定损失额。</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10.不可抗力</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10.1 签约双方任何一方由于一方受诸如战争、严重火灾、洪水、台风、地震等不可抗力</w:t>
      </w:r>
      <w:r>
        <w:rPr>
          <w:rFonts w:ascii="宋体" w:hAnsi="宋体" w:cs="宋体"/>
          <w:spacing w:val="-4"/>
          <w:sz w:val="24"/>
          <w:szCs w:val="24"/>
          <w:highlight w:val="none"/>
        </w:rPr>
        <w:t>的影响不能履行合同时，履行合同的期限应予延长，延长期限应相应于事故所影响的时间。不可抗力事故系指买卖双方在缔结合同时所不能预见的，并且它的发生及其后果是无法克服的。</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10.2 受阻一方应在不可抗力事故发生后尽快用电报、传真或电传通知对方，并于事故发生后14天内将有关</w:t>
      </w:r>
      <w:r>
        <w:rPr>
          <w:rFonts w:hint="eastAsia" w:ascii="宋体" w:hAnsi="宋体" w:cs="宋体"/>
          <w:sz w:val="24"/>
          <w:szCs w:val="24"/>
          <w:highlight w:val="none"/>
          <w:lang w:val="en-US" w:eastAsia="zh-CN"/>
        </w:rPr>
        <w:t>部门</w:t>
      </w:r>
      <w:r>
        <w:rPr>
          <w:rFonts w:ascii="宋体" w:hAnsi="宋体" w:cs="宋体"/>
          <w:sz w:val="24"/>
          <w:szCs w:val="24"/>
          <w:highlight w:val="none"/>
        </w:rPr>
        <w:t>出具的证明文件用航空挂号寄给对方审阅确认，一旦不可抗力事故影响持续120天以上，双方通过友好协商在合理的时间达成进一步履行合同的协议。</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11、合同纠纷的解决</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11.1 在执行本合同中发生的或与本合同有关争纠纷方应通过协商解决,经协商不能达成协议时,在合同签约地进行仲裁,依照合同法解决。</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12、违约终止合同</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12.1 如卖方违约,买方可向卖方发出书面违约通知,终止全部或部分合同。</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①如果卖方未能在合同规定的期限内或买方准许延期的期限内交付部分或全部货物。</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②卖方未能履行合同项下的规定义务，在上述任何一种情况下，卖方收到买方发出违约通知后5天内仍未纠正其过失。</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13、合同修改</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13.1 如对合同条款作出任何改动，均需由买、卖双方签署书面合同修改书。</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14、转让与分包</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14.1 除买方事先书面同意外，卖方不得部分转让或全部转让其应发行的合同项下的义务。</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15、适用法律</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15.1 本合同应按《中华人民共和国</w:t>
      </w:r>
      <w:r>
        <w:rPr>
          <w:rFonts w:hint="eastAsia" w:ascii="宋体" w:hAnsi="宋体" w:cs="宋体"/>
          <w:sz w:val="24"/>
          <w:szCs w:val="24"/>
          <w:highlight w:val="none"/>
          <w:lang w:val="en-US" w:eastAsia="zh-CN"/>
        </w:rPr>
        <w:t>民法典</w:t>
      </w:r>
      <w:r>
        <w:rPr>
          <w:rFonts w:ascii="宋体" w:hAnsi="宋体" w:cs="宋体"/>
          <w:sz w:val="24"/>
          <w:szCs w:val="24"/>
          <w:highlight w:val="none"/>
        </w:rPr>
        <w:t>》解释。</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16.通知</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16.1 本合同任何一方给另一方的通知都应以信函或电传、电报、传真的形式发送，而另一方应以相应形式确认并发送到对方明确地址。</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17.合同文件及资料的使用。</w:t>
      </w:r>
    </w:p>
    <w:p>
      <w:pPr>
        <w:spacing w:line="400" w:lineRule="exact"/>
        <w:ind w:firstLine="480" w:firstLineChars="200"/>
        <w:rPr>
          <w:rFonts w:ascii="宋体" w:hAnsi="宋体" w:cs="宋体"/>
          <w:sz w:val="24"/>
          <w:szCs w:val="24"/>
          <w:highlight w:val="none"/>
        </w:rPr>
      </w:pPr>
      <w:r>
        <w:rPr>
          <w:rFonts w:ascii="宋体" w:hAnsi="宋体" w:cs="宋体"/>
          <w:sz w:val="24"/>
          <w:szCs w:val="24"/>
          <w:highlight w:val="none"/>
        </w:rPr>
        <w:t>17.1 除了卖方执行合同所雇人员外，在未经买方同意的情况下，卖方不得将合同、合同中规定的内容向卖方提供的资料透露给任何人。</w:t>
      </w:r>
    </w:p>
    <w:p>
      <w:pPr>
        <w:spacing w:line="400" w:lineRule="exact"/>
        <w:ind w:firstLine="482" w:firstLineChars="200"/>
        <w:rPr>
          <w:rFonts w:ascii="宋体" w:hAnsi="宋体" w:cs="宋体"/>
          <w:b/>
          <w:sz w:val="24"/>
          <w:szCs w:val="24"/>
          <w:highlight w:val="none"/>
        </w:rPr>
      </w:pPr>
      <w:r>
        <w:rPr>
          <w:rFonts w:ascii="宋体" w:hAnsi="宋体" w:cs="宋体"/>
          <w:b/>
          <w:sz w:val="24"/>
          <w:szCs w:val="24"/>
          <w:highlight w:val="none"/>
        </w:rPr>
        <w:t>18.合同生效及其他</w:t>
      </w:r>
    </w:p>
    <w:p>
      <w:pPr>
        <w:spacing w:line="400" w:lineRule="exact"/>
        <w:ind w:firstLine="480" w:firstLineChars="200"/>
        <w:rPr>
          <w:rFonts w:hint="eastAsia" w:ascii="黑体" w:hAnsi="黑体" w:eastAsia="黑体"/>
          <w:b/>
          <w:bCs/>
          <w:sz w:val="36"/>
          <w:highlight w:val="none"/>
        </w:rPr>
      </w:pPr>
      <w:r>
        <w:rPr>
          <w:rFonts w:ascii="宋体" w:hAnsi="宋体" w:cs="宋体"/>
          <w:sz w:val="24"/>
          <w:szCs w:val="24"/>
          <w:highlight w:val="none"/>
        </w:rPr>
        <w:t>18.1 本合同经双方签字盖章后即生效。</w:t>
      </w:r>
    </w:p>
    <w:p>
      <w:pPr>
        <w:pStyle w:val="3"/>
        <w:tabs>
          <w:tab w:val="left" w:pos="0"/>
        </w:tabs>
        <w:ind w:firstLine="723" w:firstLineChars="200"/>
        <w:jc w:val="center"/>
        <w:rPr>
          <w:rFonts w:hint="eastAsia"/>
          <w:b/>
          <w:bCs/>
          <w:sz w:val="36"/>
          <w:szCs w:val="36"/>
          <w:highlight w:val="none"/>
        </w:rPr>
      </w:pPr>
      <w:r>
        <w:rPr>
          <w:rFonts w:hint="eastAsia"/>
          <w:b/>
          <w:bCs/>
          <w:sz w:val="36"/>
          <w:szCs w:val="36"/>
          <w:highlight w:val="none"/>
        </w:rPr>
        <w:br w:type="page"/>
      </w:r>
      <w:r>
        <w:rPr>
          <w:rFonts w:hint="eastAsia"/>
          <w:b/>
          <w:bCs/>
          <w:sz w:val="36"/>
          <w:szCs w:val="36"/>
          <w:highlight w:val="none"/>
        </w:rPr>
        <w:t>合同条款及格式</w:t>
      </w:r>
    </w:p>
    <w:p>
      <w:pPr>
        <w:outlineLvl w:val="9"/>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合同编号：</w:t>
      </w:r>
      <w:r>
        <w:rPr>
          <w:rFonts w:hint="eastAsia" w:ascii="宋体" w:hAnsi="宋体" w:eastAsia="宋体" w:cs="宋体"/>
          <w:color w:val="000000"/>
          <w:sz w:val="24"/>
          <w:szCs w:val="24"/>
          <w:highlight w:val="none"/>
          <w:u w:val="single"/>
        </w:rPr>
        <w:t xml:space="preserve">           </w:t>
      </w:r>
    </w:p>
    <w:p>
      <w:pPr>
        <w:spacing w:line="480" w:lineRule="auto"/>
        <w:jc w:val="center"/>
        <w:outlineLvl w:val="9"/>
        <w:rPr>
          <w:rFonts w:hint="eastAsia" w:ascii="宋体" w:hAnsi="宋体" w:eastAsia="宋体" w:cs="宋体"/>
          <w:b/>
          <w:color w:val="000000"/>
          <w:sz w:val="24"/>
          <w:szCs w:val="24"/>
          <w:highlight w:val="none"/>
        </w:rPr>
      </w:pPr>
    </w:p>
    <w:p>
      <w:pPr>
        <w:jc w:val="center"/>
        <w:rPr>
          <w:rFonts w:hint="eastAsia" w:ascii="宋体" w:hAnsi="宋体" w:eastAsia="宋体" w:cs="宋体"/>
          <w:b/>
          <w:bCs/>
          <w:sz w:val="24"/>
          <w:szCs w:val="24"/>
          <w:highlight w:val="none"/>
        </w:rPr>
      </w:pPr>
      <w:bookmarkStart w:id="71" w:name="_Toc331685784"/>
      <w:r>
        <w:rPr>
          <w:rFonts w:hint="eastAsia" w:ascii="宋体" w:hAnsi="宋体" w:eastAsia="宋体" w:cs="宋体"/>
          <w:b/>
          <w:bCs/>
          <w:sz w:val="24"/>
          <w:szCs w:val="24"/>
          <w:highlight w:val="none"/>
        </w:rPr>
        <w:t>（仅供参考）</w:t>
      </w:r>
    </w:p>
    <w:p>
      <w:pPr>
        <w:adjustRightInd w:val="0"/>
        <w:snapToGrid w:val="0"/>
        <w:spacing w:line="600" w:lineRule="exact"/>
        <w:ind w:firstLine="360" w:firstLineChars="150"/>
        <w:rPr>
          <w:rFonts w:hint="eastAsia" w:ascii="宋体" w:hAnsi="宋体" w:eastAsia="宋体" w:cs="宋体"/>
          <w:sz w:val="24"/>
          <w:szCs w:val="24"/>
          <w:highlight w:val="none"/>
        </w:rPr>
      </w:pP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（根据《政府采购法》和《合同法》。采购人和供应商之间的权利和义务，应当按照平等的原则以合同方式约定。此合同书仅作为签订正式合同时的参考，正式合同书应包括本参考格式之内容。）</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 合同文件</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本合同所附下列文件是构成本合同不可分割的部分：</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(1)采购文件</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(2)合同条款</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(3)中标人提交的响应文件</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(4)技术规格（包括图纸，如果有的话）</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(5)中标/成交通知书</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2．合同范围和条件</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本合同的范围和条件与上述文件的规定相一致。</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3．货物及数量</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本合同所提供的货物数量/服务详见磋商文件“第三章采购项目技术规格、参数及要求”。</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4．合同金额</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合同总金额为元人民币，分项价格见响应文件按报价明细表。</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5．合同生效及支付条件和方式</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6．交货时间和交货地点</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本合同货物的交货时间和交货地点按磋商文件“第</w:t>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章 采购需求”执行。</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采购人（盖章）：</w:t>
      </w:r>
      <w:r>
        <w:rPr>
          <w:rFonts w:hint="eastAsia" w:ascii="宋体" w:hAnsi="宋体" w:eastAsia="宋体" w:cs="宋体"/>
          <w:sz w:val="24"/>
          <w:szCs w:val="24"/>
          <w:highlight w:val="none"/>
        </w:rPr>
        <w:tab/>
      </w:r>
      <w:r>
        <w:rPr>
          <w:rFonts w:hint="eastAsia" w:ascii="宋体" w:hAnsi="宋体" w:eastAsia="宋体" w:cs="宋体"/>
          <w:sz w:val="24"/>
          <w:szCs w:val="24"/>
          <w:highlight w:val="none"/>
        </w:rPr>
        <w:t>供　　方（盖章）：</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单位地址：</w:t>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单位地址：</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法人代表授权人(签字)：</w:t>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法人代表授权人(签字)：</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联 系 人：</w:t>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联 系 人：</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电　　话：</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传　　真：</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邮政编码：</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开户银行：</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帐　　号：</w:t>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帐　　号：</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合同条款</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1．有关概念</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本合同下列术语应解释为：</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1.1“合同”，系指买供双方签署的、合同格式中载明的买供双方所达成的协议，包括所有的附件、附录和上述文件所提到的构成合同的所有文件。</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1.2“合同价”，系指根据合同规定供方在正确地履行合同义务后采购人应支付给供方的价格。</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1.3“货物”，系指供方根据合同规定须向采购人提供的各种形态和种类的物品，包括产品、设备、配件等。</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1.4“服务”，系指伴随本项目产生的，根据合同规定由供方承担的与供货有关的辅助服务，例如安装、调试、技术援助、培训、售后服务等以及合同中规定供方应承担的所有其它类似义务。</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1.5“采购人”，系指磋商文件中所述购买货物和服务的单位。</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1.6“供方”，系指磋商文件中所述提供货物和服务的公司或实体，亦即中标人。</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1.7“天”，系日历天数。</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2．技术规格</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2.1交付货物的技术规格应与响应文件规定的技术规格以及所附的技术规格响应表相一致。</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2.2除技术规格另有规定外，计量单位均使用中华人民共和国法定计量单位。</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3．专利权</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3.1供方应保证采购人在使用该货物或其任何一部分时免受第三方提出侵犯其专利权、商标权或工业设计权的起诉。若由此出现侵权诉讼，由供方承担全部责任。</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3.2供方按合同要求为采购人提交的设计方案，其所有权、使用权等所有权力均转为采购人所拥有，供方放弃拥有关于设计方案的所有权力。</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4.包装要求</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4.1除合同另有规定外，供方提供的所有单独包装的货物都应具有原始的、完好的标准包装。如遇交付前已拆封货物，采购人有权拒绝接受或要求更换。</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4.2每个包装箱内的装箱清单、使用说明书、质量证书、保修卡及软件使用说明等所有资料均须齐全。</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5. 装运条件</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5.1供方负责安排运输，运输费由供方承担。</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5.2提单日期应视为实际交货日期。</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5.3供方装运的货物不得超过合同规定的数量或重量。否则，供方应对超运数量或重量而产生的一切后果负责。</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6. 付款</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6.1本合同以人民币支付。</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6.2供方按照合同规定交货。交货后供方把下列单据提交给采购人,采购人按合同规定审核后办理付款手续：</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（1）发票</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（2）质量证书</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（3）详细配置、数量清单</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（4）检验报告</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6.3采购人按合同规定的合同生效及支付条件和方式安排付款。</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7．伴随服务</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7.1供方随同货物提交所供货物的技术资料。包括相应每套货物的中文技术文件，如：产品目录、操作手册、使用说明、维护手册或服务指南等。</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7.2供方应提供下列服务：</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（1）货物的现场安装和启动监督；</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（2）提供货物组装和维修所必须的工具；</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（3）在项目现场就货物的安装、启动、运行和维护，按采购人的要求提供技术培训。</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7.3伴随服务的费用含在合同价中，不另行支付。</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8.备品备件</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8.1供方可能被要求提供下列与备件有关的材料、通知和资料：</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（1）采购方从供方选购备件，但前提条件是该选购并不能免除供方在合同保证期内所承担的义务；</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（2）在备件停止生产的情况下，供方应事先将要停止生产的计划通知买方有足够的时间采购所需的备件；</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（3）在备件停止生产后，如果采购方要求，供方应免费向采购方提供备件的蓝图、图纸和规格。</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9、质量保证及售后服务</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（一）质量保证</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9.1供方保证所提供的货物是全新的、未使用过的，是完全符合合同规定的质量、规格和性能要求的。保证货物在正常使用和保养条件下，在其使用寿命内具有满意的性能。在质保期内供方免费提供货物正常使用情况下发生故障的维修服务和更换配件服务。在供方或制造商承诺的货物质量保证期内，供方对由于设计工艺或材料的缺陷而产生的故障负责；货物无质保期的，供方在两年内对由于设计工艺或材料的缺陷而产生的故障负责。</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9.2在质保期内或货物无质保期的则在两年内，如果货物的数量、质量或规格与合同不符，或证实货物有缺陷的，采购人可尽快以书面形式向供方提出本保证下的索赔。</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9.3供方在收到索赔通知后十日内须免费更换有缺陷的货物或部件。</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9.4供方在收到索赔通知后十日内没有弥补缺陷，采购人可采取必要的补救措施，其风险和费用将由供方承担，采购人根据合同规定向供方行使的其它权利不受影响。</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(二)质量保证期后服务</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9.5 质保期满后，若有零部件出现故障，经权威部门鉴定属于寿命异常问题（明显短于该零部件正常寿命时），则由供方负责免费更换及维修。</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9.6 质保期满后，应采购方要求，供方应按投标时的价格与采购方签订定期维修保养合同及提供采购方所需零配件，若投标时的价格高于市场价，则按市场价与与采购方签订定期维修保养合同及提供采购方所需零配件。</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9.7 乙方交货后，若设备发生故障，乙方应在甲方报修后24小时内到达。</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10．检验</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10.1在交货前，供方应对货物的质量、规格、性能、数量等进行详细全面的检验，并出具一份证明货物符合合同规定要求的检验报告。检验报告是付款必要的文件组成部分，但不作为对有关质量、规格、数量的最终检验。</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10.2货物交付后，采购人申请有关部门对货物的质量、数量等进行检验并出具检验证书。</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11．索赔</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11.1采购人有权根据有关部门出具的检验证书向供方提出索赔。</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11.2在合同条款第8条规定的质保期内，如果供方对差异负有责任而采购人提出索赔，供方应按照采购人的损失程度进行赔偿。</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12．供方履约延误</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12.1供方应按规定的时间交货和提供服务。</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12.2如供方无正当理由而拖延交货，采购人将从货款中扣除误期赔偿费而不影响合同项下的其他补救方法，赔偿费按每周迟交货物交货价或未提供服务费用的百分之一（1%）计收，直至交货或提供服务为止。误期赔偿费的最高限额不超过误期货物或服务合同价的百分之五（5%）。一周按七（7）天计算，不足七（7）天按一周计算。一旦达到误期赔偿费的最高限额，采购人有权终止合同。</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12.3在履行合同过程中，如果供方遇到可能妨碍按时交货和提供服务的情况时，应及时以书面形式将拖延的事实、可能拖延的期限和理由通知采购人。采购人在收到通知后，要尽快对情况进行评价，并确定是否通过修改合同酌情延长交货时间以及是否收取误期赔偿费。延期应通过修改合同的方式由双方认可。</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13．不可抗力</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13.1如果双方任何一方由于经双方认可属于不可抗力的事故，致使影响合同履行时，履行合同的期限予以延长，延长的期限应相当于事故所影响的时间。不可抗力事件是指买供双方在缔结合同时所不能预见、并且它的发生及其后果是无法避免及无法克服的事件，比如战争、严重火灾、洪水、台风、地震等。</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13.2受事故影响的一方应在不可抗力发生后尽快以传真、电报通知另一方，并在事故发生后14天内，将有关部门出具的证明文件用特快专递或挂号信寄给另一方。如果不可抗力影响时间延续90天以上时，双方可通过友好协商在合理的时间内达成进一步履行或解除合同的协议。</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14．税费</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14.1政府根据现行税法对供方征收的与本合同有关的一切税费均由供方负担。</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15．违约终止合同</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15.1出现下列情况之一，采购人在对供方违约而采取的任何补救措施不受影响的情况下，可向供方发出终止部分或全部合同的书面通知书。</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（1）如果供方未能按合同规定的期限或采购人同意延长的限期内提供部分或全部货物（服务）、完成工程施工；</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（2）供方在收到采购人发出的违约通知后20天内，或经采购人书面认可延长的时间内未能纠正其过失；</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（3）如果供方未能履行合同规定的其它任何义务。</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15.2在采购人根据上述第15.1条规定，终止了全部或部分合同后，采购人可以依其认为适当的条件和方法购买类似未交的货物、服务或进行工程施工，供方应对采购人购买类似货物、服务或进行工程施工所超出的费用部分负责，并继续执行合同中未终止部分。</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16．破产终止合同</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16.1如果供方破产或无清偿能力时，采购人可在任何时候以书面形式通知供方终止合同而无须给供方补偿。终止该合同将不损害或影响采购人已经采取或将要采取的补救措施的权利。</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17．转让</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17.1除采购人事先书面同意外，供方不得部分转让或全部转让其应履行的合同义务。</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18．适用法律</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18.1本合同应按中华人民共和国的法律进行解释。</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19．合同生效</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19.1合同在双方授权代表签字并盖章后生效。</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19.2本合同一式四份，以中文书写，采购人、供方、各执</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份。</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20.  争议解决方式</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20.1 合同实施或与合同有关的一切争议应通过双方协商解决。若协商不成，则向采购人所在地法院提起诉讼。</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21．合同修改</w:t>
      </w:r>
    </w:p>
    <w:p>
      <w:pPr>
        <w:adjustRightInd w:val="0"/>
        <w:snapToGrid w:val="0"/>
        <w:spacing w:line="60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21.1除双方签署书面修改协议，并成为本合同不可分割的一部分的情况之外，本合同不得有任何变化或修改。</w:t>
      </w:r>
    </w:p>
    <w:p>
      <w:pPr>
        <w:pStyle w:val="33"/>
        <w:spacing w:line="600" w:lineRule="exact"/>
        <w:rPr>
          <w:rFonts w:hint="eastAsia" w:ascii="宋体" w:hAnsi="宋体" w:eastAsia="宋体" w:cs="宋体"/>
          <w:color w:val="auto"/>
          <w:sz w:val="24"/>
          <w:szCs w:val="24"/>
          <w:highlight w:val="none"/>
        </w:rPr>
      </w:pPr>
    </w:p>
    <w:p>
      <w:pPr>
        <w:rPr>
          <w:rFonts w:hint="eastAsia" w:ascii="宋体" w:hAnsi="宋体" w:eastAsia="宋体" w:cs="宋体"/>
          <w:b/>
          <w:color w:val="00000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b/>
          <w:color w:val="000000"/>
          <w:sz w:val="24"/>
          <w:szCs w:val="24"/>
          <w:highlight w:val="none"/>
        </w:rPr>
        <w:t>备注：最终付款方式以成交人和买方单位签订的合同为主。</w:t>
      </w:r>
      <w:bookmarkEnd w:id="71"/>
    </w:p>
    <w:p>
      <w:pPr>
        <w:numPr>
          <w:ilvl w:val="0"/>
          <w:numId w:val="2"/>
        </w:numPr>
        <w:ind w:firstLine="562" w:firstLineChars="200"/>
        <w:jc w:val="center"/>
        <w:outlineLvl w:val="0"/>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r>
        <w:rPr>
          <w:rFonts w:hint="eastAsia" w:ascii="宋体" w:hAnsi="宋体" w:eastAsia="宋体" w:cs="宋体"/>
          <w:b/>
          <w:sz w:val="36"/>
          <w:szCs w:val="36"/>
          <w:highlight w:val="none"/>
        </w:rPr>
        <w:t>项目招标要求及说</w:t>
      </w:r>
      <w:bookmarkEnd w:id="70"/>
      <w:bookmarkStart w:id="72" w:name="_Toc18512"/>
      <w:r>
        <w:rPr>
          <w:rFonts w:hint="eastAsia" w:ascii="宋体" w:hAnsi="宋体" w:eastAsia="宋体" w:cs="宋体"/>
          <w:b/>
          <w:sz w:val="36"/>
          <w:szCs w:val="36"/>
          <w:highlight w:val="none"/>
          <w:lang w:val="en-US" w:eastAsia="zh-CN"/>
        </w:rPr>
        <w:t>明</w:t>
      </w:r>
    </w:p>
    <w:p>
      <w:pPr>
        <w:numPr>
          <w:ilvl w:val="0"/>
          <w:numId w:val="0"/>
        </w:numPr>
        <w:adjustRightInd w:val="0"/>
        <w:snapToGrid w:val="0"/>
        <w:spacing w:line="240" w:lineRule="auto"/>
        <w:ind w:leftChars="0"/>
        <w:jc w:val="center"/>
        <w:rPr>
          <w:rFonts w:hint="eastAsia" w:ascii="宋体" w:hAnsi="宋体" w:eastAsia="宋体" w:cs="宋体"/>
          <w:b/>
          <w:bCs/>
          <w:sz w:val="44"/>
          <w:szCs w:val="44"/>
          <w:highlight w:val="none"/>
          <w:lang w:val="en-US" w:eastAsia="zh-CN"/>
        </w:rPr>
      </w:pPr>
    </w:p>
    <w:p>
      <w:pPr>
        <w:numPr>
          <w:ilvl w:val="0"/>
          <w:numId w:val="0"/>
        </w:numPr>
        <w:adjustRightInd w:val="0"/>
        <w:snapToGrid w:val="0"/>
        <w:spacing w:line="240" w:lineRule="auto"/>
        <w:ind w:leftChars="0"/>
        <w:jc w:val="center"/>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采购需求</w:t>
      </w:r>
    </w:p>
    <w:p>
      <w:pPr>
        <w:pStyle w:val="35"/>
        <w:spacing w:line="240" w:lineRule="auto"/>
        <w:ind w:left="0" w:leftChars="0" w:firstLine="536" w:firstLineChars="200"/>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本次采购项目为民丰县尼雅乡光明村乡村振兴示范村建设项目（公共设施采购）-（包二），主要采购内容包括：垃圾桶、垃圾船、装载机、自卸车、洒水车；</w:t>
      </w:r>
    </w:p>
    <w:p>
      <w:pPr>
        <w:pStyle w:val="35"/>
        <w:spacing w:line="240" w:lineRule="auto"/>
        <w:ind w:left="0" w:leftChars="0" w:firstLine="536" w:firstLineChars="200"/>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供货期：50日历天；</w:t>
      </w:r>
    </w:p>
    <w:p>
      <w:pPr>
        <w:pStyle w:val="35"/>
        <w:spacing w:line="240" w:lineRule="auto"/>
        <w:ind w:left="0" w:leftChars="0" w:firstLine="536" w:firstLineChars="200"/>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质保期：二年；</w:t>
      </w:r>
    </w:p>
    <w:p>
      <w:pPr>
        <w:pStyle w:val="35"/>
        <w:spacing w:line="240" w:lineRule="auto"/>
        <w:ind w:left="0" w:leftChars="0" w:firstLine="536" w:firstLineChars="200"/>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质量要求：符合国家质量标准；</w:t>
      </w:r>
    </w:p>
    <w:p>
      <w:pPr>
        <w:pStyle w:val="35"/>
        <w:spacing w:line="240" w:lineRule="auto"/>
        <w:ind w:left="0" w:leftChars="0" w:firstLine="536" w:firstLineChars="200"/>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交货地点：民丰县尼雅乡；</w:t>
      </w:r>
    </w:p>
    <w:p>
      <w:pPr>
        <w:pStyle w:val="35"/>
        <w:spacing w:line="240" w:lineRule="auto"/>
        <w:ind w:left="0" w:leftChars="0" w:firstLine="536" w:firstLineChars="200"/>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招标范围：</w:t>
      </w:r>
      <w:r>
        <w:rPr>
          <w:rStyle w:val="25"/>
          <w:rFonts w:hint="eastAsia" w:ascii="宋体" w:hAnsi="宋体" w:eastAsia="宋体" w:cs="宋体"/>
          <w:b w:val="0"/>
          <w:bCs w:val="0"/>
          <w:kern w:val="2"/>
          <w:sz w:val="24"/>
          <w:szCs w:val="24"/>
          <w:highlight w:val="none"/>
          <w:lang w:val="en-US" w:eastAsia="zh-CN" w:bidi="ar-SA"/>
        </w:rPr>
        <w:t>招标文件包含的全部内容</w:t>
      </w:r>
      <w:r>
        <w:rPr>
          <w:rFonts w:hint="eastAsia" w:ascii="宋体" w:hAnsi="宋体" w:eastAsia="宋体" w:cs="宋体"/>
          <w:spacing w:val="14"/>
          <w:sz w:val="24"/>
          <w:szCs w:val="24"/>
          <w:highlight w:val="none"/>
          <w:lang w:val="en-US" w:eastAsia="zh-CN"/>
        </w:rPr>
        <w:t>。</w:t>
      </w:r>
    </w:p>
    <w:tbl>
      <w:tblPr>
        <w:tblStyle w:val="22"/>
        <w:tblW w:w="10667" w:type="dxa"/>
        <w:tblInd w:w="-937" w:type="dxa"/>
        <w:tblLayout w:type="autofit"/>
        <w:tblCellMar>
          <w:top w:w="0" w:type="dxa"/>
          <w:left w:w="0" w:type="dxa"/>
          <w:bottom w:w="0" w:type="dxa"/>
          <w:right w:w="0" w:type="dxa"/>
        </w:tblCellMar>
      </w:tblPr>
      <w:tblGrid>
        <w:gridCol w:w="473"/>
        <w:gridCol w:w="931"/>
        <w:gridCol w:w="664"/>
        <w:gridCol w:w="657"/>
        <w:gridCol w:w="4642"/>
        <w:gridCol w:w="3300"/>
      </w:tblGrid>
      <w:tr>
        <w:tblPrEx>
          <w:tblCellMar>
            <w:top w:w="0" w:type="dxa"/>
            <w:left w:w="0" w:type="dxa"/>
            <w:bottom w:w="0" w:type="dxa"/>
            <w:right w:w="0" w:type="dxa"/>
          </w:tblCellMar>
        </w:tblPrEx>
        <w:trPr>
          <w:trHeight w:val="540" w:hRule="atLeast"/>
        </w:trPr>
        <w:tc>
          <w:tcPr>
            <w:tcW w:w="473"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序号</w:t>
            </w:r>
          </w:p>
        </w:tc>
        <w:tc>
          <w:tcPr>
            <w:tcW w:w="9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产品名称</w:t>
            </w:r>
          </w:p>
        </w:tc>
        <w:tc>
          <w:tcPr>
            <w:tcW w:w="66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数量</w:t>
            </w:r>
          </w:p>
        </w:tc>
        <w:tc>
          <w:tcPr>
            <w:tcW w:w="657"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单位</w:t>
            </w:r>
          </w:p>
        </w:tc>
        <w:tc>
          <w:tcPr>
            <w:tcW w:w="7942"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参数要求</w:t>
            </w:r>
          </w:p>
        </w:tc>
      </w:tr>
      <w:tr>
        <w:tblPrEx>
          <w:tblCellMar>
            <w:top w:w="0" w:type="dxa"/>
            <w:left w:w="0" w:type="dxa"/>
            <w:bottom w:w="0" w:type="dxa"/>
            <w:right w:w="0" w:type="dxa"/>
          </w:tblCellMar>
        </w:tblPrEx>
        <w:trPr>
          <w:trHeight w:val="540" w:hRule="atLeast"/>
        </w:trPr>
        <w:tc>
          <w:tcPr>
            <w:tcW w:w="473"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1</w:t>
            </w:r>
          </w:p>
        </w:tc>
        <w:tc>
          <w:tcPr>
            <w:tcW w:w="9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垃圾桶</w:t>
            </w:r>
          </w:p>
        </w:tc>
        <w:tc>
          <w:tcPr>
            <w:tcW w:w="66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default" w:ascii="宋体" w:hAnsi="宋体" w:eastAsia="宋体" w:cs="宋体"/>
                <w:spacing w:val="14"/>
                <w:kern w:val="2"/>
                <w:sz w:val="24"/>
                <w:szCs w:val="24"/>
                <w:highlight w:val="none"/>
                <w:lang w:val="en-US" w:eastAsia="zh-CN" w:bidi="ar-SA"/>
              </w:rPr>
              <w:t>400</w:t>
            </w:r>
          </w:p>
        </w:tc>
        <w:tc>
          <w:tcPr>
            <w:tcW w:w="657"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default" w:ascii="宋体" w:hAnsi="宋体" w:eastAsia="宋体" w:cs="宋体"/>
                <w:spacing w:val="14"/>
                <w:kern w:val="2"/>
                <w:sz w:val="24"/>
                <w:szCs w:val="24"/>
                <w:highlight w:val="none"/>
                <w:lang w:val="en-US" w:eastAsia="zh-CN" w:bidi="ar-SA"/>
              </w:rPr>
              <w:t>个</w:t>
            </w:r>
          </w:p>
        </w:tc>
        <w:tc>
          <w:tcPr>
            <w:tcW w:w="4642"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rPr>
                <w:rFonts w:hint="eastAsia"/>
                <w:lang w:val="en-US" w:eastAsia="zh-CN"/>
              </w:rPr>
            </w:pPr>
            <w:r>
              <w:rPr>
                <w:rFonts w:hint="eastAsia"/>
                <w:lang w:val="en-US" w:eastAsia="zh-CN"/>
              </w:rPr>
              <w:t>型号：240LPE。外形尺寸 （长×宽×高）：720×580× 1020 mm。厚度：桶体壁厚≥4.5mm，底部壁厚≥5mm，生产工艺：1.桶体及桶盖要求采用 100％高密度聚乙烯，插销为共聚PP料/PE/ABS材质一次性注模成型长销子，高强度、坚固耐用、安装简单并具备倒钩防盗特性,并直接与桶盖相连接，增加稳定性。 高温60℃、低温-25℃的气温下，不变形，不开裂。销子两个，销子为PP料一次性注模成型，坚固耐用、安装简单，具备倒钩防盗特性并 直接与桶盖耳朵相连接，增加稳定性。颜色：桶身及桶盖颜色符合国家垃圾分类标志标。  确保塑料桶颜色保持鲜艳耐久不褪色长达2年。耐腐蚀，并有足够的机械强度和良好的冲 击韧性。能与采购单位现有的环卫车辆翻转机构匹配。其它技术要求和物理性能均符合《中华人民共和国城镇建设行业标准》（文件号：CJ／T280-2008）。（匹配乡上原有车辆）</w:t>
            </w:r>
          </w:p>
        </w:tc>
        <w:tc>
          <w:tcPr>
            <w:tcW w:w="3300"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rPr>
                <w:rFonts w:hint="eastAsia"/>
                <w:lang w:val="en-US" w:eastAsia="zh-CN"/>
              </w:rPr>
            </w:pPr>
            <w:r>
              <w:drawing>
                <wp:anchor distT="0" distB="0" distL="114300" distR="114300" simplePos="0" relativeHeight="251660288" behindDoc="1" locked="0" layoutInCell="1" allowOverlap="1">
                  <wp:simplePos x="0" y="0"/>
                  <wp:positionH relativeFrom="column">
                    <wp:posOffset>41275</wp:posOffset>
                  </wp:positionH>
                  <wp:positionV relativeFrom="paragraph">
                    <wp:posOffset>111125</wp:posOffset>
                  </wp:positionV>
                  <wp:extent cx="2032000" cy="3250565"/>
                  <wp:effectExtent l="0" t="0" r="6350" b="0"/>
                  <wp:wrapThrough wrapText="bothSides">
                    <wp:wrapPolygon>
                      <wp:start x="0" y="0"/>
                      <wp:lineTo x="0" y="21520"/>
                      <wp:lineTo x="21465" y="21520"/>
                      <wp:lineTo x="21465" y="0"/>
                      <wp:lineTo x="0" y="0"/>
                    </wp:wrapPolygon>
                  </wp:wrapThrough>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2032000" cy="325056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540" w:hRule="atLeast"/>
        </w:trPr>
        <w:tc>
          <w:tcPr>
            <w:tcW w:w="473"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2</w:t>
            </w:r>
          </w:p>
        </w:tc>
        <w:tc>
          <w:tcPr>
            <w:tcW w:w="9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垃圾船</w:t>
            </w:r>
          </w:p>
        </w:tc>
        <w:tc>
          <w:tcPr>
            <w:tcW w:w="66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default" w:ascii="宋体" w:hAnsi="宋体" w:eastAsia="宋体" w:cs="宋体"/>
                <w:spacing w:val="14"/>
                <w:kern w:val="2"/>
                <w:sz w:val="24"/>
                <w:szCs w:val="24"/>
                <w:highlight w:val="none"/>
                <w:lang w:val="en-US" w:eastAsia="zh-CN" w:bidi="ar-SA"/>
              </w:rPr>
              <w:t>15</w:t>
            </w:r>
          </w:p>
        </w:tc>
        <w:tc>
          <w:tcPr>
            <w:tcW w:w="657"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个</w:t>
            </w:r>
          </w:p>
        </w:tc>
        <w:tc>
          <w:tcPr>
            <w:tcW w:w="4642"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rPr>
                <w:rFonts w:hint="eastAsia"/>
                <w:lang w:val="en-US" w:eastAsia="zh-CN"/>
              </w:rPr>
            </w:pPr>
            <w:r>
              <w:rPr>
                <w:rFonts w:hint="eastAsia"/>
                <w:lang w:val="en-US" w:eastAsia="zh-CN"/>
              </w:rPr>
              <w:t>摆臂垃圾船：规格：3000*1500*1100/1200mm；厚度：边厚2mm，底边厚3mm（匹配乡上原有车辆）</w:t>
            </w:r>
          </w:p>
        </w:tc>
        <w:tc>
          <w:tcPr>
            <w:tcW w:w="3300"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rPr>
                <w:rFonts w:hint="eastAsia"/>
                <w:lang w:val="en-US" w:eastAsia="zh-CN"/>
              </w:rPr>
            </w:pPr>
            <w:r>
              <w:drawing>
                <wp:anchor distT="0" distB="0" distL="114300" distR="114300" simplePos="0" relativeHeight="251661312" behindDoc="1" locked="0" layoutInCell="1" allowOverlap="1">
                  <wp:simplePos x="0" y="0"/>
                  <wp:positionH relativeFrom="column">
                    <wp:posOffset>67945</wp:posOffset>
                  </wp:positionH>
                  <wp:positionV relativeFrom="paragraph">
                    <wp:posOffset>158115</wp:posOffset>
                  </wp:positionV>
                  <wp:extent cx="2017395" cy="2113915"/>
                  <wp:effectExtent l="0" t="0" r="0" b="635"/>
                  <wp:wrapThrough wrapText="bothSides">
                    <wp:wrapPolygon>
                      <wp:start x="0" y="0"/>
                      <wp:lineTo x="0" y="21509"/>
                      <wp:lineTo x="21518" y="21509"/>
                      <wp:lineTo x="21518" y="0"/>
                      <wp:lineTo x="0" y="0"/>
                    </wp:wrapPolygon>
                  </wp:wrapThrough>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2"/>
                          <a:stretch>
                            <a:fillRect/>
                          </a:stretch>
                        </pic:blipFill>
                        <pic:spPr>
                          <a:xfrm>
                            <a:off x="0" y="0"/>
                            <a:ext cx="2017395" cy="211391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540" w:hRule="atLeast"/>
        </w:trPr>
        <w:tc>
          <w:tcPr>
            <w:tcW w:w="473"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3</w:t>
            </w:r>
          </w:p>
        </w:tc>
        <w:tc>
          <w:tcPr>
            <w:tcW w:w="9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装载机</w:t>
            </w:r>
          </w:p>
        </w:tc>
        <w:tc>
          <w:tcPr>
            <w:tcW w:w="66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1</w:t>
            </w:r>
          </w:p>
        </w:tc>
        <w:tc>
          <w:tcPr>
            <w:tcW w:w="657"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辆</w:t>
            </w:r>
          </w:p>
        </w:tc>
        <w:tc>
          <w:tcPr>
            <w:tcW w:w="4642"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rPr>
                <w:rFonts w:hint="eastAsia"/>
                <w:lang w:val="en-US" w:eastAsia="zh-CN"/>
              </w:rPr>
            </w:pPr>
            <w:r>
              <w:rPr>
                <w:rFonts w:hint="eastAsia"/>
                <w:lang w:val="en-US" w:eastAsia="zh-CN"/>
              </w:rPr>
              <w:t>包含购置税、落户及1年车船税及保险费用（交强、商业、三者100万保额）。额定载荷：5000 kg。斗容量：3.0(3.0-3.5)m3。整机工作质量：16900 kg。卸载高度(地面至主刀板)：3100~3510 mm。卸载距离(前轮至主刀板)：1150~1240 mm。轴距： 2972mm。轮距：2250mm。工作高度：5510mm。最大掘起力： 170 kN。动臂提升时间 ≤6s。</w:t>
            </w:r>
          </w:p>
          <w:p>
            <w:pPr>
              <w:rPr>
                <w:rFonts w:hint="eastAsia"/>
                <w:lang w:val="en-US" w:eastAsia="zh-CN"/>
              </w:rPr>
            </w:pPr>
            <w:r>
              <w:rPr>
                <w:rFonts w:hint="eastAsia"/>
                <w:lang w:val="en-US" w:eastAsia="zh-CN"/>
              </w:rPr>
              <w:t xml:space="preserve"> 三项和时间 ≤10.5s。最小转弯半径(轮胎中心) 5950 mm 。铰接角度35。爬坡能力28。</w:t>
            </w:r>
          </w:p>
          <w:p>
            <w:pPr>
              <w:rPr>
                <w:rFonts w:hint="eastAsia"/>
                <w:lang w:val="en-US" w:eastAsia="zh-CN"/>
              </w:rPr>
            </w:pPr>
            <w:r>
              <w:rPr>
                <w:rFonts w:hint="eastAsia"/>
                <w:lang w:val="en-US" w:eastAsia="zh-CN"/>
              </w:rPr>
              <w:t xml:space="preserve"> 轮胎规格：23.5-25-16PR。整机外形尺寸(长 x 宽 x 高) 7910x3016x3515mm。额定功率 162kW。燃油箱容量250L。</w:t>
            </w:r>
          </w:p>
          <w:p>
            <w:pPr>
              <w:rPr>
                <w:rFonts w:hint="eastAsia"/>
                <w:lang w:val="en-US" w:eastAsia="zh-CN"/>
              </w:rPr>
            </w:pPr>
            <w:r>
              <w:rPr>
                <w:rFonts w:hint="eastAsia"/>
                <w:lang w:val="en-US" w:eastAsia="zh-CN"/>
              </w:rPr>
              <w:t xml:space="preserve"> 液压油箱容量210L。行驶速度 一档(前进/后退)13/18 km/h </w:t>
            </w:r>
          </w:p>
          <w:p>
            <w:pPr>
              <w:rPr>
                <w:rFonts w:hint="eastAsia"/>
                <w:lang w:val="en-US" w:eastAsia="zh-CN"/>
              </w:rPr>
            </w:pPr>
            <w:r>
              <w:rPr>
                <w:rFonts w:hint="eastAsia"/>
                <w:lang w:val="en-US" w:eastAsia="zh-CN"/>
              </w:rPr>
              <w:t>二档(前进)40 km/h。排放标准：GB3847-2005,GB17691-2018 国Ⅵ</w:t>
            </w:r>
          </w:p>
        </w:tc>
        <w:tc>
          <w:tcPr>
            <w:tcW w:w="3300"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rPr>
                <w:rFonts w:hint="eastAsia"/>
                <w:lang w:val="en-US" w:eastAsia="zh-CN"/>
              </w:rPr>
            </w:pPr>
            <w:r>
              <w:drawing>
                <wp:anchor distT="0" distB="0" distL="114300" distR="114300" simplePos="0" relativeHeight="251662336" behindDoc="1" locked="0" layoutInCell="1" allowOverlap="1">
                  <wp:simplePos x="0" y="0"/>
                  <wp:positionH relativeFrom="column">
                    <wp:posOffset>46990</wp:posOffset>
                  </wp:positionH>
                  <wp:positionV relativeFrom="paragraph">
                    <wp:posOffset>222250</wp:posOffset>
                  </wp:positionV>
                  <wp:extent cx="2033270" cy="2806065"/>
                  <wp:effectExtent l="0" t="0" r="0" b="3810"/>
                  <wp:wrapThrough wrapText="bothSides">
                    <wp:wrapPolygon>
                      <wp:start x="0" y="0"/>
                      <wp:lineTo x="0" y="21556"/>
                      <wp:lineTo x="21452" y="21556"/>
                      <wp:lineTo x="21452" y="0"/>
                      <wp:lineTo x="0" y="0"/>
                    </wp:wrapPolygon>
                  </wp:wrapThrough>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3"/>
                          <a:stretch>
                            <a:fillRect/>
                          </a:stretch>
                        </pic:blipFill>
                        <pic:spPr>
                          <a:xfrm>
                            <a:off x="0" y="0"/>
                            <a:ext cx="2033270" cy="280606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540" w:hRule="atLeast"/>
        </w:trPr>
        <w:tc>
          <w:tcPr>
            <w:tcW w:w="473"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4</w:t>
            </w:r>
          </w:p>
        </w:tc>
        <w:tc>
          <w:tcPr>
            <w:tcW w:w="9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自卸车</w:t>
            </w:r>
          </w:p>
        </w:tc>
        <w:tc>
          <w:tcPr>
            <w:tcW w:w="66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1</w:t>
            </w:r>
          </w:p>
        </w:tc>
        <w:tc>
          <w:tcPr>
            <w:tcW w:w="657"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辆</w:t>
            </w:r>
          </w:p>
        </w:tc>
        <w:tc>
          <w:tcPr>
            <w:tcW w:w="4642"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rPr>
                <w:rFonts w:hint="eastAsia"/>
                <w:lang w:val="en-US" w:eastAsia="zh-CN"/>
              </w:rPr>
            </w:pPr>
            <w:r>
              <w:rPr>
                <w:rFonts w:hint="eastAsia"/>
                <w:lang w:val="en-US" w:eastAsia="zh-CN"/>
              </w:rPr>
              <w:t>包含购置税、落户及1年车船税及保险费用（交强、商业、三者100万保额）。基本配置：</w:t>
            </w:r>
            <w:r>
              <w:rPr>
                <w:rFonts w:hint="eastAsia" w:eastAsia="宋体"/>
                <w:lang w:val="en-US" w:eastAsia="zh-CN"/>
              </w:rPr>
              <w:t>2250排半驾驶室，气囊减震座椅，电窗中控锁，</w:t>
            </w:r>
            <w:r>
              <w:rPr>
                <w:rFonts w:hint="eastAsia"/>
                <w:lang w:val="en-US" w:eastAsia="zh-CN"/>
              </w:rPr>
              <w:t>abs。185马力，10档，前桥5吨，后桥13吨，1000R20钢丝胎。气制动断气刹。货箱内部尺寸：4500*2300*800+200.单位（毫米）。整车外部尺寸：7050*2500*3150 单位（毫米）。总质量：18000kg 。额定质量：9995。整备质量：7810</w:t>
            </w:r>
          </w:p>
          <w:p>
            <w:pPr>
              <w:rPr>
                <w:rFonts w:hint="eastAsia"/>
                <w:lang w:val="en-US" w:eastAsia="zh-CN"/>
              </w:rPr>
            </w:pPr>
            <w:r>
              <w:rPr>
                <w:rFonts w:hint="eastAsia"/>
                <w:lang w:val="en-US" w:eastAsia="zh-CN"/>
              </w:rPr>
              <w:t>u型斗，前置140顶。边板4mm厚钢板，底板6mm厚钢板。</w:t>
            </w:r>
          </w:p>
          <w:p>
            <w:pPr>
              <w:rPr>
                <w:rFonts w:hint="eastAsia"/>
                <w:lang w:val="en-US" w:eastAsia="zh-CN"/>
              </w:rPr>
            </w:pPr>
            <w:r>
              <w:rPr>
                <w:rFonts w:hint="eastAsia"/>
                <w:lang w:val="en-US" w:eastAsia="zh-CN"/>
              </w:rPr>
              <w:t>货箱容积： 4.5米*2.3米*1米=10.28立方米；防渣土掉落智能伸缩棚。</w:t>
            </w:r>
          </w:p>
        </w:tc>
        <w:tc>
          <w:tcPr>
            <w:tcW w:w="3300"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rPr>
                <w:rFonts w:hint="eastAsia"/>
                <w:lang w:val="en-US" w:eastAsia="zh-CN"/>
              </w:rPr>
            </w:pPr>
            <w:r>
              <w:drawing>
                <wp:anchor distT="0" distB="0" distL="114300" distR="114300" simplePos="0" relativeHeight="251663360" behindDoc="1" locked="0" layoutInCell="1" allowOverlap="1">
                  <wp:simplePos x="0" y="0"/>
                  <wp:positionH relativeFrom="column">
                    <wp:posOffset>81915</wp:posOffset>
                  </wp:positionH>
                  <wp:positionV relativeFrom="paragraph">
                    <wp:posOffset>73025</wp:posOffset>
                  </wp:positionV>
                  <wp:extent cx="1966595" cy="2635250"/>
                  <wp:effectExtent l="0" t="0" r="0" b="3175"/>
                  <wp:wrapThrough wrapText="bothSides">
                    <wp:wrapPolygon>
                      <wp:start x="0" y="0"/>
                      <wp:lineTo x="0" y="21548"/>
                      <wp:lineTo x="21447" y="21548"/>
                      <wp:lineTo x="21447" y="0"/>
                      <wp:lineTo x="0" y="0"/>
                    </wp:wrapPolygon>
                  </wp:wrapThrough>
                  <wp:docPr id="5" name="图片 6" descr="u=2003843525,2712582317&amp;fm=199&amp;app=68&amp;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u=2003843525,2712582317&amp;fm=199&amp;app=68&amp;f=JPEG"/>
                          <pic:cNvPicPr>
                            <a:picLocks noChangeAspect="1"/>
                          </pic:cNvPicPr>
                        </pic:nvPicPr>
                        <pic:blipFill>
                          <a:blip r:embed="rId14"/>
                          <a:stretch>
                            <a:fillRect/>
                          </a:stretch>
                        </pic:blipFill>
                        <pic:spPr>
                          <a:xfrm>
                            <a:off x="0" y="0"/>
                            <a:ext cx="1966595" cy="26352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540" w:hRule="atLeast"/>
        </w:trPr>
        <w:tc>
          <w:tcPr>
            <w:tcW w:w="473"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5</w:t>
            </w:r>
          </w:p>
        </w:tc>
        <w:tc>
          <w:tcPr>
            <w:tcW w:w="931"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洒水车</w:t>
            </w:r>
          </w:p>
        </w:tc>
        <w:tc>
          <w:tcPr>
            <w:tcW w:w="664"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1</w:t>
            </w:r>
          </w:p>
        </w:tc>
        <w:tc>
          <w:tcPr>
            <w:tcW w:w="657"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spacing w:val="14"/>
                <w:kern w:val="2"/>
                <w:sz w:val="24"/>
                <w:szCs w:val="24"/>
                <w:highlight w:val="none"/>
                <w:lang w:val="en-US" w:eastAsia="zh-CN" w:bidi="ar-SA"/>
              </w:rPr>
            </w:pPr>
            <w:r>
              <w:rPr>
                <w:rFonts w:hint="eastAsia" w:ascii="宋体" w:hAnsi="宋体" w:eastAsia="宋体" w:cs="宋体"/>
                <w:spacing w:val="14"/>
                <w:kern w:val="2"/>
                <w:sz w:val="24"/>
                <w:szCs w:val="24"/>
                <w:highlight w:val="none"/>
                <w:lang w:val="en-US" w:eastAsia="zh-CN" w:bidi="ar-SA"/>
              </w:rPr>
              <w:t>辆</w:t>
            </w:r>
          </w:p>
        </w:tc>
        <w:tc>
          <w:tcPr>
            <w:tcW w:w="4642"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rPr>
                <w:rFonts w:hint="eastAsia"/>
                <w:lang w:val="en-US" w:eastAsia="zh-CN"/>
              </w:rPr>
            </w:pPr>
            <w:r>
              <w:rPr>
                <w:rFonts w:hint="eastAsia"/>
                <w:lang w:val="en-US" w:eastAsia="zh-CN"/>
              </w:rPr>
              <w:t>包含购置税、落户及1年车船税及保险费用（交强、商业、三者100万保额）。总质量(Kg)：18000。罐体容积(m3)：12。额定载质量(Kg)：10735,10800。外形尺寸(mm)：7450×2500×3100。整备质量(Kg)：7070。轴数：2。轴距(mm)：3950。底盘型号：EQ1185LJ9CDE。底盘名称：载货汽车底盘（二类）。轮胎数：6。燃料种类：柴油。轮胎规格：295/80R22.5 18PR,10.00R20 18PR,275/80R22.5 18PR。排放标准：GB17691-2018国Ⅵ。发动机型号：YCS04200-68/D4.0NS6B195。排量(ml)：4156/4000。功率(Kw)：147/143。发动机选装：200马力型号YCS04200-68或195马力型号D4.0NS6B195</w:t>
            </w:r>
          </w:p>
        </w:tc>
        <w:tc>
          <w:tcPr>
            <w:tcW w:w="3300" w:type="dxa"/>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rPr>
                <w:rFonts w:hint="eastAsia"/>
                <w:lang w:val="en-US" w:eastAsia="zh-CN"/>
              </w:rPr>
            </w:pPr>
            <w:r>
              <w:drawing>
                <wp:anchor distT="0" distB="0" distL="114300" distR="114300" simplePos="0" relativeHeight="251664384" behindDoc="1" locked="0" layoutInCell="1" allowOverlap="1">
                  <wp:simplePos x="0" y="0"/>
                  <wp:positionH relativeFrom="column">
                    <wp:posOffset>31115</wp:posOffset>
                  </wp:positionH>
                  <wp:positionV relativeFrom="paragraph">
                    <wp:posOffset>244475</wp:posOffset>
                  </wp:positionV>
                  <wp:extent cx="1961515" cy="2458720"/>
                  <wp:effectExtent l="0" t="0" r="635" b="8255"/>
                  <wp:wrapThrough wrapText="bothSides">
                    <wp:wrapPolygon>
                      <wp:start x="21591" y="-2"/>
                      <wp:lineTo x="0" y="0"/>
                      <wp:lineTo x="0" y="21600"/>
                      <wp:lineTo x="21591" y="21602"/>
                      <wp:lineTo x="8" y="21602"/>
                      <wp:lineTo x="21599" y="21600"/>
                      <wp:lineTo x="21599" y="0"/>
                      <wp:lineTo x="8" y="-2"/>
                      <wp:lineTo x="21591" y="-2"/>
                    </wp:wrapPolygon>
                  </wp:wrapThrough>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5"/>
                          <a:stretch>
                            <a:fillRect/>
                          </a:stretch>
                        </pic:blipFill>
                        <pic:spPr>
                          <a:xfrm>
                            <a:off x="0" y="0"/>
                            <a:ext cx="1961515" cy="2458720"/>
                          </a:xfrm>
                          <a:prstGeom prst="rect">
                            <a:avLst/>
                          </a:prstGeom>
                          <a:noFill/>
                          <a:ln>
                            <a:noFill/>
                          </a:ln>
                        </pic:spPr>
                      </pic:pic>
                    </a:graphicData>
                  </a:graphic>
                </wp:anchor>
              </w:drawing>
            </w:r>
          </w:p>
        </w:tc>
      </w:tr>
    </w:tbl>
    <w:p>
      <w:pPr>
        <w:pStyle w:val="2"/>
        <w:rPr>
          <w:rFonts w:hint="eastAsia" w:ascii="宋体" w:hAnsi="宋体"/>
          <w:b/>
          <w:bCs/>
          <w:sz w:val="28"/>
          <w:szCs w:val="28"/>
          <w:highlight w:val="none"/>
        </w:rPr>
      </w:pPr>
    </w:p>
    <w:p>
      <w:pPr>
        <w:rPr>
          <w:rFonts w:hint="eastAsia" w:ascii="宋体" w:hAnsi="宋体"/>
          <w:b/>
          <w:bCs/>
          <w:sz w:val="28"/>
          <w:szCs w:val="28"/>
          <w:highlight w:val="none"/>
        </w:rPr>
      </w:pPr>
    </w:p>
    <w:p>
      <w:pPr>
        <w:pStyle w:val="2"/>
        <w:rPr>
          <w:rFonts w:hint="eastAsia" w:ascii="宋体" w:hAnsi="宋体"/>
          <w:b/>
          <w:bCs/>
          <w:sz w:val="28"/>
          <w:szCs w:val="28"/>
          <w:highlight w:val="none"/>
        </w:rPr>
      </w:pPr>
    </w:p>
    <w:p>
      <w:pPr>
        <w:rPr>
          <w:rFonts w:hint="eastAsia" w:ascii="宋体" w:hAnsi="宋体"/>
          <w:b/>
          <w:bCs/>
          <w:sz w:val="28"/>
          <w:szCs w:val="28"/>
          <w:highlight w:val="none"/>
        </w:rPr>
      </w:pPr>
    </w:p>
    <w:p>
      <w:pPr>
        <w:pStyle w:val="2"/>
        <w:rPr>
          <w:rFonts w:hint="eastAsia" w:ascii="宋体" w:hAnsi="宋体"/>
          <w:b/>
          <w:bCs/>
          <w:sz w:val="28"/>
          <w:szCs w:val="28"/>
          <w:highlight w:val="none"/>
        </w:rPr>
      </w:pPr>
    </w:p>
    <w:p>
      <w:pPr>
        <w:numPr>
          <w:ilvl w:val="0"/>
          <w:numId w:val="3"/>
        </w:numPr>
        <w:snapToGrid w:val="0"/>
        <w:spacing w:line="360" w:lineRule="auto"/>
        <w:jc w:val="both"/>
        <w:rPr>
          <w:rFonts w:hint="eastAsia" w:ascii="宋体" w:hAnsi="宋体" w:eastAsia="宋体" w:cs="宋体"/>
          <w:b/>
          <w:sz w:val="52"/>
          <w:szCs w:val="52"/>
          <w:lang w:val="en-US" w:eastAsia="zh-CN" w:bidi="ar-SA"/>
        </w:rPr>
      </w:pPr>
      <w:r>
        <w:rPr>
          <w:rFonts w:hint="eastAsia"/>
          <w:highlight w:val="none"/>
        </w:rPr>
        <w:br w:type="page"/>
      </w:r>
      <w:r>
        <w:rPr>
          <w:rFonts w:hint="eastAsia" w:ascii="宋体" w:hAnsi="宋体" w:eastAsia="宋体" w:cs="宋体"/>
          <w:b/>
          <w:sz w:val="52"/>
          <w:szCs w:val="52"/>
          <w:lang w:val="en-US" w:eastAsia="zh-CN" w:bidi="ar-SA"/>
        </w:rPr>
        <w:t>谈判响应文件格式</w:t>
      </w:r>
    </w:p>
    <w:p>
      <w:pPr>
        <w:spacing w:line="400" w:lineRule="exact"/>
        <w:ind w:left="540" w:firstLine="640" w:firstLineChars="200"/>
        <w:jc w:val="center"/>
        <w:rPr>
          <w:rFonts w:hint="eastAsia"/>
          <w:lang w:val="en-US" w:eastAsia="zh-CN"/>
        </w:rPr>
      </w:pPr>
      <w:r>
        <w:rPr>
          <w:rFonts w:hint="eastAsia" w:ascii="新宋体" w:hAnsi="新宋体" w:eastAsia="新宋体"/>
          <w:sz w:val="32"/>
          <w:szCs w:val="32"/>
        </w:rPr>
        <w:t>响应文件</w:t>
      </w:r>
      <w:r>
        <w:rPr>
          <w:rFonts w:hint="eastAsia" w:ascii="新宋体" w:hAnsi="新宋体" w:eastAsia="新宋体"/>
          <w:sz w:val="32"/>
          <w:szCs w:val="32"/>
          <w:lang w:eastAsia="zh-CN"/>
        </w:rPr>
        <w:t>封面</w:t>
      </w:r>
    </w:p>
    <w:p>
      <w:pPr>
        <w:pStyle w:val="2"/>
        <w:numPr>
          <w:ilvl w:val="0"/>
          <w:numId w:val="0"/>
        </w:numPr>
        <w:rPr>
          <w:rFonts w:hint="eastAsia"/>
          <w:lang w:val="en-US" w:eastAsia="zh-CN"/>
        </w:rPr>
      </w:pPr>
    </w:p>
    <w:p>
      <w:pPr>
        <w:ind w:firstLine="480" w:firstLineChars="200"/>
        <w:jc w:val="right"/>
        <w:rPr>
          <w:rFonts w:ascii="新宋体" w:hAnsi="新宋体" w:eastAsia="新宋体"/>
          <w:sz w:val="24"/>
          <w:highlight w:val="none"/>
          <w:bdr w:val="single" w:color="auto" w:sz="4" w:space="0"/>
        </w:rPr>
      </w:pPr>
      <w:r>
        <w:rPr>
          <w:rFonts w:hint="eastAsia" w:ascii="新宋体" w:hAnsi="新宋体" w:eastAsia="新宋体"/>
          <w:sz w:val="24"/>
          <w:highlight w:val="none"/>
          <w:bdr w:val="single" w:color="auto" w:sz="4" w:space="0"/>
        </w:rPr>
        <w:t>正本</w:t>
      </w:r>
      <w:r>
        <w:rPr>
          <w:rFonts w:ascii="新宋体" w:hAnsi="新宋体" w:eastAsia="新宋体"/>
          <w:sz w:val="24"/>
          <w:highlight w:val="none"/>
          <w:bdr w:val="single" w:color="auto" w:sz="4" w:space="0"/>
        </w:rPr>
        <w:t>/副本</w:t>
      </w:r>
    </w:p>
    <w:p>
      <w:pPr>
        <w:pStyle w:val="6"/>
        <w:rPr>
          <w:rFonts w:ascii="新宋体" w:hAnsi="新宋体" w:eastAsia="新宋体"/>
          <w:sz w:val="24"/>
          <w:highlight w:val="none"/>
          <w:bdr w:val="single" w:color="auto" w:sz="4" w:space="0"/>
        </w:rPr>
      </w:pPr>
    </w:p>
    <w:p>
      <w:pPr>
        <w:rPr>
          <w:highlight w:val="none"/>
        </w:rPr>
      </w:pPr>
    </w:p>
    <w:p>
      <w:pPr>
        <w:ind w:firstLine="560" w:firstLineChars="200"/>
        <w:rPr>
          <w:rFonts w:ascii="新宋体" w:hAnsi="新宋体" w:eastAsia="新宋体"/>
          <w:sz w:val="28"/>
          <w:szCs w:val="28"/>
          <w:highlight w:val="none"/>
        </w:rPr>
      </w:pPr>
      <w:r>
        <w:rPr>
          <w:rFonts w:hint="eastAsia" w:ascii="新宋体" w:hAnsi="新宋体" w:eastAsia="新宋体"/>
          <w:bCs/>
          <w:sz w:val="28"/>
          <w:szCs w:val="28"/>
          <w:highlight w:val="none"/>
        </w:rPr>
        <w:t>项目名称：</w:t>
      </w:r>
    </w:p>
    <w:p>
      <w:pPr>
        <w:ind w:firstLine="560" w:firstLineChars="200"/>
        <w:rPr>
          <w:rFonts w:ascii="新宋体" w:hAnsi="新宋体" w:eastAsia="新宋体"/>
          <w:sz w:val="28"/>
          <w:szCs w:val="28"/>
          <w:highlight w:val="none"/>
        </w:rPr>
      </w:pPr>
      <w:r>
        <w:rPr>
          <w:rFonts w:hint="eastAsia" w:ascii="新宋体" w:hAnsi="新宋体" w:eastAsia="新宋体"/>
          <w:sz w:val="28"/>
          <w:szCs w:val="28"/>
          <w:highlight w:val="none"/>
        </w:rPr>
        <w:t>项目编号：</w:t>
      </w:r>
    </w:p>
    <w:p>
      <w:pPr>
        <w:pStyle w:val="17"/>
        <w:rPr>
          <w:rFonts w:hint="eastAsia" w:ascii="新宋体" w:hAnsi="新宋体" w:eastAsia="新宋体"/>
          <w:b/>
          <w:sz w:val="52"/>
          <w:szCs w:val="52"/>
          <w:highlight w:val="none"/>
        </w:rPr>
      </w:pPr>
    </w:p>
    <w:p>
      <w:pPr>
        <w:pStyle w:val="7"/>
        <w:rPr>
          <w:rFonts w:hint="eastAsia"/>
        </w:rPr>
      </w:pPr>
    </w:p>
    <w:p>
      <w:pPr>
        <w:ind w:firstLine="1044" w:firstLineChars="200"/>
        <w:jc w:val="center"/>
        <w:rPr>
          <w:rFonts w:ascii="新宋体" w:hAnsi="新宋体" w:eastAsia="新宋体"/>
          <w:b/>
          <w:sz w:val="52"/>
          <w:szCs w:val="52"/>
          <w:highlight w:val="none"/>
        </w:rPr>
      </w:pPr>
      <w:r>
        <w:rPr>
          <w:rFonts w:hint="eastAsia" w:ascii="新宋体" w:hAnsi="新宋体" w:eastAsia="新宋体"/>
          <w:b/>
          <w:sz w:val="52"/>
          <w:szCs w:val="52"/>
          <w:highlight w:val="none"/>
        </w:rPr>
        <w:t>响应文件</w:t>
      </w:r>
    </w:p>
    <w:p>
      <w:pPr>
        <w:spacing w:line="360" w:lineRule="auto"/>
        <w:ind w:firstLine="480" w:firstLineChars="200"/>
        <w:rPr>
          <w:rFonts w:hint="eastAsia" w:ascii="新宋体" w:hAnsi="新宋体" w:eastAsia="新宋体"/>
          <w:sz w:val="24"/>
          <w:highlight w:val="none"/>
        </w:rPr>
      </w:pPr>
    </w:p>
    <w:p>
      <w:pPr>
        <w:spacing w:line="360" w:lineRule="auto"/>
        <w:ind w:firstLine="480" w:firstLineChars="200"/>
        <w:rPr>
          <w:rFonts w:hint="eastAsia" w:ascii="新宋体" w:hAnsi="新宋体" w:eastAsia="新宋体"/>
          <w:sz w:val="24"/>
          <w:highlight w:val="none"/>
        </w:rPr>
      </w:pPr>
    </w:p>
    <w:p>
      <w:pPr>
        <w:spacing w:line="360" w:lineRule="auto"/>
        <w:ind w:firstLine="480" w:firstLineChars="200"/>
        <w:rPr>
          <w:rFonts w:hint="eastAsia" w:ascii="新宋体" w:hAnsi="新宋体" w:eastAsia="新宋体"/>
          <w:sz w:val="24"/>
          <w:highlight w:val="none"/>
        </w:rPr>
      </w:pPr>
    </w:p>
    <w:p>
      <w:pPr>
        <w:spacing w:line="360" w:lineRule="auto"/>
        <w:ind w:firstLine="480" w:firstLineChars="200"/>
        <w:rPr>
          <w:rFonts w:hint="eastAsia" w:ascii="新宋体" w:hAnsi="新宋体" w:eastAsia="新宋体"/>
          <w:sz w:val="24"/>
          <w:highlight w:val="none"/>
        </w:rPr>
      </w:pPr>
    </w:p>
    <w:p>
      <w:pPr>
        <w:spacing w:line="360" w:lineRule="auto"/>
        <w:ind w:firstLine="480" w:firstLineChars="200"/>
        <w:rPr>
          <w:rFonts w:hint="eastAsia" w:ascii="新宋体" w:hAnsi="新宋体" w:eastAsia="新宋体"/>
          <w:sz w:val="24"/>
          <w:highlight w:val="none"/>
        </w:rPr>
      </w:pPr>
    </w:p>
    <w:p>
      <w:pPr>
        <w:spacing w:line="360" w:lineRule="auto"/>
        <w:ind w:firstLine="480" w:firstLineChars="200"/>
        <w:rPr>
          <w:rFonts w:ascii="新宋体" w:hAnsi="新宋体" w:eastAsia="新宋体"/>
          <w:sz w:val="24"/>
          <w:highlight w:val="none"/>
        </w:rPr>
      </w:pPr>
      <w:r>
        <w:rPr>
          <w:rFonts w:hint="eastAsia" w:ascii="新宋体" w:hAnsi="新宋体" w:eastAsia="新宋体"/>
          <w:sz w:val="24"/>
          <w:highlight w:val="none"/>
        </w:rPr>
        <w:t>供应商</w:t>
      </w:r>
      <w:r>
        <w:rPr>
          <w:rFonts w:ascii="新宋体" w:hAnsi="新宋体" w:eastAsia="新宋体"/>
          <w:sz w:val="24"/>
          <w:highlight w:val="none"/>
        </w:rPr>
        <w:t>：（盖单位章）</w:t>
      </w:r>
    </w:p>
    <w:p>
      <w:pPr>
        <w:spacing w:line="360" w:lineRule="auto"/>
        <w:ind w:firstLine="480" w:firstLineChars="200"/>
        <w:rPr>
          <w:rFonts w:ascii="新宋体" w:hAnsi="新宋体" w:eastAsia="新宋体"/>
          <w:sz w:val="24"/>
          <w:highlight w:val="none"/>
        </w:rPr>
      </w:pPr>
      <w:r>
        <w:rPr>
          <w:rFonts w:ascii="新宋体" w:hAnsi="新宋体" w:eastAsia="新宋体"/>
          <w:sz w:val="24"/>
          <w:highlight w:val="none"/>
        </w:rPr>
        <w:t>单位地址：</w:t>
      </w:r>
    </w:p>
    <w:p>
      <w:pPr>
        <w:spacing w:line="360" w:lineRule="auto"/>
        <w:ind w:firstLine="480" w:firstLineChars="200"/>
        <w:rPr>
          <w:rFonts w:ascii="新宋体" w:hAnsi="新宋体" w:eastAsia="新宋体"/>
          <w:sz w:val="24"/>
          <w:highlight w:val="none"/>
        </w:rPr>
      </w:pPr>
      <w:r>
        <w:rPr>
          <w:rFonts w:ascii="新宋体" w:hAnsi="新宋体" w:eastAsia="新宋体"/>
          <w:sz w:val="24"/>
          <w:highlight w:val="none"/>
        </w:rPr>
        <w:t>法定代表人或其委托代理人：（签字</w:t>
      </w:r>
      <w:r>
        <w:rPr>
          <w:rFonts w:hint="eastAsia" w:ascii="新宋体" w:hAnsi="新宋体" w:eastAsia="新宋体"/>
          <w:sz w:val="24"/>
          <w:highlight w:val="none"/>
        </w:rPr>
        <w:t>或盖章</w:t>
      </w:r>
      <w:r>
        <w:rPr>
          <w:rFonts w:ascii="新宋体" w:hAnsi="新宋体" w:eastAsia="新宋体"/>
          <w:sz w:val="24"/>
          <w:highlight w:val="none"/>
        </w:rPr>
        <w:t>）</w:t>
      </w:r>
    </w:p>
    <w:p>
      <w:pPr>
        <w:spacing w:line="360" w:lineRule="auto"/>
        <w:ind w:firstLine="480" w:firstLineChars="200"/>
        <w:rPr>
          <w:rFonts w:hint="eastAsia" w:ascii="新宋体" w:hAnsi="新宋体" w:eastAsia="新宋体"/>
          <w:sz w:val="24"/>
          <w:highlight w:val="none"/>
          <w:lang w:val="en-US" w:eastAsia="zh-CN"/>
        </w:rPr>
      </w:pPr>
      <w:r>
        <w:rPr>
          <w:rFonts w:hint="eastAsia" w:ascii="新宋体" w:hAnsi="新宋体" w:eastAsia="新宋体"/>
          <w:sz w:val="24"/>
          <w:highlight w:val="none"/>
          <w:lang w:val="en-US" w:eastAsia="zh-CN"/>
        </w:rPr>
        <w:t>联系人</w:t>
      </w:r>
    </w:p>
    <w:p>
      <w:pPr>
        <w:spacing w:line="360" w:lineRule="auto"/>
        <w:ind w:firstLine="480" w:firstLineChars="200"/>
        <w:rPr>
          <w:rFonts w:ascii="新宋体" w:hAnsi="新宋体" w:eastAsia="新宋体"/>
          <w:sz w:val="24"/>
          <w:highlight w:val="none"/>
          <w:u w:val="single"/>
        </w:rPr>
      </w:pPr>
      <w:r>
        <w:rPr>
          <w:rFonts w:ascii="新宋体" w:hAnsi="新宋体" w:eastAsia="新宋体"/>
          <w:sz w:val="24"/>
          <w:highlight w:val="none"/>
        </w:rPr>
        <w:t>联系电话：</w:t>
      </w:r>
    </w:p>
    <w:p>
      <w:pPr>
        <w:ind w:firstLine="480" w:firstLineChars="200"/>
        <w:jc w:val="center"/>
        <w:rPr>
          <w:rFonts w:ascii="新宋体" w:hAnsi="新宋体" w:eastAsia="新宋体"/>
          <w:sz w:val="24"/>
          <w:highlight w:val="none"/>
        </w:rPr>
      </w:pPr>
    </w:p>
    <w:p>
      <w:pPr>
        <w:ind w:firstLine="480" w:firstLineChars="200"/>
        <w:jc w:val="center"/>
        <w:rPr>
          <w:rFonts w:ascii="新宋体" w:hAnsi="新宋体" w:eastAsia="新宋体"/>
          <w:sz w:val="24"/>
          <w:highlight w:val="none"/>
        </w:rPr>
      </w:pPr>
    </w:p>
    <w:p>
      <w:pPr>
        <w:ind w:firstLine="480" w:firstLineChars="200"/>
        <w:jc w:val="center"/>
        <w:rPr>
          <w:rFonts w:ascii="新宋体" w:hAnsi="新宋体" w:eastAsia="新宋体"/>
          <w:sz w:val="24"/>
          <w:highlight w:val="none"/>
        </w:rPr>
      </w:pPr>
      <w:r>
        <w:rPr>
          <w:rFonts w:ascii="新宋体" w:hAnsi="新宋体" w:eastAsia="新宋体"/>
          <w:sz w:val="24"/>
          <w:highlight w:val="none"/>
        </w:rPr>
        <w:t>年月日</w:t>
      </w:r>
    </w:p>
    <w:p>
      <w:pPr>
        <w:rPr>
          <w:rFonts w:hint="eastAsia" w:ascii="宋体" w:hAnsi="宋体" w:eastAsia="宋体" w:cs="宋体"/>
          <w:b/>
          <w:sz w:val="28"/>
          <w:szCs w:val="28"/>
          <w:highlight w:val="none"/>
          <w:lang w:val="en-US" w:eastAsia="zh-CN"/>
        </w:rPr>
      </w:pPr>
      <w:bookmarkStart w:id="73" w:name="_Toc30075_WPSOffice_Level2"/>
    </w:p>
    <w:p>
      <w:pPr>
        <w:pStyle w:val="17"/>
        <w:rPr>
          <w:rFonts w:hint="eastAsia" w:ascii="宋体" w:hAnsi="宋体" w:eastAsia="宋体" w:cs="宋体"/>
          <w:b/>
          <w:sz w:val="28"/>
          <w:szCs w:val="28"/>
          <w:highlight w:val="none"/>
          <w:lang w:val="en-US" w:eastAsia="zh-CN"/>
        </w:rPr>
      </w:pPr>
    </w:p>
    <w:p>
      <w:pPr>
        <w:pStyle w:val="7"/>
        <w:rPr>
          <w:rFonts w:hint="eastAsia"/>
          <w:lang w:val="en-US" w:eastAsia="zh-CN"/>
        </w:rPr>
      </w:pPr>
    </w:p>
    <w:p>
      <w:pPr>
        <w:pStyle w:val="20"/>
        <w:rPr>
          <w:rFonts w:hint="eastAsia"/>
          <w:highlight w:val="none"/>
          <w:lang w:val="en-US" w:eastAsia="zh-CN"/>
        </w:rPr>
      </w:pPr>
    </w:p>
    <w:bookmarkEnd w:id="72"/>
    <w:bookmarkEnd w:id="73"/>
    <w:p>
      <w:pPr>
        <w:adjustRightInd w:val="0"/>
        <w:snapToGrid w:val="0"/>
        <w:spacing w:line="480" w:lineRule="atLeast"/>
        <w:jc w:val="both"/>
        <w:rPr>
          <w:rFonts w:hint="eastAsia" w:ascii="宋体" w:hAnsi="宋体" w:eastAsia="宋体" w:cs="宋体"/>
          <w:color w:val="000000"/>
          <w:sz w:val="24"/>
          <w:highlight w:val="none"/>
        </w:rPr>
      </w:pPr>
    </w:p>
    <w:p>
      <w:pPr>
        <w:pStyle w:val="2"/>
        <w:rPr>
          <w:rFonts w:hint="eastAsia" w:ascii="宋体" w:hAnsi="宋体" w:eastAsia="宋体" w:cs="宋体"/>
          <w:color w:val="000000"/>
          <w:sz w:val="24"/>
          <w:highlight w:val="none"/>
        </w:rPr>
      </w:pPr>
    </w:p>
    <w:p>
      <w:pPr>
        <w:rPr>
          <w:rFonts w:hint="eastAsia"/>
        </w:rPr>
      </w:pPr>
    </w:p>
    <w:p>
      <w:pPr>
        <w:adjustRightInd w:val="0"/>
        <w:snapToGrid w:val="0"/>
        <w:spacing w:line="480" w:lineRule="atLeast"/>
        <w:jc w:val="center"/>
        <w:rPr>
          <w:rFonts w:hint="eastAsia" w:ascii="宋体" w:hAnsi="宋体" w:eastAsia="宋体" w:cs="宋体"/>
          <w:b/>
          <w:color w:val="000000"/>
          <w:spacing w:val="40"/>
          <w:sz w:val="44"/>
          <w:highlight w:val="none"/>
        </w:rPr>
      </w:pPr>
      <w:r>
        <w:rPr>
          <w:rFonts w:hint="eastAsia" w:ascii="宋体" w:hAnsi="宋体" w:eastAsia="宋体" w:cs="宋体"/>
          <w:b/>
          <w:color w:val="000000"/>
          <w:spacing w:val="40"/>
          <w:sz w:val="44"/>
          <w:highlight w:val="none"/>
        </w:rPr>
        <w:t>响应文件目录</w:t>
      </w:r>
    </w:p>
    <w:p>
      <w:pPr>
        <w:adjustRightInd w:val="0"/>
        <w:snapToGrid w:val="0"/>
        <w:spacing w:line="480" w:lineRule="auto"/>
        <w:rPr>
          <w:rFonts w:hint="eastAsia" w:ascii="宋体" w:hAnsi="宋体" w:eastAsia="宋体" w:cs="宋体"/>
          <w:color w:val="000000"/>
          <w:sz w:val="24"/>
          <w:highlight w:val="none"/>
        </w:rPr>
      </w:pPr>
    </w:p>
    <w:p>
      <w:pPr>
        <w:spacing w:line="500" w:lineRule="exact"/>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一、法定代表人身份证明书</w:t>
      </w:r>
    </w:p>
    <w:p>
      <w:pPr>
        <w:spacing w:line="500" w:lineRule="exact"/>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w:t>
      </w:r>
      <w:r>
        <w:rPr>
          <w:rFonts w:hint="eastAsia" w:ascii="宋体" w:hAnsi="宋体" w:eastAsia="宋体" w:cs="宋体"/>
          <w:color w:val="000000"/>
          <w:sz w:val="24"/>
          <w:highlight w:val="none"/>
          <w:lang w:eastAsia="zh-CN"/>
        </w:rPr>
        <w:t>响应文件</w:t>
      </w:r>
      <w:r>
        <w:rPr>
          <w:rFonts w:hint="eastAsia" w:ascii="宋体" w:hAnsi="宋体" w:eastAsia="宋体" w:cs="宋体"/>
          <w:color w:val="000000"/>
          <w:sz w:val="24"/>
          <w:highlight w:val="none"/>
        </w:rPr>
        <w:t>签署授权委托书</w:t>
      </w:r>
    </w:p>
    <w:p>
      <w:pPr>
        <w:spacing w:line="500" w:lineRule="exact"/>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w:t>
      </w:r>
      <w:r>
        <w:rPr>
          <w:rFonts w:hint="eastAsia" w:ascii="宋体" w:hAnsi="宋体" w:eastAsia="宋体" w:cs="宋体"/>
          <w:color w:val="000000"/>
          <w:sz w:val="24"/>
          <w:highlight w:val="none"/>
          <w:lang w:val="en-US" w:eastAsia="zh-CN"/>
        </w:rPr>
        <w:t>报价一览表</w:t>
      </w:r>
      <w:r>
        <w:rPr>
          <w:rFonts w:hint="eastAsia" w:ascii="宋体" w:hAnsi="宋体" w:eastAsia="宋体" w:cs="宋体"/>
          <w:color w:val="000000"/>
          <w:sz w:val="24"/>
          <w:highlight w:val="none"/>
        </w:rPr>
        <w:t>及</w:t>
      </w:r>
      <w:r>
        <w:rPr>
          <w:rFonts w:hint="eastAsia" w:ascii="宋体" w:hAnsi="宋体" w:eastAsia="宋体" w:cs="宋体"/>
          <w:color w:val="000000"/>
          <w:sz w:val="24"/>
          <w:highlight w:val="none"/>
          <w:lang w:val="en-US" w:eastAsia="zh-CN"/>
        </w:rPr>
        <w:t>报价明细表</w:t>
      </w:r>
    </w:p>
    <w:p>
      <w:pPr>
        <w:spacing w:line="500" w:lineRule="exact"/>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w:t>
      </w:r>
      <w:r>
        <w:rPr>
          <w:rFonts w:hint="eastAsia" w:ascii="宋体" w:hAnsi="宋体" w:eastAsia="宋体" w:cs="宋体"/>
          <w:color w:val="000000"/>
          <w:sz w:val="24"/>
          <w:highlight w:val="none"/>
          <w:lang w:eastAsia="zh-CN"/>
        </w:rPr>
        <w:t>磋商响应人</w:t>
      </w:r>
      <w:r>
        <w:rPr>
          <w:rFonts w:hint="eastAsia" w:ascii="宋体" w:hAnsi="宋体" w:eastAsia="宋体" w:cs="宋体"/>
          <w:color w:val="000000"/>
          <w:sz w:val="24"/>
          <w:highlight w:val="none"/>
        </w:rPr>
        <w:t>基本情况表</w:t>
      </w:r>
    </w:p>
    <w:p>
      <w:pPr>
        <w:spacing w:line="500" w:lineRule="exact"/>
        <w:ind w:firstLine="48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五、投标保证金</w:t>
      </w:r>
      <w:r>
        <w:rPr>
          <w:rFonts w:hint="eastAsia" w:ascii="宋体" w:hAnsi="宋体" w:eastAsia="宋体" w:cs="宋体"/>
          <w:color w:val="000000"/>
          <w:sz w:val="24"/>
          <w:highlight w:val="none"/>
          <w:lang w:val="en-US" w:eastAsia="zh-CN"/>
        </w:rPr>
        <w:t>凭证</w:t>
      </w:r>
    </w:p>
    <w:p>
      <w:pPr>
        <w:spacing w:line="500" w:lineRule="exact"/>
        <w:ind w:firstLine="48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六、</w:t>
      </w:r>
      <w:r>
        <w:rPr>
          <w:rFonts w:hint="eastAsia" w:ascii="宋体" w:hAnsi="宋体" w:eastAsia="宋体" w:cs="宋体"/>
          <w:color w:val="000000"/>
          <w:sz w:val="24"/>
          <w:highlight w:val="none"/>
          <w:lang w:val="en-US" w:eastAsia="zh-CN"/>
        </w:rPr>
        <w:t>项目方案</w:t>
      </w:r>
    </w:p>
    <w:p>
      <w:pPr>
        <w:spacing w:line="500" w:lineRule="exact"/>
        <w:ind w:firstLine="48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七、磋商响应人无失信行为承诺</w:t>
      </w:r>
    </w:p>
    <w:p>
      <w:pPr>
        <w:spacing w:line="500" w:lineRule="exact"/>
        <w:ind w:firstLine="480"/>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八</w:t>
      </w:r>
      <w:r>
        <w:rPr>
          <w:rFonts w:hint="eastAsia" w:ascii="宋体" w:hAnsi="宋体" w:eastAsia="宋体" w:cs="宋体"/>
          <w:color w:val="000000"/>
          <w:sz w:val="24"/>
          <w:highlight w:val="none"/>
        </w:rPr>
        <w:t>、</w:t>
      </w:r>
      <w:r>
        <w:rPr>
          <w:rFonts w:hint="eastAsia" w:ascii="宋体" w:hAnsi="宋体" w:eastAsia="宋体" w:cs="宋体"/>
          <w:color w:val="000000"/>
          <w:sz w:val="24"/>
          <w:highlight w:val="none"/>
          <w:lang w:val="en-US" w:eastAsia="zh-CN"/>
        </w:rPr>
        <w:t>售后</w:t>
      </w:r>
      <w:r>
        <w:rPr>
          <w:rFonts w:hint="eastAsia" w:ascii="宋体" w:hAnsi="宋体" w:eastAsia="宋体" w:cs="宋体"/>
          <w:color w:val="000000"/>
          <w:sz w:val="24"/>
          <w:highlight w:val="none"/>
        </w:rPr>
        <w:t>服务承诺书</w:t>
      </w:r>
    </w:p>
    <w:p>
      <w:pPr>
        <w:spacing w:line="500" w:lineRule="exact"/>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九</w:t>
      </w:r>
      <w:r>
        <w:rPr>
          <w:rFonts w:hint="eastAsia" w:ascii="宋体" w:hAnsi="宋体" w:eastAsia="宋体" w:cs="宋体"/>
          <w:color w:val="000000"/>
          <w:sz w:val="24"/>
          <w:highlight w:val="none"/>
        </w:rPr>
        <w:t>、反商业贿赂承诺书</w:t>
      </w:r>
    </w:p>
    <w:p>
      <w:pPr>
        <w:spacing w:line="500" w:lineRule="exact"/>
        <w:ind w:firstLine="48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十</w:t>
      </w:r>
      <w:r>
        <w:rPr>
          <w:rFonts w:hint="eastAsia" w:ascii="宋体" w:hAnsi="宋体" w:eastAsia="宋体" w:cs="宋体"/>
          <w:color w:val="000000"/>
          <w:sz w:val="24"/>
          <w:highlight w:val="none"/>
        </w:rPr>
        <w:t>、</w:t>
      </w:r>
      <w:r>
        <w:rPr>
          <w:rFonts w:hint="eastAsia" w:ascii="宋体" w:hAnsi="宋体" w:eastAsia="宋体" w:cs="宋体"/>
          <w:color w:val="000000"/>
          <w:sz w:val="24"/>
          <w:highlight w:val="none"/>
          <w:lang w:val="en-US" w:eastAsia="zh-CN"/>
        </w:rPr>
        <w:t>无重大违法承诺书</w:t>
      </w:r>
    </w:p>
    <w:p>
      <w:pPr>
        <w:spacing w:line="500" w:lineRule="exact"/>
        <w:ind w:firstLine="480"/>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十一、无失信行为承诺书</w:t>
      </w:r>
    </w:p>
    <w:p>
      <w:pPr>
        <w:spacing w:line="500" w:lineRule="exact"/>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十二、</w:t>
      </w:r>
      <w:r>
        <w:rPr>
          <w:rFonts w:hint="eastAsia" w:ascii="宋体" w:hAnsi="宋体" w:eastAsia="宋体" w:cs="宋体"/>
          <w:color w:val="000000"/>
          <w:sz w:val="24"/>
          <w:highlight w:val="none"/>
          <w:lang w:eastAsia="zh-CN"/>
        </w:rPr>
        <w:t>磋商响应人</w:t>
      </w:r>
      <w:r>
        <w:rPr>
          <w:rFonts w:hint="eastAsia" w:ascii="宋体" w:hAnsi="宋体" w:eastAsia="宋体" w:cs="宋体"/>
          <w:color w:val="000000"/>
          <w:sz w:val="24"/>
          <w:highlight w:val="none"/>
        </w:rPr>
        <w:t>认为应附的其他资料</w:t>
      </w:r>
    </w:p>
    <w:p>
      <w:pPr>
        <w:pStyle w:val="2"/>
        <w:rPr>
          <w:rFonts w:hint="eastAsia" w:ascii="宋体" w:hAnsi="宋体" w:eastAsia="宋体" w:cs="宋体"/>
          <w:color w:val="000000"/>
          <w:sz w:val="24"/>
          <w:highlight w:val="none"/>
        </w:rPr>
      </w:pPr>
    </w:p>
    <w:p>
      <w:pPr>
        <w:pStyle w:val="5"/>
        <w:rPr>
          <w:rFonts w:hint="eastAsia" w:ascii="宋体" w:hAnsi="宋体" w:eastAsia="宋体" w:cs="宋体"/>
          <w:highlight w:val="none"/>
        </w:rPr>
      </w:pPr>
    </w:p>
    <w:p>
      <w:pPr>
        <w:pStyle w:val="5"/>
        <w:rPr>
          <w:rFonts w:hint="eastAsia" w:ascii="宋体" w:hAnsi="宋体" w:eastAsia="宋体" w:cs="宋体"/>
          <w:highlight w:val="none"/>
        </w:rPr>
      </w:pPr>
    </w:p>
    <w:p>
      <w:pPr>
        <w:pStyle w:val="5"/>
        <w:rPr>
          <w:rFonts w:hint="eastAsia" w:ascii="宋体" w:hAnsi="宋体" w:eastAsia="宋体" w:cs="宋体"/>
          <w:highlight w:val="none"/>
        </w:rPr>
      </w:pPr>
    </w:p>
    <w:p>
      <w:pPr>
        <w:pStyle w:val="5"/>
        <w:rPr>
          <w:rFonts w:hint="eastAsia" w:ascii="宋体" w:hAnsi="宋体" w:eastAsia="宋体" w:cs="宋体"/>
          <w:highlight w:val="none"/>
        </w:rPr>
      </w:pPr>
    </w:p>
    <w:p>
      <w:pPr>
        <w:pStyle w:val="5"/>
        <w:rPr>
          <w:rFonts w:hint="eastAsia" w:ascii="宋体" w:hAnsi="宋体" w:eastAsia="宋体" w:cs="宋体"/>
          <w:highlight w:val="none"/>
        </w:rPr>
      </w:pPr>
    </w:p>
    <w:p>
      <w:pPr>
        <w:spacing w:line="500" w:lineRule="exact"/>
        <w:ind w:firstLine="48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注：1、投标文件必须制作有目录和页码</w:t>
      </w:r>
    </w:p>
    <w:p>
      <w:pPr>
        <w:spacing w:line="500" w:lineRule="exact"/>
        <w:ind w:firstLine="48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2、只接受 A4 纸张大小的投标文件</w:t>
      </w:r>
    </w:p>
    <w:p>
      <w:pPr>
        <w:spacing w:line="500" w:lineRule="exact"/>
        <w:ind w:firstLine="480"/>
        <w:rPr>
          <w:rFonts w:hint="eastAsia" w:ascii="宋体" w:hAnsi="宋体" w:eastAsia="宋体" w:cs="宋体"/>
          <w:b/>
          <w:bCs/>
          <w:color w:val="000000"/>
          <w:sz w:val="24"/>
          <w:highlight w:val="none"/>
          <w:lang w:val="en-US" w:eastAsia="zh-CN"/>
        </w:rPr>
      </w:pPr>
      <w:r>
        <w:rPr>
          <w:rFonts w:hint="eastAsia" w:ascii="宋体" w:hAnsi="宋体" w:eastAsia="宋体" w:cs="宋体"/>
          <w:b/>
          <w:bCs/>
          <w:color w:val="000000"/>
          <w:sz w:val="24"/>
          <w:highlight w:val="none"/>
          <w:lang w:val="en-US" w:eastAsia="zh-CN"/>
        </w:rPr>
        <w:t>3、投标文件</w:t>
      </w:r>
      <w:r>
        <w:rPr>
          <w:rFonts w:hint="eastAsia" w:ascii="宋体" w:hAnsi="宋体" w:eastAsia="宋体" w:cs="宋体"/>
          <w:b/>
          <w:bCs/>
          <w:color w:val="000000"/>
          <w:sz w:val="24"/>
          <w:highlight w:val="none"/>
          <w:lang w:eastAsia="zh-CN"/>
        </w:rPr>
        <w:t>不接受双面打印</w:t>
      </w:r>
    </w:p>
    <w:p>
      <w:pPr>
        <w:spacing w:line="500" w:lineRule="exact"/>
        <w:ind w:firstLine="48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投标文件未按要求制作将作为废标处理</w:t>
      </w:r>
    </w:p>
    <w:p>
      <w:pPr>
        <w:pStyle w:val="5"/>
        <w:rPr>
          <w:rFonts w:hint="eastAsia" w:ascii="宋体" w:hAnsi="宋体" w:eastAsia="宋体" w:cs="宋体"/>
          <w:highlight w:val="none"/>
        </w:rPr>
      </w:pPr>
    </w:p>
    <w:p>
      <w:pPr>
        <w:pStyle w:val="5"/>
        <w:rPr>
          <w:rFonts w:hint="eastAsia" w:ascii="宋体" w:hAnsi="宋体" w:eastAsia="宋体" w:cs="宋体"/>
          <w:highlight w:val="none"/>
        </w:rPr>
      </w:pPr>
    </w:p>
    <w:p>
      <w:pPr>
        <w:pStyle w:val="5"/>
        <w:rPr>
          <w:rFonts w:hint="eastAsia" w:ascii="宋体" w:hAnsi="宋体" w:eastAsia="宋体" w:cs="宋体"/>
          <w:highlight w:val="none"/>
        </w:rPr>
      </w:pPr>
    </w:p>
    <w:p>
      <w:pPr>
        <w:pStyle w:val="5"/>
        <w:rPr>
          <w:rFonts w:hint="eastAsia" w:ascii="宋体" w:hAnsi="宋体" w:eastAsia="宋体" w:cs="宋体"/>
          <w:highlight w:val="none"/>
        </w:rPr>
      </w:pPr>
    </w:p>
    <w:p>
      <w:pPr>
        <w:pStyle w:val="5"/>
        <w:rPr>
          <w:rFonts w:hint="eastAsia" w:ascii="宋体" w:hAnsi="宋体" w:eastAsia="宋体" w:cs="宋体"/>
          <w:highlight w:val="none"/>
        </w:rPr>
      </w:pPr>
    </w:p>
    <w:p>
      <w:pPr>
        <w:pStyle w:val="5"/>
        <w:rPr>
          <w:rFonts w:hint="eastAsia" w:ascii="宋体" w:hAnsi="宋体" w:eastAsia="宋体" w:cs="宋体"/>
          <w:highlight w:val="none"/>
        </w:rPr>
      </w:pPr>
    </w:p>
    <w:p>
      <w:pPr>
        <w:rPr>
          <w:rFonts w:hint="eastAsia"/>
          <w:highlight w:val="none"/>
        </w:rPr>
      </w:pPr>
    </w:p>
    <w:p>
      <w:pPr>
        <w:ind w:firstLine="1204" w:firstLineChars="300"/>
        <w:jc w:val="center"/>
        <w:rPr>
          <w:rFonts w:hint="eastAsia" w:ascii="宋体" w:hAnsi="宋体" w:eastAsia="宋体" w:cs="宋体"/>
          <w:sz w:val="24"/>
          <w:highlight w:val="none"/>
          <w:lang w:val="en-US" w:eastAsia="zh-CN"/>
        </w:rPr>
      </w:pPr>
      <w:r>
        <w:rPr>
          <w:rFonts w:hint="eastAsia" w:ascii="宋体" w:hAnsi="宋体" w:eastAsia="宋体" w:cs="宋体"/>
          <w:b/>
          <w:color w:val="000000"/>
          <w:spacing w:val="40"/>
          <w:sz w:val="32"/>
          <w:szCs w:val="32"/>
          <w:highlight w:val="none"/>
        </w:rPr>
        <w:t>一、</w:t>
      </w:r>
      <w:r>
        <w:rPr>
          <w:rFonts w:hint="eastAsia" w:ascii="宋体" w:hAnsi="宋体" w:eastAsia="宋体" w:cs="宋体"/>
          <w:b/>
          <w:sz w:val="32"/>
          <w:szCs w:val="32"/>
          <w:highlight w:val="none"/>
        </w:rPr>
        <w:t>法定代表人身份证明</w:t>
      </w:r>
      <w:r>
        <w:rPr>
          <w:rFonts w:hint="eastAsia" w:ascii="宋体" w:hAnsi="宋体" w:eastAsia="宋体" w:cs="宋体"/>
          <w:b/>
          <w:sz w:val="32"/>
          <w:szCs w:val="32"/>
          <w:highlight w:val="none"/>
          <w:lang w:val="en-US" w:eastAsia="zh-CN"/>
        </w:rPr>
        <w:t>书</w:t>
      </w:r>
    </w:p>
    <w:p>
      <w:pPr>
        <w:ind w:firstLine="720" w:firstLineChars="300"/>
        <w:rPr>
          <w:rFonts w:hint="eastAsia" w:ascii="宋体" w:hAnsi="宋体" w:eastAsia="宋体" w:cs="宋体"/>
          <w:sz w:val="24"/>
          <w:highlight w:val="none"/>
        </w:rPr>
      </w:pPr>
      <w:r>
        <w:rPr>
          <w:rFonts w:hint="eastAsia" w:ascii="宋体" w:hAnsi="宋体" w:eastAsia="宋体" w:cs="宋体"/>
          <w:color w:val="000000"/>
          <w:sz w:val="24"/>
          <w:highlight w:val="none"/>
          <w:lang w:eastAsia="zh-CN"/>
        </w:rPr>
        <w:t>磋商响应人</w:t>
      </w:r>
      <w:r>
        <w:rPr>
          <w:rFonts w:hint="eastAsia" w:ascii="宋体" w:hAnsi="宋体" w:eastAsia="宋体" w:cs="宋体"/>
          <w:sz w:val="24"/>
          <w:highlight w:val="none"/>
        </w:rPr>
        <w:t>名称：</w:t>
      </w:r>
      <w:r>
        <w:rPr>
          <w:rFonts w:hint="eastAsia" w:ascii="宋体" w:hAnsi="宋体" w:eastAsia="宋体" w:cs="宋体"/>
          <w:sz w:val="24"/>
          <w:highlight w:val="none"/>
          <w:u w:val="single"/>
        </w:rPr>
        <w:t xml:space="preserve">               </w:t>
      </w:r>
      <w:r>
        <w:rPr>
          <w:rFonts w:hint="eastAsia" w:ascii="宋体" w:hAnsi="宋体" w:eastAsia="宋体" w:cs="宋体"/>
          <w:color w:val="FFFFFF"/>
          <w:sz w:val="24"/>
          <w:highlight w:val="none"/>
          <w:u w:val="single"/>
        </w:rPr>
        <w:t>。</w:t>
      </w:r>
    </w:p>
    <w:p>
      <w:pPr>
        <w:ind w:firstLine="480"/>
        <w:rPr>
          <w:rFonts w:hint="eastAsia" w:ascii="宋体" w:hAnsi="宋体" w:eastAsia="宋体" w:cs="宋体"/>
          <w:sz w:val="24"/>
          <w:highlight w:val="none"/>
        </w:rPr>
      </w:pPr>
    </w:p>
    <w:p>
      <w:pPr>
        <w:ind w:firstLine="720" w:firstLineChars="300"/>
        <w:rPr>
          <w:rFonts w:hint="eastAsia" w:ascii="宋体" w:hAnsi="宋体" w:eastAsia="宋体" w:cs="宋体"/>
          <w:sz w:val="24"/>
          <w:highlight w:val="none"/>
          <w:u w:val="single"/>
        </w:rPr>
      </w:pPr>
      <w:r>
        <w:rPr>
          <w:rFonts w:hint="eastAsia" w:ascii="宋体" w:hAnsi="宋体" w:eastAsia="宋体" w:cs="宋体"/>
          <w:sz w:val="24"/>
          <w:highlight w:val="none"/>
        </w:rPr>
        <w:t>单位性质：</w:t>
      </w:r>
      <w:r>
        <w:rPr>
          <w:rFonts w:hint="eastAsia" w:ascii="宋体" w:hAnsi="宋体" w:eastAsia="宋体" w:cs="宋体"/>
          <w:sz w:val="24"/>
          <w:highlight w:val="none"/>
          <w:u w:val="single"/>
        </w:rPr>
        <w:t xml:space="preserve">                     </w:t>
      </w:r>
      <w:r>
        <w:rPr>
          <w:rFonts w:hint="eastAsia" w:ascii="宋体" w:hAnsi="宋体" w:eastAsia="宋体" w:cs="宋体"/>
          <w:color w:val="FFFFFF"/>
          <w:sz w:val="24"/>
          <w:highlight w:val="none"/>
          <w:u w:val="single"/>
        </w:rPr>
        <w:t>。</w:t>
      </w:r>
    </w:p>
    <w:p>
      <w:pPr>
        <w:tabs>
          <w:tab w:val="left" w:pos="760"/>
        </w:tabs>
        <w:ind w:firstLine="480"/>
        <w:rPr>
          <w:rFonts w:hint="eastAsia" w:ascii="宋体" w:hAnsi="宋体" w:eastAsia="宋体" w:cs="宋体"/>
          <w:sz w:val="24"/>
          <w:highlight w:val="none"/>
        </w:rPr>
      </w:pPr>
    </w:p>
    <w:p>
      <w:pPr>
        <w:tabs>
          <w:tab w:val="left" w:pos="760"/>
        </w:tabs>
        <w:ind w:firstLine="720" w:firstLineChars="300"/>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eastAsia="宋体" w:cs="宋体"/>
          <w:sz w:val="24"/>
          <w:highlight w:val="none"/>
          <w:u w:val="single"/>
        </w:rPr>
        <w:t xml:space="preserve">                     </w:t>
      </w:r>
      <w:r>
        <w:rPr>
          <w:rFonts w:hint="eastAsia" w:ascii="宋体" w:hAnsi="宋体" w:eastAsia="宋体" w:cs="宋体"/>
          <w:color w:val="FFFFFF"/>
          <w:sz w:val="24"/>
          <w:highlight w:val="none"/>
          <w:u w:val="single"/>
        </w:rPr>
        <w:t>。</w:t>
      </w:r>
    </w:p>
    <w:p>
      <w:pPr>
        <w:tabs>
          <w:tab w:val="left" w:pos="2280"/>
          <w:tab w:val="left" w:pos="3195"/>
          <w:tab w:val="left" w:pos="4245"/>
        </w:tabs>
        <w:ind w:firstLine="480"/>
        <w:rPr>
          <w:rFonts w:hint="eastAsia" w:ascii="宋体" w:hAnsi="宋体" w:eastAsia="宋体" w:cs="宋体"/>
          <w:sz w:val="24"/>
          <w:highlight w:val="none"/>
        </w:rPr>
      </w:pPr>
    </w:p>
    <w:p>
      <w:pPr>
        <w:tabs>
          <w:tab w:val="left" w:pos="2520"/>
          <w:tab w:val="left" w:pos="3435"/>
          <w:tab w:val="left" w:pos="4485"/>
        </w:tabs>
        <w:ind w:firstLine="720" w:firstLineChars="300"/>
        <w:rPr>
          <w:rFonts w:hint="eastAsia" w:ascii="宋体" w:hAnsi="宋体" w:eastAsia="宋体" w:cs="宋体"/>
          <w:sz w:val="24"/>
          <w:highlight w:val="none"/>
        </w:rPr>
      </w:pPr>
      <w:r>
        <w:rPr>
          <w:rFonts w:hint="eastAsia" w:ascii="宋体" w:hAnsi="宋体" w:eastAsia="宋体" w:cs="宋体"/>
          <w:sz w:val="24"/>
          <w:highlight w:val="none"/>
        </w:rPr>
        <w:t>成立时间：</w:t>
      </w:r>
      <w:r>
        <w:rPr>
          <w:rFonts w:hint="eastAsia" w:ascii="宋体" w:hAnsi="宋体" w:eastAsia="宋体" w:cs="宋体"/>
          <w:sz w:val="24"/>
          <w:highlight w:val="none"/>
          <w:u w:val="single"/>
        </w:rPr>
        <w:tab/>
      </w:r>
      <w:r>
        <w:rPr>
          <w:rFonts w:hint="eastAsia" w:ascii="宋体" w:hAnsi="宋体" w:eastAsia="宋体" w:cs="宋体"/>
          <w:sz w:val="24"/>
          <w:highlight w:val="none"/>
        </w:rPr>
        <w:t>年</w:t>
      </w:r>
      <w:r>
        <w:rPr>
          <w:rFonts w:hint="eastAsia" w:ascii="宋体" w:hAnsi="宋体" w:eastAsia="宋体" w:cs="宋体"/>
          <w:sz w:val="24"/>
          <w:highlight w:val="none"/>
          <w:u w:val="single"/>
        </w:rPr>
        <w:tab/>
      </w:r>
      <w:r>
        <w:rPr>
          <w:rFonts w:hint="eastAsia" w:ascii="宋体" w:hAnsi="宋体" w:eastAsia="宋体" w:cs="宋体"/>
          <w:sz w:val="24"/>
          <w:highlight w:val="none"/>
        </w:rPr>
        <w:t>月</w:t>
      </w:r>
      <w:r>
        <w:rPr>
          <w:rFonts w:hint="eastAsia" w:ascii="宋体" w:hAnsi="宋体" w:eastAsia="宋体" w:cs="宋体"/>
          <w:sz w:val="24"/>
          <w:highlight w:val="none"/>
          <w:u w:val="single"/>
        </w:rPr>
        <w:tab/>
      </w:r>
      <w:r>
        <w:rPr>
          <w:rFonts w:hint="eastAsia" w:ascii="宋体" w:hAnsi="宋体" w:eastAsia="宋体" w:cs="宋体"/>
          <w:sz w:val="24"/>
          <w:highlight w:val="none"/>
        </w:rPr>
        <w:t>日</w:t>
      </w:r>
    </w:p>
    <w:p>
      <w:pPr>
        <w:ind w:firstLine="480"/>
        <w:rPr>
          <w:rFonts w:hint="eastAsia" w:ascii="宋体" w:hAnsi="宋体" w:eastAsia="宋体" w:cs="宋体"/>
          <w:sz w:val="24"/>
          <w:highlight w:val="none"/>
        </w:rPr>
      </w:pPr>
    </w:p>
    <w:p>
      <w:pPr>
        <w:ind w:firstLine="720" w:firstLineChars="300"/>
        <w:rPr>
          <w:rFonts w:hint="eastAsia" w:ascii="宋体" w:hAnsi="宋体" w:eastAsia="宋体" w:cs="宋体"/>
          <w:sz w:val="24"/>
          <w:highlight w:val="none"/>
          <w:u w:val="single"/>
        </w:rPr>
      </w:pPr>
      <w:r>
        <w:rPr>
          <w:rFonts w:hint="eastAsia" w:ascii="宋体" w:hAnsi="宋体" w:eastAsia="宋体" w:cs="宋体"/>
          <w:sz w:val="24"/>
          <w:highlight w:val="none"/>
        </w:rPr>
        <w:t>经营期限：</w:t>
      </w:r>
      <w:r>
        <w:rPr>
          <w:rFonts w:hint="eastAsia" w:ascii="宋体" w:hAnsi="宋体" w:eastAsia="宋体" w:cs="宋体"/>
          <w:sz w:val="24"/>
          <w:highlight w:val="none"/>
          <w:u w:val="single"/>
        </w:rPr>
        <w:t xml:space="preserve">                      </w:t>
      </w:r>
      <w:r>
        <w:rPr>
          <w:rFonts w:hint="eastAsia" w:ascii="宋体" w:hAnsi="宋体" w:eastAsia="宋体" w:cs="宋体"/>
          <w:color w:val="FFFFFF"/>
          <w:sz w:val="24"/>
          <w:highlight w:val="none"/>
          <w:u w:val="single"/>
        </w:rPr>
        <w:t>。</w:t>
      </w:r>
    </w:p>
    <w:p>
      <w:pPr>
        <w:ind w:firstLine="720" w:firstLineChars="300"/>
        <w:rPr>
          <w:rFonts w:hint="eastAsia" w:ascii="宋体" w:hAnsi="宋体" w:eastAsia="宋体" w:cs="宋体"/>
          <w:sz w:val="24"/>
          <w:highlight w:val="none"/>
        </w:rPr>
      </w:pPr>
    </w:p>
    <w:p>
      <w:pPr>
        <w:ind w:firstLine="720" w:firstLineChars="300"/>
        <w:rPr>
          <w:rFonts w:hint="eastAsia" w:ascii="宋体" w:hAnsi="宋体" w:eastAsia="宋体" w:cs="宋体"/>
          <w:sz w:val="24"/>
          <w:highlight w:val="none"/>
        </w:rPr>
      </w:pPr>
      <w:r>
        <w:rPr>
          <w:rFonts w:hint="eastAsia" w:ascii="宋体" w:hAnsi="宋体" w:eastAsia="宋体" w:cs="宋体"/>
          <w:sz w:val="24"/>
          <w:highlight w:val="none"/>
        </w:rPr>
        <w:t>姓名：</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性别：</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职务：</w:t>
      </w:r>
      <w:r>
        <w:rPr>
          <w:rFonts w:hint="eastAsia" w:ascii="宋体" w:hAnsi="宋体" w:eastAsia="宋体" w:cs="宋体"/>
          <w:sz w:val="24"/>
          <w:highlight w:val="none"/>
          <w:u w:val="single"/>
        </w:rPr>
        <w:t xml:space="preserve">    </w:t>
      </w:r>
      <w:r>
        <w:rPr>
          <w:rFonts w:hint="eastAsia" w:ascii="宋体" w:hAnsi="宋体" w:eastAsia="宋体" w:cs="宋体"/>
          <w:color w:val="FFFFFF"/>
          <w:sz w:val="24"/>
          <w:highlight w:val="none"/>
          <w:u w:val="single"/>
        </w:rPr>
        <w:t>。</w:t>
      </w:r>
    </w:p>
    <w:p>
      <w:pPr>
        <w:ind w:firstLine="711" w:firstLineChars="300"/>
        <w:rPr>
          <w:rFonts w:hint="eastAsia" w:ascii="宋体" w:hAnsi="宋体" w:eastAsia="宋体" w:cs="宋体"/>
          <w:w w:val="99"/>
          <w:sz w:val="24"/>
          <w:highlight w:val="none"/>
        </w:rPr>
      </w:pPr>
    </w:p>
    <w:p>
      <w:pPr>
        <w:ind w:firstLine="720" w:firstLineChars="300"/>
        <w:rPr>
          <w:rFonts w:hint="eastAsia" w:ascii="宋体" w:hAnsi="宋体" w:eastAsia="宋体" w:cs="宋体"/>
          <w:sz w:val="24"/>
          <w:highlight w:val="none"/>
        </w:rPr>
      </w:pPr>
      <w:r>
        <w:rPr>
          <w:rFonts w:hint="eastAsia" w:ascii="宋体" w:hAnsi="宋体" w:eastAsia="宋体" w:cs="宋体"/>
          <w:sz w:val="24"/>
          <w:highlight w:val="none"/>
        </w:rPr>
        <w:t>系</w:t>
      </w:r>
      <w:r>
        <w:rPr>
          <w:rFonts w:hint="eastAsia" w:ascii="宋体" w:hAnsi="宋体" w:eastAsia="宋体" w:cs="宋体"/>
          <w:w w:val="99"/>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color w:val="000000"/>
          <w:sz w:val="24"/>
          <w:highlight w:val="none"/>
          <w:lang w:eastAsia="zh-CN"/>
        </w:rPr>
        <w:t>磋商响应人</w:t>
      </w:r>
      <w:r>
        <w:rPr>
          <w:rFonts w:hint="eastAsia" w:ascii="宋体" w:hAnsi="宋体" w:eastAsia="宋体" w:cs="宋体"/>
          <w:sz w:val="24"/>
          <w:highlight w:val="none"/>
        </w:rPr>
        <w:t>名称）的法定代表人。</w:t>
      </w:r>
    </w:p>
    <w:tbl>
      <w:tblPr>
        <w:tblStyle w:val="22"/>
        <w:tblpPr w:leftFromText="180" w:rightFromText="180" w:vertAnchor="text" w:horzAnchor="page" w:tblpX="1627" w:tblpY="375"/>
        <w:tblOverlap w:val="never"/>
        <w:tblW w:w="94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09"/>
        <w:gridCol w:w="4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8" w:hRule="atLeast"/>
        </w:trPr>
        <w:tc>
          <w:tcPr>
            <w:tcW w:w="470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授权人身份证复印件</w:t>
            </w:r>
            <w:r>
              <w:rPr>
                <w:rFonts w:hint="eastAsia" w:ascii="宋体" w:hAnsi="宋体" w:eastAsia="宋体" w:cs="宋体"/>
                <w:b/>
                <w:color w:val="000000"/>
                <w:sz w:val="24"/>
                <w:highlight w:val="none"/>
                <w:lang w:val="en-US" w:eastAsia="zh-CN"/>
              </w:rPr>
              <w:t>正面</w:t>
            </w:r>
          </w:p>
        </w:tc>
        <w:tc>
          <w:tcPr>
            <w:tcW w:w="473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授权人身份证复印件</w:t>
            </w:r>
            <w:r>
              <w:rPr>
                <w:rFonts w:hint="eastAsia" w:ascii="宋体" w:hAnsi="宋体" w:eastAsia="宋体" w:cs="宋体"/>
                <w:b/>
                <w:color w:val="000000"/>
                <w:sz w:val="24"/>
                <w:highlight w:val="none"/>
                <w:lang w:val="en-US" w:eastAsia="zh-CN"/>
              </w:rPr>
              <w:t>反面</w:t>
            </w:r>
          </w:p>
        </w:tc>
      </w:tr>
    </w:tbl>
    <w:p>
      <w:pPr>
        <w:pStyle w:val="17"/>
        <w:rPr>
          <w:rFonts w:hint="eastAsia"/>
          <w:highlight w:val="none"/>
        </w:rPr>
      </w:pPr>
    </w:p>
    <w:p>
      <w:pPr>
        <w:spacing w:line="240" w:lineRule="exact"/>
        <w:rPr>
          <w:rFonts w:hint="eastAsia" w:ascii="宋体" w:hAnsi="宋体" w:eastAsia="宋体" w:cs="宋体"/>
          <w:sz w:val="24"/>
          <w:highlight w:val="none"/>
          <w:u w:val="single"/>
        </w:rPr>
      </w:pPr>
    </w:p>
    <w:p>
      <w:pPr>
        <w:spacing w:line="240" w:lineRule="exact"/>
        <w:rPr>
          <w:rFonts w:hint="eastAsia" w:ascii="宋体" w:hAnsi="宋体" w:eastAsia="宋体" w:cs="宋体"/>
          <w:sz w:val="24"/>
          <w:highlight w:val="none"/>
          <w:u w:val="single"/>
        </w:rPr>
      </w:pPr>
    </w:p>
    <w:p>
      <w:pPr>
        <w:spacing w:line="240" w:lineRule="exact"/>
        <w:rPr>
          <w:rFonts w:hint="eastAsia" w:ascii="宋体" w:hAnsi="宋体" w:eastAsia="宋体" w:cs="宋体"/>
          <w:sz w:val="24"/>
          <w:highlight w:val="none"/>
          <w:u w:val="single"/>
        </w:rPr>
      </w:pPr>
    </w:p>
    <w:p>
      <w:pPr>
        <w:ind w:left="520" w:firstLine="480"/>
        <w:rPr>
          <w:rFonts w:hint="eastAsia" w:ascii="宋体" w:hAnsi="宋体" w:eastAsia="宋体" w:cs="宋体"/>
          <w:sz w:val="24"/>
          <w:highlight w:val="none"/>
        </w:rPr>
      </w:pPr>
      <w:r>
        <w:rPr>
          <w:rFonts w:hint="eastAsia" w:ascii="宋体" w:hAnsi="宋体" w:eastAsia="宋体" w:cs="宋体"/>
          <w:sz w:val="24"/>
          <w:highlight w:val="none"/>
        </w:rPr>
        <w:t>特此证明。</w:t>
      </w:r>
    </w:p>
    <w:p>
      <w:pPr>
        <w:spacing w:line="240" w:lineRule="exact"/>
        <w:rPr>
          <w:rFonts w:hint="eastAsia" w:ascii="宋体" w:hAnsi="宋体" w:eastAsia="宋体" w:cs="宋体"/>
          <w:sz w:val="24"/>
          <w:highlight w:val="none"/>
          <w:u w:val="single"/>
        </w:rPr>
      </w:pPr>
    </w:p>
    <w:p>
      <w:pPr>
        <w:spacing w:line="240" w:lineRule="exact"/>
        <w:ind w:firstLine="4560" w:firstLineChars="1900"/>
        <w:rPr>
          <w:rFonts w:hint="eastAsia" w:ascii="宋体" w:hAnsi="宋体" w:eastAsia="宋体" w:cs="宋体"/>
          <w:sz w:val="24"/>
          <w:highlight w:val="none"/>
          <w:u w:val="single"/>
        </w:rPr>
      </w:pPr>
    </w:p>
    <w:p>
      <w:pPr>
        <w:spacing w:line="240" w:lineRule="exact"/>
        <w:ind w:firstLine="3360" w:firstLineChars="1400"/>
        <w:jc w:val="left"/>
        <w:rPr>
          <w:rFonts w:hint="eastAsia" w:ascii="宋体" w:hAnsi="宋体" w:eastAsia="宋体" w:cs="宋体"/>
          <w:sz w:val="24"/>
          <w:highlight w:val="none"/>
          <w:u w:val="single"/>
        </w:rPr>
      </w:pPr>
      <w:r>
        <w:rPr>
          <w:rFonts w:hint="eastAsia" w:ascii="宋体" w:hAnsi="宋体" w:eastAsia="宋体" w:cs="宋体"/>
          <w:color w:val="000000"/>
          <w:sz w:val="24"/>
          <w:highlight w:val="none"/>
          <w:lang w:eastAsia="zh-CN"/>
        </w:rPr>
        <w:t>磋商响应人</w:t>
      </w:r>
      <w:r>
        <w:rPr>
          <w:rFonts w:hint="eastAsia" w:ascii="宋体" w:hAnsi="宋体" w:eastAsia="宋体" w:cs="宋体"/>
          <w:sz w:val="24"/>
          <w:highlight w:val="none"/>
        </w:rPr>
        <w:t>：</w:t>
      </w:r>
      <w:r>
        <w:rPr>
          <w:rFonts w:hint="eastAsia" w:ascii="宋体" w:hAnsi="宋体" w:eastAsia="宋体" w:cs="宋体"/>
          <w:sz w:val="24"/>
          <w:highlight w:val="none"/>
          <w:u w:val="single"/>
        </w:rPr>
        <w:tab/>
      </w:r>
      <w:r>
        <w:rPr>
          <w:rFonts w:hint="eastAsia" w:ascii="宋体" w:hAnsi="宋体" w:eastAsia="宋体" w:cs="宋体"/>
          <w:sz w:val="24"/>
          <w:highlight w:val="none"/>
          <w:u w:val="single"/>
        </w:rPr>
        <w:t xml:space="preserve">               （盖单位公章）</w:t>
      </w:r>
    </w:p>
    <w:p>
      <w:pPr>
        <w:tabs>
          <w:tab w:val="left" w:pos="7575"/>
          <w:tab w:val="left" w:pos="8835"/>
        </w:tabs>
        <w:ind w:firstLine="199" w:firstLineChars="83"/>
        <w:rPr>
          <w:rFonts w:hint="eastAsia" w:ascii="宋体" w:hAnsi="宋体" w:eastAsia="宋体" w:cs="宋体"/>
          <w:sz w:val="24"/>
          <w:highlight w:val="none"/>
        </w:rPr>
      </w:pPr>
      <w:r>
        <w:rPr>
          <w:rFonts w:hint="eastAsia" w:ascii="宋体" w:hAnsi="宋体" w:eastAsia="宋体" w:cs="宋体"/>
          <w:sz w:val="24"/>
          <w:highlight w:val="none"/>
        </w:rPr>
        <w:t xml:space="preserve">                                             </w:t>
      </w:r>
    </w:p>
    <w:p>
      <w:pPr>
        <w:tabs>
          <w:tab w:val="left" w:pos="7575"/>
          <w:tab w:val="left" w:pos="8835"/>
        </w:tabs>
        <w:ind w:firstLine="4279" w:firstLineChars="1783"/>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月       日</w:t>
      </w:r>
    </w:p>
    <w:p>
      <w:pPr>
        <w:spacing w:line="240" w:lineRule="exact"/>
        <w:rPr>
          <w:rFonts w:hint="eastAsia" w:ascii="宋体" w:hAnsi="宋体" w:eastAsia="宋体" w:cs="宋体"/>
          <w:highlight w:val="none"/>
          <w:u w:val="single"/>
        </w:rPr>
      </w:pPr>
    </w:p>
    <w:p>
      <w:pPr>
        <w:pStyle w:val="5"/>
        <w:ind w:left="0" w:leftChars="0" w:firstLine="0" w:firstLineChars="0"/>
        <w:rPr>
          <w:rFonts w:hint="eastAsia" w:ascii="宋体" w:hAnsi="宋体" w:eastAsia="宋体" w:cs="宋体"/>
          <w:highlight w:val="none"/>
        </w:rPr>
      </w:pPr>
    </w:p>
    <w:p>
      <w:pPr>
        <w:rPr>
          <w:rFonts w:hint="eastAsia"/>
          <w:highlight w:val="none"/>
        </w:rPr>
      </w:pPr>
    </w:p>
    <w:p>
      <w:pPr>
        <w:adjustRightInd w:val="0"/>
        <w:snapToGrid w:val="0"/>
        <w:spacing w:line="480" w:lineRule="atLeast"/>
        <w:jc w:val="left"/>
        <w:rPr>
          <w:rFonts w:hint="default" w:ascii="宋体" w:hAnsi="宋体" w:eastAsia="宋体" w:cs="宋体"/>
          <w:b w:val="0"/>
          <w:bCs/>
          <w:color w:val="000000"/>
          <w:spacing w:val="40"/>
          <w:sz w:val="24"/>
          <w:szCs w:val="24"/>
          <w:highlight w:val="none"/>
          <w:lang w:val="en-US" w:eastAsia="zh-CN"/>
        </w:rPr>
      </w:pPr>
      <w:r>
        <w:rPr>
          <w:rFonts w:hint="eastAsia" w:ascii="宋体" w:hAnsi="宋体" w:eastAsia="宋体" w:cs="宋体"/>
          <w:b w:val="0"/>
          <w:bCs/>
          <w:color w:val="000000"/>
          <w:spacing w:val="40"/>
          <w:sz w:val="24"/>
          <w:szCs w:val="24"/>
          <w:highlight w:val="none"/>
          <w:lang w:val="en-US" w:eastAsia="zh-CN"/>
        </w:rPr>
        <w:t>注：法定代表人参与投标的需提供法定代表人本人近六月社保缴纳证明（缴费凭证，个人明细）</w:t>
      </w:r>
    </w:p>
    <w:p>
      <w:pPr>
        <w:adjustRightInd w:val="0"/>
        <w:snapToGrid w:val="0"/>
        <w:spacing w:line="480" w:lineRule="atLeast"/>
        <w:jc w:val="center"/>
        <w:rPr>
          <w:rFonts w:hint="eastAsia" w:ascii="宋体" w:hAnsi="宋体" w:eastAsia="宋体" w:cs="宋体"/>
          <w:b/>
          <w:color w:val="000000"/>
          <w:spacing w:val="40"/>
          <w:sz w:val="32"/>
          <w:szCs w:val="32"/>
          <w:highlight w:val="none"/>
        </w:rPr>
      </w:pPr>
    </w:p>
    <w:p>
      <w:pPr>
        <w:pStyle w:val="2"/>
        <w:rPr>
          <w:rFonts w:hint="eastAsia"/>
        </w:rPr>
      </w:pPr>
    </w:p>
    <w:p>
      <w:pPr>
        <w:adjustRightInd w:val="0"/>
        <w:snapToGrid w:val="0"/>
        <w:spacing w:line="480" w:lineRule="atLeast"/>
        <w:jc w:val="center"/>
        <w:rPr>
          <w:rFonts w:hint="eastAsia" w:ascii="宋体" w:hAnsi="宋体" w:eastAsia="宋体" w:cs="宋体"/>
          <w:color w:val="000000"/>
          <w:sz w:val="24"/>
          <w:szCs w:val="24"/>
          <w:highlight w:val="none"/>
        </w:rPr>
      </w:pPr>
      <w:r>
        <w:rPr>
          <w:rFonts w:hint="eastAsia" w:ascii="宋体" w:hAnsi="宋体" w:eastAsia="宋体" w:cs="宋体"/>
          <w:b/>
          <w:color w:val="000000"/>
          <w:spacing w:val="40"/>
          <w:sz w:val="32"/>
          <w:szCs w:val="32"/>
          <w:highlight w:val="none"/>
        </w:rPr>
        <w:t>二、响应文件签署授权委托书</w:t>
      </w:r>
    </w:p>
    <w:p>
      <w:pPr>
        <w:keepNext w:val="0"/>
        <w:keepLines w:val="0"/>
        <w:pageBreakBefore w:val="0"/>
        <w:widowControl w:val="0"/>
        <w:kinsoku/>
        <w:wordWrap/>
        <w:overflowPunct/>
        <w:topLinePunct w:val="0"/>
        <w:autoSpaceDE/>
        <w:autoSpaceDN/>
        <w:bidi w:val="0"/>
        <w:adjustRightInd/>
        <w:snapToGrid/>
        <w:spacing w:line="72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磋商响应人</w:t>
      </w:r>
      <w:r>
        <w:rPr>
          <w:rFonts w:hint="eastAsia" w:ascii="宋体" w:hAnsi="宋体" w:eastAsia="宋体" w:cs="宋体"/>
          <w:color w:val="000000"/>
          <w:sz w:val="24"/>
          <w:szCs w:val="24"/>
          <w:highlight w:val="none"/>
        </w:rPr>
        <w:t>）法定代表人授权</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为本公司的合法代理人，参加贵方组织的</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项目</w:t>
      </w:r>
      <w:r>
        <w:rPr>
          <w:rFonts w:hint="eastAsia" w:ascii="宋体" w:hAnsi="宋体" w:eastAsia="宋体" w:cs="宋体"/>
          <w:bCs/>
          <w:color w:val="000000"/>
          <w:sz w:val="24"/>
          <w:szCs w:val="24"/>
          <w:highlight w:val="none"/>
          <w:lang w:eastAsia="zh-CN"/>
        </w:rPr>
        <w:t>采购文件</w:t>
      </w:r>
      <w:r>
        <w:rPr>
          <w:rFonts w:hint="eastAsia" w:ascii="宋体" w:hAnsi="宋体" w:eastAsia="宋体" w:cs="宋体"/>
          <w:color w:val="000000"/>
          <w:sz w:val="24"/>
          <w:szCs w:val="24"/>
          <w:highlight w:val="none"/>
        </w:rPr>
        <w:t>采购</w:t>
      </w:r>
      <w:r>
        <w:rPr>
          <w:rFonts w:hint="eastAsia" w:ascii="宋体" w:hAnsi="宋体" w:eastAsia="宋体" w:cs="宋体"/>
          <w:color w:val="000000"/>
          <w:sz w:val="24"/>
          <w:szCs w:val="24"/>
          <w:highlight w:val="none"/>
          <w:lang w:eastAsia="zh-CN"/>
        </w:rPr>
        <w:t>采购</w:t>
      </w:r>
      <w:r>
        <w:rPr>
          <w:rFonts w:hint="eastAsia" w:ascii="宋体" w:hAnsi="宋体" w:eastAsia="宋体" w:cs="宋体"/>
          <w:color w:val="000000"/>
          <w:sz w:val="24"/>
          <w:szCs w:val="24"/>
          <w:highlight w:val="none"/>
        </w:rPr>
        <w:t>活动，全权代表我方处理</w:t>
      </w:r>
      <w:r>
        <w:rPr>
          <w:rFonts w:hint="eastAsia" w:ascii="宋体" w:hAnsi="宋体" w:eastAsia="宋体" w:cs="宋体"/>
          <w:color w:val="000000"/>
          <w:sz w:val="24"/>
          <w:szCs w:val="24"/>
          <w:highlight w:val="none"/>
          <w:lang w:eastAsia="zh-CN"/>
        </w:rPr>
        <w:t>采购</w:t>
      </w:r>
      <w:r>
        <w:rPr>
          <w:rFonts w:hint="eastAsia" w:ascii="宋体" w:hAnsi="宋体" w:eastAsia="宋体" w:cs="宋体"/>
          <w:color w:val="000000"/>
          <w:sz w:val="24"/>
          <w:szCs w:val="24"/>
          <w:highlight w:val="none"/>
        </w:rPr>
        <w:t>活动中的一切事宜和签署一切文件，被授权人无转委托权，特此委托。</w:t>
      </w:r>
    </w:p>
    <w:tbl>
      <w:tblPr>
        <w:tblStyle w:val="22"/>
        <w:tblpPr w:leftFromText="180" w:rightFromText="180" w:vertAnchor="text" w:horzAnchor="page" w:tblpX="1627" w:tblpY="37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10"/>
        <w:gridCol w:w="4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9" w:hRule="atLeast"/>
        </w:trPr>
        <w:tc>
          <w:tcPr>
            <w:tcW w:w="461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授权人身份证复印件</w:t>
            </w:r>
            <w:r>
              <w:rPr>
                <w:rFonts w:hint="eastAsia" w:ascii="宋体" w:hAnsi="宋体" w:eastAsia="宋体" w:cs="宋体"/>
                <w:b/>
                <w:color w:val="000000"/>
                <w:sz w:val="24"/>
                <w:highlight w:val="none"/>
                <w:lang w:val="en-US" w:eastAsia="zh-CN"/>
              </w:rPr>
              <w:t>正面</w:t>
            </w:r>
          </w:p>
        </w:tc>
        <w:tc>
          <w:tcPr>
            <w:tcW w:w="46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被授权人身份证复印件</w:t>
            </w:r>
            <w:r>
              <w:rPr>
                <w:rFonts w:hint="eastAsia" w:ascii="宋体" w:hAnsi="宋体" w:eastAsia="宋体" w:cs="宋体"/>
                <w:b/>
                <w:color w:val="000000"/>
                <w:sz w:val="24"/>
                <w:highlight w:val="none"/>
                <w:lang w:val="en-US" w:eastAsia="zh-CN"/>
              </w:rPr>
              <w:t>正面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4" w:hRule="atLeast"/>
        </w:trPr>
        <w:tc>
          <w:tcPr>
            <w:tcW w:w="461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000000"/>
                <w:sz w:val="24"/>
                <w:highlight w:val="none"/>
                <w:lang w:val="en-US" w:eastAsia="zh-CN"/>
              </w:rPr>
            </w:pPr>
            <w:r>
              <w:rPr>
                <w:rFonts w:hint="eastAsia" w:ascii="宋体" w:hAnsi="宋体" w:eastAsia="宋体" w:cs="宋体"/>
                <w:b/>
                <w:color w:val="000000"/>
                <w:sz w:val="24"/>
                <w:highlight w:val="none"/>
              </w:rPr>
              <w:t>授权人身份证复印件</w:t>
            </w:r>
            <w:r>
              <w:rPr>
                <w:rFonts w:hint="eastAsia" w:ascii="宋体" w:hAnsi="宋体" w:eastAsia="宋体" w:cs="宋体"/>
                <w:b/>
                <w:color w:val="000000"/>
                <w:sz w:val="24"/>
                <w:highlight w:val="none"/>
                <w:lang w:val="en-US" w:eastAsia="zh-CN"/>
              </w:rPr>
              <w:t>反面</w:t>
            </w:r>
          </w:p>
        </w:tc>
        <w:tc>
          <w:tcPr>
            <w:tcW w:w="46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000000"/>
                <w:sz w:val="24"/>
                <w:highlight w:val="none"/>
                <w:lang w:val="en-US" w:eastAsia="zh-CN"/>
              </w:rPr>
            </w:pPr>
            <w:r>
              <w:rPr>
                <w:rFonts w:hint="eastAsia" w:ascii="宋体" w:hAnsi="宋体" w:eastAsia="宋体" w:cs="宋体"/>
                <w:b/>
                <w:color w:val="000000"/>
                <w:sz w:val="24"/>
                <w:highlight w:val="none"/>
              </w:rPr>
              <w:t>被授权人身份证复印件</w:t>
            </w:r>
            <w:r>
              <w:rPr>
                <w:rFonts w:hint="eastAsia" w:ascii="宋体" w:hAnsi="宋体" w:eastAsia="宋体" w:cs="宋体"/>
                <w:b/>
                <w:color w:val="000000"/>
                <w:sz w:val="24"/>
                <w:highlight w:val="none"/>
                <w:lang w:val="en-US" w:eastAsia="zh-CN"/>
              </w:rPr>
              <w:t>反面</w:t>
            </w:r>
          </w:p>
        </w:tc>
      </w:tr>
    </w:tbl>
    <w:p>
      <w:pPr>
        <w:pStyle w:val="20"/>
        <w:ind w:left="0" w:leftChars="0" w:firstLine="0" w:firstLineChars="0"/>
        <w:rPr>
          <w:rFonts w:hint="eastAsia" w:ascii="宋体" w:hAnsi="宋体" w:eastAsia="宋体" w:cs="宋体"/>
          <w:highlight w:val="none"/>
        </w:rPr>
      </w:pPr>
    </w:p>
    <w:p>
      <w:pPr>
        <w:spacing w:line="760" w:lineRule="exact"/>
        <w:ind w:left="2024" w:leftChars="964" w:firstLine="1200" w:firstLineChars="500"/>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磋商响应人</w:t>
      </w:r>
      <w:r>
        <w:rPr>
          <w:rFonts w:hint="eastAsia" w:ascii="宋体" w:hAnsi="宋体" w:eastAsia="宋体" w:cs="宋体"/>
          <w:color w:val="000000"/>
          <w:sz w:val="24"/>
          <w:highlight w:val="none"/>
        </w:rPr>
        <w:t>：</w:t>
      </w:r>
      <w:r>
        <w:rPr>
          <w:rFonts w:hint="eastAsia" w:ascii="宋体" w:hAnsi="宋体" w:eastAsia="宋体" w:cs="宋体"/>
          <w:color w:val="000000"/>
          <w:sz w:val="24"/>
          <w:highlight w:val="none"/>
          <w:u w:val="single"/>
        </w:rPr>
        <w:t xml:space="preserve">       （盖章）         </w:t>
      </w:r>
    </w:p>
    <w:p>
      <w:pPr>
        <w:spacing w:line="760" w:lineRule="exact"/>
        <w:ind w:left="2024" w:leftChars="964" w:firstLine="1200" w:firstLineChars="500"/>
        <w:rPr>
          <w:rFonts w:hint="eastAsia" w:ascii="宋体" w:hAnsi="宋体" w:eastAsia="宋体" w:cs="宋体"/>
          <w:color w:val="000000"/>
          <w:sz w:val="24"/>
          <w:highlight w:val="none"/>
          <w:u w:val="single"/>
        </w:rPr>
      </w:pPr>
      <w:r>
        <w:rPr>
          <w:rFonts w:hint="eastAsia" w:ascii="宋体" w:hAnsi="宋体" w:eastAsia="宋体" w:cs="宋体"/>
          <w:color w:val="000000"/>
          <w:sz w:val="24"/>
          <w:highlight w:val="none"/>
        </w:rPr>
        <w:t>法定代表人：</w:t>
      </w:r>
      <w:r>
        <w:rPr>
          <w:rFonts w:hint="eastAsia" w:ascii="宋体" w:hAnsi="宋体" w:eastAsia="宋体" w:cs="宋体"/>
          <w:color w:val="000000"/>
          <w:sz w:val="24"/>
          <w:highlight w:val="none"/>
          <w:u w:val="single"/>
        </w:rPr>
        <w:t xml:space="preserve">    （签字</w:t>
      </w:r>
      <w:r>
        <w:rPr>
          <w:rFonts w:hint="eastAsia" w:ascii="宋体" w:hAnsi="宋体" w:eastAsia="宋体" w:cs="宋体"/>
          <w:color w:val="000000"/>
          <w:sz w:val="24"/>
          <w:highlight w:val="none"/>
          <w:u w:val="single"/>
          <w:lang w:val="en-US" w:eastAsia="zh-CN"/>
        </w:rPr>
        <w:t>或</w:t>
      </w:r>
      <w:r>
        <w:rPr>
          <w:rFonts w:hint="eastAsia" w:ascii="宋体" w:hAnsi="宋体" w:eastAsia="宋体" w:cs="宋体"/>
          <w:color w:val="000000"/>
          <w:sz w:val="24"/>
          <w:highlight w:val="none"/>
          <w:u w:val="single"/>
        </w:rPr>
        <w:t xml:space="preserve">盖章）      </w:t>
      </w:r>
    </w:p>
    <w:p>
      <w:pPr>
        <w:pStyle w:val="20"/>
        <w:ind w:firstLine="3840" w:firstLineChars="1600"/>
        <w:rPr>
          <w:rFonts w:hint="eastAsia" w:ascii="宋体" w:hAnsi="宋体" w:eastAsia="宋体" w:cs="宋体"/>
          <w:color w:val="000000"/>
          <w:sz w:val="24"/>
          <w:highlight w:val="none"/>
        </w:rPr>
      </w:pPr>
    </w:p>
    <w:p>
      <w:pPr>
        <w:pStyle w:val="20"/>
        <w:ind w:firstLine="3840" w:firstLineChars="1600"/>
        <w:rPr>
          <w:rFonts w:hint="eastAsia" w:ascii="宋体" w:hAnsi="宋体" w:eastAsia="宋体" w:cs="宋体"/>
          <w:highlight w:val="none"/>
          <w:lang w:val="en-US" w:eastAsia="zh-CN"/>
        </w:rPr>
      </w:pPr>
      <w:r>
        <w:rPr>
          <w:rFonts w:hint="eastAsia" w:ascii="宋体" w:hAnsi="宋体" w:eastAsia="宋体" w:cs="宋体"/>
          <w:color w:val="000000"/>
          <w:sz w:val="24"/>
          <w:highlight w:val="none"/>
        </w:rPr>
        <w:t>授权委托</w:t>
      </w:r>
      <w:r>
        <w:rPr>
          <w:rFonts w:hint="eastAsia" w:ascii="宋体" w:hAnsi="宋体" w:eastAsia="宋体" w:cs="宋体"/>
          <w:color w:val="000000"/>
          <w:sz w:val="24"/>
          <w:highlight w:val="none"/>
          <w:lang w:val="en-US" w:eastAsia="zh-CN"/>
        </w:rPr>
        <w:t>人：</w:t>
      </w:r>
      <w:r>
        <w:rPr>
          <w:rFonts w:hint="eastAsia" w:ascii="宋体" w:hAnsi="宋体" w:eastAsia="宋体" w:cs="宋体"/>
          <w:color w:val="000000"/>
          <w:sz w:val="24"/>
          <w:highlight w:val="none"/>
          <w:u w:val="single"/>
        </w:rPr>
        <w:t xml:space="preserve">    （签字</w:t>
      </w:r>
      <w:r>
        <w:rPr>
          <w:rFonts w:hint="eastAsia" w:ascii="宋体" w:hAnsi="宋体" w:eastAsia="宋体" w:cs="宋体"/>
          <w:color w:val="000000"/>
          <w:sz w:val="24"/>
          <w:highlight w:val="none"/>
          <w:u w:val="single"/>
          <w:lang w:val="en-US" w:eastAsia="zh-CN"/>
        </w:rPr>
        <w:t>或</w:t>
      </w:r>
      <w:r>
        <w:rPr>
          <w:rFonts w:hint="eastAsia" w:ascii="宋体" w:hAnsi="宋体" w:eastAsia="宋体" w:cs="宋体"/>
          <w:color w:val="000000"/>
          <w:sz w:val="24"/>
          <w:highlight w:val="none"/>
          <w:u w:val="single"/>
        </w:rPr>
        <w:t xml:space="preserve">盖章）      </w:t>
      </w:r>
    </w:p>
    <w:p>
      <w:pPr>
        <w:spacing w:line="76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授权委托日期：</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 xml:space="preserve">年 </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月</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日</w:t>
      </w:r>
    </w:p>
    <w:p>
      <w:pPr>
        <w:pStyle w:val="5"/>
        <w:rPr>
          <w:rFonts w:hint="eastAsia" w:ascii="宋体" w:hAnsi="宋体" w:eastAsia="宋体" w:cs="宋体"/>
          <w:b/>
          <w:color w:val="000000"/>
          <w:spacing w:val="40"/>
          <w:sz w:val="32"/>
          <w:szCs w:val="32"/>
          <w:highlight w:val="none"/>
        </w:rPr>
      </w:pPr>
      <w:r>
        <w:rPr>
          <w:rFonts w:hint="eastAsia" w:ascii="宋体" w:hAnsi="宋体" w:eastAsia="宋体" w:cs="宋体"/>
          <w:sz w:val="24"/>
          <w:highlight w:val="none"/>
          <w:lang w:val="en-US" w:eastAsia="zh-CN"/>
        </w:rPr>
        <w:t>注：委托人参与投标的需提供委托人近六月社保缴纳证明（</w:t>
      </w:r>
      <w:r>
        <w:rPr>
          <w:rFonts w:hint="eastAsia" w:ascii="宋体" w:hAnsi="宋体" w:eastAsia="宋体" w:cs="宋体"/>
          <w:color w:val="000000"/>
          <w:kern w:val="0"/>
          <w:sz w:val="24"/>
          <w:highlight w:val="none"/>
          <w:lang w:val="en-US" w:eastAsia="zh-CN"/>
        </w:rPr>
        <w:t>缴费凭证，个人明细）</w:t>
      </w:r>
    </w:p>
    <w:p>
      <w:pPr>
        <w:adjustRightInd w:val="0"/>
        <w:snapToGrid w:val="0"/>
        <w:spacing w:line="480" w:lineRule="atLeast"/>
        <w:jc w:val="center"/>
        <w:rPr>
          <w:rFonts w:hint="eastAsia" w:ascii="宋体" w:hAnsi="宋体" w:eastAsia="宋体" w:cs="宋体"/>
          <w:b/>
          <w:color w:val="000000"/>
          <w:spacing w:val="40"/>
          <w:sz w:val="32"/>
          <w:szCs w:val="32"/>
          <w:highlight w:val="none"/>
        </w:rPr>
      </w:pPr>
    </w:p>
    <w:p>
      <w:pPr>
        <w:adjustRightInd w:val="0"/>
        <w:snapToGrid w:val="0"/>
        <w:spacing w:line="480" w:lineRule="atLeast"/>
        <w:jc w:val="center"/>
        <w:rPr>
          <w:rFonts w:hint="eastAsia" w:ascii="宋体" w:hAnsi="宋体" w:eastAsia="宋体" w:cs="宋体"/>
          <w:b/>
          <w:color w:val="000000"/>
          <w:spacing w:val="40"/>
          <w:sz w:val="32"/>
          <w:szCs w:val="32"/>
          <w:highlight w:val="none"/>
        </w:rPr>
      </w:pPr>
    </w:p>
    <w:p>
      <w:pPr>
        <w:adjustRightInd w:val="0"/>
        <w:snapToGrid w:val="0"/>
        <w:spacing w:line="480" w:lineRule="atLeast"/>
        <w:jc w:val="center"/>
        <w:rPr>
          <w:rFonts w:hint="eastAsia" w:ascii="宋体" w:hAnsi="宋体" w:eastAsia="宋体" w:cs="宋体"/>
          <w:b/>
          <w:color w:val="000000"/>
          <w:spacing w:val="40"/>
          <w:sz w:val="32"/>
          <w:szCs w:val="32"/>
          <w:highlight w:val="none"/>
        </w:rPr>
      </w:pPr>
    </w:p>
    <w:p>
      <w:pPr>
        <w:adjustRightInd w:val="0"/>
        <w:snapToGrid w:val="0"/>
        <w:spacing w:line="480" w:lineRule="atLeast"/>
        <w:jc w:val="center"/>
        <w:rPr>
          <w:rFonts w:hint="eastAsia" w:ascii="宋体" w:hAnsi="宋体" w:eastAsia="宋体" w:cs="宋体"/>
          <w:b/>
          <w:color w:val="000000"/>
          <w:spacing w:val="40"/>
          <w:sz w:val="32"/>
          <w:szCs w:val="32"/>
          <w:highlight w:val="none"/>
        </w:rPr>
      </w:pPr>
      <w:r>
        <w:rPr>
          <w:rFonts w:hint="eastAsia" w:ascii="宋体" w:hAnsi="宋体" w:eastAsia="宋体" w:cs="宋体"/>
          <w:b/>
          <w:color w:val="000000"/>
          <w:spacing w:val="40"/>
          <w:sz w:val="32"/>
          <w:szCs w:val="32"/>
          <w:highlight w:val="none"/>
        </w:rPr>
        <w:t>三、</w:t>
      </w:r>
      <w:r>
        <w:rPr>
          <w:rFonts w:hint="eastAsia" w:ascii="宋体" w:hAnsi="宋体" w:eastAsia="宋体" w:cs="宋体"/>
          <w:b/>
          <w:color w:val="000000"/>
          <w:spacing w:val="40"/>
          <w:sz w:val="32"/>
          <w:szCs w:val="32"/>
          <w:highlight w:val="none"/>
          <w:lang w:val="en-US" w:eastAsia="zh-CN"/>
        </w:rPr>
        <w:t>投 标</w:t>
      </w:r>
      <w:r>
        <w:rPr>
          <w:rFonts w:hint="eastAsia" w:ascii="宋体" w:hAnsi="宋体" w:eastAsia="宋体" w:cs="宋体"/>
          <w:b/>
          <w:color w:val="000000"/>
          <w:spacing w:val="40"/>
          <w:sz w:val="32"/>
          <w:szCs w:val="32"/>
          <w:highlight w:val="none"/>
        </w:rPr>
        <w:t xml:space="preserve"> 函</w:t>
      </w:r>
    </w:p>
    <w:p>
      <w:pPr>
        <w:widowControl/>
        <w:snapToGrid w:val="0"/>
        <w:spacing w:line="480" w:lineRule="exact"/>
        <w:jc w:val="left"/>
        <w:outlineLvl w:val="0"/>
        <w:rPr>
          <w:rFonts w:hint="eastAsia" w:ascii="宋体" w:hAnsi="宋体" w:eastAsia="宋体" w:cs="宋体"/>
          <w:sz w:val="24"/>
          <w:highlight w:val="none"/>
        </w:rPr>
      </w:pPr>
      <w:bookmarkStart w:id="74" w:name="_Toc11781"/>
      <w:bookmarkStart w:id="75" w:name="_Toc22444"/>
      <w:r>
        <w:rPr>
          <w:rFonts w:hint="eastAsia" w:ascii="宋体" w:hAnsi="宋体" w:eastAsia="宋体" w:cs="宋体"/>
          <w:sz w:val="24"/>
          <w:highlight w:val="none"/>
        </w:rPr>
        <w:t>致（采购方名称）：</w:t>
      </w:r>
      <w:bookmarkEnd w:id="74"/>
      <w:bookmarkEnd w:id="75"/>
    </w:p>
    <w:p>
      <w:pPr>
        <w:widowControl/>
        <w:snapToGrid w:val="0"/>
        <w:spacing w:line="480" w:lineRule="exact"/>
        <w:ind w:firstLine="480" w:firstLineChars="200"/>
        <w:jc w:val="left"/>
        <w:outlineLvl w:val="0"/>
        <w:rPr>
          <w:rFonts w:hint="eastAsia" w:ascii="宋体" w:hAnsi="宋体" w:eastAsia="宋体" w:cs="宋体"/>
          <w:sz w:val="24"/>
          <w:highlight w:val="none"/>
        </w:rPr>
      </w:pPr>
      <w:bookmarkStart w:id="76" w:name="_Toc15257"/>
      <w:bookmarkStart w:id="77" w:name="_Toc20547"/>
      <w:r>
        <w:rPr>
          <w:rFonts w:hint="eastAsia" w:ascii="宋体" w:hAnsi="宋体" w:eastAsia="宋体" w:cs="宋体"/>
          <w:sz w:val="24"/>
          <w:highlight w:val="none"/>
        </w:rPr>
        <w:t>根据你方</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项目的编号为：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none"/>
          <w:lang w:eastAsia="zh-CN"/>
        </w:rPr>
        <w:t>磋商</w:t>
      </w:r>
      <w:r>
        <w:rPr>
          <w:rFonts w:hint="eastAsia" w:ascii="宋体" w:hAnsi="宋体" w:eastAsia="宋体" w:cs="宋体"/>
          <w:sz w:val="24"/>
          <w:highlight w:val="none"/>
        </w:rPr>
        <w:t>文件，本公司正式授权的下述签字人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（姓名和职务）代表本公司</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color w:val="000000"/>
          <w:sz w:val="24"/>
          <w:highlight w:val="none"/>
          <w:lang w:eastAsia="zh-CN"/>
        </w:rPr>
        <w:t>磋商响应人</w:t>
      </w:r>
      <w:r>
        <w:rPr>
          <w:rFonts w:hint="eastAsia" w:ascii="宋体" w:hAnsi="宋体" w:eastAsia="宋体" w:cs="宋体"/>
          <w:sz w:val="24"/>
          <w:highlight w:val="none"/>
        </w:rPr>
        <w:t>名称），提交全部文件正本</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份，副本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份。</w:t>
      </w:r>
      <w:bookmarkEnd w:id="76"/>
      <w:bookmarkEnd w:id="77"/>
    </w:p>
    <w:p>
      <w:pPr>
        <w:widowControl/>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据此函，签字人兹宣布同意如下：</w:t>
      </w:r>
    </w:p>
    <w:p>
      <w:pPr>
        <w:widowControl/>
        <w:tabs>
          <w:tab w:val="left" w:pos="7125"/>
        </w:tabs>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bCs/>
          <w:sz w:val="24"/>
          <w:highlight w:val="none"/>
        </w:rPr>
        <w:t>1.</w:t>
      </w:r>
      <w:r>
        <w:rPr>
          <w:rFonts w:hint="eastAsia" w:ascii="宋体" w:hAnsi="宋体" w:eastAsia="宋体" w:cs="宋体"/>
          <w:sz w:val="24"/>
          <w:highlight w:val="none"/>
        </w:rPr>
        <w:t>按</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文件规定的投标为（大写）</w:t>
      </w:r>
      <w:r>
        <w:rPr>
          <w:rFonts w:hint="eastAsia" w:ascii="宋体" w:hAnsi="宋体" w:eastAsia="宋体" w:cs="宋体"/>
          <w:sz w:val="24"/>
          <w:highlight w:val="none"/>
          <w:u w:val="single"/>
        </w:rPr>
        <w:tab/>
      </w:r>
      <w:r>
        <w:rPr>
          <w:rFonts w:hint="eastAsia" w:ascii="宋体" w:hAnsi="宋体" w:eastAsia="宋体" w:cs="宋体"/>
          <w:sz w:val="24"/>
          <w:highlight w:val="none"/>
        </w:rPr>
        <w:t>元人民币。</w:t>
      </w:r>
    </w:p>
    <w:p>
      <w:pPr>
        <w:widowControl/>
        <w:snapToGrid w:val="0"/>
        <w:spacing w:line="480" w:lineRule="exact"/>
        <w:ind w:firstLine="480" w:firstLineChars="200"/>
        <w:jc w:val="left"/>
        <w:rPr>
          <w:rFonts w:hint="default" w:ascii="宋体" w:hAnsi="宋体" w:eastAsia="宋体" w:cs="宋体"/>
          <w:sz w:val="24"/>
          <w:highlight w:val="none"/>
          <w:u w:val="single"/>
          <w:lang w:val="en-US" w:eastAsia="zh-CN"/>
        </w:rPr>
      </w:pPr>
      <w:r>
        <w:rPr>
          <w:rFonts w:hint="eastAsia" w:ascii="宋体" w:hAnsi="宋体" w:eastAsia="宋体" w:cs="宋体"/>
          <w:bCs/>
          <w:sz w:val="24"/>
          <w:highlight w:val="none"/>
        </w:rPr>
        <w:t>2.</w:t>
      </w:r>
      <w:r>
        <w:rPr>
          <w:rFonts w:hint="eastAsia" w:ascii="宋体" w:hAnsi="宋体" w:eastAsia="宋体" w:cs="宋体"/>
          <w:sz w:val="24"/>
          <w:highlight w:val="none"/>
        </w:rPr>
        <w:t>如果我方被评定为</w:t>
      </w:r>
      <w:r>
        <w:rPr>
          <w:rFonts w:hint="eastAsia" w:ascii="宋体" w:hAnsi="宋体" w:eastAsia="宋体" w:cs="宋体"/>
          <w:sz w:val="24"/>
          <w:highlight w:val="none"/>
          <w:lang w:val="en-US" w:eastAsia="zh-CN"/>
        </w:rPr>
        <w:t>中标候选人</w:t>
      </w:r>
      <w:r>
        <w:rPr>
          <w:rFonts w:hint="eastAsia" w:ascii="宋体" w:hAnsi="宋体" w:eastAsia="宋体" w:cs="宋体"/>
          <w:sz w:val="24"/>
          <w:highlight w:val="none"/>
        </w:rPr>
        <w:t>，我们保证根据</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文件规定履行合同责任和义务。具体</w:t>
      </w:r>
      <w:r>
        <w:rPr>
          <w:rFonts w:hint="eastAsia" w:ascii="宋体" w:hAnsi="宋体" w:eastAsia="宋体" w:cs="宋体"/>
          <w:sz w:val="24"/>
          <w:highlight w:val="none"/>
          <w:lang w:val="en-US" w:eastAsia="zh-CN"/>
        </w:rPr>
        <w:t>完工</w:t>
      </w:r>
      <w:r>
        <w:rPr>
          <w:rFonts w:hint="eastAsia" w:ascii="宋体" w:hAnsi="宋体" w:eastAsia="宋体" w:cs="宋体"/>
          <w:sz w:val="24"/>
          <w:highlight w:val="none"/>
        </w:rPr>
        <w:t>时间承诺如下：合同订立后</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none"/>
          <w:lang w:val="en-US" w:eastAsia="zh-CN"/>
        </w:rPr>
        <w:t>之内</w:t>
      </w:r>
      <w:r>
        <w:rPr>
          <w:rFonts w:hint="eastAsia" w:ascii="宋体" w:hAnsi="宋体" w:eastAsia="宋体" w:cs="宋体"/>
          <w:sz w:val="24"/>
          <w:highlight w:val="none"/>
        </w:rPr>
        <w:t>天</w:t>
      </w:r>
      <w:r>
        <w:rPr>
          <w:rFonts w:hint="eastAsia" w:ascii="宋体" w:hAnsi="宋体" w:eastAsia="宋体" w:cs="宋体"/>
          <w:sz w:val="24"/>
          <w:highlight w:val="none"/>
          <w:lang w:val="en-US" w:eastAsia="zh-CN"/>
        </w:rPr>
        <w:t>完成施工，质量达到</w:t>
      </w:r>
      <w:r>
        <w:rPr>
          <w:rFonts w:hint="eastAsia" w:ascii="宋体" w:hAnsi="宋体" w:eastAsia="宋体" w:cs="宋体"/>
          <w:sz w:val="24"/>
          <w:highlight w:val="none"/>
          <w:u w:val="single"/>
          <w:lang w:val="en-US" w:eastAsia="zh-CN"/>
        </w:rPr>
        <w:t xml:space="preserve">       </w:t>
      </w:r>
    </w:p>
    <w:p>
      <w:pPr>
        <w:widowControl/>
        <w:snapToGrid w:val="0"/>
        <w:spacing w:line="480" w:lineRule="exact"/>
        <w:ind w:firstLine="480" w:firstLineChars="200"/>
        <w:jc w:val="left"/>
        <w:rPr>
          <w:rFonts w:hint="eastAsia" w:ascii="宋体" w:hAnsi="宋体" w:eastAsia="宋体" w:cs="宋体"/>
          <w:bCs/>
          <w:sz w:val="24"/>
          <w:highlight w:val="none"/>
        </w:rPr>
      </w:pPr>
      <w:r>
        <w:rPr>
          <w:rFonts w:hint="eastAsia" w:ascii="宋体" w:hAnsi="宋体" w:eastAsia="宋体" w:cs="宋体"/>
          <w:bCs/>
          <w:sz w:val="24"/>
          <w:highlight w:val="none"/>
        </w:rPr>
        <w:t>3.我方人民币</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元的</w:t>
      </w:r>
      <w:r>
        <w:rPr>
          <w:rFonts w:hint="eastAsia" w:ascii="宋体" w:hAnsi="宋体" w:eastAsia="宋体" w:cs="宋体"/>
          <w:bCs/>
          <w:sz w:val="24"/>
          <w:highlight w:val="none"/>
          <w:lang w:eastAsia="zh-CN"/>
        </w:rPr>
        <w:t>磋商</w:t>
      </w:r>
      <w:r>
        <w:rPr>
          <w:rFonts w:hint="eastAsia" w:ascii="宋体" w:hAnsi="宋体" w:eastAsia="宋体" w:cs="宋体"/>
          <w:bCs/>
          <w:sz w:val="24"/>
          <w:highlight w:val="none"/>
        </w:rPr>
        <w:t>保证金与本投标文件同时提交。</w:t>
      </w:r>
    </w:p>
    <w:p>
      <w:pPr>
        <w:widowControl/>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bCs/>
          <w:sz w:val="24"/>
          <w:highlight w:val="none"/>
        </w:rPr>
        <w:t>4.如果我方成交，我方保证按</w:t>
      </w:r>
      <w:r>
        <w:rPr>
          <w:rFonts w:hint="eastAsia" w:ascii="宋体" w:hAnsi="宋体" w:eastAsia="宋体" w:cs="宋体"/>
          <w:bCs/>
          <w:sz w:val="24"/>
          <w:highlight w:val="none"/>
          <w:lang w:eastAsia="zh-CN"/>
        </w:rPr>
        <w:t>磋商</w:t>
      </w:r>
      <w:r>
        <w:rPr>
          <w:rFonts w:hint="eastAsia" w:ascii="宋体" w:hAnsi="宋体" w:eastAsia="宋体" w:cs="宋体"/>
          <w:bCs/>
          <w:sz w:val="24"/>
          <w:highlight w:val="none"/>
        </w:rPr>
        <w:t>文件规定提交履约保证金，承担履约责任。</w:t>
      </w:r>
    </w:p>
    <w:p>
      <w:pPr>
        <w:widowControl/>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bCs/>
          <w:sz w:val="24"/>
          <w:highlight w:val="none"/>
        </w:rPr>
        <w:t>5.</w:t>
      </w:r>
      <w:r>
        <w:rPr>
          <w:rFonts w:hint="eastAsia" w:ascii="宋体" w:hAnsi="宋体" w:eastAsia="宋体" w:cs="宋体"/>
          <w:sz w:val="24"/>
          <w:highlight w:val="none"/>
        </w:rPr>
        <w:t>我们已详细阅读了全部</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文件以及</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文件的修改、补充文件和有关的附件，我们知道必须放弃提出含糊不清或误解的问题的权利。</w:t>
      </w:r>
    </w:p>
    <w:p>
      <w:pPr>
        <w:widowControl/>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bCs/>
          <w:sz w:val="24"/>
          <w:highlight w:val="none"/>
        </w:rPr>
        <w:t>6.</w:t>
      </w:r>
      <w:r>
        <w:rPr>
          <w:rFonts w:hint="eastAsia" w:ascii="宋体" w:hAnsi="宋体" w:eastAsia="宋体" w:cs="宋体"/>
          <w:sz w:val="24"/>
          <w:highlight w:val="none"/>
        </w:rPr>
        <w:t>我们对</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文件关于时限、程序方面的规定没有异议，保证按照</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文件规定的时限和程序参加</w:t>
      </w:r>
      <w:r>
        <w:rPr>
          <w:rFonts w:hint="eastAsia" w:ascii="宋体" w:hAnsi="宋体" w:eastAsia="宋体" w:cs="宋体"/>
          <w:sz w:val="24"/>
          <w:highlight w:val="none"/>
          <w:lang w:eastAsia="zh-CN"/>
        </w:rPr>
        <w:t>磋商</w:t>
      </w:r>
      <w:r>
        <w:rPr>
          <w:rFonts w:hint="eastAsia" w:ascii="宋体" w:hAnsi="宋体" w:eastAsia="宋体" w:cs="宋体"/>
          <w:sz w:val="24"/>
          <w:highlight w:val="none"/>
        </w:rPr>
        <w:t>活动。</w:t>
      </w:r>
    </w:p>
    <w:p>
      <w:pPr>
        <w:widowControl/>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bCs/>
          <w:sz w:val="24"/>
          <w:highlight w:val="none"/>
        </w:rPr>
        <w:t>7.</w:t>
      </w:r>
      <w:r>
        <w:rPr>
          <w:rFonts w:hint="eastAsia" w:ascii="宋体" w:hAnsi="宋体" w:eastAsia="宋体" w:cs="宋体"/>
          <w:sz w:val="24"/>
          <w:highlight w:val="none"/>
        </w:rPr>
        <w:t>我们同意在规定的公开投标时间起遵循本</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文件，并在规定的</w:t>
      </w:r>
      <w:r>
        <w:rPr>
          <w:rFonts w:hint="eastAsia" w:ascii="宋体" w:hAnsi="宋体" w:eastAsia="宋体" w:cs="宋体"/>
          <w:sz w:val="24"/>
          <w:highlight w:val="none"/>
          <w:lang w:eastAsia="zh-CN"/>
        </w:rPr>
        <w:t>磋商有效期</w:t>
      </w:r>
      <w:r>
        <w:rPr>
          <w:rFonts w:hint="eastAsia" w:ascii="宋体" w:hAnsi="宋体" w:eastAsia="宋体" w:cs="宋体"/>
          <w:sz w:val="24"/>
          <w:highlight w:val="none"/>
        </w:rPr>
        <w:t>满之前均具有约束力，并有可能被确定为中标</w:t>
      </w:r>
      <w:r>
        <w:rPr>
          <w:rFonts w:hint="eastAsia" w:ascii="宋体" w:hAnsi="宋体" w:eastAsia="宋体" w:cs="宋体"/>
          <w:sz w:val="24"/>
          <w:highlight w:val="none"/>
          <w:lang w:val="en-US" w:eastAsia="zh-CN"/>
        </w:rPr>
        <w:t>候选人</w:t>
      </w:r>
      <w:r>
        <w:rPr>
          <w:rFonts w:hint="eastAsia" w:ascii="宋体" w:hAnsi="宋体" w:eastAsia="宋体" w:cs="宋体"/>
          <w:sz w:val="24"/>
          <w:highlight w:val="none"/>
        </w:rPr>
        <w:t>。</w:t>
      </w:r>
    </w:p>
    <w:p>
      <w:pPr>
        <w:widowControl/>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bCs/>
          <w:sz w:val="24"/>
          <w:highlight w:val="none"/>
        </w:rPr>
        <w:t>8.</w:t>
      </w:r>
      <w:r>
        <w:rPr>
          <w:rFonts w:hint="eastAsia" w:ascii="宋体" w:hAnsi="宋体" w:eastAsia="宋体" w:cs="宋体"/>
          <w:sz w:val="24"/>
          <w:highlight w:val="none"/>
        </w:rPr>
        <w:t>如果我们在规定的</w:t>
      </w:r>
      <w:r>
        <w:rPr>
          <w:rFonts w:hint="eastAsia" w:ascii="宋体" w:hAnsi="宋体" w:eastAsia="宋体" w:cs="宋体"/>
          <w:sz w:val="24"/>
          <w:highlight w:val="none"/>
          <w:lang w:eastAsia="zh-CN"/>
        </w:rPr>
        <w:t>磋商有效期</w:t>
      </w:r>
      <w:r>
        <w:rPr>
          <w:rFonts w:hint="eastAsia" w:ascii="宋体" w:hAnsi="宋体" w:eastAsia="宋体" w:cs="宋体"/>
          <w:sz w:val="24"/>
          <w:highlight w:val="none"/>
        </w:rPr>
        <w:t>内撤回投标文件，贵方可不予退还我们的</w:t>
      </w:r>
      <w:r>
        <w:rPr>
          <w:rFonts w:hint="eastAsia" w:ascii="宋体" w:hAnsi="宋体" w:eastAsia="宋体" w:cs="宋体"/>
          <w:sz w:val="24"/>
          <w:highlight w:val="none"/>
          <w:lang w:eastAsia="zh-CN"/>
        </w:rPr>
        <w:t>磋商</w:t>
      </w:r>
      <w:r>
        <w:rPr>
          <w:rFonts w:hint="eastAsia" w:ascii="宋体" w:hAnsi="宋体" w:eastAsia="宋体" w:cs="宋体"/>
          <w:sz w:val="24"/>
          <w:highlight w:val="none"/>
        </w:rPr>
        <w:t>保证金。</w:t>
      </w:r>
    </w:p>
    <w:p>
      <w:pPr>
        <w:widowControl/>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bCs/>
          <w:sz w:val="24"/>
          <w:highlight w:val="none"/>
        </w:rPr>
        <w:t>9.</w:t>
      </w:r>
      <w:r>
        <w:rPr>
          <w:rFonts w:hint="eastAsia" w:ascii="宋体" w:hAnsi="宋体" w:eastAsia="宋体" w:cs="宋体"/>
          <w:sz w:val="24"/>
          <w:highlight w:val="none"/>
        </w:rPr>
        <w:t>我们同意向你方提供你方可能要求的与本投标有关的任何证据或资料。</w:t>
      </w:r>
    </w:p>
    <w:p>
      <w:pPr>
        <w:widowControl/>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bCs/>
          <w:sz w:val="24"/>
          <w:highlight w:val="none"/>
        </w:rPr>
        <w:t>10.</w:t>
      </w:r>
      <w:r>
        <w:rPr>
          <w:rFonts w:hint="eastAsia" w:ascii="宋体" w:hAnsi="宋体" w:eastAsia="宋体" w:cs="宋体"/>
          <w:sz w:val="24"/>
          <w:highlight w:val="none"/>
        </w:rPr>
        <w:t>我们完全理解你方不一定要接受最低投标或收到的任何投标的规定。</w:t>
      </w:r>
    </w:p>
    <w:p>
      <w:pPr>
        <w:widowControl/>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bCs/>
          <w:sz w:val="24"/>
          <w:highlight w:val="none"/>
        </w:rPr>
        <w:t>11.</w:t>
      </w:r>
      <w:r>
        <w:rPr>
          <w:rFonts w:hint="eastAsia" w:ascii="宋体" w:hAnsi="宋体" w:eastAsia="宋体" w:cs="宋体"/>
          <w:sz w:val="24"/>
          <w:highlight w:val="none"/>
        </w:rPr>
        <w:t>本投标文件自公开投标之时起</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天内有效。</w:t>
      </w:r>
    </w:p>
    <w:p>
      <w:pPr>
        <w:widowControl/>
        <w:snapToGrid w:val="0"/>
        <w:spacing w:line="480" w:lineRule="exact"/>
        <w:ind w:firstLine="480" w:firstLineChars="200"/>
        <w:jc w:val="left"/>
        <w:rPr>
          <w:rFonts w:hint="eastAsia" w:ascii="宋体" w:hAnsi="宋体" w:eastAsia="宋体" w:cs="宋体"/>
          <w:sz w:val="24"/>
          <w:highlight w:val="none"/>
          <w:u w:val="single"/>
        </w:rPr>
      </w:pPr>
      <w:r>
        <w:rPr>
          <w:rFonts w:hint="eastAsia" w:ascii="宋体" w:hAnsi="宋体" w:eastAsia="宋体" w:cs="宋体"/>
          <w:color w:val="000000"/>
          <w:sz w:val="24"/>
          <w:highlight w:val="none"/>
          <w:lang w:eastAsia="zh-CN"/>
        </w:rPr>
        <w:t>磋商响应人</w:t>
      </w:r>
      <w:r>
        <w:rPr>
          <w:rFonts w:hint="eastAsia" w:ascii="宋体" w:hAnsi="宋体" w:eastAsia="宋体" w:cs="宋体"/>
          <w:sz w:val="24"/>
          <w:highlight w:val="none"/>
        </w:rPr>
        <w:t>名称</w:t>
      </w:r>
      <w:r>
        <w:rPr>
          <w:rFonts w:hint="eastAsia" w:ascii="宋体" w:hAnsi="宋体" w:eastAsia="宋体" w:cs="宋体"/>
          <w:b/>
          <w:bCs/>
          <w:sz w:val="24"/>
          <w:highlight w:val="none"/>
        </w:rPr>
        <w:t>（加盖公章）：</w:t>
      </w:r>
      <w:r>
        <w:rPr>
          <w:rFonts w:hint="eastAsia" w:ascii="宋体" w:hAnsi="宋体" w:eastAsia="宋体" w:cs="宋体"/>
          <w:sz w:val="24"/>
          <w:highlight w:val="none"/>
          <w:u w:val="single"/>
        </w:rPr>
        <w:t xml:space="preserve">                      </w:t>
      </w:r>
    </w:p>
    <w:p>
      <w:pPr>
        <w:widowControl/>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color w:val="000000"/>
          <w:sz w:val="24"/>
          <w:highlight w:val="none"/>
          <w:lang w:eastAsia="zh-CN"/>
        </w:rPr>
        <w:t>磋商响应人</w:t>
      </w:r>
      <w:r>
        <w:rPr>
          <w:rFonts w:hint="eastAsia" w:ascii="宋体" w:hAnsi="宋体" w:eastAsia="宋体" w:cs="宋体"/>
          <w:sz w:val="24"/>
          <w:highlight w:val="none"/>
        </w:rPr>
        <w:t>代表姓名</w:t>
      </w:r>
      <w:r>
        <w:rPr>
          <w:rFonts w:hint="eastAsia" w:ascii="宋体" w:hAnsi="宋体" w:eastAsia="宋体" w:cs="宋体"/>
          <w:b/>
          <w:bCs/>
          <w:sz w:val="24"/>
          <w:highlight w:val="none"/>
        </w:rPr>
        <w:t>（手书签字）：</w:t>
      </w:r>
      <w:r>
        <w:rPr>
          <w:rFonts w:hint="eastAsia" w:ascii="宋体" w:hAnsi="宋体" w:eastAsia="宋体" w:cs="宋体"/>
          <w:sz w:val="24"/>
          <w:highlight w:val="none"/>
          <w:u w:val="single"/>
        </w:rPr>
        <w:t xml:space="preserve">                  </w:t>
      </w:r>
    </w:p>
    <w:p>
      <w:pPr>
        <w:widowControl/>
        <w:snapToGrid w:val="0"/>
        <w:spacing w:line="480" w:lineRule="exact"/>
        <w:ind w:firstLine="480" w:firstLineChars="200"/>
        <w:jc w:val="left"/>
        <w:rPr>
          <w:rFonts w:hint="eastAsia" w:ascii="宋体" w:hAnsi="宋体" w:eastAsia="宋体" w:cs="宋体"/>
          <w:sz w:val="24"/>
          <w:highlight w:val="none"/>
          <w:u w:val="single"/>
        </w:rPr>
      </w:pPr>
      <w:r>
        <w:rPr>
          <w:rFonts w:hint="eastAsia" w:ascii="宋体" w:hAnsi="宋体" w:eastAsia="宋体" w:cs="宋体"/>
          <w:sz w:val="24"/>
          <w:highlight w:val="none"/>
        </w:rPr>
        <w:t>地址：</w:t>
      </w:r>
      <w:r>
        <w:rPr>
          <w:rFonts w:hint="eastAsia" w:ascii="宋体" w:hAnsi="宋体" w:eastAsia="宋体" w:cs="宋体"/>
          <w:sz w:val="24"/>
          <w:highlight w:val="none"/>
          <w:u w:val="single"/>
        </w:rPr>
        <w:t xml:space="preserve">                                       </w:t>
      </w:r>
    </w:p>
    <w:p>
      <w:pPr>
        <w:widowControl/>
        <w:snapToGrid w:val="0"/>
        <w:spacing w:line="480" w:lineRule="exact"/>
        <w:ind w:firstLine="480" w:firstLineChars="200"/>
        <w:jc w:val="left"/>
        <w:rPr>
          <w:rFonts w:hint="eastAsia" w:ascii="宋体" w:hAnsi="宋体" w:eastAsia="宋体" w:cs="宋体"/>
          <w:sz w:val="24"/>
          <w:highlight w:val="none"/>
          <w:u w:val="single"/>
        </w:rPr>
      </w:pPr>
      <w:r>
        <w:rPr>
          <w:rFonts w:hint="eastAsia" w:ascii="宋体" w:hAnsi="宋体" w:eastAsia="宋体" w:cs="宋体"/>
          <w:sz w:val="24"/>
          <w:highlight w:val="none"/>
        </w:rPr>
        <w:t>电话、传真或电传：</w:t>
      </w:r>
      <w:r>
        <w:rPr>
          <w:rFonts w:hint="eastAsia" w:ascii="宋体" w:hAnsi="宋体" w:eastAsia="宋体" w:cs="宋体"/>
          <w:sz w:val="24"/>
          <w:highlight w:val="none"/>
          <w:u w:val="single"/>
        </w:rPr>
        <w:t xml:space="preserve">                           </w:t>
      </w:r>
    </w:p>
    <w:p>
      <w:pPr>
        <w:widowControl/>
        <w:snapToGrid w:val="0"/>
        <w:spacing w:line="480" w:lineRule="exact"/>
        <w:ind w:firstLine="480" w:firstLineChars="200"/>
        <w:jc w:val="left"/>
        <w:rPr>
          <w:rFonts w:hint="eastAsia" w:ascii="宋体" w:hAnsi="宋体" w:eastAsia="宋体" w:cs="宋体"/>
          <w:sz w:val="24"/>
          <w:highlight w:val="none"/>
          <w:u w:val="single"/>
        </w:rPr>
      </w:pPr>
      <w:r>
        <w:rPr>
          <w:rFonts w:hint="eastAsia" w:ascii="宋体" w:hAnsi="宋体" w:eastAsia="宋体" w:cs="宋体"/>
          <w:sz w:val="24"/>
          <w:highlight w:val="none"/>
        </w:rPr>
        <w:t>邮政编码：</w:t>
      </w:r>
      <w:r>
        <w:rPr>
          <w:rFonts w:hint="eastAsia" w:ascii="宋体" w:hAnsi="宋体" w:eastAsia="宋体" w:cs="宋体"/>
          <w:sz w:val="24"/>
          <w:highlight w:val="none"/>
          <w:u w:val="single"/>
        </w:rPr>
        <w:t xml:space="preserve">                                   </w:t>
      </w:r>
    </w:p>
    <w:p>
      <w:pPr>
        <w:widowControl/>
        <w:snapToGrid w:val="0"/>
        <w:spacing w:line="480" w:lineRule="exact"/>
        <w:ind w:firstLine="480" w:firstLineChars="200"/>
        <w:jc w:val="left"/>
        <w:rPr>
          <w:rFonts w:hint="eastAsia" w:ascii="宋体" w:hAnsi="宋体" w:eastAsia="宋体" w:cs="宋体"/>
          <w:b/>
          <w:color w:val="000000"/>
          <w:spacing w:val="40"/>
          <w:sz w:val="32"/>
          <w:szCs w:val="32"/>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adjustRightInd w:val="0"/>
        <w:snapToGrid w:val="0"/>
        <w:spacing w:line="240" w:lineRule="auto"/>
        <w:jc w:val="center"/>
        <w:rPr>
          <w:rFonts w:hint="eastAsia" w:ascii="宋体" w:hAnsi="宋体" w:eastAsia="宋体" w:cs="宋体"/>
          <w:b/>
          <w:color w:val="000000"/>
          <w:spacing w:val="40"/>
          <w:sz w:val="32"/>
          <w:szCs w:val="32"/>
          <w:highlight w:val="none"/>
        </w:rPr>
      </w:pPr>
      <w:r>
        <w:rPr>
          <w:rFonts w:hint="eastAsia" w:ascii="宋体" w:hAnsi="宋体" w:eastAsia="宋体" w:cs="宋体"/>
          <w:b/>
          <w:color w:val="000000"/>
          <w:spacing w:val="40"/>
          <w:sz w:val="32"/>
          <w:szCs w:val="32"/>
          <w:highlight w:val="none"/>
          <w:lang w:val="en-US" w:eastAsia="zh-CN"/>
        </w:rPr>
        <w:t>报价一览表</w:t>
      </w:r>
    </w:p>
    <w:p>
      <w:pPr>
        <w:spacing w:line="460" w:lineRule="exact"/>
        <w:jc w:val="center"/>
        <w:rPr>
          <w:rFonts w:hint="eastAsia" w:ascii="宋体" w:hAnsi="宋体" w:eastAsia="宋体" w:cs="宋体"/>
          <w:color w:val="000000"/>
          <w:sz w:val="30"/>
          <w:highlight w:val="none"/>
        </w:rPr>
      </w:pPr>
    </w:p>
    <w:p>
      <w:pPr>
        <w:widowControl/>
        <w:snapToGrid w:val="0"/>
        <w:jc w:val="left"/>
        <w:rPr>
          <w:rFonts w:hint="eastAsia" w:ascii="宋体" w:hAnsi="宋体" w:eastAsia="宋体" w:cs="宋体"/>
          <w:bCs/>
          <w:sz w:val="24"/>
          <w:highlight w:val="none"/>
        </w:rPr>
      </w:pPr>
      <w:r>
        <w:rPr>
          <w:rFonts w:hint="eastAsia" w:ascii="宋体" w:hAnsi="宋体" w:eastAsia="宋体" w:cs="宋体"/>
          <w:sz w:val="24"/>
          <w:highlight w:val="none"/>
        </w:rPr>
        <w:t>项目编号/</w:t>
      </w:r>
      <w:r>
        <w:rPr>
          <w:rFonts w:hint="eastAsia" w:ascii="宋体" w:hAnsi="宋体" w:eastAsia="宋体" w:cs="宋体"/>
          <w:sz w:val="24"/>
          <w:highlight w:val="none"/>
          <w:lang w:val="en-US" w:eastAsia="zh-CN"/>
        </w:rPr>
        <w:t>包项名称</w:t>
      </w:r>
      <w:r>
        <w:rPr>
          <w:rFonts w:hint="eastAsia" w:ascii="宋体" w:hAnsi="宋体" w:eastAsia="宋体" w:cs="宋体"/>
          <w:bCs/>
          <w:sz w:val="24"/>
          <w:highlight w:val="none"/>
        </w:rPr>
        <w:t>：</w:t>
      </w:r>
    </w:p>
    <w:p>
      <w:pPr>
        <w:widowControl/>
        <w:snapToGrid w:val="0"/>
        <w:jc w:val="left"/>
        <w:rPr>
          <w:rFonts w:hint="eastAsia" w:ascii="宋体" w:hAnsi="宋体" w:eastAsia="宋体" w:cs="宋体"/>
          <w:bCs/>
          <w:sz w:val="24"/>
          <w:highlight w:val="none"/>
        </w:rPr>
      </w:pPr>
      <w:r>
        <w:rPr>
          <w:rFonts w:hint="eastAsia" w:ascii="宋体" w:hAnsi="宋体" w:eastAsia="宋体" w:cs="宋体"/>
          <w:color w:val="000000"/>
          <w:sz w:val="24"/>
          <w:highlight w:val="none"/>
          <w:lang w:eastAsia="zh-CN"/>
        </w:rPr>
        <w:t>磋商响应人</w:t>
      </w:r>
      <w:r>
        <w:rPr>
          <w:rFonts w:hint="eastAsia" w:ascii="宋体" w:hAnsi="宋体" w:eastAsia="宋体" w:cs="宋体"/>
          <w:bCs/>
          <w:sz w:val="24"/>
          <w:highlight w:val="none"/>
        </w:rPr>
        <w:t>名称</w:t>
      </w:r>
      <w:r>
        <w:rPr>
          <w:rFonts w:hint="eastAsia" w:ascii="宋体" w:hAnsi="宋体" w:eastAsia="宋体" w:cs="宋体"/>
          <w:b/>
          <w:sz w:val="24"/>
          <w:highlight w:val="none"/>
        </w:rPr>
        <w:t>（加盖公章）：</w:t>
      </w:r>
    </w:p>
    <w:p>
      <w:pPr>
        <w:widowControl/>
        <w:snapToGrid w:val="0"/>
        <w:jc w:val="left"/>
        <w:rPr>
          <w:rFonts w:hint="eastAsia" w:ascii="宋体" w:hAnsi="宋体" w:eastAsia="宋体" w:cs="宋体"/>
          <w:bCs/>
          <w:sz w:val="24"/>
          <w:highlight w:val="none"/>
        </w:rPr>
      </w:pPr>
      <w:r>
        <w:rPr>
          <w:rFonts w:hint="eastAsia" w:ascii="宋体" w:hAnsi="宋体" w:eastAsia="宋体" w:cs="宋体"/>
          <w:bCs/>
          <w:sz w:val="24"/>
          <w:highlight w:val="none"/>
        </w:rPr>
        <w:t xml:space="preserve">                                        </w:t>
      </w:r>
      <w:r>
        <w:rPr>
          <w:rFonts w:hint="eastAsia" w:ascii="宋体" w:hAnsi="宋体" w:eastAsia="宋体" w:cs="宋体"/>
          <w:bCs/>
          <w:sz w:val="24"/>
          <w:highlight w:val="none"/>
          <w:lang w:val="en-US" w:eastAsia="zh-CN"/>
        </w:rPr>
        <w:t xml:space="preserve">            </w:t>
      </w:r>
      <w:r>
        <w:rPr>
          <w:rFonts w:hint="eastAsia" w:ascii="宋体" w:hAnsi="宋体" w:eastAsia="宋体" w:cs="宋体"/>
          <w:bCs/>
          <w:sz w:val="24"/>
          <w:highlight w:val="none"/>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年</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月</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日</w:t>
      </w:r>
    </w:p>
    <w:tbl>
      <w:tblPr>
        <w:tblStyle w:val="22"/>
        <w:tblW w:w="9792" w:type="dxa"/>
        <w:tblInd w:w="-2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8"/>
        <w:gridCol w:w="2381"/>
        <w:gridCol w:w="1490"/>
        <w:gridCol w:w="2421"/>
        <w:gridCol w:w="1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1958" w:type="dxa"/>
            <w:noWrap w:val="0"/>
            <w:vAlign w:val="center"/>
          </w:tcPr>
          <w:p>
            <w:pPr>
              <w:tabs>
                <w:tab w:val="left" w:pos="0"/>
              </w:tabs>
              <w:spacing w:line="240" w:lineRule="auto"/>
              <w:jc w:val="center"/>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eastAsia="zh-CN"/>
              </w:rPr>
              <w:t>项目名称</w:t>
            </w:r>
          </w:p>
        </w:tc>
        <w:tc>
          <w:tcPr>
            <w:tcW w:w="2381" w:type="dxa"/>
            <w:noWrap w:val="0"/>
            <w:vAlign w:val="center"/>
          </w:tcPr>
          <w:p>
            <w:pPr>
              <w:tabs>
                <w:tab w:val="left" w:pos="0"/>
              </w:tabs>
              <w:spacing w:line="240" w:lineRule="auto"/>
              <w:jc w:val="center"/>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eastAsia="zh-CN"/>
              </w:rPr>
              <w:t>建设内容</w:t>
            </w:r>
          </w:p>
        </w:tc>
        <w:tc>
          <w:tcPr>
            <w:tcW w:w="1490" w:type="dxa"/>
            <w:noWrap w:val="0"/>
            <w:vAlign w:val="center"/>
          </w:tcPr>
          <w:p>
            <w:pPr>
              <w:tabs>
                <w:tab w:val="left" w:pos="0"/>
              </w:tabs>
              <w:adjustRightInd w:val="0"/>
              <w:snapToGrid w:val="0"/>
              <w:spacing w:line="240" w:lineRule="auto"/>
              <w:jc w:val="center"/>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eastAsia="zh-CN"/>
              </w:rPr>
              <w:t>工程质量</w:t>
            </w:r>
          </w:p>
        </w:tc>
        <w:tc>
          <w:tcPr>
            <w:tcW w:w="2421" w:type="dxa"/>
            <w:noWrap w:val="0"/>
            <w:vAlign w:val="center"/>
          </w:tcPr>
          <w:p>
            <w:pPr>
              <w:tabs>
                <w:tab w:val="left" w:pos="0"/>
              </w:tabs>
              <w:spacing w:line="240" w:lineRule="auto"/>
              <w:jc w:val="center"/>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供货期</w:t>
            </w:r>
            <w:r>
              <w:rPr>
                <w:rFonts w:hint="eastAsia" w:ascii="宋体" w:hAnsi="宋体" w:cs="宋体"/>
                <w:color w:val="000000"/>
                <w:sz w:val="24"/>
                <w:szCs w:val="24"/>
                <w:highlight w:val="none"/>
              </w:rPr>
              <w:t>（日历天）</w:t>
            </w:r>
          </w:p>
        </w:tc>
        <w:tc>
          <w:tcPr>
            <w:tcW w:w="1542" w:type="dxa"/>
            <w:noWrap w:val="0"/>
            <w:vAlign w:val="center"/>
          </w:tcPr>
          <w:p>
            <w:pPr>
              <w:tabs>
                <w:tab w:val="left" w:pos="0"/>
              </w:tabs>
              <w:spacing w:line="240" w:lineRule="auto"/>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质保期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3" w:hRule="atLeast"/>
        </w:trPr>
        <w:tc>
          <w:tcPr>
            <w:tcW w:w="1958" w:type="dxa"/>
            <w:noWrap w:val="0"/>
            <w:vAlign w:val="center"/>
          </w:tcPr>
          <w:p>
            <w:pPr>
              <w:spacing w:line="360" w:lineRule="auto"/>
              <w:jc w:val="center"/>
              <w:rPr>
                <w:rFonts w:hint="eastAsia" w:ascii="宋体" w:hAnsi="宋体" w:eastAsia="宋体" w:cs="宋体"/>
                <w:color w:val="000000"/>
                <w:sz w:val="24"/>
                <w:szCs w:val="24"/>
                <w:highlight w:val="none"/>
                <w:lang w:eastAsia="zh-CN"/>
              </w:rPr>
            </w:pPr>
          </w:p>
        </w:tc>
        <w:tc>
          <w:tcPr>
            <w:tcW w:w="2381" w:type="dxa"/>
            <w:noWrap w:val="0"/>
            <w:vAlign w:val="center"/>
          </w:tcPr>
          <w:p>
            <w:pPr>
              <w:jc w:val="left"/>
              <w:rPr>
                <w:rFonts w:ascii="宋体" w:hAnsi="宋体" w:cs="宋体"/>
                <w:color w:val="000000"/>
                <w:sz w:val="24"/>
                <w:szCs w:val="24"/>
                <w:highlight w:val="none"/>
              </w:rPr>
            </w:pPr>
          </w:p>
        </w:tc>
        <w:tc>
          <w:tcPr>
            <w:tcW w:w="1490" w:type="dxa"/>
            <w:noWrap w:val="0"/>
            <w:vAlign w:val="top"/>
          </w:tcPr>
          <w:p>
            <w:pPr>
              <w:spacing w:line="360" w:lineRule="auto"/>
              <w:rPr>
                <w:rFonts w:ascii="宋体" w:hAnsi="宋体" w:cs="宋体"/>
                <w:color w:val="000000"/>
                <w:sz w:val="24"/>
                <w:szCs w:val="24"/>
                <w:highlight w:val="none"/>
              </w:rPr>
            </w:pPr>
          </w:p>
        </w:tc>
        <w:tc>
          <w:tcPr>
            <w:tcW w:w="2421" w:type="dxa"/>
            <w:noWrap w:val="0"/>
            <w:vAlign w:val="top"/>
          </w:tcPr>
          <w:p>
            <w:pPr>
              <w:spacing w:line="360" w:lineRule="auto"/>
              <w:rPr>
                <w:rFonts w:ascii="宋体" w:hAnsi="宋体" w:cs="宋体"/>
                <w:color w:val="000000"/>
                <w:sz w:val="24"/>
                <w:szCs w:val="24"/>
                <w:highlight w:val="none"/>
              </w:rPr>
            </w:pPr>
          </w:p>
        </w:tc>
        <w:tc>
          <w:tcPr>
            <w:tcW w:w="1542" w:type="dxa"/>
            <w:noWrap w:val="0"/>
            <w:vAlign w:val="top"/>
          </w:tcPr>
          <w:p>
            <w:pPr>
              <w:spacing w:line="360" w:lineRule="auto"/>
              <w:rPr>
                <w:rFonts w:ascii="宋体" w:hAnsi="宋体" w:cs="宋体"/>
                <w:color w:val="00000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3" w:hRule="atLeast"/>
        </w:trPr>
        <w:tc>
          <w:tcPr>
            <w:tcW w:w="1958" w:type="dxa"/>
            <w:noWrap w:val="0"/>
            <w:vAlign w:val="center"/>
          </w:tcPr>
          <w:p>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lang w:eastAsia="zh-CN"/>
              </w:rPr>
              <w:t>项目负责人</w:t>
            </w:r>
          </w:p>
        </w:tc>
        <w:tc>
          <w:tcPr>
            <w:tcW w:w="2381" w:type="dxa"/>
            <w:noWrap w:val="0"/>
            <w:vAlign w:val="center"/>
          </w:tcPr>
          <w:p>
            <w:pPr>
              <w:jc w:val="left"/>
              <w:rPr>
                <w:rFonts w:ascii="宋体" w:hAnsi="宋体" w:cs="宋体"/>
                <w:color w:val="000000"/>
                <w:sz w:val="24"/>
                <w:szCs w:val="24"/>
                <w:highlight w:val="none"/>
              </w:rPr>
            </w:pPr>
            <w:r>
              <w:rPr>
                <w:rFonts w:hint="eastAsia" w:ascii="宋体" w:hAnsi="宋体" w:cs="宋体"/>
                <w:color w:val="000000"/>
                <w:sz w:val="24"/>
                <w:szCs w:val="24"/>
                <w:lang w:eastAsia="zh-CN"/>
              </w:rPr>
              <w:t>姓名：</w:t>
            </w:r>
          </w:p>
        </w:tc>
        <w:tc>
          <w:tcPr>
            <w:tcW w:w="5453" w:type="dxa"/>
            <w:gridSpan w:val="3"/>
            <w:noWrap w:val="0"/>
            <w:vAlign w:val="top"/>
          </w:tcPr>
          <w:p>
            <w:pPr>
              <w:spacing w:line="360" w:lineRule="auto"/>
              <w:rPr>
                <w:rFonts w:hint="eastAsia" w:ascii="宋体" w:hAnsi="宋体" w:eastAsia="宋体" w:cs="宋体"/>
                <w:color w:val="000000"/>
                <w:sz w:val="24"/>
                <w:szCs w:val="24"/>
                <w:lang w:eastAsia="zh-CN"/>
              </w:rPr>
            </w:pPr>
          </w:p>
          <w:p>
            <w:pPr>
              <w:spacing w:line="360" w:lineRule="auto"/>
              <w:rPr>
                <w:rFonts w:hint="eastAsia" w:ascii="宋体" w:hAnsi="宋体" w:cs="宋体"/>
                <w:color w:val="000000"/>
                <w:sz w:val="24"/>
                <w:szCs w:val="24"/>
                <w:lang w:eastAsia="zh-CN"/>
              </w:rPr>
            </w:pPr>
            <w:r>
              <w:rPr>
                <w:rFonts w:hint="eastAsia" w:ascii="宋体" w:hAnsi="宋体" w:eastAsia="宋体" w:cs="宋体"/>
                <w:color w:val="000000"/>
                <w:sz w:val="24"/>
                <w:szCs w:val="24"/>
                <w:lang w:eastAsia="zh-CN"/>
              </w:rPr>
              <w:t>证书编号：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1958" w:type="dxa"/>
            <w:noWrap w:val="0"/>
            <w:vAlign w:val="center"/>
          </w:tcPr>
          <w:p>
            <w:pPr>
              <w:tabs>
                <w:tab w:val="left" w:pos="0"/>
              </w:tabs>
              <w:spacing w:line="360" w:lineRule="auto"/>
              <w:jc w:val="both"/>
              <w:rPr>
                <w:rFonts w:ascii="宋体" w:hAnsi="宋体" w:cs="宋体"/>
                <w:color w:val="000000"/>
                <w:sz w:val="24"/>
                <w:szCs w:val="24"/>
                <w:highlight w:val="none"/>
              </w:rPr>
            </w:pPr>
            <w:r>
              <w:rPr>
                <w:rFonts w:hint="eastAsia" w:ascii="宋体" w:hAnsi="宋体" w:cs="宋体"/>
                <w:color w:val="000000"/>
                <w:sz w:val="24"/>
                <w:szCs w:val="24"/>
                <w:highlight w:val="none"/>
                <w:lang w:eastAsia="zh-CN"/>
              </w:rPr>
              <w:t>投标总价（</w:t>
            </w:r>
            <w:r>
              <w:rPr>
                <w:rFonts w:hint="eastAsia" w:ascii="宋体" w:hAnsi="宋体" w:cs="宋体"/>
                <w:color w:val="000000"/>
                <w:sz w:val="24"/>
                <w:szCs w:val="24"/>
                <w:highlight w:val="none"/>
                <w:lang w:val="en-US" w:eastAsia="zh-CN"/>
              </w:rPr>
              <w:t>元</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w:t>
            </w:r>
          </w:p>
        </w:tc>
        <w:tc>
          <w:tcPr>
            <w:tcW w:w="7834" w:type="dxa"/>
            <w:gridSpan w:val="4"/>
            <w:noWrap w:val="0"/>
            <w:vAlign w:val="center"/>
          </w:tcPr>
          <w:p>
            <w:pPr>
              <w:tabs>
                <w:tab w:val="left" w:pos="0"/>
              </w:tabs>
              <w:spacing w:line="360" w:lineRule="auto"/>
              <w:jc w:val="both"/>
              <w:rPr>
                <w:rFonts w:hint="default" w:ascii="Arial" w:hAnsi="Arial" w:cs="Arial"/>
                <w:color w:val="000000"/>
                <w:sz w:val="24"/>
                <w:szCs w:val="24"/>
                <w:highlight w:val="none"/>
              </w:rPr>
            </w:pPr>
            <w:r>
              <w:rPr>
                <w:rFonts w:hint="default" w:ascii="Arial" w:hAnsi="Arial" w:cs="Arial"/>
                <w:color w:val="000000"/>
                <w:sz w:val="24"/>
                <w:szCs w:val="24"/>
                <w:highlight w:val="none"/>
              </w:rPr>
              <w:t>¥</w:t>
            </w:r>
            <w:r>
              <w:rPr>
                <w:rFonts w:hint="eastAsia" w:ascii="宋体" w:hAnsi="宋体" w:cs="宋体"/>
                <w:color w:val="000000"/>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1" w:hRule="atLeast"/>
        </w:trPr>
        <w:tc>
          <w:tcPr>
            <w:tcW w:w="1958" w:type="dxa"/>
            <w:noWrap w:val="0"/>
            <w:vAlign w:val="center"/>
          </w:tcPr>
          <w:p>
            <w:pPr>
              <w:tabs>
                <w:tab w:val="left" w:pos="0"/>
              </w:tabs>
              <w:spacing w:line="360" w:lineRule="auto"/>
              <w:jc w:val="both"/>
              <w:rPr>
                <w:rFonts w:ascii="宋体" w:hAnsi="宋体" w:cs="宋体"/>
                <w:color w:val="000000"/>
                <w:sz w:val="24"/>
                <w:szCs w:val="24"/>
                <w:highlight w:val="none"/>
              </w:rPr>
            </w:pPr>
            <w:r>
              <w:rPr>
                <w:rFonts w:hint="eastAsia" w:ascii="宋体" w:hAnsi="宋体" w:cs="宋体"/>
                <w:color w:val="000000"/>
                <w:sz w:val="24"/>
                <w:szCs w:val="24"/>
                <w:highlight w:val="none"/>
              </w:rPr>
              <w:t>（人民币大写）</w:t>
            </w:r>
          </w:p>
        </w:tc>
        <w:tc>
          <w:tcPr>
            <w:tcW w:w="7834" w:type="dxa"/>
            <w:gridSpan w:val="4"/>
            <w:noWrap w:val="0"/>
            <w:vAlign w:val="center"/>
          </w:tcPr>
          <w:p>
            <w:pPr>
              <w:tabs>
                <w:tab w:val="left" w:pos="0"/>
              </w:tabs>
              <w:spacing w:line="360" w:lineRule="auto"/>
              <w:jc w:val="both"/>
              <w:rPr>
                <w:rFonts w:ascii="宋体" w:hAnsi="宋体" w:cs="宋体"/>
                <w:color w:val="000000"/>
                <w:sz w:val="24"/>
                <w:szCs w:val="24"/>
                <w:highlight w:val="none"/>
              </w:rPr>
            </w:pPr>
          </w:p>
        </w:tc>
      </w:tr>
    </w:tbl>
    <w:p>
      <w:pPr>
        <w:widowControl/>
        <w:snapToGrid w:val="0"/>
        <w:jc w:val="left"/>
        <w:rPr>
          <w:rFonts w:hint="eastAsia" w:ascii="宋体" w:hAnsi="宋体" w:eastAsia="宋体" w:cs="宋体"/>
          <w:b/>
          <w:bCs/>
          <w:sz w:val="24"/>
          <w:highlight w:val="none"/>
        </w:rPr>
      </w:pPr>
    </w:p>
    <w:p>
      <w:pPr>
        <w:widowControl/>
        <w:snapToGrid w:val="0"/>
        <w:jc w:val="left"/>
        <w:rPr>
          <w:rFonts w:hint="eastAsia" w:ascii="宋体" w:hAnsi="宋体" w:eastAsia="宋体" w:cs="宋体"/>
          <w:b/>
          <w:bCs/>
          <w:sz w:val="24"/>
          <w:highlight w:val="none"/>
        </w:rPr>
      </w:pPr>
    </w:p>
    <w:p>
      <w:pPr>
        <w:widowControl/>
        <w:snapToGrid w:val="0"/>
        <w:jc w:val="left"/>
        <w:rPr>
          <w:rFonts w:hint="eastAsia" w:ascii="宋体" w:hAnsi="宋体" w:eastAsia="宋体" w:cs="宋体"/>
          <w:b/>
          <w:bCs/>
          <w:sz w:val="24"/>
          <w:highlight w:val="none"/>
        </w:rPr>
      </w:pPr>
    </w:p>
    <w:p>
      <w:pPr>
        <w:widowControl/>
        <w:snapToGrid w:val="0"/>
        <w:jc w:val="left"/>
        <w:rPr>
          <w:rFonts w:hint="eastAsia" w:ascii="宋体" w:hAnsi="宋体" w:eastAsia="宋体" w:cs="宋体"/>
          <w:b/>
          <w:bCs/>
          <w:sz w:val="24"/>
          <w:highlight w:val="none"/>
        </w:rPr>
      </w:pPr>
      <w:r>
        <w:rPr>
          <w:rFonts w:hint="eastAsia" w:ascii="宋体" w:hAnsi="宋体" w:eastAsia="宋体" w:cs="宋体"/>
          <w:b/>
          <w:bCs/>
          <w:sz w:val="24"/>
          <w:highlight w:val="none"/>
        </w:rPr>
        <w:t>投标要求：</w:t>
      </w:r>
    </w:p>
    <w:p>
      <w:pPr>
        <w:widowControl/>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1.与完成本项目有关的各种费用均应包含在投标报价中</w:t>
      </w:r>
      <w:r>
        <w:rPr>
          <w:rFonts w:hint="eastAsia" w:ascii="宋体" w:hAnsi="宋体" w:eastAsia="宋体" w:cs="宋体"/>
          <w:sz w:val="24"/>
          <w:highlight w:val="none"/>
          <w:lang w:eastAsia="zh-CN"/>
        </w:rPr>
        <w:t>（磋商</w:t>
      </w:r>
      <w:r>
        <w:rPr>
          <w:rFonts w:hint="eastAsia" w:ascii="宋体" w:hAnsi="宋体" w:eastAsia="宋体" w:cs="宋体"/>
          <w:sz w:val="24"/>
          <w:highlight w:val="none"/>
        </w:rPr>
        <w:t>报价应包括货物本价、</w:t>
      </w:r>
      <w:r>
        <w:rPr>
          <w:rFonts w:hint="eastAsia" w:ascii="宋体" w:hAnsi="宋体" w:eastAsia="宋体" w:cs="宋体"/>
          <w:sz w:val="24"/>
          <w:highlight w:val="none"/>
          <w:lang w:val="en-US" w:eastAsia="zh-CN"/>
        </w:rPr>
        <w:t>施工、辅材、人工、机械、间接、</w:t>
      </w:r>
      <w:r>
        <w:rPr>
          <w:rFonts w:hint="eastAsia" w:ascii="宋体" w:hAnsi="宋体" w:eastAsia="宋体" w:cs="宋体"/>
          <w:sz w:val="24"/>
          <w:highlight w:val="none"/>
        </w:rPr>
        <w:t>运输、转运、检测检验、保险、利润、税金、安全责任等完成本项目所需的一切费用</w:t>
      </w:r>
      <w:r>
        <w:rPr>
          <w:rFonts w:hint="eastAsia" w:ascii="宋体" w:hAnsi="宋体" w:cs="宋体"/>
          <w:sz w:val="24"/>
          <w:highlight w:val="none"/>
          <w:lang w:eastAsia="zh-CN"/>
        </w:rPr>
        <w:t>，项目实施过程中不再单独结算。</w:t>
      </w:r>
      <w:r>
        <w:rPr>
          <w:rFonts w:hint="eastAsia" w:ascii="宋体" w:hAnsi="宋体" w:eastAsia="宋体" w:cs="宋体"/>
          <w:sz w:val="24"/>
          <w:highlight w:val="none"/>
          <w:lang w:eastAsia="zh-CN"/>
        </w:rPr>
        <w:t>）</w:t>
      </w:r>
      <w:r>
        <w:rPr>
          <w:rFonts w:hint="eastAsia" w:ascii="宋体" w:hAnsi="宋体" w:eastAsia="宋体" w:cs="宋体"/>
          <w:sz w:val="24"/>
          <w:highlight w:val="none"/>
        </w:rPr>
        <w:t xml:space="preserve"> </w:t>
      </w:r>
    </w:p>
    <w:p>
      <w:pPr>
        <w:widowControl/>
        <w:snapToGrid w:val="0"/>
        <w:spacing w:line="48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2.报价填写必须为计算机录入，手写无效</w:t>
      </w:r>
    </w:p>
    <w:p>
      <w:pPr>
        <w:pStyle w:val="21"/>
        <w:ind w:left="0" w:leftChars="0"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3.开标一览表需单独密封</w:t>
      </w:r>
    </w:p>
    <w:p>
      <w:pPr>
        <w:spacing w:line="460" w:lineRule="exact"/>
        <w:rPr>
          <w:rFonts w:hint="eastAsia" w:ascii="宋体" w:hAnsi="宋体" w:eastAsia="宋体" w:cs="宋体"/>
          <w:color w:val="000000"/>
          <w:sz w:val="24"/>
          <w:highlight w:val="none"/>
        </w:rPr>
      </w:pPr>
    </w:p>
    <w:p>
      <w:pPr>
        <w:spacing w:line="760" w:lineRule="exact"/>
        <w:ind w:firstLine="3600" w:firstLineChars="150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w:t>
      </w:r>
      <w:r>
        <w:rPr>
          <w:rFonts w:hint="eastAsia" w:ascii="宋体" w:hAnsi="宋体" w:eastAsia="宋体" w:cs="宋体"/>
          <w:color w:val="000000"/>
          <w:sz w:val="24"/>
          <w:highlight w:val="none"/>
          <w:lang w:eastAsia="zh-CN"/>
        </w:rPr>
        <w:t>磋商响应人</w:t>
      </w:r>
      <w:r>
        <w:rPr>
          <w:rFonts w:hint="eastAsia" w:ascii="宋体" w:hAnsi="宋体" w:eastAsia="宋体" w:cs="宋体"/>
          <w:color w:val="000000"/>
          <w:sz w:val="24"/>
          <w:highlight w:val="none"/>
        </w:rPr>
        <w:t>：（盖章）</w:t>
      </w:r>
    </w:p>
    <w:p>
      <w:pPr>
        <w:spacing w:line="760" w:lineRule="exact"/>
        <w:ind w:firstLine="3600" w:firstLineChars="150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法定代表人或授权委托人：（</w:t>
      </w:r>
      <w:r>
        <w:rPr>
          <w:rFonts w:hint="eastAsia" w:ascii="宋体" w:hAnsi="宋体" w:eastAsia="宋体" w:cs="宋体"/>
          <w:color w:val="000000"/>
          <w:sz w:val="24"/>
          <w:highlight w:val="none"/>
          <w:lang w:val="en-US" w:eastAsia="zh-CN"/>
        </w:rPr>
        <w:t>签字或</w:t>
      </w:r>
      <w:r>
        <w:rPr>
          <w:rFonts w:hint="eastAsia" w:ascii="宋体" w:hAnsi="宋体" w:eastAsia="宋体" w:cs="宋体"/>
          <w:color w:val="000000"/>
          <w:sz w:val="24"/>
          <w:highlight w:val="none"/>
        </w:rPr>
        <w:t>盖章）</w:t>
      </w:r>
    </w:p>
    <w:p>
      <w:pPr>
        <w:spacing w:line="760" w:lineRule="exact"/>
        <w:ind w:firstLine="4320" w:firstLineChars="18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日     期：      年     月      日</w:t>
      </w:r>
    </w:p>
    <w:p>
      <w:pPr>
        <w:adjustRightInd w:val="0"/>
        <w:snapToGrid w:val="0"/>
        <w:spacing w:line="240" w:lineRule="auto"/>
        <w:jc w:val="center"/>
        <w:rPr>
          <w:rFonts w:hint="eastAsia" w:ascii="宋体" w:hAnsi="宋体" w:eastAsia="宋体" w:cs="宋体"/>
          <w:b/>
          <w:color w:val="000000"/>
          <w:spacing w:val="40"/>
          <w:sz w:val="32"/>
          <w:szCs w:val="32"/>
          <w:highlight w:val="none"/>
        </w:rPr>
      </w:pPr>
      <w:bookmarkStart w:id="78" w:name="_Toc163"/>
      <w:bookmarkStart w:id="79" w:name="_Toc4648"/>
      <w:bookmarkStart w:id="80" w:name="_Toc2215_WPSOffice_Level2"/>
    </w:p>
    <w:p>
      <w:pPr>
        <w:adjustRightInd w:val="0"/>
        <w:snapToGrid w:val="0"/>
        <w:spacing w:line="240" w:lineRule="auto"/>
        <w:jc w:val="center"/>
        <w:rPr>
          <w:rFonts w:hint="eastAsia" w:ascii="宋体" w:hAnsi="宋体" w:eastAsia="宋体" w:cs="宋体"/>
          <w:b/>
          <w:color w:val="000000"/>
          <w:spacing w:val="40"/>
          <w:sz w:val="32"/>
          <w:szCs w:val="32"/>
          <w:highlight w:val="none"/>
        </w:rPr>
      </w:pPr>
      <w:r>
        <w:rPr>
          <w:rFonts w:hint="eastAsia" w:ascii="宋体" w:hAnsi="宋体" w:eastAsia="宋体" w:cs="宋体"/>
          <w:b/>
          <w:color w:val="000000"/>
          <w:spacing w:val="40"/>
          <w:sz w:val="32"/>
          <w:szCs w:val="32"/>
          <w:highlight w:val="none"/>
        </w:rPr>
        <w:t>报</w:t>
      </w:r>
      <w:r>
        <w:rPr>
          <w:rFonts w:hint="eastAsia" w:ascii="宋体" w:hAnsi="宋体" w:eastAsia="宋体" w:cs="宋体"/>
          <w:b/>
          <w:color w:val="000000"/>
          <w:spacing w:val="40"/>
          <w:sz w:val="32"/>
          <w:szCs w:val="32"/>
          <w:highlight w:val="none"/>
          <w:lang w:val="en-US" w:eastAsia="zh-CN"/>
        </w:rPr>
        <w:t xml:space="preserve">  </w:t>
      </w:r>
      <w:r>
        <w:rPr>
          <w:rFonts w:hint="eastAsia" w:ascii="宋体" w:hAnsi="宋体" w:eastAsia="宋体" w:cs="宋体"/>
          <w:b/>
          <w:color w:val="000000"/>
          <w:spacing w:val="40"/>
          <w:sz w:val="32"/>
          <w:szCs w:val="32"/>
          <w:highlight w:val="none"/>
        </w:rPr>
        <w:t>价</w:t>
      </w:r>
      <w:r>
        <w:rPr>
          <w:rFonts w:hint="eastAsia" w:ascii="宋体" w:hAnsi="宋体" w:eastAsia="宋体" w:cs="宋体"/>
          <w:b/>
          <w:color w:val="000000"/>
          <w:spacing w:val="40"/>
          <w:sz w:val="32"/>
          <w:szCs w:val="32"/>
          <w:highlight w:val="none"/>
          <w:lang w:val="en-US" w:eastAsia="zh-CN"/>
        </w:rPr>
        <w:t xml:space="preserve">  </w:t>
      </w:r>
      <w:r>
        <w:rPr>
          <w:rFonts w:hint="eastAsia" w:ascii="宋体" w:hAnsi="宋体" w:eastAsia="宋体" w:cs="宋体"/>
          <w:b/>
          <w:color w:val="000000"/>
          <w:spacing w:val="40"/>
          <w:sz w:val="32"/>
          <w:szCs w:val="32"/>
          <w:highlight w:val="none"/>
        </w:rPr>
        <w:t>明</w:t>
      </w:r>
      <w:r>
        <w:rPr>
          <w:rFonts w:hint="eastAsia" w:ascii="宋体" w:hAnsi="宋体" w:eastAsia="宋体" w:cs="宋体"/>
          <w:b/>
          <w:color w:val="000000"/>
          <w:spacing w:val="40"/>
          <w:sz w:val="32"/>
          <w:szCs w:val="32"/>
          <w:highlight w:val="none"/>
          <w:lang w:val="en-US" w:eastAsia="zh-CN"/>
        </w:rPr>
        <w:t xml:space="preserve">  </w:t>
      </w:r>
      <w:r>
        <w:rPr>
          <w:rFonts w:hint="eastAsia" w:ascii="宋体" w:hAnsi="宋体" w:eastAsia="宋体" w:cs="宋体"/>
          <w:b/>
          <w:color w:val="000000"/>
          <w:spacing w:val="40"/>
          <w:sz w:val="32"/>
          <w:szCs w:val="32"/>
          <w:highlight w:val="none"/>
        </w:rPr>
        <w:t>细</w:t>
      </w:r>
      <w:r>
        <w:rPr>
          <w:rFonts w:hint="eastAsia" w:ascii="宋体" w:hAnsi="宋体" w:eastAsia="宋体" w:cs="宋体"/>
          <w:b/>
          <w:color w:val="000000"/>
          <w:spacing w:val="40"/>
          <w:sz w:val="32"/>
          <w:szCs w:val="32"/>
          <w:highlight w:val="none"/>
          <w:lang w:val="en-US" w:eastAsia="zh-CN"/>
        </w:rPr>
        <w:t xml:space="preserve">  </w:t>
      </w:r>
      <w:r>
        <w:rPr>
          <w:rFonts w:hint="eastAsia" w:ascii="宋体" w:hAnsi="宋体" w:eastAsia="宋体" w:cs="宋体"/>
          <w:b/>
          <w:color w:val="000000"/>
          <w:spacing w:val="40"/>
          <w:sz w:val="32"/>
          <w:szCs w:val="32"/>
          <w:highlight w:val="none"/>
        </w:rPr>
        <w:t>表</w:t>
      </w:r>
      <w:bookmarkEnd w:id="78"/>
      <w:bookmarkEnd w:id="79"/>
    </w:p>
    <w:p>
      <w:pPr>
        <w:pStyle w:val="9"/>
        <w:spacing w:line="360" w:lineRule="auto"/>
        <w:ind w:left="0" w:leftChars="0" w:firstLine="0" w:firstLineChars="0"/>
        <w:jc w:val="left"/>
        <w:rPr>
          <w:rFonts w:hint="eastAsia" w:ascii="宋体" w:hAnsi="宋体" w:eastAsia="宋体" w:cs="宋体"/>
          <w:color w:val="auto"/>
          <w:sz w:val="24"/>
          <w:szCs w:val="16"/>
          <w:highlight w:val="none"/>
        </w:rPr>
      </w:pPr>
      <w:r>
        <w:rPr>
          <w:rFonts w:hint="eastAsia" w:ascii="宋体" w:hAnsi="宋体" w:eastAsia="宋体" w:cs="宋体"/>
          <w:color w:val="auto"/>
          <w:sz w:val="24"/>
          <w:szCs w:val="16"/>
          <w:highlight w:val="none"/>
        </w:rPr>
        <w:t>项目编号、</w:t>
      </w:r>
      <w:r>
        <w:rPr>
          <w:rFonts w:hint="eastAsia" w:ascii="宋体" w:hAnsi="宋体" w:eastAsia="宋体" w:cs="宋体"/>
          <w:sz w:val="24"/>
          <w:highlight w:val="none"/>
          <w:lang w:val="en-US" w:eastAsia="zh-CN"/>
        </w:rPr>
        <w:t>包项名称</w:t>
      </w:r>
      <w:r>
        <w:rPr>
          <w:rFonts w:hint="eastAsia" w:ascii="宋体" w:hAnsi="宋体" w:eastAsia="宋体" w:cs="宋体"/>
          <w:color w:val="auto"/>
          <w:sz w:val="24"/>
          <w:szCs w:val="16"/>
          <w:highlight w:val="none"/>
        </w:rPr>
        <w:t>：</w:t>
      </w:r>
      <w:r>
        <w:rPr>
          <w:rFonts w:hint="eastAsia" w:ascii="宋体" w:hAnsi="宋体" w:eastAsia="宋体" w:cs="宋体"/>
          <w:color w:val="auto"/>
          <w:sz w:val="24"/>
          <w:szCs w:val="16"/>
          <w:highlight w:val="none"/>
          <w:u w:val="single"/>
        </w:rPr>
        <w:t xml:space="preserve">                     </w:t>
      </w:r>
      <w:r>
        <w:rPr>
          <w:rFonts w:hint="eastAsia" w:ascii="宋体" w:hAnsi="宋体" w:eastAsia="宋体" w:cs="宋体"/>
          <w:color w:val="auto"/>
          <w:sz w:val="24"/>
          <w:szCs w:val="16"/>
          <w:highlight w:val="none"/>
        </w:rPr>
        <w:t xml:space="preserve">              价格单位：元</w:t>
      </w:r>
    </w:p>
    <w:tbl>
      <w:tblPr>
        <w:tblStyle w:val="2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347"/>
        <w:gridCol w:w="1346"/>
        <w:gridCol w:w="822"/>
        <w:gridCol w:w="1054"/>
        <w:gridCol w:w="839"/>
        <w:gridCol w:w="1603"/>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序号</w:t>
            </w:r>
          </w:p>
        </w:tc>
        <w:tc>
          <w:tcPr>
            <w:tcW w:w="1347" w:type="dxa"/>
            <w:noWrap w:val="0"/>
            <w:vAlign w:val="center"/>
          </w:tcPr>
          <w:p>
            <w:pPr>
              <w:spacing w:line="360" w:lineRule="auto"/>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名称</w:t>
            </w:r>
          </w:p>
        </w:tc>
        <w:tc>
          <w:tcPr>
            <w:tcW w:w="1346" w:type="dxa"/>
            <w:noWrap w:val="0"/>
            <w:vAlign w:val="center"/>
          </w:tcPr>
          <w:p>
            <w:pPr>
              <w:spacing w:line="360" w:lineRule="auto"/>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规格</w:t>
            </w:r>
          </w:p>
        </w:tc>
        <w:tc>
          <w:tcPr>
            <w:tcW w:w="822"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数量</w:t>
            </w:r>
          </w:p>
        </w:tc>
        <w:tc>
          <w:tcPr>
            <w:tcW w:w="1054" w:type="dxa"/>
            <w:noWrap w:val="0"/>
            <w:vAlign w:val="center"/>
          </w:tcPr>
          <w:p>
            <w:pPr>
              <w:spacing w:line="360" w:lineRule="auto"/>
              <w:ind w:firstLine="120" w:firstLineChars="50"/>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单位</w:t>
            </w:r>
          </w:p>
        </w:tc>
        <w:tc>
          <w:tcPr>
            <w:tcW w:w="839"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单价</w:t>
            </w:r>
          </w:p>
        </w:tc>
        <w:tc>
          <w:tcPr>
            <w:tcW w:w="1603"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总价</w:t>
            </w:r>
          </w:p>
        </w:tc>
        <w:tc>
          <w:tcPr>
            <w:tcW w:w="728"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noWrap w:val="0"/>
            <w:vAlign w:val="top"/>
          </w:tcPr>
          <w:p>
            <w:pPr>
              <w:spacing w:line="360" w:lineRule="auto"/>
              <w:rPr>
                <w:rFonts w:hint="eastAsia" w:ascii="宋体" w:hAnsi="宋体"/>
                <w:b/>
                <w:color w:val="auto"/>
                <w:sz w:val="24"/>
                <w:highlight w:val="none"/>
              </w:rPr>
            </w:pPr>
          </w:p>
        </w:tc>
        <w:tc>
          <w:tcPr>
            <w:tcW w:w="1347" w:type="dxa"/>
            <w:noWrap w:val="0"/>
            <w:vAlign w:val="top"/>
          </w:tcPr>
          <w:p>
            <w:pPr>
              <w:spacing w:line="360" w:lineRule="auto"/>
              <w:rPr>
                <w:rFonts w:hint="eastAsia" w:ascii="宋体" w:hAnsi="宋体"/>
                <w:b/>
                <w:color w:val="auto"/>
                <w:sz w:val="24"/>
                <w:highlight w:val="none"/>
              </w:rPr>
            </w:pPr>
          </w:p>
        </w:tc>
        <w:tc>
          <w:tcPr>
            <w:tcW w:w="1346" w:type="dxa"/>
            <w:noWrap w:val="0"/>
            <w:vAlign w:val="top"/>
          </w:tcPr>
          <w:p>
            <w:pPr>
              <w:spacing w:line="360" w:lineRule="auto"/>
              <w:rPr>
                <w:rFonts w:hint="eastAsia" w:ascii="宋体" w:hAnsi="宋体"/>
                <w:b/>
                <w:color w:val="auto"/>
                <w:sz w:val="24"/>
                <w:highlight w:val="none"/>
              </w:rPr>
            </w:pPr>
          </w:p>
        </w:tc>
        <w:tc>
          <w:tcPr>
            <w:tcW w:w="822" w:type="dxa"/>
            <w:noWrap w:val="0"/>
            <w:vAlign w:val="top"/>
          </w:tcPr>
          <w:p>
            <w:pPr>
              <w:spacing w:line="360" w:lineRule="auto"/>
              <w:rPr>
                <w:rFonts w:hint="eastAsia" w:ascii="宋体" w:hAnsi="宋体"/>
                <w:b/>
                <w:color w:val="auto"/>
                <w:sz w:val="24"/>
                <w:highlight w:val="none"/>
              </w:rPr>
            </w:pPr>
          </w:p>
        </w:tc>
        <w:tc>
          <w:tcPr>
            <w:tcW w:w="1054" w:type="dxa"/>
            <w:noWrap w:val="0"/>
            <w:vAlign w:val="top"/>
          </w:tcPr>
          <w:p>
            <w:pPr>
              <w:spacing w:line="360" w:lineRule="auto"/>
              <w:rPr>
                <w:rFonts w:hint="eastAsia" w:ascii="宋体" w:hAnsi="宋体"/>
                <w:b/>
                <w:color w:val="auto"/>
                <w:sz w:val="24"/>
                <w:highlight w:val="none"/>
              </w:rPr>
            </w:pPr>
          </w:p>
        </w:tc>
        <w:tc>
          <w:tcPr>
            <w:tcW w:w="839" w:type="dxa"/>
            <w:noWrap w:val="0"/>
            <w:vAlign w:val="top"/>
          </w:tcPr>
          <w:p>
            <w:pPr>
              <w:spacing w:line="360" w:lineRule="auto"/>
              <w:rPr>
                <w:rFonts w:hint="eastAsia" w:ascii="宋体" w:hAnsi="宋体"/>
                <w:b/>
                <w:color w:val="auto"/>
                <w:sz w:val="24"/>
                <w:highlight w:val="none"/>
              </w:rPr>
            </w:pPr>
          </w:p>
        </w:tc>
        <w:tc>
          <w:tcPr>
            <w:tcW w:w="1603" w:type="dxa"/>
            <w:noWrap w:val="0"/>
            <w:vAlign w:val="top"/>
          </w:tcPr>
          <w:p>
            <w:pPr>
              <w:spacing w:line="360" w:lineRule="auto"/>
              <w:rPr>
                <w:rFonts w:hint="eastAsia" w:ascii="宋体" w:hAnsi="宋体"/>
                <w:b/>
                <w:color w:val="auto"/>
                <w:sz w:val="24"/>
                <w:highlight w:val="none"/>
              </w:rPr>
            </w:pPr>
          </w:p>
        </w:tc>
        <w:tc>
          <w:tcPr>
            <w:tcW w:w="728" w:type="dxa"/>
            <w:noWrap w:val="0"/>
            <w:vAlign w:val="top"/>
          </w:tcPr>
          <w:p>
            <w:pPr>
              <w:spacing w:line="360" w:lineRule="auto"/>
              <w:rPr>
                <w:rFonts w:hint="eastAsia" w:ascii="宋体"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noWrap w:val="0"/>
            <w:vAlign w:val="top"/>
          </w:tcPr>
          <w:p>
            <w:pPr>
              <w:spacing w:line="360" w:lineRule="auto"/>
              <w:rPr>
                <w:rFonts w:hint="eastAsia" w:ascii="宋体" w:hAnsi="宋体"/>
                <w:b/>
                <w:color w:val="auto"/>
                <w:sz w:val="24"/>
                <w:highlight w:val="none"/>
              </w:rPr>
            </w:pPr>
          </w:p>
        </w:tc>
        <w:tc>
          <w:tcPr>
            <w:tcW w:w="1347" w:type="dxa"/>
            <w:noWrap w:val="0"/>
            <w:vAlign w:val="top"/>
          </w:tcPr>
          <w:p>
            <w:pPr>
              <w:spacing w:line="360" w:lineRule="auto"/>
              <w:rPr>
                <w:rFonts w:hint="eastAsia" w:ascii="宋体" w:hAnsi="宋体"/>
                <w:b/>
                <w:color w:val="auto"/>
                <w:sz w:val="24"/>
                <w:highlight w:val="none"/>
              </w:rPr>
            </w:pPr>
          </w:p>
        </w:tc>
        <w:tc>
          <w:tcPr>
            <w:tcW w:w="1346" w:type="dxa"/>
            <w:noWrap w:val="0"/>
            <w:vAlign w:val="top"/>
          </w:tcPr>
          <w:p>
            <w:pPr>
              <w:spacing w:line="360" w:lineRule="auto"/>
              <w:rPr>
                <w:rFonts w:hint="eastAsia" w:ascii="宋体" w:hAnsi="宋体"/>
                <w:b/>
                <w:color w:val="auto"/>
                <w:sz w:val="24"/>
                <w:highlight w:val="none"/>
              </w:rPr>
            </w:pPr>
          </w:p>
        </w:tc>
        <w:tc>
          <w:tcPr>
            <w:tcW w:w="822" w:type="dxa"/>
            <w:noWrap w:val="0"/>
            <w:vAlign w:val="top"/>
          </w:tcPr>
          <w:p>
            <w:pPr>
              <w:spacing w:line="360" w:lineRule="auto"/>
              <w:rPr>
                <w:rFonts w:hint="eastAsia" w:ascii="宋体" w:hAnsi="宋体"/>
                <w:b/>
                <w:color w:val="auto"/>
                <w:sz w:val="24"/>
                <w:highlight w:val="none"/>
              </w:rPr>
            </w:pPr>
          </w:p>
        </w:tc>
        <w:tc>
          <w:tcPr>
            <w:tcW w:w="1054" w:type="dxa"/>
            <w:noWrap w:val="0"/>
            <w:vAlign w:val="top"/>
          </w:tcPr>
          <w:p>
            <w:pPr>
              <w:spacing w:line="360" w:lineRule="auto"/>
              <w:rPr>
                <w:rFonts w:hint="eastAsia" w:ascii="宋体" w:hAnsi="宋体"/>
                <w:b/>
                <w:color w:val="auto"/>
                <w:sz w:val="24"/>
                <w:highlight w:val="none"/>
              </w:rPr>
            </w:pPr>
          </w:p>
        </w:tc>
        <w:tc>
          <w:tcPr>
            <w:tcW w:w="839" w:type="dxa"/>
            <w:noWrap w:val="0"/>
            <w:vAlign w:val="top"/>
          </w:tcPr>
          <w:p>
            <w:pPr>
              <w:spacing w:line="360" w:lineRule="auto"/>
              <w:rPr>
                <w:rFonts w:hint="eastAsia" w:ascii="宋体" w:hAnsi="宋体"/>
                <w:b/>
                <w:color w:val="auto"/>
                <w:sz w:val="24"/>
                <w:highlight w:val="none"/>
              </w:rPr>
            </w:pPr>
          </w:p>
        </w:tc>
        <w:tc>
          <w:tcPr>
            <w:tcW w:w="1603" w:type="dxa"/>
            <w:noWrap w:val="0"/>
            <w:vAlign w:val="top"/>
          </w:tcPr>
          <w:p>
            <w:pPr>
              <w:spacing w:line="360" w:lineRule="auto"/>
              <w:rPr>
                <w:rFonts w:hint="eastAsia" w:ascii="宋体" w:hAnsi="宋体"/>
                <w:b/>
                <w:color w:val="auto"/>
                <w:sz w:val="24"/>
                <w:highlight w:val="none"/>
              </w:rPr>
            </w:pPr>
          </w:p>
        </w:tc>
        <w:tc>
          <w:tcPr>
            <w:tcW w:w="728" w:type="dxa"/>
            <w:noWrap w:val="0"/>
            <w:vAlign w:val="top"/>
          </w:tcPr>
          <w:p>
            <w:pPr>
              <w:spacing w:line="360" w:lineRule="auto"/>
              <w:rPr>
                <w:rFonts w:hint="eastAsia" w:ascii="宋体"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noWrap w:val="0"/>
            <w:vAlign w:val="top"/>
          </w:tcPr>
          <w:p>
            <w:pPr>
              <w:spacing w:line="360" w:lineRule="auto"/>
              <w:rPr>
                <w:rFonts w:hint="eastAsia" w:ascii="宋体" w:hAnsi="宋体"/>
                <w:b/>
                <w:color w:val="auto"/>
                <w:sz w:val="24"/>
                <w:highlight w:val="none"/>
              </w:rPr>
            </w:pPr>
          </w:p>
        </w:tc>
        <w:tc>
          <w:tcPr>
            <w:tcW w:w="1347" w:type="dxa"/>
            <w:noWrap w:val="0"/>
            <w:vAlign w:val="top"/>
          </w:tcPr>
          <w:p>
            <w:pPr>
              <w:spacing w:line="360" w:lineRule="auto"/>
              <w:rPr>
                <w:rFonts w:hint="eastAsia" w:ascii="宋体" w:hAnsi="宋体"/>
                <w:b/>
                <w:color w:val="auto"/>
                <w:sz w:val="24"/>
                <w:highlight w:val="none"/>
              </w:rPr>
            </w:pPr>
          </w:p>
        </w:tc>
        <w:tc>
          <w:tcPr>
            <w:tcW w:w="1346" w:type="dxa"/>
            <w:noWrap w:val="0"/>
            <w:vAlign w:val="top"/>
          </w:tcPr>
          <w:p>
            <w:pPr>
              <w:spacing w:line="360" w:lineRule="auto"/>
              <w:rPr>
                <w:rFonts w:hint="eastAsia" w:ascii="宋体" w:hAnsi="宋体"/>
                <w:b/>
                <w:color w:val="auto"/>
                <w:sz w:val="24"/>
                <w:highlight w:val="none"/>
              </w:rPr>
            </w:pPr>
          </w:p>
        </w:tc>
        <w:tc>
          <w:tcPr>
            <w:tcW w:w="822" w:type="dxa"/>
            <w:noWrap w:val="0"/>
            <w:vAlign w:val="top"/>
          </w:tcPr>
          <w:p>
            <w:pPr>
              <w:spacing w:line="360" w:lineRule="auto"/>
              <w:rPr>
                <w:rFonts w:hint="eastAsia" w:ascii="宋体" w:hAnsi="宋体"/>
                <w:b/>
                <w:color w:val="auto"/>
                <w:sz w:val="24"/>
                <w:highlight w:val="none"/>
              </w:rPr>
            </w:pPr>
          </w:p>
        </w:tc>
        <w:tc>
          <w:tcPr>
            <w:tcW w:w="1054" w:type="dxa"/>
            <w:noWrap w:val="0"/>
            <w:vAlign w:val="top"/>
          </w:tcPr>
          <w:p>
            <w:pPr>
              <w:spacing w:line="360" w:lineRule="auto"/>
              <w:rPr>
                <w:rFonts w:hint="eastAsia" w:ascii="宋体" w:hAnsi="宋体"/>
                <w:b/>
                <w:color w:val="auto"/>
                <w:sz w:val="24"/>
                <w:highlight w:val="none"/>
              </w:rPr>
            </w:pPr>
          </w:p>
        </w:tc>
        <w:tc>
          <w:tcPr>
            <w:tcW w:w="839" w:type="dxa"/>
            <w:noWrap w:val="0"/>
            <w:vAlign w:val="top"/>
          </w:tcPr>
          <w:p>
            <w:pPr>
              <w:spacing w:line="360" w:lineRule="auto"/>
              <w:rPr>
                <w:rFonts w:hint="eastAsia" w:ascii="宋体" w:hAnsi="宋体"/>
                <w:b/>
                <w:color w:val="auto"/>
                <w:sz w:val="24"/>
                <w:highlight w:val="none"/>
              </w:rPr>
            </w:pPr>
          </w:p>
        </w:tc>
        <w:tc>
          <w:tcPr>
            <w:tcW w:w="1603" w:type="dxa"/>
            <w:noWrap w:val="0"/>
            <w:vAlign w:val="top"/>
          </w:tcPr>
          <w:p>
            <w:pPr>
              <w:spacing w:line="360" w:lineRule="auto"/>
              <w:rPr>
                <w:rFonts w:hint="eastAsia" w:ascii="宋体" w:hAnsi="宋体"/>
                <w:b/>
                <w:color w:val="auto"/>
                <w:sz w:val="24"/>
                <w:highlight w:val="none"/>
              </w:rPr>
            </w:pPr>
          </w:p>
        </w:tc>
        <w:tc>
          <w:tcPr>
            <w:tcW w:w="728" w:type="dxa"/>
            <w:noWrap w:val="0"/>
            <w:vAlign w:val="top"/>
          </w:tcPr>
          <w:p>
            <w:pPr>
              <w:spacing w:line="360" w:lineRule="auto"/>
              <w:rPr>
                <w:rFonts w:hint="eastAsia" w:ascii="宋体"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noWrap w:val="0"/>
            <w:vAlign w:val="top"/>
          </w:tcPr>
          <w:p>
            <w:pPr>
              <w:spacing w:line="360" w:lineRule="auto"/>
              <w:rPr>
                <w:rFonts w:hint="eastAsia" w:ascii="宋体" w:hAnsi="宋体"/>
                <w:b/>
                <w:color w:val="auto"/>
                <w:sz w:val="24"/>
                <w:highlight w:val="none"/>
              </w:rPr>
            </w:pPr>
          </w:p>
        </w:tc>
        <w:tc>
          <w:tcPr>
            <w:tcW w:w="1347" w:type="dxa"/>
            <w:noWrap w:val="0"/>
            <w:vAlign w:val="top"/>
          </w:tcPr>
          <w:p>
            <w:pPr>
              <w:spacing w:line="360" w:lineRule="auto"/>
              <w:rPr>
                <w:rFonts w:hint="eastAsia" w:ascii="宋体" w:hAnsi="宋体"/>
                <w:b/>
                <w:color w:val="auto"/>
                <w:sz w:val="24"/>
                <w:highlight w:val="none"/>
              </w:rPr>
            </w:pPr>
          </w:p>
        </w:tc>
        <w:tc>
          <w:tcPr>
            <w:tcW w:w="1346" w:type="dxa"/>
            <w:noWrap w:val="0"/>
            <w:vAlign w:val="top"/>
          </w:tcPr>
          <w:p>
            <w:pPr>
              <w:spacing w:line="360" w:lineRule="auto"/>
              <w:rPr>
                <w:rFonts w:hint="eastAsia" w:ascii="宋体" w:hAnsi="宋体"/>
                <w:b/>
                <w:color w:val="auto"/>
                <w:sz w:val="24"/>
                <w:highlight w:val="none"/>
              </w:rPr>
            </w:pPr>
          </w:p>
        </w:tc>
        <w:tc>
          <w:tcPr>
            <w:tcW w:w="822" w:type="dxa"/>
            <w:noWrap w:val="0"/>
            <w:vAlign w:val="top"/>
          </w:tcPr>
          <w:p>
            <w:pPr>
              <w:spacing w:line="360" w:lineRule="auto"/>
              <w:rPr>
                <w:rFonts w:hint="eastAsia" w:ascii="宋体" w:hAnsi="宋体"/>
                <w:b/>
                <w:color w:val="auto"/>
                <w:sz w:val="24"/>
                <w:highlight w:val="none"/>
              </w:rPr>
            </w:pPr>
          </w:p>
        </w:tc>
        <w:tc>
          <w:tcPr>
            <w:tcW w:w="1054" w:type="dxa"/>
            <w:noWrap w:val="0"/>
            <w:vAlign w:val="top"/>
          </w:tcPr>
          <w:p>
            <w:pPr>
              <w:spacing w:line="360" w:lineRule="auto"/>
              <w:rPr>
                <w:rFonts w:hint="eastAsia" w:ascii="宋体" w:hAnsi="宋体"/>
                <w:b/>
                <w:color w:val="auto"/>
                <w:sz w:val="24"/>
                <w:highlight w:val="none"/>
              </w:rPr>
            </w:pPr>
          </w:p>
        </w:tc>
        <w:tc>
          <w:tcPr>
            <w:tcW w:w="839" w:type="dxa"/>
            <w:noWrap w:val="0"/>
            <w:vAlign w:val="top"/>
          </w:tcPr>
          <w:p>
            <w:pPr>
              <w:spacing w:line="360" w:lineRule="auto"/>
              <w:rPr>
                <w:rFonts w:hint="eastAsia" w:ascii="宋体" w:hAnsi="宋体"/>
                <w:b/>
                <w:color w:val="auto"/>
                <w:sz w:val="24"/>
                <w:highlight w:val="none"/>
              </w:rPr>
            </w:pPr>
          </w:p>
        </w:tc>
        <w:tc>
          <w:tcPr>
            <w:tcW w:w="1603" w:type="dxa"/>
            <w:noWrap w:val="0"/>
            <w:vAlign w:val="top"/>
          </w:tcPr>
          <w:p>
            <w:pPr>
              <w:spacing w:line="360" w:lineRule="auto"/>
              <w:rPr>
                <w:rFonts w:hint="eastAsia" w:ascii="宋体" w:hAnsi="宋体"/>
                <w:b/>
                <w:color w:val="auto"/>
                <w:sz w:val="24"/>
                <w:highlight w:val="none"/>
              </w:rPr>
            </w:pPr>
          </w:p>
        </w:tc>
        <w:tc>
          <w:tcPr>
            <w:tcW w:w="728" w:type="dxa"/>
            <w:noWrap w:val="0"/>
            <w:vAlign w:val="top"/>
          </w:tcPr>
          <w:p>
            <w:pPr>
              <w:spacing w:line="360" w:lineRule="auto"/>
              <w:rPr>
                <w:rFonts w:hint="eastAsia" w:ascii="宋体"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noWrap w:val="0"/>
            <w:vAlign w:val="top"/>
          </w:tcPr>
          <w:p>
            <w:pPr>
              <w:spacing w:line="360" w:lineRule="auto"/>
              <w:rPr>
                <w:rFonts w:hint="eastAsia" w:ascii="宋体" w:hAnsi="宋体"/>
                <w:b/>
                <w:color w:val="auto"/>
                <w:sz w:val="24"/>
                <w:highlight w:val="none"/>
              </w:rPr>
            </w:pPr>
          </w:p>
        </w:tc>
        <w:tc>
          <w:tcPr>
            <w:tcW w:w="1347" w:type="dxa"/>
            <w:noWrap w:val="0"/>
            <w:vAlign w:val="top"/>
          </w:tcPr>
          <w:p>
            <w:pPr>
              <w:spacing w:line="360" w:lineRule="auto"/>
              <w:rPr>
                <w:rFonts w:hint="eastAsia" w:ascii="宋体" w:hAnsi="宋体"/>
                <w:b/>
                <w:color w:val="auto"/>
                <w:sz w:val="24"/>
                <w:highlight w:val="none"/>
              </w:rPr>
            </w:pPr>
          </w:p>
        </w:tc>
        <w:tc>
          <w:tcPr>
            <w:tcW w:w="1346" w:type="dxa"/>
            <w:noWrap w:val="0"/>
            <w:vAlign w:val="top"/>
          </w:tcPr>
          <w:p>
            <w:pPr>
              <w:spacing w:line="360" w:lineRule="auto"/>
              <w:rPr>
                <w:rFonts w:hint="eastAsia" w:ascii="宋体" w:hAnsi="宋体"/>
                <w:b/>
                <w:color w:val="auto"/>
                <w:sz w:val="24"/>
                <w:highlight w:val="none"/>
              </w:rPr>
            </w:pPr>
          </w:p>
        </w:tc>
        <w:tc>
          <w:tcPr>
            <w:tcW w:w="822" w:type="dxa"/>
            <w:noWrap w:val="0"/>
            <w:vAlign w:val="top"/>
          </w:tcPr>
          <w:p>
            <w:pPr>
              <w:spacing w:line="360" w:lineRule="auto"/>
              <w:rPr>
                <w:rFonts w:hint="eastAsia" w:ascii="宋体" w:hAnsi="宋体"/>
                <w:b/>
                <w:color w:val="auto"/>
                <w:sz w:val="24"/>
                <w:highlight w:val="none"/>
              </w:rPr>
            </w:pPr>
          </w:p>
        </w:tc>
        <w:tc>
          <w:tcPr>
            <w:tcW w:w="1054" w:type="dxa"/>
            <w:noWrap w:val="0"/>
            <w:vAlign w:val="top"/>
          </w:tcPr>
          <w:p>
            <w:pPr>
              <w:spacing w:line="360" w:lineRule="auto"/>
              <w:rPr>
                <w:rFonts w:hint="eastAsia" w:ascii="宋体" w:hAnsi="宋体"/>
                <w:b/>
                <w:color w:val="auto"/>
                <w:sz w:val="24"/>
                <w:highlight w:val="none"/>
              </w:rPr>
            </w:pPr>
          </w:p>
        </w:tc>
        <w:tc>
          <w:tcPr>
            <w:tcW w:w="839" w:type="dxa"/>
            <w:noWrap w:val="0"/>
            <w:vAlign w:val="top"/>
          </w:tcPr>
          <w:p>
            <w:pPr>
              <w:spacing w:line="360" w:lineRule="auto"/>
              <w:rPr>
                <w:rFonts w:hint="eastAsia" w:ascii="宋体" w:hAnsi="宋体"/>
                <w:b/>
                <w:color w:val="auto"/>
                <w:sz w:val="24"/>
                <w:highlight w:val="none"/>
              </w:rPr>
            </w:pPr>
          </w:p>
        </w:tc>
        <w:tc>
          <w:tcPr>
            <w:tcW w:w="1603" w:type="dxa"/>
            <w:noWrap w:val="0"/>
            <w:vAlign w:val="top"/>
          </w:tcPr>
          <w:p>
            <w:pPr>
              <w:spacing w:line="360" w:lineRule="auto"/>
              <w:rPr>
                <w:rFonts w:hint="eastAsia" w:ascii="宋体" w:hAnsi="宋体"/>
                <w:b/>
                <w:color w:val="auto"/>
                <w:sz w:val="24"/>
                <w:highlight w:val="none"/>
              </w:rPr>
            </w:pPr>
          </w:p>
        </w:tc>
        <w:tc>
          <w:tcPr>
            <w:tcW w:w="728" w:type="dxa"/>
            <w:noWrap w:val="0"/>
            <w:vAlign w:val="top"/>
          </w:tcPr>
          <w:p>
            <w:pPr>
              <w:spacing w:line="360" w:lineRule="auto"/>
              <w:rPr>
                <w:rFonts w:hint="eastAsia" w:ascii="宋体"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noWrap w:val="0"/>
            <w:vAlign w:val="top"/>
          </w:tcPr>
          <w:p>
            <w:pPr>
              <w:spacing w:line="360" w:lineRule="auto"/>
              <w:rPr>
                <w:rFonts w:hint="eastAsia" w:ascii="宋体" w:hAnsi="宋体"/>
                <w:b/>
                <w:color w:val="auto"/>
                <w:sz w:val="24"/>
                <w:highlight w:val="none"/>
              </w:rPr>
            </w:pPr>
          </w:p>
        </w:tc>
        <w:tc>
          <w:tcPr>
            <w:tcW w:w="1347" w:type="dxa"/>
            <w:noWrap w:val="0"/>
            <w:vAlign w:val="top"/>
          </w:tcPr>
          <w:p>
            <w:pPr>
              <w:spacing w:line="360" w:lineRule="auto"/>
              <w:rPr>
                <w:rFonts w:hint="eastAsia" w:ascii="宋体" w:hAnsi="宋体"/>
                <w:b/>
                <w:color w:val="auto"/>
                <w:sz w:val="24"/>
                <w:highlight w:val="none"/>
              </w:rPr>
            </w:pPr>
          </w:p>
        </w:tc>
        <w:tc>
          <w:tcPr>
            <w:tcW w:w="1346" w:type="dxa"/>
            <w:noWrap w:val="0"/>
            <w:vAlign w:val="top"/>
          </w:tcPr>
          <w:p>
            <w:pPr>
              <w:spacing w:line="360" w:lineRule="auto"/>
              <w:rPr>
                <w:rFonts w:hint="eastAsia" w:ascii="宋体" w:hAnsi="宋体"/>
                <w:b/>
                <w:color w:val="auto"/>
                <w:sz w:val="24"/>
                <w:highlight w:val="none"/>
              </w:rPr>
            </w:pPr>
          </w:p>
        </w:tc>
        <w:tc>
          <w:tcPr>
            <w:tcW w:w="822" w:type="dxa"/>
            <w:noWrap w:val="0"/>
            <w:vAlign w:val="top"/>
          </w:tcPr>
          <w:p>
            <w:pPr>
              <w:spacing w:line="360" w:lineRule="auto"/>
              <w:rPr>
                <w:rFonts w:hint="eastAsia" w:ascii="宋体" w:hAnsi="宋体"/>
                <w:b/>
                <w:color w:val="auto"/>
                <w:sz w:val="24"/>
                <w:highlight w:val="none"/>
              </w:rPr>
            </w:pPr>
          </w:p>
        </w:tc>
        <w:tc>
          <w:tcPr>
            <w:tcW w:w="1054" w:type="dxa"/>
            <w:noWrap w:val="0"/>
            <w:vAlign w:val="top"/>
          </w:tcPr>
          <w:p>
            <w:pPr>
              <w:spacing w:line="360" w:lineRule="auto"/>
              <w:rPr>
                <w:rFonts w:hint="eastAsia" w:ascii="宋体" w:hAnsi="宋体"/>
                <w:b/>
                <w:color w:val="auto"/>
                <w:sz w:val="24"/>
                <w:highlight w:val="none"/>
              </w:rPr>
            </w:pPr>
          </w:p>
        </w:tc>
        <w:tc>
          <w:tcPr>
            <w:tcW w:w="839" w:type="dxa"/>
            <w:noWrap w:val="0"/>
            <w:vAlign w:val="top"/>
          </w:tcPr>
          <w:p>
            <w:pPr>
              <w:spacing w:line="360" w:lineRule="auto"/>
              <w:rPr>
                <w:rFonts w:hint="eastAsia" w:ascii="宋体" w:hAnsi="宋体"/>
                <w:b/>
                <w:color w:val="auto"/>
                <w:sz w:val="24"/>
                <w:highlight w:val="none"/>
              </w:rPr>
            </w:pPr>
          </w:p>
        </w:tc>
        <w:tc>
          <w:tcPr>
            <w:tcW w:w="1603" w:type="dxa"/>
            <w:noWrap w:val="0"/>
            <w:vAlign w:val="top"/>
          </w:tcPr>
          <w:p>
            <w:pPr>
              <w:spacing w:line="360" w:lineRule="auto"/>
              <w:rPr>
                <w:rFonts w:hint="eastAsia" w:ascii="宋体" w:hAnsi="宋体"/>
                <w:b/>
                <w:color w:val="auto"/>
                <w:sz w:val="24"/>
                <w:highlight w:val="none"/>
              </w:rPr>
            </w:pPr>
          </w:p>
        </w:tc>
        <w:tc>
          <w:tcPr>
            <w:tcW w:w="728" w:type="dxa"/>
            <w:noWrap w:val="0"/>
            <w:vAlign w:val="top"/>
          </w:tcPr>
          <w:p>
            <w:pPr>
              <w:spacing w:line="360" w:lineRule="auto"/>
              <w:rPr>
                <w:rFonts w:hint="eastAsia" w:ascii="宋体"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noWrap w:val="0"/>
            <w:vAlign w:val="top"/>
          </w:tcPr>
          <w:p>
            <w:pPr>
              <w:spacing w:line="360" w:lineRule="auto"/>
              <w:rPr>
                <w:rFonts w:hint="eastAsia" w:ascii="宋体" w:hAnsi="宋体"/>
                <w:b/>
                <w:color w:val="auto"/>
                <w:sz w:val="24"/>
                <w:highlight w:val="none"/>
              </w:rPr>
            </w:pPr>
          </w:p>
        </w:tc>
        <w:tc>
          <w:tcPr>
            <w:tcW w:w="1347" w:type="dxa"/>
            <w:noWrap w:val="0"/>
            <w:vAlign w:val="top"/>
          </w:tcPr>
          <w:p>
            <w:pPr>
              <w:spacing w:line="360" w:lineRule="auto"/>
              <w:rPr>
                <w:rFonts w:hint="eastAsia" w:ascii="宋体" w:hAnsi="宋体"/>
                <w:b/>
                <w:color w:val="auto"/>
                <w:sz w:val="24"/>
                <w:highlight w:val="none"/>
              </w:rPr>
            </w:pPr>
          </w:p>
        </w:tc>
        <w:tc>
          <w:tcPr>
            <w:tcW w:w="1346" w:type="dxa"/>
            <w:noWrap w:val="0"/>
            <w:vAlign w:val="top"/>
          </w:tcPr>
          <w:p>
            <w:pPr>
              <w:spacing w:line="360" w:lineRule="auto"/>
              <w:rPr>
                <w:rFonts w:hint="eastAsia" w:ascii="宋体" w:hAnsi="宋体"/>
                <w:b/>
                <w:color w:val="auto"/>
                <w:sz w:val="24"/>
                <w:highlight w:val="none"/>
              </w:rPr>
            </w:pPr>
          </w:p>
        </w:tc>
        <w:tc>
          <w:tcPr>
            <w:tcW w:w="822" w:type="dxa"/>
            <w:noWrap w:val="0"/>
            <w:vAlign w:val="top"/>
          </w:tcPr>
          <w:p>
            <w:pPr>
              <w:spacing w:line="360" w:lineRule="auto"/>
              <w:rPr>
                <w:rFonts w:hint="eastAsia" w:ascii="宋体" w:hAnsi="宋体"/>
                <w:b/>
                <w:color w:val="auto"/>
                <w:sz w:val="24"/>
                <w:highlight w:val="none"/>
              </w:rPr>
            </w:pPr>
          </w:p>
        </w:tc>
        <w:tc>
          <w:tcPr>
            <w:tcW w:w="1054" w:type="dxa"/>
            <w:noWrap w:val="0"/>
            <w:vAlign w:val="top"/>
          </w:tcPr>
          <w:p>
            <w:pPr>
              <w:spacing w:line="360" w:lineRule="auto"/>
              <w:rPr>
                <w:rFonts w:hint="eastAsia" w:ascii="宋体" w:hAnsi="宋体"/>
                <w:b/>
                <w:color w:val="auto"/>
                <w:sz w:val="24"/>
                <w:highlight w:val="none"/>
              </w:rPr>
            </w:pPr>
          </w:p>
        </w:tc>
        <w:tc>
          <w:tcPr>
            <w:tcW w:w="839" w:type="dxa"/>
            <w:noWrap w:val="0"/>
            <w:vAlign w:val="top"/>
          </w:tcPr>
          <w:p>
            <w:pPr>
              <w:spacing w:line="360" w:lineRule="auto"/>
              <w:rPr>
                <w:rFonts w:hint="eastAsia" w:ascii="宋体" w:hAnsi="宋体"/>
                <w:b/>
                <w:color w:val="auto"/>
                <w:sz w:val="24"/>
                <w:highlight w:val="none"/>
              </w:rPr>
            </w:pPr>
          </w:p>
        </w:tc>
        <w:tc>
          <w:tcPr>
            <w:tcW w:w="1603" w:type="dxa"/>
            <w:noWrap w:val="0"/>
            <w:vAlign w:val="top"/>
          </w:tcPr>
          <w:p>
            <w:pPr>
              <w:spacing w:line="360" w:lineRule="auto"/>
              <w:rPr>
                <w:rFonts w:hint="eastAsia" w:ascii="宋体" w:hAnsi="宋体"/>
                <w:b/>
                <w:color w:val="auto"/>
                <w:sz w:val="24"/>
                <w:highlight w:val="none"/>
              </w:rPr>
            </w:pPr>
          </w:p>
        </w:tc>
        <w:tc>
          <w:tcPr>
            <w:tcW w:w="728" w:type="dxa"/>
            <w:noWrap w:val="0"/>
            <w:vAlign w:val="top"/>
          </w:tcPr>
          <w:p>
            <w:pPr>
              <w:spacing w:line="360" w:lineRule="auto"/>
              <w:rPr>
                <w:rFonts w:hint="eastAsia" w:ascii="宋体"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noWrap w:val="0"/>
            <w:vAlign w:val="top"/>
          </w:tcPr>
          <w:p>
            <w:pPr>
              <w:spacing w:line="360" w:lineRule="auto"/>
              <w:rPr>
                <w:rFonts w:hint="eastAsia" w:ascii="宋体" w:hAnsi="宋体"/>
                <w:b/>
                <w:color w:val="auto"/>
                <w:sz w:val="24"/>
                <w:highlight w:val="none"/>
              </w:rPr>
            </w:pPr>
          </w:p>
        </w:tc>
        <w:tc>
          <w:tcPr>
            <w:tcW w:w="1347" w:type="dxa"/>
            <w:noWrap w:val="0"/>
            <w:vAlign w:val="top"/>
          </w:tcPr>
          <w:p>
            <w:pPr>
              <w:spacing w:line="360" w:lineRule="auto"/>
              <w:rPr>
                <w:rFonts w:hint="eastAsia" w:ascii="宋体" w:hAnsi="宋体"/>
                <w:b/>
                <w:color w:val="auto"/>
                <w:sz w:val="24"/>
                <w:highlight w:val="none"/>
              </w:rPr>
            </w:pPr>
          </w:p>
        </w:tc>
        <w:tc>
          <w:tcPr>
            <w:tcW w:w="1346" w:type="dxa"/>
            <w:noWrap w:val="0"/>
            <w:vAlign w:val="top"/>
          </w:tcPr>
          <w:p>
            <w:pPr>
              <w:spacing w:line="360" w:lineRule="auto"/>
              <w:rPr>
                <w:rFonts w:hint="eastAsia" w:ascii="宋体" w:hAnsi="宋体"/>
                <w:b/>
                <w:color w:val="auto"/>
                <w:sz w:val="24"/>
                <w:highlight w:val="none"/>
              </w:rPr>
            </w:pPr>
          </w:p>
        </w:tc>
        <w:tc>
          <w:tcPr>
            <w:tcW w:w="822" w:type="dxa"/>
            <w:noWrap w:val="0"/>
            <w:vAlign w:val="top"/>
          </w:tcPr>
          <w:p>
            <w:pPr>
              <w:spacing w:line="360" w:lineRule="auto"/>
              <w:rPr>
                <w:rFonts w:hint="eastAsia" w:ascii="宋体" w:hAnsi="宋体"/>
                <w:b/>
                <w:color w:val="auto"/>
                <w:sz w:val="24"/>
                <w:highlight w:val="none"/>
              </w:rPr>
            </w:pPr>
          </w:p>
        </w:tc>
        <w:tc>
          <w:tcPr>
            <w:tcW w:w="1054" w:type="dxa"/>
            <w:noWrap w:val="0"/>
            <w:vAlign w:val="top"/>
          </w:tcPr>
          <w:p>
            <w:pPr>
              <w:spacing w:line="360" w:lineRule="auto"/>
              <w:rPr>
                <w:rFonts w:hint="eastAsia" w:ascii="宋体" w:hAnsi="宋体"/>
                <w:b/>
                <w:color w:val="auto"/>
                <w:sz w:val="24"/>
                <w:highlight w:val="none"/>
              </w:rPr>
            </w:pPr>
          </w:p>
        </w:tc>
        <w:tc>
          <w:tcPr>
            <w:tcW w:w="839" w:type="dxa"/>
            <w:noWrap w:val="0"/>
            <w:vAlign w:val="top"/>
          </w:tcPr>
          <w:p>
            <w:pPr>
              <w:spacing w:line="360" w:lineRule="auto"/>
              <w:rPr>
                <w:rFonts w:hint="eastAsia" w:ascii="宋体" w:hAnsi="宋体"/>
                <w:b/>
                <w:color w:val="auto"/>
                <w:sz w:val="24"/>
                <w:highlight w:val="none"/>
              </w:rPr>
            </w:pPr>
          </w:p>
        </w:tc>
        <w:tc>
          <w:tcPr>
            <w:tcW w:w="1603" w:type="dxa"/>
            <w:noWrap w:val="0"/>
            <w:vAlign w:val="top"/>
          </w:tcPr>
          <w:p>
            <w:pPr>
              <w:spacing w:line="360" w:lineRule="auto"/>
              <w:rPr>
                <w:rFonts w:hint="eastAsia" w:ascii="宋体" w:hAnsi="宋体"/>
                <w:b/>
                <w:color w:val="auto"/>
                <w:sz w:val="24"/>
                <w:highlight w:val="none"/>
              </w:rPr>
            </w:pPr>
          </w:p>
        </w:tc>
        <w:tc>
          <w:tcPr>
            <w:tcW w:w="728" w:type="dxa"/>
            <w:noWrap w:val="0"/>
            <w:vAlign w:val="top"/>
          </w:tcPr>
          <w:p>
            <w:pPr>
              <w:spacing w:line="360" w:lineRule="auto"/>
              <w:rPr>
                <w:rFonts w:hint="eastAsia" w:ascii="宋体"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gridSpan w:val="2"/>
            <w:noWrap w:val="0"/>
            <w:vAlign w:val="center"/>
          </w:tcPr>
          <w:p>
            <w:pPr>
              <w:spacing w:line="360" w:lineRule="auto"/>
              <w:rPr>
                <w:rFonts w:hint="eastAsia" w:ascii="宋体" w:hAnsi="宋体"/>
                <w:color w:val="auto"/>
                <w:sz w:val="24"/>
                <w:highlight w:val="none"/>
              </w:rPr>
            </w:pPr>
            <w:r>
              <w:rPr>
                <w:rFonts w:hint="eastAsia" w:ascii="宋体" w:hAnsi="宋体"/>
                <w:color w:val="auto"/>
                <w:sz w:val="24"/>
                <w:highlight w:val="none"/>
              </w:rPr>
              <w:t>总计</w:t>
            </w:r>
          </w:p>
        </w:tc>
        <w:tc>
          <w:tcPr>
            <w:tcW w:w="6392" w:type="dxa"/>
            <w:gridSpan w:val="6"/>
            <w:noWrap w:val="0"/>
            <w:vAlign w:val="top"/>
          </w:tcPr>
          <w:p>
            <w:pPr>
              <w:spacing w:line="360" w:lineRule="auto"/>
              <w:rPr>
                <w:rFonts w:hint="eastAsia" w:ascii="宋体"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gridSpan w:val="2"/>
            <w:noWrap w:val="0"/>
            <w:vAlign w:val="center"/>
          </w:tcPr>
          <w:p>
            <w:pPr>
              <w:spacing w:line="360" w:lineRule="auto"/>
              <w:jc w:val="center"/>
              <w:rPr>
                <w:rFonts w:hint="eastAsia" w:ascii="宋体" w:hAnsi="宋体"/>
                <w:b/>
                <w:color w:val="auto"/>
                <w:sz w:val="24"/>
                <w:highlight w:val="none"/>
              </w:rPr>
            </w:pPr>
            <w:r>
              <w:rPr>
                <w:rFonts w:hint="eastAsia" w:ascii="宋体" w:hAnsi="宋体"/>
                <w:color w:val="auto"/>
                <w:sz w:val="24"/>
                <w:highlight w:val="none"/>
              </w:rPr>
              <w:t>投标总价</w:t>
            </w:r>
          </w:p>
        </w:tc>
        <w:tc>
          <w:tcPr>
            <w:tcW w:w="6392" w:type="dxa"/>
            <w:gridSpan w:val="6"/>
            <w:noWrap w:val="0"/>
            <w:vAlign w:val="center"/>
          </w:tcPr>
          <w:p>
            <w:pPr>
              <w:spacing w:line="360" w:lineRule="auto"/>
              <w:rPr>
                <w:rFonts w:hint="eastAsia" w:ascii="宋体" w:hAnsi="宋体"/>
                <w:color w:val="auto"/>
                <w:sz w:val="24"/>
                <w:highlight w:val="none"/>
              </w:rPr>
            </w:pPr>
            <w:r>
              <w:rPr>
                <w:rFonts w:hint="eastAsia" w:ascii="宋体" w:hAnsi="宋体"/>
                <w:color w:val="auto"/>
                <w:sz w:val="24"/>
                <w:highlight w:val="none"/>
              </w:rPr>
              <w:t>（大写）</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元。                  </w:t>
            </w:r>
          </w:p>
          <w:p>
            <w:pPr>
              <w:spacing w:line="360" w:lineRule="auto"/>
              <w:rPr>
                <w:rFonts w:hint="eastAsia" w:ascii="宋体" w:hAnsi="宋体"/>
                <w:color w:val="auto"/>
                <w:sz w:val="24"/>
                <w:highlight w:val="none"/>
              </w:rPr>
            </w:pPr>
            <w:r>
              <w:rPr>
                <w:rFonts w:hint="eastAsia" w:ascii="宋体" w:hAnsi="宋体"/>
                <w:color w:val="auto"/>
                <w:sz w:val="24"/>
                <w:highlight w:val="none"/>
              </w:rPr>
              <w:t>（小写）</w:t>
            </w:r>
            <w:r>
              <w:rPr>
                <w:rFonts w:hint="eastAsia" w:ascii="宋体" w:hAnsi="宋体"/>
                <w:color w:val="auto"/>
                <w:sz w:val="24"/>
                <w:highlight w:val="none"/>
                <w:u w:val="single"/>
              </w:rPr>
              <w:t xml:space="preserve">                    </w:t>
            </w:r>
            <w:r>
              <w:rPr>
                <w:rFonts w:hint="eastAsia" w:ascii="宋体" w:hAnsi="宋体"/>
                <w:color w:val="auto"/>
                <w:sz w:val="24"/>
                <w:highlight w:val="none"/>
              </w:rPr>
              <w:t>元。</w:t>
            </w:r>
          </w:p>
          <w:p>
            <w:pPr>
              <w:spacing w:line="360" w:lineRule="auto"/>
              <w:rPr>
                <w:rFonts w:hint="eastAsia" w:ascii="宋体" w:hAnsi="宋体"/>
                <w:color w:val="auto"/>
                <w:sz w:val="24"/>
                <w:highlight w:val="none"/>
                <w:u w:val="single"/>
              </w:rPr>
            </w:pPr>
            <w:r>
              <w:rPr>
                <w:rFonts w:hint="eastAsia" w:ascii="宋体" w:hAnsi="宋体"/>
                <w:color w:val="auto"/>
                <w:sz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gridSpan w:val="2"/>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备注</w:t>
            </w:r>
          </w:p>
        </w:tc>
        <w:tc>
          <w:tcPr>
            <w:tcW w:w="6392" w:type="dxa"/>
            <w:gridSpan w:val="6"/>
            <w:noWrap w:val="0"/>
            <w:vAlign w:val="top"/>
          </w:tcPr>
          <w:p>
            <w:pPr>
              <w:spacing w:line="360" w:lineRule="auto"/>
              <w:rPr>
                <w:rFonts w:hint="eastAsia" w:ascii="宋体" w:hAnsi="宋体"/>
                <w:b/>
                <w:color w:val="auto"/>
                <w:sz w:val="24"/>
                <w:highlight w:val="none"/>
              </w:rPr>
            </w:pPr>
          </w:p>
        </w:tc>
      </w:tr>
    </w:tbl>
    <w:p>
      <w:pPr>
        <w:adjustRightInd w:val="0"/>
        <w:snapToGrid w:val="0"/>
        <w:spacing w:line="500" w:lineRule="exact"/>
        <w:ind w:left="-88" w:leftChars="-4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说明：1．所有价格均用人民币表示，单位为元。</w:t>
      </w:r>
    </w:p>
    <w:p>
      <w:pPr>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供应商必须按此表格式中的对应栏目内容填写，若需增加栏目，请在栏目“其它”中填写，并作详细说明。</w:t>
      </w:r>
    </w:p>
    <w:p>
      <w:pPr>
        <w:adjustRightInd w:val="0"/>
        <w:snapToGrid w:val="0"/>
        <w:spacing w:line="500" w:lineRule="exact"/>
        <w:rPr>
          <w:rFonts w:hint="eastAsia" w:ascii="宋体" w:hAnsi="宋体" w:eastAsia="宋体" w:cs="宋体"/>
          <w:color w:val="auto"/>
          <w:sz w:val="24"/>
          <w:szCs w:val="24"/>
          <w:highlight w:val="none"/>
        </w:rPr>
      </w:pPr>
    </w:p>
    <w:p>
      <w:pPr>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磋商响应人</w:t>
      </w:r>
      <w:r>
        <w:rPr>
          <w:rFonts w:hint="eastAsia" w:ascii="宋体" w:hAnsi="宋体" w:eastAsia="宋体" w:cs="宋体"/>
          <w:color w:val="auto"/>
          <w:sz w:val="24"/>
          <w:szCs w:val="24"/>
          <w:highlight w:val="none"/>
        </w:rPr>
        <w:t>名称（公章）：</w:t>
      </w:r>
      <w:r>
        <w:rPr>
          <w:rFonts w:hint="eastAsia" w:ascii="宋体" w:hAnsi="宋体" w:eastAsia="宋体" w:cs="宋体"/>
          <w:color w:val="auto"/>
          <w:sz w:val="24"/>
          <w:szCs w:val="24"/>
          <w:highlight w:val="none"/>
          <w:u w:val="single"/>
        </w:rPr>
        <w:t xml:space="preserve">　　　　　         </w:t>
      </w:r>
    </w:p>
    <w:p>
      <w:pPr>
        <w:adjustRightInd w:val="0"/>
        <w:snapToGrid w:val="0"/>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法定</w:t>
      </w:r>
      <w:r>
        <w:rPr>
          <w:rFonts w:hint="eastAsia" w:ascii="宋体" w:hAnsi="宋体" w:eastAsia="宋体" w:cs="宋体"/>
          <w:color w:val="auto"/>
          <w:sz w:val="24"/>
          <w:szCs w:val="24"/>
          <w:highlight w:val="none"/>
        </w:rPr>
        <w:t>代表</w:t>
      </w:r>
      <w:r>
        <w:rPr>
          <w:rFonts w:hint="eastAsia" w:ascii="宋体" w:hAnsi="宋体" w:eastAsia="宋体" w:cs="宋体"/>
          <w:color w:val="auto"/>
          <w:sz w:val="24"/>
          <w:szCs w:val="24"/>
          <w:highlight w:val="none"/>
          <w:lang w:eastAsia="zh-CN"/>
        </w:rPr>
        <w:t>人或委托代理人（</w:t>
      </w:r>
      <w:r>
        <w:rPr>
          <w:rFonts w:hint="eastAsia" w:ascii="宋体" w:hAnsi="宋体" w:eastAsia="宋体" w:cs="宋体"/>
          <w:color w:val="auto"/>
          <w:sz w:val="24"/>
          <w:szCs w:val="24"/>
          <w:highlight w:val="none"/>
        </w:rPr>
        <w:t>签字</w:t>
      </w:r>
      <w:r>
        <w:rPr>
          <w:rFonts w:hint="eastAsia" w:ascii="宋体" w:hAnsi="宋体" w:eastAsia="宋体" w:cs="宋体"/>
          <w:color w:val="auto"/>
          <w:sz w:val="24"/>
          <w:szCs w:val="24"/>
          <w:highlight w:val="none"/>
          <w:lang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adjustRightInd w:val="0"/>
        <w:snapToGrid w:val="0"/>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日期：年 月 日</w:t>
      </w:r>
    </w:p>
    <w:p>
      <w:pPr>
        <w:rPr>
          <w:rFonts w:hint="eastAsia" w:ascii="宋体" w:hAnsi="宋体" w:eastAsia="宋体" w:cs="宋体"/>
          <w:b/>
          <w:bCs/>
          <w:color w:val="000000"/>
          <w:spacing w:val="40"/>
          <w:sz w:val="32"/>
          <w:szCs w:val="32"/>
          <w:highlight w:val="none"/>
        </w:rPr>
      </w:pPr>
      <w:r>
        <w:rPr>
          <w:rFonts w:hint="eastAsia" w:ascii="宋体" w:hAnsi="宋体" w:cs="宋体"/>
          <w:b/>
          <w:bCs/>
          <w:color w:val="000000"/>
          <w:sz w:val="28"/>
          <w:szCs w:val="24"/>
          <w:highlight w:val="none"/>
          <w:lang w:val="en-US" w:eastAsia="zh-CN" w:bidi="ar-SA"/>
        </w:rPr>
        <w:t>注：（</w:t>
      </w:r>
      <w:r>
        <w:rPr>
          <w:rFonts w:hint="eastAsia" w:ascii="宋体" w:hAnsi="宋体" w:eastAsia="Calibri" w:cs="宋体"/>
          <w:b/>
          <w:bCs/>
          <w:color w:val="000000"/>
          <w:sz w:val="28"/>
          <w:szCs w:val="24"/>
          <w:highlight w:val="none"/>
          <w:lang w:val="en-US" w:eastAsia="zh-CN" w:bidi="ar-SA"/>
        </w:rPr>
        <w:t>报价明细表不得缺项漏项，否则按废标处理</w:t>
      </w:r>
      <w:r>
        <w:rPr>
          <w:rFonts w:hint="eastAsia" w:ascii="宋体" w:hAnsi="宋体" w:cs="宋体"/>
          <w:b/>
          <w:bCs/>
          <w:color w:val="000000"/>
          <w:sz w:val="28"/>
          <w:szCs w:val="24"/>
          <w:highlight w:val="none"/>
          <w:lang w:val="en-US" w:eastAsia="zh-CN" w:bidi="ar-SA"/>
        </w:rPr>
        <w:t>）</w:t>
      </w:r>
    </w:p>
    <w:p>
      <w:pPr>
        <w:adjustRightInd w:val="0"/>
        <w:snapToGrid w:val="0"/>
        <w:spacing w:line="240" w:lineRule="auto"/>
        <w:jc w:val="center"/>
        <w:rPr>
          <w:rFonts w:hint="eastAsia" w:ascii="宋体" w:hAnsi="宋体" w:eastAsia="宋体" w:cs="宋体"/>
          <w:b/>
          <w:color w:val="000000"/>
          <w:spacing w:val="40"/>
          <w:sz w:val="32"/>
          <w:szCs w:val="32"/>
          <w:highlight w:val="none"/>
        </w:rPr>
      </w:pPr>
    </w:p>
    <w:p>
      <w:pPr>
        <w:adjustRightInd w:val="0"/>
        <w:snapToGrid w:val="0"/>
        <w:spacing w:line="240" w:lineRule="auto"/>
        <w:jc w:val="center"/>
        <w:rPr>
          <w:rFonts w:hint="eastAsia" w:ascii="宋体" w:hAnsi="宋体" w:eastAsia="宋体" w:cs="宋体"/>
          <w:b/>
          <w:color w:val="000000"/>
          <w:spacing w:val="40"/>
          <w:sz w:val="32"/>
          <w:szCs w:val="32"/>
          <w:highlight w:val="none"/>
        </w:rPr>
      </w:pPr>
    </w:p>
    <w:p>
      <w:pPr>
        <w:pStyle w:val="2"/>
        <w:rPr>
          <w:rFonts w:hint="eastAsia" w:ascii="宋体" w:hAnsi="宋体" w:eastAsia="宋体" w:cs="宋体"/>
          <w:b/>
          <w:color w:val="000000"/>
          <w:spacing w:val="40"/>
          <w:sz w:val="32"/>
          <w:szCs w:val="32"/>
          <w:highlight w:val="none"/>
        </w:rPr>
      </w:pPr>
    </w:p>
    <w:p>
      <w:pPr>
        <w:spacing w:line="400" w:lineRule="atLeast"/>
        <w:ind w:firstLine="281" w:firstLineChars="100"/>
        <w:rPr>
          <w:rFonts w:hint="eastAsia" w:ascii="宋体" w:hAnsi="宋体" w:eastAsia="宋体" w:cs="宋体"/>
          <w:sz w:val="24"/>
          <w:highlight w:val="none"/>
          <w:lang w:val="en-US" w:eastAsia="zh-CN"/>
        </w:rPr>
      </w:pPr>
      <w:r>
        <w:rPr>
          <w:rFonts w:hint="eastAsia" w:ascii="宋体" w:hAnsi="宋体" w:eastAsia="宋体" w:cs="宋体"/>
          <w:b/>
          <w:color w:val="auto"/>
          <w:sz w:val="28"/>
          <w:szCs w:val="28"/>
          <w:highlight w:val="none"/>
        </w:rPr>
        <w:t>货物说明一览表</w:t>
      </w:r>
      <w:r>
        <w:rPr>
          <w:rFonts w:hint="eastAsia" w:ascii="宋体" w:hAnsi="宋体" w:eastAsia="宋体" w:cs="宋体"/>
          <w:color w:val="auto"/>
          <w:sz w:val="28"/>
          <w:szCs w:val="28"/>
          <w:highlight w:val="none"/>
        </w:rPr>
        <w:cr/>
      </w:r>
      <w:r>
        <w:rPr>
          <w:rFonts w:hint="eastAsia" w:ascii="宋体" w:hAnsi="宋体" w:eastAsia="宋体" w:cs="宋体"/>
          <w:sz w:val="24"/>
          <w:highlight w:val="none"/>
          <w:lang w:val="en-US" w:eastAsia="zh-CN"/>
        </w:rPr>
        <w:t xml:space="preserve"> （按投标货物合同包下品目号类别分别填写）</w:t>
      </w:r>
    </w:p>
    <w:p>
      <w:pPr>
        <w:spacing w:line="400" w:lineRule="atLeast"/>
        <w:ind w:firstLine="240" w:firstLineChars="1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 xml:space="preserve">招标编号：                                                        第  页共  </w:t>
      </w:r>
    </w:p>
    <w:tbl>
      <w:tblPr>
        <w:tblStyle w:val="22"/>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0"/>
        <w:gridCol w:w="7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30" w:type="dxa"/>
            <w:noWrap w:val="0"/>
            <w:vAlign w:val="center"/>
          </w:tcPr>
          <w:p>
            <w:pPr>
              <w:spacing w:line="400" w:lineRule="atLeast"/>
              <w:ind w:firstLine="240" w:firstLineChars="1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货物或货物名称</w:t>
            </w:r>
          </w:p>
        </w:tc>
        <w:tc>
          <w:tcPr>
            <w:tcW w:w="7140" w:type="dxa"/>
            <w:noWrap w:val="0"/>
            <w:vAlign w:val="top"/>
          </w:tcPr>
          <w:p>
            <w:pPr>
              <w:spacing w:line="400" w:lineRule="atLeast"/>
              <w:ind w:firstLine="240" w:firstLineChars="100"/>
              <w:rPr>
                <w:rFonts w:hint="eastAsia" w:ascii="宋体" w:hAnsi="宋体" w:eastAsia="宋体" w:cs="宋体"/>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870" w:type="dxa"/>
            <w:gridSpan w:val="2"/>
            <w:noWrap w:val="0"/>
            <w:vAlign w:val="center"/>
          </w:tcPr>
          <w:p>
            <w:pPr>
              <w:spacing w:line="400" w:lineRule="atLeast"/>
              <w:ind w:firstLine="240" w:firstLineChars="1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货物或货物的详细技术指标、性能或功能说明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2" w:hRule="atLeast"/>
        </w:trPr>
        <w:tc>
          <w:tcPr>
            <w:tcW w:w="9870" w:type="dxa"/>
            <w:gridSpan w:val="2"/>
            <w:noWrap w:val="0"/>
            <w:vAlign w:val="top"/>
          </w:tcPr>
          <w:p>
            <w:pPr>
              <w:spacing w:line="400" w:lineRule="atLeast"/>
              <w:ind w:firstLine="240" w:firstLineChars="100"/>
              <w:rPr>
                <w:rFonts w:hint="eastAsia" w:ascii="宋体" w:hAnsi="宋体" w:eastAsia="宋体" w:cs="宋体"/>
                <w:sz w:val="24"/>
                <w:highlight w:val="none"/>
                <w:lang w:val="en-US" w:eastAsia="zh-CN"/>
              </w:rPr>
            </w:pPr>
          </w:p>
        </w:tc>
      </w:tr>
    </w:tbl>
    <w:p>
      <w:pPr>
        <w:pStyle w:val="37"/>
        <w:jc w:val="center"/>
        <w:rPr>
          <w:rFonts w:hint="eastAsia" w:ascii="宋体" w:hAnsi="宋体" w:eastAsia="宋体" w:cs="宋体"/>
          <w:b/>
          <w:color w:val="auto"/>
          <w:sz w:val="21"/>
          <w:szCs w:val="21"/>
          <w:highlight w:val="none"/>
        </w:rPr>
      </w:pPr>
    </w:p>
    <w:p>
      <w:p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说明：为使评标专家准确理解及使评标工作顺利进行，请投标人针对所投货物或</w:t>
      </w:r>
      <w:r>
        <w:rPr>
          <w:rFonts w:hint="eastAsia" w:ascii="宋体" w:hAnsi="宋体" w:eastAsia="宋体" w:cs="宋体"/>
          <w:b/>
          <w:color w:val="auto"/>
          <w:szCs w:val="21"/>
          <w:highlight w:val="none"/>
          <w:lang w:eastAsia="zh-CN"/>
        </w:rPr>
        <w:t>货物</w:t>
      </w:r>
      <w:r>
        <w:rPr>
          <w:rFonts w:hint="eastAsia" w:ascii="宋体" w:hAnsi="宋体" w:eastAsia="宋体" w:cs="宋体"/>
          <w:b/>
          <w:color w:val="auto"/>
          <w:szCs w:val="21"/>
          <w:highlight w:val="none"/>
        </w:rPr>
        <w:t>的实际型号或规格，实际性能、技术指标，采用的质量标准等逐条进行说明，不可按招标文件提出的质量指标及技术要求进行简单复制，一旦经评标委员会认定，其投标货物或</w:t>
      </w:r>
      <w:r>
        <w:rPr>
          <w:rFonts w:hint="eastAsia" w:ascii="宋体" w:hAnsi="宋体" w:eastAsia="宋体" w:cs="宋体"/>
          <w:b/>
          <w:color w:val="auto"/>
          <w:szCs w:val="21"/>
          <w:highlight w:val="none"/>
          <w:lang w:eastAsia="zh-CN"/>
        </w:rPr>
        <w:t>货物</w:t>
      </w:r>
      <w:r>
        <w:rPr>
          <w:rFonts w:hint="eastAsia" w:ascii="宋体" w:hAnsi="宋体" w:eastAsia="宋体" w:cs="宋体"/>
          <w:b/>
          <w:color w:val="auto"/>
          <w:szCs w:val="21"/>
          <w:highlight w:val="none"/>
        </w:rPr>
        <w:t>的性能或质量指标、技术参数与实际不符，有可能给投标人带来不利因素或导致投标被拒绝，将由投标人自行承担，敬请投标人注意！</w:t>
      </w:r>
    </w:p>
    <w:p>
      <w:pPr>
        <w:pStyle w:val="37"/>
        <w:jc w:val="center"/>
        <w:rPr>
          <w:rFonts w:hint="eastAsia" w:ascii="宋体" w:hAnsi="宋体" w:eastAsia="宋体" w:cs="宋体"/>
          <w:color w:val="auto"/>
          <w:sz w:val="21"/>
          <w:szCs w:val="21"/>
          <w:highlight w:val="none"/>
        </w:rPr>
      </w:pPr>
    </w:p>
    <w:p>
      <w:pPr>
        <w:spacing w:line="440" w:lineRule="exact"/>
        <w:jc w:val="cente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投标人代表（签字）：</w:t>
      </w:r>
    </w:p>
    <w:p>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投标人（加盖公章）：</w:t>
      </w:r>
      <w:r>
        <w:rPr>
          <w:rFonts w:hint="eastAsia" w:ascii="宋体" w:hAnsi="宋体" w:eastAsia="宋体" w:cs="宋体"/>
          <w:color w:val="auto"/>
          <w:szCs w:val="21"/>
          <w:highlight w:val="none"/>
          <w:u w:val="single"/>
        </w:rPr>
        <w:t xml:space="preserve">                       </w:t>
      </w:r>
    </w:p>
    <w:p>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年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月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spacing w:line="440" w:lineRule="exact"/>
        <w:rPr>
          <w:rFonts w:hint="eastAsia" w:ascii="宋体" w:hAnsi="宋体" w:eastAsia="宋体" w:cs="宋体"/>
          <w:color w:val="auto"/>
          <w:szCs w:val="21"/>
          <w:highlight w:val="none"/>
        </w:rPr>
        <w:sectPr>
          <w:headerReference r:id="rId6" w:type="default"/>
          <w:pgSz w:w="12240" w:h="15840"/>
          <w:pgMar w:top="1440" w:right="1440" w:bottom="1157" w:left="1440" w:header="720" w:footer="720" w:gutter="0"/>
          <w:pgNumType w:fmt="decimal"/>
          <w:cols w:space="720" w:num="1"/>
          <w:rtlGutter w:val="0"/>
          <w:docGrid w:linePitch="323" w:charSpace="0"/>
        </w:sectPr>
      </w:pPr>
    </w:p>
    <w:p>
      <w:pPr>
        <w:adjustRightInd w:val="0"/>
        <w:snapToGrid w:val="0"/>
        <w:spacing w:line="240" w:lineRule="auto"/>
        <w:jc w:val="center"/>
        <w:rPr>
          <w:rFonts w:hint="eastAsia" w:ascii="宋体" w:hAnsi="宋体" w:eastAsia="宋体" w:cs="宋体"/>
          <w:b/>
          <w:color w:val="000000"/>
          <w:spacing w:val="40"/>
          <w:sz w:val="32"/>
          <w:szCs w:val="32"/>
          <w:highlight w:val="none"/>
        </w:rPr>
      </w:pPr>
      <w:r>
        <w:rPr>
          <w:rFonts w:hint="eastAsia" w:ascii="宋体" w:hAnsi="宋体" w:eastAsia="宋体" w:cs="宋体"/>
          <w:b/>
          <w:color w:val="000000"/>
          <w:spacing w:val="40"/>
          <w:sz w:val="32"/>
          <w:szCs w:val="32"/>
          <w:highlight w:val="none"/>
        </w:rPr>
        <w:t>技术</w:t>
      </w:r>
      <w:r>
        <w:rPr>
          <w:rFonts w:hint="eastAsia" w:ascii="宋体" w:hAnsi="宋体" w:eastAsia="宋体" w:cs="宋体"/>
          <w:b/>
          <w:color w:val="000000"/>
          <w:spacing w:val="40"/>
          <w:sz w:val="32"/>
          <w:szCs w:val="32"/>
          <w:highlight w:val="none"/>
          <w:lang w:val="en-US" w:eastAsia="zh-CN"/>
        </w:rPr>
        <w:t>要求</w:t>
      </w:r>
      <w:r>
        <w:rPr>
          <w:rFonts w:hint="eastAsia" w:ascii="宋体" w:hAnsi="宋体" w:eastAsia="宋体" w:cs="宋体"/>
          <w:b/>
          <w:color w:val="000000"/>
          <w:spacing w:val="40"/>
          <w:sz w:val="32"/>
          <w:szCs w:val="32"/>
          <w:highlight w:val="none"/>
        </w:rPr>
        <w:t>偏离表</w:t>
      </w:r>
    </w:p>
    <w:p>
      <w:pPr>
        <w:spacing w:line="400" w:lineRule="atLeast"/>
        <w:rPr>
          <w:rFonts w:hint="eastAsia" w:ascii="宋体" w:hAnsi="宋体" w:eastAsia="宋体" w:cs="宋体"/>
          <w:sz w:val="24"/>
          <w:highlight w:val="none"/>
        </w:rPr>
      </w:pPr>
    </w:p>
    <w:p>
      <w:pPr>
        <w:spacing w:line="400" w:lineRule="atLeast"/>
        <w:ind w:firstLine="240" w:firstLineChars="100"/>
        <w:rPr>
          <w:rFonts w:hint="eastAsia" w:ascii="宋体" w:hAnsi="宋体" w:eastAsia="宋体" w:cs="宋体"/>
          <w:sz w:val="24"/>
          <w:highlight w:val="none"/>
          <w:u w:val="single"/>
        </w:rPr>
      </w:pPr>
      <w:r>
        <w:rPr>
          <w:rFonts w:hint="eastAsia" w:ascii="宋体" w:hAnsi="宋体" w:eastAsia="宋体" w:cs="宋体"/>
          <w:sz w:val="24"/>
          <w:highlight w:val="none"/>
          <w:lang w:val="en-US" w:eastAsia="zh-CN"/>
        </w:rPr>
        <w:t>磋商响应人</w:t>
      </w:r>
      <w:r>
        <w:rPr>
          <w:rFonts w:hint="eastAsia" w:ascii="宋体" w:hAnsi="宋体" w:eastAsia="宋体" w:cs="宋体"/>
          <w:sz w:val="24"/>
          <w:highlight w:val="none"/>
        </w:rPr>
        <w:t>名称（公章）：</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项目编号/</w:t>
      </w:r>
      <w:r>
        <w:rPr>
          <w:rFonts w:hint="eastAsia" w:ascii="宋体" w:hAnsi="宋体" w:eastAsia="宋体" w:cs="宋体"/>
          <w:sz w:val="24"/>
          <w:highlight w:val="none"/>
          <w:lang w:val="en-US" w:eastAsia="zh-CN"/>
        </w:rPr>
        <w:t>包项名称</w:t>
      </w:r>
      <w:r>
        <w:rPr>
          <w:rFonts w:hint="eastAsia" w:ascii="宋体" w:hAnsi="宋体" w:eastAsia="宋体" w:cs="宋体"/>
          <w:sz w:val="24"/>
          <w:highlight w:val="none"/>
        </w:rPr>
        <w:t>：</w:t>
      </w:r>
      <w:r>
        <w:rPr>
          <w:rFonts w:hint="eastAsia" w:ascii="宋体" w:hAnsi="宋体" w:eastAsia="宋体" w:cs="宋体"/>
          <w:sz w:val="24"/>
          <w:highlight w:val="none"/>
          <w:u w:val="single"/>
        </w:rPr>
        <w:t>　　　　　　　　　</w:t>
      </w:r>
    </w:p>
    <w:p>
      <w:pPr>
        <w:pStyle w:val="10"/>
        <w:rPr>
          <w:rFonts w:hint="eastAsia" w:ascii="宋体" w:hAnsi="宋体" w:eastAsia="宋体" w:cs="宋体"/>
          <w:sz w:val="24"/>
          <w:highlight w:val="none"/>
          <w:u w:val="single"/>
        </w:rPr>
      </w:pPr>
    </w:p>
    <w:p>
      <w:pPr>
        <w:pStyle w:val="10"/>
        <w:rPr>
          <w:rFonts w:hint="eastAsia" w:ascii="宋体" w:hAnsi="宋体" w:eastAsia="宋体" w:cs="宋体"/>
          <w:sz w:val="24"/>
          <w:highlight w:val="none"/>
          <w:u w:val="single"/>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3145"/>
        <w:gridCol w:w="2196"/>
        <w:gridCol w:w="1259"/>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1666" w:type="dxa"/>
            <w:noWrap w:val="0"/>
            <w:vAlign w:val="center"/>
          </w:tcPr>
          <w:p>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eastAsia="zh-CN"/>
              </w:rPr>
              <w:t>项目名称</w:t>
            </w:r>
          </w:p>
        </w:tc>
        <w:tc>
          <w:tcPr>
            <w:tcW w:w="3145" w:type="dxa"/>
            <w:noWrap w:val="0"/>
            <w:vAlign w:val="center"/>
          </w:tcPr>
          <w:p>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eastAsia="zh-CN"/>
              </w:rPr>
              <w:t>建设内容</w:t>
            </w:r>
          </w:p>
        </w:tc>
        <w:tc>
          <w:tcPr>
            <w:tcW w:w="2196" w:type="dxa"/>
            <w:noWrap w:val="0"/>
            <w:vAlign w:val="center"/>
          </w:tcPr>
          <w:p>
            <w:pPr>
              <w:spacing w:line="360" w:lineRule="auto"/>
              <w:jc w:val="center"/>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eastAsia="zh-CN"/>
              </w:rPr>
              <w:t>文件技术</w:t>
            </w:r>
          </w:p>
          <w:p>
            <w:pPr>
              <w:spacing w:line="360" w:lineRule="auto"/>
              <w:jc w:val="center"/>
              <w:rPr>
                <w:rFonts w:ascii="宋体" w:hAnsi="宋体" w:cs="宋体"/>
                <w:color w:val="000000"/>
                <w:sz w:val="24"/>
                <w:szCs w:val="24"/>
                <w:highlight w:val="none"/>
              </w:rPr>
            </w:pPr>
            <w:r>
              <w:rPr>
                <w:rFonts w:hint="eastAsia" w:ascii="宋体" w:hAnsi="宋体" w:cs="宋体"/>
                <w:color w:val="000000"/>
                <w:sz w:val="24"/>
                <w:szCs w:val="24"/>
                <w:highlight w:val="none"/>
                <w:lang w:eastAsia="zh-CN"/>
              </w:rPr>
              <w:t>规范要求</w:t>
            </w:r>
          </w:p>
        </w:tc>
        <w:tc>
          <w:tcPr>
            <w:tcW w:w="1259" w:type="dxa"/>
            <w:noWrap w:val="0"/>
            <w:vAlign w:val="center"/>
          </w:tcPr>
          <w:p>
            <w:pPr>
              <w:spacing w:line="360" w:lineRule="auto"/>
              <w:jc w:val="center"/>
              <w:rPr>
                <w:rFonts w:ascii="宋体" w:hAnsi="宋体" w:cs="宋体"/>
                <w:color w:val="000000"/>
                <w:sz w:val="24"/>
                <w:szCs w:val="24"/>
                <w:highlight w:val="none"/>
              </w:rPr>
            </w:pPr>
            <w:r>
              <w:rPr>
                <w:rFonts w:hint="eastAsia" w:ascii="宋体" w:hAnsi="宋体" w:cs="宋体"/>
                <w:color w:val="000000"/>
                <w:sz w:val="24"/>
                <w:szCs w:val="24"/>
                <w:highlight w:val="none"/>
              </w:rPr>
              <w:t>偏离</w:t>
            </w:r>
          </w:p>
        </w:tc>
        <w:tc>
          <w:tcPr>
            <w:tcW w:w="1016" w:type="dxa"/>
            <w:noWrap w:val="0"/>
            <w:vAlign w:val="center"/>
          </w:tcPr>
          <w:p>
            <w:pPr>
              <w:spacing w:line="360" w:lineRule="auto"/>
              <w:jc w:val="center"/>
              <w:rPr>
                <w:rFonts w:ascii="宋体" w:hAnsi="宋体" w:cs="宋体"/>
                <w:color w:val="000000"/>
                <w:sz w:val="24"/>
                <w:szCs w:val="24"/>
                <w:highlight w:val="none"/>
              </w:rPr>
            </w:pPr>
            <w:r>
              <w:rPr>
                <w:rFonts w:hint="eastAsia" w:ascii="宋体" w:hAnsi="宋体" w:cs="宋体"/>
                <w:color w:val="000000"/>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1" w:hRule="atLeast"/>
        </w:trPr>
        <w:tc>
          <w:tcPr>
            <w:tcW w:w="1666" w:type="dxa"/>
            <w:noWrap w:val="0"/>
            <w:vAlign w:val="center"/>
          </w:tcPr>
          <w:p>
            <w:pPr>
              <w:spacing w:line="360" w:lineRule="auto"/>
              <w:jc w:val="center"/>
              <w:rPr>
                <w:rFonts w:hint="eastAsia" w:ascii="宋体" w:hAnsi="宋体" w:eastAsia="宋体" w:cs="宋体"/>
                <w:color w:val="000000"/>
                <w:sz w:val="24"/>
                <w:szCs w:val="24"/>
                <w:highlight w:val="none"/>
              </w:rPr>
            </w:pPr>
          </w:p>
        </w:tc>
        <w:tc>
          <w:tcPr>
            <w:tcW w:w="3145" w:type="dxa"/>
            <w:noWrap w:val="0"/>
            <w:vAlign w:val="center"/>
          </w:tcPr>
          <w:p>
            <w:pPr>
              <w:jc w:val="left"/>
              <w:rPr>
                <w:rFonts w:hint="eastAsia" w:ascii="宋体" w:hAnsi="宋体" w:eastAsia="宋体" w:cs="宋体"/>
                <w:color w:val="000000"/>
                <w:sz w:val="24"/>
                <w:szCs w:val="24"/>
                <w:highlight w:val="none"/>
              </w:rPr>
            </w:pPr>
          </w:p>
        </w:tc>
        <w:tc>
          <w:tcPr>
            <w:tcW w:w="2196" w:type="dxa"/>
            <w:noWrap w:val="0"/>
            <w:vAlign w:val="center"/>
          </w:tcPr>
          <w:p>
            <w:pPr>
              <w:pStyle w:val="11"/>
              <w:spacing w:line="320" w:lineRule="exact"/>
              <w:jc w:val="both"/>
              <w:rPr>
                <w:rFonts w:ascii="宋体" w:hAnsi="宋体" w:cs="宋体"/>
                <w:color w:val="000000"/>
                <w:sz w:val="24"/>
                <w:szCs w:val="24"/>
                <w:highlight w:val="none"/>
              </w:rPr>
            </w:pPr>
          </w:p>
        </w:tc>
        <w:tc>
          <w:tcPr>
            <w:tcW w:w="1259" w:type="dxa"/>
            <w:noWrap w:val="0"/>
            <w:vAlign w:val="center"/>
          </w:tcPr>
          <w:p>
            <w:pPr>
              <w:spacing w:line="360" w:lineRule="auto"/>
              <w:jc w:val="center"/>
              <w:rPr>
                <w:rFonts w:ascii="宋体" w:hAnsi="宋体" w:cs="宋体"/>
                <w:color w:val="000000"/>
                <w:sz w:val="24"/>
                <w:szCs w:val="24"/>
                <w:highlight w:val="none"/>
              </w:rPr>
            </w:pPr>
          </w:p>
        </w:tc>
        <w:tc>
          <w:tcPr>
            <w:tcW w:w="1016" w:type="dxa"/>
            <w:noWrap w:val="0"/>
            <w:vAlign w:val="center"/>
          </w:tcPr>
          <w:p>
            <w:pPr>
              <w:spacing w:line="360" w:lineRule="auto"/>
              <w:jc w:val="center"/>
              <w:rPr>
                <w:rFonts w:ascii="宋体" w:hAnsi="宋体" w:cs="宋体"/>
                <w:color w:val="000000"/>
                <w:sz w:val="24"/>
                <w:szCs w:val="24"/>
                <w:highlight w:val="none"/>
              </w:rPr>
            </w:pPr>
          </w:p>
        </w:tc>
      </w:tr>
    </w:tbl>
    <w:p>
      <w:pPr>
        <w:spacing w:line="400" w:lineRule="atLeast"/>
        <w:rPr>
          <w:rFonts w:hint="eastAsia" w:ascii="宋体" w:hAnsi="宋体" w:eastAsia="宋体" w:cs="宋体"/>
          <w:sz w:val="24"/>
          <w:highlight w:val="none"/>
        </w:rPr>
      </w:pPr>
    </w:p>
    <w:p>
      <w:pPr>
        <w:rPr>
          <w:rFonts w:hint="eastAsia"/>
          <w:b/>
          <w:bCs/>
          <w:color w:val="000000"/>
          <w:highlight w:val="none"/>
        </w:rPr>
      </w:pPr>
      <w:r>
        <w:rPr>
          <w:rFonts w:hint="eastAsia" w:ascii="宋体" w:hAnsi="宋体" w:cs="宋体"/>
          <w:b/>
          <w:color w:val="000000"/>
          <w:highlight w:val="none"/>
        </w:rPr>
        <w:t>注</w:t>
      </w:r>
      <w:r>
        <w:rPr>
          <w:rFonts w:hint="eastAsia" w:ascii="宋体" w:hAnsi="宋体" w:cs="宋体"/>
          <w:color w:val="000000"/>
          <w:highlight w:val="none"/>
        </w:rPr>
        <w:t>：</w:t>
      </w:r>
      <w:r>
        <w:rPr>
          <w:rFonts w:hint="eastAsia"/>
          <w:b/>
          <w:bCs/>
          <w:color w:val="000000"/>
          <w:highlight w:val="none"/>
        </w:rPr>
        <w:t>如响应中无任何偏离，也需在响应表中注明“无偏离”</w:t>
      </w:r>
    </w:p>
    <w:p>
      <w:pPr>
        <w:spacing w:line="760" w:lineRule="exact"/>
        <w:ind w:firstLine="4320" w:firstLineChars="1800"/>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磋商响应人</w:t>
      </w:r>
      <w:r>
        <w:rPr>
          <w:rFonts w:hint="eastAsia" w:ascii="宋体" w:hAnsi="宋体" w:eastAsia="宋体" w:cs="宋体"/>
          <w:color w:val="000000"/>
          <w:sz w:val="24"/>
          <w:highlight w:val="none"/>
        </w:rPr>
        <w:t>：（盖章）</w:t>
      </w:r>
    </w:p>
    <w:p>
      <w:pPr>
        <w:spacing w:line="760" w:lineRule="exact"/>
        <w:ind w:firstLine="3600" w:firstLineChars="150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法定代表人或授权委托人：（</w:t>
      </w:r>
      <w:r>
        <w:rPr>
          <w:rFonts w:hint="eastAsia" w:ascii="宋体" w:hAnsi="宋体" w:eastAsia="宋体" w:cs="宋体"/>
          <w:color w:val="000000"/>
          <w:sz w:val="24"/>
          <w:highlight w:val="none"/>
          <w:lang w:val="en-US" w:eastAsia="zh-CN"/>
        </w:rPr>
        <w:t>签字或</w:t>
      </w:r>
      <w:r>
        <w:rPr>
          <w:rFonts w:hint="eastAsia" w:ascii="宋体" w:hAnsi="宋体" w:eastAsia="宋体" w:cs="宋体"/>
          <w:color w:val="000000"/>
          <w:sz w:val="24"/>
          <w:highlight w:val="none"/>
        </w:rPr>
        <w:t>盖章）</w:t>
      </w:r>
    </w:p>
    <w:p>
      <w:pPr>
        <w:spacing w:line="760" w:lineRule="exact"/>
        <w:ind w:firstLine="4320" w:firstLineChars="18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日     期：      年     月      日</w:t>
      </w:r>
    </w:p>
    <w:p>
      <w:pPr>
        <w:spacing w:line="400" w:lineRule="atLeast"/>
        <w:rPr>
          <w:rFonts w:hint="eastAsia" w:ascii="宋体" w:hAnsi="宋体" w:eastAsia="宋体" w:cs="宋体"/>
          <w:sz w:val="24"/>
          <w:highlight w:val="none"/>
        </w:rPr>
      </w:pPr>
    </w:p>
    <w:p>
      <w:pPr>
        <w:pStyle w:val="2"/>
        <w:jc w:val="both"/>
        <w:rPr>
          <w:rFonts w:hint="eastAsia" w:ascii="宋体" w:hAnsi="宋体" w:eastAsia="宋体" w:cs="宋体"/>
          <w:sz w:val="24"/>
          <w:szCs w:val="24"/>
          <w:highlight w:val="none"/>
        </w:rPr>
      </w:pPr>
    </w:p>
    <w:p>
      <w:pPr>
        <w:pStyle w:val="2"/>
        <w:numPr>
          <w:ilvl w:val="2"/>
          <w:numId w:val="0"/>
        </w:numPr>
        <w:ind w:leftChars="0"/>
        <w:jc w:val="both"/>
        <w:rPr>
          <w:rFonts w:hint="eastAsia" w:ascii="宋体" w:hAnsi="宋体" w:eastAsia="宋体" w:cs="宋体"/>
          <w:sz w:val="24"/>
          <w:szCs w:val="24"/>
          <w:highlight w:val="none"/>
        </w:rPr>
      </w:pPr>
    </w:p>
    <w:p>
      <w:pPr>
        <w:pStyle w:val="2"/>
        <w:numPr>
          <w:ilvl w:val="2"/>
          <w:numId w:val="0"/>
        </w:numPr>
        <w:ind w:leftChars="0"/>
        <w:jc w:val="both"/>
        <w:rPr>
          <w:rFonts w:hint="eastAsia" w:ascii="宋体" w:hAnsi="宋体" w:eastAsia="宋体" w:cs="宋体"/>
          <w:b w:val="0"/>
          <w:bCs/>
          <w:sz w:val="32"/>
          <w:szCs w:val="32"/>
          <w:highlight w:val="none"/>
          <w:lang w:val="en-US" w:eastAsia="zh-CN"/>
        </w:rPr>
      </w:pPr>
    </w:p>
    <w:p>
      <w:pPr>
        <w:rPr>
          <w:rFonts w:hint="eastAsia" w:ascii="宋体" w:hAnsi="宋体" w:eastAsia="宋体" w:cs="宋体"/>
          <w:b w:val="0"/>
          <w:bCs/>
          <w:sz w:val="32"/>
          <w:szCs w:val="32"/>
          <w:highlight w:val="none"/>
          <w:lang w:val="en-US" w:eastAsia="zh-CN"/>
        </w:rPr>
      </w:pPr>
    </w:p>
    <w:p>
      <w:pPr>
        <w:pStyle w:val="2"/>
        <w:numPr>
          <w:ilvl w:val="0"/>
          <w:numId w:val="0"/>
        </w:numPr>
        <w:ind w:leftChars="0"/>
        <w:jc w:val="both"/>
        <w:rPr>
          <w:rFonts w:hint="eastAsia" w:ascii="宋体" w:hAnsi="宋体" w:eastAsia="宋体" w:cs="宋体"/>
          <w:color w:val="000000"/>
          <w:sz w:val="32"/>
          <w:szCs w:val="32"/>
          <w:highlight w:val="none"/>
        </w:rPr>
      </w:pPr>
      <w:bookmarkStart w:id="81" w:name="_Toc7412"/>
      <w:bookmarkStart w:id="82" w:name="_Toc29190"/>
      <w:bookmarkStart w:id="83" w:name="_Toc3365"/>
      <w:bookmarkStart w:id="84" w:name="_Toc1702"/>
    </w:p>
    <w:p>
      <w:pPr>
        <w:rPr>
          <w:rFonts w:hint="eastAsia" w:ascii="宋体" w:hAnsi="宋体" w:eastAsia="宋体" w:cs="宋体"/>
          <w:color w:val="000000"/>
          <w:sz w:val="32"/>
          <w:szCs w:val="32"/>
          <w:highlight w:val="none"/>
        </w:rPr>
      </w:pPr>
    </w:p>
    <w:p>
      <w:pPr>
        <w:pStyle w:val="17"/>
        <w:rPr>
          <w:rFonts w:hint="eastAsia"/>
          <w:highlight w:val="none"/>
        </w:rPr>
      </w:pPr>
    </w:p>
    <w:p>
      <w:pPr>
        <w:pStyle w:val="2"/>
        <w:numPr>
          <w:ilvl w:val="0"/>
          <w:numId w:val="0"/>
        </w:numPr>
        <w:ind w:leftChars="0"/>
        <w:jc w:val="center"/>
        <w:rPr>
          <w:rFonts w:hint="eastAsia" w:ascii="宋体" w:hAnsi="宋体" w:eastAsia="宋体" w:cs="宋体"/>
          <w:color w:val="000000"/>
          <w:sz w:val="32"/>
          <w:szCs w:val="32"/>
          <w:highlight w:val="none"/>
        </w:rPr>
      </w:pPr>
    </w:p>
    <w:p>
      <w:pPr>
        <w:pStyle w:val="2"/>
        <w:numPr>
          <w:ilvl w:val="0"/>
          <w:numId w:val="0"/>
        </w:numPr>
        <w:ind w:leftChars="0"/>
        <w:jc w:val="center"/>
        <w:rPr>
          <w:rFonts w:hint="eastAsia" w:ascii="宋体" w:hAnsi="宋体" w:eastAsia="宋体" w:cs="宋体"/>
          <w:sz w:val="32"/>
          <w:szCs w:val="32"/>
          <w:highlight w:val="none"/>
          <w:lang w:val="en-US" w:eastAsia="zh-CN"/>
        </w:rPr>
      </w:pPr>
      <w:r>
        <w:rPr>
          <w:rFonts w:hint="eastAsia" w:ascii="宋体" w:hAnsi="宋体" w:eastAsia="宋体" w:cs="宋体"/>
          <w:color w:val="000000"/>
          <w:sz w:val="32"/>
          <w:szCs w:val="32"/>
          <w:highlight w:val="none"/>
        </w:rPr>
        <w:t>商务条款偏离表</w:t>
      </w:r>
      <w:bookmarkEnd w:id="81"/>
      <w:bookmarkEnd w:id="82"/>
      <w:bookmarkEnd w:id="83"/>
      <w:bookmarkEnd w:id="84"/>
    </w:p>
    <w:p>
      <w:pPr>
        <w:spacing w:line="400" w:lineRule="atLeast"/>
        <w:ind w:firstLine="240" w:firstLineChars="100"/>
        <w:rPr>
          <w:rFonts w:hint="eastAsia" w:ascii="宋体" w:hAnsi="宋体" w:eastAsia="宋体" w:cs="宋体"/>
          <w:sz w:val="24"/>
          <w:highlight w:val="none"/>
          <w:u w:val="single"/>
        </w:rPr>
      </w:pPr>
      <w:r>
        <w:rPr>
          <w:rFonts w:hint="eastAsia" w:ascii="宋体" w:hAnsi="宋体" w:eastAsia="宋体" w:cs="宋体"/>
          <w:sz w:val="24"/>
          <w:highlight w:val="none"/>
          <w:lang w:val="en-US" w:eastAsia="zh-CN"/>
        </w:rPr>
        <w:t>磋商响应人</w:t>
      </w:r>
      <w:r>
        <w:rPr>
          <w:rFonts w:hint="eastAsia" w:ascii="宋体" w:hAnsi="宋体" w:eastAsia="宋体" w:cs="宋体"/>
          <w:sz w:val="24"/>
          <w:highlight w:val="none"/>
        </w:rPr>
        <w:t>名称（公章）：</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项目编号/</w:t>
      </w:r>
      <w:r>
        <w:rPr>
          <w:rFonts w:hint="eastAsia" w:ascii="宋体" w:hAnsi="宋体" w:eastAsia="宋体" w:cs="宋体"/>
          <w:sz w:val="24"/>
          <w:highlight w:val="none"/>
          <w:lang w:val="en-US" w:eastAsia="zh-CN"/>
        </w:rPr>
        <w:t>包项名称</w:t>
      </w:r>
      <w:r>
        <w:rPr>
          <w:rFonts w:hint="eastAsia" w:ascii="宋体" w:hAnsi="宋体" w:eastAsia="宋体" w:cs="宋体"/>
          <w:sz w:val="24"/>
          <w:highlight w:val="none"/>
        </w:rPr>
        <w:t>：</w:t>
      </w:r>
      <w:r>
        <w:rPr>
          <w:rFonts w:hint="eastAsia" w:ascii="宋体" w:hAnsi="宋体" w:eastAsia="宋体" w:cs="宋体"/>
          <w:sz w:val="24"/>
          <w:highlight w:val="none"/>
          <w:u w:val="single"/>
        </w:rPr>
        <w:t>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w:t>
      </w:r>
    </w:p>
    <w:p>
      <w:pPr>
        <w:pStyle w:val="20"/>
        <w:rPr>
          <w:rFonts w:hint="eastAsia"/>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2000"/>
        <w:gridCol w:w="3053"/>
        <w:gridCol w:w="281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26" w:type="dxa"/>
            <w:noWrap w:val="0"/>
            <w:vAlign w:val="center"/>
          </w:tcPr>
          <w:p>
            <w:pPr>
              <w:spacing w:line="400" w:lineRule="atLeast"/>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2000"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文件</w:t>
            </w:r>
          </w:p>
          <w:p>
            <w:pPr>
              <w:spacing w:line="400" w:lineRule="atLeast"/>
              <w:jc w:val="center"/>
              <w:rPr>
                <w:rFonts w:hint="eastAsia" w:ascii="宋体" w:hAnsi="宋体" w:eastAsia="宋体" w:cs="宋体"/>
                <w:sz w:val="24"/>
                <w:highlight w:val="none"/>
              </w:rPr>
            </w:pPr>
            <w:r>
              <w:rPr>
                <w:rFonts w:hint="eastAsia" w:ascii="宋体" w:hAnsi="宋体" w:eastAsia="宋体" w:cs="宋体"/>
                <w:color w:val="000000"/>
                <w:sz w:val="24"/>
                <w:highlight w:val="none"/>
              </w:rPr>
              <w:t>条目号</w:t>
            </w:r>
          </w:p>
        </w:tc>
        <w:tc>
          <w:tcPr>
            <w:tcW w:w="3053"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文件的</w:t>
            </w:r>
          </w:p>
          <w:p>
            <w:pPr>
              <w:spacing w:line="400" w:lineRule="atLeast"/>
              <w:jc w:val="center"/>
              <w:rPr>
                <w:rFonts w:hint="eastAsia" w:ascii="宋体" w:hAnsi="宋体" w:eastAsia="宋体" w:cs="宋体"/>
                <w:sz w:val="24"/>
                <w:highlight w:val="none"/>
              </w:rPr>
            </w:pPr>
            <w:r>
              <w:rPr>
                <w:rFonts w:hint="eastAsia" w:ascii="宋体" w:hAnsi="宋体" w:eastAsia="宋体" w:cs="宋体"/>
                <w:color w:val="000000"/>
                <w:sz w:val="24"/>
                <w:highlight w:val="none"/>
              </w:rPr>
              <w:t>商务条款</w:t>
            </w:r>
          </w:p>
        </w:tc>
        <w:tc>
          <w:tcPr>
            <w:tcW w:w="2819"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响应文件</w:t>
            </w:r>
            <w:r>
              <w:rPr>
                <w:rFonts w:hint="eastAsia" w:ascii="宋体" w:hAnsi="宋体" w:eastAsia="宋体" w:cs="宋体"/>
                <w:color w:val="000000"/>
                <w:sz w:val="24"/>
                <w:highlight w:val="none"/>
              </w:rPr>
              <w:t>的</w:t>
            </w:r>
          </w:p>
          <w:p>
            <w:pPr>
              <w:spacing w:line="400" w:lineRule="atLeast"/>
              <w:jc w:val="center"/>
              <w:rPr>
                <w:rFonts w:hint="eastAsia" w:ascii="宋体" w:hAnsi="宋体" w:eastAsia="宋体" w:cs="宋体"/>
                <w:sz w:val="24"/>
                <w:highlight w:val="none"/>
              </w:rPr>
            </w:pPr>
            <w:r>
              <w:rPr>
                <w:rFonts w:hint="eastAsia" w:ascii="宋体" w:hAnsi="宋体" w:eastAsia="宋体" w:cs="宋体"/>
                <w:color w:val="000000"/>
                <w:sz w:val="24"/>
                <w:highlight w:val="none"/>
              </w:rPr>
              <w:t>商务条款</w:t>
            </w:r>
          </w:p>
        </w:tc>
        <w:tc>
          <w:tcPr>
            <w:tcW w:w="784" w:type="dxa"/>
            <w:noWrap w:val="0"/>
            <w:vAlign w:val="center"/>
          </w:tcPr>
          <w:p>
            <w:pPr>
              <w:spacing w:line="400" w:lineRule="atLeast"/>
              <w:jc w:val="center"/>
              <w:rPr>
                <w:rFonts w:hint="eastAsia" w:ascii="宋体" w:hAnsi="宋体" w:eastAsia="宋体" w:cs="宋体"/>
                <w:sz w:val="24"/>
                <w:highlight w:val="none"/>
              </w:rPr>
            </w:pPr>
            <w:r>
              <w:rPr>
                <w:rFonts w:hint="eastAsia" w:ascii="宋体" w:hAnsi="宋体" w:eastAsia="宋体" w:cs="宋体"/>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2000" w:type="dxa"/>
            <w:noWrap w:val="0"/>
            <w:vAlign w:val="top"/>
          </w:tcPr>
          <w:p>
            <w:pPr>
              <w:widowControl/>
              <w:spacing w:line="400" w:lineRule="atLeast"/>
              <w:jc w:val="lef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3053" w:type="dxa"/>
            <w:noWrap w:val="0"/>
            <w:vAlign w:val="top"/>
          </w:tcPr>
          <w:p>
            <w:pPr>
              <w:spacing w:line="400" w:lineRule="atLeast"/>
              <w:rPr>
                <w:rFonts w:hint="eastAsia" w:ascii="宋体" w:hAnsi="宋体" w:eastAsia="宋体" w:cs="宋体"/>
                <w:sz w:val="24"/>
                <w:highlight w:val="none"/>
              </w:rPr>
            </w:pPr>
          </w:p>
        </w:tc>
        <w:tc>
          <w:tcPr>
            <w:tcW w:w="2819" w:type="dxa"/>
            <w:noWrap w:val="0"/>
            <w:vAlign w:val="top"/>
          </w:tcPr>
          <w:p>
            <w:pPr>
              <w:spacing w:line="400" w:lineRule="atLeast"/>
              <w:rPr>
                <w:rFonts w:hint="eastAsia" w:ascii="宋体" w:hAnsi="宋体" w:eastAsia="宋体" w:cs="宋体"/>
                <w:sz w:val="24"/>
                <w:highlight w:val="none"/>
              </w:rPr>
            </w:pPr>
          </w:p>
        </w:tc>
        <w:tc>
          <w:tcPr>
            <w:tcW w:w="784" w:type="dxa"/>
            <w:noWrap w:val="0"/>
            <w:vAlign w:val="top"/>
          </w:tcPr>
          <w:p>
            <w:pPr>
              <w:spacing w:line="400" w:lineRule="atLeast"/>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626" w:type="dxa"/>
            <w:noWrap w:val="0"/>
            <w:vAlign w:val="top"/>
          </w:tcPr>
          <w:p>
            <w:pPr>
              <w:spacing w:line="400" w:lineRule="atLeas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2000" w:type="dxa"/>
            <w:noWrap w:val="0"/>
            <w:vAlign w:val="top"/>
          </w:tcPr>
          <w:p>
            <w:pPr>
              <w:widowControl/>
              <w:spacing w:line="400" w:lineRule="atLeast"/>
              <w:jc w:val="lef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3053" w:type="dxa"/>
            <w:noWrap w:val="0"/>
            <w:vAlign w:val="top"/>
          </w:tcPr>
          <w:p>
            <w:pPr>
              <w:spacing w:line="400" w:lineRule="atLeast"/>
              <w:rPr>
                <w:rFonts w:hint="eastAsia" w:ascii="宋体" w:hAnsi="宋体" w:eastAsia="宋体" w:cs="宋体"/>
                <w:sz w:val="24"/>
                <w:highlight w:val="none"/>
              </w:rPr>
            </w:pPr>
          </w:p>
        </w:tc>
        <w:tc>
          <w:tcPr>
            <w:tcW w:w="2819" w:type="dxa"/>
            <w:noWrap w:val="0"/>
            <w:vAlign w:val="top"/>
          </w:tcPr>
          <w:p>
            <w:pPr>
              <w:spacing w:line="400" w:lineRule="atLeast"/>
              <w:rPr>
                <w:rFonts w:hint="eastAsia" w:ascii="宋体" w:hAnsi="宋体" w:eastAsia="宋体" w:cs="宋体"/>
                <w:sz w:val="24"/>
                <w:highlight w:val="none"/>
              </w:rPr>
            </w:pPr>
          </w:p>
        </w:tc>
        <w:tc>
          <w:tcPr>
            <w:tcW w:w="784" w:type="dxa"/>
            <w:noWrap w:val="0"/>
            <w:vAlign w:val="top"/>
          </w:tcPr>
          <w:p>
            <w:pPr>
              <w:spacing w:line="400" w:lineRule="atLeast"/>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2000" w:type="dxa"/>
            <w:noWrap w:val="0"/>
            <w:vAlign w:val="top"/>
          </w:tcPr>
          <w:p>
            <w:pPr>
              <w:widowControl/>
              <w:spacing w:line="400" w:lineRule="atLeast"/>
              <w:jc w:val="lef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3053" w:type="dxa"/>
            <w:noWrap w:val="0"/>
            <w:vAlign w:val="top"/>
          </w:tcPr>
          <w:p>
            <w:pPr>
              <w:spacing w:line="400" w:lineRule="atLeast"/>
              <w:rPr>
                <w:rFonts w:hint="eastAsia" w:ascii="宋体" w:hAnsi="宋体" w:eastAsia="宋体" w:cs="宋体"/>
                <w:sz w:val="24"/>
                <w:highlight w:val="none"/>
              </w:rPr>
            </w:pPr>
          </w:p>
        </w:tc>
        <w:tc>
          <w:tcPr>
            <w:tcW w:w="2819" w:type="dxa"/>
            <w:noWrap w:val="0"/>
            <w:vAlign w:val="top"/>
          </w:tcPr>
          <w:p>
            <w:pPr>
              <w:spacing w:line="400" w:lineRule="atLeast"/>
              <w:rPr>
                <w:rFonts w:hint="eastAsia" w:ascii="宋体" w:hAnsi="宋体" w:eastAsia="宋体" w:cs="宋体"/>
                <w:sz w:val="24"/>
                <w:highlight w:val="none"/>
              </w:rPr>
            </w:pPr>
          </w:p>
        </w:tc>
        <w:tc>
          <w:tcPr>
            <w:tcW w:w="784" w:type="dxa"/>
            <w:noWrap w:val="0"/>
            <w:vAlign w:val="top"/>
          </w:tcPr>
          <w:p>
            <w:pPr>
              <w:spacing w:line="400" w:lineRule="atLeast"/>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2000" w:type="dxa"/>
            <w:noWrap w:val="0"/>
            <w:vAlign w:val="top"/>
          </w:tcPr>
          <w:p>
            <w:pPr>
              <w:widowControl/>
              <w:spacing w:line="400" w:lineRule="atLeast"/>
              <w:jc w:val="lef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3053" w:type="dxa"/>
            <w:noWrap w:val="0"/>
            <w:vAlign w:val="top"/>
          </w:tcPr>
          <w:p>
            <w:pPr>
              <w:spacing w:line="400" w:lineRule="atLeast"/>
              <w:rPr>
                <w:rFonts w:hint="eastAsia" w:ascii="宋体" w:hAnsi="宋体" w:eastAsia="宋体" w:cs="宋体"/>
                <w:sz w:val="24"/>
                <w:highlight w:val="none"/>
              </w:rPr>
            </w:pPr>
          </w:p>
        </w:tc>
        <w:tc>
          <w:tcPr>
            <w:tcW w:w="2819" w:type="dxa"/>
            <w:noWrap w:val="0"/>
            <w:vAlign w:val="top"/>
          </w:tcPr>
          <w:p>
            <w:pPr>
              <w:spacing w:line="400" w:lineRule="atLeast"/>
              <w:rPr>
                <w:rFonts w:hint="eastAsia" w:ascii="宋体" w:hAnsi="宋体" w:eastAsia="宋体" w:cs="宋体"/>
                <w:sz w:val="24"/>
                <w:highlight w:val="none"/>
              </w:rPr>
            </w:pPr>
          </w:p>
        </w:tc>
        <w:tc>
          <w:tcPr>
            <w:tcW w:w="784" w:type="dxa"/>
            <w:noWrap w:val="0"/>
            <w:vAlign w:val="top"/>
          </w:tcPr>
          <w:p>
            <w:pPr>
              <w:spacing w:line="400" w:lineRule="atLeast"/>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2000" w:type="dxa"/>
            <w:noWrap w:val="0"/>
            <w:vAlign w:val="top"/>
          </w:tcPr>
          <w:p>
            <w:pPr>
              <w:widowControl/>
              <w:spacing w:line="400" w:lineRule="atLeast"/>
              <w:jc w:val="lef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3053" w:type="dxa"/>
            <w:noWrap w:val="0"/>
            <w:vAlign w:val="top"/>
          </w:tcPr>
          <w:p>
            <w:pPr>
              <w:spacing w:line="400" w:lineRule="atLeast"/>
              <w:rPr>
                <w:rFonts w:hint="eastAsia" w:ascii="宋体" w:hAnsi="宋体" w:eastAsia="宋体" w:cs="宋体"/>
                <w:sz w:val="24"/>
                <w:highlight w:val="none"/>
              </w:rPr>
            </w:pPr>
          </w:p>
        </w:tc>
        <w:tc>
          <w:tcPr>
            <w:tcW w:w="2819" w:type="dxa"/>
            <w:noWrap w:val="0"/>
            <w:vAlign w:val="top"/>
          </w:tcPr>
          <w:p>
            <w:pPr>
              <w:spacing w:line="400" w:lineRule="atLeast"/>
              <w:rPr>
                <w:rFonts w:hint="eastAsia" w:ascii="宋体" w:hAnsi="宋体" w:eastAsia="宋体" w:cs="宋体"/>
                <w:sz w:val="24"/>
                <w:highlight w:val="none"/>
              </w:rPr>
            </w:pPr>
          </w:p>
        </w:tc>
        <w:tc>
          <w:tcPr>
            <w:tcW w:w="784" w:type="dxa"/>
            <w:noWrap w:val="0"/>
            <w:vAlign w:val="top"/>
          </w:tcPr>
          <w:p>
            <w:pPr>
              <w:spacing w:line="400" w:lineRule="atLeast"/>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2000" w:type="dxa"/>
            <w:noWrap w:val="0"/>
            <w:vAlign w:val="top"/>
          </w:tcPr>
          <w:p>
            <w:pPr>
              <w:widowControl/>
              <w:spacing w:line="400" w:lineRule="atLeast"/>
              <w:jc w:val="lef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3053" w:type="dxa"/>
            <w:noWrap w:val="0"/>
            <w:vAlign w:val="top"/>
          </w:tcPr>
          <w:p>
            <w:pPr>
              <w:spacing w:line="400" w:lineRule="atLeast"/>
              <w:rPr>
                <w:rFonts w:hint="eastAsia" w:ascii="宋体" w:hAnsi="宋体" w:eastAsia="宋体" w:cs="宋体"/>
                <w:sz w:val="24"/>
                <w:highlight w:val="none"/>
              </w:rPr>
            </w:pPr>
          </w:p>
        </w:tc>
        <w:tc>
          <w:tcPr>
            <w:tcW w:w="2819" w:type="dxa"/>
            <w:noWrap w:val="0"/>
            <w:vAlign w:val="top"/>
          </w:tcPr>
          <w:p>
            <w:pPr>
              <w:spacing w:line="400" w:lineRule="atLeast"/>
              <w:rPr>
                <w:rFonts w:hint="eastAsia" w:ascii="宋体" w:hAnsi="宋体" w:eastAsia="宋体" w:cs="宋体"/>
                <w:sz w:val="24"/>
                <w:highlight w:val="none"/>
              </w:rPr>
            </w:pPr>
          </w:p>
        </w:tc>
        <w:tc>
          <w:tcPr>
            <w:tcW w:w="784" w:type="dxa"/>
            <w:noWrap w:val="0"/>
            <w:vAlign w:val="top"/>
          </w:tcPr>
          <w:p>
            <w:pPr>
              <w:spacing w:line="400" w:lineRule="atLeast"/>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2000" w:type="dxa"/>
            <w:noWrap w:val="0"/>
            <w:vAlign w:val="top"/>
          </w:tcPr>
          <w:p>
            <w:pPr>
              <w:widowControl/>
              <w:spacing w:line="400" w:lineRule="atLeast"/>
              <w:jc w:val="lef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3053" w:type="dxa"/>
            <w:noWrap w:val="0"/>
            <w:vAlign w:val="top"/>
          </w:tcPr>
          <w:p>
            <w:pPr>
              <w:spacing w:line="400" w:lineRule="atLeast"/>
              <w:rPr>
                <w:rFonts w:hint="eastAsia" w:ascii="宋体" w:hAnsi="宋体" w:eastAsia="宋体" w:cs="宋体"/>
                <w:sz w:val="24"/>
                <w:highlight w:val="none"/>
              </w:rPr>
            </w:pPr>
          </w:p>
        </w:tc>
        <w:tc>
          <w:tcPr>
            <w:tcW w:w="2819" w:type="dxa"/>
            <w:noWrap w:val="0"/>
            <w:vAlign w:val="top"/>
          </w:tcPr>
          <w:p>
            <w:pPr>
              <w:spacing w:line="400" w:lineRule="atLeast"/>
              <w:rPr>
                <w:rFonts w:hint="eastAsia" w:ascii="宋体" w:hAnsi="宋体" w:eastAsia="宋体" w:cs="宋体"/>
                <w:sz w:val="24"/>
                <w:highlight w:val="none"/>
              </w:rPr>
            </w:pPr>
          </w:p>
        </w:tc>
        <w:tc>
          <w:tcPr>
            <w:tcW w:w="784" w:type="dxa"/>
            <w:noWrap w:val="0"/>
            <w:vAlign w:val="top"/>
          </w:tcPr>
          <w:p>
            <w:pPr>
              <w:spacing w:line="400" w:lineRule="atLeast"/>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2000" w:type="dxa"/>
            <w:noWrap w:val="0"/>
            <w:vAlign w:val="top"/>
          </w:tcPr>
          <w:p>
            <w:pPr>
              <w:widowControl/>
              <w:spacing w:line="400" w:lineRule="atLeast"/>
              <w:jc w:val="lef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3053" w:type="dxa"/>
            <w:noWrap w:val="0"/>
            <w:vAlign w:val="top"/>
          </w:tcPr>
          <w:p>
            <w:pPr>
              <w:spacing w:line="400" w:lineRule="atLeast"/>
              <w:rPr>
                <w:rFonts w:hint="eastAsia" w:ascii="宋体" w:hAnsi="宋体" w:eastAsia="宋体" w:cs="宋体"/>
                <w:sz w:val="24"/>
                <w:highlight w:val="none"/>
              </w:rPr>
            </w:pPr>
          </w:p>
        </w:tc>
        <w:tc>
          <w:tcPr>
            <w:tcW w:w="2819" w:type="dxa"/>
            <w:noWrap w:val="0"/>
            <w:vAlign w:val="top"/>
          </w:tcPr>
          <w:p>
            <w:pPr>
              <w:spacing w:line="400" w:lineRule="atLeast"/>
              <w:rPr>
                <w:rFonts w:hint="eastAsia" w:ascii="宋体" w:hAnsi="宋体" w:eastAsia="宋体" w:cs="宋体"/>
                <w:sz w:val="24"/>
                <w:highlight w:val="none"/>
              </w:rPr>
            </w:pPr>
          </w:p>
        </w:tc>
        <w:tc>
          <w:tcPr>
            <w:tcW w:w="784" w:type="dxa"/>
            <w:noWrap w:val="0"/>
            <w:vAlign w:val="top"/>
          </w:tcPr>
          <w:p>
            <w:pPr>
              <w:spacing w:line="400" w:lineRule="atLeast"/>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2000" w:type="dxa"/>
            <w:noWrap w:val="0"/>
            <w:vAlign w:val="top"/>
          </w:tcPr>
          <w:p>
            <w:pPr>
              <w:widowControl/>
              <w:spacing w:line="400" w:lineRule="atLeast"/>
              <w:jc w:val="left"/>
              <w:rPr>
                <w:rFonts w:hint="eastAsia" w:ascii="宋体" w:hAnsi="宋体" w:eastAsia="宋体" w:cs="宋体"/>
                <w:sz w:val="24"/>
                <w:highlight w:val="none"/>
              </w:rPr>
            </w:pPr>
          </w:p>
          <w:p>
            <w:pPr>
              <w:spacing w:line="400" w:lineRule="atLeast"/>
              <w:rPr>
                <w:rFonts w:hint="eastAsia" w:ascii="宋体" w:hAnsi="宋体" w:eastAsia="宋体" w:cs="宋体"/>
                <w:sz w:val="24"/>
                <w:highlight w:val="none"/>
              </w:rPr>
            </w:pPr>
          </w:p>
        </w:tc>
        <w:tc>
          <w:tcPr>
            <w:tcW w:w="3053" w:type="dxa"/>
            <w:noWrap w:val="0"/>
            <w:vAlign w:val="top"/>
          </w:tcPr>
          <w:p>
            <w:pPr>
              <w:spacing w:line="400" w:lineRule="atLeast"/>
              <w:rPr>
                <w:rFonts w:hint="eastAsia" w:ascii="宋体" w:hAnsi="宋体" w:eastAsia="宋体" w:cs="宋体"/>
                <w:sz w:val="24"/>
                <w:highlight w:val="none"/>
              </w:rPr>
            </w:pPr>
          </w:p>
        </w:tc>
        <w:tc>
          <w:tcPr>
            <w:tcW w:w="2819" w:type="dxa"/>
            <w:noWrap w:val="0"/>
            <w:vAlign w:val="top"/>
          </w:tcPr>
          <w:p>
            <w:pPr>
              <w:spacing w:line="400" w:lineRule="atLeast"/>
              <w:rPr>
                <w:rFonts w:hint="eastAsia" w:ascii="宋体" w:hAnsi="宋体" w:eastAsia="宋体" w:cs="宋体"/>
                <w:sz w:val="24"/>
                <w:highlight w:val="none"/>
              </w:rPr>
            </w:pPr>
          </w:p>
        </w:tc>
        <w:tc>
          <w:tcPr>
            <w:tcW w:w="784" w:type="dxa"/>
            <w:noWrap w:val="0"/>
            <w:vAlign w:val="top"/>
          </w:tcPr>
          <w:p>
            <w:pPr>
              <w:spacing w:line="400" w:lineRule="atLeast"/>
              <w:rPr>
                <w:rFonts w:hint="eastAsia" w:ascii="宋体" w:hAnsi="宋体" w:eastAsia="宋体" w:cs="宋体"/>
                <w:sz w:val="24"/>
                <w:highlight w:val="none"/>
              </w:rPr>
            </w:pPr>
          </w:p>
        </w:tc>
      </w:tr>
    </w:tbl>
    <w:p>
      <w:pPr>
        <w:spacing w:line="400" w:lineRule="atLeast"/>
        <w:rPr>
          <w:rFonts w:hint="eastAsia" w:ascii="宋体" w:hAnsi="宋体" w:eastAsia="宋体" w:cs="宋体"/>
          <w:sz w:val="24"/>
          <w:highlight w:val="none"/>
        </w:rPr>
      </w:pPr>
      <w:r>
        <w:rPr>
          <w:rFonts w:hint="eastAsia" w:ascii="宋体" w:hAnsi="宋体" w:eastAsia="宋体" w:cs="宋体"/>
          <w:sz w:val="24"/>
          <w:highlight w:val="none"/>
        </w:rPr>
        <w:t>注：</w:t>
      </w:r>
      <w:r>
        <w:rPr>
          <w:rFonts w:hint="eastAsia" w:ascii="宋体" w:hAnsi="宋体" w:eastAsia="宋体" w:cs="宋体"/>
          <w:sz w:val="24"/>
          <w:highlight w:val="none"/>
          <w:lang w:val="en-US" w:eastAsia="zh-CN"/>
        </w:rPr>
        <w:t>与磋商</w:t>
      </w:r>
      <w:r>
        <w:rPr>
          <w:rFonts w:hint="eastAsia" w:ascii="宋体" w:hAnsi="宋体" w:eastAsia="宋体" w:cs="宋体"/>
          <w:sz w:val="24"/>
          <w:highlight w:val="none"/>
        </w:rPr>
        <w:t>文件</w:t>
      </w:r>
      <w:r>
        <w:rPr>
          <w:rFonts w:hint="eastAsia" w:ascii="宋体" w:hAnsi="宋体" w:eastAsia="宋体" w:cs="宋体"/>
          <w:sz w:val="24"/>
          <w:highlight w:val="none"/>
          <w:lang w:val="en-US" w:eastAsia="zh-CN"/>
        </w:rPr>
        <w:t>技术参数</w:t>
      </w:r>
      <w:r>
        <w:rPr>
          <w:rFonts w:hint="eastAsia" w:ascii="宋体" w:hAnsi="宋体" w:eastAsia="宋体" w:cs="宋体"/>
          <w:sz w:val="24"/>
          <w:highlight w:val="none"/>
        </w:rPr>
        <w:t>要求逐条对应填写。</w:t>
      </w:r>
    </w:p>
    <w:p>
      <w:pPr>
        <w:spacing w:line="760" w:lineRule="exact"/>
        <w:ind w:firstLine="4320" w:firstLineChars="1800"/>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磋商响应人</w:t>
      </w:r>
      <w:r>
        <w:rPr>
          <w:rFonts w:hint="eastAsia" w:ascii="宋体" w:hAnsi="宋体" w:eastAsia="宋体" w:cs="宋体"/>
          <w:color w:val="000000"/>
          <w:sz w:val="24"/>
          <w:highlight w:val="none"/>
        </w:rPr>
        <w:t>：（盖章）</w:t>
      </w:r>
    </w:p>
    <w:p>
      <w:pPr>
        <w:spacing w:line="760" w:lineRule="exact"/>
        <w:ind w:firstLine="3600" w:firstLineChars="150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法定代表人或授权委托人：（</w:t>
      </w:r>
      <w:r>
        <w:rPr>
          <w:rFonts w:hint="eastAsia" w:ascii="宋体" w:hAnsi="宋体" w:eastAsia="宋体" w:cs="宋体"/>
          <w:color w:val="000000"/>
          <w:sz w:val="24"/>
          <w:highlight w:val="none"/>
          <w:lang w:val="en-US" w:eastAsia="zh-CN"/>
        </w:rPr>
        <w:t>签字或</w:t>
      </w:r>
      <w:r>
        <w:rPr>
          <w:rFonts w:hint="eastAsia" w:ascii="宋体" w:hAnsi="宋体" w:eastAsia="宋体" w:cs="宋体"/>
          <w:color w:val="000000"/>
          <w:sz w:val="24"/>
          <w:highlight w:val="none"/>
        </w:rPr>
        <w:t>盖章）</w:t>
      </w:r>
    </w:p>
    <w:p>
      <w:pPr>
        <w:spacing w:line="760" w:lineRule="exact"/>
        <w:ind w:firstLine="4320" w:firstLineChars="18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日     期：      年     月      日</w:t>
      </w:r>
    </w:p>
    <w:p>
      <w:pPr>
        <w:rPr>
          <w:rFonts w:hint="eastAsia" w:ascii="宋体" w:hAnsi="宋体" w:eastAsia="宋体" w:cs="宋体"/>
          <w:b w:val="0"/>
          <w:bCs/>
          <w:sz w:val="32"/>
          <w:szCs w:val="32"/>
          <w:highlight w:val="none"/>
          <w:lang w:val="en-US" w:eastAsia="zh-CN"/>
        </w:rPr>
      </w:pPr>
      <w:bookmarkStart w:id="85" w:name="_Toc8808"/>
    </w:p>
    <w:p>
      <w:pPr>
        <w:pStyle w:val="2"/>
        <w:rPr>
          <w:rFonts w:hint="eastAsia" w:ascii="宋体" w:hAnsi="宋体" w:eastAsia="宋体" w:cs="宋体"/>
          <w:b w:val="0"/>
          <w:bCs/>
          <w:sz w:val="32"/>
          <w:szCs w:val="32"/>
          <w:highlight w:val="none"/>
          <w:lang w:val="en-US" w:eastAsia="zh-CN"/>
        </w:rPr>
      </w:pPr>
    </w:p>
    <w:p>
      <w:pPr>
        <w:rPr>
          <w:rFonts w:hint="eastAsia"/>
          <w:lang w:val="en-US" w:eastAsia="zh-CN"/>
        </w:rPr>
      </w:pPr>
    </w:p>
    <w:p>
      <w:pPr>
        <w:pStyle w:val="2"/>
        <w:numPr>
          <w:ilvl w:val="0"/>
          <w:numId w:val="0"/>
        </w:numPr>
        <w:ind w:leftChars="0"/>
        <w:jc w:val="center"/>
        <w:rPr>
          <w:rFonts w:hint="eastAsia" w:ascii="宋体" w:hAnsi="宋体" w:eastAsia="宋体" w:cs="宋体"/>
          <w:b/>
          <w:bCs w:val="0"/>
          <w:highlight w:val="none"/>
        </w:rPr>
      </w:pPr>
      <w:r>
        <w:rPr>
          <w:rFonts w:hint="eastAsia" w:ascii="宋体" w:hAnsi="宋体" w:eastAsia="宋体" w:cs="宋体"/>
          <w:b/>
          <w:bCs w:val="0"/>
          <w:sz w:val="32"/>
          <w:szCs w:val="32"/>
          <w:highlight w:val="none"/>
          <w:lang w:val="en-US" w:eastAsia="zh-CN"/>
        </w:rPr>
        <w:t>四、</w:t>
      </w:r>
      <w:r>
        <w:rPr>
          <w:rFonts w:hint="eastAsia" w:ascii="宋体" w:hAnsi="宋体" w:eastAsia="宋体" w:cs="宋体"/>
          <w:b/>
          <w:bCs w:val="0"/>
          <w:sz w:val="32"/>
          <w:szCs w:val="32"/>
          <w:highlight w:val="none"/>
          <w:lang w:eastAsia="zh-CN"/>
        </w:rPr>
        <w:t>磋商响应人</w:t>
      </w:r>
      <w:r>
        <w:rPr>
          <w:rFonts w:hint="eastAsia" w:ascii="宋体" w:hAnsi="宋体" w:eastAsia="宋体" w:cs="宋体"/>
          <w:b/>
          <w:bCs w:val="0"/>
          <w:sz w:val="32"/>
          <w:szCs w:val="32"/>
          <w:highlight w:val="none"/>
        </w:rPr>
        <w:t>基本情况表</w:t>
      </w:r>
      <w:bookmarkEnd w:id="85"/>
    </w:p>
    <w:tbl>
      <w:tblPr>
        <w:tblStyle w:val="22"/>
        <w:tblW w:w="9084" w:type="dxa"/>
        <w:jc w:val="center"/>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2175"/>
        <w:gridCol w:w="1231"/>
        <w:gridCol w:w="518"/>
        <w:gridCol w:w="1406"/>
        <w:gridCol w:w="79"/>
        <w:gridCol w:w="1374"/>
        <w:gridCol w:w="598"/>
        <w:gridCol w:w="531"/>
        <w:gridCol w:w="1172"/>
      </w:tblGrid>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9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磋商响应人</w:t>
            </w:r>
            <w:r>
              <w:rPr>
                <w:rFonts w:hint="eastAsia" w:ascii="宋体" w:hAnsi="宋体" w:eastAsia="宋体" w:cs="宋体"/>
                <w:color w:val="auto"/>
                <w:sz w:val="24"/>
                <w:szCs w:val="24"/>
                <w:highlight w:val="none"/>
              </w:rPr>
              <w:t>名称</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51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3155"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45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2301"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448" w:hRule="atLeast"/>
          <w:jc w:val="center"/>
        </w:trPr>
        <w:tc>
          <w:tcPr>
            <w:tcW w:w="2175" w:type="dxa"/>
            <w:vMerge w:val="restart"/>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123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1924"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45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2301"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48" w:hRule="atLeast"/>
          <w:jc w:val="center"/>
        </w:trPr>
        <w:tc>
          <w:tcPr>
            <w:tcW w:w="2175"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23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1924"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45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网址</w:t>
            </w:r>
          </w:p>
        </w:tc>
        <w:tc>
          <w:tcPr>
            <w:tcW w:w="2301"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4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企业性质</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46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123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51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485"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firstLine="240"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技术职称</w:t>
            </w:r>
          </w:p>
        </w:tc>
        <w:tc>
          <w:tcPr>
            <w:tcW w:w="137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59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170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4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123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51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485"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firstLine="240"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技术职称</w:t>
            </w:r>
          </w:p>
        </w:tc>
        <w:tc>
          <w:tcPr>
            <w:tcW w:w="137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59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170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481"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5160" w:type="dxa"/>
            <w:gridSpan w:val="6"/>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员工总人数：</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64"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营业执照号</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406" w:type="dxa"/>
            <w:vMerge w:val="restart"/>
            <w:tcBorders>
              <w:top w:val="single" w:color="000000" w:sz="6" w:space="0"/>
              <w:left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51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注册资金（万元）</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406"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82"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406"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4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 号</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406"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61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经营范围</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646"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 注</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3"/>
              <w:ind w:right="-354"/>
              <w:jc w:val="center"/>
              <w:rPr>
                <w:rFonts w:hint="eastAsia" w:ascii="宋体" w:hAnsi="宋体" w:eastAsia="宋体" w:cs="宋体"/>
                <w:color w:val="auto"/>
                <w:sz w:val="24"/>
                <w:szCs w:val="24"/>
                <w:highlight w:val="none"/>
              </w:rPr>
            </w:pPr>
          </w:p>
        </w:tc>
      </w:tr>
    </w:tbl>
    <w:p>
      <w:pPr>
        <w:rPr>
          <w:rFonts w:hint="eastAsia" w:ascii="宋体" w:hAnsi="宋体" w:eastAsia="宋体" w:cs="宋体"/>
          <w:sz w:val="24"/>
          <w:szCs w:val="24"/>
          <w:highlight w:val="none"/>
        </w:rPr>
      </w:pPr>
    </w:p>
    <w:p>
      <w:pPr>
        <w:rPr>
          <w:rFonts w:hint="eastAsia" w:ascii="宋体" w:hAnsi="宋体" w:eastAsia="宋体" w:cs="宋体"/>
          <w:color w:val="000000"/>
          <w:sz w:val="24"/>
          <w:szCs w:val="24"/>
          <w:highlight w:val="none"/>
        </w:rPr>
      </w:pPr>
    </w:p>
    <w:p>
      <w:pPr>
        <w:spacing w:line="760" w:lineRule="exact"/>
        <w:ind w:firstLine="4320" w:firstLineChars="1800"/>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磋商响应人</w:t>
      </w:r>
      <w:r>
        <w:rPr>
          <w:rFonts w:hint="eastAsia" w:ascii="宋体" w:hAnsi="宋体" w:eastAsia="宋体" w:cs="宋体"/>
          <w:color w:val="000000"/>
          <w:sz w:val="24"/>
          <w:highlight w:val="none"/>
        </w:rPr>
        <w:t>：（盖章）</w:t>
      </w:r>
    </w:p>
    <w:p>
      <w:pPr>
        <w:spacing w:line="760" w:lineRule="exact"/>
        <w:ind w:firstLine="3600" w:firstLineChars="150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法定代表人或授权委托人：（</w:t>
      </w:r>
      <w:r>
        <w:rPr>
          <w:rFonts w:hint="eastAsia" w:ascii="宋体" w:hAnsi="宋体" w:eastAsia="宋体" w:cs="宋体"/>
          <w:color w:val="000000"/>
          <w:sz w:val="24"/>
          <w:highlight w:val="none"/>
          <w:lang w:val="en-US" w:eastAsia="zh-CN"/>
        </w:rPr>
        <w:t>签字或</w:t>
      </w:r>
      <w:r>
        <w:rPr>
          <w:rFonts w:hint="eastAsia" w:ascii="宋体" w:hAnsi="宋体" w:eastAsia="宋体" w:cs="宋体"/>
          <w:color w:val="000000"/>
          <w:sz w:val="24"/>
          <w:highlight w:val="none"/>
        </w:rPr>
        <w:t>盖章）</w:t>
      </w:r>
    </w:p>
    <w:p>
      <w:pPr>
        <w:spacing w:line="760" w:lineRule="exact"/>
        <w:ind w:firstLine="4320" w:firstLineChars="18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日     期：      年     月      日</w:t>
      </w:r>
    </w:p>
    <w:p>
      <w:pPr>
        <w:pStyle w:val="4"/>
        <w:spacing w:before="156" w:beforeLines="0" w:after="156" w:afterLines="0"/>
        <w:ind w:firstLine="2168" w:firstLineChars="900"/>
        <w:jc w:val="both"/>
        <w:rPr>
          <w:rFonts w:hint="eastAsia" w:ascii="宋体" w:hAnsi="宋体" w:eastAsia="宋体" w:cs="宋体"/>
          <w:color w:val="000000"/>
          <w:sz w:val="24"/>
          <w:szCs w:val="24"/>
          <w:highlight w:val="none"/>
        </w:rPr>
      </w:pPr>
    </w:p>
    <w:p>
      <w:pPr>
        <w:rPr>
          <w:rFonts w:hint="eastAsia" w:ascii="宋体" w:hAnsi="宋体" w:eastAsia="宋体" w:cs="宋体"/>
          <w:color w:val="000000"/>
          <w:sz w:val="24"/>
          <w:szCs w:val="24"/>
          <w:highlight w:val="none"/>
        </w:rPr>
      </w:pPr>
    </w:p>
    <w:p>
      <w:pPr>
        <w:pStyle w:val="3"/>
        <w:numPr>
          <w:ilvl w:val="0"/>
          <w:numId w:val="0"/>
        </w:numPr>
        <w:bidi w:val="0"/>
        <w:ind w:leftChars="0"/>
        <w:jc w:val="center"/>
        <w:rPr>
          <w:rFonts w:hint="eastAsia" w:ascii="宋体" w:hAnsi="宋体" w:eastAsia="宋体" w:cs="宋体"/>
          <w:b/>
          <w:bCs/>
          <w:sz w:val="28"/>
          <w:szCs w:val="36"/>
          <w:highlight w:val="none"/>
          <w:lang w:eastAsia="zh-CN"/>
        </w:rPr>
      </w:pPr>
      <w:bookmarkStart w:id="86" w:name="_Toc21580"/>
      <w:bookmarkStart w:id="87" w:name="_Toc22"/>
      <w:bookmarkStart w:id="88" w:name="_Toc14137"/>
      <w:r>
        <w:rPr>
          <w:rFonts w:hint="eastAsia" w:ascii="宋体" w:hAnsi="宋体" w:eastAsia="宋体" w:cs="宋体"/>
          <w:b/>
          <w:bCs/>
          <w:sz w:val="28"/>
          <w:szCs w:val="36"/>
          <w:highlight w:val="none"/>
          <w:lang w:eastAsia="zh-CN"/>
        </w:rPr>
        <w:t>磋商响应人证明磋商资格合格的相关证件证明的复印件</w:t>
      </w:r>
      <w:bookmarkEnd w:id="86"/>
      <w:bookmarkEnd w:id="87"/>
      <w:bookmarkEnd w:id="88"/>
    </w:p>
    <w:p>
      <w:pPr>
        <w:keepNext w:val="0"/>
        <w:keepLines w:val="0"/>
        <w:pageBreakBefore w:val="0"/>
        <w:widowControl/>
        <w:kinsoku/>
        <w:wordWrap/>
        <w:overflowPunct/>
        <w:topLinePunct w:val="0"/>
        <w:autoSpaceDE/>
        <w:autoSpaceDN/>
        <w:bidi w:val="0"/>
        <w:adjustRightInd/>
        <w:snapToGrid/>
        <w:spacing w:line="400" w:lineRule="exact"/>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磋商响应人</w:t>
      </w:r>
      <w:r>
        <w:rPr>
          <w:rFonts w:hint="eastAsia" w:ascii="宋体" w:hAnsi="宋体" w:eastAsia="宋体" w:cs="宋体"/>
          <w:b/>
          <w:bCs/>
          <w:color w:val="auto"/>
          <w:sz w:val="24"/>
          <w:szCs w:val="24"/>
          <w:highlight w:val="none"/>
        </w:rPr>
        <w:t>按下列要求提交资格文件：</w:t>
      </w:r>
    </w:p>
    <w:p>
      <w:pPr>
        <w:keepNext w:val="0"/>
        <w:keepLines w:val="0"/>
        <w:pageBreakBefore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4"/>
          <w:szCs w:val="24"/>
          <w:highlight w:val="none"/>
        </w:rPr>
      </w:pPr>
    </w:p>
    <w:p>
      <w:pPr>
        <w:keepNext w:val="0"/>
        <w:keepLines w:val="0"/>
        <w:pageBreakBefore w:val="0"/>
        <w:widowControl/>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（1）具有经年审合格的三证合一营业执照；</w:t>
      </w:r>
    </w:p>
    <w:p>
      <w:pPr>
        <w:keepNext w:val="0"/>
        <w:keepLines w:val="0"/>
        <w:pageBreakBefore w:val="0"/>
        <w:widowControl/>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法定代表人投标需携带法定代表人证明书及法定代表人身份证（原件），委托代理人投标需携带法定代表人授权委托书及委托代理人身份证（原件）；被委托人必须是投标单位正式员工，需提供社保部门出具的投标单位的缴纳社保证明（提供被委托人及法人近六个月个人明细表，缴费凭证）。</w:t>
      </w:r>
    </w:p>
    <w:p>
      <w:pPr>
        <w:keepNext w:val="0"/>
        <w:keepLines w:val="0"/>
        <w:pageBreakBefore w:val="0"/>
        <w:widowControl/>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（3）具有良好的商业信誉和健全的财务会计制度（需提供会计事务所出具2021年度财务审计报告，2021年10月以后成立的公司可不提供但需提供银行出具的近三个月的资信证明）。</w:t>
      </w:r>
    </w:p>
    <w:p>
      <w:pPr>
        <w:keepNext w:val="0"/>
        <w:keepLines w:val="0"/>
        <w:pageBreakBefore w:val="0"/>
        <w:widowControl/>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（4）提供税务机关出具近三个月的完税证明，以填发日期为准。（新成立公司按实际发生提供）。</w:t>
      </w:r>
    </w:p>
    <w:p>
      <w:pPr>
        <w:keepNext w:val="0"/>
        <w:keepLines w:val="0"/>
        <w:pageBreakBefore w:val="0"/>
        <w:widowControl/>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凡拟参加本次采购项目的投标企业如在“信用中国”网站(www.creditchina.gov.cn)被列入失信被执行人、重大税收违法案件当事人名单、政府采购严重违法失信行为记录名单的、中国政府釆购网(www.ccgp.gov.cn)政府采购严重违法失信行为记录名单的、国家企业信用信息公示系统(www.gsxt.gov.cn)经营异常名录的（尚在处罚期内的），将拒绝其参与本次政府釆购活动；（开标现场查验）</w:t>
      </w:r>
    </w:p>
    <w:p>
      <w:pPr>
        <w:keepNext w:val="0"/>
        <w:keepLines w:val="0"/>
        <w:pageBreakBefore w:val="0"/>
        <w:widowControl/>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（6）参加政府采购活动前三年内，在经营活动中没有重大违法记录，无失信行为，（投标人须出具企业及法定代表人无重大违法记录承诺书，无失信行为承诺书）；</w:t>
      </w:r>
    </w:p>
    <w:p>
      <w:pPr>
        <w:keepNext w:val="0"/>
        <w:keepLines w:val="0"/>
        <w:pageBreakBefore w:val="0"/>
        <w:widowControl/>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（7）企业负责人为同一人或者存在直接控股、管理关系的不同磋商响应人，不得参加同一合同项下的政府采购活动。否则，皆取消投标资格。</w:t>
      </w:r>
    </w:p>
    <w:p>
      <w:pPr>
        <w:keepNext w:val="0"/>
        <w:keepLines w:val="0"/>
        <w:pageBreakBefore w:val="0"/>
        <w:widowControl/>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（8）投标保证金回单（加盖公章）</w:t>
      </w:r>
    </w:p>
    <w:p>
      <w:pPr>
        <w:keepNext w:val="0"/>
        <w:keepLines w:val="0"/>
        <w:pageBreakBefore w:val="0"/>
        <w:kinsoku/>
        <w:wordWrap/>
        <w:overflowPunct/>
        <w:topLinePunct w:val="0"/>
        <w:autoSpaceDE/>
        <w:autoSpaceDN/>
        <w:bidi w:val="0"/>
        <w:adjustRightInd/>
        <w:snapToGrid/>
        <w:spacing w:line="320" w:lineRule="exact"/>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注</w:t>
      </w:r>
      <w:r>
        <w:rPr>
          <w:rFonts w:hint="eastAsia" w:ascii="宋体" w:hAnsi="宋体" w:eastAsia="宋体" w:cs="宋体"/>
          <w:b w:val="0"/>
          <w:bCs w:val="0"/>
          <w:color w:val="auto"/>
          <w:sz w:val="24"/>
          <w:szCs w:val="24"/>
          <w:highlight w:val="none"/>
        </w:rPr>
        <w:t>：</w:t>
      </w:r>
    </w:p>
    <w:p>
      <w:pPr>
        <w:spacing w:line="360" w:lineRule="auto"/>
        <w:ind w:firstLine="241" w:firstLineChars="1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）磋商响应人</w:t>
      </w:r>
      <w:r>
        <w:rPr>
          <w:rFonts w:hint="eastAsia" w:ascii="宋体" w:hAnsi="宋体" w:eastAsia="宋体" w:cs="宋体"/>
          <w:b/>
          <w:bCs/>
          <w:color w:val="auto"/>
          <w:sz w:val="24"/>
          <w:szCs w:val="24"/>
          <w:highlight w:val="none"/>
        </w:rPr>
        <w:t>应自行承担所提供上述资料任何错漏而导致的一切后果。</w:t>
      </w:r>
    </w:p>
    <w:p>
      <w:pPr>
        <w:keepNext w:val="0"/>
        <w:keepLines w:val="0"/>
        <w:pageBreakBefore w:val="0"/>
        <w:kinsoku/>
        <w:wordWrap/>
        <w:overflowPunct/>
        <w:topLinePunct w:val="0"/>
        <w:autoSpaceDE/>
        <w:autoSpaceDN/>
        <w:bidi w:val="0"/>
        <w:adjustRightInd/>
        <w:snapToGrid/>
        <w:spacing w:line="320" w:lineRule="exact"/>
        <w:ind w:firstLine="236" w:firstLineChars="98"/>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）所附的资格证明文件的复印件或影印件含糊不清，导致无法辨认的，其投标将被否决。</w:t>
      </w:r>
    </w:p>
    <w:p>
      <w:pPr>
        <w:pStyle w:val="4"/>
        <w:spacing w:before="156" w:beforeLines="0" w:after="156" w:afterLines="0"/>
        <w:jc w:val="both"/>
        <w:rPr>
          <w:rFonts w:hint="eastAsia" w:ascii="宋体" w:hAnsi="宋体" w:eastAsia="宋体" w:cs="宋体"/>
          <w:b/>
          <w:bCs w:val="0"/>
          <w:kern w:val="2"/>
          <w:sz w:val="32"/>
          <w:szCs w:val="32"/>
          <w:highlight w:val="none"/>
          <w:lang w:val="en-US" w:eastAsia="zh-CN" w:bidi="ar-SA"/>
        </w:rPr>
      </w:pPr>
    </w:p>
    <w:p>
      <w:pPr>
        <w:rPr>
          <w:rFonts w:hint="eastAsia" w:ascii="宋体" w:hAnsi="宋体" w:eastAsia="宋体" w:cs="宋体"/>
          <w:b/>
          <w:bCs w:val="0"/>
          <w:kern w:val="2"/>
          <w:sz w:val="32"/>
          <w:szCs w:val="32"/>
          <w:highlight w:val="none"/>
          <w:lang w:val="en-US" w:eastAsia="zh-CN" w:bidi="ar-SA"/>
        </w:rPr>
      </w:pPr>
    </w:p>
    <w:p>
      <w:pPr>
        <w:pStyle w:val="17"/>
        <w:rPr>
          <w:rFonts w:hint="eastAsia" w:ascii="宋体" w:hAnsi="宋体" w:eastAsia="宋体" w:cs="宋体"/>
          <w:b/>
          <w:bCs w:val="0"/>
          <w:kern w:val="2"/>
          <w:sz w:val="32"/>
          <w:szCs w:val="32"/>
          <w:lang w:val="en-US" w:eastAsia="zh-CN" w:bidi="ar-SA"/>
        </w:rPr>
      </w:pPr>
      <w:r>
        <w:rPr>
          <w:rStyle w:val="27"/>
          <w:rFonts w:hint="eastAsia" w:cs="Times New Roman"/>
          <w:color w:val="000000"/>
          <w:sz w:val="32"/>
          <w:szCs w:val="15"/>
          <w:highlight w:val="none"/>
          <w:lang w:val="en-US" w:eastAsia="zh-CN"/>
        </w:rPr>
        <w:br w:type="page"/>
      </w:r>
    </w:p>
    <w:p>
      <w:pPr>
        <w:jc w:val="center"/>
        <w:rPr>
          <w:rStyle w:val="27"/>
          <w:rFonts w:hint="eastAsia" w:cs="Times New Roman"/>
          <w:color w:val="000000"/>
          <w:sz w:val="32"/>
          <w:szCs w:val="15"/>
        </w:rPr>
      </w:pPr>
      <w:r>
        <w:rPr>
          <w:rStyle w:val="27"/>
          <w:rFonts w:hint="eastAsia" w:cs="Times New Roman"/>
          <w:color w:val="000000"/>
          <w:sz w:val="32"/>
          <w:szCs w:val="15"/>
          <w:lang w:val="en-US" w:eastAsia="zh-CN"/>
        </w:rPr>
        <w:t>近三年（2019年05月至今）</w:t>
      </w:r>
      <w:r>
        <w:rPr>
          <w:rStyle w:val="27"/>
          <w:rFonts w:hint="eastAsia" w:cs="Times New Roman"/>
          <w:color w:val="000000"/>
          <w:sz w:val="32"/>
          <w:szCs w:val="15"/>
        </w:rPr>
        <w:t>业绩证明文件</w:t>
      </w:r>
    </w:p>
    <w:p>
      <w:pPr>
        <w:pStyle w:val="12"/>
        <w:tabs>
          <w:tab w:val="left" w:pos="6300"/>
        </w:tabs>
        <w:snapToGrid w:val="0"/>
        <w:spacing w:line="500" w:lineRule="exact"/>
        <w:ind w:left="0" w:leftChars="0" w:firstLine="480" w:firstLineChars="200"/>
        <w:rPr>
          <w:rFonts w:hint="eastAsia"/>
        </w:rPr>
      </w:pPr>
      <w:r>
        <w:rPr>
          <w:rFonts w:hint="eastAsia" w:ascii="新宋体" w:hAnsi="新宋体" w:eastAsia="新宋体" w:cs="Times New Roman"/>
          <w:color w:val="auto"/>
          <w:kern w:val="2"/>
          <w:sz w:val="24"/>
          <w:szCs w:val="24"/>
          <w:highlight w:val="none"/>
          <w:lang w:val="en-US" w:eastAsia="zh-CN" w:bidi="ar-SA"/>
        </w:rPr>
        <w:t>项目名称：</w:t>
      </w:r>
    </w:p>
    <w:tbl>
      <w:tblPr>
        <w:tblStyle w:val="22"/>
        <w:tblW w:w="80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8"/>
        <w:gridCol w:w="1567"/>
        <w:gridCol w:w="1905"/>
        <w:gridCol w:w="2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1788"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1567"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both"/>
              <w:rPr>
                <w:rFonts w:hint="eastAsia" w:ascii="宋体" w:hAnsi="宋体" w:eastAsia="宋体" w:cs="宋体"/>
                <w:sz w:val="24"/>
                <w:szCs w:val="24"/>
              </w:rPr>
            </w:pPr>
            <w:r>
              <w:rPr>
                <w:rFonts w:hint="eastAsia" w:ascii="宋体" w:hAnsi="宋体" w:eastAsia="宋体" w:cs="宋体"/>
                <w:sz w:val="24"/>
                <w:szCs w:val="24"/>
              </w:rPr>
              <w:t>合同金额</w:t>
            </w:r>
          </w:p>
          <w:p>
            <w:pPr>
              <w:snapToGrid w:val="0"/>
              <w:jc w:val="both"/>
              <w:rPr>
                <w:rFonts w:hint="eastAsia" w:ascii="宋体" w:hAnsi="宋体" w:eastAsia="宋体" w:cs="宋体"/>
                <w:sz w:val="24"/>
                <w:szCs w:val="24"/>
              </w:rPr>
            </w:pPr>
            <w:r>
              <w:rPr>
                <w:rFonts w:hint="eastAsia" w:ascii="宋体" w:hAnsi="宋体" w:eastAsia="宋体" w:cs="宋体"/>
                <w:sz w:val="24"/>
                <w:szCs w:val="24"/>
              </w:rPr>
              <w:t>（万元）</w:t>
            </w:r>
          </w:p>
        </w:tc>
        <w:tc>
          <w:tcPr>
            <w:tcW w:w="1905"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工期（天）</w:t>
            </w:r>
          </w:p>
        </w:tc>
        <w:tc>
          <w:tcPr>
            <w:tcW w:w="280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是否完工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17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宋体"/>
                <w:sz w:val="24"/>
                <w:szCs w:val="24"/>
              </w:rPr>
            </w:pPr>
          </w:p>
        </w:tc>
        <w:tc>
          <w:tcPr>
            <w:tcW w:w="15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宋体"/>
                <w:sz w:val="24"/>
                <w:szCs w:val="24"/>
              </w:rPr>
            </w:pPr>
          </w:p>
        </w:tc>
        <w:tc>
          <w:tcPr>
            <w:tcW w:w="190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宋体"/>
                <w:sz w:val="24"/>
                <w:szCs w:val="24"/>
              </w:rPr>
            </w:pPr>
          </w:p>
        </w:tc>
        <w:tc>
          <w:tcPr>
            <w:tcW w:w="28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178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p>
        </w:tc>
        <w:tc>
          <w:tcPr>
            <w:tcW w:w="28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178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p>
        </w:tc>
        <w:tc>
          <w:tcPr>
            <w:tcW w:w="28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7" w:hRule="atLeast"/>
          <w:jc w:val="center"/>
        </w:trPr>
        <w:tc>
          <w:tcPr>
            <w:tcW w:w="178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r>
              <w:rPr>
                <w:rFonts w:hint="eastAsia" w:ascii="宋体" w:hAnsi="宋体" w:eastAsia="宋体" w:cs="宋体"/>
                <w:sz w:val="24"/>
                <w:szCs w:val="24"/>
              </w:rPr>
              <w:t>…</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p>
        </w:tc>
        <w:tc>
          <w:tcPr>
            <w:tcW w:w="28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sz w:val="24"/>
                <w:szCs w:val="24"/>
              </w:rPr>
            </w:pPr>
          </w:p>
        </w:tc>
      </w:tr>
    </w:tbl>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1．后附合同，</w:t>
      </w:r>
      <w:r>
        <w:rPr>
          <w:rFonts w:hint="eastAsia" w:ascii="宋体" w:hAnsi="宋体" w:eastAsia="宋体" w:cs="宋体"/>
          <w:b w:val="0"/>
          <w:bCs w:val="0"/>
          <w:color w:val="auto"/>
          <w:sz w:val="24"/>
          <w:szCs w:val="24"/>
          <w:lang w:val="en-US" w:eastAsia="zh-CN"/>
        </w:rPr>
        <w:t>和中标通知书复印件，</w:t>
      </w:r>
      <w:r>
        <w:rPr>
          <w:rFonts w:hint="eastAsia" w:ascii="宋体" w:hAnsi="宋体" w:eastAsia="宋体" w:cs="宋体"/>
          <w:color w:val="000000"/>
          <w:kern w:val="0"/>
          <w:sz w:val="24"/>
          <w:szCs w:val="24"/>
          <w:lang w:val="en-US" w:eastAsia="zh-CN" w:bidi="ar"/>
        </w:rPr>
        <w:t xml:space="preserve">每个合同须单独附表，并附上相关证明材料，否则专家在评审时将不予采信； </w:t>
      </w:r>
    </w:p>
    <w:p>
      <w:pPr>
        <w:pStyle w:val="17"/>
        <w:rPr>
          <w:rFonts w:hint="default"/>
          <w:lang w:val="en-US"/>
        </w:rPr>
      </w:pPr>
      <w:r>
        <w:rPr>
          <w:rFonts w:hint="eastAsia" w:ascii="宋体" w:hAnsi="宋体" w:eastAsia="宋体" w:cs="宋体"/>
          <w:color w:val="000000"/>
          <w:kern w:val="0"/>
          <w:sz w:val="24"/>
          <w:szCs w:val="24"/>
          <w:lang w:val="en-US" w:eastAsia="zh-CN" w:bidi="ar"/>
        </w:rPr>
        <w:t>2.</w:t>
      </w:r>
      <w:r>
        <w:rPr>
          <w:rFonts w:hint="eastAsia" w:ascii="宋体" w:hAnsi="宋体" w:eastAsia="宋体" w:cs="Times New Roman"/>
          <w:b w:val="0"/>
          <w:bCs w:val="0"/>
          <w:color w:val="000000"/>
          <w:sz w:val="24"/>
          <w:szCs w:val="21"/>
          <w:lang w:val="en-US" w:eastAsia="zh-CN" w:bidi="ar-SA"/>
        </w:rPr>
        <w:t>所</w:t>
      </w:r>
      <w:r>
        <w:rPr>
          <w:rFonts w:hint="eastAsia" w:ascii="Times New Roman" w:hAnsi="Times New Roman" w:eastAsia="宋体" w:cs="Times New Roman"/>
          <w:color w:val="000000"/>
          <w:sz w:val="24"/>
          <w:szCs w:val="21"/>
          <w:highlight w:val="none"/>
          <w:lang w:val="en-US" w:eastAsia="zh-CN" w:bidi="ar-SA"/>
        </w:rPr>
        <w:t>附的资格证明文件的复印件或影印件含糊不清</w:t>
      </w:r>
      <w:r>
        <w:rPr>
          <w:rFonts w:hint="eastAsia" w:eastAsia="宋体" w:cs="Times New Roman"/>
          <w:color w:val="000000"/>
          <w:sz w:val="24"/>
          <w:szCs w:val="21"/>
          <w:highlight w:val="none"/>
          <w:lang w:val="en-US" w:eastAsia="zh-CN" w:bidi="ar-SA"/>
        </w:rPr>
        <w:t>或者少提供</w:t>
      </w:r>
      <w:r>
        <w:rPr>
          <w:rFonts w:hint="eastAsia" w:ascii="Times New Roman" w:hAnsi="Times New Roman" w:eastAsia="宋体" w:cs="Times New Roman"/>
          <w:color w:val="000000"/>
          <w:sz w:val="24"/>
          <w:szCs w:val="21"/>
          <w:highlight w:val="none"/>
          <w:lang w:val="en-US" w:eastAsia="zh-CN" w:bidi="ar-SA"/>
        </w:rPr>
        <w:t>，导致无法辨认的，其投标将被否决。</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供应商</w:t>
      </w:r>
      <w:r>
        <w:rPr>
          <w:rFonts w:hint="eastAsia" w:ascii="宋体" w:hAnsi="宋体" w:eastAsia="宋体" w:cs="宋体"/>
          <w:sz w:val="24"/>
        </w:rPr>
        <w:t xml:space="preserve">（单位盖章）：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法定代表人或</w:t>
      </w:r>
      <w:r>
        <w:rPr>
          <w:rFonts w:hint="eastAsia" w:ascii="宋体" w:hAnsi="宋体" w:eastAsia="宋体" w:cs="宋体"/>
          <w:sz w:val="24"/>
          <w:lang w:val="en-US" w:eastAsia="zh-CN"/>
        </w:rPr>
        <w:t>授权委托人</w:t>
      </w:r>
      <w:r>
        <w:rPr>
          <w:rFonts w:hint="eastAsia" w:ascii="宋体" w:hAnsi="宋体" w:eastAsia="宋体" w:cs="宋体"/>
          <w:sz w:val="24"/>
        </w:rPr>
        <w:t>（</w:t>
      </w:r>
      <w:r>
        <w:rPr>
          <w:rFonts w:hint="eastAsia" w:ascii="宋体" w:hAnsi="宋体" w:eastAsia="宋体" w:cs="宋体"/>
          <w:b w:val="0"/>
          <w:kern w:val="2"/>
          <w:sz w:val="24"/>
          <w:szCs w:val="24"/>
          <w:lang w:val="en-US" w:eastAsia="zh-CN" w:bidi="ar-SA"/>
        </w:rPr>
        <w:t>签字并盖章</w:t>
      </w:r>
      <w:r>
        <w:rPr>
          <w:rFonts w:hint="eastAsia" w:ascii="宋体" w:hAnsi="宋体" w:eastAsia="宋体" w:cs="宋体"/>
          <w:sz w:val="24"/>
        </w:rPr>
        <w:t>）：</w:t>
      </w:r>
    </w:p>
    <w:p>
      <w:pPr>
        <w:spacing w:line="360" w:lineRule="auto"/>
        <w:ind w:firstLine="480" w:firstLineChars="200"/>
        <w:jc w:val="both"/>
        <w:rPr>
          <w:rFonts w:hint="eastAsia" w:ascii="宋体" w:hAnsi="宋体" w:eastAsia="宋体" w:cs="宋体"/>
          <w:sz w:val="24"/>
        </w:rPr>
      </w:pPr>
      <w:r>
        <w:rPr>
          <w:rFonts w:hint="eastAsia" w:ascii="宋体" w:hAnsi="宋体" w:eastAsia="宋体" w:cs="宋体"/>
          <w:sz w:val="24"/>
        </w:rPr>
        <w:t>20</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spacing w:line="360" w:lineRule="auto"/>
        <w:ind w:firstLine="480" w:firstLineChars="200"/>
        <w:jc w:val="both"/>
        <w:rPr>
          <w:rFonts w:hint="eastAsia" w:ascii="宋体" w:hAnsi="宋体" w:eastAsia="宋体" w:cs="宋体"/>
          <w:sz w:val="24"/>
          <w:highlight w:val="none"/>
        </w:rPr>
      </w:pPr>
    </w:p>
    <w:p>
      <w:pPr>
        <w:pStyle w:val="6"/>
        <w:rPr>
          <w:rFonts w:hint="eastAsia" w:ascii="宋体" w:hAnsi="宋体" w:eastAsia="宋体" w:cs="宋体"/>
          <w:sz w:val="24"/>
          <w:highlight w:val="none"/>
        </w:rPr>
      </w:pPr>
    </w:p>
    <w:p>
      <w:pPr>
        <w:pStyle w:val="7"/>
        <w:rPr>
          <w:rFonts w:hint="eastAsia"/>
          <w:highlight w:val="none"/>
          <w:lang w:val="en-US" w:eastAsia="zh-CN"/>
        </w:rPr>
      </w:pPr>
    </w:p>
    <w:p>
      <w:pPr>
        <w:pStyle w:val="10"/>
        <w:rPr>
          <w:rFonts w:hint="eastAsia" w:ascii="宋体" w:hAnsi="宋体" w:eastAsia="宋体" w:cs="宋体"/>
          <w:b/>
          <w:bCs w:val="0"/>
          <w:kern w:val="2"/>
          <w:sz w:val="32"/>
          <w:szCs w:val="32"/>
          <w:highlight w:val="none"/>
          <w:lang w:val="en-US" w:eastAsia="zh-CN" w:bidi="ar-SA"/>
        </w:rPr>
      </w:pPr>
    </w:p>
    <w:p>
      <w:pPr>
        <w:pStyle w:val="10"/>
        <w:rPr>
          <w:rFonts w:hint="eastAsia" w:ascii="宋体" w:hAnsi="宋体" w:eastAsia="宋体" w:cs="宋体"/>
          <w:b/>
          <w:bCs w:val="0"/>
          <w:kern w:val="2"/>
          <w:sz w:val="32"/>
          <w:szCs w:val="32"/>
          <w:highlight w:val="none"/>
          <w:lang w:val="en-US" w:eastAsia="zh-CN" w:bidi="ar-SA"/>
        </w:rPr>
      </w:pPr>
    </w:p>
    <w:p>
      <w:pPr>
        <w:pStyle w:val="10"/>
        <w:rPr>
          <w:rFonts w:hint="eastAsia" w:ascii="宋体" w:hAnsi="宋体" w:eastAsia="宋体" w:cs="宋体"/>
          <w:b/>
          <w:bCs w:val="0"/>
          <w:kern w:val="2"/>
          <w:sz w:val="32"/>
          <w:szCs w:val="32"/>
          <w:highlight w:val="none"/>
          <w:lang w:val="en-US" w:eastAsia="zh-CN" w:bidi="ar-SA"/>
        </w:rPr>
      </w:pPr>
    </w:p>
    <w:p>
      <w:pPr>
        <w:pStyle w:val="10"/>
        <w:rPr>
          <w:rFonts w:hint="eastAsia" w:ascii="宋体" w:hAnsi="宋体" w:eastAsia="宋体" w:cs="宋体"/>
          <w:b/>
          <w:bCs w:val="0"/>
          <w:kern w:val="2"/>
          <w:sz w:val="32"/>
          <w:szCs w:val="32"/>
          <w:highlight w:val="none"/>
          <w:lang w:val="en-US" w:eastAsia="zh-CN" w:bidi="ar-SA"/>
        </w:rPr>
      </w:pPr>
    </w:p>
    <w:p>
      <w:pPr>
        <w:jc w:val="center"/>
        <w:rPr>
          <w:rStyle w:val="27"/>
          <w:rFonts w:hint="eastAsia"/>
          <w:color w:val="000000"/>
          <w:sz w:val="32"/>
          <w:szCs w:val="15"/>
          <w:highlight w:val="none"/>
        </w:rPr>
      </w:pPr>
      <w:bookmarkStart w:id="89" w:name="_Toc18903"/>
      <w:bookmarkStart w:id="90" w:name="_Toc21023"/>
      <w:bookmarkStart w:id="91" w:name="_Toc12646"/>
    </w:p>
    <w:p>
      <w:pPr>
        <w:pStyle w:val="17"/>
        <w:rPr>
          <w:rStyle w:val="27"/>
          <w:rFonts w:hint="eastAsia"/>
          <w:color w:val="000000"/>
          <w:sz w:val="32"/>
          <w:szCs w:val="15"/>
          <w:highlight w:val="none"/>
        </w:rPr>
      </w:pPr>
    </w:p>
    <w:p>
      <w:pPr>
        <w:pStyle w:val="7"/>
        <w:rPr>
          <w:rStyle w:val="27"/>
          <w:rFonts w:hint="eastAsia"/>
          <w:color w:val="000000"/>
          <w:sz w:val="32"/>
          <w:szCs w:val="15"/>
          <w:highlight w:val="none"/>
        </w:rPr>
      </w:pPr>
    </w:p>
    <w:p>
      <w:pPr>
        <w:rPr>
          <w:rStyle w:val="27"/>
          <w:rFonts w:hint="eastAsia"/>
          <w:color w:val="000000"/>
          <w:sz w:val="32"/>
          <w:szCs w:val="15"/>
          <w:highlight w:val="none"/>
        </w:rPr>
      </w:pPr>
    </w:p>
    <w:p>
      <w:pPr>
        <w:pStyle w:val="17"/>
        <w:rPr>
          <w:rStyle w:val="27"/>
          <w:rFonts w:hint="eastAsia"/>
          <w:color w:val="000000"/>
          <w:sz w:val="32"/>
          <w:szCs w:val="15"/>
          <w:highlight w:val="none"/>
        </w:rPr>
      </w:pPr>
    </w:p>
    <w:p>
      <w:pPr>
        <w:pStyle w:val="7"/>
        <w:rPr>
          <w:rStyle w:val="27"/>
          <w:rFonts w:hint="eastAsia"/>
          <w:color w:val="000000"/>
          <w:sz w:val="32"/>
          <w:szCs w:val="15"/>
          <w:highlight w:val="none"/>
        </w:rPr>
      </w:pPr>
    </w:p>
    <w:p>
      <w:pPr>
        <w:pStyle w:val="7"/>
        <w:rPr>
          <w:rFonts w:hint="eastAsia"/>
          <w:highlight w:val="none"/>
        </w:rPr>
      </w:pPr>
    </w:p>
    <w:bookmarkEnd w:id="80"/>
    <w:bookmarkEnd w:id="89"/>
    <w:bookmarkEnd w:id="90"/>
    <w:bookmarkEnd w:id="91"/>
    <w:p>
      <w:pPr>
        <w:keepNext w:val="0"/>
        <w:keepLines w:val="0"/>
        <w:pageBreakBefore w:val="0"/>
        <w:widowControl w:val="0"/>
        <w:kinsoku/>
        <w:wordWrap/>
        <w:overflowPunct/>
        <w:topLinePunct w:val="0"/>
        <w:bidi w:val="0"/>
        <w:adjustRightInd/>
        <w:snapToGrid/>
        <w:spacing w:line="360" w:lineRule="auto"/>
        <w:jc w:val="center"/>
        <w:textAlignment w:val="auto"/>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b/>
          <w:bCs w:val="0"/>
          <w:kern w:val="2"/>
          <w:sz w:val="32"/>
          <w:szCs w:val="32"/>
          <w:highlight w:val="none"/>
          <w:lang w:val="en-US" w:eastAsia="zh-CN" w:bidi="ar-SA"/>
        </w:rPr>
        <w:t>五、交纳投标保凭证</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（采购单位名称）</w:t>
      </w:r>
      <w:r>
        <w:rPr>
          <w:rFonts w:hint="eastAsia" w:ascii="宋体" w:hAnsi="宋体" w:eastAsia="宋体" w:cs="宋体"/>
          <w:color w:val="000000"/>
          <w:sz w:val="24"/>
          <w:szCs w:val="24"/>
          <w:highlight w:val="none"/>
        </w:rPr>
        <w:t>：</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磋商响应人</w:t>
      </w:r>
      <w:r>
        <w:rPr>
          <w:rFonts w:hint="eastAsia" w:ascii="宋体" w:hAnsi="宋体" w:eastAsia="宋体" w:cs="宋体"/>
          <w:color w:val="000000"/>
          <w:sz w:val="24"/>
          <w:szCs w:val="24"/>
          <w:highlight w:val="none"/>
          <w:u w:val="single"/>
        </w:rPr>
        <w:t xml:space="preserve">全称)   </w:t>
      </w:r>
      <w:r>
        <w:rPr>
          <w:rFonts w:hint="eastAsia" w:ascii="宋体" w:hAnsi="宋体" w:eastAsia="宋体" w:cs="宋体"/>
          <w:color w:val="000000"/>
          <w:sz w:val="24"/>
          <w:szCs w:val="24"/>
          <w:highlight w:val="none"/>
        </w:rPr>
        <w:t>参加贵方组织的</w:t>
      </w:r>
      <w:r>
        <w:rPr>
          <w:rFonts w:hint="eastAsia" w:ascii="宋体" w:hAnsi="宋体" w:eastAsia="宋体" w:cs="宋体"/>
          <w:color w:val="000000"/>
          <w:sz w:val="24"/>
          <w:szCs w:val="24"/>
          <w:highlight w:val="none"/>
          <w:u w:val="single"/>
        </w:rPr>
        <w:t>(项目编号/项目名称)</w:t>
      </w:r>
      <w:r>
        <w:rPr>
          <w:rFonts w:hint="eastAsia" w:ascii="宋体" w:hAnsi="宋体" w:eastAsia="宋体" w:cs="宋体"/>
          <w:color w:val="000000"/>
          <w:sz w:val="24"/>
          <w:szCs w:val="24"/>
          <w:highlight w:val="none"/>
        </w:rPr>
        <w:t>项目采购活动。按</w:t>
      </w:r>
      <w:r>
        <w:rPr>
          <w:rFonts w:hint="eastAsia" w:ascii="宋体" w:hAnsi="宋体" w:eastAsia="宋体" w:cs="宋体"/>
          <w:color w:val="000000"/>
          <w:sz w:val="24"/>
          <w:szCs w:val="24"/>
          <w:highlight w:val="none"/>
          <w:lang w:eastAsia="zh-CN"/>
        </w:rPr>
        <w:t>采购文件</w:t>
      </w:r>
      <w:r>
        <w:rPr>
          <w:rFonts w:hint="eastAsia" w:ascii="宋体" w:hAnsi="宋体" w:eastAsia="宋体" w:cs="宋体"/>
          <w:color w:val="000000"/>
          <w:sz w:val="24"/>
          <w:szCs w:val="24"/>
          <w:highlight w:val="none"/>
        </w:rPr>
        <w:t>的规定，已递交人民币</w:t>
      </w:r>
      <w:r>
        <w:rPr>
          <w:rFonts w:hint="eastAsia" w:ascii="宋体" w:hAnsi="宋体" w:eastAsia="宋体" w:cs="宋体"/>
          <w:color w:val="000000"/>
          <w:sz w:val="24"/>
          <w:szCs w:val="24"/>
          <w:highlight w:val="none"/>
          <w:u w:val="single"/>
        </w:rPr>
        <w:t xml:space="preserve">（大写）  　　  </w:t>
      </w:r>
      <w:r>
        <w:rPr>
          <w:rFonts w:hint="eastAsia" w:ascii="宋体" w:hAnsi="宋体" w:eastAsia="宋体" w:cs="宋体"/>
          <w:color w:val="000000"/>
          <w:sz w:val="24"/>
          <w:szCs w:val="24"/>
          <w:highlight w:val="none"/>
        </w:rPr>
        <w:t>元的投标保证金。</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磋商响应人</w:t>
      </w:r>
      <w:r>
        <w:rPr>
          <w:rFonts w:hint="eastAsia" w:ascii="宋体" w:hAnsi="宋体" w:eastAsia="宋体" w:cs="宋体"/>
          <w:color w:val="000000"/>
          <w:sz w:val="24"/>
          <w:szCs w:val="24"/>
          <w:highlight w:val="none"/>
        </w:rPr>
        <w:t>名称：</w:t>
      </w:r>
      <w:r>
        <w:rPr>
          <w:rFonts w:hint="eastAsia" w:ascii="宋体" w:hAnsi="宋体" w:eastAsia="宋体" w:cs="宋体"/>
          <w:color w:val="000000"/>
          <w:sz w:val="24"/>
          <w:szCs w:val="24"/>
          <w:highlight w:val="none"/>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磋商响应人</w:t>
      </w:r>
      <w:r>
        <w:rPr>
          <w:rFonts w:hint="eastAsia" w:ascii="宋体" w:hAnsi="宋体" w:eastAsia="宋体" w:cs="宋体"/>
          <w:color w:val="000000"/>
          <w:sz w:val="24"/>
          <w:szCs w:val="24"/>
          <w:highlight w:val="none"/>
        </w:rPr>
        <w:t>开户银行：</w:t>
      </w:r>
      <w:r>
        <w:rPr>
          <w:rFonts w:hint="eastAsia" w:ascii="宋体" w:hAnsi="宋体" w:eastAsia="宋体" w:cs="宋体"/>
          <w:color w:val="000000"/>
          <w:sz w:val="24"/>
          <w:szCs w:val="24"/>
          <w:highlight w:val="none"/>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lang w:eastAsia="zh-CN"/>
        </w:rPr>
        <w:t>磋商响应人</w:t>
      </w:r>
      <w:r>
        <w:rPr>
          <w:rFonts w:hint="eastAsia" w:ascii="宋体" w:hAnsi="宋体" w:eastAsia="宋体" w:cs="宋体"/>
          <w:color w:val="000000"/>
          <w:sz w:val="24"/>
          <w:szCs w:val="24"/>
          <w:highlight w:val="none"/>
        </w:rPr>
        <w:t>银行帐号：</w:t>
      </w:r>
      <w:r>
        <w:rPr>
          <w:rFonts w:hint="eastAsia" w:ascii="宋体" w:hAnsi="宋体" w:eastAsia="宋体" w:cs="宋体"/>
          <w:color w:val="000000"/>
          <w:sz w:val="24"/>
          <w:szCs w:val="24"/>
          <w:highlight w:val="none"/>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highlight w:val="none"/>
        </w:rPr>
      </w:pP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highlight w:val="none"/>
          <w:u w:val="single"/>
        </w:rPr>
      </w:pPr>
      <w:r>
        <w:rPr>
          <w:rFonts w:hint="eastAsia" w:ascii="宋体" w:hAnsi="宋体" w:eastAsia="宋体" w:cs="宋体"/>
          <w:color w:val="000000"/>
          <w:sz w:val="24"/>
          <w:highlight w:val="none"/>
          <w:lang w:eastAsia="zh-CN"/>
        </w:rPr>
        <w:t>磋商响应人</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u w:val="single"/>
        </w:rPr>
        <w:t xml:space="preserve">(公章) </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法定代表人或法定代表人授权代表：</w:t>
      </w:r>
      <w:r>
        <w:rPr>
          <w:rFonts w:hint="eastAsia" w:ascii="宋体" w:hAnsi="宋体" w:eastAsia="宋体" w:cs="宋体"/>
          <w:color w:val="000000"/>
          <w:sz w:val="24"/>
          <w:szCs w:val="24"/>
          <w:highlight w:val="none"/>
          <w:u w:val="single"/>
        </w:rPr>
        <w:t>（签字</w:t>
      </w:r>
      <w:r>
        <w:rPr>
          <w:rFonts w:hint="eastAsia" w:ascii="宋体" w:hAnsi="宋体" w:eastAsia="宋体" w:cs="宋体"/>
          <w:color w:val="000000"/>
          <w:sz w:val="24"/>
          <w:szCs w:val="24"/>
          <w:highlight w:val="none"/>
          <w:u w:val="single"/>
          <w:lang w:val="en-US" w:eastAsia="zh-CN"/>
        </w:rPr>
        <w:t>或</w:t>
      </w:r>
      <w:r>
        <w:rPr>
          <w:rFonts w:hint="eastAsia" w:ascii="宋体" w:hAnsi="宋体" w:eastAsia="宋体" w:cs="宋体"/>
          <w:color w:val="000000"/>
          <w:sz w:val="24"/>
          <w:szCs w:val="24"/>
          <w:highlight w:val="none"/>
          <w:u w:val="single"/>
        </w:rPr>
        <w:t>盖章）</w:t>
      </w:r>
    </w:p>
    <w:p>
      <w:pPr>
        <w:keepNext w:val="0"/>
        <w:keepLines w:val="0"/>
        <w:pageBreakBefore w:val="0"/>
        <w:widowControl w:val="0"/>
        <w:kinsoku/>
        <w:wordWrap/>
        <w:overflowPunct/>
        <w:topLinePunct w:val="0"/>
        <w:bidi w:val="0"/>
        <w:adjustRightInd/>
        <w:snapToGrid/>
        <w:spacing w:line="360" w:lineRule="auto"/>
        <w:jc w:val="righ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86" w:type="dxa"/>
            <w:noWrap w:val="0"/>
            <w:vAlign w:val="top"/>
          </w:tcPr>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highlight w:val="none"/>
              </w:rPr>
              <w:t xml:space="preserve"> </w:t>
            </w:r>
            <w:r>
              <w:rPr>
                <w:rFonts w:hint="eastAsia" w:ascii="宋体" w:hAnsi="宋体" w:eastAsia="宋体" w:cs="宋体"/>
                <w:color w:val="000000"/>
                <w:sz w:val="24"/>
              </w:rPr>
              <w:t xml:space="preserve"> 票 据 复 印 件</w:t>
            </w:r>
            <w:r>
              <w:rPr>
                <w:rFonts w:hint="eastAsia" w:ascii="宋体" w:hAnsi="宋体" w:eastAsia="宋体" w:cs="宋体"/>
                <w:color w:val="000000"/>
                <w:sz w:val="24"/>
                <w:szCs w:val="24"/>
              </w:rPr>
              <w:t>（清晰复印件）</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注：请</w:t>
      </w:r>
      <w:r>
        <w:rPr>
          <w:rFonts w:hint="eastAsia" w:ascii="宋体" w:hAnsi="宋体" w:eastAsia="宋体" w:cs="宋体"/>
          <w:color w:val="000000"/>
          <w:sz w:val="24"/>
          <w:szCs w:val="24"/>
          <w:highlight w:val="none"/>
          <w:lang w:eastAsia="zh-CN"/>
        </w:rPr>
        <w:t>投标企业</w:t>
      </w:r>
      <w:r>
        <w:rPr>
          <w:rFonts w:hint="eastAsia" w:ascii="宋体" w:hAnsi="宋体" w:eastAsia="宋体" w:cs="宋体"/>
          <w:color w:val="000000"/>
          <w:sz w:val="24"/>
          <w:szCs w:val="24"/>
          <w:highlight w:val="none"/>
        </w:rPr>
        <w:t>认真填写银行信息，并要求与银行凭证的相关信息一致。</w:t>
      </w:r>
    </w:p>
    <w:p>
      <w:pPr>
        <w:adjustRightInd w:val="0"/>
        <w:snapToGrid w:val="0"/>
        <w:spacing w:line="480" w:lineRule="atLeast"/>
        <w:jc w:val="center"/>
        <w:rPr>
          <w:rFonts w:hint="eastAsia" w:ascii="宋体" w:hAnsi="宋体" w:eastAsia="宋体" w:cs="宋体"/>
          <w:b/>
          <w:color w:val="000000"/>
          <w:spacing w:val="40"/>
          <w:sz w:val="32"/>
          <w:szCs w:val="32"/>
          <w:highlight w:val="none"/>
        </w:rPr>
      </w:pPr>
    </w:p>
    <w:p>
      <w:pPr>
        <w:adjustRightInd w:val="0"/>
        <w:snapToGrid w:val="0"/>
        <w:spacing w:line="480" w:lineRule="atLeast"/>
        <w:jc w:val="center"/>
        <w:rPr>
          <w:rFonts w:hint="eastAsia" w:ascii="宋体" w:hAnsi="宋体" w:eastAsia="宋体" w:cs="宋体"/>
          <w:b/>
          <w:color w:val="000000"/>
          <w:spacing w:val="40"/>
          <w:sz w:val="32"/>
          <w:szCs w:val="32"/>
          <w:highlight w:val="none"/>
        </w:rPr>
      </w:pPr>
    </w:p>
    <w:p>
      <w:pPr>
        <w:adjustRightInd w:val="0"/>
        <w:snapToGrid w:val="0"/>
        <w:spacing w:line="480" w:lineRule="atLeast"/>
        <w:jc w:val="center"/>
        <w:rPr>
          <w:rFonts w:hint="eastAsia" w:ascii="宋体" w:hAnsi="宋体" w:eastAsia="宋体" w:cs="宋体"/>
          <w:b/>
          <w:color w:val="000000"/>
          <w:spacing w:val="40"/>
          <w:sz w:val="32"/>
          <w:szCs w:val="32"/>
          <w:highlight w:val="none"/>
        </w:rPr>
      </w:pPr>
    </w:p>
    <w:p>
      <w:pPr>
        <w:adjustRightInd w:val="0"/>
        <w:snapToGrid w:val="0"/>
        <w:spacing w:line="480" w:lineRule="atLeast"/>
        <w:jc w:val="center"/>
        <w:rPr>
          <w:rFonts w:hint="eastAsia" w:ascii="宋体" w:hAnsi="宋体" w:eastAsia="宋体" w:cs="宋体"/>
          <w:b/>
          <w:color w:val="000000"/>
          <w:spacing w:val="40"/>
          <w:sz w:val="32"/>
          <w:szCs w:val="32"/>
          <w:highlight w:val="none"/>
        </w:rPr>
      </w:pPr>
    </w:p>
    <w:p>
      <w:pPr>
        <w:adjustRightInd w:val="0"/>
        <w:snapToGrid w:val="0"/>
        <w:spacing w:line="480" w:lineRule="atLeast"/>
        <w:jc w:val="center"/>
        <w:rPr>
          <w:rFonts w:hint="eastAsia" w:ascii="宋体" w:hAnsi="宋体" w:eastAsia="宋体" w:cs="宋体"/>
          <w:b/>
          <w:color w:val="000000"/>
          <w:spacing w:val="40"/>
          <w:sz w:val="32"/>
          <w:szCs w:val="32"/>
          <w:highlight w:val="none"/>
        </w:rPr>
      </w:pPr>
    </w:p>
    <w:p>
      <w:pPr>
        <w:adjustRightInd w:val="0"/>
        <w:snapToGrid w:val="0"/>
        <w:spacing w:line="480" w:lineRule="atLeast"/>
        <w:jc w:val="center"/>
        <w:rPr>
          <w:rFonts w:hint="eastAsia" w:ascii="宋体" w:hAnsi="宋体" w:eastAsia="宋体" w:cs="宋体"/>
          <w:b/>
          <w:color w:val="000000"/>
          <w:spacing w:val="40"/>
          <w:sz w:val="32"/>
          <w:szCs w:val="32"/>
          <w:highlight w:val="none"/>
        </w:rPr>
      </w:pPr>
    </w:p>
    <w:p>
      <w:pPr>
        <w:pStyle w:val="17"/>
        <w:rPr>
          <w:rFonts w:hint="eastAsia" w:ascii="宋体" w:hAnsi="宋体" w:eastAsia="宋体" w:cs="宋体"/>
          <w:b/>
          <w:color w:val="000000"/>
          <w:spacing w:val="40"/>
          <w:sz w:val="32"/>
          <w:szCs w:val="32"/>
          <w:highlight w:val="none"/>
        </w:rPr>
      </w:pPr>
    </w:p>
    <w:p>
      <w:pPr>
        <w:pStyle w:val="7"/>
        <w:rPr>
          <w:rFonts w:hint="eastAsia"/>
          <w:highlight w:val="none"/>
        </w:rPr>
      </w:pPr>
    </w:p>
    <w:p>
      <w:pPr>
        <w:adjustRightInd w:val="0"/>
        <w:snapToGrid w:val="0"/>
        <w:spacing w:line="480" w:lineRule="atLeast"/>
        <w:jc w:val="center"/>
        <w:rPr>
          <w:rFonts w:hint="default" w:ascii="宋体" w:hAnsi="宋体" w:eastAsia="宋体" w:cs="宋体"/>
          <w:b/>
          <w:color w:val="000000"/>
          <w:spacing w:val="40"/>
          <w:sz w:val="32"/>
          <w:szCs w:val="32"/>
          <w:highlight w:val="none"/>
          <w:lang w:val="en-US" w:eastAsia="zh-CN"/>
        </w:rPr>
      </w:pPr>
      <w:r>
        <w:rPr>
          <w:rFonts w:hint="eastAsia" w:ascii="宋体" w:hAnsi="宋体" w:eastAsia="宋体" w:cs="宋体"/>
          <w:b/>
          <w:color w:val="000000"/>
          <w:spacing w:val="40"/>
          <w:sz w:val="32"/>
          <w:szCs w:val="32"/>
          <w:highlight w:val="none"/>
          <w:lang w:val="en-US" w:eastAsia="zh-CN"/>
        </w:rPr>
        <w:t>六</w:t>
      </w:r>
      <w:r>
        <w:rPr>
          <w:rFonts w:hint="eastAsia" w:ascii="宋体" w:hAnsi="宋体" w:eastAsia="宋体" w:cs="宋体"/>
          <w:b/>
          <w:color w:val="000000"/>
          <w:spacing w:val="40"/>
          <w:sz w:val="32"/>
          <w:szCs w:val="32"/>
          <w:highlight w:val="none"/>
        </w:rPr>
        <w:t>、</w:t>
      </w:r>
      <w:r>
        <w:rPr>
          <w:rFonts w:hint="eastAsia" w:ascii="宋体" w:hAnsi="宋体" w:eastAsia="宋体" w:cs="宋体"/>
          <w:b/>
          <w:color w:val="000000"/>
          <w:spacing w:val="40"/>
          <w:sz w:val="32"/>
          <w:szCs w:val="32"/>
          <w:highlight w:val="none"/>
          <w:lang w:val="en-US" w:eastAsia="zh-CN"/>
        </w:rPr>
        <w:t>项目方案</w:t>
      </w:r>
    </w:p>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1、所投项目详细项目方案</w:t>
      </w:r>
      <w:r>
        <w:rPr>
          <w:rFonts w:hint="eastAsia" w:ascii="宋体" w:hAnsi="宋体" w:cs="宋体"/>
          <w:color w:val="000000"/>
          <w:sz w:val="24"/>
          <w:szCs w:val="24"/>
          <w:highlight w:val="none"/>
          <w:lang w:val="en-US" w:eastAsia="zh-CN"/>
        </w:rPr>
        <w:t>、</w:t>
      </w:r>
      <w:r>
        <w:rPr>
          <w:rFonts w:hint="eastAsia" w:ascii="宋体" w:hAnsi="宋体" w:eastAsia="宋体" w:cs="宋体"/>
          <w:color w:val="auto"/>
          <w:sz w:val="22"/>
          <w:szCs w:val="22"/>
          <w:lang w:val="en-US" w:eastAsia="zh-CN"/>
        </w:rPr>
        <w:t>质量保证</w:t>
      </w:r>
      <w:r>
        <w:rPr>
          <w:rFonts w:hint="eastAsia" w:ascii="宋体" w:hAnsi="宋体" w:cs="宋体"/>
          <w:color w:val="000000"/>
          <w:sz w:val="24"/>
          <w:szCs w:val="24"/>
          <w:highlight w:val="none"/>
          <w:lang w:val="en-US" w:eastAsia="zh-CN"/>
        </w:rPr>
        <w:t>等</w:t>
      </w:r>
      <w:r>
        <w:rPr>
          <w:rFonts w:hint="eastAsia" w:ascii="宋体" w:hAnsi="宋体" w:eastAsia="宋体" w:cs="宋体"/>
          <w:color w:val="000000"/>
          <w:sz w:val="24"/>
          <w:szCs w:val="24"/>
          <w:highlight w:val="none"/>
          <w:lang w:val="en-US" w:eastAsia="zh-CN"/>
        </w:rPr>
        <w:t>（根据本项目情况自拟）</w:t>
      </w:r>
    </w:p>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2、其他磋商响应人认为需要提供的其他材料</w:t>
      </w:r>
    </w:p>
    <w:p>
      <w:pPr>
        <w:tabs>
          <w:tab w:val="left" w:pos="720"/>
        </w:tabs>
        <w:spacing w:line="400" w:lineRule="exact"/>
        <w:ind w:firstLine="480" w:firstLineChars="200"/>
        <w:rPr>
          <w:rFonts w:hint="eastAsia" w:ascii="宋体" w:hAnsi="宋体" w:eastAsia="宋体" w:cs="宋体"/>
          <w:sz w:val="24"/>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pStyle w:val="17"/>
        <w:rPr>
          <w:rFonts w:hint="eastAsia" w:ascii="宋体" w:hAnsi="宋体" w:eastAsia="宋体" w:cs="宋体"/>
          <w:szCs w:val="21"/>
          <w:highlight w:val="none"/>
        </w:rPr>
      </w:pPr>
    </w:p>
    <w:p>
      <w:pPr>
        <w:pStyle w:val="7"/>
        <w:rPr>
          <w:rFonts w:hint="eastAsia"/>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rPr>
      </w:pPr>
    </w:p>
    <w:p>
      <w:pPr>
        <w:numPr>
          <w:ilvl w:val="0"/>
          <w:numId w:val="0"/>
        </w:numPr>
        <w:spacing w:line="360" w:lineRule="auto"/>
        <w:jc w:val="center"/>
        <w:rPr>
          <w:rFonts w:hint="eastAsia" w:ascii="宋体" w:hAnsi="宋体"/>
          <w:b/>
          <w:color w:val="000000"/>
          <w:sz w:val="32"/>
          <w:szCs w:val="32"/>
          <w:highlight w:val="none"/>
        </w:rPr>
      </w:pPr>
      <w:r>
        <w:rPr>
          <w:rFonts w:hint="eastAsia" w:ascii="宋体" w:hAnsi="宋体" w:eastAsia="宋体"/>
          <w:b/>
          <w:color w:val="000000"/>
          <w:sz w:val="32"/>
          <w:szCs w:val="32"/>
          <w:highlight w:val="none"/>
          <w:lang w:val="en-US" w:eastAsia="zh-CN"/>
        </w:rPr>
        <w:t>七、</w:t>
      </w:r>
      <w:r>
        <w:rPr>
          <w:rFonts w:hint="eastAsia" w:ascii="宋体" w:hAnsi="宋体" w:eastAsia="宋体"/>
          <w:b/>
          <w:color w:val="000000"/>
          <w:sz w:val="32"/>
          <w:szCs w:val="32"/>
          <w:highlight w:val="none"/>
          <w:lang w:eastAsia="zh-CN"/>
        </w:rPr>
        <w:t>磋商响应人</w:t>
      </w:r>
      <w:r>
        <w:rPr>
          <w:rFonts w:hint="eastAsia" w:ascii="宋体" w:hAnsi="宋体"/>
          <w:b/>
          <w:color w:val="000000"/>
          <w:sz w:val="32"/>
          <w:szCs w:val="32"/>
          <w:highlight w:val="none"/>
        </w:rPr>
        <w:t>无失信行为承诺</w:t>
      </w:r>
    </w:p>
    <w:p>
      <w:pPr>
        <w:spacing w:line="360" w:lineRule="auto"/>
        <w:rPr>
          <w:rFonts w:hint="eastAsia" w:ascii="宋体" w:hAnsi="宋体" w:eastAsia="宋体" w:cs="宋体"/>
          <w:bCs/>
          <w:color w:val="000000"/>
          <w:sz w:val="28"/>
          <w:szCs w:val="28"/>
          <w:highlight w:val="none"/>
          <w:u w:val="single"/>
        </w:rPr>
      </w:pPr>
      <w:r>
        <w:rPr>
          <w:rFonts w:hint="eastAsia" w:ascii="宋体" w:hAnsi="宋体"/>
          <w:b/>
          <w:color w:val="000000"/>
          <w:sz w:val="32"/>
          <w:szCs w:val="32"/>
          <w:highlight w:val="none"/>
          <w:u w:val="single"/>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采购</w:t>
      </w:r>
      <w:r>
        <w:rPr>
          <w:rFonts w:hint="eastAsia" w:ascii="宋体" w:hAnsi="宋体" w:eastAsia="宋体" w:cs="宋体"/>
          <w:color w:val="000000"/>
          <w:sz w:val="24"/>
          <w:szCs w:val="24"/>
          <w:highlight w:val="none"/>
          <w:u w:val="single"/>
        </w:rPr>
        <w:t xml:space="preserve">人名称）    </w:t>
      </w:r>
      <w:r>
        <w:rPr>
          <w:rFonts w:hint="eastAsia" w:ascii="宋体" w:hAnsi="宋体" w:eastAsia="宋体" w:cs="宋体"/>
          <w:bCs/>
          <w:color w:val="000000"/>
          <w:sz w:val="28"/>
          <w:szCs w:val="28"/>
          <w:highlight w:val="none"/>
          <w:u w:val="single"/>
        </w:rPr>
        <w:t xml:space="preserve">    </w:t>
      </w:r>
    </w:p>
    <w:p>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我单位承诺在参加</w:t>
      </w:r>
      <w:r>
        <w:rPr>
          <w:rFonts w:hint="eastAsia" w:ascii="宋体" w:hAnsi="宋体" w:eastAsia="宋体" w:cs="宋体"/>
          <w:color w:val="000000"/>
          <w:sz w:val="24"/>
          <w:szCs w:val="24"/>
          <w:highlight w:val="none"/>
          <w:u w:val="single"/>
        </w:rPr>
        <w:t xml:space="preserve">    （项目名称）    </w:t>
      </w:r>
      <w:r>
        <w:rPr>
          <w:rFonts w:hint="eastAsia" w:ascii="宋体" w:hAnsi="宋体" w:eastAsia="宋体" w:cs="宋体"/>
          <w:color w:val="000000"/>
          <w:sz w:val="24"/>
          <w:szCs w:val="24"/>
          <w:highlight w:val="none"/>
        </w:rPr>
        <w:t>项目时，在</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国家企业信用信息公示系统</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及“信用中国”</w:t>
      </w:r>
      <w:r>
        <w:rPr>
          <w:rFonts w:hint="eastAsia" w:ascii="宋体" w:hAnsi="宋体" w:eastAsia="宋体" w:cs="宋体"/>
          <w:color w:val="000000"/>
          <w:sz w:val="24"/>
          <w:szCs w:val="24"/>
          <w:highlight w:val="none"/>
          <w:lang w:eastAsia="zh-CN"/>
        </w:rPr>
        <w:t>“中国政府采购网”</w:t>
      </w:r>
      <w:r>
        <w:rPr>
          <w:rFonts w:hint="eastAsia" w:ascii="宋体" w:hAnsi="宋体" w:eastAsia="宋体" w:cs="宋体"/>
          <w:color w:val="000000"/>
          <w:sz w:val="24"/>
          <w:szCs w:val="24"/>
          <w:highlight w:val="none"/>
        </w:rPr>
        <w:t>网站中无行政处罚(不在处罚期内)、未被列入经营异常名录及严重违法失信企业名单（黑名单）。</w:t>
      </w:r>
    </w:p>
    <w:p>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我公司对以上承诺内容的真实性和履约性负责，如有违诺，自愿承担一切违法违规后果。</w:t>
      </w:r>
    </w:p>
    <w:p>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特此承诺。</w:t>
      </w:r>
    </w:p>
    <w:p>
      <w:pPr>
        <w:spacing w:line="56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（后附网站查询截图）</w:t>
      </w:r>
    </w:p>
    <w:p>
      <w:pPr>
        <w:spacing w:line="560" w:lineRule="exact"/>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highlight w:val="none"/>
          <w:lang w:eastAsia="zh-CN"/>
        </w:rPr>
        <w:t>磋商响应人</w:t>
      </w:r>
      <w:r>
        <w:rPr>
          <w:rFonts w:hint="eastAsia" w:ascii="宋体" w:hAnsi="宋体" w:eastAsia="宋体" w:cs="宋体"/>
          <w:color w:val="000000"/>
          <w:sz w:val="24"/>
          <w:szCs w:val="24"/>
          <w:highlight w:val="none"/>
        </w:rPr>
        <w:t>（法人公章）：</w:t>
      </w:r>
      <w:r>
        <w:rPr>
          <w:rFonts w:hint="eastAsia" w:ascii="宋体" w:hAnsi="宋体" w:eastAsia="宋体" w:cs="宋体"/>
          <w:color w:val="000000"/>
          <w:sz w:val="24"/>
          <w:szCs w:val="24"/>
          <w:highlight w:val="none"/>
          <w:u w:val="single"/>
        </w:rPr>
        <w:t xml:space="preserve">                            </w:t>
      </w:r>
    </w:p>
    <w:p>
      <w:pPr>
        <w:spacing w:line="560" w:lineRule="exact"/>
        <w:ind w:firstLine="480" w:firstLineChars="200"/>
        <w:rPr>
          <w:rFonts w:hint="eastAsia" w:ascii="宋体" w:hAnsi="宋体" w:eastAsia="宋体" w:cs="宋体"/>
          <w:color w:val="000000"/>
          <w:sz w:val="24"/>
          <w:szCs w:val="24"/>
          <w:highlight w:val="none"/>
        </w:rPr>
      </w:pPr>
    </w:p>
    <w:p>
      <w:pPr>
        <w:spacing w:line="560" w:lineRule="exact"/>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法定代表人（签字或盖</w:t>
      </w:r>
      <w:r>
        <w:rPr>
          <w:rFonts w:hint="eastAsia" w:ascii="宋体" w:hAnsi="宋体" w:eastAsia="宋体" w:cs="宋体"/>
          <w:color w:val="000000"/>
          <w:sz w:val="24"/>
          <w:szCs w:val="24"/>
          <w:highlight w:val="none"/>
          <w:lang w:val="en-US" w:eastAsia="zh-CN"/>
        </w:rPr>
        <w:t>章</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u w:val="single"/>
        </w:rPr>
        <w:t xml:space="preserve">                    </w:t>
      </w:r>
    </w:p>
    <w:p>
      <w:pPr>
        <w:spacing w:line="360" w:lineRule="auto"/>
        <w:ind w:firstLine="562" w:firstLineChars="200"/>
        <w:jc w:val="center"/>
        <w:rPr>
          <w:rFonts w:hint="eastAsia" w:ascii="宋体" w:hAnsi="宋体" w:eastAsia="宋体" w:cs="宋体"/>
          <w:b/>
          <w:color w:val="000000"/>
          <w:sz w:val="28"/>
          <w:szCs w:val="28"/>
          <w:highlight w:val="none"/>
        </w:rPr>
      </w:pPr>
    </w:p>
    <w:p>
      <w:pPr>
        <w:spacing w:line="360" w:lineRule="auto"/>
        <w:ind w:firstLine="562" w:firstLineChars="200"/>
        <w:jc w:val="center"/>
        <w:rPr>
          <w:rFonts w:hint="eastAsia" w:ascii="宋体" w:hAnsi="宋体" w:eastAsia="宋体" w:cs="宋体"/>
          <w:color w:val="000000"/>
          <w:sz w:val="24"/>
          <w:szCs w:val="24"/>
          <w:highlight w:val="none"/>
        </w:rPr>
      </w:pPr>
      <w:r>
        <w:rPr>
          <w:rFonts w:hint="eastAsia" w:ascii="宋体" w:hAnsi="宋体" w:eastAsia="宋体" w:cs="宋体"/>
          <w:b/>
          <w:color w:val="000000"/>
          <w:sz w:val="28"/>
          <w:szCs w:val="28"/>
          <w:highlight w:val="none"/>
        </w:rPr>
        <w:t xml:space="preserve">   </w:t>
      </w:r>
      <w:r>
        <w:rPr>
          <w:rFonts w:hint="eastAsia" w:ascii="宋体" w:hAnsi="宋体" w:eastAsia="宋体" w:cs="宋体"/>
          <w:b/>
          <w:color w:val="000000"/>
          <w:sz w:val="28"/>
          <w:szCs w:val="28"/>
          <w:highlight w:val="none"/>
          <w:lang w:val="en-US" w:eastAsia="zh-CN"/>
        </w:rPr>
        <w:t xml:space="preserve">           </w:t>
      </w:r>
      <w:r>
        <w:rPr>
          <w:rFonts w:hint="eastAsia" w:ascii="宋体" w:hAnsi="宋体" w:eastAsia="宋体" w:cs="宋体"/>
          <w:color w:val="000000"/>
          <w:sz w:val="24"/>
          <w:szCs w:val="24"/>
          <w:highlight w:val="none"/>
        </w:rPr>
        <w:t xml:space="preserve">  年    月    日</w:t>
      </w: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numPr>
          <w:ilvl w:val="0"/>
          <w:numId w:val="0"/>
        </w:numPr>
        <w:snapToGrid w:val="0"/>
        <w:spacing w:before="100" w:beforeLines="0" w:beforeAutospacing="1" w:after="100" w:afterLines="0" w:afterAutospacing="1"/>
        <w:ind w:firstLine="2891" w:firstLineChars="900"/>
        <w:jc w:val="both"/>
        <w:rPr>
          <w:rFonts w:hint="eastAsia" w:ascii="宋体" w:hAnsi="宋体" w:eastAsia="宋体" w:cs="宋体"/>
          <w:b/>
          <w:bCs/>
          <w:sz w:val="32"/>
          <w:szCs w:val="32"/>
          <w:highlight w:val="none"/>
          <w:lang w:val="en-US" w:eastAsia="zh-CN"/>
        </w:rPr>
      </w:pPr>
      <w:r>
        <w:rPr>
          <w:rFonts w:hint="eastAsia" w:ascii="宋体" w:hAnsi="宋体" w:cs="宋体"/>
          <w:b/>
          <w:bCs/>
          <w:sz w:val="32"/>
          <w:szCs w:val="32"/>
          <w:highlight w:val="none"/>
          <w:lang w:val="en-US" w:eastAsia="zh-CN"/>
        </w:rPr>
        <w:t>八、</w:t>
      </w:r>
      <w:r>
        <w:rPr>
          <w:rFonts w:hint="eastAsia" w:ascii="宋体" w:hAnsi="宋体" w:eastAsia="宋体" w:cs="宋体"/>
          <w:b/>
          <w:bCs/>
          <w:sz w:val="32"/>
          <w:szCs w:val="32"/>
          <w:highlight w:val="none"/>
          <w:lang w:val="en-US" w:eastAsia="zh-CN"/>
        </w:rPr>
        <w:t>售后服务承诺书</w:t>
      </w:r>
    </w:p>
    <w:p>
      <w:pPr>
        <w:pStyle w:val="17"/>
        <w:widowControl w:val="0"/>
        <w:numPr>
          <w:ilvl w:val="0"/>
          <w:numId w:val="0"/>
        </w:numPr>
        <w:snapToGrid w:val="0"/>
        <w:jc w:val="left"/>
        <w:rPr>
          <w:rFonts w:hint="default"/>
          <w:highlight w:val="none"/>
          <w:lang w:val="en-US" w:eastAsia="zh-CN"/>
        </w:rPr>
      </w:pPr>
    </w:p>
    <w:p>
      <w:pPr>
        <w:pStyle w:val="7"/>
        <w:ind w:left="0" w:leftChars="0" w:firstLine="0" w:firstLineChars="0"/>
        <w:jc w:val="center"/>
        <w:rPr>
          <w:rFonts w:hint="default"/>
          <w:b/>
          <w:bCs/>
          <w:sz w:val="28"/>
          <w:szCs w:val="36"/>
          <w:highlight w:val="none"/>
          <w:lang w:val="en-US" w:eastAsia="zh-CN"/>
        </w:rPr>
      </w:pPr>
      <w:r>
        <w:rPr>
          <w:rFonts w:hint="eastAsia"/>
          <w:b/>
          <w:bCs/>
          <w:sz w:val="28"/>
          <w:szCs w:val="36"/>
          <w:highlight w:val="none"/>
          <w:lang w:val="en-US" w:eastAsia="zh-CN"/>
        </w:rPr>
        <w:t>（格式自拟）</w:t>
      </w:r>
    </w:p>
    <w:p>
      <w:pPr>
        <w:widowControl/>
        <w:snapToGrid w:val="0"/>
        <w:spacing w:before="100" w:beforeLines="0" w:beforeAutospacing="1" w:after="100" w:afterLines="0" w:afterAutospacing="1" w:line="540" w:lineRule="exact"/>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售后服务</w:t>
      </w:r>
      <w:r>
        <w:rPr>
          <w:rFonts w:hint="eastAsia" w:ascii="宋体" w:hAnsi="宋体" w:eastAsia="宋体" w:cs="宋体"/>
          <w:sz w:val="24"/>
          <w:highlight w:val="none"/>
          <w:lang w:val="en-US" w:eastAsia="zh-CN"/>
        </w:rPr>
        <w:t>组织</w:t>
      </w:r>
      <w:r>
        <w:rPr>
          <w:rFonts w:hint="eastAsia" w:ascii="宋体" w:hAnsi="宋体" w:eastAsia="宋体" w:cs="宋体"/>
          <w:sz w:val="24"/>
          <w:highlight w:val="none"/>
          <w:lang w:eastAsia="zh-CN"/>
        </w:rPr>
        <w:t>措施</w:t>
      </w:r>
      <w:r>
        <w:rPr>
          <w:rFonts w:hint="eastAsia" w:ascii="宋体" w:hAnsi="宋体" w:eastAsia="宋体" w:cs="宋体"/>
          <w:sz w:val="24"/>
          <w:highlight w:val="none"/>
          <w:lang w:val="en-US" w:eastAsia="zh-CN"/>
        </w:rPr>
        <w:t>:</w:t>
      </w:r>
    </w:p>
    <w:p>
      <w:pPr>
        <w:widowControl/>
        <w:snapToGrid w:val="0"/>
        <w:spacing w:before="100" w:beforeLines="0" w:beforeAutospacing="1" w:after="100" w:afterLines="0" w:afterAutospacing="1" w:line="540" w:lineRule="exact"/>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（1）提供详细的、可操作性的、体现保障能力的售后服务方案和服务承诺，</w:t>
      </w:r>
    </w:p>
    <w:p>
      <w:pPr>
        <w:widowControl/>
        <w:snapToGrid w:val="0"/>
        <w:spacing w:before="100" w:beforeLines="0" w:beforeAutospacing="1" w:after="100" w:afterLines="0" w:afterAutospacing="1" w:line="540" w:lineRule="exact"/>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设有本地售后服务机构并提供相关证明材料。</w:t>
      </w:r>
    </w:p>
    <w:p>
      <w:pPr>
        <w:widowControl/>
        <w:snapToGrid w:val="0"/>
        <w:spacing w:before="100" w:beforeLines="0" w:beforeAutospacing="1" w:after="100" w:afterLines="0" w:afterAutospacing="1" w:line="540" w:lineRule="exact"/>
        <w:ind w:firstLine="480" w:firstLineChars="200"/>
        <w:jc w:val="left"/>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（3）质保期内或承诺能在质保期外，定期回访，</w:t>
      </w:r>
      <w:r>
        <w:rPr>
          <w:rFonts w:hint="eastAsia" w:ascii="宋体" w:hAnsi="宋体" w:eastAsia="宋体" w:cs="宋体"/>
          <w:color w:val="auto"/>
          <w:sz w:val="22"/>
          <w:szCs w:val="22"/>
          <w:lang w:val="en-US" w:eastAsia="zh-CN"/>
        </w:rPr>
        <w:t>投标货物的质量保证及保证</w:t>
      </w:r>
      <w:r>
        <w:rPr>
          <w:rFonts w:hint="eastAsia" w:ascii="宋体" w:hAnsi="宋体" w:eastAsia="宋体" w:cs="宋体"/>
          <w:sz w:val="24"/>
          <w:highlight w:val="none"/>
          <w:lang w:val="en-US" w:eastAsia="zh-CN"/>
        </w:rPr>
        <w:t>措施承诺达到优质质量标准、并有切实可行质量保证措施。</w:t>
      </w:r>
    </w:p>
    <w:p>
      <w:pPr>
        <w:widowControl/>
        <w:snapToGrid w:val="0"/>
        <w:spacing w:before="100" w:beforeLines="0" w:beforeAutospacing="1" w:after="100" w:afterLines="0" w:afterAutospacing="1" w:line="540" w:lineRule="exact"/>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（4）其他：交货期、交货地点等。</w:t>
      </w:r>
    </w:p>
    <w:p>
      <w:pPr>
        <w:pStyle w:val="2"/>
        <w:ind w:firstLine="480" w:firstLineChars="200"/>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（5）投标人自行补充</w:t>
      </w:r>
    </w:p>
    <w:p>
      <w:pPr>
        <w:widowControl/>
        <w:snapToGrid w:val="0"/>
        <w:spacing w:before="100" w:beforeLines="0" w:beforeAutospacing="1" w:after="100" w:afterLines="0" w:afterAutospacing="1" w:line="540" w:lineRule="exact"/>
        <w:ind w:firstLine="480" w:firstLineChars="200"/>
        <w:jc w:val="left"/>
        <w:rPr>
          <w:rFonts w:hint="eastAsia" w:ascii="宋体" w:hAnsi="宋体" w:eastAsia="宋体" w:cs="宋体"/>
          <w:sz w:val="24"/>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highlight w:val="none"/>
          <w:lang w:val="en-US" w:eastAsia="zh-CN"/>
        </w:rPr>
      </w:pPr>
    </w:p>
    <w:p>
      <w:pPr>
        <w:widowControl/>
        <w:snapToGrid w:val="0"/>
        <w:spacing w:before="100" w:beforeLines="0" w:beforeAutospacing="1" w:after="100" w:afterLines="0" w:afterAutospacing="1"/>
        <w:jc w:val="center"/>
        <w:rPr>
          <w:rFonts w:hint="eastAsia" w:ascii="宋体" w:hAnsi="宋体" w:eastAsia="宋体" w:cs="宋体"/>
          <w:sz w:val="32"/>
          <w:szCs w:val="32"/>
          <w:highlight w:val="none"/>
        </w:rPr>
      </w:pP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、反商业贿赂承诺书</w:t>
      </w:r>
      <w:r>
        <w:rPr>
          <w:rFonts w:hint="eastAsia" w:ascii="宋体" w:hAnsi="宋体" w:eastAsia="宋体" w:cs="宋体"/>
          <w:sz w:val="32"/>
          <w:szCs w:val="32"/>
          <w:highlight w:val="none"/>
        </w:rPr>
        <w:t> </w:t>
      </w:r>
    </w:p>
    <w:p>
      <w:pPr>
        <w:widowControl/>
        <w:snapToGrid w:val="0"/>
        <w:spacing w:before="100" w:beforeLines="0" w:beforeAutospacing="1" w:after="100" w:afterLines="0" w:afterAutospacing="1" w:line="54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我公司承诺在</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none"/>
        </w:rPr>
        <w:t>竞争性</w:t>
      </w:r>
      <w:r>
        <w:rPr>
          <w:rFonts w:hint="eastAsia" w:ascii="宋体" w:hAnsi="宋体" w:eastAsia="宋体" w:cs="宋体"/>
          <w:sz w:val="24"/>
          <w:highlight w:val="none"/>
          <w:u w:val="none"/>
          <w:lang w:eastAsia="zh-CN"/>
        </w:rPr>
        <w:t>磋商</w:t>
      </w:r>
      <w:r>
        <w:rPr>
          <w:rFonts w:hint="eastAsia" w:ascii="宋体" w:hAnsi="宋体" w:eastAsia="宋体" w:cs="宋体"/>
          <w:sz w:val="24"/>
          <w:highlight w:val="none"/>
        </w:rPr>
        <w:t>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pPr>
        <w:widowControl/>
        <w:snapToGrid w:val="0"/>
        <w:spacing w:before="100" w:beforeLines="0" w:beforeAutospacing="1" w:after="100" w:afterLines="0" w:afterAutospacing="1" w:line="540" w:lineRule="exact"/>
        <w:ind w:firstLine="899"/>
        <w:jc w:val="left"/>
        <w:rPr>
          <w:rFonts w:hint="eastAsia" w:ascii="宋体" w:hAnsi="宋体" w:eastAsia="宋体" w:cs="宋体"/>
          <w:sz w:val="24"/>
          <w:highlight w:val="none"/>
        </w:rPr>
      </w:pPr>
      <w:r>
        <w:rPr>
          <w:rFonts w:hint="eastAsia" w:ascii="宋体" w:hAnsi="宋体" w:eastAsia="宋体" w:cs="宋体"/>
          <w:color w:val="000000"/>
          <w:sz w:val="24"/>
          <w:highlight w:val="none"/>
          <w:lang w:eastAsia="zh-CN"/>
        </w:rPr>
        <w:t>磋商响应人</w:t>
      </w:r>
      <w:r>
        <w:rPr>
          <w:rFonts w:hint="eastAsia" w:ascii="宋体" w:hAnsi="宋体" w:eastAsia="宋体" w:cs="宋体"/>
          <w:sz w:val="24"/>
          <w:highlight w:val="none"/>
        </w:rPr>
        <w:t>法人代表</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签字或盖章）</w:t>
      </w:r>
      <w:r>
        <w:rPr>
          <w:rFonts w:hint="eastAsia" w:ascii="宋体" w:hAnsi="宋体" w:eastAsia="宋体" w:cs="宋体"/>
          <w:sz w:val="24"/>
          <w:highlight w:val="none"/>
        </w:rPr>
        <w:t>：</w:t>
      </w:r>
    </w:p>
    <w:p>
      <w:pPr>
        <w:widowControl/>
        <w:snapToGrid w:val="0"/>
        <w:spacing w:before="100" w:beforeLines="0" w:beforeAutospacing="1" w:after="100" w:afterLines="0" w:afterAutospacing="1" w:line="540" w:lineRule="exact"/>
        <w:ind w:firstLine="899"/>
        <w:jc w:val="left"/>
        <w:rPr>
          <w:rFonts w:hint="eastAsia" w:ascii="宋体" w:hAnsi="宋体" w:eastAsia="宋体" w:cs="宋体"/>
          <w:sz w:val="24"/>
          <w:highlight w:val="none"/>
        </w:rPr>
      </w:pPr>
      <w:r>
        <w:rPr>
          <w:rFonts w:hint="eastAsia" w:ascii="宋体" w:hAnsi="宋体" w:eastAsia="宋体" w:cs="宋体"/>
          <w:color w:val="000000"/>
          <w:sz w:val="24"/>
          <w:highlight w:val="none"/>
          <w:lang w:eastAsia="zh-CN"/>
        </w:rPr>
        <w:t>磋商响应人</w:t>
      </w:r>
      <w:r>
        <w:rPr>
          <w:rFonts w:hint="eastAsia" w:ascii="宋体" w:hAnsi="宋体" w:eastAsia="宋体" w:cs="宋体"/>
          <w:sz w:val="24"/>
          <w:highlight w:val="none"/>
        </w:rPr>
        <w:t>法人授权代表</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签字或盖章）</w:t>
      </w:r>
      <w:r>
        <w:rPr>
          <w:rFonts w:hint="eastAsia" w:ascii="宋体" w:hAnsi="宋体" w:eastAsia="宋体" w:cs="宋体"/>
          <w:sz w:val="24"/>
          <w:highlight w:val="none"/>
        </w:rPr>
        <w:t>：</w:t>
      </w:r>
    </w:p>
    <w:p>
      <w:pPr>
        <w:spacing w:line="360" w:lineRule="auto"/>
        <w:jc w:val="center"/>
        <w:rPr>
          <w:rFonts w:hint="eastAsia" w:ascii="宋体" w:hAnsi="宋体" w:eastAsia="宋体" w:cs="宋体"/>
          <w:b/>
          <w:color w:val="000000"/>
          <w:sz w:val="32"/>
          <w:highlight w:val="none"/>
        </w:rPr>
      </w:pPr>
    </w:p>
    <w:p>
      <w:pPr>
        <w:spacing w:line="360" w:lineRule="auto"/>
        <w:jc w:val="center"/>
        <w:rPr>
          <w:rFonts w:hint="eastAsia" w:ascii="宋体" w:hAnsi="宋体" w:eastAsia="宋体" w:cs="宋体"/>
          <w:b/>
          <w:color w:val="000000"/>
          <w:sz w:val="32"/>
          <w:highlight w:val="none"/>
        </w:rPr>
      </w:pPr>
    </w:p>
    <w:p>
      <w:pPr>
        <w:spacing w:line="360" w:lineRule="auto"/>
        <w:jc w:val="center"/>
        <w:rPr>
          <w:rFonts w:hint="eastAsia" w:ascii="宋体" w:hAnsi="宋体" w:eastAsia="宋体" w:cs="宋体"/>
          <w:b/>
          <w:color w:val="000000"/>
          <w:sz w:val="32"/>
          <w:highlight w:val="none"/>
        </w:rPr>
      </w:pPr>
    </w:p>
    <w:p>
      <w:pPr>
        <w:spacing w:line="360" w:lineRule="auto"/>
        <w:jc w:val="center"/>
        <w:rPr>
          <w:rFonts w:hint="eastAsia" w:ascii="宋体" w:hAnsi="宋体" w:eastAsia="宋体" w:cs="宋体"/>
          <w:b/>
          <w:color w:val="000000"/>
          <w:sz w:val="32"/>
          <w:highlight w:val="none"/>
        </w:rPr>
      </w:pPr>
    </w:p>
    <w:p>
      <w:pPr>
        <w:spacing w:line="360" w:lineRule="auto"/>
        <w:jc w:val="center"/>
        <w:rPr>
          <w:rFonts w:hint="eastAsia" w:ascii="宋体" w:hAnsi="宋体" w:eastAsia="宋体" w:cs="宋体"/>
          <w:b/>
          <w:color w:val="000000"/>
          <w:sz w:val="32"/>
          <w:highlight w:val="none"/>
        </w:rPr>
      </w:pPr>
    </w:p>
    <w:p>
      <w:pPr>
        <w:spacing w:line="360" w:lineRule="auto"/>
        <w:jc w:val="center"/>
        <w:rPr>
          <w:rFonts w:hint="eastAsia" w:ascii="宋体" w:hAnsi="宋体" w:eastAsia="宋体" w:cs="宋体"/>
          <w:b/>
          <w:color w:val="000000"/>
          <w:sz w:val="32"/>
          <w:highlight w:val="none"/>
        </w:rPr>
      </w:pPr>
    </w:p>
    <w:p>
      <w:pPr>
        <w:spacing w:line="360" w:lineRule="auto"/>
        <w:jc w:val="center"/>
        <w:rPr>
          <w:rFonts w:hint="eastAsia" w:ascii="宋体" w:hAnsi="宋体" w:eastAsia="宋体" w:cs="宋体"/>
          <w:b/>
          <w:color w:val="000000"/>
          <w:sz w:val="32"/>
          <w:highlight w:val="none"/>
        </w:rPr>
      </w:pPr>
    </w:p>
    <w:p>
      <w:pPr>
        <w:spacing w:line="360" w:lineRule="auto"/>
        <w:jc w:val="center"/>
        <w:rPr>
          <w:rFonts w:hint="eastAsia" w:ascii="宋体" w:hAnsi="宋体" w:eastAsia="宋体" w:cs="宋体"/>
          <w:b/>
          <w:color w:val="000000"/>
          <w:sz w:val="32"/>
          <w:highlight w:val="none"/>
        </w:rPr>
      </w:pPr>
    </w:p>
    <w:p>
      <w:pPr>
        <w:spacing w:line="360" w:lineRule="auto"/>
        <w:jc w:val="center"/>
        <w:rPr>
          <w:rFonts w:hint="eastAsia" w:ascii="宋体" w:hAnsi="宋体" w:eastAsia="宋体" w:cs="宋体"/>
          <w:b/>
          <w:color w:val="000000"/>
          <w:sz w:val="32"/>
          <w:highlight w:val="none"/>
        </w:rPr>
      </w:pPr>
    </w:p>
    <w:p>
      <w:pPr>
        <w:spacing w:line="360" w:lineRule="auto"/>
        <w:jc w:val="center"/>
        <w:rPr>
          <w:rFonts w:hint="eastAsia" w:ascii="宋体" w:hAnsi="宋体" w:eastAsia="宋体" w:cs="宋体"/>
          <w:b/>
          <w:color w:val="000000"/>
          <w:sz w:val="32"/>
          <w:highlight w:val="none"/>
        </w:rPr>
      </w:pPr>
    </w:p>
    <w:p>
      <w:pPr>
        <w:spacing w:line="360" w:lineRule="auto"/>
        <w:jc w:val="center"/>
        <w:rPr>
          <w:rFonts w:hint="eastAsia" w:ascii="宋体" w:hAnsi="宋体" w:eastAsia="宋体" w:cs="宋体"/>
          <w:b/>
          <w:color w:val="000000"/>
          <w:sz w:val="32"/>
          <w:highlight w:val="none"/>
        </w:rPr>
      </w:pPr>
    </w:p>
    <w:p>
      <w:pPr>
        <w:spacing w:line="360" w:lineRule="auto"/>
        <w:jc w:val="center"/>
        <w:rPr>
          <w:rFonts w:hint="eastAsia" w:ascii="宋体" w:hAnsi="宋体" w:eastAsia="宋体" w:cs="宋体"/>
          <w:b/>
          <w:color w:val="000000"/>
          <w:sz w:val="32"/>
          <w:highlight w:val="none"/>
        </w:rPr>
      </w:pPr>
    </w:p>
    <w:p>
      <w:pPr>
        <w:numPr>
          <w:ilvl w:val="0"/>
          <w:numId w:val="0"/>
        </w:numPr>
        <w:spacing w:line="400" w:lineRule="exact"/>
        <w:ind w:leftChars="0"/>
        <w:jc w:val="both"/>
        <w:rPr>
          <w:rFonts w:hint="eastAsia" w:ascii="宋体" w:hAnsi="宋体" w:eastAsia="宋体" w:cs="宋体"/>
          <w:b/>
          <w:sz w:val="28"/>
          <w:szCs w:val="28"/>
          <w:highlight w:val="none"/>
          <w:lang w:val="en-US" w:eastAsia="zh-CN"/>
        </w:rPr>
      </w:pPr>
    </w:p>
    <w:p>
      <w:pPr>
        <w:pStyle w:val="17"/>
        <w:rPr>
          <w:rFonts w:hint="eastAsia"/>
          <w:highlight w:val="none"/>
          <w:lang w:val="en-US" w:eastAsia="zh-CN"/>
        </w:rPr>
      </w:pPr>
    </w:p>
    <w:p>
      <w:pPr>
        <w:widowControl/>
        <w:numPr>
          <w:ilvl w:val="0"/>
          <w:numId w:val="0"/>
        </w:numPr>
        <w:snapToGrid w:val="0"/>
        <w:spacing w:before="100" w:beforeLines="0" w:beforeAutospacing="1" w:after="100" w:afterLines="0" w:afterAutospacing="1"/>
        <w:ind w:left="2100" w:leftChars="0"/>
        <w:jc w:val="both"/>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十、无重大违法记录承诺书</w:t>
      </w:r>
    </w:p>
    <w:p>
      <w:pPr>
        <w:pStyle w:val="17"/>
        <w:numPr>
          <w:ilvl w:val="0"/>
          <w:numId w:val="0"/>
        </w:numPr>
        <w:ind w:left="2100" w:leftChars="0" w:firstLine="964" w:firstLineChars="300"/>
        <w:jc w:val="both"/>
        <w:rPr>
          <w:rFonts w:hint="eastAsia"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（格式自拟）</w:t>
      </w:r>
    </w:p>
    <w:p>
      <w:pPr>
        <w:pStyle w:val="17"/>
        <w:numPr>
          <w:ilvl w:val="0"/>
          <w:numId w:val="0"/>
        </w:numPr>
        <w:ind w:left="2100" w:leftChars="0"/>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pStyle w:val="17"/>
        <w:numPr>
          <w:ilvl w:val="0"/>
          <w:numId w:val="0"/>
        </w:numPr>
        <w:ind w:left="2100" w:leftChars="0"/>
        <w:jc w:val="center"/>
        <w:rPr>
          <w:rFonts w:hint="eastAsia" w:ascii="宋体" w:hAnsi="宋体" w:eastAsia="宋体" w:cs="宋体"/>
          <w:b/>
          <w:bCs/>
          <w:kern w:val="2"/>
          <w:sz w:val="32"/>
          <w:szCs w:val="32"/>
          <w:highlight w:val="none"/>
          <w:lang w:val="en-US" w:eastAsia="zh-CN" w:bidi="ar-SA"/>
        </w:rPr>
      </w:pPr>
      <w:r>
        <w:rPr>
          <w:rFonts w:hint="eastAsia" w:ascii="宋体" w:hAnsi="宋体" w:eastAsia="宋体" w:cs="宋体"/>
          <w:b/>
          <w:bCs/>
          <w:sz w:val="32"/>
          <w:szCs w:val="32"/>
          <w:highlight w:val="none"/>
          <w:lang w:val="en-US" w:eastAsia="zh-CN"/>
        </w:rPr>
        <w:t>十一、无失信行为承诺书</w:t>
      </w:r>
      <w:r>
        <w:rPr>
          <w:rFonts w:hint="eastAsia" w:ascii="宋体" w:hAnsi="宋体" w:eastAsia="宋体" w:cs="宋体"/>
          <w:b/>
          <w:bCs/>
          <w:kern w:val="2"/>
          <w:sz w:val="32"/>
          <w:szCs w:val="32"/>
          <w:highlight w:val="none"/>
          <w:lang w:val="en-US" w:eastAsia="zh-CN" w:bidi="ar-SA"/>
        </w:rPr>
        <w:t>（格式自拟）</w:t>
      </w:r>
    </w:p>
    <w:p>
      <w:pPr>
        <w:widowControl/>
        <w:numPr>
          <w:ilvl w:val="0"/>
          <w:numId w:val="0"/>
        </w:numPr>
        <w:snapToGrid w:val="0"/>
        <w:spacing w:before="100" w:beforeLines="0" w:beforeAutospacing="1" w:after="100" w:afterLines="0" w:afterAutospacing="1"/>
        <w:ind w:left="2100" w:leftChars="0"/>
        <w:jc w:val="center"/>
        <w:rPr>
          <w:rFonts w:hint="eastAsia" w:ascii="宋体" w:hAnsi="宋体" w:eastAsia="宋体" w:cs="宋体"/>
          <w:b/>
          <w:bCs/>
          <w:sz w:val="32"/>
          <w:szCs w:val="32"/>
          <w:highlight w:val="none"/>
          <w:lang w:val="en-US" w:eastAsia="zh-CN"/>
        </w:rPr>
      </w:pPr>
    </w:p>
    <w:p>
      <w:pPr>
        <w:pStyle w:val="17"/>
        <w:numPr>
          <w:ilvl w:val="0"/>
          <w:numId w:val="0"/>
        </w:numPr>
        <w:ind w:left="2100" w:leftChars="0"/>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7"/>
        <w:ind w:left="0" w:leftChars="0" w:firstLine="0" w:firstLineChars="0"/>
        <w:rPr>
          <w:rFonts w:hint="eastAsia"/>
          <w:lang w:val="en-US" w:eastAsia="zh-CN"/>
        </w:rPr>
      </w:pPr>
    </w:p>
    <w:p>
      <w:pPr>
        <w:numPr>
          <w:ilvl w:val="0"/>
          <w:numId w:val="0"/>
        </w:numPr>
        <w:spacing w:line="360" w:lineRule="auto"/>
        <w:ind w:firstLine="964" w:firstLineChars="300"/>
        <w:jc w:val="both"/>
        <w:rPr>
          <w:rFonts w:hint="eastAsia" w:ascii="宋体" w:hAnsi="宋体" w:eastAsia="宋体" w:cs="宋体"/>
          <w:b/>
          <w:color w:val="000000"/>
          <w:sz w:val="32"/>
          <w:highlight w:val="none"/>
        </w:rPr>
      </w:pPr>
      <w:r>
        <w:rPr>
          <w:rFonts w:hint="eastAsia" w:ascii="宋体" w:hAnsi="宋体" w:eastAsia="宋体" w:cs="宋体"/>
          <w:b/>
          <w:bCs/>
          <w:sz w:val="32"/>
          <w:szCs w:val="32"/>
          <w:highlight w:val="none"/>
          <w:lang w:val="en-US" w:eastAsia="zh-CN"/>
        </w:rPr>
        <w:t>十二、</w:t>
      </w:r>
      <w:r>
        <w:rPr>
          <w:rFonts w:hint="eastAsia" w:ascii="宋体" w:hAnsi="宋体" w:eastAsia="宋体" w:cs="宋体"/>
          <w:b/>
          <w:color w:val="000000"/>
          <w:sz w:val="32"/>
          <w:highlight w:val="none"/>
          <w:lang w:val="en-US" w:eastAsia="zh-CN"/>
        </w:rPr>
        <w:t>磋商响应人</w:t>
      </w:r>
      <w:r>
        <w:rPr>
          <w:rFonts w:hint="eastAsia" w:ascii="宋体" w:hAnsi="宋体" w:eastAsia="宋体" w:cs="宋体"/>
          <w:b/>
          <w:color w:val="000000"/>
          <w:sz w:val="32"/>
          <w:highlight w:val="none"/>
        </w:rPr>
        <w:t>认为应附的其他资料（格式自拟）</w:t>
      </w:r>
    </w:p>
    <w:p>
      <w:pPr>
        <w:rPr>
          <w:highlight w:val="none"/>
        </w:rPr>
      </w:pPr>
    </w:p>
    <w:sectPr>
      <w:headerReference r:id="rId7" w:type="default"/>
      <w:footerReference r:id="rId8"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WBVg4AgAAbw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IdYFWDgCAABvBAAADgAAAAAAAAABACAAAAAfAQAAZHJzL2Uyb0RvYy54&#10;bWxQSwUGAAAAAAYABgBZAQAAy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49</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hint="eastAsia" w:ascii="宋体" w:hAnsi="宋体" w:eastAsia="宋体" w:cs="宋体"/>
        <w:color w:val="000000"/>
        <w:sz w:val="21"/>
        <w:szCs w:val="24"/>
        <w:lang w:val="en-US" w:eastAsia="zh-CN"/>
      </w:rPr>
    </w:pPr>
    <w:r>
      <w:rPr>
        <w:rFonts w:hint="eastAsia" w:ascii="宋体" w:hAnsi="宋体" w:eastAsia="宋体" w:cs="宋体"/>
        <w:color w:val="000000"/>
        <w:sz w:val="32"/>
        <w:szCs w:val="40"/>
        <w:shd w:val="clear" w:color="auto" w:fill="auto"/>
        <w:lang w:val="en-US" w:eastAsia="zh-CN"/>
      </w:rPr>
      <w:t>鼎建项目管理有限公司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hint="eastAsia"/>
        <w:sz w:val="28"/>
        <w:szCs w:val="28"/>
      </w:rPr>
    </w:pPr>
    <w:r>
      <w:rPr>
        <w:rFonts w:hint="eastAsia"/>
        <w:sz w:val="28"/>
        <w:szCs w:val="32"/>
        <w:lang w:val="en-US" w:eastAsia="zh-CN"/>
      </w:rPr>
      <w:t>鼎建项目管理有限公司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hint="eastAsia" w:ascii="宋体" w:hAnsi="宋体" w:eastAsia="宋体" w:cs="宋体"/>
        <w:color w:val="000000"/>
        <w:sz w:val="32"/>
        <w:szCs w:val="40"/>
        <w:shd w:val="clear" w:color="auto" w:fill="auto"/>
        <w:lang w:val="en-US" w:eastAsia="zh-CN"/>
      </w:rPr>
    </w:pPr>
    <w:r>
      <w:rPr>
        <w:rFonts w:hint="eastAsia" w:ascii="宋体" w:hAnsi="宋体" w:eastAsia="宋体" w:cs="宋体"/>
        <w:color w:val="000000"/>
        <w:sz w:val="32"/>
        <w:szCs w:val="40"/>
        <w:shd w:val="clear" w:color="auto" w:fill="auto"/>
        <w:lang w:val="en-US" w:eastAsia="zh-CN"/>
      </w:rPr>
      <w:t>鼎建项目管理有限公司</w:t>
    </w:r>
  </w:p>
  <w:p>
    <w:pPr>
      <w:pStyle w:val="15"/>
      <w:pBdr>
        <w:bottom w:val="none" w:color="auto" w:sz="0" w:space="0"/>
      </w:pBdr>
    </w:pPr>
  </w:p>
  <w:p>
    <w:pPr>
      <w:pStyle w:val="15"/>
      <w:pBdr>
        <w:bottom w:val="none" w:color="auto" w:sz="0" w:space="1"/>
      </w:pBdr>
    </w:pPr>
    <w:r>
      <w:rPr>
        <w:rFonts w:hint="eastAsia" w:ascii="宋体" w:hAnsi="宋体" w:eastAsia="宋体" w:cs="宋体"/>
        <w:color w:val="FF0000"/>
        <w:spacing w:val="60"/>
        <w:sz w:val="21"/>
        <w:szCs w:val="2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49D534"/>
    <w:multiLevelType w:val="singleLevel"/>
    <w:tmpl w:val="E649D534"/>
    <w:lvl w:ilvl="0" w:tentative="0">
      <w:start w:val="4"/>
      <w:numFmt w:val="chineseCounting"/>
      <w:suff w:val="space"/>
      <w:lvlText w:val="第%1部分"/>
      <w:lvlJc w:val="left"/>
      <w:rPr>
        <w:rFonts w:hint="eastAsia"/>
      </w:rPr>
    </w:lvl>
  </w:abstractNum>
  <w:abstractNum w:abstractNumId="1">
    <w:nsid w:val="7180DAFE"/>
    <w:multiLevelType w:val="singleLevel"/>
    <w:tmpl w:val="7180DAFE"/>
    <w:lvl w:ilvl="0" w:tentative="0">
      <w:start w:val="5"/>
      <w:numFmt w:val="chineseCounting"/>
      <w:suff w:val="nothing"/>
      <w:lvlText w:val="第%1章、"/>
      <w:lvlJc w:val="left"/>
      <w:rPr>
        <w:rFonts w:hint="eastAsia"/>
      </w:rPr>
    </w:lvl>
  </w:abstractNum>
  <w:abstractNum w:abstractNumId="2">
    <w:nsid w:val="74F44CAA"/>
    <w:multiLevelType w:val="singleLevel"/>
    <w:tmpl w:val="74F44CAA"/>
    <w:lvl w:ilvl="0" w:tentative="0">
      <w:start w:val="4"/>
      <w:numFmt w:val="chineseCounting"/>
      <w:suff w:val="nothing"/>
      <w:lvlText w:val="%1、"/>
      <w:lvlJc w:val="left"/>
      <w:pPr>
        <w:ind w:left="-6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AD1871"/>
    <w:rsid w:val="08136322"/>
    <w:rsid w:val="08573D5E"/>
    <w:rsid w:val="08686061"/>
    <w:rsid w:val="091B3957"/>
    <w:rsid w:val="0DC02ED1"/>
    <w:rsid w:val="109B5C30"/>
    <w:rsid w:val="13000A0B"/>
    <w:rsid w:val="141C2CAD"/>
    <w:rsid w:val="15CC0995"/>
    <w:rsid w:val="170D7EC3"/>
    <w:rsid w:val="19DF4CED"/>
    <w:rsid w:val="1E0D4952"/>
    <w:rsid w:val="1E785C31"/>
    <w:rsid w:val="1F996698"/>
    <w:rsid w:val="1FB0070F"/>
    <w:rsid w:val="209904F7"/>
    <w:rsid w:val="2166781C"/>
    <w:rsid w:val="235E117A"/>
    <w:rsid w:val="237C0D0C"/>
    <w:rsid w:val="254018F4"/>
    <w:rsid w:val="25B66898"/>
    <w:rsid w:val="26DC1D94"/>
    <w:rsid w:val="281453D9"/>
    <w:rsid w:val="282C6710"/>
    <w:rsid w:val="2D5068B0"/>
    <w:rsid w:val="2DC061C2"/>
    <w:rsid w:val="30461B45"/>
    <w:rsid w:val="314D2DA3"/>
    <w:rsid w:val="31591C88"/>
    <w:rsid w:val="31AD1696"/>
    <w:rsid w:val="333346EB"/>
    <w:rsid w:val="33E028B1"/>
    <w:rsid w:val="35DD6F48"/>
    <w:rsid w:val="36152C2D"/>
    <w:rsid w:val="36C67C45"/>
    <w:rsid w:val="39AB49F4"/>
    <w:rsid w:val="3AE81156"/>
    <w:rsid w:val="3AF63BCD"/>
    <w:rsid w:val="3CB84B6E"/>
    <w:rsid w:val="3D077570"/>
    <w:rsid w:val="3D1F4DF1"/>
    <w:rsid w:val="3D2A16CB"/>
    <w:rsid w:val="3DB7715A"/>
    <w:rsid w:val="3E6F3DAD"/>
    <w:rsid w:val="3F9A387D"/>
    <w:rsid w:val="418F600A"/>
    <w:rsid w:val="42A134B2"/>
    <w:rsid w:val="43715224"/>
    <w:rsid w:val="444D12D7"/>
    <w:rsid w:val="46507C6A"/>
    <w:rsid w:val="481B2230"/>
    <w:rsid w:val="4A2748F7"/>
    <w:rsid w:val="4AE47587"/>
    <w:rsid w:val="4EA133C5"/>
    <w:rsid w:val="50A17BDE"/>
    <w:rsid w:val="50FD1842"/>
    <w:rsid w:val="52522E41"/>
    <w:rsid w:val="52C24EDE"/>
    <w:rsid w:val="53941AE3"/>
    <w:rsid w:val="539526D0"/>
    <w:rsid w:val="556531FC"/>
    <w:rsid w:val="57414DAE"/>
    <w:rsid w:val="5779093F"/>
    <w:rsid w:val="58230E7D"/>
    <w:rsid w:val="588C25DB"/>
    <w:rsid w:val="59F92AD4"/>
    <w:rsid w:val="5A372131"/>
    <w:rsid w:val="5AA55E50"/>
    <w:rsid w:val="5C695B3A"/>
    <w:rsid w:val="5F706027"/>
    <w:rsid w:val="5F9E566F"/>
    <w:rsid w:val="622A7A5A"/>
    <w:rsid w:val="65D6688D"/>
    <w:rsid w:val="682755F6"/>
    <w:rsid w:val="6A970319"/>
    <w:rsid w:val="6B911012"/>
    <w:rsid w:val="6D2D664F"/>
    <w:rsid w:val="70137F05"/>
    <w:rsid w:val="7A0F2927"/>
    <w:rsid w:val="7A652085"/>
    <w:rsid w:val="7D185DFA"/>
    <w:rsid w:val="7EBD7CF9"/>
    <w:rsid w:val="7F2C1D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6"/>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widowControl w:val="0"/>
      <w:spacing w:before="340" w:beforeLines="0" w:after="330" w:afterLines="0" w:line="576" w:lineRule="auto"/>
      <w:outlineLvl w:val="0"/>
    </w:pPr>
    <w:rPr>
      <w:b/>
      <w:kern w:val="44"/>
      <w:sz w:val="44"/>
      <w:szCs w:val="20"/>
    </w:rPr>
  </w:style>
  <w:style w:type="paragraph" w:styleId="4">
    <w:name w:val="heading 2"/>
    <w:basedOn w:val="1"/>
    <w:next w:val="1"/>
    <w:link w:val="27"/>
    <w:qFormat/>
    <w:uiPriority w:val="0"/>
    <w:pPr>
      <w:keepNext/>
      <w:keepLines/>
      <w:widowControl w:val="0"/>
      <w:spacing w:before="260" w:beforeLines="0" w:after="260" w:afterLines="0" w:line="415" w:lineRule="auto"/>
      <w:outlineLvl w:val="1"/>
    </w:pPr>
    <w:rPr>
      <w:rFonts w:ascii="Arial" w:hAnsi="Arial" w:eastAsia="黑体"/>
      <w:b/>
      <w:bCs/>
      <w:sz w:val="32"/>
      <w:szCs w:val="32"/>
    </w:rPr>
  </w:style>
  <w:style w:type="paragraph" w:styleId="2">
    <w:name w:val="heading 3"/>
    <w:basedOn w:val="1"/>
    <w:next w:val="1"/>
    <w:unhideWhenUsed/>
    <w:qFormat/>
    <w:uiPriority w:val="0"/>
    <w:pPr>
      <w:tabs>
        <w:tab w:val="left" w:pos="540"/>
      </w:tabs>
      <w:adjustRightInd w:val="0"/>
      <w:snapToGrid w:val="0"/>
      <w:spacing w:line="360" w:lineRule="auto"/>
      <w:jc w:val="left"/>
      <w:outlineLvl w:val="2"/>
    </w:pPr>
    <w:rPr>
      <w:rFonts w:ascii="Times New Roman" w:hAnsi="Times New Roman"/>
      <w:b/>
      <w:sz w:val="24"/>
      <w:szCs w:val="20"/>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ind w:firstLine="420"/>
    </w:pPr>
    <w:rPr>
      <w:szCs w:val="20"/>
    </w:rPr>
  </w:style>
  <w:style w:type="paragraph" w:styleId="6">
    <w:name w:val="toa heading"/>
    <w:basedOn w:val="1"/>
    <w:next w:val="1"/>
    <w:qFormat/>
    <w:uiPriority w:val="99"/>
    <w:pPr>
      <w:spacing w:before="120"/>
    </w:pPr>
    <w:rPr>
      <w:rFonts w:ascii="Arial" w:hAnsi="Arial" w:eastAsia="仿宋"/>
      <w:sz w:val="24"/>
      <w:szCs w:val="20"/>
    </w:rPr>
  </w:style>
  <w:style w:type="paragraph" w:styleId="7">
    <w:name w:val="index 5"/>
    <w:basedOn w:val="1"/>
    <w:next w:val="1"/>
    <w:qFormat/>
    <w:uiPriority w:val="0"/>
    <w:pPr>
      <w:ind w:left="800" w:leftChars="800"/>
    </w:pPr>
  </w:style>
  <w:style w:type="paragraph" w:styleId="8">
    <w:name w:val="Body Text"/>
    <w:basedOn w:val="1"/>
    <w:next w:val="1"/>
    <w:qFormat/>
    <w:uiPriority w:val="0"/>
    <w:pPr>
      <w:jc w:val="left"/>
    </w:pPr>
    <w:rPr>
      <w:rFonts w:ascii="宋体"/>
      <w:sz w:val="24"/>
    </w:rPr>
  </w:style>
  <w:style w:type="paragraph" w:styleId="9">
    <w:name w:val="Body Text Indent"/>
    <w:basedOn w:val="1"/>
    <w:next w:val="10"/>
    <w:qFormat/>
    <w:uiPriority w:val="0"/>
    <w:pPr>
      <w:ind w:firstLine="720" w:firstLineChars="225"/>
    </w:pPr>
    <w:rPr>
      <w:rFonts w:ascii="仿宋_GB2312" w:eastAsia="仿宋_GB2312"/>
      <w:sz w:val="32"/>
    </w:rPr>
  </w:style>
  <w:style w:type="paragraph" w:customStyle="1" w:styleId="1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1">
    <w:name w:val="Plain Text"/>
    <w:basedOn w:val="1"/>
    <w:qFormat/>
    <w:uiPriority w:val="0"/>
    <w:rPr>
      <w:rFonts w:ascii="宋体" w:hAnsi="Courier New"/>
      <w:szCs w:val="21"/>
    </w:rPr>
  </w:style>
  <w:style w:type="paragraph" w:styleId="12">
    <w:name w:val="Date"/>
    <w:basedOn w:val="1"/>
    <w:next w:val="1"/>
    <w:qFormat/>
    <w:uiPriority w:val="0"/>
    <w:pPr>
      <w:ind w:left="100" w:leftChars="2500"/>
    </w:pPr>
  </w:style>
  <w:style w:type="paragraph" w:styleId="13">
    <w:name w:val="Body Text Indent 2"/>
    <w:basedOn w:val="1"/>
    <w:qFormat/>
    <w:uiPriority w:val="0"/>
    <w:pPr>
      <w:widowControl/>
      <w:overflowPunct w:val="0"/>
      <w:autoSpaceDE w:val="0"/>
      <w:autoSpaceDN w:val="0"/>
      <w:adjustRightInd w:val="0"/>
      <w:spacing w:line="360" w:lineRule="auto"/>
      <w:ind w:firstLine="555"/>
      <w:textAlignment w:val="baseline"/>
    </w:pPr>
    <w:rPr>
      <w:rFonts w:ascii="宋体" w:hAnsi="MS Sans Serif"/>
      <w:spacing w:val="12"/>
      <w:sz w:val="24"/>
      <w:szCs w:val="20"/>
    </w:r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footnote text"/>
    <w:basedOn w:val="1"/>
    <w:next w:val="7"/>
    <w:qFormat/>
    <w:uiPriority w:val="0"/>
    <w:pPr>
      <w:snapToGrid w:val="0"/>
      <w:jc w:val="left"/>
    </w:pPr>
    <w:rPr>
      <w:sz w:val="18"/>
    </w:rPr>
  </w:style>
  <w:style w:type="paragraph" w:styleId="18">
    <w:name w:val="Body Text 2"/>
    <w:basedOn w:val="1"/>
    <w:qFormat/>
    <w:uiPriority w:val="0"/>
    <w:pPr>
      <w:autoSpaceDE w:val="0"/>
      <w:autoSpaceDN w:val="0"/>
      <w:adjustRightInd w:val="0"/>
      <w:jc w:val="center"/>
    </w:pPr>
    <w:rPr>
      <w:rFonts w:ascii="幼圆" w:eastAsia="幼圆"/>
      <w:b/>
      <w:bCs/>
      <w:color w:val="000000"/>
      <w:kern w:val="0"/>
      <w:sz w:val="72"/>
      <w:szCs w:val="44"/>
    </w:rPr>
  </w:style>
  <w:style w:type="paragraph" w:styleId="19">
    <w:name w:val="Normal (Web)"/>
    <w:basedOn w:val="1"/>
    <w:qFormat/>
    <w:uiPriority w:val="0"/>
    <w:pPr>
      <w:widowControl/>
      <w:spacing w:beforeAutospacing="1" w:afterAutospacing="1"/>
      <w:jc w:val="left"/>
    </w:pPr>
    <w:rPr>
      <w:rFonts w:ascii="宋体" w:hAnsi="宋体" w:cs="宋体"/>
      <w:kern w:val="0"/>
      <w:sz w:val="24"/>
    </w:rPr>
  </w:style>
  <w:style w:type="paragraph" w:styleId="20">
    <w:name w:val="Body Text First Indent"/>
    <w:basedOn w:val="8"/>
    <w:qFormat/>
    <w:uiPriority w:val="0"/>
    <w:pPr>
      <w:ind w:firstLine="420" w:firstLineChars="100"/>
    </w:pPr>
    <w:rPr>
      <w:szCs w:val="24"/>
    </w:rPr>
  </w:style>
  <w:style w:type="paragraph" w:styleId="21">
    <w:name w:val="Body Text First Indent 2"/>
    <w:basedOn w:val="9"/>
    <w:qFormat/>
    <w:uiPriority w:val="0"/>
    <w:pPr>
      <w:ind w:firstLine="420" w:firstLineChars="200"/>
    </w:pPr>
    <w:rPr>
      <w:sz w:val="21"/>
    </w:rPr>
  </w:style>
  <w:style w:type="table" w:styleId="23">
    <w:name w:val="Table Grid"/>
    <w:basedOn w:val="22"/>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Strong"/>
    <w:basedOn w:val="24"/>
    <w:qFormat/>
    <w:uiPriority w:val="0"/>
    <w:rPr>
      <w:b/>
      <w:bCs/>
    </w:rPr>
  </w:style>
  <w:style w:type="character" w:styleId="26">
    <w:name w:val="page number"/>
    <w:basedOn w:val="24"/>
    <w:qFormat/>
    <w:uiPriority w:val="0"/>
  </w:style>
  <w:style w:type="character" w:customStyle="1" w:styleId="27">
    <w:name w:val="标题 2 Char"/>
    <w:link w:val="4"/>
    <w:qFormat/>
    <w:uiPriority w:val="0"/>
    <w:rPr>
      <w:rFonts w:ascii="Arial" w:hAnsi="Arial" w:eastAsia="黑体"/>
      <w:b/>
      <w:bCs/>
      <w:sz w:val="32"/>
      <w:szCs w:val="32"/>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_Style 1"/>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30">
    <w:name w:val="font11"/>
    <w:basedOn w:val="24"/>
    <w:qFormat/>
    <w:uiPriority w:val="0"/>
    <w:rPr>
      <w:rFonts w:ascii="方正仿宋简体" w:hAnsi="方正仿宋简体" w:eastAsia="方正仿宋简体" w:cs="方正仿宋简体"/>
      <w:color w:val="000000"/>
      <w:sz w:val="28"/>
      <w:szCs w:val="28"/>
      <w:u w:val="none"/>
    </w:rPr>
  </w:style>
  <w:style w:type="paragraph" w:customStyle="1" w:styleId="31">
    <w:name w:val="正文_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sz w:val="28"/>
      <w:szCs w:val="20"/>
    </w:rPr>
  </w:style>
  <w:style w:type="paragraph" w:customStyle="1" w:styleId="33">
    <w:name w:val="缺省文本"/>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4">
    <w:name w:val="Table Paragraph"/>
    <w:basedOn w:val="1"/>
    <w:qFormat/>
    <w:uiPriority w:val="1"/>
    <w:rPr>
      <w:rFonts w:ascii="宋体" w:hAnsi="宋体" w:eastAsia="宋体" w:cs="宋体"/>
      <w:lang w:val="zh-CN" w:eastAsia="zh-CN" w:bidi="zh-CN"/>
    </w:rPr>
  </w:style>
  <w:style w:type="paragraph" w:customStyle="1" w:styleId="35">
    <w:name w:val="*正文"/>
    <w:basedOn w:val="1"/>
    <w:next w:val="1"/>
    <w:qFormat/>
    <w:uiPriority w:val="0"/>
    <w:pPr>
      <w:widowControl/>
      <w:ind w:firstLine="482"/>
    </w:pPr>
    <w:rPr>
      <w:rFonts w:ascii="微软雅黑" w:hAnsi="微软雅黑" w:eastAsia="微软雅黑"/>
      <w:sz w:val="21"/>
    </w:rPr>
  </w:style>
  <w:style w:type="character" w:customStyle="1" w:styleId="36">
    <w:name w:val="NormalCharacter"/>
    <w:link w:val="1"/>
    <w:qFormat/>
    <w:uiPriority w:val="0"/>
    <w:rPr>
      <w:rFonts w:ascii="Calibri" w:hAnsi="Calibri" w:eastAsia="宋体" w:cs="Times New Roman"/>
      <w:kern w:val="2"/>
      <w:sz w:val="21"/>
      <w:szCs w:val="24"/>
      <w:lang w:val="en-US" w:eastAsia="zh-CN" w:bidi="ar-SA"/>
    </w:rPr>
  </w:style>
  <w:style w:type="paragraph" w:customStyle="1" w:styleId="37">
    <w:name w:val="样式3"/>
    <w:basedOn w:val="11"/>
    <w:uiPriority w:val="0"/>
    <w:pPr>
      <w:spacing w:line="0" w:lineRule="atLeast"/>
      <w:outlineLvl w:val="0"/>
    </w:pPr>
    <w:rPr>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2021-12-01T14:29:00Z</dcterms:created>
  <dc:creator>lly</dc:creator>
  <cp:lastModifiedBy>顾木三</cp:lastModifiedBy>
  <dcterms:modified xsi:type="dcterms:W3CDTF">2022-05-18T14:02:52Z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0892A0F9954141389ADE3052D8441B84</vt:lpwstr>
  </property>
</Properties>
</file>