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firstLine="1767" w:firstLineChars="400"/>
        <w:jc w:val="both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招标项目技术要求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2022年克州地方政府债务管理服务前期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一、对2022年已发行新增债券项目全覆盖开展检查工作，形成审核报告，建立问题台账，并协助行业部门和县（市）完成整改。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二、拟发债项目库的筹建及项目的筛选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（一）了解项目基本情况。了解项目政策背景、项目背景、项目概况、项目主管部门、立项和建设的相关批复文件、项目开工和建设时间。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（二）对项目进行经济社会效益分析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（三）对项目事前绩效评估及绩效目标进行检查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三、对地方政府债券依法合规管理使用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协助克州财政局对全地区2022年-2023年地方政府债券管理使用情况进行月度核查及年度全面核查，地方政府债券资金依法合规使用。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四、地方政府债券申报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（一）项目前期及基础性资料的完整性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（二）核查发债项目资料是否合规（包括不限于投向领域、发债年限、正负面清单、项目收益等）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五、债务工作辅导、培训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按照国家、自治区的债务管理规章制度、文件要求，围绕历年自治区财政厅、财政部新疆监管局等部门推送问题，结合自治州债券资金申报、债券资金使用管理过程中存在问题，开展指导、培训工作。全年培训不少于三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六、其他工作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新宋体" w:hAnsi="新宋体" w:eastAsia="新宋体" w:cs="新宋体"/>
          <w:i w:val="0"/>
          <w:caps w:val="0"/>
          <w:color w:val="0000FF"/>
          <w:spacing w:val="0"/>
          <w:sz w:val="18"/>
          <w:szCs w:val="18"/>
          <w:shd w:val="clear" w:color="auto" w:fill="FFFFFF"/>
        </w:rPr>
      </w:pPr>
      <w:r>
        <w:rPr>
          <w:rFonts w:hint="eastAsia" w:ascii="仿宋_GB2312" w:hAnsi="仿宋_GB2312" w:eastAsia="仿宋_GB2312"/>
          <w:sz w:val="28"/>
          <w:szCs w:val="28"/>
        </w:rPr>
        <w:t>依据债务工作要求配合审计、监管局等部门的工作安排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chineseCountingThousand"/>
      <w:lvlText w:val="%2、"/>
      <w:lvlJc w:val="right"/>
      <w:pPr>
        <w:ind w:left="1078" w:hanging="79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lvlText w:val="%3.5.1.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lvlText w:val="1.4.3.%4.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2"/>
      <w:isLgl/>
      <w:suff w:val="space"/>
      <w:lvlText w:val="%1.%2.%3.%4.%5 "/>
      <w:lvlJc w:val="left"/>
      <w:pPr>
        <w:ind w:left="1134" w:hanging="1134"/>
      </w:pPr>
      <w:rPr>
        <w:rFonts w:hint="eastAsia" w:cs="Times New Roman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 w:cs="Times New Roman"/>
      </w:rPr>
    </w:lvl>
    <w:lvl w:ilvl="6" w:tentative="0">
      <w:start w:val="1"/>
      <w:numFmt w:val="decimal"/>
      <w:lvlRestart w:val="0"/>
      <w:isLgl/>
      <w:suff w:val="space"/>
      <w:lvlText w:val="图 %1.%7 "/>
      <w:lvlJc w:val="left"/>
      <w:rPr>
        <w:rFonts w:hint="eastAsia" w:cs="Times New Roman"/>
      </w:rPr>
    </w:lvl>
    <w:lvl w:ilvl="7" w:tentative="0">
      <w:start w:val="1"/>
      <w:numFmt w:val="decimal"/>
      <w:lvlRestart w:val="0"/>
      <w:isLgl/>
      <w:suff w:val="space"/>
      <w:lvlText w:val="表 %1.%8 "/>
      <w:lvlJc w:val="left"/>
      <w:rPr>
        <w:rFonts w:hint="eastAsia"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mEyZWZmMWFjMmQ3NjJkMTFlNWMxNTIzYWNlM2YifQ=="/>
  </w:docVars>
  <w:rsids>
    <w:rsidRoot w:val="0A370406"/>
    <w:rsid w:val="0A370406"/>
    <w:rsid w:val="12C33B84"/>
    <w:rsid w:val="188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5">
    <w:name w:val="Title"/>
    <w:basedOn w:val="1"/>
    <w:qFormat/>
    <w:uiPriority w:val="10"/>
    <w:pPr>
      <w:spacing w:before="240" w:after="240" w:line="360" w:lineRule="auto"/>
      <w:jc w:val="center"/>
      <w:outlineLvl w:val="0"/>
    </w:pPr>
    <w:rPr>
      <w:rFonts w:eastAsia="华文细黑"/>
      <w:b/>
      <w:bCs/>
      <w:color w:val="0000FF"/>
      <w:sz w:val="30"/>
      <w:szCs w:val="32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489</Characters>
  <Lines>0</Lines>
  <Paragraphs>0</Paragraphs>
  <TotalTime>0</TotalTime>
  <ScaleCrop>false</ScaleCrop>
  <LinksUpToDate>false</LinksUpToDate>
  <CharactersWithSpaces>489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2022-06-01T04:33:00Z</dcterms:created>
  <dc:creator>Administrator</dc:creator>
  <cp:lastModifiedBy>凯丽在这里</cp:lastModifiedBy>
  <dcterms:modified xsi:type="dcterms:W3CDTF">2022-06-10T08:49:21Z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50A42DB455BF474690B6383308C73BA8</vt:lpwstr>
  </property>
</Properties>
</file>