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r>
        <w:rPr>
          <w:rFonts w:hint="eastAsia" w:ascii="华文中宋" w:hAnsi="华文中宋" w:eastAsia="华文中宋"/>
          <w:lang w:eastAsia="zh-CN"/>
        </w:rPr>
        <w:t>新源县2022年高素质农民培育项目</w:t>
      </w: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w:t>
      </w:r>
      <w:r>
        <w:rPr>
          <w:rFonts w:hint="eastAsia" w:ascii="华文中宋" w:hAnsi="华文中宋" w:eastAsia="华文中宋"/>
          <w:lang w:eastAsia="zh-CN"/>
        </w:rPr>
        <w:t>磋商公告</w:t>
      </w:r>
    </w:p>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新源县2022年高素质农民培育项目</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lang w:eastAsia="zh-CN"/>
        </w:rPr>
        <w:t>新源县肖尔布拉克街海悦酒店斜对面007巷10号（二楼）</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0" w:name="_Toc35393798"/>
      <w:bookmarkStart w:id="1" w:name="_Toc28359012"/>
      <w:bookmarkStart w:id="2" w:name="_Toc35393629"/>
      <w:bookmarkStart w:id="3" w:name="_Toc28359089"/>
      <w:r>
        <w:rPr>
          <w:rFonts w:hint="eastAsia" w:ascii="黑体" w:hAnsi="黑体" w:cs="宋体"/>
          <w:b w:val="0"/>
          <w:sz w:val="28"/>
          <w:szCs w:val="28"/>
        </w:rPr>
        <w:t>一、项目基本情况</w:t>
      </w:r>
      <w:bookmarkEnd w:id="0"/>
      <w:bookmarkEnd w:id="1"/>
      <w:bookmarkEnd w:id="2"/>
      <w:bookmarkEnd w:id="3"/>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ZFCG—XJJY-CS-20220036</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u w:val="single"/>
        </w:rPr>
      </w:pPr>
      <w:r>
        <w:rPr>
          <w:rFonts w:hint="eastAsia" w:ascii="仿宋" w:hAnsi="仿宋" w:eastAsia="仿宋" w:cs="Times New Roman"/>
          <w:b w:val="0"/>
          <w:bCs w:val="0"/>
          <w:kern w:val="2"/>
          <w:sz w:val="28"/>
          <w:szCs w:val="28"/>
          <w:lang w:val="en-US" w:eastAsia="zh-CN" w:bidi="ar-SA"/>
        </w:rPr>
        <w:t>项目名称：新源县2022年高素质农民培育项目</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采购方式：竞争性</w:t>
      </w:r>
      <w:r>
        <w:rPr>
          <w:rFonts w:hint="eastAsia" w:ascii="仿宋" w:hAnsi="仿宋" w:eastAsia="仿宋"/>
          <w:sz w:val="28"/>
          <w:szCs w:val="28"/>
          <w:lang w:eastAsia="zh-CN"/>
        </w:rPr>
        <w:t>磋商</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730000.00元</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2022年新源县计划完成高素质农民培训200人，其中新型农业经营主体和社会化服务组织带头人50人，专业生产型50人，技能服务型50人，乡村振兴带头人50人；参训学员满意度评价率和完成在线评价比例均达到</w:t>
      </w:r>
      <w:r>
        <w:rPr>
          <w:rFonts w:hint="eastAsia" w:ascii="仿宋" w:hAnsi="仿宋" w:eastAsia="仿宋"/>
          <w:sz w:val="28"/>
          <w:szCs w:val="28"/>
          <w:lang w:val="en-US" w:eastAsia="zh-CN"/>
        </w:rPr>
        <w:t>90</w:t>
      </w:r>
      <w:r>
        <w:rPr>
          <w:rFonts w:hint="eastAsia" w:ascii="仿宋" w:hAnsi="仿宋" w:eastAsia="仿宋"/>
          <w:sz w:val="28"/>
          <w:szCs w:val="28"/>
        </w:rPr>
        <w:t>%以上，参训学员基本信息100%录入全国农业科教云平台，注册使用全国农业科教云平台及“云上智农”APP使用率达到100%；加大“粮食种植”“大豆油料扩种”等专项培训工作，为确保粮食安全和重要农产品稳定供给提供强有力的技术支撑和保障。</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三年</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4" w:name="_Toc35393799"/>
      <w:bookmarkStart w:id="5" w:name="_Toc28359013"/>
      <w:bookmarkStart w:id="6" w:name="_Toc28359090"/>
      <w:bookmarkStart w:id="7" w:name="_Toc35393630"/>
      <w:r>
        <w:rPr>
          <w:rFonts w:hint="eastAsia" w:ascii="黑体" w:hAnsi="黑体" w:cs="宋体"/>
          <w:b w:val="0"/>
          <w:sz w:val="28"/>
          <w:szCs w:val="28"/>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sz w:val="28"/>
          <w:szCs w:val="28"/>
          <w:lang w:eastAsia="zh-CN"/>
        </w:rPr>
      </w:pPr>
      <w:bookmarkStart w:id="8" w:name="_Toc28359014"/>
      <w:bookmarkStart w:id="9" w:name="_Toc28359091"/>
      <w:r>
        <w:rPr>
          <w:rFonts w:ascii="仿宋" w:hAnsi="仿宋" w:eastAsia="仿宋"/>
          <w:sz w:val="28"/>
          <w:szCs w:val="28"/>
        </w:rPr>
        <w:t>2</w:t>
      </w:r>
      <w:r>
        <w:rPr>
          <w:rFonts w:hint="eastAsia" w:ascii="仿宋" w:hAnsi="仿宋" w:eastAsia="仿宋"/>
          <w:sz w:val="28"/>
          <w:szCs w:val="28"/>
        </w:rPr>
        <w:t>.落实政府采购政策需满足的资格要求：1：供应商为中小企业/小微企业</w:t>
      </w:r>
      <w:r>
        <w:rPr>
          <w:rFonts w:hint="eastAsia" w:ascii="仿宋" w:hAnsi="仿宋" w:eastAsia="仿宋"/>
          <w:sz w:val="28"/>
          <w:szCs w:val="28"/>
          <w:lang w:eastAsia="zh-CN"/>
        </w:rPr>
        <w:t>；</w:t>
      </w:r>
    </w:p>
    <w:p>
      <w:pPr>
        <w:spacing w:line="4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w:t>
      </w:r>
      <w:r>
        <w:rPr>
          <w:rFonts w:hint="eastAsia" w:ascii="仿宋" w:hAnsi="仿宋" w:eastAsia="仿宋"/>
          <w:sz w:val="28"/>
          <w:szCs w:val="28"/>
          <w:lang w:eastAsia="zh-CN"/>
        </w:rPr>
        <w:t>具有</w:t>
      </w:r>
      <w:r>
        <w:rPr>
          <w:rFonts w:hint="eastAsia" w:ascii="仿宋" w:hAnsi="仿宋" w:eastAsia="仿宋"/>
          <w:sz w:val="28"/>
          <w:szCs w:val="28"/>
        </w:rPr>
        <w:t>有效的</w:t>
      </w:r>
      <w:r>
        <w:rPr>
          <w:rFonts w:hint="eastAsia" w:ascii="仿宋" w:hAnsi="仿宋" w:eastAsia="仿宋"/>
          <w:sz w:val="28"/>
          <w:szCs w:val="28"/>
          <w:highlight w:val="none"/>
        </w:rPr>
        <w:t>法人或其他组织的营业执照等证明文件、自然人的身份证明（个体工商户应该要求其提供有效的个体工商户营业执照、企业应提供工商部门注册的企业法人营业执照）；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）具有</w:t>
      </w:r>
      <w:r>
        <w:rPr>
          <w:rFonts w:hint="eastAsia" w:ascii="仿宋" w:hAnsi="仿宋" w:eastAsia="仿宋"/>
          <w:sz w:val="28"/>
          <w:szCs w:val="28"/>
          <w:highlight w:val="none"/>
        </w:rPr>
        <w:t>人社部门颁发办学许可证；</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p>
    <w:p>
      <w:pPr>
        <w:spacing w:line="4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单位负责人为同一人或者存在直接控股、管理关系的不同供应商，不得参加同一合同项下的政府采购活动。</w:t>
      </w:r>
    </w:p>
    <w:p>
      <w:pPr>
        <w:pStyle w:val="2"/>
        <w:ind w:firstLine="560" w:firstLineChars="200"/>
        <w:rPr>
          <w:rFonts w:hint="eastAsia"/>
        </w:rPr>
      </w:pPr>
      <w:r>
        <w:rPr>
          <w:rFonts w:hint="eastAsia" w:ascii="仿宋_GB2312" w:hAnsi="仿宋_GB2312" w:eastAsia="仿宋_GB2312" w:cs="仿宋_GB2312"/>
          <w:color w:val="auto"/>
          <w:sz w:val="28"/>
          <w:szCs w:val="28"/>
          <w:lang w:val="en-US" w:eastAsia="zh-CN"/>
        </w:rPr>
        <w:t>5、本项目不接受联合体参加磋商</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8"/>
      <w:bookmarkEnd w:id="9"/>
      <w:bookmarkEnd w:id="10"/>
      <w:bookmarkEnd w:id="11"/>
    </w:p>
    <w:p>
      <w:pPr>
        <w:pageBreakBefore w:val="0"/>
        <w:widowControl w:val="0"/>
        <w:kinsoku/>
        <w:wordWrap/>
        <w:overflowPunct/>
        <w:topLinePunct w:val="0"/>
        <w:autoSpaceDE/>
        <w:autoSpaceDN/>
        <w:bidi w:val="0"/>
        <w:adjustRightInd/>
        <w:snapToGrid/>
        <w:spacing w:line="54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bookmarkStart w:id="42" w:name="_GoBack"/>
      <w:bookmarkEnd w:id="42"/>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新源县肖尔布拉克街海悦酒店斜对面007巷10号（二楼）</w:t>
      </w:r>
    </w:p>
    <w:p>
      <w:pPr>
        <w:pageBreakBefore w:val="0"/>
        <w:widowControl w:val="0"/>
        <w:kinsoku/>
        <w:wordWrap/>
        <w:overflowPunct/>
        <w:topLinePunct w:val="0"/>
        <w:autoSpaceDE/>
        <w:autoSpaceDN/>
        <w:bidi w:val="0"/>
        <w:adjustRightInd/>
        <w:snapToGrid/>
        <w:spacing w:line="54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来人获取携带</w:t>
      </w:r>
      <w:r>
        <w:rPr>
          <w:rFonts w:hint="eastAsia" w:ascii="仿宋" w:hAnsi="仿宋" w:eastAsia="仿宋" w:cs="宋体"/>
          <w:sz w:val="28"/>
          <w:szCs w:val="28"/>
          <w:lang w:val="en-US" w:eastAsia="zh-CN"/>
        </w:rPr>
        <w:t>符合本次采购相关经营范围的工商营业执照，法定代表人、授权人身份证；</w:t>
      </w:r>
      <w:r>
        <w:rPr>
          <w:rFonts w:hint="eastAsia" w:ascii="仿宋" w:hAnsi="仿宋" w:eastAsia="仿宋" w:cs="宋体"/>
          <w:sz w:val="28"/>
          <w:szCs w:val="28"/>
          <w:lang w:eastAsia="zh-CN"/>
        </w:rPr>
        <w:t>人社部门颁发办学许可证；</w:t>
      </w:r>
      <w:r>
        <w:rPr>
          <w:rFonts w:hint="eastAsia" w:ascii="仿宋" w:hAnsi="仿宋" w:eastAsia="仿宋" w:cs="宋体"/>
          <w:sz w:val="28"/>
          <w:szCs w:val="28"/>
          <w:lang w:val="en-US" w:eastAsia="zh-CN"/>
        </w:rPr>
        <w:t>具有良好的商业信誉和健全的财务会计制度（加盖单位公章的书面承诺函）；具有履行合同所必需的设备和专业技术能力；（根据项目需求提供履行合同所必需的设备和专业技术能力的加盖单位公章的书面承诺函）；有依法缴纳税收和社会保障资金的良好记录（加盖单位公章的书面承诺函）；参加政府采购活动前三年内，在经营活动中没有重大违法记录；（提供参加本次政府采购活动前 3 年内在经营活动中没有重大违法记录的书面承诺函并加盖单位公章）；参加本次采购活动前三年内在经营活动中没有重大违法记录声明， 未被 “ 信 用 中 国 ” 网 站</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HYPERLINK "http://www.creditchina.gov.cn/" \h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（www.creditchina.gov.cn</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）中列入失信被执行人或重大税收违法案件当事人名单的供应商、未被中国政府采购网（</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HYPERLINK "http://www.ccgp.gov.cn/" \h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www.ccgp.gov.cn</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列入政府采购严重违法失信行为记录名单中被财政部门禁止参加政府采购活动的供应商（处罚决定规定的时间和地域范围内），提供网站网页查询结果并加盖单位公章（网页打印件须自招标公告发布之日起）；新注册单位、个体工商户按实际情况提供。</w:t>
      </w:r>
    </w:p>
    <w:p>
      <w:pPr>
        <w:pageBreakBefore w:val="0"/>
        <w:widowControl w:val="0"/>
        <w:kinsoku/>
        <w:wordWrap/>
        <w:overflowPunct/>
        <w:topLinePunct w:val="0"/>
        <w:autoSpaceDE/>
        <w:autoSpaceDN/>
        <w:bidi w:val="0"/>
        <w:adjustRightInd/>
        <w:snapToGrid/>
        <w:spacing w:line="540" w:lineRule="exact"/>
        <w:ind w:firstLine="540"/>
        <w:textAlignment w:val="auto"/>
        <w:rPr>
          <w:rFonts w:hint="default" w:ascii="仿宋" w:hAnsi="仿宋" w:eastAsia="仿宋" w:cs="宋体"/>
          <w:sz w:val="28"/>
          <w:szCs w:val="28"/>
          <w:lang w:eastAsia="zh-CN"/>
        </w:rPr>
      </w:pPr>
      <w:r>
        <w:rPr>
          <w:rFonts w:hint="eastAsia" w:ascii="仿宋" w:hAnsi="仿宋" w:eastAsia="仿宋" w:cs="宋体"/>
          <w:sz w:val="28"/>
          <w:szCs w:val="28"/>
          <w:lang w:eastAsia="zh-CN"/>
        </w:rPr>
        <w:t>（注：以上资料均携须带原件及加盖公章的复印件三套，单面复印按先后顺序装订，且均在有效期内，资料不全者不予领取。）</w:t>
      </w:r>
    </w:p>
    <w:p>
      <w:pPr>
        <w:pageBreakBefore w:val="0"/>
        <w:widowControl w:val="0"/>
        <w:kinsoku/>
        <w:wordWrap/>
        <w:overflowPunct/>
        <w:topLinePunct w:val="0"/>
        <w:autoSpaceDE/>
        <w:autoSpaceDN/>
        <w:bidi w:val="0"/>
        <w:adjustRightInd/>
        <w:snapToGrid/>
        <w:spacing w:line="54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12" w:name="_Toc35393632"/>
      <w:bookmarkStart w:id="13" w:name="_Toc28359092"/>
      <w:bookmarkStart w:id="14" w:name="_Toc35393801"/>
      <w:bookmarkStart w:id="15" w:name="_Toc28359015"/>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 xml:space="preserve">30 </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cs="宋体"/>
          <w:w w:val="90"/>
          <w:sz w:val="28"/>
          <w:szCs w:val="28"/>
          <w:lang w:eastAsia="zh-CN"/>
        </w:rPr>
        <w:t>新源县肖尔布拉克街海悦酒店斜对面007巷10号（二楼）</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16" w:name="_Toc28359016"/>
      <w:bookmarkStart w:id="17" w:name="_Toc35393633"/>
      <w:bookmarkStart w:id="18" w:name="_Toc28359093"/>
      <w:bookmarkStart w:id="19" w:name="_Toc35393802"/>
      <w:r>
        <w:rPr>
          <w:rFonts w:hint="eastAsia" w:ascii="黑体" w:hAnsi="黑体" w:cs="宋体"/>
          <w:b w:val="0"/>
          <w:sz w:val="28"/>
          <w:szCs w:val="28"/>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cs="宋体"/>
          <w:w w:val="90"/>
          <w:sz w:val="28"/>
          <w:szCs w:val="28"/>
          <w:lang w:eastAsia="zh-CN"/>
        </w:rPr>
        <w:t>新源县肖尔布拉克街海悦酒店斜对面007巷10号（二楼）</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20" w:name="_Toc28359017"/>
      <w:bookmarkStart w:id="21" w:name="_Toc28359094"/>
      <w:bookmarkStart w:id="22" w:name="_Toc35393803"/>
      <w:bookmarkStart w:id="23" w:name="_Toc35393634"/>
      <w:r>
        <w:rPr>
          <w:rFonts w:hint="eastAsia" w:ascii="黑体" w:hAnsi="黑体" w:cs="宋体"/>
          <w:b w:val="0"/>
          <w:sz w:val="28"/>
          <w:szCs w:val="28"/>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line="540" w:lineRule="exact"/>
        <w:textAlignment w:val="auto"/>
        <w:rPr>
          <w:rFonts w:ascii="黑体" w:hAnsi="黑体" w:cs="宋体"/>
          <w:b w:val="0"/>
          <w:sz w:val="28"/>
          <w:szCs w:val="28"/>
        </w:rPr>
      </w:pPr>
      <w:bookmarkStart w:id="26" w:name="_Toc35393636"/>
      <w:bookmarkStart w:id="27" w:name="_Toc28359095"/>
      <w:bookmarkStart w:id="28" w:name="_Toc35393805"/>
      <w:bookmarkStart w:id="29"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rPr>
      </w:pPr>
      <w:bookmarkStart w:id="30" w:name="_Toc35393637"/>
      <w:bookmarkStart w:id="31" w:name="_Toc28359019"/>
      <w:bookmarkStart w:id="32" w:name="_Toc35393806"/>
      <w:bookmarkStart w:id="33" w:name="_Toc28359096"/>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新源县农业农村局</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新源县</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13779156118</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rPr>
      </w:pPr>
      <w:bookmarkStart w:id="34" w:name="_Toc35393638"/>
      <w:bookmarkStart w:id="35" w:name="_Toc28359020"/>
      <w:bookmarkStart w:id="36" w:name="_Toc35393807"/>
      <w:bookmarkStart w:id="37" w:name="_Toc28359097"/>
      <w:r>
        <w:rPr>
          <w:rFonts w:hint="eastAsia" w:ascii="仿宋" w:hAnsi="仿宋" w:eastAsia="仿宋" w:cs="宋体"/>
          <w:b w:val="0"/>
          <w:sz w:val="28"/>
          <w:szCs w:val="28"/>
        </w:rPr>
        <w:t>2.采购代理机构信息</w:t>
      </w:r>
      <w:bookmarkEnd w:id="34"/>
      <w:bookmarkEnd w:id="35"/>
      <w:bookmarkEnd w:id="36"/>
      <w:bookmarkEnd w:id="37"/>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新疆玖一建设项目管理咨询有限公司</w:t>
      </w:r>
    </w:p>
    <w:p>
      <w:pPr>
        <w:pageBreakBefore w:val="0"/>
        <w:widowControl w:val="0"/>
        <w:kinsoku/>
        <w:wordWrap/>
        <w:overflowPunct/>
        <w:topLinePunct w:val="0"/>
        <w:autoSpaceDE/>
        <w:autoSpaceDN/>
        <w:bidi w:val="0"/>
        <w:adjustRightInd/>
        <w:snapToGrid/>
        <w:spacing w:line="540" w:lineRule="exact"/>
        <w:ind w:left="2238" w:leftChars="399" w:hanging="1400" w:hangingChars="500"/>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新源县肖尔布拉克街海悦酒店斜对面007巷10号（二楼）</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0999-5028756</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rPr>
      </w:pPr>
      <w:bookmarkStart w:id="38" w:name="_Toc28359021"/>
      <w:bookmarkStart w:id="39" w:name="_Toc35393639"/>
      <w:bookmarkStart w:id="40" w:name="_Toc35393808"/>
      <w:bookmarkStart w:id="41"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38"/>
      <w:bookmarkEnd w:id="39"/>
      <w:bookmarkEnd w:id="40"/>
      <w:bookmarkEnd w:id="41"/>
    </w:p>
    <w:p>
      <w:pPr>
        <w:pStyle w:val="6"/>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郭亚</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18040891008</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768AC"/>
    <w:multiLevelType w:val="singleLevel"/>
    <w:tmpl w:val="D41768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YWU0YjcxOGU1MzEzNDhhNjRjZmFmNzhmYWJmM2IifQ=="/>
  </w:docVars>
  <w:rsids>
    <w:rsidRoot w:val="61455F1C"/>
    <w:rsid w:val="01C45770"/>
    <w:rsid w:val="053B0CFD"/>
    <w:rsid w:val="26A25B54"/>
    <w:rsid w:val="4CF5463D"/>
    <w:rsid w:val="54E74053"/>
    <w:rsid w:val="5F1C72FF"/>
    <w:rsid w:val="61455F1C"/>
    <w:rsid w:val="650B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Plain Text"/>
    <w:basedOn w:val="1"/>
    <w:qFormat/>
    <w:uiPriority w:val="0"/>
    <w:rPr>
      <w:rFonts w:ascii="宋体" w:hAnsi="Courier New"/>
      <w:szCs w:val="20"/>
    </w:rPr>
  </w:style>
  <w:style w:type="paragraph" w:styleId="7">
    <w:name w:val="Body Text First Indent 2"/>
    <w:basedOn w:val="5"/>
    <w:next w:val="1"/>
    <w:unhideWhenUsed/>
    <w:qFormat/>
    <w:uiPriority w:val="99"/>
    <w:pPr>
      <w:spacing w:before="100" w:beforeAutospacing="1"/>
      <w:ind w:firstLine="420" w:firstLineChars="200"/>
      <w:jc w:val="left"/>
    </w:pPr>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2073</Words>
  <Characters>2355</Characters>
  <Lines>0</Lines>
  <Paragraphs>0</Paragraphs>
  <TotalTime>5</TotalTime>
  <ScaleCrop>false</ScaleCrop>
  <LinksUpToDate>false</LinksUpToDate>
  <CharactersWithSpaces>2395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2022-06-28T03:22:00Z</dcterms:created>
  <dc:creator>郭亚吖</dc:creator>
  <cp:lastModifiedBy>郭亚吖</cp:lastModifiedBy>
  <dcterms:modified xsi:type="dcterms:W3CDTF">2022-06-29T09:52:02Z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C46F500FA47E4A1E8C328C425A1BAC00</vt:lpwstr>
  </property>
</Properties>
</file>