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ascii="微软雅黑" w:hAnsi="微软雅黑" w:eastAsia="微软雅黑" w:cs="微软雅黑"/>
          <w:b/>
          <w:sz w:val="44"/>
          <w:szCs w:val="44"/>
          <w:highlight w:val="none"/>
        </w:rPr>
      </w:pPr>
    </w:p>
    <w:p>
      <w:pPr>
        <w:pStyle w:val="4"/>
        <w:rPr>
          <w:rFonts w:ascii="微软雅黑" w:hAnsi="微软雅黑" w:eastAsia="微软雅黑" w:cs="微软雅黑"/>
          <w:b/>
          <w:sz w:val="44"/>
          <w:szCs w:val="44"/>
          <w:highlight w:val="none"/>
        </w:rPr>
      </w:pPr>
    </w:p>
    <w:p>
      <w:pPr>
        <w:pStyle w:val="5"/>
        <w:rPr>
          <w:highlight w:val="none"/>
        </w:rPr>
      </w:pPr>
    </w:p>
    <w:p>
      <w:pPr>
        <w:pStyle w:val="5"/>
        <w:rPr>
          <w:highlight w:val="none"/>
        </w:rPr>
      </w:pPr>
    </w:p>
    <w:p>
      <w:pPr>
        <w:pStyle w:val="4"/>
        <w:rPr>
          <w:rFonts w:hint="eastAsia" w:ascii="微软雅黑" w:hAnsi="微软雅黑" w:eastAsia="微软雅黑" w:cs="微软雅黑"/>
          <w:b/>
          <w:bCs w:val="0"/>
          <w:kern w:val="2"/>
          <w:sz w:val="40"/>
          <w:szCs w:val="40"/>
          <w:highlight w:val="none"/>
          <w:u w:val="none"/>
          <w:lang w:val="en-US" w:eastAsia="zh-CN" w:bidi="ar-SA"/>
        </w:rPr>
      </w:pPr>
      <w:r>
        <w:rPr>
          <w:rFonts w:hint="eastAsia" w:ascii="微软雅黑" w:hAnsi="微软雅黑" w:eastAsia="微软雅黑" w:cs="微软雅黑"/>
          <w:b/>
          <w:bCs w:val="0"/>
          <w:kern w:val="2"/>
          <w:sz w:val="40"/>
          <w:szCs w:val="40"/>
          <w:highlight w:val="none"/>
          <w:u w:val="none"/>
          <w:lang w:val="en-US" w:eastAsia="zh-CN" w:bidi="ar-SA"/>
        </w:rPr>
        <w:t>喀什地区粮食和物资储备局医用物资采购项目</w:t>
      </w:r>
    </w:p>
    <w:p>
      <w:pPr>
        <w:pStyle w:val="4"/>
        <w:jc w:val="center"/>
        <w:rPr>
          <w:rFonts w:hint="eastAsia" w:ascii="微软雅黑" w:hAnsi="微软雅黑" w:eastAsia="微软雅黑" w:cs="微软雅黑"/>
          <w:b/>
          <w:bCs w:val="0"/>
          <w:kern w:val="2"/>
          <w:sz w:val="40"/>
          <w:szCs w:val="40"/>
          <w:highlight w:val="none"/>
          <w:u w:val="none"/>
          <w:lang w:val="en-US" w:eastAsia="zh-CN" w:bidi="ar-SA"/>
        </w:rPr>
      </w:pPr>
      <w:r>
        <w:rPr>
          <w:rFonts w:hint="eastAsia" w:ascii="微软雅黑" w:hAnsi="微软雅黑" w:eastAsia="微软雅黑" w:cs="微软雅黑"/>
          <w:b/>
          <w:bCs w:val="0"/>
          <w:kern w:val="2"/>
          <w:sz w:val="40"/>
          <w:szCs w:val="40"/>
          <w:highlight w:val="none"/>
          <w:u w:val="none"/>
          <w:lang w:val="en-US" w:eastAsia="zh-CN" w:bidi="ar-SA"/>
        </w:rPr>
        <w:t>竞争性磋商文件</w:t>
      </w:r>
    </w:p>
    <w:p>
      <w:pPr>
        <w:spacing w:line="240" w:lineRule="atLeast"/>
        <w:ind w:left="1080" w:leftChars="257" w:hanging="540"/>
        <w:jc w:val="center"/>
        <w:rPr>
          <w:rFonts w:hint="eastAsia" w:ascii="微软雅黑" w:hAnsi="微软雅黑" w:eastAsia="微软雅黑" w:cs="微软雅黑"/>
          <w:b/>
          <w:bCs w:val="0"/>
          <w:sz w:val="32"/>
          <w:szCs w:val="32"/>
          <w:highlight w:val="none"/>
        </w:rPr>
      </w:pPr>
    </w:p>
    <w:p>
      <w:pPr>
        <w:spacing w:line="240" w:lineRule="atLeast"/>
        <w:ind w:left="1080" w:leftChars="257" w:hanging="540"/>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bCs w:val="0"/>
          <w:sz w:val="32"/>
          <w:szCs w:val="32"/>
          <w:highlight w:val="none"/>
        </w:rPr>
        <w:t>项目编号：</w:t>
      </w:r>
      <w:r>
        <w:rPr>
          <w:rFonts w:hint="eastAsia" w:ascii="微软雅黑" w:hAnsi="微软雅黑" w:eastAsia="微软雅黑" w:cs="微软雅黑"/>
          <w:b/>
          <w:bCs w:val="0"/>
          <w:sz w:val="32"/>
          <w:szCs w:val="32"/>
          <w:highlight w:val="none"/>
          <w:lang w:eastAsia="zh-CN"/>
        </w:rPr>
        <w:t>YXGJ(JZXCS)2022-0</w:t>
      </w:r>
      <w:r>
        <w:rPr>
          <w:rFonts w:hint="eastAsia" w:ascii="微软雅黑" w:hAnsi="微软雅黑" w:eastAsia="微软雅黑" w:cs="微软雅黑"/>
          <w:b/>
          <w:bCs w:val="0"/>
          <w:sz w:val="32"/>
          <w:szCs w:val="32"/>
          <w:highlight w:val="none"/>
          <w:lang w:val="en-US" w:eastAsia="zh-CN"/>
        </w:rPr>
        <w:t>7</w:t>
      </w:r>
      <w:r>
        <w:rPr>
          <w:rFonts w:hint="eastAsia" w:ascii="微软雅黑" w:hAnsi="微软雅黑" w:eastAsia="微软雅黑" w:cs="微软雅黑"/>
          <w:b/>
          <w:bCs w:val="0"/>
          <w:sz w:val="32"/>
          <w:szCs w:val="32"/>
          <w:highlight w:val="none"/>
          <w:lang w:eastAsia="zh-CN"/>
        </w:rPr>
        <w:t>号</w:t>
      </w:r>
    </w:p>
    <w:p>
      <w:pPr>
        <w:pStyle w:val="4"/>
        <w:rPr>
          <w:rFonts w:hint="eastAsia" w:ascii="微软雅黑" w:hAnsi="微软雅黑" w:eastAsia="微软雅黑" w:cs="微软雅黑"/>
          <w:highlight w:val="none"/>
        </w:rPr>
      </w:pPr>
    </w:p>
    <w:p>
      <w:pPr>
        <w:spacing w:line="360" w:lineRule="auto"/>
        <w:ind w:firstLine="957" w:firstLineChars="299"/>
        <w:jc w:val="left"/>
        <w:rPr>
          <w:rFonts w:hint="eastAsia" w:ascii="微软雅黑" w:hAnsi="微软雅黑" w:eastAsia="微软雅黑" w:cs="微软雅黑"/>
          <w:b/>
          <w:bCs/>
          <w:sz w:val="30"/>
          <w:szCs w:val="30"/>
          <w:highlight w:val="none"/>
        </w:rPr>
      </w:pPr>
      <w:r>
        <w:rPr>
          <w:rFonts w:hint="eastAsia" w:ascii="微软雅黑" w:hAnsi="微软雅黑" w:eastAsia="微软雅黑" w:cs="微软雅黑"/>
          <w:b/>
          <w:bCs/>
          <w:sz w:val="32"/>
          <w:szCs w:val="32"/>
          <w:highlight w:val="none"/>
          <w:lang w:eastAsia="zh-CN"/>
        </w:rPr>
        <w:t>采</w:t>
      </w:r>
      <w:r>
        <w:rPr>
          <w:rFonts w:hint="eastAsia" w:ascii="微软雅黑" w:hAnsi="微软雅黑" w:eastAsia="微软雅黑" w:cs="微软雅黑"/>
          <w:b/>
          <w:bCs/>
          <w:sz w:val="32"/>
          <w:szCs w:val="32"/>
          <w:highlight w:val="none"/>
          <w:lang w:val="en-US" w:eastAsia="zh-CN"/>
        </w:rPr>
        <w:t xml:space="preserve"> </w:t>
      </w:r>
      <w:r>
        <w:rPr>
          <w:rFonts w:hint="eastAsia" w:ascii="微软雅黑" w:hAnsi="微软雅黑" w:eastAsia="微软雅黑" w:cs="微软雅黑"/>
          <w:b/>
          <w:bCs/>
          <w:sz w:val="32"/>
          <w:szCs w:val="32"/>
          <w:highlight w:val="none"/>
          <w:lang w:eastAsia="zh-CN"/>
        </w:rPr>
        <w:t>购</w:t>
      </w:r>
      <w:r>
        <w:rPr>
          <w:rFonts w:hint="eastAsia" w:ascii="微软雅黑" w:hAnsi="微软雅黑" w:eastAsia="微软雅黑" w:cs="微软雅黑"/>
          <w:b/>
          <w:bCs/>
          <w:sz w:val="32"/>
          <w:szCs w:val="32"/>
          <w:highlight w:val="none"/>
          <w:lang w:val="en-US" w:eastAsia="zh-CN"/>
        </w:rPr>
        <w:t xml:space="preserve"> </w:t>
      </w:r>
      <w:r>
        <w:rPr>
          <w:rFonts w:hint="eastAsia" w:ascii="微软雅黑" w:hAnsi="微软雅黑" w:eastAsia="微软雅黑" w:cs="微软雅黑"/>
          <w:b/>
          <w:bCs/>
          <w:sz w:val="32"/>
          <w:szCs w:val="32"/>
          <w:highlight w:val="none"/>
          <w:lang w:eastAsia="zh-CN"/>
        </w:rPr>
        <w:t>单</w:t>
      </w:r>
      <w:r>
        <w:rPr>
          <w:rFonts w:hint="eastAsia" w:ascii="微软雅黑" w:hAnsi="微软雅黑" w:eastAsia="微软雅黑" w:cs="微软雅黑"/>
          <w:b/>
          <w:bCs/>
          <w:sz w:val="32"/>
          <w:szCs w:val="32"/>
          <w:highlight w:val="none"/>
          <w:lang w:val="en-US" w:eastAsia="zh-CN"/>
        </w:rPr>
        <w:t xml:space="preserve"> </w:t>
      </w:r>
      <w:r>
        <w:rPr>
          <w:rFonts w:hint="eastAsia" w:ascii="微软雅黑" w:hAnsi="微软雅黑" w:eastAsia="微软雅黑" w:cs="微软雅黑"/>
          <w:b/>
          <w:bCs/>
          <w:sz w:val="32"/>
          <w:szCs w:val="32"/>
          <w:highlight w:val="none"/>
          <w:lang w:eastAsia="zh-CN"/>
        </w:rPr>
        <w:t>位：</w:t>
      </w:r>
      <w:r>
        <w:rPr>
          <w:rFonts w:hint="eastAsia" w:ascii="微软雅黑" w:hAnsi="微软雅黑" w:eastAsia="微软雅黑" w:cs="微软雅黑"/>
          <w:b/>
          <w:bCs/>
          <w:sz w:val="32"/>
          <w:szCs w:val="32"/>
          <w:highlight w:val="none"/>
          <w:lang w:val="en-US" w:eastAsia="zh-CN"/>
        </w:rPr>
        <w:t>喀什地区粮食和物资储备局</w:t>
      </w:r>
    </w:p>
    <w:p>
      <w:pPr>
        <w:spacing w:line="360" w:lineRule="auto"/>
        <w:ind w:firstLine="897" w:firstLineChars="299"/>
        <w:jc w:val="left"/>
        <w:rPr>
          <w:rFonts w:hint="eastAsia" w:ascii="微软雅黑" w:hAnsi="微软雅黑" w:eastAsia="微软雅黑" w:cs="微软雅黑"/>
          <w:b/>
          <w:bCs/>
          <w:sz w:val="30"/>
          <w:szCs w:val="30"/>
          <w:highlight w:val="none"/>
        </w:rPr>
      </w:pPr>
      <w:r>
        <w:rPr>
          <w:rFonts w:hint="eastAsia" w:ascii="微软雅黑" w:hAnsi="微软雅黑" w:eastAsia="微软雅黑" w:cs="微软雅黑"/>
          <w:b/>
          <w:bCs/>
          <w:sz w:val="30"/>
          <w:szCs w:val="30"/>
          <w:highlight w:val="none"/>
        </w:rPr>
        <w:t>采购代理机构：新疆永信国金工程管理咨询有限公司</w:t>
      </w:r>
    </w:p>
    <w:p>
      <w:pPr>
        <w:spacing w:line="600" w:lineRule="exact"/>
        <w:ind w:firstLine="897" w:firstLineChars="299"/>
        <w:rPr>
          <w:rFonts w:hint="eastAsia" w:ascii="微软雅黑" w:hAnsi="微软雅黑" w:eastAsia="微软雅黑" w:cs="微软雅黑"/>
          <w:b/>
          <w:bCs/>
          <w:sz w:val="30"/>
          <w:szCs w:val="30"/>
          <w:highlight w:val="none"/>
        </w:rPr>
      </w:pPr>
      <w:r>
        <w:rPr>
          <w:rFonts w:hint="eastAsia" w:ascii="微软雅黑" w:hAnsi="微软雅黑" w:eastAsia="微软雅黑" w:cs="微软雅黑"/>
          <w:b/>
          <w:bCs/>
          <w:sz w:val="30"/>
          <w:szCs w:val="30"/>
          <w:highlight w:val="none"/>
        </w:rPr>
        <w:t>发  出 日 期：</w:t>
      </w:r>
      <w:r>
        <w:rPr>
          <w:rFonts w:hint="eastAsia" w:ascii="微软雅黑" w:hAnsi="微软雅黑" w:eastAsia="微软雅黑" w:cs="微软雅黑"/>
          <w:b/>
          <w:bCs/>
          <w:sz w:val="30"/>
          <w:szCs w:val="30"/>
          <w:highlight w:val="none"/>
          <w:u w:val="single"/>
          <w:lang w:val="en-US" w:eastAsia="zh-CN"/>
        </w:rPr>
        <w:t>2022</w:t>
      </w:r>
      <w:r>
        <w:rPr>
          <w:rFonts w:hint="eastAsia" w:ascii="微软雅黑" w:hAnsi="微软雅黑" w:eastAsia="微软雅黑" w:cs="微软雅黑"/>
          <w:b/>
          <w:bCs/>
          <w:sz w:val="30"/>
          <w:szCs w:val="30"/>
          <w:highlight w:val="none"/>
          <w:u w:val="single"/>
        </w:rPr>
        <w:t>年</w:t>
      </w:r>
      <w:r>
        <w:rPr>
          <w:rFonts w:hint="eastAsia" w:ascii="微软雅黑" w:hAnsi="微软雅黑" w:eastAsia="微软雅黑" w:cs="微软雅黑"/>
          <w:b/>
          <w:bCs/>
          <w:sz w:val="30"/>
          <w:szCs w:val="30"/>
          <w:highlight w:val="none"/>
          <w:u w:val="single"/>
          <w:lang w:val="en-US" w:eastAsia="zh-CN"/>
        </w:rPr>
        <w:t>07</w:t>
      </w:r>
      <w:r>
        <w:rPr>
          <w:rFonts w:hint="eastAsia" w:ascii="微软雅黑" w:hAnsi="微软雅黑" w:eastAsia="微软雅黑" w:cs="微软雅黑"/>
          <w:b/>
          <w:bCs/>
          <w:sz w:val="30"/>
          <w:szCs w:val="30"/>
          <w:highlight w:val="none"/>
          <w:u w:val="single"/>
        </w:rPr>
        <w:t>月</w:t>
      </w:r>
      <w:r>
        <w:rPr>
          <w:rFonts w:hint="eastAsia" w:ascii="微软雅黑" w:hAnsi="微软雅黑" w:eastAsia="微软雅黑" w:cs="微软雅黑"/>
          <w:b/>
          <w:bCs/>
          <w:sz w:val="30"/>
          <w:szCs w:val="30"/>
          <w:highlight w:val="none"/>
        </w:rPr>
        <w:t xml:space="preserve"> </w:t>
      </w:r>
    </w:p>
    <w:p>
      <w:pPr>
        <w:outlineLvl w:val="9"/>
        <w:rPr>
          <w:rFonts w:hint="eastAsia" w:ascii="仿宋" w:hAnsi="仿宋" w:eastAsia="仿宋" w:cs="黑体"/>
          <w:b/>
          <w:bCs/>
          <w:sz w:val="30"/>
          <w:szCs w:val="30"/>
          <w:highlight w:val="none"/>
        </w:rPr>
      </w:pPr>
    </w:p>
    <w:p>
      <w:pPr>
        <w:pStyle w:val="5"/>
        <w:outlineLvl w:val="9"/>
        <w:rPr>
          <w:rFonts w:hint="eastAsia" w:ascii="仿宋" w:hAnsi="仿宋" w:eastAsia="仿宋" w:cs="黑体"/>
          <w:b/>
          <w:bCs/>
          <w:sz w:val="30"/>
          <w:szCs w:val="30"/>
          <w:highlight w:val="none"/>
        </w:rPr>
      </w:pPr>
    </w:p>
    <w:p>
      <w:pPr>
        <w:outlineLvl w:val="9"/>
        <w:rPr>
          <w:rFonts w:hint="eastAsia" w:ascii="仿宋" w:hAnsi="仿宋" w:eastAsia="仿宋" w:cs="黑体"/>
          <w:b/>
          <w:bCs/>
          <w:sz w:val="30"/>
          <w:szCs w:val="30"/>
          <w:highlight w:val="none"/>
        </w:rPr>
      </w:pPr>
    </w:p>
    <w:p>
      <w:pPr>
        <w:pStyle w:val="4"/>
        <w:rPr>
          <w:rFonts w:hint="eastAsia" w:ascii="仿宋" w:hAnsi="仿宋" w:eastAsia="仿宋" w:cs="黑体"/>
          <w:b/>
          <w:bCs/>
          <w:sz w:val="30"/>
          <w:szCs w:val="30"/>
          <w:highlight w:val="none"/>
        </w:rPr>
      </w:pPr>
    </w:p>
    <w:p>
      <w:pPr>
        <w:pStyle w:val="5"/>
        <w:rPr>
          <w:rFonts w:hint="eastAsia" w:ascii="仿宋" w:hAnsi="仿宋" w:eastAsia="仿宋" w:cs="黑体"/>
          <w:b/>
          <w:bCs/>
          <w:sz w:val="30"/>
          <w:szCs w:val="30"/>
          <w:highlight w:val="none"/>
        </w:rPr>
      </w:pPr>
    </w:p>
    <w:p>
      <w:pPr>
        <w:rPr>
          <w:rFonts w:hint="eastAsia"/>
          <w:highlight w:val="none"/>
        </w:rPr>
      </w:pPr>
    </w:p>
    <w:p>
      <w:pPr>
        <w:outlineLvl w:val="9"/>
        <w:rPr>
          <w:rFonts w:hint="eastAsia" w:ascii="仿宋" w:hAnsi="仿宋" w:eastAsia="仿宋" w:cs="黑体"/>
          <w:b/>
          <w:bCs/>
          <w:sz w:val="30"/>
          <w:szCs w:val="30"/>
          <w:highlight w:val="none"/>
        </w:rPr>
      </w:pPr>
    </w:p>
    <w:p>
      <w:pPr>
        <w:pStyle w:val="5"/>
        <w:outlineLvl w:val="9"/>
        <w:rPr>
          <w:rFonts w:hint="eastAsia" w:ascii="仿宋" w:hAnsi="仿宋" w:eastAsia="仿宋" w:cs="黑体"/>
          <w:b/>
          <w:bCs/>
          <w:sz w:val="30"/>
          <w:szCs w:val="30"/>
          <w:highlight w:val="none"/>
        </w:rPr>
      </w:pPr>
    </w:p>
    <w:p>
      <w:pPr>
        <w:outlineLvl w:val="9"/>
        <w:rPr>
          <w:rFonts w:hint="eastAsia" w:ascii="仿宋" w:hAnsi="仿宋" w:eastAsia="仿宋" w:cs="黑体"/>
          <w:b/>
          <w:bCs/>
          <w:sz w:val="30"/>
          <w:szCs w:val="30"/>
          <w:highlight w:val="none"/>
        </w:rPr>
      </w:pPr>
    </w:p>
    <w:p>
      <w:pPr>
        <w:outlineLvl w:val="9"/>
        <w:rPr>
          <w:rFonts w:hint="eastAsia" w:ascii="仿宋" w:hAnsi="仿宋" w:eastAsia="仿宋" w:cs="黑体"/>
          <w:b/>
          <w:bCs/>
          <w:sz w:val="30"/>
          <w:szCs w:val="30"/>
          <w:highlight w:val="none"/>
        </w:rPr>
      </w:pPr>
    </w:p>
    <w:p>
      <w:pPr>
        <w:outlineLvl w:val="9"/>
        <w:rPr>
          <w:rFonts w:hint="eastAsia" w:ascii="仿宋" w:hAnsi="仿宋" w:eastAsia="仿宋" w:cs="黑体"/>
          <w:b/>
          <w:bCs/>
          <w:sz w:val="30"/>
          <w:szCs w:val="30"/>
          <w:highlight w:val="none"/>
        </w:rPr>
      </w:pPr>
    </w:p>
    <w:p>
      <w:pPr>
        <w:outlineLvl w:val="9"/>
        <w:rPr>
          <w:highlight w:val="none"/>
        </w:rPr>
      </w:pPr>
    </w:p>
    <w:p>
      <w:pPr>
        <w:snapToGrid w:val="0"/>
        <w:spacing w:line="400" w:lineRule="exact"/>
        <w:ind w:left="1080" w:leftChars="257" w:hanging="540"/>
        <w:jc w:val="center"/>
        <w:textAlignment w:val="baseline"/>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目  录</w:t>
      </w:r>
    </w:p>
    <w:p>
      <w:pPr>
        <w:pStyle w:val="24"/>
        <w:tabs>
          <w:tab w:val="right" w:leader="dot" w:pos="8311"/>
        </w:tabs>
        <w:rPr>
          <w:highlight w:val="none"/>
        </w:rPr>
      </w:pPr>
      <w:r>
        <w:rPr>
          <w:rFonts w:hint="eastAsia" w:ascii="微软雅黑" w:hAnsi="微软雅黑" w:eastAsia="微软雅黑" w:cs="微软雅黑"/>
          <w:kern w:val="0"/>
          <w:sz w:val="24"/>
          <w:highlight w:val="none"/>
        </w:rPr>
        <w:fldChar w:fldCharType="begin"/>
      </w:r>
      <w:r>
        <w:rPr>
          <w:rFonts w:hint="eastAsia" w:ascii="微软雅黑" w:hAnsi="微软雅黑" w:eastAsia="微软雅黑" w:cs="微软雅黑"/>
          <w:kern w:val="0"/>
          <w:sz w:val="24"/>
          <w:highlight w:val="none"/>
        </w:rPr>
        <w:instrText xml:space="preserve"> TOC \o "1-3" \h \z \u </w:instrText>
      </w:r>
      <w:r>
        <w:rPr>
          <w:rFonts w:hint="eastAsia" w:ascii="微软雅黑" w:hAnsi="微软雅黑" w:eastAsia="微软雅黑" w:cs="微软雅黑"/>
          <w:kern w:val="0"/>
          <w:sz w:val="24"/>
          <w:highlight w:val="none"/>
        </w:rPr>
        <w:fldChar w:fldCharType="separate"/>
      </w: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_Toc25683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kern w:val="0"/>
          <w:szCs w:val="24"/>
          <w:highlight w:val="none"/>
        </w:rPr>
        <w:t xml:space="preserve">第1章  </w:t>
      </w:r>
      <w:r>
        <w:rPr>
          <w:rFonts w:hint="eastAsia" w:ascii="微软雅黑" w:hAnsi="微软雅黑" w:eastAsia="微软雅黑" w:cs="微软雅黑"/>
          <w:szCs w:val="32"/>
          <w:highlight w:val="none"/>
        </w:rPr>
        <w:t>供应商须知</w:t>
      </w:r>
      <w:r>
        <w:rPr>
          <w:highlight w:val="none"/>
        </w:rPr>
        <w:tab/>
      </w:r>
      <w:r>
        <w:rPr>
          <w:highlight w:val="none"/>
        </w:rPr>
        <w:fldChar w:fldCharType="begin"/>
      </w:r>
      <w:r>
        <w:rPr>
          <w:highlight w:val="none"/>
        </w:rPr>
        <w:instrText xml:space="preserve"> PAGEREF _Toc25683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_Toc32512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一   总 则</w:t>
      </w:r>
      <w:r>
        <w:rPr>
          <w:highlight w:val="none"/>
        </w:rPr>
        <w:tab/>
      </w:r>
      <w:r>
        <w:rPr>
          <w:highlight w:val="none"/>
        </w:rPr>
        <w:fldChar w:fldCharType="begin"/>
      </w:r>
      <w:r>
        <w:rPr>
          <w:highlight w:val="none"/>
        </w:rPr>
        <w:instrText xml:space="preserve"> PAGEREF _Toc32512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_Toc12153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1.采购人、采购代理机构及供应商</w:t>
      </w:r>
      <w:r>
        <w:rPr>
          <w:highlight w:val="none"/>
        </w:rPr>
        <w:tab/>
      </w:r>
      <w:r>
        <w:rPr>
          <w:highlight w:val="none"/>
        </w:rPr>
        <w:fldChar w:fldCharType="begin"/>
      </w:r>
      <w:r>
        <w:rPr>
          <w:highlight w:val="none"/>
        </w:rPr>
        <w:instrText xml:space="preserve"> PAGEREF _Toc12153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_Toc16698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2.资金来源</w:t>
      </w:r>
      <w:r>
        <w:rPr>
          <w:highlight w:val="none"/>
        </w:rPr>
        <w:tab/>
      </w:r>
      <w:r>
        <w:rPr>
          <w:highlight w:val="none"/>
        </w:rPr>
        <w:fldChar w:fldCharType="begin"/>
      </w:r>
      <w:r>
        <w:rPr>
          <w:highlight w:val="none"/>
        </w:rPr>
        <w:instrText xml:space="preserve"> PAGEREF _Toc16698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_Toc29797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3.磋商费用</w:t>
      </w:r>
      <w:r>
        <w:rPr>
          <w:highlight w:val="none"/>
        </w:rPr>
        <w:tab/>
      </w:r>
      <w:r>
        <w:rPr>
          <w:highlight w:val="none"/>
        </w:rPr>
        <w:fldChar w:fldCharType="begin"/>
      </w:r>
      <w:r>
        <w:rPr>
          <w:highlight w:val="none"/>
        </w:rPr>
        <w:instrText xml:space="preserve"> PAGEREF _Toc29797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_Toc27599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4.适用法律</w:t>
      </w:r>
      <w:r>
        <w:rPr>
          <w:highlight w:val="none"/>
        </w:rPr>
        <w:tab/>
      </w:r>
      <w:r>
        <w:rPr>
          <w:highlight w:val="none"/>
        </w:rPr>
        <w:fldChar w:fldCharType="begin"/>
      </w:r>
      <w:r>
        <w:rPr>
          <w:highlight w:val="none"/>
        </w:rPr>
        <w:instrText xml:space="preserve"> PAGEREF _Toc27599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_Toc13380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二   磋商文件</w:t>
      </w:r>
      <w:r>
        <w:rPr>
          <w:highlight w:val="none"/>
        </w:rPr>
        <w:tab/>
      </w:r>
      <w:r>
        <w:rPr>
          <w:highlight w:val="none"/>
        </w:rPr>
        <w:fldChar w:fldCharType="begin"/>
      </w:r>
      <w:r>
        <w:rPr>
          <w:highlight w:val="none"/>
        </w:rPr>
        <w:instrText xml:space="preserve"> PAGEREF _Toc13380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_Toc27258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5.磋商文件构成</w:t>
      </w:r>
      <w:r>
        <w:rPr>
          <w:highlight w:val="none"/>
        </w:rPr>
        <w:tab/>
      </w:r>
      <w:r>
        <w:rPr>
          <w:highlight w:val="none"/>
        </w:rPr>
        <w:fldChar w:fldCharType="begin"/>
      </w:r>
      <w:r>
        <w:rPr>
          <w:highlight w:val="none"/>
        </w:rPr>
        <w:instrText xml:space="preserve"> PAGEREF _Toc27258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_Toc1541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6.磋商文件的澄清与修改</w:t>
      </w:r>
      <w:r>
        <w:rPr>
          <w:highlight w:val="none"/>
        </w:rPr>
        <w:tab/>
      </w:r>
      <w:r>
        <w:rPr>
          <w:highlight w:val="none"/>
        </w:rPr>
        <w:fldChar w:fldCharType="begin"/>
      </w:r>
      <w:r>
        <w:rPr>
          <w:highlight w:val="none"/>
        </w:rPr>
        <w:instrText xml:space="preserve"> PAGEREF _Toc1541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_Toc29197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7.磋商截止时间的顺延</w:t>
      </w:r>
      <w:r>
        <w:rPr>
          <w:highlight w:val="none"/>
        </w:rPr>
        <w:tab/>
      </w:r>
      <w:r>
        <w:rPr>
          <w:highlight w:val="none"/>
        </w:rPr>
        <w:fldChar w:fldCharType="begin"/>
      </w:r>
      <w:r>
        <w:rPr>
          <w:highlight w:val="none"/>
        </w:rPr>
        <w:instrText xml:space="preserve"> PAGEREF _Toc29197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_Toc18023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三   响应文件的编制</w:t>
      </w:r>
      <w:r>
        <w:rPr>
          <w:highlight w:val="none"/>
        </w:rPr>
        <w:tab/>
      </w:r>
      <w:r>
        <w:rPr>
          <w:highlight w:val="none"/>
        </w:rPr>
        <w:fldChar w:fldCharType="begin"/>
      </w:r>
      <w:r>
        <w:rPr>
          <w:highlight w:val="none"/>
        </w:rPr>
        <w:instrText xml:space="preserve"> PAGEREF _Toc18023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pos="3600"/>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_Toc17079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8.</w:t>
      </w:r>
      <w:r>
        <w:rPr>
          <w:rFonts w:hint="eastAsia" w:ascii="微软雅黑" w:hAnsi="微软雅黑" w:eastAsia="微软雅黑" w:cs="微软雅黑"/>
          <w:highlight w:val="none"/>
        </w:rPr>
        <w:tab/>
      </w:r>
      <w:r>
        <w:rPr>
          <w:rFonts w:hint="eastAsia" w:ascii="微软雅黑" w:hAnsi="微软雅黑" w:eastAsia="微软雅黑" w:cs="微软雅黑"/>
          <w:highlight w:val="none"/>
        </w:rPr>
        <w:t>磋商范围及响应文件成交准和计量单位的使用</w:t>
      </w:r>
      <w:r>
        <w:rPr>
          <w:highlight w:val="none"/>
        </w:rPr>
        <w:tab/>
      </w:r>
      <w:r>
        <w:rPr>
          <w:highlight w:val="none"/>
        </w:rPr>
        <w:fldChar w:fldCharType="begin"/>
      </w:r>
      <w:r>
        <w:rPr>
          <w:highlight w:val="none"/>
        </w:rPr>
        <w:instrText xml:space="preserve"> PAGEREF _Toc17079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_Toc22944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9.响应文件构成</w:t>
      </w:r>
      <w:r>
        <w:rPr>
          <w:highlight w:val="none"/>
        </w:rPr>
        <w:tab/>
      </w:r>
      <w:r>
        <w:rPr>
          <w:highlight w:val="none"/>
        </w:rPr>
        <w:fldChar w:fldCharType="begin"/>
      </w:r>
      <w:r>
        <w:rPr>
          <w:highlight w:val="none"/>
        </w:rPr>
        <w:instrText xml:space="preserve"> PAGEREF _Toc22944 \h </w:instrText>
      </w:r>
      <w:r>
        <w:rPr>
          <w:highlight w:val="none"/>
        </w:rPr>
        <w:fldChar w:fldCharType="separate"/>
      </w:r>
      <w:r>
        <w:rPr>
          <w:highlight w:val="none"/>
        </w:rPr>
        <w:t>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pos="3600"/>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_Toc18827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10.</w:t>
      </w:r>
      <w:r>
        <w:rPr>
          <w:rFonts w:hint="eastAsia" w:ascii="微软雅黑" w:hAnsi="微软雅黑" w:eastAsia="微软雅黑" w:cs="微软雅黑"/>
          <w:highlight w:val="none"/>
        </w:rPr>
        <w:tab/>
      </w:r>
      <w:r>
        <w:rPr>
          <w:rFonts w:hint="eastAsia" w:ascii="微软雅黑" w:hAnsi="微软雅黑" w:eastAsia="微软雅黑" w:cs="微软雅黑"/>
          <w:highlight w:val="none"/>
        </w:rPr>
        <w:t>证明磋商标的的合格性和符合磋商文件规定的技术文件</w:t>
      </w:r>
      <w:r>
        <w:rPr>
          <w:highlight w:val="none"/>
        </w:rPr>
        <w:tab/>
      </w:r>
      <w:r>
        <w:rPr>
          <w:highlight w:val="none"/>
        </w:rPr>
        <w:fldChar w:fldCharType="begin"/>
      </w:r>
      <w:r>
        <w:rPr>
          <w:highlight w:val="none"/>
        </w:rPr>
        <w:instrText xml:space="preserve"> PAGEREF _Toc18827 \h </w:instrText>
      </w:r>
      <w:r>
        <w:rPr>
          <w:highlight w:val="none"/>
        </w:rPr>
        <w:fldChar w:fldCharType="separate"/>
      </w:r>
      <w:r>
        <w:rPr>
          <w:highlight w:val="none"/>
        </w:rPr>
        <w:t>7</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_Toc4933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11.磋商报价</w:t>
      </w:r>
      <w:r>
        <w:rPr>
          <w:highlight w:val="none"/>
        </w:rPr>
        <w:tab/>
      </w:r>
      <w:r>
        <w:rPr>
          <w:highlight w:val="none"/>
        </w:rPr>
        <w:fldChar w:fldCharType="begin"/>
      </w:r>
      <w:r>
        <w:rPr>
          <w:highlight w:val="none"/>
        </w:rPr>
        <w:instrText xml:space="preserve"> PAGEREF _Toc4933 \h </w:instrText>
      </w:r>
      <w:r>
        <w:rPr>
          <w:highlight w:val="none"/>
        </w:rPr>
        <w:fldChar w:fldCharType="separate"/>
      </w:r>
      <w:r>
        <w:rPr>
          <w:highlight w:val="none"/>
        </w:rPr>
        <w:t>7</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_Toc855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12.磋商保证金</w:t>
      </w:r>
      <w:r>
        <w:rPr>
          <w:highlight w:val="none"/>
        </w:rPr>
        <w:tab/>
      </w:r>
      <w:r>
        <w:rPr>
          <w:highlight w:val="none"/>
        </w:rPr>
        <w:fldChar w:fldCharType="begin"/>
      </w:r>
      <w:r>
        <w:rPr>
          <w:highlight w:val="none"/>
        </w:rPr>
        <w:instrText xml:space="preserve"> PAGEREF _Toc855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_Toc15953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13.磋商有效期</w:t>
      </w:r>
      <w:r>
        <w:rPr>
          <w:highlight w:val="none"/>
        </w:rPr>
        <w:tab/>
      </w:r>
      <w:r>
        <w:rPr>
          <w:highlight w:val="none"/>
        </w:rPr>
        <w:fldChar w:fldCharType="begin"/>
      </w:r>
      <w:r>
        <w:rPr>
          <w:highlight w:val="none"/>
        </w:rPr>
        <w:instrText xml:space="preserve"> PAGEREF _Toc15953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_Toc21251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14.响应文件的签署及规定</w:t>
      </w:r>
      <w:r>
        <w:rPr>
          <w:highlight w:val="none"/>
        </w:rPr>
        <w:tab/>
      </w:r>
      <w:r>
        <w:rPr>
          <w:highlight w:val="none"/>
        </w:rPr>
        <w:fldChar w:fldCharType="begin"/>
      </w:r>
      <w:r>
        <w:rPr>
          <w:highlight w:val="none"/>
        </w:rPr>
        <w:instrText xml:space="preserve"> PAGEREF _Toc21251 \h </w:instrText>
      </w:r>
      <w:r>
        <w:rPr>
          <w:highlight w:val="none"/>
        </w:rPr>
        <w:fldChar w:fldCharType="separate"/>
      </w:r>
      <w:r>
        <w:rPr>
          <w:highlight w:val="none"/>
        </w:rPr>
        <w:t>9</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_Toc20092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四   响应文件的递交</w:t>
      </w:r>
      <w:r>
        <w:rPr>
          <w:highlight w:val="none"/>
        </w:rPr>
        <w:tab/>
      </w:r>
      <w:r>
        <w:rPr>
          <w:highlight w:val="none"/>
        </w:rPr>
        <w:fldChar w:fldCharType="begin"/>
      </w:r>
      <w:r>
        <w:rPr>
          <w:highlight w:val="none"/>
        </w:rPr>
        <w:instrText xml:space="preserve"> PAGEREF _Toc20092 \h </w:instrText>
      </w:r>
      <w:r>
        <w:rPr>
          <w:highlight w:val="none"/>
        </w:rPr>
        <w:fldChar w:fldCharType="separate"/>
      </w:r>
      <w:r>
        <w:rPr>
          <w:highlight w:val="none"/>
        </w:rPr>
        <w:t>9</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_Toc20496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15.响应文件的密封和标记</w:t>
      </w:r>
      <w:r>
        <w:rPr>
          <w:highlight w:val="none"/>
        </w:rPr>
        <w:tab/>
      </w:r>
      <w:r>
        <w:rPr>
          <w:highlight w:val="none"/>
        </w:rPr>
        <w:fldChar w:fldCharType="begin"/>
      </w:r>
      <w:r>
        <w:rPr>
          <w:highlight w:val="none"/>
        </w:rPr>
        <w:instrText xml:space="preserve"> PAGEREF _Toc20496 \h </w:instrText>
      </w:r>
      <w:r>
        <w:rPr>
          <w:highlight w:val="none"/>
        </w:rPr>
        <w:fldChar w:fldCharType="separate"/>
      </w:r>
      <w:r>
        <w:rPr>
          <w:highlight w:val="none"/>
        </w:rPr>
        <w:t>9</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_Toc19785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16.磋商截止</w:t>
      </w:r>
      <w:r>
        <w:rPr>
          <w:highlight w:val="none"/>
        </w:rPr>
        <w:tab/>
      </w:r>
      <w:r>
        <w:rPr>
          <w:highlight w:val="none"/>
        </w:rPr>
        <w:fldChar w:fldCharType="begin"/>
      </w:r>
      <w:r>
        <w:rPr>
          <w:highlight w:val="none"/>
        </w:rPr>
        <w:instrText xml:space="preserve"> PAGEREF _Toc19785 \h </w:instrText>
      </w:r>
      <w:r>
        <w:rPr>
          <w:highlight w:val="none"/>
        </w:rPr>
        <w:fldChar w:fldCharType="separate"/>
      </w:r>
      <w:r>
        <w:rPr>
          <w:highlight w:val="none"/>
        </w:rPr>
        <w:t>9</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_Toc30194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17.响应文件的接收、修改与撤回</w:t>
      </w:r>
      <w:r>
        <w:rPr>
          <w:highlight w:val="none"/>
        </w:rPr>
        <w:tab/>
      </w:r>
      <w:r>
        <w:rPr>
          <w:highlight w:val="none"/>
        </w:rPr>
        <w:fldChar w:fldCharType="begin"/>
      </w:r>
      <w:r>
        <w:rPr>
          <w:highlight w:val="none"/>
        </w:rPr>
        <w:instrText xml:space="preserve"> PAGEREF _Toc30194 \h </w:instrText>
      </w:r>
      <w:r>
        <w:rPr>
          <w:highlight w:val="none"/>
        </w:rPr>
        <w:fldChar w:fldCharType="separate"/>
      </w:r>
      <w:r>
        <w:rPr>
          <w:highlight w:val="none"/>
        </w:rPr>
        <w:t>10</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_Toc29812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五   磋商及评审</w:t>
      </w:r>
      <w:r>
        <w:rPr>
          <w:highlight w:val="none"/>
        </w:rPr>
        <w:tab/>
      </w:r>
      <w:r>
        <w:rPr>
          <w:highlight w:val="none"/>
        </w:rPr>
        <w:fldChar w:fldCharType="begin"/>
      </w:r>
      <w:r>
        <w:rPr>
          <w:highlight w:val="none"/>
        </w:rPr>
        <w:instrText xml:space="preserve"> PAGEREF _Toc29812 \h </w:instrText>
      </w:r>
      <w:r>
        <w:rPr>
          <w:highlight w:val="none"/>
        </w:rPr>
        <w:fldChar w:fldCharType="separate"/>
      </w:r>
      <w:r>
        <w:rPr>
          <w:highlight w:val="none"/>
        </w:rPr>
        <w:t>10</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_Toc4261 </w:instrText>
      </w:r>
      <w:r>
        <w:rPr>
          <w:rFonts w:hint="eastAsia" w:ascii="微软雅黑" w:hAnsi="微软雅黑" w:eastAsia="微软雅黑" w:cs="微软雅黑"/>
          <w:kern w:val="0"/>
          <w:highlight w:val="none"/>
        </w:rPr>
        <w:fldChar w:fldCharType="separate"/>
      </w:r>
      <w:r>
        <w:rPr>
          <w:rFonts w:ascii="微软雅黑" w:hAnsi="微软雅黑" w:eastAsia="微软雅黑" w:cs="微软雅黑"/>
          <w:highlight w:val="none"/>
        </w:rPr>
        <w:t xml:space="preserve">18. </w:t>
      </w:r>
      <w:r>
        <w:rPr>
          <w:rFonts w:hint="eastAsia" w:ascii="微软雅黑" w:hAnsi="微软雅黑" w:eastAsia="微软雅黑" w:cs="微软雅黑"/>
          <w:highlight w:val="none"/>
        </w:rPr>
        <w:t>磋商</w:t>
      </w:r>
      <w:r>
        <w:rPr>
          <w:highlight w:val="none"/>
        </w:rPr>
        <w:tab/>
      </w:r>
      <w:r>
        <w:rPr>
          <w:highlight w:val="none"/>
        </w:rPr>
        <w:fldChar w:fldCharType="begin"/>
      </w:r>
      <w:r>
        <w:rPr>
          <w:highlight w:val="none"/>
        </w:rPr>
        <w:instrText xml:space="preserve"> PAGEREF _Toc4261 \h </w:instrText>
      </w:r>
      <w:r>
        <w:rPr>
          <w:highlight w:val="none"/>
        </w:rPr>
        <w:fldChar w:fldCharType="separate"/>
      </w:r>
      <w:r>
        <w:rPr>
          <w:highlight w:val="none"/>
        </w:rPr>
        <w:t>10</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_Toc3570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19.资格审查及组建磋商小组</w:t>
      </w:r>
      <w:r>
        <w:rPr>
          <w:highlight w:val="none"/>
        </w:rPr>
        <w:tab/>
      </w:r>
      <w:r>
        <w:rPr>
          <w:highlight w:val="none"/>
        </w:rPr>
        <w:fldChar w:fldCharType="begin"/>
      </w:r>
      <w:r>
        <w:rPr>
          <w:highlight w:val="none"/>
        </w:rPr>
        <w:instrText xml:space="preserve"> PAGEREF _Toc3570 \h </w:instrText>
      </w:r>
      <w:r>
        <w:rPr>
          <w:highlight w:val="none"/>
        </w:rPr>
        <w:fldChar w:fldCharType="separate"/>
      </w:r>
      <w:r>
        <w:rPr>
          <w:highlight w:val="none"/>
        </w:rPr>
        <w:t>10</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_Toc24349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20.响应文件符合性审查与澄清</w:t>
      </w:r>
      <w:r>
        <w:rPr>
          <w:highlight w:val="none"/>
        </w:rPr>
        <w:tab/>
      </w:r>
      <w:r>
        <w:rPr>
          <w:highlight w:val="none"/>
        </w:rPr>
        <w:fldChar w:fldCharType="begin"/>
      </w:r>
      <w:r>
        <w:rPr>
          <w:highlight w:val="none"/>
        </w:rPr>
        <w:instrText xml:space="preserve"> PAGEREF _Toc24349 \h </w:instrText>
      </w:r>
      <w:r>
        <w:rPr>
          <w:highlight w:val="none"/>
        </w:rPr>
        <w:fldChar w:fldCharType="separate"/>
      </w:r>
      <w:r>
        <w:rPr>
          <w:highlight w:val="none"/>
        </w:rPr>
        <w:t>12</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_Toc5210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21.磋商偏离</w:t>
      </w:r>
      <w:r>
        <w:rPr>
          <w:highlight w:val="none"/>
        </w:rPr>
        <w:tab/>
      </w:r>
      <w:r>
        <w:rPr>
          <w:highlight w:val="none"/>
        </w:rPr>
        <w:fldChar w:fldCharType="begin"/>
      </w:r>
      <w:r>
        <w:rPr>
          <w:highlight w:val="none"/>
        </w:rPr>
        <w:instrText xml:space="preserve"> PAGEREF _Toc5210 \h </w:instrText>
      </w:r>
      <w:r>
        <w:rPr>
          <w:highlight w:val="none"/>
        </w:rPr>
        <w:fldChar w:fldCharType="separate"/>
      </w:r>
      <w:r>
        <w:rPr>
          <w:highlight w:val="none"/>
        </w:rPr>
        <w:t>13</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_Toc11927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22.磋商无效</w:t>
      </w:r>
      <w:r>
        <w:rPr>
          <w:highlight w:val="none"/>
        </w:rPr>
        <w:tab/>
      </w:r>
      <w:r>
        <w:rPr>
          <w:highlight w:val="none"/>
        </w:rPr>
        <w:fldChar w:fldCharType="begin"/>
      </w:r>
      <w:r>
        <w:rPr>
          <w:highlight w:val="none"/>
        </w:rPr>
        <w:instrText xml:space="preserve"> PAGEREF _Toc11927 \h </w:instrText>
      </w:r>
      <w:r>
        <w:rPr>
          <w:highlight w:val="none"/>
        </w:rPr>
        <w:fldChar w:fldCharType="separate"/>
      </w:r>
      <w:r>
        <w:rPr>
          <w:highlight w:val="none"/>
        </w:rPr>
        <w:t>13</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_Toc21880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23.比较与评价</w:t>
      </w:r>
      <w:r>
        <w:rPr>
          <w:highlight w:val="none"/>
        </w:rPr>
        <w:tab/>
      </w:r>
      <w:r>
        <w:rPr>
          <w:highlight w:val="none"/>
        </w:rPr>
        <w:fldChar w:fldCharType="begin"/>
      </w:r>
      <w:r>
        <w:rPr>
          <w:highlight w:val="none"/>
        </w:rPr>
        <w:instrText xml:space="preserve"> PAGEREF _Toc21880 \h </w:instrText>
      </w:r>
      <w:r>
        <w:rPr>
          <w:highlight w:val="none"/>
        </w:rPr>
        <w:fldChar w:fldCharType="separate"/>
      </w:r>
      <w:r>
        <w:rPr>
          <w:highlight w:val="none"/>
        </w:rPr>
        <w:t>14</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_Toc21943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24.废标</w:t>
      </w:r>
      <w:r>
        <w:rPr>
          <w:highlight w:val="none"/>
        </w:rPr>
        <w:tab/>
      </w:r>
      <w:r>
        <w:rPr>
          <w:highlight w:val="none"/>
        </w:rPr>
        <w:fldChar w:fldCharType="begin"/>
      </w:r>
      <w:r>
        <w:rPr>
          <w:highlight w:val="none"/>
        </w:rPr>
        <w:instrText xml:space="preserve"> PAGEREF _Toc21943 \h </w:instrText>
      </w:r>
      <w:r>
        <w:rPr>
          <w:highlight w:val="none"/>
        </w:rPr>
        <w:fldChar w:fldCharType="separate"/>
      </w:r>
      <w:r>
        <w:rPr>
          <w:highlight w:val="none"/>
        </w:rPr>
        <w:t>14</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_Toc13635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25.保密原则</w:t>
      </w:r>
      <w:r>
        <w:rPr>
          <w:highlight w:val="none"/>
        </w:rPr>
        <w:tab/>
      </w:r>
      <w:r>
        <w:rPr>
          <w:highlight w:val="none"/>
        </w:rPr>
        <w:fldChar w:fldCharType="begin"/>
      </w:r>
      <w:r>
        <w:rPr>
          <w:highlight w:val="none"/>
        </w:rPr>
        <w:instrText xml:space="preserve"> PAGEREF _Toc13635 \h </w:instrText>
      </w:r>
      <w:r>
        <w:rPr>
          <w:highlight w:val="none"/>
        </w:rPr>
        <w:fldChar w:fldCharType="separate"/>
      </w:r>
      <w:r>
        <w:rPr>
          <w:highlight w:val="none"/>
        </w:rPr>
        <w:t>14</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_Toc30970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六   确定成交</w:t>
      </w:r>
      <w:r>
        <w:rPr>
          <w:highlight w:val="none"/>
        </w:rPr>
        <w:tab/>
      </w:r>
      <w:r>
        <w:rPr>
          <w:highlight w:val="none"/>
        </w:rPr>
        <w:fldChar w:fldCharType="begin"/>
      </w:r>
      <w:r>
        <w:rPr>
          <w:highlight w:val="none"/>
        </w:rPr>
        <w:instrText xml:space="preserve"> PAGEREF _Toc30970 \h </w:instrText>
      </w:r>
      <w:r>
        <w:rPr>
          <w:highlight w:val="none"/>
        </w:rPr>
        <w:fldChar w:fldCharType="separate"/>
      </w:r>
      <w:r>
        <w:rPr>
          <w:highlight w:val="none"/>
        </w:rPr>
        <w:t>14</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_Toc15667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26.成交候选人的确定原则及标准</w:t>
      </w:r>
      <w:r>
        <w:rPr>
          <w:highlight w:val="none"/>
        </w:rPr>
        <w:tab/>
      </w:r>
      <w:r>
        <w:rPr>
          <w:highlight w:val="none"/>
        </w:rPr>
        <w:fldChar w:fldCharType="begin"/>
      </w:r>
      <w:r>
        <w:rPr>
          <w:highlight w:val="none"/>
        </w:rPr>
        <w:instrText xml:space="preserve"> PAGEREF _Toc15667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_Toc24347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27.确定成交候选人和成交人</w:t>
      </w:r>
      <w:r>
        <w:rPr>
          <w:highlight w:val="none"/>
        </w:rPr>
        <w:tab/>
      </w:r>
      <w:r>
        <w:rPr>
          <w:highlight w:val="none"/>
        </w:rPr>
        <w:fldChar w:fldCharType="begin"/>
      </w:r>
      <w:r>
        <w:rPr>
          <w:highlight w:val="none"/>
        </w:rPr>
        <w:instrText xml:space="preserve"> PAGEREF _Toc24347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_Toc6046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28.采购任务取消</w:t>
      </w:r>
      <w:r>
        <w:rPr>
          <w:highlight w:val="none"/>
        </w:rPr>
        <w:tab/>
      </w:r>
      <w:r>
        <w:rPr>
          <w:highlight w:val="none"/>
        </w:rPr>
        <w:fldChar w:fldCharType="begin"/>
      </w:r>
      <w:r>
        <w:rPr>
          <w:highlight w:val="none"/>
        </w:rPr>
        <w:instrText xml:space="preserve"> PAGEREF _Toc6046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_Toc5524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29.成交通知书和招标结果通知书</w:t>
      </w:r>
      <w:r>
        <w:rPr>
          <w:highlight w:val="none"/>
        </w:rPr>
        <w:tab/>
      </w:r>
      <w:r>
        <w:rPr>
          <w:highlight w:val="none"/>
        </w:rPr>
        <w:fldChar w:fldCharType="begin"/>
      </w:r>
      <w:r>
        <w:rPr>
          <w:highlight w:val="none"/>
        </w:rPr>
        <w:instrText xml:space="preserve"> PAGEREF _Toc5524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_Toc24227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30.签订合同</w:t>
      </w:r>
      <w:r>
        <w:rPr>
          <w:highlight w:val="none"/>
        </w:rPr>
        <w:tab/>
      </w:r>
      <w:r>
        <w:rPr>
          <w:highlight w:val="none"/>
        </w:rPr>
        <w:fldChar w:fldCharType="begin"/>
      </w:r>
      <w:r>
        <w:rPr>
          <w:highlight w:val="none"/>
        </w:rPr>
        <w:instrText xml:space="preserve"> PAGEREF _Toc24227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_Toc20049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31.履约保证金</w:t>
      </w:r>
      <w:r>
        <w:rPr>
          <w:highlight w:val="none"/>
        </w:rPr>
        <w:tab/>
      </w:r>
      <w:r>
        <w:rPr>
          <w:highlight w:val="none"/>
        </w:rPr>
        <w:fldChar w:fldCharType="begin"/>
      </w:r>
      <w:r>
        <w:rPr>
          <w:highlight w:val="none"/>
        </w:rPr>
        <w:instrText xml:space="preserve"> PAGEREF _Toc20049 \h </w:instrText>
      </w:r>
      <w:r>
        <w:rPr>
          <w:highlight w:val="none"/>
        </w:rPr>
        <w:fldChar w:fldCharType="separate"/>
      </w:r>
      <w:r>
        <w:rPr>
          <w:highlight w:val="none"/>
        </w:rPr>
        <w:t>15</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_Toc9123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32.成交服务费</w:t>
      </w:r>
      <w:r>
        <w:rPr>
          <w:highlight w:val="none"/>
        </w:rPr>
        <w:tab/>
      </w:r>
      <w:r>
        <w:rPr>
          <w:highlight w:val="none"/>
        </w:rPr>
        <w:fldChar w:fldCharType="begin"/>
      </w:r>
      <w:r>
        <w:rPr>
          <w:highlight w:val="none"/>
        </w:rPr>
        <w:instrText xml:space="preserve"> PAGEREF _Toc9123 \h </w:instrText>
      </w:r>
      <w:r>
        <w:rPr>
          <w:highlight w:val="none"/>
        </w:rPr>
        <w:fldChar w:fldCharType="separate"/>
      </w:r>
      <w:r>
        <w:rPr>
          <w:highlight w:val="none"/>
        </w:rPr>
        <w:t>16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_Toc26572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33.政府采购信用担保</w:t>
      </w:r>
      <w:r>
        <w:rPr>
          <w:highlight w:val="none"/>
        </w:rPr>
        <w:tab/>
      </w:r>
      <w:r>
        <w:rPr>
          <w:highlight w:val="none"/>
        </w:rPr>
        <w:fldChar w:fldCharType="begin"/>
      </w:r>
      <w:r>
        <w:rPr>
          <w:highlight w:val="none"/>
        </w:rPr>
        <w:instrText xml:space="preserve"> PAGEREF _Toc26572 \h </w:instrText>
      </w:r>
      <w:r>
        <w:rPr>
          <w:highlight w:val="none"/>
        </w:rPr>
        <w:fldChar w:fldCharType="separate"/>
      </w:r>
      <w:r>
        <w:rPr>
          <w:highlight w:val="none"/>
        </w:rPr>
        <w:t>16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_Toc31584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34.廉洁自律规定</w:t>
      </w:r>
      <w:r>
        <w:rPr>
          <w:highlight w:val="none"/>
        </w:rPr>
        <w:tab/>
      </w:r>
      <w:r>
        <w:rPr>
          <w:highlight w:val="none"/>
        </w:rPr>
        <w:fldChar w:fldCharType="begin"/>
      </w:r>
      <w:r>
        <w:rPr>
          <w:highlight w:val="none"/>
        </w:rPr>
        <w:instrText xml:space="preserve"> PAGEREF _Toc31584 \h </w:instrText>
      </w:r>
      <w:r>
        <w:rPr>
          <w:highlight w:val="none"/>
        </w:rPr>
        <w:fldChar w:fldCharType="separate"/>
      </w:r>
      <w:r>
        <w:rPr>
          <w:highlight w:val="none"/>
        </w:rPr>
        <w:t>16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_Toc23336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35.人员回避</w:t>
      </w:r>
      <w:r>
        <w:rPr>
          <w:highlight w:val="none"/>
        </w:rPr>
        <w:tab/>
      </w:r>
      <w:r>
        <w:rPr>
          <w:highlight w:val="none"/>
        </w:rPr>
        <w:fldChar w:fldCharType="begin"/>
      </w:r>
      <w:r>
        <w:rPr>
          <w:highlight w:val="none"/>
        </w:rPr>
        <w:instrText xml:space="preserve"> PAGEREF _Toc23336 \h </w:instrText>
      </w:r>
      <w:r>
        <w:rPr>
          <w:highlight w:val="none"/>
        </w:rPr>
        <w:fldChar w:fldCharType="separate"/>
      </w:r>
      <w:r>
        <w:rPr>
          <w:highlight w:val="none"/>
        </w:rPr>
        <w:t>16</w:t>
      </w:r>
      <w:r>
        <w:rPr>
          <w:highlight w:val="none"/>
        </w:rPr>
        <w:fldChar w:fldCharType="end"/>
      </w:r>
      <w:r>
        <w:rPr>
          <w:rFonts w:hint="eastAsia" w:ascii="微软雅黑" w:hAnsi="微软雅黑" w:eastAsia="微软雅黑" w:cs="微软雅黑"/>
          <w:kern w:val="0"/>
          <w:highlight w:val="none"/>
        </w:rPr>
        <w:fldChar w:fldCharType="end"/>
      </w:r>
    </w:p>
    <w:p>
      <w:pPr>
        <w:pStyle w:val="16"/>
        <w:tabs>
          <w:tab w:val="right" w:leader="dot" w:pos="8311"/>
          <w:tab w:val="clear" w:pos="1260"/>
          <w:tab w:val="clear" w:pos="8630"/>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_Toc31800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36.质疑与接收</w:t>
      </w:r>
      <w:r>
        <w:rPr>
          <w:highlight w:val="none"/>
        </w:rPr>
        <w:tab/>
      </w:r>
      <w:r>
        <w:rPr>
          <w:highlight w:val="none"/>
        </w:rPr>
        <w:fldChar w:fldCharType="begin"/>
      </w:r>
      <w:r>
        <w:rPr>
          <w:highlight w:val="none"/>
        </w:rPr>
        <w:instrText xml:space="preserve"> PAGEREF _Toc31800 \h </w:instrText>
      </w:r>
      <w:r>
        <w:rPr>
          <w:highlight w:val="none"/>
        </w:rPr>
        <w:fldChar w:fldCharType="separate"/>
      </w:r>
      <w:r>
        <w:rPr>
          <w:highlight w:val="none"/>
        </w:rPr>
        <w:t>16</w:t>
      </w:r>
      <w:r>
        <w:rPr>
          <w:highlight w:val="none"/>
        </w:rPr>
        <w:fldChar w:fldCharType="end"/>
      </w:r>
      <w:r>
        <w:rPr>
          <w:rFonts w:hint="eastAsia" w:ascii="微软雅黑" w:hAnsi="微软雅黑" w:eastAsia="微软雅黑" w:cs="微软雅黑"/>
          <w:kern w:val="0"/>
          <w:highlight w:val="none"/>
        </w:rPr>
        <w:fldChar w:fldCharType="end"/>
      </w:r>
    </w:p>
    <w:p>
      <w:pPr>
        <w:pStyle w:val="24"/>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_Toc26629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第2章 响应文件格式</w:t>
      </w:r>
      <w:r>
        <w:rPr>
          <w:highlight w:val="none"/>
        </w:rPr>
        <w:tab/>
      </w:r>
      <w:r>
        <w:rPr>
          <w:highlight w:val="none"/>
        </w:rPr>
        <w:fldChar w:fldCharType="begin"/>
      </w:r>
      <w:r>
        <w:rPr>
          <w:highlight w:val="none"/>
        </w:rPr>
        <w:instrText xml:space="preserve"> PAGEREF _Toc26629 \h </w:instrText>
      </w:r>
      <w:r>
        <w:rPr>
          <w:highlight w:val="none"/>
        </w:rPr>
        <w:fldChar w:fldCharType="separate"/>
      </w:r>
      <w:r>
        <w:rPr>
          <w:highlight w:val="none"/>
        </w:rPr>
        <w:t>21</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_Toc18198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第一部分 磋商开启一览表及资格证明文件</w:t>
      </w:r>
      <w:r>
        <w:rPr>
          <w:highlight w:val="none"/>
        </w:rPr>
        <w:tab/>
      </w:r>
      <w:r>
        <w:rPr>
          <w:highlight w:val="none"/>
        </w:rPr>
        <w:fldChar w:fldCharType="begin"/>
      </w:r>
      <w:r>
        <w:rPr>
          <w:highlight w:val="none"/>
        </w:rPr>
        <w:instrText xml:space="preserve"> PAGEREF _Toc18198 \h </w:instrText>
      </w:r>
      <w:r>
        <w:rPr>
          <w:highlight w:val="none"/>
        </w:rPr>
        <w:fldChar w:fldCharType="separate"/>
      </w:r>
      <w:r>
        <w:rPr>
          <w:highlight w:val="none"/>
        </w:rPr>
        <w:t>21</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_Toc3460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第二部分  商务及技术文件</w:t>
      </w:r>
      <w:r>
        <w:rPr>
          <w:highlight w:val="none"/>
        </w:rPr>
        <w:tab/>
      </w:r>
      <w:r>
        <w:rPr>
          <w:highlight w:val="none"/>
        </w:rPr>
        <w:fldChar w:fldCharType="begin"/>
      </w:r>
      <w:r>
        <w:rPr>
          <w:highlight w:val="none"/>
        </w:rPr>
        <w:instrText xml:space="preserve"> PAGEREF _Toc3460 \h </w:instrText>
      </w:r>
      <w:r>
        <w:rPr>
          <w:highlight w:val="none"/>
        </w:rPr>
        <w:fldChar w:fldCharType="separate"/>
      </w:r>
      <w:r>
        <w:rPr>
          <w:highlight w:val="none"/>
        </w:rPr>
        <w:t>29</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_Toc15971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1 、磋商书</w:t>
      </w:r>
      <w:r>
        <w:rPr>
          <w:highlight w:val="none"/>
        </w:rPr>
        <w:tab/>
      </w:r>
      <w:r>
        <w:rPr>
          <w:highlight w:val="none"/>
        </w:rPr>
        <w:fldChar w:fldCharType="begin"/>
      </w:r>
      <w:r>
        <w:rPr>
          <w:highlight w:val="none"/>
        </w:rPr>
        <w:instrText xml:space="preserve"> PAGEREF _Toc15971 \h </w:instrText>
      </w:r>
      <w:r>
        <w:rPr>
          <w:highlight w:val="none"/>
        </w:rPr>
        <w:fldChar w:fldCharType="separate"/>
      </w:r>
      <w:r>
        <w:rPr>
          <w:highlight w:val="none"/>
        </w:rPr>
        <w:t>30</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_Toc457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24"/>
          <w:highlight w:val="none"/>
        </w:rPr>
        <w:t>2 、</w:t>
      </w:r>
      <w:r>
        <w:rPr>
          <w:rFonts w:hint="eastAsia" w:ascii="微软雅黑" w:hAnsi="微软雅黑" w:eastAsia="微软雅黑" w:cs="微软雅黑"/>
          <w:bCs/>
          <w:szCs w:val="24"/>
          <w:highlight w:val="none"/>
        </w:rPr>
        <w:t>磋商分项报价表</w:t>
      </w:r>
      <w:r>
        <w:rPr>
          <w:highlight w:val="none"/>
        </w:rPr>
        <w:tab/>
      </w:r>
      <w:r>
        <w:rPr>
          <w:highlight w:val="none"/>
        </w:rPr>
        <w:fldChar w:fldCharType="begin"/>
      </w:r>
      <w:r>
        <w:rPr>
          <w:highlight w:val="none"/>
        </w:rPr>
        <w:instrText xml:space="preserve"> PAGEREF _Toc457 \h </w:instrText>
      </w:r>
      <w:r>
        <w:rPr>
          <w:highlight w:val="none"/>
        </w:rPr>
        <w:fldChar w:fldCharType="separate"/>
      </w:r>
      <w:r>
        <w:rPr>
          <w:highlight w:val="none"/>
        </w:rPr>
        <w:t>31</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_Toc29255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3 、</w:t>
      </w:r>
      <w:r>
        <w:rPr>
          <w:rFonts w:hint="eastAsia" w:ascii="微软雅黑" w:hAnsi="微软雅黑" w:eastAsia="微软雅黑" w:cs="微软雅黑"/>
          <w:bCs/>
          <w:szCs w:val="24"/>
          <w:highlight w:val="none"/>
        </w:rPr>
        <w:t>货物说明一览表</w:t>
      </w:r>
      <w:r>
        <w:rPr>
          <w:highlight w:val="none"/>
        </w:rPr>
        <w:tab/>
      </w:r>
      <w:r>
        <w:rPr>
          <w:highlight w:val="none"/>
        </w:rPr>
        <w:fldChar w:fldCharType="begin"/>
      </w:r>
      <w:r>
        <w:rPr>
          <w:highlight w:val="none"/>
        </w:rPr>
        <w:instrText xml:space="preserve"> PAGEREF _Toc29255 \h </w:instrText>
      </w:r>
      <w:r>
        <w:rPr>
          <w:highlight w:val="none"/>
        </w:rPr>
        <w:fldChar w:fldCharType="separate"/>
      </w:r>
      <w:r>
        <w:rPr>
          <w:highlight w:val="none"/>
        </w:rPr>
        <w:t>32</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_Toc20504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bCs/>
          <w:szCs w:val="24"/>
          <w:highlight w:val="none"/>
        </w:rPr>
        <w:t>4 、技术规格偏离表</w:t>
      </w:r>
      <w:r>
        <w:rPr>
          <w:highlight w:val="none"/>
        </w:rPr>
        <w:tab/>
      </w:r>
      <w:r>
        <w:rPr>
          <w:highlight w:val="none"/>
        </w:rPr>
        <w:fldChar w:fldCharType="begin"/>
      </w:r>
      <w:r>
        <w:rPr>
          <w:highlight w:val="none"/>
        </w:rPr>
        <w:instrText xml:space="preserve"> PAGEREF _Toc20504 \h </w:instrText>
      </w:r>
      <w:r>
        <w:rPr>
          <w:highlight w:val="none"/>
        </w:rPr>
        <w:fldChar w:fldCharType="separate"/>
      </w:r>
      <w:r>
        <w:rPr>
          <w:highlight w:val="none"/>
        </w:rPr>
        <w:t>33</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_Toc6590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bCs/>
          <w:szCs w:val="24"/>
          <w:highlight w:val="none"/>
        </w:rPr>
        <w:t>5.商务条款偏离表</w:t>
      </w:r>
      <w:r>
        <w:rPr>
          <w:highlight w:val="none"/>
        </w:rPr>
        <w:tab/>
      </w:r>
      <w:r>
        <w:rPr>
          <w:highlight w:val="none"/>
        </w:rPr>
        <w:fldChar w:fldCharType="begin"/>
      </w:r>
      <w:r>
        <w:rPr>
          <w:highlight w:val="none"/>
        </w:rPr>
        <w:instrText xml:space="preserve"> PAGEREF _Toc6590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_Toc24004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bCs/>
          <w:szCs w:val="28"/>
          <w:highlight w:val="none"/>
        </w:rPr>
        <w:t>6-1中小企业声明函（货物）</w:t>
      </w:r>
      <w:r>
        <w:rPr>
          <w:highlight w:val="none"/>
        </w:rPr>
        <w:tab/>
      </w:r>
      <w:r>
        <w:rPr>
          <w:highlight w:val="none"/>
        </w:rPr>
        <w:fldChar w:fldCharType="begin"/>
      </w:r>
      <w:r>
        <w:rPr>
          <w:highlight w:val="none"/>
        </w:rPr>
        <w:instrText xml:space="preserve"> PAGEREF _Toc24004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_Toc12476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bCs/>
          <w:highlight w:val="none"/>
        </w:rPr>
        <w:t>6-2 残疾人福利性单位声明函</w:t>
      </w:r>
      <w:r>
        <w:rPr>
          <w:highlight w:val="none"/>
        </w:rPr>
        <w:tab/>
      </w:r>
      <w:r>
        <w:rPr>
          <w:highlight w:val="none"/>
        </w:rPr>
        <w:fldChar w:fldCharType="begin"/>
      </w:r>
      <w:r>
        <w:rPr>
          <w:highlight w:val="none"/>
        </w:rPr>
        <w:instrText xml:space="preserve"> PAGEREF _Toc12476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_Toc5354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bCs/>
          <w:kern w:val="2"/>
          <w:szCs w:val="21"/>
          <w:highlight w:val="none"/>
        </w:rPr>
        <w:t>7  供应商关联单位的说明</w:t>
      </w:r>
      <w:r>
        <w:rPr>
          <w:highlight w:val="none"/>
        </w:rPr>
        <w:tab/>
      </w:r>
      <w:r>
        <w:rPr>
          <w:highlight w:val="none"/>
        </w:rPr>
        <w:fldChar w:fldCharType="begin"/>
      </w:r>
      <w:r>
        <w:rPr>
          <w:highlight w:val="none"/>
        </w:rPr>
        <w:instrText xml:space="preserve"> PAGEREF _Toc5354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kern w:val="0"/>
          <w:highlight w:val="none"/>
        </w:rPr>
        <w:fldChar w:fldCharType="end"/>
      </w:r>
    </w:p>
    <w:p>
      <w:pPr>
        <w:pStyle w:val="29"/>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_Toc5830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bCs/>
          <w:kern w:val="2"/>
          <w:szCs w:val="21"/>
          <w:highlight w:val="none"/>
        </w:rPr>
        <w:t>8   供应商可提供有利于投标的其他资格证明材料</w:t>
      </w:r>
      <w:r>
        <w:rPr>
          <w:highlight w:val="none"/>
        </w:rPr>
        <w:tab/>
      </w:r>
      <w:r>
        <w:rPr>
          <w:highlight w:val="none"/>
        </w:rPr>
        <w:fldChar w:fldCharType="begin"/>
      </w:r>
      <w:r>
        <w:rPr>
          <w:highlight w:val="none"/>
        </w:rPr>
        <w:instrText xml:space="preserve"> PAGEREF _Toc5830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kern w:val="0"/>
          <w:highlight w:val="none"/>
        </w:rPr>
        <w:fldChar w:fldCharType="end"/>
      </w:r>
    </w:p>
    <w:p>
      <w:pPr>
        <w:pStyle w:val="24"/>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_Toc16295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第3章 磋商邀请</w:t>
      </w:r>
      <w:r>
        <w:rPr>
          <w:highlight w:val="none"/>
        </w:rPr>
        <w:tab/>
      </w:r>
      <w:r>
        <w:rPr>
          <w:highlight w:val="none"/>
        </w:rPr>
        <w:fldChar w:fldCharType="begin"/>
      </w:r>
      <w:r>
        <w:rPr>
          <w:highlight w:val="none"/>
        </w:rPr>
        <w:instrText xml:space="preserve"> PAGEREF _Toc16295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kern w:val="0"/>
          <w:highlight w:val="none"/>
        </w:rPr>
        <w:fldChar w:fldCharType="end"/>
      </w:r>
    </w:p>
    <w:p>
      <w:pPr>
        <w:pStyle w:val="24"/>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_Toc18058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szCs w:val="32"/>
          <w:highlight w:val="none"/>
        </w:rPr>
        <w:t>第4章  供应商须知资料表</w:t>
      </w:r>
      <w:r>
        <w:rPr>
          <w:highlight w:val="none"/>
        </w:rPr>
        <w:tab/>
      </w:r>
      <w:r>
        <w:rPr>
          <w:highlight w:val="none"/>
        </w:rPr>
        <w:fldChar w:fldCharType="begin"/>
      </w:r>
      <w:r>
        <w:rPr>
          <w:highlight w:val="none"/>
        </w:rPr>
        <w:instrText xml:space="preserve"> PAGEREF _Toc18058 \h </w:instrText>
      </w:r>
      <w:r>
        <w:rPr>
          <w:highlight w:val="none"/>
        </w:rPr>
        <w:fldChar w:fldCharType="separate"/>
      </w:r>
      <w:r>
        <w:rPr>
          <w:highlight w:val="none"/>
        </w:rPr>
        <w:t>43</w:t>
      </w:r>
      <w:r>
        <w:rPr>
          <w:highlight w:val="none"/>
        </w:rPr>
        <w:fldChar w:fldCharType="end"/>
      </w:r>
      <w:r>
        <w:rPr>
          <w:rFonts w:hint="eastAsia" w:ascii="微软雅黑" w:hAnsi="微软雅黑" w:eastAsia="微软雅黑" w:cs="微软雅黑"/>
          <w:kern w:val="0"/>
          <w:highlight w:val="none"/>
        </w:rPr>
        <w:fldChar w:fldCharType="end"/>
      </w:r>
    </w:p>
    <w:p>
      <w:pPr>
        <w:pStyle w:val="24"/>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_Toc26807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第5章 货物需求一览表及项目要求</w:t>
      </w:r>
      <w:r>
        <w:rPr>
          <w:highlight w:val="none"/>
        </w:rPr>
        <w:tab/>
      </w:r>
      <w:r>
        <w:rPr>
          <w:highlight w:val="none"/>
        </w:rPr>
        <w:fldChar w:fldCharType="begin"/>
      </w:r>
      <w:r>
        <w:rPr>
          <w:highlight w:val="none"/>
        </w:rPr>
        <w:instrText xml:space="preserve"> PAGEREF _Toc26807 \h </w:instrText>
      </w:r>
      <w:r>
        <w:rPr>
          <w:highlight w:val="none"/>
        </w:rPr>
        <w:fldChar w:fldCharType="separate"/>
      </w:r>
      <w:r>
        <w:rPr>
          <w:highlight w:val="none"/>
        </w:rPr>
        <w:t>48</w:t>
      </w:r>
      <w:r>
        <w:rPr>
          <w:highlight w:val="none"/>
        </w:rPr>
        <w:fldChar w:fldCharType="end"/>
      </w:r>
      <w:r>
        <w:rPr>
          <w:rFonts w:hint="eastAsia" w:ascii="微软雅黑" w:hAnsi="微软雅黑" w:eastAsia="微软雅黑" w:cs="微软雅黑"/>
          <w:kern w:val="0"/>
          <w:highlight w:val="none"/>
        </w:rPr>
        <w:fldChar w:fldCharType="end"/>
      </w:r>
    </w:p>
    <w:p>
      <w:pPr>
        <w:pStyle w:val="24"/>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_Toc5453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第6章 评审方法和标准</w:t>
      </w:r>
      <w:r>
        <w:rPr>
          <w:highlight w:val="none"/>
        </w:rPr>
        <w:tab/>
      </w:r>
      <w:r>
        <w:rPr>
          <w:highlight w:val="none"/>
        </w:rPr>
        <w:fldChar w:fldCharType="begin"/>
      </w:r>
      <w:r>
        <w:rPr>
          <w:highlight w:val="none"/>
        </w:rPr>
        <w:instrText xml:space="preserve"> PAGEREF _Toc5453 \h </w:instrText>
      </w:r>
      <w:r>
        <w:rPr>
          <w:highlight w:val="none"/>
        </w:rPr>
        <w:fldChar w:fldCharType="separate"/>
      </w:r>
      <w:r>
        <w:rPr>
          <w:highlight w:val="none"/>
        </w:rPr>
        <w:t>50</w:t>
      </w:r>
      <w:r>
        <w:rPr>
          <w:highlight w:val="none"/>
        </w:rPr>
        <w:fldChar w:fldCharType="end"/>
      </w:r>
      <w:r>
        <w:rPr>
          <w:rFonts w:hint="eastAsia" w:ascii="微软雅黑" w:hAnsi="微软雅黑" w:eastAsia="微软雅黑" w:cs="微软雅黑"/>
          <w:kern w:val="0"/>
          <w:highlight w:val="none"/>
        </w:rPr>
        <w:fldChar w:fldCharType="end"/>
      </w:r>
    </w:p>
    <w:p>
      <w:pPr>
        <w:pStyle w:val="24"/>
        <w:tabs>
          <w:tab w:val="right" w:leader="dot" w:pos="8311"/>
        </w:tabs>
        <w:rPr>
          <w:highlight w:val="none"/>
        </w:rPr>
      </w:pPr>
      <w:r>
        <w:rPr>
          <w:rFonts w:hint="eastAsia" w:ascii="微软雅黑" w:hAnsi="微软雅黑" w:eastAsia="微软雅黑" w:cs="微软雅黑"/>
          <w:kern w:val="0"/>
          <w:highlight w:val="none"/>
        </w:rPr>
        <w:fldChar w:fldCharType="begin"/>
      </w:r>
      <w:r>
        <w:rPr>
          <w:rFonts w:hint="eastAsia" w:ascii="微软雅黑" w:hAnsi="微软雅黑" w:eastAsia="微软雅黑" w:cs="微软雅黑"/>
          <w:kern w:val="0"/>
          <w:highlight w:val="none"/>
        </w:rPr>
        <w:instrText xml:space="preserve"> HYPERLINK \l _Toc4975 </w:instrText>
      </w:r>
      <w:r>
        <w:rPr>
          <w:rFonts w:hint="eastAsia" w:ascii="微软雅黑" w:hAnsi="微软雅黑" w:eastAsia="微软雅黑" w:cs="微软雅黑"/>
          <w:kern w:val="0"/>
          <w:highlight w:val="none"/>
        </w:rPr>
        <w:fldChar w:fldCharType="separate"/>
      </w:r>
      <w:r>
        <w:rPr>
          <w:rFonts w:hint="eastAsia" w:ascii="微软雅黑" w:hAnsi="微软雅黑" w:eastAsia="微软雅黑" w:cs="微软雅黑"/>
          <w:highlight w:val="none"/>
        </w:rPr>
        <w:t>第7章  政府采购合同</w:t>
      </w:r>
      <w:r>
        <w:rPr>
          <w:highlight w:val="none"/>
        </w:rPr>
        <w:tab/>
      </w:r>
      <w:r>
        <w:rPr>
          <w:highlight w:val="none"/>
        </w:rPr>
        <w:fldChar w:fldCharType="begin"/>
      </w:r>
      <w:r>
        <w:rPr>
          <w:highlight w:val="none"/>
        </w:rPr>
        <w:instrText xml:space="preserve"> PAGEREF _Toc4975 \h </w:instrText>
      </w:r>
      <w:r>
        <w:rPr>
          <w:highlight w:val="none"/>
        </w:rPr>
        <w:fldChar w:fldCharType="separate"/>
      </w:r>
      <w:r>
        <w:rPr>
          <w:highlight w:val="none"/>
        </w:rPr>
        <w:t>61</w:t>
      </w:r>
      <w:r>
        <w:rPr>
          <w:highlight w:val="none"/>
        </w:rPr>
        <w:fldChar w:fldCharType="end"/>
      </w:r>
      <w:r>
        <w:rPr>
          <w:rFonts w:hint="eastAsia" w:ascii="微软雅黑" w:hAnsi="微软雅黑" w:eastAsia="微软雅黑" w:cs="微软雅黑"/>
          <w:kern w:val="0"/>
          <w:highlight w:val="none"/>
        </w:rPr>
        <w:fldChar w:fldCharType="end"/>
      </w:r>
    </w:p>
    <w:p>
      <w:pPr>
        <w:pStyle w:val="24"/>
        <w:tabs>
          <w:tab w:val="right" w:leader="dot" w:pos="8311"/>
        </w:tabs>
        <w:rPr>
          <w:highlight w:val="none"/>
        </w:rPr>
      </w:pPr>
    </w:p>
    <w:p>
      <w:pPr>
        <w:pStyle w:val="24"/>
        <w:tabs>
          <w:tab w:val="right" w:leader="dot" w:pos="8311"/>
        </w:tabs>
        <w:rPr>
          <w:highlight w:val="none"/>
        </w:rPr>
      </w:pPr>
    </w:p>
    <w:p>
      <w:pPr>
        <w:pStyle w:val="24"/>
        <w:tabs>
          <w:tab w:val="right" w:leader="dot" w:pos="8311"/>
        </w:tabs>
        <w:rPr>
          <w:highlight w:val="none"/>
        </w:rPr>
      </w:pPr>
    </w:p>
    <w:p>
      <w:pPr>
        <w:tabs>
          <w:tab w:val="left" w:pos="0"/>
        </w:tabs>
        <w:snapToGrid w:val="0"/>
        <w:spacing w:line="360" w:lineRule="exact"/>
        <w:textAlignment w:val="baseline"/>
        <w:rPr>
          <w:rFonts w:ascii="微软雅黑" w:hAnsi="微软雅黑" w:eastAsia="微软雅黑" w:cs="微软雅黑"/>
          <w:kern w:val="0"/>
          <w:highlight w:val="none"/>
        </w:rPr>
      </w:pPr>
      <w:r>
        <w:rPr>
          <w:rFonts w:hint="eastAsia" w:ascii="微软雅黑" w:hAnsi="微软雅黑" w:eastAsia="微软雅黑" w:cs="微软雅黑"/>
          <w:kern w:val="0"/>
          <w:highlight w:val="none"/>
        </w:rPr>
        <w:fldChar w:fldCharType="end"/>
      </w:r>
      <w:bookmarkStart w:id="0" w:name="_Toc1462"/>
      <w:bookmarkStart w:id="1" w:name="_Toc10715352"/>
      <w:bookmarkStart w:id="2" w:name="_Toc518923059"/>
    </w:p>
    <w:p>
      <w:pPr>
        <w:pStyle w:val="5"/>
        <w:rPr>
          <w:rFonts w:ascii="微软雅黑" w:hAnsi="微软雅黑" w:eastAsia="微软雅黑" w:cs="微软雅黑"/>
          <w:szCs w:val="24"/>
          <w:highlight w:val="none"/>
        </w:rPr>
      </w:pPr>
    </w:p>
    <w:p>
      <w:pPr>
        <w:pStyle w:val="9"/>
        <w:rPr>
          <w:rFonts w:ascii="微软雅黑" w:hAnsi="微软雅黑" w:eastAsia="微软雅黑" w:cs="微软雅黑"/>
          <w:szCs w:val="24"/>
          <w:highlight w:val="none"/>
        </w:rPr>
      </w:pPr>
    </w:p>
    <w:p>
      <w:pPr>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pStyle w:val="26"/>
        <w:rPr>
          <w:rFonts w:ascii="微软雅黑" w:hAnsi="微软雅黑" w:eastAsia="微软雅黑" w:cs="微软雅黑"/>
          <w:szCs w:val="24"/>
          <w:highlight w:val="none"/>
        </w:rPr>
      </w:pPr>
    </w:p>
    <w:p>
      <w:pPr>
        <w:rPr>
          <w:rFonts w:ascii="微软雅黑" w:hAnsi="微软雅黑" w:eastAsia="微软雅黑" w:cs="微软雅黑"/>
          <w:highlight w:val="none"/>
        </w:rPr>
      </w:pPr>
    </w:p>
    <w:p>
      <w:pPr>
        <w:pStyle w:val="3"/>
        <w:tabs>
          <w:tab w:val="left" w:pos="0"/>
        </w:tabs>
        <w:snapToGrid w:val="0"/>
        <w:spacing w:before="0" w:after="0" w:line="360" w:lineRule="auto"/>
        <w:textAlignment w:val="baseline"/>
        <w:rPr>
          <w:rFonts w:ascii="微软雅黑" w:hAnsi="微软雅黑" w:eastAsia="微软雅黑" w:cs="微软雅黑"/>
          <w:sz w:val="24"/>
          <w:highlight w:val="none"/>
        </w:rPr>
      </w:pPr>
      <w:bookmarkStart w:id="3" w:name="_Toc25683"/>
      <w:r>
        <w:rPr>
          <w:rFonts w:hint="eastAsia" w:ascii="微软雅黑" w:hAnsi="微软雅黑" w:eastAsia="微软雅黑" w:cs="微软雅黑"/>
          <w:kern w:val="0"/>
          <w:szCs w:val="24"/>
          <w:highlight w:val="none"/>
        </w:rPr>
        <w:t xml:space="preserve">第1章  </w:t>
      </w:r>
      <w:r>
        <w:rPr>
          <w:rFonts w:hint="eastAsia" w:ascii="微软雅黑" w:hAnsi="微软雅黑" w:eastAsia="微软雅黑" w:cs="微软雅黑"/>
          <w:szCs w:val="32"/>
          <w:highlight w:val="none"/>
        </w:rPr>
        <w:t>供应商须知</w:t>
      </w:r>
      <w:bookmarkEnd w:id="0"/>
      <w:bookmarkEnd w:id="1"/>
      <w:bookmarkEnd w:id="2"/>
      <w:bookmarkEnd w:id="3"/>
    </w:p>
    <w:p>
      <w:pPr>
        <w:pStyle w:val="2"/>
        <w:snapToGrid w:val="0"/>
        <w:spacing w:before="0" w:line="240" w:lineRule="atLeast"/>
        <w:ind w:left="1080" w:leftChars="257" w:hanging="540"/>
        <w:textAlignment w:val="baseline"/>
        <w:rPr>
          <w:rFonts w:ascii="微软雅黑" w:hAnsi="微软雅黑" w:eastAsia="微软雅黑" w:cs="微软雅黑"/>
          <w:sz w:val="24"/>
          <w:szCs w:val="24"/>
          <w:highlight w:val="none"/>
        </w:rPr>
      </w:pPr>
      <w:bookmarkStart w:id="4" w:name="_Toc520356143"/>
      <w:bookmarkStart w:id="5" w:name="_Toc515647757"/>
      <w:bookmarkStart w:id="6" w:name="_Toc216582805"/>
      <w:bookmarkStart w:id="7" w:name="_Toc21015"/>
      <w:bookmarkStart w:id="8" w:name="_Toc32512"/>
      <w:bookmarkStart w:id="9" w:name="_Toc21215"/>
      <w:r>
        <w:rPr>
          <w:rFonts w:hint="eastAsia" w:ascii="微软雅黑" w:hAnsi="微软雅黑" w:eastAsia="微软雅黑" w:cs="微软雅黑"/>
          <w:sz w:val="24"/>
          <w:szCs w:val="24"/>
          <w:highlight w:val="none"/>
        </w:rPr>
        <w:t xml:space="preserve">一   </w:t>
      </w:r>
      <w:bookmarkEnd w:id="4"/>
      <w:bookmarkEnd w:id="5"/>
      <w:bookmarkEnd w:id="6"/>
      <w:r>
        <w:rPr>
          <w:rFonts w:hint="eastAsia" w:ascii="微软雅黑" w:hAnsi="微软雅黑" w:eastAsia="微软雅黑" w:cs="微软雅黑"/>
          <w:sz w:val="24"/>
          <w:szCs w:val="24"/>
          <w:highlight w:val="none"/>
        </w:rPr>
        <w:t>总 则</w:t>
      </w:r>
      <w:bookmarkEnd w:id="7"/>
      <w:bookmarkEnd w:id="8"/>
      <w:bookmarkEnd w:id="9"/>
    </w:p>
    <w:p>
      <w:pPr>
        <w:pStyle w:val="4"/>
        <w:snapToGrid w:val="0"/>
        <w:spacing w:before="0" w:after="0" w:line="380" w:lineRule="exact"/>
        <w:textAlignment w:val="baseline"/>
        <w:rPr>
          <w:rFonts w:ascii="微软雅黑" w:hAnsi="微软雅黑" w:eastAsia="微软雅黑" w:cs="微软雅黑"/>
          <w:szCs w:val="24"/>
          <w:highlight w:val="none"/>
          <w:u w:color="000000"/>
        </w:rPr>
      </w:pPr>
      <w:bookmarkStart w:id="10" w:name="_Toc32189"/>
      <w:bookmarkStart w:id="11" w:name="_Toc32623"/>
      <w:bookmarkStart w:id="12" w:name="_Toc515647758"/>
      <w:bookmarkStart w:id="13" w:name="_Toc520356144"/>
      <w:bookmarkStart w:id="14" w:name="_Toc19826"/>
      <w:bookmarkStart w:id="15" w:name="_Toc11217"/>
      <w:bookmarkStart w:id="16" w:name="_Toc27535"/>
      <w:bookmarkStart w:id="17" w:name="_Toc16501"/>
      <w:bookmarkStart w:id="18" w:name="_Toc20385"/>
      <w:bookmarkStart w:id="19" w:name="_Toc28974"/>
      <w:bookmarkStart w:id="20" w:name="_Toc6040"/>
      <w:bookmarkStart w:id="21" w:name="_Toc12153"/>
      <w:bookmarkStart w:id="22" w:name="_Toc16079"/>
      <w:r>
        <w:rPr>
          <w:rFonts w:hint="eastAsia" w:ascii="微软雅黑" w:hAnsi="微软雅黑" w:eastAsia="微软雅黑" w:cs="微软雅黑"/>
          <w:szCs w:val="24"/>
          <w:highlight w:val="none"/>
          <w:u w:color="000000"/>
        </w:rPr>
        <w:t>1.采购人、采购代理机构及</w:t>
      </w:r>
      <w:bookmarkEnd w:id="10"/>
      <w:bookmarkEnd w:id="11"/>
      <w:bookmarkEnd w:id="12"/>
      <w:bookmarkEnd w:id="13"/>
      <w:r>
        <w:rPr>
          <w:rFonts w:hint="eastAsia" w:ascii="微软雅黑" w:hAnsi="微软雅黑" w:eastAsia="微软雅黑" w:cs="微软雅黑"/>
          <w:szCs w:val="24"/>
          <w:highlight w:val="none"/>
          <w:u w:color="000000"/>
        </w:rPr>
        <w:t>供应商</w:t>
      </w:r>
      <w:bookmarkEnd w:id="14"/>
      <w:bookmarkEnd w:id="15"/>
      <w:bookmarkEnd w:id="16"/>
      <w:bookmarkEnd w:id="17"/>
      <w:bookmarkEnd w:id="18"/>
      <w:bookmarkEnd w:id="19"/>
      <w:bookmarkEnd w:id="20"/>
      <w:bookmarkEnd w:id="21"/>
      <w:bookmarkEnd w:id="22"/>
    </w:p>
    <w:p>
      <w:pPr>
        <w:tabs>
          <w:tab w:val="left" w:pos="0"/>
        </w:tabs>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    采购人：是指依法开展政府采购活动的国家机关、事业单位、团体组织。</w:t>
      </w:r>
    </w:p>
    <w:p>
      <w:pPr>
        <w:tabs>
          <w:tab w:val="left" w:pos="0"/>
        </w:tabs>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本项目的采购人见</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w:t>
      </w:r>
    </w:p>
    <w:p>
      <w:pPr>
        <w:tabs>
          <w:tab w:val="left" w:pos="0"/>
        </w:tabs>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   采购代理机构：是指在集中采购机构或从事采购代理业务的社会中介机构。本项目的采购代理机构见</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w:t>
      </w:r>
    </w:p>
    <w:p>
      <w:pPr>
        <w:numPr>
          <w:ilvl w:val="1"/>
          <w:numId w:val="2"/>
        </w:numPr>
        <w:snapToGrid w:val="0"/>
        <w:spacing w:line="380" w:lineRule="exact"/>
        <w:ind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供应商：是指向采购人提供货物、工程或者服务的法人、非法人组织或者自然人。</w:t>
      </w:r>
    </w:p>
    <w:p>
      <w:pPr>
        <w:snapToGrid w:val="0"/>
        <w:spacing w:line="38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在中华人民共和国境内注册，能够独立承担民事责任，有生产或供应能力的本国供应商。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1.3.3   以采购代理机构认可的方式获得了本项目的磋商文件。</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1.3.4   符合</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中规定的其他要求。</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1.3.5   若</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中写明允许采购进口产品，供应商应保证所投产品可履行合法报通关手续进入中国关境内。</w:t>
      </w:r>
    </w:p>
    <w:p>
      <w:pPr>
        <w:snapToGrid w:val="0"/>
        <w:spacing w:line="380" w:lineRule="exact"/>
        <w:ind w:left="958" w:leftChars="456"/>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若</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中未写明允许采购进口产品，如供应商所投产品为进口产品，其磋商将被认定为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1.3.6  若</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中写明专门面向中小企业采购的，如供应商为非中小企业且所投产品为非中小企业产品，其磋商将被认定为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     如</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中允许联合体磋商，对联合体规定如下：</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1.4.1   两个以上供应商可以组成一个磋商联合体，以一个供应商的身份磋商。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1.4.2   联合体各方均应符合《中华人民共和国政府采购法》第二十二条规定的条件。</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1.4.3   采购人根据采购项目对供应商的特殊要求，联合体中至少应当有一方符合相关规定。</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1.4.8   对联合体磋商的其他资格要求见</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    单位负责人为同一人或者存在直接控股、管理关系的不同供应商，其相关磋商将被认定为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    为本项目提供过整体设计、规范编制或者项目管理、监理、检测等服务的供应商，不得再参加本项目上述货物以外的其他采购活动。否则其磋商将被认定为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供应商在磋商过程中不得向采购人提供、给予任何有价值的物品，影响其正常决策行为。一经发现，其将被认定为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pStyle w:val="4"/>
        <w:snapToGrid w:val="0"/>
        <w:spacing w:before="0" w:after="0" w:line="380" w:lineRule="exact"/>
        <w:textAlignment w:val="baseline"/>
        <w:rPr>
          <w:rFonts w:ascii="微软雅黑" w:hAnsi="微软雅黑" w:eastAsia="微软雅黑" w:cs="微软雅黑"/>
          <w:szCs w:val="24"/>
          <w:highlight w:val="none"/>
          <w:u w:color="000000"/>
        </w:rPr>
      </w:pPr>
      <w:bookmarkStart w:id="23" w:name="_Toc5286"/>
      <w:bookmarkStart w:id="24" w:name="_Toc31303"/>
      <w:bookmarkStart w:id="25" w:name="_Toc12139"/>
      <w:bookmarkStart w:id="26" w:name="_Toc1145"/>
      <w:bookmarkStart w:id="27" w:name="_Toc16698"/>
      <w:bookmarkStart w:id="28" w:name="_Toc515647759"/>
      <w:bookmarkStart w:id="29" w:name="_Toc20993"/>
      <w:bookmarkStart w:id="30" w:name="_Toc17954"/>
      <w:bookmarkStart w:id="31" w:name="_Toc21415"/>
      <w:bookmarkStart w:id="32" w:name="_Toc12082"/>
      <w:bookmarkStart w:id="33" w:name="_Toc12994"/>
      <w:bookmarkStart w:id="34" w:name="_Toc32017"/>
      <w:r>
        <w:rPr>
          <w:rFonts w:hint="eastAsia" w:ascii="微软雅黑" w:hAnsi="微软雅黑" w:eastAsia="微软雅黑" w:cs="微软雅黑"/>
          <w:szCs w:val="24"/>
          <w:highlight w:val="none"/>
          <w:u w:color="000000"/>
        </w:rPr>
        <w:t>2.资金来源</w:t>
      </w:r>
      <w:bookmarkEnd w:id="23"/>
      <w:bookmarkEnd w:id="24"/>
      <w:bookmarkEnd w:id="25"/>
      <w:bookmarkEnd w:id="26"/>
      <w:bookmarkEnd w:id="27"/>
      <w:bookmarkEnd w:id="28"/>
      <w:bookmarkEnd w:id="29"/>
      <w:bookmarkEnd w:id="30"/>
      <w:bookmarkEnd w:id="31"/>
      <w:bookmarkEnd w:id="32"/>
      <w:bookmarkEnd w:id="33"/>
      <w:bookmarkEnd w:id="34"/>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    项目预算金额和分项或分包最高限价</w:t>
      </w:r>
      <w:r>
        <w:rPr>
          <w:rFonts w:hint="eastAsia" w:ascii="微软雅黑" w:hAnsi="微软雅黑" w:eastAsia="微软雅黑" w:cs="微软雅黑"/>
          <w:sz w:val="24"/>
          <w:highlight w:val="none"/>
          <w:u w:val="single" w:color="000000"/>
        </w:rPr>
        <w:t>见供应商须知资料表</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    供应商报价超过磋商文件规定的预算金额或者分项、分包最高限价的，其磋商将被认定为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pStyle w:val="4"/>
        <w:snapToGrid w:val="0"/>
        <w:spacing w:before="0" w:after="0" w:line="380" w:lineRule="exact"/>
        <w:textAlignment w:val="baseline"/>
        <w:rPr>
          <w:rFonts w:ascii="微软雅黑" w:hAnsi="微软雅黑" w:eastAsia="微软雅黑" w:cs="微软雅黑"/>
          <w:szCs w:val="24"/>
          <w:highlight w:val="none"/>
          <w:u w:color="000000"/>
        </w:rPr>
      </w:pPr>
      <w:bookmarkStart w:id="35" w:name="_Toc15302"/>
      <w:bookmarkStart w:id="36" w:name="_Toc6076"/>
      <w:bookmarkStart w:id="37" w:name="_Toc520356145"/>
      <w:bookmarkStart w:id="38" w:name="_Toc4556"/>
      <w:bookmarkStart w:id="39" w:name="_Toc18168"/>
      <w:bookmarkStart w:id="40" w:name="_Toc20526"/>
      <w:bookmarkStart w:id="41" w:name="_Toc515647760"/>
      <w:bookmarkStart w:id="42" w:name="_Toc91"/>
      <w:bookmarkStart w:id="43" w:name="_Toc15936"/>
      <w:bookmarkStart w:id="44" w:name="_Toc3164"/>
      <w:bookmarkStart w:id="45" w:name="_Toc23939"/>
      <w:bookmarkStart w:id="46" w:name="_Toc29797"/>
      <w:bookmarkStart w:id="47" w:name="_Toc20149"/>
      <w:r>
        <w:rPr>
          <w:rFonts w:hint="eastAsia" w:ascii="微软雅黑" w:hAnsi="微软雅黑" w:eastAsia="微软雅黑" w:cs="微软雅黑"/>
          <w:szCs w:val="24"/>
          <w:highlight w:val="none"/>
          <w:u w:color="000000"/>
        </w:rPr>
        <w:t>3.磋商费用</w:t>
      </w:r>
      <w:bookmarkEnd w:id="35"/>
      <w:bookmarkEnd w:id="36"/>
      <w:bookmarkEnd w:id="37"/>
      <w:bookmarkEnd w:id="38"/>
      <w:bookmarkEnd w:id="39"/>
      <w:bookmarkEnd w:id="40"/>
      <w:bookmarkEnd w:id="41"/>
      <w:bookmarkEnd w:id="42"/>
      <w:bookmarkEnd w:id="43"/>
      <w:bookmarkEnd w:id="44"/>
      <w:bookmarkEnd w:id="45"/>
      <w:bookmarkEnd w:id="46"/>
      <w:bookmarkEnd w:id="47"/>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不论磋商的结果如何，供应商应承担所有与准备和参加磋商有关的费用。</w:t>
      </w:r>
    </w:p>
    <w:p>
      <w:pPr>
        <w:pStyle w:val="4"/>
        <w:snapToGrid w:val="0"/>
        <w:spacing w:before="0" w:after="0" w:line="380" w:lineRule="exact"/>
        <w:textAlignment w:val="baseline"/>
        <w:rPr>
          <w:rFonts w:ascii="微软雅黑" w:hAnsi="微软雅黑" w:eastAsia="微软雅黑" w:cs="微软雅黑"/>
          <w:szCs w:val="24"/>
          <w:highlight w:val="none"/>
          <w:u w:color="000000"/>
        </w:rPr>
      </w:pPr>
      <w:bookmarkStart w:id="48" w:name="_Toc23425"/>
      <w:bookmarkStart w:id="49" w:name="_Toc14158"/>
      <w:bookmarkStart w:id="50" w:name="_Toc6116"/>
      <w:bookmarkStart w:id="51" w:name="_Toc26501"/>
      <w:bookmarkStart w:id="52" w:name="_Toc7327"/>
      <w:bookmarkStart w:id="53" w:name="_Toc4463"/>
      <w:bookmarkStart w:id="54" w:name="_Toc32069"/>
      <w:bookmarkStart w:id="55" w:name="_Toc15428"/>
      <w:bookmarkStart w:id="56" w:name="_Toc29823"/>
      <w:bookmarkStart w:id="57" w:name="_Toc27599"/>
      <w:bookmarkStart w:id="58" w:name="_Toc515647761"/>
      <w:bookmarkStart w:id="59" w:name="_Toc15164"/>
      <w:r>
        <w:rPr>
          <w:rFonts w:hint="eastAsia" w:ascii="微软雅黑" w:hAnsi="微软雅黑" w:eastAsia="微软雅黑" w:cs="微软雅黑"/>
          <w:szCs w:val="24"/>
          <w:highlight w:val="none"/>
          <w:u w:color="000000"/>
        </w:rPr>
        <w:t>4.适用法律</w:t>
      </w:r>
      <w:bookmarkEnd w:id="48"/>
      <w:bookmarkEnd w:id="49"/>
      <w:bookmarkEnd w:id="50"/>
      <w:bookmarkEnd w:id="51"/>
      <w:bookmarkEnd w:id="52"/>
      <w:bookmarkEnd w:id="53"/>
      <w:bookmarkEnd w:id="54"/>
      <w:bookmarkEnd w:id="55"/>
      <w:bookmarkEnd w:id="56"/>
      <w:bookmarkEnd w:id="57"/>
      <w:bookmarkEnd w:id="58"/>
      <w:bookmarkEnd w:id="59"/>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ascii="微软雅黑" w:hAnsi="微软雅黑" w:eastAsia="微软雅黑" w:cs="微软雅黑"/>
          <w:sz w:val="24"/>
          <w:highlight w:val="none"/>
        </w:rPr>
      </w:pPr>
    </w:p>
    <w:p>
      <w:pPr>
        <w:pStyle w:val="2"/>
        <w:snapToGrid w:val="0"/>
        <w:spacing w:before="0" w:line="380" w:lineRule="exact"/>
        <w:ind w:hanging="540"/>
        <w:textAlignment w:val="baseline"/>
        <w:rPr>
          <w:rFonts w:ascii="微软雅黑" w:hAnsi="微软雅黑" w:eastAsia="微软雅黑" w:cs="微软雅黑"/>
          <w:sz w:val="24"/>
          <w:szCs w:val="24"/>
          <w:highlight w:val="none"/>
        </w:rPr>
      </w:pPr>
      <w:bookmarkStart w:id="60" w:name="_Toc4365"/>
      <w:bookmarkStart w:id="61" w:name="_Toc515647762"/>
      <w:bookmarkStart w:id="62" w:name="_Toc520356146"/>
      <w:bookmarkStart w:id="63" w:name="_Toc21566"/>
      <w:bookmarkStart w:id="64" w:name="_Toc216582806"/>
      <w:bookmarkStart w:id="65" w:name="_Toc13380"/>
      <w:bookmarkStart w:id="66" w:name="_Toc13692"/>
      <w:r>
        <w:rPr>
          <w:rFonts w:hint="eastAsia" w:ascii="微软雅黑" w:hAnsi="微软雅黑" w:eastAsia="微软雅黑" w:cs="微软雅黑"/>
          <w:sz w:val="24"/>
          <w:szCs w:val="24"/>
          <w:highlight w:val="none"/>
        </w:rPr>
        <w:t xml:space="preserve">二   </w:t>
      </w:r>
      <w:bookmarkEnd w:id="60"/>
      <w:bookmarkEnd w:id="61"/>
      <w:bookmarkEnd w:id="62"/>
      <w:bookmarkEnd w:id="63"/>
      <w:bookmarkEnd w:id="64"/>
      <w:r>
        <w:rPr>
          <w:rFonts w:hint="eastAsia" w:ascii="微软雅黑" w:hAnsi="微软雅黑" w:eastAsia="微软雅黑" w:cs="微软雅黑"/>
          <w:sz w:val="24"/>
          <w:szCs w:val="24"/>
          <w:highlight w:val="none"/>
        </w:rPr>
        <w:t>磋商文件</w:t>
      </w:r>
      <w:bookmarkEnd w:id="65"/>
      <w:bookmarkEnd w:id="66"/>
    </w:p>
    <w:p>
      <w:pPr>
        <w:pStyle w:val="4"/>
        <w:snapToGrid w:val="0"/>
        <w:spacing w:before="0" w:after="0" w:line="380" w:lineRule="exact"/>
        <w:textAlignment w:val="baseline"/>
        <w:rPr>
          <w:rFonts w:ascii="微软雅黑" w:hAnsi="微软雅黑" w:eastAsia="微软雅黑" w:cs="微软雅黑"/>
          <w:szCs w:val="24"/>
          <w:highlight w:val="none"/>
          <w:u w:color="000000"/>
        </w:rPr>
      </w:pPr>
      <w:bookmarkStart w:id="67" w:name="_Toc4254"/>
      <w:bookmarkStart w:id="68" w:name="_Toc25743"/>
      <w:bookmarkStart w:id="69" w:name="_Toc27258"/>
      <w:bookmarkStart w:id="70" w:name="_Toc14409"/>
      <w:bookmarkStart w:id="71" w:name="_Toc14084"/>
      <w:bookmarkStart w:id="72" w:name="_Toc27545"/>
      <w:bookmarkStart w:id="73" w:name="_Toc9520"/>
      <w:bookmarkStart w:id="74" w:name="_Toc20128"/>
      <w:bookmarkStart w:id="75" w:name="_Toc520356147"/>
      <w:bookmarkStart w:id="76" w:name="_Toc515647763"/>
      <w:bookmarkStart w:id="77" w:name="_Toc4773"/>
      <w:bookmarkStart w:id="78" w:name="_Toc16061"/>
      <w:bookmarkStart w:id="79" w:name="_Toc16521"/>
      <w:r>
        <w:rPr>
          <w:rFonts w:hint="eastAsia" w:ascii="微软雅黑" w:hAnsi="微软雅黑" w:eastAsia="微软雅黑" w:cs="微软雅黑"/>
          <w:szCs w:val="24"/>
          <w:highlight w:val="none"/>
          <w:u w:color="000000"/>
        </w:rPr>
        <w:t>5.磋商文件构成</w:t>
      </w:r>
      <w:bookmarkEnd w:id="67"/>
      <w:bookmarkEnd w:id="68"/>
      <w:bookmarkEnd w:id="69"/>
      <w:bookmarkEnd w:id="70"/>
      <w:bookmarkEnd w:id="71"/>
      <w:bookmarkEnd w:id="72"/>
      <w:bookmarkEnd w:id="73"/>
      <w:bookmarkEnd w:id="74"/>
      <w:bookmarkEnd w:id="75"/>
      <w:bookmarkEnd w:id="76"/>
      <w:bookmarkEnd w:id="77"/>
      <w:bookmarkEnd w:id="78"/>
      <w:bookmarkEnd w:id="79"/>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磋商文件分为三册共7章，内容如下：</w:t>
      </w:r>
    </w:p>
    <w:p>
      <w:pPr>
        <w:snapToGrid w:val="0"/>
        <w:spacing w:line="380" w:lineRule="exact"/>
        <w:ind w:left="180"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第一册</w:t>
      </w:r>
    </w:p>
    <w:p>
      <w:pPr>
        <w:tabs>
          <w:tab w:val="left" w:pos="0"/>
        </w:tabs>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第1章 供应商须知</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第2章 响应文件格式</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第二册</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第3章 磋商邀请</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第4章 供应商须知资料表</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第5章 货物需求一览表及技术规格</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第6章 评审方法和标准</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第三册</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第7章 政府采购合同格式</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如本文件的前后内容不一致，以最后描述为准。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pStyle w:val="4"/>
        <w:snapToGrid w:val="0"/>
        <w:spacing w:before="0" w:after="0" w:line="380" w:lineRule="exact"/>
        <w:textAlignment w:val="baseline"/>
        <w:rPr>
          <w:rFonts w:ascii="微软雅黑" w:hAnsi="微软雅黑" w:eastAsia="微软雅黑" w:cs="微软雅黑"/>
          <w:szCs w:val="24"/>
          <w:highlight w:val="none"/>
          <w:u w:color="000000"/>
        </w:rPr>
      </w:pPr>
      <w:bookmarkStart w:id="80" w:name="_Toc520356148"/>
      <w:bookmarkStart w:id="81" w:name="_Toc515904805"/>
      <w:bookmarkStart w:id="82" w:name="_Toc5443"/>
      <w:bookmarkStart w:id="83" w:name="_Toc12118"/>
      <w:bookmarkStart w:id="84" w:name="_Toc24794"/>
      <w:bookmarkStart w:id="85" w:name="_Toc11954"/>
      <w:bookmarkStart w:id="86" w:name="_Toc26044"/>
      <w:bookmarkStart w:id="87" w:name="_Toc9232"/>
      <w:bookmarkStart w:id="88" w:name="_Toc73"/>
      <w:bookmarkStart w:id="89" w:name="_Toc1541"/>
      <w:bookmarkStart w:id="90" w:name="_Toc19969"/>
      <w:bookmarkStart w:id="91" w:name="_Toc17695"/>
      <w:bookmarkStart w:id="92" w:name="_Toc6163"/>
      <w:r>
        <w:rPr>
          <w:rFonts w:hint="eastAsia" w:ascii="微软雅黑" w:hAnsi="微软雅黑" w:eastAsia="微软雅黑" w:cs="微软雅黑"/>
          <w:szCs w:val="24"/>
          <w:highlight w:val="none"/>
          <w:u w:color="000000"/>
        </w:rPr>
        <w:t>6.磋商文件的澄清</w:t>
      </w:r>
      <w:bookmarkEnd w:id="80"/>
      <w:bookmarkEnd w:id="81"/>
      <w:r>
        <w:rPr>
          <w:rFonts w:hint="eastAsia" w:ascii="微软雅黑" w:hAnsi="微软雅黑" w:eastAsia="微软雅黑" w:cs="微软雅黑"/>
          <w:szCs w:val="24"/>
          <w:highlight w:val="none"/>
          <w:u w:color="000000"/>
        </w:rPr>
        <w:t>与修改</w:t>
      </w:r>
      <w:bookmarkEnd w:id="82"/>
      <w:bookmarkEnd w:id="83"/>
      <w:bookmarkEnd w:id="84"/>
      <w:bookmarkEnd w:id="85"/>
      <w:bookmarkEnd w:id="86"/>
      <w:bookmarkEnd w:id="87"/>
      <w:bookmarkEnd w:id="88"/>
      <w:bookmarkEnd w:id="89"/>
      <w:bookmarkEnd w:id="90"/>
      <w:bookmarkEnd w:id="91"/>
      <w:bookmarkEnd w:id="92"/>
    </w:p>
    <w:p>
      <w:pPr>
        <w:pStyle w:val="5"/>
        <w:snapToGrid w:val="0"/>
        <w:spacing w:line="38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6.1    为了保证对磋商文件的澄清和修改满足法律的时限要求，任何要求对磋商文件进行澄清的供应商，均应在磋商截止时间至少5日前，以书面形式将澄清要求通知采购人或采购代理机构。</w:t>
      </w:r>
    </w:p>
    <w:p>
      <w:pPr>
        <w:pStyle w:val="5"/>
        <w:snapToGrid w:val="0"/>
        <w:spacing w:line="380" w:lineRule="exact"/>
        <w:ind w:left="840" w:hanging="840" w:hangingChars="350"/>
        <w:textAlignment w:val="baseline"/>
        <w:rPr>
          <w:rFonts w:ascii="微软雅黑" w:hAnsi="微软雅黑" w:eastAsia="微软雅黑" w:cs="微软雅黑"/>
          <w:szCs w:val="24"/>
          <w:highlight w:val="none"/>
        </w:rPr>
      </w:pPr>
      <w:bookmarkStart w:id="93" w:name="_Toc520356149"/>
      <w:bookmarkStart w:id="94" w:name="_Ref467378678"/>
      <w:bookmarkStart w:id="95" w:name="_Toc515904806"/>
      <w:r>
        <w:rPr>
          <w:rFonts w:hint="eastAsia" w:ascii="微软雅黑" w:hAnsi="微软雅黑" w:eastAsia="微软雅黑" w:cs="微软雅黑"/>
          <w:szCs w:val="24"/>
          <w:highlight w:val="none"/>
        </w:rPr>
        <w:t>6.2</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采购人可主动地或在解答供应商提出的澄清问题时对磋商文件进行澄清或修改。采购代理机构将以发布澄清（更正）公告的方式，澄清或修改磋商文件，澄清或修改内容作为磋商文件的组成部分。</w:t>
      </w:r>
    </w:p>
    <w:p>
      <w:pPr>
        <w:pStyle w:val="5"/>
        <w:snapToGrid w:val="0"/>
        <w:spacing w:line="38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6.3</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4"/>
        <w:tabs>
          <w:tab w:val="left" w:pos="900"/>
        </w:tabs>
        <w:snapToGrid w:val="0"/>
        <w:spacing w:before="0" w:after="0" w:line="380" w:lineRule="exact"/>
        <w:textAlignment w:val="baseline"/>
        <w:rPr>
          <w:rFonts w:ascii="微软雅黑" w:hAnsi="微软雅黑" w:eastAsia="微软雅黑" w:cs="微软雅黑"/>
          <w:szCs w:val="24"/>
          <w:highlight w:val="none"/>
          <w:u w:color="000000"/>
        </w:rPr>
      </w:pPr>
      <w:bookmarkStart w:id="96" w:name="_Toc14294"/>
      <w:bookmarkStart w:id="97" w:name="_Toc3801"/>
      <w:bookmarkStart w:id="98" w:name="_Toc18879"/>
      <w:bookmarkStart w:id="99" w:name="_Toc16843"/>
      <w:bookmarkStart w:id="100" w:name="_Toc12058"/>
      <w:bookmarkStart w:id="101" w:name="_Toc14569"/>
      <w:bookmarkStart w:id="102" w:name="_Toc5970"/>
      <w:bookmarkStart w:id="103" w:name="_Toc25635"/>
      <w:bookmarkStart w:id="104" w:name="_Toc29197"/>
      <w:bookmarkStart w:id="105" w:name="_Toc28181"/>
      <w:bookmarkStart w:id="106" w:name="_Toc16792"/>
      <w:r>
        <w:rPr>
          <w:rFonts w:hint="eastAsia" w:ascii="微软雅黑" w:hAnsi="微软雅黑" w:eastAsia="微软雅黑" w:cs="微软雅黑"/>
          <w:szCs w:val="24"/>
          <w:highlight w:val="none"/>
          <w:u w:color="000000"/>
        </w:rPr>
        <w:t>7</w:t>
      </w:r>
      <w:bookmarkEnd w:id="93"/>
      <w:bookmarkEnd w:id="94"/>
      <w:bookmarkEnd w:id="95"/>
      <w:r>
        <w:rPr>
          <w:rFonts w:hint="eastAsia" w:ascii="微软雅黑" w:hAnsi="微软雅黑" w:eastAsia="微软雅黑" w:cs="微软雅黑"/>
          <w:szCs w:val="24"/>
          <w:highlight w:val="none"/>
          <w:u w:color="000000"/>
        </w:rPr>
        <w:t>.磋商截止时间的顺延</w:t>
      </w:r>
      <w:bookmarkEnd w:id="96"/>
      <w:bookmarkEnd w:id="97"/>
      <w:bookmarkEnd w:id="98"/>
      <w:bookmarkEnd w:id="99"/>
      <w:bookmarkEnd w:id="100"/>
      <w:bookmarkEnd w:id="101"/>
      <w:bookmarkEnd w:id="102"/>
      <w:bookmarkEnd w:id="103"/>
      <w:bookmarkEnd w:id="104"/>
      <w:bookmarkEnd w:id="105"/>
      <w:bookmarkEnd w:id="106"/>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为使供应商准备磋商时有足够的时间对磋商文件的澄清或者修改部分进行研究，采购人将依法决定是否顺延磋商截止时间。</w:t>
      </w:r>
    </w:p>
    <w:p>
      <w:pPr>
        <w:pStyle w:val="2"/>
        <w:tabs>
          <w:tab w:val="left" w:pos="900"/>
        </w:tabs>
        <w:snapToGrid w:val="0"/>
        <w:spacing w:before="0" w:line="380" w:lineRule="exact"/>
        <w:ind w:hanging="540"/>
        <w:textAlignment w:val="baseline"/>
        <w:rPr>
          <w:rFonts w:hint="eastAsia" w:ascii="微软雅黑" w:hAnsi="微软雅黑" w:eastAsia="微软雅黑" w:cs="微软雅黑"/>
          <w:sz w:val="28"/>
          <w:highlight w:val="none"/>
        </w:rPr>
      </w:pPr>
      <w:bookmarkStart w:id="107" w:name="_Toc516367020"/>
      <w:bookmarkStart w:id="108" w:name="_Toc18070"/>
      <w:bookmarkStart w:id="109" w:name="_Toc515647766"/>
      <w:bookmarkStart w:id="110" w:name="_Toc520356150"/>
      <w:bookmarkStart w:id="111" w:name="_Toc7636"/>
      <w:bookmarkStart w:id="112" w:name="_Toc216582807"/>
      <w:bookmarkStart w:id="113" w:name="_Toc18023"/>
      <w:bookmarkStart w:id="114" w:name="_Toc30808"/>
      <w:bookmarkStart w:id="115" w:name="_Toc16906"/>
    </w:p>
    <w:p>
      <w:pPr>
        <w:pStyle w:val="2"/>
        <w:tabs>
          <w:tab w:val="left" w:pos="900"/>
        </w:tabs>
        <w:snapToGrid w:val="0"/>
        <w:spacing w:before="0" w:line="380" w:lineRule="exact"/>
        <w:ind w:hanging="540"/>
        <w:textAlignment w:val="baseline"/>
        <w:rPr>
          <w:rFonts w:ascii="微软雅黑" w:hAnsi="微软雅黑" w:eastAsia="微软雅黑" w:cs="微软雅黑"/>
          <w:sz w:val="28"/>
          <w:highlight w:val="none"/>
        </w:rPr>
      </w:pPr>
      <w:r>
        <w:rPr>
          <w:rFonts w:hint="eastAsia" w:ascii="微软雅黑" w:hAnsi="微软雅黑" w:eastAsia="微软雅黑" w:cs="微软雅黑"/>
          <w:sz w:val="28"/>
          <w:highlight w:val="none"/>
        </w:rPr>
        <w:t xml:space="preserve">三   </w:t>
      </w:r>
      <w:bookmarkEnd w:id="107"/>
      <w:r>
        <w:rPr>
          <w:rFonts w:hint="eastAsia" w:ascii="微软雅黑" w:hAnsi="微软雅黑" w:eastAsia="微软雅黑" w:cs="微软雅黑"/>
          <w:sz w:val="28"/>
          <w:highlight w:val="none"/>
        </w:rPr>
        <w:t>响应文件的编制</w:t>
      </w:r>
      <w:bookmarkEnd w:id="108"/>
      <w:bookmarkEnd w:id="109"/>
      <w:bookmarkEnd w:id="110"/>
      <w:bookmarkEnd w:id="111"/>
      <w:bookmarkEnd w:id="112"/>
      <w:bookmarkEnd w:id="113"/>
      <w:bookmarkEnd w:id="114"/>
      <w:bookmarkEnd w:id="115"/>
    </w:p>
    <w:p>
      <w:pPr>
        <w:pStyle w:val="5"/>
        <w:snapToGrid w:val="0"/>
        <w:spacing w:line="380" w:lineRule="exact"/>
        <w:textAlignment w:val="baseline"/>
        <w:rPr>
          <w:rFonts w:ascii="微软雅黑" w:hAnsi="微软雅黑" w:eastAsia="微软雅黑" w:cs="微软雅黑"/>
          <w:highlight w:val="none"/>
        </w:rPr>
      </w:pPr>
    </w:p>
    <w:p>
      <w:pPr>
        <w:pStyle w:val="4"/>
        <w:tabs>
          <w:tab w:val="left" w:pos="900"/>
        </w:tabs>
        <w:snapToGrid w:val="0"/>
        <w:spacing w:before="0" w:after="0" w:line="380" w:lineRule="exact"/>
        <w:textAlignment w:val="baseline"/>
        <w:rPr>
          <w:rFonts w:ascii="微软雅黑" w:hAnsi="微软雅黑" w:eastAsia="微软雅黑" w:cs="微软雅黑"/>
          <w:highlight w:val="none"/>
          <w:u w:color="000000"/>
        </w:rPr>
      </w:pPr>
      <w:bookmarkStart w:id="116" w:name="_Toc520356151"/>
      <w:bookmarkStart w:id="117" w:name="_Toc19003"/>
      <w:bookmarkStart w:id="118" w:name="_Toc20168"/>
      <w:bookmarkStart w:id="119" w:name="_Toc21848"/>
      <w:bookmarkStart w:id="120" w:name="_Toc17079"/>
      <w:bookmarkStart w:id="121" w:name="_Toc21065"/>
      <w:bookmarkStart w:id="122" w:name="_Toc7786"/>
      <w:bookmarkStart w:id="123" w:name="_Toc19644"/>
      <w:bookmarkStart w:id="124" w:name="_Toc3553"/>
      <w:bookmarkStart w:id="125" w:name="_Toc8762"/>
      <w:bookmarkStart w:id="126" w:name="_Toc515647767"/>
      <w:bookmarkStart w:id="127" w:name="_Toc4525"/>
      <w:bookmarkStart w:id="128" w:name="_Toc31904"/>
      <w:bookmarkStart w:id="129" w:name="_Toc516367021"/>
      <w:bookmarkStart w:id="130" w:name="_Toc14330"/>
      <w:r>
        <w:rPr>
          <w:rFonts w:hint="eastAsia" w:ascii="微软雅黑" w:hAnsi="微软雅黑" w:eastAsia="微软雅黑" w:cs="微软雅黑"/>
          <w:highlight w:val="none"/>
          <w:u w:color="000000"/>
        </w:rPr>
        <w:t>8.</w:t>
      </w:r>
      <w:r>
        <w:rPr>
          <w:rFonts w:hint="eastAsia" w:ascii="微软雅黑" w:hAnsi="微软雅黑" w:eastAsia="微软雅黑" w:cs="微软雅黑"/>
          <w:highlight w:val="none"/>
          <w:u w:color="000000"/>
        </w:rPr>
        <w:tab/>
      </w:r>
      <w:r>
        <w:rPr>
          <w:rFonts w:hint="eastAsia" w:ascii="微软雅黑" w:hAnsi="微软雅黑" w:eastAsia="微软雅黑" w:cs="微软雅黑"/>
          <w:highlight w:val="none"/>
          <w:u w:color="000000"/>
        </w:rPr>
        <w:t>磋商范围及响应文件成交准和计量单位的使用</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项目有分包的，供应商可对磋商文件其中某一个或几个分包货物进行磋商，除非在</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中另有规定。</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8.2     供应商应当对所投分包磋商文件中“货物需求”所列的所有内容进行磋商，如仅响应某一包中的部分内容，其该包磋商将被认定为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8.3     无论磋商文件第5章货物需求一览表及技术规格中是否要求，供应商所投货物均应符合国家强制性标准。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8.4     除磋商文件中有特殊要求外，响应文件中所使用的计量单位，应采用中华人民共和国法定计量单位。</w:t>
      </w:r>
    </w:p>
    <w:p>
      <w:pPr>
        <w:pStyle w:val="4"/>
        <w:tabs>
          <w:tab w:val="left" w:pos="900"/>
        </w:tabs>
        <w:snapToGrid w:val="0"/>
        <w:spacing w:before="0" w:after="0" w:line="380" w:lineRule="exact"/>
        <w:textAlignment w:val="baseline"/>
        <w:rPr>
          <w:rFonts w:ascii="微软雅黑" w:hAnsi="微软雅黑" w:eastAsia="微软雅黑" w:cs="微软雅黑"/>
          <w:highlight w:val="none"/>
          <w:u w:color="000000"/>
        </w:rPr>
      </w:pPr>
      <w:bookmarkStart w:id="131" w:name="_Toc516367022"/>
      <w:bookmarkStart w:id="132" w:name="_Ref467306676"/>
      <w:bookmarkStart w:id="133" w:name="_Ref467306195"/>
      <w:bookmarkStart w:id="134" w:name="_Toc2709"/>
      <w:bookmarkStart w:id="135" w:name="_Toc28670"/>
      <w:bookmarkStart w:id="136" w:name="_Toc14931"/>
      <w:bookmarkStart w:id="137" w:name="_Toc28307"/>
      <w:bookmarkStart w:id="138" w:name="_Toc22944"/>
      <w:bookmarkStart w:id="139" w:name="_Toc520356152"/>
      <w:bookmarkStart w:id="140" w:name="_Toc2582"/>
      <w:bookmarkStart w:id="141" w:name="_Toc26502"/>
      <w:bookmarkStart w:id="142" w:name="_Toc13837"/>
      <w:bookmarkStart w:id="143" w:name="_Toc3006"/>
      <w:bookmarkStart w:id="144" w:name="_Toc19752"/>
      <w:bookmarkStart w:id="145" w:name="_Toc8989"/>
      <w:bookmarkStart w:id="146" w:name="_Toc10364"/>
      <w:bookmarkStart w:id="147" w:name="_Toc515647768"/>
      <w:r>
        <w:rPr>
          <w:rFonts w:hint="eastAsia" w:ascii="微软雅黑" w:hAnsi="微软雅黑" w:eastAsia="微软雅黑" w:cs="微软雅黑"/>
          <w:highlight w:val="none"/>
          <w:u w:color="000000"/>
        </w:rPr>
        <w:t>9.</w:t>
      </w:r>
      <w:bookmarkEnd w:id="131"/>
      <w:bookmarkEnd w:id="132"/>
      <w:bookmarkEnd w:id="133"/>
      <w:r>
        <w:rPr>
          <w:rFonts w:hint="eastAsia" w:ascii="微软雅黑" w:hAnsi="微软雅黑" w:eastAsia="微软雅黑" w:cs="微软雅黑"/>
          <w:highlight w:val="none"/>
          <w:u w:color="000000"/>
        </w:rPr>
        <w:t>响应文件构成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tabs>
          <w:tab w:val="left" w:pos="900"/>
          <w:tab w:val="left" w:pos="5580"/>
        </w:tabs>
        <w:snapToGrid w:val="0"/>
        <w:spacing w:line="380" w:lineRule="exact"/>
        <w:ind w:left="960" w:hanging="960" w:hangingChars="400"/>
        <w:jc w:val="left"/>
        <w:textAlignment w:val="baseline"/>
        <w:rPr>
          <w:rFonts w:ascii="微软雅黑" w:hAnsi="微软雅黑" w:eastAsia="微软雅黑" w:cs="微软雅黑"/>
          <w:sz w:val="24"/>
          <w:highlight w:val="none"/>
          <w:u w:val="single" w:color="000000"/>
        </w:rPr>
      </w:pPr>
      <w:bookmarkStart w:id="148" w:name="_Ref467052588"/>
      <w:r>
        <w:rPr>
          <w:rFonts w:hint="eastAsia" w:ascii="微软雅黑" w:hAnsi="微软雅黑" w:eastAsia="微软雅黑" w:cs="微软雅黑"/>
          <w:sz w:val="24"/>
          <w:highlight w:val="none"/>
        </w:rPr>
        <w:t xml:space="preserve">9.1     </w:t>
      </w:r>
      <w:r>
        <w:rPr>
          <w:rFonts w:hint="eastAsia" w:ascii="微软雅黑" w:hAnsi="微软雅黑" w:eastAsia="微软雅黑" w:cs="微软雅黑"/>
          <w:sz w:val="24"/>
          <w:highlight w:val="none"/>
          <w:u w:val="single" w:color="000000"/>
        </w:rPr>
        <w:t>供应商应完整地按磋商文件提供的响应文件格式及要求编写响应文件，响应文件应包括“</w:t>
      </w:r>
      <w:r>
        <w:rPr>
          <w:rFonts w:hint="eastAsia" w:ascii="微软雅黑" w:hAnsi="微软雅黑" w:eastAsia="微软雅黑" w:cs="微软雅黑"/>
          <w:sz w:val="24"/>
          <w:highlight w:val="none"/>
          <w:u w:val="single" w:color="000000"/>
          <w:lang w:eastAsia="zh-CN"/>
        </w:rPr>
        <w:t>磋商报价一览表</w:t>
      </w:r>
      <w:r>
        <w:rPr>
          <w:rFonts w:hint="eastAsia" w:ascii="微软雅黑" w:hAnsi="微软雅黑" w:eastAsia="微软雅黑" w:cs="微软雅黑"/>
          <w:sz w:val="24"/>
          <w:highlight w:val="none"/>
          <w:u w:val="single" w:color="000000"/>
        </w:rPr>
        <w:t>及资格证明文件”和“商务及技术文件”两部分。两部分合订成一册，密封递交。供应商应承担封装失误产生的任何后果。</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9.2    上述文件应按照磋商文件规定的格式填写、签署和盖章。</w:t>
      </w:r>
      <w:bookmarkEnd w:id="148"/>
    </w:p>
    <w:p>
      <w:pPr>
        <w:pStyle w:val="4"/>
        <w:tabs>
          <w:tab w:val="left" w:pos="900"/>
        </w:tabs>
        <w:snapToGrid w:val="0"/>
        <w:spacing w:before="0" w:after="0" w:line="380" w:lineRule="exact"/>
        <w:textAlignment w:val="baseline"/>
        <w:rPr>
          <w:rFonts w:ascii="微软雅黑" w:hAnsi="微软雅黑" w:eastAsia="微软雅黑" w:cs="微软雅黑"/>
          <w:highlight w:val="none"/>
          <w:u w:color="000000"/>
        </w:rPr>
      </w:pPr>
      <w:bookmarkStart w:id="149" w:name="_Toc6860"/>
      <w:bookmarkStart w:id="150" w:name="_Toc5860"/>
      <w:bookmarkStart w:id="151" w:name="_Toc520356153"/>
      <w:bookmarkStart w:id="152" w:name="_Toc25631"/>
      <w:bookmarkStart w:id="153" w:name="_Toc10379"/>
      <w:bookmarkStart w:id="154" w:name="_Toc15064"/>
      <w:bookmarkStart w:id="155" w:name="_Toc516367023"/>
      <w:bookmarkStart w:id="156" w:name="_Toc515647769"/>
      <w:bookmarkStart w:id="157" w:name="_Toc28330"/>
      <w:bookmarkStart w:id="158" w:name="_Toc870"/>
      <w:bookmarkStart w:id="159" w:name="_Toc8626"/>
      <w:bookmarkStart w:id="160" w:name="_Toc18827"/>
      <w:bookmarkStart w:id="161" w:name="_Toc4291"/>
      <w:bookmarkStart w:id="162" w:name="_Toc4601"/>
      <w:bookmarkStart w:id="163" w:name="_Toc32014"/>
      <w:r>
        <w:rPr>
          <w:rFonts w:hint="eastAsia" w:ascii="微软雅黑" w:hAnsi="微软雅黑" w:eastAsia="微软雅黑" w:cs="微软雅黑"/>
          <w:highlight w:val="none"/>
          <w:u w:color="000000"/>
        </w:rPr>
        <w:t>10.</w:t>
      </w:r>
      <w:r>
        <w:rPr>
          <w:rFonts w:hint="eastAsia" w:ascii="微软雅黑" w:hAnsi="微软雅黑" w:eastAsia="微软雅黑" w:cs="微软雅黑"/>
          <w:highlight w:val="none"/>
          <w:u w:color="000000"/>
        </w:rPr>
        <w:tab/>
      </w:r>
      <w:r>
        <w:rPr>
          <w:rFonts w:hint="eastAsia" w:ascii="微软雅黑" w:hAnsi="微软雅黑" w:eastAsia="微软雅黑" w:cs="微软雅黑"/>
          <w:highlight w:val="none"/>
          <w:u w:color="000000"/>
        </w:rPr>
        <w:t>证明磋商标的的合格性和符合磋商文件规定的技术文件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供应商应提交证明文件，证明其磋商内容符合磋商文件规定。该证明文件是响应文件的一部分。</w:t>
      </w:r>
    </w:p>
    <w:p>
      <w:pPr>
        <w:snapToGrid w:val="0"/>
        <w:spacing w:line="380" w:lineRule="exact"/>
        <w:ind w:left="900" w:hanging="900" w:hangingChars="375"/>
        <w:textAlignment w:val="baseline"/>
        <w:rPr>
          <w:rFonts w:ascii="微软雅黑" w:hAnsi="微软雅黑" w:eastAsia="微软雅黑" w:cs="微软雅黑"/>
          <w:sz w:val="24"/>
          <w:highlight w:val="none"/>
        </w:rPr>
      </w:pPr>
      <w:bookmarkStart w:id="164" w:name="_Ref467306244"/>
      <w:r>
        <w:rPr>
          <w:rFonts w:hint="eastAsia" w:ascii="微软雅黑" w:hAnsi="微软雅黑" w:eastAsia="微软雅黑" w:cs="微软雅黑"/>
          <w:sz w:val="24"/>
          <w:highlight w:val="none"/>
        </w:rPr>
        <w:t>10.2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上款所述的证明文件，可以是文字资料、图纸和数据，</w:t>
      </w:r>
      <w:bookmarkEnd w:id="164"/>
      <w:r>
        <w:rPr>
          <w:rFonts w:hint="eastAsia" w:ascii="微软雅黑" w:hAnsi="微软雅黑" w:eastAsia="微软雅黑" w:cs="微软雅黑"/>
          <w:sz w:val="24"/>
          <w:highlight w:val="none"/>
        </w:rPr>
        <w:t>它包括：</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货物主要技术指标和性能的详细说明；</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对照磋商文件技术规格，逐条说明所提供货物已对磋商文件的技术规格做出了实质性的响应，或申明与技术规格条文的偏差和例外。</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注意采购人在技术规格中指出的工艺、材料和设备的参照品牌型号或分类号仅起说明作用，并没有任何限制性。供应商在磋商中可以选用替代牌号或分类号，但这些替代要实质上相当于技术规格的要求。采购人、采购代理机构承诺不以上述参照品牌型号或分类号作为评标时判定其磋商是否有效的标准。</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165" w:name="_Toc7688"/>
      <w:bookmarkStart w:id="166" w:name="_Toc5859"/>
      <w:bookmarkStart w:id="167" w:name="_Toc2248"/>
      <w:bookmarkStart w:id="168" w:name="_Toc9025"/>
      <w:bookmarkStart w:id="169" w:name="_Toc23231"/>
      <w:bookmarkStart w:id="170" w:name="_Toc27117"/>
      <w:bookmarkStart w:id="171" w:name="_Toc520356155"/>
      <w:bookmarkStart w:id="172" w:name="_Toc16854"/>
      <w:bookmarkStart w:id="173" w:name="_Toc515647770"/>
      <w:bookmarkStart w:id="174" w:name="_Toc7506"/>
      <w:bookmarkStart w:id="175" w:name="_Toc4933"/>
      <w:bookmarkStart w:id="176" w:name="_Toc6864"/>
      <w:bookmarkStart w:id="177" w:name="_Toc15870"/>
      <w:bookmarkStart w:id="178" w:name="_Toc5239"/>
      <w:r>
        <w:rPr>
          <w:rFonts w:hint="eastAsia" w:ascii="微软雅黑" w:hAnsi="微软雅黑" w:eastAsia="微软雅黑" w:cs="微软雅黑"/>
          <w:highlight w:val="none"/>
          <w:u w:color="000000"/>
        </w:rPr>
        <w:t>11.磋商报价</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所有磋商均以人民币报价。供应商的磋商报价应遵守《中华人民共和国价格法》。同时，根据《中华人民共和国政府采购法》第二条的规定，为保证公平竞争，如有货物主体部分的赠与行为，其磋商将被认定为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供应商应在磋商分项报价表上标明磋商货物及相关服务的单价（如适用）和总价，并由法定代表人或其授权代表签署。</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磋商分项报价表上的价格应按下列方式填写：</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11.3.1  磋商服务费用。</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11.3.2  供应商所报的各分项磋商单价在合同履行过程中是固定不变的，不得以任何理由予以变更。任何包含价格调整要求的磋商，其磋商将被认定为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11.5</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179" w:name="_Toc17788"/>
      <w:bookmarkStart w:id="180" w:name="_Toc5302"/>
      <w:bookmarkStart w:id="181" w:name="_Ref467306513"/>
      <w:bookmarkStart w:id="182" w:name="_Toc8505"/>
      <w:bookmarkStart w:id="183" w:name="_Toc16693"/>
      <w:bookmarkStart w:id="184" w:name="_Toc1651"/>
      <w:bookmarkStart w:id="185" w:name="_Toc30640"/>
      <w:bookmarkStart w:id="186" w:name="_Toc11514"/>
      <w:bookmarkStart w:id="187" w:name="_Toc20519"/>
      <w:bookmarkStart w:id="188" w:name="_Toc31526"/>
      <w:bookmarkStart w:id="189" w:name="_Toc855"/>
      <w:bookmarkStart w:id="190" w:name="_Toc515647771"/>
      <w:bookmarkStart w:id="191" w:name="_Toc520356156"/>
      <w:bookmarkStart w:id="192" w:name="_Toc9763"/>
      <w:bookmarkStart w:id="193" w:name="_Toc19405"/>
      <w:r>
        <w:rPr>
          <w:rFonts w:hint="eastAsia" w:ascii="微软雅黑" w:hAnsi="微软雅黑" w:eastAsia="微软雅黑" w:cs="微软雅黑"/>
          <w:highlight w:val="none"/>
          <w:u w:color="000000"/>
        </w:rPr>
        <w:t>12.磋商保证金</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snapToGrid w:val="0"/>
        <w:spacing w:line="380" w:lineRule="exact"/>
        <w:ind w:left="900" w:hanging="900" w:hangingChars="375"/>
        <w:textAlignment w:val="baseline"/>
        <w:rPr>
          <w:rFonts w:ascii="微软雅黑" w:hAnsi="微软雅黑" w:eastAsia="微软雅黑" w:cs="微软雅黑"/>
          <w:sz w:val="24"/>
          <w:highlight w:val="none"/>
        </w:rPr>
      </w:pPr>
      <w:bookmarkStart w:id="194" w:name="_Ref467306302"/>
      <w:r>
        <w:rPr>
          <w:rFonts w:hint="eastAsia" w:ascii="微软雅黑" w:hAnsi="微软雅黑" w:eastAsia="微软雅黑" w:cs="微软雅黑"/>
          <w:sz w:val="24"/>
          <w:highlight w:val="none"/>
        </w:rPr>
        <w:t>12.1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供应商应提交</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中规定的磋商保证金</w:t>
      </w:r>
      <w:bookmarkEnd w:id="194"/>
      <w:r>
        <w:rPr>
          <w:rFonts w:hint="eastAsia" w:ascii="微软雅黑" w:hAnsi="微软雅黑" w:eastAsia="微软雅黑" w:cs="微软雅黑"/>
          <w:sz w:val="24"/>
          <w:highlight w:val="none"/>
        </w:rPr>
        <w:t>，并作为其磋商的一部分。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供应商存在下列情形的，磋商保证金不予退还：</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（1）在磋商有效期内，撤销磋商的；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（2）成交后不按本须知第30条的规定与采购人签订合同的；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（3）成交后不按本须知第31条的规定提交履约保证金的；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（4）成交后不按本须知第32条的规定缴纳成交代理费的；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（5）存在其他违法违规行为的。</w:t>
      </w:r>
    </w:p>
    <w:p>
      <w:pPr>
        <w:snapToGrid w:val="0"/>
        <w:spacing w:line="380" w:lineRule="exact"/>
        <w:ind w:left="900" w:hanging="900" w:hangingChars="375"/>
        <w:textAlignment w:val="baseline"/>
        <w:rPr>
          <w:rFonts w:ascii="微软雅黑" w:hAnsi="微软雅黑" w:eastAsia="微软雅黑" w:cs="微软雅黑"/>
          <w:sz w:val="24"/>
          <w:highlight w:val="none"/>
        </w:rPr>
      </w:pPr>
      <w:bookmarkStart w:id="195" w:name="_Ref467306336"/>
      <w:r>
        <w:rPr>
          <w:rFonts w:hint="eastAsia" w:ascii="微软雅黑" w:hAnsi="微软雅黑" w:eastAsia="微软雅黑" w:cs="微软雅黑"/>
          <w:sz w:val="24"/>
          <w:highlight w:val="none"/>
        </w:rPr>
        <w:t>12.3</w:t>
      </w:r>
      <w:r>
        <w:rPr>
          <w:rFonts w:hint="eastAsia" w:ascii="微软雅黑" w:hAnsi="微软雅黑" w:eastAsia="微软雅黑" w:cs="微软雅黑"/>
          <w:sz w:val="24"/>
          <w:highlight w:val="none"/>
        </w:rPr>
        <w:tab/>
      </w:r>
      <w:bookmarkEnd w:id="195"/>
      <w:r>
        <w:rPr>
          <w:rFonts w:hint="eastAsia" w:ascii="微软雅黑" w:hAnsi="微软雅黑" w:eastAsia="微软雅黑" w:cs="微软雅黑"/>
          <w:sz w:val="24"/>
          <w:highlight w:val="none"/>
        </w:rPr>
        <w:t>政府采购信用担保试点范围内的项目，接受符合财政部门规定的政府采购磋商担保函原件。</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供应商未按本须知第12.1和12.3条规定提交磋商保证金的，其磋商将被认定为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12.4.1  采用电汇形式的，一般可以实时入账。</w:t>
      </w:r>
    </w:p>
    <w:p>
      <w:pPr>
        <w:snapToGrid w:val="0"/>
        <w:spacing w:line="380" w:lineRule="exact"/>
        <w:ind w:left="960" w:hanging="960" w:hangingChars="4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磋商保证金的退还</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12.6.3  政府采购磋商担保函不予退回。</w:t>
      </w:r>
    </w:p>
    <w:p>
      <w:pPr>
        <w:snapToGrid w:val="0"/>
        <w:spacing w:line="38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12.7    因供应商自身原因导致无法及时退还的，采购人或采购代理机构将不承担相应责任。</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196" w:name="_Toc520356157"/>
      <w:bookmarkStart w:id="197" w:name="_Toc8146"/>
      <w:bookmarkStart w:id="198" w:name="_Toc277"/>
      <w:bookmarkStart w:id="199" w:name="_Toc32569"/>
      <w:bookmarkStart w:id="200" w:name="_Toc23590"/>
      <w:bookmarkStart w:id="201" w:name="_Toc3815"/>
      <w:bookmarkStart w:id="202" w:name="_Toc12769"/>
      <w:bookmarkStart w:id="203" w:name="_Toc515647772"/>
      <w:bookmarkStart w:id="204" w:name="_Toc21509"/>
      <w:bookmarkStart w:id="205" w:name="_Toc15953"/>
      <w:bookmarkStart w:id="206" w:name="_Toc325"/>
      <w:bookmarkStart w:id="207" w:name="_Toc1400"/>
      <w:bookmarkStart w:id="208" w:name="_Toc29124"/>
      <w:bookmarkStart w:id="209" w:name="_Toc20387"/>
      <w:r>
        <w:rPr>
          <w:rFonts w:hint="eastAsia" w:ascii="微软雅黑" w:hAnsi="微软雅黑" w:eastAsia="微软雅黑" w:cs="微软雅黑"/>
          <w:highlight w:val="none"/>
          <w:u w:color="000000"/>
        </w:rPr>
        <w:t>13.磋商有效期</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磋商应在</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中规定时间内保持有效。磋商有效期不满足要求的磋商，其磋商将被认定为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210" w:name="_Toc520356158"/>
      <w:bookmarkStart w:id="211" w:name="_Toc515647773"/>
      <w:bookmarkStart w:id="212" w:name="_Toc540"/>
      <w:bookmarkStart w:id="213" w:name="_Toc21251"/>
      <w:bookmarkStart w:id="214" w:name="_Toc24880"/>
      <w:bookmarkStart w:id="215" w:name="_Toc21843"/>
      <w:bookmarkStart w:id="216" w:name="_Toc4551"/>
      <w:bookmarkStart w:id="217" w:name="_Toc14581"/>
      <w:bookmarkStart w:id="218" w:name="_Toc493"/>
      <w:bookmarkStart w:id="219" w:name="_Toc28395"/>
      <w:bookmarkStart w:id="220" w:name="_Toc17074"/>
      <w:bookmarkStart w:id="221" w:name="_Toc26606"/>
      <w:bookmarkStart w:id="222" w:name="_Toc19311"/>
      <w:bookmarkStart w:id="223" w:name="_Toc29649"/>
      <w:r>
        <w:rPr>
          <w:rFonts w:hint="eastAsia" w:ascii="微软雅黑" w:hAnsi="微软雅黑" w:eastAsia="微软雅黑" w:cs="微软雅黑"/>
          <w:highlight w:val="none"/>
          <w:u w:color="000000"/>
        </w:rPr>
        <w:t>14.响应文件的签署</w:t>
      </w:r>
      <w:bookmarkEnd w:id="210"/>
      <w:r>
        <w:rPr>
          <w:rFonts w:hint="eastAsia" w:ascii="微软雅黑" w:hAnsi="微软雅黑" w:eastAsia="微软雅黑" w:cs="微软雅黑"/>
          <w:highlight w:val="none"/>
          <w:u w:color="000000"/>
        </w:rPr>
        <w:t>及规定</w:t>
      </w:r>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80" w:lineRule="exact"/>
        <w:ind w:left="900" w:hanging="900" w:hangingChars="375"/>
        <w:rPr>
          <w:rFonts w:ascii="微软雅黑" w:hAnsi="微软雅黑" w:eastAsia="微软雅黑" w:cs="微软雅黑"/>
          <w:sz w:val="24"/>
          <w:highlight w:val="none"/>
        </w:rPr>
      </w:pPr>
      <w:bookmarkStart w:id="224" w:name="_Toc216582808"/>
      <w:bookmarkStart w:id="225" w:name="_Toc11179"/>
      <w:bookmarkStart w:id="226" w:name="_Toc8711"/>
      <w:bookmarkStart w:id="227" w:name="_Toc515647774"/>
      <w:bookmarkStart w:id="228" w:name="_Toc3461"/>
      <w:bookmarkStart w:id="229" w:name="_Toc16865"/>
      <w:bookmarkStart w:id="230" w:name="_Toc520356159"/>
      <w:r>
        <w:rPr>
          <w:rFonts w:hint="eastAsia" w:ascii="微软雅黑" w:hAnsi="微软雅黑" w:eastAsia="微软雅黑" w:cs="微软雅黑"/>
          <w:sz w:val="24"/>
          <w:highlight w:val="none"/>
        </w:rPr>
        <w:t>14.1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供应商应按</w:t>
      </w:r>
      <w:r>
        <w:rPr>
          <w:rFonts w:hint="eastAsia" w:ascii="微软雅黑" w:hAnsi="微软雅黑" w:eastAsia="微软雅黑" w:cs="微软雅黑"/>
          <w:sz w:val="24"/>
          <w:highlight w:val="none"/>
          <w:u w:val="single"/>
        </w:rPr>
        <w:t>供应商须知资料表</w:t>
      </w:r>
      <w:r>
        <w:rPr>
          <w:rFonts w:hint="eastAsia" w:ascii="微软雅黑" w:hAnsi="微软雅黑" w:eastAsia="微软雅黑" w:cs="微软雅黑"/>
          <w:sz w:val="24"/>
          <w:highlight w:val="none"/>
        </w:rPr>
        <w:t>中的规定，准备和递交响应文件和</w:t>
      </w:r>
      <w:r>
        <w:rPr>
          <w:rFonts w:hint="eastAsia" w:ascii="微软雅黑" w:hAnsi="微软雅黑" w:eastAsia="微软雅黑" w:cs="微软雅黑"/>
          <w:iCs/>
          <w:sz w:val="24"/>
          <w:highlight w:val="none"/>
        </w:rPr>
        <w:t>磋商报价表</w:t>
      </w:r>
      <w:r>
        <w:rPr>
          <w:rFonts w:hint="eastAsia" w:ascii="微软雅黑" w:hAnsi="微软雅黑" w:eastAsia="微软雅黑" w:cs="微软雅黑"/>
          <w:sz w:val="24"/>
          <w:highlight w:val="none"/>
        </w:rPr>
        <w:t>和电子文档，每份响应文件封皮须清楚地标明“正本”或“副本”。若正本和副本不符，以正本为准。</w:t>
      </w:r>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14.3    所有响应文件采用不可拆装的胶订方式装订，否则其磋商将被认定为磋商无效。</w:t>
      </w:r>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14.4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响应文件因字迹潦草、表达不清或装订不当所引起的后果由供应商负责。</w:t>
      </w:r>
    </w:p>
    <w:p>
      <w:pPr>
        <w:spacing w:line="380" w:lineRule="exact"/>
        <w:ind w:left="900" w:hanging="900" w:hangingChars="375"/>
        <w:jc w:val="center"/>
        <w:outlineLvl w:val="1"/>
        <w:rPr>
          <w:rFonts w:ascii="微软雅黑" w:hAnsi="微软雅黑" w:eastAsia="微软雅黑" w:cs="微软雅黑"/>
          <w:sz w:val="24"/>
          <w:highlight w:val="none"/>
        </w:rPr>
      </w:pPr>
      <w:bookmarkStart w:id="231" w:name="_Toc20092"/>
      <w:r>
        <w:rPr>
          <w:rFonts w:hint="eastAsia" w:ascii="微软雅黑" w:hAnsi="微软雅黑" w:eastAsia="微软雅黑" w:cs="微软雅黑"/>
          <w:b/>
          <w:sz w:val="24"/>
          <w:highlight w:val="none"/>
        </w:rPr>
        <w:t>四   响应文件的递交</w:t>
      </w:r>
      <w:bookmarkEnd w:id="224"/>
      <w:bookmarkEnd w:id="225"/>
      <w:bookmarkEnd w:id="226"/>
      <w:bookmarkEnd w:id="227"/>
      <w:bookmarkEnd w:id="228"/>
      <w:bookmarkEnd w:id="229"/>
      <w:bookmarkEnd w:id="230"/>
      <w:bookmarkEnd w:id="231"/>
    </w:p>
    <w:p>
      <w:pPr>
        <w:pStyle w:val="4"/>
        <w:snapToGrid w:val="0"/>
        <w:spacing w:before="0" w:after="0" w:line="380" w:lineRule="exact"/>
        <w:textAlignment w:val="baseline"/>
        <w:rPr>
          <w:rFonts w:ascii="微软雅黑" w:hAnsi="微软雅黑" w:eastAsia="微软雅黑" w:cs="微软雅黑"/>
          <w:highlight w:val="none"/>
          <w:u w:color="000000"/>
        </w:rPr>
      </w:pPr>
      <w:bookmarkStart w:id="232" w:name="_Toc6188"/>
      <w:bookmarkStart w:id="233" w:name="_Toc415"/>
      <w:bookmarkStart w:id="234" w:name="_Toc30799"/>
      <w:bookmarkStart w:id="235" w:name="_Toc6764"/>
      <w:bookmarkStart w:id="236" w:name="_Toc22380"/>
      <w:bookmarkStart w:id="237" w:name="_Toc20496"/>
      <w:bookmarkStart w:id="238" w:name="_Toc21645"/>
      <w:bookmarkStart w:id="239" w:name="_Toc9759"/>
      <w:bookmarkStart w:id="240" w:name="_Toc515647775"/>
      <w:bookmarkStart w:id="241" w:name="_Toc13617"/>
      <w:bookmarkStart w:id="242" w:name="_Toc16507"/>
      <w:bookmarkStart w:id="243" w:name="_Toc520356160"/>
      <w:bookmarkStart w:id="244" w:name="_Toc24069"/>
      <w:bookmarkStart w:id="245" w:name="_Toc32337"/>
      <w:r>
        <w:rPr>
          <w:rFonts w:hint="eastAsia" w:ascii="微软雅黑" w:hAnsi="微软雅黑" w:eastAsia="微软雅黑" w:cs="微软雅黑"/>
          <w:highlight w:val="none"/>
          <w:u w:color="000000"/>
        </w:rPr>
        <w:t>15.响应文件的密封和标记</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15.1   供应商应将响应文件第一部分和第二部分的内容合并装订成一册，密封提交，并在封皮正面标明“响应文件”字样。</w:t>
      </w:r>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15.2   所有包装封皮和信封上均应：</w:t>
      </w:r>
    </w:p>
    <w:p>
      <w:pPr>
        <w:spacing w:line="380" w:lineRule="exact"/>
        <w:ind w:left="180" w:hanging="180" w:hangingChars="75"/>
        <w:rPr>
          <w:rFonts w:ascii="微软雅黑" w:hAnsi="微软雅黑" w:eastAsia="微软雅黑" w:cs="微软雅黑"/>
          <w:sz w:val="24"/>
          <w:highlight w:val="none"/>
        </w:rPr>
      </w:pPr>
      <w:r>
        <w:rPr>
          <w:rFonts w:hint="eastAsia" w:ascii="微软雅黑" w:hAnsi="微软雅黑" w:eastAsia="微软雅黑" w:cs="微软雅黑"/>
          <w:sz w:val="24"/>
          <w:highlight w:val="none"/>
        </w:rPr>
        <w:t>（1）注明招标公告或磋商邀请书中指明的项目名称、项目编号、</w:t>
      </w:r>
      <w:r>
        <w:rPr>
          <w:rFonts w:hint="eastAsia" w:ascii="微软雅黑" w:hAnsi="微软雅黑" w:eastAsia="微软雅黑" w:cs="微软雅黑"/>
          <w:sz w:val="24"/>
          <w:highlight w:val="none"/>
          <w:lang w:eastAsia="zh-CN"/>
        </w:rPr>
        <w:t>标段号、</w:t>
      </w:r>
      <w:r>
        <w:rPr>
          <w:rFonts w:hint="eastAsia" w:ascii="微软雅黑" w:hAnsi="微软雅黑" w:eastAsia="微软雅黑" w:cs="微软雅黑"/>
          <w:sz w:val="24"/>
          <w:highlight w:val="none"/>
        </w:rPr>
        <w:t>供应商名称和“在（开标时间）之前不得启封”的字样。</w:t>
      </w:r>
    </w:p>
    <w:p>
      <w:pPr>
        <w:spacing w:line="380" w:lineRule="exact"/>
        <w:ind w:left="180" w:hanging="180" w:hangingChars="75"/>
        <w:rPr>
          <w:rFonts w:ascii="微软雅黑" w:hAnsi="微软雅黑" w:eastAsia="微软雅黑" w:cs="微软雅黑"/>
          <w:sz w:val="24"/>
          <w:highlight w:val="none"/>
        </w:rPr>
      </w:pPr>
      <w:r>
        <w:rPr>
          <w:rFonts w:hint="eastAsia" w:ascii="微软雅黑" w:hAnsi="微软雅黑" w:eastAsia="微软雅黑" w:cs="微软雅黑"/>
          <w:sz w:val="24"/>
          <w:highlight w:val="none"/>
        </w:rPr>
        <w:t>（2）在封口处加盖供应商单位公章，</w:t>
      </w:r>
      <w:r>
        <w:rPr>
          <w:rFonts w:hint="eastAsia" w:ascii="微软雅黑" w:hAnsi="微软雅黑" w:eastAsia="微软雅黑" w:cs="微软雅黑"/>
          <w:sz w:val="24"/>
          <w:highlight w:val="none"/>
          <w:lang w:eastAsia="zh-CN"/>
        </w:rPr>
        <w:t>并</w:t>
      </w:r>
      <w:r>
        <w:rPr>
          <w:rFonts w:hint="eastAsia" w:ascii="微软雅黑" w:hAnsi="微软雅黑" w:eastAsia="微软雅黑" w:cs="微软雅黑"/>
          <w:sz w:val="24"/>
          <w:highlight w:val="none"/>
        </w:rPr>
        <w:t>由法定代表人（或其委托代理人）签字</w:t>
      </w:r>
      <w:r>
        <w:rPr>
          <w:rFonts w:hint="eastAsia" w:ascii="微软雅黑" w:hAnsi="微软雅黑" w:eastAsia="微软雅黑" w:cs="微软雅黑"/>
          <w:sz w:val="24"/>
          <w:highlight w:val="none"/>
          <w:lang w:val="en-US" w:eastAsia="zh-CN"/>
        </w:rPr>
        <w:t>(或加盖签章）</w:t>
      </w:r>
      <w:r>
        <w:rPr>
          <w:rFonts w:hint="eastAsia" w:ascii="微软雅黑" w:hAnsi="微软雅黑" w:eastAsia="微软雅黑" w:cs="微软雅黑"/>
          <w:sz w:val="24"/>
          <w:highlight w:val="none"/>
        </w:rPr>
        <w:t>。</w:t>
      </w:r>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15.3   如果供应商未按上述要求标记的，将承担相应的后果。</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246" w:name="_Toc24025"/>
      <w:bookmarkStart w:id="247" w:name="_Toc520356161"/>
      <w:bookmarkStart w:id="248" w:name="_Toc8557"/>
      <w:bookmarkStart w:id="249" w:name="_Toc9840"/>
      <w:bookmarkStart w:id="250" w:name="_Toc2068"/>
      <w:bookmarkStart w:id="251" w:name="_Toc26069"/>
      <w:bookmarkStart w:id="252" w:name="_Toc19785"/>
      <w:bookmarkStart w:id="253" w:name="_Toc31921"/>
      <w:bookmarkStart w:id="254" w:name="_Toc3372"/>
      <w:bookmarkStart w:id="255" w:name="_Toc18350"/>
      <w:bookmarkStart w:id="256" w:name="_Toc515647776"/>
      <w:bookmarkStart w:id="257" w:name="_Toc12751"/>
      <w:bookmarkStart w:id="258" w:name="_Toc9452"/>
      <w:bookmarkStart w:id="259" w:name="_Toc7478"/>
      <w:r>
        <w:rPr>
          <w:rFonts w:hint="eastAsia" w:ascii="微软雅黑" w:hAnsi="微软雅黑" w:eastAsia="微软雅黑" w:cs="微软雅黑"/>
          <w:highlight w:val="none"/>
          <w:u w:color="000000"/>
        </w:rPr>
        <w:t>16.磋商截止</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16.1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供应商应在供应商须知资料表中规定的截止时间前，将响应文件上传到磋商公告中规定的地点。</w:t>
      </w:r>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16.2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采购人和采购代理机构有权按本须知的规定，延迟磋商截止时间。在此情况下，采购人、采购代理机构和供应商受磋商截止时间制约的所有权利和义务均应延长至新的截止时间。</w:t>
      </w:r>
    </w:p>
    <w:p>
      <w:pPr>
        <w:spacing w:line="380" w:lineRule="exact"/>
        <w:ind w:left="900" w:hanging="900" w:hangingChars="375"/>
        <w:rPr>
          <w:rFonts w:ascii="微软雅黑" w:hAnsi="微软雅黑" w:eastAsia="微软雅黑" w:cs="微软雅黑"/>
          <w:sz w:val="24"/>
          <w:highlight w:val="none"/>
        </w:rPr>
      </w:pPr>
      <w:r>
        <w:rPr>
          <w:rFonts w:hint="eastAsia" w:ascii="微软雅黑" w:hAnsi="微软雅黑" w:eastAsia="微软雅黑" w:cs="微软雅黑"/>
          <w:sz w:val="24"/>
          <w:highlight w:val="none"/>
        </w:rPr>
        <w:t>16.3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采购人和采购代理机构将拒绝接收在磋商截止时间后递交的响应文件。</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260" w:name="_Toc18537"/>
      <w:bookmarkStart w:id="261" w:name="_Toc11003"/>
      <w:bookmarkStart w:id="262" w:name="_Toc30194"/>
      <w:bookmarkStart w:id="263" w:name="_Toc3014"/>
      <w:bookmarkStart w:id="264" w:name="_Toc10299"/>
      <w:bookmarkStart w:id="265" w:name="_Toc515647777"/>
      <w:bookmarkStart w:id="266" w:name="_Toc520356162"/>
      <w:bookmarkStart w:id="267" w:name="_Toc23557"/>
      <w:bookmarkStart w:id="268" w:name="_Toc24275"/>
      <w:bookmarkStart w:id="269" w:name="_Toc29943"/>
      <w:bookmarkStart w:id="270" w:name="_Toc18594"/>
      <w:bookmarkStart w:id="271" w:name="_Toc7274"/>
      <w:bookmarkStart w:id="272" w:name="_Toc22201"/>
      <w:bookmarkStart w:id="273" w:name="_Toc9478"/>
      <w:r>
        <w:rPr>
          <w:rFonts w:hint="eastAsia" w:ascii="微软雅黑" w:hAnsi="微软雅黑" w:eastAsia="微软雅黑" w:cs="微软雅黑"/>
          <w:highlight w:val="none"/>
          <w:u w:color="000000"/>
        </w:rPr>
        <w:t>17.响应文件的接收、修改与撤回</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snapToGrid w:val="0"/>
        <w:spacing w:line="380" w:lineRule="exact"/>
        <w:ind w:left="900" w:hanging="900" w:hangingChars="375"/>
        <w:textAlignment w:val="baseline"/>
        <w:rPr>
          <w:rFonts w:ascii="微软雅黑" w:hAnsi="微软雅黑" w:eastAsia="微软雅黑" w:cs="微软雅黑"/>
          <w:sz w:val="20"/>
          <w:highlight w:val="none"/>
        </w:rPr>
      </w:pPr>
      <w:r>
        <w:rPr>
          <w:rFonts w:hint="eastAsia" w:ascii="微软雅黑" w:hAnsi="微软雅黑" w:eastAsia="微软雅黑" w:cs="微软雅黑"/>
          <w:sz w:val="24"/>
          <w:highlight w:val="none"/>
        </w:rPr>
        <w:t>17.1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在磋商截止时间后递交的响应文件的，采购人和采购代理机构将拒绝接收。</w:t>
      </w:r>
    </w:p>
    <w:p>
      <w:pPr>
        <w:snapToGrid w:val="0"/>
        <w:spacing w:line="38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递交响应文件以后，如果供应商要进行修改或撤回磋商，供应商对响应文件的修改或撤回通知应按本须知规定编制、标记。</w:t>
      </w:r>
    </w:p>
    <w:p>
      <w:pPr>
        <w:snapToGrid w:val="0"/>
        <w:spacing w:line="380" w:lineRule="exact"/>
        <w:ind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采购人和采购代理机构将予以接收，并视为响应文件的组成部分。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在磋商截止期之后，采购人和采购代理机构不接受供应商主动对其响应文件做任何修改。</w:t>
      </w:r>
    </w:p>
    <w:p>
      <w:pPr>
        <w:snapToGrid w:val="0"/>
        <w:spacing w:line="380" w:lineRule="exact"/>
        <w:ind w:left="900" w:hanging="900" w:hangingChars="375"/>
        <w:textAlignment w:val="baseline"/>
        <w:rPr>
          <w:rFonts w:ascii="微软雅黑" w:hAnsi="微软雅黑" w:eastAsia="微软雅黑" w:cs="微软雅黑"/>
          <w:sz w:val="20"/>
          <w:highlight w:val="none"/>
        </w:rPr>
      </w:pPr>
      <w:r>
        <w:rPr>
          <w:rFonts w:hint="eastAsia" w:ascii="微软雅黑" w:hAnsi="微软雅黑" w:eastAsia="微软雅黑" w:cs="微软雅黑"/>
          <w:sz w:val="24"/>
          <w:highlight w:val="none"/>
        </w:rPr>
        <w:t>17.4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采购人和采购代理机构对所接收响应文件概不退回。</w:t>
      </w:r>
    </w:p>
    <w:p>
      <w:pPr>
        <w:pStyle w:val="2"/>
        <w:snapToGrid w:val="0"/>
        <w:spacing w:before="0" w:line="380" w:lineRule="exact"/>
        <w:ind w:hanging="540"/>
        <w:textAlignment w:val="baseline"/>
        <w:rPr>
          <w:rFonts w:ascii="微软雅黑" w:hAnsi="微软雅黑" w:eastAsia="微软雅黑" w:cs="微软雅黑"/>
          <w:sz w:val="24"/>
          <w:highlight w:val="none"/>
        </w:rPr>
      </w:pPr>
      <w:bookmarkStart w:id="274" w:name="_Toc28398"/>
      <w:bookmarkStart w:id="275" w:name="_Toc520356163"/>
      <w:bookmarkStart w:id="276" w:name="_Toc515647778"/>
      <w:bookmarkStart w:id="277" w:name="_Toc16124"/>
      <w:bookmarkStart w:id="278" w:name="_Toc216582809"/>
      <w:bookmarkStart w:id="279" w:name="_Toc12436"/>
      <w:bookmarkStart w:id="280" w:name="_Toc27283"/>
      <w:bookmarkStart w:id="281" w:name="_Toc29812"/>
      <w:r>
        <w:rPr>
          <w:rFonts w:hint="eastAsia" w:ascii="微软雅黑" w:hAnsi="微软雅黑" w:eastAsia="微软雅黑" w:cs="微软雅黑"/>
          <w:sz w:val="24"/>
          <w:highlight w:val="none"/>
        </w:rPr>
        <w:t>五   磋商及评</w:t>
      </w:r>
      <w:bookmarkEnd w:id="274"/>
      <w:bookmarkEnd w:id="275"/>
      <w:bookmarkEnd w:id="276"/>
      <w:bookmarkEnd w:id="277"/>
      <w:bookmarkEnd w:id="278"/>
      <w:bookmarkEnd w:id="279"/>
      <w:bookmarkEnd w:id="280"/>
      <w:r>
        <w:rPr>
          <w:rFonts w:hint="eastAsia" w:ascii="微软雅黑" w:hAnsi="微软雅黑" w:eastAsia="微软雅黑" w:cs="微软雅黑"/>
          <w:sz w:val="24"/>
          <w:highlight w:val="none"/>
        </w:rPr>
        <w:t>审</w:t>
      </w:r>
      <w:bookmarkEnd w:id="281"/>
    </w:p>
    <w:p>
      <w:pPr>
        <w:pStyle w:val="4"/>
        <w:numPr>
          <w:ilvl w:val="0"/>
          <w:numId w:val="3"/>
        </w:numPr>
        <w:snapToGrid w:val="0"/>
        <w:spacing w:before="0" w:after="0" w:line="380" w:lineRule="exact"/>
        <w:textAlignment w:val="baseline"/>
        <w:rPr>
          <w:rFonts w:ascii="微软雅黑" w:hAnsi="微软雅黑" w:eastAsia="微软雅黑" w:cs="微软雅黑"/>
          <w:highlight w:val="none"/>
          <w:u w:color="000000"/>
        </w:rPr>
      </w:pPr>
      <w:bookmarkStart w:id="282" w:name="_Toc4261"/>
      <w:bookmarkStart w:id="283" w:name="_Toc20787"/>
      <w:bookmarkStart w:id="284" w:name="_Toc5344"/>
      <w:r>
        <w:rPr>
          <w:rFonts w:hint="eastAsia" w:ascii="微软雅黑" w:hAnsi="微软雅黑" w:eastAsia="微软雅黑" w:cs="微软雅黑"/>
          <w:highlight w:val="none"/>
          <w:u w:color="000000"/>
        </w:rPr>
        <w:t>磋商</w:t>
      </w:r>
      <w:bookmarkEnd w:id="282"/>
      <w:bookmarkEnd w:id="283"/>
      <w:bookmarkEnd w:id="284"/>
    </w:p>
    <w:p>
      <w:pPr>
        <w:numPr>
          <w:ilvl w:val="1"/>
          <w:numId w:val="3"/>
        </w:num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采购人和采购代理机构将按</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中规定的磋商时间和地点组织</w:t>
      </w:r>
      <w:r>
        <w:rPr>
          <w:rFonts w:hint="eastAsia" w:ascii="微软雅黑" w:hAnsi="微软雅黑" w:eastAsia="微软雅黑" w:cs="微软雅黑"/>
          <w:sz w:val="24"/>
          <w:highlight w:val="none"/>
          <w:lang w:eastAsia="zh-CN"/>
        </w:rPr>
        <w:t>竞争性</w:t>
      </w:r>
      <w:r>
        <w:rPr>
          <w:rFonts w:hint="eastAsia" w:ascii="微软雅黑" w:hAnsi="微软雅黑" w:eastAsia="微软雅黑" w:cs="微软雅黑"/>
          <w:sz w:val="24"/>
          <w:highlight w:val="none"/>
        </w:rPr>
        <w:t>磋商并邀请所有供应商代表参加。</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18.2  磋商时，由采购人代表或监督人检查供应商的资格要求。</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18.3   磋商时，由供应商或其推选的代表检查自己或所代表的响应文件的密封情况。</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18.4   磋商小组进场，对各供应商的资格性和符合性进行审查。</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18.5   供应商进场，进行磋商，采购人或采购代理机构将对磋商过程进行记录</w:t>
      </w:r>
      <w:bookmarkStart w:id="285" w:name="_Toc520356165"/>
      <w:r>
        <w:rPr>
          <w:rFonts w:hint="eastAsia" w:ascii="微软雅黑" w:hAnsi="微软雅黑" w:eastAsia="微软雅黑" w:cs="微软雅黑"/>
          <w:sz w:val="24"/>
          <w:highlight w:val="none"/>
        </w:rPr>
        <w:t>，由参加磋商的各供应商代表和相关工作人员签字确认，并存档备查。</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18.6   采购人或采购代理机构对最终的报价进行宣读。</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18.7   供应商退场，磋商小组对供应商的响应文件进行综合评分。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18.8   采购人或采购代理机构对评审结果进行宣布。供应商代表对磋商过程和磋商记录有疑义，以及认为采购人、采购代理机构相关工作人员有需要回避的情形的，应当场提出询问或者回避申请。</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286" w:name="_Toc21372"/>
      <w:bookmarkStart w:id="287" w:name="_Toc5428"/>
      <w:bookmarkStart w:id="288" w:name="_Toc515647780"/>
      <w:bookmarkStart w:id="289" w:name="_Toc19296"/>
      <w:bookmarkStart w:id="290" w:name="_Toc5768"/>
      <w:bookmarkStart w:id="291" w:name="_Toc3570"/>
      <w:bookmarkStart w:id="292" w:name="_Toc9240"/>
      <w:bookmarkStart w:id="293" w:name="_Toc6401"/>
      <w:bookmarkStart w:id="294" w:name="_Toc5402"/>
      <w:bookmarkStart w:id="295" w:name="_Toc18658"/>
      <w:bookmarkStart w:id="296" w:name="_Toc28768"/>
      <w:bookmarkStart w:id="297" w:name="_Toc14954"/>
      <w:bookmarkStart w:id="298" w:name="_Toc18057"/>
      <w:r>
        <w:rPr>
          <w:rFonts w:hint="eastAsia" w:ascii="微软雅黑" w:hAnsi="微软雅黑" w:eastAsia="微软雅黑" w:cs="微软雅黑"/>
          <w:highlight w:val="none"/>
          <w:u w:color="000000"/>
        </w:rPr>
        <w:t>19.</w:t>
      </w:r>
      <w:bookmarkEnd w:id="285"/>
      <w:r>
        <w:rPr>
          <w:rFonts w:hint="eastAsia" w:ascii="微软雅黑" w:hAnsi="微软雅黑" w:eastAsia="微软雅黑" w:cs="微软雅黑"/>
          <w:highlight w:val="none"/>
          <w:u w:color="000000"/>
        </w:rPr>
        <w:t>资格审查及组建</w:t>
      </w:r>
      <w:bookmarkEnd w:id="286"/>
      <w:bookmarkEnd w:id="287"/>
      <w:bookmarkEnd w:id="288"/>
      <w:bookmarkEnd w:id="289"/>
      <w:r>
        <w:rPr>
          <w:rFonts w:hint="eastAsia" w:ascii="微软雅黑" w:hAnsi="微软雅黑" w:eastAsia="微软雅黑" w:cs="微软雅黑"/>
          <w:highlight w:val="none"/>
          <w:u w:color="000000"/>
        </w:rPr>
        <w:t>磋商小组</w:t>
      </w:r>
      <w:bookmarkEnd w:id="290"/>
      <w:bookmarkEnd w:id="291"/>
      <w:bookmarkEnd w:id="292"/>
      <w:bookmarkEnd w:id="293"/>
      <w:bookmarkEnd w:id="294"/>
      <w:bookmarkEnd w:id="295"/>
      <w:bookmarkEnd w:id="296"/>
      <w:bookmarkEnd w:id="297"/>
      <w:bookmarkEnd w:id="298"/>
    </w:p>
    <w:p>
      <w:pPr>
        <w:snapToGrid w:val="0"/>
        <w:spacing w:line="38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19.1    采购人或采购代理机构依据法律法规和磋商文件中规定的内容，对供应商资格进行审查，未通过资格审查的供应商不进入评标。</w:t>
      </w:r>
    </w:p>
    <w:p>
      <w:pPr>
        <w:widowControl/>
        <w:snapToGrid w:val="0"/>
        <w:spacing w:line="380" w:lineRule="exact"/>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 xml:space="preserve">        </w:t>
      </w:r>
      <w:r>
        <w:rPr>
          <w:rFonts w:hint="eastAsia" w:ascii="微软雅黑" w:hAnsi="微软雅黑" w:eastAsia="微软雅黑" w:cs="微软雅黑"/>
          <w:b/>
          <w:bCs/>
          <w:sz w:val="24"/>
          <w:highlight w:val="none"/>
        </w:rPr>
        <w:t>如下：合格供应商的其他资格要求（开标时须携带以下资格证明材料）：</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  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以代理公司现场核查为准）；</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2、具有有效的营业执照；</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3、提供《医疗器械生产许可证》或《医疗器械经营许可证》；</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4、法人投标需提供法人身份证明及身份证，被授权委托人需提供法人授权委托书及身份证；</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5、提供本单位依法缴纳近三个月的社保证明；</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6、提供税务部门出具近三个月的完税证明；</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7、提供2021年的财务审计报告（新成立公司需提供银行资信证明）；</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8、参与政府采购活动前3年内未被列入失信、重大税收违法案件、财政部门禁止参加政府采购活动的承诺书；</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9、提供针对本次项目的反商业贿赂承诺书。</w:t>
      </w:r>
    </w:p>
    <w:p>
      <w:pPr>
        <w:widowControl/>
        <w:snapToGrid w:val="0"/>
        <w:spacing w:line="380" w:lineRule="exact"/>
        <w:ind w:firstLine="840" w:firstLineChars="350"/>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10.提供缴纳磋商保证金的有效凭证。</w:t>
      </w:r>
    </w:p>
    <w:p>
      <w:pPr>
        <w:numPr>
          <w:ilvl w:val="0"/>
          <w:numId w:val="0"/>
        </w:numPr>
        <w:snapToGrid w:val="0"/>
        <w:spacing w:line="380" w:lineRule="exact"/>
        <w:ind w:leftChars="-306"/>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eastAsia="zh-CN"/>
        </w:rPr>
        <w:t>注：</w:t>
      </w:r>
      <w:r>
        <w:rPr>
          <w:rFonts w:hint="eastAsia" w:ascii="微软雅黑" w:hAnsi="微软雅黑" w:eastAsia="微软雅黑" w:cs="微软雅黑"/>
          <w:b/>
          <w:bCs/>
          <w:sz w:val="24"/>
          <w:highlight w:val="none"/>
          <w:lang w:val="en-US" w:eastAsia="zh-CN"/>
        </w:rPr>
        <w:t>未通过资格审查的投标人不进入评标；</w:t>
      </w:r>
    </w:p>
    <w:p>
      <w:pPr>
        <w:numPr>
          <w:ilvl w:val="0"/>
          <w:numId w:val="0"/>
        </w:numPr>
        <w:snapToGrid w:val="0"/>
        <w:spacing w:line="380" w:lineRule="exact"/>
        <w:ind w:leftChars="-306"/>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提示：上述资质磋商现场能够通过官方网络查证的，均视为合格供应商。在资格审查过程中，潜在投标企业提供的资质材料不全的，可打开投标书正本进行进一步核实，符合条件的均为合格供应商。未通过资格审查的供应商或供应商不足3家的，不得进入评标。</w:t>
      </w:r>
    </w:p>
    <w:p>
      <w:pPr>
        <w:numPr>
          <w:ilvl w:val="0"/>
          <w:numId w:val="0"/>
        </w:numPr>
        <w:snapToGrid w:val="0"/>
        <w:spacing w:line="380" w:lineRule="exact"/>
        <w:ind w:leftChars="-306"/>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left="734" w:hanging="734" w:hangingChars="306"/>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以联合体形式参加磋商的，联合体任何成员存在以上不良信用记录的，联合体磋商将被认定为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pStyle w:val="5"/>
        <w:snapToGrid w:val="0"/>
        <w:spacing w:line="380" w:lineRule="exact"/>
        <w:ind w:left="850" w:hanging="849" w:hangingChars="354"/>
        <w:jc w:val="both"/>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5"/>
        <w:snapToGrid w:val="0"/>
        <w:spacing w:line="380" w:lineRule="exact"/>
        <w:ind w:firstLine="720" w:firstLineChars="300"/>
        <w:jc w:val="both"/>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供应商自行提供的与网站信息不一致的其他证明材料亦不作为资格审查依据。</w:t>
      </w:r>
    </w:p>
    <w:p>
      <w:pPr>
        <w:snapToGrid w:val="0"/>
        <w:spacing w:line="38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19.3   </w:t>
      </w:r>
      <w:r>
        <w:rPr>
          <w:rFonts w:hint="eastAsia" w:ascii="微软雅黑" w:hAnsi="微软雅黑" w:eastAsia="微软雅黑" w:cs="微软雅黑"/>
          <w:b/>
          <w:bCs/>
          <w:sz w:val="24"/>
          <w:highlight w:val="none"/>
        </w:rPr>
        <w:t>按照《中华人民共和国政府采购法》、《中华人民共和国政府采购法实施条例》、《政府采购竞争性磋商采购方式管理暂行办法》及本项目本级和上级财政部门的有关规定依法在政采云平台</w:t>
      </w:r>
      <w:r>
        <w:rPr>
          <w:rFonts w:hint="eastAsia" w:ascii="微软雅黑" w:hAnsi="微软雅黑" w:eastAsia="微软雅黑" w:cs="微软雅黑"/>
          <w:b/>
          <w:bCs/>
          <w:sz w:val="24"/>
          <w:highlight w:val="none"/>
          <w:lang w:eastAsia="zh-CN"/>
        </w:rPr>
        <w:t>随机</w:t>
      </w:r>
      <w:r>
        <w:rPr>
          <w:rFonts w:hint="eastAsia" w:ascii="微软雅黑" w:hAnsi="微软雅黑" w:eastAsia="微软雅黑" w:cs="微软雅黑"/>
          <w:b/>
          <w:bCs/>
          <w:sz w:val="24"/>
          <w:highlight w:val="none"/>
        </w:rPr>
        <w:t>抽取</w:t>
      </w:r>
      <w:r>
        <w:rPr>
          <w:rFonts w:hint="eastAsia" w:ascii="微软雅黑" w:hAnsi="微软雅黑" w:eastAsia="微软雅黑" w:cs="微软雅黑"/>
          <w:b/>
          <w:bCs/>
          <w:sz w:val="24"/>
          <w:highlight w:val="none"/>
          <w:lang w:val="en-US" w:eastAsia="zh-CN"/>
        </w:rPr>
        <w:t>2</w:t>
      </w:r>
      <w:r>
        <w:rPr>
          <w:rFonts w:hint="eastAsia" w:ascii="微软雅黑" w:hAnsi="微软雅黑" w:eastAsia="微软雅黑" w:cs="微软雅黑"/>
          <w:b/>
          <w:bCs/>
          <w:sz w:val="24"/>
          <w:highlight w:val="none"/>
        </w:rPr>
        <w:t>人，</w:t>
      </w:r>
      <w:r>
        <w:rPr>
          <w:rFonts w:hint="eastAsia" w:ascii="微软雅黑" w:hAnsi="微软雅黑" w:eastAsia="微软雅黑" w:cs="微软雅黑"/>
          <w:b/>
          <w:bCs/>
          <w:sz w:val="24"/>
          <w:highlight w:val="none"/>
          <w:lang w:eastAsia="zh-CN"/>
        </w:rPr>
        <w:t>与业主代表</w:t>
      </w:r>
      <w:r>
        <w:rPr>
          <w:rFonts w:hint="eastAsia" w:ascii="微软雅黑" w:hAnsi="微软雅黑" w:eastAsia="微软雅黑" w:cs="微软雅黑"/>
          <w:b/>
          <w:bCs/>
          <w:sz w:val="24"/>
          <w:highlight w:val="none"/>
          <w:lang w:val="en-US" w:eastAsia="zh-CN"/>
        </w:rPr>
        <w:t>1人共同</w:t>
      </w:r>
      <w:r>
        <w:rPr>
          <w:rFonts w:hint="eastAsia" w:ascii="微软雅黑" w:hAnsi="微软雅黑" w:eastAsia="微软雅黑" w:cs="微软雅黑"/>
          <w:b/>
          <w:bCs/>
          <w:sz w:val="24"/>
          <w:highlight w:val="none"/>
        </w:rPr>
        <w:t>组成磋商小组，负责评审工作。</w:t>
      </w:r>
      <w:bookmarkStart w:id="299" w:name="_Toc520356166"/>
    </w:p>
    <w:p>
      <w:pPr>
        <w:pStyle w:val="4"/>
        <w:snapToGrid w:val="0"/>
        <w:spacing w:before="0" w:after="0" w:line="380" w:lineRule="exact"/>
        <w:textAlignment w:val="baseline"/>
        <w:rPr>
          <w:rFonts w:ascii="微软雅黑" w:hAnsi="微软雅黑" w:eastAsia="微软雅黑" w:cs="微软雅黑"/>
          <w:b w:val="0"/>
          <w:bCs/>
          <w:highlight w:val="none"/>
          <w:u w:color="000000"/>
          <w:bdr w:val="single" w:color="auto" w:sz="4" w:space="0"/>
        </w:rPr>
      </w:pPr>
      <w:bookmarkStart w:id="300" w:name="_Toc29043"/>
      <w:bookmarkStart w:id="301" w:name="_Toc17557"/>
      <w:bookmarkStart w:id="302" w:name="_Toc7742"/>
      <w:bookmarkStart w:id="303" w:name="_Toc656"/>
      <w:bookmarkStart w:id="304" w:name="_Toc17520"/>
      <w:bookmarkStart w:id="305" w:name="_Toc24349"/>
      <w:bookmarkStart w:id="306" w:name="_Toc29938"/>
      <w:bookmarkStart w:id="307" w:name="_Toc515647781"/>
      <w:bookmarkStart w:id="308" w:name="_Toc28479"/>
      <w:bookmarkStart w:id="309" w:name="_Toc15335"/>
      <w:bookmarkStart w:id="310" w:name="_Toc19949"/>
      <w:bookmarkStart w:id="311" w:name="_Toc22740"/>
      <w:bookmarkStart w:id="312" w:name="_Toc27625"/>
      <w:r>
        <w:rPr>
          <w:rFonts w:hint="eastAsia" w:ascii="微软雅黑" w:hAnsi="微软雅黑" w:eastAsia="微软雅黑" w:cs="微软雅黑"/>
          <w:highlight w:val="none"/>
          <w:u w:color="000000"/>
        </w:rPr>
        <w:t>20.</w:t>
      </w:r>
      <w:bookmarkEnd w:id="299"/>
      <w:r>
        <w:rPr>
          <w:rFonts w:hint="eastAsia" w:ascii="微软雅黑" w:hAnsi="微软雅黑" w:eastAsia="微软雅黑" w:cs="微软雅黑"/>
          <w:highlight w:val="none"/>
          <w:u w:color="000000"/>
        </w:rPr>
        <w:t>响应文件符合性审查与澄清</w:t>
      </w:r>
      <w:bookmarkEnd w:id="300"/>
      <w:bookmarkEnd w:id="301"/>
      <w:bookmarkEnd w:id="302"/>
      <w:bookmarkEnd w:id="303"/>
      <w:bookmarkEnd w:id="304"/>
      <w:bookmarkEnd w:id="305"/>
      <w:bookmarkEnd w:id="306"/>
      <w:bookmarkEnd w:id="307"/>
      <w:bookmarkEnd w:id="308"/>
      <w:bookmarkEnd w:id="309"/>
      <w:bookmarkEnd w:id="310"/>
      <w:bookmarkEnd w:id="311"/>
      <w:bookmarkEnd w:id="312"/>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20.1   符合性审查是指依据磋商文件的规定，从响应文件的有效性和完整性对磋商文件的响应程度进行审查，以确定是否对磋商文件的实质性要求做出响应。</w:t>
      </w:r>
      <w:bookmarkStart w:id="313" w:name="_Hlt522424701"/>
      <w:bookmarkEnd w:id="313"/>
      <w:bookmarkStart w:id="314" w:name="_Toc520356167"/>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响应文件的澄清</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20.2.2  供应商的的澄清、说明或补正将作为响应文件的一部分。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20.3  响应文件报价出现前后不一致的，按照下列规定修正：</w:t>
      </w:r>
    </w:p>
    <w:p>
      <w:pPr>
        <w:snapToGrid w:val="0"/>
        <w:spacing w:line="38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（一）响应文件中</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（报价表）内容与响应文件中相应内容不一致的，以</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（报价表）为准；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（二）大写金额和小写金额不一致的，以大写金额为准；</w:t>
      </w:r>
    </w:p>
    <w:p>
      <w:pPr>
        <w:snapToGrid w:val="0"/>
        <w:spacing w:line="38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（三）单价金额小数点或者百分比有明显错位的，以</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的总价为准，并修改单价；</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（四）总价金额与按单价汇总金额不一致的，以单价金额计算结果为准。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snapToGrid w:val="0"/>
        <w:spacing w:line="380" w:lineRule="exact"/>
        <w:ind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对不同文字文本响应文件的解释发生异议的，以中文文本为准。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   如一个分包内只有一种产品，不同供应商所投产品为同一品牌的，按如下方式处理：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如采购人所采购产品为政府强制采购的节能产品，供应商所投产品的品牌及型号必须为清单中有效期内产品并提供证明文件，否则其磋商将被认定为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315" w:name="_Toc29782"/>
      <w:bookmarkStart w:id="316" w:name="_Toc27164"/>
      <w:bookmarkStart w:id="317" w:name="_Toc9469"/>
      <w:bookmarkStart w:id="318" w:name="_Toc12340"/>
      <w:bookmarkStart w:id="319" w:name="_Toc28934"/>
      <w:bookmarkStart w:id="320" w:name="_Toc6364"/>
      <w:bookmarkStart w:id="321" w:name="_Toc18222"/>
      <w:bookmarkStart w:id="322" w:name="_Toc5210"/>
      <w:bookmarkStart w:id="323" w:name="_Toc6695"/>
      <w:bookmarkStart w:id="324" w:name="_Toc30430"/>
      <w:bookmarkStart w:id="325" w:name="_Toc1939"/>
      <w:bookmarkStart w:id="326" w:name="_Toc515647782"/>
      <w:bookmarkStart w:id="327" w:name="_Toc14136"/>
      <w:r>
        <w:rPr>
          <w:rFonts w:hint="eastAsia" w:ascii="微软雅黑" w:hAnsi="微软雅黑" w:eastAsia="微软雅黑" w:cs="微软雅黑"/>
          <w:highlight w:val="none"/>
          <w:u w:color="000000"/>
        </w:rPr>
        <w:t>21.磋商偏离</w:t>
      </w:r>
      <w:bookmarkEnd w:id="315"/>
      <w:bookmarkEnd w:id="316"/>
      <w:bookmarkEnd w:id="317"/>
      <w:bookmarkEnd w:id="318"/>
      <w:bookmarkEnd w:id="319"/>
      <w:bookmarkEnd w:id="320"/>
      <w:bookmarkEnd w:id="321"/>
      <w:bookmarkEnd w:id="322"/>
      <w:bookmarkEnd w:id="323"/>
      <w:bookmarkEnd w:id="324"/>
      <w:bookmarkEnd w:id="325"/>
      <w:bookmarkEnd w:id="326"/>
      <w:bookmarkEnd w:id="327"/>
    </w:p>
    <w:p>
      <w:pPr>
        <w:snapToGrid w:val="0"/>
        <w:spacing w:line="380" w:lineRule="exact"/>
        <w:ind w:left="641" w:hanging="640" w:hangingChars="267"/>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磋商小组可以接受响应文件中不构成实质性偏离的不正规或不一致。</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328" w:name="_Toc515647783"/>
      <w:bookmarkStart w:id="329" w:name="_Toc31191"/>
      <w:bookmarkStart w:id="330" w:name="_Toc4950"/>
      <w:bookmarkStart w:id="331" w:name="_Toc2275"/>
      <w:bookmarkStart w:id="332" w:name="_Toc11927"/>
      <w:bookmarkStart w:id="333" w:name="_Toc13775"/>
      <w:bookmarkStart w:id="334" w:name="_Toc16242"/>
      <w:bookmarkStart w:id="335" w:name="_Toc30267"/>
      <w:bookmarkStart w:id="336" w:name="_Toc9173"/>
      <w:bookmarkStart w:id="337" w:name="_Toc27546"/>
      <w:bookmarkStart w:id="338" w:name="_Toc108"/>
      <w:bookmarkStart w:id="339" w:name="_Toc6092"/>
      <w:bookmarkStart w:id="340" w:name="_Toc23480"/>
      <w:r>
        <w:rPr>
          <w:rFonts w:hint="eastAsia" w:ascii="微软雅黑" w:hAnsi="微软雅黑" w:eastAsia="微软雅黑" w:cs="微软雅黑"/>
          <w:highlight w:val="none"/>
          <w:u w:color="000000"/>
        </w:rPr>
        <w:t>22.</w:t>
      </w:r>
      <w:bookmarkEnd w:id="328"/>
      <w:r>
        <w:rPr>
          <w:rFonts w:hint="eastAsia" w:ascii="微软雅黑" w:hAnsi="微软雅黑" w:eastAsia="微软雅黑" w:cs="微软雅黑"/>
          <w:highlight w:val="none"/>
          <w:u w:color="000000"/>
        </w:rPr>
        <w:t>磋商无效</w:t>
      </w:r>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sz w:val="24"/>
          <w:highlight w:val="none"/>
        </w:rPr>
        <w:t>磋商无效</w:t>
      </w:r>
      <w:r>
        <w:rPr>
          <w:rFonts w:hint="eastAsia" w:ascii="微软雅黑" w:hAnsi="微软雅黑" w:eastAsia="微软雅黑" w:cs="微软雅黑"/>
          <w:sz w:val="24"/>
          <w:highlight w:val="none"/>
        </w:rPr>
        <w:t>。供应商不得通过修正或撤销不符合要求的偏离，从而使其磋商成为实质上响应的磋商。</w:t>
      </w:r>
    </w:p>
    <w:p>
      <w:pPr>
        <w:snapToGrid w:val="0"/>
        <w:spacing w:line="380" w:lineRule="exact"/>
        <w:ind w:left="958" w:leftChars="456"/>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22.2</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如发现下列情况之一的，其磋商将被认定为磋商无效：（以下情形应当在磋商文件中规定，并以醒目的方式标明）</w:t>
      </w:r>
    </w:p>
    <w:p>
      <w:pPr>
        <w:snapToGrid w:val="0"/>
        <w:spacing w:line="380" w:lineRule="exact"/>
        <w:ind w:left="-180"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（1）未按磋商文件规定的形式和金额提交磋商保证金的；</w:t>
      </w:r>
    </w:p>
    <w:p>
      <w:pPr>
        <w:snapToGrid w:val="0"/>
        <w:spacing w:line="380" w:lineRule="exact"/>
        <w:ind w:left="-180"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（2）未按照磋商文件规定要求签署、盖章的；</w:t>
      </w:r>
    </w:p>
    <w:p>
      <w:pPr>
        <w:snapToGrid w:val="0"/>
        <w:spacing w:line="380" w:lineRule="exact"/>
        <w:ind w:left="-180"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（3）未满足磋商文件中技术条款的实质性要求；</w:t>
      </w:r>
    </w:p>
    <w:p>
      <w:pPr>
        <w:snapToGrid w:val="0"/>
        <w:spacing w:line="380" w:lineRule="exact"/>
        <w:ind w:left="-180"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（4）与其他供应商串通磋商，或者与招标人串通磋商；</w:t>
      </w:r>
    </w:p>
    <w:p>
      <w:pPr>
        <w:snapToGrid w:val="0"/>
        <w:spacing w:line="380" w:lineRule="exact"/>
        <w:ind w:left="-180"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（5）属于磋商文件规定的其他磋商无效情形；</w:t>
      </w:r>
    </w:p>
    <w:p>
      <w:pPr>
        <w:snapToGrid w:val="0"/>
        <w:spacing w:line="380" w:lineRule="exact"/>
        <w:ind w:left="1257" w:leftChars="370" w:hanging="480" w:hanging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（6）磋商小组认为供应商的报价明显低于其他通过符合性检查供应商的报价，有可能影响履约的，且供应商未按照规定证明其报价合理性的；</w:t>
      </w:r>
    </w:p>
    <w:p>
      <w:pPr>
        <w:snapToGrid w:val="0"/>
        <w:spacing w:line="380" w:lineRule="exact"/>
        <w:ind w:firstLine="720" w:firstLineChars="3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（7）响应文件含有采购人不能接受的附加条件的；</w:t>
      </w:r>
    </w:p>
    <w:p>
      <w:pPr>
        <w:tabs>
          <w:tab w:val="left" w:pos="0"/>
        </w:tabs>
        <w:snapToGrid w:val="0"/>
        <w:spacing w:line="380" w:lineRule="exact"/>
        <w:ind w:left="-180"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（8）不符合法规和磋商文件中规定的其他实质性要求的。</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（1）供应商直接或者间接从采购人或者采购代理机构处获得其他供应商的相关情况并修改其响应文件或者响应文件；</w:t>
      </w:r>
    </w:p>
    <w:p>
      <w:pPr>
        <w:snapToGrid w:val="0"/>
        <w:spacing w:line="380" w:lineRule="exact"/>
        <w:ind w:left="180"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（2）供应商按照采购人或者采购代理机构的授意撤换、修改响应文件或者响应文件；</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（3）供应商之间协商报价、技术方案等响应文件或者响应文件的实质性内容；</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（4）属于同一集团、协会、商会等组织成员的供应商按照该组织要求协同参加政府采购活动；</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（5）供应商之间事先约定由某一特定供应商中标、成交；</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（6）供应商之间商定部分供应商放弃参加政府采购活动或者放弃中标、成交；</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（7）供应商与采购人或者采购代理机构之间、供应商相互之间，为谋求特定供应商中标、成交或者排斥其他供应商的其他串通行为。</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341" w:name="_Toc6450"/>
      <w:bookmarkStart w:id="342" w:name="_Toc4263"/>
      <w:bookmarkStart w:id="343" w:name="_Toc30567"/>
      <w:bookmarkStart w:id="344" w:name="_Toc21880"/>
      <w:bookmarkStart w:id="345" w:name="_Toc515647784"/>
      <w:bookmarkStart w:id="346" w:name="_Toc22941"/>
      <w:bookmarkStart w:id="347" w:name="_Toc31440"/>
      <w:bookmarkStart w:id="348" w:name="_Toc5075"/>
      <w:bookmarkStart w:id="349" w:name="_Toc22903"/>
      <w:bookmarkStart w:id="350" w:name="_Toc13652"/>
      <w:bookmarkStart w:id="351" w:name="_Toc28827"/>
      <w:bookmarkStart w:id="352" w:name="_Toc21841"/>
      <w:bookmarkStart w:id="353" w:name="_Toc3834"/>
      <w:r>
        <w:rPr>
          <w:rFonts w:hint="eastAsia" w:ascii="微软雅黑" w:hAnsi="微软雅黑" w:eastAsia="微软雅黑" w:cs="微软雅黑"/>
          <w:highlight w:val="none"/>
          <w:u w:color="000000"/>
        </w:rPr>
        <w:t>23.</w:t>
      </w:r>
      <w:bookmarkEnd w:id="314"/>
      <w:r>
        <w:rPr>
          <w:rFonts w:hint="eastAsia" w:ascii="微软雅黑" w:hAnsi="微软雅黑" w:eastAsia="微软雅黑" w:cs="微软雅黑"/>
          <w:highlight w:val="none"/>
          <w:u w:color="000000"/>
        </w:rPr>
        <w:t>比较与评价</w:t>
      </w:r>
      <w:bookmarkEnd w:id="341"/>
      <w:bookmarkEnd w:id="342"/>
      <w:bookmarkEnd w:id="343"/>
      <w:bookmarkEnd w:id="344"/>
      <w:bookmarkEnd w:id="345"/>
      <w:bookmarkEnd w:id="346"/>
      <w:bookmarkEnd w:id="347"/>
      <w:bookmarkEnd w:id="348"/>
      <w:bookmarkEnd w:id="349"/>
      <w:bookmarkEnd w:id="350"/>
      <w:bookmarkEnd w:id="351"/>
      <w:bookmarkEnd w:id="352"/>
      <w:bookmarkEnd w:id="353"/>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经符合性审查合格的响应文件，磋商小组将根据磋商文件确定的评标方法和标准，对其技术部分和商务部分作进一步的比较和评价。</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23.2  </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评标严格按照磋商文件的要求和条件进行。根据实际情况，在</w:t>
      </w:r>
      <w:r>
        <w:rPr>
          <w:rFonts w:hint="eastAsia" w:ascii="微软雅黑" w:hAnsi="微软雅黑" w:eastAsia="微软雅黑" w:cs="微软雅黑"/>
          <w:sz w:val="24"/>
          <w:highlight w:val="none"/>
          <w:u w:val="single" w:color="000000"/>
        </w:rPr>
        <w:t>供应商须知资料表</w:t>
      </w:r>
      <w:r>
        <w:rPr>
          <w:rFonts w:hint="eastAsia" w:ascii="微软雅黑" w:hAnsi="微软雅黑" w:eastAsia="微软雅黑" w:cs="微软雅黑"/>
          <w:sz w:val="24"/>
          <w:highlight w:val="none"/>
        </w:rPr>
        <w:t>中规定采用下列一种评标方法，详细评标标准见磋商文件</w:t>
      </w:r>
      <w:r>
        <w:rPr>
          <w:rFonts w:hint="eastAsia" w:ascii="微软雅黑" w:hAnsi="微软雅黑" w:eastAsia="微软雅黑" w:cs="微软雅黑"/>
          <w:b/>
          <w:sz w:val="24"/>
          <w:highlight w:val="none"/>
        </w:rPr>
        <w:t>第六章：</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综合评分法，是指响应文件满足磋商文件全部实质性要求，且按照评审因素的量化指标评审得分最高的供应商为成交候选人的评标方法。</w:t>
      </w:r>
    </w:p>
    <w:p>
      <w:pPr>
        <w:pStyle w:val="4"/>
        <w:snapToGrid w:val="0"/>
        <w:spacing w:before="0" w:after="0" w:line="380" w:lineRule="exact"/>
        <w:ind w:left="960" w:hanging="960" w:hangingChars="400"/>
        <w:textAlignment w:val="baseline"/>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 xml:space="preserve">23.3   </w:t>
      </w:r>
      <w:bookmarkStart w:id="354" w:name="_Toc520356168"/>
      <w:bookmarkStart w:id="355" w:name="_Toc14935"/>
      <w:bookmarkStart w:id="356" w:name="_Toc515647785"/>
      <w:bookmarkStart w:id="357" w:name="_Toc18922"/>
      <w:bookmarkStart w:id="358" w:name="_Toc9378"/>
      <w:bookmarkStart w:id="359" w:name="_Toc4586"/>
      <w:bookmarkStart w:id="360" w:name="_Toc28413"/>
      <w:bookmarkStart w:id="361" w:name="_Toc20227"/>
      <w:bookmarkStart w:id="362" w:name="_Toc21943"/>
      <w:bookmarkStart w:id="363" w:name="_Toc2218"/>
      <w:bookmarkStart w:id="364" w:name="_Toc16201"/>
      <w:bookmarkStart w:id="365" w:name="_Toc6912"/>
      <w:bookmarkStart w:id="366" w:name="_Toc28843"/>
      <w:bookmarkStart w:id="367" w:name="_Toc2539"/>
      <w:r>
        <w:rPr>
          <w:rFonts w:hint="eastAsia" w:ascii="微软雅黑" w:hAnsi="微软雅黑" w:eastAsia="微软雅黑" w:cs="微软雅黑"/>
          <w:sz w:val="24"/>
          <w:szCs w:val="24"/>
          <w:highlight w:val="none"/>
          <w:u w:val="none"/>
        </w:rPr>
        <w:t>根据《政府采购促进中小企业发展管理办法》（财库[2020]46号）、《财政部 司法部关于政府采购支持监狱企业发展有关问题的通知》（财库〔2014〕68号）和《三部门联合发布关于促进残疾人就业政府采购政策的通知》（</w:t>
      </w:r>
      <w:bookmarkStart w:id="368" w:name="sendNo"/>
      <w:r>
        <w:rPr>
          <w:rFonts w:hint="eastAsia" w:ascii="微软雅黑" w:hAnsi="微软雅黑" w:eastAsia="微软雅黑" w:cs="微软雅黑"/>
          <w:sz w:val="24"/>
          <w:szCs w:val="24"/>
          <w:highlight w:val="none"/>
          <w:u w:val="none"/>
        </w:rPr>
        <w:t>财库〔</w:t>
      </w:r>
      <w:bookmarkEnd w:id="368"/>
      <w:r>
        <w:rPr>
          <w:rFonts w:hint="eastAsia" w:ascii="微软雅黑" w:hAnsi="微软雅黑" w:eastAsia="微软雅黑" w:cs="微软雅黑"/>
          <w:sz w:val="24"/>
          <w:szCs w:val="24"/>
          <w:highlight w:val="none"/>
          <w:u w:val="none"/>
        </w:rPr>
        <w:t>2017〕141号）</w:t>
      </w:r>
      <w:r>
        <w:rPr>
          <w:rFonts w:hint="eastAsia" w:ascii="微软雅黑" w:hAnsi="微软雅黑" w:eastAsia="微软雅黑" w:cs="微软雅黑"/>
          <w:sz w:val="24"/>
          <w:szCs w:val="24"/>
          <w:highlight w:val="none"/>
          <w:u w:val="none"/>
          <w:lang w:eastAsia="zh-CN"/>
        </w:rPr>
        <w:t>、《关于进一步加大政府采购支持中小企业力度的通知》（财库〔2022〕19号）</w:t>
      </w:r>
      <w:r>
        <w:rPr>
          <w:rFonts w:hint="eastAsia" w:ascii="微软雅黑" w:hAnsi="微软雅黑" w:eastAsia="微软雅黑" w:cs="微软雅黑"/>
          <w:sz w:val="24"/>
          <w:szCs w:val="24"/>
          <w:highlight w:val="none"/>
          <w:u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sz w:val="24"/>
          <w:szCs w:val="24"/>
          <w:highlight w:val="none"/>
          <w:u w:val="none"/>
          <w:lang w:val="en-US" w:eastAsia="zh-CN"/>
        </w:rPr>
        <w:t>10%-20%</w:t>
      </w:r>
      <w:r>
        <w:rPr>
          <w:rFonts w:hint="eastAsia" w:ascii="微软雅黑" w:hAnsi="微软雅黑" w:eastAsia="微软雅黑" w:cs="微软雅黑"/>
          <w:sz w:val="24"/>
          <w:szCs w:val="24"/>
          <w:highlight w:val="none"/>
          <w:u w:val="none"/>
        </w:rPr>
        <w:t>后参与</w:t>
      </w:r>
      <w:r>
        <w:rPr>
          <w:rFonts w:hint="eastAsia" w:ascii="微软雅黑" w:hAnsi="微软雅黑" w:eastAsia="微软雅黑" w:cs="微软雅黑"/>
          <w:sz w:val="24"/>
          <w:szCs w:val="24"/>
          <w:highlight w:val="none"/>
          <w:u w:val="none"/>
          <w:lang w:eastAsia="zh-CN"/>
        </w:rPr>
        <w:t>评标</w:t>
      </w:r>
      <w:r>
        <w:rPr>
          <w:rFonts w:hint="eastAsia" w:ascii="微软雅黑" w:hAnsi="微软雅黑" w:eastAsia="微软雅黑" w:cs="微软雅黑"/>
          <w:sz w:val="24"/>
          <w:szCs w:val="24"/>
          <w:highlight w:val="none"/>
          <w:u w:val="none"/>
        </w:rPr>
        <w:t>。</w:t>
      </w:r>
    </w:p>
    <w:p>
      <w:pPr>
        <w:pStyle w:val="4"/>
        <w:snapToGrid w:val="0"/>
        <w:spacing w:before="0" w:after="0" w:line="380" w:lineRule="exact"/>
        <w:ind w:left="960" w:hanging="960" w:hangingChars="400"/>
        <w:textAlignment w:val="baseline"/>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w:t>
      </w:r>
      <w:r>
        <w:rPr>
          <w:rFonts w:hint="eastAsia" w:ascii="微软雅黑" w:hAnsi="微软雅黑" w:eastAsia="微软雅黑" w:cs="微软雅黑"/>
          <w:sz w:val="24"/>
          <w:szCs w:val="24"/>
          <w:highlight w:val="none"/>
          <w:u w:val="none"/>
          <w:lang w:eastAsia="zh-CN"/>
        </w:rPr>
        <w:t>评标</w:t>
      </w:r>
      <w:r>
        <w:rPr>
          <w:rFonts w:hint="eastAsia" w:ascii="微软雅黑" w:hAnsi="微软雅黑" w:eastAsia="微软雅黑" w:cs="微软雅黑"/>
          <w:sz w:val="24"/>
          <w:szCs w:val="24"/>
          <w:highlight w:val="none"/>
          <w:u w:val="none"/>
        </w:rPr>
        <w:t>优惠。监狱企业及残疾人福利性单位视同小型、微型企业，享受预留份额、</w:t>
      </w:r>
      <w:r>
        <w:rPr>
          <w:rFonts w:hint="eastAsia" w:ascii="微软雅黑" w:hAnsi="微软雅黑" w:eastAsia="微软雅黑" w:cs="微软雅黑"/>
          <w:sz w:val="24"/>
          <w:szCs w:val="24"/>
          <w:highlight w:val="none"/>
          <w:u w:val="none"/>
          <w:lang w:eastAsia="zh-CN"/>
        </w:rPr>
        <w:t>评标</w:t>
      </w:r>
      <w:r>
        <w:rPr>
          <w:rFonts w:hint="eastAsia" w:ascii="微软雅黑" w:hAnsi="微软雅黑" w:eastAsia="微软雅黑" w:cs="微软雅黑"/>
          <w:sz w:val="24"/>
          <w:szCs w:val="24"/>
          <w:highlight w:val="none"/>
          <w:u w:val="none"/>
        </w:rPr>
        <w:t>中价格扣除等政府采购促进中小企业发展的政府采购政策。  </w:t>
      </w:r>
    </w:p>
    <w:p>
      <w:pPr>
        <w:pStyle w:val="4"/>
        <w:snapToGrid w:val="0"/>
        <w:spacing w:before="0" w:after="0" w:line="380" w:lineRule="exact"/>
        <w:textAlignment w:val="baseline"/>
        <w:rPr>
          <w:rFonts w:ascii="微软雅黑" w:hAnsi="微软雅黑" w:eastAsia="微软雅黑" w:cs="微软雅黑"/>
          <w:highlight w:val="none"/>
          <w:u w:color="000000"/>
        </w:rPr>
      </w:pPr>
      <w:r>
        <w:rPr>
          <w:rFonts w:hint="eastAsia" w:ascii="微软雅黑" w:hAnsi="微软雅黑" w:eastAsia="微软雅黑" w:cs="微软雅黑"/>
          <w:highlight w:val="none"/>
          <w:u w:color="000000"/>
        </w:rPr>
        <w:t>24</w:t>
      </w:r>
      <w:bookmarkEnd w:id="354"/>
      <w:r>
        <w:rPr>
          <w:rFonts w:hint="eastAsia" w:ascii="微软雅黑" w:hAnsi="微软雅黑" w:eastAsia="微软雅黑" w:cs="微软雅黑"/>
          <w:highlight w:val="none"/>
          <w:u w:color="000000"/>
        </w:rPr>
        <w:t>.废标</w:t>
      </w:r>
      <w:bookmarkEnd w:id="355"/>
      <w:bookmarkEnd w:id="356"/>
      <w:bookmarkEnd w:id="357"/>
      <w:bookmarkEnd w:id="358"/>
      <w:bookmarkEnd w:id="359"/>
      <w:bookmarkEnd w:id="360"/>
      <w:bookmarkEnd w:id="361"/>
      <w:bookmarkEnd w:id="362"/>
      <w:bookmarkEnd w:id="363"/>
      <w:bookmarkEnd w:id="364"/>
      <w:bookmarkEnd w:id="365"/>
      <w:bookmarkEnd w:id="366"/>
      <w:bookmarkEnd w:id="367"/>
    </w:p>
    <w:p>
      <w:pPr>
        <w:snapToGrid w:val="0"/>
        <w:spacing w:line="380" w:lineRule="exact"/>
        <w:ind w:left="239" w:leftChars="114" w:firstLine="660" w:firstLineChars="275"/>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 xml:space="preserve">出现下列情形之一，将导致项目废标： </w:t>
      </w:r>
    </w:p>
    <w:p>
      <w:pPr>
        <w:snapToGrid w:val="0"/>
        <w:spacing w:line="38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ab/>
      </w:r>
      <w:r>
        <w:rPr>
          <w:rFonts w:hint="eastAsia" w:ascii="微软雅黑" w:hAnsi="微软雅黑" w:eastAsia="微软雅黑" w:cs="微软雅黑"/>
          <w:b/>
          <w:bCs/>
          <w:sz w:val="24"/>
          <w:highlight w:val="none"/>
        </w:rPr>
        <w:t>（1）出现影响采购公正的违法、违规行为的；</w:t>
      </w:r>
    </w:p>
    <w:p>
      <w:pPr>
        <w:snapToGrid w:val="0"/>
        <w:spacing w:line="380" w:lineRule="exact"/>
        <w:ind w:firstLine="840" w:firstLineChars="35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（2）供应商的报价均超过了采购预算，采购人不能支付的；</w:t>
      </w:r>
    </w:p>
    <w:p>
      <w:pPr>
        <w:snapToGrid w:val="0"/>
        <w:spacing w:line="380" w:lineRule="exact"/>
        <w:ind w:firstLine="840" w:firstLineChars="35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 xml:space="preserve">（3）因重大变故，采购任务取消的。   </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369" w:name="_Toc23141"/>
      <w:bookmarkStart w:id="370" w:name="_Toc13635"/>
      <w:bookmarkStart w:id="371" w:name="_Toc20205"/>
      <w:bookmarkStart w:id="372" w:name="_Toc8444"/>
      <w:bookmarkStart w:id="373" w:name="_Toc24972"/>
      <w:bookmarkStart w:id="374" w:name="_Toc4481"/>
      <w:bookmarkStart w:id="375" w:name="_Toc25920"/>
      <w:bookmarkStart w:id="376" w:name="_Toc31289"/>
      <w:bookmarkStart w:id="377" w:name="_Toc15505"/>
      <w:bookmarkStart w:id="378" w:name="_Toc8176"/>
      <w:bookmarkStart w:id="379" w:name="_Toc515647786"/>
      <w:bookmarkStart w:id="380" w:name="_Toc11249"/>
      <w:bookmarkStart w:id="381" w:name="_Toc27162"/>
      <w:bookmarkStart w:id="382" w:name="_Toc520356169"/>
      <w:r>
        <w:rPr>
          <w:rFonts w:hint="eastAsia" w:ascii="微软雅黑" w:hAnsi="微软雅黑" w:eastAsia="微软雅黑" w:cs="微软雅黑"/>
          <w:highlight w:val="none"/>
          <w:u w:color="000000"/>
        </w:rPr>
        <w:t>25.保密原则</w:t>
      </w:r>
      <w:bookmarkEnd w:id="369"/>
      <w:bookmarkEnd w:id="370"/>
      <w:bookmarkEnd w:id="371"/>
      <w:bookmarkEnd w:id="372"/>
      <w:bookmarkEnd w:id="373"/>
      <w:bookmarkEnd w:id="374"/>
      <w:bookmarkEnd w:id="375"/>
      <w:bookmarkEnd w:id="376"/>
      <w:bookmarkEnd w:id="377"/>
      <w:bookmarkEnd w:id="378"/>
      <w:bookmarkEnd w:id="379"/>
      <w:bookmarkEnd w:id="380"/>
      <w:bookmarkEnd w:id="381"/>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评标将在严格保密的情况下进行。</w:t>
      </w:r>
    </w:p>
    <w:p>
      <w:pPr>
        <w:snapToGrid w:val="0"/>
        <w:spacing w:line="380" w:lineRule="exact"/>
        <w:ind w:left="900" w:hanging="900" w:hangingChars="375"/>
        <w:textAlignment w:val="baseline"/>
        <w:rPr>
          <w:rFonts w:ascii="微软雅黑" w:hAnsi="微软雅黑" w:eastAsia="微软雅黑" w:cs="微软雅黑"/>
          <w:sz w:val="20"/>
          <w:highlight w:val="none"/>
        </w:rPr>
      </w:pPr>
      <w:r>
        <w:rPr>
          <w:rFonts w:hint="eastAsia" w:ascii="微软雅黑" w:hAnsi="微软雅黑" w:eastAsia="微软雅黑" w:cs="微软雅黑"/>
          <w:sz w:val="24"/>
          <w:highlight w:val="none"/>
        </w:rPr>
        <w:t>25.2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政府采购评审专家应当遵守评审工作纪律，不得泄露评审文件、评审情况和评审中获悉的商业秘密。</w:t>
      </w:r>
    </w:p>
    <w:p>
      <w:pPr>
        <w:pStyle w:val="2"/>
        <w:snapToGrid w:val="0"/>
        <w:spacing w:before="0" w:line="380" w:lineRule="exact"/>
        <w:ind w:hanging="540"/>
        <w:textAlignment w:val="baseline"/>
        <w:rPr>
          <w:rFonts w:ascii="微软雅黑" w:hAnsi="微软雅黑" w:eastAsia="微软雅黑" w:cs="微软雅黑"/>
          <w:sz w:val="24"/>
          <w:highlight w:val="none"/>
        </w:rPr>
      </w:pPr>
      <w:bookmarkStart w:id="383" w:name="_Toc12143"/>
      <w:bookmarkStart w:id="384" w:name="_Toc23904"/>
      <w:bookmarkStart w:id="385" w:name="_Toc216582810"/>
      <w:bookmarkStart w:id="386" w:name="_Toc515647787"/>
      <w:bookmarkStart w:id="387" w:name="_Toc31195"/>
      <w:bookmarkStart w:id="388" w:name="_Toc30970"/>
      <w:bookmarkStart w:id="389" w:name="_Toc27482"/>
      <w:r>
        <w:rPr>
          <w:rFonts w:hint="eastAsia" w:ascii="微软雅黑" w:hAnsi="微软雅黑" w:eastAsia="微软雅黑" w:cs="微软雅黑"/>
          <w:sz w:val="24"/>
          <w:highlight w:val="none"/>
        </w:rPr>
        <w:t xml:space="preserve">六   </w:t>
      </w:r>
      <w:bookmarkEnd w:id="382"/>
      <w:r>
        <w:rPr>
          <w:rFonts w:hint="eastAsia" w:ascii="微软雅黑" w:hAnsi="微软雅黑" w:eastAsia="微软雅黑" w:cs="微软雅黑"/>
          <w:sz w:val="24"/>
          <w:highlight w:val="none"/>
        </w:rPr>
        <w:t>确定</w:t>
      </w:r>
      <w:bookmarkEnd w:id="383"/>
      <w:bookmarkEnd w:id="384"/>
      <w:bookmarkEnd w:id="385"/>
      <w:bookmarkEnd w:id="386"/>
      <w:bookmarkEnd w:id="387"/>
      <w:r>
        <w:rPr>
          <w:rFonts w:hint="eastAsia" w:ascii="微软雅黑" w:hAnsi="微软雅黑" w:eastAsia="微软雅黑" w:cs="微软雅黑"/>
          <w:sz w:val="24"/>
          <w:highlight w:val="none"/>
        </w:rPr>
        <w:t>成交</w:t>
      </w:r>
      <w:bookmarkEnd w:id="388"/>
      <w:bookmarkEnd w:id="389"/>
    </w:p>
    <w:p>
      <w:pPr>
        <w:pStyle w:val="5"/>
        <w:snapToGrid w:val="0"/>
        <w:spacing w:line="380" w:lineRule="exact"/>
        <w:ind w:firstLine="0"/>
        <w:textAlignment w:val="baseline"/>
        <w:rPr>
          <w:rFonts w:ascii="微软雅黑" w:hAnsi="微软雅黑" w:eastAsia="微软雅黑" w:cs="微软雅黑"/>
          <w:highlight w:val="none"/>
        </w:rPr>
      </w:pPr>
    </w:p>
    <w:p>
      <w:pPr>
        <w:pStyle w:val="4"/>
        <w:snapToGrid w:val="0"/>
        <w:spacing w:before="0" w:after="0" w:line="380" w:lineRule="exact"/>
        <w:textAlignment w:val="baseline"/>
        <w:rPr>
          <w:rFonts w:ascii="微软雅黑" w:hAnsi="微软雅黑" w:eastAsia="微软雅黑" w:cs="微软雅黑"/>
          <w:highlight w:val="none"/>
          <w:u w:color="000000"/>
        </w:rPr>
      </w:pPr>
      <w:bookmarkStart w:id="390" w:name="_Toc7632"/>
      <w:bookmarkStart w:id="391" w:name="_Toc15667"/>
      <w:bookmarkStart w:id="392" w:name="_Toc23762"/>
      <w:bookmarkStart w:id="393" w:name="_Toc29606"/>
      <w:bookmarkStart w:id="394" w:name="_Ref467307010"/>
      <w:bookmarkStart w:id="395" w:name="_Toc10858"/>
      <w:bookmarkStart w:id="396" w:name="_Toc23617"/>
      <w:bookmarkStart w:id="397" w:name="_Toc8936"/>
      <w:bookmarkStart w:id="398" w:name="_Toc20156"/>
      <w:bookmarkStart w:id="399" w:name="_Toc520356170"/>
      <w:bookmarkStart w:id="400" w:name="_Toc19391"/>
      <w:bookmarkStart w:id="401" w:name="_Toc4774"/>
      <w:bookmarkStart w:id="402" w:name="_Toc20286"/>
      <w:bookmarkStart w:id="403" w:name="_Toc515647788"/>
      <w:bookmarkStart w:id="404" w:name="_Toc15848"/>
      <w:r>
        <w:rPr>
          <w:rFonts w:hint="eastAsia" w:ascii="微软雅黑" w:hAnsi="微软雅黑" w:eastAsia="微软雅黑" w:cs="微软雅黑"/>
          <w:highlight w:val="none"/>
          <w:u w:color="000000"/>
        </w:rPr>
        <w:t>26.成交候选人的确定原则及标准</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snapToGrid w:val="0"/>
        <w:spacing w:line="380" w:lineRule="exact"/>
        <w:ind w:firstLine="480" w:firstLineChars="200"/>
        <w:textAlignment w:val="baseline"/>
        <w:rPr>
          <w:rFonts w:ascii="微软雅黑" w:hAnsi="微软雅黑" w:eastAsia="微软雅黑" w:cs="微软雅黑"/>
          <w:sz w:val="24"/>
          <w:highlight w:val="none"/>
        </w:rPr>
      </w:pPr>
      <w:bookmarkStart w:id="405" w:name="_Toc520356171"/>
      <w:bookmarkStart w:id="406" w:name="_Toc515647789"/>
      <w:r>
        <w:rPr>
          <w:rFonts w:hint="eastAsia" w:ascii="微软雅黑" w:hAnsi="微软雅黑" w:eastAsia="微软雅黑" w:cs="微软雅黑"/>
          <w:sz w:val="24"/>
          <w:highlight w:val="none"/>
        </w:rPr>
        <w:t>对实质上响应磋商文件的供应商按下列方法进行排序，确定投标候选人：</w:t>
      </w:r>
    </w:p>
    <w:p>
      <w:pPr>
        <w:snapToGrid w:val="0"/>
        <w:spacing w:line="380" w:lineRule="exact"/>
        <w:ind w:left="479" w:leftChars="22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snapToGrid w:val="0"/>
        <w:spacing w:line="380" w:lineRule="exact"/>
        <w:ind w:firstLine="480" w:firstLineChars="200"/>
        <w:textAlignment w:val="baseline"/>
        <w:rPr>
          <w:rFonts w:ascii="微软雅黑" w:hAnsi="微软雅黑" w:eastAsia="微软雅黑" w:cs="微软雅黑"/>
          <w:b/>
          <w:bCs/>
          <w:color w:val="auto"/>
          <w:sz w:val="24"/>
          <w:highlight w:val="none"/>
        </w:rPr>
      </w:pPr>
      <w:r>
        <w:rPr>
          <w:rFonts w:hint="eastAsia" w:ascii="微软雅黑" w:hAnsi="微软雅黑" w:eastAsia="微软雅黑" w:cs="微软雅黑"/>
          <w:b/>
          <w:bCs/>
          <w:sz w:val="24"/>
          <w:highlight w:val="none"/>
        </w:rPr>
        <w:t>本项目采用综合评分</w:t>
      </w:r>
      <w:r>
        <w:rPr>
          <w:rFonts w:hint="eastAsia" w:ascii="微软雅黑" w:hAnsi="微软雅黑" w:eastAsia="微软雅黑" w:cs="微软雅黑"/>
          <w:b/>
          <w:bCs/>
          <w:color w:val="auto"/>
          <w:sz w:val="24"/>
          <w:highlight w:val="none"/>
        </w:rPr>
        <w:t>法，其中价格占30%</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技术</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商务</w:t>
      </w:r>
      <w:r>
        <w:rPr>
          <w:rFonts w:hint="eastAsia" w:ascii="微软雅黑" w:hAnsi="微软雅黑" w:eastAsia="微软雅黑" w:cs="微软雅黑"/>
          <w:b/>
          <w:bCs/>
          <w:color w:val="auto"/>
          <w:sz w:val="24"/>
          <w:highlight w:val="none"/>
        </w:rPr>
        <w:t>占</w:t>
      </w:r>
      <w:r>
        <w:rPr>
          <w:rFonts w:hint="eastAsia" w:ascii="微软雅黑" w:hAnsi="微软雅黑" w:eastAsia="微软雅黑" w:cs="微软雅黑"/>
          <w:b/>
          <w:bCs/>
          <w:color w:val="auto"/>
          <w:sz w:val="24"/>
          <w:highlight w:val="none"/>
          <w:lang w:val="en-US" w:eastAsia="zh-CN"/>
        </w:rPr>
        <w:t>70</w:t>
      </w:r>
      <w:r>
        <w:rPr>
          <w:rFonts w:hint="eastAsia" w:ascii="微软雅黑" w:hAnsi="微软雅黑" w:eastAsia="微软雅黑" w:cs="微软雅黑"/>
          <w:b/>
          <w:bCs/>
          <w:color w:val="auto"/>
          <w:sz w:val="24"/>
          <w:highlight w:val="none"/>
        </w:rPr>
        <w:t>%。</w:t>
      </w:r>
    </w:p>
    <w:p>
      <w:pPr>
        <w:pStyle w:val="4"/>
        <w:tabs>
          <w:tab w:val="left" w:pos="900"/>
        </w:tabs>
        <w:snapToGrid w:val="0"/>
        <w:spacing w:before="0" w:after="0" w:line="380" w:lineRule="exact"/>
        <w:textAlignment w:val="baseline"/>
        <w:rPr>
          <w:rFonts w:ascii="微软雅黑" w:hAnsi="微软雅黑" w:eastAsia="微软雅黑" w:cs="微软雅黑"/>
          <w:color w:val="auto"/>
          <w:highlight w:val="none"/>
          <w:u w:color="000000"/>
        </w:rPr>
      </w:pPr>
      <w:bookmarkStart w:id="407" w:name="_Toc17933"/>
      <w:bookmarkStart w:id="408" w:name="_Toc23951"/>
      <w:bookmarkStart w:id="409" w:name="_Toc9653"/>
      <w:bookmarkStart w:id="410" w:name="_Toc5598"/>
      <w:bookmarkStart w:id="411" w:name="_Toc17164"/>
      <w:bookmarkStart w:id="412" w:name="_Toc14558"/>
      <w:bookmarkStart w:id="413" w:name="_Toc16846"/>
      <w:bookmarkStart w:id="414" w:name="_Toc24948"/>
      <w:bookmarkStart w:id="415" w:name="_Toc1227"/>
      <w:bookmarkStart w:id="416" w:name="_Toc1644"/>
      <w:bookmarkStart w:id="417" w:name="_Toc24347"/>
      <w:bookmarkStart w:id="418" w:name="_Toc3720"/>
      <w:r>
        <w:rPr>
          <w:rFonts w:hint="eastAsia" w:ascii="微软雅黑" w:hAnsi="微软雅黑" w:eastAsia="微软雅黑" w:cs="微软雅黑"/>
          <w:color w:val="auto"/>
          <w:highlight w:val="none"/>
          <w:u w:color="000000"/>
        </w:rPr>
        <w:t>27</w:t>
      </w:r>
      <w:bookmarkEnd w:id="405"/>
      <w:r>
        <w:rPr>
          <w:rFonts w:hint="eastAsia" w:ascii="微软雅黑" w:hAnsi="微软雅黑" w:eastAsia="微软雅黑" w:cs="微软雅黑"/>
          <w:color w:val="auto"/>
          <w:highlight w:val="none"/>
          <w:u w:color="000000"/>
        </w:rPr>
        <w:t>.确定成交候选人和</w:t>
      </w:r>
      <w:bookmarkEnd w:id="406"/>
      <w:bookmarkEnd w:id="407"/>
      <w:bookmarkEnd w:id="408"/>
      <w:bookmarkEnd w:id="409"/>
      <w:r>
        <w:rPr>
          <w:rFonts w:hint="eastAsia" w:ascii="微软雅黑" w:hAnsi="微软雅黑" w:eastAsia="微软雅黑" w:cs="微软雅黑"/>
          <w:color w:val="auto"/>
          <w:highlight w:val="none"/>
          <w:u w:color="000000"/>
        </w:rPr>
        <w:t>成交人</w:t>
      </w:r>
      <w:bookmarkEnd w:id="410"/>
      <w:bookmarkEnd w:id="411"/>
      <w:bookmarkEnd w:id="412"/>
      <w:bookmarkEnd w:id="413"/>
      <w:bookmarkEnd w:id="414"/>
      <w:bookmarkEnd w:id="415"/>
      <w:bookmarkEnd w:id="416"/>
      <w:bookmarkEnd w:id="417"/>
      <w:bookmarkEnd w:id="418"/>
    </w:p>
    <w:p>
      <w:pPr>
        <w:snapToGrid w:val="0"/>
        <w:spacing w:line="380" w:lineRule="exact"/>
        <w:ind w:left="898" w:leftChars="342"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磋商小组将根据评标标准，按</w:t>
      </w:r>
      <w:r>
        <w:rPr>
          <w:rFonts w:hint="eastAsia" w:ascii="微软雅黑" w:hAnsi="微软雅黑" w:eastAsia="微软雅黑" w:cs="微软雅黑"/>
          <w:sz w:val="24"/>
          <w:highlight w:val="none"/>
          <w:u w:val="single" w:color="000000"/>
        </w:rPr>
        <w:t>供应商须知资料表中</w:t>
      </w:r>
      <w:r>
        <w:rPr>
          <w:rFonts w:hint="eastAsia" w:ascii="微软雅黑" w:hAnsi="微软雅黑" w:eastAsia="微软雅黑" w:cs="微软雅黑"/>
          <w:sz w:val="24"/>
          <w:highlight w:val="none"/>
        </w:rPr>
        <w:t>规定数量推荐成交候选人；或根据采购人的委托，直接确定成交人。</w:t>
      </w:r>
    </w:p>
    <w:p>
      <w:pPr>
        <w:pStyle w:val="4"/>
        <w:tabs>
          <w:tab w:val="left" w:pos="900"/>
        </w:tabs>
        <w:snapToGrid w:val="0"/>
        <w:spacing w:before="0" w:after="0" w:line="380" w:lineRule="exact"/>
        <w:textAlignment w:val="baseline"/>
        <w:rPr>
          <w:rFonts w:ascii="微软雅黑" w:hAnsi="微软雅黑" w:eastAsia="微软雅黑" w:cs="微软雅黑"/>
          <w:highlight w:val="none"/>
          <w:u w:color="000000"/>
        </w:rPr>
      </w:pPr>
      <w:bookmarkStart w:id="419" w:name="_Toc520356173"/>
      <w:bookmarkStart w:id="420" w:name="_Ref467306874"/>
      <w:bookmarkStart w:id="421" w:name="_Toc515647790"/>
      <w:bookmarkStart w:id="422" w:name="_Toc20633"/>
      <w:bookmarkStart w:id="423" w:name="_Toc249"/>
      <w:bookmarkStart w:id="424" w:name="_Toc7729"/>
      <w:bookmarkStart w:id="425" w:name="_Toc27036"/>
      <w:bookmarkStart w:id="426" w:name="_Toc27133"/>
      <w:bookmarkStart w:id="427" w:name="_Toc8389"/>
      <w:bookmarkStart w:id="428" w:name="_Toc6046"/>
      <w:bookmarkStart w:id="429" w:name="_Toc28562"/>
      <w:bookmarkStart w:id="430" w:name="_Toc2091"/>
      <w:bookmarkStart w:id="431" w:name="_Toc27308"/>
      <w:bookmarkStart w:id="432" w:name="_Toc24602"/>
      <w:bookmarkStart w:id="433" w:name="_Toc12652"/>
      <w:r>
        <w:rPr>
          <w:rFonts w:hint="eastAsia" w:ascii="微软雅黑" w:hAnsi="微软雅黑" w:eastAsia="微软雅黑" w:cs="微软雅黑"/>
          <w:highlight w:val="none"/>
          <w:u w:color="000000"/>
        </w:rPr>
        <w:t>28.</w:t>
      </w:r>
      <w:bookmarkEnd w:id="419"/>
      <w:bookmarkEnd w:id="420"/>
      <w:r>
        <w:rPr>
          <w:rFonts w:hint="eastAsia" w:ascii="微软雅黑" w:hAnsi="微软雅黑" w:eastAsia="微软雅黑" w:cs="微软雅黑"/>
          <w:highlight w:val="none"/>
          <w:u w:color="000000"/>
        </w:rPr>
        <w:t>采购任务取消</w:t>
      </w:r>
      <w:bookmarkEnd w:id="421"/>
      <w:bookmarkEnd w:id="422"/>
      <w:bookmarkEnd w:id="423"/>
      <w:bookmarkEnd w:id="424"/>
      <w:bookmarkEnd w:id="425"/>
      <w:bookmarkEnd w:id="426"/>
      <w:bookmarkEnd w:id="427"/>
      <w:bookmarkEnd w:id="428"/>
      <w:bookmarkEnd w:id="429"/>
      <w:bookmarkEnd w:id="430"/>
      <w:bookmarkEnd w:id="431"/>
      <w:bookmarkEnd w:id="432"/>
      <w:bookmarkEnd w:id="433"/>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因重大变故采购任务取消时，采购人有权拒绝任何供应商成交，且对受影响的供应商不承担任何责任。</w:t>
      </w:r>
      <w:bookmarkStart w:id="434" w:name="_Toc520356174"/>
    </w:p>
    <w:p>
      <w:pPr>
        <w:pStyle w:val="4"/>
        <w:snapToGrid w:val="0"/>
        <w:spacing w:before="0" w:after="0" w:line="380" w:lineRule="exact"/>
        <w:textAlignment w:val="baseline"/>
        <w:rPr>
          <w:rFonts w:ascii="微软雅黑" w:hAnsi="微软雅黑" w:eastAsia="微软雅黑" w:cs="微软雅黑"/>
          <w:highlight w:val="none"/>
          <w:u w:color="000000"/>
        </w:rPr>
      </w:pPr>
      <w:bookmarkStart w:id="435" w:name="_Toc15270"/>
      <w:bookmarkStart w:id="436" w:name="_Toc26091"/>
      <w:bookmarkStart w:id="437" w:name="_Toc29249"/>
      <w:bookmarkStart w:id="438" w:name="_Toc2401"/>
      <w:bookmarkStart w:id="439" w:name="_Toc7938"/>
      <w:bookmarkStart w:id="440" w:name="_Toc31099"/>
      <w:bookmarkStart w:id="441" w:name="_Toc6223"/>
      <w:bookmarkStart w:id="442" w:name="_Toc515647791"/>
      <w:bookmarkStart w:id="443" w:name="_Toc30170"/>
      <w:bookmarkStart w:id="444" w:name="_Toc27516"/>
      <w:bookmarkStart w:id="445" w:name="_Toc5524"/>
      <w:bookmarkStart w:id="446" w:name="_Toc11134"/>
      <w:bookmarkStart w:id="447" w:name="_Toc20620"/>
      <w:r>
        <w:rPr>
          <w:rFonts w:hint="eastAsia" w:ascii="微软雅黑" w:hAnsi="微软雅黑" w:eastAsia="微软雅黑" w:cs="微软雅黑"/>
          <w:highlight w:val="none"/>
          <w:u w:color="000000"/>
        </w:rPr>
        <w:t>29.</w:t>
      </w:r>
      <w:bookmarkEnd w:id="434"/>
      <w:r>
        <w:rPr>
          <w:rFonts w:hint="eastAsia" w:ascii="微软雅黑" w:hAnsi="微软雅黑" w:eastAsia="微软雅黑" w:cs="微软雅黑"/>
          <w:highlight w:val="none"/>
          <w:u w:color="000000"/>
        </w:rPr>
        <w:t>成交通知书和招标结果通知书</w:t>
      </w:r>
      <w:bookmarkEnd w:id="435"/>
      <w:bookmarkEnd w:id="436"/>
      <w:bookmarkEnd w:id="437"/>
      <w:bookmarkEnd w:id="438"/>
      <w:bookmarkEnd w:id="439"/>
      <w:bookmarkEnd w:id="440"/>
      <w:bookmarkEnd w:id="441"/>
      <w:bookmarkEnd w:id="442"/>
      <w:bookmarkEnd w:id="443"/>
      <w:bookmarkEnd w:id="444"/>
      <w:bookmarkEnd w:id="445"/>
      <w:bookmarkEnd w:id="446"/>
      <w:bookmarkEnd w:id="447"/>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在磋商有效期内，成交人确定后，采购人或者采购代理机构发布成交公告，同时以书面形式向成交人发出成交通知书。</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成交通知书是合同的组成部分。</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29.3    招标结果通知书和成交通知书同时发出。招标结果通知书中将告知未通过资格审查的供应商未通过的原因；采用综合评分法评审的，还将告知未成交人本人的评审得分和排序。</w:t>
      </w:r>
    </w:p>
    <w:p>
      <w:pPr>
        <w:pStyle w:val="4"/>
        <w:snapToGrid w:val="0"/>
        <w:spacing w:before="0" w:after="0" w:line="380" w:lineRule="exact"/>
        <w:textAlignment w:val="baseline"/>
        <w:rPr>
          <w:rFonts w:ascii="微软雅黑" w:hAnsi="微软雅黑" w:eastAsia="微软雅黑" w:cs="微软雅黑"/>
          <w:highlight w:val="none"/>
        </w:rPr>
      </w:pPr>
      <w:bookmarkStart w:id="448" w:name="_Toc7779"/>
      <w:bookmarkStart w:id="449" w:name="_Toc24227"/>
      <w:bookmarkStart w:id="450" w:name="_Toc15063"/>
      <w:bookmarkStart w:id="451" w:name="_Toc1076"/>
      <w:bookmarkStart w:id="452" w:name="_Toc22868"/>
      <w:bookmarkStart w:id="453" w:name="_Toc29762"/>
      <w:bookmarkStart w:id="454" w:name="_Toc515647792"/>
      <w:bookmarkStart w:id="455" w:name="_Ref467306377"/>
      <w:bookmarkStart w:id="456" w:name="_Toc790"/>
      <w:bookmarkStart w:id="457" w:name="_Ref467306978"/>
      <w:bookmarkStart w:id="458" w:name="_Toc8912"/>
      <w:bookmarkStart w:id="459" w:name="_Toc20587"/>
      <w:bookmarkStart w:id="460" w:name="_Toc307"/>
      <w:bookmarkStart w:id="461" w:name="_Toc520356175"/>
      <w:bookmarkStart w:id="462" w:name="_Ref467307204"/>
      <w:bookmarkStart w:id="463" w:name="_Toc19431"/>
      <w:bookmarkStart w:id="464" w:name="_Toc11296"/>
      <w:bookmarkStart w:id="465" w:name="_Ref467307062"/>
      <w:r>
        <w:rPr>
          <w:rFonts w:hint="eastAsia" w:ascii="微软雅黑" w:hAnsi="微软雅黑" w:eastAsia="微软雅黑" w:cs="微软雅黑"/>
          <w:highlight w:val="none"/>
        </w:rPr>
        <w:t>30.签订合同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成交人应当自发出成交通知书之日起30日内，与采购人签订合同。</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30.2</w:t>
      </w:r>
      <w:r>
        <w:rPr>
          <w:rFonts w:hint="eastAsia" w:ascii="微软雅黑" w:hAnsi="微软雅黑" w:eastAsia="微软雅黑" w:cs="微软雅黑"/>
          <w:sz w:val="24"/>
          <w:highlight w:val="none"/>
        </w:rPr>
        <w:tab/>
      </w:r>
      <w:bookmarkStart w:id="466" w:name="_Ref467306425"/>
      <w:bookmarkStart w:id="467" w:name="_Toc520356176"/>
      <w:bookmarkStart w:id="468" w:name="_Ref467307090"/>
      <w:r>
        <w:rPr>
          <w:rFonts w:hint="eastAsia" w:ascii="微软雅黑" w:hAnsi="微软雅黑" w:eastAsia="微软雅黑" w:cs="微软雅黑"/>
          <w:sz w:val="24"/>
          <w:highlight w:val="none"/>
        </w:rPr>
        <w:t>磋商文件、成交人的响应文件及其澄清文件等，均为签订合同的依据。</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30.3   成交人拒绝与采购人签订合同的，采购人可以按照评审报告推荐的成交候选人名单排序，确定下一成交候选人为成交人，也可以重新开展政府采购活动。</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30.4   当出现法规规定的成交无效或成交结果无效情形时，采购人可与排名下一位的成交候选人另行签订合同，或依法重新开展采购活动。</w:t>
      </w:r>
    </w:p>
    <w:p>
      <w:pPr>
        <w:pStyle w:val="4"/>
        <w:snapToGrid w:val="0"/>
        <w:spacing w:before="0" w:after="0" w:line="380" w:lineRule="exact"/>
        <w:textAlignment w:val="baseline"/>
        <w:rPr>
          <w:rFonts w:ascii="微软雅黑" w:hAnsi="微软雅黑" w:eastAsia="微软雅黑" w:cs="微软雅黑"/>
          <w:highlight w:val="none"/>
        </w:rPr>
      </w:pPr>
      <w:bookmarkStart w:id="469" w:name="_Toc15573"/>
      <w:bookmarkStart w:id="470" w:name="_Toc22126"/>
      <w:bookmarkStart w:id="471" w:name="_Toc6921"/>
      <w:bookmarkStart w:id="472" w:name="_Toc26893"/>
      <w:bookmarkStart w:id="473" w:name="_Toc14080"/>
      <w:bookmarkStart w:id="474" w:name="_Toc5437"/>
      <w:bookmarkStart w:id="475" w:name="_Toc20049"/>
      <w:bookmarkStart w:id="476" w:name="_Toc22555"/>
      <w:bookmarkStart w:id="477" w:name="_Toc32532"/>
      <w:bookmarkStart w:id="478" w:name="_Toc14839"/>
      <w:bookmarkStart w:id="479" w:name="_Toc24808"/>
      <w:bookmarkStart w:id="480" w:name="_Toc515647793"/>
      <w:bookmarkStart w:id="481" w:name="_Toc10911"/>
      <w:r>
        <w:rPr>
          <w:rFonts w:hint="eastAsia" w:ascii="微软雅黑" w:hAnsi="微软雅黑" w:eastAsia="微软雅黑" w:cs="微软雅黑"/>
          <w:highlight w:val="none"/>
        </w:rPr>
        <w:t>31.履约保证金</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成交人应按照供应商须知资料表规定向采购人缴纳履约保证金（如采用保函形式，格式见本章附件1）。</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政府采购利用担保试点范围内的项目，除31.1规定的情形外，成交人也可以按照财政部门的规定，向采购人提供合格的履约担保函（格式见本章附件2）。</w:t>
      </w:r>
    </w:p>
    <w:p>
      <w:pPr>
        <w:snapToGrid w:val="0"/>
        <w:spacing w:line="380" w:lineRule="exact"/>
        <w:ind w:left="960" w:hanging="960" w:hangingChars="400"/>
        <w:jc w:val="left"/>
        <w:textAlignment w:val="baseline"/>
        <w:rPr>
          <w:rFonts w:ascii="微软雅黑" w:hAnsi="微软雅黑" w:eastAsia="微软雅黑" w:cs="微软雅黑"/>
          <w:bCs/>
          <w:sz w:val="24"/>
          <w:highlight w:val="none"/>
          <w:u w:val="single" w:color="000000"/>
        </w:rPr>
      </w:pPr>
      <w:bookmarkStart w:id="482" w:name="_Toc13783"/>
      <w:bookmarkStart w:id="483" w:name="_Toc14350"/>
      <w:bookmarkStart w:id="484" w:name="_Toc32107"/>
      <w:bookmarkStart w:id="485" w:name="_Toc7088"/>
      <w:bookmarkStart w:id="486" w:name="_Toc864"/>
      <w:bookmarkStart w:id="487" w:name="_Toc5352"/>
      <w:bookmarkStart w:id="488" w:name="_Toc1888"/>
      <w:r>
        <w:rPr>
          <w:rFonts w:hint="eastAsia" w:ascii="微软雅黑" w:hAnsi="微软雅黑" w:eastAsia="微软雅黑" w:cs="微软雅黑"/>
          <w:sz w:val="24"/>
          <w:highlight w:val="none"/>
        </w:rPr>
        <w:t>31.3   如果成交人没有按照上述履约保证金的规定执行，将视为放弃成交资格，成交人的磋商保证金将不予退还。在此情况下，采购人可确定下一候选</w:t>
      </w:r>
      <w:r>
        <w:rPr>
          <w:rFonts w:hint="eastAsia" w:ascii="微软雅黑" w:hAnsi="微软雅黑" w:eastAsia="微软雅黑" w:cs="微软雅黑"/>
          <w:bCs/>
          <w:sz w:val="24"/>
          <w:highlight w:val="none"/>
        </w:rPr>
        <w:t>人为成交人，也可以重新开展采购活动。</w:t>
      </w:r>
      <w:bookmarkEnd w:id="482"/>
      <w:bookmarkEnd w:id="483"/>
      <w:bookmarkEnd w:id="484"/>
      <w:bookmarkEnd w:id="485"/>
      <w:bookmarkEnd w:id="486"/>
      <w:bookmarkEnd w:id="487"/>
      <w:bookmarkEnd w:id="488"/>
    </w:p>
    <w:p>
      <w:pPr>
        <w:pStyle w:val="4"/>
        <w:snapToGrid w:val="0"/>
        <w:spacing w:before="0" w:after="0" w:line="380" w:lineRule="exact"/>
        <w:textAlignment w:val="baseline"/>
        <w:rPr>
          <w:rFonts w:ascii="微软雅黑" w:hAnsi="微软雅黑" w:eastAsia="微软雅黑" w:cs="微软雅黑"/>
          <w:highlight w:val="none"/>
        </w:rPr>
      </w:pPr>
      <w:bookmarkStart w:id="489" w:name="_Toc31215"/>
      <w:bookmarkStart w:id="490" w:name="_Toc29652"/>
      <w:bookmarkStart w:id="491" w:name="_Toc16384"/>
      <w:bookmarkStart w:id="492" w:name="_Toc9123"/>
      <w:bookmarkStart w:id="493" w:name="_Toc23392"/>
      <w:bookmarkStart w:id="494" w:name="_Toc515647794"/>
      <w:bookmarkStart w:id="495" w:name="_Toc12971"/>
      <w:bookmarkStart w:id="496" w:name="_Toc26452"/>
      <w:bookmarkStart w:id="497" w:name="_Toc11939"/>
      <w:bookmarkStart w:id="498" w:name="_Toc27934"/>
      <w:bookmarkStart w:id="499" w:name="_Toc10734"/>
      <w:bookmarkStart w:id="500" w:name="_Toc29408"/>
      <w:bookmarkStart w:id="501" w:name="_Toc3090"/>
      <w:r>
        <w:rPr>
          <w:rFonts w:hint="eastAsia" w:ascii="微软雅黑" w:hAnsi="微软雅黑" w:eastAsia="微软雅黑" w:cs="微软雅黑"/>
          <w:highlight w:val="none"/>
        </w:rPr>
        <w:t>32.成交服务费</w:t>
      </w:r>
      <w:bookmarkEnd w:id="489"/>
      <w:bookmarkEnd w:id="490"/>
      <w:bookmarkEnd w:id="491"/>
      <w:bookmarkEnd w:id="492"/>
      <w:bookmarkEnd w:id="493"/>
      <w:bookmarkEnd w:id="494"/>
      <w:bookmarkEnd w:id="495"/>
      <w:bookmarkEnd w:id="496"/>
      <w:bookmarkEnd w:id="497"/>
      <w:bookmarkEnd w:id="498"/>
      <w:bookmarkEnd w:id="499"/>
      <w:bookmarkEnd w:id="500"/>
      <w:bookmarkEnd w:id="501"/>
    </w:p>
    <w:p>
      <w:pPr>
        <w:snapToGrid w:val="0"/>
        <w:spacing w:line="380" w:lineRule="exact"/>
        <w:jc w:val="left"/>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 xml:space="preserve">   </w:t>
      </w:r>
      <w:bookmarkStart w:id="502" w:name="_Toc23886"/>
      <w:bookmarkStart w:id="503" w:name="_Toc3808"/>
      <w:bookmarkStart w:id="504" w:name="_Toc2958"/>
      <w:bookmarkStart w:id="505" w:name="_Toc6649"/>
      <w:bookmarkStart w:id="506" w:name="_Toc30095"/>
      <w:bookmarkStart w:id="507" w:name="_Toc30285"/>
      <w:bookmarkStart w:id="508" w:name="_Toc31147"/>
      <w:r>
        <w:rPr>
          <w:rFonts w:hint="eastAsia" w:ascii="微软雅黑" w:hAnsi="微软雅黑" w:eastAsia="微软雅黑" w:cs="微软雅黑"/>
          <w:bCs/>
          <w:sz w:val="24"/>
          <w:highlight w:val="none"/>
        </w:rPr>
        <w:t xml:space="preserve">   成交人须按照磋商须知资料表规定，向采购代理机构支付成交服务费。</w:t>
      </w:r>
      <w:bookmarkEnd w:id="502"/>
      <w:bookmarkEnd w:id="503"/>
      <w:bookmarkEnd w:id="504"/>
      <w:bookmarkEnd w:id="505"/>
      <w:bookmarkEnd w:id="506"/>
      <w:bookmarkEnd w:id="507"/>
      <w:bookmarkEnd w:id="508"/>
    </w:p>
    <w:p>
      <w:pPr>
        <w:pStyle w:val="4"/>
        <w:snapToGrid w:val="0"/>
        <w:spacing w:before="0" w:after="0" w:line="380" w:lineRule="exact"/>
        <w:textAlignment w:val="baseline"/>
        <w:rPr>
          <w:rFonts w:ascii="微软雅黑" w:hAnsi="微软雅黑" w:eastAsia="微软雅黑" w:cs="微软雅黑"/>
          <w:highlight w:val="none"/>
        </w:rPr>
      </w:pPr>
      <w:bookmarkStart w:id="509" w:name="_Toc1343"/>
      <w:bookmarkStart w:id="510" w:name="_Toc26572"/>
      <w:bookmarkStart w:id="511" w:name="_Toc24064"/>
      <w:bookmarkStart w:id="512" w:name="_Toc26134"/>
      <w:bookmarkStart w:id="513" w:name="_Toc31549"/>
      <w:bookmarkStart w:id="514" w:name="_Toc515647795"/>
      <w:bookmarkStart w:id="515" w:name="_Toc6923"/>
      <w:bookmarkStart w:id="516" w:name="_Toc5403"/>
      <w:bookmarkStart w:id="517" w:name="_Toc15699"/>
      <w:bookmarkStart w:id="518" w:name="_Toc7049"/>
      <w:bookmarkStart w:id="519" w:name="_Toc28128"/>
      <w:bookmarkStart w:id="520" w:name="_Toc32437"/>
      <w:bookmarkStart w:id="521" w:name="_Toc18898"/>
      <w:r>
        <w:rPr>
          <w:rFonts w:hint="eastAsia" w:ascii="微软雅黑" w:hAnsi="微软雅黑" w:eastAsia="微软雅黑" w:cs="微软雅黑"/>
          <w:highlight w:val="none"/>
        </w:rPr>
        <w:t>33.政府采购信用担保</w:t>
      </w:r>
      <w:bookmarkEnd w:id="509"/>
      <w:bookmarkEnd w:id="510"/>
      <w:bookmarkEnd w:id="511"/>
      <w:bookmarkEnd w:id="512"/>
      <w:bookmarkEnd w:id="513"/>
      <w:bookmarkEnd w:id="514"/>
      <w:bookmarkEnd w:id="515"/>
      <w:bookmarkEnd w:id="516"/>
      <w:bookmarkEnd w:id="517"/>
      <w:bookmarkEnd w:id="518"/>
      <w:bookmarkEnd w:id="519"/>
      <w:bookmarkEnd w:id="520"/>
      <w:bookmarkEnd w:id="521"/>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33.1   本项目是否属于信用担保试点范围见供应商须知资料表。</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33.2.1 供应商递交的磋商担保函和履约担保函应符合本磋商文件的规定。</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33.2.2 成交人可以采取融资担保的形式为政府采购项目履约进行融资。</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33.2.3 合格的政府采购专业信用担保机构名单见供应商须知资料表。</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522" w:name="_Toc31584"/>
      <w:bookmarkStart w:id="523" w:name="_Toc28874"/>
      <w:bookmarkStart w:id="524" w:name="_Toc15842"/>
      <w:bookmarkStart w:id="525" w:name="_Toc9559"/>
      <w:bookmarkStart w:id="526" w:name="_Toc27619"/>
      <w:bookmarkStart w:id="527" w:name="_Toc26887"/>
      <w:bookmarkStart w:id="528" w:name="_Toc2133"/>
      <w:bookmarkStart w:id="529" w:name="_Toc23999"/>
      <w:bookmarkStart w:id="530" w:name="_Toc16394"/>
      <w:bookmarkStart w:id="531" w:name="_Toc9673"/>
      <w:bookmarkStart w:id="532" w:name="_Toc515647796"/>
      <w:bookmarkStart w:id="533" w:name="_Toc7616"/>
      <w:bookmarkStart w:id="534" w:name="_Toc24726"/>
      <w:r>
        <w:rPr>
          <w:rFonts w:hint="eastAsia" w:ascii="微软雅黑" w:hAnsi="微软雅黑" w:eastAsia="微软雅黑" w:cs="微软雅黑"/>
          <w:highlight w:val="none"/>
          <w:u w:color="000000"/>
        </w:rPr>
        <w:t>34.廉洁自律规定</w:t>
      </w:r>
      <w:bookmarkEnd w:id="522"/>
      <w:bookmarkEnd w:id="523"/>
      <w:bookmarkEnd w:id="524"/>
      <w:bookmarkEnd w:id="525"/>
      <w:bookmarkEnd w:id="526"/>
      <w:bookmarkEnd w:id="527"/>
      <w:bookmarkEnd w:id="528"/>
      <w:bookmarkEnd w:id="529"/>
      <w:bookmarkEnd w:id="530"/>
      <w:bookmarkEnd w:id="531"/>
      <w:bookmarkEnd w:id="532"/>
      <w:bookmarkEnd w:id="533"/>
      <w:bookmarkEnd w:id="534"/>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34.3   为强化采购代理机构内部监督机制，供应商可按</w:t>
      </w:r>
      <w:r>
        <w:rPr>
          <w:rFonts w:hint="eastAsia" w:ascii="微软雅黑" w:hAnsi="微软雅黑" w:eastAsia="微软雅黑" w:cs="微软雅黑"/>
          <w:sz w:val="24"/>
          <w:highlight w:val="none"/>
          <w:u w:val="single" w:color="000000"/>
        </w:rPr>
        <w:t>供应商须知资料表中的</w:t>
      </w:r>
      <w:r>
        <w:rPr>
          <w:rFonts w:hint="eastAsia" w:ascii="微软雅黑" w:hAnsi="微软雅黑" w:eastAsia="微软雅黑" w:cs="微软雅黑"/>
          <w:sz w:val="24"/>
          <w:highlight w:val="none"/>
        </w:rPr>
        <w:t>监督电话和邮箱，反映采购代理机构的廉洁自律等问题。</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535" w:name="_Toc1011"/>
      <w:bookmarkStart w:id="536" w:name="_Toc15647"/>
      <w:bookmarkStart w:id="537" w:name="_Toc24873"/>
      <w:bookmarkStart w:id="538" w:name="_Toc8702"/>
      <w:bookmarkStart w:id="539" w:name="_Toc11586"/>
      <w:bookmarkStart w:id="540" w:name="_Toc25480"/>
      <w:bookmarkStart w:id="541" w:name="_Toc20804"/>
      <w:bookmarkStart w:id="542" w:name="_Toc22851"/>
      <w:bookmarkStart w:id="543" w:name="_Toc17910"/>
      <w:bookmarkStart w:id="544" w:name="_Toc3386"/>
      <w:bookmarkStart w:id="545" w:name="_Toc23336"/>
      <w:bookmarkStart w:id="546" w:name="_Toc25440"/>
      <w:bookmarkStart w:id="547" w:name="_Toc515647797"/>
      <w:r>
        <w:rPr>
          <w:rFonts w:hint="eastAsia" w:ascii="微软雅黑" w:hAnsi="微软雅黑" w:eastAsia="微软雅黑" w:cs="微软雅黑"/>
          <w:highlight w:val="none"/>
          <w:u w:color="000000"/>
        </w:rPr>
        <w:t>35.人员回避</w:t>
      </w:r>
      <w:bookmarkEnd w:id="535"/>
      <w:bookmarkEnd w:id="536"/>
      <w:bookmarkEnd w:id="537"/>
      <w:bookmarkEnd w:id="538"/>
      <w:bookmarkEnd w:id="539"/>
      <w:bookmarkEnd w:id="540"/>
      <w:bookmarkEnd w:id="541"/>
      <w:bookmarkEnd w:id="542"/>
      <w:bookmarkEnd w:id="543"/>
      <w:bookmarkEnd w:id="544"/>
      <w:bookmarkEnd w:id="545"/>
      <w:bookmarkEnd w:id="546"/>
      <w:bookmarkEnd w:id="547"/>
    </w:p>
    <w:p>
      <w:pPr>
        <w:snapToGrid w:val="0"/>
        <w:spacing w:line="38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供应商认为采购人员及其相关人员有法律法规所列与其他供应商有利害关系的，可以向采购人或采购代理机构书面提出回避申请，并说明理由。</w:t>
      </w:r>
    </w:p>
    <w:p>
      <w:pPr>
        <w:pStyle w:val="4"/>
        <w:snapToGrid w:val="0"/>
        <w:spacing w:before="0" w:after="0" w:line="380" w:lineRule="exact"/>
        <w:textAlignment w:val="baseline"/>
        <w:rPr>
          <w:rFonts w:ascii="微软雅黑" w:hAnsi="微软雅黑" w:eastAsia="微软雅黑" w:cs="微软雅黑"/>
          <w:highlight w:val="none"/>
          <w:u w:color="000000"/>
        </w:rPr>
      </w:pPr>
      <w:bookmarkStart w:id="548" w:name="_Toc15825"/>
      <w:bookmarkStart w:id="549" w:name="_Toc1148"/>
      <w:bookmarkStart w:id="550" w:name="_Toc31800"/>
      <w:bookmarkStart w:id="551" w:name="_Toc25962"/>
      <w:bookmarkStart w:id="552" w:name="_Toc14325"/>
      <w:bookmarkStart w:id="553" w:name="_Toc9031"/>
      <w:bookmarkStart w:id="554" w:name="_Toc11115"/>
      <w:bookmarkStart w:id="555" w:name="_Toc31508"/>
      <w:bookmarkStart w:id="556" w:name="_Toc23729"/>
      <w:bookmarkStart w:id="557" w:name="_Toc24801"/>
      <w:bookmarkStart w:id="558" w:name="_Toc24595"/>
      <w:bookmarkStart w:id="559" w:name="_Toc515647798"/>
      <w:bookmarkStart w:id="560" w:name="_Toc30280"/>
      <w:r>
        <w:rPr>
          <w:rFonts w:hint="eastAsia" w:ascii="微软雅黑" w:hAnsi="微软雅黑" w:eastAsia="微软雅黑" w:cs="微软雅黑"/>
          <w:highlight w:val="none"/>
          <w:u w:color="000000"/>
        </w:rPr>
        <w:t>36.质疑与接收</w:t>
      </w:r>
      <w:bookmarkEnd w:id="548"/>
      <w:bookmarkEnd w:id="549"/>
      <w:bookmarkEnd w:id="550"/>
      <w:bookmarkEnd w:id="551"/>
      <w:bookmarkEnd w:id="552"/>
      <w:bookmarkEnd w:id="553"/>
      <w:bookmarkEnd w:id="554"/>
      <w:bookmarkEnd w:id="555"/>
      <w:bookmarkEnd w:id="556"/>
      <w:bookmarkEnd w:id="557"/>
      <w:bookmarkEnd w:id="558"/>
      <w:bookmarkEnd w:id="559"/>
      <w:bookmarkEnd w:id="560"/>
    </w:p>
    <w:p>
      <w:pPr>
        <w:snapToGrid w:val="0"/>
        <w:spacing w:line="380" w:lineRule="exact"/>
        <w:ind w:left="708" w:hanging="708" w:hangingChars="29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36.3  采购代理机构质疑函接收部门、联系电话和通讯地址, 见</w:t>
      </w:r>
      <w:r>
        <w:rPr>
          <w:rFonts w:hint="eastAsia" w:ascii="微软雅黑" w:hAnsi="微软雅黑" w:eastAsia="微软雅黑" w:cs="微软雅黑"/>
          <w:sz w:val="24"/>
          <w:highlight w:val="none"/>
          <w:u w:val="single" w:color="000000"/>
        </w:rPr>
        <w:t>供应商须知资料表。</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35.4   质疑的提出</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（二）对采购过程提出质疑的，为各采购程序环节结束之日；</w:t>
      </w:r>
    </w:p>
    <w:p>
      <w:pPr>
        <w:snapToGrid w:val="0"/>
        <w:spacing w:line="380" w:lineRule="exact"/>
        <w:ind w:firstLine="720" w:firstLineChars="3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（三）对成交结果提出质疑的，为成交结果公告期限届满之日。</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35.9   提出质疑应当符合下列条件：</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（一）质疑主体应当符合有关规定；</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（二）在质疑法定期限内提出；</w:t>
      </w:r>
    </w:p>
    <w:p>
      <w:pPr>
        <w:snapToGrid w:val="0"/>
        <w:spacing w:line="380" w:lineRule="exact"/>
        <w:ind w:left="1138" w:leftChars="456" w:hanging="180" w:hangingChars="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（四）政府采购法律、法规、规章规定的其他条件。</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35.12  质疑人提出质疑时应当提交质疑函。质疑函包括下列内容：</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（一）提出质疑的质疑人的名称、地址、邮编、联系人及联系电话等；</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（二）质疑项目的名称、编号；</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（三）质疑事项；</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（四）事实依据和证明材料；</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（五）法律依据；</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（六）提出质疑的日期。</w:t>
      </w:r>
    </w:p>
    <w:p>
      <w:pPr>
        <w:snapToGrid w:val="0"/>
        <w:spacing w:line="380" w:lineRule="exact"/>
        <w:ind w:left="958" w:leftChars="456" w:firstLine="60" w:firstLineChars="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35.14  质疑的审查和受理</w:t>
      </w:r>
    </w:p>
    <w:p>
      <w:pPr>
        <w:snapToGrid w:val="0"/>
        <w:spacing w:line="380" w:lineRule="exact"/>
        <w:ind w:left="958" w:leftChars="456"/>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35.15  对不符合质疑受理条件的，分别按照下列不同情形予以处理：</w:t>
      </w:r>
    </w:p>
    <w:p>
      <w:pPr>
        <w:snapToGrid w:val="0"/>
        <w:spacing w:line="380" w:lineRule="exact"/>
        <w:ind w:left="1138" w:leftChars="456" w:hanging="180" w:hangingChars="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（二）质疑主体不符合有关规定的，告知质疑人不予受理；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（三）超过质疑法定期限提出质疑的，告知质疑人不予受理；</w:t>
      </w:r>
    </w:p>
    <w:p>
      <w:pPr>
        <w:snapToGrid w:val="0"/>
        <w:spacing w:line="380" w:lineRule="exact"/>
        <w:ind w:left="958" w:leftChars="342" w:hanging="240" w:hangingChars="1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（四）对不属于可以提出质疑的政府采购事项提出质疑的，告知质疑人不予受理；</w:t>
      </w:r>
    </w:p>
    <w:p>
      <w:pPr>
        <w:snapToGrid w:val="0"/>
        <w:spacing w:line="380" w:lineRule="exact"/>
        <w:ind w:left="718" w:leftChars="342"/>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（六）质疑不符合其他条件的，告知质疑人不予受理。</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35.16  质疑的处理和答复</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35.19  对评审过程、成交结果提出质疑的，采购方可以组织原评审委员会协助答复质疑。</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35.20  质疑处理过程中，质疑人书面申请撤回质疑的，将终止质疑处理程序。</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35.23  采购方将在正式受理质疑后7个工作日内作出答复。</w:t>
      </w:r>
    </w:p>
    <w:p>
      <w:pPr>
        <w:pStyle w:val="50"/>
        <w:snapToGrid w:val="0"/>
        <w:spacing w:line="380" w:lineRule="exact"/>
        <w:jc w:val="both"/>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35.24  质疑答复应当包括下列内容：</w:t>
      </w:r>
    </w:p>
    <w:p>
      <w:pPr>
        <w:pStyle w:val="50"/>
        <w:snapToGrid w:val="0"/>
        <w:spacing w:line="380" w:lineRule="exact"/>
        <w:ind w:firstLine="720" w:firstLineChars="300"/>
        <w:jc w:val="both"/>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pPr>
        <w:pStyle w:val="50"/>
        <w:snapToGrid w:val="0"/>
        <w:spacing w:line="380" w:lineRule="exact"/>
        <w:ind w:firstLine="720" w:firstLineChars="300"/>
        <w:jc w:val="both"/>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pPr>
        <w:pStyle w:val="50"/>
        <w:snapToGrid w:val="0"/>
        <w:spacing w:line="380" w:lineRule="exact"/>
        <w:ind w:firstLine="720" w:firstLineChars="300"/>
        <w:jc w:val="both"/>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pPr>
        <w:pStyle w:val="50"/>
        <w:snapToGrid w:val="0"/>
        <w:spacing w:line="380" w:lineRule="exact"/>
        <w:ind w:firstLine="720" w:firstLineChars="300"/>
        <w:jc w:val="both"/>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pPr>
        <w:pStyle w:val="50"/>
        <w:snapToGrid w:val="0"/>
        <w:spacing w:line="380" w:lineRule="exact"/>
        <w:ind w:firstLine="720" w:firstLineChars="300"/>
        <w:jc w:val="both"/>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pPr>
        <w:pStyle w:val="50"/>
        <w:snapToGrid w:val="0"/>
        <w:spacing w:line="380" w:lineRule="exact"/>
        <w:ind w:firstLine="720" w:firstLineChars="300"/>
        <w:jc w:val="both"/>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（六）答复质疑的日期。</w:t>
      </w:r>
    </w:p>
    <w:p>
      <w:pPr>
        <w:snapToGrid w:val="0"/>
        <w:spacing w:line="380" w:lineRule="exact"/>
        <w:jc w:val="center"/>
        <w:textAlignment w:val="baseline"/>
        <w:rPr>
          <w:rFonts w:ascii="微软雅黑" w:hAnsi="微软雅黑" w:eastAsia="微软雅黑" w:cs="微软雅黑"/>
          <w:b/>
          <w:bCs/>
          <w:sz w:val="24"/>
          <w:highlight w:val="none"/>
        </w:rPr>
      </w:pPr>
    </w:p>
    <w:p>
      <w:pPr>
        <w:snapToGrid w:val="0"/>
        <w:spacing w:line="380" w:lineRule="exact"/>
        <w:textAlignment w:val="baseline"/>
        <w:rPr>
          <w:rFonts w:ascii="微软雅黑" w:hAnsi="微软雅黑" w:eastAsia="微软雅黑" w:cs="微软雅黑"/>
          <w:b/>
          <w:bCs/>
          <w:sz w:val="24"/>
          <w:highlight w:val="none"/>
        </w:rPr>
      </w:pPr>
      <w:bookmarkStart w:id="561" w:name="_Toc14949"/>
      <w:bookmarkStart w:id="562" w:name="_Toc24577"/>
      <w:r>
        <w:rPr>
          <w:rFonts w:hint="eastAsia" w:ascii="微软雅黑" w:hAnsi="微软雅黑" w:eastAsia="微软雅黑" w:cs="微软雅黑"/>
          <w:b/>
          <w:bCs/>
          <w:sz w:val="24"/>
          <w:highlight w:val="none"/>
        </w:rPr>
        <w:t>质疑函范本</w:t>
      </w:r>
      <w:bookmarkEnd w:id="561"/>
      <w:bookmarkEnd w:id="562"/>
    </w:p>
    <w:p>
      <w:pPr>
        <w:snapToGrid w:val="0"/>
        <w:spacing w:line="380" w:lineRule="exact"/>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一、质疑供应商基本信息</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质疑供应商：</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地址：</w:t>
      </w:r>
      <w:r>
        <w:rPr>
          <w:rFonts w:hint="eastAsia" w:ascii="微软雅黑" w:hAnsi="微软雅黑" w:eastAsia="微软雅黑" w:cs="微软雅黑"/>
          <w:sz w:val="24"/>
          <w:highlight w:val="none"/>
          <w:u w:val="dotted" w:color="000000"/>
        </w:rPr>
        <w:t xml:space="preserve">                          </w:t>
      </w:r>
      <w:r>
        <w:rPr>
          <w:rFonts w:hint="eastAsia" w:ascii="微软雅黑" w:hAnsi="微软雅黑" w:eastAsia="微软雅黑" w:cs="微软雅黑"/>
          <w:sz w:val="24"/>
          <w:highlight w:val="none"/>
        </w:rPr>
        <w:t>邮编：</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联系人：</w:t>
      </w:r>
      <w:r>
        <w:rPr>
          <w:rFonts w:hint="eastAsia" w:ascii="微软雅黑" w:hAnsi="微软雅黑" w:eastAsia="微软雅黑" w:cs="微软雅黑"/>
          <w:sz w:val="24"/>
          <w:highlight w:val="none"/>
          <w:u w:val="dotted" w:color="000000"/>
        </w:rPr>
        <w:t xml:space="preserve">                      </w:t>
      </w:r>
      <w:r>
        <w:rPr>
          <w:rFonts w:hint="eastAsia" w:ascii="微软雅黑" w:hAnsi="微软雅黑" w:eastAsia="微软雅黑" w:cs="微软雅黑"/>
          <w:sz w:val="24"/>
          <w:highlight w:val="none"/>
        </w:rPr>
        <w:t>联系电话：</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授权代表：</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联系电话：</w:t>
      </w:r>
      <w:r>
        <w:rPr>
          <w:rFonts w:hint="eastAsia" w:ascii="微软雅黑" w:hAnsi="微软雅黑" w:eastAsia="微软雅黑" w:cs="微软雅黑"/>
          <w:sz w:val="24"/>
          <w:highlight w:val="none"/>
          <w:u w:val="dotted" w:color="000000"/>
        </w:rPr>
        <w:t xml:space="preserve">                                           </w:t>
      </w:r>
      <w:r>
        <w:rPr>
          <w:rFonts w:hint="eastAsia" w:ascii="微软雅黑" w:hAnsi="微软雅黑" w:eastAsia="微软雅黑" w:cs="微软雅黑"/>
          <w:sz w:val="24"/>
          <w:highlight w:val="none"/>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地址： </w:t>
      </w:r>
      <w:r>
        <w:rPr>
          <w:rFonts w:hint="eastAsia" w:ascii="微软雅黑" w:hAnsi="微软雅黑" w:eastAsia="微软雅黑" w:cs="微软雅黑"/>
          <w:sz w:val="24"/>
          <w:highlight w:val="none"/>
          <w:u w:val="dotted" w:color="000000"/>
        </w:rPr>
        <w:t xml:space="preserve">                        </w:t>
      </w:r>
      <w:r>
        <w:rPr>
          <w:rFonts w:hint="eastAsia" w:ascii="微软雅黑" w:hAnsi="微软雅黑" w:eastAsia="微软雅黑" w:cs="微软雅黑"/>
          <w:sz w:val="24"/>
          <w:highlight w:val="none"/>
        </w:rPr>
        <w:t>邮编：</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二、质疑项目基本情况</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质疑项目的名称：</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质疑项目的编号：</w:t>
      </w:r>
      <w:r>
        <w:rPr>
          <w:rFonts w:hint="eastAsia" w:ascii="微软雅黑" w:hAnsi="微软雅黑" w:eastAsia="微软雅黑" w:cs="微软雅黑"/>
          <w:sz w:val="24"/>
          <w:highlight w:val="none"/>
          <w:u w:val="dotted" w:color="000000"/>
        </w:rPr>
        <w:t xml:space="preserve">               </w:t>
      </w:r>
      <w:r>
        <w:rPr>
          <w:rFonts w:hint="eastAsia" w:ascii="微软雅黑" w:hAnsi="微软雅黑" w:eastAsia="微软雅黑" w:cs="微软雅黑"/>
          <w:sz w:val="24"/>
          <w:highlight w:val="none"/>
        </w:rPr>
        <w:t>包号：</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采购人名称：</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采购文件获取日期：</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三、质疑事项具体内容</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质疑事项1：</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事实依据：</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法律依据：</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质疑事项2</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w:t>
      </w:r>
    </w:p>
    <w:p>
      <w:pPr>
        <w:snapToGrid w:val="0"/>
        <w:spacing w:line="380" w:lineRule="exact"/>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四、与质疑事项相关的质疑请求</w:t>
      </w:r>
    </w:p>
    <w:p>
      <w:pPr>
        <w:snapToGrid w:val="0"/>
        <w:spacing w:line="380" w:lineRule="exact"/>
        <w:textAlignment w:val="baseline"/>
        <w:rPr>
          <w:rFonts w:ascii="微软雅黑" w:hAnsi="微软雅黑" w:eastAsia="微软雅黑" w:cs="微软雅黑"/>
          <w:sz w:val="24"/>
          <w:highlight w:val="none"/>
          <w:u w:val="dotted" w:color="000000"/>
        </w:rPr>
      </w:pPr>
      <w:r>
        <w:rPr>
          <w:rFonts w:hint="eastAsia" w:ascii="微软雅黑" w:hAnsi="微软雅黑" w:eastAsia="微软雅黑" w:cs="微软雅黑"/>
          <w:sz w:val="24"/>
          <w:highlight w:val="none"/>
        </w:rPr>
        <w:t>请求：</w:t>
      </w:r>
      <w:r>
        <w:rPr>
          <w:rFonts w:hint="eastAsia" w:ascii="微软雅黑" w:hAnsi="微软雅黑" w:eastAsia="微软雅黑" w:cs="微软雅黑"/>
          <w:sz w:val="24"/>
          <w:highlight w:val="none"/>
          <w:u w:val="dotted" w:color="000000"/>
        </w:rPr>
        <w:t xml:space="preserve">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签字(签章)：                   公章：                      </w:t>
      </w:r>
    </w:p>
    <w:p>
      <w:pPr>
        <w:snapToGrid w:val="0"/>
        <w:spacing w:line="38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日期：    </w:t>
      </w:r>
    </w:p>
    <w:p>
      <w:pPr>
        <w:snapToGrid w:val="0"/>
        <w:spacing w:line="380" w:lineRule="exact"/>
        <w:textAlignment w:val="baseline"/>
        <w:rPr>
          <w:rFonts w:ascii="微软雅黑" w:hAnsi="微软雅黑" w:eastAsia="微软雅黑" w:cs="微软雅黑"/>
          <w:b/>
          <w:sz w:val="24"/>
          <w:highlight w:val="none"/>
        </w:rPr>
      </w:pPr>
    </w:p>
    <w:p>
      <w:pPr>
        <w:snapToGrid w:val="0"/>
        <w:spacing w:line="380" w:lineRule="exact"/>
        <w:textAlignment w:val="baseline"/>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质疑函制作说明：</w:t>
      </w:r>
    </w:p>
    <w:p>
      <w:pPr>
        <w:widowControl/>
        <w:snapToGrid w:val="0"/>
        <w:spacing w:line="38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1.供应商提出质疑时，应提交质疑函和必要的证明材料。</w:t>
      </w:r>
    </w:p>
    <w:p>
      <w:pPr>
        <w:widowControl/>
        <w:snapToGrid w:val="0"/>
        <w:spacing w:line="38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kern w:val="0"/>
          <w:sz w:val="24"/>
          <w:highlight w:val="none"/>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3.质疑供应商若对项目的某一分包进行质疑，质疑函中应列明具体分包号。</w:t>
      </w:r>
    </w:p>
    <w:p>
      <w:pPr>
        <w:widowControl/>
        <w:snapToGrid w:val="0"/>
        <w:spacing w:line="38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4.质疑函的质疑事项应具体、明确，并有必要的事实依据和法律依据。</w:t>
      </w:r>
    </w:p>
    <w:p>
      <w:pPr>
        <w:widowControl/>
        <w:snapToGrid w:val="0"/>
        <w:spacing w:line="380" w:lineRule="exact"/>
        <w:ind w:firstLine="480" w:firstLineChars="200"/>
        <w:jc w:val="lef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5.质疑函的质疑请求应与质疑事项相关。</w:t>
      </w:r>
    </w:p>
    <w:p>
      <w:pPr>
        <w:widowControl/>
        <w:snapToGrid w:val="0"/>
        <w:spacing w:line="38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6.质疑供应商为自然人的，质疑函应由本人签字；质疑供应商为法人或者其他组织的，质疑函应由法定代表人、主要负责人，或者其授权代表签字或者盖章，并加盖公章。</w:t>
      </w:r>
    </w:p>
    <w:p>
      <w:pPr>
        <w:pStyle w:val="5"/>
        <w:rPr>
          <w:rFonts w:ascii="微软雅黑" w:hAnsi="微软雅黑" w:eastAsia="微软雅黑" w:cs="微软雅黑"/>
          <w:highlight w:val="none"/>
        </w:rPr>
      </w:pPr>
    </w:p>
    <w:p>
      <w:pPr>
        <w:rPr>
          <w:rFonts w:ascii="微软雅黑" w:hAnsi="微软雅黑" w:eastAsia="微软雅黑" w:cs="微软雅黑"/>
          <w:sz w:val="24"/>
          <w:highlight w:val="none"/>
        </w:rPr>
      </w:pPr>
    </w:p>
    <w:p>
      <w:pPr>
        <w:pStyle w:val="5"/>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5"/>
        <w:ind w:left="0" w:leftChars="0" w:firstLine="0" w:firstLineChars="0"/>
        <w:rPr>
          <w:rFonts w:ascii="微软雅黑" w:hAnsi="微软雅黑" w:eastAsia="微软雅黑" w:cs="微软雅黑"/>
          <w:highlight w:val="none"/>
        </w:rPr>
      </w:pPr>
    </w:p>
    <w:p>
      <w:pPr>
        <w:rPr>
          <w:rFonts w:hint="eastAsia" w:ascii="微软雅黑" w:hAnsi="微软雅黑" w:eastAsia="微软雅黑" w:cs="微软雅黑"/>
          <w:sz w:val="24"/>
          <w:szCs w:val="24"/>
          <w:highlight w:val="none"/>
        </w:rPr>
      </w:pPr>
      <w:bookmarkStart w:id="563" w:name="_Toc216582812"/>
      <w:bookmarkStart w:id="564" w:name="_Toc515647802"/>
      <w:bookmarkStart w:id="565" w:name="_Toc702"/>
      <w:bookmarkStart w:id="566" w:name="_Toc26629"/>
      <w:bookmarkStart w:id="567" w:name="_Toc728"/>
      <w:r>
        <w:rPr>
          <w:rFonts w:hint="eastAsia" w:ascii="微软雅黑" w:hAnsi="微软雅黑" w:eastAsia="微软雅黑" w:cs="微软雅黑"/>
          <w:sz w:val="24"/>
          <w:szCs w:val="24"/>
          <w:highlight w:val="none"/>
        </w:rPr>
        <w:br w:type="page"/>
      </w:r>
    </w:p>
    <w:p>
      <w:pPr>
        <w:pStyle w:val="3"/>
        <w:snapToGrid w:val="0"/>
        <w:spacing w:before="0" w:after="0" w:line="240" w:lineRule="atLeast"/>
        <w:textAlignment w:val="baseline"/>
        <w:rPr>
          <w:rFonts w:ascii="微软雅黑" w:hAnsi="微软雅黑" w:eastAsia="微软雅黑" w:cs="微软雅黑"/>
          <w:sz w:val="24"/>
          <w:highlight w:val="none"/>
        </w:rPr>
      </w:pPr>
      <w:r>
        <w:rPr>
          <w:rFonts w:hint="eastAsia" w:ascii="微软雅黑" w:hAnsi="微软雅黑" w:eastAsia="微软雅黑" w:cs="微软雅黑"/>
          <w:sz w:val="24"/>
          <w:szCs w:val="24"/>
          <w:highlight w:val="none"/>
        </w:rPr>
        <w:t>第2章 响应文件格式</w:t>
      </w:r>
      <w:bookmarkEnd w:id="563"/>
      <w:bookmarkEnd w:id="564"/>
      <w:bookmarkEnd w:id="565"/>
      <w:bookmarkEnd w:id="566"/>
      <w:bookmarkEnd w:id="567"/>
    </w:p>
    <w:p>
      <w:pPr>
        <w:pStyle w:val="2"/>
        <w:snapToGrid w:val="0"/>
        <w:spacing w:before="0" w:line="240" w:lineRule="atLeast"/>
        <w:ind w:left="1080" w:leftChars="257" w:hanging="540"/>
        <w:textAlignment w:val="baseline"/>
        <w:rPr>
          <w:rFonts w:ascii="微软雅黑" w:hAnsi="微软雅黑" w:eastAsia="微软雅黑" w:cs="微软雅黑"/>
          <w:sz w:val="24"/>
          <w:highlight w:val="none"/>
        </w:rPr>
      </w:pPr>
      <w:bookmarkStart w:id="568" w:name="_Toc1126"/>
      <w:bookmarkStart w:id="569" w:name="_Toc18198"/>
      <w:bookmarkStart w:id="570" w:name="_Toc18694"/>
      <w:bookmarkStart w:id="571" w:name="_Toc3315"/>
      <w:bookmarkStart w:id="572" w:name="_Toc26489"/>
      <w:bookmarkStart w:id="573" w:name="_Toc18974"/>
      <w:bookmarkStart w:id="574" w:name="_Toc515647803"/>
      <w:bookmarkStart w:id="575" w:name="_Toc19961"/>
      <w:r>
        <w:rPr>
          <w:rFonts w:hint="eastAsia" w:ascii="微软雅黑" w:hAnsi="微软雅黑" w:eastAsia="微软雅黑" w:cs="微软雅黑"/>
          <w:sz w:val="24"/>
          <w:szCs w:val="24"/>
          <w:highlight w:val="none"/>
        </w:rPr>
        <w:t>第一部分 磋商</w:t>
      </w:r>
      <w:r>
        <w:rPr>
          <w:rFonts w:hint="eastAsia" w:ascii="微软雅黑" w:hAnsi="微软雅黑" w:eastAsia="微软雅黑" w:cs="微软雅黑"/>
          <w:sz w:val="24"/>
          <w:szCs w:val="24"/>
          <w:highlight w:val="none"/>
          <w:lang w:eastAsia="zh-CN"/>
        </w:rPr>
        <w:t>报价</w:t>
      </w:r>
      <w:r>
        <w:rPr>
          <w:rFonts w:hint="eastAsia" w:ascii="微软雅黑" w:hAnsi="微软雅黑" w:eastAsia="微软雅黑" w:cs="微软雅黑"/>
          <w:sz w:val="24"/>
          <w:szCs w:val="24"/>
          <w:highlight w:val="none"/>
        </w:rPr>
        <w:t>一览表及资格证明文件</w:t>
      </w:r>
      <w:bookmarkEnd w:id="568"/>
      <w:bookmarkEnd w:id="569"/>
      <w:bookmarkEnd w:id="570"/>
      <w:bookmarkEnd w:id="571"/>
      <w:bookmarkEnd w:id="572"/>
      <w:bookmarkEnd w:id="573"/>
      <w:bookmarkEnd w:id="574"/>
      <w:bookmarkEnd w:id="575"/>
    </w:p>
    <w:p>
      <w:pPr>
        <w:tabs>
          <w:tab w:val="left" w:pos="5580"/>
        </w:tabs>
        <w:snapToGrid w:val="0"/>
        <w:spacing w:line="360" w:lineRule="exact"/>
        <w:ind w:firstLine="720" w:firstLineChars="3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磋商报价一览表;</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  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以代理公司现场核查为准）；</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3、具有有效的营业执照；</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4、提供《医疗器械生产许可证》或《医疗器械经营许可证》；</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5、法人投标需提供法人身份证明及身份证，被授权委托人需提供法人授权委托书及身份证；</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6、提供本单位依法缴纳近三个月的社保证明；</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7、提供税务部门出具近三个月的完税证明；</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8、提供2021年的财务审计报告（新成立公司需提供银行资信证明）；</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9、参与政府采购活动前3年内未被列入失信、重大税收违法案件、财政部门禁止参加政府采购活动的承诺书；</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10、提供针对本次项目的反商业贿赂承诺书。</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11、提供缴纳磋商保证金的有效凭证。</w:t>
      </w:r>
    </w:p>
    <w:p>
      <w:pPr>
        <w:snapToGrid w:val="0"/>
        <w:spacing w:line="460" w:lineRule="exact"/>
        <w:ind w:firstLine="480" w:firstLineChars="200"/>
        <w:textAlignment w:val="baseline"/>
        <w:rPr>
          <w:rFonts w:hint="default"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12、供应商可提供有利于投标的其他资格证明材料。</w:t>
      </w:r>
    </w:p>
    <w:p>
      <w:pPr>
        <w:snapToGrid w:val="0"/>
        <w:spacing w:line="46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13、投标人须知资料表要求的其他资格证明文件</w:t>
      </w:r>
    </w:p>
    <w:p>
      <w:pPr>
        <w:pStyle w:val="35"/>
        <w:snapToGrid w:val="0"/>
        <w:ind w:left="0" w:leftChars="0" w:firstLine="0" w:firstLineChars="0"/>
        <w:textAlignment w:val="baseline"/>
        <w:rPr>
          <w:rFonts w:ascii="微软雅黑" w:hAnsi="微软雅黑" w:eastAsia="微软雅黑" w:cs="微软雅黑"/>
          <w:sz w:val="21"/>
          <w:highlight w:val="none"/>
        </w:rPr>
      </w:pPr>
    </w:p>
    <w:p>
      <w:pPr>
        <w:pStyle w:val="35"/>
        <w:snapToGrid w:val="0"/>
        <w:ind w:left="0" w:leftChars="0" w:firstLine="0" w:firstLineChars="0"/>
        <w:textAlignment w:val="baseline"/>
        <w:rPr>
          <w:rFonts w:ascii="微软雅黑" w:hAnsi="微软雅黑" w:eastAsia="微软雅黑" w:cs="微软雅黑"/>
          <w:sz w:val="21"/>
          <w:highlight w:val="none"/>
        </w:rPr>
      </w:pPr>
    </w:p>
    <w:p>
      <w:pPr>
        <w:pStyle w:val="35"/>
        <w:snapToGrid w:val="0"/>
        <w:ind w:left="0" w:leftChars="0" w:firstLine="0" w:firstLineChars="0"/>
        <w:textAlignment w:val="baseline"/>
        <w:rPr>
          <w:rFonts w:ascii="微软雅黑" w:hAnsi="微软雅黑" w:eastAsia="微软雅黑" w:cs="微软雅黑"/>
          <w:sz w:val="21"/>
          <w:highlight w:val="none"/>
        </w:rPr>
      </w:pPr>
    </w:p>
    <w:p>
      <w:pPr>
        <w:pStyle w:val="35"/>
        <w:snapToGrid w:val="0"/>
        <w:ind w:left="0" w:leftChars="0" w:firstLine="0" w:firstLineChars="0"/>
        <w:textAlignment w:val="baseline"/>
        <w:rPr>
          <w:rFonts w:ascii="微软雅黑" w:hAnsi="微软雅黑" w:eastAsia="微软雅黑" w:cs="微软雅黑"/>
          <w:sz w:val="21"/>
          <w:highlight w:val="none"/>
        </w:rPr>
      </w:pPr>
    </w:p>
    <w:p>
      <w:pPr>
        <w:pStyle w:val="35"/>
        <w:snapToGrid w:val="0"/>
        <w:ind w:left="0" w:leftChars="0" w:firstLine="0" w:firstLineChars="0"/>
        <w:textAlignment w:val="baseline"/>
        <w:rPr>
          <w:rFonts w:ascii="微软雅黑" w:hAnsi="微软雅黑" w:eastAsia="微软雅黑" w:cs="微软雅黑"/>
          <w:sz w:val="21"/>
          <w:highlight w:val="none"/>
        </w:rPr>
      </w:pPr>
    </w:p>
    <w:p>
      <w:pPr>
        <w:pStyle w:val="35"/>
        <w:snapToGrid w:val="0"/>
        <w:ind w:left="0" w:leftChars="0" w:firstLine="0" w:firstLineChars="0"/>
        <w:textAlignment w:val="baseline"/>
        <w:rPr>
          <w:rFonts w:ascii="微软雅黑" w:hAnsi="微软雅黑" w:eastAsia="微软雅黑" w:cs="微软雅黑"/>
          <w:sz w:val="21"/>
          <w:highlight w:val="none"/>
        </w:rPr>
      </w:pPr>
    </w:p>
    <w:p>
      <w:pPr>
        <w:pStyle w:val="5"/>
        <w:ind w:firstLine="0"/>
        <w:rPr>
          <w:rFonts w:ascii="微软雅黑" w:hAnsi="微软雅黑" w:eastAsia="微软雅黑" w:cs="微软雅黑"/>
          <w:highlight w:val="none"/>
        </w:rPr>
      </w:pPr>
    </w:p>
    <w:p>
      <w:pPr>
        <w:pStyle w:val="2"/>
        <w:snapToGrid w:val="0"/>
        <w:spacing w:before="0" w:line="400" w:lineRule="atLeast"/>
        <w:jc w:val="both"/>
        <w:textAlignment w:val="baseline"/>
        <w:rPr>
          <w:rFonts w:ascii="微软雅黑" w:hAnsi="微软雅黑" w:eastAsia="微软雅黑" w:cs="微软雅黑"/>
          <w:sz w:val="24"/>
          <w:szCs w:val="24"/>
          <w:highlight w:val="none"/>
        </w:rPr>
      </w:pPr>
      <w:bookmarkStart w:id="576" w:name="_Toc21484"/>
      <w:bookmarkStart w:id="577" w:name="_Toc18477"/>
      <w:bookmarkStart w:id="578" w:name="_Toc3620"/>
      <w:bookmarkStart w:id="579" w:name="_Toc14118"/>
      <w:bookmarkStart w:id="580" w:name="_Toc26846"/>
      <w:bookmarkStart w:id="581" w:name="_Toc4431"/>
      <w:bookmarkStart w:id="582" w:name="_Toc17198"/>
      <w:bookmarkStart w:id="583" w:name="_Toc21614"/>
      <w:bookmarkStart w:id="584" w:name="_Toc16750"/>
      <w:bookmarkStart w:id="585" w:name="_Toc21544"/>
      <w:bookmarkStart w:id="586" w:name="_Toc16568"/>
      <w:bookmarkStart w:id="587" w:name="_Toc22539"/>
      <w:bookmarkStart w:id="588" w:name="_Toc11138"/>
      <w:bookmarkStart w:id="589" w:name="_Toc515647804"/>
      <w:bookmarkStart w:id="590" w:name="_Toc30524"/>
      <w:bookmarkStart w:id="591" w:name="_Toc30630"/>
      <w:bookmarkStart w:id="592" w:name="_Toc31089"/>
      <w:bookmarkStart w:id="593" w:name="_Toc480942349"/>
      <w:bookmarkStart w:id="594" w:name="_Ref467988698"/>
      <w:bookmarkStart w:id="595" w:name="_Toc216582813"/>
      <w:bookmarkStart w:id="596" w:name="_Toc520356217"/>
      <w:r>
        <w:rPr>
          <w:rFonts w:hint="eastAsia" w:ascii="微软雅黑" w:hAnsi="微软雅黑" w:eastAsia="微软雅黑" w:cs="微软雅黑"/>
          <w:sz w:val="24"/>
          <w:szCs w:val="24"/>
          <w:highlight w:val="none"/>
        </w:rPr>
        <w:t>1、磋商报价一览表</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5"/>
        <w:tabs>
          <w:tab w:val="left" w:pos="5580"/>
        </w:tabs>
        <w:snapToGrid w:val="0"/>
        <w:spacing w:line="400" w:lineRule="atLeast"/>
        <w:ind w:firstLine="0"/>
        <w:jc w:val="center"/>
        <w:textAlignment w:val="baseline"/>
        <w:rPr>
          <w:rFonts w:ascii="微软雅黑" w:hAnsi="微软雅黑" w:eastAsia="微软雅黑" w:cs="微软雅黑"/>
          <w:szCs w:val="24"/>
          <w:highlight w:val="none"/>
        </w:rPr>
      </w:pPr>
      <w:bookmarkStart w:id="597" w:name="_Hlt520356241"/>
      <w:bookmarkEnd w:id="597"/>
      <w:r>
        <w:rPr>
          <w:rFonts w:hint="eastAsia" w:ascii="微软雅黑" w:hAnsi="微软雅黑" w:eastAsia="微软雅黑" w:cs="微软雅黑"/>
          <w:b/>
          <w:szCs w:val="24"/>
          <w:highlight w:val="none"/>
        </w:rPr>
        <w:t>磋商报价一览表</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项目名称：　                  项目编号：               </w:t>
      </w:r>
      <w:r>
        <w:rPr>
          <w:rFonts w:hint="eastAsia" w:ascii="微软雅黑" w:hAnsi="微软雅黑" w:eastAsia="微软雅黑" w:cs="微软雅黑"/>
          <w:sz w:val="24"/>
          <w:highlight w:val="none"/>
          <w:lang w:eastAsia="zh-CN"/>
        </w:rPr>
        <w:t>标段号：</w:t>
      </w:r>
      <w:r>
        <w:rPr>
          <w:rFonts w:hint="eastAsia" w:ascii="微软雅黑" w:hAnsi="微软雅黑" w:eastAsia="微软雅黑" w:cs="微软雅黑"/>
          <w:sz w:val="24"/>
          <w:highlight w:val="none"/>
        </w:rPr>
        <w:t xml:space="preserve">           </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报价单位：人民币  </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b/>
          <w:sz w:val="24"/>
          <w:highlight w:val="none"/>
        </w:rPr>
        <w:t>元</w:t>
      </w:r>
    </w:p>
    <w:tbl>
      <w:tblPr>
        <w:tblStyle w:val="3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6"/>
        <w:gridCol w:w="2134"/>
        <w:gridCol w:w="1933"/>
        <w:gridCol w:w="1587"/>
        <w:gridCol w:w="166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396" w:type="dxa"/>
            <w:vAlign w:val="center"/>
          </w:tcPr>
          <w:p>
            <w:pPr>
              <w:tabs>
                <w:tab w:val="left" w:pos="5580"/>
              </w:tabs>
              <w:snapToGrid w:val="0"/>
              <w:spacing w:line="400" w:lineRule="atLeast"/>
              <w:ind w:right="-199"/>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名称</w:t>
            </w:r>
          </w:p>
        </w:tc>
        <w:tc>
          <w:tcPr>
            <w:tcW w:w="2134" w:type="dxa"/>
            <w:vAlign w:val="center"/>
          </w:tcPr>
          <w:p>
            <w:pPr>
              <w:tabs>
                <w:tab w:val="left" w:pos="5580"/>
              </w:tabs>
              <w:snapToGrid w:val="0"/>
              <w:spacing w:line="400" w:lineRule="atLeas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总报价</w:t>
            </w:r>
          </w:p>
        </w:tc>
        <w:tc>
          <w:tcPr>
            <w:tcW w:w="1933" w:type="dxa"/>
            <w:vAlign w:val="center"/>
          </w:tcPr>
          <w:p>
            <w:pPr>
              <w:tabs>
                <w:tab w:val="left" w:pos="5580"/>
              </w:tabs>
              <w:snapToGrid w:val="0"/>
              <w:spacing w:line="400" w:lineRule="atLeas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磋商保证金</w:t>
            </w:r>
          </w:p>
        </w:tc>
        <w:tc>
          <w:tcPr>
            <w:tcW w:w="1587" w:type="dxa"/>
            <w:vAlign w:val="center"/>
          </w:tcPr>
          <w:p>
            <w:pPr>
              <w:tabs>
                <w:tab w:val="left" w:pos="5580"/>
              </w:tabs>
              <w:snapToGrid w:val="0"/>
              <w:spacing w:line="400" w:lineRule="atLeas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交货期</w:t>
            </w:r>
          </w:p>
        </w:tc>
        <w:tc>
          <w:tcPr>
            <w:tcW w:w="1665" w:type="dxa"/>
            <w:vAlign w:val="center"/>
          </w:tcPr>
          <w:p>
            <w:pPr>
              <w:tabs>
                <w:tab w:val="left" w:pos="5580"/>
              </w:tabs>
              <w:snapToGrid w:val="0"/>
              <w:spacing w:line="400" w:lineRule="atLeast"/>
              <w:jc w:val="center"/>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交货地点</w:t>
            </w:r>
          </w:p>
        </w:tc>
        <w:tc>
          <w:tcPr>
            <w:tcW w:w="1009" w:type="dxa"/>
            <w:vAlign w:val="center"/>
          </w:tcPr>
          <w:p>
            <w:pPr>
              <w:tabs>
                <w:tab w:val="left" w:pos="5580"/>
              </w:tabs>
              <w:snapToGrid w:val="0"/>
              <w:spacing w:line="400" w:lineRule="atLeast"/>
              <w:jc w:val="center"/>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396"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highlight w:val="none"/>
              </w:rPr>
            </w:pPr>
          </w:p>
        </w:tc>
        <w:tc>
          <w:tcPr>
            <w:tcW w:w="2134" w:type="dxa"/>
            <w:vAlign w:val="center"/>
          </w:tcPr>
          <w:p>
            <w:pPr>
              <w:tabs>
                <w:tab w:val="left" w:pos="5580"/>
              </w:tabs>
              <w:snapToGrid w:val="0"/>
              <w:spacing w:line="400" w:lineRule="atLeas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pPr>
              <w:tabs>
                <w:tab w:val="left" w:pos="5580"/>
              </w:tabs>
              <w:snapToGrid w:val="0"/>
              <w:spacing w:line="400" w:lineRule="atLeas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c>
          <w:tcPr>
            <w:tcW w:w="1933"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highlight w:val="none"/>
              </w:rPr>
            </w:pPr>
          </w:p>
        </w:tc>
        <w:tc>
          <w:tcPr>
            <w:tcW w:w="1587"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highlight w:val="none"/>
              </w:rPr>
            </w:pPr>
          </w:p>
        </w:tc>
        <w:tc>
          <w:tcPr>
            <w:tcW w:w="1665"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highlight w:val="none"/>
              </w:rPr>
            </w:pPr>
          </w:p>
        </w:tc>
        <w:tc>
          <w:tcPr>
            <w:tcW w:w="1009"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highlight w:val="none"/>
              </w:rPr>
            </w:pPr>
          </w:p>
        </w:tc>
      </w:tr>
    </w:tbl>
    <w:p>
      <w:pPr>
        <w:pStyle w:val="17"/>
        <w:tabs>
          <w:tab w:val="left" w:pos="5580"/>
        </w:tabs>
        <w:snapToGrid w:val="0"/>
        <w:spacing w:line="400" w:lineRule="atLeast"/>
        <w:textAlignment w:val="baseline"/>
        <w:rPr>
          <w:rFonts w:ascii="微软雅黑" w:hAnsi="微软雅黑" w:eastAsia="微软雅黑" w:cs="微软雅黑"/>
          <w:sz w:val="24"/>
          <w:szCs w:val="24"/>
          <w:highlight w:val="none"/>
          <w:u w:val="single" w:color="000000"/>
        </w:rPr>
      </w:pP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供应商名称（公章）：</w:t>
      </w:r>
      <w:r>
        <w:rPr>
          <w:rFonts w:hint="eastAsia" w:ascii="微软雅黑" w:hAnsi="微软雅黑" w:eastAsia="微软雅黑" w:cs="微软雅黑"/>
          <w:sz w:val="24"/>
          <w:szCs w:val="24"/>
          <w:highlight w:val="none"/>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u w:val="single" w:color="000000"/>
        </w:rPr>
      </w:pPr>
      <w:r>
        <w:rPr>
          <w:rFonts w:hint="eastAsia" w:ascii="微软雅黑" w:hAnsi="微软雅黑" w:eastAsia="微软雅黑" w:cs="微软雅黑"/>
          <w:sz w:val="24"/>
          <w:szCs w:val="24"/>
          <w:highlight w:val="none"/>
        </w:rPr>
        <w:t>法定代表人或委托代理(签字):</w:t>
      </w:r>
      <w:r>
        <w:rPr>
          <w:rFonts w:hint="eastAsia" w:ascii="微软雅黑" w:hAnsi="微软雅黑" w:eastAsia="微软雅黑" w:cs="微软雅黑"/>
          <w:sz w:val="24"/>
          <w:szCs w:val="24"/>
          <w:highlight w:val="none"/>
          <w:u w:val="single" w:color="000000"/>
        </w:rPr>
        <w:tab/>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p>
    <w:p>
      <w:pPr>
        <w:pStyle w:val="17"/>
        <w:tabs>
          <w:tab w:val="left" w:pos="5580"/>
        </w:tabs>
        <w:snapToGrid w:val="0"/>
        <w:spacing w:line="400" w:lineRule="atLeast"/>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注:1、此表应按投标人须知的规定装订密封。</w:t>
      </w:r>
    </w:p>
    <w:p>
      <w:pPr>
        <w:pStyle w:val="17"/>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此表中，每包的投标总价应和投标分项报价表的总价相一致。</w:t>
      </w:r>
    </w:p>
    <w:p>
      <w:pPr>
        <w:pStyle w:val="17"/>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供应商报价时包含税费</w:t>
      </w:r>
      <w:r>
        <w:rPr>
          <w:rFonts w:hint="eastAsia" w:ascii="微软雅黑" w:hAnsi="微软雅黑" w:eastAsia="微软雅黑" w:cs="微软雅黑"/>
          <w:b/>
          <w:sz w:val="24"/>
          <w:szCs w:val="24"/>
          <w:highlight w:val="none"/>
          <w:lang w:eastAsia="zh-CN"/>
        </w:rPr>
        <w:t>、运费、装卸费、报关费、核算检测费、</w:t>
      </w:r>
      <w:r>
        <w:rPr>
          <w:rFonts w:hint="eastAsia" w:ascii="微软雅黑" w:hAnsi="微软雅黑" w:eastAsia="微软雅黑" w:cs="微软雅黑"/>
          <w:b/>
          <w:sz w:val="24"/>
          <w:szCs w:val="24"/>
          <w:highlight w:val="none"/>
        </w:rPr>
        <w:t>保险费</w:t>
      </w:r>
      <w:r>
        <w:rPr>
          <w:rFonts w:hint="eastAsia" w:ascii="微软雅黑" w:hAnsi="微软雅黑" w:eastAsia="微软雅黑" w:cs="微软雅黑"/>
          <w:b/>
          <w:sz w:val="24"/>
          <w:szCs w:val="24"/>
          <w:highlight w:val="none"/>
          <w:lang w:eastAsia="zh-CN"/>
        </w:rPr>
        <w:t>、</w:t>
      </w:r>
      <w:r>
        <w:rPr>
          <w:rFonts w:hint="eastAsia" w:ascii="微软雅黑" w:hAnsi="微软雅黑" w:eastAsia="微软雅黑" w:cs="微软雅黑"/>
          <w:b/>
          <w:sz w:val="24"/>
          <w:szCs w:val="24"/>
          <w:highlight w:val="none"/>
        </w:rPr>
        <w:t>进口设备商检费</w:t>
      </w:r>
      <w:r>
        <w:rPr>
          <w:rFonts w:hint="eastAsia" w:ascii="微软雅黑" w:hAnsi="微软雅黑" w:eastAsia="微软雅黑" w:cs="微软雅黑"/>
          <w:b/>
          <w:sz w:val="24"/>
          <w:szCs w:val="24"/>
          <w:highlight w:val="none"/>
          <w:lang w:eastAsia="zh-CN"/>
        </w:rPr>
        <w:t>、</w:t>
      </w:r>
      <w:r>
        <w:rPr>
          <w:rFonts w:hint="eastAsia" w:ascii="微软雅黑" w:hAnsi="微软雅黑" w:eastAsia="微软雅黑" w:cs="微软雅黑"/>
          <w:b/>
          <w:sz w:val="24"/>
          <w:szCs w:val="24"/>
          <w:highlight w:val="none"/>
        </w:rPr>
        <w:t>设备首次检验费等一切与本次项目相关的费用。</w:t>
      </w:r>
    </w:p>
    <w:p>
      <w:pPr>
        <w:pStyle w:val="17"/>
        <w:tabs>
          <w:tab w:val="left" w:pos="5580"/>
        </w:tabs>
        <w:snapToGrid w:val="0"/>
        <w:spacing w:line="400" w:lineRule="atLeast"/>
        <w:textAlignment w:val="baseline"/>
        <w:rPr>
          <w:rFonts w:ascii="微软雅黑" w:hAnsi="微软雅黑" w:eastAsia="微软雅黑" w:cs="微软雅黑"/>
          <w:b/>
          <w:sz w:val="24"/>
          <w:szCs w:val="24"/>
          <w:highlight w:val="none"/>
        </w:rPr>
      </w:pPr>
    </w:p>
    <w:p>
      <w:pPr>
        <w:pStyle w:val="26"/>
        <w:textAlignment w:val="baseline"/>
        <w:rPr>
          <w:rFonts w:ascii="微软雅黑" w:hAnsi="微软雅黑" w:eastAsia="微软雅黑" w:cs="微软雅黑"/>
          <w:highlight w:val="none"/>
        </w:rPr>
      </w:pPr>
      <w:bookmarkStart w:id="598" w:name="_Toc8241"/>
      <w:bookmarkStart w:id="599" w:name="_Toc16088"/>
      <w:bookmarkStart w:id="600" w:name="_Toc16516"/>
      <w:bookmarkStart w:id="601" w:name="_Toc22089"/>
    </w:p>
    <w:p>
      <w:pPr>
        <w:pStyle w:val="26"/>
        <w:textAlignment w:val="baseline"/>
        <w:rPr>
          <w:rFonts w:ascii="微软雅黑" w:hAnsi="微软雅黑" w:eastAsia="微软雅黑" w:cs="微软雅黑"/>
          <w:highlight w:val="none"/>
        </w:rPr>
      </w:pPr>
    </w:p>
    <w:p>
      <w:pPr>
        <w:pStyle w:val="26"/>
        <w:textAlignment w:val="baseline"/>
        <w:rPr>
          <w:rFonts w:ascii="微软雅黑" w:hAnsi="微软雅黑" w:eastAsia="微软雅黑" w:cs="微软雅黑"/>
          <w:highlight w:val="none"/>
        </w:rPr>
      </w:pPr>
    </w:p>
    <w:p>
      <w:pPr>
        <w:pStyle w:val="26"/>
        <w:textAlignment w:val="baseline"/>
        <w:rPr>
          <w:rFonts w:ascii="微软雅黑" w:hAnsi="微软雅黑" w:eastAsia="微软雅黑" w:cs="微软雅黑"/>
          <w:highlight w:val="none"/>
        </w:rPr>
      </w:pPr>
    </w:p>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r>
        <w:rPr>
          <w:rFonts w:hint="eastAsia" w:ascii="微软雅黑" w:hAnsi="微软雅黑" w:eastAsia="微软雅黑" w:cs="微软雅黑"/>
          <w:b/>
          <w:kern w:val="0"/>
          <w:sz w:val="24"/>
          <w:szCs w:val="24"/>
          <w:highlight w:val="none"/>
          <w:lang w:val="en-US" w:eastAsia="zh-CN" w:bidi="ar-SA"/>
        </w:rPr>
        <w:t xml:space="preserve"> 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以代理公司现场核查为准）；</w:t>
      </w:r>
    </w:p>
    <w:p>
      <w:pPr>
        <w:pStyle w:val="26"/>
        <w:textAlignment w:val="baseline"/>
        <w:rPr>
          <w:rFonts w:ascii="微软雅黑" w:hAnsi="微软雅黑" w:eastAsia="微软雅黑" w:cs="微软雅黑"/>
          <w:highlight w:val="none"/>
        </w:rPr>
      </w:pPr>
    </w:p>
    <w:p>
      <w:pPr>
        <w:pStyle w:val="26"/>
        <w:textAlignment w:val="baseline"/>
        <w:rPr>
          <w:rFonts w:ascii="微软雅黑" w:hAnsi="微软雅黑" w:eastAsia="微软雅黑" w:cs="微软雅黑"/>
          <w:highlight w:val="none"/>
        </w:rPr>
      </w:pPr>
    </w:p>
    <w:p>
      <w:pPr>
        <w:pStyle w:val="26"/>
        <w:textAlignment w:val="baseline"/>
        <w:rPr>
          <w:rFonts w:ascii="微软雅黑" w:hAnsi="微软雅黑" w:eastAsia="微软雅黑" w:cs="微软雅黑"/>
          <w:highlight w:val="none"/>
        </w:rPr>
      </w:pPr>
    </w:p>
    <w:p>
      <w:pPr>
        <w:pStyle w:val="26"/>
        <w:textAlignment w:val="baseline"/>
        <w:rPr>
          <w:rFonts w:ascii="微软雅黑" w:hAnsi="微软雅黑" w:eastAsia="微软雅黑" w:cs="微软雅黑"/>
          <w:highlight w:val="none"/>
        </w:rPr>
      </w:pPr>
    </w:p>
    <w:p>
      <w:pPr>
        <w:pStyle w:val="26"/>
        <w:textAlignment w:val="baseline"/>
        <w:rPr>
          <w:rFonts w:ascii="微软雅黑" w:hAnsi="微软雅黑" w:eastAsia="微软雅黑" w:cs="微软雅黑"/>
          <w:highlight w:val="none"/>
        </w:rPr>
      </w:pPr>
    </w:p>
    <w:bookmarkEnd w:id="598"/>
    <w:bookmarkEnd w:id="599"/>
    <w:bookmarkEnd w:id="600"/>
    <w:bookmarkEnd w:id="601"/>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r>
        <w:rPr>
          <w:rFonts w:hint="eastAsia" w:ascii="微软雅黑" w:hAnsi="微软雅黑" w:eastAsia="微软雅黑" w:cs="微软雅黑"/>
          <w:b/>
          <w:kern w:val="0"/>
          <w:sz w:val="24"/>
          <w:szCs w:val="24"/>
          <w:highlight w:val="none"/>
          <w:lang w:val="en-US" w:eastAsia="zh-CN" w:bidi="ar-SA"/>
        </w:rPr>
        <w:t>3、具有有效的营业执照；</w:t>
      </w:r>
    </w:p>
    <w:p>
      <w:pPr>
        <w:snapToGrid w:val="0"/>
        <w:spacing w:line="460" w:lineRule="exact"/>
        <w:textAlignment w:val="baseline"/>
        <w:outlineLvl w:val="9"/>
        <w:rPr>
          <w:rFonts w:hint="eastAsia" w:ascii="微软雅黑" w:hAnsi="微软雅黑" w:eastAsia="微软雅黑" w:cs="微软雅黑"/>
          <w:b w:val="0"/>
          <w:bCs/>
          <w:kern w:val="0"/>
          <w:sz w:val="24"/>
          <w:highlight w:val="none"/>
        </w:rPr>
      </w:pPr>
      <w:r>
        <w:rPr>
          <w:rFonts w:hint="eastAsia" w:ascii="微软雅黑" w:hAnsi="微软雅黑" w:eastAsia="微软雅黑" w:cs="微软雅黑"/>
          <w:b w:val="0"/>
          <w:bCs/>
          <w:kern w:val="0"/>
          <w:sz w:val="24"/>
          <w:highlight w:val="none"/>
        </w:rPr>
        <w:t>说明：1.提供有效的营业执照等证明文件复印件，复印件上应加盖本单位章。</w:t>
      </w:r>
    </w:p>
    <w:p>
      <w:pPr>
        <w:snapToGrid w:val="0"/>
        <w:spacing w:line="460" w:lineRule="exact"/>
        <w:textAlignment w:val="baseline"/>
        <w:outlineLvl w:val="9"/>
        <w:rPr>
          <w:rFonts w:hint="eastAsia" w:ascii="微软雅黑" w:hAnsi="微软雅黑" w:eastAsia="微软雅黑" w:cs="微软雅黑"/>
          <w:b w:val="0"/>
          <w:bCs/>
          <w:kern w:val="0"/>
          <w:sz w:val="24"/>
          <w:highlight w:val="none"/>
        </w:rPr>
      </w:pPr>
      <w:r>
        <w:rPr>
          <w:rFonts w:hint="eastAsia" w:ascii="微软雅黑" w:hAnsi="微软雅黑" w:eastAsia="微软雅黑" w:cs="微软雅黑"/>
          <w:b w:val="0"/>
          <w:bCs/>
          <w:kern w:val="0"/>
          <w:sz w:val="24"/>
          <w:highlight w:val="none"/>
        </w:rPr>
        <w:t xml:space="preserve">      2.投标人为自然人的，应提供身份证明的复印件。</w:t>
      </w:r>
    </w:p>
    <w:p>
      <w:pPr>
        <w:snapToGrid w:val="0"/>
        <w:spacing w:line="460" w:lineRule="exact"/>
        <w:textAlignment w:val="baseline"/>
        <w:outlineLvl w:val="9"/>
        <w:rPr>
          <w:rFonts w:hint="eastAsia" w:ascii="微软雅黑" w:hAnsi="微软雅黑" w:eastAsia="微软雅黑" w:cs="微软雅黑"/>
          <w:b w:val="0"/>
          <w:bCs/>
          <w:kern w:val="0"/>
          <w:sz w:val="24"/>
          <w:highlight w:val="none"/>
          <w:lang w:val="en-US" w:eastAsia="zh-CN"/>
        </w:rPr>
      </w:pPr>
      <w:r>
        <w:rPr>
          <w:rFonts w:hint="eastAsia" w:ascii="微软雅黑" w:hAnsi="微软雅黑" w:eastAsia="微软雅黑" w:cs="微软雅黑"/>
          <w:b w:val="0"/>
          <w:bCs/>
          <w:kern w:val="0"/>
          <w:sz w:val="24"/>
          <w:highlight w:val="none"/>
        </w:rPr>
        <w:t xml:space="preserve">      3.联合体投标应提供联合体各方满足以上要求的证明文件。</w:t>
      </w:r>
    </w:p>
    <w:p>
      <w:pPr>
        <w:snapToGrid w:val="0"/>
        <w:spacing w:line="460" w:lineRule="exact"/>
        <w:textAlignment w:val="baseline"/>
        <w:outlineLvl w:val="9"/>
        <w:rPr>
          <w:rFonts w:ascii="微软雅黑" w:hAnsi="微软雅黑" w:eastAsia="微软雅黑" w:cs="微软雅黑"/>
          <w:sz w:val="24"/>
          <w:highlight w:val="none"/>
        </w:rPr>
      </w:pPr>
    </w:p>
    <w:p>
      <w:pPr>
        <w:pStyle w:val="9"/>
        <w:snapToGrid w:val="0"/>
        <w:textAlignment w:val="baseline"/>
        <w:rPr>
          <w:rFonts w:ascii="微软雅黑" w:hAnsi="微软雅黑" w:eastAsia="微软雅黑" w:cs="微软雅黑"/>
          <w:highlight w:val="none"/>
        </w:rPr>
      </w:pPr>
    </w:p>
    <w:p>
      <w:pPr>
        <w:snapToGrid w:val="0"/>
        <w:textAlignment w:val="baseline"/>
        <w:rPr>
          <w:rFonts w:ascii="微软雅黑" w:hAnsi="微软雅黑" w:eastAsia="微软雅黑" w:cs="微软雅黑"/>
          <w:sz w:val="20"/>
          <w:highlight w:val="none"/>
        </w:rPr>
      </w:pPr>
    </w:p>
    <w:p>
      <w:pPr>
        <w:pStyle w:val="5"/>
        <w:rPr>
          <w:rFonts w:ascii="微软雅黑" w:hAnsi="微软雅黑" w:eastAsia="微软雅黑" w:cs="微软雅黑"/>
          <w:sz w:val="20"/>
          <w:highlight w:val="none"/>
        </w:rPr>
      </w:pPr>
    </w:p>
    <w:p>
      <w:pPr>
        <w:snapToGrid w:val="0"/>
        <w:spacing w:line="460" w:lineRule="exact"/>
        <w:textAlignment w:val="baseline"/>
        <w:outlineLvl w:val="9"/>
        <w:rPr>
          <w:rFonts w:hint="eastAsia" w:ascii="微软雅黑" w:hAnsi="微软雅黑" w:eastAsia="微软雅黑" w:cs="微软雅黑"/>
          <w:b w:val="0"/>
          <w:bCs/>
          <w:kern w:val="0"/>
          <w:sz w:val="24"/>
          <w:highlight w:val="none"/>
          <w:lang w:val="en-US" w:eastAsia="zh-CN"/>
        </w:rPr>
      </w:pPr>
    </w:p>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r>
        <w:rPr>
          <w:rFonts w:hint="eastAsia" w:ascii="微软雅黑" w:hAnsi="微软雅黑" w:eastAsia="微软雅黑" w:cs="微软雅黑"/>
          <w:b/>
          <w:kern w:val="0"/>
          <w:sz w:val="24"/>
          <w:szCs w:val="24"/>
          <w:highlight w:val="none"/>
          <w:lang w:val="en-US" w:eastAsia="zh-CN" w:bidi="ar-SA"/>
        </w:rPr>
        <w:t>4、提供《医疗器械生产许可证》或《医疗器械经营许可证》；</w:t>
      </w:r>
    </w:p>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p>
    <w:p>
      <w:pPr>
        <w:pStyle w:val="35"/>
        <w:snapToGrid w:val="0"/>
        <w:ind w:firstLine="0" w:firstLineChars="0"/>
        <w:textAlignment w:val="baseline"/>
        <w:rPr>
          <w:rFonts w:ascii="微软雅黑" w:hAnsi="微软雅黑" w:eastAsia="微软雅黑" w:cs="微软雅黑"/>
          <w:sz w:val="21"/>
          <w:highlight w:val="none"/>
        </w:rPr>
      </w:pPr>
    </w:p>
    <w:p>
      <w:pPr>
        <w:pStyle w:val="35"/>
        <w:snapToGrid w:val="0"/>
        <w:ind w:firstLine="0" w:firstLineChars="0"/>
        <w:textAlignment w:val="baseline"/>
        <w:rPr>
          <w:rFonts w:ascii="微软雅黑" w:hAnsi="微软雅黑" w:eastAsia="微软雅黑" w:cs="微软雅黑"/>
          <w:sz w:val="21"/>
          <w:highlight w:val="none"/>
        </w:rPr>
      </w:pPr>
    </w:p>
    <w:p>
      <w:pPr>
        <w:pStyle w:val="35"/>
        <w:snapToGrid w:val="0"/>
        <w:ind w:firstLine="0" w:firstLineChars="0"/>
        <w:textAlignment w:val="baseline"/>
        <w:rPr>
          <w:rFonts w:ascii="微软雅黑" w:hAnsi="微软雅黑" w:eastAsia="微软雅黑" w:cs="微软雅黑"/>
          <w:sz w:val="21"/>
          <w:highlight w:val="none"/>
        </w:rPr>
      </w:pPr>
    </w:p>
    <w:p>
      <w:pPr>
        <w:pStyle w:val="35"/>
        <w:snapToGrid w:val="0"/>
        <w:ind w:firstLine="0" w:firstLineChars="0"/>
        <w:textAlignment w:val="baseline"/>
        <w:rPr>
          <w:rFonts w:ascii="微软雅黑" w:hAnsi="微软雅黑" w:eastAsia="微软雅黑" w:cs="微软雅黑"/>
          <w:sz w:val="21"/>
          <w:highlight w:val="none"/>
        </w:rPr>
      </w:pPr>
    </w:p>
    <w:p>
      <w:pPr>
        <w:pStyle w:val="35"/>
        <w:snapToGrid w:val="0"/>
        <w:ind w:firstLine="0" w:firstLineChars="0"/>
        <w:textAlignment w:val="baseline"/>
        <w:rPr>
          <w:rFonts w:ascii="微软雅黑" w:hAnsi="微软雅黑" w:eastAsia="微软雅黑" w:cs="微软雅黑"/>
          <w:sz w:val="21"/>
          <w:highlight w:val="none"/>
        </w:rPr>
      </w:pPr>
    </w:p>
    <w:p>
      <w:pPr>
        <w:pStyle w:val="35"/>
        <w:snapToGrid w:val="0"/>
        <w:ind w:firstLine="0" w:firstLineChars="0"/>
        <w:textAlignment w:val="baseline"/>
        <w:rPr>
          <w:rFonts w:ascii="微软雅黑" w:hAnsi="微软雅黑" w:eastAsia="微软雅黑" w:cs="微软雅黑"/>
          <w:sz w:val="21"/>
          <w:highlight w:val="none"/>
        </w:rPr>
      </w:pPr>
    </w:p>
    <w:p>
      <w:pPr>
        <w:snapToGrid w:val="0"/>
        <w:textAlignment w:val="baseline"/>
        <w:rPr>
          <w:rFonts w:ascii="微软雅黑" w:hAnsi="微软雅黑" w:eastAsia="微软雅黑" w:cs="微软雅黑"/>
          <w:sz w:val="20"/>
          <w:highlight w:val="none"/>
        </w:rPr>
      </w:pPr>
    </w:p>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bookmarkStart w:id="602" w:name="_Toc13107"/>
      <w:bookmarkStart w:id="603" w:name="_Toc21867"/>
      <w:bookmarkStart w:id="604" w:name="_Toc515647807"/>
      <w:bookmarkStart w:id="605" w:name="_Toc6829"/>
      <w:bookmarkStart w:id="606" w:name="_Toc5436"/>
      <w:bookmarkStart w:id="607" w:name="_Toc22472"/>
      <w:bookmarkStart w:id="608" w:name="_Toc1083"/>
      <w:bookmarkStart w:id="609" w:name="_Toc16640"/>
      <w:r>
        <w:rPr>
          <w:rFonts w:hint="eastAsia" w:ascii="微软雅黑" w:hAnsi="微软雅黑" w:eastAsia="微软雅黑" w:cs="微软雅黑"/>
          <w:b/>
          <w:kern w:val="0"/>
          <w:sz w:val="24"/>
          <w:szCs w:val="24"/>
          <w:highlight w:val="none"/>
          <w:lang w:val="en-US" w:eastAsia="zh-CN" w:bidi="ar-SA"/>
        </w:rPr>
        <w:t>5、法人投标需提供法人身份证明及身份证，被授权委托人需提供法人授权委托书及身份证；</w:t>
      </w:r>
    </w:p>
    <w:p>
      <w:pPr>
        <w:pStyle w:val="35"/>
        <w:snapToGrid w:val="0"/>
        <w:spacing w:line="400" w:lineRule="exact"/>
        <w:ind w:firstLine="480"/>
        <w:textAlignment w:val="baseline"/>
        <w:rPr>
          <w:rFonts w:ascii="微软雅黑" w:hAnsi="微软雅黑" w:eastAsia="微软雅黑" w:cs="微软雅黑"/>
          <w:highlight w:val="none"/>
        </w:rPr>
      </w:pPr>
    </w:p>
    <w:p>
      <w:pPr>
        <w:pStyle w:val="35"/>
        <w:snapToGrid w:val="0"/>
        <w:spacing w:line="400" w:lineRule="exact"/>
        <w:ind w:left="0" w:leftChars="0" w:firstLine="0" w:firstLineChars="0"/>
        <w:textAlignment w:val="baseline"/>
        <w:rPr>
          <w:rFonts w:hint="eastAsia" w:ascii="微软雅黑" w:hAnsi="微软雅黑" w:eastAsia="微软雅黑" w:cs="微软雅黑"/>
          <w:highlight w:val="none"/>
        </w:rPr>
      </w:pPr>
    </w:p>
    <w:p>
      <w:pPr>
        <w:pStyle w:val="17"/>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b/>
          <w:color w:val="auto"/>
          <w:szCs w:val="21"/>
          <w:highlight w:val="none"/>
        </w:rPr>
        <w:t>（一）法定代表人身份证明</w:t>
      </w:r>
    </w:p>
    <w:p>
      <w:pPr>
        <w:spacing w:line="360" w:lineRule="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同志，现任我单位</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职务，为法定代表人，特此证明。</w:t>
      </w:r>
    </w:p>
    <w:p>
      <w:pPr>
        <w:spacing w:line="360" w:lineRule="auto"/>
        <w:ind w:firstLine="210" w:firstLineChars="1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签发日期：                  单位：        </w:t>
      </w:r>
    </w:p>
    <w:p>
      <w:pPr>
        <w:spacing w:line="360" w:lineRule="auto"/>
        <w:ind w:firstLine="210" w:firstLineChars="1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附：代表人性别：            年龄：           身份证号码：</w:t>
      </w:r>
    </w:p>
    <w:p>
      <w:pPr>
        <w:spacing w:line="360" w:lineRule="auto"/>
        <w:ind w:firstLine="210" w:firstLineChars="1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p>
      <w:pPr>
        <w:spacing w:line="360" w:lineRule="auto"/>
        <w:ind w:firstLine="210" w:firstLineChars="1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营业执照号码：              经济性质：</w:t>
      </w:r>
    </w:p>
    <w:p>
      <w:pPr>
        <w:spacing w:line="360" w:lineRule="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pPr>
        <w:spacing w:line="360" w:lineRule="auto"/>
        <w:ind w:firstLine="210" w:firstLineChars="1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1、法定代表人为企业事业单位、国家机关、社会团体的主要行政负责人。</w:t>
      </w:r>
    </w:p>
    <w:p>
      <w:pPr>
        <w:spacing w:line="360" w:lineRule="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  2、内容必须填写真实、清楚、涂改无效，不得转让。</w:t>
      </w:r>
    </w:p>
    <w:p>
      <w:pPr>
        <w:spacing w:line="360" w:lineRule="auto"/>
        <w:ind w:firstLine="210" w:firstLineChars="1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3、将此证明书原件提交采购代理机构作为投标文件附件。</w:t>
      </w:r>
    </w:p>
    <w:p>
      <w:pPr>
        <w:spacing w:line="360" w:lineRule="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5"/>
                            </w:pPr>
                          </w:p>
                          <w:p>
                            <w:pPr>
                              <w:pStyle w:val="5"/>
                            </w:pPr>
                          </w:p>
                          <w:p>
                            <w:pPr>
                              <w:pStyle w:val="5"/>
                            </w:pPr>
                          </w:p>
                          <w:p>
                            <w:pPr>
                              <w:pStyle w:val="5"/>
                            </w:pPr>
                          </w:p>
                        </w:txbxContent>
                      </wps:txbx>
                      <wps:bodyPr wrap="square"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5"/>
                      </w:pPr>
                    </w:p>
                    <w:p>
                      <w:pPr>
                        <w:pStyle w:val="5"/>
                      </w:pPr>
                    </w:p>
                    <w:p>
                      <w:pPr>
                        <w:pStyle w:val="5"/>
                      </w:pPr>
                    </w:p>
                    <w:p>
                      <w:pPr>
                        <w:pStyle w:val="5"/>
                      </w:pPr>
                    </w:p>
                  </w:txbxContent>
                </v:textbox>
              </v:roundrect>
            </w:pict>
          </mc:Fallback>
        </mc:AlternateContent>
      </w:r>
    </w:p>
    <w:p>
      <w:pPr>
        <w:spacing w:line="360" w:lineRule="auto"/>
        <w:rPr>
          <w:rFonts w:hint="eastAsia" w:ascii="微软雅黑" w:hAnsi="微软雅黑" w:eastAsia="微软雅黑" w:cs="微软雅黑"/>
          <w:color w:val="auto"/>
          <w:szCs w:val="21"/>
          <w:highlight w:val="none"/>
        </w:rPr>
      </w:pPr>
    </w:p>
    <w:p>
      <w:pPr>
        <w:spacing w:line="360" w:lineRule="auto"/>
        <w:rPr>
          <w:rFonts w:hint="eastAsia" w:ascii="微软雅黑" w:hAnsi="微软雅黑" w:eastAsia="微软雅黑" w:cs="微软雅黑"/>
          <w:color w:val="auto"/>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Cs w:val="21"/>
          <w:highlight w:val="none"/>
        </w:rPr>
      </w:pPr>
    </w:p>
    <w:p>
      <w:pPr>
        <w:autoSpaceDE w:val="0"/>
        <w:autoSpaceDN w:val="0"/>
        <w:adjustRightInd w:val="0"/>
        <w:spacing w:line="360" w:lineRule="auto"/>
        <w:ind w:right="246"/>
        <w:rPr>
          <w:rFonts w:hint="eastAsia" w:ascii="微软雅黑" w:hAnsi="微软雅黑" w:eastAsia="微软雅黑" w:cs="微软雅黑"/>
          <w:color w:val="auto"/>
          <w:kern w:val="0"/>
          <w:szCs w:val="21"/>
          <w:highlight w:val="none"/>
        </w:rPr>
      </w:pPr>
    </w:p>
    <w:p>
      <w:pPr>
        <w:autoSpaceDE w:val="0"/>
        <w:autoSpaceDN w:val="0"/>
        <w:adjustRightInd w:val="0"/>
        <w:spacing w:line="360" w:lineRule="auto"/>
        <w:ind w:right="246"/>
        <w:rPr>
          <w:rFonts w:hint="eastAsia" w:ascii="微软雅黑" w:hAnsi="微软雅黑" w:eastAsia="微软雅黑" w:cs="微软雅黑"/>
          <w:color w:val="auto"/>
          <w:kern w:val="0"/>
          <w:szCs w:val="21"/>
          <w:highlight w:val="none"/>
        </w:rPr>
      </w:pPr>
    </w:p>
    <w:p>
      <w:pPr>
        <w:autoSpaceDE w:val="0"/>
        <w:autoSpaceDN w:val="0"/>
        <w:adjustRightInd w:val="0"/>
        <w:spacing w:line="360" w:lineRule="auto"/>
        <w:ind w:right="246" w:firstLine="686" w:firstLineChars="327"/>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lang w:eastAsia="zh-CN"/>
        </w:rPr>
        <w:t>供应商</w:t>
      </w:r>
      <w:r>
        <w:rPr>
          <w:rFonts w:hint="eastAsia" w:ascii="微软雅黑" w:hAnsi="微软雅黑" w:eastAsia="微软雅黑" w:cs="微软雅黑"/>
          <w:color w:val="auto"/>
          <w:kern w:val="0"/>
          <w:szCs w:val="21"/>
          <w:highlight w:val="none"/>
        </w:rPr>
        <w:t>（</w:t>
      </w:r>
      <w:r>
        <w:rPr>
          <w:rFonts w:hint="eastAsia" w:ascii="微软雅黑" w:hAnsi="微软雅黑" w:eastAsia="微软雅黑" w:cs="微软雅黑"/>
          <w:color w:val="auto"/>
          <w:kern w:val="0"/>
          <w:szCs w:val="21"/>
          <w:highlight w:val="none"/>
          <w:lang w:eastAsia="zh-CN"/>
        </w:rPr>
        <w:t>公</w:t>
      </w:r>
      <w:r>
        <w:rPr>
          <w:rFonts w:hint="eastAsia" w:ascii="微软雅黑" w:hAnsi="微软雅黑" w:eastAsia="微软雅黑" w:cs="微软雅黑"/>
          <w:color w:val="auto"/>
          <w:kern w:val="0"/>
          <w:szCs w:val="21"/>
          <w:highlight w:val="none"/>
        </w:rPr>
        <w:t>章）：</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rPr>
        <w:t xml:space="preserve"> </w:t>
      </w:r>
    </w:p>
    <w:p>
      <w:pPr>
        <w:adjustRightInd w:val="0"/>
        <w:snapToGrid w:val="0"/>
        <w:spacing w:line="360" w:lineRule="auto"/>
        <w:ind w:firstLine="686" w:firstLineChars="327"/>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法定代表人</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签字或盖章</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w:t>
      </w:r>
      <w:r>
        <w:rPr>
          <w:rFonts w:hint="eastAsia" w:ascii="微软雅黑" w:hAnsi="微软雅黑" w:eastAsia="微软雅黑" w:cs="微软雅黑"/>
          <w:color w:val="auto"/>
          <w:szCs w:val="21"/>
          <w:highlight w:val="none"/>
          <w:u w:val="single"/>
        </w:rPr>
        <w:t xml:space="preserve">                    </w:t>
      </w:r>
    </w:p>
    <w:p>
      <w:pPr>
        <w:adjustRightInd w:val="0"/>
        <w:snapToGrid w:val="0"/>
        <w:spacing w:line="360" w:lineRule="auto"/>
        <w:ind w:firstLine="686" w:firstLineChars="327"/>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Cs w:val="21"/>
          <w:highlight w:val="none"/>
        </w:rPr>
        <w:t>日期：</w:t>
      </w:r>
      <w:r>
        <w:rPr>
          <w:rFonts w:hint="eastAsia" w:ascii="微软雅黑" w:hAnsi="微软雅黑" w:eastAsia="微软雅黑" w:cs="微软雅黑"/>
          <w:color w:val="auto"/>
          <w:szCs w:val="21"/>
          <w:highlight w:val="none"/>
          <w:u w:val="single"/>
        </w:rPr>
        <w:t xml:space="preserve">                                       </w:t>
      </w:r>
    </w:p>
    <w:p>
      <w:pPr>
        <w:pStyle w:val="17"/>
        <w:tabs>
          <w:tab w:val="left" w:pos="5580"/>
        </w:tabs>
        <w:spacing w:line="240" w:lineRule="atLeast"/>
        <w:ind w:firstLine="480" w:firstLineChars="200"/>
        <w:rPr>
          <w:rFonts w:hint="eastAsia" w:ascii="微软雅黑" w:hAnsi="微软雅黑" w:eastAsia="微软雅黑" w:cs="微软雅黑"/>
          <w:sz w:val="24"/>
          <w:highlight w:val="none"/>
        </w:rPr>
      </w:pPr>
    </w:p>
    <w:p>
      <w:pPr>
        <w:pStyle w:val="17"/>
        <w:tabs>
          <w:tab w:val="left" w:pos="5580"/>
        </w:tabs>
        <w:spacing w:line="240" w:lineRule="atLeast"/>
        <w:ind w:firstLine="480" w:firstLineChars="200"/>
        <w:rPr>
          <w:rFonts w:hint="eastAsia" w:ascii="微软雅黑" w:hAnsi="微软雅黑" w:eastAsia="微软雅黑" w:cs="微软雅黑"/>
          <w:sz w:val="24"/>
          <w:highlight w:val="none"/>
        </w:rPr>
      </w:pPr>
    </w:p>
    <w:p>
      <w:pPr>
        <w:pStyle w:val="17"/>
        <w:tabs>
          <w:tab w:val="left" w:pos="5580"/>
        </w:tabs>
        <w:spacing w:line="240" w:lineRule="atLeast"/>
        <w:rPr>
          <w:rFonts w:hint="eastAsia" w:ascii="微软雅黑" w:hAnsi="微软雅黑" w:eastAsia="微软雅黑" w:cs="微软雅黑"/>
          <w:sz w:val="24"/>
          <w:highlight w:val="none"/>
        </w:rPr>
      </w:pPr>
    </w:p>
    <w:p>
      <w:pPr>
        <w:spacing w:before="0" w:line="240" w:lineRule="atLeast"/>
        <w:ind w:left="1080" w:leftChars="257" w:hanging="540"/>
        <w:outlineLvl w:val="9"/>
        <w:rPr>
          <w:rFonts w:hint="eastAsia" w:ascii="微软雅黑" w:hAnsi="微软雅黑" w:eastAsia="微软雅黑" w:cs="微软雅黑"/>
          <w:sz w:val="24"/>
          <w:highlight w:val="none"/>
        </w:rPr>
      </w:pPr>
    </w:p>
    <w:p>
      <w:pPr>
        <w:spacing w:line="360" w:lineRule="auto"/>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b/>
          <w:bCs/>
          <w:color w:val="auto"/>
          <w:sz w:val="24"/>
          <w:highlight w:val="none"/>
        </w:rPr>
        <w:t>（二）法定代表人授权委托书</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    本授权书声明：注册于</w:t>
      </w:r>
      <w:r>
        <w:rPr>
          <w:rFonts w:hint="eastAsia" w:ascii="微软雅黑" w:hAnsi="微软雅黑" w:eastAsia="微软雅黑" w:cs="微软雅黑"/>
          <w:color w:val="auto"/>
          <w:szCs w:val="21"/>
          <w:highlight w:val="none"/>
          <w:u w:val="single"/>
        </w:rPr>
        <w:t>（国家或地区的名称）</w:t>
      </w:r>
      <w:r>
        <w:rPr>
          <w:rFonts w:hint="eastAsia" w:ascii="微软雅黑" w:hAnsi="微软雅黑" w:eastAsia="微软雅黑" w:cs="微软雅黑"/>
          <w:color w:val="auto"/>
          <w:szCs w:val="21"/>
          <w:highlight w:val="none"/>
        </w:rPr>
        <w:t>的（</w:t>
      </w:r>
      <w:r>
        <w:rPr>
          <w:rFonts w:hint="eastAsia" w:ascii="微软雅黑" w:hAnsi="微软雅黑" w:eastAsia="微软雅黑" w:cs="微软雅黑"/>
          <w:i/>
          <w:color w:val="auto"/>
          <w:szCs w:val="21"/>
          <w:highlight w:val="none"/>
          <w:u w:val="single"/>
          <w:lang w:eastAsia="zh-CN"/>
        </w:rPr>
        <w:t>供应商</w:t>
      </w:r>
      <w:r>
        <w:rPr>
          <w:rFonts w:hint="eastAsia" w:ascii="微软雅黑" w:hAnsi="微软雅黑" w:eastAsia="微软雅黑" w:cs="微软雅黑"/>
          <w:color w:val="auto"/>
          <w:szCs w:val="21"/>
          <w:highlight w:val="none"/>
        </w:rPr>
        <w:t>）的在下面签字的（</w:t>
      </w:r>
      <w:r>
        <w:rPr>
          <w:rFonts w:hint="eastAsia" w:ascii="微软雅黑" w:hAnsi="微软雅黑" w:eastAsia="微软雅黑" w:cs="微软雅黑"/>
          <w:i/>
          <w:color w:val="auto"/>
          <w:szCs w:val="21"/>
          <w:highlight w:val="none"/>
          <w:u w:val="single"/>
        </w:rPr>
        <w:t>法人代表姓名、职务</w:t>
      </w:r>
      <w:r>
        <w:rPr>
          <w:rFonts w:hint="eastAsia" w:ascii="微软雅黑" w:hAnsi="微软雅黑" w:eastAsia="微软雅黑" w:cs="微软雅黑"/>
          <w:color w:val="auto"/>
          <w:szCs w:val="21"/>
          <w:highlight w:val="none"/>
        </w:rPr>
        <w:t>）代表我单位授权（</w:t>
      </w:r>
      <w:r>
        <w:rPr>
          <w:rFonts w:hint="eastAsia" w:ascii="微软雅黑" w:hAnsi="微软雅黑" w:eastAsia="微软雅黑" w:cs="微软雅黑"/>
          <w:i/>
          <w:color w:val="auto"/>
          <w:szCs w:val="21"/>
          <w:highlight w:val="none"/>
          <w:u w:val="single"/>
        </w:rPr>
        <w:t>单位名称</w:t>
      </w:r>
      <w:r>
        <w:rPr>
          <w:rFonts w:hint="eastAsia" w:ascii="微软雅黑" w:hAnsi="微软雅黑" w:eastAsia="微软雅黑" w:cs="微软雅黑"/>
          <w:color w:val="auto"/>
          <w:szCs w:val="21"/>
          <w:highlight w:val="none"/>
        </w:rPr>
        <w:t>）的在下面签字的（</w:t>
      </w:r>
      <w:r>
        <w:rPr>
          <w:rFonts w:hint="eastAsia" w:ascii="微软雅黑" w:hAnsi="微软雅黑" w:eastAsia="微软雅黑" w:cs="微软雅黑"/>
          <w:i/>
          <w:color w:val="auto"/>
          <w:szCs w:val="21"/>
          <w:highlight w:val="none"/>
          <w:u w:val="single"/>
        </w:rPr>
        <w:t>被授权人的姓名、职务</w:t>
      </w:r>
      <w:r>
        <w:rPr>
          <w:rFonts w:hint="eastAsia" w:ascii="微软雅黑" w:hAnsi="微软雅黑" w:eastAsia="微软雅黑" w:cs="微软雅黑"/>
          <w:color w:val="auto"/>
          <w:szCs w:val="21"/>
          <w:highlight w:val="none"/>
        </w:rPr>
        <w:t>）为我单位的合法代理人，就（</w:t>
      </w:r>
      <w:r>
        <w:rPr>
          <w:rFonts w:hint="eastAsia" w:ascii="微软雅黑" w:hAnsi="微软雅黑" w:eastAsia="微软雅黑" w:cs="微软雅黑"/>
          <w:i/>
          <w:color w:val="auto"/>
          <w:szCs w:val="21"/>
          <w:highlight w:val="none"/>
          <w:u w:val="single"/>
        </w:rPr>
        <w:t>项目名称</w:t>
      </w:r>
      <w:r>
        <w:rPr>
          <w:rFonts w:hint="eastAsia" w:ascii="微软雅黑" w:hAnsi="微软雅黑" w:eastAsia="微软雅黑" w:cs="微软雅黑"/>
          <w:i/>
          <w:color w:val="auto"/>
          <w:szCs w:val="21"/>
          <w:highlight w:val="none"/>
          <w:u w:val="single"/>
          <w:lang w:eastAsia="zh-CN"/>
        </w:rPr>
        <w:t>、标段号</w:t>
      </w:r>
      <w:r>
        <w:rPr>
          <w:rFonts w:hint="eastAsia" w:ascii="微软雅黑" w:hAnsi="微软雅黑" w:eastAsia="微软雅黑" w:cs="微软雅黑"/>
          <w:i/>
          <w:color w:val="auto"/>
          <w:szCs w:val="21"/>
          <w:highlight w:val="none"/>
          <w:u w:val="single"/>
        </w:rPr>
        <w:t>）的</w:t>
      </w:r>
      <w:r>
        <w:rPr>
          <w:rFonts w:hint="eastAsia" w:ascii="微软雅黑" w:hAnsi="微软雅黑" w:eastAsia="微软雅黑" w:cs="微软雅黑"/>
          <w:color w:val="auto"/>
          <w:szCs w:val="21"/>
          <w:highlight w:val="none"/>
        </w:rPr>
        <w:t>投标，以我单位名义处理一切与之有关的事务。</w:t>
      </w:r>
      <w:r>
        <w:rPr>
          <w:rFonts w:hint="eastAsia" w:ascii="微软雅黑" w:hAnsi="微软雅黑" w:eastAsia="微软雅黑" w:cs="微软雅黑"/>
          <w:color w:val="auto"/>
          <w:szCs w:val="21"/>
          <w:highlight w:val="none"/>
        </w:rPr>
        <w:cr/>
      </w:r>
      <w:r>
        <w:rPr>
          <w:rFonts w:hint="eastAsia" w:ascii="微软雅黑" w:hAnsi="微软雅黑" w:eastAsia="微软雅黑" w:cs="微软雅黑"/>
          <w:color w:val="auto"/>
          <w:szCs w:val="21"/>
          <w:highlight w:val="none"/>
        </w:rPr>
        <w:t>　　</w:t>
      </w:r>
    </w:p>
    <w:p>
      <w:pPr>
        <w:pStyle w:val="17"/>
        <w:tabs>
          <w:tab w:val="left" w:pos="5580"/>
        </w:tabs>
        <w:spacing w:line="360" w:lineRule="exact"/>
        <w:ind w:left="-540" w:leftChars="-257" w:firstLine="787" w:firstLineChars="375"/>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本授权书于</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日签字生效,特此声明。</w:t>
      </w:r>
    </w:p>
    <w:p>
      <w:pPr>
        <w:pStyle w:val="17"/>
        <w:tabs>
          <w:tab w:val="left" w:pos="5580"/>
        </w:tabs>
        <w:spacing w:line="240" w:lineRule="atLeast"/>
        <w:ind w:left="-540" w:leftChars="-257" w:firstLine="787" w:firstLineChars="375"/>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478405" cy="969010"/>
                <wp:effectExtent l="7620" t="7620" r="13335" b="13970"/>
                <wp:wrapNone/>
                <wp:docPr id="2" name="圆角矩形 2"/>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76.3pt;width:195.15pt;z-index:251663360;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MFn7jbAAAACgEAAA8AAAAAAAAAAQAgAAAAIgAAAGRycy9kb3du&#10;cmV2LnhtbFBLAQIUABQAAAAIAIdO4kDbvYEiNQIAAHMEAAAOAAAAAAAAAAEAIAAAACoBAABkcnMv&#10;ZTJvRG9jLnhtbFBLBQYAAAAABgAGAFkBAADR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317750" cy="942340"/>
                <wp:effectExtent l="4445" t="4445" r="9525" b="13335"/>
                <wp:wrapNone/>
                <wp:docPr id="1" name="流程图: 可选过程 1"/>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74.2pt;width:182.5pt;z-index:251662336;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zaEDtYAAAAIAQAADwAAAAAAAAABACAAAAAiAAAAZHJzL2Rvd25y&#10;ZXYueG1sUEsBAhQAFAAAAAgAh07iQISbiTw5AgAAawQAAA4AAAAAAAAAAQAgAAAAJQEAAGRycy9l&#10;Mm9Eb2MueG1sUEsFBgAAAAAGAAYAWQEAANA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10" w:firstLineChars="100"/>
        <w:rPr>
          <w:rFonts w:hint="eastAsia" w:ascii="微软雅黑" w:hAnsi="微软雅黑" w:eastAsia="微软雅黑" w:cs="微软雅黑"/>
          <w:color w:val="auto"/>
          <w:szCs w:val="21"/>
          <w:highlight w:val="none"/>
        </w:rPr>
      </w:pPr>
    </w:p>
    <w:p>
      <w:pPr>
        <w:spacing w:line="360" w:lineRule="auto"/>
        <w:ind w:firstLine="210" w:firstLineChars="100"/>
        <w:rPr>
          <w:rFonts w:hint="eastAsia" w:ascii="微软雅黑" w:hAnsi="微软雅黑" w:eastAsia="微软雅黑" w:cs="微软雅黑"/>
          <w:color w:val="auto"/>
          <w:szCs w:val="21"/>
          <w:highlight w:val="none"/>
        </w:rPr>
      </w:pPr>
    </w:p>
    <w:p>
      <w:pPr>
        <w:spacing w:line="360" w:lineRule="auto"/>
        <w:ind w:firstLine="210" w:firstLineChars="100"/>
        <w:rPr>
          <w:rFonts w:hint="eastAsia" w:ascii="微软雅黑" w:hAnsi="微软雅黑" w:eastAsia="微软雅黑" w:cs="微软雅黑"/>
          <w:color w:val="auto"/>
          <w:szCs w:val="21"/>
          <w:highlight w:val="none"/>
        </w:rPr>
      </w:pPr>
    </w:p>
    <w:p>
      <w:pPr>
        <w:spacing w:line="360" w:lineRule="auto"/>
        <w:ind w:firstLine="210" w:firstLineChars="100"/>
        <w:rPr>
          <w:rFonts w:hint="eastAsia" w:ascii="微软雅黑" w:hAnsi="微软雅黑" w:eastAsia="微软雅黑" w:cs="微软雅黑"/>
          <w:color w:val="auto"/>
          <w:szCs w:val="21"/>
          <w:highlight w:val="none"/>
        </w:rPr>
      </w:pPr>
    </w:p>
    <w:p>
      <w:pPr>
        <w:spacing w:line="360" w:lineRule="auto"/>
        <w:ind w:firstLine="210" w:firstLineChars="1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96520</wp:posOffset>
                </wp:positionV>
                <wp:extent cx="2535555" cy="935355"/>
                <wp:effectExtent l="7620" t="7620" r="17145" b="17145"/>
                <wp:wrapNone/>
                <wp:docPr id="4" name="圆角矩形 4"/>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7.6pt;height:73.65pt;width:199.65pt;z-index:25166540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DRWe2wAAAAoBAAAPAAAAAAAAAAEAIAAAACIAAABkcnMvZG93bnJl&#10;di54bWxQSwECFAAUAAAACACHTuJAIcQ6gTMCAABzBAAADgAAAAAAAAABACAAAAAqAQAAZHJzL2Uy&#10;b0RvYy54bWxQSwUGAAAAAAYABgBZAQAAzw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mc:Fallback>
        </mc:AlternateContent>
      </w:r>
      <w:r>
        <w:rPr>
          <w:rFonts w:hint="eastAsia" w:ascii="微软雅黑" w:hAnsi="微软雅黑" w:eastAsia="微软雅黑" w:cs="微软雅黑"/>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IuywrY3AgAAdAQAAA4AAAAAAAAAAQAgAAAAJwEAAGRycy9l&#10;Mm9Eb2MueG1sUEsFBgAAAAAGAAYAWQEAANAFA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10" w:firstLineChars="100"/>
        <w:rPr>
          <w:rFonts w:hint="eastAsia" w:ascii="微软雅黑" w:hAnsi="微软雅黑" w:eastAsia="微软雅黑" w:cs="微软雅黑"/>
          <w:color w:val="auto"/>
          <w:szCs w:val="21"/>
          <w:highlight w:val="none"/>
        </w:rPr>
      </w:pPr>
    </w:p>
    <w:p>
      <w:pPr>
        <w:spacing w:line="360" w:lineRule="auto"/>
        <w:ind w:firstLine="210" w:firstLineChars="100"/>
        <w:rPr>
          <w:rFonts w:hint="eastAsia" w:ascii="微软雅黑" w:hAnsi="微软雅黑" w:eastAsia="微软雅黑" w:cs="微软雅黑"/>
          <w:color w:val="auto"/>
          <w:szCs w:val="21"/>
          <w:highlight w:val="none"/>
        </w:rPr>
      </w:pPr>
    </w:p>
    <w:p>
      <w:pPr>
        <w:spacing w:line="360" w:lineRule="auto"/>
        <w:ind w:firstLine="210" w:firstLineChars="100"/>
        <w:rPr>
          <w:rFonts w:hint="eastAsia" w:ascii="微软雅黑" w:hAnsi="微软雅黑" w:eastAsia="微软雅黑" w:cs="微软雅黑"/>
          <w:color w:val="auto"/>
          <w:szCs w:val="21"/>
          <w:highlight w:val="none"/>
        </w:rPr>
      </w:pPr>
    </w:p>
    <w:p>
      <w:pPr>
        <w:spacing w:line="360" w:lineRule="auto"/>
        <w:ind w:firstLine="210" w:firstLineChars="100"/>
        <w:rPr>
          <w:rFonts w:hint="eastAsia" w:ascii="微软雅黑" w:hAnsi="微软雅黑" w:eastAsia="微软雅黑" w:cs="微软雅黑"/>
          <w:color w:val="auto"/>
          <w:szCs w:val="21"/>
          <w:highlight w:val="none"/>
        </w:rPr>
      </w:pPr>
    </w:p>
    <w:p>
      <w:pPr>
        <w:pStyle w:val="17"/>
        <w:tabs>
          <w:tab w:val="left" w:pos="5580"/>
        </w:tabs>
        <w:spacing w:line="360" w:lineRule="exact"/>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lang w:eastAsia="zh-CN"/>
        </w:rPr>
        <w:t>供应商</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eastAsia="zh-CN"/>
        </w:rPr>
        <w:t>公章</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 xml:space="preserve">                           </w:t>
      </w:r>
    </w:p>
    <w:p>
      <w:pPr>
        <w:pStyle w:val="17"/>
        <w:tabs>
          <w:tab w:val="left" w:pos="5580"/>
        </w:tabs>
        <w:spacing w:line="360" w:lineRule="exact"/>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lang w:val="en-US" w:eastAsia="zh-CN"/>
        </w:rPr>
        <w:t>签字或盖章</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 xml:space="preserve">                     </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身份证号码：__________________________________ </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委托代理人</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lang w:val="en-US" w:eastAsia="zh-CN"/>
        </w:rPr>
        <w:t>签字或盖章</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身份证号码：</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详细通讯地址：</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邮 政 编 码 ：</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传　　　　真：</w:t>
      </w:r>
      <w:r>
        <w:rPr>
          <w:rFonts w:hint="eastAsia" w:ascii="微软雅黑" w:hAnsi="微软雅黑" w:eastAsia="微软雅黑" w:cs="微软雅黑"/>
          <w:color w:val="auto"/>
          <w:szCs w:val="21"/>
          <w:highlight w:val="none"/>
          <w:u w:val="single"/>
          <w:lang w:val="en-US" w:eastAsia="zh-CN"/>
        </w:rPr>
        <w:t xml:space="preserve">                            </w:t>
      </w:r>
      <w:r>
        <w:rPr>
          <w:rFonts w:hint="eastAsia" w:ascii="微软雅黑" w:hAnsi="微软雅黑" w:eastAsia="微软雅黑" w:cs="微软雅黑"/>
          <w:color w:val="auto"/>
          <w:szCs w:val="21"/>
          <w:highlight w:val="none"/>
        </w:rPr>
        <w:t xml:space="preserve">      </w:t>
      </w:r>
    </w:p>
    <w:p>
      <w:pPr>
        <w:pStyle w:val="17"/>
        <w:tabs>
          <w:tab w:val="left" w:pos="5580"/>
        </w:tabs>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w:t>
      </w:r>
    </w:p>
    <w:p>
      <w:pPr>
        <w:pStyle w:val="17"/>
        <w:tabs>
          <w:tab w:val="left" w:pos="5580"/>
        </w:tabs>
        <w:spacing w:line="360" w:lineRule="exact"/>
        <w:jc w:val="both"/>
        <w:rPr>
          <w:rFonts w:hint="eastAsia" w:ascii="微软雅黑" w:hAnsi="微软雅黑" w:eastAsia="微软雅黑" w:cs="微软雅黑"/>
          <w:color w:val="auto"/>
          <w:szCs w:val="21"/>
          <w:highlight w:val="none"/>
        </w:rPr>
      </w:pPr>
    </w:p>
    <w:p>
      <w:pPr>
        <w:pStyle w:val="17"/>
        <w:tabs>
          <w:tab w:val="left" w:pos="5580"/>
        </w:tabs>
        <w:spacing w:line="360" w:lineRule="exact"/>
        <w:jc w:val="right"/>
        <w:rPr>
          <w:rFonts w:hint="eastAsia" w:ascii="微软雅黑" w:hAnsi="微软雅黑" w:eastAsia="微软雅黑" w:cs="微软雅黑"/>
          <w:color w:val="auto"/>
          <w:szCs w:val="21"/>
          <w:highlight w:val="none"/>
        </w:rPr>
      </w:pPr>
    </w:p>
    <w:p>
      <w:pPr>
        <w:pStyle w:val="17"/>
        <w:tabs>
          <w:tab w:val="left" w:pos="5580"/>
        </w:tabs>
        <w:spacing w:line="360" w:lineRule="exact"/>
        <w:jc w:val="righ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年   月   日 </w:t>
      </w:r>
    </w:p>
    <w:p>
      <w:pPr>
        <w:pStyle w:val="17"/>
        <w:tabs>
          <w:tab w:val="left" w:pos="5580"/>
        </w:tabs>
        <w:spacing w:line="240" w:lineRule="atLeast"/>
        <w:rPr>
          <w:rFonts w:hint="eastAsia" w:ascii="微软雅黑" w:hAnsi="微软雅黑" w:eastAsia="微软雅黑" w:cs="微软雅黑"/>
          <w:b/>
          <w:color w:val="auto"/>
          <w:szCs w:val="21"/>
          <w:highlight w:val="none"/>
        </w:rPr>
      </w:pPr>
    </w:p>
    <w:p>
      <w:pPr>
        <w:pStyle w:val="35"/>
        <w:snapToGrid w:val="0"/>
        <w:spacing w:line="400" w:lineRule="exact"/>
        <w:ind w:firstLine="480"/>
        <w:textAlignment w:val="baseline"/>
        <w:rPr>
          <w:rFonts w:hint="eastAsia" w:ascii="微软雅黑" w:hAnsi="微软雅黑" w:eastAsia="微软雅黑" w:cs="微软雅黑"/>
          <w:highlight w:val="none"/>
        </w:rPr>
      </w:pPr>
    </w:p>
    <w:bookmarkEnd w:id="602"/>
    <w:bookmarkEnd w:id="603"/>
    <w:bookmarkEnd w:id="604"/>
    <w:bookmarkEnd w:id="605"/>
    <w:bookmarkEnd w:id="606"/>
    <w:bookmarkEnd w:id="607"/>
    <w:bookmarkEnd w:id="608"/>
    <w:bookmarkEnd w:id="609"/>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r>
        <w:rPr>
          <w:rFonts w:hint="eastAsia" w:ascii="微软雅黑" w:hAnsi="微软雅黑" w:eastAsia="微软雅黑" w:cs="微软雅黑"/>
          <w:b/>
          <w:kern w:val="0"/>
          <w:sz w:val="24"/>
          <w:szCs w:val="24"/>
          <w:highlight w:val="none"/>
          <w:lang w:val="en-US" w:eastAsia="zh-CN" w:bidi="ar-SA"/>
        </w:rPr>
        <w:t>6、提供本单位依法缴纳近三个月的社保证明；</w:t>
      </w:r>
    </w:p>
    <w:p>
      <w:pPr>
        <w:pStyle w:val="35"/>
        <w:snapToGrid w:val="0"/>
        <w:ind w:firstLine="480"/>
        <w:textAlignment w:val="baseline"/>
        <w:outlineLvl w:val="9"/>
        <w:rPr>
          <w:rFonts w:hint="eastAsia" w:ascii="微软雅黑" w:hAnsi="微软雅黑" w:eastAsia="微软雅黑" w:cs="微软雅黑"/>
          <w:b w:val="0"/>
          <w:bCs/>
          <w:kern w:val="0"/>
          <w:highlight w:val="none"/>
          <w:lang w:val="en-US" w:eastAsia="zh-CN"/>
        </w:rPr>
      </w:pPr>
      <w:r>
        <w:rPr>
          <w:rFonts w:hint="eastAsia" w:ascii="微软雅黑" w:hAnsi="微软雅黑" w:eastAsia="微软雅黑" w:cs="微软雅黑"/>
          <w:b w:val="0"/>
          <w:bCs/>
          <w:kern w:val="0"/>
          <w:highlight w:val="none"/>
          <w:lang w:val="en-US" w:eastAsia="zh-CN"/>
        </w:rPr>
        <w:t>说明：社保证明可含：社保缴费凭证、社保缴费证明、社保缴费汇总单、依法缴纳社保的完税证明其中任意一种均可。</w:t>
      </w:r>
    </w:p>
    <w:p>
      <w:pPr>
        <w:pStyle w:val="35"/>
        <w:snapToGrid w:val="0"/>
        <w:ind w:firstLine="480"/>
        <w:textAlignment w:val="baseline"/>
        <w:outlineLvl w:val="9"/>
        <w:rPr>
          <w:rFonts w:ascii="微软雅黑" w:hAnsi="微软雅黑" w:eastAsia="微软雅黑" w:cs="微软雅黑"/>
          <w:b/>
          <w:kern w:val="0"/>
          <w:highlight w:val="none"/>
        </w:rPr>
      </w:pPr>
    </w:p>
    <w:p>
      <w:pPr>
        <w:pStyle w:val="35"/>
        <w:snapToGrid w:val="0"/>
        <w:ind w:firstLine="0" w:firstLineChars="0"/>
        <w:textAlignment w:val="baseline"/>
        <w:outlineLvl w:val="9"/>
        <w:rPr>
          <w:rFonts w:ascii="微软雅黑" w:hAnsi="微软雅黑" w:eastAsia="微软雅黑" w:cs="微软雅黑"/>
          <w:b/>
          <w:kern w:val="0"/>
          <w:sz w:val="21"/>
          <w:highlight w:val="none"/>
        </w:rPr>
      </w:pPr>
    </w:p>
    <w:p>
      <w:pPr>
        <w:pStyle w:val="35"/>
        <w:snapToGrid w:val="0"/>
        <w:textAlignment w:val="baseline"/>
        <w:rPr>
          <w:rFonts w:ascii="微软雅黑" w:hAnsi="微软雅黑" w:eastAsia="微软雅黑" w:cs="微软雅黑"/>
          <w:b/>
          <w:kern w:val="0"/>
          <w:sz w:val="21"/>
          <w:highlight w:val="none"/>
        </w:rPr>
      </w:pPr>
    </w:p>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bookmarkStart w:id="610" w:name="_Toc17546"/>
      <w:r>
        <w:rPr>
          <w:rFonts w:hint="eastAsia" w:ascii="微软雅黑" w:hAnsi="微软雅黑" w:eastAsia="微软雅黑" w:cs="微软雅黑"/>
          <w:b/>
          <w:kern w:val="0"/>
          <w:sz w:val="24"/>
          <w:szCs w:val="24"/>
          <w:highlight w:val="none"/>
          <w:lang w:val="en-US" w:eastAsia="zh-CN" w:bidi="ar-SA"/>
        </w:rPr>
        <w:t>7、提供税务部门出具近三个月的完税证明</w:t>
      </w:r>
      <w:bookmarkEnd w:id="610"/>
      <w:r>
        <w:rPr>
          <w:rFonts w:hint="eastAsia" w:ascii="微软雅黑" w:hAnsi="微软雅黑" w:eastAsia="微软雅黑" w:cs="微软雅黑"/>
          <w:b/>
          <w:kern w:val="0"/>
          <w:sz w:val="24"/>
          <w:szCs w:val="24"/>
          <w:highlight w:val="none"/>
          <w:lang w:val="en-US" w:eastAsia="zh-CN" w:bidi="ar-SA"/>
        </w:rPr>
        <w:t>。</w:t>
      </w: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kern w:val="0"/>
          <w:sz w:val="24"/>
          <w:highlight w:val="none"/>
          <w:lang w:val="en-US" w:eastAsia="zh-CN"/>
        </w:rPr>
      </w:pPr>
      <w:r>
        <w:rPr>
          <w:rFonts w:hint="eastAsia" w:ascii="微软雅黑" w:hAnsi="微软雅黑" w:eastAsia="微软雅黑" w:cs="微软雅黑"/>
          <w:b w:val="0"/>
          <w:bCs/>
          <w:kern w:val="0"/>
          <w:sz w:val="24"/>
          <w:highlight w:val="none"/>
          <w:lang w:val="en-US" w:eastAsia="zh-CN"/>
        </w:rPr>
        <w:t>说明：新成立公司若无纳税记录，可开具无欠税证明。</w:t>
      </w:r>
    </w:p>
    <w:p>
      <w:pPr>
        <w:pStyle w:val="17"/>
        <w:tabs>
          <w:tab w:val="left" w:pos="5580"/>
        </w:tabs>
        <w:snapToGrid w:val="0"/>
        <w:spacing w:line="240" w:lineRule="atLeast"/>
        <w:textAlignment w:val="baseline"/>
        <w:rPr>
          <w:rFonts w:ascii="微软雅黑" w:hAnsi="微软雅黑" w:eastAsia="微软雅黑" w:cs="微软雅黑"/>
          <w:b/>
          <w:kern w:val="0"/>
          <w:sz w:val="24"/>
          <w:szCs w:val="24"/>
          <w:highlight w:val="none"/>
        </w:rPr>
      </w:pPr>
    </w:p>
    <w:p>
      <w:pPr>
        <w:pStyle w:val="17"/>
        <w:tabs>
          <w:tab w:val="left" w:pos="5580"/>
        </w:tabs>
        <w:snapToGrid w:val="0"/>
        <w:spacing w:line="240" w:lineRule="atLeast"/>
        <w:ind w:left="1080" w:leftChars="257" w:hanging="540"/>
        <w:textAlignment w:val="baseline"/>
        <w:rPr>
          <w:rFonts w:ascii="微软雅黑" w:hAnsi="微软雅黑" w:eastAsia="微软雅黑" w:cs="微软雅黑"/>
          <w:b/>
          <w:kern w:val="0"/>
          <w:sz w:val="24"/>
          <w:szCs w:val="24"/>
          <w:highlight w:val="none"/>
        </w:rPr>
      </w:pPr>
    </w:p>
    <w:p>
      <w:pPr>
        <w:snapToGrid w:val="0"/>
        <w:spacing w:line="460" w:lineRule="exact"/>
        <w:ind w:firstLine="480" w:firstLineChars="200"/>
        <w:textAlignment w:val="baseline"/>
        <w:rPr>
          <w:rFonts w:hint="eastAsia" w:ascii="微软雅黑" w:hAnsi="微软雅黑" w:eastAsia="微软雅黑" w:cs="微软雅黑"/>
          <w:b/>
          <w:kern w:val="0"/>
          <w:sz w:val="24"/>
          <w:szCs w:val="24"/>
          <w:highlight w:val="none"/>
          <w:lang w:val="en-US" w:eastAsia="zh-CN" w:bidi="ar-SA"/>
        </w:rPr>
      </w:pPr>
      <w:r>
        <w:rPr>
          <w:rFonts w:hint="eastAsia" w:ascii="微软雅黑" w:hAnsi="微软雅黑" w:eastAsia="微软雅黑" w:cs="微软雅黑"/>
          <w:b/>
          <w:kern w:val="0"/>
          <w:sz w:val="24"/>
          <w:szCs w:val="24"/>
          <w:highlight w:val="none"/>
          <w:lang w:val="en-US" w:eastAsia="zh-CN" w:bidi="ar-SA"/>
        </w:rPr>
        <w:t>8、提供2021年的财务审计报告（新成立公司需提供银行资信证明）；</w:t>
      </w:r>
    </w:p>
    <w:p>
      <w:pPr>
        <w:tabs>
          <w:tab w:val="left" w:pos="5580"/>
        </w:tabs>
        <w:spacing w:line="240" w:lineRule="atLeast"/>
        <w:ind w:left="1080" w:leftChars="257" w:hanging="54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说明：</w:t>
      </w:r>
    </w:p>
    <w:p>
      <w:pPr>
        <w:tabs>
          <w:tab w:val="left" w:pos="5580"/>
        </w:tabs>
        <w:spacing w:line="240" w:lineRule="atLeast"/>
        <w:ind w:left="54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1、如提供本单位上年度经会计师事务所出具的审计报告复印件须加盖本单位章。</w:t>
      </w:r>
    </w:p>
    <w:p>
      <w:pPr>
        <w:tabs>
          <w:tab w:val="left" w:pos="5580"/>
        </w:tabs>
        <w:spacing w:line="240" w:lineRule="atLeast"/>
        <w:ind w:left="54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80" w:leftChars="257" w:hanging="54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3、如果是联合体投标，联合体各方均需提供上述证明。</w:t>
      </w:r>
    </w:p>
    <w:p>
      <w:pPr>
        <w:pStyle w:val="35"/>
        <w:snapToGrid w:val="0"/>
        <w:ind w:left="0" w:leftChars="0" w:firstLine="0" w:firstLineChars="0"/>
        <w:textAlignment w:val="baseline"/>
        <w:rPr>
          <w:rFonts w:hint="eastAsia" w:ascii="微软雅黑" w:hAnsi="微软雅黑" w:eastAsia="微软雅黑" w:cs="微软雅黑"/>
          <w:b/>
          <w:kern w:val="0"/>
          <w:sz w:val="24"/>
          <w:szCs w:val="20"/>
          <w:highlight w:val="none"/>
          <w:lang w:val="en-US" w:eastAsia="zh-CN" w:bidi="ar-SA"/>
        </w:rPr>
      </w:pPr>
    </w:p>
    <w:p>
      <w:pPr>
        <w:snapToGrid w:val="0"/>
        <w:spacing w:line="460" w:lineRule="exact"/>
        <w:textAlignment w:val="baseline"/>
        <w:rPr>
          <w:rFonts w:hint="eastAsia" w:ascii="微软雅黑" w:hAnsi="微软雅黑" w:eastAsia="微软雅黑" w:cs="微软雅黑"/>
          <w:b/>
          <w:kern w:val="0"/>
          <w:sz w:val="24"/>
          <w:szCs w:val="20"/>
          <w:highlight w:val="none"/>
          <w:lang w:val="en-US" w:eastAsia="zh-CN" w:bidi="ar-SA"/>
        </w:rPr>
      </w:pPr>
      <w:r>
        <w:rPr>
          <w:rFonts w:hint="eastAsia" w:ascii="微软雅黑" w:hAnsi="微软雅黑" w:eastAsia="微软雅黑" w:cs="微软雅黑"/>
          <w:b/>
          <w:kern w:val="0"/>
          <w:sz w:val="24"/>
          <w:szCs w:val="20"/>
          <w:highlight w:val="none"/>
          <w:lang w:val="en-US" w:eastAsia="zh-CN" w:bidi="ar-SA"/>
        </w:rPr>
        <w:t>9、参与政府采购活动前3年内未被列入失信、重大税收违法案件、财政部门禁止参加政府采购活动的承诺书；</w:t>
      </w:r>
    </w:p>
    <w:p>
      <w:pPr>
        <w:pStyle w:val="17"/>
        <w:tabs>
          <w:tab w:val="left" w:pos="5580"/>
        </w:tabs>
        <w:spacing w:line="240" w:lineRule="atLeast"/>
        <w:ind w:left="1080" w:leftChars="257" w:hanging="54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说明：1.供应商应按照相关法规规定如实作出说明。</w:t>
      </w:r>
    </w:p>
    <w:p>
      <w:pPr>
        <w:rPr>
          <w:rFonts w:ascii="微软雅黑" w:hAnsi="微软雅黑" w:eastAsia="微软雅黑" w:cs="微软雅黑"/>
          <w:highlight w:val="none"/>
        </w:rPr>
      </w:pPr>
    </w:p>
    <w:p>
      <w:pPr>
        <w:pStyle w:val="35"/>
        <w:ind w:firstLine="480"/>
        <w:rPr>
          <w:rFonts w:ascii="微软雅黑" w:hAnsi="微软雅黑" w:eastAsia="微软雅黑" w:cs="微软雅黑"/>
          <w:highlight w:val="none"/>
        </w:rPr>
      </w:pPr>
    </w:p>
    <w:p>
      <w:pPr>
        <w:snapToGrid w:val="0"/>
        <w:spacing w:line="460" w:lineRule="exact"/>
        <w:textAlignment w:val="baseline"/>
        <w:rPr>
          <w:rFonts w:hint="eastAsia" w:ascii="微软雅黑" w:hAnsi="微软雅黑" w:eastAsia="微软雅黑" w:cs="微软雅黑"/>
          <w:b/>
          <w:kern w:val="0"/>
          <w:sz w:val="24"/>
          <w:szCs w:val="20"/>
          <w:highlight w:val="none"/>
          <w:lang w:val="en-US" w:eastAsia="zh-CN" w:bidi="ar-SA"/>
        </w:rPr>
      </w:pPr>
      <w:r>
        <w:rPr>
          <w:rFonts w:hint="eastAsia" w:ascii="微软雅黑" w:hAnsi="微软雅黑" w:eastAsia="微软雅黑" w:cs="微软雅黑"/>
          <w:b/>
          <w:kern w:val="0"/>
          <w:sz w:val="24"/>
          <w:szCs w:val="20"/>
          <w:highlight w:val="none"/>
          <w:lang w:val="en-US" w:eastAsia="zh-CN" w:bidi="ar-SA"/>
        </w:rPr>
        <w:t>10、提供针对本次项目的反商业贿赂承诺书。</w:t>
      </w:r>
    </w:p>
    <w:p>
      <w:pPr>
        <w:pStyle w:val="17"/>
        <w:tabs>
          <w:tab w:val="left" w:pos="5580"/>
        </w:tabs>
        <w:snapToGrid w:val="0"/>
        <w:spacing w:line="240" w:lineRule="atLeast"/>
        <w:ind w:left="1080" w:leftChars="257" w:hanging="540"/>
        <w:jc w:val="center"/>
        <w:textAlignment w:val="baseline"/>
        <w:rPr>
          <w:rFonts w:ascii="微软雅黑" w:hAnsi="微软雅黑" w:eastAsia="微软雅黑" w:cs="微软雅黑"/>
          <w:b/>
          <w:kern w:val="0"/>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b/>
          <w:kern w:val="0"/>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b/>
          <w:kern w:val="0"/>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b/>
          <w:kern w:val="0"/>
          <w:sz w:val="24"/>
          <w:szCs w:val="24"/>
          <w:highlight w:val="none"/>
        </w:rPr>
      </w:pPr>
    </w:p>
    <w:p>
      <w:pPr>
        <w:snapToGrid w:val="0"/>
        <w:spacing w:line="360" w:lineRule="exact"/>
        <w:textAlignment w:val="baseline"/>
        <w:rPr>
          <w:rFonts w:ascii="微软雅黑" w:hAnsi="微软雅黑" w:eastAsia="微软雅黑" w:cs="微软雅黑"/>
          <w:b/>
          <w:kern w:val="0"/>
          <w:sz w:val="24"/>
          <w:highlight w:val="none"/>
        </w:rPr>
      </w:pPr>
      <w:r>
        <w:rPr>
          <w:rFonts w:hint="eastAsia" w:ascii="微软雅黑" w:hAnsi="微软雅黑" w:eastAsia="微软雅黑" w:cs="微软雅黑"/>
          <w:b/>
          <w:kern w:val="0"/>
          <w:sz w:val="24"/>
          <w:szCs w:val="24"/>
          <w:highlight w:val="none"/>
          <w:lang w:val="en-US" w:eastAsia="zh-CN"/>
        </w:rPr>
        <w:t>11</w:t>
      </w:r>
      <w:r>
        <w:rPr>
          <w:rFonts w:hint="eastAsia" w:ascii="微软雅黑" w:hAnsi="微软雅黑" w:eastAsia="微软雅黑" w:cs="微软雅黑"/>
          <w:b/>
          <w:kern w:val="0"/>
          <w:sz w:val="24"/>
          <w:szCs w:val="24"/>
          <w:highlight w:val="none"/>
        </w:rPr>
        <w:t>、</w:t>
      </w:r>
      <w:bookmarkStart w:id="611" w:name="_Toc494296991"/>
      <w:bookmarkStart w:id="612" w:name="_Toc28525"/>
      <w:bookmarkStart w:id="613" w:name="_Toc16480"/>
      <w:bookmarkStart w:id="614" w:name="_Toc16326"/>
      <w:bookmarkStart w:id="615" w:name="_Toc494296665"/>
      <w:bookmarkStart w:id="616" w:name="_Toc20720"/>
      <w:bookmarkStart w:id="617" w:name="_Toc10102"/>
      <w:r>
        <w:rPr>
          <w:rFonts w:hint="eastAsia" w:ascii="微软雅黑" w:hAnsi="微软雅黑" w:eastAsia="微软雅黑" w:cs="微软雅黑"/>
          <w:b/>
          <w:kern w:val="0"/>
          <w:sz w:val="24"/>
          <w:szCs w:val="24"/>
          <w:highlight w:val="none"/>
        </w:rPr>
        <w:t>缴纳磋商保证金有效凭证；</w:t>
      </w:r>
    </w:p>
    <w:p>
      <w:pPr>
        <w:snapToGrid w:val="0"/>
        <w:spacing w:line="360" w:lineRule="exact"/>
        <w:ind w:firstLine="480" w:firstLineChars="200"/>
        <w:textAlignment w:val="baseline"/>
        <w:rPr>
          <w:rFonts w:hint="eastAsia" w:ascii="微软雅黑" w:hAnsi="微软雅黑" w:eastAsia="微软雅黑" w:cs="微软雅黑"/>
          <w:b w:val="0"/>
          <w:bCs/>
          <w:kern w:val="0"/>
          <w:sz w:val="24"/>
          <w:highlight w:val="none"/>
        </w:rPr>
      </w:pPr>
      <w:r>
        <w:rPr>
          <w:rFonts w:hint="eastAsia" w:ascii="微软雅黑" w:hAnsi="微软雅黑" w:eastAsia="微软雅黑" w:cs="微软雅黑"/>
          <w:b w:val="0"/>
          <w:bCs/>
          <w:kern w:val="0"/>
          <w:sz w:val="24"/>
          <w:highlight w:val="none"/>
          <w:lang w:val="en-US" w:eastAsia="zh-CN"/>
        </w:rPr>
        <w:t>供应商</w:t>
      </w:r>
      <w:r>
        <w:rPr>
          <w:rFonts w:hint="eastAsia" w:ascii="微软雅黑" w:hAnsi="微软雅黑" w:eastAsia="微软雅黑" w:cs="微软雅黑"/>
          <w:b w:val="0"/>
          <w:bCs/>
          <w:kern w:val="0"/>
          <w:sz w:val="24"/>
          <w:highlight w:val="none"/>
        </w:rPr>
        <w:t>可将本项目</w:t>
      </w:r>
      <w:r>
        <w:rPr>
          <w:rFonts w:hint="eastAsia" w:ascii="微软雅黑" w:hAnsi="微软雅黑" w:eastAsia="微软雅黑" w:cs="微软雅黑"/>
          <w:b w:val="0"/>
          <w:bCs/>
          <w:kern w:val="0"/>
          <w:sz w:val="24"/>
          <w:highlight w:val="none"/>
          <w:lang w:val="en-US" w:eastAsia="zh-CN"/>
        </w:rPr>
        <w:t>磋商</w:t>
      </w:r>
      <w:r>
        <w:rPr>
          <w:rFonts w:hint="eastAsia" w:ascii="微软雅黑" w:hAnsi="微软雅黑" w:eastAsia="微软雅黑" w:cs="微软雅黑"/>
          <w:b w:val="0"/>
          <w:bCs/>
          <w:kern w:val="0"/>
          <w:sz w:val="24"/>
          <w:highlight w:val="none"/>
        </w:rPr>
        <w:t>保证金支付的汇款凭证的复印件作为缴纳凭证装订在本部分，复印件上应加盖本单位章；使用</w:t>
      </w:r>
      <w:r>
        <w:rPr>
          <w:rFonts w:ascii="微软雅黑" w:hAnsi="微软雅黑" w:eastAsia="微软雅黑" w:cs="微软雅黑"/>
          <w:b w:val="0"/>
          <w:bCs/>
          <w:kern w:val="0"/>
          <w:sz w:val="24"/>
          <w:highlight w:val="none"/>
        </w:rPr>
        <w:t>银行保函</w:t>
      </w:r>
      <w:r>
        <w:rPr>
          <w:rFonts w:hint="eastAsia" w:ascii="微软雅黑" w:hAnsi="微软雅黑" w:eastAsia="微软雅黑" w:cs="微软雅黑"/>
          <w:b w:val="0"/>
          <w:bCs/>
          <w:kern w:val="0"/>
          <w:sz w:val="24"/>
          <w:highlight w:val="none"/>
        </w:rPr>
        <w:t>等其他投标</w:t>
      </w:r>
      <w:r>
        <w:rPr>
          <w:rFonts w:ascii="微软雅黑" w:hAnsi="微软雅黑" w:eastAsia="微软雅黑" w:cs="微软雅黑"/>
          <w:b w:val="0"/>
          <w:bCs/>
          <w:kern w:val="0"/>
          <w:sz w:val="24"/>
          <w:highlight w:val="none"/>
        </w:rPr>
        <w:t>担保函的，</w:t>
      </w:r>
      <w:r>
        <w:rPr>
          <w:rFonts w:hint="eastAsia" w:ascii="微软雅黑" w:hAnsi="微软雅黑" w:eastAsia="微软雅黑" w:cs="微软雅黑"/>
          <w:b w:val="0"/>
          <w:bCs/>
          <w:kern w:val="0"/>
          <w:sz w:val="24"/>
          <w:highlight w:val="none"/>
        </w:rPr>
        <w:t>应将</w:t>
      </w:r>
      <w:r>
        <w:rPr>
          <w:rFonts w:ascii="微软雅黑" w:hAnsi="微软雅黑" w:eastAsia="微软雅黑" w:cs="微软雅黑"/>
          <w:b w:val="0"/>
          <w:bCs/>
          <w:kern w:val="0"/>
          <w:sz w:val="24"/>
          <w:highlight w:val="none"/>
        </w:rPr>
        <w:t>担保函正</w:t>
      </w:r>
      <w:r>
        <w:rPr>
          <w:rFonts w:hint="eastAsia" w:ascii="微软雅黑" w:hAnsi="微软雅黑" w:eastAsia="微软雅黑" w:cs="微软雅黑"/>
          <w:b w:val="0"/>
          <w:bCs/>
          <w:kern w:val="0"/>
          <w:sz w:val="24"/>
          <w:highlight w:val="none"/>
        </w:rPr>
        <w:t>本，装订</w:t>
      </w:r>
      <w:r>
        <w:rPr>
          <w:rFonts w:ascii="微软雅黑" w:hAnsi="微软雅黑" w:eastAsia="微软雅黑" w:cs="微软雅黑"/>
          <w:b w:val="0"/>
          <w:bCs/>
          <w:kern w:val="0"/>
          <w:sz w:val="24"/>
          <w:highlight w:val="none"/>
        </w:rPr>
        <w:t>在本部分</w:t>
      </w:r>
      <w:r>
        <w:rPr>
          <w:rFonts w:hint="eastAsia" w:ascii="微软雅黑" w:hAnsi="微软雅黑" w:eastAsia="微软雅黑" w:cs="微软雅黑"/>
          <w:b w:val="0"/>
          <w:bCs/>
          <w:kern w:val="0"/>
          <w:sz w:val="24"/>
          <w:highlight w:val="none"/>
        </w:rPr>
        <w:t>正本</w:t>
      </w:r>
      <w:r>
        <w:rPr>
          <w:rFonts w:ascii="微软雅黑" w:hAnsi="微软雅黑" w:eastAsia="微软雅黑" w:cs="微软雅黑"/>
          <w:b w:val="0"/>
          <w:bCs/>
          <w:kern w:val="0"/>
          <w:sz w:val="24"/>
          <w:highlight w:val="none"/>
        </w:rPr>
        <w:t>中；</w:t>
      </w:r>
      <w:r>
        <w:rPr>
          <w:rFonts w:hint="eastAsia" w:ascii="微软雅黑" w:hAnsi="微软雅黑" w:eastAsia="微软雅黑" w:cs="微软雅黑"/>
          <w:b w:val="0"/>
          <w:bCs/>
          <w:kern w:val="0"/>
          <w:sz w:val="24"/>
          <w:highlight w:val="none"/>
        </w:rPr>
        <w:t>如采用政府采购信用担保形式的，</w:t>
      </w:r>
      <w:r>
        <w:rPr>
          <w:rFonts w:ascii="微软雅黑" w:hAnsi="微软雅黑" w:eastAsia="微软雅黑" w:cs="微软雅黑"/>
          <w:b w:val="0"/>
          <w:bCs/>
          <w:kern w:val="0"/>
          <w:sz w:val="24"/>
          <w:highlight w:val="none"/>
        </w:rPr>
        <w:t>应使用</w:t>
      </w:r>
      <w:r>
        <w:rPr>
          <w:rFonts w:hint="eastAsia" w:ascii="微软雅黑" w:hAnsi="微软雅黑" w:eastAsia="微软雅黑" w:cs="微软雅黑"/>
          <w:b w:val="0"/>
          <w:bCs/>
          <w:kern w:val="0"/>
          <w:sz w:val="24"/>
          <w:highlight w:val="none"/>
        </w:rPr>
        <w:t>（</w:t>
      </w:r>
      <w:r>
        <w:rPr>
          <w:rFonts w:ascii="微软雅黑" w:hAnsi="微软雅黑" w:eastAsia="微软雅黑" w:cs="微软雅黑"/>
          <w:b w:val="0"/>
          <w:bCs/>
          <w:kern w:val="0"/>
          <w:sz w:val="24"/>
          <w:highlight w:val="none"/>
        </w:rPr>
        <w:t>投标文件</w:t>
      </w:r>
      <w:r>
        <w:rPr>
          <w:rFonts w:hint="eastAsia" w:ascii="微软雅黑" w:hAnsi="微软雅黑" w:eastAsia="微软雅黑" w:cs="微软雅黑"/>
          <w:b w:val="0"/>
          <w:bCs/>
          <w:kern w:val="0"/>
          <w:sz w:val="24"/>
          <w:highlight w:val="none"/>
        </w:rPr>
        <w:t>格式三）,将原件装订</w:t>
      </w:r>
      <w:r>
        <w:rPr>
          <w:rFonts w:ascii="微软雅黑" w:hAnsi="微软雅黑" w:eastAsia="微软雅黑" w:cs="微软雅黑"/>
          <w:b w:val="0"/>
          <w:bCs/>
          <w:kern w:val="0"/>
          <w:sz w:val="24"/>
          <w:highlight w:val="none"/>
        </w:rPr>
        <w:t>在本部分正本中</w:t>
      </w:r>
      <w:r>
        <w:rPr>
          <w:rFonts w:hint="eastAsia" w:ascii="微软雅黑" w:hAnsi="微软雅黑" w:eastAsia="微软雅黑" w:cs="微软雅黑"/>
          <w:b w:val="0"/>
          <w:bCs/>
          <w:kern w:val="0"/>
          <w:sz w:val="24"/>
          <w:highlight w:val="none"/>
        </w:rPr>
        <w:t>。</w:t>
      </w:r>
    </w:p>
    <w:p>
      <w:pPr>
        <w:jc w:val="center"/>
        <w:rPr>
          <w:rFonts w:hint="eastAsia" w:ascii="微软雅黑" w:hAnsi="微软雅黑" w:eastAsia="微软雅黑" w:cs="微软雅黑"/>
          <w:sz w:val="24"/>
          <w:szCs w:val="24"/>
          <w:highlight w:val="none"/>
        </w:rPr>
      </w:pPr>
    </w:p>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政府采购投标担保函 （项目用）（投标文件格式三）</w:t>
      </w:r>
    </w:p>
    <w:p>
      <w:pPr>
        <w:ind w:firstLine="6240" w:firstLineChars="26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编号：</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（采购人或采购代理机构）：</w:t>
      </w:r>
    </w:p>
    <w:p>
      <w:pPr>
        <w:rPr>
          <w:rFonts w:hint="eastAsia" w:ascii="微软雅黑" w:hAnsi="微软雅黑" w:eastAsia="微软雅黑" w:cs="微软雅黑"/>
          <w:sz w:val="24"/>
          <w:szCs w:val="24"/>
          <w:highlight w:val="none"/>
        </w:rPr>
      </w:pP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鉴于</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（以下简称“投标人”）拟参加编号为</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的</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项目（以下简称“本项目”）投标，根据本项目</w:t>
      </w:r>
      <w:r>
        <w:rPr>
          <w:rFonts w:hint="eastAsia" w:ascii="微软雅黑" w:hAnsi="微软雅黑" w:eastAsia="微软雅黑" w:cs="微软雅黑"/>
          <w:sz w:val="24"/>
          <w:szCs w:val="24"/>
          <w:highlight w:val="none"/>
          <w:lang w:eastAsia="zh-CN"/>
        </w:rPr>
        <w:t>竞争性磋商文件</w:t>
      </w:r>
      <w:r>
        <w:rPr>
          <w:rFonts w:hint="eastAsia" w:ascii="微软雅黑" w:hAnsi="微软雅黑" w:eastAsia="微软雅黑" w:cs="微软雅黑"/>
          <w:sz w:val="24"/>
          <w:szCs w:val="24"/>
          <w:highlight w:val="none"/>
        </w:rPr>
        <w:t>，供应商参加投标时应向你方交纳投标保证金，且可以投标担保函的形式交纳投标保证金。应供应商的申请，我方以保证的方式向你方提供如下投标保证金担保：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一、保证责任的情形及保证金额</w:t>
      </w:r>
    </w:p>
    <w:p>
      <w:pPr>
        <w:ind w:firstLine="240" w:firstLineChars="1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（一）在投标人出现下列情形之一时，我方承担保证责任：</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1．中标后投标人无正当理由不与采购人或者采购代理机构签订《政府采购合同》；</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eastAsia="zh-CN"/>
        </w:rPr>
        <w:t>竞争性磋商文件</w:t>
      </w:r>
      <w:r>
        <w:rPr>
          <w:rFonts w:hint="eastAsia" w:ascii="微软雅黑" w:hAnsi="微软雅黑" w:eastAsia="微软雅黑" w:cs="微软雅黑"/>
          <w:sz w:val="24"/>
          <w:szCs w:val="24"/>
          <w:highlight w:val="none"/>
        </w:rPr>
        <w:t>规定的投标人应当缴纳保证金的其他情形。</w:t>
      </w:r>
    </w:p>
    <w:p>
      <w:pPr>
        <w:ind w:firstLine="240" w:firstLineChars="1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（二）我方承担保证责任的最高金额为人民币</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元（大写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），即本项目的投标保证金金额。</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二、保证的方式及保证期间</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我方保证的方式为：连带责任保证。</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我方的保证期间为：自本保函生效之日起</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个月止。</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三、承担保证责任的程序</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2．我方在收到索赔通知及相关证明材料后，在</w:t>
      </w:r>
      <w:r>
        <w:rPr>
          <w:rFonts w:hint="eastAsia" w:ascii="微软雅黑" w:hAnsi="微软雅黑" w:eastAsia="微软雅黑" w:cs="微软雅黑"/>
          <w:sz w:val="24"/>
          <w:szCs w:val="24"/>
          <w:highlight w:val="none"/>
          <w:u w:val="single"/>
        </w:rPr>
        <w:t>　　　</w:t>
      </w:r>
      <w:r>
        <w:rPr>
          <w:rFonts w:hint="eastAsia" w:ascii="微软雅黑" w:hAnsi="微软雅黑" w:eastAsia="微软雅黑" w:cs="微软雅黑"/>
          <w:sz w:val="24"/>
          <w:szCs w:val="24"/>
          <w:highlight w:val="none"/>
        </w:rPr>
        <w:t>个工作日内进行审查，符合应承担保证责任情形的，我方应按照你方的要求代投标人向你方支付投标保证金。</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四、保证责任的终止</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1．保证期间届满你方未向我方书面主张保证责任的，自保证期间届满次日起，我方保证责任自动终止。</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2．我方按照本保函向你贵方履行了保证责任后，自我方向你贵方支付款项（支付款项从我方账户划出）之日起，保证责任终止。</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3．按照法律法规的规定或出现我方保证责任终止的其它情形的，我方在本保函项下的保证责任亦终止。</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五、免责条款</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1．依照法律规定或你方与投标人的另行约定，全部或者部分免除投标人投标保证金义务时，我方亦免除相应的保证责任。</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2．因你方原因致使投标人发生本保函第一条第（一）款约定情形的，我方不承担保证责任。</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3．因不可抗力造成投标人发生本保函第一条约定情形的，我方不承担保证责任。</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4．你方或其他有权机关对</w:t>
      </w:r>
      <w:r>
        <w:rPr>
          <w:rFonts w:hint="eastAsia" w:ascii="微软雅黑" w:hAnsi="微软雅黑" w:eastAsia="微软雅黑" w:cs="微软雅黑"/>
          <w:sz w:val="24"/>
          <w:szCs w:val="24"/>
          <w:highlight w:val="none"/>
          <w:lang w:eastAsia="zh-CN"/>
        </w:rPr>
        <w:t>竞争性磋商文件</w:t>
      </w:r>
      <w:r>
        <w:rPr>
          <w:rFonts w:hint="eastAsia" w:ascii="微软雅黑" w:hAnsi="微软雅黑" w:eastAsia="微软雅黑" w:cs="微软雅黑"/>
          <w:sz w:val="24"/>
          <w:szCs w:val="24"/>
          <w:highlight w:val="none"/>
        </w:rPr>
        <w:t>进行任何澄清或修改，加重我方保证责任的，我方对加重部分不承担保证责任，但该澄清或修改经我方事先书面同意的除外。</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六、争议的解决</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因本保函发生的纠纷，由你我双方协商解决，协商不成的，通过诉讼程序解决，诉讼管辖地法院为</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法院。</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七、保函的生效</w:t>
      </w:r>
    </w:p>
    <w:p>
      <w:pPr>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本保函自我方加盖公章之日起生效。</w:t>
      </w:r>
    </w:p>
    <w:p>
      <w:pPr>
        <w:ind w:firstLine="6360" w:firstLineChars="265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保证人：（公章）</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pP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年     月      日</w:t>
      </w:r>
    </w:p>
    <w:p>
      <w:pPr>
        <w:pStyle w:val="5"/>
        <w:ind w:left="0" w:leftChars="0" w:firstLine="0" w:firstLineChars="0"/>
        <w:rPr>
          <w:rFonts w:hint="eastAsia" w:ascii="微软雅黑" w:hAnsi="微软雅黑" w:eastAsia="微软雅黑" w:cs="微软雅黑"/>
          <w:b/>
          <w:kern w:val="0"/>
          <w:sz w:val="24"/>
          <w:szCs w:val="24"/>
          <w:highlight w:val="none"/>
          <w:lang w:val="en-US" w:eastAsia="zh-CN" w:bidi="ar-SA"/>
        </w:rPr>
      </w:pPr>
    </w:p>
    <w:p>
      <w:pPr>
        <w:pStyle w:val="5"/>
        <w:rPr>
          <w:highlight w:val="none"/>
        </w:rPr>
      </w:pPr>
    </w:p>
    <w:p>
      <w:pPr>
        <w:snapToGrid w:val="0"/>
        <w:spacing w:line="360" w:lineRule="exact"/>
        <w:textAlignment w:val="baseline"/>
        <w:rPr>
          <w:rFonts w:ascii="微软雅黑" w:hAnsi="微软雅黑" w:eastAsia="微软雅黑" w:cs="微软雅黑"/>
          <w:b/>
          <w:kern w:val="0"/>
          <w:sz w:val="24"/>
          <w:highlight w:val="none"/>
        </w:rPr>
      </w:pPr>
    </w:p>
    <w:p>
      <w:pPr>
        <w:numPr>
          <w:ilvl w:val="0"/>
          <w:numId w:val="0"/>
        </w:numPr>
        <w:snapToGrid w:val="0"/>
        <w:spacing w:line="360" w:lineRule="exact"/>
        <w:textAlignment w:val="baseline"/>
        <w:outlineLvl w:val="1"/>
        <w:rPr>
          <w:rFonts w:hint="default" w:ascii="微软雅黑" w:hAnsi="微软雅黑" w:eastAsia="微软雅黑" w:cs="微软雅黑"/>
          <w:b/>
          <w:kern w:val="0"/>
          <w:sz w:val="24"/>
          <w:highlight w:val="none"/>
          <w:lang w:val="en-US" w:eastAsia="zh-CN"/>
        </w:rPr>
      </w:pPr>
      <w:r>
        <w:rPr>
          <w:rFonts w:hint="eastAsia" w:ascii="微软雅黑" w:hAnsi="微软雅黑" w:eastAsia="微软雅黑" w:cs="微软雅黑"/>
          <w:b/>
          <w:kern w:val="0"/>
          <w:sz w:val="24"/>
          <w:highlight w:val="none"/>
          <w:lang w:val="en-US" w:eastAsia="zh-CN"/>
        </w:rPr>
        <w:t>12、供应商可提供有利于投标的其他资格证明材料。</w:t>
      </w:r>
    </w:p>
    <w:p>
      <w:pPr>
        <w:pStyle w:val="26"/>
        <w:rPr>
          <w:highlight w:val="none"/>
        </w:rPr>
      </w:pPr>
    </w:p>
    <w:p>
      <w:pPr>
        <w:pStyle w:val="26"/>
        <w:rPr>
          <w:highlight w:val="none"/>
        </w:rPr>
      </w:pPr>
    </w:p>
    <w:p>
      <w:pPr>
        <w:pStyle w:val="26"/>
        <w:rPr>
          <w:highlight w:val="none"/>
        </w:rPr>
      </w:pPr>
    </w:p>
    <w:bookmarkEnd w:id="611"/>
    <w:bookmarkEnd w:id="612"/>
    <w:bookmarkEnd w:id="613"/>
    <w:bookmarkEnd w:id="614"/>
    <w:bookmarkEnd w:id="615"/>
    <w:bookmarkEnd w:id="616"/>
    <w:bookmarkEnd w:id="617"/>
    <w:p>
      <w:pPr>
        <w:numPr>
          <w:ilvl w:val="0"/>
          <w:numId w:val="0"/>
        </w:numPr>
        <w:snapToGrid w:val="0"/>
        <w:spacing w:line="360" w:lineRule="exact"/>
        <w:textAlignment w:val="baseline"/>
        <w:outlineLvl w:val="1"/>
        <w:rPr>
          <w:rFonts w:hint="eastAsia" w:ascii="微软雅黑" w:hAnsi="微软雅黑" w:eastAsia="微软雅黑" w:cs="微软雅黑"/>
          <w:b/>
          <w:kern w:val="0"/>
          <w:sz w:val="24"/>
          <w:highlight w:val="none"/>
          <w:lang w:val="en-US" w:eastAsia="zh-CN"/>
        </w:rPr>
      </w:pPr>
      <w:bookmarkStart w:id="618" w:name="_Toc5095"/>
      <w:r>
        <w:rPr>
          <w:rFonts w:hint="eastAsia" w:ascii="微软雅黑" w:hAnsi="微软雅黑" w:eastAsia="微软雅黑" w:cs="微软雅黑"/>
          <w:b/>
          <w:kern w:val="0"/>
          <w:sz w:val="24"/>
          <w:highlight w:val="none"/>
          <w:lang w:val="en-US" w:eastAsia="zh-CN"/>
        </w:rPr>
        <w:t>13、投标人须知资料表要求的其他资格证明文件</w:t>
      </w:r>
      <w:bookmarkEnd w:id="618"/>
    </w:p>
    <w:p>
      <w:pPr>
        <w:tabs>
          <w:tab w:val="left" w:pos="5580"/>
        </w:tabs>
        <w:spacing w:line="240" w:lineRule="atLeast"/>
        <w:ind w:left="54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说明：1.应提供供应商须知资料表要求的其他资格证明文件。</w:t>
      </w:r>
    </w:p>
    <w:p>
      <w:pPr>
        <w:tabs>
          <w:tab w:val="left" w:pos="5580"/>
        </w:tabs>
        <w:spacing w:line="240" w:lineRule="atLeast"/>
        <w:ind w:left="540" w:firstLine="720" w:firstLineChars="30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2.复印件上应加盖本单位章。</w:t>
      </w:r>
    </w:p>
    <w:p>
      <w:pPr>
        <w:tabs>
          <w:tab w:val="left" w:pos="5580"/>
        </w:tabs>
        <w:spacing w:line="240" w:lineRule="atLeast"/>
        <w:ind w:left="540"/>
        <w:rPr>
          <w:rFonts w:hint="eastAsia" w:ascii="微软雅黑" w:hAnsi="微软雅黑" w:eastAsia="微软雅黑" w:cs="微软雅黑"/>
          <w:b w:val="0"/>
          <w:bCs/>
          <w:kern w:val="0"/>
          <w:sz w:val="24"/>
          <w:szCs w:val="20"/>
          <w:highlight w:val="none"/>
          <w:lang w:val="en-US" w:eastAsia="zh-CN" w:bidi="ar-SA"/>
        </w:rPr>
      </w:pPr>
      <w:r>
        <w:rPr>
          <w:rFonts w:hint="eastAsia" w:ascii="微软雅黑" w:hAnsi="微软雅黑" w:eastAsia="微软雅黑" w:cs="微软雅黑"/>
          <w:b w:val="0"/>
          <w:bCs/>
          <w:kern w:val="0"/>
          <w:sz w:val="24"/>
          <w:szCs w:val="20"/>
          <w:highlight w:val="none"/>
          <w:lang w:val="en-US" w:eastAsia="zh-CN" w:bidi="ar-SA"/>
        </w:rPr>
        <w:t xml:space="preserve">     3. 如果是联合体投标，联合体各方需提供的满足竞争性磋商文件要求的其他资格证明文件。</w:t>
      </w: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p>
    <w:p>
      <w:pPr>
        <w:snapToGrid w:val="0"/>
        <w:spacing w:line="460" w:lineRule="exact"/>
        <w:ind w:firstLine="480" w:firstLineChars="200"/>
        <w:textAlignment w:val="baseline"/>
        <w:rPr>
          <w:rFonts w:hint="eastAsia" w:ascii="微软雅黑" w:hAnsi="微软雅黑" w:eastAsia="微软雅黑" w:cs="微软雅黑"/>
          <w:kern w:val="0"/>
          <w:sz w:val="24"/>
          <w:highlight w:val="none"/>
          <w:lang w:val="en-US" w:eastAsia="zh-CN"/>
        </w:rPr>
      </w:pPr>
    </w:p>
    <w:p>
      <w:pPr>
        <w:snapToGrid w:val="0"/>
        <w:spacing w:line="360" w:lineRule="exact"/>
        <w:textAlignment w:val="baseline"/>
        <w:outlineLvl w:val="9"/>
        <w:rPr>
          <w:rFonts w:ascii="微软雅黑" w:hAnsi="微软雅黑" w:eastAsia="微软雅黑" w:cs="微软雅黑"/>
          <w:b/>
          <w:kern w:val="0"/>
          <w:sz w:val="24"/>
          <w:highlight w:val="none"/>
        </w:rPr>
      </w:pPr>
    </w:p>
    <w:p>
      <w:pPr>
        <w:pStyle w:val="17"/>
        <w:tabs>
          <w:tab w:val="left" w:pos="5580"/>
        </w:tabs>
        <w:snapToGrid w:val="0"/>
        <w:spacing w:line="360" w:lineRule="exact"/>
        <w:textAlignment w:val="baseline"/>
        <w:rPr>
          <w:rFonts w:ascii="微软雅黑" w:hAnsi="微软雅黑" w:eastAsia="微软雅黑" w:cs="微软雅黑"/>
          <w:sz w:val="24"/>
          <w:szCs w:val="24"/>
          <w:highlight w:val="none"/>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highlight w:val="none"/>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highlight w:val="none"/>
          <w:u w:val="single" w:color="000000"/>
        </w:rPr>
      </w:pPr>
    </w:p>
    <w:p>
      <w:pPr>
        <w:snapToGrid w:val="0"/>
        <w:spacing w:line="240" w:lineRule="atLeast"/>
        <w:ind w:left="1080" w:leftChars="257" w:hanging="540"/>
        <w:jc w:val="center"/>
        <w:textAlignment w:val="baseline"/>
        <w:rPr>
          <w:rFonts w:ascii="微软雅黑" w:hAnsi="微软雅黑" w:eastAsia="微软雅黑" w:cs="微软雅黑"/>
          <w:b/>
          <w:sz w:val="24"/>
          <w:highlight w:val="none"/>
        </w:rPr>
      </w:pPr>
      <w:bookmarkStart w:id="619" w:name="_Toc25827"/>
      <w:bookmarkStart w:id="620" w:name="_Toc12440"/>
      <w:bookmarkStart w:id="621" w:name="_Toc11180"/>
      <w:bookmarkStart w:id="622" w:name="_Toc11956"/>
      <w:bookmarkStart w:id="623" w:name="_Toc515647816"/>
      <w:bookmarkStart w:id="624" w:name="_Toc3552"/>
      <w:bookmarkStart w:id="625" w:name="_Toc22967"/>
    </w:p>
    <w:p>
      <w:pPr>
        <w:pStyle w:val="26"/>
        <w:rPr>
          <w:rFonts w:ascii="微软雅黑" w:hAnsi="微软雅黑" w:eastAsia="微软雅黑" w:cs="微软雅黑"/>
          <w:b/>
          <w:sz w:val="24"/>
          <w:highlight w:val="none"/>
        </w:rPr>
      </w:pPr>
    </w:p>
    <w:p>
      <w:pPr>
        <w:pStyle w:val="26"/>
        <w:rPr>
          <w:rFonts w:ascii="微软雅黑" w:hAnsi="微软雅黑" w:eastAsia="微软雅黑" w:cs="微软雅黑"/>
          <w:b/>
          <w:sz w:val="24"/>
          <w:highlight w:val="none"/>
        </w:rPr>
      </w:pPr>
    </w:p>
    <w:p>
      <w:pPr>
        <w:pStyle w:val="26"/>
        <w:rPr>
          <w:rFonts w:ascii="微软雅黑" w:hAnsi="微软雅黑" w:eastAsia="微软雅黑" w:cs="微软雅黑"/>
          <w:b/>
          <w:sz w:val="24"/>
          <w:highlight w:val="none"/>
        </w:rPr>
      </w:pPr>
    </w:p>
    <w:p>
      <w:pPr>
        <w:pStyle w:val="26"/>
        <w:rPr>
          <w:rFonts w:ascii="微软雅黑" w:hAnsi="微软雅黑" w:eastAsia="微软雅黑" w:cs="微软雅黑"/>
          <w:b/>
          <w:sz w:val="24"/>
          <w:highlight w:val="none"/>
        </w:rPr>
      </w:pPr>
    </w:p>
    <w:p>
      <w:pPr>
        <w:pStyle w:val="2"/>
        <w:snapToGrid w:val="0"/>
        <w:spacing w:before="0" w:line="240" w:lineRule="atLeast"/>
        <w:ind w:left="1080" w:leftChars="257" w:hanging="540"/>
        <w:textAlignment w:val="baseline"/>
        <w:rPr>
          <w:rFonts w:hint="eastAsia" w:ascii="微软雅黑" w:hAnsi="微软雅黑" w:eastAsia="微软雅黑" w:cs="微软雅黑"/>
          <w:sz w:val="24"/>
          <w:szCs w:val="24"/>
          <w:highlight w:val="none"/>
        </w:rPr>
      </w:pPr>
      <w:bookmarkStart w:id="626" w:name="_Toc3460"/>
    </w:p>
    <w:p>
      <w:pPr>
        <w:pStyle w:val="2"/>
        <w:snapToGrid w:val="0"/>
        <w:spacing w:before="0" w:line="240" w:lineRule="atLeast"/>
        <w:ind w:left="1080" w:leftChars="257" w:hanging="540"/>
        <w:textAlignment w:val="baseline"/>
        <w:rPr>
          <w:rFonts w:hint="eastAsia" w:ascii="微软雅黑" w:hAnsi="微软雅黑" w:eastAsia="微软雅黑" w:cs="微软雅黑"/>
          <w:sz w:val="24"/>
          <w:szCs w:val="24"/>
          <w:highlight w:val="none"/>
        </w:rPr>
      </w:pPr>
    </w:p>
    <w:p>
      <w:pPr>
        <w:pStyle w:val="2"/>
        <w:snapToGrid w:val="0"/>
        <w:spacing w:before="0" w:line="240" w:lineRule="atLeast"/>
        <w:ind w:left="1080" w:leftChars="257" w:hanging="540"/>
        <w:textAlignment w:val="baseline"/>
        <w:rPr>
          <w:rFonts w:hint="eastAsia" w:ascii="微软雅黑" w:hAnsi="微软雅黑" w:eastAsia="微软雅黑" w:cs="微软雅黑"/>
          <w:sz w:val="24"/>
          <w:szCs w:val="24"/>
          <w:highlight w:val="none"/>
        </w:rPr>
      </w:pPr>
    </w:p>
    <w:p>
      <w:pPr>
        <w:pStyle w:val="2"/>
        <w:snapToGrid w:val="0"/>
        <w:spacing w:before="0" w:line="240" w:lineRule="atLeast"/>
        <w:ind w:left="1080" w:leftChars="257" w:hanging="540"/>
        <w:textAlignment w:val="baseline"/>
        <w:rPr>
          <w:rFonts w:hint="eastAsia" w:ascii="微软雅黑" w:hAnsi="微软雅黑" w:eastAsia="微软雅黑" w:cs="微软雅黑"/>
          <w:sz w:val="24"/>
          <w:szCs w:val="24"/>
          <w:highlight w:val="none"/>
        </w:rPr>
      </w:pPr>
    </w:p>
    <w:p>
      <w:pPr>
        <w:pStyle w:val="2"/>
        <w:snapToGrid w:val="0"/>
        <w:spacing w:before="0" w:line="240" w:lineRule="atLeast"/>
        <w:ind w:left="1080" w:leftChars="257" w:hanging="540"/>
        <w:textAlignment w:val="baseline"/>
        <w:rPr>
          <w:rFonts w:hint="eastAsia" w:ascii="微软雅黑" w:hAnsi="微软雅黑" w:eastAsia="微软雅黑" w:cs="微软雅黑"/>
          <w:sz w:val="24"/>
          <w:szCs w:val="24"/>
          <w:highlight w:val="none"/>
        </w:rPr>
      </w:pPr>
    </w:p>
    <w:p>
      <w:pPr>
        <w:pStyle w:val="2"/>
        <w:snapToGrid w:val="0"/>
        <w:spacing w:before="0" w:line="240" w:lineRule="atLeast"/>
        <w:ind w:left="1080" w:leftChars="257" w:hanging="540"/>
        <w:textAlignment w:val="baseline"/>
        <w:rPr>
          <w:rFonts w:hint="eastAsia" w:ascii="微软雅黑" w:hAnsi="微软雅黑" w:eastAsia="微软雅黑" w:cs="微软雅黑"/>
          <w:sz w:val="24"/>
          <w:szCs w:val="24"/>
          <w:highlight w:val="none"/>
        </w:rPr>
      </w:pPr>
    </w:p>
    <w:p>
      <w:pPr>
        <w:pStyle w:val="2"/>
        <w:snapToGrid w:val="0"/>
        <w:spacing w:before="0" w:line="24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第二部分  商务及技术文件</w:t>
      </w:r>
      <w:bookmarkEnd w:id="619"/>
      <w:bookmarkEnd w:id="620"/>
      <w:bookmarkEnd w:id="621"/>
      <w:bookmarkEnd w:id="622"/>
      <w:bookmarkEnd w:id="623"/>
      <w:bookmarkEnd w:id="624"/>
      <w:bookmarkEnd w:id="625"/>
      <w:bookmarkEnd w:id="626"/>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1、磋商书</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2、磋商分项报价表</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3、货物说明一览表</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4、技术规格偏离表</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bookmarkStart w:id="627" w:name="_Toc5136_WPSOffice_Level1"/>
      <w:bookmarkStart w:id="628" w:name="_Toc2883_WPSOffice_Level2"/>
      <w:bookmarkStart w:id="629" w:name="_Toc30193_WPSOffice_Level2"/>
      <w:r>
        <w:rPr>
          <w:rFonts w:hint="eastAsia" w:ascii="微软雅黑" w:hAnsi="微软雅黑" w:eastAsia="微软雅黑" w:cs="微软雅黑"/>
          <w:sz w:val="24"/>
          <w:highlight w:val="none"/>
        </w:rPr>
        <w:t>商务条款偏离表</w:t>
      </w:r>
    </w:p>
    <w:bookmarkEnd w:id="627"/>
    <w:bookmarkEnd w:id="628"/>
    <w:bookmarkEnd w:id="629"/>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6-1 中小企业声明函</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6-2 残疾人福利性单位声明函</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7、供应商关联单位的说明</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8、其他有利于磋商的技术条件</w:t>
      </w:r>
    </w:p>
    <w:p>
      <w:pPr>
        <w:pStyle w:val="17"/>
        <w:spacing w:line="360" w:lineRule="exact"/>
        <w:ind w:firstLine="720" w:firstLineChars="300"/>
        <w:rPr>
          <w:rFonts w:ascii="微软雅黑" w:hAnsi="微软雅黑" w:eastAsia="微软雅黑" w:cs="微软雅黑"/>
          <w:sz w:val="24"/>
          <w:highlight w:val="none"/>
        </w:rPr>
      </w:pPr>
      <w:r>
        <w:rPr>
          <w:rFonts w:hint="eastAsia" w:ascii="微软雅黑" w:hAnsi="微软雅黑" w:eastAsia="微软雅黑" w:cs="微软雅黑"/>
          <w:sz w:val="24"/>
          <w:highlight w:val="none"/>
        </w:rPr>
        <w:t>9、响应文件格式范本</w:t>
      </w:r>
    </w:p>
    <w:p>
      <w:pPr>
        <w:pStyle w:val="17"/>
        <w:snapToGrid w:val="0"/>
        <w:ind w:left="1080" w:leftChars="257" w:hanging="540"/>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pStyle w:val="17"/>
        <w:tabs>
          <w:tab w:val="left" w:pos="5580"/>
        </w:tabs>
        <w:snapToGrid w:val="0"/>
        <w:spacing w:line="240" w:lineRule="atLeast"/>
        <w:textAlignment w:val="baseline"/>
        <w:rPr>
          <w:rFonts w:ascii="微软雅黑" w:hAnsi="微软雅黑" w:eastAsia="微软雅黑" w:cs="微软雅黑"/>
          <w:sz w:val="24"/>
          <w:szCs w:val="24"/>
          <w:highlight w:val="none"/>
        </w:rPr>
      </w:pPr>
    </w:p>
    <w:p>
      <w:pP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br w:type="page"/>
      </w:r>
    </w:p>
    <w:p>
      <w:pPr>
        <w:pStyle w:val="2"/>
        <w:snapToGrid w:val="0"/>
        <w:spacing w:before="0" w:line="240" w:lineRule="atLeast"/>
        <w:ind w:firstLine="3842" w:firstLineChars="1600"/>
        <w:jc w:val="both"/>
        <w:textAlignment w:val="baseline"/>
        <w:rPr>
          <w:rFonts w:ascii="微软雅黑" w:hAnsi="微软雅黑" w:eastAsia="微软雅黑" w:cs="微软雅黑"/>
          <w:sz w:val="24"/>
          <w:highlight w:val="none"/>
        </w:rPr>
      </w:pPr>
      <w:bookmarkStart w:id="630" w:name="_Toc11475"/>
      <w:bookmarkStart w:id="631" w:name="_Toc12852"/>
      <w:bookmarkStart w:id="632" w:name="_Toc22432"/>
      <w:bookmarkStart w:id="633" w:name="_Toc18506"/>
      <w:bookmarkStart w:id="634" w:name="_Toc8940"/>
      <w:bookmarkStart w:id="635" w:name="_Toc14915"/>
      <w:bookmarkStart w:id="636" w:name="_Toc18614"/>
      <w:bookmarkStart w:id="637" w:name="_Toc2041"/>
      <w:bookmarkStart w:id="638" w:name="_Toc515647817"/>
      <w:bookmarkStart w:id="639" w:name="_Toc15971"/>
      <w:bookmarkStart w:id="640" w:name="_Toc14858"/>
      <w:r>
        <w:rPr>
          <w:rFonts w:hint="eastAsia" w:ascii="微软雅黑" w:hAnsi="微软雅黑" w:eastAsia="微软雅黑" w:cs="微软雅黑"/>
          <w:sz w:val="24"/>
          <w:szCs w:val="24"/>
          <w:highlight w:val="none"/>
        </w:rPr>
        <w:t>1</w:t>
      </w:r>
      <w:bookmarkEnd w:id="593"/>
      <w:bookmarkEnd w:id="594"/>
      <w:bookmarkStart w:id="641" w:name="_Hlt520355504"/>
      <w:bookmarkEnd w:id="641"/>
      <w:r>
        <w:rPr>
          <w:rFonts w:hint="eastAsia" w:ascii="微软雅黑" w:hAnsi="微软雅黑" w:eastAsia="微软雅黑" w:cs="微软雅黑"/>
          <w:sz w:val="24"/>
          <w:szCs w:val="24"/>
          <w:highlight w:val="none"/>
        </w:rPr>
        <w:t xml:space="preserve"> 、磋商书</w:t>
      </w:r>
      <w:bookmarkEnd w:id="595"/>
      <w:bookmarkEnd w:id="596"/>
      <w:bookmarkEnd w:id="630"/>
      <w:bookmarkEnd w:id="631"/>
      <w:bookmarkEnd w:id="632"/>
      <w:bookmarkEnd w:id="633"/>
      <w:bookmarkEnd w:id="634"/>
      <w:bookmarkEnd w:id="635"/>
      <w:bookmarkEnd w:id="636"/>
      <w:bookmarkEnd w:id="637"/>
      <w:bookmarkEnd w:id="638"/>
      <w:bookmarkEnd w:id="639"/>
      <w:bookmarkEnd w:id="640"/>
    </w:p>
    <w:p>
      <w:pPr>
        <w:tabs>
          <w:tab w:val="left" w:pos="5580"/>
        </w:tabs>
        <w:snapToGrid w:val="0"/>
        <w:spacing w:line="400" w:lineRule="atLeast"/>
        <w:ind w:left="1080" w:hanging="10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致：</w:t>
      </w:r>
    </w:p>
    <w:p>
      <w:pPr>
        <w:pStyle w:val="17"/>
        <w:tabs>
          <w:tab w:val="left" w:pos="5580"/>
        </w:tabs>
        <w:snapToGrid w:val="0"/>
        <w:spacing w:line="400" w:lineRule="atLeast"/>
        <w:ind w:left="2" w:leftChars="1" w:firstLine="480" w:firstLineChars="20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根据贵方(</w:t>
      </w:r>
      <w:r>
        <w:rPr>
          <w:rFonts w:hint="eastAsia" w:ascii="微软雅黑" w:hAnsi="微软雅黑" w:eastAsia="微软雅黑" w:cs="微软雅黑"/>
          <w:i/>
          <w:sz w:val="24"/>
          <w:szCs w:val="24"/>
          <w:highlight w:val="none"/>
          <w:u w:val="single" w:color="000000"/>
        </w:rPr>
        <w:t>项目名称</w:t>
      </w:r>
      <w:r>
        <w:rPr>
          <w:rFonts w:hint="eastAsia" w:ascii="微软雅黑" w:hAnsi="微软雅黑" w:eastAsia="微软雅黑" w:cs="微软雅黑"/>
          <w:sz w:val="24"/>
          <w:szCs w:val="24"/>
          <w:highlight w:val="none"/>
        </w:rPr>
        <w:t>)项目的磋商邀请(</w:t>
      </w:r>
      <w:r>
        <w:rPr>
          <w:rFonts w:hint="eastAsia" w:ascii="微软雅黑" w:hAnsi="微软雅黑" w:eastAsia="微软雅黑" w:cs="微软雅黑"/>
          <w:i/>
          <w:sz w:val="24"/>
          <w:szCs w:val="24"/>
          <w:highlight w:val="none"/>
          <w:u w:val="single" w:color="000000"/>
        </w:rPr>
        <w:t>项目编号</w:t>
      </w:r>
      <w:r>
        <w:rPr>
          <w:rFonts w:hint="eastAsia" w:ascii="微软雅黑" w:hAnsi="微软雅黑" w:eastAsia="微软雅黑" w:cs="微软雅黑"/>
          <w:i/>
          <w:sz w:val="24"/>
          <w:szCs w:val="24"/>
          <w:highlight w:val="none"/>
          <w:u w:val="single" w:color="000000"/>
          <w:lang w:eastAsia="zh-CN"/>
        </w:rPr>
        <w:t>，标段号</w:t>
      </w:r>
      <w:r>
        <w:rPr>
          <w:rFonts w:hint="eastAsia" w:ascii="微软雅黑" w:hAnsi="微软雅黑" w:eastAsia="微软雅黑" w:cs="微软雅黑"/>
          <w:sz w:val="24"/>
          <w:szCs w:val="24"/>
          <w:highlight w:val="none"/>
        </w:rPr>
        <w:t>),签字代表(</w:t>
      </w:r>
      <w:r>
        <w:rPr>
          <w:rFonts w:hint="eastAsia" w:ascii="微软雅黑" w:hAnsi="微软雅黑" w:eastAsia="微软雅黑" w:cs="微软雅黑"/>
          <w:i/>
          <w:sz w:val="24"/>
          <w:szCs w:val="24"/>
          <w:highlight w:val="none"/>
          <w:u w:val="single" w:color="000000"/>
        </w:rPr>
        <w:t>姓名、职务</w:t>
      </w:r>
      <w:r>
        <w:rPr>
          <w:rFonts w:hint="eastAsia" w:ascii="微软雅黑" w:hAnsi="微软雅黑" w:eastAsia="微软雅黑" w:cs="微软雅黑"/>
          <w:sz w:val="24"/>
          <w:szCs w:val="24"/>
          <w:highlight w:val="none"/>
        </w:rPr>
        <w:t>)经正式授权并代表供应商（</w:t>
      </w:r>
      <w:r>
        <w:rPr>
          <w:rFonts w:hint="eastAsia" w:ascii="微软雅黑" w:hAnsi="微软雅黑" w:eastAsia="微软雅黑" w:cs="微软雅黑"/>
          <w:i/>
          <w:sz w:val="24"/>
          <w:szCs w:val="24"/>
          <w:highlight w:val="none"/>
          <w:u w:val="single" w:color="000000"/>
        </w:rPr>
        <w:t>名称、地址</w:t>
      </w:r>
      <w:r>
        <w:rPr>
          <w:rFonts w:hint="eastAsia" w:ascii="微软雅黑" w:hAnsi="微软雅黑" w:eastAsia="微软雅黑" w:cs="微软雅黑"/>
          <w:sz w:val="24"/>
          <w:szCs w:val="24"/>
          <w:highlight w:val="none"/>
        </w:rPr>
        <w:t>）提交下述文件正本</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份、副本</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份及电子文档</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份，并以</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形式出具的金额为人民币</w:t>
      </w:r>
      <w:r>
        <w:rPr>
          <w:rFonts w:hint="eastAsia" w:ascii="微软雅黑" w:hAnsi="微软雅黑" w:eastAsia="微软雅黑" w:cs="微软雅黑"/>
          <w:sz w:val="24"/>
          <w:szCs w:val="24"/>
          <w:highlight w:val="none"/>
          <w:u w:val="single" w:color="000000"/>
        </w:rPr>
        <w:t>　　　　</w:t>
      </w:r>
      <w:r>
        <w:rPr>
          <w:rFonts w:hint="eastAsia" w:ascii="微软雅黑" w:hAnsi="微软雅黑" w:eastAsia="微软雅黑" w:cs="微软雅黑"/>
          <w:sz w:val="24"/>
          <w:szCs w:val="24"/>
          <w:highlight w:val="none"/>
        </w:rPr>
        <w:t>元的磋商保证金。</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据此，签字代表宣布同意如下：</w:t>
      </w:r>
    </w:p>
    <w:p>
      <w:pPr>
        <w:pStyle w:val="17"/>
        <w:tabs>
          <w:tab w:val="left" w:pos="720"/>
          <w:tab w:val="left" w:pos="900"/>
        </w:tabs>
        <w:snapToGrid w:val="0"/>
        <w:spacing w:line="400" w:lineRule="atLeast"/>
        <w:ind w:left="769" w:leftChars="257" w:hanging="229"/>
        <w:textAlignment w:val="baseline"/>
        <w:rPr>
          <w:rFonts w:ascii="微软雅黑" w:hAnsi="微软雅黑" w:eastAsia="微软雅黑" w:cs="微软雅黑"/>
          <w:sz w:val="24"/>
          <w:szCs w:val="24"/>
          <w:highlight w:val="none"/>
          <w:u w:val="single" w:color="000000"/>
        </w:rPr>
      </w:pPr>
      <w:r>
        <w:rPr>
          <w:rFonts w:hint="eastAsia" w:ascii="微软雅黑" w:hAnsi="微软雅黑" w:eastAsia="微软雅黑" w:cs="微软雅黑"/>
          <w:sz w:val="24"/>
          <w:szCs w:val="24"/>
          <w:highlight w:val="none"/>
        </w:rPr>
        <w:t>（1）附磋商价格表中规定的应提供货物的磋商总价详见磋商开启一览表，</w:t>
      </w:r>
      <w:r>
        <w:rPr>
          <w:rFonts w:hint="eastAsia" w:ascii="微软雅黑" w:hAnsi="微软雅黑" w:eastAsia="微软雅黑" w:cs="微软雅黑"/>
          <w:sz w:val="24"/>
          <w:szCs w:val="24"/>
          <w:highlight w:val="none"/>
          <w:u w:val="single" w:color="000000"/>
        </w:rPr>
        <w:t>其中由小型和</w:t>
      </w:r>
      <w:r>
        <w:rPr>
          <w:rFonts w:hint="eastAsia" w:ascii="微软雅黑" w:hAnsi="微软雅黑" w:eastAsia="微软雅黑" w:cs="微软雅黑"/>
          <w:sz w:val="24"/>
          <w:szCs w:val="24"/>
          <w:highlight w:val="none"/>
        </w:rPr>
        <w:t>微型企业制造产品的价格为</w:t>
      </w:r>
      <w:r>
        <w:rPr>
          <w:rFonts w:hint="eastAsia" w:ascii="微软雅黑" w:hAnsi="微软雅黑" w:eastAsia="微软雅黑" w:cs="微软雅黑"/>
          <w:sz w:val="24"/>
          <w:szCs w:val="24"/>
          <w:highlight w:val="none"/>
          <w:u w:val="single" w:color="000000"/>
        </w:rPr>
        <w:t>　　  （用文字和数字表示），占磋商总价   %</w:t>
      </w:r>
      <w:r>
        <w:rPr>
          <w:rFonts w:hint="eastAsia" w:ascii="微软雅黑" w:hAnsi="微软雅黑" w:eastAsia="微软雅黑" w:cs="微软雅黑"/>
          <w:sz w:val="24"/>
          <w:szCs w:val="24"/>
          <w:highlight w:val="none"/>
        </w:rPr>
        <w:t>。</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（2）本磋商有效期为自磋商截止之日起</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个日历日。</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存在、不存在）投资关系（如果是联合体的话）。</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（4）已详细审查全部磋商文件，包括所有补充通知（如果有的话），完全理解并同意放弃对这方面有不明、误解和质疑的权力。</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（5）在规定的磋商开启时间后，遵守磋商文件中有关保证金的规定。</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（6）我方不是为本项目提供整体设计、规范编制或者项目管理、监理、检测等服务的供应商，我方不是采购代理机构的附属机构。</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（7）在领取成交通知书的同时按磋商文件规定的形式，向贵方一次性支付成交服务费。</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（8）按照贵方可能要求，提供与其磋商有关的一切数据或资料，完全理解贵方不一定接受最低价的磋商或收到的任何磋商。</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（9）按照磋商文件的规定履行合同责任和义务。</w:t>
      </w:r>
    </w:p>
    <w:p>
      <w:pPr>
        <w:pStyle w:val="17"/>
        <w:tabs>
          <w:tab w:val="left" w:pos="5580"/>
        </w:tabs>
        <w:snapToGrid w:val="0"/>
        <w:spacing w:line="400" w:lineRule="atLeast"/>
        <w:ind w:left="359" w:leftChars="68" w:hanging="216" w:hangingChars="9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与本磋商有关的一切正式往来信函请寄：</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 xml:space="preserve">     传真</w:t>
      </w:r>
      <w:r>
        <w:rPr>
          <w:rFonts w:hint="eastAsia" w:ascii="微软雅黑" w:hAnsi="微软雅黑" w:eastAsia="微软雅黑" w:cs="微软雅黑"/>
          <w:sz w:val="24"/>
          <w:szCs w:val="24"/>
          <w:highlight w:val="none"/>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电话</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 xml:space="preserve">     电子函件</w:t>
      </w:r>
      <w:r>
        <w:rPr>
          <w:rFonts w:hint="eastAsia" w:ascii="微软雅黑" w:hAnsi="微软雅黑" w:eastAsia="微软雅黑" w:cs="微软雅黑"/>
          <w:sz w:val="24"/>
          <w:szCs w:val="24"/>
          <w:highlight w:val="none"/>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u w:val="single" w:color="000000"/>
        </w:rPr>
      </w:pPr>
      <w:r>
        <w:rPr>
          <w:rFonts w:hint="eastAsia" w:ascii="微软雅黑" w:hAnsi="微软雅黑" w:eastAsia="微软雅黑" w:cs="微软雅黑"/>
          <w:sz w:val="24"/>
          <w:szCs w:val="24"/>
          <w:highlight w:val="none"/>
        </w:rPr>
        <w:t>法定代表人或其委托代理人（</w:t>
      </w:r>
      <w:r>
        <w:rPr>
          <w:rFonts w:hint="eastAsia" w:ascii="微软雅黑" w:hAnsi="微软雅黑" w:eastAsia="微软雅黑" w:cs="微软雅黑"/>
          <w:sz w:val="24"/>
          <w:szCs w:val="24"/>
          <w:highlight w:val="none"/>
          <w:lang w:eastAsia="zh-CN"/>
        </w:rPr>
        <w:t>签字或盖章</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供应商名称（全称）</w:t>
      </w:r>
      <w:r>
        <w:rPr>
          <w:rFonts w:hint="eastAsia" w:ascii="微软雅黑" w:hAnsi="微软雅黑" w:eastAsia="微软雅黑" w:cs="微软雅黑"/>
          <w:sz w:val="24"/>
          <w:szCs w:val="24"/>
          <w:highlight w:val="none"/>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供应商开户银行（全称）</w:t>
      </w:r>
      <w:r>
        <w:rPr>
          <w:rFonts w:hint="eastAsia" w:ascii="微软雅黑" w:hAnsi="微软雅黑" w:eastAsia="微软雅黑" w:cs="微软雅黑"/>
          <w:sz w:val="24"/>
          <w:szCs w:val="24"/>
          <w:highlight w:val="none"/>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供应商银行帐号</w:t>
      </w:r>
      <w:r>
        <w:rPr>
          <w:rFonts w:hint="eastAsia" w:ascii="微软雅黑" w:hAnsi="微软雅黑" w:eastAsia="微软雅黑" w:cs="微软雅黑"/>
          <w:sz w:val="24"/>
          <w:szCs w:val="24"/>
          <w:highlight w:val="none"/>
          <w:u w:val="single" w:color="000000"/>
        </w:rPr>
        <w:t>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sz w:val="24"/>
          <w:szCs w:val="24"/>
          <w:highlight w:val="none"/>
          <w:u w:val="single" w:color="000000"/>
        </w:rPr>
      </w:pPr>
      <w:r>
        <w:rPr>
          <w:rFonts w:hint="eastAsia" w:ascii="微软雅黑" w:hAnsi="微软雅黑" w:eastAsia="微软雅黑" w:cs="微软雅黑"/>
          <w:sz w:val="24"/>
          <w:szCs w:val="24"/>
          <w:highlight w:val="none"/>
        </w:rPr>
        <w:t>供应商（公章）</w:t>
      </w:r>
      <w:r>
        <w:rPr>
          <w:rFonts w:hint="eastAsia" w:ascii="微软雅黑" w:hAnsi="微软雅黑" w:eastAsia="微软雅黑" w:cs="微软雅黑"/>
          <w:sz w:val="24"/>
          <w:szCs w:val="24"/>
          <w:highlight w:val="none"/>
          <w:u w:val="single" w:color="000000"/>
        </w:rPr>
        <w:t xml:space="preserve">　　　　　　       </w:t>
      </w:r>
      <w:r>
        <w:rPr>
          <w:rFonts w:hint="eastAsia" w:ascii="微软雅黑" w:hAnsi="微软雅黑" w:eastAsia="微软雅黑" w:cs="微软雅黑"/>
          <w:sz w:val="24"/>
          <w:szCs w:val="24"/>
          <w:highlight w:val="none"/>
        </w:rPr>
        <w:t>日期</w:t>
      </w:r>
      <w:r>
        <w:rPr>
          <w:rFonts w:hint="eastAsia" w:ascii="微软雅黑" w:hAnsi="微软雅黑" w:eastAsia="微软雅黑" w:cs="微软雅黑"/>
          <w:sz w:val="24"/>
          <w:szCs w:val="24"/>
          <w:highlight w:val="none"/>
          <w:u w:val="single" w:color="000000"/>
        </w:rPr>
        <w:t>　　　　　　</w:t>
      </w:r>
      <w:bookmarkStart w:id="642" w:name="_Toc1881"/>
      <w:bookmarkStart w:id="643" w:name="_Toc515647818"/>
      <w:bookmarkStart w:id="644" w:name="_Toc216582815"/>
      <w:bookmarkStart w:id="645" w:name="_Toc20897"/>
    </w:p>
    <w:bookmarkEnd w:id="642"/>
    <w:bookmarkEnd w:id="643"/>
    <w:bookmarkEnd w:id="644"/>
    <w:bookmarkEnd w:id="645"/>
    <w:p>
      <w:pPr>
        <w:pStyle w:val="17"/>
        <w:spacing w:line="360" w:lineRule="exact"/>
        <w:rPr>
          <w:rFonts w:ascii="微软雅黑" w:hAnsi="微软雅黑" w:eastAsia="微软雅黑" w:cs="微软雅黑"/>
          <w:b/>
          <w:kern w:val="0"/>
          <w:sz w:val="24"/>
          <w:highlight w:val="none"/>
        </w:rPr>
      </w:pPr>
      <w:bookmarkStart w:id="646" w:name="_Toc23195"/>
      <w:bookmarkStart w:id="647" w:name="_Toc11664"/>
      <w:bookmarkStart w:id="648" w:name="_Toc16278"/>
      <w:bookmarkStart w:id="649" w:name="_Toc32628"/>
      <w:bookmarkStart w:id="650" w:name="_Toc3467"/>
      <w:bookmarkStart w:id="651" w:name="_Toc18940"/>
      <w:bookmarkStart w:id="652" w:name="_Toc21814"/>
      <w:bookmarkStart w:id="653" w:name="_Toc9921"/>
      <w:bookmarkStart w:id="654" w:name="_Toc14037"/>
      <w:bookmarkStart w:id="655" w:name="_Toc216582816"/>
      <w:bookmarkStart w:id="656" w:name="_Toc6343"/>
      <w:bookmarkStart w:id="657" w:name="_Toc12151"/>
      <w:bookmarkStart w:id="658" w:name="_Toc22132"/>
      <w:bookmarkStart w:id="659" w:name="_Toc24292"/>
      <w:bookmarkStart w:id="660" w:name="_Toc18267"/>
      <w:bookmarkStart w:id="661" w:name="_Toc25251"/>
      <w:bookmarkStart w:id="662" w:name="_Toc515647819"/>
      <w:bookmarkStart w:id="663" w:name="_Toc22104"/>
    </w:p>
    <w:p>
      <w:pPr>
        <w:pStyle w:val="17"/>
        <w:spacing w:line="360" w:lineRule="exact"/>
        <w:rPr>
          <w:rFonts w:ascii="微软雅黑" w:hAnsi="微软雅黑" w:eastAsia="微软雅黑" w:cs="微软雅黑"/>
          <w:b/>
          <w:kern w:val="0"/>
          <w:sz w:val="24"/>
          <w:highlight w:val="none"/>
        </w:rPr>
      </w:pPr>
    </w:p>
    <w:p>
      <w:pPr>
        <w:pStyle w:val="17"/>
        <w:spacing w:line="360" w:lineRule="exact"/>
        <w:rPr>
          <w:rFonts w:ascii="微软雅黑" w:hAnsi="微软雅黑" w:eastAsia="微软雅黑" w:cs="微软雅黑"/>
          <w:b/>
          <w:kern w:val="0"/>
          <w:sz w:val="24"/>
          <w:highlight w:val="none"/>
        </w:rPr>
      </w:pPr>
    </w:p>
    <w:p>
      <w:pPr>
        <w:pStyle w:val="17"/>
        <w:spacing w:line="360" w:lineRule="exact"/>
        <w:rPr>
          <w:rFonts w:ascii="微软雅黑" w:hAnsi="微软雅黑" w:eastAsia="微软雅黑" w:cs="微软雅黑"/>
          <w:b/>
          <w:kern w:val="0"/>
          <w:sz w:val="24"/>
          <w:highlight w:val="none"/>
        </w:rPr>
      </w:pPr>
    </w:p>
    <w:p>
      <w:pPr>
        <w:pStyle w:val="2"/>
        <w:spacing w:before="0" w:line="360" w:lineRule="exact"/>
        <w:ind w:left="1080" w:leftChars="257" w:hanging="540"/>
        <w:rPr>
          <w:rFonts w:ascii="微软雅黑" w:hAnsi="微软雅黑" w:eastAsia="微软雅黑" w:cs="微软雅黑"/>
          <w:sz w:val="24"/>
          <w:szCs w:val="24"/>
          <w:highlight w:val="none"/>
        </w:rPr>
      </w:pPr>
      <w:bookmarkStart w:id="664" w:name="_Toc9529"/>
      <w:bookmarkStart w:id="665" w:name="_Toc457"/>
      <w:r>
        <w:rPr>
          <w:rFonts w:hint="eastAsia" w:ascii="微软雅黑" w:hAnsi="微软雅黑" w:eastAsia="微软雅黑" w:cs="微软雅黑"/>
          <w:sz w:val="24"/>
          <w:szCs w:val="24"/>
          <w:highlight w:val="none"/>
        </w:rPr>
        <w:t xml:space="preserve">2 </w:t>
      </w:r>
      <w:bookmarkStart w:id="666" w:name="_Toc5101"/>
      <w:r>
        <w:rPr>
          <w:rFonts w:hint="eastAsia" w:ascii="微软雅黑" w:hAnsi="微软雅黑" w:eastAsia="微软雅黑" w:cs="微软雅黑"/>
          <w:sz w:val="24"/>
          <w:szCs w:val="24"/>
          <w:highlight w:val="none"/>
        </w:rPr>
        <w:t>、</w:t>
      </w:r>
      <w:r>
        <w:rPr>
          <w:rFonts w:hint="eastAsia" w:ascii="微软雅黑" w:hAnsi="微软雅黑" w:eastAsia="微软雅黑" w:cs="微软雅黑"/>
          <w:bCs/>
          <w:sz w:val="24"/>
          <w:szCs w:val="24"/>
          <w:highlight w:val="none"/>
        </w:rPr>
        <w:t>磋商分项报价表</w:t>
      </w:r>
      <w:bookmarkEnd w:id="664"/>
      <w:bookmarkEnd w:id="665"/>
      <w:bookmarkEnd w:id="666"/>
    </w:p>
    <w:p>
      <w:pPr>
        <w:pStyle w:val="17"/>
        <w:spacing w:line="360" w:lineRule="exact"/>
        <w:jc w:val="left"/>
        <w:rPr>
          <w:rFonts w:ascii="微软雅黑" w:hAnsi="微软雅黑" w:eastAsia="微软雅黑" w:cs="微软雅黑"/>
          <w:sz w:val="24"/>
          <w:szCs w:val="24"/>
          <w:highlight w:val="none"/>
        </w:rPr>
      </w:pPr>
    </w:p>
    <w:p>
      <w:pPr>
        <w:pStyle w:val="17"/>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项目名称:                      招标编号:                       </w:t>
      </w:r>
      <w:r>
        <w:rPr>
          <w:rFonts w:hint="eastAsia" w:ascii="微软雅黑" w:hAnsi="微软雅黑" w:eastAsia="微软雅黑" w:cs="微软雅黑"/>
          <w:sz w:val="24"/>
          <w:szCs w:val="24"/>
          <w:highlight w:val="none"/>
          <w:lang w:eastAsia="zh-CN"/>
        </w:rPr>
        <w:t>标段</w:t>
      </w:r>
      <w:r>
        <w:rPr>
          <w:rFonts w:hint="eastAsia" w:ascii="微软雅黑" w:hAnsi="微软雅黑" w:eastAsia="微软雅黑" w:cs="微软雅黑"/>
          <w:sz w:val="24"/>
          <w:szCs w:val="24"/>
          <w:highlight w:val="none"/>
        </w:rPr>
        <w:t>号: 　 　             报价单位：</w:t>
      </w:r>
    </w:p>
    <w:tbl>
      <w:tblPr>
        <w:tblStyle w:val="3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693"/>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1336"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名称</w:t>
            </w:r>
          </w:p>
        </w:tc>
        <w:tc>
          <w:tcPr>
            <w:tcW w:w="1539"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型号和规格</w:t>
            </w:r>
          </w:p>
        </w:tc>
        <w:tc>
          <w:tcPr>
            <w:tcW w:w="770"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693"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品牌</w:t>
            </w:r>
          </w:p>
        </w:tc>
        <w:tc>
          <w:tcPr>
            <w:tcW w:w="1417"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制造商名称</w:t>
            </w:r>
          </w:p>
        </w:tc>
        <w:tc>
          <w:tcPr>
            <w:tcW w:w="692"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单价</w:t>
            </w:r>
          </w:p>
        </w:tc>
        <w:tc>
          <w:tcPr>
            <w:tcW w:w="843"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总价</w:t>
            </w:r>
          </w:p>
        </w:tc>
        <w:tc>
          <w:tcPr>
            <w:tcW w:w="801"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336"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货物名称</w:t>
            </w:r>
          </w:p>
        </w:tc>
        <w:tc>
          <w:tcPr>
            <w:tcW w:w="1539"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770"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1417"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2"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01"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336" w:type="dxa"/>
            <w:noWrap/>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技术服务</w:t>
            </w:r>
          </w:p>
        </w:tc>
        <w:tc>
          <w:tcPr>
            <w:tcW w:w="1539"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770"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1417"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2"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01"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336" w:type="dxa"/>
            <w:noWrap/>
            <w:vAlign w:val="center"/>
          </w:tcPr>
          <w:p>
            <w:pPr>
              <w:pStyle w:val="17"/>
              <w:spacing w:line="400" w:lineRule="exact"/>
              <w:jc w:val="cente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售后服务</w:t>
            </w:r>
          </w:p>
        </w:tc>
        <w:tc>
          <w:tcPr>
            <w:tcW w:w="1539"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770"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1417"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2"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01"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w:t>
            </w:r>
          </w:p>
        </w:tc>
        <w:tc>
          <w:tcPr>
            <w:tcW w:w="1336" w:type="dxa"/>
            <w:noWrap/>
            <w:vAlign w:val="center"/>
          </w:tcPr>
          <w:p>
            <w:pPr>
              <w:pStyle w:val="17"/>
              <w:spacing w:line="400" w:lineRule="exact"/>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w:t>
            </w:r>
          </w:p>
        </w:tc>
        <w:tc>
          <w:tcPr>
            <w:tcW w:w="1539"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770"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1417"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2"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01"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w:t>
            </w:r>
          </w:p>
        </w:tc>
        <w:tc>
          <w:tcPr>
            <w:tcW w:w="1336" w:type="dxa"/>
            <w:noWrap/>
            <w:vAlign w:val="center"/>
          </w:tcPr>
          <w:p>
            <w:pPr>
              <w:pStyle w:val="17"/>
              <w:spacing w:line="400" w:lineRule="exact"/>
              <w:jc w:val="center"/>
              <w:rPr>
                <w:rFonts w:ascii="微软雅黑" w:hAnsi="微软雅黑" w:eastAsia="微软雅黑" w:cs="微软雅黑"/>
                <w:sz w:val="24"/>
                <w:szCs w:val="24"/>
                <w:highlight w:val="none"/>
              </w:rPr>
            </w:pPr>
          </w:p>
        </w:tc>
        <w:tc>
          <w:tcPr>
            <w:tcW w:w="1539"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770"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1417"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692"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801" w:type="dxa"/>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201" w:type="dxa"/>
            <w:gridSpan w:val="7"/>
            <w:noWrap/>
            <w:vAlign w:val="center"/>
          </w:tcPr>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总价：</w:t>
            </w:r>
          </w:p>
        </w:tc>
        <w:tc>
          <w:tcPr>
            <w:tcW w:w="1644" w:type="dxa"/>
            <w:gridSpan w:val="2"/>
            <w:noWrap/>
            <w:vAlign w:val="center"/>
          </w:tcPr>
          <w:p>
            <w:pPr>
              <w:pStyle w:val="17"/>
              <w:spacing w:line="400" w:lineRule="exact"/>
              <w:ind w:left="1080" w:leftChars="257" w:hanging="540"/>
              <w:jc w:val="center"/>
              <w:rPr>
                <w:rFonts w:ascii="微软雅黑" w:hAnsi="微软雅黑" w:eastAsia="微软雅黑" w:cs="微软雅黑"/>
                <w:sz w:val="24"/>
                <w:szCs w:val="24"/>
                <w:highlight w:val="none"/>
              </w:rPr>
            </w:pPr>
          </w:p>
        </w:tc>
      </w:tr>
    </w:tbl>
    <w:p>
      <w:pPr>
        <w:pStyle w:val="17"/>
        <w:spacing w:line="400" w:lineRule="exact"/>
        <w:jc w:val="left"/>
        <w:rPr>
          <w:rFonts w:ascii="微软雅黑" w:hAnsi="微软雅黑" w:eastAsia="微软雅黑" w:cs="微软雅黑"/>
          <w:sz w:val="24"/>
          <w:szCs w:val="24"/>
          <w:highlight w:val="none"/>
        </w:rPr>
      </w:pPr>
    </w:p>
    <w:p>
      <w:pPr>
        <w:pStyle w:val="17"/>
        <w:spacing w:line="400" w:lineRule="exact"/>
        <w:rPr>
          <w:rFonts w:ascii="微软雅黑" w:hAnsi="微软雅黑" w:eastAsia="微软雅黑" w:cs="微软雅黑"/>
          <w:sz w:val="24"/>
          <w:szCs w:val="24"/>
          <w:highlight w:val="none"/>
        </w:rPr>
      </w:pPr>
    </w:p>
    <w:p>
      <w:pPr>
        <w:pStyle w:val="17"/>
        <w:spacing w:line="400" w:lineRule="exact"/>
        <w:ind w:left="1080" w:leftChars="257" w:hanging="540"/>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法定代表人或其委托代理人（</w:t>
      </w:r>
      <w:r>
        <w:rPr>
          <w:rFonts w:hint="eastAsia" w:ascii="微软雅黑" w:hAnsi="微软雅黑" w:eastAsia="微软雅黑" w:cs="微软雅黑"/>
          <w:sz w:val="24"/>
          <w:szCs w:val="24"/>
          <w:highlight w:val="none"/>
          <w:lang w:eastAsia="zh-CN"/>
        </w:rPr>
        <w:t>签字</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ab/>
      </w:r>
      <w:r>
        <w:rPr>
          <w:rFonts w:hint="eastAsia" w:ascii="微软雅黑" w:hAnsi="微软雅黑" w:eastAsia="微软雅黑" w:cs="微软雅黑"/>
          <w:sz w:val="24"/>
          <w:szCs w:val="24"/>
          <w:highlight w:val="none"/>
          <w:u w:val="single"/>
          <w:lang w:val="en-US" w:eastAsia="zh-CN"/>
        </w:rPr>
        <w:t xml:space="preserve">    </w:t>
      </w:r>
    </w:p>
    <w:p>
      <w:pPr>
        <w:pStyle w:val="17"/>
        <w:tabs>
          <w:tab w:val="left" w:pos="537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pPr>
        <w:pStyle w:val="17"/>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注:1.如果供应商认为需要，每种</w:t>
      </w:r>
      <w:r>
        <w:rPr>
          <w:rFonts w:hint="eastAsia" w:ascii="微软雅黑" w:hAnsi="微软雅黑" w:eastAsia="微软雅黑" w:cs="微软雅黑"/>
          <w:sz w:val="24"/>
          <w:szCs w:val="24"/>
          <w:highlight w:val="none"/>
          <w:lang w:val="en-US" w:eastAsia="zh-CN"/>
        </w:rPr>
        <w:t>货物</w:t>
      </w:r>
      <w:r>
        <w:rPr>
          <w:rFonts w:hint="eastAsia" w:ascii="微软雅黑" w:hAnsi="微软雅黑" w:eastAsia="微软雅黑" w:cs="微软雅黑"/>
          <w:sz w:val="24"/>
          <w:szCs w:val="24"/>
          <w:highlight w:val="none"/>
        </w:rPr>
        <w:t>内容填写一份该表。</w:t>
      </w:r>
    </w:p>
    <w:p>
      <w:pPr>
        <w:pStyle w:val="17"/>
        <w:spacing w:line="400" w:lineRule="exact"/>
        <w:ind w:left="1079" w:leftChars="428" w:hanging="180" w:hangingChars="75"/>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2.如果按单价计算的结果与总价不一致,以单价为准修正总价。</w:t>
      </w:r>
    </w:p>
    <w:p>
      <w:pPr>
        <w:pStyle w:val="17"/>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3.如果不提供详细分项报价将视为没有实质性响应招标文件。</w:t>
      </w:r>
    </w:p>
    <w:p>
      <w:pPr>
        <w:pStyle w:val="17"/>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4.上述各项的详细分项报价，应另页描述。</w:t>
      </w:r>
    </w:p>
    <w:p>
      <w:pPr>
        <w:pStyle w:val="17"/>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5.如果</w:t>
      </w:r>
      <w:r>
        <w:rPr>
          <w:rFonts w:hint="eastAsia" w:ascii="微软雅黑" w:hAnsi="微软雅黑" w:eastAsia="微软雅黑" w:cs="微软雅黑"/>
          <w:sz w:val="24"/>
          <w:szCs w:val="24"/>
          <w:highlight w:val="none"/>
          <w:lang w:eastAsia="zh-CN"/>
        </w:rPr>
        <w:t>磋商报价一览表</w:t>
      </w:r>
      <w:r>
        <w:rPr>
          <w:rFonts w:hint="eastAsia" w:ascii="微软雅黑" w:hAnsi="微软雅黑" w:eastAsia="微软雅黑" w:cs="微软雅黑"/>
          <w:sz w:val="24"/>
          <w:szCs w:val="24"/>
          <w:highlight w:val="none"/>
        </w:rPr>
        <w:t>（报价表）内容与投标文件中明细表内容不一致的，以</w:t>
      </w:r>
      <w:r>
        <w:rPr>
          <w:rFonts w:hint="eastAsia" w:ascii="微软雅黑" w:hAnsi="微软雅黑" w:eastAsia="微软雅黑" w:cs="微软雅黑"/>
          <w:sz w:val="24"/>
          <w:szCs w:val="24"/>
          <w:highlight w:val="none"/>
          <w:lang w:eastAsia="zh-CN"/>
        </w:rPr>
        <w:t>磋商报价一览表</w:t>
      </w:r>
      <w:r>
        <w:rPr>
          <w:rFonts w:hint="eastAsia" w:ascii="微软雅黑" w:hAnsi="微软雅黑" w:eastAsia="微软雅黑" w:cs="微软雅黑"/>
          <w:sz w:val="24"/>
          <w:szCs w:val="24"/>
          <w:highlight w:val="none"/>
        </w:rPr>
        <w:t>（报价表）内容为准。</w:t>
      </w:r>
    </w:p>
    <w:p>
      <w:pPr>
        <w:pStyle w:val="17"/>
        <w:spacing w:line="400" w:lineRule="exact"/>
        <w:rPr>
          <w:rFonts w:ascii="微软雅黑" w:hAnsi="微软雅黑" w:eastAsia="微软雅黑" w:cs="微软雅黑"/>
          <w:b/>
          <w:kern w:val="0"/>
          <w:sz w:val="24"/>
          <w:szCs w:val="24"/>
          <w:highlight w:val="none"/>
        </w:rPr>
      </w:pPr>
    </w:p>
    <w:p>
      <w:pPr>
        <w:pStyle w:val="17"/>
        <w:spacing w:line="400" w:lineRule="exact"/>
        <w:rPr>
          <w:rFonts w:ascii="微软雅黑" w:hAnsi="微软雅黑" w:eastAsia="微软雅黑" w:cs="微软雅黑"/>
          <w:b/>
          <w:kern w:val="0"/>
          <w:sz w:val="24"/>
          <w:szCs w:val="24"/>
          <w:highlight w:val="none"/>
        </w:rPr>
      </w:pPr>
    </w:p>
    <w:p>
      <w:pPr>
        <w:pStyle w:val="17"/>
        <w:spacing w:line="400" w:lineRule="exact"/>
        <w:rPr>
          <w:rFonts w:ascii="微软雅黑" w:hAnsi="微软雅黑" w:eastAsia="微软雅黑" w:cs="微软雅黑"/>
          <w:b/>
          <w:kern w:val="0"/>
          <w:sz w:val="24"/>
          <w:szCs w:val="24"/>
          <w:highlight w:val="none"/>
        </w:rPr>
      </w:pPr>
    </w:p>
    <w:p>
      <w:pPr>
        <w:pStyle w:val="17"/>
        <w:spacing w:line="400" w:lineRule="exact"/>
        <w:rPr>
          <w:rFonts w:ascii="微软雅黑" w:hAnsi="微软雅黑" w:eastAsia="微软雅黑" w:cs="微软雅黑"/>
          <w:b/>
          <w:kern w:val="0"/>
          <w:sz w:val="24"/>
          <w:szCs w:val="24"/>
          <w:highlight w:val="none"/>
        </w:rPr>
      </w:pPr>
    </w:p>
    <w:p>
      <w:pPr>
        <w:pStyle w:val="17"/>
        <w:spacing w:line="400" w:lineRule="exact"/>
        <w:rPr>
          <w:rFonts w:ascii="微软雅黑" w:hAnsi="微软雅黑" w:eastAsia="微软雅黑" w:cs="微软雅黑"/>
          <w:b/>
          <w:kern w:val="0"/>
          <w:sz w:val="24"/>
          <w:szCs w:val="24"/>
          <w:highlight w:val="none"/>
        </w:rPr>
      </w:pPr>
    </w:p>
    <w:p>
      <w:pPr>
        <w:pStyle w:val="17"/>
        <w:spacing w:line="400" w:lineRule="exact"/>
        <w:rPr>
          <w:rFonts w:ascii="微软雅黑" w:hAnsi="微软雅黑" w:eastAsia="微软雅黑" w:cs="微软雅黑"/>
          <w:b/>
          <w:kern w:val="0"/>
          <w:sz w:val="24"/>
          <w:szCs w:val="24"/>
          <w:highlight w:val="none"/>
        </w:rPr>
      </w:pPr>
    </w:p>
    <w:p>
      <w:pPr>
        <w:pStyle w:val="17"/>
        <w:spacing w:line="480" w:lineRule="exact"/>
        <w:rPr>
          <w:rFonts w:ascii="微软雅黑" w:hAnsi="微软雅黑" w:eastAsia="微软雅黑" w:cs="微软雅黑"/>
          <w:sz w:val="24"/>
          <w:szCs w:val="24"/>
          <w:highlight w:val="none"/>
        </w:rPr>
      </w:pPr>
    </w:p>
    <w:p>
      <w:pPr>
        <w:pStyle w:val="17"/>
        <w:spacing w:line="360" w:lineRule="exact"/>
        <w:rPr>
          <w:rFonts w:ascii="微软雅黑" w:hAnsi="微软雅黑" w:eastAsia="微软雅黑" w:cs="微软雅黑"/>
          <w:b/>
          <w:kern w:val="0"/>
          <w:sz w:val="24"/>
          <w:highlight w:val="none"/>
        </w:rPr>
      </w:pPr>
    </w:p>
    <w:p>
      <w:pPr>
        <w:pStyle w:val="2"/>
        <w:spacing w:before="0" w:line="240" w:lineRule="atLeast"/>
        <w:ind w:firstLine="3122" w:firstLineChars="1300"/>
        <w:jc w:val="both"/>
        <w:rPr>
          <w:rFonts w:ascii="微软雅黑" w:hAnsi="微软雅黑" w:eastAsia="微软雅黑" w:cs="微软雅黑"/>
          <w:bCs/>
          <w:sz w:val="21"/>
          <w:szCs w:val="21"/>
          <w:highlight w:val="none"/>
        </w:rPr>
      </w:pPr>
      <w:bookmarkStart w:id="667" w:name="_Toc29255"/>
      <w:r>
        <w:rPr>
          <w:rFonts w:hint="eastAsia" w:ascii="微软雅黑" w:hAnsi="微软雅黑" w:eastAsia="微软雅黑" w:cs="微软雅黑"/>
          <w:sz w:val="24"/>
          <w:highlight w:val="none"/>
        </w:rPr>
        <w:t xml:space="preserve">3 </w:t>
      </w:r>
      <w:bookmarkEnd w:id="646"/>
      <w:bookmarkEnd w:id="647"/>
      <w:bookmarkEnd w:id="648"/>
      <w:bookmarkEnd w:id="649"/>
      <w:bookmarkEnd w:id="650"/>
      <w:bookmarkEnd w:id="651"/>
      <w:bookmarkEnd w:id="652"/>
      <w:r>
        <w:rPr>
          <w:rFonts w:hint="eastAsia" w:ascii="微软雅黑" w:hAnsi="微软雅黑" w:eastAsia="微软雅黑" w:cs="微软雅黑"/>
          <w:sz w:val="24"/>
          <w:highlight w:val="none"/>
        </w:rPr>
        <w:t>、</w:t>
      </w:r>
      <w:r>
        <w:rPr>
          <w:rFonts w:hint="eastAsia" w:ascii="微软雅黑" w:hAnsi="微软雅黑" w:eastAsia="微软雅黑" w:cs="微软雅黑"/>
          <w:bCs/>
          <w:sz w:val="24"/>
          <w:szCs w:val="24"/>
          <w:highlight w:val="none"/>
        </w:rPr>
        <w:t>货物说明一览表</w:t>
      </w:r>
      <w:bookmarkEnd w:id="667"/>
    </w:p>
    <w:p>
      <w:pPr>
        <w:pStyle w:val="17"/>
        <w:spacing w:line="240" w:lineRule="atLeast"/>
        <w:jc w:val="left"/>
        <w:rPr>
          <w:rFonts w:ascii="微软雅黑" w:hAnsi="微软雅黑" w:eastAsia="微软雅黑" w:cs="微软雅黑"/>
          <w:szCs w:val="21"/>
          <w:highlight w:val="none"/>
        </w:rPr>
      </w:pPr>
    </w:p>
    <w:p>
      <w:pPr>
        <w:pStyle w:val="17"/>
        <w:spacing w:line="400" w:lineRule="exact"/>
        <w:jc w:val="lef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项目名称:                    招标编号:                   </w:t>
      </w:r>
      <w:r>
        <w:rPr>
          <w:rFonts w:hint="eastAsia" w:ascii="微软雅黑" w:hAnsi="微软雅黑" w:eastAsia="微软雅黑" w:cs="微软雅黑"/>
          <w:sz w:val="24"/>
          <w:szCs w:val="24"/>
          <w:highlight w:val="none"/>
          <w:lang w:eastAsia="zh-CN"/>
        </w:rPr>
        <w:t>标段号：</w:t>
      </w:r>
      <w:r>
        <w:rPr>
          <w:rFonts w:hint="eastAsia" w:ascii="微软雅黑" w:hAnsi="微软雅黑" w:eastAsia="微软雅黑" w:cs="微软雅黑"/>
          <w:sz w:val="24"/>
          <w:szCs w:val="24"/>
          <w:highlight w:val="none"/>
        </w:rPr>
        <w:t xml:space="preserve">                                         </w:t>
      </w:r>
    </w:p>
    <w:p>
      <w:pPr>
        <w:pStyle w:val="17"/>
        <w:spacing w:line="400" w:lineRule="exact"/>
        <w:ind w:left="1080" w:leftChars="257" w:hanging="540"/>
        <w:rPr>
          <w:rFonts w:ascii="微软雅黑" w:hAnsi="微软雅黑" w:eastAsia="微软雅黑" w:cs="微软雅黑"/>
          <w:sz w:val="24"/>
          <w:szCs w:val="24"/>
          <w:highlight w:val="none"/>
        </w:rPr>
      </w:pPr>
    </w:p>
    <w:tbl>
      <w:tblPr>
        <w:tblStyle w:val="36"/>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141" w:type="dxa"/>
            <w:vAlign w:val="center"/>
          </w:tcPr>
          <w:p>
            <w:pPr>
              <w:widowControl/>
              <w:spacing w:line="400" w:lineRule="exact"/>
              <w:jc w:val="center"/>
              <w:textAlignment w:val="center"/>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序号</w:t>
            </w:r>
          </w:p>
        </w:tc>
        <w:tc>
          <w:tcPr>
            <w:tcW w:w="1370" w:type="dxa"/>
            <w:vAlign w:val="center"/>
          </w:tcPr>
          <w:p>
            <w:pPr>
              <w:widowControl/>
              <w:spacing w:line="400" w:lineRule="exact"/>
              <w:jc w:val="center"/>
              <w:textAlignment w:val="center"/>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货物名称</w:t>
            </w:r>
          </w:p>
        </w:tc>
        <w:tc>
          <w:tcPr>
            <w:tcW w:w="1475" w:type="dxa"/>
            <w:vAlign w:val="center"/>
          </w:tcPr>
          <w:p>
            <w:pPr>
              <w:widowControl/>
              <w:spacing w:line="400" w:lineRule="exact"/>
              <w:jc w:val="center"/>
              <w:textAlignment w:val="center"/>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规格型号</w:t>
            </w:r>
          </w:p>
        </w:tc>
        <w:tc>
          <w:tcPr>
            <w:tcW w:w="1366" w:type="dxa"/>
            <w:vAlign w:val="center"/>
          </w:tcPr>
          <w:p>
            <w:pPr>
              <w:widowControl/>
              <w:spacing w:line="400" w:lineRule="exact"/>
              <w:jc w:val="center"/>
              <w:textAlignment w:val="center"/>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数量</w:t>
            </w:r>
          </w:p>
        </w:tc>
        <w:tc>
          <w:tcPr>
            <w:tcW w:w="1586" w:type="dxa"/>
            <w:vAlign w:val="center"/>
          </w:tcPr>
          <w:p>
            <w:pPr>
              <w:widowControl/>
              <w:spacing w:line="400" w:lineRule="exact"/>
              <w:jc w:val="center"/>
              <w:textAlignment w:val="center"/>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交货期</w:t>
            </w:r>
          </w:p>
        </w:tc>
        <w:tc>
          <w:tcPr>
            <w:tcW w:w="2238" w:type="dxa"/>
            <w:vAlign w:val="center"/>
          </w:tcPr>
          <w:p>
            <w:pPr>
              <w:widowControl/>
              <w:spacing w:line="400" w:lineRule="exact"/>
              <w:jc w:val="center"/>
              <w:textAlignment w:val="center"/>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交货地点</w:t>
            </w:r>
          </w:p>
        </w:tc>
        <w:tc>
          <w:tcPr>
            <w:tcW w:w="1232" w:type="dxa"/>
            <w:vAlign w:val="center"/>
          </w:tcPr>
          <w:p>
            <w:pPr>
              <w:widowControl/>
              <w:spacing w:line="400" w:lineRule="exact"/>
              <w:jc w:val="center"/>
              <w:textAlignment w:val="center"/>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7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4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6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58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23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232"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7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4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6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58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23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232"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7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4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6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58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23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232"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7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4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6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58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23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232"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7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4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6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58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23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232"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7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4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6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58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23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232"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7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4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6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586"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23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232" w:type="dxa"/>
          </w:tcPr>
          <w:p>
            <w:pPr>
              <w:pStyle w:val="17"/>
              <w:spacing w:line="400" w:lineRule="exact"/>
              <w:ind w:left="1080" w:leftChars="257" w:hanging="540"/>
              <w:rPr>
                <w:rFonts w:ascii="微软雅黑" w:hAnsi="微软雅黑" w:eastAsia="微软雅黑" w:cs="微软雅黑"/>
                <w:sz w:val="24"/>
                <w:szCs w:val="24"/>
                <w:highlight w:val="none"/>
              </w:rPr>
            </w:pPr>
          </w:p>
        </w:tc>
      </w:tr>
    </w:tbl>
    <w:p>
      <w:pPr>
        <w:pStyle w:val="17"/>
        <w:spacing w:line="400" w:lineRule="exact"/>
        <w:ind w:left="1080" w:leftChars="257" w:hanging="540"/>
        <w:rPr>
          <w:rFonts w:ascii="微软雅黑" w:hAnsi="微软雅黑" w:eastAsia="微软雅黑" w:cs="微软雅黑"/>
          <w:sz w:val="24"/>
          <w:szCs w:val="24"/>
          <w:highlight w:val="none"/>
        </w:rPr>
      </w:pPr>
    </w:p>
    <w:p>
      <w:pPr>
        <w:pStyle w:val="17"/>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w:t>
      </w:r>
      <w:r>
        <w:rPr>
          <w:rFonts w:hint="eastAsia" w:ascii="微软雅黑" w:hAnsi="微软雅黑" w:eastAsia="微软雅黑" w:cs="微软雅黑"/>
          <w:sz w:val="24"/>
          <w:szCs w:val="24"/>
          <w:highlight w:val="none"/>
          <w:lang w:eastAsia="zh-CN"/>
        </w:rPr>
        <w:t>签字</w:t>
      </w:r>
      <w:r>
        <w:rPr>
          <w:rFonts w:hint="eastAsia" w:ascii="微软雅黑" w:hAnsi="微软雅黑" w:eastAsia="微软雅黑" w:cs="微软雅黑"/>
          <w:sz w:val="24"/>
          <w:szCs w:val="24"/>
          <w:highlight w:val="none"/>
        </w:rPr>
        <w:t>）:</w:t>
      </w:r>
    </w:p>
    <w:p>
      <w:pPr>
        <w:pStyle w:val="17"/>
        <w:tabs>
          <w:tab w:val="left" w:pos="5370"/>
        </w:tabs>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pPr>
        <w:pStyle w:val="17"/>
        <w:spacing w:line="400" w:lineRule="exact"/>
        <w:ind w:left="1080" w:leftChars="257" w:hanging="540"/>
        <w:rPr>
          <w:rFonts w:ascii="微软雅黑" w:hAnsi="微软雅黑" w:eastAsia="微软雅黑" w:cs="微软雅黑"/>
          <w:b/>
          <w:bCs/>
          <w:sz w:val="22"/>
          <w:szCs w:val="22"/>
          <w:highlight w:val="none"/>
        </w:rPr>
      </w:pPr>
      <w:r>
        <w:rPr>
          <w:rFonts w:hint="eastAsia" w:ascii="微软雅黑" w:hAnsi="微软雅黑" w:eastAsia="微软雅黑" w:cs="微软雅黑"/>
          <w:sz w:val="24"/>
          <w:szCs w:val="24"/>
          <w:highlight w:val="none"/>
        </w:rPr>
        <w:t>注: 各项产品详细技术性能应另页描述。</w:t>
      </w:r>
    </w:p>
    <w:p>
      <w:pPr>
        <w:pStyle w:val="17"/>
        <w:spacing w:line="240" w:lineRule="atLeast"/>
        <w:ind w:left="1080" w:leftChars="257" w:hanging="540"/>
        <w:rPr>
          <w:rFonts w:ascii="微软雅黑" w:hAnsi="微软雅黑" w:eastAsia="微软雅黑" w:cs="微软雅黑"/>
          <w:sz w:val="24"/>
          <w:highlight w:val="none"/>
        </w:rPr>
      </w:pPr>
    </w:p>
    <w:p>
      <w:pPr>
        <w:spacing w:line="360" w:lineRule="exact"/>
        <w:ind w:left="1080" w:leftChars="257" w:hanging="540"/>
        <w:rPr>
          <w:rFonts w:ascii="微软雅黑" w:hAnsi="微软雅黑" w:eastAsia="微软雅黑" w:cs="微软雅黑"/>
          <w:sz w:val="24"/>
          <w:highlight w:val="none"/>
        </w:rPr>
      </w:pPr>
    </w:p>
    <w:p>
      <w:pPr>
        <w:pStyle w:val="5"/>
        <w:rPr>
          <w:rFonts w:ascii="微软雅黑" w:hAnsi="微软雅黑" w:eastAsia="微软雅黑" w:cs="微软雅黑"/>
          <w:highlight w:val="none"/>
        </w:rPr>
      </w:pPr>
    </w:p>
    <w:p>
      <w:pPr>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17"/>
        <w:spacing w:line="240" w:lineRule="atLeast"/>
        <w:ind w:left="1080" w:leftChars="257" w:hanging="540"/>
        <w:jc w:val="center"/>
        <w:outlineLvl w:val="1"/>
        <w:rPr>
          <w:rFonts w:ascii="微软雅黑" w:hAnsi="微软雅黑" w:eastAsia="微软雅黑" w:cs="微软雅黑"/>
          <w:b/>
          <w:bCs/>
          <w:sz w:val="22"/>
          <w:szCs w:val="22"/>
          <w:highlight w:val="none"/>
        </w:rPr>
      </w:pPr>
      <w:bookmarkStart w:id="668" w:name="_Toc20504"/>
      <w:r>
        <w:rPr>
          <w:rFonts w:hint="eastAsia" w:ascii="微软雅黑" w:hAnsi="微软雅黑" w:eastAsia="微软雅黑" w:cs="微软雅黑"/>
          <w:b/>
          <w:bCs/>
          <w:sz w:val="24"/>
          <w:szCs w:val="24"/>
          <w:highlight w:val="none"/>
        </w:rPr>
        <w:t>4 、技术规格偏离表</w:t>
      </w:r>
      <w:bookmarkEnd w:id="668"/>
    </w:p>
    <w:p>
      <w:pPr>
        <w:pStyle w:val="17"/>
        <w:spacing w:line="240" w:lineRule="atLeast"/>
        <w:ind w:left="1080" w:leftChars="257" w:hanging="540"/>
        <w:rPr>
          <w:rFonts w:ascii="微软雅黑" w:hAnsi="微软雅黑" w:eastAsia="微软雅黑" w:cs="微软雅黑"/>
          <w:szCs w:val="21"/>
          <w:highlight w:val="none"/>
        </w:rPr>
      </w:pPr>
    </w:p>
    <w:p>
      <w:pPr>
        <w:pStyle w:val="17"/>
        <w:spacing w:line="4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项目名称:                       招标编号:                </w:t>
      </w:r>
      <w:r>
        <w:rPr>
          <w:rFonts w:hint="eastAsia" w:ascii="微软雅黑" w:hAnsi="微软雅黑" w:eastAsia="微软雅黑" w:cs="微软雅黑"/>
          <w:sz w:val="24"/>
          <w:szCs w:val="24"/>
          <w:highlight w:val="none"/>
          <w:lang w:val="en-US" w:eastAsia="zh-CN"/>
        </w:rPr>
        <w:t>标段号：</w:t>
      </w:r>
      <w:r>
        <w:rPr>
          <w:rFonts w:hint="eastAsia" w:ascii="微软雅黑" w:hAnsi="微软雅黑" w:eastAsia="微软雅黑" w:cs="微软雅黑"/>
          <w:sz w:val="24"/>
          <w:szCs w:val="24"/>
          <w:highlight w:val="none"/>
        </w:rPr>
        <w:t xml:space="preserve"> </w:t>
      </w:r>
    </w:p>
    <w:p>
      <w:pPr>
        <w:pStyle w:val="17"/>
        <w:spacing w:line="400" w:lineRule="exact"/>
        <w:ind w:left="1080" w:leftChars="257" w:hanging="540"/>
        <w:rPr>
          <w:rFonts w:ascii="微软雅黑" w:hAnsi="微软雅黑" w:eastAsia="微软雅黑" w:cs="微软雅黑"/>
          <w:sz w:val="24"/>
          <w:szCs w:val="24"/>
          <w:highlight w:val="none"/>
        </w:rPr>
      </w:pPr>
    </w:p>
    <w:tbl>
      <w:tblPr>
        <w:tblStyle w:val="3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1330" w:type="dxa"/>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货物名称</w:t>
            </w:r>
          </w:p>
        </w:tc>
        <w:tc>
          <w:tcPr>
            <w:tcW w:w="2472" w:type="dxa"/>
            <w:vAlign w:val="center"/>
          </w:tcPr>
          <w:p>
            <w:pPr>
              <w:pStyle w:val="17"/>
              <w:spacing w:line="400" w:lineRule="exact"/>
              <w:ind w:left="269" w:leftChars="128"/>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磋商</w:t>
            </w:r>
            <w:r>
              <w:rPr>
                <w:rFonts w:hint="eastAsia" w:ascii="微软雅黑" w:hAnsi="微软雅黑" w:eastAsia="微软雅黑" w:cs="微软雅黑"/>
                <w:sz w:val="24"/>
                <w:szCs w:val="24"/>
                <w:highlight w:val="none"/>
              </w:rPr>
              <w:t>文件条款号</w:t>
            </w:r>
          </w:p>
        </w:tc>
        <w:tc>
          <w:tcPr>
            <w:tcW w:w="1331" w:type="dxa"/>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采购</w:t>
            </w:r>
            <w:r>
              <w:rPr>
                <w:rFonts w:hint="eastAsia" w:ascii="微软雅黑" w:hAnsi="微软雅黑" w:eastAsia="微软雅黑" w:cs="微软雅黑"/>
                <w:sz w:val="24"/>
                <w:szCs w:val="24"/>
                <w:highlight w:val="none"/>
              </w:rPr>
              <w:t>规格</w:t>
            </w:r>
          </w:p>
        </w:tc>
        <w:tc>
          <w:tcPr>
            <w:tcW w:w="1331" w:type="dxa"/>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响应</w:t>
            </w:r>
            <w:r>
              <w:rPr>
                <w:rFonts w:hint="eastAsia" w:ascii="微软雅黑" w:hAnsi="微软雅黑" w:eastAsia="微软雅黑" w:cs="微软雅黑"/>
                <w:sz w:val="24"/>
                <w:szCs w:val="24"/>
                <w:highlight w:val="none"/>
              </w:rPr>
              <w:t>规格</w:t>
            </w:r>
          </w:p>
        </w:tc>
        <w:tc>
          <w:tcPr>
            <w:tcW w:w="950" w:type="dxa"/>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偏离</w:t>
            </w:r>
          </w:p>
        </w:tc>
        <w:tc>
          <w:tcPr>
            <w:tcW w:w="951" w:type="dxa"/>
            <w:vAlign w:val="center"/>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472"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1"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472"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1"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472"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1"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472"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1"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472"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1"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472"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1"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472"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331"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951" w:type="dxa"/>
          </w:tcPr>
          <w:p>
            <w:pPr>
              <w:pStyle w:val="17"/>
              <w:spacing w:line="400" w:lineRule="exact"/>
              <w:ind w:left="1080" w:leftChars="257" w:hanging="540"/>
              <w:rPr>
                <w:rFonts w:ascii="微软雅黑" w:hAnsi="微软雅黑" w:eastAsia="微软雅黑" w:cs="微软雅黑"/>
                <w:sz w:val="24"/>
                <w:szCs w:val="24"/>
                <w:highlight w:val="none"/>
              </w:rPr>
            </w:pPr>
          </w:p>
        </w:tc>
      </w:tr>
    </w:tbl>
    <w:p>
      <w:pPr>
        <w:pStyle w:val="17"/>
        <w:spacing w:line="400" w:lineRule="exact"/>
        <w:rPr>
          <w:rFonts w:ascii="微软雅黑" w:hAnsi="微软雅黑" w:eastAsia="微软雅黑" w:cs="微软雅黑"/>
          <w:sz w:val="24"/>
          <w:szCs w:val="24"/>
          <w:highlight w:val="none"/>
        </w:rPr>
      </w:pPr>
    </w:p>
    <w:p>
      <w:pPr>
        <w:pStyle w:val="17"/>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w:t>
      </w:r>
      <w:r>
        <w:rPr>
          <w:rFonts w:hint="eastAsia" w:ascii="微软雅黑" w:hAnsi="微软雅黑" w:eastAsia="微软雅黑" w:cs="微软雅黑"/>
          <w:sz w:val="24"/>
          <w:szCs w:val="24"/>
          <w:highlight w:val="none"/>
          <w:lang w:eastAsia="zh-CN"/>
        </w:rPr>
        <w:t>签字</w:t>
      </w:r>
      <w:r>
        <w:rPr>
          <w:rFonts w:hint="eastAsia" w:ascii="微软雅黑" w:hAnsi="微软雅黑" w:eastAsia="微软雅黑" w:cs="微软雅黑"/>
          <w:sz w:val="24"/>
          <w:szCs w:val="24"/>
          <w:highlight w:val="none"/>
        </w:rPr>
        <w:t>）:</w:t>
      </w:r>
    </w:p>
    <w:p>
      <w:pPr>
        <w:pStyle w:val="17"/>
        <w:tabs>
          <w:tab w:val="left" w:pos="5370"/>
        </w:tabs>
        <w:spacing w:line="400" w:lineRule="exact"/>
        <w:ind w:left="1080" w:leftChars="257" w:hanging="540"/>
        <w:rPr>
          <w:rFonts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rPr>
        <w:t>供应商(公章):</w:t>
      </w:r>
    </w:p>
    <w:p>
      <w:pPr>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5"/>
        <w:ind w:firstLine="0"/>
        <w:rPr>
          <w:rFonts w:ascii="微软雅黑" w:hAnsi="微软雅黑" w:eastAsia="微软雅黑" w:cs="微软雅黑"/>
          <w:highlight w:val="none"/>
        </w:rPr>
      </w:pPr>
    </w:p>
    <w:bookmarkEnd w:id="653"/>
    <w:bookmarkEnd w:id="654"/>
    <w:bookmarkEnd w:id="655"/>
    <w:bookmarkEnd w:id="656"/>
    <w:bookmarkEnd w:id="657"/>
    <w:bookmarkEnd w:id="658"/>
    <w:bookmarkEnd w:id="659"/>
    <w:bookmarkEnd w:id="660"/>
    <w:bookmarkEnd w:id="661"/>
    <w:bookmarkEnd w:id="662"/>
    <w:bookmarkEnd w:id="663"/>
    <w:p>
      <w:pPr>
        <w:pStyle w:val="2"/>
        <w:spacing w:before="0" w:line="240" w:lineRule="atLeast"/>
        <w:rPr>
          <w:rFonts w:ascii="微软雅黑" w:hAnsi="微软雅黑" w:eastAsia="微软雅黑" w:cs="微软雅黑"/>
          <w:bCs/>
          <w:kern w:val="2"/>
          <w:sz w:val="22"/>
          <w:szCs w:val="22"/>
          <w:highlight w:val="none"/>
        </w:rPr>
      </w:pPr>
      <w:bookmarkStart w:id="669" w:name="_Toc23233"/>
      <w:bookmarkStart w:id="670" w:name="_Toc6590"/>
      <w:bookmarkStart w:id="671" w:name="_Toc23542"/>
      <w:bookmarkStart w:id="672" w:name="_Toc3537"/>
      <w:bookmarkStart w:id="673" w:name="_Toc32666"/>
      <w:bookmarkStart w:id="674" w:name="_Toc4880"/>
      <w:bookmarkStart w:id="675" w:name="_Toc1130"/>
      <w:bookmarkStart w:id="676" w:name="_Toc32689"/>
      <w:bookmarkStart w:id="677" w:name="_Toc338"/>
      <w:bookmarkStart w:id="678" w:name="_Toc28414"/>
      <w:bookmarkStart w:id="679" w:name="_Toc13229"/>
      <w:bookmarkStart w:id="680" w:name="_Toc216582817"/>
      <w:bookmarkStart w:id="681" w:name="_Toc22563"/>
      <w:bookmarkStart w:id="682" w:name="_Toc24864"/>
      <w:bookmarkStart w:id="683" w:name="_Toc515647820"/>
      <w:bookmarkStart w:id="684" w:name="_Toc13093"/>
      <w:bookmarkStart w:id="685" w:name="_Toc9012"/>
      <w:bookmarkStart w:id="686" w:name="_Toc28959"/>
      <w:bookmarkStart w:id="687" w:name="_Toc26490"/>
      <w:bookmarkStart w:id="688" w:name="_Toc10773"/>
      <w:bookmarkStart w:id="689" w:name="_Toc1232"/>
      <w:r>
        <w:rPr>
          <w:rFonts w:hint="eastAsia" w:ascii="微软雅黑" w:hAnsi="微软雅黑" w:eastAsia="微软雅黑" w:cs="微软雅黑"/>
          <w:bCs/>
          <w:sz w:val="24"/>
          <w:szCs w:val="24"/>
          <w:highlight w:val="none"/>
        </w:rPr>
        <w:t>5.商务条款偏离表</w:t>
      </w:r>
      <w:bookmarkEnd w:id="669"/>
      <w:bookmarkEnd w:id="670"/>
    </w:p>
    <w:p>
      <w:pPr>
        <w:pStyle w:val="17"/>
        <w:spacing w:line="240" w:lineRule="atLeast"/>
        <w:ind w:left="1080" w:leftChars="257" w:hanging="540"/>
        <w:rPr>
          <w:rFonts w:ascii="微软雅黑" w:hAnsi="微软雅黑" w:eastAsia="微软雅黑" w:cs="微软雅黑"/>
          <w:szCs w:val="21"/>
          <w:highlight w:val="none"/>
        </w:rPr>
      </w:pPr>
    </w:p>
    <w:p>
      <w:pPr>
        <w:pStyle w:val="17"/>
        <w:spacing w:line="240" w:lineRule="atLeast"/>
        <w:ind w:left="1080" w:leftChars="257" w:hanging="540"/>
        <w:rPr>
          <w:rFonts w:ascii="微软雅黑" w:hAnsi="微软雅黑" w:eastAsia="微软雅黑" w:cs="微软雅黑"/>
          <w:sz w:val="24"/>
          <w:szCs w:val="24"/>
          <w:highlight w:val="none"/>
        </w:rPr>
      </w:pPr>
    </w:p>
    <w:p>
      <w:pPr>
        <w:pStyle w:val="17"/>
        <w:spacing w:line="400" w:lineRule="exact"/>
        <w:ind w:left="1080" w:leftChars="257" w:hanging="54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 xml:space="preserve">项目名称:                      招标编号:             </w:t>
      </w:r>
      <w:r>
        <w:rPr>
          <w:rFonts w:hint="eastAsia" w:ascii="微软雅黑" w:hAnsi="微软雅黑" w:eastAsia="微软雅黑" w:cs="微软雅黑"/>
          <w:sz w:val="24"/>
          <w:szCs w:val="24"/>
          <w:highlight w:val="none"/>
          <w:lang w:val="en-US" w:eastAsia="zh-CN"/>
        </w:rPr>
        <w:t>标段号：</w:t>
      </w:r>
    </w:p>
    <w:tbl>
      <w:tblPr>
        <w:tblStyle w:val="36"/>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2040" w:type="dxa"/>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磋商</w:t>
            </w:r>
            <w:r>
              <w:rPr>
                <w:rFonts w:hint="eastAsia" w:ascii="微软雅黑" w:hAnsi="微软雅黑" w:eastAsia="微软雅黑" w:cs="微软雅黑"/>
                <w:sz w:val="24"/>
                <w:szCs w:val="24"/>
                <w:highlight w:val="none"/>
              </w:rPr>
              <w:t>文件条款号</w:t>
            </w:r>
          </w:p>
        </w:tc>
        <w:tc>
          <w:tcPr>
            <w:tcW w:w="2520" w:type="dxa"/>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磋商</w:t>
            </w:r>
            <w:r>
              <w:rPr>
                <w:rFonts w:hint="eastAsia" w:ascii="微软雅黑" w:hAnsi="微软雅黑" w:eastAsia="微软雅黑" w:cs="微软雅黑"/>
                <w:sz w:val="24"/>
                <w:szCs w:val="24"/>
                <w:highlight w:val="none"/>
              </w:rPr>
              <w:t>文件的商务条款</w:t>
            </w:r>
          </w:p>
        </w:tc>
        <w:tc>
          <w:tcPr>
            <w:tcW w:w="2520" w:type="dxa"/>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响应</w:t>
            </w:r>
            <w:r>
              <w:rPr>
                <w:rFonts w:hint="eastAsia" w:ascii="微软雅黑" w:hAnsi="微软雅黑" w:eastAsia="微软雅黑" w:cs="微软雅黑"/>
                <w:sz w:val="24"/>
                <w:szCs w:val="24"/>
                <w:highlight w:val="none"/>
              </w:rPr>
              <w:t>文件的商务条款</w:t>
            </w:r>
          </w:p>
        </w:tc>
        <w:tc>
          <w:tcPr>
            <w:tcW w:w="1014" w:type="dxa"/>
          </w:tcPr>
          <w:p>
            <w:pPr>
              <w:pStyle w:val="17"/>
              <w:spacing w:line="400" w:lineRule="exact"/>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jc w:val="center"/>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04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2520" w:type="dxa"/>
          </w:tcPr>
          <w:p>
            <w:pPr>
              <w:pStyle w:val="17"/>
              <w:spacing w:line="400" w:lineRule="exact"/>
              <w:ind w:left="1080" w:leftChars="257" w:hanging="540"/>
              <w:rPr>
                <w:rFonts w:ascii="微软雅黑" w:hAnsi="微软雅黑" w:eastAsia="微软雅黑" w:cs="微软雅黑"/>
                <w:sz w:val="24"/>
                <w:szCs w:val="24"/>
                <w:highlight w:val="none"/>
              </w:rPr>
            </w:pPr>
          </w:p>
        </w:tc>
        <w:tc>
          <w:tcPr>
            <w:tcW w:w="1014" w:type="dxa"/>
          </w:tcPr>
          <w:p>
            <w:pPr>
              <w:pStyle w:val="17"/>
              <w:spacing w:line="400" w:lineRule="exact"/>
              <w:ind w:left="1080" w:leftChars="257" w:hanging="540"/>
              <w:rPr>
                <w:rFonts w:ascii="微软雅黑" w:hAnsi="微软雅黑" w:eastAsia="微软雅黑" w:cs="微软雅黑"/>
                <w:sz w:val="24"/>
                <w:szCs w:val="24"/>
                <w:highlight w:val="none"/>
              </w:rPr>
            </w:pPr>
          </w:p>
        </w:tc>
      </w:tr>
    </w:tbl>
    <w:p>
      <w:pPr>
        <w:pStyle w:val="17"/>
        <w:spacing w:line="400" w:lineRule="exact"/>
        <w:ind w:left="1080" w:leftChars="257" w:hanging="540"/>
        <w:rPr>
          <w:rFonts w:ascii="微软雅黑" w:hAnsi="微软雅黑" w:eastAsia="微软雅黑" w:cs="微软雅黑"/>
          <w:sz w:val="24"/>
          <w:szCs w:val="24"/>
          <w:highlight w:val="none"/>
        </w:rPr>
      </w:pPr>
    </w:p>
    <w:p>
      <w:pPr>
        <w:pStyle w:val="17"/>
        <w:spacing w:line="400" w:lineRule="exact"/>
        <w:ind w:left="1080" w:leftChars="257" w:hanging="540"/>
        <w:rPr>
          <w:rFonts w:ascii="微软雅黑" w:hAnsi="微软雅黑" w:eastAsia="微软雅黑" w:cs="微软雅黑"/>
          <w:sz w:val="24"/>
          <w:szCs w:val="24"/>
          <w:highlight w:val="none"/>
        </w:rPr>
      </w:pPr>
    </w:p>
    <w:p>
      <w:pPr>
        <w:pStyle w:val="17"/>
        <w:spacing w:line="400" w:lineRule="exact"/>
        <w:ind w:left="1080" w:leftChars="257" w:hanging="54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法定代表人或其委托代理人（</w:t>
      </w:r>
      <w:r>
        <w:rPr>
          <w:rFonts w:hint="eastAsia" w:ascii="微软雅黑" w:hAnsi="微软雅黑" w:eastAsia="微软雅黑" w:cs="微软雅黑"/>
          <w:sz w:val="24"/>
          <w:szCs w:val="24"/>
          <w:highlight w:val="none"/>
          <w:lang w:eastAsia="zh-CN"/>
        </w:rPr>
        <w:t>签字</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ab/>
      </w:r>
    </w:p>
    <w:p>
      <w:pPr>
        <w:pStyle w:val="17"/>
        <w:tabs>
          <w:tab w:val="left" w:pos="5370"/>
        </w:tabs>
        <w:spacing w:line="400" w:lineRule="exact"/>
        <w:ind w:left="1080" w:leftChars="257" w:hanging="540"/>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供应商(公章):</w:t>
      </w:r>
    </w:p>
    <w:p>
      <w:pPr>
        <w:pStyle w:val="17"/>
        <w:tabs>
          <w:tab w:val="left" w:pos="5370"/>
        </w:tabs>
        <w:spacing w:line="400" w:lineRule="exact"/>
        <w:ind w:left="1080" w:leftChars="257" w:hanging="540"/>
        <w:rPr>
          <w:rFonts w:ascii="微软雅黑" w:hAnsi="微软雅黑" w:eastAsia="微软雅黑" w:cs="微软雅黑"/>
          <w:sz w:val="24"/>
          <w:szCs w:val="24"/>
          <w:highlight w:val="none"/>
          <w:u w:val="single"/>
        </w:rPr>
      </w:pPr>
    </w:p>
    <w:p>
      <w:pPr>
        <w:pStyle w:val="17"/>
        <w:spacing w:line="360" w:lineRule="exact"/>
        <w:rPr>
          <w:rFonts w:ascii="微软雅黑" w:hAnsi="微软雅黑" w:eastAsia="微软雅黑" w:cs="微软雅黑"/>
          <w:sz w:val="24"/>
          <w:highlight w:val="none"/>
          <w:u w:val="single"/>
        </w:rPr>
      </w:pPr>
    </w:p>
    <w:p>
      <w:pPr>
        <w:pStyle w:val="17"/>
        <w:spacing w:line="360" w:lineRule="exact"/>
        <w:ind w:left="1080" w:leftChars="257" w:hanging="540"/>
        <w:rPr>
          <w:rFonts w:ascii="微软雅黑" w:hAnsi="微软雅黑" w:eastAsia="微软雅黑" w:cs="微软雅黑"/>
          <w:sz w:val="24"/>
          <w:highlight w:val="none"/>
          <w:u w:val="single"/>
        </w:rPr>
      </w:pPr>
    </w:p>
    <w:p>
      <w:pPr>
        <w:pStyle w:val="17"/>
        <w:spacing w:line="360" w:lineRule="exact"/>
        <w:ind w:left="1080" w:leftChars="257" w:hanging="540"/>
        <w:rPr>
          <w:rFonts w:ascii="微软雅黑" w:hAnsi="微软雅黑" w:eastAsia="微软雅黑" w:cs="微软雅黑"/>
          <w:sz w:val="24"/>
          <w:highlight w:val="none"/>
          <w:u w:val="single"/>
        </w:rPr>
      </w:pPr>
    </w:p>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Pr>
        <w:pStyle w:val="17"/>
        <w:snapToGrid w:val="0"/>
        <w:spacing w:line="240" w:lineRule="atLeast"/>
        <w:textAlignment w:val="baseline"/>
        <w:rPr>
          <w:rFonts w:ascii="微软雅黑" w:hAnsi="微软雅黑" w:eastAsia="微软雅黑" w:cs="微软雅黑"/>
          <w:sz w:val="24"/>
          <w:szCs w:val="24"/>
          <w:highlight w:val="none"/>
        </w:rPr>
      </w:pPr>
    </w:p>
    <w:p>
      <w:pPr>
        <w:pStyle w:val="2"/>
        <w:spacing w:before="0" w:line="240" w:lineRule="atLeast"/>
        <w:rPr>
          <w:rFonts w:ascii="微软雅黑" w:hAnsi="微软雅黑" w:eastAsia="微软雅黑" w:cs="微软雅黑"/>
          <w:highlight w:val="none"/>
        </w:rPr>
      </w:pPr>
      <w:bookmarkStart w:id="690" w:name="_Hlt520274911"/>
      <w:bookmarkEnd w:id="690"/>
      <w:bookmarkStart w:id="691" w:name="_Hlt520274407"/>
      <w:bookmarkEnd w:id="691"/>
      <w:bookmarkStart w:id="692" w:name="_Hlt520273973"/>
      <w:bookmarkEnd w:id="692"/>
      <w:bookmarkStart w:id="693" w:name="_Hlt520271212"/>
      <w:bookmarkEnd w:id="693"/>
      <w:bookmarkStart w:id="694" w:name="_Hlt520273711"/>
      <w:bookmarkEnd w:id="694"/>
      <w:bookmarkStart w:id="695" w:name="_Hlt520350957"/>
      <w:bookmarkEnd w:id="695"/>
      <w:bookmarkStart w:id="696" w:name="_Hlt520274393"/>
      <w:bookmarkEnd w:id="696"/>
      <w:bookmarkStart w:id="697" w:name="_Hlt520274065"/>
      <w:bookmarkEnd w:id="697"/>
      <w:bookmarkStart w:id="698" w:name="_Hlt520350918"/>
      <w:bookmarkEnd w:id="698"/>
      <w:bookmarkStart w:id="699" w:name="_Hlt520343392"/>
      <w:bookmarkEnd w:id="699"/>
      <w:bookmarkStart w:id="700" w:name="_Hlt520343000"/>
      <w:bookmarkEnd w:id="700"/>
      <w:bookmarkStart w:id="701" w:name="_Toc24004"/>
      <w:bookmarkStart w:id="702" w:name="_Toc24430"/>
      <w:bookmarkStart w:id="703" w:name="_Toc13710"/>
      <w:bookmarkStart w:id="704" w:name="_Toc8073"/>
      <w:bookmarkStart w:id="705" w:name="_Toc2099"/>
      <w:bookmarkStart w:id="706" w:name="_Toc13385"/>
      <w:bookmarkStart w:id="707" w:name="_Toc24705"/>
      <w:bookmarkStart w:id="708" w:name="_Toc20471"/>
      <w:bookmarkStart w:id="709" w:name="_Toc29345"/>
      <w:bookmarkStart w:id="710" w:name="_Toc25307"/>
      <w:r>
        <w:rPr>
          <w:rFonts w:hint="eastAsia" w:ascii="微软雅黑" w:hAnsi="微软雅黑" w:eastAsia="微软雅黑" w:cs="微软雅黑"/>
          <w:bCs/>
          <w:sz w:val="28"/>
          <w:szCs w:val="28"/>
          <w:highlight w:val="none"/>
        </w:rPr>
        <w:t>6-1中小企业声明函（货物）</w:t>
      </w:r>
      <w:bookmarkEnd w:id="701"/>
      <w:bookmarkEnd w:id="702"/>
      <w:bookmarkEnd w:id="703"/>
    </w:p>
    <w:p>
      <w:pPr>
        <w:widowControl/>
        <w:spacing w:before="100" w:beforeAutospacing="1" w:after="100" w:afterAutospacing="1" w:line="500" w:lineRule="exact"/>
        <w:rPr>
          <w:rFonts w:ascii="微软雅黑" w:hAnsi="微软雅黑" w:eastAsia="微软雅黑" w:cs="微软雅黑"/>
          <w:highlight w:val="none"/>
        </w:rPr>
      </w:pPr>
      <w:r>
        <w:rPr>
          <w:rFonts w:ascii="微软雅黑" w:hAnsi="微软雅黑" w:eastAsia="微软雅黑" w:cs="微软雅黑"/>
          <w:highlight w:val="none"/>
        </w:rPr>
        <w:t>本公司（联合体）郑重声明，根据《政府采购促进中小企业发展管理办法》（财库</w:t>
      </w:r>
      <w:r>
        <w:rPr>
          <w:rFonts w:hint="eastAsia" w:ascii="微软雅黑" w:hAnsi="微软雅黑" w:eastAsia="微软雅黑" w:cs="微软雅黑"/>
          <w:highlight w:val="none"/>
        </w:rPr>
        <w:t>﹝</w:t>
      </w:r>
      <w:r>
        <w:rPr>
          <w:rFonts w:ascii="微软雅黑" w:hAnsi="微软雅黑" w:eastAsia="微软雅黑" w:cs="微软雅黑"/>
          <w:highlight w:val="none"/>
        </w:rPr>
        <w:t>2020</w:t>
      </w:r>
      <w:r>
        <w:rPr>
          <w:rFonts w:hint="eastAsia" w:ascii="微软雅黑" w:hAnsi="微软雅黑" w:eastAsia="微软雅黑" w:cs="微软雅黑"/>
          <w:highlight w:val="none"/>
        </w:rPr>
        <w:t>﹞</w:t>
      </w:r>
      <w:r>
        <w:rPr>
          <w:rFonts w:ascii="微软雅黑" w:hAnsi="微软雅黑" w:eastAsia="微软雅黑" w:cs="微软雅黑"/>
          <w:highlight w:val="none"/>
        </w:rPr>
        <w:t>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ascii="微软雅黑" w:hAnsi="微软雅黑" w:eastAsia="微软雅黑" w:cs="微软雅黑"/>
          <w:highlight w:val="none"/>
        </w:rPr>
      </w:pPr>
      <w:r>
        <w:rPr>
          <w:rFonts w:ascii="微软雅黑" w:hAnsi="微软雅黑" w:eastAsia="微软雅黑" w:cs="微软雅黑"/>
          <w:highlight w:val="none"/>
        </w:rPr>
        <w:t xml:space="preserve"> </w:t>
      </w:r>
      <w:r>
        <w:rPr>
          <w:rFonts w:hint="eastAsia" w:ascii="微软雅黑" w:hAnsi="微软雅黑" w:eastAsia="微软雅黑" w:cs="微软雅黑"/>
          <w:highlight w:val="none"/>
          <w:lang w:val="en-US" w:eastAsia="zh-CN"/>
        </w:rPr>
        <w:t>1、</w:t>
      </w:r>
      <w:r>
        <w:rPr>
          <w:rFonts w:ascii="微软雅黑" w:hAnsi="微软雅黑" w:eastAsia="微软雅黑" w:cs="微软雅黑"/>
          <w:highlight w:val="none"/>
        </w:rPr>
        <w:t xml:space="preserve">（ 标 的 名 称 ） ， 属 于 （ 采 购 文 件 中 明 确 的 所 属 行 业 ） 行业；制造商为（企业名称），从业人员 </w:t>
      </w:r>
      <w:r>
        <w:rPr>
          <w:rFonts w:ascii="微软雅黑" w:hAnsi="微软雅黑" w:eastAsia="微软雅黑" w:cs="微软雅黑"/>
          <w:highlight w:val="none"/>
        </w:rPr>
        <w:tab/>
      </w:r>
      <w:r>
        <w:rPr>
          <w:rFonts w:ascii="微软雅黑" w:hAnsi="微软雅黑" w:eastAsia="微软雅黑" w:cs="微软雅黑"/>
          <w:highlight w:val="none"/>
        </w:rPr>
        <w:t xml:space="preserve">人，营业收入为 </w:t>
      </w:r>
      <w:r>
        <w:rPr>
          <w:rFonts w:ascii="微软雅黑" w:hAnsi="微软雅黑" w:eastAsia="微软雅黑" w:cs="微软雅黑"/>
          <w:highlight w:val="none"/>
        </w:rPr>
        <w:tab/>
      </w:r>
      <w:r>
        <w:rPr>
          <w:rFonts w:ascii="微软雅黑" w:hAnsi="微软雅黑" w:eastAsia="微软雅黑" w:cs="微软雅黑"/>
          <w:highlight w:val="none"/>
        </w:rPr>
        <w:t xml:space="preserve">万元，资产总额为 </w:t>
      </w:r>
      <w:r>
        <w:rPr>
          <w:rFonts w:ascii="微软雅黑" w:hAnsi="微软雅黑" w:eastAsia="微软雅黑" w:cs="微软雅黑"/>
          <w:highlight w:val="none"/>
        </w:rPr>
        <w:tab/>
      </w:r>
      <w:r>
        <w:rPr>
          <w:rFonts w:ascii="微软雅黑" w:hAnsi="微软雅黑" w:eastAsia="微软雅黑" w:cs="微软雅黑"/>
          <w:highlight w:val="none"/>
        </w:rPr>
        <w:t>万元</w:t>
      </w:r>
      <w:r>
        <w:rPr>
          <w:rFonts w:ascii="微软雅黑" w:hAnsi="微软雅黑" w:eastAsia="微软雅黑" w:cs="微软雅黑"/>
          <w:highlight w:val="none"/>
        </w:rPr>
        <w:fldChar w:fldCharType="begin"/>
      </w:r>
      <w:r>
        <w:rPr>
          <w:rFonts w:ascii="微软雅黑" w:hAnsi="微软雅黑" w:eastAsia="微软雅黑" w:cs="微软雅黑"/>
          <w:highlight w:val="none"/>
        </w:rPr>
        <w:instrText xml:space="preserve"> HYPERLINK \l "_bookmark0" </w:instrText>
      </w:r>
      <w:r>
        <w:rPr>
          <w:rFonts w:ascii="微软雅黑" w:hAnsi="微软雅黑" w:eastAsia="微软雅黑" w:cs="微软雅黑"/>
          <w:highlight w:val="none"/>
        </w:rPr>
        <w:fldChar w:fldCharType="separate"/>
      </w:r>
      <w:r>
        <w:rPr>
          <w:rFonts w:ascii="微软雅黑" w:hAnsi="微软雅黑" w:eastAsia="微软雅黑" w:cs="微软雅黑"/>
          <w:highlight w:val="none"/>
        </w:rPr>
        <w:t>1</w:t>
      </w:r>
      <w:r>
        <w:rPr>
          <w:rFonts w:ascii="微软雅黑" w:hAnsi="微软雅黑" w:eastAsia="微软雅黑" w:cs="微软雅黑"/>
          <w:highlight w:val="none"/>
        </w:rPr>
        <w:fldChar w:fldCharType="end"/>
      </w:r>
      <w:r>
        <w:rPr>
          <w:rFonts w:ascii="微软雅黑" w:hAnsi="微软雅黑" w:eastAsia="微软雅黑" w:cs="微软雅黑"/>
          <w:highlight w:val="none"/>
        </w:rPr>
        <w:t>，属于（中型企业、小型企业、微型企业）；</w:t>
      </w:r>
    </w:p>
    <w:p>
      <w:pPr>
        <w:widowControl/>
        <w:spacing w:before="100" w:beforeAutospacing="1" w:after="100" w:afterAutospacing="1" w:line="500" w:lineRule="exact"/>
        <w:rPr>
          <w:rFonts w:ascii="微软雅黑" w:hAnsi="微软雅黑" w:eastAsia="微软雅黑" w:cs="微软雅黑"/>
          <w:highlight w:val="none"/>
        </w:rPr>
      </w:pPr>
      <w:r>
        <w:rPr>
          <w:rFonts w:hint="eastAsia" w:ascii="微软雅黑" w:hAnsi="微软雅黑" w:eastAsia="微软雅黑" w:cs="微软雅黑"/>
          <w:highlight w:val="none"/>
          <w:lang w:val="en-US" w:eastAsia="zh-CN"/>
        </w:rPr>
        <w:t>2、</w:t>
      </w:r>
      <w:r>
        <w:rPr>
          <w:rFonts w:ascii="微软雅黑" w:hAnsi="微软雅黑" w:eastAsia="微软雅黑" w:cs="微软雅黑"/>
          <w:highlight w:val="none"/>
        </w:rPr>
        <w:t xml:space="preserve">（ 标 的 名 称 ） ， 属 于 （ 采 购 文 件 中 明 确 的 所 属 行 业 ） 行业；制造商为（企业名称），从业人员 </w:t>
      </w:r>
      <w:r>
        <w:rPr>
          <w:rFonts w:ascii="微软雅黑" w:hAnsi="微软雅黑" w:eastAsia="微软雅黑" w:cs="微软雅黑"/>
          <w:highlight w:val="none"/>
        </w:rPr>
        <w:tab/>
      </w:r>
      <w:r>
        <w:rPr>
          <w:rFonts w:ascii="微软雅黑" w:hAnsi="微软雅黑" w:eastAsia="微软雅黑" w:cs="微软雅黑"/>
          <w:highlight w:val="none"/>
        </w:rPr>
        <w:t xml:space="preserve">人，营业收入为 </w:t>
      </w:r>
      <w:r>
        <w:rPr>
          <w:rFonts w:ascii="微软雅黑" w:hAnsi="微软雅黑" w:eastAsia="微软雅黑" w:cs="微软雅黑"/>
          <w:highlight w:val="none"/>
        </w:rPr>
        <w:tab/>
      </w:r>
      <w:r>
        <w:rPr>
          <w:rFonts w:ascii="微软雅黑" w:hAnsi="微软雅黑" w:eastAsia="微软雅黑" w:cs="微软雅黑"/>
          <w:highlight w:val="none"/>
        </w:rPr>
        <w:t xml:space="preserve">万元，资产总额为 </w:t>
      </w:r>
      <w:r>
        <w:rPr>
          <w:rFonts w:ascii="微软雅黑" w:hAnsi="微软雅黑" w:eastAsia="微软雅黑" w:cs="微软雅黑"/>
          <w:highlight w:val="none"/>
        </w:rPr>
        <w:tab/>
      </w:r>
      <w:r>
        <w:rPr>
          <w:rFonts w:ascii="微软雅黑" w:hAnsi="微软雅黑" w:eastAsia="微软雅黑" w:cs="微软雅黑"/>
          <w:highlight w:val="none"/>
        </w:rPr>
        <w:t>万元，属于（中型企业、小型企业、微型企业）；</w:t>
      </w:r>
    </w:p>
    <w:p>
      <w:pPr>
        <w:widowControl/>
        <w:spacing w:before="100" w:beforeAutospacing="1" w:after="100" w:afterAutospacing="1" w:line="500" w:lineRule="exact"/>
        <w:rPr>
          <w:rFonts w:ascii="微软雅黑" w:hAnsi="微软雅黑" w:eastAsia="微软雅黑" w:cs="微软雅黑"/>
          <w:highlight w:val="none"/>
        </w:rPr>
      </w:pPr>
      <w:r>
        <w:rPr>
          <w:rFonts w:ascii="微软雅黑" w:hAnsi="微软雅黑" w:eastAsia="微软雅黑" w:cs="微软雅黑"/>
          <w:highlight w:val="none"/>
        </w:rPr>
        <w:t>……</w:t>
      </w:r>
    </w:p>
    <w:p>
      <w:pPr>
        <w:widowControl/>
        <w:spacing w:before="100" w:beforeAutospacing="1" w:after="100" w:afterAutospacing="1" w:line="500" w:lineRule="exact"/>
        <w:rPr>
          <w:rFonts w:ascii="微软雅黑" w:hAnsi="微软雅黑" w:eastAsia="微软雅黑" w:cs="微软雅黑"/>
          <w:highlight w:val="none"/>
        </w:rPr>
      </w:pPr>
      <w:r>
        <w:rPr>
          <w:rFonts w:ascii="微软雅黑" w:hAnsi="微软雅黑" w:eastAsia="微软雅黑" w:cs="微软雅黑"/>
          <w:highlight w:val="none"/>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ascii="微软雅黑" w:hAnsi="微软雅黑" w:eastAsia="微软雅黑" w:cs="微软雅黑"/>
          <w:highlight w:val="none"/>
        </w:rPr>
      </w:pPr>
      <w:r>
        <w:rPr>
          <w:rFonts w:ascii="微软雅黑" w:hAnsi="微软雅黑" w:eastAsia="微软雅黑" w:cs="微软雅黑"/>
          <w:highlight w:val="none"/>
        </w:rPr>
        <w:t>本企业对上述声明内容的真实性负责。如有虚假，将依法承担相应责任。</w:t>
      </w:r>
    </w:p>
    <w:p>
      <w:pPr>
        <w:widowControl/>
        <w:spacing w:before="100" w:beforeAutospacing="1" w:after="100" w:afterAutospacing="1" w:line="500" w:lineRule="exact"/>
        <w:rPr>
          <w:rFonts w:ascii="微软雅黑" w:hAnsi="微软雅黑" w:eastAsia="微软雅黑" w:cs="微软雅黑"/>
          <w:highlight w:val="none"/>
        </w:rPr>
      </w:pPr>
      <w:r>
        <w:rPr>
          <w:rFonts w:ascii="微软雅黑" w:hAnsi="微软雅黑" w:eastAsia="微软雅黑" w:cs="微软雅黑"/>
          <w:highlight w:val="none"/>
        </w:rPr>
        <w:t>企业名称（盖章）：日期：</w:t>
      </w:r>
    </w:p>
    <w:p>
      <w:pPr>
        <w:widowControl/>
        <w:spacing w:before="100" w:beforeAutospacing="1" w:after="100" w:afterAutospacing="1" w:line="500" w:lineRule="exact"/>
        <w:rPr>
          <w:rFonts w:ascii="微软雅黑" w:hAnsi="微软雅黑" w:eastAsia="微软雅黑" w:cs="微软雅黑"/>
          <w:highlight w:val="none"/>
        </w:rPr>
      </w:pPr>
    </w:p>
    <w:p>
      <w:pPr>
        <w:spacing w:line="240" w:lineRule="atLeast"/>
        <w:rPr>
          <w:rFonts w:ascii="微软雅黑" w:hAnsi="微软雅黑" w:eastAsia="微软雅黑" w:cs="微软雅黑"/>
          <w:szCs w:val="21"/>
          <w:highlight w:val="none"/>
        </w:rPr>
      </w:pPr>
      <w:r>
        <w:rPr>
          <w:rFonts w:hint="eastAsia" w:ascii="微软雅黑" w:hAnsi="微软雅黑" w:eastAsia="微软雅黑" w:cs="微软雅黑"/>
          <w:b/>
          <w:bCs/>
          <w:kern w:val="0"/>
          <w:szCs w:val="21"/>
          <w:highlight w:val="none"/>
        </w:rPr>
        <w:t>注：须附从业人员、营业收入、资产总额填报上一年度数据，无上一年度数据的新成立企业可不填报。</w:t>
      </w:r>
    </w:p>
    <w:p>
      <w:pPr>
        <w:spacing w:line="240" w:lineRule="atLeast"/>
        <w:rPr>
          <w:rFonts w:hint="eastAsia" w:ascii="微软雅黑" w:hAnsi="微软雅黑" w:eastAsia="微软雅黑" w:cs="微软雅黑"/>
          <w:b/>
          <w:bCs/>
          <w:szCs w:val="21"/>
          <w:highlight w:val="none"/>
          <w:lang w:eastAsia="zh-CN"/>
        </w:rPr>
      </w:pPr>
    </w:p>
    <w:p>
      <w:pPr>
        <w:spacing w:line="240" w:lineRule="atLeast"/>
        <w:rPr>
          <w:rFonts w:hint="eastAsia" w:ascii="微软雅黑" w:hAnsi="微软雅黑" w:eastAsia="微软雅黑" w:cs="微软雅黑"/>
          <w:szCs w:val="21"/>
          <w:highlight w:val="none"/>
          <w:lang w:eastAsia="zh-CN"/>
        </w:rPr>
      </w:pPr>
      <w:r>
        <w:rPr>
          <w:rFonts w:hint="eastAsia" w:ascii="微软雅黑" w:hAnsi="微软雅黑" w:eastAsia="微软雅黑" w:cs="微软雅黑"/>
          <w:b/>
          <w:bCs/>
          <w:szCs w:val="21"/>
          <w:highlight w:val="none"/>
          <w:lang w:eastAsia="zh-CN"/>
        </w:rPr>
        <w:t>潜在投标企业属于中小微企业的，请在投标文件中提供“中小企业声明函”，如果未提供或提供虚假的“中小企业声明函”，投标企业将承担由此造成的一切不利后果。</w:t>
      </w:r>
    </w:p>
    <w:p>
      <w:pPr>
        <w:widowControl/>
        <w:spacing w:before="100" w:beforeAutospacing="1" w:after="100" w:afterAutospacing="1" w:line="400" w:lineRule="exact"/>
        <w:ind w:firstLine="2730" w:firstLineChars="1300"/>
        <w:jc w:val="right"/>
        <w:rPr>
          <w:rFonts w:ascii="微软雅黑" w:hAnsi="微软雅黑" w:eastAsia="微软雅黑" w:cs="微软雅黑"/>
          <w:szCs w:val="21"/>
          <w:highlight w:val="none"/>
        </w:rPr>
      </w:pPr>
    </w:p>
    <w:p>
      <w:pPr>
        <w:widowControl/>
        <w:spacing w:before="100" w:beforeAutospacing="1" w:after="100" w:afterAutospacing="1" w:line="330" w:lineRule="atLeast"/>
        <w:ind w:firstLine="420"/>
        <w:jc w:val="left"/>
        <w:rPr>
          <w:rFonts w:ascii="微软雅黑" w:hAnsi="微软雅黑" w:eastAsia="微软雅黑" w:cs="微软雅黑"/>
          <w:szCs w:val="21"/>
          <w:highlight w:val="none"/>
        </w:rPr>
      </w:pPr>
    </w:p>
    <w:p>
      <w:pPr>
        <w:spacing w:line="240" w:lineRule="atLeast"/>
        <w:outlineLvl w:val="1"/>
        <w:rPr>
          <w:rFonts w:ascii="微软雅黑" w:hAnsi="微软雅黑" w:eastAsia="微软雅黑" w:cs="微软雅黑"/>
          <w:b/>
          <w:bCs/>
          <w:sz w:val="24"/>
          <w:highlight w:val="none"/>
        </w:rPr>
      </w:pPr>
      <w:bookmarkStart w:id="711" w:name="_Toc26116"/>
      <w:bookmarkStart w:id="712" w:name="_Toc10900"/>
      <w:bookmarkStart w:id="713" w:name="_Toc13191"/>
      <w:bookmarkStart w:id="714" w:name="_Toc5825"/>
      <w:bookmarkStart w:id="715" w:name="_Toc1860"/>
      <w:bookmarkStart w:id="716" w:name="OLE_LINK13"/>
      <w:bookmarkStart w:id="717" w:name="OLE_LINK14"/>
      <w:bookmarkStart w:id="718" w:name="_Toc23068"/>
      <w:bookmarkStart w:id="719" w:name="_Toc15209"/>
      <w:bookmarkStart w:id="720" w:name="_Toc19284"/>
      <w:bookmarkStart w:id="721" w:name="_Toc12476"/>
      <w:bookmarkStart w:id="722" w:name="_Toc515647825"/>
      <w:bookmarkStart w:id="723" w:name="_Toc10530"/>
      <w:bookmarkStart w:id="724" w:name="_Toc30321"/>
      <w:bookmarkStart w:id="725" w:name="_Toc23103"/>
      <w:r>
        <w:rPr>
          <w:rFonts w:hint="eastAsia" w:ascii="微软雅黑" w:hAnsi="微软雅黑" w:eastAsia="微软雅黑" w:cs="微软雅黑"/>
          <w:b/>
          <w:bCs/>
          <w:sz w:val="24"/>
          <w:highlight w:val="none"/>
        </w:rPr>
        <w:t>6-2 残疾人福利性单位声明函</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spacing w:line="240" w:lineRule="atLeast"/>
        <w:ind w:left="1080" w:leftChars="257" w:hanging="540"/>
        <w:jc w:val="center"/>
        <w:rPr>
          <w:rFonts w:ascii="微软雅黑" w:hAnsi="微软雅黑" w:eastAsia="微软雅黑" w:cs="微软雅黑"/>
          <w:kern w:val="0"/>
          <w:sz w:val="24"/>
          <w:highlight w:val="none"/>
        </w:rPr>
      </w:pPr>
    </w:p>
    <w:p>
      <w:pPr>
        <w:spacing w:line="240" w:lineRule="atLeast"/>
        <w:ind w:firstLine="567"/>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kern w:val="0"/>
          <w:sz w:val="24"/>
          <w:highlight w:val="none"/>
        </w:rPr>
      </w:pPr>
    </w:p>
    <w:p>
      <w:pPr>
        <w:spacing w:line="240" w:lineRule="atLeast"/>
        <w:ind w:left="1080" w:leftChars="257" w:hanging="540"/>
        <w:jc w:val="center"/>
        <w:rPr>
          <w:rFonts w:ascii="微软雅黑" w:hAnsi="微软雅黑" w:eastAsia="微软雅黑" w:cs="微软雅黑"/>
          <w:color w:val="FF0000"/>
          <w:kern w:val="0"/>
          <w:sz w:val="24"/>
          <w:highlight w:val="none"/>
        </w:rPr>
      </w:pPr>
    </w:p>
    <w:p>
      <w:pPr>
        <w:spacing w:line="240" w:lineRule="atLeast"/>
        <w:ind w:left="1080" w:leftChars="257" w:hanging="540"/>
        <w:jc w:val="center"/>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 xml:space="preserve"> 残疾人福利性单位名称（公章）：</w:t>
      </w:r>
    </w:p>
    <w:p>
      <w:pPr>
        <w:spacing w:line="240" w:lineRule="atLeast"/>
        <w:ind w:left="1080" w:leftChars="257" w:hanging="540"/>
        <w:jc w:val="center"/>
        <w:rPr>
          <w:rFonts w:ascii="微软雅黑" w:hAnsi="微软雅黑" w:eastAsia="微软雅黑" w:cs="微软雅黑"/>
          <w:b/>
          <w:kern w:val="0"/>
          <w:sz w:val="24"/>
          <w:highlight w:val="none"/>
        </w:rPr>
      </w:pPr>
      <w:r>
        <w:rPr>
          <w:rFonts w:hint="eastAsia" w:ascii="微软雅黑" w:hAnsi="微软雅黑" w:eastAsia="微软雅黑" w:cs="微软雅黑"/>
          <w:kern w:val="0"/>
          <w:sz w:val="24"/>
          <w:highlight w:val="none"/>
        </w:rPr>
        <w:t xml:space="preserve">                 日  期：</w:t>
      </w:r>
    </w:p>
    <w:p>
      <w:pPr>
        <w:spacing w:line="240" w:lineRule="atLeast"/>
        <w:ind w:left="1080" w:leftChars="257" w:hanging="540"/>
        <w:jc w:val="center"/>
        <w:rPr>
          <w:rFonts w:ascii="微软雅黑" w:hAnsi="微软雅黑" w:eastAsia="微软雅黑" w:cs="微软雅黑"/>
          <w:b/>
          <w:kern w:val="0"/>
          <w:sz w:val="24"/>
          <w:highlight w:val="none"/>
        </w:rPr>
      </w:pPr>
    </w:p>
    <w:p>
      <w:pPr>
        <w:widowControl/>
        <w:spacing w:before="100" w:beforeAutospacing="1" w:after="100" w:afterAutospacing="1" w:line="480" w:lineRule="exact"/>
        <w:ind w:firstLine="2730" w:firstLineChars="1300"/>
        <w:jc w:val="left"/>
        <w:rPr>
          <w:rFonts w:ascii="微软雅黑" w:hAnsi="微软雅黑" w:eastAsia="微软雅黑" w:cs="微软雅黑"/>
          <w:szCs w:val="21"/>
          <w:highlight w:val="none"/>
        </w:rPr>
      </w:pPr>
    </w:p>
    <w:p>
      <w:pPr>
        <w:spacing w:line="480" w:lineRule="exact"/>
        <w:ind w:left="1080" w:leftChars="257" w:hanging="540"/>
        <w:jc w:val="center"/>
        <w:rPr>
          <w:rFonts w:ascii="微软雅黑" w:hAnsi="微软雅黑" w:eastAsia="微软雅黑" w:cs="微软雅黑"/>
          <w:szCs w:val="21"/>
          <w:highlight w:val="none"/>
        </w:rPr>
      </w:pPr>
    </w:p>
    <w:p>
      <w:pPr>
        <w:pStyle w:val="2"/>
        <w:spacing w:before="0" w:line="480" w:lineRule="exact"/>
        <w:ind w:left="1080" w:leftChars="257" w:hanging="540"/>
        <w:jc w:val="left"/>
        <w:rPr>
          <w:rFonts w:ascii="微软雅黑" w:hAnsi="微软雅黑" w:eastAsia="微软雅黑" w:cs="微软雅黑"/>
          <w:bCs/>
          <w:kern w:val="2"/>
          <w:sz w:val="21"/>
          <w:szCs w:val="21"/>
          <w:highlight w:val="none"/>
        </w:rPr>
      </w:pPr>
      <w:bookmarkStart w:id="726" w:name="_Toc6004"/>
      <w:bookmarkStart w:id="727" w:name="_Toc22561"/>
      <w:bookmarkStart w:id="728" w:name="_Toc19223"/>
      <w:bookmarkStart w:id="729" w:name="_Toc5527"/>
      <w:bookmarkStart w:id="730" w:name="_Toc30946"/>
      <w:bookmarkStart w:id="731" w:name="_Toc28099"/>
      <w:bookmarkStart w:id="732" w:name="_Toc5354"/>
      <w:bookmarkStart w:id="733" w:name="_Toc2304"/>
      <w:bookmarkStart w:id="734" w:name="_Toc22378"/>
      <w:bookmarkStart w:id="735" w:name="_Toc26133"/>
      <w:bookmarkStart w:id="736" w:name="_Toc11868"/>
      <w:bookmarkStart w:id="737" w:name="_Toc452"/>
      <w:bookmarkStart w:id="738" w:name="_Toc30795"/>
      <w:bookmarkStart w:id="739" w:name="_Toc5568"/>
      <w:bookmarkStart w:id="740" w:name="_Toc16850"/>
      <w:bookmarkStart w:id="741" w:name="_Toc515647827"/>
      <w:bookmarkStart w:id="742" w:name="_Toc6009"/>
      <w:r>
        <w:rPr>
          <w:rFonts w:hint="eastAsia" w:ascii="微软雅黑" w:hAnsi="微软雅黑" w:eastAsia="微软雅黑" w:cs="微软雅黑"/>
          <w:bCs/>
          <w:kern w:val="2"/>
          <w:sz w:val="21"/>
          <w:szCs w:val="21"/>
          <w:highlight w:val="none"/>
        </w:rPr>
        <w:t>7  供应商关联单位的说明</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pStyle w:val="5"/>
        <w:spacing w:line="480" w:lineRule="exact"/>
        <w:jc w:val="center"/>
        <w:rPr>
          <w:rFonts w:ascii="微软雅黑" w:hAnsi="微软雅黑" w:eastAsia="微软雅黑" w:cs="微软雅黑"/>
          <w:kern w:val="2"/>
          <w:sz w:val="21"/>
          <w:szCs w:val="21"/>
          <w:highlight w:val="none"/>
        </w:rPr>
      </w:pPr>
    </w:p>
    <w:p>
      <w:pPr>
        <w:pStyle w:val="5"/>
        <w:spacing w:line="480" w:lineRule="exact"/>
        <w:ind w:firstLineChars="200"/>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说明：供应商应当如实披露与本单位存在下列关联关系的单位名称：</w:t>
      </w:r>
    </w:p>
    <w:p>
      <w:pPr>
        <w:pStyle w:val="5"/>
        <w:spacing w:line="480" w:lineRule="exact"/>
        <w:ind w:firstLineChars="200"/>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（1）与供应商单位负责人为同一人的其他单位；</w:t>
      </w:r>
    </w:p>
    <w:p>
      <w:pPr>
        <w:pStyle w:val="5"/>
        <w:spacing w:line="480" w:lineRule="exact"/>
        <w:ind w:firstLineChars="200"/>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 xml:space="preserve">    （2）与供应商存在直接控股、管理关系的其他单位。</w:t>
      </w:r>
    </w:p>
    <w:p>
      <w:pPr>
        <w:pStyle w:val="5"/>
        <w:spacing w:line="480" w:lineRule="exact"/>
        <w:rPr>
          <w:rFonts w:ascii="微软雅黑" w:hAnsi="微软雅黑" w:eastAsia="微软雅黑" w:cs="微软雅黑"/>
          <w:kern w:val="2"/>
          <w:sz w:val="21"/>
          <w:szCs w:val="21"/>
          <w:highlight w:val="none"/>
        </w:rPr>
      </w:pPr>
    </w:p>
    <w:p>
      <w:pPr>
        <w:pStyle w:val="5"/>
        <w:spacing w:line="480" w:lineRule="exact"/>
        <w:rPr>
          <w:rFonts w:ascii="微软雅黑" w:hAnsi="微软雅黑" w:eastAsia="微软雅黑" w:cs="微软雅黑"/>
          <w:kern w:val="2"/>
          <w:sz w:val="21"/>
          <w:szCs w:val="21"/>
          <w:highlight w:val="none"/>
        </w:rPr>
      </w:pPr>
    </w:p>
    <w:p>
      <w:pPr>
        <w:pStyle w:val="5"/>
        <w:spacing w:line="480" w:lineRule="exact"/>
        <w:rPr>
          <w:rFonts w:ascii="微软雅黑" w:hAnsi="微软雅黑" w:eastAsia="微软雅黑" w:cs="微软雅黑"/>
          <w:kern w:val="2"/>
          <w:sz w:val="21"/>
          <w:szCs w:val="21"/>
          <w:highlight w:val="none"/>
        </w:rPr>
      </w:pPr>
    </w:p>
    <w:p>
      <w:pPr>
        <w:spacing w:line="480" w:lineRule="exact"/>
        <w:ind w:left="1080" w:leftChars="257" w:hanging="540"/>
        <w:jc w:val="center"/>
        <w:rPr>
          <w:rFonts w:ascii="微软雅黑" w:hAnsi="微软雅黑" w:eastAsia="微软雅黑" w:cs="微软雅黑"/>
          <w:szCs w:val="21"/>
          <w:highlight w:val="none"/>
        </w:rPr>
      </w:pPr>
    </w:p>
    <w:bookmarkEnd w:id="704"/>
    <w:bookmarkEnd w:id="705"/>
    <w:bookmarkEnd w:id="706"/>
    <w:bookmarkEnd w:id="707"/>
    <w:bookmarkEnd w:id="708"/>
    <w:bookmarkEnd w:id="709"/>
    <w:bookmarkEnd w:id="710"/>
    <w:p>
      <w:pPr>
        <w:pStyle w:val="2"/>
        <w:spacing w:before="0" w:line="480" w:lineRule="exact"/>
        <w:ind w:left="1080" w:leftChars="257" w:hanging="540"/>
        <w:jc w:val="left"/>
        <w:rPr>
          <w:rFonts w:ascii="微软雅黑" w:hAnsi="微软雅黑" w:eastAsia="微软雅黑" w:cs="微软雅黑"/>
          <w:bCs/>
          <w:kern w:val="2"/>
          <w:sz w:val="21"/>
          <w:szCs w:val="21"/>
          <w:highlight w:val="none"/>
        </w:rPr>
      </w:pPr>
      <w:bookmarkStart w:id="743" w:name="_Toc515647828"/>
      <w:bookmarkStart w:id="744" w:name="_Toc10352"/>
      <w:bookmarkStart w:id="745" w:name="_Toc7414"/>
      <w:bookmarkStart w:id="746" w:name="_Toc29367"/>
      <w:bookmarkStart w:id="747" w:name="_Toc17333"/>
      <w:bookmarkStart w:id="748" w:name="_Toc27478"/>
      <w:bookmarkStart w:id="749" w:name="_Toc5830"/>
      <w:bookmarkStart w:id="750" w:name="_Toc6932"/>
      <w:bookmarkStart w:id="751" w:name="_Toc12486"/>
      <w:bookmarkStart w:id="752" w:name="_Toc16811"/>
      <w:bookmarkStart w:id="753" w:name="_Toc23897"/>
      <w:bookmarkStart w:id="754" w:name="_Toc15535"/>
      <w:bookmarkStart w:id="755" w:name="_Toc17843"/>
      <w:bookmarkStart w:id="756" w:name="_Toc25126"/>
      <w:bookmarkStart w:id="757" w:name="_Toc7966"/>
      <w:bookmarkStart w:id="758" w:name="_Toc20015"/>
      <w:bookmarkStart w:id="759" w:name="_Toc31226"/>
      <w:bookmarkStart w:id="760" w:name="_Toc507399902"/>
      <w:bookmarkStart w:id="761" w:name="_Toc216582822"/>
      <w:bookmarkStart w:id="762" w:name="_Toc28765"/>
      <w:bookmarkStart w:id="763" w:name="_Toc218935350"/>
      <w:bookmarkStart w:id="764" w:name="_Toc16370"/>
      <w:bookmarkStart w:id="765" w:name="_Toc515647829"/>
      <w:bookmarkStart w:id="766" w:name="_Toc219175634"/>
      <w:r>
        <w:rPr>
          <w:rFonts w:hint="eastAsia" w:ascii="微软雅黑" w:hAnsi="微软雅黑" w:eastAsia="微软雅黑" w:cs="微软雅黑"/>
          <w:bCs/>
          <w:kern w:val="2"/>
          <w:sz w:val="21"/>
          <w:szCs w:val="21"/>
          <w:highlight w:val="none"/>
        </w:rPr>
        <w:t xml:space="preserve">8 </w:t>
      </w:r>
      <w:bookmarkEnd w:id="743"/>
      <w:bookmarkEnd w:id="744"/>
      <w:bookmarkEnd w:id="745"/>
      <w:bookmarkEnd w:id="746"/>
      <w:bookmarkEnd w:id="747"/>
      <w:bookmarkStart w:id="767" w:name="_Toc27058"/>
      <w:r>
        <w:rPr>
          <w:rFonts w:hint="eastAsia" w:ascii="微软雅黑" w:hAnsi="微软雅黑" w:eastAsia="微软雅黑" w:cs="微软雅黑"/>
          <w:bCs/>
          <w:kern w:val="2"/>
          <w:sz w:val="21"/>
          <w:szCs w:val="21"/>
          <w:highlight w:val="none"/>
        </w:rPr>
        <w:t xml:space="preserve">  供应商可提供有利于投标的其他资格证明材料</w:t>
      </w:r>
      <w:bookmarkEnd w:id="748"/>
      <w:bookmarkEnd w:id="749"/>
      <w:bookmarkEnd w:id="750"/>
      <w:bookmarkEnd w:id="751"/>
      <w:bookmarkEnd w:id="752"/>
      <w:bookmarkEnd w:id="753"/>
      <w:bookmarkEnd w:id="754"/>
      <w:bookmarkEnd w:id="755"/>
      <w:bookmarkEnd w:id="756"/>
      <w:bookmarkEnd w:id="757"/>
      <w:bookmarkEnd w:id="758"/>
      <w:bookmarkEnd w:id="759"/>
      <w:bookmarkEnd w:id="767"/>
    </w:p>
    <w:p>
      <w:pPr>
        <w:spacing w:line="480" w:lineRule="exact"/>
        <w:jc w:val="left"/>
        <w:rPr>
          <w:rFonts w:ascii="微软雅黑" w:hAnsi="微软雅黑" w:eastAsia="微软雅黑" w:cs="微软雅黑"/>
          <w:sz w:val="24"/>
          <w:highlight w:val="none"/>
        </w:rPr>
      </w:pPr>
    </w:p>
    <w:p>
      <w:pPr>
        <w:pStyle w:val="35"/>
        <w:ind w:firstLine="480"/>
        <w:rPr>
          <w:rFonts w:ascii="微软雅黑" w:hAnsi="微软雅黑" w:eastAsia="微软雅黑" w:cs="微软雅黑"/>
          <w:highlight w:val="none"/>
        </w:rPr>
      </w:pPr>
    </w:p>
    <w:p>
      <w:pPr>
        <w:pStyle w:val="35"/>
        <w:ind w:firstLine="480"/>
        <w:rPr>
          <w:rFonts w:ascii="微软雅黑" w:hAnsi="微软雅黑" w:eastAsia="微软雅黑" w:cs="微软雅黑"/>
          <w:highlight w:val="none"/>
        </w:rPr>
      </w:pPr>
    </w:p>
    <w:p>
      <w:pPr>
        <w:pStyle w:val="35"/>
        <w:ind w:firstLine="480"/>
        <w:rPr>
          <w:rFonts w:ascii="微软雅黑" w:hAnsi="微软雅黑" w:eastAsia="微软雅黑" w:cs="微软雅黑"/>
          <w:highlight w:val="none"/>
        </w:rPr>
      </w:pPr>
    </w:p>
    <w:p>
      <w:pPr>
        <w:snapToGrid w:val="0"/>
        <w:spacing w:line="240" w:lineRule="atLeast"/>
        <w:ind w:left="1079" w:leftChars="257" w:hanging="539"/>
        <w:jc w:val="left"/>
        <w:textAlignment w:val="baseline"/>
        <w:rPr>
          <w:rFonts w:ascii="微软雅黑" w:hAnsi="微软雅黑" w:eastAsia="微软雅黑" w:cs="微软雅黑"/>
          <w:b/>
          <w:sz w:val="24"/>
          <w:highlight w:val="none"/>
        </w:rPr>
      </w:pPr>
      <w:r>
        <w:rPr>
          <w:rFonts w:hint="eastAsia" w:ascii="微软雅黑" w:hAnsi="微软雅黑" w:eastAsia="微软雅黑" w:cs="微软雅黑"/>
          <w:b/>
          <w:kern w:val="0"/>
          <w:sz w:val="24"/>
          <w:szCs w:val="20"/>
          <w:highlight w:val="none"/>
        </w:rPr>
        <w:t>9、响应文件格式范本</w:t>
      </w:r>
    </w:p>
    <w:tbl>
      <w:tblPr>
        <w:tblStyle w:val="36"/>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snapToGrid w:val="0"/>
              <w:jc w:val="center"/>
              <w:textAlignment w:val="baseline"/>
              <w:rPr>
                <w:rFonts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 xml:space="preserve">                                                （正本/副本）</w:t>
            </w:r>
          </w:p>
          <w:p>
            <w:pPr>
              <w:pStyle w:val="11"/>
              <w:snapToGrid w:val="0"/>
              <w:ind w:firstLine="4202" w:firstLineChars="1500"/>
              <w:textAlignment w:val="baseline"/>
              <w:rPr>
                <w:rFonts w:ascii="微软雅黑" w:hAnsi="微软雅黑" w:eastAsia="微软雅黑" w:cs="微软雅黑"/>
                <w:b/>
                <w:bCs/>
                <w:sz w:val="28"/>
                <w:szCs w:val="28"/>
                <w:highlight w:val="none"/>
              </w:rPr>
            </w:pPr>
          </w:p>
          <w:p>
            <w:pPr>
              <w:pStyle w:val="11"/>
              <w:snapToGrid w:val="0"/>
              <w:ind w:firstLine="4202" w:firstLineChars="1500"/>
              <w:textAlignment w:val="baseline"/>
              <w:rPr>
                <w:rFonts w:ascii="微软雅黑" w:hAnsi="微软雅黑" w:eastAsia="微软雅黑" w:cs="微软雅黑"/>
                <w:b/>
                <w:bCs/>
                <w:sz w:val="28"/>
                <w:szCs w:val="28"/>
                <w:highlight w:val="none"/>
              </w:rPr>
            </w:pPr>
          </w:p>
          <w:p>
            <w:pPr>
              <w:pStyle w:val="11"/>
              <w:snapToGrid w:val="0"/>
              <w:textAlignment w:val="baseline"/>
              <w:rPr>
                <w:rFonts w:ascii="微软雅黑" w:hAnsi="微软雅黑" w:eastAsia="微软雅黑" w:cs="微软雅黑"/>
                <w:b/>
                <w:bCs/>
                <w:sz w:val="28"/>
                <w:szCs w:val="28"/>
                <w:highlight w:val="none"/>
              </w:rPr>
            </w:pPr>
          </w:p>
          <w:p>
            <w:pPr>
              <w:pStyle w:val="11"/>
              <w:snapToGrid w:val="0"/>
              <w:ind w:firstLine="2521" w:firstLineChars="900"/>
              <w:textAlignment w:val="baseline"/>
              <w:rPr>
                <w:rFonts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 *** *** *** ***   项目***</w:t>
            </w:r>
          </w:p>
          <w:p>
            <w:pPr>
              <w:pStyle w:val="11"/>
              <w:snapToGrid w:val="0"/>
              <w:jc w:val="center"/>
              <w:textAlignment w:val="baseline"/>
              <w:rPr>
                <w:rFonts w:ascii="微软雅黑" w:hAnsi="微软雅黑" w:eastAsia="微软雅黑" w:cs="微软雅黑"/>
                <w:b/>
                <w:bCs/>
                <w:sz w:val="21"/>
                <w:szCs w:val="21"/>
                <w:highlight w:val="none"/>
              </w:rPr>
            </w:pPr>
          </w:p>
          <w:p>
            <w:pPr>
              <w:pStyle w:val="11"/>
              <w:snapToGrid w:val="0"/>
              <w:ind w:firstLine="3152" w:firstLineChars="1500"/>
              <w:textAlignment w:val="baseline"/>
              <w:rPr>
                <w:rFonts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编号 ＊＊＊</w:t>
            </w:r>
          </w:p>
          <w:p>
            <w:pPr>
              <w:pStyle w:val="11"/>
              <w:snapToGrid w:val="0"/>
              <w:jc w:val="center"/>
              <w:textAlignment w:val="baseline"/>
              <w:rPr>
                <w:rFonts w:ascii="微软雅黑" w:hAnsi="微软雅黑" w:eastAsia="微软雅黑" w:cs="微软雅黑"/>
                <w:b/>
                <w:bCs/>
                <w:sz w:val="48"/>
                <w:highlight w:val="none"/>
              </w:rPr>
            </w:pPr>
          </w:p>
          <w:p>
            <w:pPr>
              <w:pStyle w:val="11"/>
              <w:snapToGrid w:val="0"/>
              <w:jc w:val="center"/>
              <w:textAlignment w:val="baseline"/>
              <w:rPr>
                <w:rFonts w:ascii="微软雅黑" w:hAnsi="微软雅黑" w:eastAsia="微软雅黑" w:cs="微软雅黑"/>
                <w:b/>
                <w:bCs/>
                <w:sz w:val="48"/>
                <w:highlight w:val="none"/>
              </w:rPr>
            </w:pPr>
            <w:r>
              <w:rPr>
                <w:rFonts w:hint="eastAsia" w:ascii="微软雅黑" w:hAnsi="微软雅黑" w:eastAsia="微软雅黑" w:cs="微软雅黑"/>
                <w:b/>
                <w:bCs/>
                <w:sz w:val="48"/>
                <w:highlight w:val="none"/>
              </w:rPr>
              <w:t>响 应 文 件</w:t>
            </w:r>
          </w:p>
          <w:p>
            <w:pPr>
              <w:snapToGrid w:val="0"/>
              <w:jc w:val="center"/>
              <w:textAlignment w:val="baseline"/>
              <w:rPr>
                <w:rFonts w:ascii="微软雅黑" w:hAnsi="微软雅黑" w:eastAsia="微软雅黑" w:cs="微软雅黑"/>
                <w:b/>
                <w:sz w:val="32"/>
                <w:highlight w:val="none"/>
              </w:rPr>
            </w:pPr>
          </w:p>
          <w:p>
            <w:pPr>
              <w:pStyle w:val="5"/>
              <w:snapToGrid w:val="0"/>
              <w:ind w:firstLine="0"/>
              <w:textAlignment w:val="baseline"/>
              <w:rPr>
                <w:rFonts w:ascii="微软雅黑" w:hAnsi="微软雅黑" w:eastAsia="微软雅黑" w:cs="微软雅黑"/>
                <w:b/>
                <w:sz w:val="32"/>
                <w:highlight w:val="none"/>
              </w:rPr>
            </w:pPr>
          </w:p>
          <w:p>
            <w:pPr>
              <w:snapToGrid w:val="0"/>
              <w:spacing w:line="360" w:lineRule="auto"/>
              <w:ind w:left="176" w:leftChars="84" w:firstLine="840" w:firstLineChars="400"/>
              <w:textAlignment w:val="baseline"/>
              <w:rPr>
                <w:rFonts w:ascii="微软雅黑" w:hAnsi="微软雅黑" w:eastAsia="微软雅黑" w:cs="微软雅黑"/>
                <w:sz w:val="20"/>
                <w:szCs w:val="21"/>
                <w:highlight w:val="none"/>
              </w:rPr>
            </w:pPr>
            <w:r>
              <w:rPr>
                <w:rFonts w:hint="eastAsia" w:ascii="微软雅黑" w:hAnsi="微软雅黑" w:eastAsia="微软雅黑" w:cs="微软雅黑"/>
                <w:szCs w:val="21"/>
                <w:highlight w:val="none"/>
              </w:rPr>
              <w:t>磋商单位：</w:t>
            </w:r>
            <w:r>
              <w:rPr>
                <w:rFonts w:hint="eastAsia" w:ascii="微软雅黑" w:hAnsi="微软雅黑" w:eastAsia="微软雅黑" w:cs="微软雅黑"/>
                <w:szCs w:val="21"/>
                <w:highlight w:val="none"/>
                <w:u w:val="single" w:color="000000"/>
              </w:rPr>
              <w:t xml:space="preserve">                                       </w:t>
            </w:r>
            <w:r>
              <w:rPr>
                <w:rFonts w:hint="eastAsia" w:ascii="微软雅黑" w:hAnsi="微软雅黑" w:eastAsia="微软雅黑" w:cs="微软雅黑"/>
                <w:szCs w:val="21"/>
                <w:highlight w:val="none"/>
              </w:rPr>
              <w:t>（公章）</w:t>
            </w:r>
          </w:p>
          <w:p>
            <w:pPr>
              <w:snapToGrid w:val="0"/>
              <w:spacing w:line="360" w:lineRule="auto"/>
              <w:ind w:left="176" w:leftChars="84" w:firstLine="840" w:firstLineChars="400"/>
              <w:textAlignment w:val="baseline"/>
              <w:rPr>
                <w:rFonts w:ascii="微软雅黑" w:hAnsi="微软雅黑" w:eastAsia="微软雅黑" w:cs="微软雅黑"/>
                <w:sz w:val="20"/>
                <w:szCs w:val="21"/>
                <w:highlight w:val="none"/>
                <w:u w:val="single" w:color="000000"/>
              </w:rPr>
            </w:pPr>
            <w:r>
              <w:rPr>
                <w:rFonts w:hint="eastAsia" w:ascii="微软雅黑" w:hAnsi="微软雅黑" w:eastAsia="微软雅黑" w:cs="微软雅黑"/>
                <w:szCs w:val="21"/>
                <w:highlight w:val="none"/>
              </w:rPr>
              <w:t>项目名称：</w:t>
            </w:r>
            <w:r>
              <w:rPr>
                <w:rFonts w:hint="eastAsia" w:ascii="微软雅黑" w:hAnsi="微软雅黑" w:eastAsia="微软雅黑" w:cs="微软雅黑"/>
                <w:szCs w:val="21"/>
                <w:highlight w:val="none"/>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highlight w:val="none"/>
                <w:u w:val="single" w:color="000000"/>
              </w:rPr>
            </w:pPr>
            <w:r>
              <w:rPr>
                <w:rFonts w:hint="eastAsia" w:ascii="微软雅黑" w:hAnsi="微软雅黑" w:eastAsia="微软雅黑" w:cs="微软雅黑"/>
                <w:szCs w:val="21"/>
                <w:highlight w:val="none"/>
              </w:rPr>
              <w:t>项目编号：</w:t>
            </w:r>
            <w:r>
              <w:rPr>
                <w:rFonts w:hint="eastAsia" w:ascii="微软雅黑" w:hAnsi="微软雅黑" w:eastAsia="微软雅黑" w:cs="微软雅黑"/>
                <w:szCs w:val="21"/>
                <w:highlight w:val="none"/>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highlight w:val="none"/>
                <w:u w:val="single" w:color="000000"/>
              </w:rPr>
            </w:pPr>
            <w:r>
              <w:rPr>
                <w:rFonts w:hint="eastAsia" w:ascii="微软雅黑" w:hAnsi="微软雅黑" w:eastAsia="微软雅黑" w:cs="微软雅黑"/>
                <w:szCs w:val="21"/>
                <w:highlight w:val="none"/>
              </w:rPr>
              <w:t>联 系 人：</w:t>
            </w:r>
            <w:r>
              <w:rPr>
                <w:rFonts w:hint="eastAsia" w:ascii="微软雅黑" w:hAnsi="微软雅黑" w:eastAsia="微软雅黑" w:cs="微软雅黑"/>
                <w:szCs w:val="21"/>
                <w:highlight w:val="none"/>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highlight w:val="none"/>
              </w:rPr>
            </w:pPr>
            <w:r>
              <w:rPr>
                <w:rFonts w:hint="eastAsia" w:ascii="微软雅黑" w:hAnsi="微软雅黑" w:eastAsia="微软雅黑" w:cs="微软雅黑"/>
                <w:szCs w:val="21"/>
                <w:highlight w:val="none"/>
              </w:rPr>
              <w:t>电    话：</w:t>
            </w:r>
            <w:r>
              <w:rPr>
                <w:rFonts w:hint="eastAsia" w:ascii="微软雅黑" w:hAnsi="微软雅黑" w:eastAsia="微软雅黑" w:cs="微软雅黑"/>
                <w:szCs w:val="21"/>
                <w:highlight w:val="none"/>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highlight w:val="none"/>
                <w:u w:val="single" w:color="000000"/>
              </w:rPr>
            </w:pPr>
            <w:r>
              <w:rPr>
                <w:rFonts w:hint="eastAsia" w:ascii="微软雅黑" w:hAnsi="微软雅黑" w:eastAsia="微软雅黑" w:cs="微软雅黑"/>
                <w:szCs w:val="21"/>
                <w:highlight w:val="none"/>
              </w:rPr>
              <w:t xml:space="preserve">地    址  ：  </w:t>
            </w:r>
            <w:r>
              <w:rPr>
                <w:rFonts w:hint="eastAsia" w:ascii="微软雅黑" w:hAnsi="微软雅黑" w:eastAsia="微软雅黑" w:cs="微软雅黑"/>
                <w:szCs w:val="21"/>
                <w:highlight w:val="none"/>
                <w:u w:val="single" w:color="000000"/>
              </w:rPr>
              <w:t xml:space="preserve">                                    </w:t>
            </w:r>
          </w:p>
          <w:p>
            <w:pPr>
              <w:snapToGrid w:val="0"/>
              <w:jc w:val="both"/>
              <w:textAlignment w:val="baseline"/>
              <w:rPr>
                <w:rFonts w:ascii="微软雅黑" w:hAnsi="微软雅黑" w:eastAsia="微软雅黑" w:cs="微软雅黑"/>
                <w:b/>
                <w:bCs/>
                <w:sz w:val="20"/>
                <w:highlight w:val="none"/>
              </w:rPr>
            </w:pPr>
          </w:p>
          <w:p>
            <w:pPr>
              <w:snapToGrid w:val="0"/>
              <w:jc w:val="center"/>
              <w:textAlignment w:val="baseline"/>
              <w:rPr>
                <w:rFonts w:ascii="微软雅黑" w:hAnsi="微软雅黑" w:eastAsia="微软雅黑" w:cs="微软雅黑"/>
                <w:b/>
                <w:bCs/>
                <w:sz w:val="20"/>
                <w:highlight w:val="none"/>
              </w:rPr>
            </w:pPr>
          </w:p>
          <w:p>
            <w:pPr>
              <w:snapToGrid w:val="0"/>
              <w:jc w:val="center"/>
              <w:textAlignment w:val="baseline"/>
              <w:rPr>
                <w:rFonts w:ascii="微软雅黑" w:hAnsi="微软雅黑" w:eastAsia="微软雅黑" w:cs="微软雅黑"/>
                <w:b/>
                <w:bCs/>
                <w:sz w:val="20"/>
                <w:highlight w:val="none"/>
              </w:rPr>
            </w:pPr>
          </w:p>
          <w:p>
            <w:pPr>
              <w:snapToGrid w:val="0"/>
              <w:jc w:val="center"/>
              <w:textAlignment w:val="baseline"/>
              <w:rPr>
                <w:rFonts w:ascii="微软雅黑" w:hAnsi="微软雅黑" w:eastAsia="微软雅黑" w:cs="微软雅黑"/>
                <w:b/>
                <w:bCs/>
                <w:sz w:val="20"/>
                <w:highlight w:val="none"/>
              </w:rPr>
            </w:pPr>
            <w:r>
              <w:rPr>
                <w:rFonts w:hint="eastAsia" w:ascii="微软雅黑" w:hAnsi="微软雅黑" w:eastAsia="微软雅黑" w:cs="微软雅黑"/>
                <w:b/>
                <w:bCs/>
                <w:highlight w:val="none"/>
              </w:rPr>
              <w:t>注：   在20XX年   月  日 X午</w:t>
            </w:r>
            <w:r>
              <w:rPr>
                <w:rFonts w:hint="eastAsia" w:ascii="微软雅黑" w:hAnsi="微软雅黑" w:eastAsia="微软雅黑" w:cs="微软雅黑"/>
                <w:kern w:val="0"/>
                <w:szCs w:val="21"/>
                <w:highlight w:val="none"/>
              </w:rPr>
              <w:t>XX</w:t>
            </w:r>
            <w:r>
              <w:rPr>
                <w:rFonts w:hint="eastAsia" w:ascii="微软雅黑" w:hAnsi="微软雅黑" w:eastAsia="微软雅黑" w:cs="微软雅黑"/>
                <w:b/>
                <w:bCs/>
                <w:highlight w:val="none"/>
              </w:rPr>
              <w:t>之前不得启封</w:t>
            </w:r>
          </w:p>
          <w:p>
            <w:pPr>
              <w:snapToGrid w:val="0"/>
              <w:jc w:val="center"/>
              <w:textAlignment w:val="baseline"/>
              <w:rPr>
                <w:rFonts w:ascii="微软雅黑" w:hAnsi="微软雅黑" w:eastAsia="微软雅黑" w:cs="微软雅黑"/>
                <w:b/>
                <w:bCs/>
                <w:sz w:val="20"/>
                <w:highlight w:val="none"/>
              </w:rPr>
            </w:pPr>
          </w:p>
        </w:tc>
      </w:tr>
    </w:tbl>
    <w:p>
      <w:pPr>
        <w:snapToGrid w:val="0"/>
        <w:spacing w:line="240" w:lineRule="atLeast"/>
        <w:textAlignment w:val="baseline"/>
        <w:rPr>
          <w:rFonts w:ascii="微软雅黑" w:hAnsi="微软雅黑" w:eastAsia="微软雅黑" w:cs="微软雅黑"/>
          <w:b/>
          <w:sz w:val="30"/>
          <w:szCs w:val="30"/>
          <w:highlight w:val="none"/>
        </w:rPr>
      </w:pPr>
      <w:r>
        <w:rPr>
          <w:rFonts w:hint="eastAsia" w:ascii="微软雅黑" w:hAnsi="微软雅黑" w:eastAsia="微软雅黑" w:cs="微软雅黑"/>
          <w:sz w:val="24"/>
          <w:highlight w:val="none"/>
        </w:rPr>
        <w:br w:type="page"/>
      </w:r>
    </w:p>
    <w:p>
      <w:pPr>
        <w:snapToGrid w:val="0"/>
        <w:spacing w:line="240" w:lineRule="atLeast"/>
        <w:jc w:val="center"/>
        <w:textAlignment w:val="baseline"/>
        <w:rPr>
          <w:rFonts w:ascii="微软雅黑" w:hAnsi="微软雅黑" w:eastAsia="微软雅黑" w:cs="微软雅黑"/>
          <w:b/>
          <w:sz w:val="44"/>
          <w:szCs w:val="44"/>
          <w:highlight w:val="none"/>
        </w:rPr>
      </w:pPr>
    </w:p>
    <w:p>
      <w:pPr>
        <w:pStyle w:val="35"/>
        <w:snapToGrid w:val="0"/>
        <w:ind w:firstLine="0" w:firstLineChars="0"/>
        <w:textAlignment w:val="baseline"/>
        <w:rPr>
          <w:rFonts w:ascii="微软雅黑" w:hAnsi="微软雅黑" w:eastAsia="微软雅黑" w:cs="微软雅黑"/>
          <w:b/>
          <w:sz w:val="44"/>
          <w:szCs w:val="44"/>
          <w:highlight w:val="none"/>
        </w:rPr>
      </w:pPr>
    </w:p>
    <w:p>
      <w:pPr>
        <w:snapToGrid w:val="0"/>
        <w:spacing w:line="240" w:lineRule="atLeast"/>
        <w:jc w:val="center"/>
        <w:textAlignment w:val="baseline"/>
        <w:rPr>
          <w:rFonts w:ascii="微软雅黑" w:hAnsi="微软雅黑" w:eastAsia="微软雅黑" w:cs="微软雅黑"/>
          <w:b/>
          <w:sz w:val="44"/>
          <w:szCs w:val="44"/>
          <w:highlight w:val="none"/>
        </w:rPr>
      </w:pPr>
    </w:p>
    <w:p>
      <w:pPr>
        <w:snapToGrid w:val="0"/>
        <w:spacing w:line="240" w:lineRule="atLeast"/>
        <w:jc w:val="center"/>
        <w:textAlignment w:val="baseline"/>
        <w:rPr>
          <w:rFonts w:ascii="微软雅黑" w:hAnsi="微软雅黑" w:eastAsia="微软雅黑" w:cs="微软雅黑"/>
          <w:b/>
          <w:sz w:val="36"/>
          <w:szCs w:val="36"/>
          <w:highlight w:val="none"/>
        </w:rPr>
      </w:pPr>
      <w:r>
        <w:rPr>
          <w:rFonts w:hint="eastAsia" w:ascii="微软雅黑" w:hAnsi="微软雅黑" w:eastAsia="微软雅黑" w:cs="微软雅黑"/>
          <w:b/>
          <w:sz w:val="52"/>
          <w:szCs w:val="52"/>
          <w:highlight w:val="none"/>
        </w:rPr>
        <w:t>竞争性磋商文件</w:t>
      </w:r>
    </w:p>
    <w:p>
      <w:pPr>
        <w:pStyle w:val="35"/>
        <w:snapToGrid w:val="0"/>
        <w:textAlignment w:val="baseline"/>
        <w:rPr>
          <w:rFonts w:ascii="微软雅黑" w:hAnsi="微软雅黑" w:eastAsia="微软雅黑" w:cs="微软雅黑"/>
          <w:sz w:val="21"/>
          <w:highlight w:val="none"/>
        </w:rPr>
      </w:pPr>
    </w:p>
    <w:p>
      <w:pPr>
        <w:pStyle w:val="35"/>
        <w:snapToGrid w:val="0"/>
        <w:textAlignment w:val="baseline"/>
        <w:rPr>
          <w:rFonts w:ascii="微软雅黑" w:hAnsi="微软雅黑" w:eastAsia="微软雅黑" w:cs="微软雅黑"/>
          <w:sz w:val="21"/>
          <w:highlight w:val="none"/>
        </w:rPr>
      </w:pPr>
    </w:p>
    <w:p>
      <w:pPr>
        <w:snapToGrid w:val="0"/>
        <w:spacing w:line="240" w:lineRule="atLeast"/>
        <w:jc w:val="center"/>
        <w:textAlignment w:val="baseline"/>
        <w:rPr>
          <w:rFonts w:ascii="微软雅黑" w:hAnsi="微软雅黑" w:eastAsia="微软雅黑" w:cs="微软雅黑"/>
          <w:b/>
          <w:sz w:val="40"/>
          <w:szCs w:val="40"/>
          <w:highlight w:val="none"/>
        </w:rPr>
      </w:pPr>
      <w:r>
        <w:rPr>
          <w:rFonts w:hint="eastAsia" w:ascii="微软雅黑" w:hAnsi="微软雅黑" w:eastAsia="微软雅黑" w:cs="微软雅黑"/>
          <w:b/>
          <w:sz w:val="40"/>
          <w:szCs w:val="40"/>
          <w:highlight w:val="none"/>
        </w:rPr>
        <w:t>项目编号：</w:t>
      </w:r>
      <w:r>
        <w:rPr>
          <w:rFonts w:hint="eastAsia" w:ascii="微软雅黑" w:hAnsi="微软雅黑" w:eastAsia="微软雅黑" w:cs="微软雅黑"/>
          <w:b/>
          <w:sz w:val="40"/>
          <w:szCs w:val="40"/>
          <w:highlight w:val="none"/>
          <w:lang w:val="en-US" w:eastAsia="zh-CN"/>
        </w:rPr>
        <w:t>YXGJ(JZXCS)2022-07号</w:t>
      </w:r>
    </w:p>
    <w:p>
      <w:pPr>
        <w:snapToGrid w:val="0"/>
        <w:spacing w:line="240" w:lineRule="atLeast"/>
        <w:textAlignment w:val="baseline"/>
        <w:rPr>
          <w:rFonts w:ascii="微软雅黑" w:hAnsi="微软雅黑" w:eastAsia="微软雅黑" w:cs="微软雅黑"/>
          <w:b/>
          <w:sz w:val="52"/>
          <w:highlight w:val="none"/>
        </w:rPr>
      </w:pPr>
    </w:p>
    <w:p>
      <w:pPr>
        <w:snapToGrid w:val="0"/>
        <w:spacing w:line="240" w:lineRule="atLeast"/>
        <w:jc w:val="center"/>
        <w:textAlignment w:val="baseline"/>
        <w:rPr>
          <w:rFonts w:ascii="微软雅黑" w:hAnsi="微软雅黑" w:eastAsia="微软雅黑" w:cs="微软雅黑"/>
          <w:b/>
          <w:sz w:val="48"/>
          <w:szCs w:val="48"/>
          <w:highlight w:val="none"/>
        </w:rPr>
      </w:pPr>
      <w:r>
        <w:rPr>
          <w:rFonts w:hint="eastAsia" w:ascii="微软雅黑" w:hAnsi="微软雅黑" w:eastAsia="微软雅黑" w:cs="微软雅黑"/>
          <w:b/>
          <w:sz w:val="48"/>
          <w:szCs w:val="48"/>
          <w:highlight w:val="none"/>
        </w:rPr>
        <w:t>第二册</w:t>
      </w:r>
    </w:p>
    <w:p>
      <w:pPr>
        <w:snapToGrid w:val="0"/>
        <w:spacing w:line="240" w:lineRule="atLeast"/>
        <w:ind w:left="1080" w:leftChars="257" w:hanging="540"/>
        <w:textAlignment w:val="baseline"/>
        <w:rPr>
          <w:rFonts w:ascii="微软雅黑" w:hAnsi="微软雅黑" w:eastAsia="微软雅黑" w:cs="微软雅黑"/>
          <w:b/>
          <w:sz w:val="28"/>
          <w:highlight w:val="none"/>
        </w:rPr>
      </w:pPr>
    </w:p>
    <w:p>
      <w:pPr>
        <w:snapToGrid w:val="0"/>
        <w:spacing w:line="240" w:lineRule="atLeast"/>
        <w:ind w:left="1080" w:leftChars="257" w:hanging="540"/>
        <w:textAlignment w:val="baseline"/>
        <w:rPr>
          <w:rFonts w:ascii="微软雅黑" w:hAnsi="微软雅黑" w:eastAsia="微软雅黑" w:cs="微软雅黑"/>
          <w:b/>
          <w:sz w:val="28"/>
          <w:highlight w:val="none"/>
        </w:rPr>
      </w:pPr>
    </w:p>
    <w:p>
      <w:pPr>
        <w:snapToGrid w:val="0"/>
        <w:spacing w:line="240" w:lineRule="atLeast"/>
        <w:ind w:left="1080" w:leftChars="257" w:hanging="540"/>
        <w:textAlignment w:val="baseline"/>
        <w:rPr>
          <w:rFonts w:ascii="微软雅黑" w:hAnsi="微软雅黑" w:eastAsia="微软雅黑" w:cs="微软雅黑"/>
          <w:b/>
          <w:sz w:val="28"/>
          <w:highlight w:val="none"/>
        </w:rPr>
      </w:pPr>
    </w:p>
    <w:p>
      <w:pPr>
        <w:pStyle w:val="35"/>
        <w:snapToGrid w:val="0"/>
        <w:ind w:firstLine="560"/>
        <w:textAlignment w:val="baseline"/>
        <w:rPr>
          <w:rFonts w:ascii="微软雅黑" w:hAnsi="微软雅黑" w:eastAsia="微软雅黑" w:cs="微软雅黑"/>
          <w:b/>
          <w:sz w:val="28"/>
          <w:highlight w:val="none"/>
        </w:rPr>
      </w:pPr>
    </w:p>
    <w:p>
      <w:pPr>
        <w:pStyle w:val="35"/>
        <w:snapToGrid w:val="0"/>
        <w:ind w:firstLine="560"/>
        <w:textAlignment w:val="baseline"/>
        <w:rPr>
          <w:rFonts w:ascii="微软雅黑" w:hAnsi="微软雅黑" w:eastAsia="微软雅黑" w:cs="微软雅黑"/>
          <w:b/>
          <w:sz w:val="28"/>
          <w:highlight w:val="none"/>
        </w:rPr>
      </w:pPr>
    </w:p>
    <w:p>
      <w:pPr>
        <w:pStyle w:val="35"/>
        <w:snapToGrid w:val="0"/>
        <w:ind w:firstLine="560"/>
        <w:textAlignment w:val="baseline"/>
        <w:rPr>
          <w:rFonts w:ascii="微软雅黑" w:hAnsi="微软雅黑" w:eastAsia="微软雅黑" w:cs="微软雅黑"/>
          <w:b/>
          <w:sz w:val="28"/>
          <w:highlight w:val="none"/>
        </w:rPr>
      </w:pPr>
    </w:p>
    <w:p>
      <w:pPr>
        <w:snapToGrid w:val="0"/>
        <w:spacing w:line="240" w:lineRule="atLeast"/>
        <w:ind w:left="1080" w:leftChars="257" w:hanging="540"/>
        <w:textAlignment w:val="baseline"/>
        <w:rPr>
          <w:rFonts w:ascii="微软雅黑" w:hAnsi="微软雅黑" w:eastAsia="微软雅黑" w:cs="微软雅黑"/>
          <w:b/>
          <w:sz w:val="28"/>
          <w:highlight w:val="none"/>
        </w:rPr>
      </w:pPr>
    </w:p>
    <w:p>
      <w:pPr>
        <w:pStyle w:val="26"/>
        <w:rPr>
          <w:rFonts w:ascii="微软雅黑" w:hAnsi="微软雅黑" w:eastAsia="微软雅黑" w:cs="微软雅黑"/>
          <w:b/>
          <w:sz w:val="28"/>
          <w:highlight w:val="none"/>
        </w:rPr>
      </w:pPr>
    </w:p>
    <w:p>
      <w:pPr>
        <w:pStyle w:val="26"/>
        <w:rPr>
          <w:rFonts w:ascii="微软雅黑" w:hAnsi="微软雅黑" w:eastAsia="微软雅黑" w:cs="微软雅黑"/>
          <w:b/>
          <w:sz w:val="28"/>
          <w:highlight w:val="none"/>
        </w:rPr>
      </w:pPr>
    </w:p>
    <w:p>
      <w:pPr>
        <w:pStyle w:val="26"/>
        <w:rPr>
          <w:rFonts w:ascii="微软雅黑" w:hAnsi="微软雅黑" w:eastAsia="微软雅黑" w:cs="微软雅黑"/>
          <w:b/>
          <w:sz w:val="28"/>
          <w:highlight w:val="none"/>
        </w:rPr>
      </w:pPr>
    </w:p>
    <w:p>
      <w:pPr>
        <w:pStyle w:val="5"/>
        <w:snapToGrid w:val="0"/>
        <w:ind w:firstLine="0"/>
        <w:textAlignment w:val="baseline"/>
        <w:rPr>
          <w:rFonts w:ascii="微软雅黑" w:hAnsi="微软雅黑" w:eastAsia="微软雅黑" w:cs="微软雅黑"/>
          <w:b/>
          <w:sz w:val="52"/>
          <w:highlight w:val="none"/>
        </w:rPr>
      </w:pPr>
    </w:p>
    <w:p>
      <w:pPr>
        <w:pStyle w:val="3"/>
        <w:keepNext w:val="0"/>
        <w:keepLines w:val="0"/>
        <w:widowControl/>
        <w:suppressLineNumbers w:val="0"/>
        <w:spacing w:line="360" w:lineRule="atLeast"/>
        <w:jc w:val="center"/>
        <w:rPr>
          <w:rFonts w:hint="eastAsia"/>
          <w:sz w:val="36"/>
          <w:szCs w:val="36"/>
          <w:highlight w:val="none"/>
          <w:lang w:val="en-US" w:eastAsia="zh-CN"/>
        </w:rPr>
      </w:pPr>
      <w:bookmarkStart w:id="768" w:name="_Toc16295"/>
      <w:r>
        <w:rPr>
          <w:rFonts w:hint="eastAsia"/>
          <w:sz w:val="36"/>
          <w:szCs w:val="36"/>
          <w:highlight w:val="none"/>
          <w:lang w:val="en-US" w:eastAsia="zh-CN"/>
        </w:rPr>
        <w:t>第3章 磋商邀请</w:t>
      </w:r>
      <w:bookmarkEnd w:id="760"/>
      <w:bookmarkEnd w:id="761"/>
      <w:bookmarkEnd w:id="762"/>
      <w:bookmarkEnd w:id="763"/>
      <w:bookmarkEnd w:id="764"/>
      <w:bookmarkEnd w:id="765"/>
      <w:bookmarkEnd w:id="766"/>
      <w:bookmarkEnd w:id="768"/>
    </w:p>
    <w:p>
      <w:pPr>
        <w:pStyle w:val="3"/>
        <w:keepNext w:val="0"/>
        <w:keepLines w:val="0"/>
        <w:widowControl/>
        <w:suppressLineNumbers w:val="0"/>
        <w:spacing w:line="360" w:lineRule="atLeast"/>
        <w:jc w:val="center"/>
        <w:rPr>
          <w:rFonts w:hint="eastAsia"/>
          <w:sz w:val="36"/>
          <w:szCs w:val="36"/>
          <w:highlight w:val="none"/>
          <w:lang w:val="en-US" w:eastAsia="zh-CN"/>
        </w:rPr>
      </w:pPr>
      <w:bookmarkStart w:id="769" w:name="_Toc216582823"/>
      <w:bookmarkStart w:id="770" w:name="_Toc31583"/>
      <w:bookmarkStart w:id="771" w:name="_Toc515647830"/>
      <w:bookmarkStart w:id="772" w:name="_Toc507399903"/>
      <w:bookmarkStart w:id="773" w:name="_Toc10488"/>
      <w:bookmarkStart w:id="774" w:name="_Toc512937850"/>
      <w:r>
        <w:rPr>
          <w:rFonts w:hint="eastAsia"/>
          <w:sz w:val="36"/>
          <w:szCs w:val="36"/>
          <w:highlight w:val="none"/>
          <w:lang w:val="en-US" w:eastAsia="zh-CN"/>
        </w:rPr>
        <w:t>喀什地区粮食和物资储备局医用物资采购项目</w:t>
      </w:r>
    </w:p>
    <w:p>
      <w:pPr>
        <w:pStyle w:val="3"/>
        <w:keepNext w:val="0"/>
        <w:keepLines w:val="0"/>
        <w:widowControl/>
        <w:suppressLineNumbers w:val="0"/>
        <w:spacing w:line="360" w:lineRule="atLeast"/>
        <w:jc w:val="center"/>
        <w:rPr>
          <w:sz w:val="36"/>
          <w:szCs w:val="36"/>
          <w:highlight w:val="none"/>
        </w:rPr>
      </w:pPr>
      <w:r>
        <w:rPr>
          <w:rFonts w:hint="eastAsia"/>
          <w:sz w:val="36"/>
          <w:szCs w:val="36"/>
          <w:highlight w:val="none"/>
          <w:lang w:eastAsia="zh-CN"/>
        </w:rPr>
        <w:t>竞争性磋商</w:t>
      </w:r>
      <w:r>
        <w:rPr>
          <w:sz w:val="36"/>
          <w:szCs w:val="36"/>
          <w:highlight w:val="none"/>
        </w:rPr>
        <w:t>公告</w:t>
      </w:r>
    </w:p>
    <w:p>
      <w:pPr>
        <w:pStyle w:val="31"/>
        <w:keepNext w:val="0"/>
        <w:keepLines w:val="0"/>
        <w:widowControl/>
        <w:suppressLineNumbers w:val="0"/>
        <w:rPr>
          <w:highlight w:val="none"/>
        </w:rPr>
      </w:pPr>
      <w:r>
        <w:rPr>
          <w:rFonts w:ascii="仿宋" w:hAnsi="仿宋" w:eastAsia="仿宋" w:cs="仿宋"/>
          <w:sz w:val="21"/>
          <w:szCs w:val="21"/>
          <w:highlight w:val="none"/>
        </w:rPr>
        <w:t xml:space="preserve">    </w:t>
      </w:r>
      <w:r>
        <w:rPr>
          <w:rFonts w:hint="eastAsia" w:ascii="仿宋" w:hAnsi="仿宋" w:eastAsia="仿宋" w:cs="仿宋"/>
          <w:highlight w:val="none"/>
        </w:rPr>
        <w:t>                            </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sz w:val="36"/>
          <w:szCs w:val="22"/>
          <w:highlight w:val="none"/>
        </w:rPr>
        <mc:AlternateContent>
          <mc:Choice Requires="wps">
            <w:drawing>
              <wp:anchor distT="0" distB="0" distL="114300" distR="114300" simplePos="0" relativeHeight="251666432" behindDoc="0" locked="0" layoutInCell="1" allowOverlap="1">
                <wp:simplePos x="0" y="0"/>
                <wp:positionH relativeFrom="column">
                  <wp:posOffset>-18415</wp:posOffset>
                </wp:positionH>
                <wp:positionV relativeFrom="paragraph">
                  <wp:posOffset>18415</wp:posOffset>
                </wp:positionV>
                <wp:extent cx="5562600" cy="1408430"/>
                <wp:effectExtent l="4445" t="4445" r="14605" b="15875"/>
                <wp:wrapTopAndBottom/>
                <wp:docPr id="7" name="文本框 7"/>
                <wp:cNvGraphicFramePr/>
                <a:graphic xmlns:a="http://schemas.openxmlformats.org/drawingml/2006/main">
                  <a:graphicData uri="http://schemas.microsoft.com/office/word/2010/wordprocessingShape">
                    <wps:wsp>
                      <wps:cNvSpPr txBox="1"/>
                      <wps:spPr>
                        <a:xfrm>
                          <a:off x="1002665" y="1405255"/>
                          <a:ext cx="5562600" cy="1408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31"/>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项目概况                                                    </w:t>
                            </w:r>
                          </w:p>
                          <w:p>
                            <w:pPr>
                              <w:pStyle w:val="31"/>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 xml:space="preserve">    </w:t>
                            </w:r>
                            <w:r>
                              <w:rPr>
                                <w:rFonts w:hint="eastAsia" w:ascii="微软雅黑" w:hAnsi="微软雅黑" w:eastAsia="微软雅黑" w:cs="微软雅黑"/>
                                <w:sz w:val="28"/>
                                <w:szCs w:val="28"/>
                                <w:lang w:val="en-US" w:eastAsia="zh-CN"/>
                              </w:rPr>
                              <w:t>喀什地区粮食和物资储备局医用物资采购项目</w:t>
                            </w:r>
                            <w:r>
                              <w:rPr>
                                <w:rFonts w:hint="eastAsia" w:ascii="微软雅黑" w:hAnsi="微软雅黑" w:eastAsia="微软雅黑" w:cs="微软雅黑"/>
                                <w:sz w:val="28"/>
                                <w:szCs w:val="28"/>
                                <w:lang w:eastAsia="zh-CN"/>
                              </w:rPr>
                              <w:t>的潜在供应商</w:t>
                            </w:r>
                            <w:r>
                              <w:rPr>
                                <w:rFonts w:hint="eastAsia" w:ascii="微软雅黑" w:hAnsi="微软雅黑" w:eastAsia="微软雅黑" w:cs="微软雅黑"/>
                                <w:sz w:val="28"/>
                                <w:szCs w:val="28"/>
                                <w:lang w:val="en-US" w:eastAsia="zh-CN"/>
                              </w:rPr>
                              <w:t>应在政采云平台（https://www.zcygov.cn）获取竞争性磋商文件</w:t>
                            </w:r>
                            <w:r>
                              <w:rPr>
                                <w:rFonts w:hint="eastAsia" w:ascii="微软雅黑" w:hAnsi="微软雅黑" w:eastAsia="微软雅黑" w:cs="微软雅黑"/>
                                <w:sz w:val="28"/>
                                <w:szCs w:val="28"/>
                                <w:lang w:eastAsia="zh-CN"/>
                              </w:rPr>
                              <w:t>，并于2022年07月</w:t>
                            </w:r>
                            <w:r>
                              <w:rPr>
                                <w:rFonts w:hint="eastAsia" w:ascii="微软雅黑" w:hAnsi="微软雅黑" w:eastAsia="微软雅黑" w:cs="微软雅黑"/>
                                <w:sz w:val="28"/>
                                <w:szCs w:val="28"/>
                                <w:lang w:val="en-US" w:eastAsia="zh-CN"/>
                              </w:rPr>
                              <w:t>18</w:t>
                            </w:r>
                            <w:r>
                              <w:rPr>
                                <w:rFonts w:hint="eastAsia" w:ascii="微软雅黑" w:hAnsi="微软雅黑" w:eastAsia="微软雅黑" w:cs="微软雅黑"/>
                                <w:sz w:val="28"/>
                                <w:szCs w:val="28"/>
                                <w:lang w:eastAsia="zh-CN"/>
                              </w:rPr>
                              <w:t>日 11:00（北京时间）前提交响应文件。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1.45pt;height:110.9pt;width:438pt;mso-wrap-distance-bottom:0pt;mso-wrap-distance-top:0pt;z-index:251666432;mso-width-relative:page;mso-height-relative:page;" fillcolor="#FFFFFF [3201]" filled="t" stroked="t" coordsize="21600,21600" o:gfxdata="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JsBMNUAAAAIAQAADwAAAAAAAAABACAAAAAiAAAAZHJzL2Rvd25yZXYueG1sUEsBAhQAFAAA&#10;AAgAh07iQB/Dz6hkAgAAxAQAAA4AAAAAAAAAAQAgAAAAJAEAAGRycy9lMm9Eb2MueG1sUEsFBgAA&#10;AAAGAAYAWQEAAPoFAAAAAA==&#10;">
                <v:fill on="t" focussize="0,0"/>
                <v:stroke weight="0.5pt" color="#000000 [3204]" joinstyle="round"/>
                <v:imagedata o:title=""/>
                <o:lock v:ext="edit" aspectratio="f"/>
                <v:textbox>
                  <w:txbxContent>
                    <w:p>
                      <w:pPr>
                        <w:pStyle w:val="31"/>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项目概况                                                    </w:t>
                      </w:r>
                    </w:p>
                    <w:p>
                      <w:pPr>
                        <w:pStyle w:val="31"/>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 xml:space="preserve">    </w:t>
                      </w:r>
                      <w:r>
                        <w:rPr>
                          <w:rFonts w:hint="eastAsia" w:ascii="微软雅黑" w:hAnsi="微软雅黑" w:eastAsia="微软雅黑" w:cs="微软雅黑"/>
                          <w:sz w:val="28"/>
                          <w:szCs w:val="28"/>
                          <w:lang w:val="en-US" w:eastAsia="zh-CN"/>
                        </w:rPr>
                        <w:t>喀什地区粮食和物资储备局医用物资采购项目</w:t>
                      </w:r>
                      <w:r>
                        <w:rPr>
                          <w:rFonts w:hint="eastAsia" w:ascii="微软雅黑" w:hAnsi="微软雅黑" w:eastAsia="微软雅黑" w:cs="微软雅黑"/>
                          <w:sz w:val="28"/>
                          <w:szCs w:val="28"/>
                          <w:lang w:eastAsia="zh-CN"/>
                        </w:rPr>
                        <w:t>的潜在供应商</w:t>
                      </w:r>
                      <w:r>
                        <w:rPr>
                          <w:rFonts w:hint="eastAsia" w:ascii="微软雅黑" w:hAnsi="微软雅黑" w:eastAsia="微软雅黑" w:cs="微软雅黑"/>
                          <w:sz w:val="28"/>
                          <w:szCs w:val="28"/>
                          <w:lang w:val="en-US" w:eastAsia="zh-CN"/>
                        </w:rPr>
                        <w:t>应在政采云平台（https://www.zcygov.cn）获取竞争性磋商文件</w:t>
                      </w:r>
                      <w:r>
                        <w:rPr>
                          <w:rFonts w:hint="eastAsia" w:ascii="微软雅黑" w:hAnsi="微软雅黑" w:eastAsia="微软雅黑" w:cs="微软雅黑"/>
                          <w:sz w:val="28"/>
                          <w:szCs w:val="28"/>
                          <w:lang w:eastAsia="zh-CN"/>
                        </w:rPr>
                        <w:t>，并于2022年07月</w:t>
                      </w:r>
                      <w:r>
                        <w:rPr>
                          <w:rFonts w:hint="eastAsia" w:ascii="微软雅黑" w:hAnsi="微软雅黑" w:eastAsia="微软雅黑" w:cs="微软雅黑"/>
                          <w:sz w:val="28"/>
                          <w:szCs w:val="28"/>
                          <w:lang w:val="en-US" w:eastAsia="zh-CN"/>
                        </w:rPr>
                        <w:t>18</w:t>
                      </w:r>
                      <w:r>
                        <w:rPr>
                          <w:rFonts w:hint="eastAsia" w:ascii="微软雅黑" w:hAnsi="微软雅黑" w:eastAsia="微软雅黑" w:cs="微软雅黑"/>
                          <w:sz w:val="28"/>
                          <w:szCs w:val="28"/>
                          <w:lang w:eastAsia="zh-CN"/>
                        </w:rPr>
                        <w:t>日 11:00（北京时间）前提交响应文件。</w:t>
                      </w:r>
                    </w:p>
                  </w:txbxContent>
                </v:textbox>
                <w10:wrap type="topAndBottom"/>
              </v:shape>
            </w:pict>
          </mc:Fallback>
        </mc:AlternateContent>
      </w:r>
      <w:r>
        <w:rPr>
          <w:rStyle w:val="39"/>
          <w:rFonts w:hint="eastAsia" w:ascii="微软雅黑" w:hAnsi="微软雅黑" w:eastAsia="微软雅黑" w:cs="微软雅黑"/>
          <w:sz w:val="28"/>
          <w:szCs w:val="28"/>
          <w:highlight w:val="none"/>
        </w:rPr>
        <w:t>一、项目基本情况</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项目编号：</w:t>
      </w:r>
      <w:r>
        <w:rPr>
          <w:rFonts w:hint="eastAsia" w:ascii="微软雅黑" w:hAnsi="微软雅黑" w:eastAsia="微软雅黑" w:cs="微软雅黑"/>
          <w:sz w:val="28"/>
          <w:szCs w:val="28"/>
          <w:highlight w:val="none"/>
          <w:lang w:eastAsia="zh-CN"/>
        </w:rPr>
        <w:t>YXGJ(JZXCS)2022-0</w:t>
      </w:r>
      <w:r>
        <w:rPr>
          <w:rFonts w:hint="eastAsia" w:ascii="微软雅黑" w:hAnsi="微软雅黑" w:eastAsia="微软雅黑" w:cs="微软雅黑"/>
          <w:sz w:val="28"/>
          <w:szCs w:val="28"/>
          <w:highlight w:val="none"/>
          <w:lang w:val="en-US" w:eastAsia="zh-CN"/>
        </w:rPr>
        <w:t>7</w:t>
      </w:r>
      <w:r>
        <w:rPr>
          <w:rFonts w:hint="eastAsia" w:ascii="微软雅黑" w:hAnsi="微软雅黑" w:eastAsia="微软雅黑" w:cs="微软雅黑"/>
          <w:sz w:val="28"/>
          <w:szCs w:val="28"/>
          <w:highlight w:val="none"/>
          <w:lang w:eastAsia="zh-CN"/>
        </w:rPr>
        <w:t>号</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项目名称：</w:t>
      </w:r>
      <w:r>
        <w:rPr>
          <w:rFonts w:hint="eastAsia" w:ascii="微软雅黑" w:hAnsi="微软雅黑" w:eastAsia="微软雅黑" w:cs="微软雅黑"/>
          <w:sz w:val="28"/>
          <w:szCs w:val="28"/>
          <w:highlight w:val="none"/>
          <w:lang w:val="en-US" w:eastAsia="zh-CN"/>
        </w:rPr>
        <w:t>喀什地区粮食和物资储备局医用物资采购项目</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采购方式：</w:t>
      </w:r>
      <w:r>
        <w:rPr>
          <w:rFonts w:hint="eastAsia" w:ascii="微软雅黑" w:hAnsi="微软雅黑" w:eastAsia="微软雅黑" w:cs="微软雅黑"/>
          <w:sz w:val="28"/>
          <w:szCs w:val="28"/>
          <w:highlight w:val="none"/>
          <w:lang w:eastAsia="zh-CN"/>
        </w:rPr>
        <w:t>竞争性磋商</w:t>
      </w:r>
      <w:r>
        <w:rPr>
          <w:rFonts w:hint="eastAsia" w:ascii="微软雅黑" w:hAnsi="微软雅黑" w:eastAsia="微软雅黑" w:cs="微软雅黑"/>
          <w:sz w:val="28"/>
          <w:szCs w:val="28"/>
          <w:highlight w:val="none"/>
        </w:rPr>
        <w:t> </w:t>
      </w:r>
    </w:p>
    <w:p>
      <w:pPr>
        <w:pStyle w:val="31"/>
        <w:keepNext w:val="0"/>
        <w:keepLines w:val="0"/>
        <w:widowControl/>
        <w:suppressLineNumbers w:val="0"/>
        <w:spacing w:line="240" w:lineRule="atLeast"/>
        <w:ind w:firstLine="326"/>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eastAsia="zh-CN"/>
        </w:rPr>
        <w:t>总</w:t>
      </w:r>
      <w:r>
        <w:rPr>
          <w:rFonts w:hint="eastAsia" w:ascii="微软雅黑" w:hAnsi="微软雅黑" w:eastAsia="微软雅黑" w:cs="微软雅黑"/>
          <w:sz w:val="28"/>
          <w:szCs w:val="28"/>
          <w:highlight w:val="none"/>
        </w:rPr>
        <w:t>预算金额（元）：</w:t>
      </w:r>
      <w:r>
        <w:rPr>
          <w:rFonts w:hint="eastAsia" w:ascii="微软雅黑" w:hAnsi="微软雅黑" w:eastAsia="微软雅黑" w:cs="微软雅黑"/>
          <w:sz w:val="28"/>
          <w:szCs w:val="28"/>
          <w:highlight w:val="none"/>
          <w:lang w:val="en-US" w:eastAsia="zh-CN"/>
        </w:rPr>
        <w:t xml:space="preserve">1954500元  </w:t>
      </w:r>
      <w:r>
        <w:rPr>
          <w:rFonts w:hint="eastAsia" w:ascii="微软雅黑" w:hAnsi="微软雅黑" w:eastAsia="微软雅黑" w:cs="微软雅黑"/>
          <w:sz w:val="28"/>
          <w:szCs w:val="28"/>
          <w:highlight w:val="none"/>
        </w:rPr>
        <w:t>最高限价（元）：</w:t>
      </w:r>
      <w:r>
        <w:rPr>
          <w:rFonts w:hint="eastAsia" w:ascii="微软雅黑" w:hAnsi="微软雅黑" w:eastAsia="微软雅黑" w:cs="微软雅黑"/>
          <w:sz w:val="28"/>
          <w:szCs w:val="28"/>
          <w:highlight w:val="none"/>
          <w:lang w:val="en-US" w:eastAsia="zh-CN"/>
        </w:rPr>
        <w:t xml:space="preserve">1954500元 </w:t>
      </w:r>
    </w:p>
    <w:p>
      <w:pPr>
        <w:pStyle w:val="31"/>
        <w:keepNext w:val="0"/>
        <w:keepLines w:val="0"/>
        <w:widowControl/>
        <w:suppressLineNumbers w:val="0"/>
        <w:spacing w:line="240" w:lineRule="atLeast"/>
        <w:rPr>
          <w:rFonts w:hint="eastAsia" w:ascii="微软雅黑" w:hAnsi="微软雅黑" w:eastAsia="微软雅黑" w:cs="微软雅黑"/>
          <w:i w:val="0"/>
          <w:iCs w:val="0"/>
          <w:caps w:val="0"/>
          <w:color w:val="000000"/>
          <w:spacing w:val="0"/>
          <w:sz w:val="28"/>
          <w:szCs w:val="28"/>
          <w:highlight w:val="none"/>
          <w:lang w:eastAsia="zh-CN"/>
        </w:rPr>
      </w:pPr>
      <w:r>
        <w:rPr>
          <w:rFonts w:hint="eastAsia" w:ascii="微软雅黑" w:hAnsi="微软雅黑" w:eastAsia="微软雅黑" w:cs="微软雅黑"/>
          <w:i w:val="0"/>
          <w:iCs w:val="0"/>
          <w:caps w:val="0"/>
          <w:color w:val="000000"/>
          <w:spacing w:val="0"/>
          <w:sz w:val="28"/>
          <w:szCs w:val="28"/>
          <w:highlight w:val="none"/>
          <w:lang w:eastAsia="zh-CN"/>
        </w:rPr>
        <w:t>第一标段：</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 xml:space="preserve"> </w:t>
      </w:r>
      <w:r>
        <w:rPr>
          <w:rFonts w:hint="eastAsia" w:ascii="微软雅黑" w:hAnsi="微软雅黑" w:eastAsia="微软雅黑" w:cs="微软雅黑"/>
          <w:sz w:val="28"/>
          <w:szCs w:val="28"/>
          <w:highlight w:val="none"/>
          <w:lang w:val="en-US" w:eastAsia="zh-CN"/>
        </w:rPr>
        <w:t xml:space="preserve"> </w:t>
      </w:r>
      <w:r>
        <w:rPr>
          <w:rFonts w:hint="eastAsia" w:ascii="微软雅黑" w:hAnsi="微软雅黑" w:eastAsia="微软雅黑" w:cs="微软雅黑"/>
          <w:sz w:val="28"/>
          <w:szCs w:val="28"/>
          <w:highlight w:val="none"/>
        </w:rPr>
        <w:t>预算金额（元）</w:t>
      </w:r>
      <w:r>
        <w:rPr>
          <w:rFonts w:hint="eastAsia" w:ascii="微软雅黑" w:hAnsi="微软雅黑" w:eastAsia="微软雅黑" w:cs="微软雅黑"/>
          <w:sz w:val="28"/>
          <w:szCs w:val="28"/>
          <w:highlight w:val="none"/>
          <w:lang w:eastAsia="zh-CN"/>
        </w:rPr>
        <w:t>：</w:t>
      </w:r>
      <w:r>
        <w:rPr>
          <w:rFonts w:hint="eastAsia" w:ascii="微软雅黑" w:hAnsi="微软雅黑" w:eastAsia="微软雅黑" w:cs="微软雅黑"/>
          <w:sz w:val="28"/>
          <w:szCs w:val="28"/>
          <w:highlight w:val="none"/>
          <w:lang w:val="en-US" w:eastAsia="zh-CN"/>
        </w:rPr>
        <w:t>1840000元</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 </w:t>
      </w:r>
      <w:r>
        <w:rPr>
          <w:rFonts w:hint="eastAsia" w:ascii="微软雅黑" w:hAnsi="微软雅黑" w:eastAsia="微软雅黑" w:cs="微软雅黑"/>
          <w:sz w:val="28"/>
          <w:szCs w:val="28"/>
          <w:highlight w:val="none"/>
          <w:lang w:val="en-US" w:eastAsia="zh-CN"/>
        </w:rPr>
        <w:t xml:space="preserve"> </w:t>
      </w:r>
      <w:r>
        <w:rPr>
          <w:rFonts w:hint="eastAsia" w:ascii="微软雅黑" w:hAnsi="微软雅黑" w:eastAsia="微软雅黑" w:cs="微软雅黑"/>
          <w:sz w:val="28"/>
          <w:szCs w:val="28"/>
          <w:highlight w:val="none"/>
        </w:rPr>
        <w:t xml:space="preserve">  简要规格描述：重庆中元96人份/盒核酸扩增试剂40万人份</w:t>
      </w:r>
    </w:p>
    <w:p>
      <w:pPr>
        <w:pStyle w:val="31"/>
        <w:keepNext w:val="0"/>
        <w:keepLines w:val="0"/>
        <w:widowControl/>
        <w:suppressLineNumbers w:val="0"/>
        <w:spacing w:line="240" w:lineRule="atLeast"/>
        <w:rPr>
          <w:rFonts w:hint="eastAsia" w:ascii="微软雅黑" w:hAnsi="微软雅黑" w:eastAsia="微软雅黑" w:cs="微软雅黑"/>
          <w:i w:val="0"/>
          <w:iCs w:val="0"/>
          <w:caps w:val="0"/>
          <w:color w:val="000000"/>
          <w:spacing w:val="0"/>
          <w:sz w:val="28"/>
          <w:szCs w:val="28"/>
          <w:highlight w:val="none"/>
          <w:lang w:eastAsia="zh-CN"/>
        </w:rPr>
      </w:pPr>
      <w:r>
        <w:rPr>
          <w:rFonts w:hint="eastAsia" w:ascii="微软雅黑" w:hAnsi="微软雅黑" w:eastAsia="微软雅黑" w:cs="微软雅黑"/>
          <w:i w:val="0"/>
          <w:iCs w:val="0"/>
          <w:caps w:val="0"/>
          <w:color w:val="000000"/>
          <w:spacing w:val="0"/>
          <w:sz w:val="28"/>
          <w:szCs w:val="28"/>
          <w:highlight w:val="none"/>
          <w:lang w:eastAsia="zh-CN"/>
        </w:rPr>
        <w:t>第二标段：</w:t>
      </w:r>
    </w:p>
    <w:p>
      <w:pPr>
        <w:pStyle w:val="31"/>
        <w:keepNext w:val="0"/>
        <w:keepLines w:val="0"/>
        <w:widowControl/>
        <w:suppressLineNumbers w:val="0"/>
        <w:spacing w:line="240" w:lineRule="atLeast"/>
        <w:ind w:firstLine="280" w:firstLineChars="100"/>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 </w:t>
      </w:r>
      <w:r>
        <w:rPr>
          <w:rFonts w:hint="eastAsia" w:ascii="微软雅黑" w:hAnsi="微软雅黑" w:eastAsia="微软雅黑" w:cs="微软雅黑"/>
          <w:sz w:val="28"/>
          <w:szCs w:val="28"/>
          <w:highlight w:val="none"/>
          <w:lang w:val="en-US" w:eastAsia="zh-CN"/>
        </w:rPr>
        <w:t xml:space="preserve"> </w:t>
      </w:r>
      <w:r>
        <w:rPr>
          <w:rFonts w:hint="eastAsia" w:ascii="微软雅黑" w:hAnsi="微软雅黑" w:eastAsia="微软雅黑" w:cs="微软雅黑"/>
          <w:sz w:val="28"/>
          <w:szCs w:val="28"/>
          <w:highlight w:val="none"/>
        </w:rPr>
        <w:t>预算金额（元）：</w:t>
      </w:r>
      <w:r>
        <w:rPr>
          <w:rFonts w:hint="eastAsia" w:ascii="微软雅黑" w:hAnsi="微软雅黑" w:eastAsia="微软雅黑" w:cs="微软雅黑"/>
          <w:sz w:val="28"/>
          <w:szCs w:val="28"/>
          <w:highlight w:val="none"/>
          <w:lang w:val="en-US" w:eastAsia="zh-CN"/>
        </w:rPr>
        <w:t>114500元</w:t>
      </w:r>
    </w:p>
    <w:p>
      <w:pPr>
        <w:pStyle w:val="31"/>
        <w:keepNext w:val="0"/>
        <w:keepLines w:val="0"/>
        <w:widowControl/>
        <w:suppressLineNumbers w:val="0"/>
        <w:spacing w:line="240" w:lineRule="atLeast"/>
        <w:ind w:firstLine="502"/>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简要规格描述：100ml75%酒精消毒喷剂1万瓶</w:t>
      </w:r>
      <w:r>
        <w:rPr>
          <w:rFonts w:hint="eastAsia" w:ascii="微软雅黑" w:hAnsi="微软雅黑" w:eastAsia="微软雅黑" w:cs="微软雅黑"/>
          <w:sz w:val="28"/>
          <w:szCs w:val="28"/>
          <w:highlight w:val="none"/>
          <w:lang w:eastAsia="zh-CN"/>
        </w:rPr>
        <w:t>，500ml免洗手消毒凝胶1万瓶。</w:t>
      </w:r>
    </w:p>
    <w:p>
      <w:pPr>
        <w:pStyle w:val="31"/>
        <w:keepNext w:val="0"/>
        <w:keepLines w:val="0"/>
        <w:widowControl/>
        <w:suppressLineNumbers w:val="0"/>
        <w:spacing w:line="240" w:lineRule="atLeast"/>
        <w:ind w:firstLine="502"/>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合同履约期限：详见</w:t>
      </w:r>
      <w:r>
        <w:rPr>
          <w:rFonts w:hint="eastAsia" w:ascii="微软雅黑" w:hAnsi="微软雅黑" w:eastAsia="微软雅黑" w:cs="微软雅黑"/>
          <w:sz w:val="28"/>
          <w:szCs w:val="28"/>
          <w:highlight w:val="none"/>
          <w:lang w:eastAsia="zh-CN"/>
        </w:rPr>
        <w:t>磋商</w:t>
      </w:r>
      <w:r>
        <w:rPr>
          <w:rFonts w:hint="eastAsia" w:ascii="微软雅黑" w:hAnsi="微软雅黑" w:eastAsia="微软雅黑" w:cs="微软雅黑"/>
          <w:sz w:val="28"/>
          <w:szCs w:val="28"/>
          <w:highlight w:val="none"/>
        </w:rPr>
        <w:t>文件  </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本项目（否）接受联合体投标。  </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39"/>
          <w:rFonts w:hint="eastAsia" w:ascii="微软雅黑" w:hAnsi="微软雅黑" w:eastAsia="微软雅黑" w:cs="微软雅黑"/>
          <w:sz w:val="28"/>
          <w:szCs w:val="28"/>
          <w:highlight w:val="none"/>
        </w:rPr>
        <w:t>二、申请人的资格要求：</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w:t>
      </w:r>
      <w:r>
        <w:rPr>
          <w:rFonts w:hint="eastAsia" w:ascii="微软雅黑" w:hAnsi="微软雅黑" w:eastAsia="微软雅黑" w:cs="微软雅黑"/>
          <w:sz w:val="28"/>
          <w:szCs w:val="28"/>
          <w:highlight w:val="none"/>
          <w:lang w:eastAsia="zh-CN"/>
        </w:rPr>
        <w:t>以代理公司现场核查为准</w:t>
      </w:r>
      <w:r>
        <w:rPr>
          <w:rFonts w:hint="eastAsia" w:ascii="微软雅黑" w:hAnsi="微软雅黑" w:eastAsia="微软雅黑" w:cs="微软雅黑"/>
          <w:sz w:val="28"/>
          <w:szCs w:val="28"/>
          <w:highlight w:val="none"/>
        </w:rPr>
        <w:t>）；</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w:t>
      </w:r>
      <w:r>
        <w:rPr>
          <w:rFonts w:hint="eastAsia" w:ascii="微软雅黑" w:hAnsi="微软雅黑" w:eastAsia="微软雅黑" w:cs="微软雅黑"/>
          <w:sz w:val="28"/>
          <w:szCs w:val="28"/>
          <w:highlight w:val="none"/>
          <w:lang w:eastAsia="zh-CN"/>
        </w:rPr>
        <w:t>具有有效的营业执照</w:t>
      </w:r>
      <w:r>
        <w:rPr>
          <w:rFonts w:hint="eastAsia" w:ascii="微软雅黑" w:hAnsi="微软雅黑" w:eastAsia="微软雅黑" w:cs="微软雅黑"/>
          <w:sz w:val="28"/>
          <w:szCs w:val="28"/>
          <w:highlight w:val="none"/>
        </w:rPr>
        <w:t>；</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eastAsia="zh-CN"/>
        </w:rPr>
        <w:t>3、</w:t>
      </w:r>
      <w:r>
        <w:rPr>
          <w:rFonts w:hint="eastAsia" w:ascii="微软雅黑" w:hAnsi="微软雅黑" w:eastAsia="微软雅黑" w:cs="微软雅黑"/>
          <w:sz w:val="28"/>
          <w:szCs w:val="28"/>
          <w:highlight w:val="none"/>
          <w:lang w:val="en-US" w:eastAsia="zh-CN"/>
        </w:rPr>
        <w:t>提供《医疗器械生产许可证》或《医疗器械经营许可证》；</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4、法人投标需提供法人身份证明及身份证，</w:t>
      </w:r>
      <w:r>
        <w:rPr>
          <w:rFonts w:hint="eastAsia" w:ascii="微软雅黑" w:hAnsi="微软雅黑" w:eastAsia="微软雅黑" w:cs="微软雅黑"/>
          <w:sz w:val="28"/>
          <w:szCs w:val="28"/>
          <w:highlight w:val="none"/>
          <w:lang w:eastAsia="zh-CN"/>
        </w:rPr>
        <w:t>被</w:t>
      </w:r>
      <w:r>
        <w:rPr>
          <w:rFonts w:hint="eastAsia" w:ascii="微软雅黑" w:hAnsi="微软雅黑" w:eastAsia="微软雅黑" w:cs="微软雅黑"/>
          <w:sz w:val="28"/>
          <w:szCs w:val="28"/>
          <w:highlight w:val="none"/>
        </w:rPr>
        <w:t>授权委托人需提供法人授权委托书及身份证</w:t>
      </w:r>
      <w:r>
        <w:rPr>
          <w:rFonts w:hint="eastAsia" w:ascii="微软雅黑" w:hAnsi="微软雅黑" w:eastAsia="微软雅黑" w:cs="微软雅黑"/>
          <w:sz w:val="28"/>
          <w:szCs w:val="28"/>
          <w:highlight w:val="none"/>
          <w:lang w:eastAsia="zh-CN"/>
        </w:rPr>
        <w:t>；</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5、提供本单位依法缴纳近三个月的社保证明</w:t>
      </w:r>
      <w:r>
        <w:rPr>
          <w:rFonts w:hint="eastAsia" w:ascii="微软雅黑" w:hAnsi="微软雅黑" w:eastAsia="微软雅黑" w:cs="微软雅黑"/>
          <w:sz w:val="28"/>
          <w:szCs w:val="28"/>
          <w:highlight w:val="none"/>
          <w:lang w:eastAsia="zh-CN"/>
        </w:rPr>
        <w:t>；</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6、提供税务部门出具近三个月的完税证明；</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7、提供</w:t>
      </w:r>
      <w:r>
        <w:rPr>
          <w:rFonts w:hint="eastAsia" w:ascii="微软雅黑" w:hAnsi="微软雅黑" w:eastAsia="微软雅黑" w:cs="微软雅黑"/>
          <w:sz w:val="28"/>
          <w:szCs w:val="28"/>
          <w:highlight w:val="none"/>
          <w:lang w:val="en-US" w:eastAsia="zh-CN"/>
        </w:rPr>
        <w:t>2021年</w:t>
      </w:r>
      <w:r>
        <w:rPr>
          <w:rFonts w:hint="eastAsia" w:ascii="微软雅黑" w:hAnsi="微软雅黑" w:eastAsia="微软雅黑" w:cs="微软雅黑"/>
          <w:sz w:val="28"/>
          <w:szCs w:val="28"/>
          <w:highlight w:val="none"/>
        </w:rPr>
        <w:t>的财务审计报告（新成立公司需提供银行资信证明）；</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8、参与政府采购活动前3年内未被列入失信、重大税收违法案件、财政部门禁止参加政府采购活动的承诺书；</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9、提供针对本次项目的反商业贿赂承诺书。</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lang w:eastAsia="zh-CN"/>
        </w:rPr>
        <w:t>本项目不接受联合体投标。</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39"/>
          <w:rFonts w:hint="eastAsia" w:ascii="微软雅黑" w:hAnsi="微软雅黑" w:eastAsia="微软雅黑" w:cs="微软雅黑"/>
          <w:sz w:val="28"/>
          <w:szCs w:val="28"/>
          <w:highlight w:val="none"/>
        </w:rPr>
        <w:t>三、获取采购文件</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xml:space="preserve">    </w:t>
      </w:r>
      <w:r>
        <w:rPr>
          <w:rFonts w:hint="eastAsia" w:ascii="微软雅黑" w:hAnsi="微软雅黑" w:eastAsia="微软雅黑" w:cs="微软雅黑"/>
          <w:sz w:val="28"/>
          <w:szCs w:val="28"/>
          <w:highlight w:val="none"/>
          <w:u w:val="none"/>
        </w:rPr>
        <w:t>时间：2022年0</w:t>
      </w:r>
      <w:r>
        <w:rPr>
          <w:rFonts w:hint="eastAsia" w:ascii="微软雅黑" w:hAnsi="微软雅黑" w:eastAsia="微软雅黑" w:cs="微软雅黑"/>
          <w:sz w:val="28"/>
          <w:szCs w:val="28"/>
          <w:highlight w:val="none"/>
          <w:u w:val="none"/>
          <w:lang w:val="en-US" w:eastAsia="zh-CN"/>
        </w:rPr>
        <w:t>7</w:t>
      </w:r>
      <w:r>
        <w:rPr>
          <w:rFonts w:hint="eastAsia" w:ascii="微软雅黑" w:hAnsi="微软雅黑" w:eastAsia="微软雅黑" w:cs="微软雅黑"/>
          <w:sz w:val="28"/>
          <w:szCs w:val="28"/>
          <w:highlight w:val="none"/>
          <w:u w:val="none"/>
        </w:rPr>
        <w:t>月</w:t>
      </w:r>
      <w:r>
        <w:rPr>
          <w:rFonts w:hint="eastAsia" w:ascii="微软雅黑" w:hAnsi="微软雅黑" w:eastAsia="微软雅黑" w:cs="微软雅黑"/>
          <w:sz w:val="28"/>
          <w:szCs w:val="28"/>
          <w:highlight w:val="none"/>
          <w:u w:val="none"/>
          <w:lang w:val="en-US" w:eastAsia="zh-CN"/>
        </w:rPr>
        <w:t>15</w:t>
      </w:r>
      <w:r>
        <w:rPr>
          <w:rFonts w:hint="eastAsia" w:ascii="微软雅黑" w:hAnsi="微软雅黑" w:eastAsia="微软雅黑" w:cs="微软雅黑"/>
          <w:sz w:val="28"/>
          <w:szCs w:val="28"/>
          <w:highlight w:val="none"/>
          <w:u w:val="none"/>
        </w:rPr>
        <w:t>日至2022年0</w:t>
      </w:r>
      <w:r>
        <w:rPr>
          <w:rFonts w:hint="eastAsia" w:ascii="微软雅黑" w:hAnsi="微软雅黑" w:eastAsia="微软雅黑" w:cs="微软雅黑"/>
          <w:sz w:val="28"/>
          <w:szCs w:val="28"/>
          <w:highlight w:val="none"/>
          <w:u w:val="none"/>
          <w:lang w:val="en-US" w:eastAsia="zh-CN"/>
        </w:rPr>
        <w:t>7</w:t>
      </w:r>
      <w:r>
        <w:rPr>
          <w:rFonts w:hint="eastAsia" w:ascii="微软雅黑" w:hAnsi="微软雅黑" w:eastAsia="微软雅黑" w:cs="微软雅黑"/>
          <w:sz w:val="28"/>
          <w:szCs w:val="28"/>
          <w:highlight w:val="none"/>
          <w:u w:val="none"/>
        </w:rPr>
        <w:t>月</w:t>
      </w:r>
      <w:r>
        <w:rPr>
          <w:rFonts w:hint="eastAsia" w:ascii="微软雅黑" w:hAnsi="微软雅黑" w:eastAsia="微软雅黑" w:cs="微软雅黑"/>
          <w:sz w:val="28"/>
          <w:szCs w:val="28"/>
          <w:highlight w:val="none"/>
          <w:u w:val="none"/>
          <w:lang w:val="en-US" w:eastAsia="zh-CN"/>
        </w:rPr>
        <w:t>22</w:t>
      </w:r>
      <w:r>
        <w:rPr>
          <w:rFonts w:hint="eastAsia" w:ascii="微软雅黑" w:hAnsi="微软雅黑" w:eastAsia="微软雅黑" w:cs="微软雅黑"/>
          <w:sz w:val="28"/>
          <w:szCs w:val="28"/>
          <w:highlight w:val="none"/>
          <w:u w:val="none"/>
        </w:rPr>
        <w:t>日，每天上午10:00至13:30，下午16:00至19:30（北京时间，法定节假日除外）</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    地点：</w:t>
      </w:r>
      <w:r>
        <w:rPr>
          <w:rFonts w:hint="eastAsia" w:ascii="微软雅黑" w:hAnsi="微软雅黑" w:eastAsia="微软雅黑" w:cs="微软雅黑"/>
          <w:sz w:val="28"/>
          <w:szCs w:val="28"/>
          <w:highlight w:val="none"/>
          <w:lang w:val="en-US" w:eastAsia="zh-CN"/>
        </w:rPr>
        <w:t>政采云平台</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    方式：</w:t>
      </w:r>
      <w:r>
        <w:rPr>
          <w:rFonts w:hint="eastAsia" w:ascii="微软雅黑" w:hAnsi="微软雅黑" w:eastAsia="微软雅黑" w:cs="微软雅黑"/>
          <w:sz w:val="28"/>
          <w:szCs w:val="28"/>
          <w:highlight w:val="none"/>
          <w:lang w:val="en-US" w:eastAsia="zh-CN"/>
        </w:rPr>
        <w:t>供应商登陆政采云平台http://www.zcygov.cn/，在线获取磋商文件（登录政府采购云平台→ 项目采购 → 获取磋商文件，通过审核后可获取磋商文件，如有操作性问题，可与政采云在线客服进行咨询，电话400-881-7190 ）</w:t>
      </w:r>
      <w:bookmarkStart w:id="1734" w:name="_GoBack"/>
      <w:bookmarkEnd w:id="1734"/>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39"/>
          <w:rFonts w:hint="eastAsia" w:ascii="微软雅黑" w:hAnsi="微软雅黑" w:eastAsia="微软雅黑" w:cs="微软雅黑"/>
          <w:sz w:val="28"/>
          <w:szCs w:val="28"/>
          <w:highlight w:val="none"/>
        </w:rPr>
        <w:t>四、响应文件提交</w:t>
      </w:r>
      <w:r>
        <w:rPr>
          <w:rFonts w:hint="eastAsia" w:ascii="微软雅黑" w:hAnsi="微软雅黑" w:eastAsia="微软雅黑" w:cs="微软雅黑"/>
          <w:sz w:val="28"/>
          <w:szCs w:val="28"/>
          <w:highlight w:val="none"/>
        </w:rPr>
        <w:t> </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截止时间：</w:t>
      </w:r>
      <w:r>
        <w:rPr>
          <w:rFonts w:hint="eastAsia" w:ascii="微软雅黑" w:hAnsi="微软雅黑" w:eastAsia="微软雅黑" w:cs="微软雅黑"/>
          <w:sz w:val="28"/>
          <w:szCs w:val="28"/>
          <w:highlight w:val="none"/>
          <w:lang w:eastAsia="zh-CN"/>
        </w:rPr>
        <w:t>2022年07月</w:t>
      </w:r>
      <w:r>
        <w:rPr>
          <w:rFonts w:hint="eastAsia" w:ascii="微软雅黑" w:hAnsi="微软雅黑" w:eastAsia="微软雅黑" w:cs="微软雅黑"/>
          <w:sz w:val="28"/>
          <w:szCs w:val="28"/>
          <w:highlight w:val="none"/>
          <w:lang w:val="en-US" w:eastAsia="zh-CN"/>
        </w:rPr>
        <w:t>26</w:t>
      </w:r>
      <w:r>
        <w:rPr>
          <w:rFonts w:hint="eastAsia" w:ascii="微软雅黑" w:hAnsi="微软雅黑" w:eastAsia="微软雅黑" w:cs="微软雅黑"/>
          <w:sz w:val="28"/>
          <w:szCs w:val="28"/>
          <w:highlight w:val="none"/>
          <w:lang w:eastAsia="zh-CN"/>
        </w:rPr>
        <w:t>日</w:t>
      </w:r>
      <w:r>
        <w:rPr>
          <w:rFonts w:hint="eastAsia" w:ascii="微软雅黑" w:hAnsi="微软雅黑" w:eastAsia="微软雅黑" w:cs="微软雅黑"/>
          <w:sz w:val="28"/>
          <w:szCs w:val="28"/>
          <w:highlight w:val="none"/>
        </w:rPr>
        <w:t xml:space="preserve"> 11:00（北京时间）</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rPr>
        <w:t>    地点：</w:t>
      </w:r>
      <w:r>
        <w:rPr>
          <w:rFonts w:hint="eastAsia" w:ascii="微软雅黑" w:hAnsi="微软雅黑" w:eastAsia="微软雅黑" w:cs="微软雅黑"/>
          <w:sz w:val="28"/>
          <w:szCs w:val="28"/>
          <w:highlight w:val="none"/>
          <w:lang w:val="en-US" w:eastAsia="zh-CN"/>
        </w:rPr>
        <w:t>喀什市明宇广场B座5楼520室</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39"/>
          <w:rFonts w:hint="eastAsia" w:ascii="微软雅黑" w:hAnsi="微软雅黑" w:eastAsia="微软雅黑" w:cs="微软雅黑"/>
          <w:sz w:val="28"/>
          <w:szCs w:val="28"/>
          <w:highlight w:val="none"/>
        </w:rPr>
        <w:t>五、响应文件开启</w:t>
      </w:r>
      <w:r>
        <w:rPr>
          <w:rFonts w:hint="eastAsia" w:ascii="微软雅黑" w:hAnsi="微软雅黑" w:eastAsia="微软雅黑" w:cs="微软雅黑"/>
          <w:sz w:val="28"/>
          <w:szCs w:val="28"/>
          <w:highlight w:val="none"/>
        </w:rPr>
        <w:t> </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开启时间：</w:t>
      </w:r>
      <w:r>
        <w:rPr>
          <w:rFonts w:hint="eastAsia" w:ascii="微软雅黑" w:hAnsi="微软雅黑" w:eastAsia="微软雅黑" w:cs="微软雅黑"/>
          <w:sz w:val="28"/>
          <w:szCs w:val="28"/>
          <w:highlight w:val="none"/>
          <w:lang w:eastAsia="zh-CN"/>
        </w:rPr>
        <w:t>2022年07月</w:t>
      </w:r>
      <w:r>
        <w:rPr>
          <w:rFonts w:hint="eastAsia" w:ascii="微软雅黑" w:hAnsi="微软雅黑" w:eastAsia="微软雅黑" w:cs="微软雅黑"/>
          <w:sz w:val="28"/>
          <w:szCs w:val="28"/>
          <w:highlight w:val="none"/>
          <w:lang w:val="en-US" w:eastAsia="zh-CN"/>
        </w:rPr>
        <w:t>26</w:t>
      </w:r>
      <w:r>
        <w:rPr>
          <w:rFonts w:hint="eastAsia" w:ascii="微软雅黑" w:hAnsi="微软雅黑" w:eastAsia="微软雅黑" w:cs="微软雅黑"/>
          <w:sz w:val="28"/>
          <w:szCs w:val="28"/>
          <w:highlight w:val="none"/>
          <w:lang w:eastAsia="zh-CN"/>
        </w:rPr>
        <w:t>日</w:t>
      </w:r>
      <w:r>
        <w:rPr>
          <w:rFonts w:hint="eastAsia" w:ascii="微软雅黑" w:hAnsi="微软雅黑" w:eastAsia="微软雅黑" w:cs="微软雅黑"/>
          <w:sz w:val="28"/>
          <w:szCs w:val="28"/>
          <w:highlight w:val="none"/>
        </w:rPr>
        <w:t xml:space="preserve"> 11:00 （北京时间）</w:t>
      </w:r>
    </w:p>
    <w:p>
      <w:pPr>
        <w:pStyle w:val="31"/>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地点：</w:t>
      </w:r>
      <w:r>
        <w:rPr>
          <w:rFonts w:hint="eastAsia" w:ascii="微软雅黑" w:hAnsi="微软雅黑" w:eastAsia="微软雅黑" w:cs="微软雅黑"/>
          <w:sz w:val="28"/>
          <w:szCs w:val="28"/>
          <w:highlight w:val="none"/>
          <w:lang w:val="en-US" w:eastAsia="zh-CN"/>
        </w:rPr>
        <w:t>喀什市明宇广场B座5楼520室</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39"/>
          <w:rFonts w:hint="eastAsia" w:ascii="微软雅黑" w:hAnsi="微软雅黑" w:eastAsia="微软雅黑" w:cs="微软雅黑"/>
          <w:sz w:val="28"/>
          <w:szCs w:val="28"/>
          <w:highlight w:val="none"/>
        </w:rPr>
        <w:t>六、公告期限</w:t>
      </w:r>
    </w:p>
    <w:p>
      <w:pPr>
        <w:pStyle w:val="31"/>
        <w:keepNext w:val="0"/>
        <w:keepLines w:val="0"/>
        <w:widowControl/>
        <w:suppressLineNumbers w:val="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自本公告发布之日起</w:t>
      </w:r>
      <w:r>
        <w:rPr>
          <w:rFonts w:hint="eastAsia" w:ascii="微软雅黑" w:hAnsi="微软雅黑" w:eastAsia="微软雅黑" w:cs="微软雅黑"/>
          <w:sz w:val="28"/>
          <w:szCs w:val="28"/>
          <w:highlight w:val="none"/>
          <w:lang w:val="en-US" w:eastAsia="zh-CN"/>
        </w:rPr>
        <w:t>5</w:t>
      </w:r>
      <w:r>
        <w:rPr>
          <w:rFonts w:hint="eastAsia" w:ascii="微软雅黑" w:hAnsi="微软雅黑" w:eastAsia="微软雅黑" w:cs="微软雅黑"/>
          <w:sz w:val="28"/>
          <w:szCs w:val="28"/>
          <w:highlight w:val="none"/>
        </w:rPr>
        <w:t>个工作日。</w:t>
      </w:r>
    </w:p>
    <w:p>
      <w:pPr>
        <w:pStyle w:val="31"/>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39"/>
          <w:rFonts w:hint="eastAsia" w:ascii="微软雅黑" w:hAnsi="微软雅黑" w:eastAsia="微软雅黑" w:cs="微软雅黑"/>
          <w:sz w:val="28"/>
          <w:szCs w:val="28"/>
          <w:highlight w:val="none"/>
        </w:rPr>
        <w:t>七、其他补充事宜</w:t>
      </w:r>
      <w:r>
        <w:rPr>
          <w:rFonts w:hint="eastAsia" w:ascii="微软雅黑" w:hAnsi="微软雅黑" w:eastAsia="微软雅黑" w:cs="微软雅黑"/>
          <w:sz w:val="28"/>
          <w:szCs w:val="28"/>
          <w:highlight w:val="none"/>
        </w:rPr>
        <w:t> </w:t>
      </w:r>
    </w:p>
    <w:p>
      <w:pPr>
        <w:pStyle w:val="31"/>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无  </w:t>
      </w:r>
    </w:p>
    <w:p>
      <w:pPr>
        <w:pStyle w:val="31"/>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特别提示：</w:t>
      </w:r>
    </w:p>
    <w:p>
      <w:pPr>
        <w:pStyle w:val="31"/>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1"/>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1"/>
        <w:keepNext w:val="0"/>
        <w:keepLines w:val="0"/>
        <w:widowControl/>
        <w:suppressLineNumbers w:val="0"/>
        <w:spacing w:line="315" w:lineRule="atLeast"/>
        <w:rPr>
          <w:rFonts w:hint="eastAsia" w:ascii="微软雅黑" w:hAnsi="微软雅黑" w:eastAsia="微软雅黑" w:cs="微软雅黑"/>
          <w:sz w:val="28"/>
          <w:szCs w:val="28"/>
          <w:highlight w:val="none"/>
        </w:rPr>
      </w:pPr>
    </w:p>
    <w:p>
      <w:pPr>
        <w:pStyle w:val="31"/>
        <w:keepNext w:val="0"/>
        <w:keepLines w:val="0"/>
        <w:widowControl/>
        <w:suppressLineNumbers w:val="0"/>
        <w:spacing w:before="204" w:beforeAutospacing="0" w:after="204" w:afterAutospacing="0" w:line="384" w:lineRule="atLeast"/>
        <w:ind w:left="0" w:right="0"/>
        <w:jc w:val="both"/>
        <w:rPr>
          <w:rFonts w:hint="eastAsia" w:ascii="微软雅黑" w:hAnsi="微软雅黑" w:eastAsia="微软雅黑" w:cs="微软雅黑"/>
          <w:sz w:val="28"/>
          <w:szCs w:val="28"/>
          <w:highlight w:val="none"/>
        </w:rPr>
      </w:pPr>
      <w:r>
        <w:rPr>
          <w:rStyle w:val="39"/>
          <w:rFonts w:hint="eastAsia" w:ascii="微软雅黑" w:hAnsi="微软雅黑" w:eastAsia="微软雅黑" w:cs="微软雅黑"/>
          <w:sz w:val="28"/>
          <w:szCs w:val="28"/>
          <w:highlight w:val="none"/>
        </w:rPr>
        <w:t>八、凡对本次招标提出询问，请按以下方式联系</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1.采购人信息</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名 称：</w:t>
      </w:r>
      <w:r>
        <w:rPr>
          <w:rFonts w:hint="eastAsia" w:ascii="微软雅黑" w:hAnsi="微软雅黑" w:eastAsia="微软雅黑" w:cs="微软雅黑"/>
          <w:sz w:val="28"/>
          <w:szCs w:val="28"/>
          <w:highlight w:val="none"/>
          <w:lang w:val="en-US" w:eastAsia="zh-CN"/>
        </w:rPr>
        <w:t>喀什地区粮食和物资储备局</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地 址：</w:t>
      </w:r>
      <w:r>
        <w:rPr>
          <w:rFonts w:hint="eastAsia" w:ascii="微软雅黑" w:hAnsi="微软雅黑" w:eastAsia="微软雅黑" w:cs="微软雅黑"/>
          <w:sz w:val="28"/>
          <w:szCs w:val="28"/>
          <w:highlight w:val="none"/>
          <w:lang w:val="en-US" w:eastAsia="zh-CN"/>
        </w:rPr>
        <w:t>喀什地区粮食和物资储备局</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联系方式：</w:t>
      </w:r>
      <w:r>
        <w:rPr>
          <w:rFonts w:hint="eastAsia" w:ascii="微软雅黑" w:hAnsi="微软雅黑" w:eastAsia="微软雅黑" w:cs="微软雅黑"/>
          <w:sz w:val="28"/>
          <w:szCs w:val="28"/>
          <w:highlight w:val="none"/>
          <w:lang w:eastAsia="zh-CN"/>
        </w:rPr>
        <w:t>13070051436</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2.采购代理机构信息</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名 称：新疆永信国金工程管理咨询有限公司</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地 址：喀什市</w:t>
      </w:r>
      <w:r>
        <w:rPr>
          <w:rFonts w:hint="eastAsia" w:ascii="微软雅黑" w:hAnsi="微软雅黑" w:eastAsia="微软雅黑" w:cs="微软雅黑"/>
          <w:sz w:val="28"/>
          <w:szCs w:val="28"/>
          <w:highlight w:val="none"/>
          <w:lang w:eastAsia="zh-CN"/>
        </w:rPr>
        <w:t>明宇广场写字楼</w:t>
      </w:r>
      <w:r>
        <w:rPr>
          <w:rFonts w:hint="eastAsia" w:ascii="微软雅黑" w:hAnsi="微软雅黑" w:eastAsia="微软雅黑" w:cs="微软雅黑"/>
          <w:sz w:val="28"/>
          <w:szCs w:val="28"/>
          <w:highlight w:val="none"/>
          <w:lang w:val="en-US" w:eastAsia="zh-CN"/>
        </w:rPr>
        <w:t>5楼519室</w:t>
      </w:r>
    </w:p>
    <w:p>
      <w:pPr>
        <w:pStyle w:val="31"/>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联系方式：</w:t>
      </w:r>
      <w:r>
        <w:rPr>
          <w:rFonts w:hint="eastAsia" w:ascii="微软雅黑" w:hAnsi="微软雅黑" w:eastAsia="微软雅黑" w:cs="微软雅黑"/>
          <w:sz w:val="28"/>
          <w:szCs w:val="28"/>
          <w:highlight w:val="none"/>
          <w:lang w:val="en-US" w:eastAsia="zh-CN"/>
        </w:rPr>
        <w:t>0998-2554292</w:t>
      </w:r>
    </w:p>
    <w:p>
      <w:pPr>
        <w:pStyle w:val="31"/>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3.同级监督部门</w:t>
      </w:r>
    </w:p>
    <w:p>
      <w:pPr>
        <w:pStyle w:val="31"/>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单位名称：喀什地区财政局采购办</w:t>
      </w:r>
    </w:p>
    <w:p>
      <w:pPr>
        <w:pageBreakBefore w:val="0"/>
        <w:widowControl w:val="0"/>
        <w:kinsoku/>
        <w:wordWrap/>
        <w:overflowPunct/>
        <w:topLinePunct w:val="0"/>
        <w:bidi w:val="0"/>
        <w:snapToGrid/>
        <w:spacing w:line="240" w:lineRule="auto"/>
        <w:ind w:firstLine="560" w:firstLineChars="200"/>
        <w:textAlignment w:val="auto"/>
        <w:rPr>
          <w:rFonts w:ascii="微软雅黑" w:hAnsi="微软雅黑" w:eastAsia="微软雅黑" w:cs="微软雅黑"/>
          <w:sz w:val="28"/>
          <w:szCs w:val="28"/>
          <w:highlight w:val="none"/>
        </w:rPr>
      </w:pPr>
      <w:r>
        <w:rPr>
          <w:rFonts w:hint="eastAsia" w:ascii="微软雅黑" w:hAnsi="微软雅黑" w:eastAsia="微软雅黑" w:cs="微软雅黑"/>
          <w:kern w:val="2"/>
          <w:sz w:val="28"/>
          <w:szCs w:val="28"/>
          <w:highlight w:val="none"/>
          <w:lang w:val="en-US" w:eastAsia="zh-CN" w:bidi="ar-SA"/>
        </w:rPr>
        <w:t>联系电话：0998-2597200、0998-2597000</w:t>
      </w:r>
      <w:r>
        <w:rPr>
          <w:rFonts w:hint="eastAsia" w:ascii="仿宋_GB2312" w:hAnsi="Times New Roman" w:eastAsia="仿宋_GB2312" w:cs="Times New Roman"/>
          <w:kern w:val="2"/>
          <w:sz w:val="24"/>
          <w:szCs w:val="24"/>
          <w:highlight w:val="none"/>
          <w:lang w:val="en-US" w:eastAsia="zh-CN" w:bidi="ar-SA"/>
        </w:rPr>
        <w:br w:type="page"/>
      </w:r>
    </w:p>
    <w:p>
      <w:pPr>
        <w:pStyle w:val="3"/>
        <w:tabs>
          <w:tab w:val="left" w:pos="0"/>
        </w:tabs>
        <w:snapToGrid w:val="0"/>
        <w:spacing w:before="0" w:after="0" w:line="240" w:lineRule="auto"/>
        <w:textAlignment w:val="baseline"/>
        <w:rPr>
          <w:rFonts w:ascii="微软雅黑" w:hAnsi="微软雅黑" w:eastAsia="微软雅黑" w:cs="微软雅黑"/>
          <w:szCs w:val="32"/>
          <w:highlight w:val="none"/>
        </w:rPr>
      </w:pPr>
      <w:bookmarkStart w:id="775" w:name="_Toc18058"/>
      <w:r>
        <w:rPr>
          <w:rFonts w:hint="eastAsia" w:ascii="微软雅黑" w:hAnsi="微软雅黑" w:eastAsia="微软雅黑" w:cs="微软雅黑"/>
          <w:szCs w:val="32"/>
          <w:highlight w:val="none"/>
        </w:rPr>
        <w:t>第4章  供应商须知资料表</w:t>
      </w:r>
      <w:bookmarkEnd w:id="769"/>
      <w:bookmarkEnd w:id="770"/>
      <w:bookmarkEnd w:id="771"/>
      <w:bookmarkEnd w:id="772"/>
      <w:bookmarkEnd w:id="773"/>
      <w:bookmarkEnd w:id="774"/>
      <w:bookmarkEnd w:id="775"/>
    </w:p>
    <w:p>
      <w:pPr>
        <w:snapToGrid w:val="0"/>
        <w:spacing w:line="240" w:lineRule="atLeast"/>
        <w:ind w:firstLine="360" w:firstLineChars="1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本表是本采购项目的具体资料，是对供应商须知的具体补充和修改，如有矛盾，应以本资料表为准。</w:t>
      </w:r>
    </w:p>
    <w:tbl>
      <w:tblPr>
        <w:tblStyle w:val="36"/>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snapToGrid w:val="0"/>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条款号</w:t>
            </w:r>
          </w:p>
        </w:tc>
        <w:tc>
          <w:tcPr>
            <w:tcW w:w="8115" w:type="dxa"/>
            <w:vAlign w:val="center"/>
          </w:tcPr>
          <w:p>
            <w:pPr>
              <w:snapToGrid w:val="0"/>
              <w:ind w:left="1080" w:leftChars="257" w:hanging="540"/>
              <w:textAlignment w:val="baseline"/>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w:t>
            </w:r>
          </w:p>
        </w:tc>
        <w:tc>
          <w:tcPr>
            <w:tcW w:w="8115" w:type="dxa"/>
            <w:vAlign w:val="center"/>
          </w:tcPr>
          <w:p>
            <w:pPr>
              <w:pStyle w:val="31"/>
              <w:widowControl/>
              <w:snapToGrid w:val="0"/>
              <w:spacing w:before="0" w:after="0"/>
              <w:textAlignment w:val="baseline"/>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采购人：</w:t>
            </w:r>
            <w:r>
              <w:rPr>
                <w:rFonts w:hint="eastAsia" w:ascii="微软雅黑" w:hAnsi="微软雅黑" w:eastAsia="微软雅黑" w:cs="微软雅黑"/>
                <w:highlight w:val="none"/>
                <w:lang w:val="en-US" w:eastAsia="zh-CN"/>
              </w:rPr>
              <w:t>喀什地区粮食和物资储备局</w:t>
            </w:r>
          </w:p>
          <w:p>
            <w:pPr>
              <w:pStyle w:val="31"/>
              <w:widowControl/>
              <w:snapToGrid w:val="0"/>
              <w:spacing w:before="0" w:after="0"/>
              <w:textAlignment w:val="baseline"/>
              <w:rPr>
                <w:rFonts w:hint="eastAsia" w:ascii="微软雅黑" w:hAnsi="微软雅黑" w:eastAsia="微软雅黑" w:cs="微软雅黑"/>
                <w:highlight w:val="none"/>
              </w:rPr>
            </w:pPr>
            <w:r>
              <w:rPr>
                <w:rFonts w:hint="eastAsia" w:ascii="微软雅黑" w:hAnsi="微软雅黑" w:eastAsia="微软雅黑" w:cs="微软雅黑"/>
                <w:highlight w:val="none"/>
              </w:rPr>
              <w:t>地  址：</w:t>
            </w:r>
            <w:r>
              <w:rPr>
                <w:rFonts w:hint="eastAsia" w:ascii="微软雅黑" w:hAnsi="微软雅黑" w:eastAsia="微软雅黑" w:cs="微软雅黑"/>
                <w:highlight w:val="none"/>
                <w:lang w:val="en-US" w:eastAsia="zh-CN"/>
              </w:rPr>
              <w:t>喀什地区粮食和物资储备局</w:t>
            </w:r>
          </w:p>
          <w:p>
            <w:pPr>
              <w:pStyle w:val="31"/>
              <w:widowControl/>
              <w:snapToGrid w:val="0"/>
              <w:spacing w:before="0" w:after="0"/>
              <w:textAlignment w:val="baseline"/>
              <w:rPr>
                <w:rFonts w:ascii="微软雅黑" w:hAnsi="微软雅黑" w:eastAsia="微软雅黑" w:cs="微软雅黑"/>
                <w:highlight w:val="none"/>
              </w:rPr>
            </w:pPr>
            <w:r>
              <w:rPr>
                <w:rFonts w:hint="eastAsia" w:ascii="微软雅黑" w:hAnsi="微软雅黑" w:eastAsia="微软雅黑" w:cs="微软雅黑"/>
                <w:highlight w:val="none"/>
                <w:lang w:eastAsia="zh-CN"/>
              </w:rPr>
              <w:t>联系人：</w:t>
            </w:r>
            <w:r>
              <w:rPr>
                <w:rFonts w:hint="eastAsia" w:ascii="微软雅黑" w:hAnsi="微软雅黑" w:eastAsia="微软雅黑" w:cs="微软雅黑"/>
                <w:highlight w:val="none"/>
                <w:lang w:val="en-US" w:eastAsia="zh-CN"/>
              </w:rPr>
              <w:t xml:space="preserve"> 塔吉姑丽·卡热    </w:t>
            </w:r>
            <w:r>
              <w:rPr>
                <w:rFonts w:hint="eastAsia" w:ascii="微软雅黑" w:hAnsi="微软雅黑" w:eastAsia="微软雅黑" w:cs="微软雅黑"/>
                <w:highlight w:val="none"/>
              </w:rPr>
              <w:t>电话：</w:t>
            </w:r>
            <w:r>
              <w:rPr>
                <w:rFonts w:hint="eastAsia" w:ascii="微软雅黑" w:hAnsi="微软雅黑" w:eastAsia="微软雅黑" w:cs="微软雅黑"/>
                <w:highlight w:val="none"/>
                <w:lang w:eastAsia="zh-CN"/>
              </w:rPr>
              <w:t>13070051436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w:t>
            </w:r>
          </w:p>
        </w:tc>
        <w:tc>
          <w:tcPr>
            <w:tcW w:w="8115" w:type="dxa"/>
            <w:vAlign w:val="center"/>
          </w:tcPr>
          <w:p>
            <w:pPr>
              <w:widowControl/>
              <w:snapToGrid w:val="0"/>
              <w:jc w:val="lef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采购代理机构：</w:t>
            </w:r>
            <w:r>
              <w:rPr>
                <w:rFonts w:hint="eastAsia" w:ascii="微软雅黑" w:hAnsi="微软雅黑" w:eastAsia="微软雅黑" w:cs="微软雅黑"/>
                <w:sz w:val="24"/>
                <w:highlight w:val="none"/>
                <w:lang w:val="en-US" w:eastAsia="zh-CN"/>
              </w:rPr>
              <w:t>新疆永信国金工程管理咨询有限公司</w:t>
            </w:r>
          </w:p>
          <w:p>
            <w:pPr>
              <w:widowControl/>
              <w:snapToGrid w:val="0"/>
              <w:jc w:val="left"/>
              <w:textAlignment w:val="baseline"/>
              <w:rPr>
                <w:rFonts w:hint="default" w:ascii="微软雅黑" w:hAnsi="微软雅黑" w:eastAsia="微软雅黑" w:cs="微软雅黑"/>
                <w:sz w:val="24"/>
                <w:highlight w:val="none"/>
                <w:lang w:val="en-US"/>
              </w:rPr>
            </w:pPr>
            <w:r>
              <w:rPr>
                <w:rFonts w:hint="eastAsia" w:ascii="微软雅黑" w:hAnsi="微软雅黑" w:eastAsia="微软雅黑" w:cs="微软雅黑"/>
                <w:sz w:val="24"/>
                <w:highlight w:val="none"/>
              </w:rPr>
              <w:t>联系人：</w:t>
            </w:r>
            <w:r>
              <w:rPr>
                <w:rFonts w:hint="eastAsia" w:ascii="微软雅黑" w:hAnsi="微软雅黑" w:eastAsia="微软雅黑" w:cs="微软雅黑"/>
                <w:sz w:val="24"/>
                <w:highlight w:val="none"/>
                <w:lang w:val="en-US" w:eastAsia="zh-CN"/>
              </w:rPr>
              <w:t>杨莉</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sz w:val="24"/>
                <w:highlight w:val="none"/>
                <w:lang w:val="en-US" w:eastAsia="zh-CN"/>
              </w:rPr>
              <w:t xml:space="preserve">  </w:t>
            </w:r>
            <w:r>
              <w:rPr>
                <w:rFonts w:hint="eastAsia" w:ascii="微软雅黑" w:hAnsi="微软雅黑" w:eastAsia="微软雅黑" w:cs="微软雅黑"/>
                <w:sz w:val="24"/>
                <w:highlight w:val="none"/>
              </w:rPr>
              <w:t>电话：</w:t>
            </w:r>
            <w:r>
              <w:rPr>
                <w:rFonts w:hint="eastAsia" w:ascii="微软雅黑" w:hAnsi="微软雅黑" w:eastAsia="微软雅黑" w:cs="微软雅黑"/>
                <w:sz w:val="24"/>
                <w:highlight w:val="none"/>
                <w:lang w:val="en-US" w:eastAsia="zh-CN"/>
              </w:rPr>
              <w:t>0998-2554292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1"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1.3.4</w:t>
            </w:r>
          </w:p>
        </w:tc>
        <w:tc>
          <w:tcPr>
            <w:tcW w:w="8115" w:type="dxa"/>
            <w:vAlign w:val="center"/>
          </w:tcPr>
          <w:p>
            <w:pPr>
              <w:snapToGrid w:val="0"/>
              <w:textAlignment w:val="baseline"/>
              <w:rPr>
                <w:rFonts w:ascii="微软雅黑" w:hAnsi="微软雅黑" w:eastAsia="微软雅黑" w:cs="微软雅黑"/>
                <w:b/>
                <w:bCs/>
                <w:highlight w:val="none"/>
              </w:rPr>
            </w:pPr>
            <w:r>
              <w:rPr>
                <w:rFonts w:hint="eastAsia" w:ascii="微软雅黑" w:hAnsi="微软雅黑" w:eastAsia="微软雅黑" w:cs="微软雅黑"/>
                <w:b/>
                <w:bCs/>
                <w:highlight w:val="none"/>
              </w:rPr>
              <w:t>合格供应商的其他资格要求：（开标现场需携带以下资格证明材料）</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以代理公司现场核查为准）；</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2、具有有效的营业执照；</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3、提供《医疗器械生产许可证》或《医疗器械经营许可证》；</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4、法人投标需提供法人身份证明及身份证，被授权委托人需提供法人授权委托书及身份证；</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5、提供本单位依法缴纳近三个月的社保证明；</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6、提供税务部门出具近三个月的完税证明；</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7、提供2021年的财务审计报告（新成立公司需提供银行资信证明）；</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8、参与政府采购活动前3年内未被列入失信、重大税收违法案件、财政部门禁止参加政府采购活动的承诺书；</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9、提供针对本次项目的反商业贿赂承诺书。</w:t>
            </w:r>
          </w:p>
          <w:p>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10.提供缴纳磋商保证金的有效凭证。</w:t>
            </w:r>
          </w:p>
          <w:p>
            <w:pPr>
              <w:rPr>
                <w:rFonts w:hint="eastAsia" w:ascii="微软雅黑" w:hAnsi="微软雅黑" w:eastAsia="微软雅黑" w:cs="微软雅黑"/>
                <w:highlight w:val="none"/>
                <w:lang w:eastAsia="zh-CN"/>
              </w:rPr>
            </w:pPr>
            <w:r>
              <w:rPr>
                <w:rFonts w:hint="eastAsia" w:ascii="微软雅黑" w:hAnsi="微软雅黑" w:eastAsia="微软雅黑" w:cs="微软雅黑"/>
                <w:b/>
                <w:bCs/>
                <w:color w:val="auto"/>
                <w:kern w:val="2"/>
                <w:sz w:val="24"/>
                <w:szCs w:val="24"/>
                <w:highlight w:val="none"/>
                <w:lang w:val="en-US" w:eastAsia="zh-CN" w:bidi="ar-SA"/>
              </w:rPr>
              <w:t>注：上述资质开标现场能够通过官方网络查证的，均视为合格供应商。在资格审查过程中，潜在投标企业提供的资质材料不全的，可打开投标书正本进行进一步核实，符合条件的均为合格供应商。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1.3.5   </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是否允许采购进口产品：</w:t>
            </w:r>
            <w:r>
              <w:rPr>
                <w:rFonts w:hint="eastAsia" w:ascii="微软雅黑" w:hAnsi="微软雅黑" w:eastAsia="微软雅黑" w:cs="微软雅黑"/>
                <w:sz w:val="24"/>
                <w:highlight w:val="none"/>
                <w:u w:val="single" w:color="000000"/>
              </w:rPr>
              <w:t xml:space="preserve">  否  </w:t>
            </w:r>
            <w:r>
              <w:rPr>
                <w:rFonts w:hint="eastAsia" w:ascii="微软雅黑" w:hAnsi="微软雅黑" w:eastAsia="微软雅黑" w:cs="微软雅黑"/>
                <w:i/>
                <w:iCs/>
                <w:sz w:val="24"/>
                <w:highlight w:val="none"/>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1.3.6</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是否为专门面向中小企业采购：</w:t>
            </w:r>
            <w:r>
              <w:rPr>
                <w:rFonts w:hint="eastAsia" w:ascii="微软雅黑" w:hAnsi="微软雅黑" w:eastAsia="微软雅黑" w:cs="微软雅黑"/>
                <w:sz w:val="24"/>
                <w:highlight w:val="none"/>
                <w:u w:val="single" w:color="000000"/>
              </w:rPr>
              <w:t xml:space="preserve">  </w:t>
            </w:r>
            <w:r>
              <w:rPr>
                <w:rFonts w:hint="eastAsia" w:ascii="微软雅黑" w:hAnsi="微软雅黑" w:eastAsia="微软雅黑" w:cs="微软雅黑"/>
                <w:sz w:val="24"/>
                <w:highlight w:val="none"/>
                <w:u w:val="single" w:color="000000"/>
                <w:lang w:val="en-US" w:eastAsia="zh-CN"/>
              </w:rPr>
              <w:t>是</w:t>
            </w:r>
            <w:r>
              <w:rPr>
                <w:rFonts w:hint="eastAsia" w:ascii="微软雅黑" w:hAnsi="微软雅黑" w:eastAsia="微软雅黑" w:cs="微软雅黑"/>
                <w:sz w:val="24"/>
                <w:highlight w:val="none"/>
                <w:u w:val="single" w:color="000000"/>
              </w:rPr>
              <w:t xml:space="preserve"> </w:t>
            </w:r>
            <w:r>
              <w:rPr>
                <w:rFonts w:hint="eastAsia" w:ascii="微软雅黑" w:hAnsi="微软雅黑" w:eastAsia="微软雅黑" w:cs="微软雅黑"/>
                <w:i/>
                <w:iCs/>
                <w:sz w:val="24"/>
                <w:highlight w:val="none"/>
                <w:u w:val="none" w:color="auto"/>
              </w:rPr>
              <w:t>（是、否）</w:t>
            </w:r>
            <w:r>
              <w:rPr>
                <w:rFonts w:hint="eastAsia" w:ascii="微软雅黑" w:hAnsi="微软雅黑" w:eastAsia="微软雅黑" w:cs="微软雅黑"/>
                <w:i w:val="0"/>
                <w:iCs w:val="0"/>
                <w:sz w:val="24"/>
                <w:highlight w:val="none"/>
                <w:u w:val="none" w:color="auto"/>
                <w:lang w:eastAsia="zh-CN"/>
              </w:rPr>
              <w:t>（</w:t>
            </w:r>
            <w:r>
              <w:rPr>
                <w:rFonts w:hint="eastAsia" w:ascii="微软雅黑" w:hAnsi="微软雅黑" w:eastAsia="微软雅黑" w:cs="微软雅黑"/>
                <w:b/>
                <w:bCs/>
                <w:i w:val="0"/>
                <w:iCs w:val="0"/>
                <w:sz w:val="24"/>
                <w:szCs w:val="24"/>
                <w:highlight w:val="none"/>
                <w:lang w:eastAsia="zh-CN"/>
              </w:rPr>
              <w:t>潜在投标企业属于中小微企业的，请在投标文件中提供“中小企业声明函”，如果未提供或提供虚假的“中小企业声明函”，投标企业将承担由此造成的一切不利后果。</w:t>
            </w:r>
            <w:r>
              <w:rPr>
                <w:rFonts w:hint="eastAsia" w:ascii="微软雅黑" w:hAnsi="微软雅黑" w:eastAsia="微软雅黑" w:cs="微软雅黑"/>
                <w:i w:val="0"/>
                <w:iCs w:val="0"/>
                <w:sz w:val="24"/>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是否允许联合体磋商：</w:t>
            </w:r>
            <w:r>
              <w:rPr>
                <w:rFonts w:hint="eastAsia" w:ascii="微软雅黑" w:hAnsi="微软雅黑" w:eastAsia="微软雅黑" w:cs="微软雅黑"/>
                <w:sz w:val="24"/>
                <w:highlight w:val="none"/>
                <w:u w:val="single" w:color="000000"/>
              </w:rPr>
              <w:t xml:space="preserve">   否   </w:t>
            </w:r>
            <w:r>
              <w:rPr>
                <w:rFonts w:hint="eastAsia" w:ascii="微软雅黑" w:hAnsi="微软雅黑" w:eastAsia="微软雅黑" w:cs="微软雅黑"/>
                <w:i/>
                <w:iCs/>
                <w:sz w:val="24"/>
                <w:highlight w:val="none"/>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1.4.8</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6"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w:t>
            </w:r>
          </w:p>
        </w:tc>
        <w:tc>
          <w:tcPr>
            <w:tcW w:w="8115" w:type="dxa"/>
            <w:vAlign w:val="center"/>
          </w:tcPr>
          <w:p>
            <w:pPr>
              <w:pStyle w:val="5"/>
              <w:snapToGrid w:val="0"/>
              <w:ind w:firstLine="0"/>
              <w:textAlignment w:val="baseline"/>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项目预算金额：第一标段：1840000元；最高限价：1840000元</w:t>
            </w:r>
          </w:p>
          <w:p>
            <w:pPr>
              <w:rPr>
                <w:rFonts w:hint="default" w:eastAsia="微软雅黑"/>
                <w:highlight w:val="none"/>
                <w:lang w:val="en-US" w:eastAsia="zh-CN"/>
              </w:rPr>
            </w:pPr>
            <w:r>
              <w:rPr>
                <w:rFonts w:hint="eastAsia" w:ascii="微软雅黑" w:hAnsi="微软雅黑" w:eastAsia="微软雅黑" w:cs="微软雅黑"/>
                <w:kern w:val="2"/>
                <w:sz w:val="24"/>
                <w:szCs w:val="24"/>
                <w:highlight w:val="none"/>
                <w:lang w:val="en-US" w:eastAsia="zh-CN" w:bidi="ar-SA"/>
              </w:rPr>
              <w:t xml:space="preserve">                第二标段：114500元； 最高限价：114500元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12.1</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磋商保证金形式：</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rPr>
              <w:t xml:space="preserve">保函  ☑电汇  □支票   ☑对公转账   </w:t>
            </w:r>
          </w:p>
          <w:p>
            <w:pPr>
              <w:snapToGrid w:val="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sz w:val="24"/>
                <w:highlight w:val="none"/>
              </w:rPr>
              <w:t>磋商保证金金额：</w:t>
            </w:r>
            <w:r>
              <w:rPr>
                <w:rFonts w:hint="eastAsia" w:ascii="微软雅黑" w:hAnsi="微软雅黑" w:eastAsia="微软雅黑" w:cs="微软雅黑"/>
                <w:sz w:val="24"/>
                <w:highlight w:val="none"/>
                <w:lang w:eastAsia="zh-CN"/>
              </w:rPr>
              <w:t>第一标段</w:t>
            </w:r>
            <w:r>
              <w:rPr>
                <w:rFonts w:hint="eastAsia" w:ascii="微软雅黑" w:hAnsi="微软雅黑" w:eastAsia="微软雅黑" w:cs="微软雅黑"/>
                <w:kern w:val="2"/>
                <w:sz w:val="24"/>
                <w:szCs w:val="24"/>
                <w:highlight w:val="none"/>
                <w:lang w:val="en-US" w:eastAsia="zh-CN" w:bidi="ar-SA"/>
              </w:rPr>
              <w:t>小写</w:t>
            </w:r>
            <w:r>
              <w:rPr>
                <w:rFonts w:hint="eastAsia" w:ascii="微软雅黑" w:hAnsi="微软雅黑" w:eastAsia="微软雅黑" w:cs="微软雅黑"/>
                <w:b/>
                <w:bCs/>
                <w:sz w:val="24"/>
                <w:highlight w:val="none"/>
              </w:rPr>
              <w:t>：</w:t>
            </w:r>
            <w:r>
              <w:rPr>
                <w:rFonts w:hint="eastAsia" w:ascii="微软雅黑" w:hAnsi="微软雅黑" w:eastAsia="微软雅黑" w:cs="微软雅黑"/>
                <w:kern w:val="2"/>
                <w:sz w:val="24"/>
                <w:szCs w:val="24"/>
                <w:highlight w:val="none"/>
                <w:lang w:val="en-US" w:eastAsia="zh-CN" w:bidi="ar-SA"/>
              </w:rPr>
              <w:t>35000元(大写：人民币叁万伍仟元整）</w:t>
            </w:r>
          </w:p>
          <w:p>
            <w:pPr>
              <w:pStyle w:val="26"/>
              <w:rPr>
                <w:rFonts w:hint="default"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b/>
                <w:bCs/>
                <w:sz w:val="24"/>
                <w:highlight w:val="none"/>
                <w:lang w:val="en-US" w:eastAsia="zh-CN"/>
              </w:rPr>
              <w:t xml:space="preserve">               </w:t>
            </w:r>
            <w:r>
              <w:rPr>
                <w:rFonts w:hint="eastAsia" w:ascii="微软雅黑" w:hAnsi="微软雅黑" w:eastAsia="微软雅黑" w:cs="微软雅黑"/>
                <w:kern w:val="2"/>
                <w:sz w:val="24"/>
                <w:szCs w:val="24"/>
                <w:highlight w:val="none"/>
                <w:lang w:val="en-US" w:eastAsia="zh-CN" w:bidi="ar-SA"/>
              </w:rPr>
              <w:t xml:space="preserve"> 第二标段小写：2000元（大写：人民币贰仟元整）</w:t>
            </w:r>
          </w:p>
          <w:p>
            <w:pPr>
              <w:snapToGrid w:val="0"/>
              <w:textAlignment w:val="baseline"/>
              <w:rPr>
                <w:rFonts w:ascii="微软雅黑" w:hAnsi="微软雅黑" w:eastAsia="微软雅黑" w:cs="微软雅黑"/>
                <w:b/>
                <w:sz w:val="24"/>
                <w:highlight w:val="none"/>
              </w:rPr>
            </w:pPr>
            <w:r>
              <w:rPr>
                <w:rFonts w:hint="eastAsia" w:ascii="微软雅黑" w:hAnsi="微软雅黑" w:eastAsia="微软雅黑" w:cs="微软雅黑"/>
                <w:i/>
                <w:sz w:val="24"/>
                <w:highlight w:val="none"/>
              </w:rPr>
              <w:t>（按照各分包控制金额2%以内的整数计算）</w:t>
            </w:r>
          </w:p>
          <w:p>
            <w:pPr>
              <w:snapToGrid w:val="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eastAsia="zh-CN"/>
              </w:rPr>
              <w:t>保证金收款人</w:t>
            </w:r>
            <w:r>
              <w:rPr>
                <w:rFonts w:hint="eastAsia" w:ascii="微软雅黑" w:hAnsi="微软雅黑" w:eastAsia="微软雅黑" w:cs="微软雅黑"/>
                <w:b/>
                <w:bCs/>
                <w:sz w:val="24"/>
                <w:highlight w:val="none"/>
              </w:rPr>
              <w:t>：新疆永信国金工程管理咨询有限公司</w:t>
            </w:r>
          </w:p>
          <w:p>
            <w:pPr>
              <w:snapToGrid w:val="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开户行：中国银行喀什市西域大道支行</w:t>
            </w:r>
          </w:p>
          <w:p>
            <w:pPr>
              <w:snapToGrid w:val="0"/>
              <w:textAlignment w:val="baseline"/>
              <w:rPr>
                <w:rFonts w:hint="eastAsia" w:ascii="微软雅黑" w:hAnsi="微软雅黑" w:eastAsia="微软雅黑" w:cs="微软雅黑"/>
                <w:b/>
                <w:bCs/>
                <w:sz w:val="24"/>
                <w:highlight w:val="none"/>
                <w:lang w:eastAsia="zh-CN"/>
              </w:rPr>
            </w:pPr>
            <w:r>
              <w:rPr>
                <w:rFonts w:hint="eastAsia" w:ascii="微软雅黑" w:hAnsi="微软雅黑" w:eastAsia="微软雅黑" w:cs="微软雅黑"/>
                <w:b/>
                <w:bCs/>
                <w:sz w:val="24"/>
                <w:highlight w:val="none"/>
              </w:rPr>
              <w:t>账  户：107086326183</w:t>
            </w:r>
            <w:r>
              <w:rPr>
                <w:rFonts w:hint="eastAsia" w:ascii="微软雅黑" w:hAnsi="微软雅黑" w:eastAsia="微软雅黑" w:cs="微软雅黑"/>
                <w:b/>
                <w:bCs/>
                <w:sz w:val="24"/>
                <w:highlight w:val="none"/>
                <w:lang w:eastAsia="zh-CN"/>
              </w:rPr>
              <w:t xml:space="preserve"> </w:t>
            </w:r>
          </w:p>
          <w:p>
            <w:pPr>
              <w:snapToGrid w:val="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联 系 人：</w:t>
            </w:r>
            <w:r>
              <w:rPr>
                <w:rFonts w:hint="eastAsia" w:ascii="微软雅黑" w:hAnsi="微软雅黑" w:eastAsia="微软雅黑" w:cs="微软雅黑"/>
                <w:b/>
                <w:bCs/>
                <w:sz w:val="24"/>
                <w:highlight w:val="none"/>
                <w:lang w:val="en-US" w:eastAsia="zh-CN"/>
              </w:rPr>
              <w:t>杨莉</w:t>
            </w:r>
            <w:r>
              <w:rPr>
                <w:rFonts w:hint="eastAsia" w:ascii="微软雅黑" w:hAnsi="微软雅黑" w:eastAsia="微软雅黑" w:cs="微软雅黑"/>
                <w:b/>
                <w:bCs/>
                <w:sz w:val="24"/>
                <w:highlight w:val="none"/>
              </w:rPr>
              <w:t xml:space="preserve"> </w:t>
            </w:r>
          </w:p>
          <w:p>
            <w:pPr>
              <w:snapToGrid w:val="0"/>
              <w:textAlignment w:val="baseline"/>
              <w:rPr>
                <w:rFonts w:hint="default"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rPr>
              <w:t>联系电话：</w:t>
            </w:r>
            <w:r>
              <w:rPr>
                <w:rFonts w:hint="eastAsia" w:ascii="微软雅黑" w:hAnsi="微软雅黑" w:eastAsia="微软雅黑" w:cs="微软雅黑"/>
                <w:b/>
                <w:bCs/>
                <w:sz w:val="24"/>
                <w:highlight w:val="none"/>
                <w:lang w:val="en-US" w:eastAsia="zh-CN"/>
              </w:rPr>
              <w:t>0998-2554292</w:t>
            </w:r>
          </w:p>
          <w:p>
            <w:pPr>
              <w:snapToGrid w:val="0"/>
              <w:ind w:firstLine="480" w:firstLineChars="200"/>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b/>
                <w:bCs/>
                <w:sz w:val="24"/>
                <w:highlight w:val="none"/>
                <w:lang w:eastAsia="zh-CN"/>
              </w:rPr>
              <w:t>保证金缴纳要求</w:t>
            </w:r>
            <w:r>
              <w:rPr>
                <w:rFonts w:hint="eastAsia" w:ascii="微软雅黑" w:hAnsi="微软雅黑" w:eastAsia="微软雅黑" w:cs="微软雅黑"/>
                <w:b/>
                <w:bCs/>
                <w:sz w:val="24"/>
                <w:highlight w:val="none"/>
              </w:rPr>
              <w:t>：</w:t>
            </w:r>
            <w:r>
              <w:rPr>
                <w:rFonts w:hint="eastAsia" w:ascii="微软雅黑" w:hAnsi="微软雅黑" w:eastAsia="微软雅黑" w:cs="微软雅黑"/>
                <w:sz w:val="24"/>
                <w:highlight w:val="none"/>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sz w:val="24"/>
                <w:highlight w:val="none"/>
              </w:rPr>
              <w:t>打款时注明</w:t>
            </w:r>
            <w:r>
              <w:rPr>
                <w:rFonts w:hint="eastAsia" w:ascii="微软雅黑" w:hAnsi="微软雅黑" w:eastAsia="微软雅黑" w:cs="微软雅黑"/>
                <w:sz w:val="24"/>
                <w:highlight w:val="none"/>
                <w:lang w:eastAsia="zh-CN"/>
              </w:rPr>
              <w:t>投标</w:t>
            </w:r>
            <w:r>
              <w:rPr>
                <w:rFonts w:hint="eastAsia" w:ascii="微软雅黑" w:hAnsi="微软雅黑" w:eastAsia="微软雅黑" w:cs="微软雅黑"/>
                <w:sz w:val="24"/>
                <w:highlight w:val="none"/>
              </w:rPr>
              <w:t>保证金项目名称。投标人未按本条规定提交投标保证金的，其投标将被认定为投标无效。</w:t>
            </w:r>
          </w:p>
          <w:p>
            <w:pPr>
              <w:snapToGrid w:val="0"/>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投标保证金的退还：</w:t>
            </w:r>
            <w:r>
              <w:rPr>
                <w:rFonts w:hint="eastAsia" w:ascii="微软雅黑" w:hAnsi="微软雅黑" w:eastAsia="微软雅黑" w:cs="微软雅黑"/>
                <w:sz w:val="24"/>
                <w:highlight w:val="none"/>
              </w:rPr>
              <w:t>中</w:t>
            </w:r>
            <w:r>
              <w:rPr>
                <w:rFonts w:hint="eastAsia" w:ascii="微软雅黑" w:hAnsi="微软雅黑" w:eastAsia="微软雅黑" w:cs="微软雅黑"/>
                <w:sz w:val="24"/>
                <w:highlight w:val="none"/>
                <w:lang w:val="en-US" w:eastAsia="zh-CN"/>
              </w:rPr>
              <w:t>标通知书发出之日起5个工作日内退还未中标人的投标保证金，中标单位投标保证金在与采购单位签订合同后，把合同扫描件和投标保证金银行转账回执单发到接收竞争性磋商文件邮箱494201909@qq.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p>
        </w:tc>
        <w:tc>
          <w:tcPr>
            <w:tcW w:w="8115" w:type="dxa"/>
            <w:vAlign w:val="center"/>
          </w:tcPr>
          <w:p>
            <w:pPr>
              <w:snapToGrid w:val="0"/>
              <w:textAlignment w:val="baseline"/>
              <w:rPr>
                <w:rFonts w:ascii="微软雅黑" w:hAnsi="微软雅黑" w:eastAsia="微软雅黑" w:cs="微软雅黑"/>
                <w:sz w:val="24"/>
                <w:highlight w:val="none"/>
                <w:u w:val="single" w:color="000000"/>
              </w:rPr>
            </w:pPr>
            <w:r>
              <w:rPr>
                <w:rFonts w:hint="eastAsia" w:ascii="微软雅黑" w:hAnsi="微软雅黑" w:eastAsia="微软雅黑" w:cs="微软雅黑"/>
                <w:sz w:val="24"/>
                <w:highlight w:val="none"/>
              </w:rPr>
              <w:t>磋商有效期：</w:t>
            </w:r>
            <w:r>
              <w:rPr>
                <w:rFonts w:hint="eastAsia" w:ascii="微软雅黑" w:hAnsi="微软雅黑" w:eastAsia="微软雅黑" w:cs="微软雅黑"/>
                <w:sz w:val="24"/>
                <w:highlight w:val="none"/>
                <w:u w:val="single" w:color="000000"/>
              </w:rPr>
              <w:t>　60　</w:t>
            </w:r>
            <w:r>
              <w:rPr>
                <w:rFonts w:hint="eastAsia" w:ascii="微软雅黑" w:hAnsi="微软雅黑" w:eastAsia="微软雅黑" w:cs="微软雅黑"/>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14.1</w:t>
            </w:r>
          </w:p>
        </w:tc>
        <w:tc>
          <w:tcPr>
            <w:tcW w:w="8115" w:type="dxa"/>
            <w:vAlign w:val="center"/>
          </w:tcPr>
          <w:p>
            <w:pPr>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响应文件包括“</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及资格证明文件”和“商务及技术文件”两部分，两部分合订成一册密封递交。</w:t>
            </w:r>
          </w:p>
          <w:p>
            <w:pPr>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响应文件：正本：壹份、副本：贰份；（正</w:t>
            </w:r>
            <w:r>
              <w:rPr>
                <w:rFonts w:hint="eastAsia" w:ascii="微软雅黑" w:hAnsi="微软雅黑" w:eastAsia="微软雅黑" w:cs="微软雅黑"/>
                <w:sz w:val="24"/>
                <w:highlight w:val="none"/>
                <w:lang w:eastAsia="zh-CN"/>
              </w:rPr>
              <w:t>本</w:t>
            </w:r>
            <w:r>
              <w:rPr>
                <w:rFonts w:hint="eastAsia" w:ascii="微软雅黑" w:hAnsi="微软雅黑" w:eastAsia="微软雅黑" w:cs="微软雅黑"/>
                <w:sz w:val="24"/>
                <w:highlight w:val="none"/>
              </w:rPr>
              <w:t>、副本</w:t>
            </w:r>
            <w:r>
              <w:rPr>
                <w:rFonts w:hint="eastAsia" w:ascii="微软雅黑" w:hAnsi="微软雅黑" w:eastAsia="微软雅黑" w:cs="微软雅黑"/>
                <w:sz w:val="24"/>
                <w:highlight w:val="none"/>
                <w:lang w:eastAsia="zh-CN"/>
              </w:rPr>
              <w:t>分开密封</w:t>
            </w:r>
            <w:r>
              <w:rPr>
                <w:rFonts w:hint="eastAsia" w:ascii="微软雅黑" w:hAnsi="微软雅黑" w:eastAsia="微软雅黑" w:cs="微软雅黑"/>
                <w:sz w:val="24"/>
                <w:highlight w:val="none"/>
              </w:rPr>
              <w:t>提交，密封袋封面右上角标明“正本”或“副本”字样）</w:t>
            </w:r>
          </w:p>
          <w:p>
            <w:pPr>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供应商必须制作“</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”并单独密封提交，并在密封袋上标明“</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”的字样。不按要求标注或不单独提交</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，其投标将被拒绝。</w:t>
            </w:r>
          </w:p>
          <w:p>
            <w:pPr>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除上述文件外，还须密封递交响应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响应文件使用A4，胶装，每册装订应牢固、不易拆散和换页，不得采用活页装订。</w:t>
            </w:r>
          </w:p>
          <w:p>
            <w:pPr>
              <w:pStyle w:val="4"/>
              <w:spacing w:before="0" w:after="0"/>
              <w:rPr>
                <w:rFonts w:ascii="微软雅黑" w:hAnsi="微软雅黑" w:eastAsia="微软雅黑" w:cs="微软雅黑"/>
                <w:szCs w:val="24"/>
                <w:highlight w:val="none"/>
                <w:u w:val="none"/>
              </w:rPr>
            </w:pPr>
            <w:bookmarkStart w:id="776" w:name="_Toc7814"/>
            <w:bookmarkStart w:id="777" w:name="_Toc5241"/>
            <w:bookmarkStart w:id="778" w:name="_Toc24502"/>
            <w:bookmarkStart w:id="779" w:name="_Toc4287"/>
            <w:bookmarkStart w:id="780" w:name="_Toc4859"/>
            <w:bookmarkStart w:id="781" w:name="_Toc13818"/>
            <w:r>
              <w:rPr>
                <w:rFonts w:hint="eastAsia" w:ascii="微软雅黑" w:hAnsi="微软雅黑" w:eastAsia="微软雅黑" w:cs="微软雅黑"/>
                <w:szCs w:val="24"/>
                <w:highlight w:val="none"/>
                <w:u w:val="none"/>
              </w:rPr>
              <w:t>响应文件的签署及规定：</w:t>
            </w:r>
            <w:bookmarkEnd w:id="776"/>
            <w:bookmarkEnd w:id="777"/>
            <w:bookmarkEnd w:id="778"/>
            <w:bookmarkEnd w:id="779"/>
            <w:bookmarkEnd w:id="780"/>
            <w:bookmarkEnd w:id="781"/>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供应商应按供应商须知资料表中的规定，准备和递交响应文件正本、副本、</w:t>
            </w:r>
            <w:r>
              <w:rPr>
                <w:rFonts w:hint="eastAsia" w:ascii="微软雅黑" w:hAnsi="微软雅黑" w:eastAsia="微软雅黑" w:cs="微软雅黑"/>
                <w:sz w:val="24"/>
                <w:highlight w:val="none"/>
                <w:lang w:eastAsia="zh-CN"/>
              </w:rPr>
              <w:t>磋商报价一览表</w:t>
            </w:r>
            <w:r>
              <w:rPr>
                <w:rFonts w:hint="eastAsia" w:ascii="微软雅黑" w:hAnsi="微软雅黑" w:eastAsia="微软雅黑" w:cs="微软雅黑"/>
                <w:sz w:val="24"/>
                <w:highlight w:val="none"/>
              </w:rPr>
              <w:t>和电子U盘，</w:t>
            </w:r>
            <w:r>
              <w:rPr>
                <w:rFonts w:hint="eastAsia" w:ascii="微软雅黑" w:hAnsi="微软雅黑" w:eastAsia="微软雅黑" w:cs="微软雅黑"/>
                <w:b/>
                <w:bCs/>
                <w:sz w:val="24"/>
                <w:highlight w:val="none"/>
              </w:rPr>
              <w:t>每份响应文件封皮须清楚地标明“正本”或“副本”</w:t>
            </w:r>
            <w:r>
              <w:rPr>
                <w:rFonts w:hint="eastAsia" w:ascii="微软雅黑" w:hAnsi="微软雅黑" w:eastAsia="微软雅黑" w:cs="微软雅黑"/>
                <w:sz w:val="24"/>
                <w:highlight w:val="none"/>
              </w:rPr>
              <w:t>。若正本和副本不符，以正本为准。</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响应文件的正本需打印或用不褪色墨水书写，并由供应商的法定代表人或经其正式委托代理人按磋商文件规定在响应文件上签字或盖章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所有包装封皮和信封上均应：</w:t>
            </w:r>
          </w:p>
          <w:p>
            <w:pPr>
              <w:rPr>
                <w:rFonts w:ascii="微软雅黑" w:hAnsi="微软雅黑" w:eastAsia="微软雅黑" w:cs="微软雅黑"/>
                <w:sz w:val="24"/>
                <w:highlight w:val="none"/>
              </w:rPr>
            </w:pPr>
            <w:r>
              <w:rPr>
                <w:rFonts w:hint="eastAsia" w:ascii="微软雅黑" w:hAnsi="微软雅黑" w:eastAsia="微软雅黑" w:cs="微软雅黑"/>
                <w:sz w:val="24"/>
                <w:highlight w:val="none"/>
              </w:rPr>
              <w:t>注明</w:t>
            </w:r>
            <w:r>
              <w:rPr>
                <w:rFonts w:hint="eastAsia" w:ascii="微软雅黑" w:hAnsi="微软雅黑" w:eastAsia="微软雅黑" w:cs="微软雅黑"/>
                <w:sz w:val="24"/>
                <w:highlight w:val="none"/>
                <w:lang w:val="en-US" w:eastAsia="zh-CN"/>
              </w:rPr>
              <w:t>磋商</w:t>
            </w:r>
            <w:r>
              <w:rPr>
                <w:rFonts w:hint="eastAsia" w:ascii="微软雅黑" w:hAnsi="微软雅黑" w:eastAsia="微软雅黑" w:cs="微软雅黑"/>
                <w:sz w:val="24"/>
                <w:highlight w:val="none"/>
              </w:rPr>
              <w:t>公告或</w:t>
            </w:r>
            <w:r>
              <w:rPr>
                <w:rFonts w:hint="eastAsia" w:ascii="微软雅黑" w:hAnsi="微软雅黑" w:eastAsia="微软雅黑" w:cs="微软雅黑"/>
                <w:sz w:val="24"/>
                <w:highlight w:val="none"/>
                <w:lang w:val="en-US" w:eastAsia="zh-CN"/>
              </w:rPr>
              <w:t>磋商</w:t>
            </w:r>
            <w:r>
              <w:rPr>
                <w:rFonts w:hint="eastAsia" w:ascii="微软雅黑" w:hAnsi="微软雅黑" w:eastAsia="微软雅黑" w:cs="微软雅黑"/>
                <w:sz w:val="24"/>
                <w:highlight w:val="none"/>
              </w:rPr>
              <w:t>邀请书中指明的项目名称、项目编号、</w:t>
            </w:r>
            <w:r>
              <w:rPr>
                <w:rFonts w:hint="eastAsia" w:ascii="微软雅黑" w:hAnsi="微软雅黑" w:eastAsia="微软雅黑" w:cs="微软雅黑"/>
                <w:sz w:val="24"/>
                <w:highlight w:val="none"/>
                <w:lang w:eastAsia="zh-CN"/>
              </w:rPr>
              <w:t>标段号、</w:t>
            </w:r>
            <w:r>
              <w:rPr>
                <w:rFonts w:hint="eastAsia" w:ascii="微软雅黑" w:hAnsi="微软雅黑" w:eastAsia="微软雅黑" w:cs="微软雅黑"/>
                <w:sz w:val="24"/>
                <w:highlight w:val="none"/>
              </w:rPr>
              <w:t>供应商名称和“在（开标时间）之前不得启封”的字样。</w:t>
            </w:r>
          </w:p>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在封口处加盖供应商单位公章，</w:t>
            </w:r>
            <w:r>
              <w:rPr>
                <w:rFonts w:hint="eastAsia" w:ascii="微软雅黑" w:hAnsi="微软雅黑" w:eastAsia="微软雅黑" w:cs="微软雅黑"/>
                <w:sz w:val="24"/>
                <w:highlight w:val="none"/>
                <w:lang w:eastAsia="zh-CN"/>
              </w:rPr>
              <w:t>并</w:t>
            </w:r>
            <w:r>
              <w:rPr>
                <w:rFonts w:hint="eastAsia" w:ascii="微软雅黑" w:hAnsi="微软雅黑" w:eastAsia="微软雅黑" w:cs="微软雅黑"/>
                <w:sz w:val="24"/>
                <w:highlight w:val="none"/>
              </w:rPr>
              <w:t>由法定代表人（或其委托代理人）签字</w:t>
            </w:r>
            <w:r>
              <w:rPr>
                <w:rFonts w:hint="eastAsia" w:ascii="微软雅黑" w:hAnsi="微软雅黑" w:eastAsia="微软雅黑" w:cs="微软雅黑"/>
                <w:sz w:val="24"/>
                <w:highlight w:val="none"/>
                <w:lang w:val="en-US" w:eastAsia="zh-CN"/>
              </w:rPr>
              <w:t>(或加盖签章）</w:t>
            </w:r>
            <w:r>
              <w:rPr>
                <w:rFonts w:hint="eastAsia" w:ascii="微软雅黑" w:hAnsi="微软雅黑" w:eastAsia="微软雅黑" w:cs="微软雅黑"/>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ind w:left="1080" w:leftChars="257" w:hanging="540"/>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15.1</w:t>
            </w:r>
          </w:p>
        </w:tc>
        <w:tc>
          <w:tcPr>
            <w:tcW w:w="8115" w:type="dxa"/>
            <w:vAlign w:val="center"/>
          </w:tcPr>
          <w:p>
            <w:pPr>
              <w:snapToGrid w:val="0"/>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eastAsia="zh-CN"/>
              </w:rPr>
              <w:t>本项目可兼投兼中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16.1</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磋商截止时间：</w:t>
            </w:r>
            <w:r>
              <w:rPr>
                <w:rFonts w:hint="eastAsia" w:ascii="微软雅黑" w:hAnsi="微软雅黑" w:eastAsia="微软雅黑" w:cs="微软雅黑"/>
                <w:sz w:val="24"/>
                <w:highlight w:val="none"/>
                <w:lang w:eastAsia="zh-CN"/>
              </w:rPr>
              <w:t>2022年07月</w:t>
            </w:r>
            <w:r>
              <w:rPr>
                <w:rFonts w:hint="eastAsia" w:ascii="微软雅黑" w:hAnsi="微软雅黑" w:eastAsia="微软雅黑" w:cs="微软雅黑"/>
                <w:sz w:val="24"/>
                <w:highlight w:val="none"/>
                <w:lang w:val="en-US" w:eastAsia="zh-CN"/>
              </w:rPr>
              <w:t>26</w:t>
            </w:r>
            <w:r>
              <w:rPr>
                <w:rFonts w:hint="eastAsia" w:ascii="微软雅黑" w:hAnsi="微软雅黑" w:eastAsia="微软雅黑" w:cs="微软雅黑"/>
                <w:sz w:val="24"/>
                <w:highlight w:val="none"/>
                <w:lang w:eastAsia="zh-CN"/>
              </w:rPr>
              <w:t>日</w:t>
            </w:r>
            <w:r>
              <w:rPr>
                <w:rFonts w:hint="eastAsia" w:ascii="微软雅黑" w:hAnsi="微软雅黑" w:eastAsia="微软雅黑" w:cs="微软雅黑"/>
                <w:sz w:val="24"/>
                <w:highlight w:val="none"/>
              </w:rPr>
              <w:t xml:space="preserve">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18.1</w:t>
            </w:r>
          </w:p>
        </w:tc>
        <w:tc>
          <w:tcPr>
            <w:tcW w:w="8115" w:type="dxa"/>
            <w:vAlign w:val="center"/>
          </w:tcPr>
          <w:p>
            <w:pPr>
              <w:snapToGrid w:val="0"/>
              <w:textAlignment w:val="baseline"/>
              <w:rPr>
                <w:rFonts w:ascii="微软雅黑" w:hAnsi="微软雅黑" w:eastAsia="微软雅黑" w:cs="微软雅黑"/>
                <w:kern w:val="0"/>
                <w:sz w:val="24"/>
                <w:highlight w:val="none"/>
              </w:rPr>
            </w:pPr>
            <w:r>
              <w:rPr>
                <w:rFonts w:hint="eastAsia" w:ascii="微软雅黑" w:hAnsi="微软雅黑" w:eastAsia="微软雅黑" w:cs="微软雅黑"/>
                <w:sz w:val="24"/>
                <w:highlight w:val="none"/>
              </w:rPr>
              <w:t>磋商</w:t>
            </w:r>
            <w:r>
              <w:rPr>
                <w:rFonts w:hint="eastAsia" w:ascii="微软雅黑" w:hAnsi="微软雅黑" w:eastAsia="微软雅黑" w:cs="微软雅黑"/>
                <w:kern w:val="0"/>
                <w:sz w:val="24"/>
                <w:highlight w:val="none"/>
              </w:rPr>
              <w:t>时间：</w:t>
            </w:r>
            <w:r>
              <w:rPr>
                <w:rFonts w:hint="eastAsia" w:ascii="微软雅黑" w:hAnsi="微软雅黑" w:eastAsia="微软雅黑" w:cs="微软雅黑"/>
                <w:kern w:val="0"/>
                <w:sz w:val="24"/>
                <w:highlight w:val="none"/>
                <w:lang w:eastAsia="zh-CN"/>
              </w:rPr>
              <w:t>2022年07月</w:t>
            </w:r>
            <w:r>
              <w:rPr>
                <w:rFonts w:hint="eastAsia" w:ascii="微软雅黑" w:hAnsi="微软雅黑" w:eastAsia="微软雅黑" w:cs="微软雅黑"/>
                <w:kern w:val="0"/>
                <w:sz w:val="24"/>
                <w:highlight w:val="none"/>
                <w:lang w:val="en-US" w:eastAsia="zh-CN"/>
              </w:rPr>
              <w:t>26</w:t>
            </w:r>
            <w:r>
              <w:rPr>
                <w:rFonts w:hint="eastAsia" w:ascii="微软雅黑" w:hAnsi="微软雅黑" w:eastAsia="微软雅黑" w:cs="微软雅黑"/>
                <w:kern w:val="0"/>
                <w:sz w:val="24"/>
                <w:highlight w:val="none"/>
                <w:lang w:eastAsia="zh-CN"/>
              </w:rPr>
              <w:t>日</w:t>
            </w:r>
            <w:r>
              <w:rPr>
                <w:rFonts w:hint="eastAsia" w:ascii="微软雅黑" w:hAnsi="微软雅黑" w:eastAsia="微软雅黑" w:cs="微软雅黑"/>
                <w:kern w:val="0"/>
                <w:sz w:val="24"/>
                <w:highlight w:val="none"/>
              </w:rPr>
              <w:t xml:space="preserve"> 11:00（北京时间）</w:t>
            </w:r>
          </w:p>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磋商地点</w:t>
            </w:r>
            <w:r>
              <w:rPr>
                <w:rFonts w:hint="eastAsia" w:ascii="微软雅黑" w:hAnsi="微软雅黑" w:eastAsia="微软雅黑" w:cs="微软雅黑"/>
                <w:kern w:val="0"/>
                <w:sz w:val="24"/>
                <w:highlight w:val="none"/>
                <w:lang w:val="en-US" w:eastAsia="zh-CN"/>
              </w:rPr>
              <w:t>：喀什市明宇广场B座5楼520室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23.2</w:t>
            </w:r>
          </w:p>
        </w:tc>
        <w:tc>
          <w:tcPr>
            <w:tcW w:w="8115" w:type="dxa"/>
            <w:vAlign w:val="center"/>
          </w:tcPr>
          <w:p>
            <w:pPr>
              <w:snapToGrid w:val="0"/>
              <w:textAlignment w:val="baseline"/>
              <w:rPr>
                <w:rFonts w:ascii="微软雅黑" w:hAnsi="微软雅黑" w:eastAsia="微软雅黑" w:cs="微软雅黑"/>
                <w:i/>
                <w:sz w:val="24"/>
                <w:highlight w:val="none"/>
              </w:rPr>
            </w:pPr>
            <w:r>
              <w:rPr>
                <w:rFonts w:hint="eastAsia" w:ascii="微软雅黑" w:hAnsi="微软雅黑" w:eastAsia="微软雅黑" w:cs="微软雅黑"/>
                <w:sz w:val="24"/>
                <w:highlight w:val="none"/>
              </w:rPr>
              <w:t>评审方法：</w:t>
            </w:r>
            <w:r>
              <w:rPr>
                <w:rFonts w:hint="eastAsia" w:ascii="微软雅黑" w:hAnsi="微软雅黑" w:eastAsia="微软雅黑" w:cs="微软雅黑"/>
                <w:sz w:val="24"/>
                <w:highlight w:val="none"/>
                <w:u w:val="single" w:color="000000"/>
              </w:rPr>
              <w:t>　综合评分法　</w:t>
            </w:r>
            <w:r>
              <w:rPr>
                <w:rFonts w:hint="eastAsia" w:ascii="微软雅黑" w:hAnsi="微软雅黑" w:eastAsia="微软雅黑" w:cs="微软雅黑"/>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27</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推荐成交候选供应商的数量：</w:t>
            </w:r>
            <w:r>
              <w:rPr>
                <w:rFonts w:hint="eastAsia" w:ascii="微软雅黑" w:hAnsi="微软雅黑" w:eastAsia="微软雅黑" w:cs="微软雅黑"/>
                <w:sz w:val="24"/>
                <w:highlight w:val="none"/>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27</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采购人是否委托评审委员会直接确定成交人：</w:t>
            </w:r>
            <w:r>
              <w:rPr>
                <w:rFonts w:hint="eastAsia" w:ascii="微软雅黑" w:hAnsi="微软雅黑" w:eastAsia="微软雅黑" w:cs="微软雅黑"/>
                <w:sz w:val="24"/>
                <w:highlight w:val="none"/>
                <w:u w:val="single" w:color="000000"/>
              </w:rPr>
              <w:t xml:space="preserve">  是  </w:t>
            </w:r>
            <w:r>
              <w:rPr>
                <w:rFonts w:hint="eastAsia" w:ascii="微软雅黑" w:hAnsi="微软雅黑" w:eastAsia="微软雅黑" w:cs="微软雅黑"/>
                <w:i/>
                <w:iCs/>
                <w:sz w:val="24"/>
                <w:highlight w:val="none"/>
                <w:u w:val="none" w:color="auto"/>
                <w:lang w:eastAsia="zh-CN"/>
              </w:rPr>
              <w:t>（</w:t>
            </w:r>
            <w:r>
              <w:rPr>
                <w:rFonts w:hint="eastAsia" w:ascii="微软雅黑" w:hAnsi="微软雅黑" w:eastAsia="微软雅黑" w:cs="微软雅黑"/>
                <w:i/>
                <w:iCs/>
                <w:sz w:val="24"/>
                <w:highlight w:val="none"/>
                <w:u w:val="none" w:color="auto"/>
                <w:lang w:val="en-US" w:eastAsia="zh-CN"/>
              </w:rPr>
              <w:t>是、否</w:t>
            </w:r>
            <w:r>
              <w:rPr>
                <w:rFonts w:hint="eastAsia" w:ascii="微软雅黑" w:hAnsi="微软雅黑" w:eastAsia="微软雅黑" w:cs="微软雅黑"/>
                <w:i/>
                <w:iCs/>
                <w:sz w:val="24"/>
                <w:highlight w:val="none"/>
                <w:u w:val="none" w:color="auto"/>
                <w:lang w:eastAsia="zh-CN"/>
              </w:rPr>
              <w:t>）</w:t>
            </w:r>
            <w:r>
              <w:rPr>
                <w:rFonts w:hint="eastAsia" w:ascii="微软雅黑" w:hAnsi="微软雅黑" w:eastAsia="微软雅黑" w:cs="微软雅黑"/>
                <w:i/>
                <w:iCs/>
                <w:sz w:val="24"/>
                <w:highlight w:val="none"/>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31.1</w:t>
            </w:r>
          </w:p>
        </w:tc>
        <w:tc>
          <w:tcPr>
            <w:tcW w:w="8115" w:type="dxa"/>
            <w:vAlign w:val="center"/>
          </w:tcPr>
          <w:p>
            <w:pPr>
              <w:snapToGrid w:val="0"/>
              <w:textAlignment w:val="baseline"/>
              <w:rPr>
                <w:rFonts w:ascii="微软雅黑" w:hAnsi="微软雅黑" w:eastAsia="微软雅黑" w:cs="微软雅黑"/>
                <w:sz w:val="24"/>
                <w:highlight w:val="none"/>
                <w:u w:val="single" w:color="000000"/>
              </w:rPr>
            </w:pPr>
            <w:r>
              <w:rPr>
                <w:rFonts w:hint="eastAsia" w:ascii="微软雅黑" w:hAnsi="微软雅黑" w:eastAsia="微软雅黑" w:cs="微软雅黑"/>
                <w:sz w:val="24"/>
                <w:highlight w:val="none"/>
              </w:rPr>
              <w:t>履约保证金金额：合同总价的</w:t>
            </w:r>
            <w:r>
              <w:rPr>
                <w:rFonts w:hint="eastAsia" w:ascii="微软雅黑" w:hAnsi="微软雅黑" w:eastAsia="微软雅黑" w:cs="微软雅黑"/>
                <w:sz w:val="24"/>
                <w:highlight w:val="none"/>
                <w:u w:val="single" w:color="000000"/>
              </w:rPr>
              <w:t>　</w:t>
            </w:r>
            <w:r>
              <w:rPr>
                <w:rFonts w:hint="eastAsia" w:ascii="微软雅黑" w:hAnsi="微软雅黑" w:eastAsia="微软雅黑" w:cs="微软雅黑"/>
                <w:sz w:val="24"/>
                <w:highlight w:val="none"/>
                <w:u w:val="single" w:color="000000"/>
                <w:lang w:val="en-US" w:eastAsia="zh-CN"/>
              </w:rPr>
              <w:t>3</w:t>
            </w:r>
            <w:r>
              <w:rPr>
                <w:rFonts w:hint="eastAsia" w:ascii="微软雅黑" w:hAnsi="微软雅黑" w:eastAsia="微软雅黑" w:cs="微软雅黑"/>
                <w:sz w:val="24"/>
                <w:highlight w:val="none"/>
                <w:u w:val="single" w:color="000000"/>
              </w:rPr>
              <w:t>%　（打入甲方账号）</w:t>
            </w:r>
          </w:p>
          <w:p>
            <w:pPr>
              <w:snapToGrid w:val="0"/>
              <w:textAlignment w:val="baseline"/>
              <w:rPr>
                <w:rFonts w:ascii="微软雅黑" w:hAnsi="微软雅黑" w:eastAsia="微软雅黑" w:cs="微软雅黑"/>
                <w:sz w:val="24"/>
                <w:highlight w:val="none"/>
                <w:u w:val="single" w:color="000000"/>
              </w:rPr>
            </w:pPr>
            <w:r>
              <w:rPr>
                <w:rFonts w:hint="eastAsia" w:ascii="微软雅黑" w:hAnsi="微软雅黑" w:eastAsia="微软雅黑" w:cs="微软雅黑"/>
                <w:sz w:val="24"/>
                <w:highlight w:val="none"/>
              </w:rPr>
              <w:t xml:space="preserve">履约保证金形式：☑保函  ☑电汇  □支票   ☑对公转账 </w:t>
            </w:r>
          </w:p>
          <w:p>
            <w:pPr>
              <w:snapToGrid w:val="0"/>
              <w:textAlignment w:val="baseline"/>
              <w:rPr>
                <w:rFonts w:ascii="微软雅黑" w:hAnsi="微软雅黑" w:eastAsia="微软雅黑" w:cs="微软雅黑"/>
                <w:sz w:val="24"/>
                <w:highlight w:val="none"/>
                <w:u w:val="single" w:color="000000"/>
              </w:rPr>
            </w:pPr>
            <w:r>
              <w:rPr>
                <w:rFonts w:hint="eastAsia" w:ascii="微软雅黑" w:hAnsi="微软雅黑" w:eastAsia="微软雅黑" w:cs="微软雅黑"/>
                <w:sz w:val="24"/>
                <w:highlight w:val="none"/>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32</w:t>
            </w:r>
          </w:p>
        </w:tc>
        <w:tc>
          <w:tcPr>
            <w:tcW w:w="8115" w:type="dxa"/>
            <w:vAlign w:val="center"/>
          </w:tcPr>
          <w:p>
            <w:pPr>
              <w:snapToGrid w:val="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成交服务费：根据发改委价格[2015]299文件：本项目服务费按照成交价的1.5%收取。（由成交供应商支付）</w:t>
            </w:r>
          </w:p>
          <w:p>
            <w:pPr>
              <w:snapToGrid w:val="0"/>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支付形式：</w:t>
            </w:r>
            <w:r>
              <w:rPr>
                <w:rFonts w:hint="eastAsia" w:ascii="微软雅黑" w:hAnsi="微软雅黑" w:eastAsia="微软雅黑" w:cs="微软雅黑"/>
                <w:sz w:val="24"/>
                <w:highlight w:val="none"/>
                <w:u w:val="single" w:color="000000"/>
              </w:rPr>
              <w:t xml:space="preserve"> 对公转账  </w:t>
            </w:r>
          </w:p>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支付时间：</w:t>
            </w:r>
            <w:r>
              <w:rPr>
                <w:rFonts w:hint="eastAsia" w:ascii="微软雅黑" w:hAnsi="微软雅黑" w:eastAsia="微软雅黑" w:cs="微软雅黑"/>
                <w:sz w:val="24"/>
                <w:highlight w:val="none"/>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33.1</w:t>
            </w:r>
          </w:p>
        </w:tc>
        <w:tc>
          <w:tcPr>
            <w:tcW w:w="8115" w:type="dxa"/>
            <w:vAlign w:val="center"/>
          </w:tcPr>
          <w:p>
            <w:pPr>
              <w:snapToGrid w:val="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本项目是否属于信用担保试点范围：</w:t>
            </w:r>
            <w:r>
              <w:rPr>
                <w:rFonts w:hint="eastAsia" w:ascii="微软雅黑" w:hAnsi="微软雅黑" w:eastAsia="微软雅黑" w:cs="微软雅黑"/>
                <w:sz w:val="24"/>
                <w:highlight w:val="none"/>
                <w:u w:val="single" w:color="000000"/>
              </w:rPr>
              <w:t xml:space="preserve">  否 </w:t>
            </w:r>
            <w:r>
              <w:rPr>
                <w:rFonts w:hint="eastAsia" w:ascii="微软雅黑" w:hAnsi="微软雅黑" w:eastAsia="微软雅黑" w:cs="微软雅黑"/>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33.3</w:t>
            </w:r>
          </w:p>
        </w:tc>
        <w:tc>
          <w:tcPr>
            <w:tcW w:w="8115" w:type="dxa"/>
            <w:vAlign w:val="center"/>
          </w:tcPr>
          <w:p>
            <w:pPr>
              <w:snapToGrid w:val="0"/>
              <w:textAlignment w:val="baseline"/>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eastAsia="zh-CN"/>
              </w:rPr>
              <w:t>质疑投诉接收部门：</w:t>
            </w:r>
            <w:r>
              <w:rPr>
                <w:rFonts w:hint="eastAsia" w:ascii="微软雅黑" w:hAnsi="微软雅黑" w:eastAsia="微软雅黑" w:cs="微软雅黑"/>
                <w:sz w:val="24"/>
                <w:highlight w:val="none"/>
                <w:lang w:val="en-US" w:eastAsia="zh-CN"/>
              </w:rPr>
              <w:t>喀什地区财政局采购办</w:t>
            </w:r>
          </w:p>
          <w:p>
            <w:pPr>
              <w:snapToGrid w:val="0"/>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val="en-US" w:eastAsia="zh-CN"/>
              </w:rPr>
              <w:t>联系电话：0998-2597200、0998-2597000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35.3</w:t>
            </w:r>
          </w:p>
        </w:tc>
        <w:tc>
          <w:tcPr>
            <w:tcW w:w="8115" w:type="dxa"/>
            <w:vAlign w:val="center"/>
          </w:tcPr>
          <w:p>
            <w:pPr>
              <w:snapToGrid w:val="0"/>
              <w:textAlignment w:val="baseline"/>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eastAsia="zh-CN"/>
              </w:rPr>
              <w:t>监督管理部门：</w:t>
            </w:r>
            <w:r>
              <w:rPr>
                <w:rFonts w:hint="eastAsia" w:ascii="微软雅黑" w:hAnsi="微软雅黑" w:eastAsia="微软雅黑" w:cs="微软雅黑"/>
                <w:sz w:val="24"/>
                <w:highlight w:val="none"/>
                <w:lang w:val="en-US" w:eastAsia="zh-CN"/>
              </w:rPr>
              <w:t>喀什地区财政局采购办</w:t>
            </w:r>
          </w:p>
          <w:p>
            <w:pPr>
              <w:snapToGrid w:val="0"/>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val="en-US" w:eastAsia="zh-CN"/>
              </w:rPr>
              <w:t>联系电话：0998-2597200、0998-2597000</w:t>
            </w:r>
          </w:p>
        </w:tc>
      </w:tr>
    </w:tbl>
    <w:p>
      <w:pPr>
        <w:snapToGrid w:val="0"/>
        <w:spacing w:line="240" w:lineRule="atLeast"/>
        <w:ind w:left="1080" w:leftChars="257" w:hanging="540"/>
        <w:textAlignment w:val="baseline"/>
        <w:rPr>
          <w:rFonts w:ascii="微软雅黑" w:hAnsi="微软雅黑" w:eastAsia="微软雅黑" w:cs="微软雅黑"/>
          <w:sz w:val="24"/>
          <w:highlight w:val="none"/>
        </w:rPr>
      </w:pPr>
    </w:p>
    <w:p>
      <w:pPr>
        <w:pStyle w:val="35"/>
        <w:ind w:firstLine="0" w:firstLineChars="0"/>
        <w:rPr>
          <w:rFonts w:ascii="微软雅黑" w:hAnsi="微软雅黑" w:eastAsia="微软雅黑" w:cs="微软雅黑"/>
          <w:b/>
          <w:bCs/>
          <w:highlight w:val="none"/>
        </w:rPr>
        <w:sectPr>
          <w:headerReference r:id="rId3" w:type="default"/>
          <w:footerReference r:id="rId4" w:type="default"/>
          <w:pgSz w:w="11905" w:h="16838"/>
          <w:pgMar w:top="1440" w:right="1797" w:bottom="1440" w:left="1797" w:header="851" w:footer="992" w:gutter="0"/>
          <w:cols w:space="0" w:num="1"/>
          <w:docGrid w:linePitch="312" w:charSpace="0"/>
        </w:sectPr>
      </w:pPr>
    </w:p>
    <w:p>
      <w:pPr>
        <w:pStyle w:val="35"/>
        <w:ind w:firstLine="0" w:firstLineChars="0"/>
        <w:jc w:val="center"/>
        <w:rPr>
          <w:rFonts w:hint="eastAsia" w:eastAsia="宋体"/>
          <w:highlight w:val="none"/>
          <w:lang w:eastAsia="zh-CN"/>
        </w:rPr>
      </w:pPr>
      <w:r>
        <w:rPr>
          <w:rFonts w:hint="eastAsia" w:ascii="微软雅黑" w:hAnsi="微软雅黑" w:eastAsia="微软雅黑" w:cs="微软雅黑"/>
          <w:b/>
          <w:bCs/>
          <w:highlight w:val="none"/>
        </w:rPr>
        <w:t>资格审查表</w:t>
      </w:r>
    </w:p>
    <w:tbl>
      <w:tblPr>
        <w:tblStyle w:val="36"/>
        <w:tblpPr w:leftFromText="180" w:rightFromText="180" w:vertAnchor="text" w:horzAnchor="page" w:tblpX="786" w:tblpY="518"/>
        <w:tblOverlap w:val="never"/>
        <w:tblW w:w="15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439"/>
        <w:gridCol w:w="685"/>
        <w:gridCol w:w="1142"/>
        <w:gridCol w:w="1226"/>
        <w:gridCol w:w="1014"/>
        <w:gridCol w:w="1306"/>
        <w:gridCol w:w="1010"/>
        <w:gridCol w:w="1310"/>
        <w:gridCol w:w="1000"/>
        <w:gridCol w:w="872"/>
        <w:gridCol w:w="583"/>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3"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供应商名称</w:t>
            </w:r>
          </w:p>
        </w:tc>
        <w:tc>
          <w:tcPr>
            <w:tcW w:w="13132" w:type="dxa"/>
            <w:gridSpan w:val="9"/>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审查项目</w:t>
            </w: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18"/>
                <w:szCs w:val="18"/>
                <w:highlight w:val="none"/>
              </w:rPr>
            </w:pP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结论</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423"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highlight w:val="none"/>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以代理公司现场核查为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具有有效的营业执照</w:t>
            </w: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lang w:eastAsia="zh-CN"/>
              </w:rPr>
            </w:pPr>
            <w:r>
              <w:rPr>
                <w:rFonts w:hint="eastAsia" w:ascii="微软雅黑" w:hAnsi="微软雅黑" w:eastAsia="微软雅黑" w:cs="微软雅黑"/>
                <w:kern w:val="0"/>
                <w:sz w:val="21"/>
                <w:szCs w:val="21"/>
                <w:highlight w:val="none"/>
                <w:lang w:val="en-US" w:eastAsia="zh-CN"/>
              </w:rPr>
              <w:t>提供《医疗器械生产许可证》或《医疗器械经营许可证》</w:t>
            </w:r>
          </w:p>
        </w:tc>
        <w:tc>
          <w:tcPr>
            <w:tcW w:w="122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法人投标需提供法人身份证明及身份证，被授权委托人需提供法人授权委托书及身份证</w:t>
            </w:r>
          </w:p>
        </w:tc>
        <w:tc>
          <w:tcPr>
            <w:tcW w:w="101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提供本单位依法缴纳近三个月的社保证明</w:t>
            </w:r>
          </w:p>
        </w:tc>
        <w:tc>
          <w:tcPr>
            <w:tcW w:w="130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提供税务部门出具近三个月的完税证明</w:t>
            </w:r>
          </w:p>
        </w:tc>
        <w:tc>
          <w:tcPr>
            <w:tcW w:w="1010"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提供2021年的财务审计报告（新成立公司需提供银行资信证明）</w:t>
            </w:r>
          </w:p>
        </w:tc>
        <w:tc>
          <w:tcPr>
            <w:tcW w:w="1310"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p>
        </w:tc>
        <w:tc>
          <w:tcPr>
            <w:tcW w:w="1000"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提供针对本次项目的反商业贿赂承诺书</w:t>
            </w: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lang w:val="en-US" w:eastAsia="zh-CN"/>
              </w:rPr>
              <w:t>提供缴纳磋商保证金的有效凭证</w:t>
            </w: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是否合格</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22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01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30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01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31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00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22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01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30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01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31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100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highlight w:val="none"/>
              </w:rPr>
            </w:pPr>
          </w:p>
        </w:tc>
      </w:tr>
    </w:tbl>
    <w:p>
      <w:pPr>
        <w:widowControl/>
        <w:spacing w:line="360" w:lineRule="exact"/>
        <w:rPr>
          <w:rFonts w:ascii="微软雅黑" w:hAnsi="微软雅黑" w:eastAsia="微软雅黑" w:cs="微软雅黑"/>
          <w:kern w:val="0"/>
          <w:szCs w:val="21"/>
          <w:highlight w:val="none"/>
        </w:rPr>
      </w:pPr>
      <w:bookmarkStart w:id="782" w:name="_Toc216582826"/>
      <w:bookmarkStart w:id="783" w:name="_Toc218935355"/>
      <w:bookmarkStart w:id="784" w:name="_Toc219175639"/>
    </w:p>
    <w:p>
      <w:pPr>
        <w:widowControl/>
        <w:spacing w:line="280" w:lineRule="exact"/>
        <w:rPr>
          <w:rFonts w:ascii="微软雅黑" w:hAnsi="微软雅黑" w:eastAsia="微软雅黑" w:cs="微软雅黑"/>
          <w:b/>
          <w:bCs/>
          <w:sz w:val="21"/>
          <w:szCs w:val="21"/>
          <w:highlight w:val="none"/>
        </w:rPr>
      </w:pPr>
      <w:r>
        <w:rPr>
          <w:rFonts w:hint="eastAsia" w:ascii="微软雅黑" w:hAnsi="微软雅黑" w:eastAsia="微软雅黑" w:cs="微软雅黑"/>
          <w:b/>
          <w:bCs/>
          <w:kern w:val="0"/>
          <w:szCs w:val="21"/>
          <w:highlight w:val="none"/>
        </w:rPr>
        <w:t>注：</w:t>
      </w:r>
      <w:bookmarkStart w:id="785" w:name="_Toc13883"/>
      <w:bookmarkStart w:id="786" w:name="_Toc4845"/>
      <w:bookmarkStart w:id="787" w:name="_Toc20210"/>
      <w:r>
        <w:rPr>
          <w:rFonts w:hint="eastAsia" w:ascii="微软雅黑" w:hAnsi="微软雅黑" w:eastAsia="微软雅黑" w:cs="微软雅黑"/>
          <w:b/>
          <w:bCs/>
          <w:sz w:val="21"/>
          <w:szCs w:val="21"/>
          <w:highlight w:val="none"/>
        </w:rPr>
        <w:t>上述资质在资格审查过程中，潜在供应商提供的资质材料不全的，可打开相应文件正本进行进一步核实，符合条件的均为合格供应商。</w:t>
      </w:r>
      <w:bookmarkEnd w:id="785"/>
      <w:bookmarkEnd w:id="786"/>
      <w:bookmarkEnd w:id="787"/>
    </w:p>
    <w:p>
      <w:pPr>
        <w:pStyle w:val="35"/>
        <w:ind w:firstLine="0" w:firstLineChars="0"/>
        <w:rPr>
          <w:rFonts w:ascii="微软雅黑" w:hAnsi="微软雅黑" w:eastAsia="微软雅黑" w:cs="微软雅黑"/>
          <w:b/>
          <w:bCs/>
          <w:highlight w:val="none"/>
        </w:rPr>
        <w:sectPr>
          <w:headerReference r:id="rId7" w:type="first"/>
          <w:footerReference r:id="rId10" w:type="first"/>
          <w:headerReference r:id="rId5" w:type="default"/>
          <w:footerReference r:id="rId8" w:type="default"/>
          <w:headerReference r:id="rId6" w:type="even"/>
          <w:footerReference r:id="rId9" w:type="even"/>
          <w:pgSz w:w="16838" w:h="11905" w:orient="landscape"/>
          <w:pgMar w:top="1797" w:right="1440" w:bottom="1797" w:left="1440" w:header="851" w:footer="992" w:gutter="0"/>
          <w:cols w:space="0" w:num="1"/>
          <w:docGrid w:linePitch="462" w:charSpace="0"/>
        </w:sectPr>
      </w:pPr>
    </w:p>
    <w:p>
      <w:pPr>
        <w:pStyle w:val="35"/>
        <w:ind w:firstLine="0" w:firstLineChars="0"/>
        <w:rPr>
          <w:rFonts w:ascii="微软雅黑" w:hAnsi="微软雅黑" w:eastAsia="微软雅黑" w:cs="微软雅黑"/>
          <w:b/>
          <w:bCs/>
          <w:highlight w:val="none"/>
        </w:rPr>
      </w:pPr>
    </w:p>
    <w:p>
      <w:pPr>
        <w:pStyle w:val="3"/>
        <w:tabs>
          <w:tab w:val="left" w:pos="0"/>
        </w:tabs>
        <w:snapToGrid w:val="0"/>
        <w:spacing w:before="0" w:after="0" w:line="240" w:lineRule="atLeast"/>
        <w:textAlignment w:val="baseline"/>
        <w:rPr>
          <w:rFonts w:ascii="微软雅黑" w:hAnsi="微软雅黑" w:eastAsia="微软雅黑" w:cs="微软雅黑"/>
          <w:bCs/>
          <w:kern w:val="0"/>
          <w:sz w:val="24"/>
          <w:szCs w:val="24"/>
          <w:highlight w:val="none"/>
        </w:rPr>
      </w:pPr>
      <w:bookmarkStart w:id="788" w:name="_Toc26807"/>
      <w:r>
        <w:rPr>
          <w:rFonts w:hint="eastAsia" w:ascii="微软雅黑" w:hAnsi="微软雅黑" w:eastAsia="微软雅黑" w:cs="微软雅黑"/>
          <w:highlight w:val="none"/>
        </w:rPr>
        <w:t>第5章 货物需求一览表及项目要求</w:t>
      </w:r>
      <w:bookmarkEnd w:id="788"/>
    </w:p>
    <w:p>
      <w:pPr>
        <w:pStyle w:val="44"/>
        <w:numPr>
          <w:ilvl w:val="0"/>
          <w:numId w:val="5"/>
        </w:numPr>
        <w:snapToGrid w:val="0"/>
        <w:spacing w:line="360" w:lineRule="auto"/>
        <w:ind w:firstLine="560" w:firstLineChars="0"/>
        <w:textAlignment w:val="baseline"/>
        <w:outlineLvl w:val="1"/>
        <w:rPr>
          <w:rFonts w:ascii="微软雅黑" w:hAnsi="微软雅黑" w:eastAsia="微软雅黑" w:cs="微软雅黑"/>
          <w:b/>
          <w:bCs/>
          <w:sz w:val="28"/>
          <w:szCs w:val="28"/>
          <w:highlight w:val="none"/>
        </w:rPr>
      </w:pPr>
      <w:bookmarkStart w:id="789" w:name="_Toc16011"/>
      <w:bookmarkStart w:id="790" w:name="_Toc11000"/>
      <w:bookmarkStart w:id="791" w:name="_Toc10926"/>
      <w:bookmarkStart w:id="792" w:name="_Toc1352"/>
      <w:bookmarkStart w:id="793" w:name="_Toc11819"/>
      <w:bookmarkStart w:id="794" w:name="_Toc1630"/>
      <w:bookmarkStart w:id="795" w:name="_Toc14517"/>
      <w:bookmarkStart w:id="796" w:name="_Toc17427"/>
      <w:bookmarkStart w:id="797" w:name="_Toc265"/>
      <w:bookmarkStart w:id="798" w:name="_Toc23190"/>
      <w:r>
        <w:rPr>
          <w:rFonts w:hint="eastAsia" w:ascii="微软雅黑" w:hAnsi="微软雅黑" w:eastAsia="微软雅黑" w:cs="微软雅黑"/>
          <w:b/>
          <w:bCs/>
          <w:sz w:val="28"/>
          <w:szCs w:val="28"/>
          <w:highlight w:val="none"/>
        </w:rPr>
        <w:t>货物需求</w:t>
      </w:r>
      <w:bookmarkEnd w:id="789"/>
      <w:bookmarkEnd w:id="790"/>
      <w:bookmarkEnd w:id="791"/>
      <w:bookmarkEnd w:id="792"/>
      <w:bookmarkEnd w:id="793"/>
      <w:bookmarkEnd w:id="794"/>
      <w:bookmarkEnd w:id="795"/>
      <w:bookmarkEnd w:id="796"/>
      <w:bookmarkEnd w:id="797"/>
      <w:bookmarkEnd w:id="798"/>
    </w:p>
    <w:p>
      <w:pPr>
        <w:pStyle w:val="81"/>
        <w:numPr>
          <w:ilvl w:val="0"/>
          <w:numId w:val="6"/>
        </w:numPr>
        <w:ind w:firstLineChars="0"/>
        <w:rPr>
          <w:rFonts w:hint="eastAsia"/>
          <w:highlight w:val="none"/>
          <w:lang w:val="en-US" w:eastAsia="zh-CN"/>
        </w:rPr>
      </w:pPr>
      <w:r>
        <w:rPr>
          <w:rFonts w:hint="eastAsia" w:ascii="微软雅黑" w:hAnsi="微软雅黑" w:eastAsia="微软雅黑" w:cs="微软雅黑"/>
          <w:b/>
          <w:bCs/>
          <w:sz w:val="28"/>
          <w:szCs w:val="28"/>
          <w:highlight w:val="none"/>
          <w:lang w:eastAsia="zh-CN"/>
        </w:rPr>
        <w:t>第一标段</w:t>
      </w:r>
    </w:p>
    <w:p>
      <w:pPr>
        <w:numPr>
          <w:ilvl w:val="0"/>
          <w:numId w:val="0"/>
        </w:numPr>
        <w:ind w:firstLine="321" w:firstLineChars="100"/>
        <w:jc w:val="center"/>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新冠核酸检测试剂参数</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1、</w:t>
      </w:r>
      <w:r>
        <w:rPr>
          <w:rFonts w:hint="eastAsia" w:ascii="仿宋" w:hAnsi="仿宋" w:eastAsia="仿宋" w:cs="仿宋"/>
          <w:sz w:val="24"/>
          <w:szCs w:val="32"/>
          <w:highlight w:val="none"/>
        </w:rPr>
        <w:t>采用荧光PCR方法，三重荧光PCR技术，单管同时检测两个靶标基因和内标基因。</w:t>
      </w:r>
    </w:p>
    <w:p>
      <w:pPr>
        <w:pStyle w:val="81"/>
        <w:numPr>
          <w:ilvl w:val="0"/>
          <w:numId w:val="0"/>
        </w:numPr>
        <w:ind w:leftChars="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rPr>
        <w:t>2、包装规格：32 人份/盒</w:t>
      </w:r>
      <w:r>
        <w:rPr>
          <w:rFonts w:hint="eastAsia" w:ascii="仿宋" w:hAnsi="仿宋" w:eastAsia="仿宋" w:cs="仿宋"/>
          <w:sz w:val="24"/>
          <w:szCs w:val="32"/>
          <w:highlight w:val="none"/>
          <w:lang w:eastAsia="zh-CN"/>
        </w:rPr>
        <w:t>，</w:t>
      </w:r>
      <w:r>
        <w:rPr>
          <w:rFonts w:hint="default" w:ascii="仿宋" w:hAnsi="仿宋" w:eastAsia="仿宋" w:cs="仿宋"/>
          <w:sz w:val="24"/>
          <w:szCs w:val="32"/>
          <w:highlight w:val="none"/>
          <w:lang w:val="en-US" w:eastAsia="zh-CN"/>
        </w:rPr>
        <w:t>96</w:t>
      </w:r>
      <w:r>
        <w:rPr>
          <w:rFonts w:hint="eastAsia" w:ascii="仿宋" w:hAnsi="仿宋" w:eastAsia="仿宋" w:cs="仿宋"/>
          <w:sz w:val="24"/>
          <w:szCs w:val="32"/>
          <w:highlight w:val="none"/>
          <w:lang w:val="en-US" w:eastAsia="zh-CN"/>
        </w:rPr>
        <w:t>人份</w:t>
      </w:r>
      <w:r>
        <w:rPr>
          <w:rFonts w:hint="default" w:ascii="仿宋" w:hAnsi="仿宋" w:eastAsia="仿宋" w:cs="仿宋"/>
          <w:sz w:val="24"/>
          <w:szCs w:val="32"/>
          <w:highlight w:val="none"/>
          <w:lang w:val="en-US" w:eastAsia="zh-CN"/>
        </w:rPr>
        <w:t>/</w:t>
      </w:r>
      <w:r>
        <w:rPr>
          <w:rFonts w:hint="eastAsia" w:ascii="仿宋" w:hAnsi="仿宋" w:eastAsia="仿宋" w:cs="仿宋"/>
          <w:sz w:val="24"/>
          <w:szCs w:val="32"/>
          <w:highlight w:val="none"/>
          <w:lang w:val="en-US" w:eastAsia="zh-CN"/>
        </w:rPr>
        <w:t>盒</w:t>
      </w:r>
    </w:p>
    <w:p>
      <w:pPr>
        <w:pStyle w:val="81"/>
        <w:numPr>
          <w:ilvl w:val="0"/>
          <w:numId w:val="0"/>
        </w:numPr>
        <w:ind w:leftChars="0"/>
        <w:rPr>
          <w:rFonts w:hint="default"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3、数量：40万人份</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4</w:t>
      </w:r>
      <w:r>
        <w:rPr>
          <w:rFonts w:hint="eastAsia" w:ascii="仿宋" w:hAnsi="仿宋" w:eastAsia="仿宋" w:cs="仿宋"/>
          <w:sz w:val="24"/>
          <w:szCs w:val="32"/>
          <w:highlight w:val="none"/>
        </w:rPr>
        <w:t>、适用样本类型：口咽拭子、鼻咽拭子、痰液样本</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5</w:t>
      </w:r>
      <w:r>
        <w:rPr>
          <w:rFonts w:hint="eastAsia" w:ascii="仿宋" w:hAnsi="仿宋" w:eastAsia="仿宋" w:cs="仿宋"/>
          <w:sz w:val="24"/>
          <w:szCs w:val="32"/>
          <w:highlight w:val="none"/>
        </w:rPr>
        <w:t>、靶标基因：ORF1ab基因、N基因</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6</w:t>
      </w:r>
      <w:r>
        <w:rPr>
          <w:rFonts w:hint="eastAsia" w:ascii="仿宋" w:hAnsi="仿宋" w:eastAsia="仿宋" w:cs="仿宋"/>
          <w:sz w:val="24"/>
          <w:szCs w:val="32"/>
          <w:highlight w:val="none"/>
        </w:rPr>
        <w:t>、适用仪器：ABI 7500、SLAN-96P 等荧光定量 PCR 仪</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7</w:t>
      </w:r>
      <w:r>
        <w:rPr>
          <w:rFonts w:hint="eastAsia" w:ascii="仿宋" w:hAnsi="仿宋" w:eastAsia="仿宋" w:cs="仿宋"/>
          <w:sz w:val="24"/>
          <w:szCs w:val="32"/>
          <w:highlight w:val="none"/>
        </w:rPr>
        <w:t>、上样量：10μL</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rPr>
        <w:t>★</w:t>
      </w:r>
      <w:r>
        <w:rPr>
          <w:rFonts w:hint="eastAsia" w:ascii="仿宋" w:hAnsi="仿宋" w:eastAsia="仿宋" w:cs="仿宋"/>
          <w:sz w:val="24"/>
          <w:szCs w:val="32"/>
          <w:highlight w:val="none"/>
          <w:lang w:val="en-US" w:eastAsia="zh-CN"/>
        </w:rPr>
        <w:t>8</w:t>
      </w:r>
      <w:r>
        <w:rPr>
          <w:rFonts w:hint="eastAsia" w:ascii="仿宋" w:hAnsi="仿宋" w:eastAsia="仿宋" w:cs="仿宋"/>
          <w:sz w:val="24"/>
          <w:szCs w:val="32"/>
          <w:highlight w:val="none"/>
        </w:rPr>
        <w:t>、最低检出限：</w:t>
      </w:r>
      <w:r>
        <w:rPr>
          <w:rFonts w:hint="default" w:ascii="仿宋" w:hAnsi="仿宋" w:eastAsia="仿宋" w:cs="仿宋"/>
          <w:sz w:val="24"/>
          <w:szCs w:val="32"/>
          <w:highlight w:val="none"/>
          <w:lang w:val="en-US"/>
        </w:rPr>
        <w:t>2</w:t>
      </w:r>
      <w:r>
        <w:rPr>
          <w:rFonts w:hint="eastAsia" w:ascii="仿宋" w:hAnsi="仿宋" w:eastAsia="仿宋" w:cs="仿宋"/>
          <w:sz w:val="24"/>
          <w:szCs w:val="32"/>
          <w:highlight w:val="none"/>
        </w:rPr>
        <w:t>00copies/mL</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9</w:t>
      </w:r>
      <w:r>
        <w:rPr>
          <w:rFonts w:hint="eastAsia" w:ascii="仿宋" w:hAnsi="仿宋" w:eastAsia="仿宋" w:cs="仿宋"/>
          <w:sz w:val="24"/>
          <w:szCs w:val="32"/>
          <w:highlight w:val="none"/>
        </w:rPr>
        <w:t>、精密度：Ct值变异系数（CV）&lt;5%</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lang w:val="en-US" w:eastAsia="zh-CN"/>
        </w:rPr>
        <w:t>10</w:t>
      </w:r>
      <w:r>
        <w:rPr>
          <w:rFonts w:hint="eastAsia" w:ascii="仿宋" w:hAnsi="仿宋" w:eastAsia="仿宋" w:cs="仿宋"/>
          <w:sz w:val="24"/>
          <w:szCs w:val="32"/>
          <w:highlight w:val="none"/>
        </w:rPr>
        <w:t>、扩增时间：≦7</w:t>
      </w:r>
      <w:r>
        <w:rPr>
          <w:rFonts w:hint="default" w:ascii="仿宋" w:hAnsi="仿宋" w:eastAsia="仿宋" w:cs="仿宋"/>
          <w:sz w:val="24"/>
          <w:szCs w:val="32"/>
          <w:highlight w:val="none"/>
          <w:lang w:val="en-US"/>
        </w:rPr>
        <w:t>5</w:t>
      </w:r>
      <w:r>
        <w:rPr>
          <w:rFonts w:hint="eastAsia" w:ascii="仿宋" w:hAnsi="仿宋" w:eastAsia="仿宋" w:cs="仿宋"/>
          <w:sz w:val="24"/>
          <w:szCs w:val="32"/>
          <w:highlight w:val="none"/>
        </w:rPr>
        <w:t>min,扩增循环数45个</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rPr>
        <w:t>1</w:t>
      </w:r>
      <w:r>
        <w:rPr>
          <w:rFonts w:hint="eastAsia" w:ascii="仿宋" w:hAnsi="仿宋" w:eastAsia="仿宋" w:cs="仿宋"/>
          <w:sz w:val="24"/>
          <w:szCs w:val="32"/>
          <w:highlight w:val="none"/>
          <w:lang w:val="en-US" w:eastAsia="zh-CN"/>
        </w:rPr>
        <w:t>1</w:t>
      </w:r>
      <w:r>
        <w:rPr>
          <w:rFonts w:hint="eastAsia" w:ascii="仿宋" w:hAnsi="仿宋" w:eastAsia="仿宋" w:cs="仿宋"/>
          <w:sz w:val="24"/>
          <w:szCs w:val="32"/>
          <w:highlight w:val="none"/>
        </w:rPr>
        <w:t>、注册证有效期：5年</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rPr>
        <w:t>1</w:t>
      </w:r>
      <w:r>
        <w:rPr>
          <w:rFonts w:hint="eastAsia" w:ascii="仿宋" w:hAnsi="仿宋" w:eastAsia="仿宋" w:cs="仿宋"/>
          <w:sz w:val="24"/>
          <w:szCs w:val="32"/>
          <w:highlight w:val="none"/>
          <w:lang w:val="en-US" w:eastAsia="zh-CN"/>
        </w:rPr>
        <w:t>2</w:t>
      </w:r>
      <w:r>
        <w:rPr>
          <w:rFonts w:hint="eastAsia" w:ascii="仿宋" w:hAnsi="仿宋" w:eastAsia="仿宋" w:cs="仿宋"/>
          <w:sz w:val="24"/>
          <w:szCs w:val="32"/>
          <w:highlight w:val="none"/>
        </w:rPr>
        <w:t>、防污染体系：采用 UNG-dUTP 防污染措施，降低 PCR 扩增产物污染的可能性</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rPr>
        <w:t>★1</w:t>
      </w:r>
      <w:r>
        <w:rPr>
          <w:rFonts w:hint="eastAsia" w:ascii="仿宋" w:hAnsi="仿宋" w:eastAsia="仿宋" w:cs="仿宋"/>
          <w:sz w:val="24"/>
          <w:szCs w:val="32"/>
          <w:highlight w:val="none"/>
          <w:lang w:val="en-US" w:eastAsia="zh-CN"/>
        </w:rPr>
        <w:t>3</w:t>
      </w:r>
      <w:r>
        <w:rPr>
          <w:rFonts w:hint="eastAsia" w:ascii="仿宋" w:hAnsi="仿宋" w:eastAsia="仿宋" w:cs="仿宋"/>
          <w:sz w:val="24"/>
          <w:szCs w:val="32"/>
          <w:highlight w:val="none"/>
        </w:rPr>
        <w:t>、储存条件及有效期：在-25~ -15℃避光保存，有效期为 1</w:t>
      </w:r>
      <w:r>
        <w:rPr>
          <w:rFonts w:hint="default" w:ascii="仿宋" w:hAnsi="仿宋" w:eastAsia="仿宋" w:cs="仿宋"/>
          <w:sz w:val="24"/>
          <w:szCs w:val="32"/>
          <w:highlight w:val="none"/>
          <w:lang w:val="en-US"/>
        </w:rPr>
        <w:t>2</w:t>
      </w:r>
      <w:r>
        <w:rPr>
          <w:rFonts w:hint="eastAsia" w:ascii="仿宋" w:hAnsi="仿宋" w:eastAsia="仿宋" w:cs="仿宋"/>
          <w:sz w:val="24"/>
          <w:szCs w:val="32"/>
          <w:highlight w:val="none"/>
        </w:rPr>
        <w:t>个月，试剂稳定性高</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rPr>
        <w:t>1</w:t>
      </w:r>
      <w:r>
        <w:rPr>
          <w:rFonts w:hint="eastAsia" w:ascii="仿宋" w:hAnsi="仿宋" w:eastAsia="仿宋" w:cs="仿宋"/>
          <w:sz w:val="24"/>
          <w:szCs w:val="32"/>
          <w:highlight w:val="none"/>
          <w:lang w:val="en-US" w:eastAsia="zh-CN"/>
        </w:rPr>
        <w:t>4</w:t>
      </w:r>
      <w:r>
        <w:rPr>
          <w:rFonts w:hint="eastAsia" w:ascii="仿宋" w:hAnsi="仿宋" w:eastAsia="仿宋" w:cs="仿宋"/>
          <w:sz w:val="24"/>
          <w:szCs w:val="32"/>
          <w:highlight w:val="none"/>
        </w:rPr>
        <w:t xml:space="preserve">、内标：采用一段不含有靶标基因片段的假病毒，检 测过程中与待测样本同步处理，通过内标扩增的正常与否来监控 PCR 反应的有效性，避免假阴性。 </w:t>
      </w:r>
    </w:p>
    <w:p>
      <w:pPr>
        <w:pStyle w:val="81"/>
        <w:numPr>
          <w:ilvl w:val="0"/>
          <w:numId w:val="0"/>
        </w:numPr>
        <w:ind w:leftChars="0"/>
        <w:rPr>
          <w:rFonts w:hint="eastAsia" w:ascii="仿宋" w:hAnsi="仿宋" w:eastAsia="仿宋" w:cs="仿宋"/>
          <w:sz w:val="24"/>
          <w:szCs w:val="32"/>
          <w:highlight w:val="none"/>
        </w:rPr>
      </w:pPr>
      <w:r>
        <w:rPr>
          <w:rFonts w:hint="eastAsia" w:ascii="仿宋" w:hAnsi="仿宋" w:eastAsia="仿宋" w:cs="仿宋"/>
          <w:sz w:val="24"/>
          <w:szCs w:val="32"/>
          <w:highlight w:val="none"/>
        </w:rPr>
        <w:t>★1</w:t>
      </w:r>
      <w:r>
        <w:rPr>
          <w:rFonts w:hint="eastAsia" w:ascii="仿宋" w:hAnsi="仿宋" w:eastAsia="仿宋" w:cs="仿宋"/>
          <w:sz w:val="24"/>
          <w:szCs w:val="32"/>
          <w:highlight w:val="none"/>
          <w:lang w:val="en-US" w:eastAsia="zh-CN"/>
        </w:rPr>
        <w:t>5</w:t>
      </w:r>
      <w:r>
        <w:rPr>
          <w:rFonts w:hint="eastAsia" w:ascii="仿宋" w:hAnsi="仿宋" w:eastAsia="仿宋" w:cs="仿宋"/>
          <w:sz w:val="24"/>
          <w:szCs w:val="32"/>
          <w:highlight w:val="none"/>
        </w:rPr>
        <w:t>、生产厂家具备原厂生产的核酸提取试剂和病毒采样管，提供备案证以证明。</w:t>
      </w:r>
    </w:p>
    <w:p>
      <w:pPr>
        <w:pStyle w:val="81"/>
        <w:numPr>
          <w:ilvl w:val="0"/>
          <w:numId w:val="0"/>
        </w:numPr>
        <w:ind w:leftChars="0"/>
        <w:rPr>
          <w:rFonts w:hint="eastAsia" w:ascii="仿宋" w:hAnsi="仿宋" w:eastAsia="仿宋" w:cs="仿宋"/>
          <w:sz w:val="24"/>
          <w:szCs w:val="32"/>
          <w:highlight w:val="none"/>
          <w:lang w:eastAsia="zh-CN"/>
        </w:rPr>
      </w:pPr>
    </w:p>
    <w:p>
      <w:pPr>
        <w:pStyle w:val="44"/>
        <w:numPr>
          <w:ilvl w:val="0"/>
          <w:numId w:val="0"/>
        </w:numPr>
        <w:snapToGrid w:val="0"/>
        <w:spacing w:line="360" w:lineRule="auto"/>
        <w:textAlignment w:val="baseline"/>
        <w:outlineLvl w:val="9"/>
        <w:rPr>
          <w:rFonts w:hint="eastAsia" w:ascii="微软雅黑" w:hAnsi="微软雅黑" w:eastAsia="微软雅黑" w:cs="微软雅黑"/>
          <w:b/>
          <w:bCs/>
          <w:sz w:val="28"/>
          <w:szCs w:val="28"/>
          <w:highlight w:val="none"/>
          <w:lang w:eastAsia="zh-CN"/>
        </w:rPr>
      </w:pPr>
      <w:r>
        <w:rPr>
          <w:rFonts w:hint="eastAsia" w:ascii="微软雅黑" w:hAnsi="微软雅黑" w:eastAsia="微软雅黑" w:cs="微软雅黑"/>
          <w:b/>
          <w:bCs/>
          <w:sz w:val="28"/>
          <w:szCs w:val="28"/>
          <w:highlight w:val="none"/>
          <w:lang w:eastAsia="zh-CN"/>
        </w:rPr>
        <w:t>第二标段</w:t>
      </w:r>
    </w:p>
    <w:p>
      <w:pPr>
        <w:keepNext w:val="0"/>
        <w:keepLines w:val="0"/>
        <w:widowControl/>
        <w:suppressLineNumbers w:val="0"/>
        <w:jc w:val="center"/>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75%酒精喷剂</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【主要有效成分及含量】</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以乙醇为主要有效成分的消毒液，有效成分含量为75%±5%(v/v)</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【性状】无色透明液体</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【杀灭微生物类别】可杀灭肠道致病菌、化脓性球菌、致病性酵母菌。</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【适用范围】适用于手和完整皮肤表面消毒。</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【有效期】2年。</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【规格】100ml</w:t>
      </w:r>
    </w:p>
    <w:p>
      <w:pPr>
        <w:pStyle w:val="2"/>
        <w:jc w:val="both"/>
        <w:rPr>
          <w:rFonts w:hint="default"/>
          <w:highlight w:val="none"/>
          <w:lang w:val="en-US" w:eastAsia="zh-CN"/>
        </w:rPr>
      </w:pPr>
      <w:r>
        <w:rPr>
          <w:rFonts w:hint="eastAsia" w:ascii="仿宋" w:hAnsi="仿宋" w:eastAsia="仿宋" w:cs="仿宋"/>
          <w:kern w:val="2"/>
          <w:sz w:val="24"/>
          <w:szCs w:val="32"/>
          <w:highlight w:val="none"/>
          <w:lang w:val="en-US" w:eastAsia="zh-CN" w:bidi="ar-SA"/>
        </w:rPr>
        <w:t>【</w:t>
      </w:r>
      <w:r>
        <w:rPr>
          <w:rFonts w:hint="eastAsia" w:ascii="仿宋" w:hAnsi="仿宋" w:eastAsia="仿宋" w:cs="仿宋"/>
          <w:b w:val="0"/>
          <w:bCs/>
          <w:kern w:val="2"/>
          <w:sz w:val="24"/>
          <w:szCs w:val="32"/>
          <w:highlight w:val="none"/>
          <w:lang w:val="en-US" w:eastAsia="zh-CN" w:bidi="ar-SA"/>
        </w:rPr>
        <w:t>数量</w:t>
      </w:r>
      <w:r>
        <w:rPr>
          <w:rFonts w:hint="eastAsia" w:ascii="仿宋" w:hAnsi="仿宋" w:eastAsia="仿宋" w:cs="仿宋"/>
          <w:kern w:val="2"/>
          <w:sz w:val="24"/>
          <w:szCs w:val="32"/>
          <w:highlight w:val="none"/>
          <w:lang w:val="en-US" w:eastAsia="zh-CN" w:bidi="ar-SA"/>
        </w:rPr>
        <w:t>】</w:t>
      </w:r>
      <w:r>
        <w:rPr>
          <w:rFonts w:hint="eastAsia" w:ascii="仿宋" w:hAnsi="仿宋" w:eastAsia="仿宋" w:cs="仿宋"/>
          <w:b w:val="0"/>
          <w:kern w:val="2"/>
          <w:sz w:val="24"/>
          <w:szCs w:val="32"/>
          <w:highlight w:val="none"/>
          <w:lang w:val="en-US" w:eastAsia="zh-CN" w:bidi="ar-SA"/>
        </w:rPr>
        <w:t>10000瓶</w:t>
      </w:r>
    </w:p>
    <w:p>
      <w:pP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【型号】：喷雾型</w:t>
      </w:r>
    </w:p>
    <w:p>
      <w:pPr>
        <w:pStyle w:val="2"/>
        <w:rPr>
          <w:rFonts w:hint="eastAsia" w:ascii="仿宋" w:hAnsi="仿宋" w:eastAsia="仿宋" w:cs="仿宋"/>
          <w:kern w:val="2"/>
          <w:sz w:val="24"/>
          <w:szCs w:val="32"/>
          <w:highlight w:val="none"/>
          <w:lang w:val="en-US" w:eastAsia="zh-CN" w:bidi="ar-SA"/>
        </w:rPr>
      </w:pPr>
    </w:p>
    <w:p>
      <w:pPr>
        <w:rPr>
          <w:rFonts w:hint="eastAsia" w:ascii="仿宋" w:hAnsi="仿宋" w:eastAsia="仿宋" w:cs="仿宋"/>
          <w:kern w:val="2"/>
          <w:sz w:val="24"/>
          <w:szCs w:val="32"/>
          <w:highlight w:val="none"/>
          <w:lang w:val="en-US" w:eastAsia="zh-CN" w:bidi="ar-SA"/>
        </w:rPr>
      </w:pPr>
    </w:p>
    <w:p>
      <w:pPr>
        <w:keepNext w:val="0"/>
        <w:keepLines w:val="0"/>
        <w:widowControl/>
        <w:suppressLineNumbers w:val="0"/>
        <w:jc w:val="center"/>
        <w:textAlignment w:val="center"/>
        <w:rPr>
          <w:rFonts w:hint="eastAsia" w:ascii="仿宋" w:hAnsi="仿宋" w:eastAsia="仿宋" w:cs="仿宋"/>
          <w:kern w:val="2"/>
          <w:sz w:val="24"/>
          <w:szCs w:val="32"/>
          <w:highlight w:val="none"/>
          <w:lang w:val="en-US" w:eastAsia="zh-CN" w:bidi="ar-SA"/>
        </w:rPr>
      </w:pPr>
    </w:p>
    <w:p>
      <w:pPr>
        <w:keepNext w:val="0"/>
        <w:keepLines w:val="0"/>
        <w:widowControl/>
        <w:suppressLineNumbers w:val="0"/>
        <w:jc w:val="center"/>
        <w:textAlignment w:val="center"/>
        <w:rPr>
          <w:rFonts w:hint="eastAsia" w:ascii="仿宋" w:hAnsi="仿宋" w:eastAsia="仿宋" w:cs="仿宋"/>
          <w:kern w:val="2"/>
          <w:sz w:val="24"/>
          <w:szCs w:val="32"/>
          <w:highlight w:val="none"/>
          <w:lang w:val="en-US" w:eastAsia="zh-CN" w:bidi="ar-SA"/>
        </w:rPr>
      </w:pPr>
    </w:p>
    <w:p>
      <w:pPr>
        <w:keepNext w:val="0"/>
        <w:keepLines w:val="0"/>
        <w:widowControl/>
        <w:suppressLineNumbers w:val="0"/>
        <w:jc w:val="center"/>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免洗手消毒凝胶</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【主要有效成分及含量】</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乙醇、卡波姆、水、三乙醇胺、芦荟叶提取物、甘油为原料，乙醇含量为75%±5%(v/v)</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【杀灭微生物类别】对大肠杆菌、金黄色葡萄球菌、白色念珠及常见细菌有较好的灭杀作用。</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【适用范围】适用于日常手部卫生消毒。</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【有效期】2年。</w:t>
      </w:r>
    </w:p>
    <w:p>
      <w:pPr>
        <w:keepNext w:val="0"/>
        <w:keepLines w:val="0"/>
        <w:widowControl/>
        <w:suppressLineNumbers w:val="0"/>
        <w:jc w:val="left"/>
        <w:textAlignment w:val="cente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【规格】500ml</w:t>
      </w:r>
    </w:p>
    <w:p>
      <w:pPr>
        <w:pStyle w:val="2"/>
        <w:jc w:val="both"/>
        <w:rPr>
          <w:rFonts w:hint="eastAsia"/>
          <w:highlight w:val="none"/>
          <w:lang w:val="en-US" w:eastAsia="zh-CN"/>
        </w:rPr>
      </w:pPr>
      <w:r>
        <w:rPr>
          <w:rFonts w:hint="eastAsia" w:ascii="仿宋" w:hAnsi="仿宋" w:eastAsia="仿宋" w:cs="仿宋"/>
          <w:kern w:val="2"/>
          <w:sz w:val="24"/>
          <w:szCs w:val="32"/>
          <w:highlight w:val="none"/>
          <w:lang w:val="en-US" w:eastAsia="zh-CN" w:bidi="ar-SA"/>
        </w:rPr>
        <w:t>【</w:t>
      </w:r>
      <w:r>
        <w:rPr>
          <w:rFonts w:hint="eastAsia" w:ascii="仿宋" w:hAnsi="仿宋" w:eastAsia="仿宋" w:cs="仿宋"/>
          <w:b w:val="0"/>
          <w:bCs/>
          <w:kern w:val="2"/>
          <w:sz w:val="24"/>
          <w:szCs w:val="32"/>
          <w:highlight w:val="none"/>
          <w:lang w:val="en-US" w:eastAsia="zh-CN" w:bidi="ar-SA"/>
        </w:rPr>
        <w:t>数量</w:t>
      </w:r>
      <w:r>
        <w:rPr>
          <w:rFonts w:hint="eastAsia" w:ascii="仿宋" w:hAnsi="仿宋" w:eastAsia="仿宋" w:cs="仿宋"/>
          <w:kern w:val="2"/>
          <w:sz w:val="24"/>
          <w:szCs w:val="32"/>
          <w:highlight w:val="none"/>
          <w:lang w:val="en-US" w:eastAsia="zh-CN" w:bidi="ar-SA"/>
        </w:rPr>
        <w:t>】</w:t>
      </w:r>
      <w:r>
        <w:rPr>
          <w:rFonts w:hint="eastAsia" w:ascii="仿宋" w:hAnsi="仿宋" w:eastAsia="仿宋" w:cs="仿宋"/>
          <w:b w:val="0"/>
          <w:kern w:val="2"/>
          <w:sz w:val="24"/>
          <w:szCs w:val="32"/>
          <w:highlight w:val="none"/>
          <w:lang w:val="en-US" w:eastAsia="zh-CN" w:bidi="ar-SA"/>
        </w:rPr>
        <w:t>10000瓶</w:t>
      </w:r>
    </w:p>
    <w:p>
      <w:pPr>
        <w:rPr>
          <w:rFonts w:hint="eastAsia" w:ascii="仿宋" w:hAnsi="仿宋" w:eastAsia="仿宋" w:cs="仿宋"/>
          <w:kern w:val="2"/>
          <w:sz w:val="24"/>
          <w:szCs w:val="32"/>
          <w:highlight w:val="none"/>
          <w:lang w:val="en-US" w:eastAsia="zh-CN" w:bidi="ar-SA"/>
        </w:rPr>
      </w:pPr>
      <w:r>
        <w:rPr>
          <w:rFonts w:hint="eastAsia" w:ascii="仿宋" w:hAnsi="仿宋" w:eastAsia="仿宋" w:cs="仿宋"/>
          <w:kern w:val="2"/>
          <w:sz w:val="24"/>
          <w:szCs w:val="32"/>
          <w:highlight w:val="none"/>
          <w:lang w:val="en-US" w:eastAsia="zh-CN" w:bidi="ar-SA"/>
        </w:rPr>
        <w:t>【产品类别】：凝胶（外用）</w:t>
      </w:r>
      <w:bookmarkStart w:id="799" w:name="_Toc18397"/>
      <w:bookmarkStart w:id="800" w:name="_Toc13644"/>
      <w:bookmarkStart w:id="801" w:name="_Toc6081"/>
    </w:p>
    <w:p>
      <w:pPr>
        <w:pStyle w:val="2"/>
        <w:jc w:val="both"/>
        <w:rPr>
          <w:highlight w:val="none"/>
        </w:rPr>
      </w:pPr>
    </w:p>
    <w:p>
      <w:pPr>
        <w:spacing w:line="480" w:lineRule="exact"/>
        <w:outlineLvl w:val="1"/>
        <w:rPr>
          <w:rFonts w:ascii="微软雅黑" w:hAnsi="微软雅黑" w:eastAsia="微软雅黑" w:cs="微软雅黑"/>
          <w:sz w:val="32"/>
          <w:szCs w:val="32"/>
          <w:highlight w:val="none"/>
        </w:rPr>
      </w:pPr>
      <w:bookmarkStart w:id="802" w:name="_Toc29442"/>
      <w:bookmarkStart w:id="803" w:name="_Toc6671"/>
      <w:r>
        <w:rPr>
          <w:rFonts w:hint="eastAsia" w:ascii="微软雅黑" w:hAnsi="微软雅黑" w:eastAsia="微软雅黑" w:cs="微软雅黑"/>
          <w:b/>
          <w:bCs/>
          <w:sz w:val="32"/>
          <w:szCs w:val="32"/>
          <w:highlight w:val="none"/>
        </w:rPr>
        <w:t>二、项目其他要求：</w:t>
      </w:r>
      <w:bookmarkEnd w:id="799"/>
      <w:bookmarkEnd w:id="800"/>
      <w:bookmarkEnd w:id="801"/>
      <w:bookmarkEnd w:id="802"/>
      <w:bookmarkEnd w:id="803"/>
    </w:p>
    <w:p>
      <w:pPr>
        <w:spacing w:line="560" w:lineRule="exact"/>
        <w:ind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1、</w:t>
      </w:r>
      <w:r>
        <w:rPr>
          <w:rFonts w:hint="eastAsia" w:ascii="微软雅黑" w:hAnsi="微软雅黑" w:eastAsia="微软雅黑" w:cs="微软雅黑"/>
          <w:b/>
          <w:sz w:val="24"/>
          <w:highlight w:val="none"/>
          <w:lang w:eastAsia="zh-CN"/>
        </w:rPr>
        <w:t>货物</w:t>
      </w:r>
      <w:r>
        <w:rPr>
          <w:rFonts w:hint="eastAsia" w:ascii="微软雅黑" w:hAnsi="微软雅黑" w:eastAsia="微软雅黑" w:cs="微软雅黑"/>
          <w:b/>
          <w:sz w:val="24"/>
          <w:highlight w:val="none"/>
        </w:rPr>
        <w:t>的性能要求</w:t>
      </w:r>
    </w:p>
    <w:p>
      <w:pPr>
        <w:pStyle w:val="35"/>
        <w:spacing w:line="240" w:lineRule="auto"/>
        <w:ind w:firstLine="480"/>
        <w:rPr>
          <w:rFonts w:ascii="微软雅黑" w:hAnsi="微软雅黑" w:eastAsia="微软雅黑" w:cs="微软雅黑"/>
          <w:highlight w:val="none"/>
        </w:rPr>
      </w:pPr>
      <w:r>
        <w:rPr>
          <w:rFonts w:hint="eastAsia" w:ascii="微软雅黑" w:hAnsi="微软雅黑" w:eastAsia="微软雅黑" w:cs="微软雅黑"/>
          <w:highlight w:val="none"/>
        </w:rPr>
        <w:t>（1）</w:t>
      </w:r>
      <w:r>
        <w:rPr>
          <w:rFonts w:hint="eastAsia" w:ascii="微软雅黑" w:hAnsi="微软雅黑" w:eastAsia="微软雅黑" w:cs="微软雅黑"/>
          <w:highlight w:val="none"/>
          <w:lang w:val="en-US" w:eastAsia="zh-CN"/>
        </w:rPr>
        <w:t>以上参数均为公共参数，无指向性，如供应商认为某个参数指向某品牌的均为参考指标，供应商依据以上参数自行选择投标产品品牌及规格型号。</w:t>
      </w:r>
    </w:p>
    <w:p>
      <w:pPr>
        <w:pStyle w:val="45"/>
        <w:snapToGrid w:val="0"/>
        <w:spacing w:line="480" w:lineRule="exact"/>
        <w:ind w:firstLine="480" w:firstLineChars="200"/>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w:t>
      </w:r>
      <w:r>
        <w:rPr>
          <w:rFonts w:hint="eastAsia" w:ascii="微软雅黑" w:hAnsi="微软雅黑" w:eastAsia="微软雅黑" w:cs="微软雅黑"/>
          <w:highlight w:val="none"/>
          <w:lang w:val="en-US" w:eastAsia="zh-CN"/>
        </w:rPr>
        <w:t>2</w:t>
      </w:r>
      <w:r>
        <w:rPr>
          <w:rFonts w:hint="eastAsia" w:ascii="微软雅黑" w:hAnsi="微软雅黑" w:eastAsia="微软雅黑" w:cs="微软雅黑"/>
          <w:highlight w:val="none"/>
        </w:rPr>
        <w:t>）技术参数中存在“正偏离”</w:t>
      </w:r>
      <w:r>
        <w:rPr>
          <w:rFonts w:hint="eastAsia" w:ascii="微软雅黑" w:hAnsi="微软雅黑" w:eastAsia="微软雅黑" w:cs="微软雅黑"/>
          <w:highlight w:val="none"/>
          <w:lang w:val="en-US" w:eastAsia="zh-CN"/>
        </w:rPr>
        <w:t>的</w:t>
      </w:r>
      <w:r>
        <w:rPr>
          <w:rFonts w:hint="eastAsia" w:ascii="微软雅黑" w:hAnsi="微软雅黑" w:eastAsia="微软雅黑" w:cs="微软雅黑"/>
          <w:highlight w:val="none"/>
        </w:rPr>
        <w:t>需</w:t>
      </w:r>
      <w:r>
        <w:rPr>
          <w:rFonts w:hint="eastAsia" w:ascii="微软雅黑" w:hAnsi="微软雅黑" w:eastAsia="微软雅黑" w:cs="微软雅黑"/>
          <w:highlight w:val="none"/>
          <w:lang w:val="en-US" w:eastAsia="zh-CN"/>
        </w:rPr>
        <w:t>提供</w:t>
      </w:r>
      <w:r>
        <w:rPr>
          <w:rFonts w:hint="eastAsia" w:ascii="微软雅黑" w:hAnsi="微软雅黑" w:eastAsia="微软雅黑" w:cs="微软雅黑"/>
          <w:highlight w:val="none"/>
        </w:rPr>
        <w:t>真实技术支持资料（或证明材料）</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未提供的不得作为正偏离。</w:t>
      </w:r>
    </w:p>
    <w:p>
      <w:pPr>
        <w:pStyle w:val="45"/>
        <w:snapToGrid w:val="0"/>
        <w:spacing w:line="480" w:lineRule="exact"/>
        <w:ind w:firstLine="480" w:firstLineChars="200"/>
        <w:textAlignment w:val="baseline"/>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w:t>
      </w:r>
      <w:r>
        <w:rPr>
          <w:rFonts w:hint="eastAsia" w:ascii="微软雅黑" w:hAnsi="微软雅黑" w:eastAsia="微软雅黑" w:cs="微软雅黑"/>
          <w:highlight w:val="none"/>
          <w:lang w:val="en-US" w:eastAsia="zh-CN"/>
        </w:rPr>
        <w:t>3</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参数中标有“</w:t>
      </w:r>
      <w:r>
        <w:rPr>
          <w:rFonts w:hint="eastAsia" w:ascii="仿宋" w:hAnsi="仿宋" w:eastAsia="仿宋" w:cs="仿宋"/>
          <w:sz w:val="24"/>
          <w:szCs w:val="32"/>
          <w:highlight w:val="none"/>
        </w:rPr>
        <w:t>★</w:t>
      </w:r>
      <w:r>
        <w:rPr>
          <w:rFonts w:hint="eastAsia" w:ascii="微软雅黑" w:hAnsi="微软雅黑" w:eastAsia="微软雅黑" w:cs="微软雅黑"/>
          <w:highlight w:val="none"/>
          <w:lang w:eastAsia="zh-CN"/>
        </w:rPr>
        <w:t>”符号的为产品重要指标，不允许有负偏离，有负偏离的则认定为</w:t>
      </w:r>
      <w:r>
        <w:rPr>
          <w:rFonts w:hint="eastAsia" w:ascii="微软雅黑" w:hAnsi="微软雅黑" w:eastAsia="微软雅黑" w:cs="微软雅黑"/>
          <w:b/>
          <w:bCs/>
          <w:highlight w:val="none"/>
          <w:lang w:eastAsia="zh-CN"/>
        </w:rPr>
        <w:t>投标无效</w:t>
      </w:r>
      <w:r>
        <w:rPr>
          <w:rFonts w:hint="eastAsia" w:ascii="微软雅黑" w:hAnsi="微软雅黑" w:eastAsia="微软雅黑" w:cs="微软雅黑"/>
          <w:highlight w:val="none"/>
          <w:lang w:eastAsia="zh-CN"/>
        </w:rPr>
        <w:t>。</w:t>
      </w:r>
    </w:p>
    <w:p>
      <w:pPr>
        <w:pStyle w:val="45"/>
        <w:snapToGrid w:val="0"/>
        <w:spacing w:line="480" w:lineRule="exact"/>
        <w:ind w:firstLine="480" w:firstLineChars="200"/>
        <w:textAlignment w:val="baseline"/>
        <w:rPr>
          <w:rFonts w:hint="eastAsia" w:ascii="微软雅黑" w:hAnsi="微软雅黑" w:eastAsia="微软雅黑" w:cs="微软雅黑"/>
          <w:highlight w:val="none"/>
        </w:rPr>
      </w:pP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4</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供应商应点对点应答本</w:t>
      </w:r>
      <w:r>
        <w:rPr>
          <w:rFonts w:hint="eastAsia" w:ascii="微软雅黑" w:hAnsi="微软雅黑" w:eastAsia="微软雅黑" w:cs="微软雅黑"/>
          <w:highlight w:val="none"/>
          <w:lang w:val="en-US" w:eastAsia="zh-CN"/>
        </w:rPr>
        <w:t>磋商</w:t>
      </w:r>
      <w:r>
        <w:rPr>
          <w:rFonts w:hint="eastAsia" w:ascii="微软雅黑" w:hAnsi="微软雅黑" w:eastAsia="微软雅黑" w:cs="微软雅黑"/>
          <w:highlight w:val="none"/>
        </w:rPr>
        <w:t>文件“货物需求”，应给予明确的“无偏离”或“负偏离”的应答，并作出具体、详细的说明和提供所要求的证明材料。</w:t>
      </w:r>
    </w:p>
    <w:p>
      <w:pPr>
        <w:spacing w:line="560" w:lineRule="exact"/>
        <w:ind w:firstLine="480" w:firstLineChars="200"/>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2、交货期</w:t>
      </w:r>
      <w:r>
        <w:rPr>
          <w:rFonts w:hint="eastAsia" w:ascii="微软雅黑" w:hAnsi="微软雅黑" w:eastAsia="微软雅黑" w:cs="微软雅黑"/>
          <w:b/>
          <w:sz w:val="24"/>
          <w:highlight w:val="none"/>
          <w:lang w:eastAsia="zh-CN"/>
        </w:rPr>
        <w:t>、交货地点及</w:t>
      </w:r>
      <w:r>
        <w:rPr>
          <w:rFonts w:hint="eastAsia" w:ascii="微软雅黑" w:hAnsi="微软雅黑" w:eastAsia="微软雅黑" w:cs="微软雅黑"/>
          <w:b/>
          <w:sz w:val="24"/>
          <w:highlight w:val="none"/>
        </w:rPr>
        <w:t>质保期</w:t>
      </w:r>
    </w:p>
    <w:p>
      <w:pPr>
        <w:spacing w:line="56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（1）交货期：</w:t>
      </w:r>
      <w:r>
        <w:rPr>
          <w:rFonts w:hint="eastAsia" w:ascii="微软雅黑" w:hAnsi="微软雅黑" w:eastAsia="微软雅黑" w:cs="微软雅黑"/>
          <w:sz w:val="24"/>
          <w:highlight w:val="none"/>
          <w:lang w:val="en-US" w:eastAsia="zh-CN"/>
        </w:rPr>
        <w:t>签订合同后7天内完成供货。</w:t>
      </w:r>
    </w:p>
    <w:p>
      <w:pPr>
        <w:spacing w:line="56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val="en-US" w:eastAsia="zh-CN"/>
        </w:rPr>
        <w:t>（2</w:t>
      </w:r>
      <w:r>
        <w:rPr>
          <w:rFonts w:hint="eastAsia" w:ascii="微软雅黑" w:hAnsi="微软雅黑" w:eastAsia="微软雅黑" w:cs="微软雅黑"/>
          <w:sz w:val="24"/>
          <w:highlight w:val="none"/>
        </w:rPr>
        <w:t>）交货地点：采购单位指定地点</w:t>
      </w:r>
    </w:p>
    <w:p>
      <w:pPr>
        <w:spacing w:line="56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3</w:t>
      </w:r>
      <w:r>
        <w:rPr>
          <w:rFonts w:hint="eastAsia" w:ascii="微软雅黑" w:hAnsi="微软雅黑" w:eastAsia="微软雅黑" w:cs="微软雅黑"/>
          <w:sz w:val="24"/>
          <w:highlight w:val="none"/>
        </w:rPr>
        <w:t>）质保期：</w:t>
      </w:r>
      <w:r>
        <w:rPr>
          <w:rFonts w:hint="eastAsia" w:ascii="微软雅黑" w:hAnsi="微软雅黑" w:eastAsia="微软雅黑" w:cs="微软雅黑"/>
          <w:sz w:val="24"/>
          <w:highlight w:val="none"/>
          <w:lang w:val="en-US" w:eastAsia="zh-CN"/>
        </w:rPr>
        <w:t>2年（自交货并验收合格之日起计）（提供质保期承诺函）</w:t>
      </w:r>
    </w:p>
    <w:p>
      <w:pPr>
        <w:spacing w:line="560" w:lineRule="exact"/>
        <w:ind w:firstLine="480" w:firstLineChars="200"/>
        <w:rPr>
          <w:rFonts w:hint="eastAsia" w:ascii="微软雅黑" w:hAnsi="微软雅黑" w:eastAsia="微软雅黑" w:cs="微软雅黑"/>
          <w:b/>
          <w:sz w:val="24"/>
          <w:highlight w:val="none"/>
          <w:lang w:eastAsia="zh-CN"/>
        </w:rPr>
      </w:pPr>
      <w:r>
        <w:rPr>
          <w:rFonts w:hint="eastAsia" w:ascii="微软雅黑" w:hAnsi="微软雅黑" w:eastAsia="微软雅黑" w:cs="微软雅黑"/>
          <w:b/>
          <w:sz w:val="24"/>
          <w:highlight w:val="none"/>
        </w:rPr>
        <w:t>3、</w:t>
      </w:r>
      <w:r>
        <w:rPr>
          <w:rFonts w:hint="eastAsia" w:ascii="微软雅黑" w:hAnsi="微软雅黑" w:eastAsia="微软雅黑" w:cs="微软雅黑"/>
          <w:b/>
          <w:sz w:val="24"/>
          <w:highlight w:val="none"/>
          <w:lang w:eastAsia="zh-CN"/>
        </w:rPr>
        <w:t>项目实施应具备的能力</w:t>
      </w:r>
    </w:p>
    <w:p>
      <w:pPr>
        <w:spacing w:line="560" w:lineRule="exact"/>
        <w:ind w:firstLine="480" w:firstLineChars="200"/>
        <w:rPr>
          <w:rFonts w:hint="default" w:ascii="微软雅黑" w:hAnsi="微软雅黑" w:eastAsia="微软雅黑" w:cs="微软雅黑"/>
          <w:b w:val="0"/>
          <w:bCs/>
          <w:sz w:val="24"/>
          <w:highlight w:val="none"/>
          <w:lang w:val="en-US" w:eastAsia="zh-CN"/>
        </w:rPr>
      </w:pPr>
      <w:r>
        <w:rPr>
          <w:rFonts w:hint="eastAsia" w:ascii="微软雅黑" w:hAnsi="微软雅黑" w:eastAsia="微软雅黑" w:cs="微软雅黑"/>
          <w:b w:val="0"/>
          <w:bCs/>
          <w:sz w:val="24"/>
          <w:highlight w:val="none"/>
          <w:lang w:val="en-US" w:eastAsia="zh-CN"/>
        </w:rPr>
        <w:t>（1）项目实施拟投入的人员：供应商参与本项目应至少有1名工作人员为固定为本项目服务人员，供应商需提供拟投入本项目人员社保缴纳凭证。</w:t>
      </w:r>
    </w:p>
    <w:p>
      <w:pPr>
        <w:spacing w:line="560" w:lineRule="exact"/>
        <w:ind w:firstLine="480" w:firstLineChars="200"/>
        <w:rPr>
          <w:rFonts w:hint="eastAsia" w:ascii="微软雅黑" w:hAnsi="微软雅黑" w:eastAsia="微软雅黑" w:cs="微软雅黑"/>
          <w:b w:val="0"/>
          <w:bCs/>
          <w:sz w:val="24"/>
          <w:highlight w:val="none"/>
          <w:lang w:val="en-US" w:eastAsia="zh-CN"/>
        </w:rPr>
      </w:pPr>
      <w:r>
        <w:rPr>
          <w:rFonts w:hint="eastAsia" w:ascii="微软雅黑" w:hAnsi="微软雅黑" w:eastAsia="微软雅黑" w:cs="微软雅黑"/>
          <w:b w:val="0"/>
          <w:bCs/>
          <w:sz w:val="24"/>
          <w:highlight w:val="none"/>
          <w:lang w:val="en-US" w:eastAsia="zh-CN"/>
        </w:rPr>
        <w:t>（2）供货能力：</w:t>
      </w:r>
      <w:r>
        <w:rPr>
          <w:rFonts w:hint="eastAsia" w:ascii="微软雅黑" w:hAnsi="微软雅黑" w:eastAsia="微软雅黑" w:cs="微软雅黑"/>
          <w:sz w:val="24"/>
          <w:highlight w:val="none"/>
          <w:lang w:eastAsia="zh-CN"/>
        </w:rPr>
        <w:t>为便于产品仓储，及时满足招标人需求，</w:t>
      </w:r>
      <w:r>
        <w:rPr>
          <w:rFonts w:hint="eastAsia" w:ascii="微软雅黑" w:hAnsi="微软雅黑" w:eastAsia="微软雅黑" w:cs="微软雅黑"/>
          <w:b w:val="0"/>
          <w:bCs/>
          <w:sz w:val="24"/>
          <w:highlight w:val="none"/>
          <w:lang w:val="en-US" w:eastAsia="zh-CN"/>
        </w:rPr>
        <w:t>供应商应具有固定的服务网点及冷冻仓储环境。供应商应提供房屋购买合同或租赁合同或其他合法有效的证明材料。</w:t>
      </w:r>
    </w:p>
    <w:p>
      <w:pPr>
        <w:spacing w:line="560" w:lineRule="exact"/>
        <w:ind w:firstLine="480" w:firstLineChars="200"/>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（3）应急保障能力：投标供应商应提供针对发生产品安全事故的应急预案，能清晰表明事故的责任权利义务、着重提出应急处理预案、善后处理的方法和措施等内容。</w:t>
      </w:r>
    </w:p>
    <w:p>
      <w:pPr>
        <w:spacing w:line="560" w:lineRule="exact"/>
        <w:ind w:firstLine="480" w:firstLineChars="200"/>
        <w:rPr>
          <w:rFonts w:hint="eastAsia" w:ascii="微软雅黑" w:hAnsi="微软雅黑" w:eastAsia="微软雅黑" w:cs="微软雅黑"/>
          <w:b/>
          <w:sz w:val="24"/>
          <w:highlight w:val="none"/>
          <w:lang w:val="en-US" w:eastAsia="zh-CN"/>
        </w:rPr>
      </w:pPr>
      <w:r>
        <w:rPr>
          <w:rFonts w:hint="eastAsia" w:ascii="微软雅黑" w:hAnsi="微软雅黑" w:eastAsia="微软雅黑" w:cs="微软雅黑"/>
          <w:b/>
          <w:sz w:val="24"/>
          <w:highlight w:val="none"/>
          <w:lang w:val="en-US" w:eastAsia="zh-CN"/>
        </w:rPr>
        <w:t>4、付款条件及售后要求</w:t>
      </w:r>
    </w:p>
    <w:p>
      <w:pPr>
        <w:spacing w:line="560" w:lineRule="exact"/>
        <w:ind w:firstLine="480" w:firstLineChars="200"/>
        <w:rPr>
          <w:rFonts w:hint="eastAsia" w:ascii="微软雅黑" w:hAnsi="微软雅黑" w:eastAsia="微软雅黑" w:cs="微软雅黑"/>
          <w:b w:val="0"/>
          <w:bCs/>
          <w:sz w:val="24"/>
          <w:highlight w:val="none"/>
          <w:lang w:val="en-US" w:eastAsia="zh-CN"/>
        </w:rPr>
      </w:pPr>
      <w:r>
        <w:rPr>
          <w:rFonts w:hint="eastAsia" w:ascii="微软雅黑" w:hAnsi="微软雅黑" w:eastAsia="微软雅黑" w:cs="微软雅黑"/>
          <w:b w:val="0"/>
          <w:bCs/>
          <w:sz w:val="24"/>
          <w:highlight w:val="none"/>
          <w:lang w:val="en-US" w:eastAsia="zh-CN"/>
        </w:rPr>
        <w:t>（1）进度和方式：供货完毕，验收合格后一次性支付。</w:t>
      </w:r>
    </w:p>
    <w:p>
      <w:pPr>
        <w:spacing w:line="560" w:lineRule="exact"/>
        <w:ind w:firstLine="480" w:firstLineChars="200"/>
        <w:rPr>
          <w:rFonts w:hint="eastAsia" w:ascii="微软雅黑" w:hAnsi="微软雅黑" w:eastAsia="微软雅黑" w:cs="微软雅黑"/>
          <w:b w:val="0"/>
          <w:bCs/>
          <w:sz w:val="24"/>
          <w:highlight w:val="none"/>
          <w:lang w:val="en-US" w:eastAsia="zh-CN"/>
        </w:rPr>
      </w:pPr>
      <w:r>
        <w:rPr>
          <w:rFonts w:hint="eastAsia" w:ascii="微软雅黑" w:hAnsi="微软雅黑" w:eastAsia="微软雅黑" w:cs="微软雅黑"/>
          <w:b w:val="0"/>
          <w:bCs/>
          <w:sz w:val="24"/>
          <w:highlight w:val="none"/>
          <w:lang w:val="en-US" w:eastAsia="zh-CN"/>
        </w:rPr>
        <w:t>（2）售后服务：所有物资在质量保证期内（2年）发生的质量问题，由供应商负责同等产品更换（因采购单位使用不当或其他人为因素造成的故障除外）。供应商需提供售后服务方案，方案中应包含对本项目的质量保证承诺，能体现出供应商售后服务响应时间、拟投入的售后服务人员及可提供的服务内容。</w:t>
      </w:r>
    </w:p>
    <w:p>
      <w:pPr>
        <w:pStyle w:val="5"/>
        <w:rPr>
          <w:rFonts w:hint="default" w:ascii="微软雅黑" w:hAnsi="微软雅黑" w:eastAsia="微软雅黑" w:cs="微软雅黑"/>
          <w:b/>
          <w:bCs/>
          <w:szCs w:val="24"/>
          <w:highlight w:val="none"/>
          <w:lang w:val="en-US" w:eastAsia="zh-CN"/>
        </w:rPr>
      </w:pPr>
      <w:r>
        <w:rPr>
          <w:rFonts w:hint="eastAsia" w:ascii="微软雅黑" w:hAnsi="微软雅黑" w:eastAsia="微软雅黑" w:cs="微软雅黑"/>
          <w:b/>
          <w:bCs/>
          <w:szCs w:val="24"/>
          <w:highlight w:val="none"/>
          <w:lang w:val="en-US" w:eastAsia="zh-CN"/>
        </w:rPr>
        <w:t>5、供货方案及其他要求</w:t>
      </w:r>
    </w:p>
    <w:p>
      <w:pPr>
        <w:pStyle w:val="5"/>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（1）供应商针对本项目提供产品供货方案，可从执行组织措施、执行保障措施、产品配送组织计划、进度安排等方面进行拓展。</w:t>
      </w:r>
    </w:p>
    <w:p>
      <w:pPr>
        <w:pStyle w:val="5"/>
        <w:rPr>
          <w:rFonts w:hint="default"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2）在发货前保证对货物的质量、规格、性能、数量和重量等进行准确而全面的检验，在项目供货时进行核对，如若发生所投货物与实际供货不符合，供应商必须在最快时间内处理，中途产生的一切费用由供货方负责。</w:t>
      </w:r>
    </w:p>
    <w:p>
      <w:pPr>
        <w:pStyle w:val="5"/>
        <w:ind w:left="0" w:leftChars="0" w:firstLine="480" w:firstLineChars="200"/>
        <w:rPr>
          <w:rFonts w:hint="eastAsia" w:ascii="微软雅黑" w:hAnsi="微软雅黑" w:eastAsia="微软雅黑" w:cs="微软雅黑"/>
          <w:szCs w:val="24"/>
          <w:highlight w:val="none"/>
          <w:lang w:val="en-US" w:eastAsia="zh-CN"/>
        </w:rPr>
      </w:pPr>
      <w:bookmarkStart w:id="804" w:name="_Toc5453"/>
      <w:r>
        <w:rPr>
          <w:rFonts w:hint="eastAsia" w:ascii="微软雅黑" w:hAnsi="微软雅黑" w:eastAsia="微软雅黑" w:cs="微软雅黑"/>
          <w:szCs w:val="24"/>
          <w:highlight w:val="none"/>
          <w:lang w:val="en-US" w:eastAsia="zh-CN"/>
        </w:rPr>
        <w:t>（3）本项目所有产品由中标单位代为储存于冷冻仓储库中。</w:t>
      </w:r>
    </w:p>
    <w:p>
      <w:pPr>
        <w:pStyle w:val="5"/>
        <w:ind w:left="0" w:leftChars="0" w:firstLine="480" w:firstLineChars="200"/>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b/>
          <w:bCs/>
          <w:szCs w:val="24"/>
          <w:highlight w:val="none"/>
          <w:lang w:val="en-US" w:eastAsia="zh-CN"/>
        </w:rPr>
        <w:t>6、验收主体及方法</w:t>
      </w:r>
    </w:p>
    <w:p>
      <w:pPr>
        <w:pStyle w:val="5"/>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验收主体：由喀什地区疫情防控指挥部医疗物资保障组组织验收。</w:t>
      </w:r>
    </w:p>
    <w:p>
      <w:pPr>
        <w:pStyle w:val="5"/>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验收方法：喀什地区疫情防控指挥部医疗物资保障组工作人员到中标单位冷冻仓储库实地验收。</w:t>
      </w:r>
    </w:p>
    <w:p>
      <w:pPr>
        <w:pStyle w:val="2"/>
        <w:rPr>
          <w:rFonts w:hint="eastAsia" w:ascii="微软雅黑" w:hAnsi="微软雅黑" w:eastAsia="微软雅黑" w:cs="微软雅黑"/>
          <w:highlight w:val="none"/>
        </w:rPr>
      </w:pPr>
    </w:p>
    <w:p>
      <w:pPr>
        <w:rPr>
          <w:rFonts w:hint="eastAsia" w:ascii="微软雅黑" w:hAnsi="微软雅黑" w:eastAsia="微软雅黑" w:cs="微软雅黑"/>
          <w:highlight w:val="none"/>
        </w:rPr>
      </w:pPr>
    </w:p>
    <w:p>
      <w:pPr>
        <w:rPr>
          <w:rFonts w:hint="eastAsia"/>
          <w:highlight w:val="none"/>
        </w:rPr>
      </w:pPr>
    </w:p>
    <w:p>
      <w:pPr>
        <w:pStyle w:val="3"/>
        <w:tabs>
          <w:tab w:val="left" w:pos="0"/>
        </w:tabs>
        <w:snapToGrid w:val="0"/>
        <w:spacing w:before="0" w:after="0" w:line="240" w:lineRule="atLeast"/>
        <w:textAlignment w:val="baseline"/>
        <w:rPr>
          <w:rFonts w:ascii="微软雅黑" w:hAnsi="微软雅黑" w:eastAsia="微软雅黑" w:cs="微软雅黑"/>
          <w:b w:val="0"/>
          <w:sz w:val="24"/>
          <w:highlight w:val="none"/>
        </w:rPr>
      </w:pPr>
      <w:r>
        <w:rPr>
          <w:rFonts w:hint="eastAsia" w:ascii="微软雅黑" w:hAnsi="微软雅黑" w:eastAsia="微软雅黑" w:cs="微软雅黑"/>
          <w:highlight w:val="none"/>
        </w:rPr>
        <w:t xml:space="preserve">第6章 </w:t>
      </w:r>
      <w:bookmarkStart w:id="805" w:name="_Toc32647"/>
      <w:bookmarkStart w:id="806" w:name="_Toc507399907"/>
      <w:bookmarkStart w:id="807" w:name="_Toc7971"/>
      <w:bookmarkStart w:id="808" w:name="_Toc515647832"/>
      <w:r>
        <w:rPr>
          <w:rFonts w:hint="eastAsia" w:ascii="微软雅黑" w:hAnsi="微软雅黑" w:eastAsia="微软雅黑" w:cs="微软雅黑"/>
          <w:highlight w:val="none"/>
        </w:rPr>
        <w:t>评审方法和标准</w:t>
      </w:r>
      <w:bookmarkEnd w:id="782"/>
      <w:bookmarkEnd w:id="783"/>
      <w:bookmarkEnd w:id="784"/>
      <w:bookmarkEnd w:id="804"/>
      <w:bookmarkEnd w:id="805"/>
      <w:bookmarkEnd w:id="806"/>
      <w:bookmarkEnd w:id="807"/>
      <w:bookmarkEnd w:id="808"/>
    </w:p>
    <w:p>
      <w:pPr>
        <w:pStyle w:val="11"/>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注：1.磋商无效的情形：</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（1）单位负责人为同一人或者存在直接控股、管理关系的不同供应商，其相关磋商将被认定为磋商无效。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（2）若供应商须知资料表中未写明允许采购进口产品，如供应商所投产品为进口产品，其磋商将被认定为磋商无效。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（3）为本项目提供过整体设计、规范编制或者项目管理、监理、检测等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的供应商，不得再参加本项目上述</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以外的其他采购活动。否则其磋商将被认定为磋商无效。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供应商在磋商过程中不得向采购人提供、给予任何有价值的物品，影响其正常决策行为。一经发现，其将被认定为磋商无效。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（4）供应商报价超过磋商文件规定的预算金额或者分项、分包最高限价的，其磋商将被认定为磋商无效。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（6）供应商应当对所投分包磋商文件中“</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需求”所列的所有内容进行磋商，如仅响应某一包中的部分内容，其该包磋商将被认定为磋商无效。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（7）供应商未按本须知第12.1和12.3条规定提交磋商保证金的，其磋商资格将被认定为无效。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（8）所有磋商均以人民币报价。供应商的磋商报价应遵守《中华人民共和国价格法》。同时，根据《中华人民共和国政府采购法》第二条的规定，为保证公平竞争，如有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主体部分的赠与行为，其磋商将被认定为磋商无效。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（9）供应商所报的各分项磋商单价在合同履行过程中是固定不变的，不得以任何理由予以变更。任何包含价格调整要求的磋商，其磋商将被认定为磋商无效。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（10）磋商应在供应商须知资料表中规定时间内保持有效。磋商有效期不满足要求的磋商，其磋商将被认定为磋商无效。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（11）所有响应文件采用不可拆装的胶订方式装订，否则其磋商将被认定为磋商无效。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（12）采购人或采购代理机构将在开标前1个工作日至磋商截止后1小时的期间内查询供应商的信用记录。供应商存在不良信用记录的，其磋商将被认定为磋商无效。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（15）如发现下列情况之一的，其磋商将被认定为磋商无效：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2.</w:t>
      </w:r>
      <w:r>
        <w:rPr>
          <w:rFonts w:hint="eastAsia" w:ascii="微软雅黑" w:hAnsi="微软雅黑" w:eastAsia="微软雅黑" w:cs="微软雅黑"/>
          <w:b/>
          <w:bCs/>
          <w:i w:val="0"/>
          <w:caps w:val="0"/>
          <w:color w:val="auto"/>
          <w:spacing w:val="0"/>
          <w:w w:val="100"/>
          <w:sz w:val="24"/>
          <w:highlight w:val="none"/>
          <w:lang w:eastAsia="zh-CN"/>
        </w:rPr>
        <w:t>本项目</w:t>
      </w:r>
      <w:r>
        <w:rPr>
          <w:rFonts w:hint="eastAsia" w:ascii="微软雅黑" w:hAnsi="微软雅黑" w:eastAsia="微软雅黑" w:cs="微软雅黑"/>
          <w:b/>
          <w:bCs/>
          <w:i w:val="0"/>
          <w:caps w:val="0"/>
          <w:color w:val="auto"/>
          <w:spacing w:val="0"/>
          <w:w w:val="100"/>
          <w:sz w:val="24"/>
          <w:highlight w:val="none"/>
        </w:rPr>
        <w:t>为了发挥政府采购的政策功能，促进符合国家经济和社会发展政策目标，产品、服务、信誉较好的中小企业发展，根据《</w:t>
      </w:r>
      <w:r>
        <w:rPr>
          <w:rFonts w:hint="eastAsia" w:ascii="微软雅黑" w:hAnsi="微软雅黑" w:eastAsia="微软雅黑" w:cs="微软雅黑"/>
          <w:b/>
          <w:bCs/>
          <w:i w:val="0"/>
          <w:caps w:val="0"/>
          <w:color w:val="auto"/>
          <w:spacing w:val="0"/>
          <w:w w:val="100"/>
          <w:sz w:val="24"/>
          <w:highlight w:val="none"/>
        </w:rPr>
        <w:fldChar w:fldCharType="begin"/>
      </w:r>
      <w:r>
        <w:rPr>
          <w:rFonts w:hint="eastAsia" w:ascii="微软雅黑" w:hAnsi="微软雅黑" w:eastAsia="微软雅黑" w:cs="微软雅黑"/>
          <w:b/>
          <w:bCs/>
          <w:i w:val="0"/>
          <w:caps w:val="0"/>
          <w:color w:val="auto"/>
          <w:spacing w:val="0"/>
          <w:w w:val="100"/>
          <w:sz w:val="24"/>
          <w:highlight w:val="none"/>
        </w:rPr>
        <w:instrText xml:space="preserve"> HYPERLINK "https://baike.so.com/doc/3508493.html" \t "https://baike.so.com/doc/_blank" </w:instrText>
      </w:r>
      <w:r>
        <w:rPr>
          <w:rFonts w:hint="eastAsia" w:ascii="微软雅黑" w:hAnsi="微软雅黑" w:eastAsia="微软雅黑" w:cs="微软雅黑"/>
          <w:b/>
          <w:bCs/>
          <w:i w:val="0"/>
          <w:caps w:val="0"/>
          <w:color w:val="auto"/>
          <w:spacing w:val="0"/>
          <w:w w:val="100"/>
          <w:sz w:val="24"/>
          <w:highlight w:val="none"/>
        </w:rPr>
        <w:fldChar w:fldCharType="separate"/>
      </w:r>
      <w:r>
        <w:rPr>
          <w:rFonts w:hint="eastAsia" w:ascii="微软雅黑" w:hAnsi="微软雅黑" w:eastAsia="微软雅黑" w:cs="微软雅黑"/>
          <w:b/>
          <w:bCs/>
          <w:i w:val="0"/>
          <w:caps w:val="0"/>
          <w:color w:val="auto"/>
          <w:spacing w:val="0"/>
          <w:w w:val="100"/>
          <w:sz w:val="24"/>
          <w:highlight w:val="none"/>
        </w:rPr>
        <w:t>中华人民共和国政府采购法</w:t>
      </w:r>
      <w:r>
        <w:rPr>
          <w:rFonts w:hint="eastAsia" w:ascii="微软雅黑" w:hAnsi="微软雅黑" w:eastAsia="微软雅黑" w:cs="微软雅黑"/>
          <w:b/>
          <w:bCs/>
          <w:i w:val="0"/>
          <w:caps w:val="0"/>
          <w:color w:val="auto"/>
          <w:spacing w:val="0"/>
          <w:w w:val="100"/>
          <w:sz w:val="24"/>
          <w:highlight w:val="none"/>
        </w:rPr>
        <w:fldChar w:fldCharType="end"/>
      </w:r>
      <w:r>
        <w:rPr>
          <w:rFonts w:hint="eastAsia" w:ascii="微软雅黑" w:hAnsi="微软雅黑" w:eastAsia="微软雅黑" w:cs="微软雅黑"/>
          <w:b/>
          <w:bCs/>
          <w:i w:val="0"/>
          <w:caps w:val="0"/>
          <w:color w:val="auto"/>
          <w:spacing w:val="0"/>
          <w:w w:val="100"/>
          <w:sz w:val="24"/>
          <w:highlight w:val="none"/>
        </w:rPr>
        <w:t>》、《中华人民共和国中小企业促进法》等有关法律法规，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sz w:val="24"/>
          <w:szCs w:val="24"/>
          <w:highlight w:val="none"/>
          <w:lang w:val="en-US" w:eastAsia="zh-CN"/>
        </w:rPr>
        <w:t>10%-20%</w:t>
      </w:r>
      <w:r>
        <w:rPr>
          <w:rFonts w:hint="eastAsia" w:ascii="微软雅黑" w:hAnsi="微软雅黑" w:eastAsia="微软雅黑" w:cs="微软雅黑"/>
          <w:b/>
          <w:bCs/>
          <w:i w:val="0"/>
          <w:caps w:val="0"/>
          <w:color w:val="auto"/>
          <w:spacing w:val="0"/>
          <w:w w:val="100"/>
          <w:sz w:val="24"/>
          <w:highlight w:val="none"/>
        </w:rPr>
        <w:t xml:space="preserve"> 后参与评审。对于同时属于小微企业、监狱企业或残疾人福利性单位的，不重复进行报价扣除。</w:t>
      </w:r>
    </w:p>
    <w:p>
      <w:pPr>
        <w:keepNext w:val="0"/>
        <w:keepLines w:val="0"/>
        <w:pageBreakBefore w:val="0"/>
        <w:widowControl/>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3.联合协议中约定，小型、微型企业和监狱企业的协议合同金额占到联合体协议合同总金额30%以上的，可给予联合体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highlight w:val="none"/>
          <w:u w:val="single" w:color="000000"/>
        </w:rPr>
        <w:t xml:space="preserve"> 2%-3</w:t>
      </w:r>
      <w:r>
        <w:rPr>
          <w:rFonts w:hint="eastAsia" w:ascii="微软雅黑" w:hAnsi="微软雅黑" w:eastAsia="微软雅黑" w:cs="微软雅黑"/>
          <w:b w:val="0"/>
          <w:i w:val="0"/>
          <w:caps w:val="0"/>
          <w:color w:val="auto"/>
          <w:spacing w:val="0"/>
          <w:w w:val="100"/>
          <w:sz w:val="24"/>
          <w:highlight w:val="none"/>
        </w:rPr>
        <w:t>%的价格扣除。</w:t>
      </w:r>
      <w:r>
        <w:rPr>
          <w:rFonts w:hint="eastAsia" w:ascii="微软雅黑" w:hAnsi="微软雅黑" w:eastAsia="微软雅黑" w:cs="微软雅黑"/>
          <w:b/>
          <w:bCs/>
          <w:i w:val="0"/>
          <w:caps w:val="0"/>
          <w:color w:val="auto"/>
          <w:spacing w:val="0"/>
          <w:w w:val="100"/>
          <w:sz w:val="24"/>
          <w:highlight w:val="none"/>
        </w:rPr>
        <w:t>（本项目不适用）</w:t>
      </w:r>
    </w:p>
    <w:p>
      <w:pPr>
        <w:keepNext w:val="0"/>
        <w:keepLines w:val="0"/>
        <w:pageBreakBefore w:val="0"/>
        <w:widowControl/>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联合体各方均为小型、微型企业和监狱企业的，联合体视同为小型、微型企业和监狱企业。</w:t>
      </w:r>
    </w:p>
    <w:p>
      <w:pPr>
        <w:pStyle w:val="11"/>
        <w:keepNext w:val="0"/>
        <w:keepLines w:val="0"/>
        <w:pageBreakBefore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bCs w:val="0"/>
          <w:i w:val="0"/>
          <w:caps w:val="0"/>
          <w:color w:val="auto"/>
          <w:spacing w:val="0"/>
          <w:w w:val="100"/>
          <w:sz w:val="24"/>
          <w:highlight w:val="none"/>
          <w:lang w:eastAsia="zh-CN"/>
        </w:rPr>
      </w:pPr>
      <w:r>
        <w:rPr>
          <w:rFonts w:hint="eastAsia" w:ascii="微软雅黑" w:hAnsi="微软雅黑" w:eastAsia="微软雅黑" w:cs="微软雅黑"/>
          <w:b w:val="0"/>
          <w:i w:val="0"/>
          <w:caps w:val="0"/>
          <w:color w:val="auto"/>
          <w:spacing w:val="0"/>
          <w:w w:val="100"/>
          <w:sz w:val="24"/>
          <w:highlight w:val="none"/>
          <w:lang w:val="en-US" w:eastAsia="zh-CN"/>
        </w:rPr>
        <w:t>4.</w:t>
      </w:r>
      <w:r>
        <w:rPr>
          <w:rFonts w:hint="eastAsia" w:ascii="微软雅黑" w:hAnsi="微软雅黑" w:eastAsia="微软雅黑" w:cs="微软雅黑"/>
          <w:b w:val="0"/>
          <w:i w:val="0"/>
          <w:caps w:val="0"/>
          <w:color w:val="auto"/>
          <w:spacing w:val="0"/>
          <w:w w:val="100"/>
          <w:sz w:val="24"/>
          <w:highlight w:val="none"/>
        </w:rPr>
        <w:t>供应商为提供</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在磋商中伴随磋商的产品如被列入财政部与国家主管部门颁发的节能产品目录或环境标志产品目录或无线局域网产品目录，应提供相关证明，在评标时予以优先采购</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rPr>
        <w:t>具体优惠措施为</w:t>
      </w:r>
      <w:r>
        <w:rPr>
          <w:rFonts w:hint="eastAsia" w:ascii="微软雅黑" w:hAnsi="微软雅黑" w:eastAsia="微软雅黑" w:cs="微软雅黑"/>
          <w:b w:val="0"/>
          <w:bCs w:val="0"/>
          <w:i w:val="0"/>
          <w:caps w:val="0"/>
          <w:color w:val="auto"/>
          <w:spacing w:val="0"/>
          <w:w w:val="100"/>
          <w:sz w:val="24"/>
          <w:szCs w:val="24"/>
          <w:highlight w:val="none"/>
          <w:u w:val="single" w:color="000000"/>
        </w:rPr>
        <w:t>：</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aps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aps w:val="0"/>
          <w:color w:val="auto"/>
          <w:spacing w:val="0"/>
          <w:w w:val="100"/>
          <w:sz w:val="24"/>
          <w:szCs w:val="24"/>
          <w:highlight w:val="none"/>
          <w:u w:val="single" w:color="000000"/>
        </w:rPr>
        <w:t>号）目录内的产品。</w:t>
      </w:r>
    </w:p>
    <w:p>
      <w:pPr>
        <w:pStyle w:val="5"/>
        <w:keepNext w:val="0"/>
        <w:keepLines w:val="0"/>
        <w:pageBreakBefore w:val="0"/>
        <w:widowControl w:val="0"/>
        <w:kinsoku/>
        <w:wordWrap/>
        <w:overflowPunct/>
        <w:topLinePunct w:val="0"/>
        <w:bidi w:val="0"/>
        <w:snapToGrid w:val="0"/>
        <w:spacing w:before="0" w:beforeAutospacing="0" w:after="0" w:afterAutospacing="0" w:line="400" w:lineRule="exact"/>
        <w:ind w:firstLine="0"/>
        <w:jc w:val="left"/>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rPr>
        <w:t>5.</w:t>
      </w:r>
      <w:r>
        <w:rPr>
          <w:rFonts w:hint="eastAsia" w:ascii="微软雅黑" w:hAnsi="微软雅黑" w:eastAsia="微软雅黑" w:cs="微软雅黑"/>
          <w:b/>
          <w:bCs/>
          <w:i w:val="0"/>
          <w:caps w:val="0"/>
          <w:color w:val="auto"/>
          <w:spacing w:val="0"/>
          <w:w w:val="100"/>
          <w:sz w:val="24"/>
          <w:highlight w:val="none"/>
          <w:lang w:val="en-US" w:eastAsia="zh-CN"/>
        </w:rPr>
        <w:t>开标：</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（1）采购人和采购代理机构将按供应商须知资料表中规定的开启时间和地点组织竞争性磋商并邀请所有供应商代表参加。</w:t>
      </w:r>
    </w:p>
    <w:p>
      <w:pPr>
        <w:rPr>
          <w:rFonts w:hint="eastAsia" w:ascii="微软雅黑" w:hAnsi="微软雅黑" w:eastAsia="微软雅黑" w:cs="微软雅黑"/>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（2）磋商前，工作人员收走所有参会人员的手机，主持人宣布开标纪律。</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（3）密封性检查：由供应商或其推选的代表检查自己及所有供应商的响应文件的密封情况，并签字确认。</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（4）资格性检查：采购人或采购代理机构依据法律法规和磋商文件中规定的内容，对供应商的资格证明材料进行审查，并让供应商对资格审查结果进行签字确认。</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宣读第一轮承诺情况：由代理机构工作人员当众拆分各供应商提交的报价一览表，宣读各供应商的第一次供货承诺情况（宣读内容：供应商名称、供货期、供货地点、供货承诺），并由各供应商对所宣读的内容进行签字确认。签字确认后各供应商退场等候二次磋商邀请。</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（6）供应商代表对开标过程和开标记录有疑义，以及认为采购人、采购代理机构相关工作人员有需要回避的情形的，应当场提出询问或者回避申请。</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6.评审：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（1）评审办法：</w:t>
      </w:r>
      <w:r>
        <w:rPr>
          <w:rFonts w:hint="eastAsia" w:ascii="微软雅黑" w:hAnsi="微软雅黑" w:eastAsia="微软雅黑" w:cs="微软雅黑"/>
          <w:b/>
          <w:bCs w:val="0"/>
          <w:sz w:val="24"/>
          <w:highlight w:val="none"/>
          <w:lang w:val="en-US" w:eastAsia="zh-CN"/>
        </w:rPr>
        <w:t>本项目</w:t>
      </w:r>
      <w:r>
        <w:rPr>
          <w:rFonts w:hint="eastAsia" w:ascii="微软雅黑" w:hAnsi="微软雅黑" w:eastAsia="微软雅黑" w:cs="微软雅黑"/>
          <w:b/>
          <w:bCs w:val="0"/>
          <w:sz w:val="24"/>
          <w:highlight w:val="none"/>
        </w:rPr>
        <w:t>采用综合评分法</w:t>
      </w:r>
      <w:r>
        <w:rPr>
          <w:rFonts w:hint="eastAsia" w:ascii="微软雅黑" w:hAnsi="微软雅黑" w:eastAsia="微软雅黑" w:cs="微软雅黑"/>
          <w:b w:val="0"/>
          <w:bCs/>
          <w:sz w:val="24"/>
          <w:highlight w:val="none"/>
        </w:rPr>
        <w:t>，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w:t>
      </w:r>
      <w:r>
        <w:rPr>
          <w:rFonts w:hint="eastAsia" w:ascii="微软雅黑" w:hAnsi="微软雅黑" w:eastAsia="微软雅黑" w:cs="微软雅黑"/>
          <w:b w:val="0"/>
          <w:bCs/>
          <w:sz w:val="24"/>
          <w:highlight w:val="none"/>
          <w:lang w:eastAsia="zh-CN"/>
        </w:rPr>
        <w:t>。</w:t>
      </w:r>
    </w:p>
    <w:p>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A</w:t>
      </w:r>
      <w:r>
        <w:rPr>
          <w:rFonts w:hint="eastAsia" w:ascii="微软雅黑" w:hAnsi="微软雅黑" w:eastAsia="微软雅黑" w:cs="微软雅黑"/>
          <w:sz w:val="24"/>
          <w:highlight w:val="none"/>
        </w:rPr>
        <w:t>）价格评分占30%，完全满足磋商文件参数的投标报价中的最低价为评标基准价，按照下列公式计算每个投标人的投标价格得分。投标报价得分＝（基准价/投标报价）×价格权重×100。</w:t>
      </w:r>
    </w:p>
    <w:p>
      <w:pPr>
        <w:widowControl/>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B</w:t>
      </w:r>
      <w:r>
        <w:rPr>
          <w:rFonts w:hint="eastAsia" w:ascii="微软雅黑" w:hAnsi="微软雅黑" w:eastAsia="微软雅黑" w:cs="微软雅黑"/>
          <w:sz w:val="24"/>
          <w:highlight w:val="none"/>
        </w:rPr>
        <w:t>）商务评分占</w:t>
      </w:r>
      <w:r>
        <w:rPr>
          <w:rFonts w:hint="eastAsia" w:ascii="微软雅黑" w:hAnsi="微软雅黑" w:eastAsia="微软雅黑" w:cs="微软雅黑"/>
          <w:sz w:val="24"/>
          <w:highlight w:val="none"/>
          <w:lang w:val="en-US" w:eastAsia="zh-CN"/>
        </w:rPr>
        <w:t>10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w:t>
      </w:r>
    </w:p>
    <w:p>
      <w:pPr>
        <w:widowControl/>
        <w:snapToGrid w:val="0"/>
        <w:spacing w:line="400" w:lineRule="exact"/>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C</w:t>
      </w:r>
      <w:r>
        <w:rPr>
          <w:rFonts w:hint="eastAsia" w:ascii="微软雅黑" w:hAnsi="微软雅黑" w:eastAsia="微软雅黑" w:cs="微软雅黑"/>
          <w:sz w:val="24"/>
          <w:highlight w:val="none"/>
        </w:rPr>
        <w:t>）技术评分占</w:t>
      </w:r>
      <w:r>
        <w:rPr>
          <w:rFonts w:hint="eastAsia" w:ascii="微软雅黑" w:hAnsi="微软雅黑" w:eastAsia="微软雅黑" w:cs="微软雅黑"/>
          <w:sz w:val="24"/>
          <w:highlight w:val="none"/>
          <w:lang w:val="en-US" w:eastAsia="zh-CN"/>
        </w:rPr>
        <w:t>60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评审专家来源：按照《中华人民共和国政府采购法》、《中华人民共和国政府采购法实施条例》、《政府采购竞争性磋商采购方式管理暂行办法》及本项目本级和上级财政部门的有关规定依法在政采云平台随机抽取2人，与业主代表1人共同组成磋商小组，负责评审工作。</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评审前，代理机构工作人员收走所有评审专家的手机，主持人宣布评审纪律：遵守职业道德，遵循客观、公平、公正原则，依法为招标采购工作提供真实、准确、可靠的评审意见。保守供应商商业秘密，不得泄露投标文件的评审、中标候选人的推荐以及与评标有关的其他情况。</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初步评审：资格性审查。由磋商小组依据法律法规和磋商文件中规定的内容，对供应商的响应文件资格性进行审查，未通过资格审查的投标人不进入评审。通过资格审查的供应商少于不足三家的，不得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（5）初步评审：符合性审查。符合性审查是指依据磋商文件的规定，从响应文件的有效性和完整性对响应文件的响应程度进行审查，以确定是否对磋商文件的实质性要求做出响应。</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（6）磋商：经符合性审查合格的供应商，进入磋商环节。磋商小组所有成员集中与实质性响应磋商文件的单一供应商分别进行磋商。</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default"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7）对投标文件的澄清、说明或补正：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供应商的的澄清、说明或补正将作为响应文件的一部分。</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8）二次报价：竞争性磋商共有两次报价，二次报价为最终报价，磋商小组所有成员集中与实质性响应磋商文件的单一供应商分别进行磋商，磋商结束后，所有实质性响应的供应商根据与磋商小组所磋商的内容在规定时间内提交最终报价（二次报价），各供应商提交最终报价后退场等候评审结果。</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（9）评分：磋商小组根据磋商文件中规定的评审方法（综合评分法）和评审标准对提交最后报价供应商的响应文件进行评审。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（10）推荐成交候选人：按照综合评分由高到低的顺序推荐成交候选人，并编写评审报告。</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7.定标：</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（1）采购代理机构应当在评审结束后2个工作日内将评审报告送采购人。</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采购人不委托评审委员会直接确定成交人。磋商小组推荐成交候选供应商的数量为3家。采购人应当自收到评审报告之日起５个工作日内，在评审报告推荐的成交候选人名单中按顺序确定成交人。成交候选人并列的，由采购人按照磋商文件规定的方式确定成交人。</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iCs w:val="0"/>
          <w:caps w:val="0"/>
          <w:color w:val="auto"/>
          <w:spacing w:val="0"/>
          <w:w w:val="100"/>
          <w:sz w:val="24"/>
          <w:highlight w:val="none"/>
          <w:u w:val="none" w:color="auto"/>
          <w:lang w:val="en-US" w:eastAsia="zh-CN"/>
        </w:rPr>
      </w:pPr>
      <w:r>
        <w:rPr>
          <w:rFonts w:hint="eastAsia" w:ascii="微软雅黑" w:hAnsi="微软雅黑" w:eastAsia="微软雅黑" w:cs="微软雅黑"/>
          <w:b w:val="0"/>
          <w:i w:val="0"/>
          <w:iCs w:val="0"/>
          <w:caps w:val="0"/>
          <w:color w:val="auto"/>
          <w:spacing w:val="0"/>
          <w:w w:val="100"/>
          <w:sz w:val="24"/>
          <w:highlight w:val="none"/>
          <w:u w:val="none" w:color="auto"/>
          <w:lang w:val="en-US" w:eastAsia="zh-CN"/>
        </w:rPr>
        <w:t>（3）</w:t>
      </w:r>
      <w:r>
        <w:rPr>
          <w:rFonts w:hint="eastAsia" w:ascii="微软雅黑" w:hAnsi="微软雅黑" w:eastAsia="微软雅黑" w:cs="微软雅黑"/>
          <w:b w:val="0"/>
          <w:i w:val="0"/>
          <w:iCs w:val="0"/>
          <w:caps w:val="0"/>
          <w:color w:val="auto"/>
          <w:spacing w:val="0"/>
          <w:w w:val="100"/>
          <w:sz w:val="24"/>
          <w:highlight w:val="none"/>
          <w:u w:val="none" w:color="auto"/>
        </w:rPr>
        <w:t>成交候选人并列式时的处理方式</w:t>
      </w:r>
      <w:r>
        <w:rPr>
          <w:rFonts w:hint="eastAsia" w:ascii="微软雅黑" w:hAnsi="微软雅黑" w:eastAsia="微软雅黑" w:cs="微软雅黑"/>
          <w:b w:val="0"/>
          <w:i w:val="0"/>
          <w:iCs w:val="0"/>
          <w:caps w:val="0"/>
          <w:color w:val="auto"/>
          <w:spacing w:val="0"/>
          <w:w w:val="100"/>
          <w:sz w:val="24"/>
          <w:highlight w:val="none"/>
          <w:u w:val="none" w:color="auto"/>
          <w:lang w:eastAsia="zh-CN"/>
        </w:rPr>
        <w:t>：</w:t>
      </w:r>
      <w:r>
        <w:rPr>
          <w:rFonts w:hint="eastAsia" w:ascii="微软雅黑" w:hAnsi="微软雅黑" w:eastAsia="微软雅黑" w:cs="微软雅黑"/>
          <w:b w:val="0"/>
          <w:i w:val="0"/>
          <w:iCs w:val="0"/>
          <w:caps w:val="0"/>
          <w:color w:val="auto"/>
          <w:spacing w:val="0"/>
          <w:w w:val="100"/>
          <w:kern w:val="2"/>
          <w:sz w:val="24"/>
          <w:szCs w:val="24"/>
          <w:highlight w:val="none"/>
          <w:u w:val="none" w:color="auto"/>
          <w:lang w:eastAsia="zh-CN"/>
        </w:rPr>
        <w:t>评审结果</w:t>
      </w:r>
      <w:r>
        <w:rPr>
          <w:rFonts w:hint="eastAsia" w:ascii="微软雅黑" w:hAnsi="微软雅黑" w:eastAsia="微软雅黑" w:cs="微软雅黑"/>
          <w:b w:val="0"/>
          <w:i w:val="0"/>
          <w:iCs w:val="0"/>
          <w:caps w:val="0"/>
          <w:color w:val="auto"/>
          <w:spacing w:val="0"/>
          <w:w w:val="100"/>
          <w:kern w:val="2"/>
          <w:sz w:val="24"/>
          <w:szCs w:val="24"/>
          <w:highlight w:val="none"/>
          <w:u w:val="none" w:color="auto"/>
        </w:rPr>
        <w:t xml:space="preserve">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（4）采购人在收到评审报告5个工作日内未按评审报告推荐的成交候选人顺序确定成交人，又不能说明合法理由的，视同按评审报告推荐的顺序确定排名第一的成交候选人为成交人</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8.同品牌处理办法：</w:t>
      </w:r>
    </w:p>
    <w:p>
      <w:pPr>
        <w:widowControl/>
        <w:snapToGrid w:val="0"/>
        <w:spacing w:line="400" w:lineRule="exact"/>
        <w:ind w:firstLine="480" w:firstLineChars="200"/>
        <w:textAlignment w:val="baseline"/>
        <w:rPr>
          <w:rFonts w:hint="eastAsia" w:ascii="微软雅黑" w:hAnsi="微软雅黑" w:eastAsia="微软雅黑" w:cs="微软雅黑"/>
          <w:sz w:val="24"/>
          <w:highlight w:val="none"/>
          <w:lang w:eastAsia="zh-CN"/>
        </w:rPr>
      </w:pPr>
      <w:bookmarkStart w:id="809" w:name="_Toc18284"/>
      <w:r>
        <w:rPr>
          <w:rFonts w:hint="eastAsia" w:ascii="微软雅黑" w:hAnsi="微软雅黑" w:eastAsia="微软雅黑" w:cs="微软雅黑"/>
          <w:sz w:val="24"/>
          <w:highlight w:val="none"/>
          <w:lang w:eastAsia="zh-CN"/>
        </w:rPr>
        <w:t>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pStyle w:val="5"/>
        <w:rPr>
          <w:rFonts w:ascii="微软雅黑" w:hAnsi="微软雅黑" w:eastAsia="微软雅黑" w:cs="微软雅黑"/>
          <w:b/>
          <w:bCs/>
          <w:highlight w:val="none"/>
        </w:rPr>
      </w:pPr>
      <w:bookmarkStart w:id="810" w:name="_Toc25450"/>
      <w:bookmarkStart w:id="811" w:name="_Toc11629"/>
      <w:bookmarkStart w:id="812" w:name="_Toc5480"/>
      <w:bookmarkStart w:id="813" w:name="_Toc9048"/>
      <w:bookmarkStart w:id="814" w:name="_Toc15607"/>
      <w:bookmarkStart w:id="815" w:name="_Toc5997"/>
      <w:bookmarkStart w:id="816" w:name="_Toc4729"/>
      <w:bookmarkStart w:id="817" w:name="_Toc3722"/>
      <w:bookmarkStart w:id="818" w:name="_Toc19292"/>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35"/>
        <w:ind w:left="0" w:leftChars="0" w:firstLine="0" w:firstLineChars="0"/>
        <w:rPr>
          <w:rFonts w:ascii="微软雅黑" w:hAnsi="微软雅黑" w:eastAsia="微软雅黑" w:cs="微软雅黑"/>
          <w:highlight w:val="none"/>
        </w:rPr>
      </w:pPr>
    </w:p>
    <w:p>
      <w:pPr>
        <w:pStyle w:val="9"/>
        <w:rPr>
          <w:highlight w:val="none"/>
        </w:rPr>
      </w:pPr>
    </w:p>
    <w:p>
      <w:pPr>
        <w:snapToGrid w:val="0"/>
        <w:spacing w:line="360" w:lineRule="exact"/>
        <w:jc w:val="center"/>
        <w:textAlignment w:val="baseline"/>
        <w:outlineLvl w:val="1"/>
        <w:rPr>
          <w:rFonts w:ascii="微软雅黑" w:hAnsi="微软雅黑" w:eastAsia="微软雅黑" w:cs="微软雅黑"/>
          <w:b/>
          <w:bCs/>
          <w:sz w:val="24"/>
          <w:highlight w:val="none"/>
        </w:rPr>
      </w:pPr>
      <w:bookmarkStart w:id="819" w:name="_Toc2507"/>
      <w:bookmarkStart w:id="820" w:name="_Toc10077"/>
      <w:bookmarkStart w:id="821" w:name="_Toc1826"/>
      <w:r>
        <w:rPr>
          <w:rFonts w:hint="eastAsia" w:ascii="微软雅黑" w:hAnsi="微软雅黑" w:eastAsia="微软雅黑" w:cs="微软雅黑"/>
          <w:b/>
          <w:bCs/>
          <w:sz w:val="24"/>
          <w:highlight w:val="none"/>
        </w:rPr>
        <w:t>初步评审—资格性审查表</w:t>
      </w:r>
      <w:bookmarkEnd w:id="809"/>
      <w:bookmarkEnd w:id="810"/>
      <w:bookmarkEnd w:id="811"/>
      <w:bookmarkEnd w:id="812"/>
      <w:bookmarkEnd w:id="813"/>
      <w:bookmarkEnd w:id="814"/>
      <w:bookmarkEnd w:id="815"/>
      <w:bookmarkEnd w:id="816"/>
      <w:bookmarkEnd w:id="817"/>
      <w:bookmarkEnd w:id="818"/>
      <w:bookmarkEnd w:id="819"/>
      <w:bookmarkEnd w:id="820"/>
      <w:bookmarkEnd w:id="821"/>
    </w:p>
    <w:tbl>
      <w:tblPr>
        <w:tblStyle w:val="36"/>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序号</w:t>
            </w:r>
          </w:p>
        </w:tc>
        <w:tc>
          <w:tcPr>
            <w:tcW w:w="722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评审内容</w:t>
            </w:r>
          </w:p>
        </w:tc>
        <w:tc>
          <w:tcPr>
            <w:tcW w:w="2389" w:type="dxa"/>
            <w:gridSpan w:val="3"/>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p>
        </w:tc>
        <w:tc>
          <w:tcPr>
            <w:tcW w:w="722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727"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1</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highlight w:val="none"/>
              </w:rPr>
            </w:pPr>
            <w:r>
              <w:rPr>
                <w:rFonts w:hint="eastAsia" w:ascii="微软雅黑" w:hAnsi="微软雅黑" w:eastAsia="微软雅黑" w:cs="微软雅黑"/>
                <w:kern w:val="2"/>
                <w:sz w:val="24"/>
                <w:szCs w:val="24"/>
                <w:highlight w:val="none"/>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以代理公司现场核查为准）</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2</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具有有效的营业执照</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3</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val="en-US" w:eastAsia="zh-CN"/>
              </w:rPr>
              <w:t>提供《医疗器械生产许可证》或《医疗器械经营许可证》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r>
              <w:rPr>
                <w:rFonts w:hint="eastAsia" w:ascii="微软雅黑" w:hAnsi="微软雅黑" w:eastAsia="微软雅黑" w:cs="微软雅黑"/>
                <w:bCs/>
                <w:sz w:val="24"/>
                <w:highlight w:val="none"/>
              </w:rPr>
              <w:t>4</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val="en-US" w:eastAsia="zh-CN"/>
              </w:rPr>
              <w:t>法人投标需提供法人身份证明及身份证，被授权委托人需提供法人授权委托书及身份证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highlight w:val="none"/>
              </w:rPr>
            </w:pPr>
            <w:r>
              <w:rPr>
                <w:rFonts w:hint="eastAsia" w:ascii="微软雅黑" w:hAnsi="微软雅黑" w:eastAsia="微软雅黑" w:cs="微软雅黑"/>
                <w:kern w:val="0"/>
                <w:sz w:val="24"/>
                <w:highlight w:val="none"/>
              </w:rPr>
              <w:t>5</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lang w:val="en-US" w:eastAsia="zh-CN"/>
              </w:rPr>
              <w:t>提供本单位依法缴纳近三个月的社保证明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6</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提供税务部门出具近三个月的完税证明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7</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提供2021年的财务审计报告（新成立公司需提供银行资信证明）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8</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参与政府采购活动前3年内未被列入失信、重大税收违法案件、财政部门禁止参加政府采购活动的承诺书</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9</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highlight w:val="none"/>
              </w:rPr>
            </w:pPr>
            <w:r>
              <w:rPr>
                <w:rFonts w:hint="eastAsia" w:ascii="微软雅黑" w:hAnsi="微软雅黑" w:eastAsia="微软雅黑" w:cs="微软雅黑"/>
                <w:kern w:val="2"/>
                <w:sz w:val="24"/>
                <w:szCs w:val="24"/>
                <w:highlight w:val="none"/>
                <w:lang w:val="en-US" w:eastAsia="zh-CN" w:bidi="ar-SA"/>
              </w:rPr>
              <w:t>提供针对本次项目的反商业贿赂承诺书</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10</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highlight w:val="none"/>
              </w:rPr>
            </w:pPr>
            <w:r>
              <w:rPr>
                <w:rFonts w:hint="eastAsia" w:ascii="微软雅黑" w:hAnsi="微软雅黑" w:eastAsia="微软雅黑" w:cs="微软雅黑"/>
                <w:kern w:val="2"/>
                <w:sz w:val="24"/>
                <w:szCs w:val="24"/>
                <w:highlight w:val="none"/>
                <w:lang w:val="en-US" w:eastAsia="zh-CN" w:bidi="ar-SA"/>
              </w:rPr>
              <w:t>提供缴纳磋商保证金的有效凭证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highlight w:val="none"/>
              </w:rPr>
            </w:pPr>
          </w:p>
        </w:tc>
        <w:tc>
          <w:tcPr>
            <w:tcW w:w="7225" w:type="dxa"/>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结论</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highlight w:val="none"/>
              </w:rPr>
            </w:pPr>
          </w:p>
        </w:tc>
      </w:tr>
    </w:tbl>
    <w:p>
      <w:pPr>
        <w:snapToGrid w:val="0"/>
        <w:spacing w:line="36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说明：（1）上述各项中用“√”表示通过，“×”表示不通过；</w:t>
      </w:r>
    </w:p>
    <w:p>
      <w:pPr>
        <w:snapToGrid w:val="0"/>
        <w:spacing w:line="36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（3）磋商文件最终合格与否，以所有评委的评审意见中少数服从多数为原则定论。</w:t>
      </w:r>
    </w:p>
    <w:p>
      <w:pPr>
        <w:snapToGrid w:val="0"/>
        <w:spacing w:line="360" w:lineRule="exact"/>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rPr>
        <w:t>备注：如果磋商文件中有一项未通过上述审查标准，评审委员会将认定整个磋商文件未响应磋商文件而予以废标处理。</w:t>
      </w:r>
      <w:bookmarkStart w:id="822" w:name="_Toc13208"/>
      <w:bookmarkStart w:id="823" w:name="_Toc22896"/>
      <w:bookmarkStart w:id="824" w:name="_Toc19552"/>
      <w:bookmarkStart w:id="825" w:name="_Toc29597"/>
      <w:bookmarkStart w:id="826" w:name="_Toc17652"/>
      <w:bookmarkStart w:id="827" w:name="_Toc17473"/>
      <w:bookmarkStart w:id="828" w:name="_Toc347"/>
      <w:bookmarkStart w:id="829" w:name="_Toc11623"/>
      <w:bookmarkStart w:id="830" w:name="_Toc23517"/>
      <w:bookmarkStart w:id="831" w:name="_Toc25729"/>
      <w:bookmarkStart w:id="832" w:name="_Toc22949"/>
      <w:bookmarkStart w:id="833" w:name="_Toc10503"/>
    </w:p>
    <w:p>
      <w:pPr>
        <w:snapToGrid w:val="0"/>
        <w:spacing w:line="360" w:lineRule="exact"/>
        <w:textAlignment w:val="baseline"/>
        <w:rPr>
          <w:rFonts w:hint="eastAsia" w:ascii="微软雅黑" w:hAnsi="微软雅黑" w:eastAsia="微软雅黑" w:cs="微软雅黑"/>
          <w:b/>
          <w:sz w:val="28"/>
          <w:szCs w:val="28"/>
          <w:highlight w:val="none"/>
        </w:rPr>
      </w:pPr>
    </w:p>
    <w:p>
      <w:pPr>
        <w:pStyle w:val="26"/>
        <w:rPr>
          <w:rFonts w:hint="eastAsia" w:ascii="微软雅黑" w:hAnsi="微软雅黑" w:eastAsia="微软雅黑" w:cs="微软雅黑"/>
          <w:b/>
          <w:sz w:val="28"/>
          <w:szCs w:val="28"/>
          <w:highlight w:val="none"/>
        </w:rPr>
      </w:pPr>
    </w:p>
    <w:p>
      <w:pPr>
        <w:pStyle w:val="26"/>
        <w:rPr>
          <w:rFonts w:hint="eastAsia" w:ascii="微软雅黑" w:hAnsi="微软雅黑" w:eastAsia="微软雅黑" w:cs="微软雅黑"/>
          <w:b/>
          <w:sz w:val="28"/>
          <w:szCs w:val="28"/>
          <w:highlight w:val="none"/>
        </w:rPr>
      </w:pPr>
    </w:p>
    <w:p>
      <w:pPr>
        <w:pStyle w:val="26"/>
        <w:rPr>
          <w:rFonts w:hint="eastAsia" w:ascii="微软雅黑" w:hAnsi="微软雅黑" w:eastAsia="微软雅黑" w:cs="微软雅黑"/>
          <w:b/>
          <w:sz w:val="28"/>
          <w:szCs w:val="28"/>
          <w:highlight w:val="none"/>
        </w:rPr>
      </w:pPr>
    </w:p>
    <w:p>
      <w:pPr>
        <w:snapToGrid w:val="0"/>
        <w:spacing w:line="360" w:lineRule="exact"/>
        <w:textAlignment w:val="baseline"/>
        <w:rPr>
          <w:rFonts w:hint="eastAsia" w:ascii="微软雅黑" w:hAnsi="微软雅黑" w:eastAsia="微软雅黑" w:cs="微软雅黑"/>
          <w:b/>
          <w:sz w:val="28"/>
          <w:szCs w:val="28"/>
          <w:highlight w:val="none"/>
        </w:rPr>
      </w:pPr>
    </w:p>
    <w:p>
      <w:pPr>
        <w:snapToGrid w:val="0"/>
        <w:spacing w:line="360" w:lineRule="exact"/>
        <w:jc w:val="center"/>
        <w:textAlignment w:val="baseline"/>
        <w:rPr>
          <w:rFonts w:ascii="微软雅黑" w:hAnsi="微软雅黑" w:eastAsia="微软雅黑" w:cs="微软雅黑"/>
          <w:b/>
          <w:sz w:val="28"/>
          <w:szCs w:val="28"/>
          <w:highlight w:val="none"/>
        </w:rPr>
      </w:pPr>
      <w:r>
        <w:rPr>
          <w:rFonts w:hint="eastAsia" w:ascii="微软雅黑" w:hAnsi="微软雅黑" w:eastAsia="微软雅黑" w:cs="微软雅黑"/>
          <w:b/>
          <w:sz w:val="28"/>
          <w:szCs w:val="28"/>
          <w:highlight w:val="none"/>
        </w:rPr>
        <w:t>初步评审—符合性审查表</w:t>
      </w:r>
      <w:bookmarkEnd w:id="822"/>
      <w:bookmarkEnd w:id="823"/>
      <w:bookmarkEnd w:id="824"/>
      <w:bookmarkEnd w:id="825"/>
      <w:bookmarkEnd w:id="826"/>
      <w:bookmarkEnd w:id="827"/>
      <w:bookmarkEnd w:id="828"/>
      <w:bookmarkEnd w:id="829"/>
      <w:bookmarkEnd w:id="830"/>
      <w:bookmarkEnd w:id="831"/>
      <w:bookmarkEnd w:id="832"/>
      <w:bookmarkEnd w:id="833"/>
    </w:p>
    <w:tbl>
      <w:tblPr>
        <w:tblStyle w:val="36"/>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评审内容</w:t>
            </w:r>
          </w:p>
        </w:tc>
        <w:tc>
          <w:tcPr>
            <w:tcW w:w="1668" w:type="dxa"/>
            <w:vAlign w:val="center"/>
          </w:tcPr>
          <w:p>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b/>
                <w:sz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6887" w:type="dxa"/>
            <w:vAlign w:val="center"/>
          </w:tcPr>
          <w:p>
            <w:pPr>
              <w:spacing w:line="400" w:lineRule="exact"/>
              <w:rPr>
                <w:rFonts w:ascii="微软雅黑" w:hAnsi="微软雅黑" w:eastAsia="微软雅黑" w:cs="微软雅黑"/>
                <w:spacing w:val="-2"/>
                <w:sz w:val="24"/>
                <w:highlight w:val="none"/>
              </w:rPr>
            </w:pPr>
          </w:p>
        </w:tc>
        <w:tc>
          <w:tcPr>
            <w:tcW w:w="1668" w:type="dxa"/>
            <w:vAlign w:val="center"/>
          </w:tcPr>
          <w:p>
            <w:pPr>
              <w:spacing w:line="400" w:lineRule="exact"/>
              <w:jc w:val="center"/>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1</w:t>
            </w:r>
          </w:p>
        </w:tc>
        <w:tc>
          <w:tcPr>
            <w:tcW w:w="6887" w:type="dxa"/>
            <w:vAlign w:val="center"/>
          </w:tcPr>
          <w:p>
            <w:pPr>
              <w:spacing w:line="240" w:lineRule="atLeas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磋商报价未高于预算金额</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响应内容是否符合本竞争性磋商文件要求</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3</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供应商按竞争性磋商文件规定提交响应文件份数</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4</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响应文件制作、签署和盖章是否符合本竞争性磋商文件要求</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按竞争性磋商文件规定的格式填写，内容全或关键字迹清晰、数量等齐全</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没有采购人不能接受的附加条件的</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供货地点及供货时间符合竞争性磋商文件</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不同供应商的响应文件没有错漏一致的情况</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9</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磋商有效期符合竞争性磋商文件</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10</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售后服务符合竞争性磋商文件要求</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11</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供应商附有详细地址、联系人、电话标明的</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12</w:t>
            </w:r>
          </w:p>
        </w:tc>
        <w:tc>
          <w:tcPr>
            <w:tcW w:w="6887" w:type="dxa"/>
            <w:vAlign w:val="center"/>
          </w:tcPr>
          <w:p>
            <w:pPr>
              <w:jc w:val="left"/>
              <w:rPr>
                <w:rFonts w:hint="eastAsia" w:ascii="微软雅黑" w:hAnsi="微软雅黑" w:eastAsia="微软雅黑" w:cs="微软雅黑"/>
                <w:spacing w:val="-2"/>
                <w:sz w:val="24"/>
                <w:highlight w:val="none"/>
              </w:rPr>
            </w:pPr>
            <w:r>
              <w:rPr>
                <w:rFonts w:hint="eastAsia" w:ascii="微软雅黑" w:hAnsi="微软雅黑" w:eastAsia="微软雅黑" w:cs="微软雅黑"/>
                <w:kern w:val="2"/>
                <w:sz w:val="24"/>
                <w:szCs w:val="24"/>
                <w:highlight w:val="none"/>
                <w:lang w:val="en-US" w:eastAsia="zh-CN" w:bidi="ar-SA"/>
              </w:rPr>
              <w:t>响应文件没有散页、活页、未胶装的</w:t>
            </w:r>
          </w:p>
        </w:tc>
        <w:tc>
          <w:tcPr>
            <w:tcW w:w="1668" w:type="dxa"/>
            <w:vAlign w:val="center"/>
          </w:tcPr>
          <w:p>
            <w:pPr>
              <w:spacing w:line="400" w:lineRule="exact"/>
              <w:rPr>
                <w:rFonts w:ascii="微软雅黑" w:hAnsi="微软雅黑" w:eastAsia="微软雅黑" w:cs="微软雅黑"/>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24" w:firstLineChars="180"/>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结论：通过评审打“√”，未通过评审打“×”</w:t>
            </w:r>
          </w:p>
        </w:tc>
        <w:tc>
          <w:tcPr>
            <w:tcW w:w="1668" w:type="dxa"/>
            <w:vAlign w:val="center"/>
          </w:tcPr>
          <w:p>
            <w:pPr>
              <w:spacing w:line="400" w:lineRule="exact"/>
              <w:ind w:firstLine="424" w:firstLineChars="180"/>
              <w:rPr>
                <w:rFonts w:ascii="微软雅黑" w:hAnsi="微软雅黑" w:eastAsia="微软雅黑" w:cs="微软雅黑"/>
                <w:spacing w:val="-2"/>
                <w:sz w:val="24"/>
                <w:highlight w:val="none"/>
              </w:rPr>
            </w:pPr>
          </w:p>
        </w:tc>
      </w:tr>
    </w:tbl>
    <w:p>
      <w:pPr>
        <w:snapToGrid w:val="0"/>
        <w:spacing w:line="360" w:lineRule="exact"/>
        <w:textAlignment w:val="baseline"/>
        <w:rPr>
          <w:rFonts w:ascii="微软雅黑" w:hAnsi="微软雅黑" w:eastAsia="微软雅黑" w:cs="微软雅黑"/>
          <w:sz w:val="24"/>
          <w:highlight w:val="none"/>
        </w:rPr>
      </w:pPr>
    </w:p>
    <w:p>
      <w:pPr>
        <w:snapToGrid w:val="0"/>
        <w:spacing w:line="36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说明：</w:t>
      </w:r>
    </w:p>
    <w:p>
      <w:pPr>
        <w:snapToGrid w:val="0"/>
        <w:spacing w:line="36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（1）上述各项中用“√”表示通过，“×”表示不通过；</w:t>
      </w:r>
    </w:p>
    <w:p>
      <w:pPr>
        <w:snapToGrid w:val="0"/>
        <w:spacing w:line="36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（3）磋商文件最终合格与否，以所有评委的评审意见中少数服从多数为原则定论。</w:t>
      </w:r>
    </w:p>
    <w:p>
      <w:pPr>
        <w:snapToGrid w:val="0"/>
        <w:spacing w:line="240" w:lineRule="atLeast"/>
        <w:ind w:left="1080" w:leftChars="257" w:hanging="540"/>
        <w:jc w:val="left"/>
        <w:textAlignment w:val="baseline"/>
        <w:rPr>
          <w:rFonts w:ascii="微软雅黑" w:hAnsi="微软雅黑" w:eastAsia="微软雅黑" w:cs="微软雅黑"/>
          <w:b/>
          <w:sz w:val="28"/>
          <w:szCs w:val="28"/>
          <w:highlight w:val="none"/>
        </w:rPr>
      </w:pPr>
      <w:r>
        <w:rPr>
          <w:rFonts w:hint="eastAsia" w:ascii="微软雅黑" w:hAnsi="微软雅黑" w:eastAsia="微软雅黑" w:cs="微软雅黑"/>
          <w:b/>
          <w:bCs/>
          <w:sz w:val="24"/>
          <w:highlight w:val="none"/>
        </w:rPr>
        <w:t>备注：如果磋商文件中有一项未通过上述审查标准，评审委员会将认定整个磋商文件未响应磋商文件而予以废标处理。</w:t>
      </w:r>
      <w:bookmarkStart w:id="834" w:name="_Toc25310"/>
      <w:bookmarkStart w:id="835" w:name="_Toc20930"/>
      <w:bookmarkStart w:id="836" w:name="_Toc507399904"/>
    </w:p>
    <w:p>
      <w:pPr>
        <w:pStyle w:val="5"/>
        <w:ind w:firstLine="0"/>
        <w:rPr>
          <w:rFonts w:ascii="微软雅黑" w:hAnsi="微软雅黑" w:eastAsia="微软雅黑" w:cs="微软雅黑"/>
          <w:highlight w:val="none"/>
        </w:rPr>
      </w:pPr>
    </w:p>
    <w:p>
      <w:pPr>
        <w:pStyle w:val="11"/>
        <w:snapToGrid w:val="0"/>
        <w:spacing w:before="0" w:line="360" w:lineRule="exact"/>
        <w:textAlignment w:val="baseline"/>
        <w:rPr>
          <w:rFonts w:ascii="微软雅黑" w:hAnsi="微软雅黑" w:eastAsia="微软雅黑" w:cs="微软雅黑"/>
          <w:b/>
          <w:sz w:val="28"/>
          <w:szCs w:val="28"/>
          <w:highlight w:val="none"/>
        </w:rPr>
      </w:pPr>
      <w:r>
        <w:rPr>
          <w:rFonts w:hint="eastAsia" w:ascii="微软雅黑" w:hAnsi="微软雅黑" w:eastAsia="微软雅黑" w:cs="微软雅黑"/>
          <w:highlight w:val="none"/>
        </w:rPr>
        <w:br w:type="page"/>
      </w:r>
    </w:p>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综合评分表</w:t>
      </w:r>
    </w:p>
    <w:p>
      <w:pPr>
        <w:pStyle w:val="5"/>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第一、二标段适用</w:t>
      </w:r>
    </w:p>
    <w:tbl>
      <w:tblPr>
        <w:tblStyle w:val="36"/>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489"/>
        <w:gridCol w:w="568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53"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序号</w:t>
            </w:r>
          </w:p>
        </w:tc>
        <w:tc>
          <w:tcPr>
            <w:tcW w:w="1184"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评分因素</w:t>
            </w:r>
          </w:p>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及权重</w:t>
            </w:r>
          </w:p>
        </w:tc>
        <w:tc>
          <w:tcPr>
            <w:tcW w:w="489"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分值</w:t>
            </w:r>
          </w:p>
        </w:tc>
        <w:tc>
          <w:tcPr>
            <w:tcW w:w="5684"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评分标准</w:t>
            </w:r>
          </w:p>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 xml:space="preserve">价   格：30分  商   务：10分   技   术：60分              </w:t>
            </w:r>
          </w:p>
        </w:tc>
        <w:tc>
          <w:tcPr>
            <w:tcW w:w="1614"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953"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价格评分标 准</w:t>
            </w: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投标报价</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30分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完全满足竞争性磋商文件参数的投标报价中的最低价为评标基准价，按照下列公式计算每个投标人的投标价格得分。投标报价得分＝（基准价/投标报价）×价格权重。（注：若报价单位为小微企业，其投标报价扣除10%后参与评标，提供相关证明资料，否则无效。）</w:t>
            </w:r>
          </w:p>
        </w:tc>
        <w:tc>
          <w:tcPr>
            <w:tcW w:w="1614" w:type="dxa"/>
            <w:noWrap w:val="0"/>
            <w:vAlign w:val="center"/>
          </w:tcPr>
          <w:p>
            <w:pPr>
              <w:widowControl/>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磋商报价超过采购预算价的按废标处理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技术评分标 准（60分）</w:t>
            </w:r>
          </w:p>
          <w:p>
            <w:pPr>
              <w:widowControl/>
              <w:jc w:val="both"/>
              <w:rPr>
                <w:rFonts w:hint="eastAsia" w:ascii="微软雅黑" w:hAnsi="微软雅黑" w:eastAsia="微软雅黑" w:cs="微软雅黑"/>
                <w:kern w:val="2"/>
                <w:sz w:val="21"/>
                <w:szCs w:val="21"/>
                <w:highlight w:val="none"/>
                <w:lang w:val="en-US" w:eastAsia="zh-CN" w:bidi="ar-SA"/>
              </w:rPr>
            </w:pPr>
          </w:p>
          <w:p>
            <w:pPr>
              <w:widowControl/>
              <w:jc w:val="both"/>
              <w:rPr>
                <w:rFonts w:hint="eastAsia" w:ascii="微软雅黑" w:hAnsi="微软雅黑" w:eastAsia="微软雅黑" w:cs="微软雅黑"/>
                <w:kern w:val="2"/>
                <w:sz w:val="21"/>
                <w:szCs w:val="21"/>
                <w:highlight w:val="none"/>
                <w:lang w:val="en-US" w:eastAsia="zh-CN" w:bidi="ar-SA"/>
              </w:rPr>
            </w:pPr>
          </w:p>
          <w:p>
            <w:pPr>
              <w:widowControl/>
              <w:jc w:val="both"/>
              <w:rPr>
                <w:rFonts w:hint="eastAsia" w:ascii="微软雅黑" w:hAnsi="微软雅黑" w:eastAsia="微软雅黑" w:cs="微软雅黑"/>
                <w:kern w:val="2"/>
                <w:sz w:val="21"/>
                <w:szCs w:val="21"/>
                <w:highlight w:val="none"/>
                <w:lang w:val="en-US" w:eastAsia="zh-CN" w:bidi="ar-SA"/>
              </w:rPr>
            </w:pPr>
          </w:p>
          <w:p>
            <w:pPr>
              <w:widowControl/>
              <w:jc w:val="both"/>
              <w:rPr>
                <w:rFonts w:hint="eastAsia" w:ascii="微软雅黑" w:hAnsi="微软雅黑" w:eastAsia="微软雅黑" w:cs="微软雅黑"/>
                <w:kern w:val="2"/>
                <w:sz w:val="21"/>
                <w:szCs w:val="21"/>
                <w:highlight w:val="none"/>
                <w:lang w:val="en-US" w:eastAsia="zh-CN" w:bidi="ar-SA"/>
              </w:rPr>
            </w:pPr>
          </w:p>
          <w:p>
            <w:pPr>
              <w:widowControl/>
              <w:jc w:val="both"/>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技术参数</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30分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根据所投产品的技术参数偏离表进行打分，全部响应招标文件的得25分。参数正偏离一项加1分，评审专家根据参数正偏离部分的实用性、可靠性、合理性等情况进行打分，如果未提升产品的实用性、可靠性、合理性则不加分，此项最高加5分。带有“★”符号的参数负偏离则</w:t>
            </w:r>
            <w:r>
              <w:rPr>
                <w:rFonts w:hint="eastAsia" w:ascii="微软雅黑" w:hAnsi="微软雅黑" w:eastAsia="微软雅黑" w:cs="微软雅黑"/>
                <w:b/>
                <w:bCs/>
                <w:color w:val="auto"/>
                <w:kern w:val="2"/>
                <w:sz w:val="21"/>
                <w:szCs w:val="21"/>
                <w:highlight w:val="none"/>
                <w:lang w:val="en-US" w:eastAsia="zh-CN" w:bidi="ar-SA"/>
              </w:rPr>
              <w:t>投标无效</w:t>
            </w:r>
            <w:r>
              <w:rPr>
                <w:rFonts w:hint="eastAsia" w:ascii="微软雅黑" w:hAnsi="微软雅黑" w:eastAsia="微软雅黑" w:cs="微软雅黑"/>
                <w:color w:val="auto"/>
                <w:kern w:val="2"/>
                <w:sz w:val="21"/>
                <w:szCs w:val="21"/>
                <w:highlight w:val="none"/>
                <w:lang w:val="en-US" w:eastAsia="zh-CN" w:bidi="ar-SA"/>
              </w:rPr>
              <w:t>，一般参数每负偏离一项扣1分，扣完为止。</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检测报告</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7分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kern w:val="2"/>
                <w:sz w:val="21"/>
                <w:szCs w:val="21"/>
                <w:highlight w:val="none"/>
                <w:lang w:val="en-US" w:eastAsia="zh-CN" w:bidi="ar-SA"/>
              </w:rPr>
            </w:pPr>
            <w:r>
              <w:rPr>
                <w:rFonts w:hint="default" w:ascii="微软雅黑" w:hAnsi="微软雅黑" w:eastAsia="微软雅黑" w:cs="微软雅黑"/>
                <w:color w:val="auto"/>
                <w:kern w:val="2"/>
                <w:sz w:val="21"/>
                <w:szCs w:val="21"/>
                <w:highlight w:val="none"/>
                <w:lang w:val="en-US" w:eastAsia="zh-CN" w:bidi="ar-SA"/>
              </w:rPr>
              <w:t xml:space="preserve">提供所投产品由国家权威质量检测机构出具的全套完整产品合格检测报告得 </w:t>
            </w:r>
            <w:r>
              <w:rPr>
                <w:rFonts w:hint="eastAsia" w:ascii="微软雅黑" w:hAnsi="微软雅黑" w:eastAsia="微软雅黑" w:cs="微软雅黑"/>
                <w:color w:val="auto"/>
                <w:kern w:val="2"/>
                <w:sz w:val="21"/>
                <w:szCs w:val="21"/>
                <w:highlight w:val="none"/>
                <w:lang w:val="en-US" w:eastAsia="zh-CN" w:bidi="ar-SA"/>
              </w:rPr>
              <w:t>7</w:t>
            </w:r>
            <w:r>
              <w:rPr>
                <w:rFonts w:hint="default" w:ascii="微软雅黑" w:hAnsi="微软雅黑" w:eastAsia="微软雅黑" w:cs="微软雅黑"/>
                <w:color w:val="auto"/>
                <w:kern w:val="2"/>
                <w:sz w:val="21"/>
                <w:szCs w:val="21"/>
                <w:highlight w:val="none"/>
                <w:lang w:val="en-US" w:eastAsia="zh-CN" w:bidi="ar-SA"/>
              </w:rPr>
              <w:t>分，不提供或提供不全不得分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供货方案</w:t>
            </w:r>
          </w:p>
        </w:tc>
        <w:tc>
          <w:tcPr>
            <w:tcW w:w="489" w:type="dxa"/>
            <w:noWrap w:val="0"/>
            <w:vAlign w:val="center"/>
          </w:tcPr>
          <w:p>
            <w:pPr>
              <w:widowControl/>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10分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由评委根据投标人提供的供货方案(结合本项目采购需求及投标人自身情况提供供货方案，包含:执行组织措施、执行保障措施、产品配送组织计划、采购流程及业务，方案资料齐全、完整等方面)的优劣情况进行打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（1）项目执行组织措施、保障措施完善，产品配送组织计划切实可行，针对本项目情况人员相关经验丰富，熟悉采购流程及业务，方案资料齐全完整的得10分；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（2）项目执行组织措施、保障措施较完善，产品配送组织计划基本可行，方案资料齐全完整的得6分；</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有简单的项目执行组织措施、保障措施、产品配送组织计划的得2分。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（4）不提供不得分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项目实施人员</w:t>
            </w:r>
          </w:p>
        </w:tc>
        <w:tc>
          <w:tcPr>
            <w:tcW w:w="489" w:type="dxa"/>
            <w:noWrap w:val="0"/>
            <w:vAlign w:val="center"/>
          </w:tcPr>
          <w:p>
            <w:pPr>
              <w:widowControl/>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提供拟投入本项目的服务支持人员4人或以上得3分;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1-3人得2分;不提供不得分。(提供</w:t>
            </w:r>
            <w:r>
              <w:rPr>
                <w:rFonts w:hint="eastAsia" w:ascii="微软雅黑" w:hAnsi="微软雅黑" w:eastAsia="微软雅黑" w:cs="微软雅黑"/>
                <w:color w:val="auto"/>
                <w:kern w:val="2"/>
                <w:sz w:val="21"/>
                <w:szCs w:val="21"/>
                <w:highlight w:val="none"/>
                <w:lang w:val="en-US" w:eastAsia="zh-CN" w:bidi="ar-SA"/>
              </w:rPr>
              <w:t>本单位缴纳的近三个月的社保证明材料及相关从业资格证书；不提供或不按要求提供证明材料的不得分）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供货能力</w:t>
            </w:r>
          </w:p>
        </w:tc>
        <w:tc>
          <w:tcPr>
            <w:tcW w:w="48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5分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为保证项目顺利实施及货物投入使用效率，投标单位需提供固定服务网点: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（1）投标单位在喀什地区具有合法有效固定的服务网点，且具有冷冻库房的得5分；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（2）投标单位在新疆维吾尔自治区境内除喀什地区外具有合法有效固定的服务网点，且具有冷冻库房的得3分；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（3）投标单位在中华人民共和国境内除新疆维吾尔自治区外具有合法有效固定的技术服务网点的，且具有冷冻库房的得1分。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证明材料为：房屋购买合同或租赁合同或其他合法有效的证明材料，不提供或不按要求提供证明材料的不得分。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售后服务方案</w:t>
            </w:r>
          </w:p>
        </w:tc>
        <w:tc>
          <w:tcPr>
            <w:tcW w:w="48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5分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由评委根据投标人提供的售后服务方案(包含:投标文件中售后服务承诺书内容的完整性、可行性，出现质量问题后的解决方案、质量保证期内调换货响应时间等情况进行打分：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（1）完全满足招标文件要求，并提供有详细的保证措施、售后方案，提供质保期内响应服务的联系人和联系电话等方面的情况，售后服务明确响应时间、明确出现质量问题解决时间的得5分；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（2）满足招标文件要求，并提供有简单的保证措施、售后方案，提供质保期内响应服务的联系人和联系电话等方面的情况;售后服务明确出现质量问题解决时间的得3分;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（3）仅满足招标文件最低要求的得1分;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（4）不提供不得分。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商务评分标 准（10分）</w:t>
            </w: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应急保障能力</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4分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投标供应商针对发生产品安全事故的应急预案，有清晰表明事故的责任权利义务、着重提出应急处理预案、善后处理的方法和措施等内容：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（1）供应商所提供的应急方案详细完整、完全贴合项目实际情况、科学合理的得4分；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（2）供应商所提供的应急方案较为完整、基本贴合项目实际情况、但落地实施可能性一般的得2分；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（3）供应商所提供的应急方案不完整、不贴合项目实际情况的不得分。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（4）未提供应急方案的不得分。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质保期</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4分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供应商承诺质保期每优于竞争性磋商文件要求1年的得2分，最高得4分。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业绩</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提供近三年内与本项目同类业绩证明材料中标通知书及完整的采购合同（中标通知书及合同须体现采购内容），每提供一个得1分，共2分。</w:t>
            </w:r>
          </w:p>
        </w:tc>
        <w:tc>
          <w:tcPr>
            <w:tcW w:w="161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r>
    </w:tbl>
    <w:p>
      <w:pPr>
        <w:pStyle w:val="26"/>
        <w:numPr>
          <w:ilvl w:val="0"/>
          <w:numId w:val="0"/>
        </w:numPr>
        <w:rPr>
          <w:rFonts w:hint="eastAsia" w:ascii="Times New Roman" w:hAnsi="Times New Roman" w:eastAsia="宋体" w:cs="Times New Roman"/>
          <w:b/>
          <w:bCs/>
          <w:kern w:val="2"/>
          <w:sz w:val="28"/>
          <w:szCs w:val="44"/>
          <w:highlight w:val="none"/>
          <w:lang w:val="en-US" w:eastAsia="zh-CN" w:bidi="ar-SA"/>
        </w:rPr>
      </w:pPr>
    </w:p>
    <w:p>
      <w:pPr>
        <w:pStyle w:val="35"/>
        <w:snapToGrid w:val="0"/>
        <w:ind w:firstLine="0" w:firstLineChars="0"/>
        <w:textAlignment w:val="baseline"/>
        <w:rPr>
          <w:rFonts w:ascii="微软雅黑" w:hAnsi="微软雅黑" w:eastAsia="微软雅黑" w:cs="微软雅黑"/>
          <w:b/>
          <w:sz w:val="28"/>
          <w:szCs w:val="28"/>
          <w:highlight w:val="none"/>
        </w:rPr>
      </w:pPr>
    </w:p>
    <w:bookmarkEnd w:id="834"/>
    <w:bookmarkEnd w:id="835"/>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pStyle w:val="26"/>
        <w:rPr>
          <w:rFonts w:ascii="微软雅黑" w:hAnsi="微软雅黑" w:eastAsia="微软雅黑" w:cs="微软雅黑"/>
          <w:highlight w:val="none"/>
        </w:rPr>
      </w:pPr>
    </w:p>
    <w:p>
      <w:pPr>
        <w:snapToGrid w:val="0"/>
        <w:spacing w:line="240" w:lineRule="atLeast"/>
        <w:textAlignment w:val="baseline"/>
        <w:rPr>
          <w:rFonts w:hint="eastAsia" w:ascii="微软雅黑" w:hAnsi="微软雅黑" w:eastAsia="微软雅黑" w:cs="微软雅黑"/>
          <w:b/>
          <w:sz w:val="48"/>
          <w:szCs w:val="48"/>
          <w:highlight w:val="none"/>
        </w:rPr>
      </w:pPr>
    </w:p>
    <w:p>
      <w:pPr>
        <w:pStyle w:val="2"/>
        <w:rPr>
          <w:rFonts w:hint="eastAsia" w:ascii="微软雅黑" w:hAnsi="微软雅黑" w:eastAsia="微软雅黑" w:cs="微软雅黑"/>
          <w:b/>
          <w:sz w:val="48"/>
          <w:szCs w:val="48"/>
          <w:highlight w:val="none"/>
        </w:rPr>
      </w:pPr>
    </w:p>
    <w:p>
      <w:pPr>
        <w:rPr>
          <w:rFonts w:hint="eastAsia" w:ascii="微软雅黑" w:hAnsi="微软雅黑" w:eastAsia="微软雅黑" w:cs="微软雅黑"/>
          <w:b/>
          <w:sz w:val="48"/>
          <w:szCs w:val="48"/>
          <w:highlight w:val="none"/>
        </w:rPr>
      </w:pPr>
    </w:p>
    <w:p>
      <w:pPr>
        <w:pStyle w:val="2"/>
        <w:rPr>
          <w:rFonts w:hint="eastAsia"/>
          <w:highlight w:val="none"/>
        </w:rPr>
      </w:pPr>
    </w:p>
    <w:p>
      <w:pPr>
        <w:snapToGrid w:val="0"/>
        <w:spacing w:line="240" w:lineRule="atLeast"/>
        <w:ind w:firstLine="2401" w:firstLineChars="500"/>
        <w:textAlignment w:val="baseline"/>
        <w:rPr>
          <w:rFonts w:ascii="微软雅黑" w:hAnsi="微软雅黑" w:eastAsia="微软雅黑" w:cs="微软雅黑"/>
          <w:b/>
          <w:sz w:val="48"/>
          <w:szCs w:val="48"/>
          <w:highlight w:val="none"/>
        </w:rPr>
      </w:pPr>
      <w:r>
        <w:rPr>
          <w:rFonts w:hint="eastAsia" w:ascii="微软雅黑" w:hAnsi="微软雅黑" w:eastAsia="微软雅黑" w:cs="微软雅黑"/>
          <w:b/>
          <w:sz w:val="48"/>
          <w:szCs w:val="48"/>
          <w:highlight w:val="none"/>
        </w:rPr>
        <w:t>竞争性磋商文件</w:t>
      </w:r>
    </w:p>
    <w:p>
      <w:pPr>
        <w:snapToGrid w:val="0"/>
        <w:spacing w:line="240" w:lineRule="atLeast"/>
        <w:ind w:left="1080" w:leftChars="257" w:hanging="540"/>
        <w:jc w:val="center"/>
        <w:textAlignment w:val="baseline"/>
        <w:rPr>
          <w:rFonts w:ascii="微软雅黑" w:hAnsi="微软雅黑" w:eastAsia="微软雅黑" w:cs="微软雅黑"/>
          <w:b/>
          <w:sz w:val="48"/>
          <w:szCs w:val="48"/>
          <w:highlight w:val="none"/>
        </w:rPr>
      </w:pPr>
    </w:p>
    <w:p>
      <w:pPr>
        <w:snapToGrid w:val="0"/>
        <w:spacing w:line="240" w:lineRule="atLeast"/>
        <w:jc w:val="center"/>
        <w:textAlignment w:val="baseline"/>
        <w:rPr>
          <w:rFonts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项目</w:t>
      </w:r>
      <w:r>
        <w:rPr>
          <w:rFonts w:hint="eastAsia" w:ascii="微软雅黑" w:hAnsi="微软雅黑" w:eastAsia="微软雅黑" w:cs="微软雅黑"/>
          <w:b/>
          <w:sz w:val="36"/>
          <w:szCs w:val="36"/>
          <w:highlight w:val="none"/>
        </w:rPr>
        <w:t>编号：</w:t>
      </w:r>
      <w:r>
        <w:rPr>
          <w:rFonts w:hint="eastAsia" w:ascii="微软雅黑" w:hAnsi="微软雅黑" w:eastAsia="微软雅黑" w:cs="微软雅黑"/>
          <w:b/>
          <w:sz w:val="36"/>
          <w:szCs w:val="36"/>
          <w:highlight w:val="none"/>
          <w:lang w:eastAsia="zh-CN"/>
        </w:rPr>
        <w:t>YXGJ(JZXCS)2022-07号</w:t>
      </w:r>
    </w:p>
    <w:p>
      <w:pPr>
        <w:snapToGrid w:val="0"/>
        <w:spacing w:line="240" w:lineRule="atLeast"/>
        <w:ind w:left="1080" w:leftChars="257" w:hanging="540"/>
        <w:jc w:val="center"/>
        <w:textAlignment w:val="baseline"/>
        <w:rPr>
          <w:rFonts w:ascii="微软雅黑" w:hAnsi="微软雅黑" w:eastAsia="微软雅黑" w:cs="微软雅黑"/>
          <w:b/>
          <w:sz w:val="48"/>
          <w:szCs w:val="48"/>
          <w:highlight w:val="none"/>
        </w:rPr>
      </w:pPr>
    </w:p>
    <w:p>
      <w:pPr>
        <w:snapToGrid w:val="0"/>
        <w:spacing w:line="240" w:lineRule="atLeast"/>
        <w:textAlignment w:val="baseline"/>
        <w:rPr>
          <w:rFonts w:ascii="微软雅黑" w:hAnsi="微软雅黑" w:eastAsia="微软雅黑" w:cs="微软雅黑"/>
          <w:b/>
          <w:sz w:val="28"/>
          <w:highlight w:val="none"/>
        </w:rPr>
      </w:pPr>
    </w:p>
    <w:p>
      <w:pPr>
        <w:snapToGrid w:val="0"/>
        <w:spacing w:line="240" w:lineRule="atLeast"/>
        <w:ind w:left="1976" w:leftChars="941" w:firstLine="1642" w:firstLineChars="342"/>
        <w:textAlignment w:val="baseline"/>
        <w:rPr>
          <w:rFonts w:ascii="微软雅黑" w:hAnsi="微软雅黑" w:eastAsia="微软雅黑" w:cs="微软雅黑"/>
          <w:b/>
          <w:sz w:val="48"/>
          <w:szCs w:val="48"/>
          <w:highlight w:val="none"/>
        </w:rPr>
      </w:pPr>
      <w:r>
        <w:rPr>
          <w:rFonts w:hint="eastAsia" w:ascii="微软雅黑" w:hAnsi="微软雅黑" w:eastAsia="微软雅黑" w:cs="微软雅黑"/>
          <w:b/>
          <w:sz w:val="48"/>
          <w:szCs w:val="48"/>
          <w:highlight w:val="none"/>
        </w:rPr>
        <w:t>第三册</w:t>
      </w:r>
    </w:p>
    <w:p>
      <w:pPr>
        <w:pStyle w:val="35"/>
        <w:ind w:firstLine="960"/>
        <w:rPr>
          <w:rFonts w:ascii="微软雅黑" w:hAnsi="微软雅黑" w:eastAsia="微软雅黑" w:cs="微软雅黑"/>
          <w:b/>
          <w:sz w:val="48"/>
          <w:szCs w:val="48"/>
          <w:highlight w:val="none"/>
        </w:rPr>
      </w:pPr>
    </w:p>
    <w:p>
      <w:pPr>
        <w:pStyle w:val="35"/>
        <w:ind w:firstLine="960"/>
        <w:rPr>
          <w:rFonts w:ascii="微软雅黑" w:hAnsi="微软雅黑" w:eastAsia="微软雅黑" w:cs="微软雅黑"/>
          <w:b/>
          <w:sz w:val="48"/>
          <w:szCs w:val="48"/>
          <w:highlight w:val="none"/>
        </w:rPr>
      </w:pPr>
    </w:p>
    <w:p>
      <w:pPr>
        <w:pStyle w:val="35"/>
        <w:ind w:firstLine="960"/>
        <w:rPr>
          <w:rFonts w:ascii="微软雅黑" w:hAnsi="微软雅黑" w:eastAsia="微软雅黑" w:cs="微软雅黑"/>
          <w:b/>
          <w:sz w:val="48"/>
          <w:szCs w:val="48"/>
          <w:highlight w:val="none"/>
        </w:rPr>
      </w:pPr>
    </w:p>
    <w:p>
      <w:pPr>
        <w:pStyle w:val="35"/>
        <w:ind w:firstLine="960"/>
        <w:rPr>
          <w:rFonts w:ascii="微软雅黑" w:hAnsi="微软雅黑" w:eastAsia="微软雅黑" w:cs="微软雅黑"/>
          <w:b/>
          <w:sz w:val="48"/>
          <w:szCs w:val="48"/>
          <w:highlight w:val="none"/>
        </w:rPr>
      </w:pPr>
    </w:p>
    <w:bookmarkEnd w:id="836"/>
    <w:p>
      <w:pPr>
        <w:pStyle w:val="5"/>
        <w:ind w:left="0" w:leftChars="0" w:firstLine="0" w:firstLineChars="0"/>
        <w:rPr>
          <w:rFonts w:ascii="微软雅黑" w:hAnsi="微软雅黑" w:eastAsia="微软雅黑" w:cs="微软雅黑"/>
          <w:highlight w:val="none"/>
        </w:rPr>
      </w:pPr>
      <w:bookmarkStart w:id="837" w:name="_Toc5754"/>
      <w:bookmarkStart w:id="838" w:name="_Toc514"/>
    </w:p>
    <w:p>
      <w:pPr>
        <w:pStyle w:val="3"/>
        <w:tabs>
          <w:tab w:val="left" w:pos="0"/>
        </w:tabs>
        <w:spacing w:before="0" w:after="0" w:line="400" w:lineRule="exact"/>
        <w:rPr>
          <w:rFonts w:ascii="微软雅黑" w:hAnsi="微软雅黑" w:eastAsia="微软雅黑" w:cs="微软雅黑"/>
          <w:highlight w:val="none"/>
        </w:rPr>
      </w:pPr>
      <w:bookmarkStart w:id="839" w:name="_Toc4975"/>
      <w:r>
        <w:rPr>
          <w:rFonts w:hint="eastAsia" w:ascii="微软雅黑" w:hAnsi="微软雅黑" w:eastAsia="微软雅黑" w:cs="微软雅黑"/>
          <w:highlight w:val="none"/>
        </w:rPr>
        <w:t>第7章  政府采购合同</w:t>
      </w:r>
      <w:bookmarkEnd w:id="837"/>
      <w:bookmarkEnd w:id="838"/>
      <w:bookmarkEnd w:id="839"/>
    </w:p>
    <w:p>
      <w:pPr>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合同编号：           </w:t>
      </w:r>
    </w:p>
    <w:p>
      <w:pPr>
        <w:rPr>
          <w:rFonts w:ascii="微软雅黑" w:hAnsi="微软雅黑" w:eastAsia="微软雅黑" w:cs="微软雅黑"/>
          <w:sz w:val="24"/>
          <w:highlight w:val="none"/>
        </w:rPr>
      </w:pPr>
    </w:p>
    <w:p>
      <w:pPr>
        <w:rPr>
          <w:rFonts w:ascii="微软雅黑" w:hAnsi="微软雅黑" w:eastAsia="微软雅黑" w:cs="微软雅黑"/>
          <w:sz w:val="24"/>
          <w:highlight w:val="none"/>
        </w:rPr>
      </w:pPr>
    </w:p>
    <w:p>
      <w:pPr>
        <w:rPr>
          <w:rFonts w:ascii="微软雅黑" w:hAnsi="微软雅黑" w:eastAsia="微软雅黑" w:cs="微软雅黑"/>
          <w:sz w:val="24"/>
          <w:highlight w:val="none"/>
        </w:rPr>
      </w:pPr>
    </w:p>
    <w:p>
      <w:pPr>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政府采购合同参考范本</w:t>
      </w:r>
    </w:p>
    <w:p>
      <w:pPr>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（货物类）</w:t>
      </w:r>
    </w:p>
    <w:p>
      <w:pPr>
        <w:rPr>
          <w:rFonts w:ascii="微软雅黑" w:hAnsi="微软雅黑" w:eastAsia="微软雅黑" w:cs="微软雅黑"/>
          <w:sz w:val="24"/>
          <w:highlight w:val="none"/>
        </w:rPr>
      </w:pPr>
    </w:p>
    <w:p>
      <w:pPr>
        <w:rPr>
          <w:rFonts w:ascii="微软雅黑" w:hAnsi="微软雅黑" w:eastAsia="微软雅黑" w:cs="微软雅黑"/>
          <w:sz w:val="24"/>
          <w:highlight w:val="none"/>
        </w:rPr>
      </w:pPr>
    </w:p>
    <w:p>
      <w:pPr>
        <w:pStyle w:val="55"/>
        <w:ind w:firstLine="0"/>
        <w:jc w:val="center"/>
        <w:rPr>
          <w:rFonts w:ascii="微软雅黑" w:hAnsi="微软雅黑" w:eastAsia="微软雅黑" w:cs="微软雅黑"/>
          <w:b/>
          <w:bCs/>
          <w:szCs w:val="24"/>
          <w:highlight w:val="none"/>
        </w:rPr>
      </w:pPr>
      <w:r>
        <w:rPr>
          <w:rFonts w:hint="eastAsia" w:ascii="微软雅黑" w:hAnsi="微软雅黑" w:eastAsia="微软雅黑" w:cs="微软雅黑"/>
          <w:b/>
          <w:bCs/>
          <w:szCs w:val="24"/>
          <w:highlight w:val="none"/>
        </w:rPr>
        <w:t>第一部分 合同书</w:t>
      </w:r>
    </w:p>
    <w:p>
      <w:pPr>
        <w:rPr>
          <w:rFonts w:ascii="微软雅黑" w:hAnsi="微软雅黑" w:eastAsia="微软雅黑" w:cs="微软雅黑"/>
          <w:sz w:val="24"/>
          <w:highlight w:val="none"/>
        </w:rPr>
      </w:pPr>
    </w:p>
    <w:p>
      <w:pPr>
        <w:spacing w:before="120"/>
        <w:ind w:left="960"/>
        <w:rPr>
          <w:rFonts w:ascii="微软雅黑" w:hAnsi="微软雅黑" w:eastAsia="微软雅黑" w:cs="微软雅黑"/>
          <w:sz w:val="24"/>
          <w:highlight w:val="none"/>
        </w:rPr>
      </w:pP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u w:val="single"/>
        </w:rPr>
        <w:t xml:space="preserve">                                   </w:t>
      </w:r>
    </w:p>
    <w:p>
      <w:pPr>
        <w:pStyle w:val="43"/>
        <w:spacing w:before="120" w:line="240" w:lineRule="auto"/>
        <w:rPr>
          <w:rFonts w:ascii="微软雅黑" w:hAnsi="微软雅黑" w:eastAsia="微软雅黑" w:cs="微软雅黑"/>
          <w:szCs w:val="24"/>
          <w:highlight w:val="none"/>
        </w:rPr>
      </w:pPr>
    </w:p>
    <w:p>
      <w:pPr>
        <w:rPr>
          <w:rFonts w:ascii="微软雅黑" w:hAnsi="微软雅黑" w:eastAsia="微软雅黑" w:cs="微软雅黑"/>
          <w:sz w:val="24"/>
          <w:highlight w:val="none"/>
        </w:rPr>
      </w:pPr>
    </w:p>
    <w:p>
      <w:pPr>
        <w:spacing w:before="120"/>
        <w:ind w:left="96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甲方：</w:t>
      </w:r>
      <w:r>
        <w:rPr>
          <w:rFonts w:hint="eastAsia" w:ascii="微软雅黑" w:hAnsi="微软雅黑" w:eastAsia="微软雅黑" w:cs="微软雅黑"/>
          <w:sz w:val="24"/>
          <w:highlight w:val="none"/>
          <w:u w:val="single"/>
        </w:rPr>
        <w:t xml:space="preserve">                                       </w:t>
      </w:r>
    </w:p>
    <w:p>
      <w:pPr>
        <w:spacing w:before="120"/>
        <w:rPr>
          <w:rFonts w:ascii="微软雅黑" w:hAnsi="微软雅黑" w:eastAsia="微软雅黑" w:cs="微软雅黑"/>
          <w:sz w:val="24"/>
          <w:highlight w:val="none"/>
        </w:rPr>
      </w:pPr>
    </w:p>
    <w:p>
      <w:pPr>
        <w:spacing w:before="120"/>
        <w:ind w:left="96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乙方：</w:t>
      </w:r>
      <w:r>
        <w:rPr>
          <w:rFonts w:hint="eastAsia" w:ascii="微软雅黑" w:hAnsi="微软雅黑" w:eastAsia="微软雅黑" w:cs="微软雅黑"/>
          <w:sz w:val="24"/>
          <w:highlight w:val="none"/>
          <w:u w:val="single"/>
        </w:rPr>
        <w:t xml:space="preserve">                                       </w:t>
      </w:r>
    </w:p>
    <w:p>
      <w:pPr>
        <w:spacing w:before="120"/>
        <w:rPr>
          <w:rFonts w:ascii="微软雅黑" w:hAnsi="微软雅黑" w:eastAsia="微软雅黑" w:cs="微软雅黑"/>
          <w:sz w:val="24"/>
          <w:highlight w:val="none"/>
        </w:rPr>
      </w:pPr>
    </w:p>
    <w:p>
      <w:pPr>
        <w:spacing w:before="120"/>
        <w:ind w:firstLine="960" w:firstLineChars="4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签订地：</w:t>
      </w:r>
      <w:r>
        <w:rPr>
          <w:rFonts w:hint="eastAsia" w:ascii="微软雅黑" w:hAnsi="微软雅黑" w:eastAsia="微软雅黑" w:cs="微软雅黑"/>
          <w:sz w:val="24"/>
          <w:highlight w:val="none"/>
          <w:u w:val="single"/>
        </w:rPr>
        <w:t xml:space="preserve">                                     </w:t>
      </w:r>
    </w:p>
    <w:p>
      <w:pPr>
        <w:spacing w:before="120"/>
        <w:rPr>
          <w:rFonts w:ascii="微软雅黑" w:hAnsi="微软雅黑" w:eastAsia="微软雅黑" w:cs="微软雅黑"/>
          <w:sz w:val="24"/>
          <w:highlight w:val="none"/>
        </w:rPr>
      </w:pPr>
    </w:p>
    <w:p>
      <w:pPr>
        <w:spacing w:before="120"/>
        <w:ind w:firstLine="960" w:firstLineChars="4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签订日期：</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w:t>
      </w:r>
    </w:p>
    <w:p>
      <w:pPr>
        <w:autoSpaceDE w:val="0"/>
        <w:autoSpaceDN w:val="0"/>
        <w:adjustRightInd w:val="0"/>
        <w:ind w:firstLine="640"/>
        <w:jc w:val="center"/>
        <w:rPr>
          <w:rFonts w:ascii="微软雅黑" w:hAnsi="微软雅黑" w:eastAsia="微软雅黑" w:cs="微软雅黑"/>
          <w:sz w:val="24"/>
          <w:highlight w:val="none"/>
        </w:rPr>
        <w:sectPr>
          <w:footerReference r:id="rId11" w:type="default"/>
          <w:pgSz w:w="11907" w:h="16840"/>
          <w:pgMar w:top="1474" w:right="1814" w:bottom="1474" w:left="1814" w:header="851" w:footer="851" w:gutter="0"/>
          <w:cols w:space="720" w:num="1"/>
          <w:docGrid w:linePitch="462" w:charSpace="0"/>
        </w:sectPr>
      </w:pPr>
    </w:p>
    <w:p>
      <w:pPr>
        <w:ind w:firstLine="480" w:firstLineChars="200"/>
        <w:rPr>
          <w:rFonts w:ascii="微软雅黑" w:hAnsi="微软雅黑" w:eastAsia="微软雅黑" w:cs="微软雅黑"/>
          <w:sz w:val="24"/>
          <w:highlight w:val="none"/>
        </w:rPr>
      </w:pPr>
      <w:bookmarkStart w:id="840" w:name="_Toc3029"/>
      <w:bookmarkStart w:id="841" w:name="_Toc1846"/>
      <w:bookmarkStart w:id="842" w:name="_Toc26721"/>
      <w:bookmarkStart w:id="843" w:name="_Toc2659"/>
      <w:bookmarkStart w:id="844" w:name="_Toc24059"/>
      <w:bookmarkStart w:id="845" w:name="_Toc2232"/>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年</w:t>
      </w:r>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月</w:t>
      </w:r>
      <w:r>
        <w:rPr>
          <w:rFonts w:hint="eastAsia" w:ascii="微软雅黑" w:hAnsi="微软雅黑" w:eastAsia="微软雅黑" w:cs="微软雅黑"/>
          <w:sz w:val="24"/>
          <w:highlight w:val="none"/>
          <w:u w:val="single"/>
          <w:lang w:val="zh-CN"/>
        </w:rPr>
        <w:t xml:space="preserve">    </w:t>
      </w:r>
      <w:r>
        <w:rPr>
          <w:rFonts w:hint="eastAsia" w:ascii="微软雅黑" w:hAnsi="微软雅黑" w:eastAsia="微软雅黑" w:cs="微软雅黑"/>
          <w:sz w:val="24"/>
          <w:highlight w:val="none"/>
          <w:lang w:val="zh-CN"/>
        </w:rPr>
        <w:t>日</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u w:val="single"/>
        </w:rPr>
        <w:t xml:space="preserve">   （采购人名称）   </w:t>
      </w:r>
      <w:r>
        <w:rPr>
          <w:rFonts w:hint="eastAsia" w:ascii="微软雅黑" w:hAnsi="微软雅黑" w:eastAsia="微软雅黑" w:cs="微软雅黑"/>
          <w:sz w:val="24"/>
          <w:highlight w:val="none"/>
        </w:rPr>
        <w:t>以</w:t>
      </w:r>
      <w:r>
        <w:rPr>
          <w:rFonts w:hint="eastAsia" w:ascii="微软雅黑" w:hAnsi="微软雅黑" w:eastAsia="微软雅黑" w:cs="微软雅黑"/>
          <w:sz w:val="24"/>
          <w:highlight w:val="none"/>
          <w:u w:val="single"/>
        </w:rPr>
        <w:t xml:space="preserve">   （政府采购方式）  </w:t>
      </w:r>
      <w:r>
        <w:rPr>
          <w:rFonts w:hint="eastAsia" w:ascii="微软雅黑" w:hAnsi="微软雅黑" w:eastAsia="微软雅黑" w:cs="微软雅黑"/>
          <w:sz w:val="24"/>
          <w:highlight w:val="none"/>
        </w:rPr>
        <w:t>对</w:t>
      </w:r>
      <w:r>
        <w:rPr>
          <w:rFonts w:hint="eastAsia" w:ascii="微软雅黑" w:hAnsi="微软雅黑" w:eastAsia="微软雅黑" w:cs="微软雅黑"/>
          <w:sz w:val="24"/>
          <w:highlight w:val="none"/>
          <w:u w:val="single"/>
        </w:rPr>
        <w:t xml:space="preserve">   （同前页项目名称）   </w:t>
      </w:r>
      <w:r>
        <w:rPr>
          <w:rFonts w:hint="eastAsia" w:ascii="微软雅黑" w:hAnsi="微软雅黑" w:eastAsia="微软雅黑" w:cs="微软雅黑"/>
          <w:sz w:val="24"/>
          <w:highlight w:val="none"/>
        </w:rPr>
        <w:t>项目进行了采购。经</w:t>
      </w:r>
      <w:r>
        <w:rPr>
          <w:rFonts w:hint="eastAsia" w:ascii="微软雅黑" w:hAnsi="微软雅黑" w:eastAsia="微软雅黑" w:cs="微软雅黑"/>
          <w:sz w:val="24"/>
          <w:highlight w:val="none"/>
          <w:u w:val="single"/>
        </w:rPr>
        <w:t xml:space="preserve">   （相关评定主体名称）   </w:t>
      </w:r>
      <w:r>
        <w:rPr>
          <w:rFonts w:hint="eastAsia" w:ascii="微软雅黑" w:hAnsi="微软雅黑" w:eastAsia="微软雅黑" w:cs="微软雅黑"/>
          <w:sz w:val="24"/>
          <w:highlight w:val="none"/>
        </w:rPr>
        <w:t>评定，</w:t>
      </w:r>
      <w:r>
        <w:rPr>
          <w:rFonts w:hint="eastAsia" w:ascii="微软雅黑" w:hAnsi="微软雅黑" w:eastAsia="微软雅黑" w:cs="微软雅黑"/>
          <w:sz w:val="24"/>
          <w:highlight w:val="none"/>
          <w:u w:val="single"/>
        </w:rPr>
        <w:t xml:space="preserve">   （中标供应商名称）</w:t>
      </w:r>
      <w:r>
        <w:rPr>
          <w:rFonts w:hint="eastAsia" w:ascii="微软雅黑" w:hAnsi="微软雅黑" w:eastAsia="微软雅黑" w:cs="微软雅黑"/>
          <w:sz w:val="24"/>
          <w:highlight w:val="none"/>
        </w:rPr>
        <w:t>为该项目中标供应商。现于中标通知书发出之日起三十日内，按照采购文件确定的事项签订本合同。</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4"/>
          <w:highlight w:val="none"/>
          <w:u w:val="single"/>
        </w:rPr>
        <w:t xml:space="preserve">   （采购人名称）   </w:t>
      </w:r>
      <w:r>
        <w:rPr>
          <w:rFonts w:hint="eastAsia" w:ascii="微软雅黑" w:hAnsi="微软雅黑" w:eastAsia="微软雅黑" w:cs="微软雅黑"/>
          <w:sz w:val="24"/>
          <w:highlight w:val="none"/>
          <w:lang w:val="zh-CN"/>
        </w:rPr>
        <w:t>(以下简称：甲方)和</w:t>
      </w:r>
      <w:r>
        <w:rPr>
          <w:rFonts w:hint="eastAsia" w:ascii="微软雅黑" w:hAnsi="微软雅黑" w:eastAsia="微软雅黑" w:cs="微软雅黑"/>
          <w:sz w:val="24"/>
          <w:highlight w:val="none"/>
          <w:u w:val="single"/>
        </w:rPr>
        <w:t xml:space="preserve">   （中标供应商名称）   </w:t>
      </w:r>
      <w:r>
        <w:rPr>
          <w:rFonts w:hint="eastAsia" w:ascii="微软雅黑" w:hAnsi="微软雅黑" w:eastAsia="微软雅黑" w:cs="微软雅黑"/>
          <w:sz w:val="24"/>
          <w:highlight w:val="none"/>
          <w:lang w:val="zh-CN"/>
        </w:rPr>
        <w:t>(以下简称：乙方)协商一致，约定以下合同</w:t>
      </w:r>
      <w:r>
        <w:rPr>
          <w:rFonts w:hint="eastAsia" w:ascii="微软雅黑" w:hAnsi="微软雅黑" w:eastAsia="微软雅黑" w:cs="微软雅黑"/>
          <w:sz w:val="24"/>
          <w:highlight w:val="none"/>
        </w:rPr>
        <w:t>条款，以兹共同遵守、全面履行。</w:t>
      </w:r>
    </w:p>
    <w:bookmarkEnd w:id="840"/>
    <w:bookmarkEnd w:id="841"/>
    <w:bookmarkEnd w:id="842"/>
    <w:bookmarkEnd w:id="843"/>
    <w:bookmarkEnd w:id="844"/>
    <w:bookmarkEnd w:id="845"/>
    <w:p>
      <w:pPr>
        <w:ind w:firstLine="480" w:firstLineChars="200"/>
        <w:outlineLvl w:val="0"/>
        <w:rPr>
          <w:rFonts w:ascii="微软雅黑" w:hAnsi="微软雅黑" w:eastAsia="微软雅黑" w:cs="微软雅黑"/>
          <w:b/>
          <w:bCs/>
          <w:sz w:val="24"/>
          <w:highlight w:val="none"/>
        </w:rPr>
      </w:pPr>
      <w:bookmarkStart w:id="846" w:name="_Toc18247"/>
      <w:bookmarkStart w:id="847" w:name="_Toc21386"/>
      <w:bookmarkStart w:id="848" w:name="_Toc29481"/>
      <w:bookmarkStart w:id="849" w:name="_Toc28090"/>
      <w:bookmarkStart w:id="850" w:name="_Toc967"/>
      <w:bookmarkStart w:id="851" w:name="_Toc27428"/>
      <w:bookmarkStart w:id="852" w:name="_Toc4751"/>
      <w:bookmarkStart w:id="853" w:name="_Toc2390"/>
      <w:bookmarkStart w:id="854" w:name="_Toc25352"/>
      <w:bookmarkStart w:id="855" w:name="_Toc416"/>
      <w:bookmarkStart w:id="856" w:name="_Toc14766"/>
      <w:bookmarkStart w:id="857" w:name="_Toc2992"/>
      <w:bookmarkStart w:id="858" w:name="_Toc30575"/>
      <w:bookmarkStart w:id="859" w:name="_Toc29751"/>
      <w:bookmarkStart w:id="860" w:name="_Toc2048"/>
      <w:bookmarkStart w:id="861" w:name="_Toc20797"/>
      <w:bookmarkStart w:id="862" w:name="_Toc6038"/>
      <w:bookmarkStart w:id="863" w:name="_Toc27963"/>
      <w:bookmarkStart w:id="864" w:name="_Toc4498"/>
      <w:bookmarkStart w:id="865" w:name="_Toc24186"/>
      <w:bookmarkStart w:id="866" w:name="_Toc15812"/>
      <w:bookmarkStart w:id="867" w:name="_Toc28639"/>
      <w:r>
        <w:rPr>
          <w:rFonts w:hint="eastAsia" w:ascii="微软雅黑" w:hAnsi="微软雅黑" w:eastAsia="微软雅黑" w:cs="微软雅黑"/>
          <w:b/>
          <w:bCs/>
          <w:sz w:val="24"/>
          <w:highlight w:val="none"/>
        </w:rPr>
        <w:t>1.1 合同组成部分</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1.1.1 本合同及其补充合同、变更协议；</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1.1.2 中标通知书；</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1.1.3 投标文件（含澄清或者说明文件）；</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1.1.4 招标文件（含澄清或者修改文件）；</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1.1.5 其他相关采购文件。</w:t>
      </w:r>
    </w:p>
    <w:p>
      <w:pPr>
        <w:ind w:firstLine="480" w:firstLineChars="200"/>
        <w:outlineLvl w:val="0"/>
        <w:rPr>
          <w:rFonts w:ascii="微软雅黑" w:hAnsi="微软雅黑" w:eastAsia="微软雅黑" w:cs="微软雅黑"/>
          <w:b/>
          <w:bCs/>
          <w:sz w:val="24"/>
          <w:highlight w:val="none"/>
        </w:rPr>
      </w:pPr>
      <w:bookmarkStart w:id="868" w:name="_Toc5906"/>
      <w:bookmarkStart w:id="869" w:name="_Toc11238"/>
      <w:bookmarkStart w:id="870" w:name="_Toc24300"/>
      <w:bookmarkStart w:id="871" w:name="_Toc21295"/>
      <w:bookmarkStart w:id="872" w:name="_Toc1446"/>
      <w:bookmarkStart w:id="873" w:name="_Toc19432"/>
      <w:bookmarkStart w:id="874" w:name="_Toc21217"/>
      <w:bookmarkStart w:id="875" w:name="_Toc31632"/>
      <w:bookmarkStart w:id="876" w:name="_Toc17543"/>
      <w:bookmarkStart w:id="877" w:name="_Toc15345"/>
      <w:bookmarkStart w:id="878" w:name="_Toc25402"/>
      <w:bookmarkStart w:id="879" w:name="_Toc32674"/>
      <w:bookmarkStart w:id="880" w:name="_Toc31638"/>
      <w:bookmarkStart w:id="881" w:name="_Toc27318"/>
      <w:bookmarkStart w:id="882" w:name="_Toc8631"/>
      <w:bookmarkStart w:id="883" w:name="_Toc20325"/>
      <w:bookmarkStart w:id="884" w:name="_Toc11529"/>
      <w:bookmarkStart w:id="885" w:name="_Toc21690"/>
      <w:bookmarkStart w:id="886" w:name="_Toc24413"/>
      <w:bookmarkStart w:id="887" w:name="_Toc25735"/>
      <w:bookmarkStart w:id="888" w:name="_Toc2579"/>
      <w:bookmarkStart w:id="889" w:name="_Toc8808"/>
      <w:bookmarkStart w:id="890" w:name="_Toc14235"/>
      <w:bookmarkStart w:id="891" w:name="_Toc13138"/>
      <w:bookmarkStart w:id="892" w:name="_Toc9006"/>
      <w:bookmarkStart w:id="893" w:name="_Toc4735"/>
      <w:bookmarkStart w:id="894" w:name="_Toc27126"/>
      <w:bookmarkStart w:id="895" w:name="_Toc7977"/>
      <w:r>
        <w:rPr>
          <w:rFonts w:hint="eastAsia" w:ascii="微软雅黑" w:hAnsi="微软雅黑" w:eastAsia="微软雅黑" w:cs="微软雅黑"/>
          <w:b/>
          <w:bCs/>
          <w:sz w:val="24"/>
          <w:highlight w:val="none"/>
        </w:rPr>
        <w:t>1.2 货物</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pPr>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1.2.1 货物名称：</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1.2.2 货物数量：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1.2.3 货物质量：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outlineLvl w:val="0"/>
        <w:rPr>
          <w:rFonts w:ascii="微软雅黑" w:hAnsi="微软雅黑" w:eastAsia="微软雅黑" w:cs="微软雅黑"/>
          <w:b/>
          <w:bCs/>
          <w:sz w:val="24"/>
          <w:highlight w:val="none"/>
        </w:rPr>
      </w:pPr>
      <w:bookmarkStart w:id="896" w:name="_Toc21631"/>
      <w:bookmarkStart w:id="897" w:name="_Toc22379"/>
      <w:bookmarkStart w:id="898" w:name="_Toc21551"/>
      <w:bookmarkStart w:id="899" w:name="_Toc25368"/>
      <w:bookmarkStart w:id="900" w:name="_Toc30667"/>
      <w:bookmarkStart w:id="901" w:name="_Toc30755"/>
      <w:bookmarkStart w:id="902" w:name="_Toc13898"/>
      <w:bookmarkStart w:id="903" w:name="_Toc27282"/>
      <w:bookmarkStart w:id="904" w:name="_Toc1267"/>
      <w:bookmarkStart w:id="905" w:name="_Toc2897"/>
      <w:bookmarkStart w:id="906" w:name="_Toc6581"/>
      <w:bookmarkStart w:id="907" w:name="_Toc9579"/>
      <w:bookmarkStart w:id="908" w:name="_Toc30388"/>
      <w:bookmarkStart w:id="909" w:name="_Toc633"/>
      <w:bookmarkStart w:id="910" w:name="_Toc31994"/>
      <w:bookmarkStart w:id="911" w:name="_Toc23292"/>
      <w:bookmarkStart w:id="912" w:name="_Toc19893"/>
      <w:bookmarkStart w:id="913" w:name="_Toc21040"/>
      <w:bookmarkStart w:id="914" w:name="_Toc10942"/>
      <w:bookmarkStart w:id="915" w:name="_Toc1528"/>
      <w:bookmarkStart w:id="916" w:name="_Toc11045"/>
      <w:bookmarkStart w:id="917" w:name="_Toc19682"/>
      <w:bookmarkStart w:id="918" w:name="_Toc11463"/>
      <w:bookmarkStart w:id="919" w:name="_Toc9364"/>
      <w:bookmarkStart w:id="920" w:name="_Toc29540"/>
      <w:bookmarkStart w:id="921" w:name="_Toc9271"/>
      <w:bookmarkStart w:id="922" w:name="_Toc8386"/>
      <w:bookmarkStart w:id="923" w:name="_Toc12266"/>
      <w:r>
        <w:rPr>
          <w:rFonts w:hint="eastAsia" w:ascii="微软雅黑" w:hAnsi="微软雅黑" w:eastAsia="微软雅黑" w:cs="微软雅黑"/>
          <w:b/>
          <w:bCs/>
          <w:sz w:val="24"/>
          <w:highlight w:val="none"/>
        </w:rPr>
        <w:t>1.3 价款</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本合同总价为：￥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元（大写：</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元人民币）。</w:t>
      </w:r>
    </w:p>
    <w:p>
      <w:pPr>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分项价格：</w:t>
      </w:r>
    </w:p>
    <w:tbl>
      <w:tblPr>
        <w:tblStyle w:val="3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3"/>
              <w:jc w:val="center"/>
              <w:rPr>
                <w:rFonts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序号</w:t>
            </w:r>
          </w:p>
        </w:tc>
        <w:tc>
          <w:tcPr>
            <w:tcW w:w="3738" w:type="dxa"/>
            <w:vAlign w:val="center"/>
          </w:tcPr>
          <w:p>
            <w:pPr>
              <w:pStyle w:val="53"/>
              <w:ind w:firstLine="200"/>
              <w:jc w:val="center"/>
              <w:rPr>
                <w:rFonts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分项名称</w:t>
            </w:r>
          </w:p>
        </w:tc>
        <w:tc>
          <w:tcPr>
            <w:tcW w:w="2803" w:type="dxa"/>
            <w:vAlign w:val="center"/>
          </w:tcPr>
          <w:p>
            <w:pPr>
              <w:pStyle w:val="53"/>
              <w:jc w:val="center"/>
              <w:rPr>
                <w:rFonts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3"/>
              <w:ind w:firstLine="200"/>
              <w:jc w:val="center"/>
              <w:rPr>
                <w:rFonts w:ascii="微软雅黑" w:hAnsi="微软雅黑" w:eastAsia="微软雅黑" w:cs="微软雅黑"/>
                <w:kern w:val="2"/>
                <w:sz w:val="24"/>
                <w:szCs w:val="24"/>
                <w:highlight w:val="none"/>
              </w:rPr>
            </w:pPr>
          </w:p>
        </w:tc>
        <w:tc>
          <w:tcPr>
            <w:tcW w:w="3738" w:type="dxa"/>
            <w:vAlign w:val="center"/>
          </w:tcPr>
          <w:p>
            <w:pPr>
              <w:pStyle w:val="53"/>
              <w:ind w:firstLine="200"/>
              <w:jc w:val="center"/>
              <w:rPr>
                <w:rFonts w:ascii="微软雅黑" w:hAnsi="微软雅黑" w:eastAsia="微软雅黑" w:cs="微软雅黑"/>
                <w:kern w:val="2"/>
                <w:sz w:val="24"/>
                <w:szCs w:val="24"/>
                <w:highlight w:val="none"/>
              </w:rPr>
            </w:pPr>
          </w:p>
        </w:tc>
        <w:tc>
          <w:tcPr>
            <w:tcW w:w="2803" w:type="dxa"/>
            <w:vAlign w:val="center"/>
          </w:tcPr>
          <w:p>
            <w:pPr>
              <w:pStyle w:val="53"/>
              <w:ind w:firstLine="200"/>
              <w:jc w:val="center"/>
              <w:rPr>
                <w:rFonts w:ascii="微软雅黑" w:hAnsi="微软雅黑" w:eastAsia="微软雅黑" w:cs="微软雅黑"/>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3"/>
              <w:ind w:firstLine="200"/>
              <w:jc w:val="center"/>
              <w:rPr>
                <w:rFonts w:ascii="微软雅黑" w:hAnsi="微软雅黑" w:eastAsia="微软雅黑" w:cs="微软雅黑"/>
                <w:kern w:val="2"/>
                <w:sz w:val="24"/>
                <w:szCs w:val="24"/>
                <w:highlight w:val="none"/>
              </w:rPr>
            </w:pPr>
          </w:p>
        </w:tc>
        <w:tc>
          <w:tcPr>
            <w:tcW w:w="3738" w:type="dxa"/>
            <w:vAlign w:val="center"/>
          </w:tcPr>
          <w:p>
            <w:pPr>
              <w:pStyle w:val="53"/>
              <w:ind w:firstLine="200"/>
              <w:jc w:val="center"/>
              <w:rPr>
                <w:rFonts w:ascii="微软雅黑" w:hAnsi="微软雅黑" w:eastAsia="微软雅黑" w:cs="微软雅黑"/>
                <w:kern w:val="2"/>
                <w:sz w:val="24"/>
                <w:szCs w:val="24"/>
                <w:highlight w:val="none"/>
              </w:rPr>
            </w:pPr>
          </w:p>
        </w:tc>
        <w:tc>
          <w:tcPr>
            <w:tcW w:w="2803" w:type="dxa"/>
            <w:vAlign w:val="center"/>
          </w:tcPr>
          <w:p>
            <w:pPr>
              <w:pStyle w:val="53"/>
              <w:ind w:firstLine="200"/>
              <w:jc w:val="center"/>
              <w:rPr>
                <w:rFonts w:ascii="微软雅黑" w:hAnsi="微软雅黑" w:eastAsia="微软雅黑" w:cs="微软雅黑"/>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3"/>
              <w:ind w:firstLine="200"/>
              <w:jc w:val="center"/>
              <w:rPr>
                <w:rFonts w:ascii="微软雅黑" w:hAnsi="微软雅黑" w:eastAsia="微软雅黑" w:cs="微软雅黑"/>
                <w:kern w:val="2"/>
                <w:sz w:val="24"/>
                <w:szCs w:val="24"/>
                <w:highlight w:val="none"/>
              </w:rPr>
            </w:pPr>
            <w:r>
              <w:rPr>
                <w:rFonts w:hint="eastAsia" w:ascii="微软雅黑" w:hAnsi="微软雅黑" w:eastAsia="微软雅黑" w:cs="微软雅黑"/>
                <w:kern w:val="2"/>
                <w:sz w:val="24"/>
                <w:szCs w:val="24"/>
                <w:highlight w:val="none"/>
              </w:rPr>
              <w:t>总价</w:t>
            </w:r>
          </w:p>
        </w:tc>
        <w:tc>
          <w:tcPr>
            <w:tcW w:w="2803" w:type="dxa"/>
            <w:vAlign w:val="center"/>
          </w:tcPr>
          <w:p>
            <w:pPr>
              <w:pStyle w:val="53"/>
              <w:ind w:firstLine="200"/>
              <w:jc w:val="center"/>
              <w:rPr>
                <w:rFonts w:ascii="微软雅黑" w:hAnsi="微软雅黑" w:eastAsia="微软雅黑" w:cs="微软雅黑"/>
                <w:kern w:val="2"/>
                <w:sz w:val="24"/>
                <w:szCs w:val="24"/>
                <w:highlight w:val="none"/>
              </w:rPr>
            </w:pPr>
          </w:p>
        </w:tc>
      </w:tr>
    </w:tbl>
    <w:p>
      <w:pPr>
        <w:ind w:firstLine="480" w:firstLineChars="200"/>
        <w:outlineLvl w:val="0"/>
        <w:rPr>
          <w:rFonts w:ascii="微软雅黑" w:hAnsi="微软雅黑" w:eastAsia="微软雅黑" w:cs="微软雅黑"/>
          <w:b/>
          <w:bCs/>
          <w:sz w:val="24"/>
          <w:highlight w:val="none"/>
        </w:rPr>
      </w:pPr>
      <w:bookmarkStart w:id="924" w:name="_Toc2285"/>
      <w:bookmarkStart w:id="925" w:name="_Toc1814"/>
      <w:bookmarkStart w:id="926" w:name="_Toc44"/>
      <w:bookmarkStart w:id="927" w:name="_Toc7458"/>
      <w:bookmarkStart w:id="928" w:name="_Toc5736"/>
      <w:bookmarkStart w:id="929" w:name="_Toc30643"/>
      <w:bookmarkStart w:id="930" w:name="_Toc27654"/>
      <w:bookmarkStart w:id="931" w:name="_Toc10086"/>
      <w:bookmarkStart w:id="932" w:name="_Toc27817"/>
      <w:bookmarkStart w:id="933" w:name="_Toc26112"/>
      <w:bookmarkStart w:id="934" w:name="_Toc22618"/>
      <w:bookmarkStart w:id="935" w:name="_Toc673"/>
      <w:bookmarkStart w:id="936" w:name="_Toc10340"/>
      <w:bookmarkStart w:id="937" w:name="_Toc27811"/>
      <w:bookmarkStart w:id="938" w:name="_Toc21862"/>
      <w:bookmarkStart w:id="939" w:name="_Toc30507"/>
      <w:bookmarkStart w:id="940" w:name="_Toc26470"/>
      <w:bookmarkStart w:id="941" w:name="_Toc7753"/>
      <w:bookmarkStart w:id="942" w:name="_Toc8933"/>
      <w:bookmarkStart w:id="943" w:name="_Toc24781"/>
      <w:bookmarkStart w:id="944" w:name="_Toc21854"/>
      <w:bookmarkStart w:id="945" w:name="_Toc21104"/>
      <w:bookmarkStart w:id="946" w:name="_Toc4585"/>
      <w:bookmarkStart w:id="947" w:name="_Toc21349"/>
      <w:bookmarkStart w:id="948" w:name="_Toc7801"/>
      <w:bookmarkStart w:id="949" w:name="_Toc28773"/>
      <w:bookmarkStart w:id="950" w:name="_Toc9720"/>
      <w:r>
        <w:rPr>
          <w:rFonts w:hint="eastAsia" w:ascii="微软雅黑" w:hAnsi="微软雅黑" w:eastAsia="微软雅黑" w:cs="微软雅黑"/>
          <w:b/>
          <w:bCs/>
          <w:sz w:val="24"/>
          <w:highlight w:val="none"/>
        </w:rPr>
        <w:t>1.4 付款方式和发票开具方式</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1.4.1 付款方式：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1.4.2 发票开具方式：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outlineLvl w:val="0"/>
        <w:rPr>
          <w:rFonts w:ascii="微软雅黑" w:hAnsi="微软雅黑" w:eastAsia="微软雅黑" w:cs="微软雅黑"/>
          <w:b/>
          <w:bCs/>
          <w:sz w:val="24"/>
          <w:highlight w:val="none"/>
        </w:rPr>
      </w:pPr>
      <w:bookmarkStart w:id="951" w:name="_Toc2083"/>
      <w:bookmarkStart w:id="952" w:name="_Toc4501"/>
      <w:bookmarkStart w:id="953" w:name="_Toc25278"/>
      <w:bookmarkStart w:id="954" w:name="_Toc25427"/>
      <w:bookmarkStart w:id="955" w:name="_Toc2750"/>
      <w:bookmarkStart w:id="956" w:name="_Toc22861"/>
      <w:bookmarkStart w:id="957" w:name="_Toc26187"/>
      <w:bookmarkStart w:id="958" w:name="_Toc10276"/>
      <w:bookmarkStart w:id="959" w:name="_Toc28976"/>
      <w:bookmarkStart w:id="960" w:name="_Toc17448"/>
      <w:bookmarkStart w:id="961" w:name="_Toc29386"/>
      <w:bookmarkStart w:id="962" w:name="_Toc16823"/>
      <w:bookmarkStart w:id="963" w:name="_Toc32071"/>
      <w:bookmarkStart w:id="964" w:name="_Toc24072"/>
      <w:bookmarkStart w:id="965" w:name="_Toc2852"/>
      <w:bookmarkStart w:id="966" w:name="_Toc30894"/>
      <w:bookmarkStart w:id="967" w:name="_Toc30563"/>
      <w:bookmarkStart w:id="968" w:name="_Toc17179"/>
      <w:bookmarkStart w:id="969" w:name="_Toc30447"/>
      <w:bookmarkStart w:id="970" w:name="_Toc32641"/>
      <w:bookmarkStart w:id="971" w:name="_Toc23862"/>
      <w:bookmarkStart w:id="972" w:name="_Toc4377"/>
      <w:bookmarkStart w:id="973" w:name="_Toc2846"/>
      <w:bookmarkStart w:id="974" w:name="_Toc11682"/>
      <w:bookmarkStart w:id="975" w:name="_Toc19304"/>
      <w:bookmarkStart w:id="976" w:name="_Toc14146"/>
      <w:bookmarkStart w:id="977" w:name="_Toc4058"/>
      <w:r>
        <w:rPr>
          <w:rFonts w:hint="eastAsia" w:ascii="微软雅黑" w:hAnsi="微软雅黑" w:eastAsia="微软雅黑" w:cs="微软雅黑"/>
          <w:b/>
          <w:bCs/>
          <w:sz w:val="24"/>
          <w:highlight w:val="none"/>
        </w:rPr>
        <w:t>1.5 货物交付期限、地点和方式</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pPr>
        <w:ind w:firstLine="480" w:firstLineChars="200"/>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1.5.1 交付期限：</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1.5.2 交付地点：</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1.5.3 交付方式：</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ind w:firstLine="480" w:firstLineChars="200"/>
        <w:outlineLvl w:val="0"/>
        <w:rPr>
          <w:rFonts w:ascii="微软雅黑" w:hAnsi="微软雅黑" w:eastAsia="微软雅黑" w:cs="微软雅黑"/>
          <w:b/>
          <w:bCs/>
          <w:sz w:val="24"/>
          <w:highlight w:val="none"/>
        </w:rPr>
      </w:pPr>
      <w:bookmarkStart w:id="978" w:name="_Toc8754"/>
      <w:bookmarkStart w:id="979" w:name="_Toc1835"/>
      <w:bookmarkStart w:id="980" w:name="_Toc25649"/>
      <w:bookmarkStart w:id="981" w:name="_Toc21406"/>
      <w:bookmarkStart w:id="982" w:name="_Toc10321"/>
      <w:bookmarkStart w:id="983" w:name="_Toc15865"/>
      <w:bookmarkStart w:id="984" w:name="_Toc21423"/>
      <w:bookmarkStart w:id="985" w:name="_Toc8569"/>
      <w:bookmarkStart w:id="986" w:name="_Toc25443"/>
      <w:bookmarkStart w:id="987" w:name="_Toc31621"/>
      <w:bookmarkStart w:id="988" w:name="_Toc12629"/>
      <w:bookmarkStart w:id="989" w:name="_Toc12988"/>
      <w:bookmarkStart w:id="990" w:name="_Toc11237"/>
      <w:bookmarkStart w:id="991" w:name="_Toc29941"/>
      <w:bookmarkStart w:id="992" w:name="_Toc27250"/>
      <w:bookmarkStart w:id="993" w:name="_Toc12753"/>
      <w:bookmarkStart w:id="994" w:name="_Toc10320"/>
      <w:bookmarkStart w:id="995" w:name="_Toc6841"/>
      <w:bookmarkStart w:id="996" w:name="_Toc12424"/>
      <w:bookmarkStart w:id="997" w:name="_Toc13854"/>
      <w:bookmarkStart w:id="998" w:name="_Toc28455"/>
      <w:bookmarkStart w:id="999" w:name="_Toc13569"/>
      <w:bookmarkStart w:id="1000" w:name="_Toc26850"/>
      <w:bookmarkStart w:id="1001" w:name="_Toc12679"/>
      <w:bookmarkStart w:id="1002" w:name="_Toc29769"/>
      <w:bookmarkStart w:id="1003" w:name="_Toc19554"/>
      <w:bookmarkStart w:id="1004" w:name="_Toc4190"/>
      <w:bookmarkStart w:id="1005" w:name="_Toc27247"/>
      <w:r>
        <w:rPr>
          <w:rFonts w:hint="eastAsia" w:ascii="微软雅黑" w:hAnsi="微软雅黑" w:eastAsia="微软雅黑" w:cs="微软雅黑"/>
          <w:b/>
          <w:bCs/>
          <w:sz w:val="24"/>
          <w:highlight w:val="none"/>
        </w:rPr>
        <w:t>1.6 违约责任</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%计算，最高限额为本合同总价的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%；迟延交付货物的违约金计算数额达到前述最高限额之日起，甲方有权在要求乙方支付违约金的同时，书面通知乙方解除本合同；</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%计算，最高限额为本合同总价的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%；迟延付款的违约金计算数额达到前述最高限额之日起，乙方有权在要求甲方支付违约金的同时，书面通知甲方解除本合同；</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ind w:firstLine="480" w:firstLineChars="200"/>
        <w:outlineLvl w:val="0"/>
        <w:rPr>
          <w:rFonts w:ascii="微软雅黑" w:hAnsi="微软雅黑" w:eastAsia="微软雅黑" w:cs="微软雅黑"/>
          <w:b/>
          <w:bCs/>
          <w:sz w:val="24"/>
          <w:highlight w:val="none"/>
        </w:rPr>
      </w:pPr>
      <w:bookmarkStart w:id="1006" w:name="_Toc20497"/>
      <w:bookmarkStart w:id="1007" w:name="_Toc13308"/>
      <w:bookmarkStart w:id="1008" w:name="_Toc12021"/>
      <w:bookmarkStart w:id="1009" w:name="_Toc24393"/>
      <w:bookmarkStart w:id="1010" w:name="_Toc3403"/>
      <w:bookmarkStart w:id="1011" w:name="_Toc7216"/>
      <w:bookmarkStart w:id="1012" w:name="_Toc20610"/>
      <w:bookmarkStart w:id="1013" w:name="_Toc5482"/>
      <w:bookmarkStart w:id="1014" w:name="_Toc27927"/>
      <w:bookmarkStart w:id="1015" w:name="_Toc6344"/>
      <w:bookmarkStart w:id="1016" w:name="_Toc14723"/>
      <w:bookmarkStart w:id="1017" w:name="_Toc19374"/>
      <w:bookmarkStart w:id="1018" w:name="_Toc25915"/>
      <w:bookmarkStart w:id="1019" w:name="_Toc22341"/>
      <w:bookmarkStart w:id="1020" w:name="_Toc12178"/>
      <w:bookmarkStart w:id="1021" w:name="_Toc15583"/>
      <w:bookmarkStart w:id="1022" w:name="_Toc28375"/>
      <w:bookmarkStart w:id="1023" w:name="_Toc23654"/>
      <w:bookmarkStart w:id="1024" w:name="_Toc19011"/>
      <w:bookmarkStart w:id="1025" w:name="_Toc16021"/>
      <w:bookmarkStart w:id="1026" w:name="_Toc10217"/>
      <w:bookmarkStart w:id="1027" w:name="_Toc9202"/>
      <w:bookmarkStart w:id="1028" w:name="_Toc27762"/>
      <w:bookmarkStart w:id="1029" w:name="_Toc16341"/>
      <w:bookmarkStart w:id="1030" w:name="_Toc29338"/>
      <w:bookmarkStart w:id="1031" w:name="_Toc21643"/>
      <w:bookmarkStart w:id="1032" w:name="_Toc31145"/>
      <w:bookmarkStart w:id="1033" w:name="_Toc8914"/>
      <w:r>
        <w:rPr>
          <w:rFonts w:hint="eastAsia" w:ascii="微软雅黑" w:hAnsi="微软雅黑" w:eastAsia="微软雅黑" w:cs="微软雅黑"/>
          <w:b/>
          <w:bCs/>
          <w:sz w:val="24"/>
          <w:highlight w:val="none"/>
        </w:rPr>
        <w:t>1.7 合同争议的解决</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种方式解决：</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1.7.1 将争议提交</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仲裁委员会依申请仲裁时其现行有效的仲裁规则裁决；</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1.7.2 向</w:t>
      </w:r>
      <w:r>
        <w:rPr>
          <w:rFonts w:hint="eastAsia" w:ascii="微软雅黑" w:hAnsi="微软雅黑" w:eastAsia="微软雅黑" w:cs="微软雅黑"/>
          <w:sz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highlight w:val="none"/>
        </w:rPr>
        <w:t>人民法院起诉。</w:t>
      </w:r>
    </w:p>
    <w:p>
      <w:pPr>
        <w:ind w:firstLine="480" w:firstLineChars="200"/>
        <w:outlineLvl w:val="0"/>
        <w:rPr>
          <w:rFonts w:ascii="微软雅黑" w:hAnsi="微软雅黑" w:eastAsia="微软雅黑" w:cs="微软雅黑"/>
          <w:b/>
          <w:bCs/>
          <w:sz w:val="24"/>
          <w:highlight w:val="none"/>
        </w:rPr>
      </w:pPr>
      <w:bookmarkStart w:id="1034" w:name="_Toc15322"/>
      <w:bookmarkStart w:id="1035" w:name="_Toc4516"/>
      <w:bookmarkStart w:id="1036" w:name="_Toc6411"/>
      <w:bookmarkStart w:id="1037" w:name="_Toc9329"/>
      <w:bookmarkStart w:id="1038" w:name="_Toc5077"/>
      <w:bookmarkStart w:id="1039" w:name="_Toc17113"/>
      <w:bookmarkStart w:id="1040" w:name="_Toc20305"/>
      <w:bookmarkStart w:id="1041" w:name="_Toc10429"/>
      <w:bookmarkStart w:id="1042" w:name="_Toc518"/>
      <w:bookmarkStart w:id="1043" w:name="_Toc12946"/>
      <w:bookmarkStart w:id="1044" w:name="_Toc10255"/>
      <w:bookmarkStart w:id="1045" w:name="_Toc11173"/>
      <w:bookmarkStart w:id="1046" w:name="_Toc16410"/>
      <w:bookmarkStart w:id="1047" w:name="_Toc30260"/>
      <w:bookmarkStart w:id="1048" w:name="_Toc17828"/>
      <w:bookmarkStart w:id="1049" w:name="_Toc10043"/>
      <w:bookmarkStart w:id="1050" w:name="_Toc5752"/>
      <w:bookmarkStart w:id="1051" w:name="_Toc26231"/>
      <w:bookmarkStart w:id="1052" w:name="_Toc8975"/>
      <w:bookmarkStart w:id="1053" w:name="_Toc31023"/>
      <w:bookmarkStart w:id="1054" w:name="_Toc2901"/>
      <w:bookmarkStart w:id="1055" w:name="_Toc32578"/>
      <w:bookmarkStart w:id="1056" w:name="_Toc7245"/>
      <w:bookmarkStart w:id="1057" w:name="_Toc2894"/>
      <w:bookmarkStart w:id="1058" w:name="_Toc29292"/>
      <w:bookmarkStart w:id="1059" w:name="_Toc14796"/>
      <w:bookmarkStart w:id="1060" w:name="_Toc1647"/>
      <w:bookmarkStart w:id="1061" w:name="_Toc20192"/>
      <w:r>
        <w:rPr>
          <w:rFonts w:hint="eastAsia" w:ascii="微软雅黑" w:hAnsi="微软雅黑" w:eastAsia="微软雅黑" w:cs="微软雅黑"/>
          <w:b/>
          <w:bCs/>
          <w:sz w:val="24"/>
          <w:highlight w:val="none"/>
        </w:rPr>
        <w:t>1.8 合同生效</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pPr>
        <w:ind w:firstLine="480" w:firstLineChars="200"/>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本合同自双方当事人盖章或者签字时生效。</w:t>
      </w:r>
    </w:p>
    <w:p>
      <w:pPr>
        <w:autoSpaceDE w:val="0"/>
        <w:autoSpaceDN w:val="0"/>
        <w:adjustRightInd w:val="0"/>
        <w:rPr>
          <w:rFonts w:ascii="微软雅黑" w:hAnsi="微软雅黑" w:eastAsia="微软雅黑" w:cs="微软雅黑"/>
          <w:sz w:val="24"/>
          <w:highlight w:val="none"/>
          <w:lang w:val="zh-CN"/>
        </w:rPr>
      </w:pP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b/>
          <w:bCs/>
          <w:sz w:val="24"/>
          <w:highlight w:val="none"/>
          <w:lang w:val="zh-CN"/>
        </w:rPr>
        <w:t>甲方</w:t>
      </w:r>
      <w:r>
        <w:rPr>
          <w:rFonts w:hint="eastAsia" w:ascii="微软雅黑" w:hAnsi="微软雅黑" w:eastAsia="微软雅黑" w:cs="微软雅黑"/>
          <w:sz w:val="24"/>
          <w:highlight w:val="none"/>
          <w:lang w:val="zh-CN"/>
        </w:rPr>
        <w:t xml:space="preserve">：                             </w:t>
      </w:r>
      <w:r>
        <w:rPr>
          <w:rFonts w:hint="eastAsia" w:ascii="微软雅黑" w:hAnsi="微软雅黑" w:eastAsia="微软雅黑" w:cs="微软雅黑"/>
          <w:b/>
          <w:bCs/>
          <w:sz w:val="24"/>
          <w:highlight w:val="none"/>
          <w:lang w:val="zh-CN"/>
        </w:rPr>
        <w:t xml:space="preserve">      乙方</w:t>
      </w:r>
      <w:r>
        <w:rPr>
          <w:rFonts w:hint="eastAsia" w:ascii="微软雅黑" w:hAnsi="微软雅黑" w:eastAsia="微软雅黑" w:cs="微软雅黑"/>
          <w:sz w:val="24"/>
          <w:highlight w:val="none"/>
          <w:lang w:val="zh-CN"/>
        </w:rPr>
        <w:t>：</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统一社会信用代码：                        统一社会信用代码或身份证号码：</w:t>
      </w:r>
    </w:p>
    <w:p>
      <w:pPr>
        <w:autoSpaceDE w:val="0"/>
        <w:autoSpaceDN w:val="0"/>
        <w:adjustRightInd w:val="0"/>
        <w:rPr>
          <w:rFonts w:ascii="微软雅黑" w:hAnsi="微软雅黑" w:eastAsia="微软雅黑" w:cs="微软雅黑"/>
          <w:sz w:val="24"/>
          <w:highlight w:val="none"/>
          <w:lang w:val="zh-CN"/>
        </w:rPr>
      </w:pP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住所：                                   住所：</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法定代表人或                             法定代表人</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 xml:space="preserve">授权代表（签字）：                       或授权代表（签字）: </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联系人：                                 联系人：</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约定送达地址：                           约定送达地址：</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邮政编码：                               邮政编码：</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 xml:space="preserve">电话:                                    电话: </w:t>
      </w:r>
    </w:p>
    <w:p>
      <w:pPr>
        <w:autoSpaceDE w:val="0"/>
        <w:autoSpaceDN w:val="0"/>
        <w:adjustRightInd w:val="0"/>
        <w:rPr>
          <w:rFonts w:ascii="微软雅黑" w:hAnsi="微软雅黑" w:eastAsia="微软雅黑" w:cs="微软雅黑"/>
          <w:sz w:val="24"/>
          <w:highlight w:val="none"/>
          <w:lang w:val="zh-CN"/>
        </w:rPr>
      </w:pPr>
      <w:r>
        <w:rPr>
          <w:rFonts w:hint="eastAsia" w:ascii="微软雅黑" w:hAnsi="微软雅黑" w:eastAsia="微软雅黑" w:cs="微软雅黑"/>
          <w:sz w:val="24"/>
          <w:highlight w:val="none"/>
          <w:lang w:val="zh-CN"/>
        </w:rPr>
        <w:t>传真:                                    传真:</w:t>
      </w:r>
    </w:p>
    <w:p>
      <w:pPr>
        <w:autoSpaceDE w:val="0"/>
        <w:autoSpaceDN w:val="0"/>
        <w:adjustRightInd w:val="0"/>
        <w:rPr>
          <w:rFonts w:ascii="微软雅黑" w:hAnsi="微软雅黑" w:eastAsia="微软雅黑" w:cs="微软雅黑"/>
          <w:sz w:val="24"/>
          <w:highlight w:val="none"/>
        </w:rPr>
      </w:pPr>
      <w:r>
        <w:rPr>
          <w:rFonts w:hint="eastAsia" w:ascii="微软雅黑" w:hAnsi="微软雅黑" w:eastAsia="微软雅黑" w:cs="微软雅黑"/>
          <w:sz w:val="24"/>
          <w:highlight w:val="none"/>
          <w:lang w:val="zh-CN"/>
        </w:rPr>
        <w:t>电子邮箱：                               电子邮箱：</w:t>
      </w:r>
    </w:p>
    <w:p>
      <w:pPr>
        <w:autoSpaceDE w:val="0"/>
        <w:autoSpaceDN w:val="0"/>
        <w:adjustRightInd w:val="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开户银行：                               开户银行： </w:t>
      </w:r>
    </w:p>
    <w:p>
      <w:pPr>
        <w:autoSpaceDE w:val="0"/>
        <w:autoSpaceDN w:val="0"/>
        <w:adjustRightInd w:val="0"/>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开户名称：                               开户名称： </w:t>
      </w:r>
    </w:p>
    <w:p>
      <w:pPr>
        <w:autoSpaceDE w:val="0"/>
        <w:autoSpaceDN w:val="0"/>
        <w:adjustRightInd w:val="0"/>
        <w:rPr>
          <w:rFonts w:ascii="微软雅黑" w:hAnsi="微软雅黑" w:eastAsia="微软雅黑" w:cs="微软雅黑"/>
          <w:sz w:val="24"/>
          <w:highlight w:val="none"/>
        </w:rPr>
      </w:pPr>
      <w:r>
        <w:rPr>
          <w:rFonts w:hint="eastAsia" w:ascii="微软雅黑" w:hAnsi="微软雅黑" w:eastAsia="微软雅黑" w:cs="微软雅黑"/>
          <w:sz w:val="24"/>
          <w:highlight w:val="none"/>
        </w:rPr>
        <w:t>开户账号：</w:t>
      </w:r>
      <w:r>
        <w:rPr>
          <w:rFonts w:hint="eastAsia" w:ascii="微软雅黑" w:hAnsi="微软雅黑" w:eastAsia="微软雅黑" w:cs="微软雅黑"/>
          <w:sz w:val="24"/>
          <w:highlight w:val="none"/>
          <w:lang w:val="zh-CN"/>
        </w:rPr>
        <w:t xml:space="preserve">                               </w:t>
      </w:r>
      <w:r>
        <w:rPr>
          <w:rFonts w:hint="eastAsia" w:ascii="微软雅黑" w:hAnsi="微软雅黑" w:eastAsia="微软雅黑" w:cs="微软雅黑"/>
          <w:sz w:val="24"/>
          <w:highlight w:val="none"/>
        </w:rPr>
        <w:t>开户账号：</w:t>
      </w:r>
    </w:p>
    <w:p>
      <w:pPr>
        <w:widowControl/>
        <w:jc w:val="left"/>
        <w:rPr>
          <w:rFonts w:ascii="微软雅黑" w:hAnsi="微软雅黑" w:eastAsia="微软雅黑" w:cs="微软雅黑"/>
          <w:b/>
          <w:bCs/>
          <w:sz w:val="24"/>
          <w:highlight w:val="none"/>
        </w:rPr>
      </w:pPr>
      <w:bookmarkStart w:id="1062" w:name="_Toc331685783"/>
    </w:p>
    <w:p>
      <w:pPr>
        <w:widowControl/>
        <w:jc w:val="left"/>
        <w:rPr>
          <w:rFonts w:ascii="微软雅黑" w:hAnsi="微软雅黑" w:eastAsia="微软雅黑" w:cs="微软雅黑"/>
          <w:b/>
          <w:bCs/>
          <w:sz w:val="24"/>
          <w:highlight w:val="none"/>
        </w:rPr>
      </w:pPr>
    </w:p>
    <w:p>
      <w:pPr>
        <w:pStyle w:val="55"/>
        <w:ind w:firstLine="200"/>
        <w:jc w:val="center"/>
        <w:rPr>
          <w:rFonts w:ascii="微软雅黑" w:hAnsi="微软雅黑" w:eastAsia="微软雅黑" w:cs="微软雅黑"/>
          <w:b/>
          <w:bCs/>
          <w:szCs w:val="24"/>
          <w:highlight w:val="none"/>
        </w:rPr>
      </w:pPr>
      <w:r>
        <w:rPr>
          <w:rFonts w:hint="eastAsia" w:ascii="微软雅黑" w:hAnsi="微软雅黑" w:eastAsia="微软雅黑" w:cs="微软雅黑"/>
          <w:b/>
          <w:bCs/>
          <w:szCs w:val="24"/>
          <w:highlight w:val="none"/>
        </w:rPr>
        <w:t>第二部分 合同一般条款</w:t>
      </w:r>
      <w:bookmarkEnd w:id="1062"/>
    </w:p>
    <w:p>
      <w:pPr>
        <w:ind w:firstLine="480" w:firstLineChars="200"/>
        <w:outlineLvl w:val="0"/>
        <w:rPr>
          <w:rFonts w:ascii="微软雅黑" w:hAnsi="微软雅黑" w:eastAsia="微软雅黑" w:cs="微软雅黑"/>
          <w:b/>
          <w:bCs/>
          <w:sz w:val="24"/>
          <w:highlight w:val="none"/>
        </w:rPr>
      </w:pPr>
      <w:bookmarkStart w:id="1063" w:name="_Toc25035"/>
      <w:bookmarkStart w:id="1064" w:name="_Toc26015"/>
      <w:bookmarkStart w:id="1065" w:name="_Toc19614"/>
      <w:bookmarkStart w:id="1066" w:name="_Toc25554"/>
      <w:bookmarkStart w:id="1067" w:name="_Toc10245"/>
      <w:bookmarkStart w:id="1068" w:name="_Toc3091"/>
      <w:bookmarkStart w:id="1069" w:name="_Toc18089"/>
      <w:bookmarkStart w:id="1070" w:name="_Toc26415"/>
      <w:bookmarkStart w:id="1071" w:name="_Toc32624"/>
      <w:bookmarkStart w:id="1072" w:name="_Toc20318"/>
      <w:bookmarkStart w:id="1073" w:name="_Ref467379195"/>
      <w:bookmarkStart w:id="1074" w:name="_Toc2854"/>
      <w:bookmarkStart w:id="1075" w:name="_Toc26936"/>
      <w:bookmarkStart w:id="1076" w:name="_Toc28547"/>
      <w:bookmarkStart w:id="1077" w:name="_Toc2034"/>
      <w:bookmarkStart w:id="1078" w:name="_Toc279701240"/>
      <w:bookmarkStart w:id="1079" w:name="_Toc28763"/>
      <w:bookmarkStart w:id="1080" w:name="_Toc487900349"/>
      <w:bookmarkStart w:id="1081" w:name="_Ref467379225"/>
      <w:bookmarkStart w:id="1082" w:name="_Toc29659"/>
      <w:bookmarkStart w:id="1083" w:name="_Ref467378463"/>
      <w:bookmarkStart w:id="1084" w:name="_Toc16917"/>
      <w:bookmarkStart w:id="1085" w:name="_Toc14827"/>
      <w:bookmarkStart w:id="1086" w:name="_Toc6182"/>
      <w:bookmarkStart w:id="1087" w:name="_Toc510"/>
      <w:bookmarkStart w:id="1088" w:name="_Ref467378499"/>
      <w:bookmarkStart w:id="1089" w:name="_Toc23455"/>
      <w:bookmarkStart w:id="1090" w:name="_Ref467379094"/>
      <w:bookmarkStart w:id="1091" w:name="_Ref467379101"/>
      <w:bookmarkStart w:id="1092" w:name="_Toc20709"/>
      <w:bookmarkStart w:id="1093" w:name="_Toc31417"/>
      <w:bookmarkStart w:id="1094" w:name="_Toc21840"/>
      <w:bookmarkStart w:id="1095" w:name="_Ref467379109"/>
      <w:bookmarkStart w:id="1096" w:name="_Toc28865"/>
      <w:bookmarkStart w:id="1097" w:name="_Toc5579"/>
      <w:bookmarkStart w:id="1098" w:name="_Ref467379214"/>
      <w:bookmarkStart w:id="1099" w:name="_Toc259093669"/>
      <w:bookmarkStart w:id="1100" w:name="_Toc17718"/>
      <w:bookmarkStart w:id="1101" w:name="_Ref467379205"/>
      <w:bookmarkStart w:id="1102" w:name="_Ref467378404"/>
      <w:r>
        <w:rPr>
          <w:rFonts w:hint="eastAsia" w:ascii="微软雅黑" w:hAnsi="微软雅黑" w:eastAsia="微软雅黑" w:cs="微软雅黑"/>
          <w:b/>
          <w:bCs/>
          <w:sz w:val="24"/>
          <w:highlight w:val="none"/>
        </w:rPr>
        <w:t>2.1 定义</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本合同中的下列词语应按以下内容进行解释：</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2.1.1 “合同”系指采购人和中标供应商签订的载明双方当事人所达成的协议，并包括所有的附件、附录和构成合同的其他文件。</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2.1.2 “合同价”系指根据合同约定，中标供应商在完全履行合同义务后，采购人应支付给中标供应商的价格。</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 “货物”系指中标供应商根据合同约定应向采购人交付的一切各种形态和种类的物品，包括原材料、燃料、设备、机械、仪表、备件、计算机软件、产品等，并包括工具、手册等其他相关资料。</w:t>
      </w:r>
    </w:p>
    <w:p>
      <w:pPr>
        <w:ind w:firstLine="480" w:firstLineChars="200"/>
        <w:rPr>
          <w:rFonts w:ascii="微软雅黑" w:hAnsi="微软雅黑" w:eastAsia="微软雅黑" w:cs="微软雅黑"/>
          <w:sz w:val="24"/>
          <w:highlight w:val="none"/>
        </w:rPr>
      </w:pPr>
      <w:bookmarkStart w:id="1103" w:name="_Ref467378840"/>
      <w:r>
        <w:rPr>
          <w:rFonts w:hint="eastAsia" w:ascii="微软雅黑" w:hAnsi="微软雅黑" w:eastAsia="微软雅黑" w:cs="微软雅黑"/>
          <w:sz w:val="24"/>
          <w:highlight w:val="none"/>
        </w:rPr>
        <w:t>2.1.4 “甲方”系指与中标供应商签署合同的采购人</w:t>
      </w:r>
      <w:bookmarkEnd w:id="1103"/>
      <w:r>
        <w:rPr>
          <w:rFonts w:hint="eastAsia" w:ascii="微软雅黑" w:hAnsi="微软雅黑" w:eastAsia="微软雅黑" w:cs="微软雅黑"/>
          <w:sz w:val="24"/>
          <w:highlight w:val="none"/>
        </w:rPr>
        <w:t>；采购人委托采购代理机构代表其与乙方签订合同的，采购人的授权委托书作为合同附件。</w:t>
      </w:r>
    </w:p>
    <w:p>
      <w:pPr>
        <w:ind w:firstLine="480" w:firstLineChars="200"/>
        <w:rPr>
          <w:rFonts w:ascii="微软雅黑" w:hAnsi="微软雅黑" w:eastAsia="微软雅黑" w:cs="微软雅黑"/>
          <w:sz w:val="24"/>
          <w:highlight w:val="none"/>
        </w:rPr>
      </w:pPr>
      <w:bookmarkStart w:id="1104" w:name="_Ref467379400"/>
      <w:r>
        <w:rPr>
          <w:rFonts w:hint="eastAsia" w:ascii="微软雅黑" w:hAnsi="微软雅黑" w:eastAsia="微软雅黑" w:cs="微软雅黑"/>
          <w:sz w:val="24"/>
          <w:highlight w:val="none"/>
        </w:rPr>
        <w:t>2.1.5 “乙方”系指根据合同约定交付货物的中标供应商</w:t>
      </w:r>
      <w:bookmarkEnd w:id="1104"/>
      <w:r>
        <w:rPr>
          <w:rFonts w:hint="eastAsia" w:ascii="微软雅黑" w:hAnsi="微软雅黑" w:eastAsia="微软雅黑" w:cs="微软雅黑"/>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480" w:firstLineChars="200"/>
        <w:rPr>
          <w:rFonts w:ascii="微软雅黑" w:hAnsi="微软雅黑" w:eastAsia="微软雅黑" w:cs="微软雅黑"/>
          <w:sz w:val="24"/>
          <w:highlight w:val="none"/>
        </w:rPr>
      </w:pPr>
      <w:bookmarkStart w:id="1105" w:name="_Ref467379436"/>
      <w:r>
        <w:rPr>
          <w:rFonts w:hint="eastAsia" w:ascii="微软雅黑" w:hAnsi="微软雅黑" w:eastAsia="微软雅黑" w:cs="微软雅黑"/>
          <w:sz w:val="24"/>
          <w:highlight w:val="none"/>
        </w:rPr>
        <w:t>2.1.6 “现场”系指合同约定货物将要运至或者安装的地点。</w:t>
      </w:r>
      <w:bookmarkEnd w:id="1105"/>
    </w:p>
    <w:p>
      <w:pPr>
        <w:ind w:firstLine="480" w:firstLineChars="200"/>
        <w:outlineLvl w:val="0"/>
        <w:rPr>
          <w:rFonts w:ascii="微软雅黑" w:hAnsi="微软雅黑" w:eastAsia="微软雅黑" w:cs="微软雅黑"/>
          <w:b/>
          <w:bCs/>
          <w:sz w:val="24"/>
          <w:highlight w:val="none"/>
        </w:rPr>
      </w:pPr>
      <w:bookmarkStart w:id="1106" w:name="_Toc3949"/>
      <w:bookmarkStart w:id="1107" w:name="_Toc487900350"/>
      <w:bookmarkStart w:id="1108" w:name="_Toc23689"/>
      <w:bookmarkStart w:id="1109" w:name="_Toc24322"/>
      <w:bookmarkStart w:id="1110" w:name="_Toc22769"/>
      <w:bookmarkStart w:id="1111" w:name="_Toc11142"/>
      <w:bookmarkStart w:id="1112" w:name="_Toc279701241"/>
      <w:bookmarkStart w:id="1113" w:name="_Toc1221"/>
      <w:bookmarkStart w:id="1114" w:name="_Toc32504"/>
      <w:bookmarkStart w:id="1115" w:name="_Toc23702"/>
      <w:bookmarkStart w:id="1116" w:name="_Toc5592"/>
      <w:bookmarkStart w:id="1117" w:name="_Toc24792"/>
      <w:bookmarkStart w:id="1118" w:name="_Toc1159"/>
      <w:bookmarkStart w:id="1119" w:name="_Toc3193"/>
      <w:bookmarkStart w:id="1120" w:name="_Toc20314"/>
      <w:bookmarkStart w:id="1121" w:name="_Toc6279"/>
      <w:bookmarkStart w:id="1122" w:name="_Toc1183"/>
      <w:bookmarkStart w:id="1123" w:name="_Toc19892"/>
      <w:bookmarkStart w:id="1124" w:name="_Toc259093670"/>
      <w:bookmarkStart w:id="1125" w:name="_Toc27635"/>
      <w:bookmarkStart w:id="1126" w:name="_Toc13336"/>
      <w:bookmarkStart w:id="1127" w:name="_Toc7416"/>
      <w:bookmarkStart w:id="1128" w:name="_Toc22122"/>
      <w:bookmarkStart w:id="1129" w:name="_Toc25266"/>
      <w:bookmarkStart w:id="1130" w:name="_Toc24523"/>
      <w:bookmarkStart w:id="1131" w:name="_Toc7048"/>
      <w:bookmarkStart w:id="1132" w:name="_Toc17151"/>
      <w:bookmarkStart w:id="1133" w:name="_Toc25269"/>
      <w:bookmarkStart w:id="1134" w:name="_Toc1447"/>
      <w:r>
        <w:rPr>
          <w:rFonts w:hint="eastAsia" w:ascii="微软雅黑" w:hAnsi="微软雅黑" w:eastAsia="微软雅黑" w:cs="微软雅黑"/>
          <w:b/>
          <w:bCs/>
          <w:sz w:val="24"/>
          <w:highlight w:val="none"/>
        </w:rPr>
        <w:t>2.2 技术规范</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480" w:firstLineChars="200"/>
        <w:outlineLvl w:val="0"/>
        <w:rPr>
          <w:rFonts w:ascii="微软雅黑" w:hAnsi="微软雅黑" w:eastAsia="微软雅黑" w:cs="微软雅黑"/>
          <w:b/>
          <w:bCs/>
          <w:sz w:val="24"/>
          <w:highlight w:val="none"/>
        </w:rPr>
      </w:pPr>
      <w:bookmarkStart w:id="1135" w:name="_Toc7722"/>
      <w:bookmarkStart w:id="1136" w:name="_Toc20130"/>
      <w:bookmarkStart w:id="1137" w:name="_Toc15227"/>
      <w:bookmarkStart w:id="1138" w:name="_Toc1649"/>
      <w:bookmarkStart w:id="1139" w:name="_Toc17383"/>
      <w:bookmarkStart w:id="1140" w:name="_Toc3854"/>
      <w:bookmarkStart w:id="1141" w:name="_Toc279701242"/>
      <w:bookmarkStart w:id="1142" w:name="_Toc6121"/>
      <w:bookmarkStart w:id="1143" w:name="_Toc31634"/>
      <w:bookmarkStart w:id="1144" w:name="_Toc30700"/>
      <w:bookmarkStart w:id="1145" w:name="_Toc28662"/>
      <w:bookmarkStart w:id="1146" w:name="_Toc4916"/>
      <w:bookmarkStart w:id="1147" w:name="_Toc23791"/>
      <w:bookmarkStart w:id="1148" w:name="_Toc18473"/>
      <w:bookmarkStart w:id="1149" w:name="_Toc14835"/>
      <w:bookmarkStart w:id="1150" w:name="_Toc14632"/>
      <w:bookmarkStart w:id="1151" w:name="_Toc32048"/>
      <w:bookmarkStart w:id="1152" w:name="_Toc15733"/>
      <w:bookmarkStart w:id="1153" w:name="_Toc975"/>
      <w:bookmarkStart w:id="1154" w:name="_Toc24537"/>
      <w:bookmarkStart w:id="1155" w:name="_Toc27853"/>
      <w:bookmarkStart w:id="1156" w:name="_Toc259093671"/>
      <w:bookmarkStart w:id="1157" w:name="_Toc30552"/>
      <w:bookmarkStart w:id="1158" w:name="_Toc487900351"/>
      <w:bookmarkStart w:id="1159" w:name="_Toc23649"/>
      <w:bookmarkStart w:id="1160" w:name="_Toc10461"/>
      <w:bookmarkStart w:id="1161" w:name="_Toc22279"/>
      <w:bookmarkStart w:id="1162" w:name="_Toc9829"/>
      <w:bookmarkStart w:id="1163" w:name="_Toc6835"/>
      <w:bookmarkStart w:id="1164" w:name="_Toc4029"/>
      <w:bookmarkStart w:id="1165" w:name="_Toc28946"/>
      <w:r>
        <w:rPr>
          <w:rFonts w:hint="eastAsia" w:ascii="微软雅黑" w:hAnsi="微软雅黑" w:eastAsia="微软雅黑" w:cs="微软雅黑"/>
          <w:b/>
          <w:bCs/>
          <w:sz w:val="24"/>
          <w:highlight w:val="none"/>
        </w:rPr>
        <w:t>2.3 知识产权</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2.3.2具有知识产权的计算机软件等货物的知识产权归属，详见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pPr>
        <w:ind w:firstLine="480" w:firstLineChars="200"/>
        <w:outlineLvl w:val="0"/>
        <w:rPr>
          <w:rFonts w:ascii="微软雅黑" w:hAnsi="微软雅黑" w:eastAsia="微软雅黑" w:cs="微软雅黑"/>
          <w:b/>
          <w:bCs/>
          <w:sz w:val="24"/>
          <w:highlight w:val="none"/>
        </w:rPr>
      </w:pPr>
      <w:bookmarkStart w:id="1166" w:name="_Toc12219"/>
      <w:bookmarkStart w:id="1167" w:name="_Toc10970"/>
      <w:bookmarkStart w:id="1168" w:name="_Toc26731"/>
      <w:bookmarkStart w:id="1169" w:name="_Toc28170"/>
      <w:bookmarkStart w:id="1170" w:name="_Toc27404"/>
      <w:bookmarkStart w:id="1171" w:name="_Toc19638"/>
      <w:bookmarkStart w:id="1172" w:name="_Toc4194"/>
      <w:bookmarkStart w:id="1173" w:name="_Toc17080"/>
      <w:bookmarkStart w:id="1174" w:name="_Toc25767"/>
      <w:bookmarkStart w:id="1175" w:name="_Toc10546"/>
      <w:bookmarkStart w:id="1176" w:name="_Toc28379"/>
      <w:bookmarkStart w:id="1177" w:name="_Toc5395"/>
      <w:bookmarkStart w:id="1178" w:name="_Toc3486"/>
      <w:bookmarkStart w:id="1179" w:name="_Toc24384"/>
      <w:bookmarkStart w:id="1180" w:name="_Toc11932"/>
      <w:bookmarkStart w:id="1181" w:name="_Toc23105"/>
      <w:bookmarkStart w:id="1182" w:name="_Toc455"/>
      <w:bookmarkStart w:id="1183" w:name="_Toc18554"/>
      <w:bookmarkStart w:id="1184" w:name="_Toc6781"/>
      <w:bookmarkStart w:id="1185" w:name="_Toc1877"/>
      <w:bookmarkStart w:id="1186" w:name="_Toc28714"/>
      <w:bookmarkStart w:id="1187" w:name="_Toc12904"/>
      <w:bookmarkStart w:id="1188" w:name="_Toc29149"/>
      <w:bookmarkStart w:id="1189" w:name="_Toc8795"/>
      <w:bookmarkStart w:id="1190" w:name="_Toc21468"/>
      <w:r>
        <w:rPr>
          <w:rFonts w:hint="eastAsia" w:ascii="微软雅黑" w:hAnsi="微软雅黑" w:eastAsia="微软雅黑" w:cs="微软雅黑"/>
          <w:b/>
          <w:bCs/>
          <w:sz w:val="24"/>
          <w:highlight w:val="none"/>
        </w:rPr>
        <w:t>2.4 包装和装运</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2.4.1除</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2.4.2 装运货物的要求和通知，详见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pPr>
        <w:ind w:firstLine="480" w:firstLineChars="200"/>
        <w:outlineLvl w:val="0"/>
        <w:rPr>
          <w:rFonts w:ascii="微软雅黑" w:hAnsi="微软雅黑" w:eastAsia="微软雅黑" w:cs="微软雅黑"/>
          <w:b/>
          <w:bCs/>
          <w:sz w:val="24"/>
          <w:highlight w:val="none"/>
        </w:rPr>
      </w:pPr>
      <w:bookmarkStart w:id="1191" w:name="_Ref467379536"/>
      <w:bookmarkStart w:id="1192" w:name="_Ref467379542"/>
      <w:bookmarkStart w:id="1193" w:name="_Toc279701245"/>
      <w:bookmarkStart w:id="1194" w:name="_Toc487900354"/>
      <w:bookmarkStart w:id="1195" w:name="_Ref467378591"/>
      <w:bookmarkStart w:id="1196" w:name="_Toc259093674"/>
      <w:bookmarkStart w:id="1197" w:name="_Ref467378541"/>
      <w:bookmarkStart w:id="1198" w:name="_Ref467379527"/>
      <w:bookmarkStart w:id="1199" w:name="_Toc24935"/>
      <w:bookmarkStart w:id="1200" w:name="_Toc30516"/>
      <w:bookmarkStart w:id="1201" w:name="_Toc30272"/>
      <w:bookmarkStart w:id="1202" w:name="_Toc7379"/>
      <w:bookmarkStart w:id="1203" w:name="_Toc1580"/>
      <w:bookmarkStart w:id="1204" w:name="_Toc21410"/>
      <w:bookmarkStart w:id="1205" w:name="_Toc28937"/>
      <w:bookmarkStart w:id="1206" w:name="_Toc30291"/>
      <w:bookmarkStart w:id="1207" w:name="_Toc18307"/>
      <w:bookmarkStart w:id="1208" w:name="_Toc530"/>
      <w:bookmarkStart w:id="1209" w:name="_Toc5927"/>
      <w:bookmarkStart w:id="1210" w:name="_Toc7299"/>
      <w:bookmarkStart w:id="1211" w:name="_Toc19074"/>
      <w:bookmarkStart w:id="1212" w:name="_Toc22056"/>
      <w:bookmarkStart w:id="1213" w:name="_Toc31437"/>
      <w:bookmarkStart w:id="1214" w:name="_Toc28324"/>
      <w:bookmarkStart w:id="1215" w:name="_Toc21198"/>
      <w:bookmarkStart w:id="1216" w:name="_Toc4831"/>
      <w:bookmarkStart w:id="1217" w:name="_Toc18515"/>
      <w:bookmarkStart w:id="1218" w:name="_Toc15512"/>
      <w:bookmarkStart w:id="1219" w:name="_Toc24299"/>
      <w:bookmarkStart w:id="1220" w:name="_Toc26182"/>
      <w:bookmarkStart w:id="1221" w:name="_Toc10209"/>
      <w:bookmarkStart w:id="1222" w:name="_Toc25281"/>
      <w:bookmarkStart w:id="1223" w:name="_Toc12428"/>
      <w:bookmarkStart w:id="1224" w:name="_Toc14100"/>
      <w:bookmarkStart w:id="1225" w:name="_Toc2815"/>
      <w:bookmarkStart w:id="1226" w:name="_Toc9681"/>
      <w:r>
        <w:rPr>
          <w:rFonts w:hint="eastAsia" w:ascii="微软雅黑" w:hAnsi="微软雅黑" w:eastAsia="微软雅黑" w:cs="微软雅黑"/>
          <w:b/>
          <w:bCs/>
          <w:sz w:val="24"/>
          <w:highlight w:val="none"/>
        </w:rPr>
        <w:t>2.</w:t>
      </w:r>
      <w:bookmarkEnd w:id="1191"/>
      <w:bookmarkEnd w:id="1192"/>
      <w:bookmarkEnd w:id="1193"/>
      <w:bookmarkEnd w:id="1194"/>
      <w:bookmarkEnd w:id="1195"/>
      <w:bookmarkEnd w:id="1196"/>
      <w:bookmarkEnd w:id="1197"/>
      <w:bookmarkEnd w:id="1198"/>
      <w:r>
        <w:rPr>
          <w:rFonts w:hint="eastAsia" w:ascii="微软雅黑" w:hAnsi="微软雅黑" w:eastAsia="微软雅黑" w:cs="微软雅黑"/>
          <w:b/>
          <w:bCs/>
          <w:sz w:val="24"/>
          <w:highlight w:val="none"/>
        </w:rPr>
        <w:t>5 履约检查和问题反馈</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ind w:firstLine="480" w:firstLineChars="200"/>
        <w:rPr>
          <w:rFonts w:ascii="微软雅黑" w:hAnsi="微软雅黑" w:eastAsia="微软雅黑" w:cs="微软雅黑"/>
          <w:sz w:val="24"/>
          <w:highlight w:val="none"/>
        </w:rPr>
      </w:pPr>
      <w:bookmarkStart w:id="1227" w:name="_Ref467379657"/>
      <w:r>
        <w:rPr>
          <w:rFonts w:hint="eastAsia" w:ascii="微软雅黑" w:hAnsi="微软雅黑" w:eastAsia="微软雅黑" w:cs="微软雅黑"/>
          <w:sz w:val="24"/>
          <w:highlight w:val="none"/>
        </w:rPr>
        <w:t>2.5.1</w:t>
      </w:r>
      <w:bookmarkEnd w:id="1227"/>
      <w:bookmarkStart w:id="1228" w:name="_Toc186431854"/>
      <w:bookmarkStart w:id="1229" w:name="_Ref467379807"/>
      <w:bookmarkStart w:id="1230" w:name="_Toc259093676"/>
      <w:bookmarkStart w:id="1231" w:name="_Toc279701247"/>
      <w:bookmarkStart w:id="1232" w:name="_Toc487900357"/>
      <w:bookmarkStart w:id="1233" w:name="_Ref467379793"/>
      <w:r>
        <w:rPr>
          <w:rFonts w:hint="eastAsia" w:ascii="微软雅黑" w:hAnsi="微软雅黑" w:eastAsia="微软雅黑" w:cs="微软雅黑"/>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2.5.2 合同履行期间，甲方有权将履行过程中出现的问题反馈给乙方，双方当事人应以书面形式约定需要完善和改进的内容</w:t>
      </w:r>
      <w:bookmarkEnd w:id="1228"/>
      <w:bookmarkStart w:id="1234" w:name="_Toc186431855"/>
      <w:r>
        <w:rPr>
          <w:rFonts w:hint="eastAsia" w:ascii="微软雅黑" w:hAnsi="微软雅黑" w:eastAsia="微软雅黑" w:cs="微软雅黑"/>
          <w:sz w:val="24"/>
          <w:highlight w:val="none"/>
        </w:rPr>
        <w:t>。</w:t>
      </w:r>
    </w:p>
    <w:bookmarkEnd w:id="1234"/>
    <w:p>
      <w:pPr>
        <w:ind w:firstLine="480" w:firstLineChars="200"/>
        <w:outlineLvl w:val="0"/>
        <w:rPr>
          <w:rFonts w:ascii="微软雅黑" w:hAnsi="微软雅黑" w:eastAsia="微软雅黑" w:cs="微软雅黑"/>
          <w:b/>
          <w:bCs/>
          <w:sz w:val="24"/>
          <w:highlight w:val="none"/>
        </w:rPr>
      </w:pPr>
      <w:bookmarkStart w:id="1235" w:name="_Toc31520"/>
      <w:bookmarkStart w:id="1236" w:name="_Toc5304"/>
      <w:bookmarkStart w:id="1237" w:name="_Toc2067"/>
      <w:bookmarkStart w:id="1238" w:name="_Toc12360"/>
      <w:bookmarkStart w:id="1239" w:name="_Toc26232"/>
      <w:bookmarkStart w:id="1240" w:name="_Toc26298"/>
      <w:bookmarkStart w:id="1241" w:name="_Toc26245"/>
      <w:bookmarkStart w:id="1242" w:name="_Toc24559"/>
      <w:bookmarkStart w:id="1243" w:name="_Toc10470"/>
      <w:bookmarkStart w:id="1244" w:name="_Toc28451"/>
      <w:bookmarkStart w:id="1245" w:name="_Toc8058"/>
      <w:bookmarkStart w:id="1246" w:name="_Toc10980"/>
      <w:bookmarkStart w:id="1247" w:name="_Toc234"/>
      <w:bookmarkStart w:id="1248" w:name="_Toc11522"/>
      <w:bookmarkStart w:id="1249" w:name="_Toc12377"/>
      <w:bookmarkStart w:id="1250" w:name="_Toc25751"/>
      <w:bookmarkStart w:id="1251" w:name="_Toc23261"/>
      <w:bookmarkStart w:id="1252" w:name="_Toc22499"/>
      <w:bookmarkStart w:id="1253" w:name="_Toc7512"/>
      <w:bookmarkStart w:id="1254" w:name="_Toc15854"/>
      <w:bookmarkStart w:id="1255" w:name="_Toc30354"/>
      <w:bookmarkStart w:id="1256" w:name="_Toc9092"/>
      <w:bookmarkStart w:id="1257" w:name="_Toc5363"/>
      <w:bookmarkStart w:id="1258" w:name="_Toc3518"/>
      <w:bookmarkStart w:id="1259" w:name="_Toc19219"/>
      <w:bookmarkStart w:id="1260" w:name="_Toc17283"/>
      <w:bookmarkStart w:id="1261" w:name="_Toc582"/>
      <w:bookmarkStart w:id="1262" w:name="_Toc7836"/>
      <w:r>
        <w:rPr>
          <w:rFonts w:hint="eastAsia" w:ascii="微软雅黑" w:hAnsi="微软雅黑" w:eastAsia="微软雅黑" w:cs="微软雅黑"/>
          <w:b/>
          <w:bCs/>
          <w:sz w:val="24"/>
          <w:highlight w:val="none"/>
        </w:rPr>
        <w:t>2.6 结算方式和付款条件</w:t>
      </w:r>
      <w:bookmarkEnd w:id="1229"/>
      <w:bookmarkEnd w:id="1230"/>
      <w:bookmarkEnd w:id="1231"/>
      <w:bookmarkEnd w:id="1232"/>
      <w:bookmarkEnd w:id="1233"/>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pPr>
        <w:ind w:firstLine="480" w:firstLineChars="200"/>
        <w:outlineLvl w:val="0"/>
        <w:rPr>
          <w:rFonts w:ascii="微软雅黑" w:hAnsi="微软雅黑" w:eastAsia="微软雅黑" w:cs="微软雅黑"/>
          <w:b/>
          <w:bCs/>
          <w:sz w:val="24"/>
          <w:highlight w:val="none"/>
        </w:rPr>
      </w:pPr>
      <w:bookmarkStart w:id="1263" w:name="_Toc259093677"/>
      <w:bookmarkStart w:id="1264" w:name="_Toc279701248"/>
      <w:bookmarkStart w:id="1265" w:name="_Ref467379863"/>
      <w:bookmarkStart w:id="1266" w:name="_Toc487900358"/>
      <w:bookmarkStart w:id="1267" w:name="_Ref467379923"/>
      <w:bookmarkStart w:id="1268" w:name="_Ref467379852"/>
      <w:bookmarkStart w:id="1269" w:name="_Toc17607"/>
      <w:bookmarkStart w:id="1270" w:name="_Toc9845"/>
      <w:bookmarkStart w:id="1271" w:name="_Toc10654"/>
      <w:bookmarkStart w:id="1272" w:name="_Toc3828"/>
      <w:bookmarkStart w:id="1273" w:name="_Toc14491"/>
      <w:bookmarkStart w:id="1274" w:name="_Toc24083"/>
      <w:bookmarkStart w:id="1275" w:name="_Toc1200"/>
      <w:bookmarkStart w:id="1276" w:name="_Toc10114"/>
      <w:bookmarkStart w:id="1277" w:name="_Toc23170"/>
      <w:bookmarkStart w:id="1278" w:name="_Toc8272"/>
      <w:bookmarkStart w:id="1279" w:name="_Toc7000"/>
      <w:bookmarkStart w:id="1280" w:name="_Toc29030"/>
      <w:bookmarkStart w:id="1281" w:name="_Toc17136"/>
      <w:bookmarkStart w:id="1282" w:name="_Toc28781"/>
      <w:bookmarkStart w:id="1283" w:name="_Toc774"/>
      <w:bookmarkStart w:id="1284" w:name="_Toc13900"/>
      <w:bookmarkStart w:id="1285" w:name="_Toc13023"/>
      <w:bookmarkStart w:id="1286" w:name="_Toc14432"/>
      <w:bookmarkStart w:id="1287" w:name="_Toc3225"/>
      <w:bookmarkStart w:id="1288" w:name="_Toc25277"/>
      <w:bookmarkStart w:id="1289" w:name="_Toc11615"/>
      <w:bookmarkStart w:id="1290" w:name="_Toc6635"/>
      <w:bookmarkStart w:id="1291" w:name="_Toc16110"/>
      <w:bookmarkStart w:id="1292" w:name="_Toc31971"/>
      <w:bookmarkStart w:id="1293" w:name="_Toc17051"/>
      <w:bookmarkStart w:id="1294" w:name="_Toc29616"/>
      <w:bookmarkStart w:id="1295" w:name="_Toc31305"/>
      <w:r>
        <w:rPr>
          <w:rFonts w:hint="eastAsia" w:ascii="微软雅黑" w:hAnsi="微软雅黑" w:eastAsia="微软雅黑" w:cs="微软雅黑"/>
          <w:b/>
          <w:bCs/>
          <w:sz w:val="24"/>
          <w:highlight w:val="none"/>
        </w:rPr>
        <w:t>2.7 技术资料</w:t>
      </w:r>
      <w:bookmarkEnd w:id="1263"/>
      <w:bookmarkEnd w:id="1264"/>
      <w:bookmarkEnd w:id="1265"/>
      <w:bookmarkEnd w:id="1266"/>
      <w:bookmarkEnd w:id="1267"/>
      <w:bookmarkEnd w:id="1268"/>
      <w:r>
        <w:rPr>
          <w:rFonts w:hint="eastAsia" w:ascii="微软雅黑" w:hAnsi="微软雅黑" w:eastAsia="微软雅黑" w:cs="微软雅黑"/>
          <w:b/>
          <w:bCs/>
          <w:sz w:val="24"/>
          <w:highlight w:val="none"/>
        </w:rPr>
        <w:t>和保密义务</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2.7.1 乙方有权依据合同约定和项目需要，向甲方了解有关情况，调阅有关资料等，甲方应予积极配合；</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2.7.2 乙方有义务妥善保管和保护由甲方提供的前款信息和资料等；</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480" w:firstLineChars="200"/>
        <w:outlineLvl w:val="0"/>
        <w:rPr>
          <w:rFonts w:ascii="微软雅黑" w:hAnsi="微软雅黑" w:eastAsia="微软雅黑" w:cs="微软雅黑"/>
          <w:b/>
          <w:bCs/>
          <w:sz w:val="24"/>
          <w:highlight w:val="none"/>
        </w:rPr>
      </w:pPr>
      <w:bookmarkStart w:id="1296" w:name="_Toc18231"/>
      <w:bookmarkStart w:id="1297" w:name="_Toc18551"/>
      <w:bookmarkStart w:id="1298" w:name="_Toc16190"/>
      <w:bookmarkStart w:id="1299" w:name="_Toc30503"/>
      <w:bookmarkStart w:id="1300" w:name="_Toc21267"/>
      <w:bookmarkStart w:id="1301" w:name="_Toc7860"/>
      <w:bookmarkStart w:id="1302" w:name="_Toc8288"/>
      <w:bookmarkStart w:id="1303" w:name="_Toc5200"/>
      <w:bookmarkStart w:id="1304" w:name="_Toc10326"/>
      <w:bookmarkStart w:id="1305" w:name="_Toc11543"/>
      <w:bookmarkStart w:id="1306" w:name="_Toc11328"/>
      <w:bookmarkStart w:id="1307" w:name="_Toc19659"/>
      <w:bookmarkStart w:id="1308" w:name="_Toc25676"/>
      <w:bookmarkStart w:id="1309" w:name="_Toc122"/>
      <w:bookmarkStart w:id="1310" w:name="_Toc27453"/>
      <w:bookmarkStart w:id="1311" w:name="_Toc30477"/>
      <w:bookmarkStart w:id="1312" w:name="_Toc26425"/>
      <w:bookmarkStart w:id="1313" w:name="_Toc14045"/>
      <w:bookmarkStart w:id="1314" w:name="_Toc4779"/>
      <w:bookmarkStart w:id="1315" w:name="_Toc30167"/>
      <w:bookmarkStart w:id="1316" w:name="_Toc11483"/>
      <w:bookmarkStart w:id="1317" w:name="_Toc5556"/>
      <w:bookmarkStart w:id="1318" w:name="_Toc1730"/>
      <w:bookmarkStart w:id="1319" w:name="_Toc3156"/>
      <w:bookmarkStart w:id="1320" w:name="_Toc23081"/>
      <w:bookmarkStart w:id="1321" w:name="_Toc11530"/>
      <w:r>
        <w:rPr>
          <w:rFonts w:hint="eastAsia" w:ascii="微软雅黑" w:hAnsi="微软雅黑" w:eastAsia="微软雅黑" w:cs="微软雅黑"/>
          <w:b/>
          <w:bCs/>
          <w:sz w:val="24"/>
          <w:highlight w:val="none"/>
        </w:rPr>
        <w:t>2.8 质量保证</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2.8.1 乙方应建立和完善履行合同的内部质量保证体系，并提供相关内部规章制度给甲方，以便甲方进行监督检查；</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2.8.2 乙方应保证履行合同的人员数量和素质、软件和硬件设备的配置、场地、环境和设施等满足全面履行合同的要求，并应接受甲方的监督检查。</w:t>
      </w:r>
    </w:p>
    <w:p>
      <w:pPr>
        <w:ind w:firstLine="480" w:firstLineChars="200"/>
        <w:outlineLvl w:val="0"/>
        <w:rPr>
          <w:rFonts w:ascii="微软雅黑" w:hAnsi="微软雅黑" w:eastAsia="微软雅黑" w:cs="微软雅黑"/>
          <w:b/>
          <w:bCs/>
          <w:sz w:val="24"/>
          <w:highlight w:val="none"/>
        </w:rPr>
      </w:pPr>
      <w:bookmarkStart w:id="1322" w:name="_Toc31920"/>
      <w:bookmarkStart w:id="1323" w:name="_Toc27238"/>
      <w:bookmarkStart w:id="1324" w:name="_Toc801"/>
      <w:bookmarkStart w:id="1325" w:name="_Toc21627"/>
      <w:bookmarkStart w:id="1326" w:name="_Toc12966"/>
      <w:bookmarkStart w:id="1327" w:name="_Toc14596"/>
      <w:bookmarkStart w:id="1328" w:name="_Toc27234"/>
      <w:bookmarkStart w:id="1329" w:name="_Toc28147"/>
      <w:bookmarkStart w:id="1330" w:name="_Toc12408"/>
      <w:bookmarkStart w:id="1331" w:name="_Toc812"/>
      <w:bookmarkStart w:id="1332" w:name="_Toc9742"/>
      <w:bookmarkStart w:id="1333" w:name="_Toc17244"/>
      <w:bookmarkStart w:id="1334" w:name="_Toc13410"/>
      <w:bookmarkStart w:id="1335" w:name="_Toc12010"/>
      <w:bookmarkStart w:id="1336" w:name="_Toc25529"/>
      <w:bookmarkStart w:id="1337" w:name="_Toc15929"/>
      <w:bookmarkStart w:id="1338" w:name="_Toc26555"/>
      <w:bookmarkStart w:id="1339" w:name="_Toc5005"/>
      <w:bookmarkStart w:id="1340" w:name="_Toc23172"/>
      <w:bookmarkStart w:id="1341" w:name="_Toc15408"/>
      <w:bookmarkStart w:id="1342" w:name="_Toc14663"/>
      <w:bookmarkStart w:id="1343" w:name="_Toc17030"/>
      <w:bookmarkStart w:id="1344" w:name="_Toc17497"/>
      <w:bookmarkStart w:id="1345" w:name="_Toc3300"/>
      <w:bookmarkStart w:id="1346" w:name="_Toc22016"/>
      <w:bookmarkStart w:id="1347" w:name="_Toc487900362"/>
      <w:bookmarkStart w:id="1348" w:name="_Toc279701252"/>
      <w:bookmarkStart w:id="1349" w:name="_Toc259093681"/>
      <w:r>
        <w:rPr>
          <w:rFonts w:hint="eastAsia" w:ascii="微软雅黑" w:hAnsi="微软雅黑" w:eastAsia="微软雅黑" w:cs="微软雅黑"/>
          <w:b/>
          <w:bCs/>
          <w:sz w:val="24"/>
          <w:highlight w:val="none"/>
        </w:rPr>
        <w:t>2.9 货物的风险负担</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pPr>
        <w:ind w:firstLine="480" w:firstLineChars="200"/>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货物或者在途货物或者交付给第一承运人后的货物毁损、灭失的风险负担详见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w:t>
      </w:r>
    </w:p>
    <w:p>
      <w:pPr>
        <w:ind w:firstLine="480" w:firstLineChars="200"/>
        <w:outlineLvl w:val="0"/>
        <w:rPr>
          <w:rFonts w:ascii="微软雅黑" w:hAnsi="微软雅黑" w:eastAsia="微软雅黑" w:cs="微软雅黑"/>
          <w:b/>
          <w:bCs/>
          <w:sz w:val="24"/>
          <w:highlight w:val="none"/>
        </w:rPr>
      </w:pPr>
      <w:bookmarkStart w:id="1350" w:name="_Toc2259"/>
      <w:bookmarkStart w:id="1351" w:name="_Toc14698"/>
      <w:bookmarkStart w:id="1352" w:name="_Toc10676"/>
      <w:bookmarkStart w:id="1353" w:name="_Toc9785"/>
      <w:bookmarkStart w:id="1354" w:name="_Toc29837"/>
      <w:bookmarkStart w:id="1355" w:name="_Toc2"/>
      <w:bookmarkStart w:id="1356" w:name="_Toc14055"/>
      <w:bookmarkStart w:id="1357" w:name="_Toc6602"/>
      <w:bookmarkStart w:id="1358" w:name="_Toc29192"/>
      <w:bookmarkStart w:id="1359" w:name="_Toc22674"/>
      <w:bookmarkStart w:id="1360" w:name="_Toc19684"/>
      <w:bookmarkStart w:id="1361" w:name="_Toc23235"/>
      <w:bookmarkStart w:id="1362" w:name="_Toc15112"/>
      <w:bookmarkStart w:id="1363" w:name="_Toc25663"/>
      <w:bookmarkStart w:id="1364" w:name="_Toc15465"/>
      <w:bookmarkStart w:id="1365" w:name="_Toc26567"/>
      <w:bookmarkStart w:id="1366" w:name="_Toc5196"/>
      <w:bookmarkStart w:id="1367" w:name="_Toc20457"/>
      <w:bookmarkStart w:id="1368" w:name="_Toc1299"/>
      <w:bookmarkStart w:id="1369" w:name="_Toc17555"/>
      <w:bookmarkStart w:id="1370" w:name="_Toc7986"/>
      <w:bookmarkStart w:id="1371" w:name="_Toc16001"/>
      <w:bookmarkStart w:id="1372" w:name="_Toc20938"/>
      <w:bookmarkStart w:id="1373" w:name="_Toc15972"/>
      <w:bookmarkStart w:id="1374" w:name="_Toc1494"/>
      <w:bookmarkStart w:id="1375" w:name="_Toc11963"/>
      <w:r>
        <w:rPr>
          <w:rFonts w:hint="eastAsia" w:ascii="微软雅黑" w:hAnsi="微软雅黑" w:eastAsia="微软雅黑" w:cs="微软雅黑"/>
          <w:b/>
          <w:bCs/>
          <w:sz w:val="24"/>
          <w:highlight w:val="none"/>
        </w:rPr>
        <w:t>2.10 延迟交货</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ind w:firstLine="480" w:firstLineChars="200"/>
        <w:outlineLvl w:val="0"/>
        <w:rPr>
          <w:rFonts w:ascii="微软雅黑" w:hAnsi="微软雅黑" w:eastAsia="微软雅黑" w:cs="微软雅黑"/>
          <w:b/>
          <w:bCs/>
          <w:sz w:val="24"/>
          <w:highlight w:val="none"/>
        </w:rPr>
      </w:pPr>
      <w:bookmarkStart w:id="1376" w:name="_Toc31403"/>
      <w:bookmarkStart w:id="1377" w:name="_Toc507"/>
      <w:bookmarkStart w:id="1378" w:name="_Toc27763"/>
      <w:bookmarkStart w:id="1379" w:name="_Toc16810"/>
      <w:bookmarkStart w:id="1380" w:name="_Toc15143"/>
      <w:bookmarkStart w:id="1381" w:name="_Toc7502"/>
      <w:bookmarkStart w:id="1382" w:name="_Toc2860"/>
      <w:bookmarkStart w:id="1383" w:name="_Toc23198"/>
      <w:bookmarkStart w:id="1384" w:name="_Toc25791"/>
      <w:bookmarkStart w:id="1385" w:name="_Toc10956"/>
      <w:bookmarkStart w:id="1386" w:name="_Toc14851"/>
      <w:bookmarkStart w:id="1387" w:name="_Toc18704"/>
      <w:bookmarkStart w:id="1388" w:name="_Toc20266"/>
      <w:bookmarkStart w:id="1389" w:name="_Toc16528"/>
      <w:bookmarkStart w:id="1390" w:name="_Toc7444"/>
      <w:bookmarkStart w:id="1391" w:name="_Toc30445"/>
      <w:bookmarkStart w:id="1392" w:name="_Toc8441"/>
      <w:bookmarkStart w:id="1393" w:name="_Toc9706"/>
      <w:bookmarkStart w:id="1394" w:name="_Toc12175"/>
      <w:bookmarkStart w:id="1395" w:name="_Toc29075"/>
      <w:bookmarkStart w:id="1396" w:name="_Toc17237"/>
      <w:bookmarkStart w:id="1397" w:name="_Toc25717"/>
      <w:bookmarkStart w:id="1398" w:name="_Toc9194"/>
      <w:bookmarkStart w:id="1399" w:name="_Toc3064"/>
      <w:bookmarkStart w:id="1400" w:name="_Toc8126"/>
      <w:bookmarkStart w:id="1401" w:name="_Toc487900364"/>
      <w:bookmarkStart w:id="1402" w:name="_Toc279701254"/>
      <w:bookmarkStart w:id="1403" w:name="_Ref467378121"/>
      <w:bookmarkStart w:id="1404" w:name="_Toc259093683"/>
      <w:r>
        <w:rPr>
          <w:rFonts w:hint="eastAsia" w:ascii="微软雅黑" w:hAnsi="微软雅黑" w:eastAsia="微软雅黑" w:cs="微软雅黑"/>
          <w:b/>
          <w:bCs/>
          <w:sz w:val="24"/>
          <w:highlight w:val="none"/>
        </w:rPr>
        <w:t>2.11 合同变更</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2.11.2 合同继续履行将损害国家利益和社会公共利益的，双方当事人应当以书面形式变更合同。有过错的一方应当承担赔偿责任，双方当事人都有过错的，各自承担相应的责任。</w:t>
      </w:r>
      <w:bookmarkStart w:id="1405" w:name="_Toc279701259"/>
      <w:bookmarkStart w:id="1406" w:name="_Toc487900369"/>
      <w:bookmarkStart w:id="1407" w:name="_Toc259093688"/>
    </w:p>
    <w:p>
      <w:pPr>
        <w:ind w:firstLine="480" w:firstLineChars="200"/>
        <w:outlineLvl w:val="0"/>
        <w:rPr>
          <w:rFonts w:ascii="微软雅黑" w:hAnsi="微软雅黑" w:eastAsia="微软雅黑" w:cs="微软雅黑"/>
          <w:b/>
          <w:bCs/>
          <w:sz w:val="24"/>
          <w:highlight w:val="none"/>
        </w:rPr>
      </w:pPr>
      <w:bookmarkStart w:id="1408" w:name="_Toc32581"/>
      <w:bookmarkStart w:id="1409" w:name="_Toc26864"/>
      <w:bookmarkStart w:id="1410" w:name="_Toc25092"/>
      <w:bookmarkStart w:id="1411" w:name="_Toc27772"/>
      <w:bookmarkStart w:id="1412" w:name="_Toc32309"/>
      <w:bookmarkStart w:id="1413" w:name="_Toc18316"/>
      <w:bookmarkStart w:id="1414" w:name="_Toc11626"/>
      <w:bookmarkStart w:id="1415" w:name="_Toc10366"/>
      <w:bookmarkStart w:id="1416" w:name="_Toc17341"/>
      <w:bookmarkStart w:id="1417" w:name="_Toc14895"/>
      <w:bookmarkStart w:id="1418" w:name="_Toc3928"/>
      <w:bookmarkStart w:id="1419" w:name="_Toc21753"/>
      <w:bookmarkStart w:id="1420" w:name="_Toc3825"/>
      <w:bookmarkStart w:id="1421" w:name="_Toc25508"/>
      <w:bookmarkStart w:id="1422" w:name="_Toc8679"/>
      <w:bookmarkStart w:id="1423" w:name="_Toc6051"/>
      <w:bookmarkStart w:id="1424" w:name="_Toc19380"/>
      <w:bookmarkStart w:id="1425" w:name="_Toc32521"/>
      <w:bookmarkStart w:id="1426" w:name="_Toc22955"/>
      <w:bookmarkStart w:id="1427" w:name="_Toc3062"/>
      <w:bookmarkStart w:id="1428" w:name="_Toc3931"/>
      <w:bookmarkStart w:id="1429" w:name="_Toc29045"/>
      <w:bookmarkStart w:id="1430" w:name="_Toc24511"/>
      <w:bookmarkStart w:id="1431" w:name="_Toc2157"/>
      <w:bookmarkStart w:id="1432" w:name="_Toc10537"/>
      <w:bookmarkStart w:id="1433" w:name="_Toc26224"/>
      <w:bookmarkStart w:id="1434" w:name="_Toc23079"/>
      <w:bookmarkStart w:id="1435" w:name="_Toc15237"/>
      <w:r>
        <w:rPr>
          <w:rFonts w:hint="eastAsia" w:ascii="微软雅黑" w:hAnsi="微软雅黑" w:eastAsia="微软雅黑" w:cs="微软雅黑"/>
          <w:b/>
          <w:bCs/>
          <w:sz w:val="24"/>
          <w:highlight w:val="none"/>
        </w:rPr>
        <w:t>2.12 合同转让</w:t>
      </w:r>
      <w:bookmarkEnd w:id="1405"/>
      <w:bookmarkEnd w:id="1406"/>
      <w:bookmarkEnd w:id="1407"/>
      <w:r>
        <w:rPr>
          <w:rFonts w:hint="eastAsia" w:ascii="微软雅黑" w:hAnsi="微软雅黑" w:eastAsia="微软雅黑" w:cs="微软雅黑"/>
          <w:b/>
          <w:bCs/>
          <w:sz w:val="24"/>
          <w:highlight w:val="none"/>
        </w:rPr>
        <w:t>和分包</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480" w:firstLineChars="200"/>
        <w:outlineLvl w:val="0"/>
        <w:rPr>
          <w:rFonts w:ascii="微软雅黑" w:hAnsi="微软雅黑" w:eastAsia="微软雅黑" w:cs="微软雅黑"/>
          <w:b/>
          <w:bCs/>
          <w:sz w:val="24"/>
          <w:highlight w:val="none"/>
        </w:rPr>
      </w:pPr>
      <w:bookmarkStart w:id="1436" w:name="_Toc14752"/>
      <w:bookmarkStart w:id="1437" w:name="_Toc16893"/>
      <w:bookmarkStart w:id="1438" w:name="_Toc22326"/>
      <w:bookmarkStart w:id="1439" w:name="_Toc3533"/>
      <w:bookmarkStart w:id="1440" w:name="_Toc3177"/>
      <w:bookmarkStart w:id="1441" w:name="_Toc5484"/>
      <w:bookmarkStart w:id="1442" w:name="_Toc24741"/>
      <w:bookmarkStart w:id="1443" w:name="_Toc2586"/>
      <w:bookmarkStart w:id="1444" w:name="_Toc4249"/>
      <w:bookmarkStart w:id="1445" w:name="_Toc16508"/>
      <w:bookmarkStart w:id="1446" w:name="_Toc31984"/>
      <w:bookmarkStart w:id="1447" w:name="_Toc32515"/>
      <w:bookmarkStart w:id="1448" w:name="_Toc13566"/>
      <w:bookmarkStart w:id="1449" w:name="_Toc12809"/>
      <w:bookmarkStart w:id="1450" w:name="_Toc13557"/>
      <w:bookmarkStart w:id="1451" w:name="_Toc11104"/>
      <w:bookmarkStart w:id="1452" w:name="_Toc19750"/>
      <w:bookmarkStart w:id="1453" w:name="_Toc14564"/>
      <w:bookmarkStart w:id="1454" w:name="_Toc22191"/>
      <w:bookmarkStart w:id="1455" w:name="_Toc7292"/>
      <w:bookmarkStart w:id="1456" w:name="_Toc8114"/>
      <w:bookmarkStart w:id="1457" w:name="_Toc12165"/>
      <w:bookmarkStart w:id="1458" w:name="_Toc4540"/>
      <w:bookmarkStart w:id="1459" w:name="_Toc32426"/>
      <w:bookmarkStart w:id="1460" w:name="_Toc15741"/>
      <w:bookmarkStart w:id="1461" w:name="_Toc17498"/>
      <w:bookmarkStart w:id="1462" w:name="_Toc10688"/>
      <w:bookmarkStart w:id="1463" w:name="_Toc14066"/>
      <w:r>
        <w:rPr>
          <w:rFonts w:hint="eastAsia" w:ascii="微软雅黑" w:hAnsi="微软雅黑" w:eastAsia="微软雅黑" w:cs="微软雅黑"/>
          <w:b/>
          <w:bCs/>
          <w:sz w:val="24"/>
          <w:highlight w:val="none"/>
        </w:rPr>
        <w:t>2.13 不可抗力</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2.13.1如果任何一方遭遇法律规定的不可抗力，致使合同履行受阻时，履行合同的期限应予延长，延长的期限应相当于不可抗力所影响的时间；</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2.13.2 因不可抗力致使不能实现合同目的的，当事人可以解除合同；</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2.13.3 因不可抗力致使合同有变更必要的，双方当事人应在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约定时间内以书面形式变更合同；</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2.13.4受不可抗力影响的一方在不可抗力发生后，应在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约定时间内以书面形式通知对方当事人，并在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约定时间内，将有关部门出具的证明文件送达对方当事人。</w:t>
      </w:r>
    </w:p>
    <w:p>
      <w:pPr>
        <w:ind w:firstLine="480" w:firstLineChars="200"/>
        <w:outlineLvl w:val="0"/>
        <w:rPr>
          <w:rFonts w:ascii="微软雅黑" w:hAnsi="微软雅黑" w:eastAsia="微软雅黑" w:cs="微软雅黑"/>
          <w:b/>
          <w:bCs/>
          <w:sz w:val="24"/>
          <w:highlight w:val="none"/>
        </w:rPr>
      </w:pPr>
      <w:bookmarkStart w:id="1464" w:name="_Toc259093684"/>
      <w:bookmarkStart w:id="1465" w:name="_Toc28117"/>
      <w:bookmarkStart w:id="1466" w:name="_Toc5884"/>
      <w:bookmarkStart w:id="1467" w:name="_Toc30676"/>
      <w:bookmarkStart w:id="1468" w:name="_Toc11423"/>
      <w:bookmarkStart w:id="1469" w:name="_Toc25124"/>
      <w:bookmarkStart w:id="1470" w:name="_Toc4006"/>
      <w:bookmarkStart w:id="1471" w:name="_Toc1584"/>
      <w:bookmarkStart w:id="1472" w:name="_Toc15074"/>
      <w:bookmarkStart w:id="1473" w:name="_Toc6288"/>
      <w:bookmarkStart w:id="1474" w:name="_Toc689"/>
      <w:bookmarkStart w:id="1475" w:name="_Toc8392"/>
      <w:bookmarkStart w:id="1476" w:name="_Toc7175"/>
      <w:bookmarkStart w:id="1477" w:name="_Toc26085"/>
      <w:bookmarkStart w:id="1478" w:name="_Toc6676"/>
      <w:bookmarkStart w:id="1479" w:name="_Toc31597"/>
      <w:bookmarkStart w:id="1480" w:name="_Toc279701255"/>
      <w:bookmarkStart w:id="1481" w:name="_Toc487900365"/>
      <w:bookmarkStart w:id="1482" w:name="_Toc12959"/>
      <w:bookmarkStart w:id="1483" w:name="_Toc6047"/>
      <w:bookmarkStart w:id="1484" w:name="_Toc6969"/>
      <w:bookmarkStart w:id="1485" w:name="_Toc28340"/>
      <w:bookmarkStart w:id="1486" w:name="_Toc24010"/>
      <w:bookmarkStart w:id="1487" w:name="_Toc10528"/>
      <w:bookmarkStart w:id="1488" w:name="_Toc16229"/>
      <w:bookmarkStart w:id="1489" w:name="_Toc7145"/>
      <w:bookmarkStart w:id="1490" w:name="_Toc13910"/>
      <w:bookmarkStart w:id="1491" w:name="_Toc14542"/>
      <w:bookmarkStart w:id="1492" w:name="_Toc11876"/>
      <w:bookmarkStart w:id="1493" w:name="_Toc32764"/>
      <w:bookmarkStart w:id="1494" w:name="_Toc19677"/>
      <w:r>
        <w:rPr>
          <w:rFonts w:hint="eastAsia" w:ascii="微软雅黑" w:hAnsi="微软雅黑" w:eastAsia="微软雅黑" w:cs="微软雅黑"/>
          <w:b/>
          <w:bCs/>
          <w:sz w:val="24"/>
          <w:highlight w:val="none"/>
        </w:rPr>
        <w:t>2.14 税费</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与合同有关的一切税费，均按照中华人民共和国法律的相关规定。</w:t>
      </w:r>
    </w:p>
    <w:p>
      <w:pPr>
        <w:ind w:firstLine="480" w:firstLineChars="200"/>
        <w:outlineLvl w:val="0"/>
        <w:rPr>
          <w:rFonts w:ascii="微软雅黑" w:hAnsi="微软雅黑" w:eastAsia="微软雅黑" w:cs="微软雅黑"/>
          <w:b/>
          <w:bCs/>
          <w:sz w:val="24"/>
          <w:highlight w:val="none"/>
        </w:rPr>
      </w:pPr>
      <w:bookmarkStart w:id="1495" w:name="_Toc23266"/>
      <w:bookmarkStart w:id="1496" w:name="_Toc21290"/>
      <w:bookmarkStart w:id="1497" w:name="_Toc8298"/>
      <w:bookmarkStart w:id="1498" w:name="_Toc12141"/>
      <w:bookmarkStart w:id="1499" w:name="_Toc11850"/>
      <w:bookmarkStart w:id="1500" w:name="_Toc27709"/>
      <w:bookmarkStart w:id="1501" w:name="_Toc27541"/>
      <w:bookmarkStart w:id="1502" w:name="_Toc16959"/>
      <w:bookmarkStart w:id="1503" w:name="_Toc22846"/>
      <w:bookmarkStart w:id="1504" w:name="_Toc7117"/>
      <w:bookmarkStart w:id="1505" w:name="_Toc259093687"/>
      <w:bookmarkStart w:id="1506" w:name="_Toc13488"/>
      <w:bookmarkStart w:id="1507" w:name="_Toc487900368"/>
      <w:bookmarkStart w:id="1508" w:name="_Toc515"/>
      <w:bookmarkStart w:id="1509" w:name="_Toc11308"/>
      <w:bookmarkStart w:id="1510" w:name="_Toc8934"/>
      <w:bookmarkStart w:id="1511" w:name="_Toc7102"/>
      <w:bookmarkStart w:id="1512" w:name="_Toc20594"/>
      <w:bookmarkStart w:id="1513" w:name="_Toc22239"/>
      <w:bookmarkStart w:id="1514" w:name="_Toc25260"/>
      <w:bookmarkStart w:id="1515" w:name="_Toc29993"/>
      <w:bookmarkStart w:id="1516" w:name="_Toc29869"/>
      <w:bookmarkStart w:id="1517" w:name="_Toc17523"/>
      <w:bookmarkStart w:id="1518" w:name="_Toc279701258"/>
      <w:bookmarkStart w:id="1519" w:name="_Toc15256"/>
      <w:bookmarkStart w:id="1520" w:name="_Toc14403"/>
      <w:bookmarkStart w:id="1521" w:name="_Toc15527"/>
      <w:bookmarkStart w:id="1522" w:name="_Toc13626"/>
      <w:bookmarkStart w:id="1523" w:name="_Toc25055"/>
      <w:bookmarkStart w:id="1524" w:name="_Toc24862"/>
      <w:r>
        <w:rPr>
          <w:rFonts w:hint="eastAsia" w:ascii="微软雅黑" w:hAnsi="微软雅黑" w:eastAsia="微软雅黑" w:cs="微软雅黑"/>
          <w:b/>
          <w:bCs/>
          <w:sz w:val="24"/>
          <w:highlight w:val="none"/>
        </w:rPr>
        <w:t>2.15 乙方破产</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480" w:firstLineChars="200"/>
        <w:outlineLvl w:val="0"/>
        <w:rPr>
          <w:rFonts w:ascii="微软雅黑" w:hAnsi="微软雅黑" w:eastAsia="微软雅黑" w:cs="微软雅黑"/>
          <w:b/>
          <w:bCs/>
          <w:sz w:val="24"/>
          <w:highlight w:val="none"/>
        </w:rPr>
      </w:pPr>
      <w:bookmarkStart w:id="1525" w:name="_Toc30362"/>
      <w:bookmarkStart w:id="1526" w:name="_Toc9318"/>
      <w:bookmarkStart w:id="1527" w:name="_Toc13815"/>
      <w:bookmarkStart w:id="1528" w:name="_Toc1303"/>
      <w:bookmarkStart w:id="1529" w:name="_Toc24867"/>
      <w:bookmarkStart w:id="1530" w:name="_Toc29333"/>
      <w:bookmarkStart w:id="1531" w:name="_Toc15445"/>
      <w:bookmarkStart w:id="1532" w:name="_Toc19709"/>
      <w:bookmarkStart w:id="1533" w:name="_Toc24976"/>
      <w:bookmarkStart w:id="1534" w:name="_Toc15605"/>
      <w:bookmarkStart w:id="1535" w:name="_Toc12606"/>
      <w:bookmarkStart w:id="1536" w:name="_Toc4028"/>
      <w:bookmarkStart w:id="1537" w:name="_Toc32508"/>
      <w:bookmarkStart w:id="1538" w:name="_Toc31639"/>
      <w:bookmarkStart w:id="1539" w:name="_Toc26255"/>
      <w:bookmarkStart w:id="1540" w:name="_Toc1942"/>
      <w:bookmarkStart w:id="1541" w:name="_Toc110"/>
      <w:bookmarkStart w:id="1542" w:name="_Toc15387"/>
      <w:bookmarkStart w:id="1543" w:name="_Toc4013"/>
      <w:bookmarkStart w:id="1544" w:name="_Toc29764"/>
      <w:bookmarkStart w:id="1545" w:name="_Toc25273"/>
      <w:bookmarkStart w:id="1546" w:name="_Toc16990"/>
      <w:bookmarkStart w:id="1547" w:name="_Toc23040"/>
      <w:bookmarkStart w:id="1548" w:name="_Toc6134"/>
      <w:bookmarkStart w:id="1549" w:name="_Toc27106"/>
      <w:bookmarkStart w:id="1550" w:name="_Toc4227"/>
      <w:bookmarkStart w:id="1551" w:name="_Toc24066"/>
      <w:bookmarkStart w:id="1552" w:name="_Toc818"/>
      <w:r>
        <w:rPr>
          <w:rFonts w:hint="eastAsia" w:ascii="微软雅黑" w:hAnsi="微软雅黑" w:eastAsia="微软雅黑" w:cs="微软雅黑"/>
          <w:b/>
          <w:bCs/>
          <w:sz w:val="24"/>
          <w:highlight w:val="none"/>
        </w:rPr>
        <w:t>2.16 合同中止、终止</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2.16.1 双方当事人不得擅自中止或者终止合同；</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2.16.2合同继续履行将损害国家利益和社会公共利益的，双方当事人应当中止或者终止合同。有过错的一方应当承担赔偿责任，双方当事人都有过错的，各自承担相应的责任。</w:t>
      </w:r>
    </w:p>
    <w:p>
      <w:pPr>
        <w:ind w:firstLine="480" w:firstLineChars="200"/>
        <w:outlineLvl w:val="0"/>
        <w:rPr>
          <w:rFonts w:ascii="微软雅黑" w:hAnsi="微软雅黑" w:eastAsia="微软雅黑" w:cs="微软雅黑"/>
          <w:b/>
          <w:bCs/>
          <w:sz w:val="24"/>
          <w:highlight w:val="none"/>
        </w:rPr>
      </w:pPr>
      <w:bookmarkStart w:id="1553" w:name="_Toc20145"/>
      <w:bookmarkStart w:id="1554" w:name="_Toc26299"/>
      <w:bookmarkStart w:id="1555" w:name="_Toc11637"/>
      <w:bookmarkStart w:id="1556" w:name="_Toc19755"/>
      <w:bookmarkStart w:id="1557" w:name="_Toc13848"/>
      <w:bookmarkStart w:id="1558" w:name="_Toc14890"/>
      <w:bookmarkStart w:id="1559" w:name="_Toc6244"/>
      <w:bookmarkStart w:id="1560" w:name="_Toc28047"/>
      <w:bookmarkStart w:id="1561" w:name="_Toc25358"/>
      <w:bookmarkStart w:id="1562" w:name="_Toc30958"/>
      <w:bookmarkStart w:id="1563" w:name="_Toc25516"/>
      <w:bookmarkStart w:id="1564" w:name="_Toc31577"/>
      <w:bookmarkStart w:id="1565" w:name="_Toc14563"/>
      <w:bookmarkStart w:id="1566" w:name="_Toc6596"/>
      <w:bookmarkStart w:id="1567" w:name="_Toc6704"/>
      <w:bookmarkStart w:id="1568" w:name="_Toc30133"/>
      <w:bookmarkStart w:id="1569" w:name="_Toc1125"/>
      <w:bookmarkStart w:id="1570" w:name="_Toc25230"/>
      <w:bookmarkStart w:id="1571" w:name="_Toc21636"/>
      <w:bookmarkStart w:id="1572" w:name="_Toc28303"/>
      <w:bookmarkStart w:id="1573" w:name="_Toc24731"/>
      <w:bookmarkStart w:id="1574" w:name="_Toc20963"/>
      <w:bookmarkStart w:id="1575" w:name="_Toc25710"/>
      <w:bookmarkStart w:id="1576" w:name="_Toc30476"/>
      <w:bookmarkStart w:id="1577" w:name="_Toc4807"/>
      <w:bookmarkStart w:id="1578" w:name="_Toc11658"/>
      <w:bookmarkStart w:id="1579" w:name="_Toc4111"/>
      <w:r>
        <w:rPr>
          <w:rFonts w:hint="eastAsia" w:ascii="微软雅黑" w:hAnsi="微软雅黑" w:eastAsia="微软雅黑" w:cs="微软雅黑"/>
          <w:b/>
          <w:bCs/>
          <w:sz w:val="24"/>
          <w:highlight w:val="none"/>
        </w:rPr>
        <w:t>2.17 检验和验收</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pPr>
        <w:tabs>
          <w:tab w:val="left" w:pos="360"/>
          <w:tab w:val="left" w:pos="540"/>
          <w:tab w:val="left" w:pos="1080"/>
        </w:tabs>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约定时间内组织验收，并可依法邀请相关方参加，验收应出具验收书。</w:t>
      </w:r>
    </w:p>
    <w:p>
      <w:pPr>
        <w:tabs>
          <w:tab w:val="left" w:pos="360"/>
          <w:tab w:val="left" w:pos="540"/>
          <w:tab w:val="left" w:pos="1080"/>
        </w:tabs>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2.17.3 检验和验收标准、程序等具体内容以及前述验收书的效力详见</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i/>
          <w:iCs/>
          <w:sz w:val="24"/>
          <w:highlight w:val="none"/>
        </w:rPr>
        <w:t>。</w:t>
      </w:r>
    </w:p>
    <w:bookmarkEnd w:id="1401"/>
    <w:bookmarkEnd w:id="1402"/>
    <w:bookmarkEnd w:id="1403"/>
    <w:bookmarkEnd w:id="1404"/>
    <w:p>
      <w:pPr>
        <w:ind w:firstLine="480" w:firstLineChars="200"/>
        <w:outlineLvl w:val="0"/>
        <w:rPr>
          <w:rFonts w:ascii="微软雅黑" w:hAnsi="微软雅黑" w:eastAsia="微软雅黑" w:cs="微软雅黑"/>
          <w:b/>
          <w:bCs/>
          <w:sz w:val="24"/>
          <w:highlight w:val="none"/>
        </w:rPr>
      </w:pPr>
      <w:bookmarkStart w:id="1580" w:name="_Toc259093690"/>
      <w:bookmarkStart w:id="1581" w:name="_Toc279701261"/>
      <w:bookmarkStart w:id="1582" w:name="_Toc487900371"/>
      <w:bookmarkStart w:id="1583" w:name="_Toc725"/>
      <w:bookmarkStart w:id="1584" w:name="_Toc32533"/>
      <w:bookmarkStart w:id="1585" w:name="_Toc7660"/>
      <w:bookmarkStart w:id="1586" w:name="_Toc7641"/>
      <w:bookmarkStart w:id="1587" w:name="_Toc26892"/>
      <w:bookmarkStart w:id="1588" w:name="_Toc15037"/>
      <w:bookmarkStart w:id="1589" w:name="_Toc14242"/>
      <w:bookmarkStart w:id="1590" w:name="_Toc11284"/>
      <w:bookmarkStart w:id="1591" w:name="_Toc26823"/>
      <w:bookmarkStart w:id="1592" w:name="_Toc29267"/>
      <w:bookmarkStart w:id="1593" w:name="_Toc19604"/>
      <w:bookmarkStart w:id="1594" w:name="_Toc22021"/>
      <w:bookmarkStart w:id="1595" w:name="_Toc8125"/>
      <w:bookmarkStart w:id="1596" w:name="_Toc13220"/>
      <w:bookmarkStart w:id="1597" w:name="_Toc10130"/>
      <w:bookmarkStart w:id="1598" w:name="_Toc12493"/>
      <w:bookmarkStart w:id="1599" w:name="_Toc27621"/>
      <w:bookmarkStart w:id="1600" w:name="_Toc14665"/>
      <w:bookmarkStart w:id="1601" w:name="_Toc31945"/>
      <w:bookmarkStart w:id="1602" w:name="_Toc17313"/>
      <w:bookmarkStart w:id="1603" w:name="_Toc23633"/>
      <w:bookmarkStart w:id="1604" w:name="_Toc4983"/>
      <w:bookmarkStart w:id="1605" w:name="_Toc17270"/>
      <w:bookmarkStart w:id="1606" w:name="_Toc9266"/>
      <w:bookmarkStart w:id="1607" w:name="_Toc25182"/>
      <w:bookmarkStart w:id="1608" w:name="_Toc13576"/>
      <w:bookmarkStart w:id="1609" w:name="_Toc8096"/>
      <w:bookmarkStart w:id="1610" w:name="_Toc12094"/>
      <w:r>
        <w:rPr>
          <w:rFonts w:hint="eastAsia" w:ascii="微软雅黑" w:hAnsi="微软雅黑" w:eastAsia="微软雅黑" w:cs="微软雅黑"/>
          <w:b/>
          <w:bCs/>
          <w:sz w:val="24"/>
          <w:highlight w:val="none"/>
        </w:rPr>
        <w:t>2.18 通知</w:t>
      </w:r>
      <w:bookmarkEnd w:id="1580"/>
      <w:bookmarkEnd w:id="1581"/>
      <w:bookmarkEnd w:id="1582"/>
      <w:r>
        <w:rPr>
          <w:rFonts w:hint="eastAsia" w:ascii="微软雅黑" w:hAnsi="微软雅黑" w:eastAsia="微软雅黑" w:cs="微软雅黑"/>
          <w:b/>
          <w:bCs/>
          <w:sz w:val="24"/>
          <w:highlight w:val="none"/>
        </w:rPr>
        <w:t>和送达</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pPr>
        <w:ind w:firstLine="480" w:firstLineChars="200"/>
        <w:rPr>
          <w:rFonts w:ascii="微软雅黑" w:hAnsi="微软雅黑" w:eastAsia="微软雅黑" w:cs="微软雅黑"/>
          <w:sz w:val="24"/>
          <w:highlight w:val="none"/>
        </w:rPr>
      </w:pPr>
      <w:bookmarkStart w:id="1611" w:name="_Toc6698"/>
      <w:bookmarkStart w:id="1612" w:name="_Toc3135"/>
      <w:bookmarkStart w:id="1613" w:name="_Toc259093691"/>
      <w:bookmarkStart w:id="1614" w:name="_Toc279701262"/>
      <w:bookmarkStart w:id="1615" w:name="_Toc487900372"/>
      <w:r>
        <w:rPr>
          <w:rFonts w:hint="eastAsia" w:ascii="微软雅黑" w:hAnsi="微软雅黑" w:eastAsia="微软雅黑" w:cs="微软雅黑"/>
          <w:sz w:val="24"/>
          <w:highlight w:val="none"/>
        </w:rPr>
        <w:t>2.18.1 任何一方因履行合同而以合同第一部分尾部所列明的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发出的所有通知、文件、材料，均视为已向对方当事人送达；任何一方变更上述送达方式或者地址的，应于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个工作日内书面通知对方当事人，在对方当事人收到有关变更通知之前，变更前的约定送达方式或者地址仍视为有效。</w:t>
      </w:r>
      <w:bookmarkEnd w:id="1611"/>
      <w:bookmarkEnd w:id="1612"/>
    </w:p>
    <w:p>
      <w:pPr>
        <w:ind w:firstLine="480" w:firstLineChars="200"/>
        <w:rPr>
          <w:rFonts w:ascii="微软雅黑" w:hAnsi="微软雅黑" w:eastAsia="微软雅黑" w:cs="微软雅黑"/>
          <w:sz w:val="24"/>
          <w:highlight w:val="none"/>
        </w:rPr>
      </w:pPr>
      <w:bookmarkStart w:id="1616" w:name="_Toc23128"/>
      <w:bookmarkStart w:id="1617" w:name="_Toc23294"/>
      <w:r>
        <w:rPr>
          <w:rFonts w:hint="eastAsia" w:ascii="微软雅黑" w:hAnsi="微软雅黑" w:eastAsia="微软雅黑" w:cs="微软雅黑"/>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16"/>
      <w:bookmarkEnd w:id="1617"/>
    </w:p>
    <w:p>
      <w:pPr>
        <w:ind w:firstLine="480" w:firstLineChars="200"/>
        <w:outlineLvl w:val="0"/>
        <w:rPr>
          <w:rFonts w:ascii="微软雅黑" w:hAnsi="微软雅黑" w:eastAsia="微软雅黑" w:cs="微软雅黑"/>
          <w:b/>
          <w:bCs/>
          <w:sz w:val="24"/>
          <w:highlight w:val="none"/>
        </w:rPr>
      </w:pPr>
      <w:bookmarkStart w:id="1618" w:name="_Toc20309"/>
      <w:bookmarkStart w:id="1619" w:name="_Toc21923"/>
      <w:bookmarkStart w:id="1620" w:name="_Toc7942"/>
      <w:bookmarkStart w:id="1621" w:name="_Toc18621"/>
      <w:bookmarkStart w:id="1622" w:name="_Toc14810"/>
      <w:bookmarkStart w:id="1623" w:name="_Toc20837"/>
      <w:bookmarkStart w:id="1624" w:name="_Toc9371"/>
      <w:bookmarkStart w:id="1625" w:name="_Toc2623"/>
      <w:bookmarkStart w:id="1626" w:name="_Toc11820"/>
      <w:bookmarkStart w:id="1627" w:name="_Toc20914"/>
      <w:bookmarkStart w:id="1628" w:name="_Toc29312"/>
      <w:bookmarkStart w:id="1629" w:name="_Toc31861"/>
      <w:bookmarkStart w:id="1630" w:name="_Toc4355"/>
      <w:bookmarkStart w:id="1631" w:name="_Toc27038"/>
      <w:bookmarkStart w:id="1632" w:name="_Toc30599"/>
      <w:bookmarkStart w:id="1633" w:name="_Toc15273"/>
      <w:bookmarkStart w:id="1634" w:name="_Toc4747"/>
      <w:bookmarkStart w:id="1635" w:name="_Toc21464"/>
      <w:bookmarkStart w:id="1636" w:name="_Toc5141"/>
      <w:bookmarkStart w:id="1637" w:name="_Toc30497"/>
      <w:bookmarkStart w:id="1638" w:name="_Toc12120"/>
      <w:bookmarkStart w:id="1639" w:name="_Toc31104"/>
      <w:bookmarkStart w:id="1640" w:name="_Toc10932"/>
      <w:bookmarkStart w:id="1641" w:name="_Toc18540"/>
      <w:bookmarkStart w:id="1642" w:name="_Toc12721"/>
      <w:bookmarkStart w:id="1643" w:name="_Toc11892"/>
      <w:bookmarkStart w:id="1644" w:name="_Toc4241"/>
      <w:bookmarkStart w:id="1645" w:name="_Toc2100"/>
      <w:r>
        <w:rPr>
          <w:rFonts w:hint="eastAsia" w:ascii="微软雅黑" w:hAnsi="微软雅黑" w:eastAsia="微软雅黑" w:cs="微软雅黑"/>
          <w:b/>
          <w:bCs/>
          <w:sz w:val="24"/>
          <w:highlight w:val="none"/>
        </w:rPr>
        <w:t>2.19 计量单位</w:t>
      </w:r>
      <w:bookmarkEnd w:id="1613"/>
      <w:bookmarkEnd w:id="1614"/>
      <w:bookmarkEnd w:id="1615"/>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除技术规范中另有规定外,合同的计量单位均使用国家法定计量单位。</w:t>
      </w:r>
    </w:p>
    <w:p>
      <w:pPr>
        <w:ind w:firstLine="480" w:firstLineChars="200"/>
        <w:outlineLvl w:val="0"/>
        <w:rPr>
          <w:rFonts w:ascii="微软雅黑" w:hAnsi="微软雅黑" w:eastAsia="微软雅黑" w:cs="微软雅黑"/>
          <w:b/>
          <w:bCs/>
          <w:sz w:val="24"/>
          <w:highlight w:val="none"/>
        </w:rPr>
      </w:pPr>
      <w:bookmarkStart w:id="1646" w:name="_Toc17517"/>
      <w:bookmarkStart w:id="1647" w:name="_Toc10830"/>
      <w:bookmarkStart w:id="1648" w:name="_Toc21181"/>
      <w:bookmarkStart w:id="1649" w:name="_Toc15288"/>
      <w:bookmarkStart w:id="1650" w:name="_Toc15261"/>
      <w:bookmarkStart w:id="1651" w:name="_Toc10330"/>
      <w:bookmarkStart w:id="1652" w:name="_Toc259093692"/>
      <w:bookmarkStart w:id="1653" w:name="_Toc9178"/>
      <w:bookmarkStart w:id="1654" w:name="_Toc11130"/>
      <w:bookmarkStart w:id="1655" w:name="_Toc12773"/>
      <w:bookmarkStart w:id="1656" w:name="_Toc13041"/>
      <w:bookmarkStart w:id="1657" w:name="_Toc20624"/>
      <w:bookmarkStart w:id="1658" w:name="_Toc279701263"/>
      <w:bookmarkStart w:id="1659" w:name="_Toc15868"/>
      <w:bookmarkStart w:id="1660" w:name="_Toc9626"/>
      <w:bookmarkStart w:id="1661" w:name="_Toc27589"/>
      <w:bookmarkStart w:id="1662" w:name="_Toc19154"/>
      <w:bookmarkStart w:id="1663" w:name="_Toc18634"/>
      <w:bookmarkStart w:id="1664" w:name="_Toc16209"/>
      <w:bookmarkStart w:id="1665" w:name="_Toc6555"/>
      <w:bookmarkStart w:id="1666" w:name="_Toc13131"/>
      <w:bookmarkStart w:id="1667" w:name="_Toc28784"/>
      <w:bookmarkStart w:id="1668" w:name="_Toc10585"/>
      <w:bookmarkStart w:id="1669" w:name="_Toc16663"/>
      <w:bookmarkStart w:id="1670" w:name="_Toc16880"/>
      <w:bookmarkStart w:id="1671" w:name="_Toc5796"/>
      <w:bookmarkStart w:id="1672" w:name="_Toc1728"/>
      <w:bookmarkStart w:id="1673" w:name="_Toc18567"/>
      <w:bookmarkStart w:id="1674" w:name="_Toc32583"/>
      <w:bookmarkStart w:id="1675" w:name="_Toc487900373"/>
      <w:r>
        <w:rPr>
          <w:rFonts w:hint="eastAsia" w:ascii="微软雅黑" w:hAnsi="微软雅黑" w:eastAsia="微软雅黑" w:cs="微软雅黑"/>
          <w:b/>
          <w:bCs/>
          <w:sz w:val="24"/>
          <w:highlight w:val="none"/>
        </w:rPr>
        <w:t>2.20 合同使用的文字和适用的法律</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2.20.1 合同使用汉语书就、变更和解释；</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2.20.2 合同适用中华人民共和国法律。</w:t>
      </w:r>
    </w:p>
    <w:p>
      <w:pPr>
        <w:ind w:firstLine="480" w:firstLineChars="200"/>
        <w:outlineLvl w:val="0"/>
        <w:rPr>
          <w:rFonts w:ascii="微软雅黑" w:hAnsi="微软雅黑" w:eastAsia="微软雅黑" w:cs="微软雅黑"/>
          <w:b/>
          <w:bCs/>
          <w:sz w:val="24"/>
          <w:highlight w:val="none"/>
        </w:rPr>
      </w:pPr>
      <w:bookmarkStart w:id="1676" w:name="_Toc30675"/>
      <w:bookmarkStart w:id="1677" w:name="_Toc14964"/>
      <w:bookmarkStart w:id="1678" w:name="_Toc31421"/>
      <w:bookmarkStart w:id="1679" w:name="_Toc28767"/>
      <w:bookmarkStart w:id="1680" w:name="_Toc27257"/>
      <w:bookmarkStart w:id="1681" w:name="_Toc22858"/>
      <w:bookmarkStart w:id="1682" w:name="_Toc32497"/>
      <w:bookmarkStart w:id="1683" w:name="_Toc9739"/>
      <w:bookmarkStart w:id="1684" w:name="_Toc16673"/>
      <w:bookmarkStart w:id="1685" w:name="_Toc29073"/>
      <w:bookmarkStart w:id="1686" w:name="_Toc18845"/>
      <w:bookmarkStart w:id="1687" w:name="_Toc5571"/>
      <w:bookmarkStart w:id="1688" w:name="_Toc12004"/>
      <w:bookmarkStart w:id="1689" w:name="_Toc279701264"/>
      <w:bookmarkStart w:id="1690" w:name="_Toc5000"/>
      <w:bookmarkStart w:id="1691" w:name="_Toc31790"/>
      <w:bookmarkStart w:id="1692" w:name="_Toc25551"/>
      <w:bookmarkStart w:id="1693" w:name="_Toc1670"/>
      <w:bookmarkStart w:id="1694" w:name="_Toc7159"/>
      <w:bookmarkStart w:id="1695" w:name="_Toc14308"/>
      <w:bookmarkStart w:id="1696" w:name="_Toc8602"/>
      <w:bookmarkStart w:id="1697" w:name="_Toc259093693"/>
      <w:bookmarkStart w:id="1698" w:name="_Toc12711"/>
      <w:bookmarkStart w:id="1699" w:name="_Toc15434"/>
      <w:bookmarkStart w:id="1700" w:name="_Toc26372"/>
      <w:bookmarkStart w:id="1701" w:name="_Toc638"/>
      <w:bookmarkStart w:id="1702" w:name="_Toc3838"/>
      <w:bookmarkStart w:id="1703" w:name="_Toc3148"/>
      <w:bookmarkStart w:id="1704" w:name="_Toc11628"/>
      <w:bookmarkStart w:id="1705" w:name="_Toc487900374"/>
      <w:r>
        <w:rPr>
          <w:rFonts w:hint="eastAsia" w:ascii="微软雅黑" w:hAnsi="微软雅黑" w:eastAsia="微软雅黑" w:cs="微软雅黑"/>
          <w:b/>
          <w:bCs/>
          <w:sz w:val="24"/>
          <w:highlight w:val="none"/>
        </w:rPr>
        <w:t>2.21 履约保证金</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2.21.1 采购文件要求乙方提交履约保证金的，乙方应按</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约定的方式，以支票、汇票、本票或者金融机构、担保机构出具的保函等非现金形式，提交不超过合同价10%的履约保证金；</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2.21.2  履约保证金在</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个工作日内，甲方应将履约保证金退还乙方；</w:t>
      </w:r>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05"/>
    <w:p>
      <w:pPr>
        <w:ind w:firstLine="480" w:firstLineChars="200"/>
        <w:outlineLvl w:val="0"/>
        <w:rPr>
          <w:rFonts w:ascii="微软雅黑" w:hAnsi="微软雅黑" w:eastAsia="微软雅黑" w:cs="微软雅黑"/>
          <w:b/>
          <w:bCs/>
          <w:sz w:val="24"/>
          <w:highlight w:val="none"/>
        </w:rPr>
      </w:pPr>
      <w:bookmarkStart w:id="1706" w:name="_Toc16450"/>
      <w:bookmarkStart w:id="1707" w:name="_Toc30847"/>
      <w:bookmarkStart w:id="1708" w:name="_Toc12034"/>
      <w:bookmarkStart w:id="1709" w:name="_Toc27563"/>
      <w:bookmarkStart w:id="1710" w:name="_Toc22330"/>
      <w:bookmarkStart w:id="1711" w:name="_Toc16431"/>
      <w:bookmarkStart w:id="1712" w:name="_Toc22821"/>
      <w:bookmarkStart w:id="1713" w:name="_Toc2720"/>
      <w:bookmarkStart w:id="1714" w:name="_Toc23799"/>
      <w:bookmarkStart w:id="1715" w:name="_Toc25691"/>
      <w:bookmarkStart w:id="1716" w:name="_Toc11103"/>
      <w:bookmarkStart w:id="1717" w:name="_Toc30496"/>
      <w:bookmarkStart w:id="1718" w:name="_Toc6885"/>
      <w:bookmarkStart w:id="1719" w:name="_Toc10801"/>
      <w:bookmarkStart w:id="1720" w:name="_Toc20802"/>
      <w:bookmarkStart w:id="1721" w:name="_Toc24807"/>
      <w:bookmarkStart w:id="1722" w:name="_Toc21772"/>
      <w:bookmarkStart w:id="1723" w:name="_Toc17310"/>
      <w:bookmarkStart w:id="1724" w:name="_Toc24006"/>
      <w:bookmarkStart w:id="1725" w:name="_Toc8867"/>
      <w:bookmarkStart w:id="1726" w:name="_Toc22496"/>
      <w:bookmarkStart w:id="1727" w:name="_Toc19890"/>
      <w:bookmarkStart w:id="1728" w:name="_Toc14001"/>
      <w:bookmarkStart w:id="1729" w:name="_Toc32408"/>
      <w:bookmarkStart w:id="1730" w:name="_Toc8495"/>
      <w:bookmarkStart w:id="1731" w:name="_Toc14217"/>
      <w:bookmarkStart w:id="1732" w:name="_Toc4077"/>
      <w:r>
        <w:rPr>
          <w:rFonts w:hint="eastAsia" w:ascii="微软雅黑" w:hAnsi="微软雅黑" w:eastAsia="微软雅黑" w:cs="微软雅黑"/>
          <w:b/>
          <w:bCs/>
          <w:sz w:val="24"/>
          <w:highlight w:val="none"/>
        </w:rPr>
        <w:t>2.22 合同份数</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合同份数按</w:t>
      </w:r>
      <w:r>
        <w:rPr>
          <w:rFonts w:hint="eastAsia" w:ascii="微软雅黑" w:hAnsi="微软雅黑" w:eastAsia="微软雅黑" w:cs="微软雅黑"/>
          <w:b/>
          <w:bCs/>
          <w:i/>
          <w:iCs/>
          <w:sz w:val="24"/>
          <w:highlight w:val="none"/>
          <w:u w:val="single"/>
        </w:rPr>
        <w:t>合同专用条款</w:t>
      </w:r>
      <w:r>
        <w:rPr>
          <w:rFonts w:hint="eastAsia" w:ascii="微软雅黑" w:hAnsi="微软雅黑" w:eastAsia="微软雅黑" w:cs="微软雅黑"/>
          <w:sz w:val="24"/>
          <w:highlight w:val="none"/>
        </w:rPr>
        <w:t>规定，每份均具有同等法律效力。</w:t>
      </w:r>
    </w:p>
    <w:p>
      <w:pPr>
        <w:pStyle w:val="55"/>
        <w:ind w:firstLine="0"/>
        <w:jc w:val="center"/>
        <w:rPr>
          <w:rFonts w:ascii="微软雅黑" w:hAnsi="微软雅黑" w:eastAsia="微软雅黑" w:cs="微软雅黑"/>
          <w:b/>
          <w:bCs/>
          <w:szCs w:val="24"/>
          <w:highlight w:val="none"/>
        </w:rPr>
      </w:pPr>
      <w:bookmarkStart w:id="1733" w:name="_Toc331685784"/>
    </w:p>
    <w:p>
      <w:pPr>
        <w:pStyle w:val="55"/>
        <w:ind w:firstLine="0"/>
        <w:jc w:val="both"/>
        <w:rPr>
          <w:rFonts w:ascii="微软雅黑" w:hAnsi="微软雅黑" w:eastAsia="微软雅黑" w:cs="微软雅黑"/>
          <w:b/>
          <w:bCs/>
          <w:szCs w:val="24"/>
          <w:highlight w:val="none"/>
        </w:rPr>
      </w:pPr>
    </w:p>
    <w:p>
      <w:pPr>
        <w:pStyle w:val="55"/>
        <w:ind w:firstLine="0"/>
        <w:jc w:val="center"/>
        <w:rPr>
          <w:rFonts w:ascii="微软雅黑" w:hAnsi="微软雅黑" w:eastAsia="微软雅黑" w:cs="微软雅黑"/>
          <w:b/>
          <w:bCs/>
          <w:szCs w:val="24"/>
          <w:highlight w:val="none"/>
        </w:rPr>
      </w:pPr>
      <w:r>
        <w:rPr>
          <w:rFonts w:hint="eastAsia" w:ascii="微软雅黑" w:hAnsi="微软雅黑" w:eastAsia="微软雅黑" w:cs="微软雅黑"/>
          <w:b/>
          <w:bCs/>
          <w:szCs w:val="24"/>
          <w:highlight w:val="none"/>
        </w:rPr>
        <w:t>第三部分  合同专用条款</w:t>
      </w:r>
      <w:bookmarkEnd w:id="1733"/>
    </w:p>
    <w:p>
      <w:pPr>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条款号</w:t>
            </w:r>
          </w:p>
        </w:tc>
        <w:tc>
          <w:tcPr>
            <w:tcW w:w="7633" w:type="dxa"/>
            <w:vAlign w:val="center"/>
          </w:tcPr>
          <w:p>
            <w:pPr>
              <w:jc w:val="center"/>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highlight w:val="none"/>
              </w:rPr>
            </w:pPr>
          </w:p>
        </w:tc>
        <w:tc>
          <w:tcPr>
            <w:tcW w:w="7633" w:type="dxa"/>
            <w:vAlign w:val="center"/>
          </w:tcPr>
          <w:p>
            <w:pPr>
              <w:rPr>
                <w:rFonts w:ascii="微软雅黑" w:hAnsi="微软雅黑" w:eastAsia="微软雅黑" w:cs="微软雅黑"/>
                <w:sz w:val="24"/>
                <w:highlight w:val="none"/>
              </w:rPr>
            </w:pPr>
          </w:p>
        </w:tc>
      </w:tr>
    </w:tbl>
    <w:p>
      <w:pPr>
        <w:pStyle w:val="5"/>
        <w:snapToGrid w:val="0"/>
        <w:ind w:firstLine="0"/>
        <w:textAlignment w:val="baseline"/>
        <w:rPr>
          <w:rFonts w:ascii="微软雅黑" w:hAnsi="微软雅黑" w:eastAsia="微软雅黑" w:cs="微软雅黑"/>
          <w:szCs w:val="24"/>
          <w:highlight w:val="none"/>
        </w:rPr>
      </w:pPr>
    </w:p>
    <w:sectPr>
      <w:headerReference r:id="rId12" w:type="default"/>
      <w:footerReference r:id="rId13" w:type="default"/>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3k+fKAQAAkg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KCMycsvfn596/zn3/n&#10;vz/ZdXKoC1jSwftwB1OGFCa5fQM2fUkI6wdXTxdXVR+ZpM1itVytcjJcUm1OCCd7uB4A40flLUtB&#10;xYGebXBTHD9jHI/OR1I349Lq/K02ZqymnSzRHImlKPa7fmK78/WJVNLQE3jr4QdnHT15xR1NOGfm&#10;kyNH03TMAczBbg6Ek3Sx4iMvDB8OkdoP3FKzscPEgZ5qUDeNVZqFx/lw6uFX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C3k+fKAQAAkgMAAA4AAAAAAAAAAQAgAAAAHwEAAGRycy9lMm9E&#10;b2MueG1sUEsFBgAAAAAGAAYAWQEAAFsFA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p>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2"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2"/>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JJmlZWvAQAA&#10;gAMAAA4AAAAAAAAAAQAgAAAAHwEAAGRycy9lMm9Eb2MueG1sUEsFBgAAAAAGAAYAWQEAAEAFAAAA&#10;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78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2"/>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tC2rKAQAAkgMAAA4AAABkcnMvZTJvRG9jLnhtbK1TzY7TMBC+I/EO&#10;lu80abWg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Y3y/I1Z05YevPLj++Xn78v&#10;v76xm+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6tC2rKAQAAkgMAAA4AAAAAAAAAAQAgAAAAHwEAAGRycy9lMm9E&#10;b2MueG1sUEsFBgAAAAAGAAYAWQEAAFsFA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pPr>
    <w:r>
      <w:rPr>
        <w:rFonts w:ascii="Cambria" w:hAnsi="Cambria"/>
        <w:vanish/>
        <w:sz w:val="32"/>
        <w:szCs w:val="32"/>
        <w:highlight w:val="yellow"/>
      </w:rPr>
      <w:t>&lt;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12B82"/>
    <w:multiLevelType w:val="singleLevel"/>
    <w:tmpl w:val="FA912B82"/>
    <w:lvl w:ilvl="0" w:tentative="0">
      <w:start w:val="3"/>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00000004"/>
    <w:multiLevelType w:val="singleLevel"/>
    <w:tmpl w:val="00000004"/>
    <w:lvl w:ilvl="0" w:tentative="0">
      <w:start w:val="1"/>
      <w:numFmt w:val="chineseCounting"/>
      <w:suff w:val="nothing"/>
      <w:lvlText w:val="%1、"/>
      <w:lvlJc w:val="left"/>
      <w:pPr>
        <w:ind w:left="-140"/>
      </w:pPr>
      <w:rPr>
        <w:rFonts w:hint="eastAsia"/>
      </w:rPr>
    </w:lvl>
  </w:abstractNum>
  <w:abstractNum w:abstractNumId="4">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1216518B"/>
    <w:multiLevelType w:val="singleLevel"/>
    <w:tmpl w:val="1216518B"/>
    <w:lvl w:ilvl="0" w:tentative="0">
      <w:start w:val="2"/>
      <w:numFmt w:val="decimal"/>
      <w:suff w:val="nothing"/>
      <w:lvlText w:val="%1、"/>
      <w:lvlJc w:val="left"/>
    </w:lvl>
  </w:abstractNum>
  <w:abstractNum w:abstractNumId="6">
    <w:nsid w:val="4A420C50"/>
    <w:multiLevelType w:val="multilevel"/>
    <w:tmpl w:val="4A420C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NmJkYTNmMzhiN2E5NzJjNTE5MGMwMjE5YTRkZTgifQ=="/>
  </w:docVars>
  <w:rsids>
    <w:rsidRoot w:val="00A2385F"/>
    <w:rsid w:val="000F38AC"/>
    <w:rsid w:val="008E79C7"/>
    <w:rsid w:val="0095072D"/>
    <w:rsid w:val="00A2385F"/>
    <w:rsid w:val="013E08AB"/>
    <w:rsid w:val="01C8665F"/>
    <w:rsid w:val="01F91A55"/>
    <w:rsid w:val="034616E0"/>
    <w:rsid w:val="038F46AF"/>
    <w:rsid w:val="03903DE4"/>
    <w:rsid w:val="04C701B4"/>
    <w:rsid w:val="050E2C6D"/>
    <w:rsid w:val="05487DE8"/>
    <w:rsid w:val="05A521F6"/>
    <w:rsid w:val="060579FF"/>
    <w:rsid w:val="06DA7E9C"/>
    <w:rsid w:val="072F7C66"/>
    <w:rsid w:val="08E774C9"/>
    <w:rsid w:val="0A1B323C"/>
    <w:rsid w:val="0BB91287"/>
    <w:rsid w:val="0C521CE9"/>
    <w:rsid w:val="0D0F1E91"/>
    <w:rsid w:val="0D34616D"/>
    <w:rsid w:val="0DCD5066"/>
    <w:rsid w:val="0EAB1F82"/>
    <w:rsid w:val="0EB146FC"/>
    <w:rsid w:val="0ED54823"/>
    <w:rsid w:val="10101588"/>
    <w:rsid w:val="11072CFE"/>
    <w:rsid w:val="12085937"/>
    <w:rsid w:val="12100A74"/>
    <w:rsid w:val="125F6E0B"/>
    <w:rsid w:val="13B34FB9"/>
    <w:rsid w:val="14F85E1A"/>
    <w:rsid w:val="178C0BA2"/>
    <w:rsid w:val="17B83A91"/>
    <w:rsid w:val="18722CDB"/>
    <w:rsid w:val="18C20499"/>
    <w:rsid w:val="19164ED0"/>
    <w:rsid w:val="1B0B534F"/>
    <w:rsid w:val="1B486183"/>
    <w:rsid w:val="1C1A7AA9"/>
    <w:rsid w:val="1C207D0F"/>
    <w:rsid w:val="1D3B7AD6"/>
    <w:rsid w:val="1D643124"/>
    <w:rsid w:val="1D743260"/>
    <w:rsid w:val="1F6F099C"/>
    <w:rsid w:val="1FAE0C8A"/>
    <w:rsid w:val="2028212D"/>
    <w:rsid w:val="214B46A2"/>
    <w:rsid w:val="21EE3578"/>
    <w:rsid w:val="22AC6FF8"/>
    <w:rsid w:val="23802D2B"/>
    <w:rsid w:val="23DD7E55"/>
    <w:rsid w:val="24046FBA"/>
    <w:rsid w:val="244B3216"/>
    <w:rsid w:val="249B2EB9"/>
    <w:rsid w:val="255B0DA1"/>
    <w:rsid w:val="25B4606C"/>
    <w:rsid w:val="27872A26"/>
    <w:rsid w:val="279C010A"/>
    <w:rsid w:val="27E36205"/>
    <w:rsid w:val="286478B1"/>
    <w:rsid w:val="29B72037"/>
    <w:rsid w:val="2A302281"/>
    <w:rsid w:val="2AED3A81"/>
    <w:rsid w:val="2B616A31"/>
    <w:rsid w:val="2C5B1470"/>
    <w:rsid w:val="2C7E6A0F"/>
    <w:rsid w:val="2CF717B7"/>
    <w:rsid w:val="2D590AD2"/>
    <w:rsid w:val="2D611200"/>
    <w:rsid w:val="2E2827A1"/>
    <w:rsid w:val="30146B38"/>
    <w:rsid w:val="30BA6D84"/>
    <w:rsid w:val="31DF6A02"/>
    <w:rsid w:val="334A4998"/>
    <w:rsid w:val="34066A02"/>
    <w:rsid w:val="34140466"/>
    <w:rsid w:val="346F5217"/>
    <w:rsid w:val="34D5225C"/>
    <w:rsid w:val="34E75124"/>
    <w:rsid w:val="35413331"/>
    <w:rsid w:val="35666EEF"/>
    <w:rsid w:val="35BB1E93"/>
    <w:rsid w:val="3603722A"/>
    <w:rsid w:val="36E91863"/>
    <w:rsid w:val="378D51F2"/>
    <w:rsid w:val="379410C6"/>
    <w:rsid w:val="39AF47B0"/>
    <w:rsid w:val="3A2D4229"/>
    <w:rsid w:val="3AB26CC7"/>
    <w:rsid w:val="3D1F6619"/>
    <w:rsid w:val="3E0A7FF5"/>
    <w:rsid w:val="3E4505E0"/>
    <w:rsid w:val="3F696AE5"/>
    <w:rsid w:val="3FD564D5"/>
    <w:rsid w:val="415D7B23"/>
    <w:rsid w:val="41CE3A06"/>
    <w:rsid w:val="42357809"/>
    <w:rsid w:val="426865E9"/>
    <w:rsid w:val="436E0860"/>
    <w:rsid w:val="438E2789"/>
    <w:rsid w:val="43E53938"/>
    <w:rsid w:val="44351530"/>
    <w:rsid w:val="454642B2"/>
    <w:rsid w:val="479F2C9F"/>
    <w:rsid w:val="4AB01740"/>
    <w:rsid w:val="4B752CD7"/>
    <w:rsid w:val="4E685C19"/>
    <w:rsid w:val="4F3F6893"/>
    <w:rsid w:val="4F657182"/>
    <w:rsid w:val="509757BA"/>
    <w:rsid w:val="50E72018"/>
    <w:rsid w:val="5121599D"/>
    <w:rsid w:val="51BD627C"/>
    <w:rsid w:val="521E72DA"/>
    <w:rsid w:val="52EC7319"/>
    <w:rsid w:val="53D61885"/>
    <w:rsid w:val="557F487D"/>
    <w:rsid w:val="564A1244"/>
    <w:rsid w:val="565D4022"/>
    <w:rsid w:val="5765363E"/>
    <w:rsid w:val="576945E8"/>
    <w:rsid w:val="5A085B0A"/>
    <w:rsid w:val="5AAF356F"/>
    <w:rsid w:val="5B3A60B6"/>
    <w:rsid w:val="5C132B94"/>
    <w:rsid w:val="5C8E784D"/>
    <w:rsid w:val="5CA7664F"/>
    <w:rsid w:val="5CC52CEC"/>
    <w:rsid w:val="5CD34356"/>
    <w:rsid w:val="5DB669A1"/>
    <w:rsid w:val="5E7C78C4"/>
    <w:rsid w:val="5F975244"/>
    <w:rsid w:val="600A073C"/>
    <w:rsid w:val="61663998"/>
    <w:rsid w:val="61C954E0"/>
    <w:rsid w:val="62F3173B"/>
    <w:rsid w:val="63582DE4"/>
    <w:rsid w:val="642A04C8"/>
    <w:rsid w:val="6489776B"/>
    <w:rsid w:val="64D1121A"/>
    <w:rsid w:val="662B2E29"/>
    <w:rsid w:val="665D2FCE"/>
    <w:rsid w:val="69145FFC"/>
    <w:rsid w:val="693D63AD"/>
    <w:rsid w:val="69566907"/>
    <w:rsid w:val="69F20D98"/>
    <w:rsid w:val="6A0133B4"/>
    <w:rsid w:val="6AE66095"/>
    <w:rsid w:val="6AF53C10"/>
    <w:rsid w:val="6B691D15"/>
    <w:rsid w:val="6BA01AD9"/>
    <w:rsid w:val="6C6608C4"/>
    <w:rsid w:val="6C6E6241"/>
    <w:rsid w:val="6D027E67"/>
    <w:rsid w:val="6D2F5EDC"/>
    <w:rsid w:val="6E254C22"/>
    <w:rsid w:val="6E3B404D"/>
    <w:rsid w:val="6E705023"/>
    <w:rsid w:val="6E8C5638"/>
    <w:rsid w:val="6F7F57DC"/>
    <w:rsid w:val="707B1E47"/>
    <w:rsid w:val="70E066B6"/>
    <w:rsid w:val="72B926C6"/>
    <w:rsid w:val="740A4EF9"/>
    <w:rsid w:val="775C13BB"/>
    <w:rsid w:val="77C41407"/>
    <w:rsid w:val="783A4B15"/>
    <w:rsid w:val="783C0878"/>
    <w:rsid w:val="78E8771C"/>
    <w:rsid w:val="7AE20C32"/>
    <w:rsid w:val="7BCB35C2"/>
    <w:rsid w:val="7BE34DA7"/>
    <w:rsid w:val="7E5A355A"/>
    <w:rsid w:val="7EBA73FB"/>
    <w:rsid w:val="7EC0633F"/>
    <w:rsid w:val="7EC9085D"/>
    <w:rsid w:val="7F4A5B6E"/>
    <w:rsid w:val="7FAC155A"/>
    <w:rsid w:val="7FD3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67"/>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79"/>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Document Map"/>
    <w:basedOn w:val="1"/>
    <w:link w:val="71"/>
    <w:qFormat/>
    <w:uiPriority w:val="0"/>
    <w:rPr>
      <w:rFonts w:ascii="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77"/>
    <w:qFormat/>
    <w:uiPriority w:val="99"/>
    <w:pPr>
      <w:jc w:val="left"/>
    </w:pPr>
  </w:style>
  <w:style w:type="paragraph" w:styleId="11">
    <w:name w:val="Body Text"/>
    <w:basedOn w:val="1"/>
    <w:next w:val="12"/>
    <w:link w:val="76"/>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qFormat/>
    <w:uiPriority w:val="0"/>
    <w:pPr>
      <w:spacing w:line="360" w:lineRule="auto"/>
      <w:ind w:firstLine="570"/>
    </w:pPr>
    <w:rPr>
      <w:sz w:val="24"/>
    </w:rPr>
  </w:style>
  <w:style w:type="paragraph" w:styleId="14">
    <w:name w:val="Block Text"/>
    <w:basedOn w:val="1"/>
    <w:qFormat/>
    <w:uiPriority w:val="99"/>
    <w:pPr>
      <w:spacing w:after="120"/>
      <w:ind w:left="1440" w:leftChars="700" w:right="144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75"/>
    <w:qFormat/>
    <w:uiPriority w:val="0"/>
    <w:rPr>
      <w:rFonts w:ascii="宋体" w:hAnsi="Courier New"/>
      <w:szCs w:val="20"/>
    </w:rPr>
  </w:style>
  <w:style w:type="paragraph" w:styleId="18">
    <w:name w:val="toc 8"/>
    <w:basedOn w:val="1"/>
    <w:next w:val="1"/>
    <w:qFormat/>
    <w:uiPriority w:val="39"/>
    <w:pPr>
      <w:ind w:left="2940" w:leftChars="1400"/>
    </w:pPr>
  </w:style>
  <w:style w:type="paragraph" w:styleId="19">
    <w:name w:val="Date"/>
    <w:basedOn w:val="1"/>
    <w:next w:val="1"/>
    <w:link w:val="72"/>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68"/>
    <w:qFormat/>
    <w:uiPriority w:val="0"/>
    <w:rPr>
      <w:sz w:val="18"/>
      <w:szCs w:val="18"/>
    </w:rPr>
  </w:style>
  <w:style w:type="paragraph" w:styleId="22">
    <w:name w:val="footer"/>
    <w:basedOn w:val="1"/>
    <w:link w:val="6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footnote text"/>
    <w:basedOn w:val="1"/>
    <w:qFormat/>
    <w:uiPriority w:val="0"/>
    <w:pPr>
      <w:snapToGrid w:val="0"/>
      <w:jc w:val="left"/>
    </w:pPr>
    <w:rPr>
      <w:sz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Normal (Web)"/>
    <w:basedOn w:val="1"/>
    <w:qFormat/>
    <w:uiPriority w:val="99"/>
    <w:pPr>
      <w:spacing w:before="75" w:after="75"/>
      <w:jc w:val="left"/>
    </w:pPr>
    <w:rPr>
      <w:kern w:val="0"/>
      <w:sz w:val="24"/>
    </w:rPr>
  </w:style>
  <w:style w:type="paragraph" w:styleId="32">
    <w:name w:val="index 1"/>
    <w:basedOn w:val="1"/>
    <w:next w:val="1"/>
    <w:qFormat/>
    <w:uiPriority w:val="0"/>
    <w:rPr>
      <w:szCs w:val="20"/>
    </w:rPr>
  </w:style>
  <w:style w:type="paragraph" w:styleId="33">
    <w:name w:val="annotation subject"/>
    <w:basedOn w:val="10"/>
    <w:next w:val="10"/>
    <w:link w:val="78"/>
    <w:qFormat/>
    <w:uiPriority w:val="0"/>
    <w:rPr>
      <w:b/>
      <w:bCs/>
    </w:rPr>
  </w:style>
  <w:style w:type="paragraph" w:styleId="34">
    <w:name w:val="Body Text First Indent"/>
    <w:basedOn w:val="11"/>
    <w:next w:val="1"/>
    <w:qFormat/>
    <w:uiPriority w:val="0"/>
    <w:pPr>
      <w:ind w:firstLine="420" w:firstLineChars="100"/>
    </w:pPr>
  </w:style>
  <w:style w:type="paragraph" w:styleId="35">
    <w:name w:val="Body Text First Indent 2"/>
    <w:basedOn w:val="13"/>
    <w:qFormat/>
    <w:uiPriority w:val="0"/>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customStyle="1" w:styleId="43">
    <w:name w:val="索引 11"/>
    <w:basedOn w:val="1"/>
    <w:next w:val="1"/>
    <w:qFormat/>
    <w:uiPriority w:val="0"/>
    <w:pPr>
      <w:spacing w:line="360" w:lineRule="auto"/>
    </w:pPr>
    <w:rPr>
      <w:rFonts w:ascii="仿宋_GB2312" w:eastAsia="仿宋_GB2312"/>
      <w:sz w:val="24"/>
      <w:szCs w:val="20"/>
    </w:rPr>
  </w:style>
  <w:style w:type="paragraph" w:customStyle="1" w:styleId="44">
    <w:name w:val="列出段落1"/>
    <w:basedOn w:val="1"/>
    <w:qFormat/>
    <w:uiPriority w:val="34"/>
    <w:pPr>
      <w:widowControl/>
      <w:ind w:firstLine="420" w:firstLineChars="200"/>
      <w:jc w:val="left"/>
    </w:pPr>
    <w:rPr>
      <w:kern w:val="0"/>
      <w:sz w:val="24"/>
    </w:rPr>
  </w:style>
  <w:style w:type="paragraph" w:customStyle="1" w:styleId="45">
    <w:name w:val="列出段落11"/>
    <w:basedOn w:val="1"/>
    <w:next w:val="44"/>
    <w:qFormat/>
    <w:uiPriority w:val="34"/>
    <w:pPr>
      <w:widowControl/>
      <w:ind w:firstLine="420" w:firstLineChars="200"/>
      <w:jc w:val="left"/>
    </w:pPr>
    <w:rPr>
      <w:rFonts w:ascii="宋体" w:hAnsi="宋体" w:cs="宋体"/>
      <w:kern w:val="0"/>
      <w:sz w:val="24"/>
    </w:rPr>
  </w:style>
  <w:style w:type="paragraph" w:customStyle="1" w:styleId="46">
    <w:name w:val="List Paragraph1"/>
    <w:basedOn w:val="1"/>
    <w:qFormat/>
    <w:uiPriority w:val="34"/>
    <w:pPr>
      <w:ind w:firstLine="420" w:firstLineChars="200"/>
    </w:pPr>
  </w:style>
  <w:style w:type="paragraph" w:customStyle="1" w:styleId="47">
    <w:name w:val="Table Paragraph"/>
    <w:basedOn w:val="1"/>
    <w:qFormat/>
    <w:uiPriority w:val="1"/>
    <w:pPr>
      <w:widowControl/>
      <w:jc w:val="left"/>
    </w:pPr>
    <w:rPr>
      <w:rFonts w:ascii="宋体" w:hAnsi="宋体" w:cs="宋体"/>
      <w:kern w:val="0"/>
      <w:szCs w:val="20"/>
      <w:lang w:val="zh-CN" w:bidi="zh-CN"/>
    </w:rPr>
  </w:style>
  <w:style w:type="paragraph" w:customStyle="1" w:styleId="48">
    <w:name w:val="p0"/>
    <w:basedOn w:val="1"/>
    <w:qFormat/>
    <w:uiPriority w:val="0"/>
    <w:pPr>
      <w:widowControl/>
    </w:pPr>
    <w:rPr>
      <w:kern w:val="0"/>
      <w:szCs w:val="21"/>
    </w:rPr>
  </w:style>
  <w:style w:type="paragraph" w:customStyle="1" w:styleId="49">
    <w:name w:val="图例"/>
    <w:basedOn w:val="1"/>
    <w:qFormat/>
    <w:uiPriority w:val="0"/>
    <w:pPr>
      <w:spacing w:before="120" w:after="120" w:line="360" w:lineRule="auto"/>
      <w:jc w:val="center"/>
    </w:pPr>
    <w:rPr>
      <w:rFonts w:eastAsia="仿宋_GB2312"/>
      <w:b/>
      <w:sz w:val="24"/>
    </w:rPr>
  </w:style>
  <w:style w:type="paragraph" w:customStyle="1" w:styleId="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1">
    <w:name w:val="正文段"/>
    <w:basedOn w:val="1"/>
    <w:qFormat/>
    <w:uiPriority w:val="0"/>
    <w:pPr>
      <w:widowControl/>
      <w:snapToGrid w:val="0"/>
      <w:spacing w:afterLines="50"/>
      <w:ind w:firstLine="200" w:firstLineChars="200"/>
    </w:pPr>
    <w:rPr>
      <w:kern w:val="0"/>
      <w:sz w:val="24"/>
    </w:rPr>
  </w:style>
  <w:style w:type="paragraph" w:customStyle="1" w:styleId="52">
    <w:name w:val="首行缩进"/>
    <w:basedOn w:val="1"/>
    <w:qFormat/>
    <w:uiPriority w:val="0"/>
    <w:pPr>
      <w:ind w:firstLine="480" w:firstLineChars="200"/>
    </w:pPr>
    <w:rPr>
      <w:lang w:val="zh-CN"/>
    </w:rPr>
  </w:style>
  <w:style w:type="paragraph" w:customStyle="1" w:styleId="53">
    <w:name w:val="纯文本1"/>
    <w:basedOn w:val="1"/>
    <w:link w:val="69"/>
    <w:qFormat/>
    <w:uiPriority w:val="0"/>
    <w:rPr>
      <w:rFonts w:ascii="宋体" w:hAnsi="Courier New"/>
      <w:kern w:val="0"/>
      <w:sz w:val="20"/>
      <w:szCs w:val="20"/>
    </w:rPr>
  </w:style>
  <w:style w:type="paragraph" w:customStyle="1" w:styleId="54">
    <w:name w:val="Char"/>
    <w:basedOn w:val="1"/>
    <w:qFormat/>
    <w:uiPriority w:val="0"/>
    <w:pPr>
      <w:tabs>
        <w:tab w:val="left" w:pos="360"/>
      </w:tabs>
    </w:pPr>
    <w:rPr>
      <w:sz w:val="24"/>
    </w:rPr>
  </w:style>
  <w:style w:type="paragraph" w:customStyle="1" w:styleId="55">
    <w:name w:val="正文缩进1"/>
    <w:basedOn w:val="1"/>
    <w:link w:val="58"/>
    <w:qFormat/>
    <w:uiPriority w:val="0"/>
    <w:pPr>
      <w:autoSpaceDE w:val="0"/>
      <w:autoSpaceDN w:val="0"/>
      <w:adjustRightInd w:val="0"/>
      <w:ind w:firstLine="420"/>
      <w:jc w:val="left"/>
    </w:pPr>
    <w:rPr>
      <w:rFonts w:ascii="宋体"/>
      <w:kern w:val="0"/>
      <w:sz w:val="24"/>
      <w:szCs w:val="20"/>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7">
    <w:name w:val="font91"/>
    <w:basedOn w:val="38"/>
    <w:qFormat/>
    <w:uiPriority w:val="0"/>
    <w:rPr>
      <w:rFonts w:hint="eastAsia" w:ascii="宋体" w:hAnsi="宋体" w:eastAsia="宋体" w:cs="宋体"/>
      <w:color w:val="000000"/>
      <w:sz w:val="20"/>
      <w:szCs w:val="20"/>
      <w:u w:val="none"/>
      <w:vertAlign w:val="subscript"/>
    </w:rPr>
  </w:style>
  <w:style w:type="character" w:customStyle="1" w:styleId="58">
    <w:name w:val="正文缩进 Char1"/>
    <w:link w:val="55"/>
    <w:qFormat/>
    <w:uiPriority w:val="0"/>
    <w:rPr>
      <w:rFonts w:ascii="宋体"/>
      <w:sz w:val="24"/>
    </w:rPr>
  </w:style>
  <w:style w:type="character" w:customStyle="1" w:styleId="59">
    <w:name w:val="批注主题 Char1"/>
    <w:qFormat/>
    <w:uiPriority w:val="99"/>
    <w:rPr>
      <w:b/>
      <w:bCs/>
      <w:kern w:val="2"/>
      <w:sz w:val="21"/>
      <w:szCs w:val="24"/>
    </w:rPr>
  </w:style>
  <w:style w:type="character" w:customStyle="1" w:styleId="60">
    <w:name w:val="font31"/>
    <w:basedOn w:val="38"/>
    <w:qFormat/>
    <w:uiPriority w:val="0"/>
    <w:rPr>
      <w:rFonts w:hint="eastAsia" w:ascii="宋体" w:hAnsi="宋体" w:eastAsia="宋体" w:cs="宋体"/>
      <w:color w:val="404040"/>
      <w:sz w:val="20"/>
      <w:szCs w:val="20"/>
      <w:u w:val="none"/>
    </w:rPr>
  </w:style>
  <w:style w:type="character" w:customStyle="1" w:styleId="61">
    <w:name w:val="font61"/>
    <w:basedOn w:val="38"/>
    <w:qFormat/>
    <w:uiPriority w:val="0"/>
    <w:rPr>
      <w:rFonts w:hint="eastAsia" w:ascii="宋体" w:hAnsi="宋体" w:eastAsia="宋体" w:cs="宋体"/>
      <w:color w:val="333333"/>
      <w:sz w:val="20"/>
      <w:szCs w:val="20"/>
      <w:u w:val="none"/>
    </w:rPr>
  </w:style>
  <w:style w:type="character" w:customStyle="1" w:styleId="62">
    <w:name w:val="页眉 字符"/>
    <w:link w:val="23"/>
    <w:qFormat/>
    <w:uiPriority w:val="99"/>
    <w:rPr>
      <w:kern w:val="2"/>
      <w:sz w:val="18"/>
      <w:szCs w:val="18"/>
    </w:rPr>
  </w:style>
  <w:style w:type="character" w:customStyle="1" w:styleId="63">
    <w:name w:val="批注文字 Char1"/>
    <w:qFormat/>
    <w:uiPriority w:val="99"/>
    <w:rPr>
      <w:kern w:val="2"/>
      <w:sz w:val="21"/>
      <w:szCs w:val="24"/>
    </w:rPr>
  </w:style>
  <w:style w:type="character" w:customStyle="1" w:styleId="64">
    <w:name w:val="font41"/>
    <w:basedOn w:val="38"/>
    <w:qFormat/>
    <w:uiPriority w:val="0"/>
    <w:rPr>
      <w:rFonts w:hint="eastAsia" w:ascii="宋体" w:hAnsi="宋体" w:eastAsia="宋体" w:cs="宋体"/>
      <w:color w:val="000000"/>
      <w:sz w:val="20"/>
      <w:szCs w:val="20"/>
      <w:u w:val="none"/>
    </w:rPr>
  </w:style>
  <w:style w:type="character" w:customStyle="1" w:styleId="65">
    <w:name w:val="页脚 字符"/>
    <w:link w:val="22"/>
    <w:qFormat/>
    <w:uiPriority w:val="99"/>
    <w:rPr>
      <w:rFonts w:ascii="宋体"/>
      <w:sz w:val="18"/>
    </w:rPr>
  </w:style>
  <w:style w:type="character" w:customStyle="1" w:styleId="66">
    <w:name w:val="font101"/>
    <w:basedOn w:val="38"/>
    <w:qFormat/>
    <w:uiPriority w:val="0"/>
    <w:rPr>
      <w:rFonts w:hint="eastAsia" w:ascii="宋体" w:hAnsi="宋体" w:eastAsia="宋体" w:cs="宋体"/>
      <w:color w:val="000000"/>
      <w:sz w:val="20"/>
      <w:szCs w:val="20"/>
      <w:u w:val="none"/>
    </w:rPr>
  </w:style>
  <w:style w:type="character" w:customStyle="1" w:styleId="67">
    <w:name w:val="标题 2 字符"/>
    <w:link w:val="2"/>
    <w:qFormat/>
    <w:uiPriority w:val="0"/>
    <w:rPr>
      <w:rFonts w:ascii="Arial" w:hAnsi="Arial" w:eastAsia="黑体"/>
      <w:b/>
      <w:sz w:val="30"/>
    </w:rPr>
  </w:style>
  <w:style w:type="character" w:customStyle="1" w:styleId="68">
    <w:name w:val="批注框文本 字符"/>
    <w:link w:val="21"/>
    <w:qFormat/>
    <w:uiPriority w:val="0"/>
    <w:rPr>
      <w:kern w:val="2"/>
      <w:sz w:val="18"/>
      <w:szCs w:val="18"/>
    </w:rPr>
  </w:style>
  <w:style w:type="character" w:customStyle="1" w:styleId="69">
    <w:name w:val="纯文本 Char1"/>
    <w:link w:val="53"/>
    <w:qFormat/>
    <w:uiPriority w:val="0"/>
    <w:rPr>
      <w:rFonts w:ascii="宋体" w:hAnsi="Courier New"/>
    </w:rPr>
  </w:style>
  <w:style w:type="character" w:customStyle="1" w:styleId="70">
    <w:name w:val="font81"/>
    <w:basedOn w:val="38"/>
    <w:qFormat/>
    <w:uiPriority w:val="0"/>
    <w:rPr>
      <w:rFonts w:hint="eastAsia" w:ascii="宋体" w:hAnsi="宋体" w:eastAsia="宋体" w:cs="宋体"/>
      <w:color w:val="404040"/>
      <w:sz w:val="20"/>
      <w:szCs w:val="20"/>
      <w:u w:val="none"/>
    </w:rPr>
  </w:style>
  <w:style w:type="character" w:customStyle="1" w:styleId="71">
    <w:name w:val="文档结构图 字符"/>
    <w:basedOn w:val="38"/>
    <w:link w:val="8"/>
    <w:qFormat/>
    <w:uiPriority w:val="0"/>
    <w:rPr>
      <w:rFonts w:ascii="宋体"/>
      <w:kern w:val="2"/>
      <w:sz w:val="18"/>
      <w:szCs w:val="18"/>
    </w:rPr>
  </w:style>
  <w:style w:type="character" w:customStyle="1" w:styleId="72">
    <w:name w:val="日期 字符"/>
    <w:link w:val="19"/>
    <w:qFormat/>
    <w:uiPriority w:val="0"/>
    <w:rPr>
      <w:rFonts w:ascii="仿宋_GB2312" w:hAnsi="宋体" w:eastAsia="仿宋_GB2312"/>
      <w:color w:val="000000"/>
      <w:kern w:val="2"/>
      <w:sz w:val="24"/>
      <w:szCs w:val="24"/>
    </w:rPr>
  </w:style>
  <w:style w:type="character" w:customStyle="1" w:styleId="73">
    <w:name w:val="页眉 Char1"/>
    <w:qFormat/>
    <w:uiPriority w:val="99"/>
    <w:rPr>
      <w:kern w:val="2"/>
      <w:sz w:val="18"/>
      <w:szCs w:val="18"/>
    </w:rPr>
  </w:style>
  <w:style w:type="character" w:customStyle="1" w:styleId="74">
    <w:name w:val="批注框文本 Char1"/>
    <w:qFormat/>
    <w:uiPriority w:val="99"/>
    <w:rPr>
      <w:kern w:val="2"/>
      <w:sz w:val="18"/>
      <w:szCs w:val="18"/>
    </w:rPr>
  </w:style>
  <w:style w:type="character" w:customStyle="1" w:styleId="75">
    <w:name w:val="纯文本 字符"/>
    <w:link w:val="17"/>
    <w:qFormat/>
    <w:uiPriority w:val="0"/>
    <w:rPr>
      <w:rFonts w:ascii="宋体" w:hAnsi="Courier New"/>
      <w:kern w:val="2"/>
      <w:sz w:val="21"/>
    </w:rPr>
  </w:style>
  <w:style w:type="character" w:customStyle="1" w:styleId="76">
    <w:name w:val="正文文本 字符"/>
    <w:link w:val="11"/>
    <w:qFormat/>
    <w:uiPriority w:val="0"/>
    <w:rPr>
      <w:rFonts w:ascii="宋体" w:hAnsi="宋体"/>
      <w:kern w:val="2"/>
      <w:sz w:val="24"/>
      <w:szCs w:val="24"/>
    </w:rPr>
  </w:style>
  <w:style w:type="character" w:customStyle="1" w:styleId="77">
    <w:name w:val="批注文字 字符"/>
    <w:link w:val="10"/>
    <w:qFormat/>
    <w:uiPriority w:val="99"/>
    <w:rPr>
      <w:kern w:val="2"/>
      <w:sz w:val="21"/>
      <w:szCs w:val="24"/>
    </w:rPr>
  </w:style>
  <w:style w:type="character" w:customStyle="1" w:styleId="78">
    <w:name w:val="批注主题 字符"/>
    <w:link w:val="33"/>
    <w:qFormat/>
    <w:uiPriority w:val="0"/>
    <w:rPr>
      <w:b/>
      <w:bCs/>
      <w:kern w:val="2"/>
      <w:sz w:val="21"/>
      <w:szCs w:val="24"/>
    </w:rPr>
  </w:style>
  <w:style w:type="character" w:customStyle="1" w:styleId="79">
    <w:name w:val="标题 3 字符"/>
    <w:link w:val="4"/>
    <w:qFormat/>
    <w:uiPriority w:val="0"/>
    <w:rPr>
      <w:rFonts w:ascii="宋体"/>
      <w:b/>
      <w:sz w:val="24"/>
      <w:u w:val="single"/>
    </w:rPr>
  </w:style>
  <w:style w:type="character" w:customStyle="1" w:styleId="80">
    <w:name w:val="标题 1 字符"/>
    <w:link w:val="3"/>
    <w:qFormat/>
    <w:uiPriority w:val="0"/>
    <w:rPr>
      <w:rFonts w:ascii="宋体"/>
      <w:b/>
      <w:kern w:val="44"/>
      <w:sz w:val="32"/>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样式 正文（首行缩进两字） + 首行缩进:  2 字符2"/>
    <w:basedOn w:val="5"/>
    <w:qFormat/>
    <w:uiPriority w:val="0"/>
    <w:pPr>
      <w:spacing w:line="360" w:lineRule="auto"/>
      <w:ind w:firstLine="0"/>
      <w:textAlignment w:val="baseline"/>
    </w:pPr>
    <w:rPr>
      <w:rFonts w:hAnsi="宋体" w:eastAsia="楷体_GB2312" w:cs="宋体"/>
      <w:bCs/>
      <w:kern w:val="2"/>
      <w:sz w:val="21"/>
      <w:szCs w:val="21"/>
    </w:rPr>
  </w:style>
  <w:style w:type="paragraph" w:customStyle="1" w:styleId="83">
    <w:name w:val="PlainText"/>
    <w:basedOn w:val="1"/>
    <w:qFormat/>
    <w:uiPriority w:val="0"/>
    <w:pPr>
      <w:textAlignment w:val="baseline"/>
    </w:pPr>
    <w:rPr>
      <w:rFonts w:ascii="宋体" w:hAnsi="Courier New"/>
      <w:szCs w:val="20"/>
    </w:rPr>
  </w:style>
  <w:style w:type="character" w:customStyle="1" w:styleId="84">
    <w:name w:val="NormalCharacter"/>
    <w:qFormat/>
    <w:uiPriority w:val="0"/>
    <w:rPr>
      <w:rFonts w:ascii="Times New Roman" w:hAnsi="Times New Roman" w:eastAsia="宋体" w:cs="Times New Roman"/>
      <w:kern w:val="2"/>
      <w:sz w:val="21"/>
      <w:szCs w:val="24"/>
      <w:lang w:val="en-US" w:eastAsia="zh-CN" w:bidi="ar-SA"/>
    </w:rPr>
  </w:style>
  <w:style w:type="character" w:customStyle="1" w:styleId="85">
    <w:name w:val="fontstyle01"/>
    <w:qFormat/>
    <w:uiPriority w:val="0"/>
    <w:rPr>
      <w:rFonts w:hint="eastAsia" w:ascii="宋体" w:hAnsi="宋体" w:eastAsia="宋体"/>
      <w:color w:val="000000"/>
      <w:sz w:val="22"/>
      <w:szCs w:val="22"/>
    </w:rPr>
  </w:style>
  <w:style w:type="paragraph" w:customStyle="1" w:styleId="86">
    <w:name w:val="正文1"/>
    <w:qFormat/>
    <w:uiPriority w:val="0"/>
    <w:pPr>
      <w:jc w:val="both"/>
    </w:pPr>
    <w:rPr>
      <w:rFonts w:ascii="Calibri" w:hAnsi="Calibri" w:eastAsia="宋体" w:cs="宋体"/>
      <w:kern w:val="2"/>
      <w:sz w:val="21"/>
      <w:szCs w:val="21"/>
      <w:lang w:val="en-US" w:eastAsia="zh-CN" w:bidi="ar-SA"/>
    </w:rPr>
  </w:style>
  <w:style w:type="character" w:customStyle="1" w:styleId="87">
    <w:name w:val="font11"/>
    <w:basedOn w:val="38"/>
    <w:qFormat/>
    <w:uiPriority w:val="0"/>
    <w:rPr>
      <w:rFonts w:hint="eastAsia" w:ascii="宋体" w:hAnsi="宋体" w:eastAsia="宋体" w:cs="宋体"/>
      <w:color w:val="000000"/>
      <w:sz w:val="18"/>
      <w:szCs w:val="18"/>
      <w:u w:val="none"/>
    </w:rPr>
  </w:style>
  <w:style w:type="character" w:customStyle="1" w:styleId="88">
    <w:name w:val="font71"/>
    <w:basedOn w:val="38"/>
    <w:qFormat/>
    <w:uiPriority w:val="0"/>
    <w:rPr>
      <w:rFonts w:hint="eastAsia" w:ascii="宋体" w:hAnsi="宋体" w:eastAsia="宋体" w:cs="宋体"/>
      <w:color w:val="000000"/>
      <w:sz w:val="18"/>
      <w:szCs w:val="18"/>
      <w:u w:val="none"/>
    </w:rPr>
  </w:style>
  <w:style w:type="character" w:customStyle="1" w:styleId="89">
    <w:name w:val="font112"/>
    <w:basedOn w:val="38"/>
    <w:qFormat/>
    <w:uiPriority w:val="0"/>
    <w:rPr>
      <w:rFonts w:hint="default" w:ascii="Calibri" w:hAnsi="Calibri" w:cs="Calibri"/>
      <w:color w:val="000000"/>
      <w:sz w:val="18"/>
      <w:szCs w:val="18"/>
      <w:u w:val="none"/>
    </w:rPr>
  </w:style>
  <w:style w:type="character" w:customStyle="1" w:styleId="90">
    <w:name w:val="font21"/>
    <w:basedOn w:val="38"/>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36034</Words>
  <Characters>38347</Characters>
  <Lines>434</Lines>
  <Paragraphs>122</Paragraphs>
  <TotalTime>1</TotalTime>
  <ScaleCrop>false</ScaleCrop>
  <LinksUpToDate>false</LinksUpToDate>
  <CharactersWithSpaces>42864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August。</cp:lastModifiedBy>
  <cp:lastPrinted>2022-07-14T10:14:00Z</cp:lastPrinted>
  <dcterms:modified xsi:type="dcterms:W3CDTF">2022-07-14T11:38:59Z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0844481A252844D4847D3949B6B87D29</vt:lpwstr>
  </property>
</Properties>
</file>