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雇主责任保险方案：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700"/>
        <w:gridCol w:w="280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保险责任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保险责任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保额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保险费（元）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雇主责任保险条款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人身伤亡责任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100万元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医疗费用责任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8万元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附加恐怖主义条款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人身伤亡责任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100万元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医疗费用责任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8万元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附加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小时扩展条款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人身伤亡责任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100万元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6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医疗费用责任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8万元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附加条款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疾病身故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30万元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附加条款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人身伤残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70万元（按伤残等级赔付）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保险费合计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备注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本项目采用单价招标，单价金额不超过420元/人/年 发生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保险责任时附加恐怖主义或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24小时扩展条款与主险不重复赔偿。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残疾比例给附表：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261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伤害程度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保险合同约定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每人伤亡责任限额的百分比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（一）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死亡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（二）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永久丧失工作能力或一级伤残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（三）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二级伤残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（四）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三级伤残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（五）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四级伤残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（六）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五级伤残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（七）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六级伤残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（八）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七级伤残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（九）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八级伤残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（十）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九级伤残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（十一）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十级伤残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1%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TU2ZmU2ZDg5N2EzZjc3OTkwZjVkNTdkYmNjMzgifQ=="/>
  </w:docVars>
  <w:rsids>
    <w:rsidRoot w:val="00000000"/>
    <w:rsid w:val="08D1490C"/>
    <w:rsid w:val="2A9E32F4"/>
    <w:rsid w:val="31C2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333</Characters>
  <Lines>0</Lines>
  <Paragraphs>0</Paragraphs>
  <TotalTime>0</TotalTime>
  <ScaleCrop>false</ScaleCrop>
  <LinksUpToDate>false</LinksUpToDate>
  <CharactersWithSpaces>333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2022-06-23T09:07:00Z</dcterms:created>
  <dc:creator>Administrator</dc:creator>
  <cp:lastModifiedBy>你是我的幸运儿</cp:lastModifiedBy>
  <dcterms:modified xsi:type="dcterms:W3CDTF">2022-07-14T11:03:15Z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E4B039E032244C63A9A9648AF85FE974</vt:lpwstr>
  </property>
</Properties>
</file>