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rPr>
          <w:rFonts w:hint="default" w:hAnsi="宋体" w:eastAsia="宋体"/>
          <w:b/>
          <w:sz w:val="50"/>
          <w:szCs w:val="50"/>
          <w:lang w:val="en-US" w:eastAsia="zh-CN"/>
        </w:rPr>
      </w:pPr>
      <w:r>
        <w:rPr>
          <w:rFonts w:hint="eastAsia" w:hAnsi="宋体"/>
          <w:b/>
          <w:sz w:val="50"/>
          <w:szCs w:val="50"/>
          <w:lang w:val="en-US" w:eastAsia="zh-CN"/>
        </w:rPr>
        <w:t xml:space="preserve">                                                                                                                                                                                                                                                                                                                                                                                                                                                                                                                                                                                                                                                                                                                                                                                                                                                                                                                                                                                                                                                                                                                                                                                                                                                                                                                                                                                                                                                                                         </w:t>
      </w:r>
    </w:p>
    <w:p>
      <w:pPr>
        <w:autoSpaceDE w:val="0"/>
        <w:autoSpaceDN w:val="0"/>
        <w:adjustRightInd w:val="0"/>
        <w:spacing w:line="360" w:lineRule="auto"/>
        <w:jc w:val="center"/>
        <w:rPr>
          <w:rFonts w:ascii="宋体" w:hAnsi="宋体"/>
          <w:b/>
          <w:bCs/>
          <w:kern w:val="0"/>
          <w:sz w:val="84"/>
          <w:szCs w:val="84"/>
        </w:rPr>
      </w:pPr>
      <w:r>
        <w:rPr>
          <w:rFonts w:hint="eastAsia" w:ascii="宋体" w:hAnsi="宋体"/>
          <w:b/>
          <w:bCs/>
          <w:kern w:val="0"/>
          <w:sz w:val="84"/>
          <w:szCs w:val="84"/>
          <w:lang w:eastAsia="zh-CN"/>
        </w:rPr>
        <w:t>竞争性</w:t>
      </w:r>
      <w:r>
        <w:rPr>
          <w:rFonts w:hint="eastAsia" w:ascii="宋体" w:hAnsi="宋体"/>
          <w:b/>
          <w:bCs/>
          <w:kern w:val="0"/>
          <w:sz w:val="84"/>
          <w:szCs w:val="84"/>
        </w:rPr>
        <w:t>磋商文件</w:t>
      </w:r>
    </w:p>
    <w:p>
      <w:pPr>
        <w:autoSpaceDE w:val="0"/>
        <w:autoSpaceDN w:val="0"/>
        <w:adjustRightInd w:val="0"/>
        <w:spacing w:line="360" w:lineRule="auto"/>
        <w:jc w:val="center"/>
        <w:rPr>
          <w:rFonts w:ascii="宋体" w:hAnsi="宋体"/>
          <w:kern w:val="0"/>
          <w:sz w:val="32"/>
          <w:szCs w:val="32"/>
        </w:rPr>
      </w:pPr>
    </w:p>
    <w:p>
      <w:pPr>
        <w:autoSpaceDE w:val="0"/>
        <w:autoSpaceDN w:val="0"/>
        <w:adjustRightInd w:val="0"/>
        <w:spacing w:line="360" w:lineRule="auto"/>
        <w:rPr>
          <w:rFonts w:ascii="宋体" w:hAnsi="宋体"/>
          <w:kern w:val="0"/>
          <w:sz w:val="32"/>
          <w:szCs w:val="32"/>
        </w:rPr>
      </w:pPr>
    </w:p>
    <w:p>
      <w:pPr>
        <w:autoSpaceDE w:val="0"/>
        <w:autoSpaceDN w:val="0"/>
        <w:adjustRightInd w:val="0"/>
        <w:spacing w:line="480" w:lineRule="auto"/>
        <w:ind w:left="1707" w:leftChars="103" w:hanging="1491" w:hangingChars="495"/>
        <w:rPr>
          <w:rFonts w:hint="eastAsia" w:ascii="宋体" w:hAnsi="宋体" w:eastAsia="宋体"/>
          <w:b/>
          <w:kern w:val="0"/>
          <w:sz w:val="30"/>
          <w:szCs w:val="30"/>
          <w:lang w:eastAsia="zh-CN"/>
        </w:rPr>
      </w:pPr>
      <w:r>
        <w:rPr>
          <w:rFonts w:hint="eastAsia" w:ascii="宋体" w:hAnsi="宋体"/>
          <w:b/>
          <w:kern w:val="0"/>
          <w:sz w:val="30"/>
          <w:szCs w:val="30"/>
        </w:rPr>
        <w:t>项目名称：</w:t>
      </w:r>
      <w:r>
        <w:rPr>
          <w:rFonts w:hint="eastAsia" w:ascii="宋体" w:hAnsi="宋体"/>
          <w:b/>
          <w:kern w:val="0"/>
          <w:sz w:val="30"/>
          <w:szCs w:val="30"/>
          <w:lang w:eastAsia="zh-CN"/>
        </w:rPr>
        <w:t xml:space="preserve">玛纳斯县2023年春季城区园林绿化苗木采购项目 </w:t>
      </w:r>
    </w:p>
    <w:p>
      <w:pPr>
        <w:autoSpaceDE w:val="0"/>
        <w:autoSpaceDN w:val="0"/>
        <w:adjustRightInd w:val="0"/>
        <w:spacing w:line="480" w:lineRule="auto"/>
        <w:ind w:left="1707" w:leftChars="103" w:hanging="1491" w:hangingChars="495"/>
        <w:rPr>
          <w:rFonts w:hint="eastAsia" w:ascii="宋体" w:hAnsi="宋体"/>
          <w:b/>
          <w:kern w:val="0"/>
          <w:sz w:val="30"/>
          <w:szCs w:val="30"/>
          <w:lang w:val="en-US" w:eastAsia="zh-CN"/>
        </w:rPr>
      </w:pPr>
      <w:r>
        <w:rPr>
          <w:rFonts w:hint="eastAsia" w:ascii="宋体" w:hAnsi="宋体"/>
          <w:b/>
          <w:kern w:val="0"/>
          <w:sz w:val="30"/>
          <w:szCs w:val="30"/>
        </w:rPr>
        <w:t>招标人（盖章）：</w:t>
      </w:r>
      <w:r>
        <w:rPr>
          <w:rFonts w:hint="eastAsia" w:ascii="宋体" w:hAnsi="宋体"/>
          <w:b/>
          <w:kern w:val="0"/>
          <w:sz w:val="30"/>
          <w:szCs w:val="30"/>
          <w:lang w:val="en-US" w:eastAsia="zh-CN"/>
        </w:rPr>
        <w:t>玛纳斯县园林苗木花卉产业局</w:t>
      </w:r>
    </w:p>
    <w:p>
      <w:pPr>
        <w:autoSpaceDE w:val="0"/>
        <w:autoSpaceDN w:val="0"/>
        <w:adjustRightInd w:val="0"/>
        <w:spacing w:line="480" w:lineRule="auto"/>
        <w:ind w:left="1707" w:leftChars="103" w:hanging="1491" w:hangingChars="495"/>
        <w:rPr>
          <w:rFonts w:ascii="宋体" w:hAnsi="宋体"/>
          <w:b/>
          <w:kern w:val="0"/>
          <w:sz w:val="30"/>
          <w:szCs w:val="30"/>
        </w:rPr>
      </w:pPr>
      <w:r>
        <w:rPr>
          <w:rFonts w:hint="eastAsia" w:ascii="宋体" w:hAnsi="宋体"/>
          <w:b/>
          <w:kern w:val="0"/>
          <w:sz w:val="30"/>
          <w:szCs w:val="30"/>
        </w:rPr>
        <w:t>文件编号：</w:t>
      </w:r>
      <w:r>
        <w:rPr>
          <w:rFonts w:hint="eastAsia" w:ascii="仿宋" w:hAnsi="仿宋" w:eastAsia="仿宋"/>
          <w:b/>
          <w:color w:val="auto"/>
          <w:sz w:val="28"/>
          <w:szCs w:val="22"/>
          <w:lang w:eastAsia="zh-CN"/>
        </w:rPr>
        <w:t>CSFLZB-2023-054-HW</w:t>
      </w:r>
      <w:r>
        <w:rPr>
          <w:rFonts w:hint="eastAsia" w:ascii="宋体" w:hAnsi="宋体"/>
          <w:b/>
          <w:kern w:val="0"/>
          <w:sz w:val="30"/>
          <w:szCs w:val="30"/>
        </w:rPr>
        <w:t xml:space="preserve">  </w:t>
      </w:r>
    </w:p>
    <w:p>
      <w:pPr>
        <w:autoSpaceDE w:val="0"/>
        <w:autoSpaceDN w:val="0"/>
        <w:adjustRightInd w:val="0"/>
        <w:spacing w:line="480" w:lineRule="auto"/>
        <w:ind w:left="1707" w:leftChars="103" w:hanging="1491" w:hangingChars="495"/>
        <w:rPr>
          <w:rFonts w:ascii="宋体" w:hAnsi="宋体"/>
          <w:b/>
          <w:kern w:val="0"/>
          <w:sz w:val="30"/>
          <w:szCs w:val="30"/>
        </w:rPr>
      </w:pPr>
    </w:p>
    <w:p>
      <w:pPr>
        <w:autoSpaceDE w:val="0"/>
        <w:autoSpaceDN w:val="0"/>
        <w:adjustRightInd w:val="0"/>
        <w:spacing w:line="480" w:lineRule="auto"/>
        <w:ind w:firstLine="178" w:firstLineChars="59"/>
        <w:rPr>
          <w:rFonts w:ascii="宋体" w:hAnsi="宋体"/>
          <w:b/>
          <w:kern w:val="0"/>
          <w:sz w:val="30"/>
          <w:szCs w:val="30"/>
          <w:u w:val="single"/>
        </w:rPr>
      </w:pPr>
    </w:p>
    <w:p>
      <w:pPr>
        <w:autoSpaceDE w:val="0"/>
        <w:autoSpaceDN w:val="0"/>
        <w:adjustRightInd w:val="0"/>
        <w:spacing w:line="480" w:lineRule="auto"/>
        <w:ind w:firstLine="178" w:firstLineChars="59"/>
        <w:rPr>
          <w:rFonts w:hint="eastAsia" w:ascii="宋体" w:hAnsi="宋体" w:eastAsia="宋体"/>
          <w:b/>
          <w:sz w:val="30"/>
          <w:szCs w:val="30"/>
          <w:lang w:eastAsia="zh-CN"/>
        </w:rPr>
      </w:pPr>
      <w:r>
        <w:rPr>
          <w:rFonts w:hint="eastAsia" w:ascii="宋体" w:hAnsi="宋体"/>
          <w:b/>
          <w:kern w:val="0"/>
          <w:sz w:val="30"/>
          <w:szCs w:val="30"/>
        </w:rPr>
        <w:t>代理机构（盖章）：</w:t>
      </w:r>
      <w:r>
        <w:rPr>
          <w:rFonts w:hint="eastAsia" w:ascii="宋体" w:hAnsi="宋体"/>
          <w:b/>
          <w:sz w:val="30"/>
          <w:szCs w:val="30"/>
          <w:lang w:eastAsia="zh-CN"/>
        </w:rPr>
        <w:t>新疆昌盛方略项目管理有限公司</w:t>
      </w:r>
    </w:p>
    <w:p>
      <w:pPr>
        <w:autoSpaceDE w:val="0"/>
        <w:autoSpaceDN w:val="0"/>
        <w:adjustRightInd w:val="0"/>
        <w:spacing w:line="480" w:lineRule="auto"/>
        <w:ind w:firstLine="178" w:firstLineChars="59"/>
        <w:rPr>
          <w:rFonts w:hint="eastAsia" w:ascii="宋体" w:hAnsi="宋体" w:eastAsia="宋体"/>
          <w:b/>
          <w:kern w:val="0"/>
          <w:sz w:val="30"/>
          <w:szCs w:val="30"/>
          <w:lang w:eastAsia="zh-CN"/>
        </w:rPr>
      </w:pPr>
      <w:r>
        <w:rPr>
          <w:rFonts w:hint="eastAsia" w:ascii="宋体" w:hAnsi="宋体"/>
          <w:b/>
          <w:kern w:val="0"/>
          <w:sz w:val="30"/>
          <w:szCs w:val="30"/>
        </w:rPr>
        <w:t>联系人：</w:t>
      </w:r>
      <w:r>
        <w:rPr>
          <w:rFonts w:hint="eastAsia" w:ascii="宋体" w:hAnsi="宋体"/>
          <w:b/>
          <w:kern w:val="0"/>
          <w:sz w:val="30"/>
          <w:szCs w:val="30"/>
          <w:lang w:eastAsia="zh-CN"/>
        </w:rPr>
        <w:t>伊女士</w:t>
      </w:r>
    </w:p>
    <w:p>
      <w:pPr>
        <w:autoSpaceDE w:val="0"/>
        <w:autoSpaceDN w:val="0"/>
        <w:adjustRightInd w:val="0"/>
        <w:spacing w:line="480" w:lineRule="auto"/>
        <w:ind w:firstLine="178" w:firstLineChars="59"/>
        <w:rPr>
          <w:rFonts w:ascii="宋体" w:hAnsi="宋体"/>
          <w:b/>
          <w:kern w:val="0"/>
          <w:sz w:val="30"/>
          <w:szCs w:val="30"/>
        </w:rPr>
      </w:pPr>
      <w:r>
        <w:rPr>
          <w:rFonts w:hint="eastAsia" w:ascii="宋体" w:hAnsi="宋体"/>
          <w:b/>
          <w:kern w:val="0"/>
          <w:sz w:val="30"/>
          <w:szCs w:val="30"/>
        </w:rPr>
        <w:t>联系电话：</w:t>
      </w:r>
      <w:r>
        <w:rPr>
          <w:rFonts w:hint="eastAsia" w:ascii="宋体" w:hAnsi="宋体"/>
          <w:b/>
          <w:kern w:val="0"/>
          <w:sz w:val="30"/>
          <w:szCs w:val="30"/>
          <w:lang w:eastAsia="zh-CN"/>
        </w:rPr>
        <w:t>13779252105</w:t>
      </w:r>
    </w:p>
    <w:p>
      <w:pPr>
        <w:autoSpaceDE w:val="0"/>
        <w:autoSpaceDN w:val="0"/>
        <w:adjustRightInd w:val="0"/>
        <w:spacing w:line="480" w:lineRule="auto"/>
        <w:ind w:firstLine="178" w:firstLineChars="59"/>
        <w:rPr>
          <w:rFonts w:hint="eastAsia" w:ascii="宋体" w:hAnsi="宋体" w:eastAsia="宋体"/>
          <w:b/>
          <w:kern w:val="0"/>
          <w:sz w:val="30"/>
          <w:szCs w:val="30"/>
          <w:lang w:eastAsia="zh-CN"/>
        </w:rPr>
      </w:pPr>
      <w:r>
        <w:rPr>
          <w:rFonts w:hint="eastAsia" w:ascii="宋体" w:hAnsi="宋体"/>
          <w:b/>
          <w:kern w:val="0"/>
          <w:sz w:val="30"/>
          <w:szCs w:val="30"/>
        </w:rPr>
        <w:t>地址：</w:t>
      </w:r>
      <w:r>
        <w:rPr>
          <w:rFonts w:hint="eastAsia" w:ascii="宋体" w:hAnsi="宋体"/>
          <w:b/>
          <w:kern w:val="0"/>
          <w:sz w:val="30"/>
          <w:szCs w:val="30"/>
          <w:lang w:eastAsia="zh-CN"/>
        </w:rPr>
        <w:t>昌吉市西外环南路832号尚都社区国投大厦1幢14楼</w:t>
      </w:r>
    </w:p>
    <w:p>
      <w:pPr>
        <w:autoSpaceDE w:val="0"/>
        <w:autoSpaceDN w:val="0"/>
        <w:adjustRightInd w:val="0"/>
        <w:spacing w:line="480" w:lineRule="auto"/>
        <w:rPr>
          <w:rFonts w:hint="default" w:ascii="宋体" w:hAnsi="宋体" w:eastAsia="宋体"/>
          <w:b/>
          <w:kern w:val="0"/>
          <w:sz w:val="30"/>
          <w:szCs w:val="30"/>
          <w:lang w:val="en-US" w:eastAsia="zh-CN"/>
        </w:rPr>
      </w:pPr>
      <w:r>
        <w:rPr>
          <w:rFonts w:hint="eastAsia" w:ascii="宋体" w:hAnsi="宋体"/>
          <w:b/>
          <w:kern w:val="0"/>
          <w:sz w:val="30"/>
          <w:szCs w:val="30"/>
          <w:lang w:val="en-US" w:eastAsia="zh-CN"/>
        </w:rPr>
        <w:t xml:space="preserve">                                                                                </w:t>
      </w:r>
    </w:p>
    <w:p>
      <w:pPr>
        <w:autoSpaceDE w:val="0"/>
        <w:autoSpaceDN w:val="0"/>
        <w:adjustRightInd w:val="0"/>
        <w:spacing w:line="480" w:lineRule="auto"/>
        <w:jc w:val="center"/>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2023年4月</w:t>
      </w:r>
    </w:p>
    <w:p>
      <w:pPr>
        <w:spacing w:line="360" w:lineRule="auto"/>
        <w:ind w:firstLine="562"/>
        <w:jc w:val="center"/>
        <w:rPr>
          <w:rFonts w:eastAsia="黑体"/>
          <w:sz w:val="32"/>
          <w:szCs w:val="32"/>
        </w:rPr>
      </w:pPr>
    </w:p>
    <w:p>
      <w:pPr>
        <w:pStyle w:val="7"/>
        <w:rPr>
          <w:rFonts w:eastAsia="黑体"/>
          <w:sz w:val="32"/>
          <w:szCs w:val="32"/>
        </w:rPr>
      </w:pPr>
    </w:p>
    <w:p>
      <w:pPr>
        <w:rPr>
          <w:rFonts w:eastAsia="黑体"/>
          <w:sz w:val="32"/>
          <w:szCs w:val="32"/>
        </w:rPr>
      </w:pPr>
    </w:p>
    <w:p>
      <w:pPr>
        <w:pStyle w:val="7"/>
        <w:rPr>
          <w:rFonts w:eastAsia="黑体"/>
          <w:sz w:val="32"/>
          <w:szCs w:val="32"/>
        </w:rPr>
      </w:pPr>
    </w:p>
    <w:p>
      <w:pPr>
        <w:rPr>
          <w:rFonts w:eastAsia="黑体"/>
          <w:sz w:val="32"/>
          <w:szCs w:val="32"/>
        </w:rPr>
      </w:pPr>
    </w:p>
    <w:p>
      <w:pPr>
        <w:pStyle w:val="7"/>
        <w:rPr>
          <w:rFonts w:eastAsia="黑体"/>
          <w:sz w:val="32"/>
          <w:szCs w:val="32"/>
        </w:rPr>
      </w:pPr>
    </w:p>
    <w:p>
      <w:pPr>
        <w:rPr>
          <w:rFonts w:eastAsia="黑体"/>
          <w:sz w:val="32"/>
          <w:szCs w:val="32"/>
        </w:rPr>
      </w:pPr>
    </w:p>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招投标监督管理机构备案登记栏</w:t>
      </w:r>
    </w:p>
    <w:tbl>
      <w:tblPr>
        <w:tblStyle w:val="28"/>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bookmarkStart w:id="31" w:name="_GoBack"/>
            <w:bookmarkEnd w:id="31"/>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w w:val="95"/>
                <w:sz w:val="32"/>
                <w:szCs w:val="32"/>
                <w:lang w:val="en-US"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玛纳斯县园林苗木花卉产业局</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w w:val="95"/>
                <w:sz w:val="32"/>
                <w:szCs w:val="32"/>
                <w:lang w:eastAsia="zh-CN"/>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eastAsia="zh-CN"/>
              </w:rPr>
              <w:t xml:space="preserve">玛纳斯县2023年春季城区园林绿化苗木采购项目 </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Style w:val="5"/>
              <w:rPr>
                <w:rFonts w:hint="eastAsia"/>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新疆昌盛方略项目管理有限公司</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（盖章）</w:t>
            </w:r>
          </w:p>
          <w:p>
            <w:pPr>
              <w:pStyle w:val="5"/>
              <w:jc w:val="center"/>
              <w:rPr>
                <w:rFonts w:hint="eastAsia" w:ascii="仿宋" w:hAnsi="仿宋" w:eastAsia="仿宋" w:cs="仿宋"/>
                <w:color w:val="auto"/>
              </w:rPr>
            </w:pPr>
          </w:p>
          <w:p>
            <w:pPr>
              <w:pStyle w:val="5"/>
              <w:jc w:val="center"/>
              <w:rPr>
                <w:rFonts w:hint="eastAsia" w:ascii="仿宋" w:hAnsi="仿宋" w:eastAsia="仿宋" w:cs="仿宋"/>
                <w:color w:val="auto"/>
              </w:rPr>
            </w:pPr>
          </w:p>
          <w:p>
            <w:pPr>
              <w:pStyle w:val="5"/>
              <w:jc w:val="center"/>
              <w:rPr>
                <w:rFonts w:hint="eastAsia" w:ascii="仿宋" w:hAnsi="仿宋" w:eastAsia="仿宋" w:cs="仿宋"/>
                <w:color w:val="auto"/>
              </w:rPr>
            </w:pPr>
            <w:r>
              <w:rPr>
                <w:rFonts w:hint="eastAsia" w:ascii="仿宋" w:hAnsi="仿宋" w:eastAsia="仿宋" w:cs="仿宋"/>
                <w:color w:val="auto"/>
              </w:rPr>
              <w:t>日  期：20</w:t>
            </w:r>
            <w:r>
              <w:rPr>
                <w:rFonts w:hint="eastAsia" w:ascii="仿宋" w:hAnsi="仿宋" w:eastAsia="仿宋" w:cs="仿宋"/>
                <w:color w:val="auto"/>
                <w:lang w:val="en-US" w:eastAsia="zh-CN"/>
              </w:rPr>
              <w:t>23</w:t>
            </w:r>
            <w:r>
              <w:rPr>
                <w:rFonts w:hint="eastAsia" w:ascii="仿宋" w:hAnsi="仿宋" w:eastAsia="仿宋" w:cs="仿宋"/>
                <w:color w:val="auto"/>
              </w:rPr>
              <w:t>年</w:t>
            </w:r>
            <w:r>
              <w:rPr>
                <w:rFonts w:hint="eastAsia" w:ascii="仿宋" w:hAnsi="仿宋" w:eastAsia="仿宋" w:cs="仿宋"/>
                <w:color w:val="auto"/>
                <w:lang w:val="en-US" w:eastAsia="zh-CN"/>
              </w:rPr>
              <w:t>4</w:t>
            </w:r>
            <w:r>
              <w:rPr>
                <w:rFonts w:hint="eastAsia" w:ascii="仿宋" w:hAnsi="仿宋" w:eastAsia="仿宋" w:cs="仿宋"/>
                <w:color w:val="auto"/>
              </w:rPr>
              <w:t>月</w:t>
            </w:r>
          </w:p>
          <w:p>
            <w:pPr>
              <w:pStyle w:val="5"/>
              <w:rPr>
                <w:rFonts w:hint="eastAsia" w:ascii="仿宋" w:hAnsi="仿宋" w:eastAsia="仿宋" w:cs="仿宋"/>
                <w:color w:val="auto"/>
              </w:rPr>
            </w:pPr>
          </w:p>
        </w:tc>
      </w:tr>
    </w:tbl>
    <w:p>
      <w:pPr>
        <w:pStyle w:val="7"/>
        <w:sectPr>
          <w:footerReference r:id="rId7" w:type="first"/>
          <w:headerReference r:id="rId3" w:type="default"/>
          <w:footerReference r:id="rId5" w:type="default"/>
          <w:headerReference r:id="rId4" w:type="even"/>
          <w:footerReference r:id="rId6" w:type="even"/>
          <w:pgSz w:w="11906" w:h="16838"/>
          <w:pgMar w:top="1418" w:right="1474" w:bottom="1418" w:left="1588"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目录</w:t>
      </w:r>
    </w:p>
    <w:p>
      <w:pPr>
        <w:spacing w:line="264" w:lineRule="auto"/>
        <w:jc w:val="center"/>
        <w:rPr>
          <w:rFonts w:hint="eastAsia" w:hAnsi="宋体"/>
          <w:b/>
          <w:sz w:val="36"/>
          <w:szCs w:val="36"/>
        </w:rPr>
      </w:pPr>
    </w:p>
    <w:p>
      <w:pPr>
        <w:spacing w:line="264" w:lineRule="auto"/>
        <w:jc w:val="center"/>
        <w:rPr>
          <w:rFonts w:hint="eastAsia" w:hAnsi="宋体"/>
          <w:b/>
          <w:sz w:val="36"/>
          <w:szCs w:val="36"/>
        </w:rPr>
      </w:pPr>
    </w:p>
    <w:p>
      <w:pPr>
        <w:pStyle w:val="21"/>
        <w:tabs>
          <w:tab w:val="right" w:leader="dot" w:pos="10080"/>
        </w:tabs>
      </w:pPr>
      <w:r>
        <w:rPr>
          <w:rFonts w:hint="eastAsia" w:hAnsi="宋体"/>
          <w:b/>
          <w:sz w:val="36"/>
          <w:szCs w:val="36"/>
        </w:rPr>
        <w:fldChar w:fldCharType="begin"/>
      </w:r>
      <w:r>
        <w:rPr>
          <w:rFonts w:hint="eastAsia" w:hAnsi="宋体"/>
          <w:b/>
          <w:sz w:val="36"/>
          <w:szCs w:val="36"/>
        </w:rPr>
        <w:instrText xml:space="preserve">TOC \o "1-2" \h \u </w:instrText>
      </w:r>
      <w:r>
        <w:rPr>
          <w:rFonts w:hint="eastAsia" w:hAnsi="宋体"/>
          <w:b/>
          <w:sz w:val="36"/>
          <w:szCs w:val="36"/>
        </w:rPr>
        <w:fldChar w:fldCharType="separate"/>
      </w:r>
      <w:r>
        <w:rPr>
          <w:rFonts w:hint="eastAsia" w:hAnsi="宋体"/>
          <w:szCs w:val="36"/>
        </w:rPr>
        <w:fldChar w:fldCharType="begin"/>
      </w:r>
      <w:r>
        <w:rPr>
          <w:rFonts w:hint="eastAsia" w:hAnsi="宋体"/>
          <w:szCs w:val="36"/>
        </w:rPr>
        <w:instrText xml:space="preserve"> HYPERLINK \l _Toc30829 </w:instrText>
      </w:r>
      <w:r>
        <w:rPr>
          <w:rFonts w:hint="eastAsia" w:hAnsi="宋体"/>
          <w:szCs w:val="36"/>
        </w:rPr>
        <w:fldChar w:fldCharType="separate"/>
      </w:r>
      <w:r>
        <w:rPr>
          <w:rFonts w:hint="eastAsia"/>
        </w:rPr>
        <w:t>第一部分投标须知</w:t>
      </w:r>
      <w:r>
        <w:tab/>
      </w:r>
      <w:r>
        <w:fldChar w:fldCharType="begin"/>
      </w:r>
      <w:r>
        <w:instrText xml:space="preserve"> PAGEREF _Toc30829 \h </w:instrText>
      </w:r>
      <w:r>
        <w:fldChar w:fldCharType="separate"/>
      </w:r>
      <w:r>
        <w:t>3</w:t>
      </w:r>
      <w:r>
        <w:fldChar w:fldCharType="end"/>
      </w:r>
      <w:r>
        <w:rPr>
          <w:rFonts w:hint="eastAsia" w:hAnsi="宋体"/>
          <w:szCs w:val="36"/>
        </w:rPr>
        <w:fldChar w:fldCharType="end"/>
      </w:r>
    </w:p>
    <w:p>
      <w:pPr>
        <w:pStyle w:val="14"/>
        <w:tabs>
          <w:tab w:val="right" w:leader="dot" w:pos="10080"/>
        </w:tabs>
      </w:pPr>
      <w:r>
        <w:rPr>
          <w:rFonts w:hint="eastAsia" w:hAnsi="宋体"/>
          <w:szCs w:val="36"/>
        </w:rPr>
        <w:fldChar w:fldCharType="begin"/>
      </w:r>
      <w:r>
        <w:rPr>
          <w:rFonts w:hint="eastAsia" w:hAnsi="宋体"/>
          <w:szCs w:val="36"/>
        </w:rPr>
        <w:instrText xml:space="preserve"> HYPERLINK \l _Toc20812 </w:instrText>
      </w:r>
      <w:r>
        <w:rPr>
          <w:rFonts w:hint="eastAsia" w:hAnsi="宋体"/>
          <w:szCs w:val="36"/>
        </w:rPr>
        <w:fldChar w:fldCharType="separate"/>
      </w:r>
      <w:r>
        <w:rPr>
          <w:rFonts w:hint="eastAsia"/>
          <w:lang w:val="en-US" w:eastAsia="zh-CN"/>
        </w:rPr>
        <w:t>一、</w:t>
      </w:r>
      <w:r>
        <w:rPr>
          <w:rFonts w:hint="eastAsia"/>
          <w:lang w:eastAsia="zh-CN"/>
        </w:rPr>
        <w:t>玛纳斯县2023年春季城区园林绿化苗木采购项目</w:t>
      </w:r>
      <w:r>
        <w:tab/>
      </w:r>
      <w:r>
        <w:fldChar w:fldCharType="begin"/>
      </w:r>
      <w:r>
        <w:instrText xml:space="preserve"> PAGEREF _Toc20812 \h </w:instrText>
      </w:r>
      <w:r>
        <w:fldChar w:fldCharType="separate"/>
      </w:r>
      <w:r>
        <w:t>3</w:t>
      </w:r>
      <w:r>
        <w:fldChar w:fldCharType="end"/>
      </w:r>
      <w:r>
        <w:rPr>
          <w:rFonts w:hint="eastAsia" w:hAnsi="宋体"/>
          <w:szCs w:val="36"/>
        </w:rPr>
        <w:fldChar w:fldCharType="end"/>
      </w:r>
    </w:p>
    <w:p>
      <w:pPr>
        <w:pStyle w:val="14"/>
        <w:tabs>
          <w:tab w:val="right" w:leader="dot" w:pos="10080"/>
        </w:tabs>
      </w:pPr>
      <w:r>
        <w:rPr>
          <w:rFonts w:hint="eastAsia" w:hAnsi="宋体"/>
          <w:szCs w:val="36"/>
        </w:rPr>
        <w:fldChar w:fldCharType="begin"/>
      </w:r>
      <w:r>
        <w:rPr>
          <w:rFonts w:hint="eastAsia" w:hAnsi="宋体"/>
          <w:szCs w:val="36"/>
        </w:rPr>
        <w:instrText xml:space="preserve"> HYPERLINK \l _Toc15849 </w:instrText>
      </w:r>
      <w:r>
        <w:rPr>
          <w:rFonts w:hint="eastAsia" w:hAnsi="宋体"/>
          <w:szCs w:val="36"/>
        </w:rPr>
        <w:fldChar w:fldCharType="separate"/>
      </w:r>
      <w:r>
        <w:rPr>
          <w:rFonts w:hint="eastAsia"/>
        </w:rPr>
        <w:t>竞争性磋商公告</w:t>
      </w:r>
      <w:r>
        <w:tab/>
      </w:r>
      <w:r>
        <w:fldChar w:fldCharType="begin"/>
      </w:r>
      <w:r>
        <w:instrText xml:space="preserve"> PAGEREF _Toc15849 \h </w:instrText>
      </w:r>
      <w:r>
        <w:fldChar w:fldCharType="separate"/>
      </w:r>
      <w:r>
        <w:t>3</w:t>
      </w:r>
      <w:r>
        <w:fldChar w:fldCharType="end"/>
      </w:r>
      <w:r>
        <w:rPr>
          <w:rFonts w:hint="eastAsia" w:hAnsi="宋体"/>
          <w:szCs w:val="36"/>
        </w:rPr>
        <w:fldChar w:fldCharType="end"/>
      </w:r>
    </w:p>
    <w:p>
      <w:pPr>
        <w:pStyle w:val="14"/>
        <w:tabs>
          <w:tab w:val="right" w:leader="dot" w:pos="10080"/>
        </w:tabs>
      </w:pPr>
      <w:r>
        <w:rPr>
          <w:rFonts w:hint="eastAsia" w:hAnsi="宋体"/>
          <w:szCs w:val="36"/>
        </w:rPr>
        <w:fldChar w:fldCharType="begin"/>
      </w:r>
      <w:r>
        <w:rPr>
          <w:rFonts w:hint="eastAsia" w:hAnsi="宋体"/>
          <w:szCs w:val="36"/>
        </w:rPr>
        <w:instrText xml:space="preserve"> HYPERLINK \l _Toc29331 </w:instrText>
      </w:r>
      <w:r>
        <w:rPr>
          <w:rFonts w:hint="eastAsia" w:hAnsi="宋体"/>
          <w:szCs w:val="36"/>
        </w:rPr>
        <w:fldChar w:fldCharType="separate"/>
      </w:r>
      <w:r>
        <w:rPr>
          <w:rFonts w:hint="eastAsia"/>
        </w:rPr>
        <w:t>二、 供应商须知前附表</w:t>
      </w:r>
      <w:r>
        <w:tab/>
      </w:r>
      <w:r>
        <w:fldChar w:fldCharType="begin"/>
      </w:r>
      <w:r>
        <w:instrText xml:space="preserve"> PAGEREF _Toc29331 \h </w:instrText>
      </w:r>
      <w:r>
        <w:fldChar w:fldCharType="separate"/>
      </w:r>
      <w:r>
        <w:t>8</w:t>
      </w:r>
      <w:r>
        <w:fldChar w:fldCharType="end"/>
      </w:r>
      <w:r>
        <w:rPr>
          <w:rFonts w:hint="eastAsia" w:hAnsi="宋体"/>
          <w:szCs w:val="36"/>
        </w:rPr>
        <w:fldChar w:fldCharType="end"/>
      </w:r>
    </w:p>
    <w:p>
      <w:pPr>
        <w:pStyle w:val="21"/>
        <w:tabs>
          <w:tab w:val="right" w:leader="dot" w:pos="10080"/>
        </w:tabs>
      </w:pPr>
      <w:r>
        <w:rPr>
          <w:rFonts w:hint="eastAsia" w:hAnsi="宋体"/>
          <w:szCs w:val="36"/>
        </w:rPr>
        <w:fldChar w:fldCharType="begin"/>
      </w:r>
      <w:r>
        <w:rPr>
          <w:rFonts w:hint="eastAsia" w:hAnsi="宋体"/>
          <w:szCs w:val="36"/>
        </w:rPr>
        <w:instrText xml:space="preserve"> HYPERLINK \l _Toc1154 </w:instrText>
      </w:r>
      <w:r>
        <w:rPr>
          <w:rFonts w:hint="eastAsia" w:hAnsi="宋体"/>
          <w:szCs w:val="36"/>
        </w:rPr>
        <w:fldChar w:fldCharType="separate"/>
      </w:r>
      <w:r>
        <w:rPr>
          <w:rFonts w:hint="eastAsia"/>
        </w:rPr>
        <w:t>第二部分招标说明</w:t>
      </w:r>
      <w:r>
        <w:tab/>
      </w:r>
      <w:r>
        <w:fldChar w:fldCharType="begin"/>
      </w:r>
      <w:r>
        <w:instrText xml:space="preserve"> PAGEREF _Toc1154 \h </w:instrText>
      </w:r>
      <w:r>
        <w:fldChar w:fldCharType="separate"/>
      </w:r>
      <w:r>
        <w:t>14</w:t>
      </w:r>
      <w:r>
        <w:fldChar w:fldCharType="end"/>
      </w:r>
      <w:r>
        <w:rPr>
          <w:rFonts w:hint="eastAsia" w:hAnsi="宋体"/>
          <w:szCs w:val="36"/>
        </w:rPr>
        <w:fldChar w:fldCharType="end"/>
      </w:r>
    </w:p>
    <w:p>
      <w:pPr>
        <w:pStyle w:val="21"/>
        <w:tabs>
          <w:tab w:val="right" w:leader="dot" w:pos="10080"/>
        </w:tabs>
      </w:pPr>
      <w:r>
        <w:rPr>
          <w:rFonts w:hint="eastAsia" w:hAnsi="宋体"/>
          <w:szCs w:val="36"/>
        </w:rPr>
        <w:fldChar w:fldCharType="begin"/>
      </w:r>
      <w:r>
        <w:rPr>
          <w:rFonts w:hint="eastAsia" w:hAnsi="宋体"/>
          <w:szCs w:val="36"/>
        </w:rPr>
        <w:instrText xml:space="preserve"> HYPERLINK \l _Toc8351 </w:instrText>
      </w:r>
      <w:r>
        <w:rPr>
          <w:rFonts w:hint="eastAsia" w:hAnsi="宋体"/>
          <w:szCs w:val="36"/>
        </w:rPr>
        <w:fldChar w:fldCharType="separate"/>
      </w:r>
      <w:r>
        <w:rPr>
          <w:rFonts w:hint="eastAsia"/>
        </w:rPr>
        <w:t>第三部分投标说明</w:t>
      </w:r>
      <w:r>
        <w:tab/>
      </w:r>
      <w:r>
        <w:fldChar w:fldCharType="begin"/>
      </w:r>
      <w:r>
        <w:instrText xml:space="preserve"> PAGEREF _Toc8351 \h </w:instrText>
      </w:r>
      <w:r>
        <w:fldChar w:fldCharType="separate"/>
      </w:r>
      <w:r>
        <w:t>16</w:t>
      </w:r>
      <w:r>
        <w:fldChar w:fldCharType="end"/>
      </w:r>
      <w:r>
        <w:rPr>
          <w:rFonts w:hint="eastAsia" w:hAnsi="宋体"/>
          <w:szCs w:val="36"/>
        </w:rPr>
        <w:fldChar w:fldCharType="end"/>
      </w:r>
    </w:p>
    <w:p>
      <w:pPr>
        <w:pStyle w:val="14"/>
        <w:tabs>
          <w:tab w:val="right" w:leader="dot" w:pos="10080"/>
        </w:tabs>
      </w:pPr>
      <w:r>
        <w:rPr>
          <w:rFonts w:hint="eastAsia" w:hAnsi="宋体"/>
          <w:szCs w:val="36"/>
        </w:rPr>
        <w:fldChar w:fldCharType="begin"/>
      </w:r>
      <w:r>
        <w:rPr>
          <w:rFonts w:hint="eastAsia" w:hAnsi="宋体"/>
          <w:szCs w:val="36"/>
        </w:rPr>
        <w:instrText xml:space="preserve"> HYPERLINK \l _Toc29051 </w:instrText>
      </w:r>
      <w:r>
        <w:rPr>
          <w:rFonts w:hint="eastAsia" w:hAnsi="宋体"/>
          <w:szCs w:val="36"/>
        </w:rPr>
        <w:fldChar w:fldCharType="separate"/>
      </w:r>
      <w:r>
        <w:rPr>
          <w:rFonts w:hint="eastAsia"/>
        </w:rPr>
        <w:t>第一章对供应商的资质要求</w:t>
      </w:r>
      <w:r>
        <w:tab/>
      </w:r>
      <w:r>
        <w:fldChar w:fldCharType="begin"/>
      </w:r>
      <w:r>
        <w:instrText xml:space="preserve"> PAGEREF _Toc29051 \h </w:instrText>
      </w:r>
      <w:r>
        <w:fldChar w:fldCharType="separate"/>
      </w:r>
      <w:r>
        <w:t>16</w:t>
      </w:r>
      <w:r>
        <w:fldChar w:fldCharType="end"/>
      </w:r>
      <w:r>
        <w:rPr>
          <w:rFonts w:hint="eastAsia" w:hAnsi="宋体"/>
          <w:szCs w:val="36"/>
        </w:rPr>
        <w:fldChar w:fldCharType="end"/>
      </w:r>
    </w:p>
    <w:p>
      <w:pPr>
        <w:pStyle w:val="14"/>
        <w:tabs>
          <w:tab w:val="right" w:leader="dot" w:pos="10080"/>
        </w:tabs>
      </w:pPr>
      <w:r>
        <w:rPr>
          <w:rFonts w:hint="eastAsia" w:hAnsi="宋体"/>
          <w:szCs w:val="36"/>
        </w:rPr>
        <w:fldChar w:fldCharType="begin"/>
      </w:r>
      <w:r>
        <w:rPr>
          <w:rFonts w:hint="eastAsia" w:hAnsi="宋体"/>
          <w:szCs w:val="36"/>
        </w:rPr>
        <w:instrText xml:space="preserve"> HYPERLINK \l _Toc32385 </w:instrText>
      </w:r>
      <w:r>
        <w:rPr>
          <w:rFonts w:hint="eastAsia" w:hAnsi="宋体"/>
          <w:szCs w:val="36"/>
        </w:rPr>
        <w:fldChar w:fldCharType="separate"/>
      </w:r>
      <w:r>
        <w:rPr>
          <w:rFonts w:hint="eastAsia"/>
        </w:rPr>
        <w:t>第二章响应文件的编写</w:t>
      </w:r>
      <w:r>
        <w:tab/>
      </w:r>
      <w:r>
        <w:fldChar w:fldCharType="begin"/>
      </w:r>
      <w:r>
        <w:instrText xml:space="preserve"> PAGEREF _Toc32385 \h </w:instrText>
      </w:r>
      <w:r>
        <w:fldChar w:fldCharType="separate"/>
      </w:r>
      <w:r>
        <w:t>16</w:t>
      </w:r>
      <w:r>
        <w:fldChar w:fldCharType="end"/>
      </w:r>
      <w:r>
        <w:rPr>
          <w:rFonts w:hint="eastAsia" w:hAnsi="宋体"/>
          <w:szCs w:val="36"/>
        </w:rPr>
        <w:fldChar w:fldCharType="end"/>
      </w:r>
    </w:p>
    <w:p>
      <w:pPr>
        <w:pStyle w:val="14"/>
        <w:tabs>
          <w:tab w:val="right" w:leader="dot" w:pos="10080"/>
        </w:tabs>
      </w:pPr>
      <w:r>
        <w:rPr>
          <w:rFonts w:hint="eastAsia" w:hAnsi="宋体"/>
          <w:szCs w:val="36"/>
        </w:rPr>
        <w:fldChar w:fldCharType="begin"/>
      </w:r>
      <w:r>
        <w:rPr>
          <w:rFonts w:hint="eastAsia" w:hAnsi="宋体"/>
          <w:szCs w:val="36"/>
        </w:rPr>
        <w:instrText xml:space="preserve"> HYPERLINK \l _Toc19218 </w:instrText>
      </w:r>
      <w:r>
        <w:rPr>
          <w:rFonts w:hint="eastAsia" w:hAnsi="宋体"/>
          <w:szCs w:val="36"/>
        </w:rPr>
        <w:fldChar w:fldCharType="separate"/>
      </w:r>
      <w:r>
        <w:rPr>
          <w:rFonts w:hint="eastAsia"/>
        </w:rPr>
        <w:t>第三章响应文件的递交</w:t>
      </w:r>
      <w:r>
        <w:tab/>
      </w:r>
      <w:r>
        <w:fldChar w:fldCharType="begin"/>
      </w:r>
      <w:r>
        <w:instrText xml:space="preserve"> PAGEREF _Toc19218 \h </w:instrText>
      </w:r>
      <w:r>
        <w:fldChar w:fldCharType="separate"/>
      </w:r>
      <w:r>
        <w:t>19</w:t>
      </w:r>
      <w:r>
        <w:fldChar w:fldCharType="end"/>
      </w:r>
      <w:r>
        <w:rPr>
          <w:rFonts w:hint="eastAsia" w:hAnsi="宋体"/>
          <w:szCs w:val="36"/>
        </w:rPr>
        <w:fldChar w:fldCharType="end"/>
      </w:r>
    </w:p>
    <w:p>
      <w:pPr>
        <w:pStyle w:val="14"/>
        <w:tabs>
          <w:tab w:val="right" w:leader="dot" w:pos="10080"/>
        </w:tabs>
      </w:pPr>
      <w:r>
        <w:rPr>
          <w:rFonts w:hint="eastAsia" w:hAnsi="宋体"/>
          <w:szCs w:val="36"/>
        </w:rPr>
        <w:fldChar w:fldCharType="begin"/>
      </w:r>
      <w:r>
        <w:rPr>
          <w:rFonts w:hint="eastAsia" w:hAnsi="宋体"/>
          <w:szCs w:val="36"/>
        </w:rPr>
        <w:instrText xml:space="preserve"> HYPERLINK \l _Toc29479 </w:instrText>
      </w:r>
      <w:r>
        <w:rPr>
          <w:rFonts w:hint="eastAsia" w:hAnsi="宋体"/>
          <w:szCs w:val="36"/>
        </w:rPr>
        <w:fldChar w:fldCharType="separate"/>
      </w:r>
      <w:r>
        <w:rPr>
          <w:rFonts w:hint="eastAsia"/>
        </w:rPr>
        <w:t>第四章开标</w:t>
      </w:r>
      <w:r>
        <w:tab/>
      </w:r>
      <w:r>
        <w:fldChar w:fldCharType="begin"/>
      </w:r>
      <w:r>
        <w:instrText xml:space="preserve"> PAGEREF _Toc29479 \h </w:instrText>
      </w:r>
      <w:r>
        <w:fldChar w:fldCharType="separate"/>
      </w:r>
      <w:r>
        <w:t>20</w:t>
      </w:r>
      <w:r>
        <w:fldChar w:fldCharType="end"/>
      </w:r>
      <w:r>
        <w:rPr>
          <w:rFonts w:hint="eastAsia" w:hAnsi="宋体"/>
          <w:szCs w:val="36"/>
        </w:rPr>
        <w:fldChar w:fldCharType="end"/>
      </w:r>
    </w:p>
    <w:p>
      <w:pPr>
        <w:pStyle w:val="14"/>
        <w:tabs>
          <w:tab w:val="right" w:leader="dot" w:pos="10080"/>
        </w:tabs>
      </w:pPr>
      <w:r>
        <w:rPr>
          <w:rFonts w:hint="eastAsia" w:hAnsi="宋体"/>
          <w:szCs w:val="36"/>
        </w:rPr>
        <w:fldChar w:fldCharType="begin"/>
      </w:r>
      <w:r>
        <w:rPr>
          <w:rFonts w:hint="eastAsia" w:hAnsi="宋体"/>
          <w:szCs w:val="36"/>
        </w:rPr>
        <w:instrText xml:space="preserve"> HYPERLINK \l _Toc22396 </w:instrText>
      </w:r>
      <w:r>
        <w:rPr>
          <w:rFonts w:hint="eastAsia" w:hAnsi="宋体"/>
          <w:szCs w:val="36"/>
        </w:rPr>
        <w:fldChar w:fldCharType="separate"/>
      </w:r>
      <w:r>
        <w:rPr>
          <w:rFonts w:hint="eastAsia"/>
        </w:rPr>
        <w:t>第五章评审</w:t>
      </w:r>
      <w:r>
        <w:tab/>
      </w:r>
      <w:r>
        <w:fldChar w:fldCharType="begin"/>
      </w:r>
      <w:r>
        <w:instrText xml:space="preserve"> PAGEREF _Toc22396 \h </w:instrText>
      </w:r>
      <w:r>
        <w:fldChar w:fldCharType="separate"/>
      </w:r>
      <w:r>
        <w:t>21</w:t>
      </w:r>
      <w:r>
        <w:fldChar w:fldCharType="end"/>
      </w:r>
      <w:r>
        <w:rPr>
          <w:rFonts w:hint="eastAsia" w:hAnsi="宋体"/>
          <w:szCs w:val="36"/>
        </w:rPr>
        <w:fldChar w:fldCharType="end"/>
      </w:r>
    </w:p>
    <w:p>
      <w:pPr>
        <w:pStyle w:val="14"/>
        <w:tabs>
          <w:tab w:val="right" w:leader="dot" w:pos="10080"/>
        </w:tabs>
      </w:pPr>
      <w:r>
        <w:rPr>
          <w:rFonts w:hint="eastAsia" w:hAnsi="宋体"/>
          <w:szCs w:val="36"/>
        </w:rPr>
        <w:fldChar w:fldCharType="begin"/>
      </w:r>
      <w:r>
        <w:rPr>
          <w:rFonts w:hint="eastAsia" w:hAnsi="宋体"/>
          <w:szCs w:val="36"/>
        </w:rPr>
        <w:instrText xml:space="preserve"> HYPERLINK \l _Toc17133 </w:instrText>
      </w:r>
      <w:r>
        <w:rPr>
          <w:rFonts w:hint="eastAsia" w:hAnsi="宋体"/>
          <w:szCs w:val="36"/>
        </w:rPr>
        <w:fldChar w:fldCharType="separate"/>
      </w:r>
      <w:r>
        <w:rPr>
          <w:rFonts w:hint="eastAsia"/>
        </w:rPr>
        <w:t>第六章授予合同</w:t>
      </w:r>
      <w:r>
        <w:tab/>
      </w:r>
      <w:r>
        <w:fldChar w:fldCharType="begin"/>
      </w:r>
      <w:r>
        <w:instrText xml:space="preserve"> PAGEREF _Toc17133 \h </w:instrText>
      </w:r>
      <w:r>
        <w:fldChar w:fldCharType="separate"/>
      </w:r>
      <w:r>
        <w:t>29</w:t>
      </w:r>
      <w:r>
        <w:fldChar w:fldCharType="end"/>
      </w:r>
      <w:r>
        <w:rPr>
          <w:rFonts w:hint="eastAsia" w:hAnsi="宋体"/>
          <w:szCs w:val="36"/>
        </w:rPr>
        <w:fldChar w:fldCharType="end"/>
      </w:r>
    </w:p>
    <w:p>
      <w:pPr>
        <w:pStyle w:val="21"/>
        <w:tabs>
          <w:tab w:val="right" w:leader="dot" w:pos="10080"/>
        </w:tabs>
      </w:pPr>
      <w:r>
        <w:rPr>
          <w:rFonts w:hint="eastAsia" w:hAnsi="宋体"/>
          <w:szCs w:val="36"/>
        </w:rPr>
        <w:fldChar w:fldCharType="begin"/>
      </w:r>
      <w:r>
        <w:rPr>
          <w:rFonts w:hint="eastAsia" w:hAnsi="宋体"/>
          <w:szCs w:val="36"/>
        </w:rPr>
        <w:instrText xml:space="preserve"> HYPERLINK \l _Toc27839 </w:instrText>
      </w:r>
      <w:r>
        <w:rPr>
          <w:rFonts w:hint="eastAsia" w:hAnsi="宋体"/>
          <w:szCs w:val="36"/>
        </w:rPr>
        <w:fldChar w:fldCharType="separate"/>
      </w:r>
      <w:r>
        <w:rPr>
          <w:rFonts w:hint="eastAsia"/>
        </w:rPr>
        <w:t>第四部分</w:t>
      </w:r>
      <w:r>
        <w:rPr>
          <w:rFonts w:hint="eastAsia"/>
          <w:lang w:val="en-US"/>
        </w:rPr>
        <w:t>服务</w:t>
      </w:r>
      <w:r>
        <w:rPr>
          <w:rFonts w:hint="eastAsia"/>
        </w:rPr>
        <w:t>内容及技术要求</w:t>
      </w:r>
      <w:r>
        <w:rPr>
          <w:rFonts w:hint="eastAsia"/>
          <w:lang w:val="en-US" w:eastAsia="zh-CN"/>
        </w:rPr>
        <w:t>及合同</w:t>
      </w:r>
      <w:r>
        <w:tab/>
      </w:r>
      <w:r>
        <w:fldChar w:fldCharType="begin"/>
      </w:r>
      <w:r>
        <w:instrText xml:space="preserve"> PAGEREF _Toc27839 \h </w:instrText>
      </w:r>
      <w:r>
        <w:fldChar w:fldCharType="separate"/>
      </w:r>
      <w:r>
        <w:t>31</w:t>
      </w:r>
      <w:r>
        <w:fldChar w:fldCharType="end"/>
      </w:r>
      <w:r>
        <w:rPr>
          <w:rFonts w:hint="eastAsia" w:hAnsi="宋体"/>
          <w:szCs w:val="36"/>
        </w:rPr>
        <w:fldChar w:fldCharType="end"/>
      </w:r>
    </w:p>
    <w:p>
      <w:pPr>
        <w:pStyle w:val="21"/>
        <w:tabs>
          <w:tab w:val="right" w:leader="dot" w:pos="10080"/>
        </w:tabs>
      </w:pPr>
      <w:r>
        <w:rPr>
          <w:rFonts w:hint="eastAsia" w:hAnsi="宋体"/>
          <w:szCs w:val="36"/>
        </w:rPr>
        <w:fldChar w:fldCharType="begin"/>
      </w:r>
      <w:r>
        <w:rPr>
          <w:rFonts w:hint="eastAsia" w:hAnsi="宋体"/>
          <w:szCs w:val="36"/>
        </w:rPr>
        <w:instrText xml:space="preserve"> HYPERLINK \l _Toc19083 </w:instrText>
      </w:r>
      <w:r>
        <w:rPr>
          <w:rFonts w:hint="eastAsia" w:hAnsi="宋体"/>
          <w:szCs w:val="36"/>
        </w:rPr>
        <w:fldChar w:fldCharType="separate"/>
      </w:r>
      <w:r>
        <w:rPr>
          <w:rFonts w:hint="eastAsia"/>
        </w:rPr>
        <w:t>第五部分</w:t>
      </w:r>
      <w:r>
        <w:rPr>
          <w:rFonts w:hint="eastAsia"/>
          <w:lang w:val="en-US" w:eastAsia="zh-CN"/>
        </w:rPr>
        <w:t xml:space="preserve">  </w:t>
      </w:r>
      <w:r>
        <w:rPr>
          <w:rFonts w:hint="eastAsia"/>
        </w:rPr>
        <w:t>附　件</w:t>
      </w:r>
      <w:r>
        <w:tab/>
      </w:r>
      <w:r>
        <w:fldChar w:fldCharType="begin"/>
      </w:r>
      <w:r>
        <w:instrText xml:space="preserve"> PAGEREF _Toc19083 \h </w:instrText>
      </w:r>
      <w:r>
        <w:fldChar w:fldCharType="separate"/>
      </w:r>
      <w:r>
        <w:t>36</w:t>
      </w:r>
      <w:r>
        <w:fldChar w:fldCharType="end"/>
      </w:r>
      <w:r>
        <w:rPr>
          <w:rFonts w:hint="eastAsia" w:hAnsi="宋体"/>
          <w:szCs w:val="36"/>
        </w:rPr>
        <w:fldChar w:fldCharType="end"/>
      </w:r>
    </w:p>
    <w:p>
      <w:pPr>
        <w:pStyle w:val="21"/>
        <w:tabs>
          <w:tab w:val="right" w:leader="dot" w:pos="10080"/>
        </w:tabs>
      </w:pPr>
      <w:r>
        <w:rPr>
          <w:rFonts w:hint="eastAsia" w:hAnsi="宋体"/>
          <w:szCs w:val="36"/>
        </w:rPr>
        <w:fldChar w:fldCharType="begin"/>
      </w:r>
      <w:r>
        <w:rPr>
          <w:rFonts w:hint="eastAsia" w:hAnsi="宋体"/>
          <w:szCs w:val="36"/>
        </w:rPr>
        <w:instrText xml:space="preserve"> HYPERLINK \l _Toc78 </w:instrText>
      </w:r>
      <w:r>
        <w:rPr>
          <w:rFonts w:hint="eastAsia" w:hAnsi="宋体"/>
          <w:szCs w:val="36"/>
        </w:rPr>
        <w:fldChar w:fldCharType="separate"/>
      </w:r>
      <w:r>
        <w:rPr>
          <w:rFonts w:hint="eastAsia" w:ascii="宋体" w:hAnsi="宋体" w:eastAsia="宋体" w:cs="宋体"/>
          <w:bCs/>
          <w:szCs w:val="32"/>
        </w:rPr>
        <w:t>竞争性</w:t>
      </w:r>
      <w:r>
        <w:rPr>
          <w:rFonts w:hint="eastAsia" w:ascii="宋体" w:hAnsi="宋体" w:eastAsia="宋体" w:cs="宋体"/>
          <w:bCs/>
          <w:szCs w:val="32"/>
          <w:lang w:val="en-US" w:eastAsia="zh-CN"/>
        </w:rPr>
        <w:t>磋商</w:t>
      </w:r>
      <w:r>
        <w:rPr>
          <w:rFonts w:hint="eastAsia" w:ascii="宋体" w:hAnsi="宋体" w:eastAsia="宋体" w:cs="宋体"/>
          <w:bCs/>
          <w:szCs w:val="32"/>
        </w:rPr>
        <w:t>第</w:t>
      </w:r>
      <w:r>
        <w:rPr>
          <w:rFonts w:hint="eastAsia" w:ascii="宋体" w:hAnsi="宋体" w:eastAsia="宋体" w:cs="宋体"/>
          <w:bCs/>
          <w:szCs w:val="32"/>
          <w:lang w:val="en-US" w:eastAsia="zh-CN"/>
        </w:rPr>
        <w:t>（ ）</w:t>
      </w:r>
      <w:r>
        <w:rPr>
          <w:rFonts w:hint="eastAsia" w:ascii="宋体" w:hAnsi="宋体" w:eastAsia="宋体" w:cs="宋体"/>
          <w:bCs/>
          <w:szCs w:val="32"/>
        </w:rPr>
        <w:t>次报价单（单独提供）</w:t>
      </w:r>
      <w:r>
        <w:tab/>
      </w:r>
      <w:r>
        <w:fldChar w:fldCharType="begin"/>
      </w:r>
      <w:r>
        <w:instrText xml:space="preserve"> PAGEREF _Toc78 \h </w:instrText>
      </w:r>
      <w:r>
        <w:fldChar w:fldCharType="separate"/>
      </w:r>
      <w:r>
        <w:t>49</w:t>
      </w:r>
      <w:r>
        <w:fldChar w:fldCharType="end"/>
      </w:r>
      <w:r>
        <w:rPr>
          <w:rFonts w:hint="eastAsia" w:hAnsi="宋体"/>
          <w:szCs w:val="36"/>
        </w:rPr>
        <w:fldChar w:fldCharType="end"/>
      </w:r>
    </w:p>
    <w:p>
      <w:pPr>
        <w:spacing w:line="264" w:lineRule="auto"/>
        <w:jc w:val="center"/>
        <w:rPr>
          <w:rFonts w:hint="eastAsia" w:hAnsi="宋体"/>
          <w:b/>
          <w:sz w:val="36"/>
          <w:szCs w:val="36"/>
        </w:rPr>
      </w:pPr>
      <w:r>
        <w:rPr>
          <w:rFonts w:hint="eastAsia" w:hAnsi="宋体"/>
          <w:szCs w:val="36"/>
        </w:rPr>
        <w:fldChar w:fldCharType="end"/>
      </w:r>
    </w:p>
    <w:p>
      <w:pPr>
        <w:spacing w:line="264" w:lineRule="auto"/>
        <w:jc w:val="center"/>
        <w:rPr>
          <w:rFonts w:hint="eastAsia" w:hAnsi="宋体"/>
          <w:b/>
          <w:sz w:val="36"/>
          <w:szCs w:val="36"/>
        </w:rPr>
      </w:pPr>
    </w:p>
    <w:p>
      <w:pPr>
        <w:spacing w:line="264" w:lineRule="auto"/>
        <w:jc w:val="center"/>
        <w:rPr>
          <w:rFonts w:hint="eastAsia" w:hAnsi="宋体"/>
          <w:b/>
          <w:sz w:val="36"/>
          <w:szCs w:val="36"/>
        </w:rPr>
      </w:pPr>
    </w:p>
    <w:p>
      <w:pPr>
        <w:spacing w:line="264" w:lineRule="auto"/>
        <w:jc w:val="center"/>
        <w:rPr>
          <w:rFonts w:hint="eastAsia" w:hAnsi="宋体"/>
          <w:b/>
          <w:sz w:val="36"/>
          <w:szCs w:val="36"/>
        </w:rPr>
      </w:pPr>
    </w:p>
    <w:p>
      <w:pPr>
        <w:spacing w:line="264" w:lineRule="auto"/>
        <w:jc w:val="center"/>
        <w:rPr>
          <w:rFonts w:hint="eastAsia" w:hAnsi="宋体"/>
          <w:b/>
          <w:sz w:val="36"/>
          <w:szCs w:val="36"/>
        </w:rPr>
      </w:pPr>
    </w:p>
    <w:p>
      <w:pPr>
        <w:spacing w:line="264" w:lineRule="auto"/>
        <w:jc w:val="center"/>
        <w:rPr>
          <w:rFonts w:hint="eastAsia" w:hAnsi="宋体"/>
          <w:b/>
          <w:sz w:val="36"/>
          <w:szCs w:val="36"/>
        </w:rPr>
      </w:pPr>
    </w:p>
    <w:p>
      <w:pPr>
        <w:spacing w:line="264" w:lineRule="auto"/>
        <w:jc w:val="center"/>
        <w:rPr>
          <w:rFonts w:hint="eastAsia" w:hAnsi="宋体"/>
          <w:b/>
          <w:sz w:val="36"/>
          <w:szCs w:val="36"/>
        </w:rPr>
      </w:pPr>
    </w:p>
    <w:p>
      <w:pPr>
        <w:spacing w:line="264" w:lineRule="auto"/>
        <w:jc w:val="center"/>
        <w:rPr>
          <w:rFonts w:hint="eastAsia" w:hAnsi="宋体"/>
          <w:b/>
          <w:sz w:val="36"/>
          <w:szCs w:val="36"/>
        </w:rPr>
      </w:pPr>
    </w:p>
    <w:p>
      <w:pPr>
        <w:spacing w:line="264" w:lineRule="auto"/>
        <w:jc w:val="center"/>
        <w:rPr>
          <w:rFonts w:hint="eastAsia" w:hAnsi="宋体"/>
          <w:b/>
          <w:sz w:val="36"/>
          <w:szCs w:val="36"/>
        </w:rPr>
      </w:pPr>
    </w:p>
    <w:p>
      <w:pPr>
        <w:spacing w:line="264" w:lineRule="auto"/>
        <w:jc w:val="center"/>
        <w:rPr>
          <w:rFonts w:hint="eastAsia" w:hAnsi="宋体"/>
          <w:b/>
          <w:sz w:val="36"/>
          <w:szCs w:val="36"/>
        </w:rPr>
      </w:pPr>
    </w:p>
    <w:p>
      <w:pPr>
        <w:spacing w:line="264" w:lineRule="auto"/>
        <w:jc w:val="center"/>
        <w:rPr>
          <w:rFonts w:hint="eastAsia" w:hAnsi="宋体"/>
          <w:b/>
          <w:sz w:val="36"/>
          <w:szCs w:val="36"/>
        </w:rPr>
      </w:pPr>
    </w:p>
    <w:p>
      <w:pPr>
        <w:spacing w:line="264" w:lineRule="auto"/>
        <w:jc w:val="center"/>
        <w:rPr>
          <w:rFonts w:hint="eastAsia" w:hAnsi="宋体"/>
          <w:b/>
          <w:sz w:val="36"/>
          <w:szCs w:val="36"/>
        </w:rPr>
      </w:pPr>
    </w:p>
    <w:p>
      <w:pPr>
        <w:spacing w:line="264" w:lineRule="auto"/>
        <w:jc w:val="center"/>
        <w:rPr>
          <w:rFonts w:hint="eastAsia" w:hAnsi="宋体"/>
          <w:b/>
          <w:sz w:val="36"/>
          <w:szCs w:val="36"/>
        </w:rPr>
      </w:pPr>
    </w:p>
    <w:p>
      <w:pPr>
        <w:spacing w:line="264" w:lineRule="auto"/>
        <w:jc w:val="center"/>
        <w:rPr>
          <w:rFonts w:hint="eastAsia" w:hAnsi="宋体"/>
          <w:b/>
          <w:sz w:val="36"/>
          <w:szCs w:val="36"/>
        </w:rPr>
      </w:pPr>
    </w:p>
    <w:p>
      <w:pPr>
        <w:spacing w:line="264" w:lineRule="auto"/>
        <w:jc w:val="both"/>
        <w:rPr>
          <w:rFonts w:hint="eastAsia" w:hAnsi="宋体"/>
          <w:b/>
          <w:sz w:val="36"/>
          <w:szCs w:val="36"/>
        </w:rPr>
      </w:pPr>
    </w:p>
    <w:p>
      <w:pPr>
        <w:spacing w:line="264" w:lineRule="auto"/>
        <w:jc w:val="center"/>
        <w:rPr>
          <w:rFonts w:hint="eastAsia" w:hAnsi="宋体"/>
          <w:b/>
          <w:sz w:val="36"/>
          <w:szCs w:val="36"/>
        </w:rPr>
      </w:pPr>
    </w:p>
    <w:p>
      <w:pPr>
        <w:pStyle w:val="3"/>
        <w:bidi w:val="0"/>
      </w:pPr>
      <w:bookmarkStart w:id="0" w:name="_Toc3857"/>
      <w:bookmarkStart w:id="1" w:name="_Toc16393"/>
      <w:bookmarkStart w:id="2" w:name="_Toc30829"/>
      <w:r>
        <w:rPr>
          <w:rFonts w:hint="eastAsia"/>
        </w:rPr>
        <w:t>第一部分投标须知</w:t>
      </w:r>
      <w:bookmarkEnd w:id="0"/>
      <w:bookmarkEnd w:id="1"/>
      <w:bookmarkEnd w:id="2"/>
    </w:p>
    <w:p>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bookmarkStart w:id="3" w:name="_Toc20812"/>
      <w:r>
        <w:rPr>
          <w:rFonts w:hint="eastAsia"/>
          <w:lang w:val="en-US" w:eastAsia="zh-CN"/>
        </w:rPr>
        <w:t>一、</w:t>
      </w:r>
      <w:r>
        <w:rPr>
          <w:rFonts w:hint="eastAsia"/>
          <w:lang w:eastAsia="zh-CN"/>
        </w:rPr>
        <w:t>玛纳斯县2023年春季城区园林绿化苗木采购项目</w:t>
      </w:r>
      <w:bookmarkEnd w:id="3"/>
    </w:p>
    <w:p>
      <w:pPr>
        <w:pStyle w:val="4"/>
        <w:keepNext/>
        <w:keepLines/>
        <w:pageBreakBefore w:val="0"/>
        <w:widowControl w:val="0"/>
        <w:kinsoku/>
        <w:wordWrap/>
        <w:overflowPunct/>
        <w:topLinePunct w:val="0"/>
        <w:autoSpaceDE/>
        <w:autoSpaceDN/>
        <w:bidi w:val="0"/>
        <w:adjustRightInd/>
        <w:snapToGrid/>
        <w:spacing w:line="240" w:lineRule="auto"/>
        <w:jc w:val="center"/>
        <w:textAlignment w:val="auto"/>
      </w:pPr>
      <w:bookmarkStart w:id="4" w:name="_Toc15849"/>
      <w:r>
        <w:rPr>
          <w:rFonts w:hint="eastAsia"/>
        </w:rPr>
        <w:t>竞争性磋商公告</w:t>
      </w:r>
      <w:bookmarkEnd w:id="4"/>
    </w:p>
    <w:p>
      <w:pPr>
        <w:pStyle w:val="8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Lines="0" w:beforeAutospacing="0" w:after="75" w:afterLines="0" w:afterAutospacing="0" w:line="560" w:lineRule="exact"/>
        <w:ind w:left="0" w:right="0"/>
        <w:textAlignment w:val="auto"/>
        <w:rPr>
          <w:color w:val="auto"/>
        </w:rPr>
      </w:pPr>
      <w:r>
        <w:rPr>
          <w:rFonts w:ascii="仿宋" w:hAnsi="仿宋" w:eastAsia="仿宋" w:cs="仿宋"/>
          <w:i w:val="0"/>
          <w:iCs w:val="0"/>
          <w:caps w:val="0"/>
          <w:color w:val="auto"/>
          <w:spacing w:val="0"/>
          <w:sz w:val="28"/>
          <w:szCs w:val="28"/>
        </w:rPr>
        <w:t>项目概况</w:t>
      </w:r>
    </w:p>
    <w:p>
      <w:pPr>
        <w:pStyle w:val="86"/>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Lines="0" w:beforeAutospacing="0" w:after="75" w:afterLines="0" w:afterAutospacing="0" w:line="560" w:lineRule="exact"/>
        <w:ind w:left="0" w:right="0"/>
        <w:textAlignment w:val="auto"/>
        <w:rPr>
          <w:color w:val="auto"/>
        </w:rPr>
      </w:pPr>
      <w:r>
        <w:rPr>
          <w:rFonts w:hint="eastAsia" w:ascii="仿宋" w:hAnsi="仿宋" w:eastAsia="仿宋" w:cs="仿宋"/>
          <w:i w:val="0"/>
          <w:iCs w:val="0"/>
          <w:caps w:val="0"/>
          <w:color w:val="auto"/>
          <w:spacing w:val="0"/>
          <w:sz w:val="28"/>
          <w:szCs w:val="28"/>
        </w:rPr>
        <w:t xml:space="preserve">    </w:t>
      </w:r>
      <w:r>
        <w:rPr>
          <w:rFonts w:hint="eastAsia" w:ascii="仿宋" w:hAnsi="仿宋" w:eastAsia="仿宋" w:cs="仿宋"/>
          <w:i w:val="0"/>
          <w:iCs w:val="0"/>
          <w:caps w:val="0"/>
          <w:color w:val="333333"/>
          <w:spacing w:val="0"/>
          <w:sz w:val="24"/>
          <w:szCs w:val="24"/>
          <w:lang w:eastAsia="zh-CN"/>
        </w:rPr>
        <w:t>玛纳斯县2023年春季城区园林绿化苗木采购项目</w:t>
      </w:r>
      <w:r>
        <w:rPr>
          <w:rFonts w:hint="eastAsia" w:ascii="仿宋" w:hAnsi="仿宋" w:eastAsia="仿宋" w:cs="仿宋"/>
          <w:i w:val="0"/>
          <w:iCs w:val="0"/>
          <w:caps w:val="0"/>
          <w:color w:val="333333"/>
          <w:spacing w:val="0"/>
          <w:sz w:val="24"/>
          <w:szCs w:val="24"/>
        </w:rPr>
        <w:t>的潜在投标人应在供应商登陆政采云平台http://www.zcygov.cn/，在线申请获取采购文件（登录政府采购云平台 → 项目采购 → 获取采购文件 → 申请，审核通过后可下载招标文件，如有操作性问题，可与政采云在线客服进行咨询，咨询电话：95763），获取招标文件，并于 2023年</w:t>
      </w:r>
      <w:r>
        <w:rPr>
          <w:rFonts w:hint="eastAsia" w:ascii="仿宋" w:hAnsi="仿宋" w:eastAsia="仿宋" w:cs="仿宋"/>
          <w:i w:val="0"/>
          <w:iCs w:val="0"/>
          <w:caps w:val="0"/>
          <w:color w:val="333333"/>
          <w:spacing w:val="0"/>
          <w:kern w:val="0"/>
          <w:sz w:val="24"/>
          <w:szCs w:val="24"/>
          <w:u w:val="single"/>
          <w:lang w:val="en-US" w:eastAsia="zh-CN" w:bidi="ar"/>
        </w:rPr>
        <w:t> 5 </w:t>
      </w:r>
      <w:r>
        <w:rPr>
          <w:rFonts w:hint="eastAsia" w:ascii="仿宋" w:hAnsi="仿宋" w:eastAsia="仿宋" w:cs="仿宋"/>
          <w:i w:val="0"/>
          <w:iCs w:val="0"/>
          <w:caps w:val="0"/>
          <w:color w:val="333333"/>
          <w:spacing w:val="0"/>
          <w:sz w:val="24"/>
          <w:szCs w:val="24"/>
        </w:rPr>
        <w:t>月</w:t>
      </w:r>
      <w:r>
        <w:rPr>
          <w:rFonts w:hint="eastAsia" w:ascii="仿宋" w:hAnsi="仿宋" w:eastAsia="仿宋" w:cs="仿宋"/>
          <w:i w:val="0"/>
          <w:iCs w:val="0"/>
          <w:caps w:val="0"/>
          <w:color w:val="333333"/>
          <w:spacing w:val="0"/>
          <w:kern w:val="0"/>
          <w:sz w:val="24"/>
          <w:szCs w:val="24"/>
          <w:u w:val="single"/>
          <w:lang w:val="en-US" w:eastAsia="zh-CN" w:bidi="ar"/>
        </w:rPr>
        <w:t> 15 </w:t>
      </w:r>
      <w:r>
        <w:rPr>
          <w:rFonts w:hint="eastAsia" w:ascii="仿宋" w:hAnsi="仿宋" w:eastAsia="仿宋" w:cs="仿宋"/>
          <w:i w:val="0"/>
          <w:iCs w:val="0"/>
          <w:caps w:val="0"/>
          <w:color w:val="333333"/>
          <w:spacing w:val="0"/>
          <w:sz w:val="24"/>
          <w:szCs w:val="24"/>
        </w:rPr>
        <w:t>日</w:t>
      </w:r>
      <w:r>
        <w:rPr>
          <w:rFonts w:hint="eastAsia" w:ascii="仿宋" w:hAnsi="仿宋" w:eastAsia="仿宋" w:cs="仿宋"/>
          <w:i w:val="0"/>
          <w:iCs w:val="0"/>
          <w:caps w:val="0"/>
          <w:color w:val="333333"/>
          <w:spacing w:val="0"/>
          <w:sz w:val="24"/>
          <w:szCs w:val="24"/>
          <w:lang w:val="en-US" w:eastAsia="zh-CN"/>
        </w:rPr>
        <w:t>12</w:t>
      </w:r>
      <w:r>
        <w:rPr>
          <w:rFonts w:hint="eastAsia" w:ascii="仿宋" w:hAnsi="仿宋" w:eastAsia="仿宋" w:cs="仿宋"/>
          <w:i w:val="0"/>
          <w:iCs w:val="0"/>
          <w:caps w:val="0"/>
          <w:color w:val="333333"/>
          <w:spacing w:val="0"/>
          <w:sz w:val="24"/>
          <w:szCs w:val="24"/>
        </w:rPr>
        <w:t>:</w:t>
      </w:r>
      <w:r>
        <w:rPr>
          <w:rFonts w:hint="eastAsia" w:ascii="仿宋" w:hAnsi="仿宋" w:eastAsia="仿宋" w:cs="仿宋"/>
          <w:i w:val="0"/>
          <w:iCs w:val="0"/>
          <w:caps w:val="0"/>
          <w:color w:val="333333"/>
          <w:spacing w:val="0"/>
          <w:sz w:val="24"/>
          <w:szCs w:val="24"/>
          <w:lang w:val="en-US" w:eastAsia="zh-CN"/>
        </w:rPr>
        <w:t>30</w:t>
      </w:r>
      <w:r>
        <w:rPr>
          <w:rFonts w:hint="eastAsia" w:ascii="仿宋" w:hAnsi="仿宋" w:eastAsia="仿宋" w:cs="仿宋"/>
          <w:i w:val="0"/>
          <w:iCs w:val="0"/>
          <w:caps w:val="0"/>
          <w:color w:val="333333"/>
          <w:spacing w:val="0"/>
          <w:sz w:val="24"/>
          <w:szCs w:val="24"/>
        </w:rPr>
        <w:t>（北京时间）前（上传）电子投标文件。</w:t>
      </w:r>
      <w:r>
        <w:rPr>
          <w:rFonts w:hint="eastAsia" w:ascii="仿宋" w:hAnsi="仿宋" w:eastAsia="仿宋" w:cs="仿宋"/>
          <w:i w:val="0"/>
          <w:iCs w:val="0"/>
          <w:caps w:val="0"/>
          <w:color w:val="000000"/>
          <w:spacing w:val="0"/>
          <w:sz w:val="27"/>
          <w:szCs w:val="27"/>
        </w:rPr>
        <w:t xml:space="preserve">                       </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一、项目基本情况</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项目编号：CSFLZB-2023-054-HW</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项目名称：</w:t>
      </w:r>
      <w:r>
        <w:rPr>
          <w:rFonts w:hint="eastAsia" w:ascii="仿宋" w:hAnsi="仿宋" w:eastAsia="仿宋" w:cs="仿宋"/>
          <w:i w:val="0"/>
          <w:iCs w:val="0"/>
          <w:caps w:val="0"/>
          <w:color w:val="auto"/>
          <w:spacing w:val="0"/>
          <w:sz w:val="28"/>
          <w:szCs w:val="28"/>
          <w:lang w:eastAsia="zh-CN"/>
        </w:rPr>
        <w:t>玛纳斯县2023年春季城区园林绿化苗木采购项目</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采购方式：竞争性磋商</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预算金额（元）：1766300元</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最高限价（元）：1766300元</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采购需求：采购一批春季苗木（具体内容详见采购文件）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简要规格描述：2023 年春季城区园林绿化计划在中华碧玉园西北角、石玛路与西海路交汇口西北侧、文博路与光明路交汇口东南侧等地新建和改造游园 8处;并对文化路、南园路等多处林下覆绿进行绿化提升。以上地块及路段需栽植金叶白蜡、红叶海棠、黄菠萝、暴马丁香、樟子松等风景树和灌木金叶榆、水蜡、红叶李、金叶榆球等灌木和造型树，共计采购苗木240677株，（具体内容详见采购文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合同履约期限：自合同签订后20日历天</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本项目（否）接受联合体投标。</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二、申请人的资格要求：</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1.满足《中华人民共和国政府采购法》第二十二条规定。</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2.落实政府采购政策需满足的资格要求：供应商为中小企业</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3.本项目的特定资格要求：</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(1)具有有效的营业执照副本;</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(2)具有相关部门颁发的林木种子生产经营许可证或当地林业部门出具的育苗证明；</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(4)供应商不得为“信用中国”网站（www.creditchina.gov.cn ）中列入重大税收违法案件和列入失信被执行人名单的供应商，不得为中国政府采购网（www.ccgp.gov.cn ）政府采购严重违法失信行为记录名单被财政部门禁止参加政府采购活动的供应商以及其他不符合规定条件的供应商（尚在处罚期内的），将拒绝其参加本次政府采购活动。</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三、获取采购文件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时间：2023年4月25日至2023年5月5日，每天上午00:00至13:30，下午13:30至23:59（北京时间，法定节假日除外）</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地点：政采云平台https://www.zcygov.cn/</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方式：</w:t>
      </w:r>
      <w:r>
        <w:rPr>
          <w:rFonts w:ascii="仿宋" w:hAnsi="仿宋" w:eastAsia="仿宋" w:cs="仿宋"/>
          <w:i w:val="0"/>
          <w:iCs w:val="0"/>
          <w:caps w:val="0"/>
          <w:color w:val="000000"/>
          <w:spacing w:val="0"/>
          <w:sz w:val="27"/>
          <w:szCs w:val="27"/>
        </w:rPr>
        <w:t>线上获取，供应商登录政采云平台https://www.zcygov.cn/在线申请获取招标文件（进入“项目采购”应用，在获取招标文件菜单中选择项目，申请获取招标文件）</w:t>
      </w:r>
      <w:r>
        <w:rPr>
          <w:rFonts w:hint="eastAsia" w:ascii="仿宋" w:hAnsi="仿宋" w:eastAsia="仿宋" w:cs="仿宋"/>
          <w:color w:val="auto"/>
          <w:sz w:val="28"/>
          <w:szCs w:val="28"/>
          <w:lang w:val="en-US" w:eastAsia="zh-CN"/>
        </w:rPr>
        <w:t xml:space="preserve"> </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售价：0元/份</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四、响应文件提交</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截止时间：2023年5月15日 12:30分（北京时间）</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    点：请登录政采云投标客户端投标（www.zcygov.com）</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评审地址：玛纳斯县三园西路与文苑路交叉口东南海润天玺酒店西侧裙楼6楼</w:t>
      </w:r>
    </w:p>
    <w:p>
      <w:pPr>
        <w:pStyle w:val="2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响应文件开启</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截止时间：2023年5月15日 12:30分（北京时间）</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地点：政采云开标大厅（www.zcygov.com）</w:t>
      </w:r>
    </w:p>
    <w:p>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80" w:lineRule="exact"/>
        <w:textAlignment w:val="auto"/>
        <w:rPr>
          <w:rFonts w:hint="default" w:ascii="仿宋" w:hAnsi="仿宋" w:eastAsia="仿宋" w:cs="仿宋"/>
          <w:b/>
          <w:bCs/>
          <w:color w:val="auto"/>
          <w:sz w:val="28"/>
          <w:szCs w:val="28"/>
          <w:lang w:val="en-US" w:eastAsia="zh-CN"/>
        </w:rPr>
      </w:pPr>
    </w:p>
    <w:p>
      <w:pPr>
        <w:pStyle w:val="2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80" w:lineRule="exact"/>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六、公告期限</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自本公告发布之日起5个工作日</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七、其他补充事宜</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7.1.本项目采用全流程不见面电子开评标，投标供应商需要使用CA加密设备，供应商可通过新疆数字证书认证中心官网（https://www.xjca.com.cn/）或下载“新疆政务通”APP自行进行申领。 </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7.2.本项目实行网上投标，采用加密电子投标文件(供应商须使用CA加密设备通过政采云电子投标客户端制作投标文件)。若供应商参与投标，自行承担投标一切费用。 </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 </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7.5.供应商在开标时须使用制作加密电子投标文件所使用的CA锁及电脑，电脑须提前配置好浏览器（建议使用谷歌浏览器），以便开标时解锁。 </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7.7.为了保证开评标顺利进行，政采云线上开标功能完全实现，供应商开标所使用的电脑设备须具有视频及语音功能。</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特别提示：</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color w:val="auto"/>
          <w:sz w:val="28"/>
          <w:szCs w:val="28"/>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八、凡对本次招标提出询问，请按以下方式联系</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1.采购人信息</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名称：玛纳斯县园林苗木花卉产业局</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地址：玛纳斯县碧玉大道</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联系方式：唐女士   18709080206</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2.采购代理机构信息</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名称：新疆昌盛方略项目管理有限公司</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地址：昌吉市西外环南路832号尚都社区国投大厦1幢14楼</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联系人：伊女士、冯女士</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联系方式：13779252105</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3.项目联系方式</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联系人：伊女士、冯女士</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联系方式：13779252105</w:t>
      </w:r>
    </w:p>
    <w:p>
      <w:pPr>
        <w:spacing w:line="264" w:lineRule="auto"/>
        <w:jc w:val="center"/>
        <w:rPr>
          <w:rFonts w:hint="eastAsia" w:hAnsi="宋体"/>
          <w:b/>
          <w:sz w:val="32"/>
          <w:szCs w:val="36"/>
        </w:rPr>
      </w:pPr>
    </w:p>
    <w:p>
      <w:pPr>
        <w:spacing w:line="264" w:lineRule="auto"/>
        <w:jc w:val="center"/>
        <w:rPr>
          <w:rFonts w:hint="eastAsia" w:hAnsi="宋体"/>
          <w:b/>
          <w:sz w:val="32"/>
          <w:szCs w:val="36"/>
        </w:rPr>
      </w:pPr>
    </w:p>
    <w:p>
      <w:pPr>
        <w:spacing w:line="264" w:lineRule="auto"/>
        <w:jc w:val="center"/>
        <w:rPr>
          <w:rFonts w:hint="eastAsia" w:hAnsi="宋体"/>
          <w:b/>
          <w:sz w:val="32"/>
          <w:szCs w:val="36"/>
        </w:rPr>
      </w:pPr>
    </w:p>
    <w:p>
      <w:pPr>
        <w:spacing w:line="264" w:lineRule="auto"/>
        <w:jc w:val="center"/>
        <w:rPr>
          <w:rFonts w:hint="eastAsia" w:hAnsi="宋体"/>
          <w:b/>
          <w:sz w:val="32"/>
          <w:szCs w:val="36"/>
        </w:rPr>
      </w:pPr>
    </w:p>
    <w:p>
      <w:pPr>
        <w:pStyle w:val="2"/>
        <w:rPr>
          <w:rFonts w:hint="eastAsia" w:hAnsi="宋体"/>
          <w:b/>
          <w:sz w:val="32"/>
          <w:szCs w:val="36"/>
        </w:rPr>
      </w:pPr>
    </w:p>
    <w:p>
      <w:pPr>
        <w:rPr>
          <w:rFonts w:hint="eastAsia" w:hAnsi="宋体"/>
          <w:b/>
          <w:sz w:val="32"/>
          <w:szCs w:val="36"/>
        </w:rPr>
      </w:pPr>
    </w:p>
    <w:p>
      <w:pPr>
        <w:pStyle w:val="2"/>
        <w:rPr>
          <w:rFonts w:hint="eastAsia" w:hAnsi="宋体"/>
          <w:b/>
          <w:sz w:val="32"/>
          <w:szCs w:val="36"/>
        </w:rPr>
      </w:pPr>
    </w:p>
    <w:p>
      <w:pPr>
        <w:spacing w:line="264" w:lineRule="auto"/>
        <w:jc w:val="both"/>
        <w:rPr>
          <w:rFonts w:hint="eastAsia" w:hAnsi="宋体"/>
          <w:b/>
          <w:sz w:val="32"/>
          <w:szCs w:val="36"/>
        </w:rPr>
      </w:pPr>
    </w:p>
    <w:p>
      <w:pPr>
        <w:pStyle w:val="2"/>
        <w:rPr>
          <w:rFonts w:hint="eastAsia"/>
        </w:rPr>
      </w:pPr>
    </w:p>
    <w:p>
      <w:pPr>
        <w:spacing w:line="264" w:lineRule="auto"/>
        <w:jc w:val="center"/>
        <w:rPr>
          <w:rFonts w:hint="eastAsia" w:hAnsi="宋体"/>
          <w:b/>
          <w:sz w:val="32"/>
          <w:szCs w:val="36"/>
        </w:rPr>
      </w:pPr>
    </w:p>
    <w:p>
      <w:pPr>
        <w:pStyle w:val="2"/>
        <w:rPr>
          <w:rFonts w:hint="eastAsia"/>
        </w:rPr>
      </w:pPr>
    </w:p>
    <w:p>
      <w:pPr>
        <w:rPr>
          <w:rFonts w:hint="eastAsia"/>
        </w:rPr>
      </w:pPr>
    </w:p>
    <w:p>
      <w:pPr>
        <w:spacing w:line="264" w:lineRule="auto"/>
        <w:jc w:val="both"/>
        <w:rPr>
          <w:rFonts w:hint="eastAsia" w:hAnsi="宋体"/>
          <w:b/>
          <w:sz w:val="32"/>
          <w:szCs w:val="36"/>
        </w:rPr>
      </w:pPr>
    </w:p>
    <w:p>
      <w:pPr>
        <w:rPr>
          <w:rFonts w:hint="eastAsia"/>
          <w:lang w:eastAsia="zh-CN"/>
        </w:rPr>
      </w:pPr>
    </w:p>
    <w:p>
      <w:pPr>
        <w:pStyle w:val="7"/>
        <w:rPr>
          <w:rFonts w:hint="eastAsia"/>
          <w:lang w:eastAsia="zh-CN"/>
        </w:rPr>
      </w:pPr>
    </w:p>
    <w:p>
      <w:pPr>
        <w:rPr>
          <w:rFonts w:hint="eastAsia"/>
          <w:lang w:eastAsia="zh-CN"/>
        </w:rPr>
      </w:pPr>
    </w:p>
    <w:p>
      <w:pPr>
        <w:pStyle w:val="7"/>
        <w:rPr>
          <w:rFonts w:hint="eastAsia"/>
          <w:lang w:eastAsia="zh-CN"/>
        </w:rPr>
      </w:pPr>
    </w:p>
    <w:p>
      <w:pPr>
        <w:pStyle w:val="7"/>
        <w:ind w:left="0" w:leftChars="0" w:firstLine="0" w:firstLineChars="0"/>
        <w:rPr>
          <w:rFonts w:hint="eastAsia"/>
          <w:lang w:eastAsia="zh-CN"/>
        </w:rPr>
      </w:pPr>
    </w:p>
    <w:p>
      <w:pPr>
        <w:rPr>
          <w:rFonts w:hint="eastAsia"/>
          <w:lang w:eastAsia="zh-CN"/>
        </w:rPr>
      </w:pPr>
    </w:p>
    <w:p>
      <w:pPr>
        <w:pStyle w:val="7"/>
        <w:ind w:left="0" w:leftChars="0" w:firstLine="0" w:firstLineChars="0"/>
        <w:rPr>
          <w:rFonts w:hint="eastAsia"/>
          <w:lang w:eastAsia="zh-CN"/>
        </w:rPr>
      </w:pPr>
    </w:p>
    <w:p>
      <w:pPr>
        <w:rPr>
          <w:rFonts w:hint="eastAsia"/>
          <w:lang w:eastAsia="zh-CN"/>
        </w:rPr>
      </w:pPr>
    </w:p>
    <w:p>
      <w:pPr>
        <w:pStyle w:val="4"/>
        <w:numPr>
          <w:ilvl w:val="0"/>
          <w:numId w:val="2"/>
        </w:numPr>
        <w:bidi w:val="0"/>
        <w:rPr>
          <w:rFonts w:hint="eastAsia"/>
        </w:rPr>
      </w:pPr>
      <w:bookmarkStart w:id="5" w:name="_Toc9859"/>
      <w:bookmarkStart w:id="6" w:name="_Toc29331"/>
      <w:r>
        <w:rPr>
          <w:rFonts w:hint="eastAsia"/>
        </w:rPr>
        <w:t>供应商须知前附表</w:t>
      </w:r>
      <w:bookmarkEnd w:id="5"/>
      <w:bookmarkEnd w:id="6"/>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谈判须知前附表</w:t>
      </w:r>
    </w:p>
    <w:p>
      <w:pPr>
        <w:pStyle w:val="7"/>
        <w:tabs>
          <w:tab w:val="left" w:pos="3660"/>
        </w:tabs>
        <w:rPr>
          <w:rFonts w:hint="eastAsia" w:ascii="宋体" w:hAnsi="宋体" w:eastAsia="宋体" w:cs="宋体"/>
          <w:color w:val="auto"/>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2085"/>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26" w:type="dxa"/>
            <w:noWrap w:val="0"/>
            <w:vAlign w:val="center"/>
          </w:tcPr>
          <w:p>
            <w:pPr>
              <w:jc w:val="center"/>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条款号</w:t>
            </w:r>
          </w:p>
        </w:tc>
        <w:tc>
          <w:tcPr>
            <w:tcW w:w="2085" w:type="dxa"/>
            <w:noWrap w:val="0"/>
            <w:vAlign w:val="center"/>
          </w:tcPr>
          <w:p>
            <w:pPr>
              <w:jc w:val="center"/>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条款名称</w:t>
            </w:r>
          </w:p>
        </w:tc>
        <w:tc>
          <w:tcPr>
            <w:tcW w:w="5907" w:type="dxa"/>
            <w:noWrap w:val="0"/>
            <w:vAlign w:val="center"/>
          </w:tcPr>
          <w:p>
            <w:pPr>
              <w:jc w:val="center"/>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26" w:type="dxa"/>
            <w:vMerge w:val="restart"/>
            <w:noWrap w:val="0"/>
            <w:vAlign w:val="center"/>
          </w:tcPr>
          <w:p>
            <w:pPr>
              <w:spacing w:line="312" w:lineRule="auto"/>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w:t>
            </w: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采购人</w:t>
            </w:r>
          </w:p>
        </w:tc>
        <w:tc>
          <w:tcPr>
            <w:tcW w:w="5907" w:type="dxa"/>
            <w:noWrap w:val="0"/>
            <w:vAlign w:val="center"/>
          </w:tcPr>
          <w:p>
            <w:pPr>
              <w:spacing w:line="312" w:lineRule="auto"/>
              <w:rPr>
                <w:rFonts w:hint="eastAsia"/>
                <w:lang w:eastAsia="zh-CN"/>
              </w:rPr>
            </w:pPr>
            <w:r>
              <w:rPr>
                <w:rFonts w:hint="eastAsia" w:ascii="仿宋" w:hAnsi="仿宋" w:eastAsia="仿宋" w:cs="仿宋"/>
                <w:color w:val="auto"/>
                <w:kern w:val="0"/>
                <w:sz w:val="28"/>
                <w:szCs w:val="28"/>
                <w:lang w:val="en-US" w:eastAsia="zh-CN" w:bidi="ar-SA"/>
              </w:rPr>
              <w:t>名称：玛纳斯县2023年春季城区园林绿化苗木采购</w:t>
            </w:r>
          </w:p>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地址：玛纳斯县碧玉大道</w:t>
            </w:r>
          </w:p>
          <w:p>
            <w:pPr>
              <w:pageBreakBefore w:val="0"/>
              <w:kinsoku/>
              <w:wordWrap/>
              <w:overflowPunct/>
              <w:topLinePunct w:val="0"/>
              <w:bidi w:val="0"/>
              <w:snapToGrid/>
              <w:spacing w:line="360" w:lineRule="exact"/>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联系人：唐女士       </w:t>
            </w:r>
          </w:p>
          <w:p>
            <w:pPr>
              <w:pageBreakBefore w:val="0"/>
              <w:kinsoku/>
              <w:wordWrap/>
              <w:overflowPunct/>
              <w:topLinePunct w:val="0"/>
              <w:bidi w:val="0"/>
              <w:snapToGrid/>
              <w:spacing w:line="360" w:lineRule="exact"/>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联系方式：玛纳斯县碧玉大道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1126" w:type="dxa"/>
            <w:vMerge w:val="continue"/>
            <w:noWrap w:val="0"/>
            <w:vAlign w:val="center"/>
          </w:tcPr>
          <w:p>
            <w:pPr>
              <w:spacing w:line="312" w:lineRule="auto"/>
              <w:jc w:val="center"/>
              <w:rPr>
                <w:rFonts w:hint="eastAsia" w:ascii="仿宋" w:hAnsi="仿宋" w:eastAsia="仿宋" w:cs="仿宋"/>
                <w:color w:val="auto"/>
                <w:kern w:val="0"/>
                <w:sz w:val="28"/>
                <w:szCs w:val="28"/>
                <w:lang w:val="en-US" w:eastAsia="zh-CN" w:bidi="ar-SA"/>
              </w:rPr>
            </w:pP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采购代理机构</w:t>
            </w:r>
          </w:p>
        </w:tc>
        <w:tc>
          <w:tcPr>
            <w:tcW w:w="5907"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名称：新疆昌盛方略项目管理有限公司 </w:t>
            </w:r>
          </w:p>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地址：昌吉市西外环南路832号尚都社区国投大厦1幢14楼</w:t>
            </w:r>
          </w:p>
          <w:p>
            <w:pPr>
              <w:pStyle w:val="13"/>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项目联系人：伊女士 、 冯女士     </w:t>
            </w:r>
          </w:p>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电　话：13779252105、15886906116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26" w:type="dxa"/>
            <w:vMerge w:val="continue"/>
            <w:noWrap w:val="0"/>
            <w:vAlign w:val="center"/>
          </w:tcPr>
          <w:p>
            <w:pPr>
              <w:spacing w:line="312" w:lineRule="auto"/>
              <w:jc w:val="center"/>
              <w:rPr>
                <w:rFonts w:hint="eastAsia" w:ascii="仿宋" w:hAnsi="仿宋" w:eastAsia="仿宋" w:cs="仿宋"/>
                <w:color w:val="auto"/>
                <w:kern w:val="0"/>
                <w:sz w:val="28"/>
                <w:szCs w:val="28"/>
                <w:lang w:val="en-US" w:eastAsia="zh-CN" w:bidi="ar-SA"/>
              </w:rPr>
            </w:pP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项目编号及名称</w:t>
            </w:r>
          </w:p>
        </w:tc>
        <w:tc>
          <w:tcPr>
            <w:tcW w:w="5907"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CSFLZB-2023-054-HW</w:t>
            </w:r>
          </w:p>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玛纳斯县2023年春季城区园林绿化苗木采购项目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26" w:type="dxa"/>
            <w:vMerge w:val="continue"/>
            <w:noWrap w:val="0"/>
            <w:vAlign w:val="center"/>
          </w:tcPr>
          <w:p>
            <w:pPr>
              <w:spacing w:line="312" w:lineRule="auto"/>
              <w:jc w:val="center"/>
              <w:rPr>
                <w:rFonts w:hint="eastAsia" w:ascii="仿宋" w:hAnsi="仿宋" w:eastAsia="仿宋" w:cs="仿宋"/>
                <w:color w:val="auto"/>
                <w:kern w:val="0"/>
                <w:sz w:val="28"/>
                <w:szCs w:val="28"/>
                <w:lang w:val="en-US" w:eastAsia="zh-CN" w:bidi="ar-SA"/>
              </w:rPr>
            </w:pP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预算金额</w:t>
            </w:r>
          </w:p>
        </w:tc>
        <w:tc>
          <w:tcPr>
            <w:tcW w:w="5907" w:type="dxa"/>
            <w:noWrap w:val="0"/>
            <w:vAlign w:val="center"/>
          </w:tcPr>
          <w:p>
            <w:pPr>
              <w:pStyle w:val="7"/>
              <w:tabs>
                <w:tab w:val="left" w:pos="3660"/>
              </w:tabs>
              <w:ind w:left="0" w:leftChars="0" w:firstLine="0" w:firstLineChars="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1766300元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26" w:type="dxa"/>
            <w:vMerge w:val="continue"/>
            <w:noWrap w:val="0"/>
            <w:vAlign w:val="center"/>
          </w:tcPr>
          <w:p>
            <w:pPr>
              <w:spacing w:line="312" w:lineRule="auto"/>
              <w:jc w:val="center"/>
              <w:rPr>
                <w:rFonts w:hint="eastAsia" w:ascii="仿宋" w:hAnsi="仿宋" w:eastAsia="仿宋" w:cs="仿宋"/>
                <w:color w:val="auto"/>
                <w:kern w:val="0"/>
                <w:sz w:val="28"/>
                <w:szCs w:val="28"/>
                <w:lang w:val="en-US" w:eastAsia="zh-CN" w:bidi="ar-SA"/>
              </w:rPr>
            </w:pP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最高限价</w:t>
            </w:r>
          </w:p>
        </w:tc>
        <w:tc>
          <w:tcPr>
            <w:tcW w:w="5907" w:type="dxa"/>
            <w:noWrap w:val="0"/>
            <w:vAlign w:val="center"/>
          </w:tcPr>
          <w:p>
            <w:pPr>
              <w:pStyle w:val="7"/>
              <w:tabs>
                <w:tab w:val="left" w:pos="3660"/>
              </w:tabs>
              <w:ind w:left="0" w:leftChars="0" w:firstLine="0" w:firstLineChars="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1766300元</w:t>
            </w:r>
          </w:p>
          <w:p>
            <w:pPr>
              <w:pStyle w:val="7"/>
              <w:tabs>
                <w:tab w:val="left" w:pos="3660"/>
              </w:tabs>
              <w:ind w:left="0" w:leftChars="0" w:firstLine="0" w:firstLineChars="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投标报价不得高于最高限价，否则投标文件将被拒绝。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26" w:type="dxa"/>
            <w:vMerge w:val="continue"/>
            <w:noWrap w:val="0"/>
            <w:vAlign w:val="center"/>
          </w:tcPr>
          <w:p>
            <w:pPr>
              <w:spacing w:line="312" w:lineRule="auto"/>
              <w:jc w:val="center"/>
              <w:rPr>
                <w:rFonts w:hint="eastAsia" w:ascii="仿宋" w:hAnsi="仿宋" w:eastAsia="仿宋" w:cs="仿宋"/>
                <w:color w:val="auto"/>
                <w:kern w:val="0"/>
                <w:sz w:val="28"/>
                <w:szCs w:val="28"/>
                <w:lang w:val="en-US" w:eastAsia="zh-CN" w:bidi="ar-SA"/>
              </w:rPr>
            </w:pP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招标方式</w:t>
            </w:r>
          </w:p>
        </w:tc>
        <w:tc>
          <w:tcPr>
            <w:tcW w:w="5907" w:type="dxa"/>
            <w:noWrap w:val="0"/>
            <w:vAlign w:val="center"/>
          </w:tcPr>
          <w:p>
            <w:pPr>
              <w:pStyle w:val="7"/>
              <w:tabs>
                <w:tab w:val="left" w:pos="3660"/>
              </w:tabs>
              <w:ind w:left="0" w:leftChars="0" w:firstLine="0" w:firstLineChars="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26" w:type="dxa"/>
            <w:vMerge w:val="restart"/>
            <w:noWrap w:val="0"/>
            <w:vAlign w:val="center"/>
          </w:tcPr>
          <w:p>
            <w:pPr>
              <w:spacing w:line="312" w:lineRule="auto"/>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w:t>
            </w: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资金来源</w:t>
            </w:r>
          </w:p>
        </w:tc>
        <w:tc>
          <w:tcPr>
            <w:tcW w:w="5907"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财政预算资金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26" w:type="dxa"/>
            <w:vMerge w:val="continue"/>
            <w:noWrap w:val="0"/>
            <w:vAlign w:val="center"/>
          </w:tcPr>
          <w:p>
            <w:pPr>
              <w:spacing w:line="312" w:lineRule="auto"/>
              <w:jc w:val="center"/>
              <w:rPr>
                <w:rFonts w:hint="eastAsia" w:ascii="仿宋" w:hAnsi="仿宋" w:eastAsia="仿宋" w:cs="仿宋"/>
                <w:color w:val="auto"/>
                <w:kern w:val="0"/>
                <w:sz w:val="28"/>
                <w:szCs w:val="28"/>
                <w:lang w:val="en-US" w:eastAsia="zh-CN" w:bidi="ar-SA"/>
              </w:rPr>
            </w:pP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出资比例</w:t>
            </w:r>
          </w:p>
        </w:tc>
        <w:tc>
          <w:tcPr>
            <w:tcW w:w="5907"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全额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26" w:type="dxa"/>
            <w:vMerge w:val="continue"/>
            <w:noWrap w:val="0"/>
            <w:vAlign w:val="center"/>
          </w:tcPr>
          <w:p>
            <w:pPr>
              <w:spacing w:line="312" w:lineRule="auto"/>
              <w:jc w:val="center"/>
              <w:rPr>
                <w:rFonts w:hint="eastAsia" w:ascii="仿宋" w:hAnsi="仿宋" w:eastAsia="仿宋" w:cs="仿宋"/>
                <w:color w:val="auto"/>
                <w:kern w:val="0"/>
                <w:sz w:val="28"/>
                <w:szCs w:val="28"/>
                <w:lang w:val="en-US" w:eastAsia="zh-CN" w:bidi="ar-SA"/>
              </w:rPr>
            </w:pP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资金落实情况</w:t>
            </w:r>
          </w:p>
        </w:tc>
        <w:tc>
          <w:tcPr>
            <w:tcW w:w="5907"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126" w:type="dxa"/>
            <w:vMerge w:val="restart"/>
            <w:noWrap w:val="0"/>
            <w:vAlign w:val="center"/>
          </w:tcPr>
          <w:p>
            <w:pPr>
              <w:spacing w:line="312" w:lineRule="auto"/>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w:t>
            </w: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招标内容</w:t>
            </w:r>
          </w:p>
        </w:tc>
        <w:tc>
          <w:tcPr>
            <w:tcW w:w="5907" w:type="dxa"/>
            <w:noWrap w:val="0"/>
            <w:vAlign w:val="center"/>
          </w:tcPr>
          <w:p>
            <w:pPr>
              <w:spacing w:line="312" w:lineRule="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sz w:val="28"/>
                <w:szCs w:val="28"/>
                <w:lang w:val="en-US" w:eastAsia="zh-CN"/>
              </w:rPr>
              <w:t>2023 年春季城区园林绿化计划在中华碧玉园西北角、石玛路与西海路交汇口西北侧、文博路与光明路交汇口东南侧等地新建和改造游园 8处;并对文化路、南园路等多处林下覆绿进行绿化提升。以上地块及路段需栽植金叶白蜡、红叶海棠、黄菠萝、暴马丁香、樟子松等风景树和灌木金叶榆、水蜡、红叶李、金叶榆球等灌木和造型树，共计采购苗木240677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126" w:type="dxa"/>
            <w:vMerge w:val="continue"/>
            <w:noWrap w:val="0"/>
            <w:vAlign w:val="center"/>
          </w:tcPr>
          <w:p>
            <w:pPr>
              <w:spacing w:line="312" w:lineRule="auto"/>
              <w:jc w:val="center"/>
              <w:rPr>
                <w:rFonts w:hint="eastAsia" w:ascii="仿宋" w:hAnsi="仿宋" w:eastAsia="仿宋" w:cs="仿宋"/>
                <w:color w:val="auto"/>
                <w:kern w:val="0"/>
                <w:sz w:val="28"/>
                <w:szCs w:val="28"/>
                <w:lang w:val="en-US" w:eastAsia="zh-CN" w:bidi="ar-SA"/>
              </w:rPr>
            </w:pP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招标范围</w:t>
            </w:r>
          </w:p>
        </w:tc>
        <w:tc>
          <w:tcPr>
            <w:tcW w:w="5907"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sz w:val="28"/>
                <w:szCs w:val="28"/>
                <w:lang w:val="en-US" w:eastAsia="zh-CN"/>
              </w:rPr>
              <w:t>2023 年春季城区园林绿化计划在中华碧玉园西北角、石玛路与西海路交汇口西北侧、文博路与光明路交汇口东南侧等地新建和改造游园 8处;并对文化路、南园路等多处林下覆绿进行绿化提升。以上地块及路段需栽植金叶白蜡、红叶海棠、黄菠萝、暴马丁香、樟子松等风景树和灌木金叶榆、水蜡、红叶李、金叶榆球等灌木和造型树，共计采购苗木240677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26" w:type="dxa"/>
            <w:vMerge w:val="continue"/>
            <w:noWrap w:val="0"/>
            <w:vAlign w:val="center"/>
          </w:tcPr>
          <w:p>
            <w:pPr>
              <w:spacing w:line="312" w:lineRule="auto"/>
              <w:jc w:val="center"/>
              <w:rPr>
                <w:rFonts w:hint="eastAsia" w:ascii="仿宋" w:hAnsi="仿宋" w:eastAsia="仿宋" w:cs="仿宋"/>
                <w:color w:val="auto"/>
                <w:kern w:val="0"/>
                <w:sz w:val="28"/>
                <w:szCs w:val="28"/>
                <w:lang w:val="en-US" w:eastAsia="zh-CN" w:bidi="ar-SA"/>
              </w:rPr>
            </w:pP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供货地点</w:t>
            </w:r>
          </w:p>
        </w:tc>
        <w:tc>
          <w:tcPr>
            <w:tcW w:w="5907" w:type="dxa"/>
            <w:noWrap w:val="0"/>
            <w:vAlign w:val="center"/>
          </w:tcPr>
          <w:p>
            <w:pPr>
              <w:spacing w:line="312" w:lineRule="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玛纳斯县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26" w:type="dxa"/>
            <w:vMerge w:val="continue"/>
            <w:noWrap w:val="0"/>
            <w:vAlign w:val="center"/>
          </w:tcPr>
          <w:p>
            <w:pPr>
              <w:spacing w:line="312" w:lineRule="auto"/>
              <w:jc w:val="center"/>
              <w:rPr>
                <w:rFonts w:hint="eastAsia" w:ascii="仿宋" w:hAnsi="仿宋" w:eastAsia="仿宋" w:cs="仿宋"/>
                <w:color w:val="auto"/>
                <w:kern w:val="0"/>
                <w:sz w:val="28"/>
                <w:szCs w:val="28"/>
                <w:lang w:val="en-US" w:eastAsia="zh-CN" w:bidi="ar-SA"/>
              </w:rPr>
            </w:pP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计划供货期限</w:t>
            </w:r>
          </w:p>
        </w:tc>
        <w:tc>
          <w:tcPr>
            <w:tcW w:w="5907" w:type="dxa"/>
            <w:noWrap w:val="0"/>
            <w:vAlign w:val="center"/>
          </w:tcPr>
          <w:p>
            <w:pPr>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合同签订后20天（日历日）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126" w:type="dxa"/>
            <w:vMerge w:val="continue"/>
            <w:noWrap w:val="0"/>
            <w:vAlign w:val="center"/>
          </w:tcPr>
          <w:p>
            <w:pPr>
              <w:spacing w:line="312" w:lineRule="auto"/>
              <w:jc w:val="center"/>
              <w:rPr>
                <w:rFonts w:hint="eastAsia" w:ascii="仿宋" w:hAnsi="仿宋" w:eastAsia="仿宋" w:cs="仿宋"/>
                <w:color w:val="auto"/>
                <w:kern w:val="0"/>
                <w:sz w:val="28"/>
                <w:szCs w:val="28"/>
                <w:lang w:val="en-US" w:eastAsia="zh-CN" w:bidi="ar-SA"/>
              </w:rPr>
            </w:pPr>
          </w:p>
        </w:tc>
        <w:tc>
          <w:tcPr>
            <w:tcW w:w="2085" w:type="dxa"/>
            <w:noWrap w:val="0"/>
            <w:vAlign w:val="center"/>
          </w:tcPr>
          <w:p>
            <w:pPr>
              <w:spacing w:line="312" w:lineRule="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供货验收标准</w:t>
            </w:r>
          </w:p>
        </w:tc>
        <w:tc>
          <w:tcPr>
            <w:tcW w:w="5907" w:type="dxa"/>
            <w:noWrap w:val="0"/>
            <w:vAlign w:val="center"/>
          </w:tcPr>
          <w:p>
            <w:pPr>
              <w:spacing w:line="312" w:lineRule="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符合采购人要求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1126" w:type="dxa"/>
            <w:noWrap w:val="0"/>
            <w:vAlign w:val="center"/>
          </w:tcPr>
          <w:p>
            <w:pPr>
              <w:spacing w:line="312" w:lineRule="auto"/>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w:t>
            </w: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供应商资质条件、能力</w:t>
            </w:r>
          </w:p>
        </w:tc>
        <w:tc>
          <w:tcPr>
            <w:tcW w:w="59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2.落实政府采购政策需满足的资格要求：供应商为</w:t>
            </w:r>
            <w:r>
              <w:rPr>
                <w:rFonts w:hint="eastAsia" w:ascii="仿宋" w:hAnsi="仿宋" w:eastAsia="仿宋" w:cs="仿宋"/>
                <w:color w:val="auto"/>
                <w:kern w:val="0"/>
                <w:sz w:val="28"/>
                <w:szCs w:val="28"/>
                <w:lang w:val="en-US" w:eastAsia="zh-CN" w:bidi="ar-SA"/>
              </w:rPr>
              <w:t>中小</w:t>
            </w:r>
            <w:r>
              <w:rPr>
                <w:rFonts w:hint="default" w:ascii="仿宋" w:hAnsi="仿宋" w:eastAsia="仿宋" w:cs="仿宋"/>
                <w:color w:val="auto"/>
                <w:kern w:val="0"/>
                <w:sz w:val="28"/>
                <w:szCs w:val="28"/>
                <w:lang w:val="en-US" w:eastAsia="zh-CN" w:bidi="ar-SA"/>
              </w:rPr>
              <w:t>企业</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3.本项目的特定资格要求：</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(1)具有有效的营业执照副本;</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(2)具有相关部门颁发的林木种子生产经营许可证或当地林业部门出具的育苗证明；</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(4)供应商不得为“信用中国”网站（www.creditchina.gov.cn ）中列入重大税收违法案件和列入失信被执行人名单的供应商，不得为中国政府采购网（www.ccgp.gov.cn ）政府采购严重违法失信行为记录名单被财政部门禁止参加政府采购活动的供应商以及其他不符合规定条件的供应商（尚在处罚期内的），将拒绝其参加本次政府采购活动。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26" w:type="dxa"/>
            <w:noWrap w:val="0"/>
            <w:vAlign w:val="center"/>
          </w:tcPr>
          <w:p>
            <w:pPr>
              <w:spacing w:line="312" w:lineRule="auto"/>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w:t>
            </w: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是否接受联合体投标</w:t>
            </w:r>
          </w:p>
        </w:tc>
        <w:tc>
          <w:tcPr>
            <w:tcW w:w="5907"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■不接受</w:t>
            </w:r>
          </w:p>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□接受，应满足下列要求：</w:t>
            </w:r>
          </w:p>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联合体资质按照联合体协议约定的分工认定。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26" w:type="dxa"/>
            <w:noWrap w:val="0"/>
            <w:vAlign w:val="center"/>
          </w:tcPr>
          <w:p>
            <w:pPr>
              <w:spacing w:line="312" w:lineRule="auto"/>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6</w:t>
            </w: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踏勘现场</w:t>
            </w:r>
          </w:p>
        </w:tc>
        <w:tc>
          <w:tcPr>
            <w:tcW w:w="5907"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■不组织</w:t>
            </w:r>
          </w:p>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sym w:font="Wingdings 2" w:char="00A3"/>
            </w:r>
            <w:r>
              <w:rPr>
                <w:rFonts w:hint="eastAsia" w:ascii="仿宋" w:hAnsi="仿宋" w:eastAsia="仿宋" w:cs="仿宋"/>
                <w:color w:val="auto"/>
                <w:kern w:val="0"/>
                <w:sz w:val="28"/>
                <w:szCs w:val="28"/>
                <w:lang w:val="en-US" w:eastAsia="zh-CN" w:bidi="ar-SA"/>
              </w:rPr>
              <w:t>组织，踏勘时间：</w:t>
            </w:r>
          </w:p>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6" w:type="dxa"/>
            <w:noWrap w:val="0"/>
            <w:vAlign w:val="center"/>
          </w:tcPr>
          <w:p>
            <w:pPr>
              <w:spacing w:line="312" w:lineRule="auto"/>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7</w:t>
            </w: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分  包</w:t>
            </w:r>
          </w:p>
        </w:tc>
        <w:tc>
          <w:tcPr>
            <w:tcW w:w="5907"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26" w:type="dxa"/>
            <w:noWrap w:val="0"/>
            <w:vAlign w:val="center"/>
          </w:tcPr>
          <w:p>
            <w:pPr>
              <w:spacing w:line="312" w:lineRule="auto"/>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8</w:t>
            </w: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偏  离</w:t>
            </w:r>
          </w:p>
        </w:tc>
        <w:tc>
          <w:tcPr>
            <w:tcW w:w="5907"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sym w:font="Wingdings 2" w:char="00A3"/>
            </w:r>
            <w:r>
              <w:rPr>
                <w:rFonts w:hint="eastAsia" w:ascii="仿宋" w:hAnsi="仿宋" w:eastAsia="仿宋" w:cs="仿宋"/>
                <w:color w:val="auto"/>
                <w:kern w:val="0"/>
                <w:sz w:val="28"/>
                <w:szCs w:val="28"/>
                <w:lang w:val="en-US" w:eastAsia="zh-CN" w:bidi="ar-S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26" w:type="dxa"/>
            <w:noWrap w:val="0"/>
            <w:vAlign w:val="center"/>
          </w:tcPr>
          <w:p>
            <w:pPr>
              <w:spacing w:line="312" w:lineRule="auto"/>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9</w:t>
            </w:r>
          </w:p>
        </w:tc>
        <w:tc>
          <w:tcPr>
            <w:tcW w:w="2085"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履约保证金</w:t>
            </w:r>
          </w:p>
        </w:tc>
        <w:tc>
          <w:tcPr>
            <w:tcW w:w="5907"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本项目提供10%履约保证金（备用金除外）。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126" w:type="dxa"/>
            <w:noWrap w:val="0"/>
            <w:vAlign w:val="center"/>
          </w:tcPr>
          <w:p>
            <w:pPr>
              <w:spacing w:line="312" w:lineRule="auto"/>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10</w:t>
            </w:r>
          </w:p>
        </w:tc>
        <w:tc>
          <w:tcPr>
            <w:tcW w:w="2085"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0000FF"/>
                <w:kern w:val="0"/>
                <w:sz w:val="28"/>
                <w:szCs w:val="28"/>
                <w:lang w:val="en-US" w:eastAsia="zh-CN" w:bidi="ar-SA"/>
              </w:rPr>
              <w:t>付款方式</w:t>
            </w:r>
          </w:p>
        </w:tc>
        <w:tc>
          <w:tcPr>
            <w:tcW w:w="5907" w:type="dxa"/>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按照第四部分合同中的支付方式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26" w:type="dxa"/>
            <w:vMerge w:val="restart"/>
            <w:noWrap w:val="0"/>
            <w:vAlign w:val="center"/>
          </w:tcPr>
          <w:p>
            <w:pPr>
              <w:spacing w:line="312" w:lineRule="auto"/>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11</w:t>
            </w:r>
          </w:p>
        </w:tc>
        <w:tc>
          <w:tcPr>
            <w:tcW w:w="2085"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磋商时间及地点</w:t>
            </w:r>
          </w:p>
        </w:tc>
        <w:tc>
          <w:tcPr>
            <w:tcW w:w="5907"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开标时间：2023年5月15日12:30时（北京时间）</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开标地点：政采云平台（www.zcygov.cn）.</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126" w:type="dxa"/>
            <w:vMerge w:val="continue"/>
            <w:noWrap w:val="0"/>
            <w:vAlign w:val="center"/>
          </w:tcPr>
          <w:p>
            <w:pPr>
              <w:spacing w:line="312" w:lineRule="auto"/>
              <w:jc w:val="center"/>
              <w:rPr>
                <w:rFonts w:hint="eastAsia" w:ascii="仿宋" w:hAnsi="仿宋" w:eastAsia="仿宋" w:cs="仿宋"/>
                <w:color w:val="auto"/>
                <w:kern w:val="0"/>
                <w:sz w:val="28"/>
                <w:szCs w:val="28"/>
                <w:lang w:val="en-US" w:eastAsia="zh-CN" w:bidi="ar-SA"/>
              </w:rPr>
            </w:pPr>
          </w:p>
        </w:tc>
        <w:tc>
          <w:tcPr>
            <w:tcW w:w="2085"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300" w:lineRule="exact"/>
              <w:jc w:val="center"/>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响应文件递交及解密时间</w:t>
            </w:r>
          </w:p>
        </w:tc>
        <w:tc>
          <w:tcPr>
            <w:tcW w:w="5907"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供应商应于2023年5月15日12:30时(北京时间)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2.开标时间后供应商可以登录“政采云”平台，用“项目采购-开标评标”功能进行解密投标文件。若供应商未按时解密的，视为投标文件撤回。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26" w:type="dxa"/>
            <w:noWrap w:val="0"/>
            <w:vAlign w:val="center"/>
          </w:tcPr>
          <w:p>
            <w:pPr>
              <w:spacing w:line="312" w:lineRule="auto"/>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12</w:t>
            </w:r>
          </w:p>
        </w:tc>
        <w:tc>
          <w:tcPr>
            <w:tcW w:w="2085" w:type="dxa"/>
            <w:noWrap w:val="0"/>
            <w:vAlign w:val="center"/>
          </w:tcPr>
          <w:p>
            <w:pPr>
              <w:spacing w:line="312" w:lineRule="auto"/>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投标有效期</w:t>
            </w:r>
          </w:p>
        </w:tc>
        <w:tc>
          <w:tcPr>
            <w:tcW w:w="5907" w:type="dxa"/>
            <w:noWrap w:val="0"/>
            <w:vAlign w:val="center"/>
          </w:tcPr>
          <w:p>
            <w:pPr>
              <w:spacing w:line="312" w:lineRule="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26" w:type="dxa"/>
            <w:noWrap w:val="0"/>
            <w:vAlign w:val="center"/>
          </w:tcPr>
          <w:p>
            <w:pPr>
              <w:spacing w:line="312"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13</w:t>
            </w:r>
          </w:p>
        </w:tc>
        <w:tc>
          <w:tcPr>
            <w:tcW w:w="2085" w:type="dxa"/>
            <w:noWrap w:val="0"/>
            <w:vAlign w:val="center"/>
          </w:tcPr>
          <w:p>
            <w:pPr>
              <w:pStyle w:val="88"/>
              <w:keepNext w:val="0"/>
              <w:keepLines w:val="0"/>
              <w:pageBreakBefore w:val="0"/>
              <w:widowControl w:val="0"/>
              <w:kinsoku/>
              <w:wordWrap/>
              <w:overflowPunct/>
              <w:topLinePunct w:val="0"/>
              <w:bidi w:val="0"/>
              <w:snapToGrid/>
              <w:spacing w:line="300" w:lineRule="exact"/>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成交结果公示媒体</w:t>
            </w:r>
          </w:p>
        </w:tc>
        <w:tc>
          <w:tcPr>
            <w:tcW w:w="5907" w:type="dxa"/>
            <w:noWrap w:val="0"/>
            <w:vAlign w:val="center"/>
          </w:tcPr>
          <w:p>
            <w:pPr>
              <w:pStyle w:val="88"/>
              <w:keepNext w:val="0"/>
              <w:keepLines w:val="0"/>
              <w:pageBreakBefore w:val="0"/>
              <w:widowControl w:val="0"/>
              <w:kinsoku/>
              <w:wordWrap/>
              <w:overflowPunct/>
              <w:topLinePunct w:val="0"/>
              <w:bidi w:val="0"/>
              <w:snapToGrid/>
              <w:spacing w:line="300" w:lineRule="exact"/>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在新疆政府采购网上予以公示，公示期1个工作日。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126" w:type="dxa"/>
            <w:noWrap w:val="0"/>
            <w:vAlign w:val="center"/>
          </w:tcPr>
          <w:p>
            <w:pPr>
              <w:spacing w:line="312" w:lineRule="auto"/>
              <w:jc w:val="center"/>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14</w:t>
            </w:r>
          </w:p>
        </w:tc>
        <w:tc>
          <w:tcPr>
            <w:tcW w:w="2085" w:type="dxa"/>
            <w:noWrap w:val="0"/>
            <w:vAlign w:val="center"/>
          </w:tcPr>
          <w:p>
            <w:pPr>
              <w:keepNext w:val="0"/>
              <w:keepLines w:val="0"/>
              <w:pageBreakBefore w:val="0"/>
              <w:widowControl w:val="0"/>
              <w:kinsoku/>
              <w:wordWrap/>
              <w:overflowPunct/>
              <w:topLinePunct w:val="0"/>
              <w:bidi w:val="0"/>
              <w:snapToGrid/>
              <w:spacing w:line="300" w:lineRule="exact"/>
              <w:jc w:val="cente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评审小组</w:t>
            </w:r>
          </w:p>
          <w:p>
            <w:pPr>
              <w:keepNext w:val="0"/>
              <w:keepLines w:val="0"/>
              <w:pageBreakBefore w:val="0"/>
              <w:widowControl w:val="0"/>
              <w:kinsoku/>
              <w:wordWrap/>
              <w:overflowPunct/>
              <w:topLinePunct w:val="0"/>
              <w:bidi w:val="0"/>
              <w:snapToGrid/>
              <w:spacing w:line="300" w:lineRule="exact"/>
              <w:jc w:val="center"/>
              <w:rPr>
                <w:rFonts w:hint="eastAsia" w:ascii="仿宋" w:hAnsi="仿宋" w:eastAsia="仿宋" w:cs="仿宋"/>
                <w:color w:val="auto"/>
                <w:kern w:val="0"/>
                <w:sz w:val="28"/>
                <w:szCs w:val="28"/>
                <w:lang w:val="zh-CN" w:eastAsia="zh-CN" w:bidi="ar-SA"/>
              </w:rPr>
            </w:pPr>
            <w:r>
              <w:rPr>
                <w:rFonts w:hint="eastAsia" w:ascii="仿宋" w:hAnsi="仿宋" w:eastAsia="仿宋" w:cs="仿宋"/>
                <w:color w:val="auto"/>
                <w:kern w:val="0"/>
                <w:sz w:val="28"/>
                <w:szCs w:val="28"/>
                <w:lang w:val="en-US" w:eastAsia="zh-CN" w:bidi="ar-SA"/>
              </w:rPr>
              <w:t>的组建</w:t>
            </w:r>
          </w:p>
        </w:tc>
        <w:tc>
          <w:tcPr>
            <w:tcW w:w="5907"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评审小组共3人构成：</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zh-CN" w:eastAsia="zh-CN" w:bidi="ar-SA"/>
              </w:rPr>
            </w:pPr>
            <w:r>
              <w:rPr>
                <w:rFonts w:hint="eastAsia" w:ascii="仿宋" w:hAnsi="仿宋" w:eastAsia="仿宋" w:cs="仿宋"/>
                <w:color w:val="auto"/>
                <w:kern w:val="0"/>
                <w:sz w:val="28"/>
                <w:szCs w:val="28"/>
                <w:lang w:val="en-US" w:eastAsia="zh-CN" w:bidi="ar-SA"/>
              </w:rPr>
              <w:t>其中采购人代表0人，政采云专家库中随机抽取有关技术、经济等方面的专家3人。</w:t>
            </w:r>
          </w:p>
        </w:tc>
      </w:tr>
    </w:tbl>
    <w:p>
      <w:pPr>
        <w:rPr>
          <w:color w:val="auto"/>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836"/>
        <w:gridCol w:w="6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9" w:hRule="atLeast"/>
        </w:trPr>
        <w:tc>
          <w:tcPr>
            <w:tcW w:w="981"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15</w:t>
            </w:r>
          </w:p>
        </w:tc>
        <w:tc>
          <w:tcPr>
            <w:tcW w:w="1836"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谈判保证金</w:t>
            </w:r>
          </w:p>
        </w:tc>
        <w:tc>
          <w:tcPr>
            <w:tcW w:w="630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谈判保证金的金额：35000元（叁万伍仟元整）    </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到账截止时间：谈判截止时间前</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谈判保证金的形式：从供应商基本账户对公转账或者金融机构、担保机构出具的保函等非现金方式缴纳</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接受谈判保证金的银行及帐号：</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单位名称：新疆昌盛方略项目管理有限公司</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开户银行：交通银行昌吉北京南路支行</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账号: 7287 2803 8013 0001 34671</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开户行行号: 3018 8500 0031</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98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p>
        </w:tc>
        <w:tc>
          <w:tcPr>
            <w:tcW w:w="1836"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政采平台缴纳</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保函保证金说明</w:t>
            </w:r>
          </w:p>
        </w:tc>
        <w:tc>
          <w:tcPr>
            <w:tcW w:w="630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各供应商需采用政采云电子保函方式缴纳保证金的，搜索新疆政府采购网官网登陆入口</w:t>
            </w:r>
            <w:r>
              <w:rPr>
                <w:rFonts w:hint="default" w:ascii="仿宋" w:hAnsi="仿宋" w:eastAsia="仿宋" w:cs="仿宋"/>
                <w:color w:val="auto"/>
                <w:kern w:val="0"/>
                <w:sz w:val="28"/>
                <w:szCs w:val="28"/>
                <w:lang w:val="en-US" w:eastAsia="zh-CN" w:bidi="ar-SA"/>
              </w:rPr>
              <w:t>→</w:t>
            </w:r>
            <w:r>
              <w:rPr>
                <w:rFonts w:hint="eastAsia" w:ascii="仿宋" w:hAnsi="仿宋" w:eastAsia="仿宋" w:cs="仿宋"/>
                <w:color w:val="auto"/>
                <w:kern w:val="0"/>
                <w:sz w:val="28"/>
                <w:szCs w:val="28"/>
                <w:lang w:val="en-US" w:eastAsia="zh-CN" w:bidi="ar-SA"/>
              </w:rPr>
              <w:fldChar w:fldCharType="begin"/>
            </w:r>
            <w:r>
              <w:rPr>
                <w:rFonts w:hint="eastAsia" w:ascii="仿宋" w:hAnsi="仿宋" w:eastAsia="仿宋" w:cs="仿宋"/>
                <w:color w:val="auto"/>
                <w:kern w:val="0"/>
                <w:sz w:val="28"/>
                <w:szCs w:val="28"/>
                <w:lang w:val="en-US" w:eastAsia="zh-CN" w:bidi="ar-SA"/>
              </w:rPr>
              <w:instrText xml:space="preserve"> HYPERLINK "https://jinrong.zcygov.cn/luban/finance/letter/xinjiang?pageModelFlag=650000" \t "http://www.ccgp-xinjiang.gov.cn/_blank" </w:instrText>
            </w:r>
            <w:r>
              <w:rPr>
                <w:rFonts w:hint="eastAsia" w:ascii="仿宋" w:hAnsi="仿宋" w:eastAsia="仿宋" w:cs="仿宋"/>
                <w:color w:val="auto"/>
                <w:kern w:val="0"/>
                <w:sz w:val="28"/>
                <w:szCs w:val="28"/>
                <w:lang w:val="en-US" w:eastAsia="zh-CN" w:bidi="ar-SA"/>
              </w:rPr>
              <w:fldChar w:fldCharType="separate"/>
            </w:r>
            <w:r>
              <w:rPr>
                <w:rFonts w:hint="default" w:ascii="仿宋" w:hAnsi="仿宋" w:eastAsia="仿宋" w:cs="仿宋"/>
                <w:color w:val="auto"/>
                <w:kern w:val="0"/>
                <w:sz w:val="28"/>
                <w:szCs w:val="28"/>
                <w:lang w:val="en-US" w:eastAsia="zh-CN" w:bidi="ar-SA"/>
              </w:rPr>
              <w:t>电子保函</w:t>
            </w:r>
            <w:r>
              <w:rPr>
                <w:rFonts w:hint="default" w:ascii="仿宋" w:hAnsi="仿宋" w:eastAsia="仿宋" w:cs="仿宋"/>
                <w:color w:val="auto"/>
                <w:kern w:val="0"/>
                <w:sz w:val="28"/>
                <w:szCs w:val="28"/>
                <w:lang w:val="en-US" w:eastAsia="zh-CN" w:bidi="ar-SA"/>
              </w:rPr>
              <w:fldChar w:fldCharType="end"/>
            </w:r>
            <w:r>
              <w:rPr>
                <w:rFonts w:hint="default" w:ascii="仿宋" w:hAnsi="仿宋" w:eastAsia="仿宋" w:cs="仿宋"/>
                <w:color w:val="auto"/>
                <w:kern w:val="0"/>
                <w:sz w:val="28"/>
                <w:szCs w:val="28"/>
                <w:lang w:val="en-US" w:eastAsia="zh-CN" w:bidi="ar-SA"/>
              </w:rPr>
              <w:t>→</w:t>
            </w:r>
            <w:r>
              <w:rPr>
                <w:rFonts w:hint="eastAsia" w:ascii="仿宋" w:hAnsi="仿宋" w:eastAsia="仿宋" w:cs="仿宋"/>
                <w:color w:val="auto"/>
                <w:kern w:val="0"/>
                <w:sz w:val="28"/>
                <w:szCs w:val="28"/>
                <w:lang w:val="en-US" w:eastAsia="zh-CN" w:bidi="ar-SA"/>
              </w:rPr>
              <w:t>填写相应要求；如有问题可拨打政采云客户服务热线咨询：电话：400-903-9583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981"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p>
        </w:tc>
        <w:tc>
          <w:tcPr>
            <w:tcW w:w="1836"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投标保证金退还</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p>
        </w:tc>
        <w:tc>
          <w:tcPr>
            <w:tcW w:w="630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(1)未中标供应商，自中标通知书发出之日起5个工作日内原账户退还；</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(2)中标供应商在合同签订生效并按规定交纳了履约保证金后五个工作日内予以退还。</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(3)因投标人账户问题导致无法正常时间内退付的，采购人和采购代理机构不承担相应责任；</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(4)投标保证金退还不计付利息。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8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16</w:t>
            </w:r>
          </w:p>
        </w:tc>
        <w:tc>
          <w:tcPr>
            <w:tcW w:w="1836"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投标人开标及公示后要求</w:t>
            </w:r>
          </w:p>
        </w:tc>
        <w:tc>
          <w:tcPr>
            <w:tcW w:w="630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cs/>
                <w:lang w:val="en-US" w:eastAsia="zh-CN" w:bidi="ar-SA"/>
              </w:rPr>
              <w:t>1</w:t>
            </w:r>
            <w:r>
              <w:rPr>
                <w:rFonts w:hint="eastAsia" w:ascii="仿宋" w:hAnsi="仿宋" w:eastAsia="仿宋" w:cs="仿宋"/>
                <w:color w:val="auto"/>
                <w:kern w:val="0"/>
                <w:sz w:val="28"/>
                <w:szCs w:val="28"/>
                <w:lang w:val="en-US" w:eastAsia="zh-CN" w:bidi="ar-SA"/>
              </w:rPr>
              <w:t>、公示期结束后第一中标候选人将纸质版投标文件递交至昌吉市西外环南路832号尚都社区国投大厦1幢14楼1419，正本1份，副本2份；</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2、须与上传政采云电子版投标文件内容一致，纸质投标文件不得采用活页胶装，需留存备案将一律不予退还。</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如有疑问可与收件人联系：13779252105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17</w:t>
            </w:r>
          </w:p>
        </w:tc>
        <w:tc>
          <w:tcPr>
            <w:tcW w:w="1836"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质疑须知</w:t>
            </w:r>
          </w:p>
        </w:tc>
        <w:tc>
          <w:tcPr>
            <w:tcW w:w="630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接收质疑函的时间：应在法定质疑期内一次性提出针对同一采购程序环节的质疑</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接收质疑函的方式：现场递交纸质版及Word格式电子版质疑文件至接受单位。</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接受质疑的单位：新疆昌盛方略项目管理有限公司，联系电话：13779252105</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地址：昌吉市西外环南路832号尚都社区国投大厦1幢14楼1419。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8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18</w:t>
            </w:r>
          </w:p>
        </w:tc>
        <w:tc>
          <w:tcPr>
            <w:tcW w:w="1836"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标前准备</w:t>
            </w:r>
          </w:p>
        </w:tc>
        <w:tc>
          <w:tcPr>
            <w:tcW w:w="630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1、本项目实行网上投标，采用电子投标文件。若供应商参与投标，自行承担投标一切费用。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auto"/>
                <w:kern w:val="0"/>
                <w:sz w:val="28"/>
                <w:szCs w:val="28"/>
                <w:lang w:val="en-US" w:eastAsia="zh-CN" w:bidi="ar-SA"/>
              </w:rPr>
              <w:fldChar w:fldCharType="begin"/>
            </w:r>
            <w:r>
              <w:rPr>
                <w:rFonts w:hint="eastAsia" w:ascii="仿宋" w:hAnsi="仿宋" w:eastAsia="仿宋" w:cs="仿宋"/>
                <w:color w:val="auto"/>
                <w:kern w:val="0"/>
                <w:sz w:val="28"/>
                <w:szCs w:val="28"/>
                <w:lang w:val="en-US" w:eastAsia="zh-CN" w:bidi="ar-SA"/>
              </w:rPr>
              <w:instrText xml:space="preserve"> HYPERLINK "http://www.ccgp-xinjiang.gov.cn/" </w:instrText>
            </w:r>
            <w:r>
              <w:rPr>
                <w:rFonts w:hint="eastAsia" w:ascii="仿宋" w:hAnsi="仿宋" w:eastAsia="仿宋" w:cs="仿宋"/>
                <w:color w:val="auto"/>
                <w:kern w:val="0"/>
                <w:sz w:val="28"/>
                <w:szCs w:val="28"/>
                <w:lang w:val="en-US" w:eastAsia="zh-CN" w:bidi="ar-SA"/>
              </w:rPr>
              <w:fldChar w:fldCharType="separate"/>
            </w:r>
            <w:r>
              <w:rPr>
                <w:rFonts w:hint="eastAsia" w:ascii="仿宋" w:hAnsi="仿宋" w:eastAsia="仿宋" w:cs="仿宋"/>
                <w:color w:val="auto"/>
                <w:kern w:val="0"/>
                <w:sz w:val="28"/>
                <w:szCs w:val="28"/>
                <w:lang w:val="en-US" w:eastAsia="zh-CN" w:bidi="ar-SA"/>
              </w:rPr>
              <w:t>http://www.ccgp-xinjiang.gov.cn/</w:t>
            </w:r>
            <w:r>
              <w:rPr>
                <w:rFonts w:hint="eastAsia" w:ascii="仿宋" w:hAnsi="仿宋" w:eastAsia="仿宋" w:cs="仿宋"/>
                <w:color w:val="auto"/>
                <w:kern w:val="0"/>
                <w:sz w:val="28"/>
                <w:szCs w:val="28"/>
                <w:lang w:val="en-US" w:eastAsia="zh-CN" w:bidi="ar-SA"/>
              </w:rPr>
              <w:fldChar w:fldCharType="end"/>
            </w:r>
            <w:r>
              <w:rPr>
                <w:rFonts w:hint="eastAsia" w:ascii="仿宋" w:hAnsi="仿宋" w:eastAsia="仿宋" w:cs="仿宋"/>
                <w:color w:val="auto"/>
                <w:kern w:val="0"/>
                <w:sz w:val="28"/>
                <w:szCs w:val="28"/>
                <w:lang w:val="en-US" w:eastAsia="zh-CN" w:bidi="ar-SA"/>
              </w:rPr>
              <w:t>）下载专区查看，如有问题可拨打政采云客户服务热线95763进行咨询。</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6、投标供应商应当在投标截止时间前，将生成的“电子加密投标文件”上传递交至“政府采购云平台”。投标截止时间以后上传递交的投标文件将被“政府采购云平台”拒收。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8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19</w:t>
            </w:r>
          </w:p>
        </w:tc>
        <w:tc>
          <w:tcPr>
            <w:tcW w:w="1836"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政府采购政策</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说明</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p>
        </w:tc>
        <w:tc>
          <w:tcPr>
            <w:tcW w:w="630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本项目为专门面向中小企业，</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（1）中小企业（含中型、小型、微型企业），根据《政府采购促进中小企业发展管理办法》（财库[2020]46号）的规定、《关于进一步加大政府采购支持中小企业力度的通知》财库〔2022〕19号的规定；</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（2）《财政部、司法部关于政府采购支持监狱企业发展有关问题的通知》（财库[2014]68号）；</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（3）财政部 生态环境部关于印发环境标志产品政府采购品目清单的通知（财库[2019]18号）；</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（4）《财政部 民政部 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（6）《关于运用政府采购政策支持脱贫攻坚的通知》（财库【2019】27号文）</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特别提示：供应商须保证所提交资料真实、完整、有效、一致，否则自行承担由此导致的与本项目有关的任何损失。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98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20</w:t>
            </w:r>
          </w:p>
        </w:tc>
        <w:tc>
          <w:tcPr>
            <w:tcW w:w="1836"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中标服务费</w:t>
            </w:r>
          </w:p>
        </w:tc>
        <w:tc>
          <w:tcPr>
            <w:tcW w:w="630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由中标供应商支付，参照国家计委《招标代理服务收费管理暂行办法》（发改价格（2011）534号）文所规定标准取费，在中标人领取中标通知书前向招标代理机构缴纳，此费由投标人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98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0"/>
                <w:sz w:val="28"/>
                <w:szCs w:val="28"/>
                <w:lang w:val="en-US" w:eastAsia="zh-CN" w:bidi="ar-SA"/>
              </w:rPr>
            </w:pPr>
          </w:p>
        </w:tc>
        <w:tc>
          <w:tcPr>
            <w:tcW w:w="1836"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保证金退还</w:t>
            </w:r>
          </w:p>
        </w:tc>
        <w:tc>
          <w:tcPr>
            <w:tcW w:w="6301"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退还投标保证金需要提交的资料：</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1、营业执照复印件</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2、开户许可证复印件</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3、对开收据（需盖财务章）</w:t>
            </w:r>
          </w:p>
        </w:tc>
      </w:tr>
    </w:tbl>
    <w:p>
      <w:pPr>
        <w:pStyle w:val="7"/>
        <w:numPr>
          <w:ilvl w:val="0"/>
          <w:numId w:val="0"/>
        </w:numPr>
        <w:ind w:left="210" w:leftChars="0"/>
        <w:rPr>
          <w:rFonts w:hint="eastAsia"/>
          <w:lang w:eastAsia="zh-CN"/>
        </w:rPr>
      </w:pPr>
    </w:p>
    <w:p>
      <w:pPr>
        <w:rPr>
          <w:rFonts w:ascii="宋体" w:hAnsi="宋体"/>
          <w:b/>
          <w:sz w:val="36"/>
          <w:szCs w:val="36"/>
        </w:rPr>
      </w:pPr>
      <w:r>
        <w:rPr>
          <w:rFonts w:hint="eastAsia" w:ascii="宋体" w:hAnsi="宋体"/>
          <w:b/>
          <w:sz w:val="36"/>
          <w:szCs w:val="36"/>
        </w:rPr>
        <w:br w:type="page"/>
      </w:r>
    </w:p>
    <w:p>
      <w:pPr>
        <w:pStyle w:val="3"/>
        <w:bidi w:val="0"/>
      </w:pPr>
      <w:bookmarkStart w:id="7" w:name="_Toc21647"/>
      <w:bookmarkStart w:id="8" w:name="_Toc30771"/>
      <w:bookmarkStart w:id="9" w:name="_Toc1154"/>
      <w:r>
        <w:rPr>
          <w:rFonts w:hint="eastAsia"/>
        </w:rPr>
        <w:t>第二部分招标说明</w:t>
      </w:r>
      <w:bookmarkEnd w:id="7"/>
      <w:bookmarkEnd w:id="8"/>
      <w:bookmarkEnd w:id="9"/>
    </w:p>
    <w:p>
      <w:pPr>
        <w:spacing w:line="420" w:lineRule="auto"/>
        <w:rPr>
          <w:rFonts w:ascii="宋体" w:hAnsi="宋体"/>
          <w:b/>
          <w:sz w:val="24"/>
          <w:szCs w:val="24"/>
        </w:rPr>
      </w:pPr>
      <w:r>
        <w:rPr>
          <w:rFonts w:hint="eastAsia" w:ascii="宋体" w:hAnsi="宋体"/>
          <w:sz w:val="24"/>
          <w:szCs w:val="24"/>
        </w:rPr>
        <w:t>　</w:t>
      </w:r>
      <w:r>
        <w:rPr>
          <w:rFonts w:hint="eastAsia" w:ascii="宋体" w:hAnsi="宋体"/>
          <w:b/>
          <w:sz w:val="24"/>
          <w:szCs w:val="24"/>
        </w:rPr>
        <w:t>1. 适用范围</w:t>
      </w:r>
    </w:p>
    <w:p>
      <w:pPr>
        <w:spacing w:line="420" w:lineRule="auto"/>
        <w:rPr>
          <w:rFonts w:ascii="宋体" w:hAnsi="宋体"/>
          <w:sz w:val="24"/>
          <w:szCs w:val="24"/>
        </w:rPr>
      </w:pPr>
      <w:r>
        <w:rPr>
          <w:rFonts w:hint="eastAsia" w:ascii="宋体" w:hAnsi="宋体"/>
          <w:sz w:val="24"/>
          <w:szCs w:val="24"/>
        </w:rPr>
        <w:t xml:space="preserve">　　1.1  </w:t>
      </w:r>
      <w:r>
        <w:rPr>
          <w:rStyle w:val="44"/>
          <w:rFonts w:hint="eastAsia" w:ascii="宋体" w:hAnsi="宋体"/>
          <w:sz w:val="24"/>
          <w:szCs w:val="24"/>
        </w:rPr>
        <w:t>本磋商文件仅适用于本次竞争性磋商活动。</w:t>
      </w:r>
    </w:p>
    <w:p>
      <w:pPr>
        <w:spacing w:line="420" w:lineRule="auto"/>
        <w:ind w:firstLine="480"/>
        <w:rPr>
          <w:rFonts w:ascii="宋体" w:hAnsi="宋体"/>
          <w:b/>
          <w:sz w:val="24"/>
          <w:szCs w:val="24"/>
        </w:rPr>
      </w:pPr>
      <w:r>
        <w:rPr>
          <w:rFonts w:hint="eastAsia" w:ascii="宋体" w:hAnsi="宋体"/>
          <w:b/>
          <w:sz w:val="24"/>
          <w:szCs w:val="24"/>
        </w:rPr>
        <w:t>2. 投标资格</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480" w:lineRule="exact"/>
        <w:ind w:right="0"/>
        <w:textAlignment w:val="auto"/>
        <w:rPr>
          <w:rFonts w:hint="eastAsia" w:ascii="Times New Roman" w:hAnsi="宋体" w:eastAsia="宋体" w:cs="Times New Roman"/>
          <w:kern w:val="2"/>
          <w:sz w:val="24"/>
          <w:lang w:val="en-US" w:eastAsia="zh-CN" w:bidi="ar-SA"/>
        </w:rPr>
      </w:pPr>
      <w:r>
        <w:rPr>
          <w:rFonts w:hint="eastAsia" w:ascii="Times New Roman" w:hAnsi="宋体" w:eastAsia="宋体" w:cs="Times New Roman"/>
          <w:kern w:val="2"/>
          <w:sz w:val="24"/>
          <w:lang w:val="en-US" w:eastAsia="zh-CN" w:bidi="ar-SA"/>
        </w:rPr>
        <w:t>(1)具有有效的工商营业执照;</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480" w:lineRule="exact"/>
        <w:ind w:right="0"/>
        <w:textAlignment w:val="auto"/>
        <w:rPr>
          <w:rFonts w:hint="eastAsia" w:ascii="Times New Roman" w:hAnsi="宋体" w:eastAsia="宋体" w:cs="Times New Roman"/>
          <w:kern w:val="2"/>
          <w:sz w:val="24"/>
          <w:lang w:val="en-US" w:eastAsia="zh-CN" w:bidi="ar-SA"/>
        </w:rPr>
      </w:pPr>
      <w:r>
        <w:rPr>
          <w:rFonts w:hint="eastAsia" w:ascii="Times New Roman" w:hAnsi="宋体" w:eastAsia="宋体" w:cs="Times New Roman"/>
          <w:kern w:val="2"/>
          <w:sz w:val="24"/>
          <w:lang w:val="en-US" w:eastAsia="zh-CN" w:bidi="ar-SA"/>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480" w:lineRule="exact"/>
        <w:ind w:right="0"/>
        <w:textAlignment w:val="auto"/>
        <w:rPr>
          <w:rFonts w:hint="eastAsia" w:ascii="Times New Roman" w:hAnsi="宋体" w:eastAsia="宋体" w:cs="Times New Roman"/>
          <w:kern w:val="2"/>
          <w:sz w:val="24"/>
          <w:lang w:val="en-US" w:eastAsia="zh-CN" w:bidi="ar-SA"/>
        </w:rPr>
      </w:pPr>
      <w:r>
        <w:rPr>
          <w:rFonts w:hint="eastAsia" w:ascii="Times New Roman" w:hAnsi="宋体" w:eastAsia="宋体" w:cs="Times New Roman"/>
          <w:kern w:val="2"/>
          <w:sz w:val="24"/>
          <w:lang w:val="en-US" w:eastAsia="zh-CN" w:bidi="ar-SA"/>
        </w:rPr>
        <w:t>(3)供应商须提供有效的《林木种子生产经营许可证》；</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480" w:lineRule="exact"/>
        <w:ind w:right="0"/>
        <w:textAlignment w:val="auto"/>
        <w:rPr>
          <w:rFonts w:hint="eastAsia" w:ascii="Times New Roman" w:hAnsi="宋体" w:eastAsia="宋体" w:cs="Times New Roman"/>
          <w:kern w:val="2"/>
          <w:sz w:val="24"/>
          <w:lang w:val="en-US" w:eastAsia="zh-CN" w:bidi="ar-SA"/>
        </w:rPr>
      </w:pPr>
      <w:r>
        <w:rPr>
          <w:rFonts w:hint="eastAsia" w:ascii="Times New Roman" w:hAnsi="宋体" w:eastAsia="宋体" w:cs="Times New Roman"/>
          <w:kern w:val="2"/>
          <w:sz w:val="24"/>
          <w:lang w:val="en-US" w:eastAsia="zh-CN" w:bidi="ar-SA"/>
        </w:rPr>
        <w:t>(4)单位负责人为同一人或者存在直接控股、管理关系的不同投标商，不得参加同一合同项下的政府采购活动；</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480" w:lineRule="exact"/>
        <w:ind w:right="0"/>
        <w:textAlignment w:val="auto"/>
        <w:rPr>
          <w:rFonts w:hint="eastAsia" w:ascii="Times New Roman" w:hAnsi="宋体" w:eastAsia="宋体" w:cs="Times New Roman"/>
          <w:kern w:val="2"/>
          <w:sz w:val="24"/>
          <w:lang w:val="en-US" w:eastAsia="zh-CN" w:bidi="ar-SA"/>
        </w:rPr>
      </w:pPr>
      <w:r>
        <w:rPr>
          <w:rFonts w:hint="eastAsia" w:ascii="Times New Roman" w:hAnsi="宋体" w:eastAsia="宋体" w:cs="Times New Roman"/>
          <w:kern w:val="2"/>
          <w:sz w:val="24"/>
          <w:lang w:val="en-US" w:eastAsia="zh-CN" w:bidi="ar-SA"/>
        </w:rPr>
        <w:t>(</w:t>
      </w:r>
      <w:r>
        <w:rPr>
          <w:rFonts w:hint="eastAsia" w:hAnsi="宋体" w:cs="Times New Roman"/>
          <w:kern w:val="2"/>
          <w:sz w:val="24"/>
          <w:lang w:val="en-US" w:eastAsia="zh-CN" w:bidi="ar-SA"/>
        </w:rPr>
        <w:t>5</w:t>
      </w:r>
      <w:r>
        <w:rPr>
          <w:rFonts w:hint="eastAsia" w:ascii="Times New Roman" w:hAnsi="宋体" w:eastAsia="宋体" w:cs="Times New Roman"/>
          <w:kern w:val="2"/>
          <w:sz w:val="24"/>
          <w:lang w:val="en-US" w:eastAsia="zh-CN" w:bidi="ar-SA"/>
        </w:rPr>
        <w:t>)符合国家有关法律法规的规定；</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480" w:lineRule="exact"/>
        <w:ind w:right="0"/>
        <w:textAlignment w:val="auto"/>
        <w:rPr>
          <w:rFonts w:hint="eastAsia" w:ascii="Times New Roman" w:hAnsi="宋体" w:eastAsia="宋体" w:cs="Times New Roman"/>
          <w:kern w:val="2"/>
          <w:sz w:val="24"/>
          <w:lang w:val="en-US" w:eastAsia="zh-CN" w:bidi="ar-SA"/>
        </w:rPr>
      </w:pPr>
      <w:r>
        <w:rPr>
          <w:rFonts w:hint="eastAsia" w:ascii="Times New Roman" w:hAnsi="宋体" w:eastAsia="宋体" w:cs="Times New Roman"/>
          <w:kern w:val="2"/>
          <w:sz w:val="24"/>
          <w:lang w:val="en-US" w:eastAsia="zh-CN" w:bidi="ar-SA"/>
        </w:rPr>
        <w:t>(</w:t>
      </w:r>
      <w:r>
        <w:rPr>
          <w:rFonts w:hint="eastAsia" w:hAnsi="宋体" w:cs="Times New Roman"/>
          <w:kern w:val="2"/>
          <w:sz w:val="24"/>
          <w:lang w:val="en-US" w:eastAsia="zh-CN" w:bidi="ar-SA"/>
        </w:rPr>
        <w:t>6</w:t>
      </w:r>
      <w:r>
        <w:rPr>
          <w:rFonts w:hint="eastAsia" w:ascii="Times New Roman" w:hAnsi="宋体" w:eastAsia="宋体" w:cs="Times New Roman"/>
          <w:kern w:val="2"/>
          <w:sz w:val="24"/>
          <w:lang w:val="en-US" w:eastAsia="zh-CN" w:bidi="ar-SA"/>
        </w:rPr>
        <w:t>)本项目不接受联合体投标。</w:t>
      </w:r>
    </w:p>
    <w:p>
      <w:pPr>
        <w:spacing w:line="420" w:lineRule="auto"/>
        <w:ind w:firstLine="472" w:firstLineChars="196"/>
        <w:rPr>
          <w:rFonts w:ascii="宋体" w:hAnsi="宋体"/>
          <w:b/>
          <w:sz w:val="24"/>
          <w:szCs w:val="24"/>
        </w:rPr>
      </w:pPr>
      <w:r>
        <w:rPr>
          <w:rFonts w:hint="eastAsia" w:ascii="宋体" w:hAnsi="宋体"/>
          <w:b/>
          <w:sz w:val="24"/>
          <w:szCs w:val="24"/>
        </w:rPr>
        <w:t>3. 定义</w:t>
      </w:r>
    </w:p>
    <w:p>
      <w:pPr>
        <w:spacing w:line="420" w:lineRule="auto"/>
        <w:ind w:firstLine="480" w:firstLineChars="200"/>
        <w:rPr>
          <w:rStyle w:val="44"/>
          <w:rFonts w:ascii="宋体" w:hAnsi="宋体"/>
          <w:sz w:val="24"/>
          <w:szCs w:val="24"/>
        </w:rPr>
      </w:pPr>
      <w:r>
        <w:rPr>
          <w:rStyle w:val="44"/>
          <w:rFonts w:hint="eastAsia" w:ascii="宋体" w:hAnsi="宋体"/>
          <w:sz w:val="24"/>
          <w:szCs w:val="24"/>
        </w:rPr>
        <w:t>下列术语和缩写的定义为：</w:t>
      </w:r>
    </w:p>
    <w:p>
      <w:pPr>
        <w:spacing w:line="420" w:lineRule="auto"/>
        <w:ind w:firstLine="480" w:firstLineChars="200"/>
        <w:rPr>
          <w:rStyle w:val="44"/>
          <w:rFonts w:ascii="宋体" w:hAnsi="宋体"/>
          <w:color w:val="FF0000"/>
          <w:sz w:val="24"/>
          <w:szCs w:val="24"/>
        </w:rPr>
      </w:pPr>
      <w:r>
        <w:rPr>
          <w:rFonts w:hint="eastAsia" w:ascii="宋体" w:hAnsi="宋体"/>
          <w:sz w:val="24"/>
          <w:szCs w:val="24"/>
        </w:rPr>
        <w:t xml:space="preserve">3.1  </w:t>
      </w:r>
      <w:r>
        <w:rPr>
          <w:rStyle w:val="44"/>
          <w:rFonts w:hint="eastAsia" w:ascii="宋体" w:hAnsi="宋体"/>
          <w:sz w:val="24"/>
          <w:szCs w:val="24"/>
        </w:rPr>
        <w:t>“采购人”系指</w:t>
      </w:r>
      <w:r>
        <w:rPr>
          <w:rStyle w:val="44"/>
          <w:rFonts w:hint="eastAsia" w:ascii="宋体" w:hAnsi="宋体"/>
          <w:sz w:val="24"/>
          <w:szCs w:val="24"/>
          <w:lang w:val="en-US" w:eastAsia="zh-CN"/>
        </w:rPr>
        <w:t>玛纳斯县园林苗木花卉产业局</w:t>
      </w:r>
      <w:r>
        <w:rPr>
          <w:rFonts w:hint="eastAsia" w:hAnsi="宋体"/>
          <w:color w:val="FF0000"/>
          <w:sz w:val="24"/>
        </w:rPr>
        <w:t>。</w:t>
      </w:r>
    </w:p>
    <w:p>
      <w:pPr>
        <w:spacing w:line="420" w:lineRule="auto"/>
        <w:ind w:firstLine="480" w:firstLineChars="200"/>
        <w:rPr>
          <w:rStyle w:val="44"/>
          <w:rFonts w:ascii="宋体" w:hAnsi="宋体"/>
          <w:sz w:val="24"/>
          <w:szCs w:val="24"/>
        </w:rPr>
      </w:pPr>
      <w:r>
        <w:rPr>
          <w:rFonts w:hint="eastAsia" w:ascii="宋体" w:hAnsi="宋体"/>
          <w:sz w:val="24"/>
          <w:szCs w:val="24"/>
        </w:rPr>
        <w:t xml:space="preserve">3.2  </w:t>
      </w:r>
      <w:r>
        <w:rPr>
          <w:rStyle w:val="44"/>
          <w:rFonts w:hint="eastAsia" w:ascii="宋体" w:hAnsi="宋体"/>
          <w:sz w:val="24"/>
          <w:szCs w:val="24"/>
        </w:rPr>
        <w:t>“招标代理机构”系指</w:t>
      </w:r>
      <w:r>
        <w:rPr>
          <w:rFonts w:hint="eastAsia" w:ascii="宋体" w:hAnsi="宋体"/>
          <w:sz w:val="24"/>
          <w:lang w:eastAsia="zh-CN"/>
        </w:rPr>
        <w:t>新疆昌盛方略项目管理有限公司</w:t>
      </w:r>
      <w:r>
        <w:rPr>
          <w:rStyle w:val="44"/>
          <w:rFonts w:hint="eastAsia" w:ascii="宋体" w:hAnsi="宋体"/>
          <w:sz w:val="24"/>
          <w:szCs w:val="24"/>
        </w:rPr>
        <w:t>。</w:t>
      </w:r>
    </w:p>
    <w:p>
      <w:pPr>
        <w:spacing w:line="420" w:lineRule="auto"/>
        <w:ind w:firstLine="480" w:firstLineChars="200"/>
        <w:rPr>
          <w:rStyle w:val="44"/>
          <w:rFonts w:ascii="宋体" w:hAnsi="宋体"/>
          <w:sz w:val="24"/>
          <w:szCs w:val="24"/>
        </w:rPr>
      </w:pPr>
      <w:r>
        <w:rPr>
          <w:rFonts w:hint="eastAsia" w:ascii="宋体" w:hAnsi="宋体"/>
          <w:sz w:val="24"/>
          <w:szCs w:val="24"/>
        </w:rPr>
        <w:t xml:space="preserve">3.3  </w:t>
      </w:r>
      <w:r>
        <w:rPr>
          <w:rStyle w:val="44"/>
          <w:rFonts w:hint="eastAsia" w:ascii="宋体" w:hAnsi="宋体"/>
          <w:sz w:val="24"/>
          <w:szCs w:val="24"/>
        </w:rPr>
        <w:t>“招标方”系指采购人和招标代理机构的统称。</w:t>
      </w:r>
    </w:p>
    <w:p>
      <w:pPr>
        <w:spacing w:line="420" w:lineRule="auto"/>
        <w:ind w:firstLine="480" w:firstLineChars="200"/>
        <w:rPr>
          <w:rFonts w:ascii="宋体" w:hAnsi="宋体"/>
          <w:sz w:val="24"/>
          <w:szCs w:val="24"/>
        </w:rPr>
      </w:pPr>
      <w:r>
        <w:rPr>
          <w:rFonts w:hint="eastAsia" w:ascii="宋体" w:hAnsi="宋体"/>
          <w:sz w:val="24"/>
          <w:szCs w:val="24"/>
        </w:rPr>
        <w:t>3.4  “供应商”系指有资格的服务商及投标表现人。</w:t>
      </w:r>
    </w:p>
    <w:p>
      <w:pPr>
        <w:spacing w:line="420" w:lineRule="auto"/>
        <w:ind w:left="479" w:leftChars="228"/>
        <w:rPr>
          <w:rFonts w:ascii="宋体" w:hAnsi="宋体"/>
          <w:sz w:val="24"/>
          <w:szCs w:val="24"/>
        </w:rPr>
      </w:pPr>
      <w:r>
        <w:rPr>
          <w:rFonts w:hint="eastAsia" w:ascii="宋体" w:hAnsi="宋体"/>
          <w:sz w:val="24"/>
          <w:szCs w:val="24"/>
        </w:rPr>
        <w:t>3.5  “中标方”系指经评审小组评定后综合得分前三名的服务供应商。</w:t>
      </w:r>
    </w:p>
    <w:p>
      <w:pPr>
        <w:spacing w:line="420" w:lineRule="auto"/>
        <w:ind w:firstLine="480" w:firstLineChars="200"/>
        <w:rPr>
          <w:rFonts w:ascii="宋体" w:hAnsi="宋体"/>
          <w:sz w:val="24"/>
          <w:szCs w:val="24"/>
        </w:rPr>
      </w:pPr>
      <w:r>
        <w:rPr>
          <w:rFonts w:hint="eastAsia" w:ascii="宋体" w:hAnsi="宋体"/>
          <w:sz w:val="24"/>
          <w:szCs w:val="24"/>
        </w:rPr>
        <w:t>3.6  “投标”系指供应商、根据招标代理机构发布的磋商文件，编制响应文件并按规定投标的行为。</w:t>
      </w:r>
    </w:p>
    <w:p>
      <w:pPr>
        <w:spacing w:line="420" w:lineRule="auto"/>
        <w:ind w:firstLine="480" w:firstLineChars="200"/>
        <w:rPr>
          <w:rFonts w:ascii="宋体" w:hAnsi="宋体"/>
          <w:sz w:val="24"/>
          <w:szCs w:val="24"/>
        </w:rPr>
      </w:pPr>
      <w:r>
        <w:rPr>
          <w:rFonts w:hint="eastAsia" w:ascii="宋体" w:hAnsi="宋体"/>
          <w:sz w:val="24"/>
          <w:szCs w:val="24"/>
        </w:rPr>
        <w:t xml:space="preserve">3.7  </w:t>
      </w:r>
      <w:r>
        <w:rPr>
          <w:rFonts w:hint="eastAsia" w:ascii="宋体" w:hAnsi="宋体"/>
          <w:sz w:val="24"/>
        </w:rPr>
        <w:t>“服务”系指磋商文件规定供应商须承担的合同期限内的相关工作任务及其他类似的责任。</w:t>
      </w:r>
    </w:p>
    <w:p>
      <w:pPr>
        <w:spacing w:line="420" w:lineRule="auto"/>
        <w:rPr>
          <w:rFonts w:ascii="宋体" w:hAnsi="宋体"/>
          <w:b/>
          <w:sz w:val="24"/>
          <w:szCs w:val="24"/>
        </w:rPr>
      </w:pPr>
      <w:r>
        <w:rPr>
          <w:rFonts w:hint="eastAsia" w:ascii="宋体" w:hAnsi="宋体"/>
          <w:sz w:val="24"/>
          <w:szCs w:val="24"/>
        </w:rPr>
        <w:t>　　</w:t>
      </w:r>
      <w:r>
        <w:rPr>
          <w:rFonts w:hint="eastAsia" w:ascii="宋体" w:hAnsi="宋体"/>
          <w:b/>
          <w:sz w:val="24"/>
          <w:szCs w:val="24"/>
        </w:rPr>
        <w:t>4. 投标费用</w:t>
      </w:r>
    </w:p>
    <w:p>
      <w:pPr>
        <w:spacing w:line="420" w:lineRule="auto"/>
        <w:rPr>
          <w:rFonts w:ascii="宋体" w:hAnsi="宋体"/>
          <w:sz w:val="24"/>
          <w:szCs w:val="24"/>
        </w:rPr>
      </w:pPr>
      <w:r>
        <w:rPr>
          <w:rFonts w:hint="eastAsia" w:ascii="宋体" w:hAnsi="宋体"/>
          <w:sz w:val="24"/>
          <w:szCs w:val="24"/>
        </w:rPr>
        <w:t>　　4.1  无论投标结果如何，凡参与招标、投标活动有关的所有费用将由供应商自行承担。</w:t>
      </w:r>
    </w:p>
    <w:p>
      <w:pPr>
        <w:spacing w:line="420" w:lineRule="auto"/>
        <w:rPr>
          <w:rFonts w:ascii="宋体" w:hAnsi="宋体"/>
          <w:sz w:val="24"/>
          <w:szCs w:val="24"/>
        </w:rPr>
      </w:pPr>
      <w:r>
        <w:rPr>
          <w:rFonts w:hint="eastAsia" w:ascii="宋体" w:hAnsi="宋体"/>
          <w:sz w:val="24"/>
          <w:szCs w:val="24"/>
        </w:rPr>
        <w:t>　　4.2  供应商被视为熟悉本招标项目的各种情况以及与履行合同有关的一切情况。</w:t>
      </w:r>
    </w:p>
    <w:p>
      <w:pPr>
        <w:spacing w:line="420" w:lineRule="auto"/>
        <w:rPr>
          <w:rFonts w:ascii="宋体" w:hAnsi="宋体"/>
          <w:b/>
          <w:sz w:val="24"/>
          <w:szCs w:val="24"/>
        </w:rPr>
      </w:pPr>
      <w:r>
        <w:rPr>
          <w:rFonts w:hint="eastAsia" w:ascii="宋体" w:hAnsi="宋体"/>
          <w:sz w:val="24"/>
          <w:szCs w:val="24"/>
        </w:rPr>
        <w:t>　　</w:t>
      </w:r>
      <w:r>
        <w:rPr>
          <w:rFonts w:hint="eastAsia" w:ascii="宋体" w:hAnsi="宋体"/>
          <w:b/>
          <w:sz w:val="24"/>
          <w:szCs w:val="24"/>
        </w:rPr>
        <w:t>5. 磋商文件的构成</w:t>
      </w:r>
    </w:p>
    <w:p>
      <w:pPr>
        <w:spacing w:line="420" w:lineRule="auto"/>
        <w:rPr>
          <w:rFonts w:ascii="宋体" w:hAnsi="宋体"/>
          <w:sz w:val="24"/>
          <w:szCs w:val="24"/>
        </w:rPr>
      </w:pPr>
      <w:r>
        <w:rPr>
          <w:rFonts w:hint="eastAsia" w:ascii="宋体" w:hAnsi="宋体"/>
          <w:sz w:val="24"/>
          <w:szCs w:val="24"/>
        </w:rPr>
        <w:t>　　5.1  磋商文件由下述部分组成：</w:t>
      </w:r>
    </w:p>
    <w:p>
      <w:pPr>
        <w:spacing w:line="420" w:lineRule="auto"/>
        <w:rPr>
          <w:rFonts w:ascii="宋体" w:hAnsi="宋体"/>
          <w:sz w:val="24"/>
          <w:szCs w:val="24"/>
        </w:rPr>
      </w:pPr>
      <w:r>
        <w:rPr>
          <w:rFonts w:hint="eastAsia" w:ascii="宋体" w:hAnsi="宋体"/>
          <w:sz w:val="24"/>
          <w:szCs w:val="24"/>
        </w:rPr>
        <w:t>　　　第一部分投标须知</w:t>
      </w:r>
    </w:p>
    <w:p>
      <w:pPr>
        <w:spacing w:line="420" w:lineRule="auto"/>
        <w:rPr>
          <w:rFonts w:ascii="宋体" w:hAnsi="宋体"/>
          <w:sz w:val="24"/>
          <w:szCs w:val="24"/>
        </w:rPr>
      </w:pPr>
      <w:r>
        <w:rPr>
          <w:rFonts w:hint="eastAsia" w:ascii="宋体" w:hAnsi="宋体"/>
          <w:sz w:val="24"/>
          <w:szCs w:val="24"/>
        </w:rPr>
        <w:t>　　　第二部分招标说明</w:t>
      </w:r>
    </w:p>
    <w:p>
      <w:pPr>
        <w:spacing w:line="420" w:lineRule="auto"/>
        <w:rPr>
          <w:rFonts w:ascii="宋体" w:hAnsi="宋体"/>
          <w:sz w:val="24"/>
          <w:szCs w:val="24"/>
        </w:rPr>
      </w:pPr>
      <w:r>
        <w:rPr>
          <w:rFonts w:hint="eastAsia" w:ascii="宋体" w:hAnsi="宋体"/>
          <w:sz w:val="24"/>
          <w:szCs w:val="24"/>
        </w:rPr>
        <w:t>　　　第三部分投标说明</w:t>
      </w:r>
    </w:p>
    <w:p>
      <w:pPr>
        <w:spacing w:line="420" w:lineRule="auto"/>
        <w:rPr>
          <w:rFonts w:ascii="宋体" w:hAnsi="宋体"/>
          <w:sz w:val="24"/>
          <w:szCs w:val="24"/>
        </w:rPr>
      </w:pPr>
      <w:r>
        <w:rPr>
          <w:rFonts w:hint="eastAsia" w:ascii="宋体" w:hAnsi="宋体"/>
          <w:sz w:val="24"/>
          <w:szCs w:val="24"/>
        </w:rPr>
        <w:t>　　　第四部分服务要求</w:t>
      </w:r>
    </w:p>
    <w:p>
      <w:pPr>
        <w:spacing w:line="420" w:lineRule="auto"/>
        <w:rPr>
          <w:rFonts w:ascii="宋体" w:hAnsi="宋体"/>
          <w:sz w:val="24"/>
          <w:szCs w:val="24"/>
        </w:rPr>
      </w:pPr>
      <w:r>
        <w:rPr>
          <w:rFonts w:hint="eastAsia" w:ascii="宋体" w:hAnsi="宋体"/>
          <w:sz w:val="24"/>
          <w:szCs w:val="24"/>
        </w:rPr>
        <w:t>　　　第五部分附件（范本格式）</w:t>
      </w:r>
    </w:p>
    <w:p>
      <w:pPr>
        <w:spacing w:line="420" w:lineRule="auto"/>
        <w:rPr>
          <w:rFonts w:ascii="宋体" w:hAnsi="宋体"/>
          <w:b/>
          <w:sz w:val="24"/>
          <w:szCs w:val="24"/>
        </w:rPr>
      </w:pPr>
      <w:r>
        <w:rPr>
          <w:rFonts w:hint="eastAsia" w:ascii="宋体" w:hAnsi="宋体"/>
          <w:sz w:val="24"/>
          <w:szCs w:val="24"/>
        </w:rPr>
        <w:t>　　</w:t>
      </w:r>
      <w:r>
        <w:rPr>
          <w:rFonts w:hint="eastAsia" w:ascii="宋体" w:hAnsi="宋体"/>
          <w:b/>
          <w:sz w:val="24"/>
          <w:szCs w:val="24"/>
        </w:rPr>
        <w:t>6. 磋商文件的澄清</w:t>
      </w:r>
    </w:p>
    <w:p>
      <w:pPr>
        <w:spacing w:line="420" w:lineRule="auto"/>
        <w:rPr>
          <w:rFonts w:ascii="宋体" w:hAnsi="宋体"/>
          <w:sz w:val="24"/>
          <w:szCs w:val="24"/>
        </w:rPr>
      </w:pPr>
      <w:r>
        <w:rPr>
          <w:rFonts w:hint="eastAsia" w:ascii="宋体" w:hAnsi="宋体"/>
          <w:sz w:val="24"/>
          <w:szCs w:val="24"/>
        </w:rPr>
        <w:t>　　6.1　供应商若对磋商文件有任何疑问，应于投标截至时间 7 日前以书面形式向招标人提出澄清要求。澄清要求应送至</w:t>
      </w:r>
      <w:r>
        <w:rPr>
          <w:rFonts w:hint="eastAsia" w:ascii="宋体" w:hAnsi="宋体"/>
          <w:sz w:val="24"/>
          <w:szCs w:val="24"/>
          <w:lang w:eastAsia="zh-CN"/>
        </w:rPr>
        <w:t>新疆昌盛方略项目管理有限公司</w:t>
      </w:r>
      <w:r>
        <w:rPr>
          <w:rFonts w:hint="eastAsia" w:ascii="宋体" w:hAnsi="宋体"/>
          <w:sz w:val="24"/>
          <w:szCs w:val="24"/>
        </w:rPr>
        <w:t>。</w:t>
      </w:r>
    </w:p>
    <w:p>
      <w:pPr>
        <w:spacing w:line="420" w:lineRule="auto"/>
        <w:ind w:firstLine="480" w:firstLineChars="200"/>
        <w:rPr>
          <w:rFonts w:ascii="宋体" w:hAnsi="宋体"/>
          <w:sz w:val="24"/>
          <w:szCs w:val="24"/>
        </w:rPr>
      </w:pPr>
      <w:r>
        <w:rPr>
          <w:rFonts w:hint="eastAsia" w:ascii="宋体" w:hAnsi="宋体"/>
          <w:sz w:val="24"/>
          <w:szCs w:val="24"/>
        </w:rPr>
        <w:t>6.2  招标人对已发出的磋商文件进行必要澄清或者修改的，在投标截止时间 5 日前，招标人可在原招标公告媒体发布更正公告，对磋商文件进行必要的修改或者澄清，该澄清或者修改的内容为磋商文件的组成部分，具有约束作用。不足5日的，应当顺延投标截止时间。</w:t>
      </w:r>
    </w:p>
    <w:p>
      <w:pPr>
        <w:spacing w:line="420" w:lineRule="auto"/>
        <w:rPr>
          <w:rFonts w:ascii="宋体" w:hAnsi="宋体"/>
          <w:b/>
          <w:sz w:val="24"/>
          <w:szCs w:val="24"/>
        </w:rPr>
      </w:pPr>
      <w:r>
        <w:rPr>
          <w:rFonts w:hint="eastAsia" w:ascii="宋体" w:hAnsi="宋体"/>
          <w:b/>
          <w:sz w:val="24"/>
          <w:szCs w:val="24"/>
        </w:rPr>
        <w:t>7. 磋商文件的修改或补充</w:t>
      </w:r>
    </w:p>
    <w:p>
      <w:pPr>
        <w:spacing w:line="420" w:lineRule="auto"/>
        <w:ind w:firstLine="560"/>
        <w:rPr>
          <w:rFonts w:ascii="宋体" w:hAnsi="宋体"/>
          <w:sz w:val="24"/>
          <w:szCs w:val="24"/>
        </w:rPr>
      </w:pPr>
      <w:r>
        <w:rPr>
          <w:rFonts w:hint="eastAsia" w:ascii="宋体" w:hAnsi="宋体"/>
          <w:sz w:val="24"/>
          <w:szCs w:val="24"/>
        </w:rPr>
        <w:t>7.1　在投标截止期三日前的任何时间，招标方可主动或依据供应商要求澄清的问题而修改或补充磋商文件，并以书面形式或网上公告通知所有供应商，供应商在收到该通知后应立即以电报或传真的形式予以确认。</w:t>
      </w:r>
    </w:p>
    <w:p>
      <w:pPr>
        <w:spacing w:line="420" w:lineRule="auto"/>
        <w:ind w:firstLine="560"/>
        <w:rPr>
          <w:rFonts w:ascii="宋体" w:hAnsi="宋体"/>
          <w:sz w:val="24"/>
          <w:szCs w:val="24"/>
        </w:rPr>
      </w:pPr>
      <w:r>
        <w:rPr>
          <w:rFonts w:hint="eastAsia" w:ascii="宋体" w:hAnsi="宋体"/>
          <w:sz w:val="24"/>
          <w:szCs w:val="24"/>
        </w:rPr>
        <w:t>　7.2　为使供应商在准备投标时有适当的时间考虑响应文件的修改，招标方有权决定推迟投标截止时间和开标日期，并将此变更通知所有的供应商。</w:t>
      </w:r>
    </w:p>
    <w:p>
      <w:pPr>
        <w:spacing w:line="420" w:lineRule="auto"/>
        <w:ind w:firstLine="560"/>
        <w:rPr>
          <w:rFonts w:ascii="宋体" w:hAnsi="宋体"/>
          <w:sz w:val="24"/>
          <w:szCs w:val="24"/>
        </w:rPr>
      </w:pPr>
      <w:r>
        <w:rPr>
          <w:rFonts w:hint="eastAsia" w:ascii="宋体" w:hAnsi="宋体"/>
          <w:sz w:val="24"/>
          <w:szCs w:val="24"/>
        </w:rPr>
        <w:t>　7.3　磋商文件的修改和补充文件将构成磋商文件的一部分，并且对供应商具有优先约束力。</w:t>
      </w:r>
    </w:p>
    <w:p>
      <w:pPr>
        <w:pStyle w:val="3"/>
        <w:bidi w:val="0"/>
      </w:pPr>
      <w:bookmarkStart w:id="10" w:name="_Toc17920"/>
      <w:bookmarkStart w:id="11" w:name="_Toc22219"/>
      <w:bookmarkStart w:id="12" w:name="_Toc8351"/>
      <w:r>
        <w:rPr>
          <w:rFonts w:hint="eastAsia"/>
        </w:rPr>
        <w:t>第三部分投标说明</w:t>
      </w:r>
      <w:bookmarkEnd w:id="10"/>
      <w:bookmarkEnd w:id="11"/>
      <w:bookmarkEnd w:id="12"/>
    </w:p>
    <w:p>
      <w:pPr>
        <w:pStyle w:val="4"/>
        <w:bidi w:val="0"/>
        <w:rPr>
          <w:rFonts w:ascii="宋体" w:hAnsi="宋体"/>
          <w:szCs w:val="28"/>
        </w:rPr>
      </w:pPr>
      <w:bookmarkStart w:id="13" w:name="_Toc29051"/>
      <w:r>
        <w:rPr>
          <w:rFonts w:hint="eastAsia"/>
        </w:rPr>
        <w:t>第一章对供应商的资质要求</w:t>
      </w:r>
      <w:bookmarkEnd w:id="13"/>
    </w:p>
    <w:p>
      <w:pPr>
        <w:spacing w:line="420" w:lineRule="auto"/>
        <w:ind w:firstLine="560"/>
        <w:rPr>
          <w:rFonts w:ascii="宋体" w:hAnsi="宋体"/>
          <w:b/>
          <w:sz w:val="24"/>
          <w:szCs w:val="24"/>
        </w:rPr>
      </w:pPr>
      <w:r>
        <w:rPr>
          <w:rFonts w:hint="eastAsia" w:ascii="宋体" w:hAnsi="宋体"/>
          <w:sz w:val="28"/>
          <w:szCs w:val="28"/>
        </w:rPr>
        <w:t>　</w:t>
      </w:r>
      <w:r>
        <w:rPr>
          <w:rFonts w:hint="eastAsia" w:ascii="宋体" w:hAnsi="宋体"/>
          <w:b/>
          <w:sz w:val="24"/>
          <w:szCs w:val="24"/>
        </w:rPr>
        <w:t>1.投标资质</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480" w:lineRule="exact"/>
        <w:ind w:right="0" w:firstLine="480" w:firstLineChars="200"/>
        <w:textAlignment w:val="auto"/>
        <w:rPr>
          <w:rFonts w:hint="eastAsia" w:ascii="Times New Roman" w:hAnsi="宋体" w:eastAsia="宋体" w:cs="Times New Roman"/>
          <w:kern w:val="2"/>
          <w:sz w:val="24"/>
          <w:lang w:val="en-US" w:eastAsia="zh-CN" w:bidi="ar-SA"/>
        </w:rPr>
      </w:pPr>
      <w:r>
        <w:rPr>
          <w:rFonts w:hint="eastAsia" w:ascii="Times New Roman" w:hAnsi="宋体" w:eastAsia="宋体" w:cs="Times New Roman"/>
          <w:kern w:val="2"/>
          <w:sz w:val="24"/>
          <w:lang w:val="en-US" w:eastAsia="zh-CN" w:bidi="ar-SA"/>
        </w:rPr>
        <w:t>(1)具有有效的工商营业执照;</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480" w:lineRule="exact"/>
        <w:ind w:right="0" w:firstLine="480" w:firstLineChars="200"/>
        <w:textAlignment w:val="auto"/>
        <w:rPr>
          <w:rFonts w:hint="eastAsia" w:ascii="Times New Roman" w:hAnsi="宋体" w:eastAsia="宋体" w:cs="Times New Roman"/>
          <w:kern w:val="2"/>
          <w:sz w:val="24"/>
          <w:lang w:val="en-US" w:eastAsia="zh-CN" w:bidi="ar-SA"/>
        </w:rPr>
      </w:pPr>
      <w:r>
        <w:rPr>
          <w:rFonts w:hint="eastAsia" w:ascii="Times New Roman" w:hAnsi="宋体" w:eastAsia="宋体" w:cs="Times New Roman"/>
          <w:kern w:val="2"/>
          <w:sz w:val="24"/>
          <w:lang w:val="en-US" w:eastAsia="zh-CN" w:bidi="ar-SA"/>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480" w:lineRule="exact"/>
        <w:ind w:right="0" w:firstLine="480" w:firstLineChars="200"/>
        <w:textAlignment w:val="auto"/>
        <w:rPr>
          <w:rFonts w:hint="eastAsia" w:ascii="Times New Roman" w:hAnsi="宋体" w:eastAsia="宋体" w:cs="Times New Roman"/>
          <w:kern w:val="2"/>
          <w:sz w:val="24"/>
          <w:lang w:val="en-US" w:eastAsia="zh-CN" w:bidi="ar-SA"/>
        </w:rPr>
      </w:pPr>
      <w:r>
        <w:rPr>
          <w:rFonts w:hint="eastAsia" w:hAnsi="宋体" w:cs="Times New Roman"/>
          <w:kern w:val="2"/>
          <w:sz w:val="24"/>
          <w:lang w:val="en-US" w:eastAsia="zh-CN" w:bidi="ar-SA"/>
        </w:rPr>
        <w:t xml:space="preserve">   </w:t>
      </w:r>
      <w:r>
        <w:rPr>
          <w:rFonts w:hint="eastAsia" w:ascii="Times New Roman" w:hAnsi="宋体" w:eastAsia="宋体" w:cs="Times New Roman"/>
          <w:kern w:val="2"/>
          <w:sz w:val="24"/>
          <w:lang w:val="en-US" w:eastAsia="zh-CN" w:bidi="ar-SA"/>
        </w:rPr>
        <w:t>(3)供应商须提供有效的《林木种子生产经营许可证》；</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480" w:lineRule="exact"/>
        <w:ind w:right="0" w:firstLine="480" w:firstLineChars="200"/>
        <w:textAlignment w:val="auto"/>
        <w:rPr>
          <w:rFonts w:hint="eastAsia" w:ascii="Times New Roman" w:hAnsi="宋体" w:eastAsia="宋体" w:cs="Times New Roman"/>
          <w:kern w:val="2"/>
          <w:sz w:val="24"/>
          <w:lang w:val="en-US" w:eastAsia="zh-CN" w:bidi="ar-SA"/>
        </w:rPr>
      </w:pPr>
      <w:r>
        <w:rPr>
          <w:rFonts w:hint="eastAsia" w:hAnsi="宋体" w:cs="Times New Roman"/>
          <w:kern w:val="2"/>
          <w:sz w:val="24"/>
          <w:lang w:val="en-US" w:eastAsia="zh-CN" w:bidi="ar-SA"/>
        </w:rPr>
        <w:t xml:space="preserve">   </w:t>
      </w:r>
      <w:r>
        <w:rPr>
          <w:rFonts w:hint="eastAsia" w:ascii="Times New Roman" w:hAnsi="宋体" w:eastAsia="宋体" w:cs="Times New Roman"/>
          <w:kern w:val="2"/>
          <w:sz w:val="24"/>
          <w:lang w:val="en-US" w:eastAsia="zh-CN" w:bidi="ar-SA"/>
        </w:rPr>
        <w:t>(4)单位负责人为同一人或者存在直接控股、管理关系的不同投标商，不得参加同一合同项下的政府采购活动；</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480" w:lineRule="exact"/>
        <w:ind w:right="0" w:firstLine="480" w:firstLineChars="200"/>
        <w:textAlignment w:val="auto"/>
        <w:rPr>
          <w:rFonts w:hint="eastAsia" w:ascii="Times New Roman" w:hAnsi="宋体" w:eastAsia="宋体" w:cs="Times New Roman"/>
          <w:kern w:val="2"/>
          <w:sz w:val="24"/>
          <w:lang w:val="en-US" w:eastAsia="zh-CN" w:bidi="ar-SA"/>
        </w:rPr>
      </w:pPr>
      <w:r>
        <w:rPr>
          <w:rFonts w:hint="eastAsia" w:hAnsi="宋体" w:cs="Times New Roman"/>
          <w:kern w:val="2"/>
          <w:sz w:val="24"/>
          <w:lang w:val="en-US" w:eastAsia="zh-CN" w:bidi="ar-SA"/>
        </w:rPr>
        <w:t xml:space="preserve">   </w:t>
      </w:r>
      <w:r>
        <w:rPr>
          <w:rFonts w:hint="eastAsia" w:ascii="Times New Roman" w:hAnsi="宋体" w:eastAsia="宋体" w:cs="Times New Roman"/>
          <w:kern w:val="2"/>
          <w:sz w:val="24"/>
          <w:lang w:val="en-US" w:eastAsia="zh-CN" w:bidi="ar-SA"/>
        </w:rPr>
        <w:t>(</w:t>
      </w:r>
      <w:r>
        <w:rPr>
          <w:rFonts w:hint="eastAsia" w:hAnsi="宋体" w:cs="Times New Roman"/>
          <w:kern w:val="2"/>
          <w:sz w:val="24"/>
          <w:lang w:val="en-US" w:eastAsia="zh-CN" w:bidi="ar-SA"/>
        </w:rPr>
        <w:t>5</w:t>
      </w:r>
      <w:r>
        <w:rPr>
          <w:rFonts w:hint="eastAsia" w:ascii="Times New Roman" w:hAnsi="宋体" w:eastAsia="宋体" w:cs="Times New Roman"/>
          <w:kern w:val="2"/>
          <w:sz w:val="24"/>
          <w:lang w:val="en-US" w:eastAsia="zh-CN" w:bidi="ar-SA"/>
        </w:rPr>
        <w:t>)符合国家有关法律法规的规定；</w:t>
      </w:r>
    </w:p>
    <w:p>
      <w:pPr>
        <w:pStyle w:val="86"/>
        <w:keepNext w:val="0"/>
        <w:keepLines w:val="0"/>
        <w:pageBreakBefore w:val="0"/>
        <w:widowControl/>
        <w:suppressLineNumbers w:val="0"/>
        <w:kinsoku/>
        <w:wordWrap/>
        <w:overflowPunct/>
        <w:topLinePunct w:val="0"/>
        <w:autoSpaceDE/>
        <w:autoSpaceDN/>
        <w:bidi w:val="0"/>
        <w:adjustRightInd/>
        <w:snapToGrid/>
        <w:spacing w:before="75" w:beforeLines="0" w:beforeAutospacing="0" w:after="75" w:afterLines="0" w:afterAutospacing="0" w:line="480" w:lineRule="exact"/>
        <w:ind w:right="0" w:firstLine="480" w:firstLineChars="200"/>
        <w:textAlignment w:val="auto"/>
        <w:rPr>
          <w:rFonts w:hint="eastAsia" w:ascii="Times New Roman" w:hAnsi="宋体" w:eastAsia="宋体" w:cs="Times New Roman"/>
          <w:kern w:val="2"/>
          <w:sz w:val="24"/>
          <w:lang w:val="en-US" w:eastAsia="zh-CN" w:bidi="ar-SA"/>
        </w:rPr>
      </w:pPr>
      <w:r>
        <w:rPr>
          <w:rFonts w:hint="eastAsia" w:ascii="Times New Roman" w:hAnsi="宋体" w:eastAsia="宋体" w:cs="Times New Roman"/>
          <w:kern w:val="2"/>
          <w:sz w:val="24"/>
          <w:lang w:val="en-US" w:eastAsia="zh-CN" w:bidi="ar-SA"/>
        </w:rPr>
        <w:t>(</w:t>
      </w:r>
      <w:r>
        <w:rPr>
          <w:rFonts w:hint="eastAsia" w:hAnsi="宋体" w:cs="Times New Roman"/>
          <w:kern w:val="2"/>
          <w:sz w:val="24"/>
          <w:lang w:val="en-US" w:eastAsia="zh-CN" w:bidi="ar-SA"/>
        </w:rPr>
        <w:t>6</w:t>
      </w:r>
      <w:r>
        <w:rPr>
          <w:rFonts w:hint="eastAsia" w:ascii="Times New Roman" w:hAnsi="宋体" w:eastAsia="宋体" w:cs="Times New Roman"/>
          <w:kern w:val="2"/>
          <w:sz w:val="24"/>
          <w:lang w:val="en-US" w:eastAsia="zh-CN" w:bidi="ar-SA"/>
        </w:rPr>
        <w:t>)本项目不接受联合体投标。</w:t>
      </w:r>
    </w:p>
    <w:p>
      <w:pPr>
        <w:spacing w:line="420" w:lineRule="auto"/>
        <w:ind w:firstLine="560"/>
        <w:rPr>
          <w:rFonts w:ascii="宋体" w:hAnsi="宋体"/>
          <w:color w:val="000000"/>
          <w:sz w:val="24"/>
          <w:szCs w:val="24"/>
        </w:rPr>
      </w:pPr>
      <w:r>
        <w:rPr>
          <w:rFonts w:hint="eastAsia" w:ascii="宋体" w:hAnsi="宋体"/>
          <w:color w:val="000000"/>
          <w:sz w:val="24"/>
          <w:szCs w:val="24"/>
        </w:rPr>
        <w:t>说明：其中（</w:t>
      </w:r>
      <w:r>
        <w:rPr>
          <w:rFonts w:hint="eastAsia" w:ascii="宋体" w:hAnsi="宋体"/>
          <w:color w:val="000000"/>
          <w:sz w:val="24"/>
          <w:szCs w:val="24"/>
          <w:lang w:val="en-US" w:eastAsia="zh-CN"/>
        </w:rPr>
        <w:t>1</w:t>
      </w:r>
      <w:r>
        <w:rPr>
          <w:rFonts w:hint="eastAsia" w:ascii="宋体" w:hAnsi="宋体"/>
          <w:color w:val="000000"/>
          <w:sz w:val="24"/>
          <w:szCs w:val="24"/>
        </w:rPr>
        <w:t>）-（</w:t>
      </w:r>
      <w:r>
        <w:rPr>
          <w:rFonts w:hint="eastAsia" w:ascii="宋体" w:hAnsi="宋体"/>
          <w:color w:val="000000"/>
          <w:sz w:val="24"/>
          <w:szCs w:val="24"/>
          <w:lang w:val="en-US" w:eastAsia="zh-CN"/>
        </w:rPr>
        <w:t>3</w:t>
      </w:r>
      <w:r>
        <w:rPr>
          <w:rFonts w:hint="eastAsia" w:ascii="宋体" w:hAnsi="宋体"/>
          <w:color w:val="000000"/>
          <w:sz w:val="24"/>
          <w:szCs w:val="24"/>
        </w:rPr>
        <w:t>）为投标时资格审查的必备条件，必须携带，开标会议时提交给监督人员查验。如果缺项则视为对磋商文件资格审查内容的不投标，投标将被拒绝。</w:t>
      </w:r>
    </w:p>
    <w:p>
      <w:pPr>
        <w:spacing w:line="420" w:lineRule="auto"/>
        <w:ind w:firstLine="560"/>
        <w:rPr>
          <w:rFonts w:ascii="宋体" w:hAnsi="宋体"/>
          <w:color w:val="000000"/>
          <w:sz w:val="24"/>
          <w:szCs w:val="24"/>
        </w:rPr>
      </w:pPr>
      <w:r>
        <w:rPr>
          <w:rFonts w:hint="eastAsia" w:ascii="宋体" w:hAnsi="宋体"/>
          <w:color w:val="000000"/>
          <w:sz w:val="24"/>
          <w:szCs w:val="24"/>
        </w:rPr>
        <w:t>　1.2　所有资格证明文件，在正本中资格证明文件的复印件须加盖公章，以备开标时与原件核对（有特别说明的除外），副本中可为复印件须加盖公章。</w:t>
      </w:r>
    </w:p>
    <w:p>
      <w:pPr>
        <w:spacing w:line="420" w:lineRule="auto"/>
        <w:ind w:firstLine="840" w:firstLineChars="350"/>
        <w:rPr>
          <w:rFonts w:ascii="宋体" w:hAnsi="宋体"/>
          <w:color w:val="000000"/>
          <w:sz w:val="24"/>
          <w:szCs w:val="24"/>
        </w:rPr>
      </w:pPr>
      <w:r>
        <w:rPr>
          <w:rFonts w:hint="eastAsia" w:ascii="宋体" w:hAnsi="宋体"/>
          <w:color w:val="000000"/>
          <w:sz w:val="24"/>
          <w:szCs w:val="24"/>
        </w:rPr>
        <w:t>1.3　所有资格证明文件必须满足磋商文件的要求，否则将视为无效标。</w:t>
      </w:r>
    </w:p>
    <w:p>
      <w:pPr>
        <w:spacing w:line="420" w:lineRule="auto"/>
        <w:ind w:firstLine="840" w:firstLineChars="350"/>
        <w:rPr>
          <w:rFonts w:ascii="宋体" w:hAnsi="宋体"/>
          <w:sz w:val="24"/>
          <w:szCs w:val="24"/>
        </w:rPr>
      </w:pPr>
      <w:r>
        <w:rPr>
          <w:rFonts w:hint="eastAsia" w:ascii="宋体" w:hAnsi="宋体"/>
          <w:color w:val="000000"/>
          <w:sz w:val="24"/>
          <w:szCs w:val="24"/>
        </w:rPr>
        <w:t>1.4  供应商在投标中违反国家有关法律法规的强制性规定的，其</w:t>
      </w:r>
      <w:r>
        <w:rPr>
          <w:rFonts w:hint="eastAsia" w:ascii="宋体" w:hAnsi="宋体"/>
          <w:sz w:val="24"/>
          <w:szCs w:val="24"/>
        </w:rPr>
        <w:t>投标按无效标处理。　　　　　　</w:t>
      </w:r>
    </w:p>
    <w:p>
      <w:pPr>
        <w:pStyle w:val="4"/>
        <w:bidi w:val="0"/>
      </w:pPr>
      <w:bookmarkStart w:id="14" w:name="_Toc32385"/>
      <w:r>
        <w:rPr>
          <w:rFonts w:hint="eastAsia"/>
        </w:rPr>
        <w:t>第二章响应文件的编写</w:t>
      </w:r>
      <w:bookmarkEnd w:id="14"/>
    </w:p>
    <w:p>
      <w:pPr>
        <w:spacing w:line="420" w:lineRule="auto"/>
        <w:ind w:firstLine="560"/>
        <w:rPr>
          <w:rFonts w:ascii="宋体" w:hAnsi="宋体"/>
          <w:b/>
          <w:sz w:val="24"/>
          <w:szCs w:val="24"/>
        </w:rPr>
      </w:pPr>
      <w:r>
        <w:rPr>
          <w:rFonts w:hint="eastAsia" w:ascii="宋体" w:hAnsi="宋体"/>
          <w:sz w:val="24"/>
          <w:szCs w:val="24"/>
        </w:rPr>
        <w:t>　　</w:t>
      </w:r>
      <w:r>
        <w:rPr>
          <w:rFonts w:hint="eastAsia" w:ascii="宋体" w:hAnsi="宋体"/>
          <w:b/>
          <w:sz w:val="24"/>
          <w:szCs w:val="24"/>
        </w:rPr>
        <w:t>2. 要求</w:t>
      </w:r>
    </w:p>
    <w:p>
      <w:pPr>
        <w:spacing w:line="420" w:lineRule="auto"/>
        <w:ind w:firstLine="560"/>
        <w:rPr>
          <w:rFonts w:ascii="宋体" w:hAnsi="宋体"/>
          <w:sz w:val="24"/>
          <w:szCs w:val="24"/>
        </w:rPr>
      </w:pPr>
      <w:r>
        <w:rPr>
          <w:rFonts w:hint="eastAsia" w:ascii="宋体" w:hAnsi="宋体"/>
          <w:sz w:val="24"/>
          <w:szCs w:val="24"/>
        </w:rPr>
        <w:t>　　2.1  供应商应详细阅读磋商文件中的条款、规范、表示、条件和格式等所有内容，按磋商文件的要求份数提供响应文件，并保证所提供的全部材料的真实性，使其投标对磋商文件做出实质性投标。否则，其投标将视为无效。</w:t>
      </w:r>
    </w:p>
    <w:p>
      <w:pPr>
        <w:spacing w:line="420" w:lineRule="auto"/>
        <w:ind w:firstLine="560"/>
        <w:rPr>
          <w:rFonts w:ascii="宋体" w:hAnsi="宋体"/>
          <w:b/>
          <w:sz w:val="24"/>
          <w:szCs w:val="24"/>
        </w:rPr>
      </w:pPr>
      <w:r>
        <w:rPr>
          <w:rFonts w:hint="eastAsia" w:ascii="宋体" w:hAnsi="宋体"/>
          <w:sz w:val="24"/>
          <w:szCs w:val="24"/>
        </w:rPr>
        <w:t>　　</w:t>
      </w:r>
      <w:r>
        <w:rPr>
          <w:rFonts w:hint="eastAsia" w:ascii="宋体" w:hAnsi="宋体"/>
          <w:b/>
          <w:sz w:val="24"/>
          <w:szCs w:val="24"/>
        </w:rPr>
        <w:t>3. 响应文件语言和度量单位</w:t>
      </w:r>
      <w:r>
        <w:rPr>
          <w:rFonts w:hint="eastAsia" w:ascii="宋体" w:hAnsi="宋体"/>
          <w:b/>
          <w:sz w:val="24"/>
          <w:szCs w:val="24"/>
        </w:rPr>
        <w:tab/>
      </w:r>
    </w:p>
    <w:p>
      <w:pPr>
        <w:spacing w:line="420" w:lineRule="auto"/>
        <w:ind w:firstLine="560"/>
        <w:rPr>
          <w:rFonts w:ascii="宋体" w:hAnsi="宋体"/>
          <w:sz w:val="24"/>
          <w:szCs w:val="24"/>
        </w:rPr>
      </w:pPr>
      <w:r>
        <w:rPr>
          <w:rFonts w:hint="eastAsia" w:ascii="宋体" w:hAnsi="宋体"/>
          <w:sz w:val="24"/>
          <w:szCs w:val="24"/>
        </w:rPr>
        <w:t>　　3.1  响应文件及供应商和招标方就招标、投标交换的文件和往来信件，须以中文书写。</w:t>
      </w:r>
    </w:p>
    <w:p>
      <w:pPr>
        <w:spacing w:line="420" w:lineRule="auto"/>
        <w:ind w:firstLine="560"/>
        <w:rPr>
          <w:rFonts w:ascii="宋体" w:hAnsi="宋体"/>
          <w:sz w:val="24"/>
          <w:szCs w:val="24"/>
        </w:rPr>
      </w:pPr>
      <w:r>
        <w:rPr>
          <w:rFonts w:hint="eastAsia" w:ascii="宋体" w:hAnsi="宋体"/>
          <w:sz w:val="24"/>
          <w:szCs w:val="24"/>
        </w:rPr>
        <w:t>　　3.2  除在磋商文件的技术规格中另有规定外，计量单位应使用中华人民共和国法定计量单位。</w:t>
      </w:r>
    </w:p>
    <w:p>
      <w:pPr>
        <w:spacing w:line="420" w:lineRule="auto"/>
        <w:ind w:firstLine="560"/>
        <w:rPr>
          <w:rFonts w:ascii="宋体" w:hAnsi="宋体"/>
          <w:b/>
          <w:sz w:val="24"/>
          <w:szCs w:val="24"/>
        </w:rPr>
      </w:pPr>
      <w:r>
        <w:rPr>
          <w:rFonts w:hint="eastAsia" w:ascii="宋体" w:hAnsi="宋体"/>
          <w:sz w:val="24"/>
          <w:szCs w:val="24"/>
        </w:rPr>
        <w:t>　　</w:t>
      </w:r>
      <w:r>
        <w:rPr>
          <w:rFonts w:hint="eastAsia" w:ascii="宋体" w:hAnsi="宋体"/>
          <w:b/>
          <w:sz w:val="24"/>
          <w:szCs w:val="24"/>
        </w:rPr>
        <w:t>4. 响应文件的组成</w:t>
      </w:r>
    </w:p>
    <w:p>
      <w:pPr>
        <w:spacing w:line="420" w:lineRule="auto"/>
        <w:ind w:firstLine="560"/>
        <w:rPr>
          <w:rFonts w:ascii="宋体" w:hAnsi="宋体"/>
          <w:sz w:val="24"/>
          <w:szCs w:val="24"/>
        </w:rPr>
      </w:pPr>
      <w:r>
        <w:rPr>
          <w:rFonts w:hint="eastAsia" w:ascii="宋体" w:hAnsi="宋体"/>
          <w:sz w:val="24"/>
          <w:szCs w:val="24"/>
        </w:rPr>
        <w:t>　　4.1　供应商编写的响应文件应包括下列内容：</w:t>
      </w:r>
    </w:p>
    <w:p>
      <w:pPr>
        <w:spacing w:line="420" w:lineRule="auto"/>
        <w:ind w:firstLine="560"/>
        <w:rPr>
          <w:rFonts w:ascii="宋体" w:hAnsi="宋体"/>
          <w:sz w:val="24"/>
          <w:szCs w:val="24"/>
        </w:rPr>
      </w:pPr>
      <w:r>
        <w:rPr>
          <w:rFonts w:hint="eastAsia" w:ascii="宋体" w:hAnsi="宋体"/>
          <w:sz w:val="24"/>
          <w:szCs w:val="24"/>
        </w:rPr>
        <w:t>　　（1）开标一览表及</w:t>
      </w:r>
      <w:r>
        <w:rPr>
          <w:rFonts w:ascii="宋体" w:hAnsi="宋体"/>
          <w:sz w:val="24"/>
          <w:szCs w:val="24"/>
        </w:rPr>
        <w:t>报价明细表</w:t>
      </w:r>
      <w:r>
        <w:rPr>
          <w:rFonts w:hint="eastAsia" w:ascii="宋体" w:hAnsi="宋体"/>
          <w:sz w:val="24"/>
          <w:szCs w:val="24"/>
        </w:rPr>
        <w:t>；</w:t>
      </w:r>
    </w:p>
    <w:p>
      <w:pPr>
        <w:spacing w:line="420" w:lineRule="auto"/>
        <w:ind w:firstLine="560"/>
        <w:rPr>
          <w:rFonts w:ascii="宋体" w:hAnsi="宋体"/>
          <w:sz w:val="24"/>
          <w:szCs w:val="24"/>
        </w:rPr>
      </w:pPr>
      <w:r>
        <w:rPr>
          <w:rFonts w:hint="eastAsia" w:ascii="宋体" w:hAnsi="宋体"/>
          <w:sz w:val="24"/>
          <w:szCs w:val="24"/>
        </w:rPr>
        <w:t>　　（2）投标资格证明文件；</w:t>
      </w:r>
    </w:p>
    <w:p>
      <w:pPr>
        <w:spacing w:line="420" w:lineRule="auto"/>
        <w:ind w:firstLine="560"/>
        <w:rPr>
          <w:rFonts w:ascii="宋体" w:hAnsi="宋体"/>
          <w:sz w:val="24"/>
          <w:szCs w:val="24"/>
        </w:rPr>
      </w:pPr>
      <w:r>
        <w:rPr>
          <w:rFonts w:hint="eastAsia" w:ascii="宋体" w:hAnsi="宋体"/>
          <w:sz w:val="24"/>
          <w:szCs w:val="24"/>
        </w:rPr>
        <w:t>　　（3）磋商文件服务要求、合同特殊条款中要求提交的文件、资料等。</w:t>
      </w:r>
    </w:p>
    <w:p>
      <w:pPr>
        <w:spacing w:line="420" w:lineRule="auto"/>
        <w:ind w:firstLine="480" w:firstLineChars="200"/>
        <w:rPr>
          <w:rFonts w:hint="eastAsia" w:ascii="宋体" w:hAnsi="宋体"/>
          <w:b/>
          <w:sz w:val="24"/>
        </w:rPr>
      </w:pPr>
      <w:r>
        <w:rPr>
          <w:rFonts w:hint="eastAsia" w:ascii="宋体" w:hAnsi="宋体"/>
          <w:sz w:val="24"/>
          <w:szCs w:val="24"/>
        </w:rPr>
        <w:t>　</w:t>
      </w:r>
    </w:p>
    <w:p>
      <w:pPr>
        <w:spacing w:line="420" w:lineRule="auto"/>
        <w:ind w:firstLine="482" w:firstLineChars="200"/>
        <w:rPr>
          <w:rFonts w:ascii="宋体" w:hAnsi="宋体"/>
          <w:b/>
          <w:sz w:val="24"/>
        </w:rPr>
      </w:pPr>
      <w:r>
        <w:rPr>
          <w:rFonts w:hint="eastAsia" w:ascii="宋体" w:hAnsi="宋体"/>
          <w:b/>
          <w:sz w:val="24"/>
        </w:rPr>
        <w:t>5. 响应文件格式</w:t>
      </w:r>
    </w:p>
    <w:p>
      <w:pPr>
        <w:spacing w:line="420" w:lineRule="auto"/>
        <w:ind w:firstLine="480" w:firstLineChars="200"/>
        <w:rPr>
          <w:rFonts w:ascii="宋体" w:hAnsi="宋体"/>
          <w:sz w:val="24"/>
        </w:rPr>
      </w:pPr>
      <w:r>
        <w:rPr>
          <w:rFonts w:hint="eastAsia" w:ascii="宋体" w:hAnsi="宋体"/>
          <w:sz w:val="24"/>
        </w:rPr>
        <w:t>5.1　供应商应按磋商文件的范本格式中提供的响应文件格式认真填写响应文件、开标一览表。如响应文件中提供的各类表格样式不适，供应商可另行设计表格形式，力求清楚、准确。</w:t>
      </w:r>
    </w:p>
    <w:p>
      <w:pPr>
        <w:spacing w:line="420" w:lineRule="auto"/>
        <w:ind w:firstLine="482" w:firstLineChars="200"/>
        <w:rPr>
          <w:rFonts w:ascii="宋体" w:hAnsi="宋体"/>
          <w:b/>
          <w:sz w:val="24"/>
        </w:rPr>
      </w:pPr>
      <w:r>
        <w:rPr>
          <w:rFonts w:hint="eastAsia" w:ascii="宋体" w:hAnsi="宋体"/>
          <w:b/>
          <w:sz w:val="24"/>
        </w:rPr>
        <w:t>6. 投标报价的货币单位</w:t>
      </w:r>
    </w:p>
    <w:p>
      <w:pPr>
        <w:spacing w:line="420" w:lineRule="auto"/>
        <w:ind w:firstLine="480" w:firstLineChars="200"/>
        <w:rPr>
          <w:rFonts w:ascii="宋体" w:hAnsi="宋体"/>
          <w:sz w:val="24"/>
        </w:rPr>
      </w:pPr>
      <w:r>
        <w:rPr>
          <w:rFonts w:hint="eastAsia" w:ascii="宋体" w:hAnsi="宋体"/>
          <w:sz w:val="24"/>
        </w:rPr>
        <w:t>6.1投标报价单位为人民币。</w:t>
      </w:r>
    </w:p>
    <w:p>
      <w:pPr>
        <w:spacing w:line="440" w:lineRule="exact"/>
        <w:ind w:firstLine="480" w:firstLineChars="200"/>
        <w:rPr>
          <w:rFonts w:ascii="宋体" w:hAnsi="宋体"/>
          <w:sz w:val="24"/>
        </w:rPr>
      </w:pPr>
      <w:r>
        <w:rPr>
          <w:rFonts w:hint="eastAsia" w:ascii="宋体" w:hAnsi="宋体"/>
          <w:sz w:val="24"/>
        </w:rPr>
        <w:t>6.2不接受任何变通或有任何选择性的报价。报价必须唯一、确定、严格。当在单价和总价之间出现任何差异时，以单价为准，除非单价有明显的小数点错误，则以合计价格修正单价。</w:t>
      </w:r>
    </w:p>
    <w:p>
      <w:pPr>
        <w:spacing w:line="440" w:lineRule="exact"/>
        <w:ind w:firstLine="480" w:firstLineChars="200"/>
        <w:rPr>
          <w:rFonts w:ascii="宋体" w:hAnsi="宋体"/>
          <w:sz w:val="24"/>
        </w:rPr>
      </w:pPr>
      <w:r>
        <w:rPr>
          <w:rFonts w:hint="eastAsia" w:ascii="宋体" w:hAnsi="宋体"/>
          <w:sz w:val="24"/>
        </w:rPr>
        <w:t>6.2.1供应商不得以低于成本的报价竞标，也不得以其他方式弄虚作假，骗取中标。</w:t>
      </w:r>
    </w:p>
    <w:p>
      <w:pPr>
        <w:spacing w:line="420" w:lineRule="auto"/>
        <w:ind w:firstLine="482" w:firstLineChars="200"/>
        <w:rPr>
          <w:rFonts w:ascii="宋体" w:hAnsi="宋体"/>
          <w:sz w:val="24"/>
        </w:rPr>
      </w:pPr>
      <w:r>
        <w:rPr>
          <w:rFonts w:hint="eastAsia" w:ascii="宋体" w:hAnsi="宋体"/>
          <w:b/>
          <w:sz w:val="24"/>
        </w:rPr>
        <w:t>6.3为了防止本次投标报价过高，超出招标人为本次采购项目的资金支付能力，招标人依据主管部门的批复为本次采购的设定了最高投标限价（即采购预算），如果供应商的投标报价高于本磋商文件规定的“最高投标限价”，其响应文件将被拒绝；如果所有供应商的投标报价均高于“最高投标限价”，招标人有权重新组织采购。</w:t>
      </w:r>
    </w:p>
    <w:p>
      <w:pPr>
        <w:spacing w:line="420" w:lineRule="auto"/>
        <w:ind w:firstLine="482" w:firstLineChars="200"/>
        <w:rPr>
          <w:rFonts w:ascii="宋体" w:hAnsi="宋体"/>
          <w:b/>
          <w:sz w:val="24"/>
        </w:rPr>
      </w:pPr>
      <w:r>
        <w:rPr>
          <w:rFonts w:hint="eastAsia" w:ascii="宋体" w:hAnsi="宋体"/>
          <w:b/>
          <w:sz w:val="24"/>
        </w:rPr>
        <w:t>7. 服务计划</w:t>
      </w:r>
    </w:p>
    <w:p>
      <w:pPr>
        <w:spacing w:line="420" w:lineRule="auto"/>
        <w:ind w:firstLine="480" w:firstLineChars="200"/>
        <w:rPr>
          <w:rFonts w:ascii="宋体" w:hAnsi="宋体"/>
          <w:sz w:val="24"/>
        </w:rPr>
      </w:pPr>
      <w:r>
        <w:rPr>
          <w:rFonts w:hint="eastAsia" w:ascii="宋体" w:hAnsi="宋体"/>
          <w:sz w:val="24"/>
        </w:rPr>
        <w:t>供应商可以针对本次招标项目的实际需求拟定完善的服务计划。</w:t>
      </w:r>
    </w:p>
    <w:p>
      <w:pPr>
        <w:spacing w:line="420" w:lineRule="auto"/>
        <w:ind w:firstLine="482" w:firstLineChars="200"/>
        <w:rPr>
          <w:rFonts w:ascii="宋体" w:hAnsi="宋体"/>
          <w:b/>
          <w:sz w:val="24"/>
        </w:rPr>
      </w:pPr>
      <w:r>
        <w:rPr>
          <w:rFonts w:hint="eastAsia" w:ascii="宋体" w:hAnsi="宋体"/>
          <w:b/>
          <w:sz w:val="24"/>
        </w:rPr>
        <w:t>8. 投标有效期</w:t>
      </w:r>
    </w:p>
    <w:p>
      <w:pPr>
        <w:spacing w:line="420" w:lineRule="auto"/>
        <w:ind w:firstLine="480" w:firstLineChars="200"/>
        <w:rPr>
          <w:rFonts w:ascii="宋体" w:hAnsi="宋体"/>
          <w:sz w:val="24"/>
        </w:rPr>
      </w:pPr>
      <w:r>
        <w:rPr>
          <w:rFonts w:hint="eastAsia" w:ascii="宋体" w:hAnsi="宋体"/>
          <w:sz w:val="24"/>
        </w:rPr>
        <w:t>8.1　响应文件从开标之日起，投标有效期为</w:t>
      </w:r>
      <w:r>
        <w:rPr>
          <w:rFonts w:hint="eastAsia" w:ascii="宋体" w:hAnsi="宋体"/>
          <w:sz w:val="24"/>
          <w:u w:val="single"/>
        </w:rPr>
        <w:t xml:space="preserve">  60  </w:t>
      </w:r>
      <w:r>
        <w:rPr>
          <w:rFonts w:hint="eastAsia" w:ascii="宋体" w:hAnsi="宋体"/>
          <w:sz w:val="24"/>
        </w:rPr>
        <w:t>天（如不满足将导致废标）。</w:t>
      </w:r>
    </w:p>
    <w:p>
      <w:pPr>
        <w:spacing w:line="420" w:lineRule="auto"/>
        <w:ind w:firstLine="480" w:firstLineChars="200"/>
        <w:rPr>
          <w:rFonts w:ascii="宋体" w:hAnsi="宋体"/>
          <w:sz w:val="24"/>
        </w:rPr>
      </w:pPr>
      <w:r>
        <w:rPr>
          <w:rFonts w:hint="eastAsia" w:ascii="宋体" w:hAnsi="宋体"/>
          <w:sz w:val="24"/>
        </w:rPr>
        <w:t>8.2　在特殊情况下，招标方可与供应商协商延长响应文件的有效期。</w:t>
      </w:r>
    </w:p>
    <w:p>
      <w:pPr>
        <w:spacing w:line="420" w:lineRule="auto"/>
        <w:ind w:firstLine="482" w:firstLineChars="200"/>
        <w:rPr>
          <w:rFonts w:hint="default" w:ascii="宋体" w:hAnsi="宋体" w:eastAsia="宋体"/>
          <w:b/>
          <w:color w:val="auto"/>
          <w:sz w:val="24"/>
          <w:lang w:val="en-US" w:eastAsia="zh-CN"/>
        </w:rPr>
      </w:pPr>
      <w:r>
        <w:rPr>
          <w:rFonts w:hint="eastAsia" w:ascii="宋体" w:hAnsi="宋体"/>
          <w:b/>
          <w:color w:val="auto"/>
          <w:sz w:val="24"/>
        </w:rPr>
        <w:t>9. 响应文件的签署规定</w:t>
      </w:r>
      <w:r>
        <w:rPr>
          <w:rFonts w:hint="eastAsia" w:ascii="宋体" w:hAnsi="宋体"/>
          <w:b/>
          <w:color w:val="auto"/>
          <w:sz w:val="24"/>
          <w:lang w:eastAsia="zh-CN"/>
        </w:rPr>
        <w:t>（</w:t>
      </w:r>
      <w:r>
        <w:rPr>
          <w:rFonts w:hint="eastAsia" w:ascii="宋体" w:hAnsi="宋体"/>
          <w:b/>
          <w:color w:val="auto"/>
          <w:sz w:val="24"/>
          <w:lang w:val="en-US" w:eastAsia="zh-CN"/>
        </w:rPr>
        <w:t>全流程电子标）</w:t>
      </w:r>
    </w:p>
    <w:p>
      <w:pPr>
        <w:spacing w:line="420" w:lineRule="auto"/>
        <w:ind w:firstLine="482" w:firstLineChars="200"/>
        <w:rPr>
          <w:rFonts w:ascii="宋体" w:hAnsi="宋体"/>
          <w:b/>
          <w:sz w:val="24"/>
        </w:rPr>
      </w:pPr>
      <w:r>
        <w:rPr>
          <w:rFonts w:hint="eastAsia" w:ascii="宋体" w:hAnsi="宋体"/>
          <w:b/>
          <w:sz w:val="24"/>
        </w:rPr>
        <w:t>10. 投标保证金</w:t>
      </w:r>
    </w:p>
    <w:p>
      <w:pPr>
        <w:spacing w:line="420" w:lineRule="auto"/>
        <w:ind w:firstLine="480" w:firstLineChars="200"/>
        <w:rPr>
          <w:rFonts w:ascii="宋体" w:hAnsi="宋体"/>
          <w:sz w:val="24"/>
        </w:rPr>
      </w:pPr>
      <w:r>
        <w:rPr>
          <w:rFonts w:hint="eastAsia" w:ascii="宋体" w:hAnsi="宋体"/>
          <w:sz w:val="24"/>
        </w:rPr>
        <w:t>10.1  招标方因供应商的违规行为而受到损害时将不予退还供应商的投标保证金，将其作为所受损害的补偿。</w:t>
      </w:r>
    </w:p>
    <w:p>
      <w:pPr>
        <w:spacing w:line="320" w:lineRule="exact"/>
        <w:ind w:firstLine="480" w:firstLineChars="200"/>
        <w:jc w:val="left"/>
        <w:rPr>
          <w:rFonts w:hint="default" w:ascii="宋体" w:hAnsi="宋体" w:eastAsia="宋体"/>
          <w:sz w:val="24"/>
          <w:highlight w:val="none"/>
          <w:lang w:val="en-US" w:eastAsia="zh-CN"/>
        </w:rPr>
      </w:pPr>
      <w:r>
        <w:rPr>
          <w:rFonts w:hint="eastAsia" w:ascii="宋体" w:hAnsi="宋体" w:eastAsia="宋体" w:cs="Times New Roman"/>
          <w:sz w:val="24"/>
        </w:rPr>
        <w:t>10.2  供应商应提交投标保证金，</w:t>
      </w:r>
      <w:r>
        <w:rPr>
          <w:rFonts w:hint="eastAsia" w:ascii="宋体" w:hAnsi="宋体" w:eastAsia="宋体" w:cs="Times New Roman"/>
          <w:sz w:val="24"/>
          <w:lang w:val="en-US" w:eastAsia="zh-CN"/>
        </w:rPr>
        <w:t>按投标须</w:t>
      </w:r>
      <w:r>
        <w:rPr>
          <w:rFonts w:hint="eastAsia" w:ascii="宋体" w:hAnsi="宋体"/>
          <w:sz w:val="24"/>
          <w:highlight w:val="none"/>
          <w:lang w:val="en-US" w:eastAsia="zh-CN"/>
        </w:rPr>
        <w:t>知第15条要求进行缴纳。</w:t>
      </w:r>
    </w:p>
    <w:p>
      <w:pPr>
        <w:pStyle w:val="7"/>
        <w:rPr>
          <w:rFonts w:hint="eastAsia"/>
        </w:rPr>
      </w:pPr>
    </w:p>
    <w:p>
      <w:pPr>
        <w:spacing w:line="420" w:lineRule="auto"/>
        <w:ind w:firstLine="480" w:firstLineChars="200"/>
        <w:rPr>
          <w:rFonts w:ascii="宋体" w:hAnsi="宋体"/>
          <w:sz w:val="24"/>
        </w:rPr>
      </w:pPr>
      <w:r>
        <w:rPr>
          <w:rFonts w:hint="eastAsia" w:ascii="宋体" w:hAnsi="宋体"/>
          <w:sz w:val="24"/>
        </w:rPr>
        <w:t>10.3　投标保证金可采用非现金等形式缴纳，其有效期应不低于投标有效期。</w:t>
      </w:r>
    </w:p>
    <w:p>
      <w:pPr>
        <w:pStyle w:val="13"/>
        <w:spacing w:line="420" w:lineRule="auto"/>
        <w:ind w:firstLine="480" w:firstLineChars="200"/>
        <w:rPr>
          <w:rFonts w:hAnsi="宋体"/>
          <w:sz w:val="24"/>
          <w:szCs w:val="24"/>
        </w:rPr>
      </w:pPr>
      <w:r>
        <w:rPr>
          <w:rFonts w:hint="eastAsia" w:hAnsi="宋体"/>
          <w:sz w:val="24"/>
        </w:rPr>
        <w:t>10</w:t>
      </w:r>
      <w:r>
        <w:rPr>
          <w:rFonts w:hint="eastAsia" w:hAnsi="宋体"/>
          <w:sz w:val="24"/>
          <w:szCs w:val="24"/>
        </w:rPr>
        <w:t>.4　未中标的供应商的投标保证金，将在成交通知书发出后五个工作日内无息退还。</w:t>
      </w:r>
    </w:p>
    <w:p>
      <w:pPr>
        <w:spacing w:line="420" w:lineRule="auto"/>
        <w:ind w:firstLine="480" w:firstLineChars="200"/>
        <w:rPr>
          <w:rFonts w:ascii="宋体" w:hAnsi="宋体"/>
          <w:sz w:val="24"/>
        </w:rPr>
      </w:pPr>
      <w:r>
        <w:rPr>
          <w:rFonts w:hint="eastAsia" w:ascii="宋体" w:hAnsi="宋体"/>
          <w:sz w:val="24"/>
        </w:rPr>
        <w:t>10.5  中标方的投标保证金，将在领取成交通知书，签订合同后无息退还。（须携带合同复印件至我单位）</w:t>
      </w:r>
    </w:p>
    <w:p>
      <w:pPr>
        <w:spacing w:line="420" w:lineRule="auto"/>
        <w:ind w:firstLine="480" w:firstLineChars="200"/>
        <w:rPr>
          <w:rFonts w:ascii="宋体" w:hAnsi="宋体"/>
          <w:sz w:val="24"/>
        </w:rPr>
      </w:pPr>
      <w:r>
        <w:rPr>
          <w:rFonts w:hint="eastAsia" w:ascii="宋体" w:hAnsi="宋体"/>
          <w:sz w:val="24"/>
        </w:rPr>
        <w:t>10.6　未按规定提交投标保证金的投标，将被视为投标无效。</w:t>
      </w:r>
    </w:p>
    <w:p>
      <w:pPr>
        <w:spacing w:line="420" w:lineRule="auto"/>
        <w:ind w:firstLine="480" w:firstLineChars="200"/>
        <w:rPr>
          <w:rFonts w:ascii="宋体" w:hAnsi="宋体"/>
          <w:sz w:val="24"/>
        </w:rPr>
      </w:pPr>
      <w:r>
        <w:rPr>
          <w:rFonts w:hint="eastAsia" w:ascii="宋体" w:hAnsi="宋体"/>
          <w:sz w:val="24"/>
        </w:rPr>
        <w:t>10.7  下列任何情况发生时，投标保证金将不予退还，转为违约金：</w:t>
      </w:r>
    </w:p>
    <w:p>
      <w:pPr>
        <w:spacing w:line="420" w:lineRule="auto"/>
        <w:ind w:firstLine="480" w:firstLineChars="200"/>
        <w:rPr>
          <w:rFonts w:ascii="宋体" w:hAnsi="宋体"/>
          <w:sz w:val="24"/>
        </w:rPr>
      </w:pPr>
      <w:r>
        <w:rPr>
          <w:rFonts w:hint="eastAsia" w:ascii="宋体" w:hAnsi="宋体"/>
          <w:sz w:val="24"/>
        </w:rPr>
        <w:t>（1）供应商在提交响应文件截止时间后撤回响应文件的；</w:t>
      </w:r>
    </w:p>
    <w:p>
      <w:pPr>
        <w:spacing w:line="420" w:lineRule="auto"/>
        <w:ind w:firstLine="480" w:firstLineChars="200"/>
        <w:rPr>
          <w:rFonts w:ascii="宋体" w:hAnsi="宋体"/>
          <w:sz w:val="24"/>
        </w:rPr>
      </w:pPr>
      <w:r>
        <w:rPr>
          <w:rFonts w:hint="eastAsia" w:ascii="宋体" w:hAnsi="宋体"/>
          <w:sz w:val="24"/>
        </w:rPr>
        <w:t>（2）供应商在响应文件中提供虚假材料的；</w:t>
      </w:r>
    </w:p>
    <w:p>
      <w:pPr>
        <w:spacing w:line="420" w:lineRule="auto"/>
        <w:ind w:firstLine="480" w:firstLineChars="200"/>
        <w:rPr>
          <w:rFonts w:ascii="宋体" w:hAnsi="宋体"/>
          <w:sz w:val="24"/>
        </w:rPr>
      </w:pPr>
      <w:r>
        <w:rPr>
          <w:rFonts w:hint="eastAsia" w:ascii="宋体" w:hAnsi="宋体"/>
          <w:sz w:val="24"/>
        </w:rPr>
        <w:t>（3）除因不可抗力或磋商文件认可的情形以外，成交供应商不与采购人签订合同的；</w:t>
      </w:r>
    </w:p>
    <w:p>
      <w:pPr>
        <w:spacing w:line="420" w:lineRule="auto"/>
        <w:ind w:firstLine="480" w:firstLineChars="200"/>
        <w:rPr>
          <w:rFonts w:ascii="宋体" w:hAnsi="宋体"/>
          <w:sz w:val="24"/>
        </w:rPr>
      </w:pPr>
      <w:r>
        <w:rPr>
          <w:rFonts w:hint="eastAsia" w:ascii="宋体" w:hAnsi="宋体"/>
          <w:sz w:val="24"/>
        </w:rPr>
        <w:t>（4）供应商与采购人、其他供应商或者采购代理机构恶意串通的；</w:t>
      </w:r>
    </w:p>
    <w:p>
      <w:pPr>
        <w:spacing w:line="420" w:lineRule="auto"/>
        <w:ind w:firstLine="480" w:firstLineChars="200"/>
        <w:rPr>
          <w:rFonts w:ascii="宋体" w:hAnsi="宋体"/>
          <w:sz w:val="24"/>
        </w:rPr>
      </w:pPr>
      <w:r>
        <w:rPr>
          <w:rFonts w:hint="eastAsia" w:ascii="宋体" w:hAnsi="宋体"/>
          <w:sz w:val="24"/>
        </w:rPr>
        <w:t>（5）磋商文件规定的其他情形；</w:t>
      </w:r>
    </w:p>
    <w:p>
      <w:pPr>
        <w:spacing w:line="420" w:lineRule="auto"/>
        <w:ind w:firstLine="480" w:firstLineChars="200"/>
        <w:rPr>
          <w:rFonts w:ascii="宋体" w:hAnsi="宋体"/>
          <w:sz w:val="24"/>
        </w:rPr>
      </w:pPr>
      <w:r>
        <w:rPr>
          <w:rFonts w:hint="eastAsia" w:ascii="宋体" w:hAnsi="宋体"/>
          <w:sz w:val="24"/>
        </w:rPr>
        <w:t>（6）打架斗殴，扰乱开标现场正常秩序；</w:t>
      </w:r>
    </w:p>
    <w:p>
      <w:pPr>
        <w:spacing w:line="420" w:lineRule="auto"/>
        <w:ind w:firstLine="480" w:firstLineChars="200"/>
        <w:rPr>
          <w:rFonts w:ascii="宋体" w:hAnsi="宋体"/>
          <w:sz w:val="24"/>
        </w:rPr>
      </w:pPr>
      <w:r>
        <w:rPr>
          <w:rFonts w:hint="eastAsia" w:ascii="宋体" w:hAnsi="宋体"/>
          <w:sz w:val="24"/>
        </w:rPr>
        <w:t>（7）本磋商文件中或《政府采购货物和服务招标投标管理办法》第七十五条规定的其他不予退还投标保证金的情形。</w:t>
      </w:r>
    </w:p>
    <w:p>
      <w:pPr>
        <w:spacing w:line="420" w:lineRule="auto"/>
        <w:ind w:firstLine="480" w:firstLineChars="200"/>
        <w:rPr>
          <w:rFonts w:hint="eastAsia" w:ascii="宋体" w:hAnsi="宋体"/>
          <w:b/>
          <w:sz w:val="32"/>
          <w:szCs w:val="32"/>
        </w:rPr>
      </w:pPr>
      <w:r>
        <w:rPr>
          <w:rFonts w:hint="eastAsia" w:ascii="宋体" w:hAnsi="宋体"/>
          <w:sz w:val="24"/>
        </w:rPr>
        <w:t>上述不予退还投标保证金的情况并给招标代理机构造成损失的，还要承担赔偿责任。</w:t>
      </w:r>
    </w:p>
    <w:p>
      <w:pPr>
        <w:pStyle w:val="4"/>
        <w:bidi w:val="0"/>
        <w:rPr>
          <w:rFonts w:hint="eastAsia"/>
        </w:rPr>
      </w:pPr>
      <w:bookmarkStart w:id="15" w:name="_Toc19218"/>
      <w:r>
        <w:rPr>
          <w:rFonts w:hint="eastAsia"/>
        </w:rPr>
        <w:t>第三章响应文件的递交</w:t>
      </w:r>
      <w:bookmarkEnd w:id="15"/>
    </w:p>
    <w:p>
      <w:pPr>
        <w:spacing w:line="42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11</w:t>
      </w:r>
      <w:r>
        <w:rPr>
          <w:rFonts w:hint="eastAsia" w:ascii="宋体" w:hAnsi="宋体" w:eastAsia="宋体" w:cs="Times New Roman"/>
          <w:sz w:val="24"/>
        </w:rPr>
        <w:t>、响应文件签署</w:t>
      </w:r>
    </w:p>
    <w:p>
      <w:pPr>
        <w:spacing w:line="42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11</w:t>
      </w:r>
      <w:r>
        <w:rPr>
          <w:rFonts w:hint="eastAsia" w:ascii="宋体" w:hAnsi="宋体" w:eastAsia="宋体" w:cs="Times New Roman"/>
          <w:sz w:val="24"/>
        </w:rPr>
        <w:t>.1 响应文件应由供应商法定代表人或授权代表签字，并加盖公章。</w:t>
      </w:r>
    </w:p>
    <w:p>
      <w:pPr>
        <w:spacing w:line="42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11</w:t>
      </w:r>
      <w:r>
        <w:rPr>
          <w:rFonts w:hint="eastAsia" w:ascii="宋体" w:hAnsi="宋体" w:eastAsia="宋体" w:cs="Times New Roman"/>
          <w:sz w:val="24"/>
        </w:rPr>
        <w:t>.2供应商应当在磋商文件要求提交响应文件的截止时间前，将响应文件</w:t>
      </w:r>
      <w:r>
        <w:rPr>
          <w:rFonts w:hint="eastAsia" w:ascii="宋体" w:hAnsi="宋体" w:eastAsia="宋体" w:cs="Times New Roman"/>
          <w:sz w:val="24"/>
          <w:lang w:val="en-US" w:eastAsia="zh-CN"/>
        </w:rPr>
        <w:t>加密上传至新疆政府采购网</w:t>
      </w:r>
      <w:r>
        <w:rPr>
          <w:rFonts w:hint="eastAsia" w:ascii="宋体" w:hAnsi="宋体" w:eastAsia="宋体" w:cs="Times New Roman"/>
          <w:sz w:val="24"/>
        </w:rPr>
        <w:t>。</w:t>
      </w:r>
    </w:p>
    <w:p>
      <w:pPr>
        <w:spacing w:line="42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11</w:t>
      </w:r>
      <w:r>
        <w:rPr>
          <w:rFonts w:hint="eastAsia" w:ascii="宋体" w:hAnsi="宋体" w:eastAsia="宋体" w:cs="Times New Roman"/>
          <w:sz w:val="24"/>
        </w:rPr>
        <w:t>.3 有下列情形之一的响应文件将拒收：</w:t>
      </w:r>
    </w:p>
    <w:p>
      <w:pPr>
        <w:spacing w:line="420" w:lineRule="auto"/>
        <w:ind w:firstLine="480" w:firstLineChars="200"/>
        <w:rPr>
          <w:rFonts w:hint="eastAsia" w:ascii="宋体" w:hAnsi="宋体" w:eastAsia="宋体" w:cs="Times New Roman"/>
          <w:sz w:val="24"/>
        </w:rPr>
      </w:pPr>
      <w:r>
        <w:rPr>
          <w:rFonts w:hint="eastAsia" w:ascii="宋体" w:hAnsi="宋体" w:eastAsia="宋体" w:cs="Times New Roman"/>
          <w:sz w:val="24"/>
        </w:rPr>
        <w:t>（1）未按竞争性磋商邀请规定的数额和办法交纳磋商保证金的；</w:t>
      </w:r>
    </w:p>
    <w:p>
      <w:pPr>
        <w:spacing w:line="420" w:lineRule="auto"/>
        <w:ind w:firstLine="480" w:firstLineChars="200"/>
        <w:rPr>
          <w:rFonts w:hint="eastAsia" w:ascii="宋体" w:hAnsi="宋体" w:eastAsia="宋体" w:cs="Times New Roman"/>
          <w:sz w:val="24"/>
        </w:rPr>
      </w:pPr>
      <w:r>
        <w:rPr>
          <w:rFonts w:hint="eastAsia" w:ascii="宋体" w:hAnsi="宋体" w:eastAsia="宋体" w:cs="Times New Roman"/>
          <w:sz w:val="24"/>
        </w:rPr>
        <w:t>（2）在磋商文件要求提交响应文件的截止时间之后</w:t>
      </w:r>
      <w:r>
        <w:rPr>
          <w:rFonts w:hint="eastAsia" w:ascii="宋体" w:hAnsi="宋体" w:eastAsia="宋体" w:cs="Times New Roman"/>
          <w:sz w:val="24"/>
          <w:lang w:val="en-US" w:eastAsia="zh-CN"/>
        </w:rPr>
        <w:t>上传</w:t>
      </w:r>
      <w:r>
        <w:rPr>
          <w:rFonts w:hint="eastAsia" w:ascii="宋体" w:hAnsi="宋体" w:eastAsia="宋体" w:cs="Times New Roman"/>
          <w:sz w:val="24"/>
        </w:rPr>
        <w:t>的；</w:t>
      </w:r>
    </w:p>
    <w:p>
      <w:pPr>
        <w:spacing w:line="42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12</w:t>
      </w:r>
      <w:r>
        <w:rPr>
          <w:rFonts w:hint="eastAsia" w:ascii="宋体" w:hAnsi="宋体" w:eastAsia="宋体" w:cs="Times New Roman"/>
          <w:sz w:val="24"/>
        </w:rPr>
        <w:t>、响应文件的密封于递交</w:t>
      </w:r>
    </w:p>
    <w:p>
      <w:pPr>
        <w:spacing w:line="42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12</w:t>
      </w:r>
      <w:r>
        <w:rPr>
          <w:rFonts w:hint="eastAsia" w:ascii="宋体" w:hAnsi="宋体" w:eastAsia="宋体" w:cs="Times New Roman"/>
          <w:sz w:val="24"/>
        </w:rPr>
        <w:t>.1投标人应在投标人须知前附表规定的投标截止时间前递交电子加密</w:t>
      </w:r>
      <w:r>
        <w:rPr>
          <w:rFonts w:hint="eastAsia" w:ascii="宋体" w:hAnsi="宋体" w:eastAsia="宋体" w:cs="Times New Roman"/>
          <w:sz w:val="24"/>
          <w:lang w:eastAsia="zh-CN"/>
        </w:rPr>
        <w:t>投标文件</w:t>
      </w:r>
      <w:r>
        <w:rPr>
          <w:rFonts w:hint="eastAsia" w:ascii="宋体" w:hAnsi="宋体" w:eastAsia="宋体" w:cs="Times New Roman"/>
          <w:sz w:val="24"/>
        </w:rPr>
        <w:t>。</w:t>
      </w:r>
    </w:p>
    <w:p>
      <w:pPr>
        <w:spacing w:line="420" w:lineRule="auto"/>
        <w:ind w:firstLine="480" w:firstLineChars="200"/>
        <w:rPr>
          <w:rFonts w:hint="eastAsia" w:ascii="宋体" w:hAnsi="宋体" w:eastAsia="宋体" w:cs="Times New Roman"/>
          <w:sz w:val="24"/>
        </w:rPr>
      </w:pPr>
      <w:bookmarkStart w:id="16" w:name="_Toc500364431"/>
      <w:r>
        <w:rPr>
          <w:rFonts w:hint="eastAsia" w:ascii="宋体" w:hAnsi="宋体" w:eastAsia="宋体" w:cs="Times New Roman"/>
          <w:sz w:val="24"/>
          <w:lang w:val="en-US" w:eastAsia="zh-CN"/>
        </w:rPr>
        <w:t>12</w:t>
      </w:r>
      <w:r>
        <w:rPr>
          <w:rFonts w:hint="eastAsia" w:ascii="宋体" w:hAnsi="宋体" w:eastAsia="宋体" w:cs="Times New Roman"/>
          <w:sz w:val="24"/>
        </w:rPr>
        <w:t>.2投标人递交</w:t>
      </w:r>
      <w:r>
        <w:rPr>
          <w:rFonts w:hint="eastAsia" w:ascii="宋体" w:hAnsi="宋体" w:eastAsia="宋体" w:cs="Times New Roman"/>
          <w:sz w:val="24"/>
          <w:lang w:eastAsia="zh-CN"/>
        </w:rPr>
        <w:t>投标文件</w:t>
      </w:r>
      <w:r>
        <w:rPr>
          <w:rFonts w:hint="eastAsia" w:ascii="宋体" w:hAnsi="宋体" w:eastAsia="宋体" w:cs="Times New Roman"/>
          <w:sz w:val="24"/>
        </w:rPr>
        <w:t>的地点：见投标人须知前附表。</w:t>
      </w:r>
      <w:bookmarkEnd w:id="16"/>
    </w:p>
    <w:p>
      <w:pPr>
        <w:spacing w:line="42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12</w:t>
      </w:r>
      <w:r>
        <w:rPr>
          <w:rFonts w:hint="eastAsia" w:ascii="宋体" w:hAnsi="宋体" w:eastAsia="宋体" w:cs="Times New Roman"/>
          <w:sz w:val="24"/>
        </w:rPr>
        <w:t>.3除投标人须知前附表另有规定外，投标人所递交的</w:t>
      </w:r>
      <w:r>
        <w:rPr>
          <w:rFonts w:hint="eastAsia" w:ascii="宋体" w:hAnsi="宋体" w:eastAsia="宋体" w:cs="Times New Roman"/>
          <w:sz w:val="24"/>
          <w:lang w:eastAsia="zh-CN"/>
        </w:rPr>
        <w:t>投标文件</w:t>
      </w:r>
      <w:r>
        <w:rPr>
          <w:rFonts w:hint="eastAsia" w:ascii="宋体" w:hAnsi="宋体" w:eastAsia="宋体" w:cs="Times New Roman"/>
          <w:sz w:val="24"/>
        </w:rPr>
        <w:t>不予退还。</w:t>
      </w:r>
    </w:p>
    <w:p>
      <w:pPr>
        <w:spacing w:line="420" w:lineRule="auto"/>
        <w:ind w:firstLine="480" w:firstLineChars="200"/>
        <w:rPr>
          <w:rFonts w:hint="eastAsia" w:ascii="宋体" w:hAnsi="宋体" w:eastAsia="宋体" w:cs="Times New Roman"/>
          <w:sz w:val="24"/>
        </w:rPr>
      </w:pPr>
      <w:bookmarkStart w:id="17" w:name="_Toc500364432"/>
      <w:r>
        <w:rPr>
          <w:rFonts w:hint="eastAsia" w:ascii="宋体" w:hAnsi="宋体" w:eastAsia="宋体" w:cs="Times New Roman"/>
          <w:sz w:val="24"/>
          <w:lang w:val="en-US" w:eastAsia="zh-CN"/>
        </w:rPr>
        <w:t>12</w:t>
      </w:r>
      <w:r>
        <w:rPr>
          <w:rFonts w:hint="eastAsia" w:ascii="宋体" w:hAnsi="宋体" w:eastAsia="宋体" w:cs="Times New Roman"/>
          <w:sz w:val="24"/>
        </w:rPr>
        <w:t>.4</w:t>
      </w:r>
      <w:bookmarkEnd w:id="17"/>
      <w:r>
        <w:rPr>
          <w:rFonts w:hint="eastAsia" w:ascii="宋体" w:hAnsi="宋体" w:eastAsia="宋体" w:cs="Times New Roman"/>
          <w:sz w:val="24"/>
        </w:rPr>
        <w:t>投标人递交的电子投标文件因投标人自身原因而导致无法导入政采云平台，该投标视为无效投标。</w:t>
      </w:r>
    </w:p>
    <w:p>
      <w:pPr>
        <w:spacing w:line="42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12.5投标人应当在投标截止时间前，通过互联网使用 CA 数字证书登录“政采云平台”，将加密的电子投标文件上传。投标人应充分考虑上传文件时的不可预见因素，未在投标截止时间前完成上传的，视为逾期送达，政采云平台将拒收。</w:t>
      </w:r>
    </w:p>
    <w:p>
      <w:pPr>
        <w:spacing w:line="42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13</w:t>
      </w:r>
      <w:r>
        <w:rPr>
          <w:rFonts w:hint="eastAsia" w:ascii="宋体" w:hAnsi="宋体" w:eastAsia="宋体" w:cs="Times New Roman"/>
          <w:sz w:val="24"/>
        </w:rPr>
        <w:t>、响应文件的修改与撤回</w:t>
      </w:r>
    </w:p>
    <w:p>
      <w:pPr>
        <w:spacing w:line="42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13</w:t>
      </w:r>
      <w:r>
        <w:rPr>
          <w:rFonts w:hint="eastAsia" w:ascii="宋体" w:hAnsi="宋体" w:eastAsia="宋体" w:cs="Times New Roman"/>
          <w:sz w:val="24"/>
        </w:rPr>
        <w:t>.1在投标截止时间前，投标人可以使用 CA 证书登陆政采云平台修改或撤回已递交的投标文件。</w:t>
      </w:r>
    </w:p>
    <w:p>
      <w:pPr>
        <w:spacing w:line="42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13</w:t>
      </w:r>
      <w:r>
        <w:rPr>
          <w:rFonts w:hint="eastAsia" w:ascii="宋体" w:hAnsi="宋体" w:eastAsia="宋体" w:cs="Times New Roman"/>
          <w:sz w:val="24"/>
        </w:rPr>
        <w:t xml:space="preserve">.2投标文件修改时，投标人应对加密的电子投标文件重新上传。 </w:t>
      </w:r>
    </w:p>
    <w:p>
      <w:pPr>
        <w:spacing w:line="42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13</w:t>
      </w:r>
      <w:r>
        <w:rPr>
          <w:rFonts w:hint="eastAsia" w:ascii="宋体" w:hAnsi="宋体" w:eastAsia="宋体" w:cs="Times New Roman"/>
          <w:sz w:val="24"/>
        </w:rPr>
        <w:t>.3在</w:t>
      </w:r>
      <w:r>
        <w:rPr>
          <w:rFonts w:hint="eastAsia" w:ascii="宋体" w:hAnsi="宋体" w:eastAsia="宋体" w:cs="Times New Roman"/>
          <w:sz w:val="24"/>
          <w:lang w:val="en-US" w:eastAsia="zh-CN"/>
        </w:rPr>
        <w:t>投标</w:t>
      </w:r>
      <w:r>
        <w:rPr>
          <w:rFonts w:hint="eastAsia" w:ascii="宋体" w:hAnsi="宋体" w:eastAsia="宋体" w:cs="Times New Roman"/>
          <w:sz w:val="24"/>
        </w:rPr>
        <w:t>截止时间之后，投标人不得对其</w:t>
      </w:r>
      <w:r>
        <w:rPr>
          <w:rFonts w:hint="eastAsia" w:ascii="宋体" w:hAnsi="宋体" w:eastAsia="宋体" w:cs="Times New Roman"/>
          <w:sz w:val="24"/>
          <w:lang w:val="en-US" w:eastAsia="zh-CN"/>
        </w:rPr>
        <w:t>投标</w:t>
      </w:r>
      <w:r>
        <w:rPr>
          <w:rFonts w:hint="eastAsia" w:ascii="宋体" w:hAnsi="宋体" w:eastAsia="宋体" w:cs="Times New Roman"/>
          <w:sz w:val="24"/>
        </w:rPr>
        <w:t>文件做任何修改或撤回。</w:t>
      </w:r>
    </w:p>
    <w:p>
      <w:pPr>
        <w:spacing w:line="42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14．电子投标文件的要求。</w:t>
      </w:r>
    </w:p>
    <w:p>
      <w:pPr>
        <w:spacing w:line="42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14.1 投标人应对电子投标文件中所提供资料的真实性负责，若有虚假，将依法承担相应责任。投标人应自觉接受代理采购机构对其中任何资料进一步核实的要求。</w:t>
      </w:r>
    </w:p>
    <w:p>
      <w:pPr>
        <w:spacing w:line="42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14.2  因投标人电子投标文件填报的内容不详，或没有提供投标文件中所要求的全部资料及数据等，由此产生的后果及责任由投标人自行承担。</w:t>
      </w:r>
    </w:p>
    <w:p>
      <w:pPr>
        <w:spacing w:line="42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14.3电子投标文件应当对招标文件有关服务期、投标有效期、质量要求、技术标准和要求、招标范围等实质性内容作出响应。</w:t>
      </w:r>
    </w:p>
    <w:p>
      <w:pPr>
        <w:spacing w:line="42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14.4电子投标文件由投标人使用政采云投标客户端制作生成。投标人在编制电子投标文件时应当建立分级目录，并按照标签提示导入相关内容。 </w:t>
      </w:r>
    </w:p>
    <w:p>
      <w:pPr>
        <w:spacing w:line="420" w:lineRule="auto"/>
        <w:ind w:firstLine="480" w:firstLineChars="200"/>
        <w:rPr>
          <w:rFonts w:hint="eastAsia" w:ascii="宋体" w:hAnsi="宋体"/>
          <w:sz w:val="28"/>
          <w:szCs w:val="28"/>
        </w:rPr>
      </w:pPr>
      <w:bookmarkStart w:id="18" w:name="_Toc13101"/>
      <w:r>
        <w:rPr>
          <w:rFonts w:hint="eastAsia" w:ascii="宋体" w:hAnsi="宋体" w:eastAsia="宋体" w:cs="Times New Roman"/>
          <w:sz w:val="24"/>
          <w:lang w:val="en-US" w:eastAsia="zh-CN"/>
        </w:rPr>
        <w:t>14.5.本项目采用电子招投标系统开评标，要求投标人使用 CA 数字证书对电子投标文件进行加密。</w:t>
      </w:r>
      <w:bookmarkEnd w:id="18"/>
    </w:p>
    <w:p>
      <w:pPr>
        <w:pStyle w:val="4"/>
        <w:bidi w:val="0"/>
        <w:rPr>
          <w:rFonts w:hint="eastAsia"/>
        </w:rPr>
      </w:pPr>
      <w:bookmarkStart w:id="19" w:name="_Toc29479"/>
      <w:r>
        <w:rPr>
          <w:rFonts w:hint="eastAsia"/>
        </w:rPr>
        <w:t>第四章开标</w:t>
      </w:r>
      <w:bookmarkEnd w:id="19"/>
    </w:p>
    <w:p>
      <w:pPr>
        <w:pStyle w:val="7"/>
        <w:rPr>
          <w:rFonts w:hint="default" w:ascii="宋体" w:hAnsi="宋体" w:eastAsia="宋体" w:cs="Times New Roman"/>
          <w:b/>
          <w:bCs/>
          <w:kern w:val="2"/>
          <w:sz w:val="24"/>
          <w:lang w:val="en-US" w:eastAsia="zh-CN" w:bidi="ar-SA"/>
        </w:rPr>
      </w:pPr>
      <w:r>
        <w:rPr>
          <w:rFonts w:hint="eastAsia" w:ascii="宋体" w:hAnsi="宋体" w:eastAsia="宋体" w:cs="Times New Roman"/>
          <w:b/>
          <w:bCs/>
          <w:kern w:val="2"/>
          <w:sz w:val="24"/>
          <w:lang w:val="en-US" w:eastAsia="zh-CN" w:bidi="ar-SA"/>
        </w:rPr>
        <w:t>15开标</w:t>
      </w:r>
    </w:p>
    <w:p>
      <w:pPr>
        <w:pStyle w:val="7"/>
      </w:pPr>
    </w:p>
    <w:p>
      <w:pPr>
        <w:spacing w:line="42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15.1 </w:t>
      </w:r>
      <w:r>
        <w:rPr>
          <w:rFonts w:hint="eastAsia" w:ascii="宋体" w:hAnsi="宋体" w:eastAsia="宋体" w:cs="Times New Roman"/>
          <w:sz w:val="24"/>
          <w:lang w:val="ru-RU" w:eastAsia="zh-CN"/>
        </w:rPr>
        <w:t>采购人和采购代理机构将</w:t>
      </w:r>
      <w:r>
        <w:rPr>
          <w:rFonts w:hint="eastAsia" w:ascii="宋体" w:hAnsi="宋体" w:eastAsia="宋体" w:cs="Times New Roman"/>
          <w:sz w:val="24"/>
          <w:lang w:val="en-US" w:eastAsia="zh-CN"/>
        </w:rPr>
        <w:t>在谈判须知前附表规定的投标截止时间（开标时间）和地点公开开标，</w:t>
      </w:r>
      <w:r>
        <w:rPr>
          <w:rFonts w:hint="eastAsia" w:ascii="宋体" w:hAnsi="宋体" w:eastAsia="宋体" w:cs="Times New Roman"/>
          <w:sz w:val="24"/>
          <w:lang w:val="ru-RU" w:eastAsia="zh-CN"/>
        </w:rPr>
        <w:t>监督部门将视情况派代表到现场进行监督。投标供应商不足3家的，不得开标。</w:t>
      </w:r>
    </w:p>
    <w:p>
      <w:pPr>
        <w:spacing w:line="420" w:lineRule="auto"/>
        <w:ind w:firstLine="480" w:firstLineChars="200"/>
        <w:rPr>
          <w:rFonts w:hint="eastAsia" w:ascii="宋体" w:hAnsi="宋体" w:eastAsia="宋体" w:cs="Times New Roman"/>
          <w:sz w:val="24"/>
          <w:lang w:val="ru-RU" w:eastAsia="zh-CN"/>
        </w:rPr>
      </w:pPr>
      <w:r>
        <w:rPr>
          <w:rFonts w:hint="eastAsia" w:ascii="宋体" w:hAnsi="宋体" w:eastAsia="宋体" w:cs="Times New Roman"/>
          <w:sz w:val="24"/>
          <w:lang w:val="en-US" w:eastAsia="zh-CN"/>
        </w:rPr>
        <w:t xml:space="preserve">15.2 </w:t>
      </w:r>
      <w:r>
        <w:rPr>
          <w:rFonts w:hint="eastAsia" w:ascii="宋体" w:hAnsi="宋体" w:eastAsia="宋体" w:cs="Times New Roman"/>
          <w:sz w:val="24"/>
          <w:lang w:val="ru-RU" w:eastAsia="zh-CN"/>
        </w:rPr>
        <w:t>供应商在开标前，提前登录政采云平台做好准备，并保证设备正常。供应商应于</w:t>
      </w:r>
      <w:r>
        <w:rPr>
          <w:rFonts w:hint="eastAsia" w:ascii="宋体" w:hAnsi="宋体" w:eastAsia="宋体" w:cs="Times New Roman"/>
          <w:sz w:val="24"/>
          <w:lang w:val="en-US" w:eastAsia="zh-CN"/>
        </w:rPr>
        <w:t>2023年5月</w:t>
      </w:r>
      <w:r>
        <w:rPr>
          <w:rFonts w:hint="eastAsia" w:ascii="宋体" w:hAnsi="宋体" w:cs="Times New Roman"/>
          <w:sz w:val="24"/>
          <w:lang w:val="en-US" w:eastAsia="zh-CN"/>
        </w:rPr>
        <w:t>9</w:t>
      </w:r>
      <w:r>
        <w:rPr>
          <w:rFonts w:hint="eastAsia" w:ascii="宋体" w:hAnsi="宋体" w:eastAsia="宋体" w:cs="Times New Roman"/>
          <w:sz w:val="24"/>
          <w:lang w:val="en-US" w:eastAsia="zh-CN"/>
        </w:rPr>
        <w:t>日12:00时</w:t>
      </w:r>
      <w:r>
        <w:rPr>
          <w:rFonts w:hint="eastAsia" w:ascii="宋体" w:hAnsi="宋体" w:eastAsia="宋体" w:cs="Times New Roman"/>
          <w:sz w:val="24"/>
          <w:lang w:val="ru-RU" w:eastAsia="zh-CN"/>
        </w:rPr>
        <w:t>整之前将电子投标文件上传到“政采云”平台。投标人在线制作响应文件时需对资格符合性审查项进行逐一关联响应，应按照本项目招标文件和政采云平台的要求编制、加密传输投标文件。</w:t>
      </w:r>
    </w:p>
    <w:p>
      <w:pPr>
        <w:spacing w:line="42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注：如供应商在开标时遗失CA或其他原因导致解密失败的，供应商需将未加密的投标文件提供给采购代理机构，采购代理机构通过“异常”处理端口上传解密。</w:t>
      </w:r>
    </w:p>
    <w:p>
      <w:pPr>
        <w:spacing w:line="420" w:lineRule="auto"/>
        <w:ind w:firstLine="480" w:firstLineChars="200"/>
        <w:rPr>
          <w:rFonts w:ascii="宋体" w:hAnsi="宋体"/>
          <w:b/>
          <w:sz w:val="32"/>
          <w:szCs w:val="32"/>
        </w:rPr>
      </w:pPr>
      <w:r>
        <w:rPr>
          <w:rFonts w:hint="eastAsia" w:ascii="宋体" w:hAnsi="宋体" w:eastAsia="宋体" w:cs="Times New Roman"/>
          <w:sz w:val="24"/>
          <w:lang w:val="en-US" w:eastAsia="zh-CN"/>
        </w:rPr>
        <w:t xml:space="preserve">15.3 </w:t>
      </w:r>
      <w:r>
        <w:rPr>
          <w:rFonts w:hint="eastAsia" w:ascii="宋体" w:hAnsi="宋体" w:eastAsia="宋体" w:cs="Times New Roman"/>
          <w:sz w:val="24"/>
          <w:lang w:val="ru-RU" w:eastAsia="zh-CN"/>
        </w:rPr>
        <w:t>开标时将检查所有投标文件（加密电子标书上传）情况，并在确认无误后，供应商在政采云平台解密投标文件（30分钟），对投标文件进行唱标。唱标以投标方提交的投标文件中“开标一览表”的内容为准，并对唱标内容作以记录。电子开标系统开标后需投标人在线确认报价时，各投标人应在规定的时间内确认报价，若超出时间未进行确认报价的投标人，系统将自动默认该投标人已经确认报价。</w:t>
      </w:r>
    </w:p>
    <w:p>
      <w:pPr>
        <w:spacing w:line="440" w:lineRule="exact"/>
        <w:jc w:val="both"/>
        <w:rPr>
          <w:rFonts w:ascii="宋体" w:hAnsi="宋体"/>
          <w:b/>
          <w:sz w:val="32"/>
          <w:szCs w:val="32"/>
        </w:rPr>
      </w:pPr>
    </w:p>
    <w:p>
      <w:pPr>
        <w:pStyle w:val="4"/>
        <w:bidi w:val="0"/>
        <w:rPr>
          <w:rFonts w:hint="eastAsia"/>
        </w:rPr>
      </w:pPr>
      <w:bookmarkStart w:id="20" w:name="_Toc22396"/>
      <w:r>
        <w:rPr>
          <w:rFonts w:hint="eastAsia"/>
        </w:rPr>
        <w:t>第五章评审</w:t>
      </w:r>
      <w:bookmarkEnd w:id="20"/>
    </w:p>
    <w:p>
      <w:pPr>
        <w:spacing w:line="440" w:lineRule="exact"/>
        <w:ind w:firstLine="482" w:firstLineChars="200"/>
        <w:rPr>
          <w:rFonts w:ascii="宋体" w:hAnsi="宋体"/>
          <w:b/>
          <w:sz w:val="24"/>
        </w:rPr>
      </w:pPr>
      <w:r>
        <w:rPr>
          <w:rFonts w:hint="eastAsia" w:ascii="宋体" w:hAnsi="宋体"/>
          <w:b/>
          <w:sz w:val="24"/>
        </w:rPr>
        <w:t>1</w:t>
      </w:r>
      <w:r>
        <w:rPr>
          <w:rFonts w:hint="eastAsia" w:ascii="宋体" w:hAnsi="宋体"/>
          <w:b/>
          <w:sz w:val="24"/>
          <w:lang w:val="en-US" w:eastAsia="zh-CN"/>
        </w:rPr>
        <w:t>6</w:t>
      </w:r>
      <w:r>
        <w:rPr>
          <w:rFonts w:hint="eastAsia" w:ascii="宋体" w:hAnsi="宋体"/>
          <w:b/>
          <w:sz w:val="24"/>
        </w:rPr>
        <w:t>.评审过程的保密性</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6</w:t>
      </w:r>
      <w:r>
        <w:rPr>
          <w:rFonts w:hint="eastAsia" w:ascii="宋体" w:hAnsi="宋体"/>
          <w:spacing w:val="-2"/>
          <w:sz w:val="24"/>
        </w:rPr>
        <w:t>.1开标后，直到授予投标供应商合同为止，凡是属于审查、澄清、评价和比较的有关资料以及授标建议等内容，评审小组成员或参与评审的有关工作人员均不得向投标供应商或其他无关的人员透露，违者给予警告、取消担任评审小组成员的资格。</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6</w:t>
      </w:r>
      <w:r>
        <w:rPr>
          <w:rFonts w:hint="eastAsia" w:ascii="宋体" w:hAnsi="宋体"/>
          <w:spacing w:val="-2"/>
          <w:sz w:val="24"/>
        </w:rPr>
        <w:t>.2 投标供应商在评审过程中，所进行的力图影响评审结果的以及不符合《招投标法》、《政府采购法》以及本次招标的有关规定的活动，将被取消其中标资格。</w:t>
      </w:r>
    </w:p>
    <w:p>
      <w:pPr>
        <w:spacing w:line="440" w:lineRule="exact"/>
        <w:ind w:left="481" w:leftChars="229"/>
        <w:rPr>
          <w:rFonts w:ascii="宋体" w:hAnsi="宋体"/>
          <w:b/>
          <w:sz w:val="24"/>
        </w:rPr>
      </w:pPr>
      <w:r>
        <w:rPr>
          <w:rFonts w:hint="eastAsia" w:ascii="宋体" w:hAnsi="宋体"/>
          <w:b/>
          <w:sz w:val="24"/>
        </w:rPr>
        <w:t>1</w:t>
      </w:r>
      <w:r>
        <w:rPr>
          <w:rFonts w:hint="eastAsia" w:ascii="宋体" w:hAnsi="宋体"/>
          <w:b/>
          <w:sz w:val="24"/>
          <w:lang w:val="en-US" w:eastAsia="zh-CN"/>
        </w:rPr>
        <w:t>7</w:t>
      </w:r>
      <w:r>
        <w:rPr>
          <w:rFonts w:hint="eastAsia" w:ascii="宋体" w:hAnsi="宋体"/>
          <w:b/>
          <w:sz w:val="24"/>
        </w:rPr>
        <w:t>.评审小组</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7</w:t>
      </w:r>
      <w:r>
        <w:rPr>
          <w:rFonts w:hint="eastAsia" w:ascii="宋体" w:hAnsi="宋体"/>
          <w:spacing w:val="-2"/>
          <w:sz w:val="24"/>
        </w:rPr>
        <w:t>.1 招标人将根据《中华人民共和国政府采购法》的规定，依法组建本次招标的评审小组，负责本次采购项目的评审活动。评审小组负责向招标人推荐中标候选人或者根据招标人的授权直接确定中标人。</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7</w:t>
      </w:r>
      <w:r>
        <w:rPr>
          <w:rFonts w:hint="eastAsia" w:ascii="宋体" w:hAnsi="宋体"/>
          <w:spacing w:val="-2"/>
          <w:sz w:val="24"/>
        </w:rPr>
        <w:t>.2 评审小组成员名单于开标前确定。评审小组成员名单在中标结果确定前保密。</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7</w:t>
      </w:r>
      <w:r>
        <w:rPr>
          <w:rFonts w:hint="eastAsia" w:ascii="宋体" w:hAnsi="宋体"/>
          <w:spacing w:val="-2"/>
          <w:sz w:val="24"/>
        </w:rPr>
        <w:t>.</w:t>
      </w:r>
      <w:r>
        <w:rPr>
          <w:rFonts w:ascii="宋体" w:hAnsi="宋体"/>
          <w:spacing w:val="-2"/>
          <w:sz w:val="24"/>
        </w:rPr>
        <w:t>3</w:t>
      </w:r>
      <w:r>
        <w:rPr>
          <w:rFonts w:hint="eastAsia" w:ascii="宋体" w:hAnsi="宋体"/>
          <w:spacing w:val="-2"/>
          <w:sz w:val="24"/>
        </w:rPr>
        <w:t>评审小组由招标人或熟悉相关业务的代表以及有关技术、经济等方面的人员组成，成员为</w:t>
      </w:r>
      <w:r>
        <w:rPr>
          <w:rFonts w:hint="eastAsia" w:ascii="宋体" w:hAnsi="宋体"/>
          <w:color w:val="auto"/>
          <w:spacing w:val="-2"/>
          <w:sz w:val="24"/>
        </w:rPr>
        <w:t>五人及以上的单数</w:t>
      </w:r>
      <w:r>
        <w:rPr>
          <w:rFonts w:hint="eastAsia" w:ascii="宋体" w:hAnsi="宋体"/>
          <w:spacing w:val="-2"/>
          <w:sz w:val="24"/>
        </w:rPr>
        <w:t>，其中技术、经济等方面的成员不少于成员总数的三分之二。</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7</w:t>
      </w:r>
      <w:r>
        <w:rPr>
          <w:rFonts w:hint="eastAsia" w:ascii="宋体" w:hAnsi="宋体"/>
          <w:spacing w:val="-2"/>
          <w:sz w:val="24"/>
        </w:rPr>
        <w:t>.</w:t>
      </w:r>
      <w:r>
        <w:rPr>
          <w:rFonts w:ascii="宋体" w:hAnsi="宋体"/>
          <w:spacing w:val="-2"/>
          <w:sz w:val="24"/>
        </w:rPr>
        <w:t>4</w:t>
      </w:r>
      <w:r>
        <w:rPr>
          <w:rFonts w:hint="eastAsia" w:ascii="宋体" w:hAnsi="宋体"/>
          <w:spacing w:val="-2"/>
          <w:sz w:val="24"/>
        </w:rPr>
        <w:t>按前款规定，评审小组的成员，由招标人委托代理公司采取随机抽取的方式确定或者直接确定的方式。</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7</w:t>
      </w:r>
      <w:r>
        <w:rPr>
          <w:rFonts w:hint="eastAsia" w:ascii="宋体" w:hAnsi="宋体"/>
          <w:spacing w:val="-2"/>
          <w:sz w:val="24"/>
        </w:rPr>
        <w:t>.</w:t>
      </w:r>
      <w:r>
        <w:rPr>
          <w:rFonts w:ascii="宋体" w:hAnsi="宋体"/>
          <w:spacing w:val="-2"/>
          <w:sz w:val="24"/>
        </w:rPr>
        <w:t>5</w:t>
      </w:r>
      <w:r>
        <w:rPr>
          <w:rFonts w:hint="eastAsia" w:ascii="宋体" w:hAnsi="宋体"/>
          <w:spacing w:val="-2"/>
          <w:sz w:val="24"/>
        </w:rPr>
        <w:t>.评审专家应符合下列条件：</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7</w:t>
      </w:r>
      <w:r>
        <w:rPr>
          <w:rFonts w:hint="eastAsia" w:ascii="宋体" w:hAnsi="宋体"/>
          <w:spacing w:val="-2"/>
          <w:sz w:val="24"/>
        </w:rPr>
        <w:t>.5.1具有良好的职业道德，廉洁自律，遵纪守法,无行贿、受贿、欺诈等不良信用记录；</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7</w:t>
      </w:r>
      <w:r>
        <w:rPr>
          <w:rFonts w:hint="eastAsia" w:ascii="宋体" w:hAnsi="宋体"/>
          <w:spacing w:val="-2"/>
          <w:sz w:val="24"/>
        </w:rPr>
        <w:t>.5.2具有中级专业技术职称或同等专业水平且从事相关领域工作满5年,或者具有高级专业技术职称或同等专业水平；</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7</w:t>
      </w:r>
      <w:r>
        <w:rPr>
          <w:rFonts w:hint="eastAsia" w:ascii="宋体" w:hAnsi="宋体"/>
          <w:spacing w:val="-2"/>
          <w:sz w:val="24"/>
        </w:rPr>
        <w:t>.5.3 熟悉政府采购相关政策法规；</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7</w:t>
      </w:r>
      <w:r>
        <w:rPr>
          <w:rFonts w:hint="eastAsia" w:ascii="宋体" w:hAnsi="宋体"/>
          <w:spacing w:val="-2"/>
          <w:sz w:val="24"/>
        </w:rPr>
        <w:t>.5.4承诺以独立身份参加评审工作,依法履行评审专家工作职责并承担相应法律责任的中国公民；</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7</w:t>
      </w:r>
      <w:r>
        <w:rPr>
          <w:rFonts w:hint="eastAsia" w:ascii="宋体" w:hAnsi="宋体"/>
          <w:spacing w:val="-2"/>
          <w:sz w:val="24"/>
        </w:rPr>
        <w:t>.5.5 身体健康，能够承担评审工作；</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7</w:t>
      </w:r>
      <w:r>
        <w:rPr>
          <w:rFonts w:hint="eastAsia" w:ascii="宋体" w:hAnsi="宋体"/>
          <w:spacing w:val="-2"/>
          <w:sz w:val="24"/>
        </w:rPr>
        <w:t>.5.6 申请成为评审专家前三年内,无《政府采购评审专家管理办法》中规定的不良行为记录。</w:t>
      </w:r>
    </w:p>
    <w:p>
      <w:pPr>
        <w:spacing w:line="440" w:lineRule="exact"/>
        <w:ind w:left="474" w:leftChars="224" w:hanging="4" w:hangingChars="2"/>
        <w:rPr>
          <w:rFonts w:ascii="宋体" w:hAnsi="宋体"/>
          <w:spacing w:val="-2"/>
          <w:sz w:val="24"/>
        </w:rPr>
      </w:pPr>
      <w:r>
        <w:rPr>
          <w:rFonts w:hint="eastAsia" w:ascii="宋体" w:hAnsi="宋体"/>
          <w:spacing w:val="-2"/>
          <w:sz w:val="24"/>
        </w:rPr>
        <w:t>有下列情形之一的，不得担任评审小组成员：</w:t>
      </w:r>
    </w:p>
    <w:p>
      <w:pPr>
        <w:spacing w:line="440" w:lineRule="exact"/>
        <w:ind w:firstLine="472" w:firstLineChars="200"/>
        <w:rPr>
          <w:rFonts w:ascii="宋体" w:hAnsi="宋体"/>
          <w:spacing w:val="-2"/>
          <w:sz w:val="24"/>
        </w:rPr>
      </w:pPr>
      <w:r>
        <w:rPr>
          <w:rFonts w:hint="eastAsia" w:ascii="宋体" w:hAnsi="宋体"/>
          <w:spacing w:val="-2"/>
          <w:sz w:val="24"/>
        </w:rPr>
        <w:t>(1)参加采购活动前三年内,与供应商存在劳动关系,或者担任过供应商的董事、监事,或者是供应商的控股股东或实际控制人；</w:t>
      </w:r>
    </w:p>
    <w:p>
      <w:pPr>
        <w:spacing w:line="440" w:lineRule="exact"/>
        <w:ind w:firstLine="472" w:firstLineChars="200"/>
        <w:rPr>
          <w:rFonts w:ascii="宋体" w:hAnsi="宋体"/>
          <w:spacing w:val="-2"/>
          <w:sz w:val="24"/>
        </w:rPr>
      </w:pPr>
      <w:r>
        <w:rPr>
          <w:rFonts w:hint="eastAsia" w:ascii="宋体" w:hAnsi="宋体"/>
          <w:spacing w:val="-2"/>
          <w:sz w:val="24"/>
        </w:rPr>
        <w:t>(2)与供应商的法定代表人或者负责人有夫妻、直系血亲、三代以内旁系血亲或者近姻亲关系；</w:t>
      </w:r>
    </w:p>
    <w:p>
      <w:pPr>
        <w:spacing w:line="440" w:lineRule="exact"/>
        <w:ind w:firstLine="472" w:firstLineChars="200"/>
        <w:rPr>
          <w:rFonts w:ascii="宋体" w:hAnsi="宋体"/>
          <w:spacing w:val="-2"/>
          <w:sz w:val="24"/>
        </w:rPr>
      </w:pPr>
      <w:r>
        <w:rPr>
          <w:rFonts w:hint="eastAsia" w:ascii="宋体" w:hAnsi="宋体"/>
          <w:spacing w:val="-2"/>
          <w:sz w:val="24"/>
        </w:rPr>
        <w:t>(3)与供应商有其他可能影响政府采购活动公平、公正进行的关系。</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7</w:t>
      </w:r>
      <w:r>
        <w:rPr>
          <w:rFonts w:hint="eastAsia" w:ascii="宋体" w:hAnsi="宋体"/>
          <w:spacing w:val="-2"/>
          <w:sz w:val="24"/>
        </w:rPr>
        <w:t>.</w:t>
      </w:r>
      <w:r>
        <w:rPr>
          <w:rFonts w:ascii="宋体" w:hAnsi="宋体"/>
          <w:spacing w:val="-2"/>
          <w:sz w:val="24"/>
        </w:rPr>
        <w:t>6</w:t>
      </w:r>
      <w:r>
        <w:rPr>
          <w:rFonts w:hint="eastAsia" w:ascii="宋体" w:hAnsi="宋体"/>
          <w:spacing w:val="-2"/>
          <w:sz w:val="24"/>
        </w:rPr>
        <w:t>评审小组成员应当客观、公正地履行职责，遵守职业道德，并对所提出的评审意见承担个人责任。评审小组成员不得与任何投标供应商或者与招标结果有利害关系的人员进行私下接触，不得收受投标供应商、中介人、其他有利害关系人的财物或者其他好处。</w:t>
      </w:r>
    </w:p>
    <w:p>
      <w:pPr>
        <w:spacing w:line="440" w:lineRule="exact"/>
        <w:ind w:firstLine="472" w:firstLineChars="200"/>
        <w:rPr>
          <w:rFonts w:ascii="宋体" w:hAnsi="宋体"/>
          <w:sz w:val="24"/>
        </w:rPr>
      </w:pPr>
      <w:r>
        <w:rPr>
          <w:rFonts w:hint="eastAsia" w:ascii="宋体" w:hAnsi="宋体"/>
          <w:spacing w:val="-2"/>
          <w:sz w:val="24"/>
        </w:rPr>
        <w:t>1</w:t>
      </w:r>
      <w:r>
        <w:rPr>
          <w:rFonts w:hint="eastAsia" w:ascii="宋体" w:hAnsi="宋体"/>
          <w:spacing w:val="-2"/>
          <w:sz w:val="24"/>
          <w:lang w:val="en-US" w:eastAsia="zh-CN"/>
        </w:rPr>
        <w:t>7</w:t>
      </w:r>
      <w:r>
        <w:rPr>
          <w:rFonts w:hint="eastAsia" w:ascii="宋体" w:hAnsi="宋体"/>
          <w:spacing w:val="-2"/>
          <w:sz w:val="24"/>
        </w:rPr>
        <w:t>.7 评审小组成员和与本次评审活动有关的工作人员，不得透露对响应文件的评审和比较、中标候选人的推荐情况以及与评审有关的其他情况。与评审活动有关的工作人员，是指评审小组成员以外的、因参与评审监督工作或者事务性工作而知悉有关评审情况的所有人员。</w:t>
      </w:r>
    </w:p>
    <w:p>
      <w:pPr>
        <w:spacing w:line="440" w:lineRule="exact"/>
        <w:ind w:firstLine="482" w:firstLineChars="200"/>
        <w:rPr>
          <w:rFonts w:ascii="宋体" w:hAnsi="宋体"/>
          <w:b/>
          <w:sz w:val="24"/>
        </w:rPr>
      </w:pPr>
      <w:r>
        <w:rPr>
          <w:rFonts w:hint="eastAsia" w:ascii="宋体" w:hAnsi="宋体"/>
          <w:b/>
          <w:sz w:val="24"/>
        </w:rPr>
        <w:t>1</w:t>
      </w:r>
      <w:r>
        <w:rPr>
          <w:rFonts w:hint="eastAsia" w:ascii="宋体" w:hAnsi="宋体"/>
          <w:b/>
          <w:sz w:val="24"/>
          <w:lang w:val="en-US" w:eastAsia="zh-CN"/>
        </w:rPr>
        <w:t>8</w:t>
      </w:r>
      <w:r>
        <w:rPr>
          <w:rFonts w:hint="eastAsia" w:ascii="宋体" w:hAnsi="宋体"/>
          <w:b/>
          <w:sz w:val="24"/>
        </w:rPr>
        <w:t>．评审的准备</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8</w:t>
      </w:r>
      <w:r>
        <w:rPr>
          <w:rFonts w:hint="eastAsia" w:ascii="宋体" w:hAnsi="宋体"/>
          <w:spacing w:val="-2"/>
          <w:sz w:val="24"/>
        </w:rPr>
        <w:t>.1  评审小组的成员应当熟悉并认真研究磋商文件，至少应了解和熟悉以下内容：</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8</w:t>
      </w:r>
      <w:r>
        <w:rPr>
          <w:rFonts w:hint="eastAsia" w:ascii="宋体" w:hAnsi="宋体"/>
          <w:spacing w:val="-2"/>
          <w:sz w:val="24"/>
        </w:rPr>
        <w:t>.1.1 招标目的。</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8</w:t>
      </w:r>
      <w:r>
        <w:rPr>
          <w:rFonts w:hint="eastAsia" w:ascii="宋体" w:hAnsi="宋体"/>
          <w:spacing w:val="-2"/>
          <w:sz w:val="24"/>
        </w:rPr>
        <w:t>.1.2 招标项目的范围、性质。</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8</w:t>
      </w:r>
      <w:r>
        <w:rPr>
          <w:rFonts w:hint="eastAsia" w:ascii="宋体" w:hAnsi="宋体"/>
          <w:spacing w:val="-2"/>
          <w:sz w:val="24"/>
        </w:rPr>
        <w:t>.1.3 磋商文件中规定的主要技术要求、标准和商务条款。</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8</w:t>
      </w:r>
      <w:r>
        <w:rPr>
          <w:rFonts w:hint="eastAsia" w:ascii="宋体" w:hAnsi="宋体"/>
          <w:spacing w:val="-2"/>
          <w:sz w:val="24"/>
        </w:rPr>
        <w:t>.1.4 磋商文件规定的评审标准、评审方法和在评审过程中应考虑的相关因素。</w:t>
      </w:r>
    </w:p>
    <w:p>
      <w:pPr>
        <w:spacing w:line="440" w:lineRule="exact"/>
        <w:ind w:firstLine="472" w:firstLineChars="200"/>
        <w:rPr>
          <w:rFonts w:ascii="宋体" w:hAnsi="宋体"/>
          <w:spacing w:val="-2"/>
          <w:sz w:val="24"/>
        </w:rPr>
      </w:pPr>
      <w:r>
        <w:rPr>
          <w:rFonts w:hint="eastAsia" w:ascii="宋体" w:hAnsi="宋体"/>
          <w:spacing w:val="-2"/>
          <w:sz w:val="24"/>
        </w:rPr>
        <w:t>1</w:t>
      </w:r>
      <w:r>
        <w:rPr>
          <w:rFonts w:hint="eastAsia" w:ascii="宋体" w:hAnsi="宋体"/>
          <w:spacing w:val="-2"/>
          <w:sz w:val="24"/>
          <w:lang w:val="en-US" w:eastAsia="zh-CN"/>
        </w:rPr>
        <w:t>8</w:t>
      </w:r>
      <w:r>
        <w:rPr>
          <w:rFonts w:ascii="宋体" w:hAnsi="宋体"/>
          <w:spacing w:val="-2"/>
          <w:sz w:val="24"/>
        </w:rPr>
        <w:t>.2</w:t>
      </w:r>
      <w:r>
        <w:rPr>
          <w:rFonts w:hint="eastAsia" w:ascii="宋体" w:hAnsi="宋体"/>
          <w:spacing w:val="-2"/>
          <w:sz w:val="24"/>
        </w:rPr>
        <w:t>招标人应当向评审小组提供评审所需的重要信息和数据。</w:t>
      </w:r>
    </w:p>
    <w:p>
      <w:pPr>
        <w:spacing w:line="440" w:lineRule="exact"/>
        <w:ind w:firstLine="472" w:firstLineChars="200"/>
        <w:rPr>
          <w:rFonts w:ascii="宋体" w:hAnsi="宋体"/>
          <w:sz w:val="24"/>
        </w:rPr>
      </w:pPr>
      <w:r>
        <w:rPr>
          <w:rFonts w:hint="eastAsia" w:ascii="宋体" w:hAnsi="宋体"/>
          <w:spacing w:val="-2"/>
          <w:sz w:val="24"/>
        </w:rPr>
        <w:t>1</w:t>
      </w:r>
      <w:r>
        <w:rPr>
          <w:rFonts w:hint="eastAsia" w:ascii="宋体" w:hAnsi="宋体"/>
          <w:spacing w:val="-2"/>
          <w:sz w:val="24"/>
          <w:lang w:val="en-US" w:eastAsia="zh-CN"/>
        </w:rPr>
        <w:t>8</w:t>
      </w:r>
      <w:r>
        <w:rPr>
          <w:rFonts w:ascii="宋体" w:hAnsi="宋体"/>
          <w:spacing w:val="-2"/>
          <w:sz w:val="24"/>
        </w:rPr>
        <w:t>.3</w:t>
      </w:r>
      <w:r>
        <w:rPr>
          <w:rFonts w:hint="eastAsia" w:ascii="宋体" w:hAnsi="宋体"/>
          <w:spacing w:val="-2"/>
          <w:sz w:val="24"/>
        </w:rPr>
        <w:t>评审小组应当根据磋商文件规定的评审标准和方法，对响应文件进行系统地评审和比较。磋商文件中没有规定的标准和方法不得作为评审的依据。</w:t>
      </w:r>
    </w:p>
    <w:p>
      <w:pPr>
        <w:spacing w:line="440" w:lineRule="exact"/>
        <w:ind w:firstLine="482" w:firstLineChars="200"/>
        <w:rPr>
          <w:rFonts w:ascii="宋体" w:hAnsi="宋体"/>
          <w:b/>
          <w:sz w:val="24"/>
        </w:rPr>
      </w:pPr>
      <w:r>
        <w:rPr>
          <w:rFonts w:hint="eastAsia" w:ascii="宋体" w:hAnsi="宋体"/>
          <w:b/>
          <w:sz w:val="24"/>
        </w:rPr>
        <w:t>1</w:t>
      </w:r>
      <w:r>
        <w:rPr>
          <w:rFonts w:hint="eastAsia" w:ascii="宋体" w:hAnsi="宋体"/>
          <w:b/>
          <w:sz w:val="24"/>
          <w:lang w:val="en-US" w:eastAsia="zh-CN"/>
        </w:rPr>
        <w:t>9</w:t>
      </w:r>
      <w:r>
        <w:rPr>
          <w:rFonts w:hint="eastAsia" w:ascii="宋体" w:hAnsi="宋体"/>
          <w:b/>
          <w:sz w:val="24"/>
        </w:rPr>
        <w:t>.评审依据及评审办法</w:t>
      </w:r>
    </w:p>
    <w:p>
      <w:pPr>
        <w:spacing w:line="440" w:lineRule="exact"/>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9</w:t>
      </w:r>
      <w:r>
        <w:rPr>
          <w:rFonts w:hint="eastAsia" w:ascii="宋体" w:hAnsi="宋体"/>
          <w:sz w:val="24"/>
        </w:rPr>
        <w:t>.1 评审依据为磋商文件。</w:t>
      </w:r>
    </w:p>
    <w:p>
      <w:pPr>
        <w:spacing w:line="440" w:lineRule="exact"/>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9</w:t>
      </w:r>
      <w:r>
        <w:rPr>
          <w:rFonts w:hint="eastAsia" w:ascii="宋体" w:hAnsi="宋体"/>
          <w:sz w:val="24"/>
        </w:rPr>
        <w:t>.2 本次采购项目采用综合评分法。</w:t>
      </w:r>
    </w:p>
    <w:p>
      <w:pPr>
        <w:spacing w:line="440" w:lineRule="exact"/>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9</w:t>
      </w:r>
      <w:r>
        <w:rPr>
          <w:rFonts w:hint="eastAsia" w:ascii="宋体" w:hAnsi="宋体"/>
          <w:sz w:val="24"/>
        </w:rPr>
        <w:t>.3 招标人不接受不符合国家有关部门相关规定的投标报价或优惠方案。</w:t>
      </w:r>
    </w:p>
    <w:p>
      <w:pPr>
        <w:spacing w:line="440" w:lineRule="exact"/>
        <w:ind w:firstLine="482" w:firstLineChars="200"/>
        <w:rPr>
          <w:rFonts w:ascii="宋体" w:hAnsi="宋体"/>
          <w:b/>
          <w:sz w:val="24"/>
        </w:rPr>
      </w:pPr>
      <w:r>
        <w:rPr>
          <w:rFonts w:hint="eastAsia" w:ascii="宋体" w:hAnsi="宋体"/>
          <w:b/>
          <w:sz w:val="24"/>
          <w:lang w:val="en-US" w:eastAsia="zh-CN"/>
        </w:rPr>
        <w:t>20</w:t>
      </w:r>
      <w:r>
        <w:rPr>
          <w:rFonts w:hint="eastAsia" w:ascii="宋体" w:hAnsi="宋体"/>
          <w:b/>
          <w:sz w:val="24"/>
        </w:rPr>
        <w:t>. 评审程序及评审因素</w:t>
      </w:r>
    </w:p>
    <w:p>
      <w:pPr>
        <w:spacing w:line="440" w:lineRule="exact"/>
        <w:ind w:firstLine="482" w:firstLineChars="200"/>
        <w:rPr>
          <w:rFonts w:ascii="宋体" w:hAnsi="宋体"/>
          <w:b/>
          <w:sz w:val="24"/>
        </w:rPr>
      </w:pPr>
      <w:r>
        <w:rPr>
          <w:rFonts w:hint="eastAsia" w:ascii="宋体" w:hAnsi="宋体"/>
          <w:b/>
          <w:sz w:val="24"/>
          <w:lang w:val="en-US" w:eastAsia="zh-CN"/>
        </w:rPr>
        <w:t>20</w:t>
      </w:r>
      <w:r>
        <w:rPr>
          <w:rFonts w:hint="eastAsia" w:ascii="宋体" w:hAnsi="宋体"/>
          <w:b/>
          <w:sz w:val="24"/>
        </w:rPr>
        <w:t>.1 评审程序</w:t>
      </w:r>
    </w:p>
    <w:p>
      <w:pPr>
        <w:spacing w:line="440" w:lineRule="exact"/>
        <w:ind w:firstLine="482" w:firstLineChars="200"/>
        <w:rPr>
          <w:rFonts w:ascii="宋体" w:hAnsi="宋体"/>
          <w:b/>
          <w:sz w:val="24"/>
        </w:rPr>
      </w:pPr>
      <w:r>
        <w:rPr>
          <w:rFonts w:hint="eastAsia" w:ascii="宋体" w:hAnsi="宋体"/>
          <w:b/>
          <w:sz w:val="24"/>
        </w:rPr>
        <w:t>成立评审小组→初步评审（符合性审查表）→详细评审（商务、技术部分评审）→磋商环节（二次报价及报价得分计算）→推荐成交候选人→完成评审报告。</w:t>
      </w:r>
    </w:p>
    <w:p>
      <w:pPr>
        <w:spacing w:line="440" w:lineRule="exact"/>
        <w:ind w:firstLine="482" w:firstLineChars="200"/>
        <w:rPr>
          <w:rFonts w:ascii="宋体" w:hAnsi="宋体"/>
          <w:b/>
          <w:sz w:val="24"/>
        </w:rPr>
      </w:pPr>
      <w:r>
        <w:rPr>
          <w:rFonts w:hint="eastAsia" w:ascii="宋体" w:hAnsi="宋体"/>
          <w:b/>
          <w:sz w:val="24"/>
        </w:rPr>
        <w:t>通过初步评审的供应商可进行下一环节的评审；</w:t>
      </w:r>
    </w:p>
    <w:p>
      <w:pPr>
        <w:spacing w:line="440" w:lineRule="exact"/>
        <w:ind w:firstLine="482" w:firstLineChars="200"/>
        <w:rPr>
          <w:rFonts w:ascii="宋体" w:hAnsi="宋体"/>
          <w:b/>
          <w:sz w:val="24"/>
        </w:rPr>
      </w:pPr>
      <w:r>
        <w:rPr>
          <w:rFonts w:hint="eastAsia" w:ascii="宋体" w:hAnsi="宋体"/>
          <w:b/>
          <w:sz w:val="24"/>
          <w:lang w:val="en-US" w:eastAsia="zh-CN"/>
        </w:rPr>
        <w:t>20</w:t>
      </w:r>
      <w:r>
        <w:rPr>
          <w:rFonts w:hint="eastAsia" w:ascii="宋体" w:hAnsi="宋体"/>
          <w:b/>
          <w:sz w:val="24"/>
        </w:rPr>
        <w:t>.2对响应文件的评估和比较</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hint="eastAsia" w:ascii="宋体" w:hAnsi="宋体"/>
          <w:spacing w:val="-2"/>
          <w:sz w:val="24"/>
        </w:rPr>
        <w:t>.2.1　对实质性投标的响应文件进行评估和比较。</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hint="eastAsia" w:ascii="宋体" w:hAnsi="宋体"/>
          <w:spacing w:val="-2"/>
          <w:sz w:val="24"/>
        </w:rPr>
        <w:t>.2.2　除考虑投标价格外，还应考虑以下因素：</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hint="eastAsia" w:ascii="宋体" w:hAnsi="宋体"/>
          <w:spacing w:val="-2"/>
          <w:sz w:val="24"/>
        </w:rPr>
        <w:t>.2.3　响应文件中所报交货期及付款方式；</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hint="eastAsia" w:ascii="宋体" w:hAnsi="宋体"/>
          <w:spacing w:val="-2"/>
          <w:sz w:val="24"/>
        </w:rPr>
        <w:t>.2.4　磋商文件中所要求的有关服务费用；</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hint="eastAsia" w:ascii="宋体" w:hAnsi="宋体"/>
          <w:spacing w:val="-2"/>
          <w:sz w:val="24"/>
        </w:rPr>
        <w:t>.2.5　其他特殊要求因素。</w:t>
      </w:r>
    </w:p>
    <w:p>
      <w:pPr>
        <w:spacing w:line="440" w:lineRule="exact"/>
        <w:ind w:firstLine="482" w:firstLineChars="200"/>
        <w:rPr>
          <w:rFonts w:ascii="宋体" w:hAnsi="宋体"/>
          <w:b/>
          <w:sz w:val="24"/>
        </w:rPr>
      </w:pPr>
      <w:r>
        <w:rPr>
          <w:rFonts w:hint="eastAsia" w:ascii="宋体" w:hAnsi="宋体"/>
          <w:b/>
          <w:sz w:val="24"/>
          <w:lang w:val="en-US" w:eastAsia="zh-CN"/>
        </w:rPr>
        <w:t>20</w:t>
      </w:r>
      <w:r>
        <w:rPr>
          <w:rFonts w:hint="eastAsia" w:ascii="宋体" w:hAnsi="宋体"/>
          <w:b/>
          <w:sz w:val="24"/>
        </w:rPr>
        <w:t>.3 初步评审</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ascii="宋体" w:hAnsi="宋体"/>
          <w:spacing w:val="-2"/>
          <w:sz w:val="24"/>
        </w:rPr>
        <w:t>.3</w:t>
      </w:r>
      <w:r>
        <w:rPr>
          <w:rFonts w:hint="eastAsia" w:ascii="宋体" w:hAnsi="宋体"/>
          <w:spacing w:val="-2"/>
          <w:sz w:val="24"/>
        </w:rPr>
        <w:t>.1  评审小组对响应文件的有效性、完整性和投标程度进行审查时，可以书面方式要求投标供应商对响应文件中含义不明确、对同类问题表述不一致或者有明显文字和计算错误的内容作必要的澄清、说明或补正。供应商的澄清、说明或补正应以书面方式进行,并不得超出响应文件的范围或者改变响应文件的实质性内容。响应文件中的大写金额和小写金额不一致的以大写金额为准。</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ascii="宋体" w:hAnsi="宋体"/>
          <w:spacing w:val="-2"/>
          <w:sz w:val="24"/>
        </w:rPr>
        <w:t>.3</w:t>
      </w:r>
      <w:r>
        <w:rPr>
          <w:rFonts w:hint="eastAsia" w:ascii="宋体" w:hAnsi="宋体"/>
          <w:spacing w:val="-2"/>
          <w:sz w:val="24"/>
        </w:rPr>
        <w:t>.2　采购方不接受不符合国家有关部门相关规定的投标报价或优惠方案。</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ascii="宋体" w:hAnsi="宋体"/>
          <w:spacing w:val="-2"/>
          <w:sz w:val="24"/>
        </w:rPr>
        <w:t>.3</w:t>
      </w:r>
      <w:r>
        <w:rPr>
          <w:rFonts w:hint="eastAsia" w:ascii="宋体" w:hAnsi="宋体"/>
          <w:spacing w:val="-2"/>
          <w:sz w:val="24"/>
        </w:rPr>
        <w:t>.3　在评审过程中，评审小组发现投标供应商以他人名义投标、串通投标、以行贿手段谋取中标或者以其他弄虚作假方式投标的，该投标供应商的投标将被否决。</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ascii="宋体" w:hAnsi="宋体"/>
          <w:spacing w:val="-2"/>
          <w:sz w:val="24"/>
        </w:rPr>
        <w:t>.3</w:t>
      </w:r>
      <w:r>
        <w:rPr>
          <w:rFonts w:hint="eastAsia" w:ascii="宋体" w:hAnsi="宋体"/>
          <w:spacing w:val="-2"/>
          <w:sz w:val="24"/>
        </w:rPr>
        <w:t>.4 　投标供应商的资格条件不符合国家有关规定和磋商文件要求的，或者拒不按照要求对响应文件进行澄清、说明或补正的，评审小组可以否决其投标。</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ascii="宋体" w:hAnsi="宋体"/>
          <w:spacing w:val="-2"/>
          <w:sz w:val="24"/>
        </w:rPr>
        <w:t>.3</w:t>
      </w:r>
      <w:r>
        <w:rPr>
          <w:rFonts w:hint="eastAsia" w:ascii="宋体" w:hAnsi="宋体"/>
          <w:spacing w:val="-2"/>
          <w:sz w:val="24"/>
        </w:rPr>
        <w:t>.5  评审小组应当审查每一响应文件是否对磋商文件提出的所有实质性要求和条件做出投标。未能在实质上投标的投标，其投标将被否决。</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ascii="宋体" w:hAnsi="宋体"/>
          <w:spacing w:val="-2"/>
          <w:sz w:val="24"/>
        </w:rPr>
        <w:t>.3</w:t>
      </w:r>
      <w:r>
        <w:rPr>
          <w:rFonts w:hint="eastAsia" w:ascii="宋体" w:hAnsi="宋体"/>
          <w:spacing w:val="-2"/>
          <w:sz w:val="24"/>
        </w:rPr>
        <w:t>.6　投标供应商不得误导、干扰采购方的评审活动，否则将废除其投标。</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ascii="宋体" w:hAnsi="宋体"/>
          <w:spacing w:val="-2"/>
          <w:sz w:val="24"/>
        </w:rPr>
        <w:t>.3</w:t>
      </w:r>
      <w:r>
        <w:rPr>
          <w:rFonts w:hint="eastAsia" w:ascii="宋体" w:hAnsi="宋体"/>
          <w:spacing w:val="-2"/>
          <w:sz w:val="24"/>
        </w:rPr>
        <w:t>.7  评审小组根据上述规定否决不合格投标，因有效投标不足本次评标办法规定数量而使得投标明显缺乏竞争性时，根据《中华人民共和国政府采购法》的相关，将作流标处理。</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ascii="宋体" w:hAnsi="宋体"/>
          <w:spacing w:val="-2"/>
          <w:sz w:val="24"/>
        </w:rPr>
        <w:t>.3</w:t>
      </w:r>
      <w:r>
        <w:rPr>
          <w:rFonts w:hint="eastAsia" w:ascii="宋体" w:hAnsi="宋体"/>
          <w:spacing w:val="-2"/>
          <w:sz w:val="24"/>
        </w:rPr>
        <w:t>.8  响应文件的澄清</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ascii="宋体" w:hAnsi="宋体"/>
          <w:spacing w:val="-2"/>
          <w:sz w:val="24"/>
        </w:rPr>
        <w:t>.3</w:t>
      </w:r>
      <w:r>
        <w:rPr>
          <w:rFonts w:hint="eastAsia" w:ascii="宋体" w:hAnsi="宋体"/>
          <w:spacing w:val="-2"/>
          <w:sz w:val="24"/>
        </w:rPr>
        <w:t>.8.1　为有助于对响应文件进行审查、评估和比较，采购方组建的评审小组将对认为需要（不是每一个）的投标供应商进行询标，请投标方澄清其投标内容，投标方有责任按照采购方通知的时间、地点指派专人进行答疑和澄清。询标时投标方代表应作书面记录，所有澄清的答复必须是书面形式。</w:t>
      </w:r>
    </w:p>
    <w:p>
      <w:pPr>
        <w:spacing w:line="440" w:lineRule="exact"/>
        <w:ind w:firstLine="472" w:firstLineChars="200"/>
        <w:rPr>
          <w:rFonts w:ascii="宋体" w:hAnsi="宋体"/>
          <w:spacing w:val="-2"/>
          <w:sz w:val="24"/>
        </w:rPr>
      </w:pPr>
      <w:r>
        <w:rPr>
          <w:rFonts w:hint="eastAsia" w:ascii="宋体" w:hAnsi="宋体"/>
          <w:spacing w:val="-2"/>
          <w:sz w:val="24"/>
          <w:lang w:val="en-US" w:eastAsia="zh-CN"/>
        </w:rPr>
        <w:t>20</w:t>
      </w:r>
      <w:r>
        <w:rPr>
          <w:rFonts w:ascii="宋体" w:hAnsi="宋体"/>
          <w:spacing w:val="-2"/>
          <w:sz w:val="24"/>
        </w:rPr>
        <w:t>.3</w:t>
      </w:r>
      <w:r>
        <w:rPr>
          <w:rFonts w:hint="eastAsia" w:ascii="宋体" w:hAnsi="宋体"/>
          <w:spacing w:val="-2"/>
          <w:sz w:val="24"/>
        </w:rPr>
        <w:t>.8.2　重要澄清的答复应是书面的，但不得对投标的价格、技术指标和参数等内容进行实质性修改。澄清文件须由投标方法定代表人或法人授权代表签字和（或）加盖投标方公章并作为响应文件的组成部分。</w:t>
      </w:r>
    </w:p>
    <w:p>
      <w:pPr>
        <w:spacing w:line="440" w:lineRule="exact"/>
        <w:ind w:firstLine="472" w:firstLineChars="200"/>
        <w:rPr>
          <w:rFonts w:hint="eastAsia" w:ascii="宋体" w:hAnsi="宋体"/>
          <w:b/>
          <w:spacing w:val="-2"/>
          <w:sz w:val="24"/>
        </w:rPr>
      </w:pPr>
      <w:r>
        <w:rPr>
          <w:rFonts w:hint="eastAsia" w:ascii="宋体" w:hAnsi="宋体"/>
          <w:spacing w:val="-2"/>
          <w:sz w:val="24"/>
          <w:lang w:val="en-US" w:eastAsia="zh-CN"/>
        </w:rPr>
        <w:t>20</w:t>
      </w:r>
      <w:r>
        <w:rPr>
          <w:rFonts w:ascii="宋体" w:hAnsi="宋体"/>
          <w:spacing w:val="-2"/>
          <w:sz w:val="24"/>
        </w:rPr>
        <w:t>.3</w:t>
      </w:r>
      <w:r>
        <w:rPr>
          <w:rFonts w:hint="eastAsia" w:ascii="宋体" w:hAnsi="宋体"/>
          <w:spacing w:val="-2"/>
          <w:sz w:val="24"/>
        </w:rPr>
        <w:t>.8.3  投标供应商的澄清不得对投标内容进行实质性修改。</w:t>
      </w:r>
    </w:p>
    <w:p>
      <w:pPr>
        <w:spacing w:line="440" w:lineRule="exact"/>
        <w:rPr>
          <w:rFonts w:ascii="宋体" w:hAnsi="宋体"/>
          <w:b/>
          <w:spacing w:val="-2"/>
          <w:sz w:val="24"/>
        </w:rPr>
      </w:pPr>
      <w:r>
        <w:rPr>
          <w:rFonts w:hint="eastAsia" w:ascii="宋体" w:hAnsi="宋体"/>
          <w:b/>
          <w:spacing w:val="-2"/>
          <w:sz w:val="24"/>
        </w:rPr>
        <w:t>初步评审的标准详见附表</w:t>
      </w:r>
    </w:p>
    <w:tbl>
      <w:tblPr>
        <w:tblStyle w:val="27"/>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219" w:type="dxa"/>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196" w:type="dxa"/>
            <w:gridSpan w:val="2"/>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09" w:type="dxa"/>
            <w:gridSpan w:val="2"/>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219"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196" w:type="dxa"/>
            <w:gridSpan w:val="2"/>
            <w:vMerge w:val="continue"/>
            <w:noWrap w:val="0"/>
            <w:vAlign w:val="top"/>
          </w:tcPr>
          <w:p>
            <w:pPr>
              <w:shd w:val="clear" w:color="auto" w:fill="auto"/>
              <w:rPr>
                <w:rFonts w:hint="eastAsia" w:ascii="仿宋" w:hAnsi="仿宋" w:eastAsia="仿宋" w:cs="仿宋"/>
                <w:color w:val="auto"/>
                <w:sz w:val="24"/>
                <w:szCs w:val="24"/>
                <w:highlight w:val="none"/>
              </w:rPr>
            </w:pPr>
          </w:p>
        </w:tc>
        <w:tc>
          <w:tcPr>
            <w:tcW w:w="555"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654"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9" w:type="dxa"/>
            <w:vMerge w:val="restart"/>
            <w:noWrap w:val="0"/>
            <w:vAlign w:val="center"/>
          </w:tcPr>
          <w:p>
            <w:pPr>
              <w:adjustRightInd w:val="0"/>
              <w:snapToGrid w:val="0"/>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审</w:t>
            </w:r>
          </w:p>
          <w:p>
            <w:pPr>
              <w:adjustRightInd w:val="0"/>
              <w:snapToGrid w:val="0"/>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查</w:t>
            </w:r>
          </w:p>
          <w:p>
            <w:pPr>
              <w:adjustRightInd w:val="0"/>
              <w:snapToGrid w:val="0"/>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标</w:t>
            </w:r>
          </w:p>
          <w:p>
            <w:pPr>
              <w:adjustRightInd w:val="0"/>
              <w:snapToGrid w:val="0"/>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准</w:t>
            </w:r>
          </w:p>
          <w:p>
            <w:pPr>
              <w:adjustRightInd w:val="0"/>
              <w:snapToGrid w:val="0"/>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(适</w:t>
            </w:r>
          </w:p>
          <w:p>
            <w:pPr>
              <w:adjustRightInd w:val="0"/>
              <w:snapToGrid w:val="0"/>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用</w:t>
            </w:r>
          </w:p>
          <w:p>
            <w:pPr>
              <w:adjustRightInd w:val="0"/>
              <w:snapToGrid w:val="0"/>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于</w:t>
            </w:r>
          </w:p>
          <w:p>
            <w:pPr>
              <w:adjustRightInd w:val="0"/>
              <w:snapToGrid w:val="0"/>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资</w:t>
            </w:r>
          </w:p>
          <w:p>
            <w:pPr>
              <w:adjustRightInd w:val="0"/>
              <w:snapToGrid w:val="0"/>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格</w:t>
            </w:r>
          </w:p>
          <w:p>
            <w:pPr>
              <w:adjustRightInd w:val="0"/>
              <w:snapToGrid w:val="0"/>
              <w:spacing w:line="360" w:lineRule="auto"/>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后</w:t>
            </w:r>
          </w:p>
          <w:p>
            <w:pPr>
              <w:adjustRightInd w:val="0"/>
              <w:snapToGrid w:val="0"/>
              <w:spacing w:line="360" w:lineRule="auto"/>
              <w:jc w:val="center"/>
              <w:rPr>
                <w:rFonts w:hint="eastAsia" w:ascii="仿宋" w:hAnsi="仿宋" w:eastAsia="仿宋" w:cs="仿宋"/>
                <w:color w:val="auto"/>
                <w:sz w:val="24"/>
                <w:szCs w:val="24"/>
                <w:highlight w:val="none"/>
              </w:rPr>
            </w:pPr>
            <w:r>
              <w:rPr>
                <w:rFonts w:hint="eastAsia" w:ascii="Times New Roman" w:hAnsi="Times New Roman" w:eastAsia="宋体" w:cs="Times New Roman"/>
                <w:lang w:val="en-US" w:eastAsia="zh-CN"/>
              </w:rPr>
              <w:t>审)</w:t>
            </w:r>
          </w:p>
        </w:tc>
        <w:tc>
          <w:tcPr>
            <w:tcW w:w="547" w:type="dxa"/>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en-US" w:bidi="en-US"/>
              </w:rPr>
            </w:pPr>
            <w:r>
              <w:rPr>
                <w:rFonts w:hint="eastAsia" w:ascii="仿宋" w:hAnsi="仿宋" w:eastAsia="仿宋" w:cs="仿宋"/>
                <w:color w:val="auto"/>
                <w:sz w:val="24"/>
                <w:szCs w:val="24"/>
                <w:highlight w:val="none"/>
              </w:rPr>
              <w:t>1</w:t>
            </w:r>
          </w:p>
        </w:tc>
        <w:tc>
          <w:tcPr>
            <w:tcW w:w="6649" w:type="dxa"/>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满足《中华人民共和国政府采购法》第二十二条规定</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9"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szCs w:val="24"/>
                <w:highlight w:val="none"/>
                <w:lang w:val="en-US" w:eastAsia="zh-CN"/>
              </w:rPr>
              <w:t>2</w:t>
            </w:r>
          </w:p>
        </w:tc>
        <w:tc>
          <w:tcPr>
            <w:tcW w:w="6649" w:type="dxa"/>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（三证合一）营业执照副本</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19"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szCs w:val="24"/>
                <w:highlight w:val="none"/>
                <w:lang w:val="en-US" w:eastAsia="zh-CN"/>
              </w:rPr>
              <w:t>3</w:t>
            </w:r>
          </w:p>
        </w:tc>
        <w:tc>
          <w:tcPr>
            <w:tcW w:w="6649" w:type="dxa"/>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法定代表人投标需提供法定代表人资格证明书，委托代理人投标需提供法定代表人授权委托书</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219"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szCs w:val="24"/>
                <w:highlight w:val="none"/>
                <w:lang w:val="en-US" w:eastAsia="zh-CN"/>
              </w:rPr>
              <w:t>4</w:t>
            </w:r>
          </w:p>
        </w:tc>
        <w:tc>
          <w:tcPr>
            <w:tcW w:w="6649" w:type="dxa"/>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参加采购活动前三年内，在经营活动中没有重大违法记录，供应商须提供“信用中国”网（http://www.creditchina.gov.cn/）、“中国政府采购网”网站（http://www.ccgp.gov.cn）无违法违规行为的查询记录（提供查询结果网页截图并加盖供应商公章）；</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19"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ind w:left="0" w:leftChars="0" w:right="0" w:rightChars="0"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z w:val="24"/>
                <w:szCs w:val="24"/>
                <w:highlight w:val="none"/>
                <w:lang w:val="en-US" w:eastAsia="zh-CN"/>
              </w:rPr>
              <w:t>5</w:t>
            </w:r>
          </w:p>
        </w:tc>
        <w:tc>
          <w:tcPr>
            <w:tcW w:w="6649" w:type="dxa"/>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投标保证金收据或保函等票据</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19"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649" w:type="dxa"/>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投标企业须提供中小企业声明函；</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19"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547" w:type="dxa"/>
            <w:noWrap w:val="0"/>
            <w:vAlign w:val="top"/>
          </w:tcPr>
          <w:p>
            <w:pPr>
              <w:shd w:val="clear" w:color="auto" w:fill="auto"/>
              <w:jc w:val="center"/>
              <w:rPr>
                <w:rFonts w:hint="eastAsia" w:ascii="仿宋" w:hAnsi="仿宋" w:eastAsia="仿宋" w:cs="仿宋"/>
                <w:color w:val="auto"/>
                <w:sz w:val="24"/>
                <w:szCs w:val="24"/>
                <w:highlight w:val="none"/>
                <w:lang w:val="en-US" w:eastAsia="zh-CN"/>
              </w:rPr>
            </w:pPr>
          </w:p>
        </w:tc>
        <w:tc>
          <w:tcPr>
            <w:tcW w:w="6649" w:type="dxa"/>
            <w:noWrap w:val="0"/>
            <w:vAlign w:val="top"/>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结论：是否通过评审（须填写通过或不通过）</w:t>
            </w:r>
          </w:p>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注：如有一项不合格，作废标处理。</w:t>
            </w:r>
          </w:p>
        </w:tc>
        <w:tc>
          <w:tcPr>
            <w:tcW w:w="1209" w:type="dxa"/>
            <w:gridSpan w:val="2"/>
            <w:noWrap w:val="0"/>
            <w:vAlign w:val="top"/>
          </w:tcPr>
          <w:p>
            <w:pPr>
              <w:shd w:val="clear" w:color="auto" w:fill="auto"/>
              <w:rPr>
                <w:rFonts w:hint="eastAsia" w:ascii="仿宋" w:hAnsi="仿宋" w:eastAsia="仿宋" w:cs="仿宋"/>
                <w:color w:val="auto"/>
                <w:sz w:val="24"/>
                <w:szCs w:val="24"/>
                <w:highlight w:val="none"/>
              </w:rPr>
            </w:pPr>
          </w:p>
        </w:tc>
      </w:tr>
    </w:tbl>
    <w:p>
      <w:pPr>
        <w:pStyle w:val="11"/>
        <w:ind w:left="0" w:leftChars="0" w:firstLine="0" w:firstLineChars="0"/>
        <w:rPr>
          <w:rFonts w:hint="eastAsia" w:ascii="宋体" w:hAnsi="宋体" w:cs="宋体"/>
          <w:b/>
          <w:bCs/>
          <w:kern w:val="0"/>
          <w:sz w:val="28"/>
          <w:szCs w:val="28"/>
        </w:rPr>
      </w:pPr>
    </w:p>
    <w:p>
      <w:pPr>
        <w:rPr>
          <w:rFonts w:hint="eastAsia" w:ascii="宋体" w:hAnsi="宋体" w:cs="宋体"/>
          <w:b/>
          <w:bCs/>
          <w:kern w:val="0"/>
          <w:sz w:val="28"/>
          <w:szCs w:val="28"/>
        </w:rPr>
      </w:pPr>
    </w:p>
    <w:p>
      <w:pPr>
        <w:pStyle w:val="11"/>
        <w:rPr>
          <w:rFonts w:hint="eastAsia" w:ascii="宋体" w:hAnsi="宋体" w:cs="宋体"/>
          <w:b/>
          <w:bCs/>
          <w:kern w:val="0"/>
          <w:sz w:val="28"/>
          <w:szCs w:val="28"/>
        </w:rPr>
      </w:pPr>
    </w:p>
    <w:p>
      <w:pPr>
        <w:rPr>
          <w:rFonts w:hint="eastAsia" w:ascii="宋体" w:hAnsi="宋体" w:cs="宋体"/>
          <w:b/>
          <w:bCs/>
          <w:kern w:val="0"/>
          <w:sz w:val="28"/>
          <w:szCs w:val="28"/>
        </w:rPr>
      </w:pPr>
    </w:p>
    <w:p>
      <w:pPr>
        <w:pStyle w:val="11"/>
        <w:rPr>
          <w:rFonts w:hint="eastAsia" w:ascii="宋体" w:hAnsi="宋体" w:cs="宋体"/>
          <w:b/>
          <w:bCs/>
          <w:kern w:val="0"/>
          <w:sz w:val="28"/>
          <w:szCs w:val="28"/>
        </w:rPr>
      </w:pPr>
    </w:p>
    <w:p>
      <w:pPr>
        <w:rPr>
          <w:rFonts w:hint="eastAsia" w:ascii="宋体" w:hAnsi="宋体" w:cs="宋体"/>
          <w:b/>
          <w:bCs/>
          <w:kern w:val="0"/>
          <w:sz w:val="28"/>
          <w:szCs w:val="28"/>
        </w:rPr>
      </w:pPr>
    </w:p>
    <w:p>
      <w:pPr>
        <w:pStyle w:val="11"/>
        <w:rPr>
          <w:rFonts w:hint="eastAsia" w:ascii="宋体" w:hAnsi="宋体" w:cs="宋体"/>
          <w:b/>
          <w:bCs/>
          <w:kern w:val="0"/>
          <w:sz w:val="28"/>
          <w:szCs w:val="28"/>
        </w:rPr>
      </w:pPr>
    </w:p>
    <w:p>
      <w:pPr>
        <w:rPr>
          <w:rFonts w:hint="eastAsia" w:ascii="宋体" w:hAnsi="宋体" w:cs="宋体"/>
          <w:b/>
          <w:bCs/>
          <w:kern w:val="0"/>
          <w:sz w:val="28"/>
          <w:szCs w:val="28"/>
        </w:rPr>
      </w:pPr>
    </w:p>
    <w:p>
      <w:pPr>
        <w:pStyle w:val="11"/>
        <w:rPr>
          <w:rFonts w:hint="eastAsia" w:ascii="宋体" w:hAnsi="宋体" w:cs="宋体"/>
          <w:b/>
          <w:bCs/>
          <w:kern w:val="0"/>
          <w:sz w:val="28"/>
          <w:szCs w:val="28"/>
        </w:rPr>
      </w:pPr>
    </w:p>
    <w:p>
      <w:pPr>
        <w:rPr>
          <w:rFonts w:hint="eastAsia" w:ascii="宋体" w:hAnsi="宋体" w:cs="宋体"/>
          <w:b/>
          <w:bCs/>
          <w:kern w:val="0"/>
          <w:sz w:val="28"/>
          <w:szCs w:val="28"/>
        </w:rPr>
      </w:pPr>
    </w:p>
    <w:p>
      <w:pPr>
        <w:pStyle w:val="11"/>
        <w:rPr>
          <w:rFonts w:hint="eastAsia" w:ascii="宋体" w:hAnsi="宋体" w:cs="宋体"/>
          <w:b/>
          <w:bCs/>
          <w:kern w:val="0"/>
          <w:sz w:val="28"/>
          <w:szCs w:val="28"/>
        </w:rPr>
      </w:pPr>
    </w:p>
    <w:p>
      <w:pPr>
        <w:rPr>
          <w:rFonts w:hint="eastAsia" w:ascii="宋体" w:hAnsi="宋体" w:cs="宋体"/>
          <w:b/>
          <w:bCs/>
          <w:kern w:val="0"/>
          <w:sz w:val="28"/>
          <w:szCs w:val="28"/>
        </w:rPr>
      </w:pPr>
    </w:p>
    <w:p>
      <w:pPr>
        <w:pStyle w:val="11"/>
        <w:rPr>
          <w:rFonts w:hint="eastAsia" w:ascii="宋体" w:hAnsi="宋体" w:cs="宋体"/>
          <w:b/>
          <w:bCs/>
          <w:kern w:val="0"/>
          <w:sz w:val="28"/>
          <w:szCs w:val="28"/>
        </w:rPr>
      </w:pPr>
    </w:p>
    <w:p>
      <w:pPr>
        <w:rPr>
          <w:rFonts w:hint="eastAsia" w:ascii="宋体" w:hAnsi="宋体" w:cs="宋体"/>
          <w:b/>
          <w:bCs/>
          <w:kern w:val="0"/>
          <w:sz w:val="28"/>
          <w:szCs w:val="28"/>
        </w:rPr>
      </w:pPr>
    </w:p>
    <w:p>
      <w:pPr>
        <w:pStyle w:val="11"/>
        <w:rPr>
          <w:rFonts w:hint="eastAsia"/>
        </w:rPr>
      </w:pPr>
    </w:p>
    <w:p>
      <w:pPr>
        <w:rPr>
          <w:rFonts w:hint="eastAsia"/>
        </w:rPr>
      </w:pPr>
    </w:p>
    <w:p>
      <w:pPr>
        <w:spacing w:line="440" w:lineRule="exact"/>
        <w:rPr>
          <w:rFonts w:hint="eastAsia" w:ascii="宋体" w:hAnsi="宋体" w:eastAsia="宋体" w:cs="Times New Roman"/>
          <w:b/>
          <w:spacing w:val="-2"/>
          <w:sz w:val="24"/>
        </w:rPr>
      </w:pPr>
      <w:r>
        <w:rPr>
          <w:rFonts w:hint="default" w:ascii="宋体" w:hAnsi="宋体" w:eastAsia="宋体" w:cs="Times New Roman"/>
          <w:b/>
          <w:spacing w:val="-2"/>
          <w:sz w:val="24"/>
          <w:lang w:val="en-US" w:eastAsia="zh-CN"/>
        </w:rPr>
        <w:t>符合性审查</w:t>
      </w:r>
    </w:p>
    <w:tbl>
      <w:tblPr>
        <w:tblStyle w:val="27"/>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561"/>
        <w:gridCol w:w="6271"/>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1237" w:type="dxa"/>
            <w:vMerge w:val="restart"/>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832" w:type="dxa"/>
            <w:gridSpan w:val="2"/>
            <w:vMerge w:val="restart"/>
            <w:tcBorders>
              <w:top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237" w:type="dxa"/>
            <w:vMerge w:val="continue"/>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6832" w:type="dxa"/>
            <w:gridSpan w:val="2"/>
            <w:vMerge w:val="continue"/>
            <w:tcBorders>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482"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符合性审查</w:t>
            </w:r>
          </w:p>
        </w:tc>
        <w:tc>
          <w:tcPr>
            <w:tcW w:w="561" w:type="dxa"/>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271" w:type="dxa"/>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由政府立项核准、审批的采购项目, 报价高于设定的采购预算价的。</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237" w:type="dxa"/>
            <w:vMerge w:val="continue"/>
            <w:tcBorders>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237" w:type="dxa"/>
            <w:vMerge w:val="continue"/>
            <w:tcBorders>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p>
        </w:tc>
        <w:tc>
          <w:tcPr>
            <w:tcW w:w="561" w:type="dxa"/>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p>
        </w:tc>
        <w:tc>
          <w:tcPr>
            <w:tcW w:w="6271" w:type="dxa"/>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只有一个方案投标。</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237" w:type="dxa"/>
            <w:vMerge w:val="continue"/>
            <w:tcBorders>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p>
        </w:tc>
        <w:tc>
          <w:tcPr>
            <w:tcW w:w="561" w:type="dxa"/>
            <w:tcBorders>
              <w:lef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6271" w:type="dxa"/>
            <w:tcBorders>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1237" w:type="dxa"/>
            <w:vMerge w:val="continue"/>
            <w:tcBorders>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p>
        </w:tc>
        <w:tc>
          <w:tcPr>
            <w:tcW w:w="561" w:type="dxa"/>
            <w:tcBorders>
              <w:left w:val="single" w:color="auto" w:sz="4" w:space="0"/>
              <w:bottom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6271" w:type="dxa"/>
            <w:tcBorders>
              <w:bottom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237" w:type="dxa"/>
            <w:vMerge w:val="continue"/>
            <w:tcBorders>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w:t>
            </w:r>
          </w:p>
        </w:tc>
        <w:tc>
          <w:tcPr>
            <w:tcW w:w="6271" w:type="dxa"/>
            <w:tcBorders>
              <w:top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w:t>
            </w:r>
          </w:p>
        </w:tc>
        <w:tc>
          <w:tcPr>
            <w:tcW w:w="6271" w:type="dxa"/>
            <w:tcBorders>
              <w:right w:val="single" w:color="auto" w:sz="4" w:space="0"/>
            </w:tcBorders>
            <w:noWrap w:val="0"/>
            <w:vAlign w:val="center"/>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结论：是否通过评审（须填写通过或不通过）</w:t>
            </w:r>
          </w:p>
          <w:p>
            <w:pPr>
              <w:adjustRightInd w:val="0"/>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bl>
    <w:p>
      <w:pPr>
        <w:rPr>
          <w:rFonts w:hint="eastAsia"/>
        </w:rPr>
      </w:pPr>
    </w:p>
    <w:p/>
    <w:p>
      <w:pPr>
        <w:spacing w:line="440" w:lineRule="exact"/>
        <w:rPr>
          <w:rFonts w:ascii="宋体" w:hAnsi="宋体"/>
          <w:b/>
          <w:sz w:val="24"/>
        </w:rPr>
      </w:pPr>
      <w:r>
        <w:rPr>
          <w:rFonts w:hint="eastAsia" w:ascii="宋体" w:hAnsi="宋体"/>
          <w:b/>
          <w:sz w:val="24"/>
          <w:lang w:val="en-US" w:eastAsia="zh-CN"/>
        </w:rPr>
        <w:t>20</w:t>
      </w:r>
      <w:r>
        <w:rPr>
          <w:rFonts w:hint="eastAsia" w:ascii="宋体" w:hAnsi="宋体"/>
          <w:b/>
          <w:sz w:val="24"/>
        </w:rPr>
        <w:t>.4 详细评审</w:t>
      </w:r>
    </w:p>
    <w:p>
      <w:pPr>
        <w:spacing w:line="440" w:lineRule="exact"/>
        <w:ind w:firstLine="472"/>
        <w:rPr>
          <w:rFonts w:ascii="宋体" w:hAnsi="宋体" w:cs="宋体"/>
          <w:spacing w:val="-2"/>
          <w:kern w:val="1"/>
          <w:sz w:val="24"/>
        </w:rPr>
      </w:pPr>
      <w:r>
        <w:rPr>
          <w:rFonts w:hint="eastAsia" w:ascii="宋体" w:hAnsi="宋体" w:cs="宋体"/>
          <w:spacing w:val="-2"/>
          <w:kern w:val="1"/>
          <w:sz w:val="24"/>
          <w:lang w:val="en-US" w:eastAsia="zh-CN"/>
        </w:rPr>
        <w:t>20</w:t>
      </w:r>
      <w:r>
        <w:rPr>
          <w:rFonts w:hint="eastAsia" w:ascii="宋体" w:hAnsi="宋体" w:cs="宋体"/>
          <w:spacing w:val="-2"/>
          <w:kern w:val="1"/>
          <w:sz w:val="24"/>
        </w:rPr>
        <w:t>.4</w:t>
      </w:r>
      <w:r>
        <w:rPr>
          <w:rFonts w:ascii="宋体" w:hAnsi="宋体" w:cs="宋体"/>
          <w:spacing w:val="-2"/>
          <w:kern w:val="1"/>
          <w:sz w:val="24"/>
        </w:rPr>
        <w:t xml:space="preserve">.1  </w:t>
      </w:r>
      <w:r>
        <w:rPr>
          <w:rFonts w:hint="eastAsia" w:ascii="宋体" w:hAnsi="宋体" w:cs="宋体"/>
          <w:spacing w:val="-2"/>
          <w:kern w:val="1"/>
          <w:sz w:val="24"/>
        </w:rPr>
        <w:t>经初步评审合格的响应文件，评审小组应当根据磋商文件确定的评审标准和方法，对其技术和商务部分作进一步的评审和比较。</w:t>
      </w:r>
    </w:p>
    <w:p>
      <w:pPr>
        <w:spacing w:line="440" w:lineRule="exact"/>
        <w:ind w:firstLine="472"/>
        <w:rPr>
          <w:rFonts w:hint="eastAsia" w:ascii="宋体" w:hAnsi="宋体" w:cs="宋体"/>
          <w:spacing w:val="-2"/>
          <w:kern w:val="1"/>
          <w:sz w:val="24"/>
        </w:rPr>
      </w:pPr>
      <w:r>
        <w:rPr>
          <w:rFonts w:hint="eastAsia" w:ascii="宋体" w:hAnsi="宋体" w:cs="宋体"/>
          <w:spacing w:val="-2"/>
          <w:kern w:val="1"/>
          <w:sz w:val="24"/>
          <w:lang w:val="en-US" w:eastAsia="zh-CN"/>
        </w:rPr>
        <w:t>20</w:t>
      </w:r>
      <w:r>
        <w:rPr>
          <w:rFonts w:hint="eastAsia" w:ascii="宋体" w:hAnsi="宋体" w:cs="宋体"/>
          <w:spacing w:val="-2"/>
          <w:kern w:val="1"/>
          <w:sz w:val="24"/>
        </w:rPr>
        <w:t>.4</w:t>
      </w:r>
      <w:r>
        <w:rPr>
          <w:rFonts w:ascii="宋体" w:hAnsi="宋体" w:cs="宋体"/>
          <w:spacing w:val="-2"/>
          <w:kern w:val="1"/>
          <w:sz w:val="24"/>
        </w:rPr>
        <w:t>.2</w:t>
      </w:r>
      <w:r>
        <w:rPr>
          <w:rFonts w:hint="eastAsia" w:ascii="宋体" w:hAnsi="宋体" w:cs="宋体"/>
          <w:spacing w:val="-2"/>
          <w:kern w:val="1"/>
          <w:sz w:val="24"/>
        </w:rPr>
        <w:t>根据综合评分法完成评审工作后，评审小组应当拟定一份书面评审报告提交采购人。评审报告应当载明投标供应商的投标项目、所作的任何修正、对各评审因素的评估以及对每一投标的最终评审结果。</w:t>
      </w:r>
    </w:p>
    <w:p>
      <w:pPr>
        <w:pStyle w:val="11"/>
      </w:pPr>
    </w:p>
    <w:p>
      <w:pPr>
        <w:spacing w:line="430" w:lineRule="exact"/>
        <w:ind w:firstLine="467" w:firstLineChars="197"/>
        <w:rPr>
          <w:rFonts w:ascii="宋体" w:hAnsi="宋体"/>
          <w:b/>
          <w:spacing w:val="-2"/>
          <w:sz w:val="24"/>
        </w:rPr>
      </w:pPr>
      <w:r>
        <w:rPr>
          <w:rFonts w:hint="eastAsia" w:ascii="宋体" w:hAnsi="宋体" w:cs="宋体"/>
          <w:b/>
          <w:spacing w:val="-2"/>
          <w:kern w:val="1"/>
          <w:sz w:val="24"/>
          <w:lang w:val="en-US" w:eastAsia="zh-CN"/>
        </w:rPr>
        <w:t>20</w:t>
      </w:r>
      <w:r>
        <w:rPr>
          <w:rFonts w:ascii="宋体" w:hAnsi="宋体" w:cs="宋体"/>
          <w:b/>
          <w:spacing w:val="-2"/>
          <w:kern w:val="1"/>
          <w:sz w:val="24"/>
        </w:rPr>
        <w:t>.4.</w:t>
      </w:r>
      <w:r>
        <w:rPr>
          <w:rFonts w:hint="eastAsia" w:ascii="宋体" w:hAnsi="宋体" w:cs="宋体"/>
          <w:b/>
          <w:spacing w:val="-2"/>
          <w:kern w:val="1"/>
          <w:sz w:val="24"/>
        </w:rPr>
        <w:t>3</w:t>
      </w:r>
      <w:r>
        <w:rPr>
          <w:rFonts w:hint="eastAsia" w:ascii="宋体" w:hAnsi="宋体"/>
          <w:b/>
          <w:spacing w:val="-2"/>
          <w:sz w:val="24"/>
        </w:rPr>
        <w:t>评审因素及标准(详见评分细则)</w:t>
      </w:r>
    </w:p>
    <w:p>
      <w:pPr>
        <w:spacing w:line="440" w:lineRule="exact"/>
        <w:ind w:firstLine="482"/>
        <w:rPr>
          <w:rFonts w:ascii="宋体" w:hAnsi="宋体"/>
          <w:b/>
          <w:color w:val="auto"/>
          <w:sz w:val="24"/>
        </w:rPr>
      </w:pPr>
      <w:r>
        <w:rPr>
          <w:rFonts w:hint="eastAsia" w:ascii="宋体" w:hAnsi="宋体"/>
          <w:b/>
          <w:color w:val="auto"/>
          <w:sz w:val="24"/>
        </w:rPr>
        <w:t>一、</w:t>
      </w:r>
      <w:r>
        <w:rPr>
          <w:rFonts w:hint="eastAsia" w:ascii="宋体" w:hAnsi="宋体"/>
          <w:b/>
          <w:color w:val="auto"/>
          <w:sz w:val="24"/>
          <w:lang w:eastAsia="zh-CN"/>
        </w:rPr>
        <w:t>价格</w:t>
      </w:r>
      <w:r>
        <w:rPr>
          <w:rFonts w:hint="eastAsia" w:ascii="宋体" w:hAnsi="宋体"/>
          <w:b/>
          <w:color w:val="auto"/>
          <w:sz w:val="24"/>
        </w:rPr>
        <w:t xml:space="preserve">部分 </w:t>
      </w:r>
      <w:r>
        <w:rPr>
          <w:rFonts w:hint="eastAsia" w:ascii="宋体" w:hAnsi="宋体"/>
          <w:b/>
          <w:color w:val="auto"/>
          <w:sz w:val="24"/>
          <w:lang w:val="en-US" w:eastAsia="zh-CN"/>
        </w:rPr>
        <w:t xml:space="preserve"> 40</w:t>
      </w:r>
      <w:r>
        <w:rPr>
          <w:rFonts w:hint="eastAsia" w:ascii="宋体" w:hAnsi="宋体"/>
          <w:b/>
          <w:color w:val="auto"/>
          <w:sz w:val="24"/>
        </w:rPr>
        <w:t>分</w:t>
      </w:r>
    </w:p>
    <w:p>
      <w:pPr>
        <w:spacing w:line="440" w:lineRule="exact"/>
        <w:ind w:firstLine="482"/>
        <w:rPr>
          <w:rFonts w:ascii="宋体" w:hAnsi="宋体"/>
          <w:b/>
          <w:color w:val="auto"/>
          <w:sz w:val="24"/>
        </w:rPr>
      </w:pPr>
      <w:r>
        <w:rPr>
          <w:rFonts w:hint="eastAsia" w:ascii="宋体" w:hAnsi="宋体"/>
          <w:b/>
          <w:color w:val="auto"/>
          <w:sz w:val="24"/>
        </w:rPr>
        <w:t xml:space="preserve">二、商务部分  </w:t>
      </w:r>
      <w:r>
        <w:rPr>
          <w:rFonts w:hint="eastAsia" w:ascii="宋体" w:hAnsi="宋体"/>
          <w:b/>
          <w:color w:val="auto"/>
          <w:sz w:val="24"/>
          <w:lang w:val="en-US" w:eastAsia="zh-CN"/>
        </w:rPr>
        <w:t>10</w:t>
      </w:r>
      <w:r>
        <w:rPr>
          <w:rFonts w:hint="eastAsia" w:ascii="宋体" w:hAnsi="宋体"/>
          <w:b/>
          <w:color w:val="auto"/>
          <w:sz w:val="24"/>
        </w:rPr>
        <w:t>分</w:t>
      </w:r>
    </w:p>
    <w:p>
      <w:pPr>
        <w:spacing w:line="440" w:lineRule="exact"/>
        <w:ind w:firstLine="482"/>
        <w:rPr>
          <w:rFonts w:ascii="宋体" w:hAnsi="宋体"/>
          <w:b/>
          <w:color w:val="auto"/>
          <w:sz w:val="24"/>
        </w:rPr>
      </w:pPr>
      <w:r>
        <w:rPr>
          <w:rFonts w:hint="eastAsia" w:ascii="宋体" w:hAnsi="宋体"/>
          <w:b/>
          <w:color w:val="auto"/>
          <w:sz w:val="24"/>
        </w:rPr>
        <w:t xml:space="preserve">三、技术部分  </w:t>
      </w:r>
      <w:r>
        <w:rPr>
          <w:rFonts w:hint="eastAsia" w:ascii="宋体" w:hAnsi="宋体"/>
          <w:b/>
          <w:color w:val="auto"/>
          <w:sz w:val="24"/>
          <w:lang w:val="en-US" w:eastAsia="zh-CN"/>
        </w:rPr>
        <w:t>50</w:t>
      </w:r>
      <w:r>
        <w:rPr>
          <w:rFonts w:hint="eastAsia" w:ascii="宋体" w:hAnsi="宋体"/>
          <w:b/>
          <w:color w:val="auto"/>
          <w:sz w:val="24"/>
        </w:rPr>
        <w:t>分</w:t>
      </w:r>
    </w:p>
    <w:p>
      <w:pPr>
        <w:spacing w:line="420" w:lineRule="atLeast"/>
        <w:jc w:val="center"/>
        <w:rPr>
          <w:rFonts w:hint="eastAsia" w:ascii="黑体" w:hAnsi="宋体" w:eastAsia="黑体" w:cs="宋体"/>
          <w:bCs/>
          <w:kern w:val="0"/>
          <w:sz w:val="28"/>
          <w:szCs w:val="28"/>
        </w:rPr>
      </w:pPr>
    </w:p>
    <w:p>
      <w:pPr>
        <w:spacing w:line="420" w:lineRule="atLeast"/>
        <w:jc w:val="center"/>
        <w:rPr>
          <w:rFonts w:hint="eastAsia" w:ascii="黑体" w:hAnsi="宋体" w:eastAsia="黑体" w:cs="宋体"/>
          <w:bCs/>
          <w:kern w:val="0"/>
          <w:sz w:val="28"/>
          <w:szCs w:val="28"/>
        </w:rPr>
      </w:pPr>
    </w:p>
    <w:p>
      <w:pPr>
        <w:pStyle w:val="11"/>
        <w:rPr>
          <w:rFonts w:hint="eastAsia" w:ascii="黑体" w:hAnsi="宋体" w:eastAsia="黑体" w:cs="宋体"/>
          <w:bCs/>
          <w:kern w:val="0"/>
          <w:sz w:val="28"/>
          <w:szCs w:val="28"/>
        </w:rPr>
      </w:pPr>
    </w:p>
    <w:p>
      <w:pPr>
        <w:rPr>
          <w:rFonts w:hint="eastAsia"/>
        </w:rPr>
      </w:pPr>
    </w:p>
    <w:p>
      <w:pPr>
        <w:spacing w:line="420" w:lineRule="atLeast"/>
        <w:jc w:val="center"/>
        <w:rPr>
          <w:rFonts w:hint="eastAsia" w:ascii="黑体" w:hAnsi="宋体" w:eastAsia="黑体" w:cs="宋体"/>
          <w:bCs/>
          <w:kern w:val="0"/>
          <w:sz w:val="28"/>
          <w:szCs w:val="28"/>
        </w:rPr>
      </w:pPr>
    </w:p>
    <w:p>
      <w:pPr>
        <w:spacing w:line="420" w:lineRule="atLeast"/>
        <w:jc w:val="center"/>
        <w:rPr>
          <w:rFonts w:ascii="黑体" w:hAnsi="宋体" w:eastAsia="黑体" w:cs="宋体"/>
          <w:bCs/>
          <w:kern w:val="0"/>
          <w:sz w:val="28"/>
          <w:szCs w:val="28"/>
        </w:rPr>
      </w:pPr>
      <w:r>
        <w:rPr>
          <w:rFonts w:hint="eastAsia" w:ascii="黑体" w:hAnsi="宋体" w:eastAsia="黑体" w:cs="宋体"/>
          <w:bCs/>
          <w:kern w:val="0"/>
          <w:sz w:val="28"/>
          <w:szCs w:val="28"/>
        </w:rPr>
        <w:t>评分细则</w:t>
      </w:r>
    </w:p>
    <w:p>
      <w:pPr>
        <w:pStyle w:val="79"/>
        <w:spacing w:before="156" w:beforeLines="50" w:after="156" w:afterLines="50" w:line="460" w:lineRule="exact"/>
        <w:ind w:firstLine="560"/>
        <w:jc w:val="left"/>
        <w:rPr>
          <w:rFonts w:hint="eastAsia" w:ascii="仿宋" w:hAnsi="仿宋" w:eastAsia="仿宋"/>
          <w:b w:val="0"/>
          <w:color w:val="auto"/>
          <w:sz w:val="28"/>
        </w:rPr>
      </w:pPr>
      <w:r>
        <w:rPr>
          <w:rFonts w:hint="eastAsia" w:ascii="仿宋" w:hAnsi="仿宋" w:eastAsia="仿宋"/>
          <w:b w:val="0"/>
          <w:color w:val="auto"/>
          <w:sz w:val="28"/>
        </w:rPr>
        <w:t>1价格部分</w:t>
      </w:r>
    </w:p>
    <w:tbl>
      <w:tblPr>
        <w:tblStyle w:val="27"/>
        <w:tblW w:w="9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5"/>
        <w:gridCol w:w="643"/>
        <w:gridCol w:w="7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1165"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jc w:val="center"/>
              <w:rPr>
                <w:rFonts w:hAnsi="宋体" w:cs="宋体"/>
                <w:szCs w:val="24"/>
              </w:rPr>
            </w:pPr>
            <w:r>
              <w:rPr>
                <w:rFonts w:hint="eastAsia" w:hAnsi="宋体" w:cs="宋体"/>
                <w:b/>
                <w:bCs/>
                <w:sz w:val="21"/>
                <w:szCs w:val="21"/>
              </w:rPr>
              <w:t>评审因素</w:t>
            </w:r>
          </w:p>
        </w:tc>
        <w:tc>
          <w:tcPr>
            <w:tcW w:w="643"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jc w:val="center"/>
              <w:rPr>
                <w:rFonts w:hAnsi="宋体" w:cs="宋体"/>
                <w:b/>
                <w:bCs/>
                <w:sz w:val="21"/>
                <w:szCs w:val="21"/>
              </w:rPr>
            </w:pPr>
            <w:r>
              <w:rPr>
                <w:rFonts w:hint="eastAsia" w:hAnsi="宋体" w:cs="宋体"/>
                <w:b/>
                <w:bCs/>
                <w:sz w:val="21"/>
                <w:szCs w:val="21"/>
              </w:rPr>
              <w:t>分值</w:t>
            </w:r>
          </w:p>
        </w:tc>
        <w:tc>
          <w:tcPr>
            <w:tcW w:w="772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jc w:val="center"/>
              <w:rPr>
                <w:rFonts w:hAnsi="宋体" w:cs="宋体"/>
                <w:b/>
                <w:bCs/>
                <w:sz w:val="21"/>
                <w:szCs w:val="21"/>
              </w:rPr>
            </w:pPr>
            <w:r>
              <w:rPr>
                <w:rFonts w:hint="eastAsia" w:hAnsi="宋体" w:cs="宋体"/>
                <w:b/>
                <w:bCs/>
                <w:sz w:val="21"/>
                <w:szCs w:val="21"/>
              </w:rPr>
              <w:t>评价要素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1165"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jc w:val="center"/>
              <w:rPr>
                <w:rFonts w:hAnsi="宋体" w:cs="宋体"/>
                <w:sz w:val="21"/>
                <w:szCs w:val="21"/>
              </w:rPr>
            </w:pPr>
            <w:r>
              <w:rPr>
                <w:rFonts w:hint="eastAsia" w:hAnsi="宋体" w:cs="宋体"/>
                <w:sz w:val="21"/>
                <w:szCs w:val="21"/>
                <w:lang w:eastAsia="zh-CN"/>
              </w:rPr>
              <w:t>价格</w:t>
            </w:r>
            <w:r>
              <w:rPr>
                <w:rFonts w:hint="eastAsia" w:hAnsi="宋体" w:cs="宋体"/>
                <w:sz w:val="21"/>
                <w:szCs w:val="21"/>
              </w:rPr>
              <w:t xml:space="preserve">部分 </w:t>
            </w:r>
            <w:r>
              <w:rPr>
                <w:rFonts w:hint="eastAsia" w:hAnsi="宋体" w:cs="宋体"/>
                <w:sz w:val="21"/>
                <w:szCs w:val="21"/>
                <w:lang w:val="en-US" w:eastAsia="zh-CN"/>
              </w:rPr>
              <w:t xml:space="preserve"> 40</w:t>
            </w:r>
            <w:r>
              <w:rPr>
                <w:rFonts w:hint="eastAsia" w:hAnsi="宋体" w:cs="宋体"/>
                <w:sz w:val="21"/>
                <w:szCs w:val="21"/>
              </w:rPr>
              <w:t>分</w:t>
            </w:r>
          </w:p>
        </w:tc>
        <w:tc>
          <w:tcPr>
            <w:tcW w:w="643"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jc w:val="center"/>
              <w:rPr>
                <w:rFonts w:hAnsi="宋体" w:cs="宋体"/>
                <w:sz w:val="21"/>
                <w:szCs w:val="21"/>
              </w:rPr>
            </w:pPr>
            <w:r>
              <w:rPr>
                <w:rFonts w:hint="eastAsia" w:hAnsi="宋体" w:cs="宋体"/>
                <w:sz w:val="21"/>
                <w:szCs w:val="21"/>
                <w:lang w:val="en-US" w:eastAsia="zh-CN"/>
              </w:rPr>
              <w:t>4</w:t>
            </w:r>
            <w:r>
              <w:rPr>
                <w:rFonts w:hint="eastAsia" w:hAnsi="宋体" w:cs="宋体"/>
                <w:sz w:val="21"/>
                <w:szCs w:val="21"/>
              </w:rPr>
              <w:t>0</w:t>
            </w:r>
          </w:p>
        </w:tc>
        <w:tc>
          <w:tcPr>
            <w:tcW w:w="772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r>
              <w:rPr>
                <w:lang w:val="en-US" w:eastAsia="zh-CN"/>
              </w:rPr>
              <w:t xml:space="preserve">投标报价得分＝(评标基准价/投标报价)×40%×100。有效投 </w:t>
            </w:r>
          </w:p>
          <w:p>
            <w:pPr>
              <w:adjustRightInd w:val="0"/>
              <w:snapToGrid w:val="0"/>
              <w:spacing w:line="360" w:lineRule="auto"/>
              <w:rPr>
                <w:rFonts w:hint="eastAsia"/>
                <w:lang w:val="en-US" w:eastAsia="zh-CN"/>
              </w:rPr>
            </w:pPr>
            <w:r>
              <w:rPr>
                <w:rFonts w:hint="eastAsia"/>
                <w:lang w:val="en-US" w:eastAsia="zh-CN"/>
              </w:rPr>
              <w:t>标报价为通过初步评审的供应商报价，计算值保留两位小数。</w:t>
            </w:r>
          </w:p>
          <w:p>
            <w:pPr>
              <w:adjustRightInd w:val="0"/>
              <w:snapToGrid w:val="0"/>
              <w:spacing w:line="360" w:lineRule="auto"/>
              <w:rPr>
                <w:rFonts w:hint="eastAsia"/>
                <w:lang w:val="en-US" w:eastAsia="zh-CN"/>
              </w:rPr>
            </w:pPr>
            <w:r>
              <w:rPr>
                <w:rFonts w:hint="eastAsia"/>
                <w:lang w:eastAsia="zh-CN"/>
              </w:rPr>
              <w:t>即满足招标文件要求且投标价格最低的投标报价为评标基准价，其价格分为满分。</w:t>
            </w:r>
          </w:p>
          <w:p>
            <w:pPr>
              <w:pStyle w:val="11"/>
              <w:rPr>
                <w:rFonts w:hint="eastAsia"/>
                <w:lang w:eastAsia="zh-CN"/>
              </w:rPr>
            </w:pPr>
          </w:p>
        </w:tc>
      </w:tr>
    </w:tbl>
    <w:p>
      <w:pPr>
        <w:pStyle w:val="79"/>
        <w:spacing w:before="156" w:beforeLines="50" w:after="156" w:afterLines="50" w:line="460" w:lineRule="exact"/>
        <w:ind w:firstLine="560"/>
        <w:jc w:val="left"/>
        <w:rPr>
          <w:rFonts w:hint="eastAsia" w:ascii="仿宋" w:hAnsi="仿宋" w:eastAsia="仿宋"/>
          <w:b w:val="0"/>
          <w:color w:val="auto"/>
          <w:sz w:val="28"/>
        </w:rPr>
      </w:pPr>
      <w:r>
        <w:rPr>
          <w:rFonts w:hint="eastAsia" w:ascii="仿宋" w:hAnsi="仿宋" w:eastAsia="仿宋"/>
          <w:b w:val="0"/>
          <w:color w:val="auto"/>
          <w:sz w:val="28"/>
        </w:rPr>
        <w:t>2、商务部分</w:t>
      </w:r>
    </w:p>
    <w:tbl>
      <w:tblPr>
        <w:tblStyle w:val="27"/>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196"/>
        <w:gridCol w:w="1076"/>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201" w:type="dxa"/>
            <w:gridSpan w:val="2"/>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jc w:val="center"/>
              <w:rPr>
                <w:rFonts w:hint="eastAsia" w:ascii="仿宋" w:hAnsi="仿宋" w:eastAsia="仿宋"/>
                <w:color w:val="auto"/>
                <w:kern w:val="0"/>
                <w:szCs w:val="21"/>
              </w:rPr>
            </w:pPr>
            <w:r>
              <w:rPr>
                <w:rFonts w:hint="eastAsia" w:ascii="仿宋" w:hAnsi="仿宋" w:eastAsia="仿宋"/>
                <w:color w:val="auto"/>
                <w:kern w:val="0"/>
                <w:szCs w:val="21"/>
              </w:rPr>
              <w:t>评审项目</w:t>
            </w:r>
          </w:p>
        </w:tc>
        <w:tc>
          <w:tcPr>
            <w:tcW w:w="107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jc w:val="center"/>
              <w:rPr>
                <w:rFonts w:hint="eastAsia" w:ascii="仿宋" w:hAnsi="仿宋" w:eastAsia="仿宋"/>
                <w:color w:val="auto"/>
                <w:kern w:val="0"/>
                <w:szCs w:val="21"/>
              </w:rPr>
            </w:pPr>
            <w:r>
              <w:rPr>
                <w:rFonts w:hint="eastAsia" w:ascii="仿宋" w:hAnsi="仿宋" w:eastAsia="仿宋"/>
                <w:color w:val="auto"/>
                <w:kern w:val="0"/>
                <w:szCs w:val="21"/>
              </w:rPr>
              <w:t>分值</w:t>
            </w:r>
          </w:p>
        </w:tc>
        <w:tc>
          <w:tcPr>
            <w:tcW w:w="6477"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jc w:val="center"/>
              <w:rPr>
                <w:rFonts w:ascii="仿宋" w:hAnsi="仿宋" w:eastAsia="仿宋"/>
                <w:color w:val="auto"/>
                <w:kern w:val="0"/>
                <w:szCs w:val="21"/>
              </w:rPr>
            </w:pPr>
            <w:r>
              <w:rPr>
                <w:rFonts w:hint="eastAsia" w:ascii="仿宋" w:hAnsi="仿宋" w:eastAsia="仿宋"/>
                <w:color w:val="auto"/>
                <w:kern w:val="0"/>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005" w:type="dxa"/>
            <w:vMerge w:val="restart"/>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rPr>
                <w:rFonts w:hAnsi="宋体" w:cs="宋体"/>
                <w:sz w:val="21"/>
                <w:szCs w:val="21"/>
                <w:lang w:val="en-US" w:eastAsia="zh-CN"/>
              </w:rPr>
            </w:pPr>
            <w:r>
              <w:rPr>
                <w:rFonts w:hint="eastAsia" w:hAnsi="宋体" w:cs="宋体"/>
                <w:sz w:val="21"/>
                <w:szCs w:val="21"/>
                <w:lang w:val="en-US" w:eastAsia="zh-CN"/>
              </w:rPr>
              <w:t>商务</w:t>
            </w:r>
          </w:p>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部分</w:t>
            </w:r>
          </w:p>
          <w:p>
            <w:pPr>
              <w:adjustRightInd w:val="0"/>
              <w:snapToGrid w:val="0"/>
              <w:spacing w:line="360" w:lineRule="auto"/>
              <w:rPr>
                <w:rFonts w:hAnsi="宋体" w:cs="宋体"/>
                <w:sz w:val="21"/>
                <w:szCs w:val="21"/>
                <w:lang w:val="en-US" w:eastAsia="zh-CN"/>
              </w:rPr>
            </w:pPr>
            <w:r>
              <w:rPr>
                <w:rFonts w:hint="eastAsia" w:hAnsi="宋体" w:cs="宋体"/>
                <w:sz w:val="21"/>
                <w:szCs w:val="21"/>
                <w:lang w:val="en-US" w:eastAsia="zh-CN"/>
              </w:rPr>
              <w:t>10分</w:t>
            </w:r>
          </w:p>
        </w:tc>
        <w:tc>
          <w:tcPr>
            <w:tcW w:w="119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jc w:val="center"/>
              <w:rPr>
                <w:rFonts w:hint="eastAsia" w:hAnsi="宋体" w:cs="宋体"/>
                <w:sz w:val="21"/>
                <w:szCs w:val="21"/>
                <w:lang w:val="en-US" w:eastAsia="zh-CN"/>
              </w:rPr>
            </w:pPr>
            <w:r>
              <w:rPr>
                <w:rFonts w:hint="eastAsia" w:hAnsi="宋体" w:cs="宋体"/>
                <w:sz w:val="21"/>
                <w:szCs w:val="21"/>
                <w:lang w:val="en-US" w:eastAsia="zh-CN"/>
              </w:rPr>
              <w:t>企业综合</w:t>
            </w:r>
          </w:p>
          <w:p>
            <w:pPr>
              <w:adjustRightInd w:val="0"/>
              <w:snapToGrid w:val="0"/>
              <w:spacing w:line="360" w:lineRule="auto"/>
              <w:jc w:val="center"/>
              <w:rPr>
                <w:rFonts w:hint="eastAsia" w:hAnsi="宋体" w:cs="宋体"/>
                <w:sz w:val="21"/>
                <w:szCs w:val="21"/>
                <w:lang w:val="en-US" w:eastAsia="zh-CN"/>
              </w:rPr>
            </w:pPr>
            <w:r>
              <w:rPr>
                <w:rFonts w:hint="eastAsia" w:hAnsi="宋体" w:cs="宋体"/>
                <w:sz w:val="21"/>
                <w:szCs w:val="21"/>
                <w:lang w:val="en-US" w:eastAsia="zh-CN"/>
              </w:rPr>
              <w:t>实力</w:t>
            </w:r>
          </w:p>
        </w:tc>
        <w:tc>
          <w:tcPr>
            <w:tcW w:w="107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3分</w:t>
            </w:r>
          </w:p>
          <w:p>
            <w:pPr>
              <w:adjustRightInd w:val="0"/>
              <w:snapToGrid w:val="0"/>
              <w:spacing w:line="360" w:lineRule="auto"/>
              <w:rPr>
                <w:rFonts w:hint="eastAsia" w:hAnsi="宋体" w:cs="宋体"/>
                <w:sz w:val="21"/>
                <w:szCs w:val="21"/>
                <w:lang w:val="en-US" w:eastAsia="zh-CN"/>
              </w:rPr>
            </w:pPr>
          </w:p>
        </w:tc>
        <w:tc>
          <w:tcPr>
            <w:tcW w:w="6477"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 xml:space="preserve">企业信用等级、商业信誉、用户履约评价等优良并提供相关 </w:t>
            </w:r>
          </w:p>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 xml:space="preserve">证明文件；生产企业具有国际、国内质量体系认证等相关证 </w:t>
            </w:r>
          </w:p>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 xml:space="preserve">书，并能提供相关证明文件进行综合打分。 </w:t>
            </w:r>
          </w:p>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优 3 分；良 2 分；一般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005" w:type="dxa"/>
            <w:vMerge w:val="continue"/>
            <w:tcBorders>
              <w:top w:val="thinThickSmallGap" w:color="000000" w:sz="12" w:space="0"/>
              <w:left w:val="thinThickSmallGap" w:color="000000" w:sz="12" w:space="0"/>
              <w:bottom w:val="thinThickSmallGap" w:color="000000" w:sz="12" w:space="0"/>
              <w:right w:val="thinThickSmallGap" w:color="000000" w:sz="12" w:space="0"/>
            </w:tcBorders>
            <w:noWrap w:val="0"/>
            <w:vAlign w:val="top"/>
          </w:tcPr>
          <w:p>
            <w:pPr>
              <w:spacing w:line="320" w:lineRule="exact"/>
              <w:rPr>
                <w:rFonts w:ascii="仿宋" w:hAnsi="仿宋" w:eastAsia="仿宋"/>
                <w:color w:val="auto"/>
                <w:szCs w:val="21"/>
              </w:rPr>
            </w:pPr>
          </w:p>
        </w:tc>
        <w:tc>
          <w:tcPr>
            <w:tcW w:w="119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jc w:val="center"/>
              <w:rPr>
                <w:rFonts w:hint="eastAsia" w:hAnsi="宋体" w:cs="宋体"/>
                <w:sz w:val="21"/>
                <w:szCs w:val="21"/>
                <w:lang w:val="en-US" w:eastAsia="zh-CN"/>
              </w:rPr>
            </w:pPr>
            <w:r>
              <w:rPr>
                <w:rFonts w:hint="eastAsia" w:hAnsi="宋体" w:cs="宋体"/>
                <w:sz w:val="21"/>
                <w:szCs w:val="21"/>
                <w:lang w:val="en-US" w:eastAsia="zh-CN"/>
              </w:rPr>
              <w:t>业绩</w:t>
            </w:r>
          </w:p>
          <w:p>
            <w:pPr>
              <w:adjustRightInd w:val="0"/>
              <w:snapToGrid w:val="0"/>
              <w:spacing w:line="360" w:lineRule="auto"/>
              <w:rPr>
                <w:rFonts w:hint="eastAsia" w:hAnsi="宋体" w:cs="宋体"/>
                <w:sz w:val="21"/>
                <w:szCs w:val="21"/>
                <w:lang w:val="en-US" w:eastAsia="zh-CN"/>
              </w:rPr>
            </w:pPr>
          </w:p>
        </w:tc>
        <w:tc>
          <w:tcPr>
            <w:tcW w:w="107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6分</w:t>
            </w:r>
          </w:p>
          <w:p>
            <w:pPr>
              <w:adjustRightInd w:val="0"/>
              <w:snapToGrid w:val="0"/>
              <w:spacing w:line="360" w:lineRule="auto"/>
              <w:rPr>
                <w:rFonts w:hint="eastAsia" w:hAnsi="宋体" w:cs="宋体"/>
                <w:sz w:val="21"/>
                <w:szCs w:val="21"/>
                <w:lang w:val="en-US" w:eastAsia="zh-CN"/>
              </w:rPr>
            </w:pPr>
          </w:p>
        </w:tc>
        <w:tc>
          <w:tcPr>
            <w:tcW w:w="6477"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 xml:space="preserve">近三年投标人具有同类成功实施案例，须提供合同或中标通 </w:t>
            </w:r>
          </w:p>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 xml:space="preserve">知书复印件加盖投标人公章。每个案例得 3 分，最高得 6 分。 </w:t>
            </w:r>
          </w:p>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 xml:space="preserve">不符合上述要求或未按要求提供有效证明文件的在评审时将 </w:t>
            </w:r>
          </w:p>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不予以承认。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5" w:type="dxa"/>
            <w:vMerge w:val="continue"/>
            <w:tcBorders>
              <w:top w:val="thinThickSmallGap" w:color="000000" w:sz="12" w:space="0"/>
              <w:left w:val="thinThickSmallGap" w:color="000000" w:sz="12" w:space="0"/>
              <w:bottom w:val="thinThickSmallGap" w:color="000000" w:sz="12" w:space="0"/>
              <w:right w:val="thinThickSmallGap" w:color="000000" w:sz="12" w:space="0"/>
            </w:tcBorders>
            <w:noWrap w:val="0"/>
            <w:vAlign w:val="top"/>
          </w:tcPr>
          <w:p>
            <w:pPr>
              <w:spacing w:line="320" w:lineRule="exact"/>
              <w:rPr>
                <w:rFonts w:ascii="仿宋" w:hAnsi="仿宋" w:eastAsia="仿宋"/>
                <w:color w:val="auto"/>
                <w:szCs w:val="21"/>
              </w:rPr>
            </w:pPr>
          </w:p>
        </w:tc>
        <w:tc>
          <w:tcPr>
            <w:tcW w:w="119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jc w:val="center"/>
              <w:rPr>
                <w:rFonts w:hint="eastAsia" w:hAnsi="宋体" w:cs="宋体"/>
                <w:sz w:val="21"/>
                <w:szCs w:val="21"/>
                <w:lang w:val="en-US" w:eastAsia="zh-CN"/>
              </w:rPr>
            </w:pPr>
            <w:r>
              <w:rPr>
                <w:rFonts w:hint="eastAsia" w:hAnsi="宋体" w:cs="宋体"/>
                <w:sz w:val="21"/>
                <w:szCs w:val="21"/>
                <w:lang w:val="en-US" w:eastAsia="zh-CN"/>
              </w:rPr>
              <w:t>交货期</w:t>
            </w:r>
          </w:p>
          <w:p>
            <w:pPr>
              <w:adjustRightInd w:val="0"/>
              <w:snapToGrid w:val="0"/>
              <w:spacing w:line="360" w:lineRule="auto"/>
              <w:rPr>
                <w:rFonts w:hint="eastAsia" w:hAnsi="宋体" w:cs="宋体"/>
                <w:sz w:val="21"/>
                <w:szCs w:val="21"/>
                <w:lang w:val="en-US" w:eastAsia="zh-CN"/>
              </w:rPr>
            </w:pPr>
          </w:p>
        </w:tc>
        <w:tc>
          <w:tcPr>
            <w:tcW w:w="1076"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rPr>
                <w:rFonts w:hint="default" w:hAnsi="宋体" w:cs="宋体"/>
                <w:sz w:val="21"/>
                <w:szCs w:val="21"/>
                <w:lang w:val="en-US" w:eastAsia="zh-CN"/>
              </w:rPr>
            </w:pPr>
            <w:r>
              <w:rPr>
                <w:rFonts w:hint="default" w:hAnsi="宋体" w:cs="宋体"/>
                <w:sz w:val="21"/>
                <w:szCs w:val="21"/>
                <w:lang w:val="en-US" w:eastAsia="zh-CN"/>
              </w:rPr>
              <w:t>1分</w:t>
            </w:r>
          </w:p>
          <w:p>
            <w:pPr>
              <w:adjustRightInd w:val="0"/>
              <w:snapToGrid w:val="0"/>
              <w:spacing w:line="360" w:lineRule="auto"/>
              <w:rPr>
                <w:rFonts w:hint="default" w:hAnsi="宋体" w:cs="宋体"/>
                <w:sz w:val="21"/>
                <w:szCs w:val="21"/>
                <w:lang w:val="en-US" w:eastAsia="zh-CN"/>
              </w:rPr>
            </w:pPr>
          </w:p>
        </w:tc>
        <w:tc>
          <w:tcPr>
            <w:tcW w:w="6477" w:type="dxa"/>
            <w:tcBorders>
              <w:top w:val="thinThickSmallGap" w:color="000000" w:sz="12" w:space="0"/>
              <w:left w:val="thinThickSmallGap" w:color="000000" w:sz="12" w:space="0"/>
              <w:bottom w:val="thinThickSmallGap" w:color="000000" w:sz="12" w:space="0"/>
              <w:right w:val="thinThickSmallGap" w:color="000000" w:sz="12" w:space="0"/>
            </w:tcBorders>
            <w:noWrap w:val="0"/>
            <w:vAlign w:val="center"/>
          </w:tcPr>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满足招标文件要求得 0.5 分，优于招标文件得 1 分。</w:t>
            </w:r>
          </w:p>
        </w:tc>
      </w:tr>
    </w:tbl>
    <w:p>
      <w:pPr>
        <w:pStyle w:val="79"/>
        <w:spacing w:before="156" w:beforeLines="50" w:after="156" w:afterLines="50" w:line="460" w:lineRule="exact"/>
        <w:ind w:firstLine="560"/>
        <w:jc w:val="left"/>
        <w:rPr>
          <w:rFonts w:hint="eastAsia" w:ascii="仿宋" w:hAnsi="仿宋" w:eastAsia="仿宋"/>
          <w:b w:val="0"/>
          <w:color w:val="auto"/>
          <w:sz w:val="28"/>
        </w:rPr>
      </w:pPr>
    </w:p>
    <w:p>
      <w:pPr>
        <w:pStyle w:val="79"/>
        <w:spacing w:before="156" w:beforeLines="50" w:after="156" w:afterLines="50" w:line="460" w:lineRule="exact"/>
        <w:ind w:firstLine="560"/>
        <w:jc w:val="left"/>
        <w:rPr>
          <w:rFonts w:hint="eastAsia" w:ascii="仿宋" w:hAnsi="仿宋" w:eastAsia="仿宋"/>
          <w:b w:val="0"/>
          <w:color w:val="auto"/>
          <w:sz w:val="28"/>
        </w:rPr>
      </w:pPr>
    </w:p>
    <w:p>
      <w:pPr>
        <w:pStyle w:val="79"/>
        <w:spacing w:before="156" w:beforeLines="50" w:after="156" w:afterLines="50" w:line="460" w:lineRule="exact"/>
        <w:ind w:firstLine="560"/>
        <w:jc w:val="left"/>
        <w:rPr>
          <w:rFonts w:hint="eastAsia" w:ascii="仿宋" w:hAnsi="仿宋" w:eastAsia="仿宋"/>
          <w:b w:val="0"/>
          <w:color w:val="auto"/>
          <w:sz w:val="28"/>
        </w:rPr>
      </w:pPr>
      <w:r>
        <w:rPr>
          <w:rFonts w:hint="eastAsia" w:ascii="仿宋" w:hAnsi="仿宋" w:eastAsia="仿宋"/>
          <w:b w:val="0"/>
          <w:color w:val="auto"/>
          <w:sz w:val="28"/>
        </w:rPr>
        <w:t>3、技术部分</w:t>
      </w:r>
    </w:p>
    <w:tbl>
      <w:tblPr>
        <w:tblStyle w:val="27"/>
        <w:tblW w:w="9536" w:type="dxa"/>
        <w:jc w:val="center"/>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643"/>
        <w:gridCol w:w="1770"/>
        <w:gridCol w:w="5958"/>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65"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jc w:val="center"/>
              <w:rPr>
                <w:rFonts w:hAnsi="宋体" w:cs="宋体"/>
                <w:szCs w:val="24"/>
              </w:rPr>
            </w:pPr>
            <w:r>
              <w:rPr>
                <w:rFonts w:hint="eastAsia" w:hAnsi="宋体" w:cs="宋体"/>
                <w:b/>
                <w:bCs/>
                <w:sz w:val="21"/>
                <w:szCs w:val="21"/>
              </w:rPr>
              <w:t>评审因素</w:t>
            </w:r>
          </w:p>
        </w:tc>
        <w:tc>
          <w:tcPr>
            <w:tcW w:w="643"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jc w:val="center"/>
              <w:rPr>
                <w:rFonts w:hAnsi="宋体" w:cs="宋体"/>
                <w:b/>
                <w:bCs/>
                <w:sz w:val="21"/>
                <w:szCs w:val="21"/>
              </w:rPr>
            </w:pPr>
            <w:r>
              <w:rPr>
                <w:rFonts w:hint="eastAsia" w:hAnsi="宋体" w:cs="宋体"/>
                <w:b/>
                <w:bCs/>
                <w:sz w:val="21"/>
                <w:szCs w:val="21"/>
              </w:rPr>
              <w:t>分值</w:t>
            </w:r>
          </w:p>
        </w:tc>
        <w:tc>
          <w:tcPr>
            <w:tcW w:w="7728" w:type="dxa"/>
            <w:gridSpan w:val="2"/>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jc w:val="center"/>
              <w:rPr>
                <w:rFonts w:hAnsi="宋体" w:cs="宋体"/>
                <w:b/>
                <w:bCs/>
                <w:sz w:val="21"/>
                <w:szCs w:val="21"/>
              </w:rPr>
            </w:pPr>
            <w:r>
              <w:rPr>
                <w:rFonts w:hint="eastAsia" w:hAnsi="宋体" w:cs="宋体"/>
                <w:b/>
                <w:bCs/>
                <w:sz w:val="21"/>
                <w:szCs w:val="21"/>
              </w:rPr>
              <w:t>评价要素</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165" w:type="dxa"/>
            <w:vMerge w:val="restart"/>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rPr>
                <w:rFonts w:hAnsi="宋体" w:cs="宋体"/>
                <w:sz w:val="21"/>
                <w:szCs w:val="21"/>
              </w:rPr>
            </w:pPr>
          </w:p>
          <w:p>
            <w:pPr>
              <w:adjustRightInd w:val="0"/>
              <w:snapToGrid w:val="0"/>
              <w:spacing w:line="360" w:lineRule="auto"/>
              <w:jc w:val="center"/>
              <w:rPr>
                <w:rFonts w:hint="eastAsia" w:hAnsi="宋体" w:cs="宋体"/>
                <w:sz w:val="21"/>
                <w:szCs w:val="21"/>
              </w:rPr>
            </w:pPr>
            <w:r>
              <w:rPr>
                <w:rFonts w:hint="eastAsia" w:hAnsi="宋体" w:cs="宋体"/>
                <w:sz w:val="21"/>
                <w:szCs w:val="21"/>
              </w:rPr>
              <w:t>技术</w:t>
            </w:r>
          </w:p>
          <w:p>
            <w:pPr>
              <w:adjustRightInd w:val="0"/>
              <w:snapToGrid w:val="0"/>
              <w:spacing w:line="360" w:lineRule="auto"/>
              <w:jc w:val="center"/>
              <w:rPr>
                <w:rFonts w:hint="eastAsia" w:hAnsi="宋体" w:cs="宋体"/>
                <w:sz w:val="21"/>
                <w:szCs w:val="21"/>
              </w:rPr>
            </w:pPr>
            <w:r>
              <w:rPr>
                <w:rFonts w:hint="eastAsia" w:hAnsi="宋体" w:cs="宋体"/>
                <w:sz w:val="21"/>
                <w:szCs w:val="21"/>
              </w:rPr>
              <w:t>部分</w:t>
            </w:r>
          </w:p>
          <w:p>
            <w:pPr>
              <w:adjustRightInd w:val="0"/>
              <w:snapToGrid w:val="0"/>
              <w:spacing w:line="360" w:lineRule="auto"/>
              <w:jc w:val="center"/>
              <w:rPr>
                <w:rFonts w:hAnsi="宋体" w:cs="宋体"/>
                <w:sz w:val="21"/>
                <w:szCs w:val="21"/>
              </w:rPr>
            </w:pPr>
            <w:r>
              <w:rPr>
                <w:rFonts w:hint="eastAsia" w:ascii="仿宋" w:hAnsi="仿宋" w:eastAsia="仿宋" w:cs="等线"/>
                <w:color w:val="auto"/>
                <w:szCs w:val="21"/>
                <w:lang w:val="en-US" w:eastAsia="zh-CN"/>
              </w:rPr>
              <w:t>50</w:t>
            </w:r>
            <w:r>
              <w:rPr>
                <w:rFonts w:hint="eastAsia" w:ascii="仿宋" w:hAnsi="仿宋" w:eastAsia="仿宋" w:cs="等线"/>
                <w:color w:val="auto"/>
                <w:szCs w:val="21"/>
              </w:rPr>
              <w:t>分</w:t>
            </w:r>
          </w:p>
        </w:tc>
        <w:tc>
          <w:tcPr>
            <w:tcW w:w="643" w:type="dxa"/>
            <w:vMerge w:val="restart"/>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rPr>
                <w:rFonts w:hAnsi="宋体" w:cs="宋体"/>
                <w:sz w:val="21"/>
                <w:szCs w:val="21"/>
              </w:rPr>
            </w:pPr>
          </w:p>
          <w:p>
            <w:pPr>
              <w:adjustRightInd w:val="0"/>
              <w:snapToGrid w:val="0"/>
              <w:spacing w:line="360" w:lineRule="auto"/>
              <w:rPr>
                <w:rFonts w:hint="eastAsia" w:hAnsi="宋体" w:eastAsia="宋体" w:cs="宋体"/>
                <w:sz w:val="21"/>
                <w:szCs w:val="21"/>
                <w:lang w:eastAsia="zh-CN"/>
              </w:rPr>
            </w:pPr>
            <w:r>
              <w:rPr>
                <w:rFonts w:hint="eastAsia" w:hAnsi="宋体" w:cs="宋体"/>
                <w:sz w:val="21"/>
                <w:szCs w:val="21"/>
              </w:rPr>
              <w:t>5</w:t>
            </w:r>
            <w:r>
              <w:rPr>
                <w:rFonts w:hint="eastAsia" w:hAnsi="宋体" w:cs="宋体"/>
                <w:sz w:val="21"/>
                <w:szCs w:val="21"/>
                <w:lang w:val="en-US" w:eastAsia="zh-CN"/>
              </w:rPr>
              <w:t>0</w:t>
            </w:r>
          </w:p>
        </w:tc>
        <w:tc>
          <w:tcPr>
            <w:tcW w:w="1770"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jc w:val="center"/>
              <w:rPr>
                <w:rFonts w:hint="eastAsia" w:hAnsi="宋体" w:cs="宋体"/>
                <w:sz w:val="21"/>
                <w:szCs w:val="21"/>
                <w:lang w:val="en-US" w:eastAsia="zh-CN"/>
              </w:rPr>
            </w:pPr>
            <w:r>
              <w:rPr>
                <w:rFonts w:hint="eastAsia" w:hAnsi="宋体" w:cs="宋体"/>
                <w:sz w:val="21"/>
                <w:szCs w:val="21"/>
                <w:lang w:val="en-US" w:eastAsia="zh-CN"/>
              </w:rPr>
              <w:t>技术参数响应</w:t>
            </w:r>
          </w:p>
          <w:p>
            <w:pPr>
              <w:adjustRightInd w:val="0"/>
              <w:snapToGrid w:val="0"/>
              <w:spacing w:line="360" w:lineRule="auto"/>
              <w:jc w:val="center"/>
              <w:rPr>
                <w:rFonts w:hint="eastAsia" w:hAnsi="宋体" w:cs="宋体"/>
                <w:sz w:val="21"/>
                <w:szCs w:val="21"/>
                <w:lang w:val="en-US" w:eastAsia="zh-CN"/>
              </w:rPr>
            </w:pPr>
            <w:r>
              <w:rPr>
                <w:rFonts w:hint="eastAsia" w:hAnsi="宋体" w:cs="宋体"/>
                <w:sz w:val="21"/>
                <w:szCs w:val="21"/>
                <w:lang w:val="en-US" w:eastAsia="zh-CN"/>
              </w:rPr>
              <w:t>（25分）</w:t>
            </w:r>
          </w:p>
        </w:tc>
        <w:tc>
          <w:tcPr>
            <w:tcW w:w="5958"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 xml:space="preserve">产品的技术指标、参数及技术性能和功能需求完全满足招 </w:t>
            </w:r>
          </w:p>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 xml:space="preserve">标文件要求的得 25 分（评审依据为投标企业选用产品的 </w:t>
            </w:r>
          </w:p>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 xml:space="preserve">规格、技术指标及投标产品技术参数偏离表等）；每出现 </w:t>
            </w:r>
          </w:p>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一条负偏离扣 2 分，扣完为止。</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65" w:type="dxa"/>
            <w:vMerge w:val="continue"/>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pPr>
          </w:p>
        </w:tc>
        <w:tc>
          <w:tcPr>
            <w:tcW w:w="643" w:type="dxa"/>
            <w:vMerge w:val="continue"/>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pPr>
          </w:p>
        </w:tc>
        <w:tc>
          <w:tcPr>
            <w:tcW w:w="1770"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jc w:val="center"/>
              <w:rPr>
                <w:rFonts w:hint="eastAsia" w:hAnsi="宋体" w:cs="宋体"/>
                <w:sz w:val="21"/>
                <w:szCs w:val="21"/>
                <w:lang w:val="en-US" w:eastAsia="zh-CN"/>
              </w:rPr>
            </w:pPr>
            <w:r>
              <w:rPr>
                <w:rFonts w:hint="eastAsia" w:hAnsi="宋体" w:cs="宋体"/>
                <w:sz w:val="21"/>
                <w:szCs w:val="21"/>
                <w:lang w:val="en-US" w:eastAsia="zh-CN"/>
              </w:rPr>
              <w:t>技术支持资料</w:t>
            </w:r>
          </w:p>
          <w:p>
            <w:pPr>
              <w:adjustRightInd w:val="0"/>
              <w:snapToGrid w:val="0"/>
              <w:spacing w:line="360" w:lineRule="auto"/>
              <w:jc w:val="center"/>
              <w:rPr>
                <w:rFonts w:hint="eastAsia" w:hAnsi="宋体" w:cs="宋体"/>
                <w:sz w:val="21"/>
                <w:szCs w:val="21"/>
                <w:lang w:val="en-US" w:eastAsia="zh-CN"/>
              </w:rPr>
            </w:pPr>
            <w:r>
              <w:rPr>
                <w:rFonts w:hint="eastAsia" w:hAnsi="宋体" w:cs="宋体"/>
                <w:sz w:val="21"/>
                <w:szCs w:val="21"/>
                <w:lang w:val="en-US" w:eastAsia="zh-CN"/>
              </w:rPr>
              <w:t>（5分）</w:t>
            </w:r>
          </w:p>
        </w:tc>
        <w:tc>
          <w:tcPr>
            <w:tcW w:w="5958" w:type="dxa"/>
            <w:tcBorders>
              <w:top w:val="thinThickSmallGap" w:color="000000" w:sz="12" w:space="0"/>
              <w:left w:val="thinThickSmallGap" w:color="000000" w:sz="12" w:space="0"/>
              <w:bottom w:val="thinThickSmallGap" w:color="000000" w:sz="12" w:space="0"/>
              <w:right w:val="thinThickSmallGap" w:color="000000" w:sz="12" w:space="0"/>
            </w:tcBorders>
            <w:vAlign w:val="center"/>
          </w:tcPr>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提供技术支持资料的得 5 分，无技术支持资料的不得分。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165" w:type="dxa"/>
            <w:vMerge w:val="continue"/>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p>
        </w:tc>
        <w:tc>
          <w:tcPr>
            <w:tcW w:w="643" w:type="dxa"/>
            <w:vMerge w:val="continue"/>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p>
        </w:tc>
        <w:tc>
          <w:tcPr>
            <w:tcW w:w="1770"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jc w:val="center"/>
              <w:rPr>
                <w:rFonts w:hint="eastAsia" w:hAnsi="宋体" w:cs="宋体"/>
                <w:sz w:val="21"/>
                <w:szCs w:val="21"/>
                <w:lang w:val="en-US" w:eastAsia="zh-CN"/>
              </w:rPr>
            </w:pPr>
            <w:r>
              <w:rPr>
                <w:rFonts w:hint="eastAsia" w:hAnsi="宋体" w:cs="宋体"/>
                <w:sz w:val="21"/>
                <w:szCs w:val="21"/>
                <w:lang w:val="en-US" w:eastAsia="zh-CN"/>
              </w:rPr>
              <w:t>服务方案</w:t>
            </w:r>
          </w:p>
          <w:p>
            <w:pPr>
              <w:adjustRightInd w:val="0"/>
              <w:snapToGrid w:val="0"/>
              <w:spacing w:line="360" w:lineRule="auto"/>
              <w:jc w:val="center"/>
              <w:rPr>
                <w:rFonts w:hint="eastAsia" w:hAnsi="宋体" w:cs="宋体"/>
                <w:sz w:val="21"/>
                <w:szCs w:val="21"/>
                <w:lang w:val="en-US" w:eastAsia="zh-CN"/>
              </w:rPr>
            </w:pPr>
            <w:r>
              <w:rPr>
                <w:rFonts w:hint="eastAsia" w:hAnsi="宋体" w:cs="宋体"/>
                <w:sz w:val="21"/>
                <w:szCs w:val="21"/>
                <w:lang w:val="en-US" w:eastAsia="zh-CN"/>
              </w:rPr>
              <w:t>（8分）</w:t>
            </w:r>
          </w:p>
        </w:tc>
        <w:tc>
          <w:tcPr>
            <w:tcW w:w="595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 xml:space="preserve">根据投标企业生产或服务能力、配送计划及保障措施、供 </w:t>
            </w:r>
          </w:p>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 xml:space="preserve">货计划方案等方面进行综合评审。 </w:t>
            </w:r>
          </w:p>
          <w:p>
            <w:pPr>
              <w:adjustRightInd w:val="0"/>
              <w:snapToGrid w:val="0"/>
              <w:spacing w:line="360" w:lineRule="auto"/>
              <w:rPr>
                <w:rFonts w:hint="eastAsia" w:hAnsi="宋体" w:cs="宋体"/>
                <w:sz w:val="21"/>
                <w:szCs w:val="21"/>
                <w:lang w:val="en-US" w:eastAsia="zh-CN"/>
              </w:rPr>
            </w:pPr>
            <w:r>
              <w:rPr>
                <w:rFonts w:hint="eastAsia" w:hAnsi="宋体" w:cs="宋体"/>
                <w:sz w:val="21"/>
                <w:szCs w:val="21"/>
                <w:lang w:val="en-US" w:eastAsia="zh-CN"/>
              </w:rPr>
              <w:t>优得 7-8 分；良得 3-6 分；一般得 1-2 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165" w:type="dxa"/>
            <w:vMerge w:val="continue"/>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p>
        </w:tc>
        <w:tc>
          <w:tcPr>
            <w:tcW w:w="643" w:type="dxa"/>
            <w:vMerge w:val="continue"/>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p>
        </w:tc>
        <w:tc>
          <w:tcPr>
            <w:tcW w:w="1770"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pStyle w:val="2"/>
              <w:jc w:val="center"/>
              <w:rPr>
                <w:rFonts w:hint="eastAsia" w:ascii="Times New Roman" w:hAnsi="宋体" w:eastAsia="宋体" w:cs="宋体"/>
                <w:kern w:val="2"/>
                <w:sz w:val="21"/>
                <w:szCs w:val="21"/>
                <w:lang w:val="en-US" w:eastAsia="zh-CN" w:bidi="ar-SA"/>
              </w:rPr>
            </w:pPr>
            <w:r>
              <w:rPr>
                <w:rFonts w:hint="eastAsia" w:ascii="Times New Roman" w:hAnsi="宋体" w:eastAsia="宋体" w:cs="宋体"/>
                <w:kern w:val="2"/>
                <w:sz w:val="21"/>
                <w:szCs w:val="21"/>
                <w:lang w:val="en-US" w:eastAsia="zh-CN" w:bidi="ar-SA"/>
              </w:rPr>
              <w:t xml:space="preserve">售后服务承诺 </w:t>
            </w:r>
          </w:p>
          <w:p>
            <w:pPr>
              <w:pStyle w:val="2"/>
              <w:jc w:val="center"/>
              <w:rPr>
                <w:rFonts w:hint="eastAsia" w:ascii="Times New Roman" w:hAnsi="宋体" w:eastAsia="宋体" w:cs="宋体"/>
                <w:kern w:val="2"/>
                <w:sz w:val="21"/>
                <w:szCs w:val="21"/>
                <w:lang w:val="en-US" w:eastAsia="zh-CN" w:bidi="ar-SA"/>
              </w:rPr>
            </w:pPr>
            <w:r>
              <w:rPr>
                <w:rFonts w:hint="eastAsia" w:ascii="Times New Roman" w:hAnsi="宋体" w:eastAsia="宋体" w:cs="宋体"/>
                <w:kern w:val="2"/>
                <w:sz w:val="21"/>
                <w:szCs w:val="21"/>
                <w:lang w:val="en-US" w:eastAsia="zh-CN" w:bidi="ar-SA"/>
              </w:rPr>
              <w:t xml:space="preserve">及质量保证措 </w:t>
            </w:r>
          </w:p>
          <w:p>
            <w:pPr>
              <w:pStyle w:val="2"/>
              <w:jc w:val="center"/>
              <w:rPr>
                <w:rFonts w:hint="eastAsia" w:ascii="Times New Roman" w:hAnsi="宋体" w:eastAsia="宋体" w:cs="宋体"/>
                <w:kern w:val="2"/>
                <w:sz w:val="21"/>
                <w:szCs w:val="21"/>
                <w:lang w:val="en-US" w:eastAsia="zh-CN" w:bidi="ar-SA"/>
              </w:rPr>
            </w:pPr>
            <w:r>
              <w:rPr>
                <w:rFonts w:hint="eastAsia" w:ascii="Times New Roman" w:hAnsi="宋体" w:eastAsia="宋体" w:cs="宋体"/>
                <w:kern w:val="2"/>
                <w:sz w:val="21"/>
                <w:szCs w:val="21"/>
                <w:lang w:val="en-US" w:eastAsia="zh-CN" w:bidi="ar-SA"/>
              </w:rPr>
              <w:t>施</w:t>
            </w:r>
          </w:p>
          <w:p>
            <w:pPr>
              <w:pStyle w:val="2"/>
              <w:jc w:val="center"/>
              <w:rPr>
                <w:rFonts w:hint="eastAsia" w:ascii="Times New Roman" w:hAnsi="宋体" w:eastAsia="宋体" w:cs="宋体"/>
                <w:kern w:val="2"/>
                <w:sz w:val="21"/>
                <w:szCs w:val="21"/>
                <w:lang w:val="en-US" w:eastAsia="zh-CN" w:bidi="ar-SA"/>
              </w:rPr>
            </w:pPr>
            <w:r>
              <w:rPr>
                <w:rFonts w:hint="eastAsia" w:ascii="Times New Roman" w:hAnsi="宋体" w:eastAsia="宋体" w:cs="宋体"/>
                <w:kern w:val="2"/>
                <w:sz w:val="21"/>
                <w:szCs w:val="21"/>
                <w:lang w:val="en-US" w:eastAsia="zh-CN" w:bidi="ar-SA"/>
              </w:rPr>
              <w:t>（10分）</w:t>
            </w:r>
          </w:p>
        </w:tc>
        <w:tc>
          <w:tcPr>
            <w:tcW w:w="595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spacing w:line="360" w:lineRule="auto"/>
              <w:rPr>
                <w:rFonts w:hint="eastAsia" w:ascii="Times New Roman" w:hAnsi="宋体" w:eastAsia="宋体" w:cs="宋体"/>
                <w:kern w:val="2"/>
                <w:sz w:val="21"/>
                <w:szCs w:val="21"/>
                <w:lang w:val="en-US" w:eastAsia="zh-CN" w:bidi="ar-SA"/>
              </w:rPr>
            </w:pPr>
            <w:r>
              <w:rPr>
                <w:rFonts w:hint="eastAsia" w:ascii="Times New Roman" w:hAnsi="宋体" w:eastAsia="宋体" w:cs="宋体"/>
                <w:kern w:val="2"/>
                <w:sz w:val="21"/>
                <w:szCs w:val="21"/>
                <w:lang w:val="en-US" w:eastAsia="zh-CN" w:bidi="ar-SA"/>
              </w:rPr>
              <w:t xml:space="preserve">根据投标文件中针对本项目制定的质量保证措施及售后 </w:t>
            </w:r>
          </w:p>
          <w:p>
            <w:pPr>
              <w:spacing w:line="360" w:lineRule="auto"/>
              <w:rPr>
                <w:rFonts w:hint="eastAsia" w:ascii="Times New Roman" w:hAnsi="宋体" w:eastAsia="宋体" w:cs="宋体"/>
                <w:kern w:val="2"/>
                <w:sz w:val="21"/>
                <w:szCs w:val="21"/>
                <w:lang w:val="en-US" w:eastAsia="zh-CN" w:bidi="ar-SA"/>
              </w:rPr>
            </w:pPr>
            <w:r>
              <w:rPr>
                <w:rFonts w:hint="eastAsia" w:ascii="Times New Roman" w:hAnsi="宋体" w:eastAsia="宋体" w:cs="宋体"/>
                <w:kern w:val="2"/>
                <w:sz w:val="21"/>
                <w:szCs w:val="21"/>
                <w:lang w:val="en-US" w:eastAsia="zh-CN" w:bidi="ar-SA"/>
              </w:rPr>
              <w:t xml:space="preserve">服务承诺是否详尽、合理、切实可行，是否符合或优于实 </w:t>
            </w:r>
          </w:p>
          <w:p>
            <w:pPr>
              <w:spacing w:line="360" w:lineRule="auto"/>
              <w:rPr>
                <w:rFonts w:hint="eastAsia" w:ascii="Times New Roman" w:hAnsi="宋体" w:eastAsia="宋体" w:cs="宋体"/>
                <w:kern w:val="2"/>
                <w:sz w:val="21"/>
                <w:szCs w:val="21"/>
                <w:lang w:val="en-US" w:eastAsia="zh-CN" w:bidi="ar-SA"/>
              </w:rPr>
            </w:pPr>
            <w:r>
              <w:rPr>
                <w:rFonts w:hint="eastAsia" w:ascii="Times New Roman" w:hAnsi="宋体" w:eastAsia="宋体" w:cs="宋体"/>
                <w:kern w:val="2"/>
                <w:sz w:val="21"/>
                <w:szCs w:val="21"/>
                <w:lang w:val="en-US" w:eastAsia="zh-CN" w:bidi="ar-SA"/>
              </w:rPr>
              <w:t xml:space="preserve">际需求等进行综合评审。 </w:t>
            </w:r>
          </w:p>
          <w:p>
            <w:pPr>
              <w:spacing w:line="360" w:lineRule="auto"/>
              <w:rPr>
                <w:rFonts w:hint="eastAsia" w:ascii="Times New Roman" w:hAnsi="宋体" w:eastAsia="宋体" w:cs="宋体"/>
                <w:kern w:val="2"/>
                <w:sz w:val="21"/>
                <w:szCs w:val="21"/>
                <w:lang w:val="en-US" w:eastAsia="zh-CN" w:bidi="ar-SA"/>
              </w:rPr>
            </w:pPr>
            <w:r>
              <w:rPr>
                <w:rFonts w:hint="eastAsia" w:ascii="Times New Roman" w:hAnsi="宋体" w:eastAsia="宋体" w:cs="宋体"/>
                <w:kern w:val="2"/>
                <w:sz w:val="21"/>
                <w:szCs w:val="21"/>
                <w:lang w:val="en-US" w:eastAsia="zh-CN" w:bidi="ar-SA"/>
              </w:rPr>
              <w:t>优得 8-10 分，良 4-7 分，一般得 1-3 分</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165" w:type="dxa"/>
            <w:vMerge w:val="continue"/>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p>
        </w:tc>
        <w:tc>
          <w:tcPr>
            <w:tcW w:w="643" w:type="dxa"/>
            <w:vMerge w:val="continue"/>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pPr>
          </w:p>
        </w:tc>
        <w:tc>
          <w:tcPr>
            <w:tcW w:w="1770"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rPr>
                <w:rFonts w:hint="eastAsia" w:ascii="Times New Roman" w:hAnsi="宋体" w:eastAsia="宋体" w:cs="宋体"/>
                <w:kern w:val="2"/>
                <w:sz w:val="21"/>
                <w:szCs w:val="21"/>
                <w:lang w:val="en-US" w:eastAsia="zh-CN" w:bidi="ar-SA"/>
              </w:rPr>
            </w:pPr>
          </w:p>
          <w:p>
            <w:pPr>
              <w:adjustRightInd w:val="0"/>
              <w:snapToGrid w:val="0"/>
              <w:spacing w:line="360" w:lineRule="auto"/>
              <w:jc w:val="center"/>
              <w:rPr>
                <w:rFonts w:hint="eastAsia" w:ascii="Times New Roman" w:hAnsi="宋体" w:eastAsia="宋体" w:cs="宋体"/>
                <w:kern w:val="2"/>
                <w:sz w:val="21"/>
                <w:szCs w:val="21"/>
                <w:lang w:val="en-US" w:eastAsia="zh-CN" w:bidi="ar-SA"/>
              </w:rPr>
            </w:pPr>
            <w:r>
              <w:rPr>
                <w:rFonts w:hint="eastAsia" w:ascii="Times New Roman" w:hAnsi="宋体" w:eastAsia="宋体" w:cs="宋体"/>
                <w:kern w:val="2"/>
                <w:sz w:val="21"/>
                <w:szCs w:val="21"/>
                <w:lang w:val="en-US" w:eastAsia="zh-CN" w:bidi="ar-SA"/>
              </w:rPr>
              <w:t>优惠承诺方案</w:t>
            </w:r>
          </w:p>
          <w:p>
            <w:pPr>
              <w:adjustRightInd w:val="0"/>
              <w:snapToGrid w:val="0"/>
              <w:spacing w:line="360" w:lineRule="auto"/>
              <w:jc w:val="center"/>
              <w:rPr>
                <w:rFonts w:hint="eastAsia" w:ascii="Times New Roman" w:hAnsi="宋体" w:eastAsia="宋体" w:cs="宋体"/>
                <w:kern w:val="2"/>
                <w:sz w:val="21"/>
                <w:szCs w:val="21"/>
                <w:lang w:val="en-US" w:eastAsia="zh-CN" w:bidi="ar-SA"/>
              </w:rPr>
            </w:pPr>
            <w:r>
              <w:rPr>
                <w:rFonts w:hint="eastAsia" w:ascii="Times New Roman" w:hAnsi="宋体" w:eastAsia="宋体" w:cs="宋体"/>
                <w:kern w:val="2"/>
                <w:sz w:val="21"/>
                <w:szCs w:val="21"/>
                <w:lang w:val="en-US" w:eastAsia="zh-CN" w:bidi="ar-SA"/>
              </w:rPr>
              <w:t>（2 分）</w:t>
            </w:r>
          </w:p>
        </w:tc>
        <w:tc>
          <w:tcPr>
            <w:tcW w:w="5958" w:type="dxa"/>
            <w:tcBorders>
              <w:top w:val="thinThickSmallGap" w:color="000000" w:sz="12" w:space="0"/>
              <w:left w:val="thinThickSmallGap" w:color="000000" w:sz="12" w:space="0"/>
              <w:bottom w:val="thinThickSmallGap" w:color="000000" w:sz="12" w:space="0"/>
              <w:right w:val="thinThickSmallGap" w:color="000000" w:sz="12" w:space="0"/>
              <w:tl2br w:val="nil"/>
              <w:tr2bl w:val="nil"/>
            </w:tcBorders>
            <w:vAlign w:val="center"/>
          </w:tcPr>
          <w:p>
            <w:pPr>
              <w:adjustRightInd w:val="0"/>
              <w:snapToGrid w:val="0"/>
              <w:spacing w:line="360" w:lineRule="auto"/>
              <w:rPr>
                <w:rFonts w:hint="eastAsia" w:ascii="Times New Roman" w:hAnsi="宋体" w:eastAsia="宋体" w:cs="宋体"/>
                <w:kern w:val="2"/>
                <w:sz w:val="21"/>
                <w:szCs w:val="21"/>
                <w:lang w:val="en-US" w:eastAsia="zh-CN" w:bidi="ar-SA"/>
              </w:rPr>
            </w:pPr>
          </w:p>
          <w:p>
            <w:pPr>
              <w:adjustRightInd w:val="0"/>
              <w:snapToGrid w:val="0"/>
              <w:spacing w:line="360" w:lineRule="auto"/>
              <w:rPr>
                <w:rFonts w:hint="eastAsia" w:ascii="Times New Roman" w:hAnsi="宋体" w:eastAsia="宋体" w:cs="宋体"/>
                <w:kern w:val="2"/>
                <w:sz w:val="21"/>
                <w:szCs w:val="21"/>
                <w:lang w:val="en-US" w:eastAsia="zh-CN" w:bidi="ar-SA"/>
              </w:rPr>
            </w:pPr>
            <w:r>
              <w:rPr>
                <w:rFonts w:hint="eastAsia" w:ascii="Times New Roman" w:hAnsi="宋体" w:eastAsia="宋体" w:cs="宋体"/>
                <w:kern w:val="2"/>
                <w:sz w:val="21"/>
                <w:szCs w:val="21"/>
                <w:lang w:val="en-US" w:eastAsia="zh-CN" w:bidi="ar-SA"/>
              </w:rPr>
              <w:t>由评审委员会根据相应方案给与评分，没有不得分。</w:t>
            </w:r>
          </w:p>
          <w:p>
            <w:pPr>
              <w:adjustRightInd w:val="0"/>
              <w:snapToGrid w:val="0"/>
              <w:spacing w:line="360" w:lineRule="auto"/>
              <w:rPr>
                <w:rFonts w:hint="eastAsia" w:ascii="Times New Roman" w:hAnsi="宋体" w:eastAsia="宋体" w:cs="宋体"/>
                <w:kern w:val="2"/>
                <w:sz w:val="21"/>
                <w:szCs w:val="21"/>
                <w:lang w:val="en-US" w:eastAsia="zh-CN" w:bidi="ar-SA"/>
              </w:rPr>
            </w:pPr>
          </w:p>
        </w:tc>
      </w:tr>
    </w:tbl>
    <w:p>
      <w:pPr>
        <w:spacing w:line="440" w:lineRule="exact"/>
        <w:rPr>
          <w:rFonts w:hint="eastAsia" w:ascii="宋体" w:hAnsi="宋体" w:cs="宋体"/>
          <w:b/>
          <w:kern w:val="1"/>
          <w:sz w:val="24"/>
        </w:rPr>
      </w:pPr>
    </w:p>
    <w:p>
      <w:pPr>
        <w:spacing w:line="440" w:lineRule="exact"/>
        <w:ind w:firstLine="482" w:firstLineChars="200"/>
        <w:rPr>
          <w:rFonts w:ascii="宋体" w:hAnsi="宋体"/>
          <w:spacing w:val="-2"/>
          <w:sz w:val="24"/>
        </w:rPr>
      </w:pPr>
      <w:r>
        <w:rPr>
          <w:rFonts w:hint="eastAsia" w:ascii="宋体" w:hAnsi="宋体" w:cs="宋体"/>
          <w:b/>
          <w:kern w:val="1"/>
          <w:sz w:val="24"/>
        </w:rPr>
        <w:t>三</w:t>
      </w:r>
      <w:r>
        <w:rPr>
          <w:rFonts w:ascii="宋体" w:hAnsi="宋体" w:cs="宋体"/>
          <w:b/>
          <w:kern w:val="1"/>
          <w:sz w:val="24"/>
        </w:rPr>
        <w:t xml:space="preserve">、投标报价部分  </w:t>
      </w:r>
      <w:r>
        <w:rPr>
          <w:rFonts w:hint="eastAsia" w:ascii="宋体" w:hAnsi="宋体" w:cs="宋体"/>
          <w:b/>
          <w:kern w:val="1"/>
          <w:sz w:val="24"/>
          <w:lang w:val="en-US" w:eastAsia="zh-CN"/>
        </w:rPr>
        <w:t>40</w:t>
      </w:r>
      <w:r>
        <w:rPr>
          <w:rFonts w:ascii="宋体" w:hAnsi="宋体" w:cs="宋体"/>
          <w:b/>
          <w:kern w:val="1"/>
          <w:sz w:val="24"/>
        </w:rPr>
        <w:t>分</w:t>
      </w:r>
    </w:p>
    <w:p>
      <w:pPr>
        <w:spacing w:line="400" w:lineRule="exact"/>
        <w:ind w:firstLine="480" w:firstLineChars="200"/>
        <w:rPr>
          <w:rFonts w:ascii="宋体" w:hAnsi="宋体"/>
          <w:sz w:val="24"/>
        </w:rPr>
      </w:pPr>
      <w:r>
        <w:rPr>
          <w:rFonts w:hint="eastAsia" w:ascii="宋体" w:hAnsi="宋体"/>
          <w:sz w:val="24"/>
        </w:rPr>
        <w:t>1、本次采购方式为竞争性磋商，共有两次报价机会。</w:t>
      </w:r>
    </w:p>
    <w:p>
      <w:pPr>
        <w:spacing w:line="400" w:lineRule="exact"/>
        <w:ind w:firstLine="480" w:firstLineChars="200"/>
        <w:rPr>
          <w:rFonts w:ascii="宋体" w:hAnsi="宋体"/>
          <w:sz w:val="24"/>
        </w:rPr>
      </w:pPr>
      <w:r>
        <w:rPr>
          <w:rFonts w:hint="eastAsia" w:ascii="宋体" w:hAnsi="宋体"/>
          <w:sz w:val="24"/>
        </w:rPr>
        <w:t>2、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pPr>
        <w:spacing w:line="400" w:lineRule="exact"/>
        <w:ind w:firstLine="480" w:firstLineChars="200"/>
        <w:rPr>
          <w:rFonts w:ascii="宋体" w:hAnsi="宋体"/>
          <w:sz w:val="24"/>
        </w:rPr>
      </w:pPr>
      <w:r>
        <w:rPr>
          <w:rFonts w:hint="eastAsia" w:ascii="宋体" w:hAnsi="宋体"/>
          <w:sz w:val="24"/>
        </w:rPr>
        <w:t>3、投标的最低报价，不作为是否成交的保证。</w:t>
      </w:r>
    </w:p>
    <w:p>
      <w:pPr>
        <w:spacing w:line="400" w:lineRule="exact"/>
        <w:ind w:firstLine="480" w:firstLineChars="200"/>
        <w:rPr>
          <w:rFonts w:ascii="宋体" w:hAnsi="宋体"/>
          <w:kern w:val="0"/>
          <w:sz w:val="24"/>
        </w:rPr>
      </w:pPr>
      <w:r>
        <w:rPr>
          <w:rFonts w:hint="eastAsia" w:ascii="宋体" w:hAnsi="宋体"/>
          <w:sz w:val="24"/>
        </w:rPr>
        <w:t>4、</w:t>
      </w:r>
      <w:r>
        <w:rPr>
          <w:rFonts w:hint="eastAsia" w:ascii="宋体" w:hAnsi="宋体"/>
          <w:kern w:val="0"/>
          <w:sz w:val="24"/>
        </w:rPr>
        <w:t>经济标分值为</w:t>
      </w:r>
      <w:r>
        <w:rPr>
          <w:rFonts w:hint="eastAsia" w:ascii="宋体" w:hAnsi="宋体"/>
          <w:kern w:val="0"/>
          <w:sz w:val="24"/>
          <w:lang w:val="en-US" w:eastAsia="zh-CN"/>
        </w:rPr>
        <w:t>40</w:t>
      </w:r>
      <w:r>
        <w:rPr>
          <w:rFonts w:hint="eastAsia" w:ascii="宋体" w:hAnsi="宋体"/>
          <w:kern w:val="0"/>
          <w:sz w:val="24"/>
        </w:rPr>
        <w:t>分、</w:t>
      </w:r>
      <w:r>
        <w:rPr>
          <w:rFonts w:hint="eastAsia" w:ascii="宋体" w:hAnsi="宋体" w:eastAsia="宋体" w:cs="Times New Roman"/>
          <w:kern w:val="0"/>
          <w:sz w:val="24"/>
          <w:szCs w:val="22"/>
        </w:rPr>
        <w:t>商务标分值为</w:t>
      </w:r>
      <w:r>
        <w:rPr>
          <w:rFonts w:hint="eastAsia" w:ascii="宋体" w:hAnsi="宋体" w:cs="Times New Roman"/>
          <w:kern w:val="0"/>
          <w:sz w:val="24"/>
          <w:szCs w:val="22"/>
          <w:lang w:val="en-US" w:eastAsia="zh-CN"/>
        </w:rPr>
        <w:t>10</w:t>
      </w:r>
      <w:r>
        <w:rPr>
          <w:rFonts w:hint="eastAsia" w:ascii="宋体" w:hAnsi="宋体" w:eastAsia="宋体" w:cs="Times New Roman"/>
          <w:kern w:val="0"/>
          <w:sz w:val="24"/>
          <w:szCs w:val="22"/>
        </w:rPr>
        <w:t>分、技术标分值为</w:t>
      </w:r>
      <w:r>
        <w:rPr>
          <w:rFonts w:hint="eastAsia" w:ascii="宋体" w:hAnsi="宋体" w:cs="Times New Roman"/>
          <w:kern w:val="0"/>
          <w:sz w:val="24"/>
          <w:szCs w:val="22"/>
          <w:lang w:val="en-US" w:eastAsia="zh-CN"/>
        </w:rPr>
        <w:t>5</w:t>
      </w:r>
      <w:r>
        <w:rPr>
          <w:rFonts w:hint="eastAsia" w:ascii="宋体" w:hAnsi="宋体" w:eastAsia="宋体" w:cs="Times New Roman"/>
          <w:kern w:val="0"/>
          <w:sz w:val="24"/>
          <w:szCs w:val="22"/>
          <w:lang w:val="en-US" w:eastAsia="zh-CN"/>
        </w:rPr>
        <w:t>0</w:t>
      </w:r>
      <w:r>
        <w:rPr>
          <w:rFonts w:hint="eastAsia" w:ascii="宋体" w:hAnsi="宋体" w:eastAsia="宋体" w:cs="Times New Roman"/>
          <w:kern w:val="0"/>
          <w:sz w:val="24"/>
          <w:szCs w:val="22"/>
        </w:rPr>
        <w:t>分</w:t>
      </w:r>
      <w:r>
        <w:rPr>
          <w:rFonts w:hint="eastAsia" w:ascii="宋体" w:hAnsi="宋体"/>
          <w:kern w:val="0"/>
          <w:sz w:val="24"/>
        </w:rPr>
        <w:t>。</w:t>
      </w:r>
    </w:p>
    <w:p>
      <w:pPr>
        <w:spacing w:line="400" w:lineRule="exact"/>
        <w:ind w:firstLine="960" w:firstLineChars="400"/>
        <w:rPr>
          <w:rFonts w:hint="eastAsia" w:ascii="宋体" w:hAnsi="宋体" w:eastAsia="宋体" w:cs="Times New Roman"/>
          <w:kern w:val="0"/>
          <w:sz w:val="24"/>
          <w:szCs w:val="22"/>
          <w:lang w:val="en-US" w:eastAsia="zh-CN"/>
        </w:rPr>
      </w:pPr>
      <w:r>
        <w:rPr>
          <w:rFonts w:hint="eastAsia" w:ascii="宋体" w:hAnsi="宋体" w:eastAsia="宋体" w:cs="Times New Roman"/>
          <w:kern w:val="0"/>
          <w:sz w:val="24"/>
          <w:szCs w:val="22"/>
          <w:lang w:val="en-US" w:eastAsia="zh-CN"/>
        </w:rPr>
        <w:t>报价得分=(评标基准价／评标价格)×</w:t>
      </w:r>
      <w:r>
        <w:rPr>
          <w:rFonts w:hint="eastAsia" w:ascii="宋体" w:hAnsi="宋体" w:cs="Times New Roman"/>
          <w:kern w:val="0"/>
          <w:sz w:val="24"/>
          <w:szCs w:val="22"/>
          <w:lang w:val="en-US" w:eastAsia="zh-CN"/>
        </w:rPr>
        <w:t>4</w:t>
      </w:r>
      <w:r>
        <w:rPr>
          <w:rFonts w:hint="eastAsia" w:ascii="宋体" w:hAnsi="宋体" w:eastAsia="宋体" w:cs="Times New Roman"/>
          <w:kern w:val="0"/>
          <w:sz w:val="24"/>
          <w:szCs w:val="22"/>
          <w:lang w:val="en-US" w:eastAsia="zh-CN"/>
        </w:rPr>
        <w:t>0%×100</w:t>
      </w:r>
    </w:p>
    <w:p>
      <w:pPr>
        <w:spacing w:line="440" w:lineRule="exact"/>
        <w:ind w:firstLine="960" w:firstLineChars="400"/>
        <w:jc w:val="left"/>
        <w:rPr>
          <w:rFonts w:hint="eastAsia" w:ascii="宋体" w:hAnsi="宋体" w:eastAsia="宋体" w:cs="Times New Roman"/>
          <w:sz w:val="24"/>
          <w:szCs w:val="22"/>
          <w:lang w:val="en-US" w:eastAsia="zh-CN"/>
        </w:rPr>
      </w:pPr>
      <w:r>
        <w:rPr>
          <w:rFonts w:hint="eastAsia" w:ascii="宋体" w:hAnsi="宋体" w:eastAsia="宋体" w:cs="Times New Roman"/>
          <w:sz w:val="24"/>
          <w:szCs w:val="22"/>
          <w:lang w:val="en-US" w:eastAsia="zh-CN"/>
        </w:rPr>
        <w:t>评标价格=供应商的投标报价（经算数性修正的）-政府采购政策优惠价格扣除。</w:t>
      </w:r>
    </w:p>
    <w:p>
      <w:pPr>
        <w:spacing w:line="440" w:lineRule="exact"/>
        <w:ind w:firstLine="482" w:firstLineChars="200"/>
        <w:jc w:val="left"/>
        <w:rPr>
          <w:rFonts w:hint="eastAsia" w:ascii="宋体" w:hAnsi="宋体" w:eastAsia="宋体" w:cs="Times New Roman"/>
          <w:sz w:val="24"/>
          <w:szCs w:val="22"/>
        </w:rPr>
      </w:pPr>
      <w:r>
        <w:rPr>
          <w:rFonts w:hint="eastAsia" w:ascii="宋体" w:hAnsi="宋体" w:eastAsia="宋体" w:cs="Times New Roman"/>
          <w:b/>
          <w:bCs/>
          <w:sz w:val="24"/>
          <w:szCs w:val="22"/>
        </w:rPr>
        <w:t>2</w:t>
      </w:r>
      <w:r>
        <w:rPr>
          <w:rFonts w:hint="eastAsia" w:ascii="宋体" w:hAnsi="宋体" w:eastAsia="宋体" w:cs="Times New Roman"/>
          <w:b/>
          <w:bCs/>
          <w:sz w:val="24"/>
          <w:szCs w:val="22"/>
          <w:lang w:val="en-US" w:eastAsia="zh-CN"/>
        </w:rPr>
        <w:t>0</w:t>
      </w:r>
      <w:r>
        <w:rPr>
          <w:rFonts w:hint="eastAsia" w:ascii="宋体" w:hAnsi="宋体" w:eastAsia="宋体" w:cs="Times New Roman"/>
          <w:b/>
          <w:bCs/>
          <w:sz w:val="24"/>
          <w:szCs w:val="22"/>
        </w:rPr>
        <w:t>.</w:t>
      </w:r>
      <w:r>
        <w:rPr>
          <w:rFonts w:hint="eastAsia" w:ascii="宋体" w:hAnsi="宋体" w:cs="Times New Roman"/>
          <w:b/>
          <w:bCs/>
          <w:sz w:val="24"/>
          <w:szCs w:val="22"/>
          <w:lang w:val="en-US" w:eastAsia="zh-CN"/>
        </w:rPr>
        <w:t>1</w:t>
      </w:r>
      <w:r>
        <w:rPr>
          <w:rFonts w:hint="eastAsia" w:ascii="宋体" w:hAnsi="宋体" w:eastAsia="宋体" w:cs="Times New Roman"/>
          <w:b/>
          <w:bCs/>
          <w:sz w:val="24"/>
          <w:szCs w:val="22"/>
        </w:rPr>
        <w:t xml:space="preserve"> </w:t>
      </w:r>
      <w:r>
        <w:rPr>
          <w:rFonts w:hint="eastAsia" w:ascii="宋体" w:hAnsi="宋体" w:eastAsia="宋体" w:cs="Times New Roman"/>
          <w:sz w:val="24"/>
          <w:szCs w:val="22"/>
        </w:rPr>
        <w:t xml:space="preserve"> 在价格评审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2" w:firstLineChars="200"/>
        <w:jc w:val="left"/>
        <w:rPr>
          <w:rFonts w:hint="eastAsia" w:ascii="宋体" w:hAnsi="宋体" w:eastAsia="宋体" w:cs="Times New Roman"/>
          <w:sz w:val="24"/>
          <w:szCs w:val="22"/>
        </w:rPr>
      </w:pPr>
      <w:r>
        <w:rPr>
          <w:rFonts w:hint="eastAsia" w:ascii="宋体" w:hAnsi="宋体" w:eastAsia="宋体" w:cs="Times New Roman"/>
          <w:b/>
          <w:bCs/>
          <w:sz w:val="24"/>
          <w:szCs w:val="22"/>
        </w:rPr>
        <w:t>2</w:t>
      </w:r>
      <w:r>
        <w:rPr>
          <w:rFonts w:hint="eastAsia" w:ascii="宋体" w:hAnsi="宋体" w:eastAsia="宋体" w:cs="Times New Roman"/>
          <w:b/>
          <w:bCs/>
          <w:sz w:val="24"/>
          <w:szCs w:val="22"/>
          <w:lang w:val="en-US" w:eastAsia="zh-CN"/>
        </w:rPr>
        <w:t>0</w:t>
      </w:r>
      <w:r>
        <w:rPr>
          <w:rFonts w:hint="eastAsia" w:ascii="宋体" w:hAnsi="宋体" w:eastAsia="宋体" w:cs="Times New Roman"/>
          <w:b/>
          <w:bCs/>
          <w:sz w:val="24"/>
          <w:szCs w:val="22"/>
        </w:rPr>
        <w:t>.</w:t>
      </w:r>
      <w:r>
        <w:rPr>
          <w:rFonts w:hint="eastAsia" w:ascii="宋体" w:hAnsi="宋体" w:cs="Times New Roman"/>
          <w:b/>
          <w:bCs/>
          <w:sz w:val="24"/>
          <w:szCs w:val="22"/>
          <w:lang w:val="en-US" w:eastAsia="zh-CN"/>
        </w:rPr>
        <w:t>2</w:t>
      </w:r>
      <w:r>
        <w:rPr>
          <w:rFonts w:hint="eastAsia" w:ascii="宋体" w:hAnsi="宋体" w:eastAsia="宋体" w:cs="Times New Roman"/>
          <w:sz w:val="24"/>
          <w:szCs w:val="22"/>
        </w:rPr>
        <w:t xml:space="preserve">  在技术评审中，应当考虑技术参数响应及性能评价文件、</w:t>
      </w:r>
      <w:r>
        <w:rPr>
          <w:rFonts w:hint="eastAsia" w:ascii="宋体" w:hAnsi="宋体" w:eastAsia="宋体" w:cs="Times New Roman"/>
          <w:sz w:val="24"/>
          <w:szCs w:val="22"/>
          <w:lang w:eastAsia="zh-CN"/>
        </w:rPr>
        <w:t>技术综合保障、实施技术方案</w:t>
      </w:r>
      <w:r>
        <w:rPr>
          <w:rFonts w:hint="eastAsia" w:ascii="宋体" w:hAnsi="宋体" w:eastAsia="宋体" w:cs="Times New Roman"/>
          <w:sz w:val="24"/>
          <w:szCs w:val="22"/>
        </w:rPr>
        <w:t>等因素，以确定投标人类似项目的经验及管理能力等。</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涉及政府采购政策优惠的，按投标须知前附表规定调整投标人的技术、价格得分或总得分。</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涉及多处获得政府采购政策优惠的，涉及调整得分的，按规定调整得分；涉及调整价格的，按规定调整价格。</w:t>
      </w:r>
    </w:p>
    <w:p>
      <w:pPr>
        <w:spacing w:line="440" w:lineRule="exact"/>
        <w:ind w:firstLine="482" w:firstLineChars="200"/>
        <w:jc w:val="left"/>
        <w:rPr>
          <w:rFonts w:hint="eastAsia" w:ascii="宋体" w:hAnsi="宋体" w:eastAsia="宋体" w:cs="Times New Roman"/>
          <w:sz w:val="24"/>
          <w:szCs w:val="22"/>
        </w:rPr>
      </w:pPr>
      <w:r>
        <w:rPr>
          <w:rFonts w:hint="eastAsia" w:ascii="宋体" w:hAnsi="宋体" w:eastAsia="宋体" w:cs="Times New Roman"/>
          <w:b/>
          <w:bCs/>
          <w:sz w:val="24"/>
          <w:szCs w:val="22"/>
        </w:rPr>
        <w:t>2</w:t>
      </w:r>
      <w:r>
        <w:rPr>
          <w:rFonts w:hint="eastAsia" w:ascii="宋体" w:hAnsi="宋体" w:eastAsia="宋体" w:cs="Times New Roman"/>
          <w:b/>
          <w:bCs/>
          <w:sz w:val="24"/>
          <w:szCs w:val="22"/>
          <w:lang w:val="en-US" w:eastAsia="zh-CN"/>
        </w:rPr>
        <w:t>0</w:t>
      </w:r>
      <w:r>
        <w:rPr>
          <w:rFonts w:hint="eastAsia" w:ascii="宋体" w:hAnsi="宋体" w:eastAsia="宋体" w:cs="Times New Roman"/>
          <w:b/>
          <w:bCs/>
          <w:sz w:val="24"/>
          <w:szCs w:val="22"/>
        </w:rPr>
        <w:t>.</w:t>
      </w:r>
      <w:r>
        <w:rPr>
          <w:rFonts w:hint="eastAsia" w:ascii="宋体" w:hAnsi="宋体" w:cs="Times New Roman"/>
          <w:b/>
          <w:bCs/>
          <w:sz w:val="24"/>
          <w:szCs w:val="22"/>
          <w:lang w:val="en-US" w:eastAsia="zh-CN"/>
        </w:rPr>
        <w:t>3</w:t>
      </w:r>
      <w:r>
        <w:rPr>
          <w:rFonts w:hint="eastAsia" w:ascii="宋体" w:hAnsi="宋体" w:eastAsia="宋体" w:cs="Times New Roman"/>
          <w:sz w:val="24"/>
          <w:szCs w:val="22"/>
        </w:rPr>
        <w:t xml:space="preserve"> 节能、环境标志产品评审优惠内容及加分幅度：</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价格项加分：</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1、（节能清单部分产品的价格/投标报价）×3%×价格项满分值</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2、（环境清单部分产品的价格/投标报价）×3%×价格项满分值</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技术项加分：</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1、（节能清单部分产品的价格/投标报价）×3%×技术项满分值</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2、（环境清单部分产品的价格/投标报价）×3%×技术项满分值</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注：①投标人须提供最新一期《节能产品政府采购清单》关于投标产品当前页的打印件；</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②投标人提供最新一期《环境标志产品政府采购清单》关于投标产品当前页的打印件；</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根据中华人民共和国财政部、中华人民共和国民政部、中国残疾人联合会《关于促进残疾人就业政府采购政策的通知》（财库[2017]141号）文件及中华人民共和国财政部、中华人民共和国司法部《关于政府采购支持监狱企业发展有关问题的通知》（财库[2014]68号）的规定：监狱企业、残疾人福利性单位视同小型、微型企业。</w:t>
      </w:r>
    </w:p>
    <w:p>
      <w:pPr>
        <w:spacing w:line="440" w:lineRule="exact"/>
        <w:ind w:firstLine="480" w:firstLineChars="200"/>
        <w:jc w:val="left"/>
        <w:rPr>
          <w:rFonts w:hint="eastAsia" w:ascii="宋体" w:hAnsi="宋体" w:eastAsia="宋体" w:cs="Times New Roman"/>
          <w:sz w:val="24"/>
          <w:szCs w:val="22"/>
        </w:rPr>
      </w:pPr>
      <w:r>
        <w:rPr>
          <w:rFonts w:hint="eastAsia" w:ascii="宋体" w:hAnsi="宋体" w:eastAsia="宋体" w:cs="Times New Roman"/>
          <w:sz w:val="24"/>
          <w:szCs w:val="22"/>
        </w:rPr>
        <w:t>供应商若为残疾人福利性单位，须在投标文件中提供《残疾人福利性单位声明函》，若为监狱企业，须在投标文件中提供《监狱企业声明函》，否则将不给予价格扣除。供应商须对其声明的真实性负责，若与事实不符的，将依照《政府采购法》第七十七条第一款的规定追究法律责任。</w:t>
      </w:r>
    </w:p>
    <w:p>
      <w:pPr>
        <w:spacing w:line="400" w:lineRule="exact"/>
        <w:ind w:firstLine="482" w:firstLineChars="200"/>
        <w:rPr>
          <w:rFonts w:hint="eastAsia" w:ascii="宋体" w:hAnsi="宋体"/>
          <w:b/>
          <w:bCs/>
          <w:sz w:val="24"/>
        </w:rPr>
      </w:pPr>
    </w:p>
    <w:p>
      <w:pPr>
        <w:spacing w:line="400" w:lineRule="exact"/>
        <w:ind w:firstLine="482" w:firstLineChars="200"/>
        <w:rPr>
          <w:rFonts w:ascii="宋体" w:hAnsi="宋体"/>
          <w:b/>
          <w:bCs/>
          <w:sz w:val="24"/>
        </w:rPr>
      </w:pPr>
      <w:r>
        <w:rPr>
          <w:rFonts w:hint="eastAsia" w:ascii="宋体" w:hAnsi="宋体"/>
          <w:b/>
          <w:bCs/>
          <w:sz w:val="24"/>
        </w:rPr>
        <w:t>21．定标原则</w:t>
      </w:r>
    </w:p>
    <w:p>
      <w:pPr>
        <w:spacing w:line="440" w:lineRule="exact"/>
        <w:ind w:firstLine="480" w:firstLineChars="200"/>
        <w:jc w:val="left"/>
        <w:rPr>
          <w:rFonts w:ascii="宋体" w:hAnsi="宋体"/>
          <w:sz w:val="24"/>
        </w:rPr>
      </w:pPr>
      <w:r>
        <w:rPr>
          <w:rFonts w:hint="eastAsia" w:ascii="宋体" w:hAnsi="宋体"/>
          <w:color w:val="000000"/>
          <w:sz w:val="24"/>
        </w:rPr>
        <w:t>21.1</w:t>
      </w:r>
      <w:r>
        <w:rPr>
          <w:rFonts w:hint="eastAsia" w:ascii="宋体" w:hAnsi="宋体"/>
          <w:sz w:val="24"/>
        </w:rPr>
        <w:t>综合评分法，是指响应文件满足磋商文件全部实质性要求且按评分因素的量化指标评审得分最高的供应商为成交候选供应商的评审方法。</w:t>
      </w:r>
    </w:p>
    <w:p>
      <w:pPr>
        <w:spacing w:line="440" w:lineRule="exact"/>
        <w:ind w:firstLine="480" w:firstLineChars="200"/>
        <w:jc w:val="left"/>
        <w:rPr>
          <w:rFonts w:ascii="宋体" w:hAnsi="宋体"/>
          <w:sz w:val="24"/>
        </w:rPr>
      </w:pPr>
      <w:r>
        <w:rPr>
          <w:rFonts w:hint="eastAsia" w:ascii="宋体" w:hAnsi="宋体"/>
          <w:sz w:val="24"/>
        </w:rPr>
        <w:t>21.2评审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42"/>
        <w:snapToGrid w:val="0"/>
        <w:spacing w:line="300" w:lineRule="auto"/>
        <w:ind w:firstLine="480" w:firstLineChars="200"/>
        <w:rPr>
          <w:rFonts w:hint="eastAsia" w:ascii="宋体" w:hAnsi="宋体"/>
          <w:sz w:val="24"/>
        </w:rPr>
      </w:pPr>
      <w:r>
        <w:rPr>
          <w:rFonts w:hint="eastAsia" w:ascii="宋体" w:hAnsi="宋体"/>
          <w:sz w:val="24"/>
        </w:rPr>
        <w:t>21.3采购人根据评审小组的评审报告，应当确定排名第一的成交候选人为成交人。排名第一的成交候选人放弃成交、因不可抗力不能履行合同、不按照磋商文件要求提交履约保证金，或者被查实存在影响成交结果的违法行为等情形，不符合成交条件的，采购人可以按照评审小组提出的成交候选人名单排序依次确定其他成交候选人为成交人，也可以重新采购。</w:t>
      </w:r>
    </w:p>
    <w:p>
      <w:pPr>
        <w:pStyle w:val="42"/>
        <w:snapToGrid w:val="0"/>
        <w:spacing w:line="30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2</w:t>
      </w:r>
      <w:r>
        <w:rPr>
          <w:rFonts w:hint="eastAsia" w:ascii="宋体" w:hAnsi="宋体"/>
          <w:sz w:val="24"/>
        </w:rPr>
        <w:t>. 中标通知</w:t>
      </w:r>
    </w:p>
    <w:p>
      <w:pPr>
        <w:pStyle w:val="42"/>
        <w:snapToGrid w:val="0"/>
        <w:spacing w:line="30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cs="Times New Roman"/>
          <w:color w:val="auto"/>
          <w:sz w:val="24"/>
          <w:lang w:val="en-US" w:eastAsia="zh-CN"/>
        </w:rPr>
        <w:t>2</w:t>
      </w:r>
      <w:r>
        <w:rPr>
          <w:rFonts w:hint="eastAsia" w:ascii="宋体" w:hAnsi="宋体" w:eastAsia="宋体" w:cs="Times New Roman"/>
          <w:color w:val="auto"/>
          <w:sz w:val="24"/>
        </w:rPr>
        <w:t>.</w:t>
      </w:r>
      <w:r>
        <w:rPr>
          <w:rFonts w:hint="eastAsia" w:ascii="宋体" w:hAnsi="宋体" w:cs="Times New Roman"/>
          <w:color w:val="auto"/>
          <w:sz w:val="24"/>
          <w:lang w:val="en-US" w:eastAsia="zh-CN"/>
        </w:rPr>
        <w:t>1</w:t>
      </w:r>
      <w:r>
        <w:rPr>
          <w:rFonts w:hint="eastAsia" w:ascii="宋体" w:hAnsi="宋体" w:eastAsia="宋体" w:cs="Times New Roman"/>
          <w:color w:val="auto"/>
          <w:sz w:val="24"/>
        </w:rPr>
        <w:t xml:space="preserve"> 采购代理机构将在中标结果公示发布的同时，以书面形式向中标单位发出《中标通知书》。</w:t>
      </w:r>
    </w:p>
    <w:p>
      <w:pPr>
        <w:pStyle w:val="42"/>
        <w:snapToGrid w:val="0"/>
        <w:spacing w:line="30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cs="Times New Roman"/>
          <w:color w:val="auto"/>
          <w:sz w:val="24"/>
          <w:lang w:val="en-US" w:eastAsia="zh-CN"/>
        </w:rPr>
        <w:t>2</w:t>
      </w:r>
      <w:r>
        <w:rPr>
          <w:rFonts w:hint="eastAsia" w:ascii="宋体" w:hAnsi="宋体" w:eastAsia="宋体" w:cs="Times New Roman"/>
          <w:color w:val="auto"/>
          <w:sz w:val="24"/>
        </w:rPr>
        <w:t>.</w:t>
      </w:r>
      <w:r>
        <w:rPr>
          <w:rFonts w:hint="eastAsia" w:ascii="宋体" w:hAnsi="宋体" w:cs="Times New Roman"/>
          <w:color w:val="auto"/>
          <w:sz w:val="24"/>
          <w:lang w:val="en-US" w:eastAsia="zh-CN"/>
        </w:rPr>
        <w:t>2</w:t>
      </w:r>
      <w:r>
        <w:rPr>
          <w:rFonts w:hint="eastAsia" w:ascii="宋体" w:hAnsi="宋体" w:eastAsia="宋体" w:cs="Times New Roman"/>
          <w:color w:val="auto"/>
          <w:sz w:val="24"/>
        </w:rPr>
        <w:t xml:space="preserve"> 采购代理机构在《中标通知书》发出后五个工作日内退还未中标人的投标保证金，在采购合同签订后五个工作日内退还中标人的投标保证金。对于所有投标人的投标文件均不予以退还，但对其承担保密责任。</w:t>
      </w:r>
    </w:p>
    <w:p>
      <w:pPr>
        <w:pStyle w:val="42"/>
        <w:snapToGrid w:val="0"/>
        <w:spacing w:line="30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cs="Times New Roman"/>
          <w:color w:val="auto"/>
          <w:sz w:val="24"/>
          <w:lang w:val="en-US" w:eastAsia="zh-CN"/>
        </w:rPr>
        <w:t>3</w:t>
      </w:r>
      <w:r>
        <w:rPr>
          <w:rFonts w:hint="eastAsia" w:ascii="宋体" w:hAnsi="宋体" w:eastAsia="宋体" w:cs="Times New Roman"/>
          <w:color w:val="auto"/>
          <w:sz w:val="24"/>
        </w:rPr>
        <w:t>. 拒绝某些或所有投标的权力。</w:t>
      </w:r>
    </w:p>
    <w:p>
      <w:pPr>
        <w:pStyle w:val="42"/>
        <w:snapToGrid w:val="0"/>
        <w:spacing w:line="300" w:lineRule="auto"/>
        <w:ind w:firstLine="480" w:firstLineChars="200"/>
        <w:rPr>
          <w:rFonts w:hint="eastAsia" w:ascii="宋体" w:hAnsi="宋体"/>
          <w:sz w:val="28"/>
          <w:szCs w:val="28"/>
        </w:rPr>
      </w:pPr>
      <w:r>
        <w:rPr>
          <w:rFonts w:hint="eastAsia" w:ascii="宋体" w:hAnsi="宋体" w:eastAsia="宋体" w:cs="Times New Roman"/>
          <w:color w:val="auto"/>
          <w:sz w:val="24"/>
        </w:rPr>
        <w:t>2</w:t>
      </w:r>
      <w:r>
        <w:rPr>
          <w:rFonts w:hint="eastAsia" w:ascii="宋体" w:hAnsi="宋体" w:cs="Times New Roman"/>
          <w:color w:val="auto"/>
          <w:sz w:val="24"/>
          <w:lang w:val="en-US" w:eastAsia="zh-CN"/>
        </w:rPr>
        <w:t>3</w:t>
      </w:r>
      <w:r>
        <w:rPr>
          <w:rFonts w:hint="eastAsia" w:ascii="宋体" w:hAnsi="宋体" w:eastAsia="宋体" w:cs="Times New Roman"/>
          <w:color w:val="auto"/>
          <w:sz w:val="24"/>
        </w:rPr>
        <w:t>.1 采购人或采购代理机构有权在《中标通知书》发放之前的任何时候拒绝任何有不正当行为或扰乱正常招标工作的投标人，由此对相关投标人造成的损失不负责任。</w:t>
      </w:r>
    </w:p>
    <w:p>
      <w:pPr>
        <w:pStyle w:val="4"/>
        <w:bidi w:val="0"/>
        <w:rPr>
          <w:rFonts w:hint="eastAsia"/>
        </w:rPr>
      </w:pPr>
      <w:bookmarkStart w:id="21" w:name="_Toc17133"/>
      <w:r>
        <w:rPr>
          <w:rFonts w:hint="eastAsia"/>
        </w:rPr>
        <w:t>第六章授予合同</w:t>
      </w:r>
      <w:bookmarkEnd w:id="21"/>
    </w:p>
    <w:p>
      <w:pPr>
        <w:spacing w:line="360" w:lineRule="auto"/>
        <w:ind w:firstLine="482" w:firstLineChars="200"/>
        <w:rPr>
          <w:rFonts w:ascii="宋体" w:hAnsi="宋体"/>
          <w:b/>
          <w:color w:val="000000"/>
          <w:sz w:val="24"/>
        </w:rPr>
      </w:pPr>
      <w:r>
        <w:rPr>
          <w:rFonts w:hint="eastAsia" w:ascii="宋体" w:hAnsi="宋体"/>
          <w:b/>
          <w:color w:val="000000"/>
          <w:sz w:val="24"/>
        </w:rPr>
        <w:t>2</w:t>
      </w:r>
      <w:r>
        <w:rPr>
          <w:rFonts w:hint="eastAsia" w:ascii="宋体" w:hAnsi="宋体"/>
          <w:b/>
          <w:color w:val="000000"/>
          <w:sz w:val="24"/>
          <w:lang w:val="en-US" w:eastAsia="zh-CN"/>
        </w:rPr>
        <w:t>4</w:t>
      </w:r>
      <w:r>
        <w:rPr>
          <w:rFonts w:hint="eastAsia" w:ascii="宋体" w:hAnsi="宋体"/>
          <w:b/>
          <w:color w:val="000000"/>
          <w:sz w:val="24"/>
        </w:rPr>
        <w:t>、签订合同</w:t>
      </w:r>
    </w:p>
    <w:p>
      <w:pPr>
        <w:spacing w:line="360" w:lineRule="auto"/>
        <w:ind w:firstLine="472" w:firstLineChars="200"/>
        <w:rPr>
          <w:rFonts w:ascii="宋体" w:hAnsi="宋体"/>
          <w:color w:val="000000"/>
          <w:spacing w:val="-2"/>
          <w:sz w:val="24"/>
        </w:rPr>
      </w:pPr>
      <w:r>
        <w:rPr>
          <w:rFonts w:hint="eastAsia" w:ascii="宋体" w:hAnsi="宋体"/>
          <w:color w:val="000000"/>
          <w:spacing w:val="-2"/>
          <w:sz w:val="24"/>
        </w:rPr>
        <w:t>2</w:t>
      </w:r>
      <w:r>
        <w:rPr>
          <w:rFonts w:hint="eastAsia" w:ascii="宋体" w:hAnsi="宋体"/>
          <w:color w:val="000000"/>
          <w:spacing w:val="-2"/>
          <w:sz w:val="24"/>
          <w:lang w:val="en-US" w:eastAsia="zh-CN"/>
        </w:rPr>
        <w:t>4</w:t>
      </w:r>
      <w:r>
        <w:rPr>
          <w:rFonts w:hint="eastAsia" w:ascii="宋体" w:hAnsi="宋体"/>
          <w:color w:val="000000"/>
          <w:spacing w:val="-2"/>
          <w:sz w:val="24"/>
        </w:rPr>
        <w:t>.1　中标方收到招标方的《中标通知书》后30日内，按照磋商文件的约定和中标方响应文件中的承诺与采购单位签订书面合同，所签订的合同不得对磋商文件和中标方的响应文件作实质性修改。</w:t>
      </w:r>
    </w:p>
    <w:p>
      <w:pPr>
        <w:spacing w:line="360" w:lineRule="auto"/>
        <w:ind w:firstLine="472" w:firstLineChars="200"/>
        <w:rPr>
          <w:rFonts w:ascii="宋体" w:hAnsi="宋体"/>
          <w:color w:val="000000"/>
          <w:spacing w:val="-2"/>
          <w:sz w:val="24"/>
        </w:rPr>
      </w:pPr>
      <w:r>
        <w:rPr>
          <w:rFonts w:hint="eastAsia" w:ascii="宋体" w:hAnsi="宋体"/>
          <w:color w:val="000000"/>
          <w:spacing w:val="-2"/>
          <w:sz w:val="24"/>
        </w:rPr>
        <w:t>2</w:t>
      </w:r>
      <w:r>
        <w:rPr>
          <w:rFonts w:hint="eastAsia" w:ascii="宋体" w:hAnsi="宋体"/>
          <w:color w:val="000000"/>
          <w:spacing w:val="-2"/>
          <w:sz w:val="24"/>
          <w:lang w:val="en-US" w:eastAsia="zh-CN"/>
        </w:rPr>
        <w:t>4</w:t>
      </w:r>
      <w:r>
        <w:rPr>
          <w:rFonts w:hint="eastAsia" w:ascii="宋体" w:hAnsi="宋体"/>
          <w:color w:val="000000"/>
          <w:spacing w:val="-2"/>
          <w:sz w:val="24"/>
        </w:rPr>
        <w:t>.2  招标方在授予合同时，有权对磋商文件中规定的服务的数量在</w:t>
      </w:r>
      <w:r>
        <w:rPr>
          <w:rFonts w:hint="eastAsia" w:ascii="宋体" w:hAnsi="宋体"/>
          <w:color w:val="000000"/>
          <w:spacing w:val="-2"/>
          <w:sz w:val="24"/>
          <w:u w:val="single"/>
        </w:rPr>
        <w:t>10%</w:t>
      </w:r>
      <w:r>
        <w:rPr>
          <w:rFonts w:hint="eastAsia" w:ascii="宋体" w:hAnsi="宋体"/>
          <w:color w:val="000000"/>
          <w:spacing w:val="-2"/>
          <w:sz w:val="24"/>
        </w:rPr>
        <w:t>的幅度内予以增加或减少。</w:t>
      </w:r>
    </w:p>
    <w:p>
      <w:pPr>
        <w:spacing w:line="360" w:lineRule="auto"/>
        <w:ind w:firstLine="472" w:firstLineChars="200"/>
        <w:rPr>
          <w:rFonts w:ascii="宋体" w:hAnsi="宋体"/>
          <w:color w:val="000000"/>
          <w:spacing w:val="-2"/>
          <w:sz w:val="24"/>
        </w:rPr>
      </w:pPr>
      <w:r>
        <w:rPr>
          <w:rFonts w:hint="eastAsia" w:ascii="宋体" w:hAnsi="宋体"/>
          <w:color w:val="000000"/>
          <w:spacing w:val="-2"/>
          <w:sz w:val="24"/>
        </w:rPr>
        <w:t>2</w:t>
      </w:r>
      <w:r>
        <w:rPr>
          <w:rFonts w:hint="eastAsia" w:ascii="宋体" w:hAnsi="宋体"/>
          <w:color w:val="000000"/>
          <w:spacing w:val="-2"/>
          <w:sz w:val="24"/>
          <w:lang w:val="en-US" w:eastAsia="zh-CN"/>
        </w:rPr>
        <w:t>4</w:t>
      </w:r>
      <w:r>
        <w:rPr>
          <w:rFonts w:hint="eastAsia" w:ascii="宋体" w:hAnsi="宋体"/>
          <w:color w:val="000000"/>
          <w:spacing w:val="-2"/>
          <w:sz w:val="24"/>
        </w:rPr>
        <w:t>.3  如中标方拒签合同，则按违约处理。采购人没收其投标保证金。</w:t>
      </w:r>
    </w:p>
    <w:p>
      <w:pPr>
        <w:spacing w:line="360" w:lineRule="auto"/>
        <w:ind w:firstLine="472" w:firstLineChars="200"/>
        <w:rPr>
          <w:rFonts w:ascii="宋体" w:hAnsi="宋体"/>
          <w:color w:val="000000"/>
          <w:spacing w:val="-2"/>
          <w:sz w:val="24"/>
        </w:rPr>
      </w:pPr>
      <w:r>
        <w:rPr>
          <w:rFonts w:hint="eastAsia" w:ascii="宋体" w:hAnsi="宋体"/>
          <w:color w:val="000000"/>
          <w:spacing w:val="-2"/>
          <w:sz w:val="24"/>
        </w:rPr>
        <w:t>2</w:t>
      </w:r>
      <w:r>
        <w:rPr>
          <w:rFonts w:hint="eastAsia" w:ascii="宋体" w:hAnsi="宋体"/>
          <w:color w:val="000000"/>
          <w:spacing w:val="-2"/>
          <w:sz w:val="24"/>
          <w:lang w:val="en-US" w:eastAsia="zh-CN"/>
        </w:rPr>
        <w:t>4</w:t>
      </w:r>
      <w:r>
        <w:rPr>
          <w:rFonts w:hint="eastAsia" w:ascii="宋体" w:hAnsi="宋体"/>
          <w:color w:val="000000"/>
          <w:spacing w:val="-2"/>
          <w:sz w:val="24"/>
        </w:rPr>
        <w:t>.4  磋商文件、中标方的响应文件及其澄清文件等，均为签订经济合同的依据。</w:t>
      </w:r>
    </w:p>
    <w:p>
      <w:pPr>
        <w:spacing w:line="360" w:lineRule="auto"/>
        <w:ind w:left="420" w:firstLine="51" w:firstLineChars="22"/>
        <w:rPr>
          <w:rFonts w:ascii="宋体" w:hAnsi="宋体"/>
          <w:color w:val="000000"/>
          <w:spacing w:val="-2"/>
          <w:sz w:val="24"/>
        </w:rPr>
      </w:pPr>
      <w:r>
        <w:rPr>
          <w:rFonts w:hint="eastAsia" w:ascii="宋体" w:hAnsi="宋体"/>
          <w:color w:val="000000"/>
          <w:spacing w:val="-2"/>
          <w:sz w:val="24"/>
        </w:rPr>
        <w:t>2</w:t>
      </w:r>
      <w:r>
        <w:rPr>
          <w:rFonts w:hint="eastAsia" w:ascii="宋体" w:hAnsi="宋体"/>
          <w:color w:val="000000"/>
          <w:spacing w:val="-2"/>
          <w:sz w:val="24"/>
          <w:lang w:val="en-US" w:eastAsia="zh-CN"/>
        </w:rPr>
        <w:t>4</w:t>
      </w:r>
      <w:r>
        <w:rPr>
          <w:rFonts w:hint="eastAsia" w:ascii="宋体" w:hAnsi="宋体"/>
          <w:color w:val="000000"/>
          <w:spacing w:val="-2"/>
          <w:sz w:val="24"/>
        </w:rPr>
        <w:t>.5  不允许中标人将中标项目分包或转交他人承担。特殊情况下，中标人必须与采购方协商后共同决定将合同标的中的部分由第三方承担供货和服务责任，但中标方必须对合同标的的全部内容向采购方负责，并保证第三方提供的供货和服务符合磋商文件的约定和响应文件的承诺及相关约定。</w:t>
      </w: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42"/>
        <w:rPr>
          <w:rFonts w:ascii="仿宋_GB2312" w:hAnsi="仿宋_GB2312" w:eastAsia="仿宋_GB2312"/>
          <w:b/>
          <w:sz w:val="36"/>
        </w:rPr>
      </w:pPr>
    </w:p>
    <w:p>
      <w:pPr>
        <w:pStyle w:val="3"/>
        <w:bidi w:val="0"/>
        <w:rPr>
          <w:rFonts w:hint="default" w:eastAsia="宋体"/>
          <w:lang w:val="en-US" w:eastAsia="zh-CN"/>
        </w:rPr>
      </w:pPr>
      <w:bookmarkStart w:id="22" w:name="_Toc27938"/>
      <w:bookmarkStart w:id="23" w:name="_Toc27839"/>
      <w:r>
        <w:rPr>
          <w:rFonts w:hint="eastAsia"/>
        </w:rPr>
        <w:t>第四部分</w:t>
      </w:r>
      <w:bookmarkStart w:id="24" w:name="第六部分"/>
      <w:bookmarkStart w:id="25" w:name="_Toc268271058"/>
      <w:r>
        <w:rPr>
          <w:rFonts w:hint="eastAsia"/>
          <w:lang w:val="en-US"/>
        </w:rPr>
        <w:t>服务</w:t>
      </w:r>
      <w:r>
        <w:rPr>
          <w:rFonts w:hint="eastAsia"/>
        </w:rPr>
        <w:t>内容及技术要求</w:t>
      </w:r>
      <w:bookmarkEnd w:id="22"/>
      <w:r>
        <w:rPr>
          <w:rFonts w:hint="eastAsia"/>
          <w:lang w:val="en-US" w:eastAsia="zh-CN"/>
        </w:rPr>
        <w:t>及合同</w:t>
      </w:r>
      <w:bookmarkEnd w:id="23"/>
    </w:p>
    <w:tbl>
      <w:tblPr>
        <w:tblStyle w:val="2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770"/>
        <w:gridCol w:w="4447"/>
        <w:gridCol w:w="2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922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2023年春季城区绿化苗木采购清单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品种</w:t>
            </w:r>
          </w:p>
        </w:tc>
        <w:tc>
          <w:tcPr>
            <w:tcW w:w="4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23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红叶海棠</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胸径：5cm、土球50cm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圆冠榆</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胸径：5cm、土球50cm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紫叶稠李</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胸径：5cm、土球50cm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白桦</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胸径：5cm、土球50cm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暴马丁香</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胸径：5cm、土球50cm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红叶海棠</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胸径：10cm、土球100cm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红叶李</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胸径：5cm、土球50cm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金叶白蜡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胸径：10cm、土球100cm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黄菠萝</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胸径：10cm、土球100cm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云杉</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87"/>
                <w:lang w:val="en-US" w:eastAsia="zh-CN" w:bidi="ar"/>
              </w:rPr>
              <w:t>高1.5米，土球40cm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樟子松</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高3米，土球50cm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复叶槭</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胸径：5cm、土球50cm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美国黑核桃</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胸径：5cm、土球50cm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核桃楸</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胸径：5cm、土球50cm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树状重瓣榆叶梅</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胸径：3cm、土球30cm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黄金树</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胸径：8cm、土球80cm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胸径：10cm、土球100cm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胸径：12cm、土球120cm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山樱花</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胸径：8cm、土球80cm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红叶复叶槭</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胸径：12cm、土球100cm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月季</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3年生，无病虫害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宿根花</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5-7个芽，无病虫害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金叶榆球</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高1米 冠幅0.8米，土球40cm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水蜡球</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高1米 冠幅0.8米，土球40cm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红叶李球</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高1米 冠幅0.8米，土球40cm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丛状丁香</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高1.5米以上，冠幅1.5以上，土球40cm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丛状榆叶梅</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高1.2米以上，1.2分支以上，土球40cm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灌木水蜡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高0.6米以上，3分支以上,带土球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灌木金叶榆</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高0.6米以上，3分支以上,带土球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灌木红叶李</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高0.6米以上，3分支以上,带土球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灌木红王子锦带</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高0.6米以上，3分支以上,带土球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红瑞木</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高0.6米以上，3分支以上,带土球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紫丁香</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高0.6米以上，3分支以上,带土球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多季玫瑰</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高0.6米以上，3分支以上,带土球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w:t>
            </w:r>
          </w:p>
        </w:tc>
        <w:tc>
          <w:tcPr>
            <w:tcW w:w="0" w:type="auto"/>
            <w:tcBorders>
              <w:top w:val="nil"/>
              <w:left w:val="nil"/>
              <w:bottom w:val="nil"/>
              <w:right w:val="nil"/>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合同协议</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乙方: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就甲方向乙方购买各品种规格的事宜，经甲乙平等友好协商，根据《中华人民共和国民法典》签订本合同，以资共同遵守。</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rPr>
      </w:pPr>
      <w:r>
        <w:rPr>
          <w:rFonts w:hint="eastAsia"/>
        </w:rPr>
        <w:t>一、甲方所购苗木品种，其余不计价品种作示范样本，仅供甲方购乙方供应的计价苗木品种主要有:苗参考。</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rPr>
      </w:pPr>
      <w:r>
        <w:rPr>
          <w:rFonts w:hint="eastAsia"/>
        </w:rPr>
        <w:t>二、苗木品种、规格、技术要求、数量、价格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 各品种、规格及价格均经甲乙双方协定(见外购苗木清单)，苗木基本树形 以方或甲方拍照片为准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 乙方以为购买苗木清单及甲方现场监督人员的监督作甲方验收苗木的标准并以外购苗木验收结算作为最终结算依据。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三、合同总金额即人民币: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四、供货质量要求: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rPr>
        <w:t>乙方需按甲方提供的苗木“外购苗木清单”中的“品种、规格、数量、备注说明及甲方的指定要求”进行供货，并按甲方就园林苗木的有关技术要求验收。 对于 树形优美，其单价高于同规则苗木的特选苗木，需备注说明并附照片作为合同附 件。若提供的苗木不符合以下苗木质量、 操作技术及组织管理要求，甲方将作无 条件退货处理，由此增加的运费费用乙方承担，且乙方须赔偿甲方由此引起的一 切损失</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 苗木质量要求:</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rPr>
      </w:pPr>
      <w:r>
        <w:rPr>
          <w:rFonts w:hint="eastAsia"/>
          <w:lang w:eastAsia="zh-CN"/>
        </w:rPr>
        <w:t>（</w:t>
      </w:r>
      <w:r>
        <w:rPr>
          <w:rFonts w:hint="eastAsia"/>
          <w:lang w:val="en-US" w:eastAsia="zh-CN"/>
        </w:rPr>
        <w:t>1）</w:t>
      </w:r>
      <w:r>
        <w:rPr>
          <w:rFonts w:hint="eastAsia"/>
        </w:rPr>
        <w:t>、植株生长旺盛，无现疫病虫害及机械损伤;无明显疤痕的遗留</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lang w:eastAsia="zh-CN"/>
        </w:rPr>
      </w:pPr>
      <w:r>
        <w:rPr>
          <w:rFonts w:hint="eastAsia"/>
          <w:lang w:eastAsia="zh-CN"/>
        </w:rPr>
        <w:t>（</w:t>
      </w:r>
      <w:r>
        <w:rPr>
          <w:rFonts w:hint="eastAsia"/>
          <w:lang w:val="en-US" w:eastAsia="zh-CN"/>
        </w:rPr>
        <w:t>2）</w:t>
      </w:r>
      <w:r>
        <w:rPr>
          <w:rFonts w:hint="eastAsia"/>
        </w:rPr>
        <w:t>、植物分枝点合理,符合”黄金分割”通则(即第一分枝点的离地高度约为 等于植株自</w:t>
      </w:r>
      <w:r>
        <w:rPr>
          <w:rFonts w:hint="eastAsia"/>
          <w:lang w:eastAsia="zh-CN"/>
        </w:rPr>
        <w:t>然高的 1/3)，特殊品种及甲方特殊要求除外;</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lang w:eastAsia="zh-CN"/>
        </w:rPr>
      </w:pPr>
      <w:r>
        <w:rPr>
          <w:rFonts w:hint="eastAsia"/>
          <w:lang w:val="en-US" w:eastAsia="zh-CN"/>
        </w:rPr>
        <w:t>(</w:t>
      </w:r>
      <w:r>
        <w:rPr>
          <w:rFonts w:hint="eastAsia"/>
          <w:lang w:eastAsia="zh-CN"/>
        </w:rPr>
        <w:t>3</w:t>
      </w:r>
      <w:r>
        <w:rPr>
          <w:rFonts w:hint="eastAsia"/>
          <w:lang w:val="en-US" w:eastAsia="zh-CN"/>
        </w:rPr>
        <w:t>)</w:t>
      </w:r>
      <w:r>
        <w:rPr>
          <w:rFonts w:hint="eastAsia"/>
          <w:lang w:eastAsia="zh-CN"/>
        </w:rPr>
        <w:t>、植株冠幅饱满紧凑，无缺失，偏冠，歪斜等现象;</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lang w:eastAsia="zh-CN"/>
        </w:rPr>
      </w:pPr>
      <w:r>
        <w:rPr>
          <w:rFonts w:hint="eastAsia"/>
          <w:lang w:val="en-US" w:eastAsia="zh-CN"/>
        </w:rPr>
        <w:t>(4)</w:t>
      </w:r>
      <w:r>
        <w:rPr>
          <w:rFonts w:hint="eastAsia"/>
          <w:lang w:eastAsia="zh-CN"/>
        </w:rPr>
        <w:t>、苗木无折断、枯枝现象，没有 5cm 以上的锯枝。</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lang w:eastAsia="zh-CN"/>
        </w:rPr>
      </w:pPr>
      <w:r>
        <w:rPr>
          <w:rFonts w:hint="eastAsia"/>
          <w:lang w:eastAsia="zh-CN"/>
        </w:rPr>
        <w:t>2、土球质量要求:</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rPr>
      </w:pPr>
      <w:r>
        <w:rPr>
          <w:rFonts w:hint="eastAsia"/>
          <w:lang w:val="en-US" w:eastAsia="zh-CN"/>
        </w:rPr>
        <w:t>(1)、</w:t>
      </w:r>
      <w:r>
        <w:rPr>
          <w:rFonts w:hint="eastAsia"/>
          <w:lang w:eastAsia="zh-CN"/>
        </w:rPr>
        <w:t>要求带</w:t>
      </w:r>
      <w:r>
        <w:rPr>
          <w:rFonts w:hint="eastAsia"/>
        </w:rPr>
        <w:t>土的品种，其球规格原则上符合“球径约等于胸径的 7~9倍”要 求(土球球径以 250cm 为上限)具体品种的土球规格详见外购苗木清单内注明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rPr>
      </w:pPr>
      <w:r>
        <w:rPr>
          <w:rFonts w:hint="eastAsia"/>
        </w:rPr>
        <w:t>(2)</w:t>
      </w:r>
      <w:r>
        <w:rPr>
          <w:rFonts w:hint="eastAsia"/>
          <w:lang w:val="en-US" w:eastAsia="zh-CN"/>
        </w:rPr>
        <w:t>、</w:t>
      </w:r>
      <w:r>
        <w:rPr>
          <w:rFonts w:hint="eastAsia"/>
        </w:rPr>
        <w:t>上球必须去掉浮土层，少伤主根，保证足够的土球厚度，厚度为土球直径的 1/2，土球包扎紧实牢固，包装方法及材料必须科学、实用;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rPr>
      </w:pPr>
      <w:r>
        <w:rPr>
          <w:rFonts w:hint="eastAsia"/>
        </w:rPr>
        <w:t>(3)、沟边苗木或有其它阻碍物，土球带不完整或主根需斩断的苗木应避免挖取;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rPr>
      </w:pPr>
      <w:r>
        <w:rPr>
          <w:rFonts w:hint="eastAsia"/>
        </w:rPr>
        <w:t>(4)、挖掘形式必须与包装形式规格相一致，包扎必须扎紧，包扎必须扎紧，土 球不能松散，土球底部以 45”角收底挖球形，遇大根必须据断，严禁根裂。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rPr>
      </w:pPr>
      <w:r>
        <w:rPr>
          <w:rFonts w:hint="eastAsia"/>
        </w:rPr>
        <w:t>3、吊装要求: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(1)、树木挖掘修剪后，必须当天装车: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Theme="minorEastAsia"/>
          <w:lang w:val="en-US" w:eastAsia="zh-CN"/>
        </w:rPr>
      </w:pPr>
      <w:r>
        <w:rPr>
          <w:rFonts w:hint="eastAsia"/>
        </w:rPr>
        <w:t>(2)</w:t>
      </w:r>
      <w:r>
        <w:rPr>
          <w:rFonts w:hint="eastAsia"/>
          <w:lang w:eastAsia="zh-CN"/>
        </w:rPr>
        <w:t>、</w:t>
      </w:r>
      <w:r>
        <w:rPr>
          <w:rFonts w:hint="eastAsia"/>
          <w:lang w:val="en-US" w:eastAsia="zh-CN"/>
        </w:rPr>
        <w:t>吊装时应采取必要的措施以不使土球及树干受损失，严禁土球与树干之间松动。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4、技术要素: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(1)、修剪合理，树体收拢及机械吊装时必须采用实用材料(如竹片等)对绑扎 部位作充分保护，树体二级分枝以下必须缠绑草绳;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(2) 、苗木起挖后，在停放及运输过程中必须进行保鲜、保湿、防风、防晒、抗 蒸腾、抗寒等抗逆技术处理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5、 时间限制:所以品种的苗木栽起挖后的 小时内必须送达约定目的地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五</w:t>
      </w:r>
      <w:r>
        <w:rPr>
          <w:rFonts w:hint="eastAsia"/>
        </w:rPr>
        <w:t>、现场验收，付款方式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1、现场验收: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苗木运到甲方指定地点，甲方负责及时安排机械、人员下车。并同时安排验收员(库管员、绿化工长或技术员)现场验收和开具验收单。乙方将验收单、运单、送货单及合法有效的发票按本合同单价办理货款结算，(长运输土球轻微散球的、轻微压断枝的。甲方扣款应在验收同时及时与乙方沟通，乙方现场认可签字，双方友好协商意见达成一致后方可扣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2、付款方式: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(1)合同签订后 5日内甲方支付方合同货款总额的 20%为预付款甲方每次收货后向乙方开具货验收单据和发票，由乙方持收货验收单据和发票到甲方财务部领取本次货款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(2)甲方前期支付乙方货款的 80%;余款20%于该项目工程完工验收后全部付清。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六</w:t>
      </w:r>
      <w:r>
        <w:rPr>
          <w:rFonts w:hint="eastAsia"/>
        </w:rPr>
        <w:t>、双方义务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1、乙方义务;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(1) 如期、如质、如量按合同第二条第二款附表中的数量选苗、起挖、包扎、 吊装及运输至甲方地点。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eastAsiaTheme="minorEastAsia"/>
          <w:lang w:eastAsia="zh-CN"/>
        </w:rPr>
      </w:pPr>
      <w:r>
        <w:rPr>
          <w:rFonts w:hint="eastAsia"/>
        </w:rPr>
        <w:t>(2) 乙方负责办好检疫证及有关手续，并负责调度车辆。乙方负责验收前的所 有费用(报价已含)</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(3) 乙方负责苗木验收前的所有操作组织及向甲方提供苗木验收后的技术协助(卸车及种植)。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(4) 方必须在 天内完成全部操作，即从合同签订生效日至所有苗木供应完 毕为期天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eastAsia="zh-CN"/>
        </w:rPr>
      </w:pPr>
      <w:r>
        <w:rPr>
          <w:rFonts w:hint="eastAsia"/>
        </w:rPr>
        <w:t>乙方委派为本合同的执行代表</w:t>
      </w:r>
      <w:r>
        <w:rPr>
          <w:rFonts w:hint="eastAsia"/>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乙方委派为本合同的执行代表。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七、不可抗力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甲、乙双方的任何一方由于不可抗力的原因不能履行合同时，应及时向对方通报不能履行或不能完全履行的理由，以减轻可能给对方造成的损失，在取得有关机构证明后，经甲方确认，允许根据情况可部分或全免予承但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八、解决合同纠纷的方式及其它约定事项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default"/>
          <w:lang w:val="en-US" w:eastAsia="zh-CN"/>
        </w:rPr>
        <w:t>2、在合同执行过程中，甲方可根据实际需要合理调整供应计划。乙方尽力配合并同时修补完善合同。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八</w:t>
      </w:r>
      <w:r>
        <w:rPr>
          <w:rFonts w:hint="eastAsia"/>
        </w:rPr>
        <w:t>、其它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1、本合同所有条款内容甲、乙双方均完全理解并知道其真实意思。合同执行期内，甲、乙双方均不得随意变更或解除合同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2、本合同自甲、乙双方盖章时生效。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3、合同如有未尽事宜，须经双方共同协商，作出补充规定，补充规定与合同具有同等法律效力。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4、双方约定按附件(如有)中所列的结算单据办理结算，附件(如有)作为本合同的组成部分，与本合同具有同等法律效力。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5、本合同正本一式参 份，甲方执贰份，方执壹份，具有同等法律效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rPr>
        <w:t>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rPr>
      </w:pPr>
      <w:r>
        <w:rPr>
          <w:rFonts w:hint="eastAsia"/>
        </w:rPr>
        <w:t>甲方:(盖章)</w:t>
      </w:r>
      <w:r>
        <w:rPr>
          <w:rFonts w:hint="eastAsia"/>
          <w:lang w:val="en-US" w:eastAsia="zh-CN"/>
        </w:rPr>
        <w:t xml:space="preserve">                      </w:t>
      </w:r>
      <w:r>
        <w:rPr>
          <w:rFonts w:hint="eastAsia"/>
        </w:rPr>
        <w:t>乙方:(盖章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rPr>
      </w:pPr>
      <w:r>
        <w:rPr>
          <w:rFonts w:hint="eastAsia"/>
        </w:rPr>
        <w:t>甲方法人:</w:t>
      </w:r>
      <w:r>
        <w:rPr>
          <w:rFonts w:hint="eastAsia"/>
          <w:lang w:val="en-US" w:eastAsia="zh-CN"/>
        </w:rPr>
        <w:t xml:space="preserve">                       </w:t>
      </w:r>
      <w:r>
        <w:rPr>
          <w:rFonts w:hint="eastAsia"/>
        </w:rPr>
        <w:t>乙方法人: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730" w:firstLineChars="1300"/>
        <w:textAlignment w:val="auto"/>
        <w:rPr>
          <w:rFonts w:hint="eastAsia"/>
        </w:rPr>
      </w:pPr>
      <w:r>
        <w:rPr>
          <w:rFonts w:hint="eastAsia"/>
        </w:rPr>
        <w:t>合同签定日期: 20</w:t>
      </w:r>
      <w:r>
        <w:rPr>
          <w:rFonts w:hint="eastAsia"/>
          <w:lang w:val="en-US" w:eastAsia="zh-CN"/>
        </w:rPr>
        <w:t>23</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pStyle w:val="42"/>
        <w:ind w:firstLine="2168" w:firstLineChars="600"/>
        <w:jc w:val="both"/>
        <w:rPr>
          <w:rStyle w:val="85"/>
          <w:rFonts w:hint="eastAsia" w:ascii="仿宋" w:hAnsi="仿宋" w:eastAsia="仿宋"/>
          <w:color w:val="auto"/>
          <w:sz w:val="36"/>
        </w:rPr>
      </w:pPr>
    </w:p>
    <w:p>
      <w:pPr>
        <w:jc w:val="both"/>
        <w:rPr>
          <w:rFonts w:hint="eastAsia" w:ascii="仿宋_GB2312" w:hAnsi="仿宋_GB2312" w:eastAsia="仿宋_GB2312"/>
          <w:b/>
          <w:sz w:val="36"/>
        </w:rPr>
      </w:pPr>
    </w:p>
    <w:p>
      <w:pPr>
        <w:jc w:val="center"/>
        <w:rPr>
          <w:rFonts w:hint="eastAsia" w:ascii="仿宋_GB2312" w:hAnsi="仿宋_GB2312" w:eastAsia="仿宋_GB2312"/>
          <w:b/>
          <w:sz w:val="36"/>
        </w:rPr>
      </w:pPr>
    </w:p>
    <w:p>
      <w:pPr>
        <w:pStyle w:val="11"/>
        <w:rPr>
          <w:rFonts w:hint="eastAsia" w:ascii="仿宋_GB2312" w:hAnsi="仿宋_GB2312" w:eastAsia="仿宋_GB2312"/>
          <w:b/>
          <w:sz w:val="36"/>
        </w:rPr>
      </w:pPr>
    </w:p>
    <w:p>
      <w:pPr>
        <w:rPr>
          <w:rFonts w:hint="eastAsia" w:ascii="仿宋_GB2312" w:hAnsi="仿宋_GB2312" w:eastAsia="仿宋_GB2312"/>
          <w:b/>
          <w:sz w:val="36"/>
        </w:rPr>
      </w:pPr>
    </w:p>
    <w:p>
      <w:pPr>
        <w:pStyle w:val="11"/>
        <w:rPr>
          <w:rFonts w:hint="eastAsia" w:ascii="仿宋_GB2312" w:hAnsi="仿宋_GB2312" w:eastAsia="仿宋_GB2312"/>
          <w:b/>
          <w:sz w:val="36"/>
        </w:rPr>
      </w:pPr>
    </w:p>
    <w:p>
      <w:pPr>
        <w:rPr>
          <w:rFonts w:hint="eastAsia" w:ascii="仿宋_GB2312" w:hAnsi="仿宋_GB2312" w:eastAsia="仿宋_GB2312"/>
          <w:b/>
          <w:sz w:val="36"/>
        </w:rPr>
      </w:pPr>
    </w:p>
    <w:p>
      <w:pPr>
        <w:pStyle w:val="11"/>
        <w:rPr>
          <w:rFonts w:hint="eastAsia" w:ascii="仿宋_GB2312" w:hAnsi="仿宋_GB2312" w:eastAsia="仿宋_GB2312"/>
          <w:b/>
          <w:sz w:val="36"/>
        </w:rPr>
      </w:pPr>
    </w:p>
    <w:p>
      <w:pPr>
        <w:rPr>
          <w:rFonts w:hint="eastAsia" w:ascii="仿宋_GB2312" w:hAnsi="仿宋_GB2312" w:eastAsia="仿宋_GB2312"/>
          <w:b/>
          <w:sz w:val="36"/>
        </w:rPr>
      </w:pPr>
    </w:p>
    <w:p>
      <w:pPr>
        <w:pStyle w:val="11"/>
        <w:rPr>
          <w:rFonts w:hint="eastAsia" w:ascii="仿宋_GB2312" w:hAnsi="仿宋_GB2312" w:eastAsia="仿宋_GB2312"/>
          <w:b/>
          <w:sz w:val="36"/>
        </w:rPr>
      </w:pPr>
    </w:p>
    <w:p>
      <w:pPr>
        <w:rPr>
          <w:rFonts w:hint="eastAsia" w:ascii="仿宋_GB2312" w:hAnsi="仿宋_GB2312" w:eastAsia="仿宋_GB2312"/>
          <w:b/>
          <w:sz w:val="36"/>
        </w:rPr>
      </w:pPr>
    </w:p>
    <w:p>
      <w:pPr>
        <w:pStyle w:val="11"/>
        <w:rPr>
          <w:rFonts w:hint="eastAsia"/>
        </w:rPr>
      </w:pPr>
    </w:p>
    <w:p>
      <w:pPr>
        <w:jc w:val="both"/>
        <w:rPr>
          <w:rFonts w:hint="eastAsia" w:ascii="仿宋_GB2312" w:hAnsi="仿宋_GB2312" w:eastAsia="仿宋_GB2312"/>
          <w:b/>
          <w:sz w:val="36"/>
        </w:rPr>
      </w:pPr>
    </w:p>
    <w:p>
      <w:pPr>
        <w:jc w:val="center"/>
        <w:rPr>
          <w:rFonts w:hint="eastAsia" w:ascii="仿宋_GB2312" w:hAnsi="仿宋_GB2312" w:eastAsia="仿宋_GB2312"/>
          <w:b/>
          <w:sz w:val="36"/>
        </w:rPr>
      </w:pPr>
    </w:p>
    <w:p>
      <w:pPr>
        <w:pStyle w:val="3"/>
        <w:bidi w:val="0"/>
      </w:pPr>
      <w:bookmarkStart w:id="26" w:name="_Toc32173"/>
      <w:bookmarkStart w:id="27" w:name="_Toc19083"/>
      <w:r>
        <w:rPr>
          <w:rFonts w:hint="eastAsia"/>
        </w:rPr>
        <w:t>第五部分</w:t>
      </w:r>
      <w:r>
        <w:rPr>
          <w:rFonts w:hint="eastAsia"/>
          <w:lang w:val="en-US" w:eastAsia="zh-CN"/>
        </w:rPr>
        <w:t xml:space="preserve">  </w:t>
      </w:r>
      <w:r>
        <w:rPr>
          <w:rFonts w:hint="eastAsia"/>
        </w:rPr>
        <w:t>附　件</w:t>
      </w:r>
      <w:bookmarkEnd w:id="26"/>
      <w:bookmarkEnd w:id="27"/>
    </w:p>
    <w:p>
      <w:pPr>
        <w:jc w:val="center"/>
        <w:rPr>
          <w:rFonts w:ascii="宋体" w:hAnsi="宋体"/>
          <w:sz w:val="32"/>
          <w:szCs w:val="32"/>
        </w:rPr>
      </w:pPr>
    </w:p>
    <w:p>
      <w:pPr>
        <w:spacing w:line="360" w:lineRule="auto"/>
        <w:ind w:firstLine="432"/>
        <w:jc w:val="left"/>
        <w:rPr>
          <w:rFonts w:ascii="仿宋_GB2312" w:hAnsi="宋体" w:eastAsia="仿宋_GB2312"/>
          <w:b/>
          <w:sz w:val="32"/>
          <w:szCs w:val="32"/>
        </w:rPr>
      </w:pPr>
      <w:r>
        <w:rPr>
          <w:rFonts w:hint="eastAsia" w:ascii="仿宋_GB2312" w:hAnsi="宋体" w:eastAsia="仿宋_GB2312"/>
          <w:b/>
          <w:sz w:val="32"/>
          <w:szCs w:val="32"/>
        </w:rPr>
        <w:t>（附件一）</w:t>
      </w:r>
    </w:p>
    <w:p>
      <w:pPr>
        <w:spacing w:line="360" w:lineRule="auto"/>
        <w:ind w:firstLine="432"/>
        <w:jc w:val="center"/>
        <w:rPr>
          <w:rFonts w:ascii="仿宋_GB2312" w:hAnsi="宋体" w:eastAsia="仿宋_GB2312"/>
          <w:b/>
          <w:sz w:val="32"/>
          <w:szCs w:val="32"/>
        </w:rPr>
      </w:pPr>
      <w:r>
        <w:rPr>
          <w:rFonts w:hint="eastAsia" w:ascii="仿宋_GB2312" w:hAnsi="宋体" w:eastAsia="仿宋_GB2312"/>
          <w:b/>
          <w:sz w:val="32"/>
          <w:szCs w:val="32"/>
        </w:rPr>
        <w:t>供应商简介</w:t>
      </w:r>
    </w:p>
    <w:p>
      <w:pPr>
        <w:spacing w:line="360" w:lineRule="auto"/>
        <w:ind w:firstLine="432"/>
        <w:jc w:val="center"/>
        <w:rPr>
          <w:rFonts w:ascii="仿宋_GB2312" w:hAnsi="宋体" w:eastAsia="仿宋_GB2312"/>
          <w:b/>
          <w:sz w:val="32"/>
          <w:szCs w:val="32"/>
        </w:rPr>
      </w:pPr>
    </w:p>
    <w:p>
      <w:pPr>
        <w:spacing w:line="360" w:lineRule="auto"/>
        <w:ind w:firstLine="482" w:firstLineChars="200"/>
        <w:rPr>
          <w:rFonts w:ascii="仿宋_GB2312" w:eastAsia="仿宋_GB2312"/>
          <w:b/>
          <w:sz w:val="24"/>
        </w:rPr>
      </w:pPr>
    </w:p>
    <w:p>
      <w:pPr>
        <w:spacing w:line="360" w:lineRule="auto"/>
        <w:ind w:firstLine="482" w:firstLineChars="200"/>
        <w:rPr>
          <w:rFonts w:ascii="仿宋_GB2312" w:eastAsia="仿宋_GB2312"/>
          <w:b/>
          <w:sz w:val="24"/>
        </w:rPr>
      </w:pPr>
      <w:r>
        <w:rPr>
          <w:rFonts w:hint="eastAsia" w:ascii="仿宋_GB2312" w:eastAsia="仿宋_GB2312"/>
          <w:b/>
          <w:sz w:val="24"/>
        </w:rPr>
        <w:t>无格式要求，供应商自行拟定</w:t>
      </w: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rFonts w:ascii="仿宋_GB2312" w:eastAsia="仿宋_GB2312"/>
          <w:sz w:val="24"/>
        </w:rPr>
      </w:pPr>
    </w:p>
    <w:p>
      <w:pPr>
        <w:pStyle w:val="16"/>
        <w:ind w:firstLine="0"/>
        <w:rPr>
          <w:rFonts w:cs="宋体"/>
          <w:sz w:val="24"/>
        </w:rPr>
      </w:pPr>
    </w:p>
    <w:p>
      <w:pPr>
        <w:spacing w:line="480" w:lineRule="auto"/>
        <w:rPr>
          <w:rFonts w:ascii="仿宋_GB2312" w:eastAsia="仿宋_GB2312"/>
          <w:sz w:val="24"/>
        </w:rPr>
      </w:pPr>
    </w:p>
    <w:p>
      <w:pPr>
        <w:spacing w:line="480" w:lineRule="auto"/>
        <w:rPr>
          <w:rFonts w:ascii="仿宋_GB2312" w:eastAsia="仿宋_GB2312"/>
          <w:sz w:val="24"/>
        </w:rPr>
      </w:pPr>
    </w:p>
    <w:p>
      <w:pPr>
        <w:spacing w:line="480" w:lineRule="auto"/>
        <w:rPr>
          <w:rFonts w:ascii="仿宋_GB2312" w:eastAsia="仿宋_GB2312"/>
          <w:sz w:val="24"/>
        </w:rPr>
      </w:pPr>
    </w:p>
    <w:bookmarkEnd w:id="24"/>
    <w:bookmarkEnd w:id="25"/>
    <w:p>
      <w:pPr>
        <w:spacing w:line="460" w:lineRule="exact"/>
        <w:jc w:val="left"/>
        <w:rPr>
          <w:rFonts w:ascii="仿宋_GB2312" w:hAnsi="宋体" w:eastAsia="仿宋_GB2312"/>
          <w:b/>
          <w:sz w:val="32"/>
          <w:szCs w:val="32"/>
        </w:rPr>
      </w:pPr>
    </w:p>
    <w:p>
      <w:pPr>
        <w:spacing w:line="460" w:lineRule="exact"/>
        <w:jc w:val="left"/>
        <w:rPr>
          <w:rFonts w:ascii="仿宋_GB2312" w:hAnsi="宋体" w:eastAsia="仿宋_GB2312"/>
          <w:b/>
          <w:sz w:val="32"/>
          <w:szCs w:val="32"/>
        </w:rPr>
      </w:pPr>
    </w:p>
    <w:p>
      <w:pPr>
        <w:pStyle w:val="11"/>
        <w:rPr>
          <w:rFonts w:ascii="仿宋_GB2312" w:hAnsi="宋体" w:eastAsia="仿宋_GB2312"/>
          <w:b/>
          <w:sz w:val="32"/>
          <w:szCs w:val="32"/>
        </w:rPr>
      </w:pPr>
    </w:p>
    <w:p/>
    <w:p>
      <w:pPr>
        <w:spacing w:line="460" w:lineRule="exact"/>
        <w:jc w:val="left"/>
        <w:rPr>
          <w:rFonts w:ascii="仿宋_GB2312" w:hAnsi="宋体" w:eastAsia="仿宋_GB2312"/>
          <w:b/>
          <w:sz w:val="32"/>
          <w:szCs w:val="32"/>
        </w:rPr>
      </w:pPr>
    </w:p>
    <w:p/>
    <w:p>
      <w:pPr>
        <w:spacing w:line="460" w:lineRule="exact"/>
        <w:jc w:val="left"/>
        <w:rPr>
          <w:rFonts w:hint="eastAsia" w:ascii="仿宋_GB2312" w:hAnsi="宋体" w:eastAsia="仿宋_GB2312"/>
          <w:b/>
          <w:sz w:val="32"/>
          <w:szCs w:val="32"/>
        </w:rPr>
      </w:pPr>
    </w:p>
    <w:p>
      <w:pPr>
        <w:pStyle w:val="11"/>
        <w:rPr>
          <w:rFonts w:hint="eastAsia" w:ascii="仿宋_GB2312" w:hAnsi="宋体" w:eastAsia="仿宋_GB2312"/>
          <w:b/>
          <w:sz w:val="32"/>
          <w:szCs w:val="32"/>
        </w:rPr>
      </w:pPr>
    </w:p>
    <w:p>
      <w:pPr>
        <w:rPr>
          <w:rFonts w:hint="eastAsia" w:ascii="仿宋_GB2312" w:hAnsi="宋体" w:eastAsia="仿宋_GB2312"/>
          <w:b/>
          <w:sz w:val="32"/>
          <w:szCs w:val="32"/>
        </w:rPr>
      </w:pPr>
    </w:p>
    <w:p>
      <w:pPr>
        <w:pStyle w:val="11"/>
        <w:rPr>
          <w:rFonts w:hint="eastAsia" w:ascii="仿宋_GB2312" w:hAnsi="宋体" w:eastAsia="仿宋_GB2312"/>
          <w:b/>
          <w:sz w:val="32"/>
          <w:szCs w:val="32"/>
        </w:rPr>
      </w:pPr>
    </w:p>
    <w:p>
      <w:pPr>
        <w:rPr>
          <w:rFonts w:hint="eastAsia" w:ascii="仿宋_GB2312" w:hAnsi="宋体" w:eastAsia="仿宋_GB2312"/>
          <w:b/>
          <w:sz w:val="32"/>
          <w:szCs w:val="32"/>
        </w:rPr>
      </w:pPr>
    </w:p>
    <w:p>
      <w:pPr>
        <w:pStyle w:val="11"/>
        <w:rPr>
          <w:rFonts w:hint="eastAsia" w:ascii="仿宋_GB2312" w:hAnsi="宋体" w:eastAsia="仿宋_GB2312"/>
          <w:b/>
          <w:sz w:val="32"/>
          <w:szCs w:val="32"/>
        </w:rPr>
      </w:pPr>
    </w:p>
    <w:p>
      <w:pPr>
        <w:rPr>
          <w:rFonts w:hint="eastAsia" w:ascii="仿宋_GB2312" w:hAnsi="宋体" w:eastAsia="仿宋_GB2312"/>
          <w:b/>
          <w:sz w:val="32"/>
          <w:szCs w:val="32"/>
        </w:rPr>
      </w:pPr>
    </w:p>
    <w:p>
      <w:pPr>
        <w:pStyle w:val="11"/>
        <w:rPr>
          <w:rFonts w:hint="eastAsia"/>
        </w:rPr>
      </w:pPr>
    </w:p>
    <w:p>
      <w:pPr>
        <w:spacing w:line="460" w:lineRule="exact"/>
        <w:jc w:val="left"/>
        <w:rPr>
          <w:rFonts w:ascii="仿宋_GB2312" w:hAnsi="宋体" w:eastAsia="仿宋_GB2312"/>
          <w:b/>
          <w:sz w:val="32"/>
          <w:szCs w:val="32"/>
        </w:rPr>
      </w:pPr>
      <w:r>
        <w:rPr>
          <w:rFonts w:hint="eastAsia" w:ascii="仿宋_GB2312" w:hAnsi="宋体" w:eastAsia="仿宋_GB2312"/>
          <w:b/>
          <w:sz w:val="32"/>
          <w:szCs w:val="32"/>
        </w:rPr>
        <w:t>（附件二）</w:t>
      </w:r>
    </w:p>
    <w:p>
      <w:pPr>
        <w:spacing w:line="460" w:lineRule="exact"/>
        <w:jc w:val="center"/>
        <w:rPr>
          <w:rFonts w:ascii="仿宋_GB2312" w:hAnsi="宋体" w:eastAsia="仿宋_GB2312"/>
          <w:b/>
          <w:sz w:val="32"/>
          <w:szCs w:val="32"/>
        </w:rPr>
      </w:pPr>
      <w:r>
        <w:rPr>
          <w:rFonts w:hint="eastAsia" w:ascii="仿宋_GB2312" w:hAnsi="宋体" w:eastAsia="仿宋_GB2312"/>
          <w:b/>
          <w:sz w:val="32"/>
          <w:szCs w:val="32"/>
        </w:rPr>
        <w:t>投标函</w:t>
      </w:r>
    </w:p>
    <w:p>
      <w:pPr>
        <w:spacing w:line="460" w:lineRule="exact"/>
        <w:ind w:firstLine="3638" w:firstLineChars="1208"/>
        <w:rPr>
          <w:rFonts w:ascii="仿宋_GB2312" w:hAnsi="宋体" w:eastAsia="仿宋_GB2312"/>
          <w:b/>
          <w:sz w:val="30"/>
          <w:szCs w:val="30"/>
        </w:rPr>
      </w:pPr>
    </w:p>
    <w:p>
      <w:pPr>
        <w:spacing w:line="46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lang w:eastAsia="zh-CN"/>
        </w:rPr>
        <w:t>新疆昌盛方略项目管理有限公司</w:t>
      </w:r>
      <w:r>
        <w:rPr>
          <w:rFonts w:hint="eastAsia" w:ascii="仿宋_GB2312" w:hAnsi="宋体" w:eastAsia="仿宋_GB2312"/>
          <w:sz w:val="24"/>
        </w:rPr>
        <w:t>:</w:t>
      </w:r>
    </w:p>
    <w:p>
      <w:pPr>
        <w:spacing w:line="460" w:lineRule="exact"/>
        <w:rPr>
          <w:rFonts w:ascii="仿宋_GB2312" w:hAnsi="宋体" w:eastAsia="仿宋_GB2312"/>
          <w:sz w:val="24"/>
        </w:rPr>
      </w:pPr>
    </w:p>
    <w:p>
      <w:pPr>
        <w:spacing w:line="460" w:lineRule="exact"/>
        <w:ind w:firstLine="555"/>
        <w:rPr>
          <w:rFonts w:ascii="仿宋_GB2312" w:hAnsi="宋体" w:eastAsia="仿宋_GB2312"/>
          <w:sz w:val="24"/>
        </w:rPr>
      </w:pPr>
      <w:r>
        <w:rPr>
          <w:rFonts w:hint="eastAsia" w:ascii="仿宋_GB2312" w:hAnsi="宋体" w:eastAsia="仿宋_GB2312"/>
          <w:sz w:val="24"/>
        </w:rPr>
        <w:t>根据贵方为</w:t>
      </w:r>
      <w:r>
        <w:rPr>
          <w:rFonts w:hint="eastAsia" w:ascii="仿宋_GB2312" w:hAnsi="宋体" w:eastAsia="仿宋_GB2312"/>
          <w:sz w:val="24"/>
          <w:u w:val="single"/>
        </w:rPr>
        <w:t>　　　（项目名称）</w:t>
      </w:r>
      <w:r>
        <w:rPr>
          <w:rFonts w:hint="eastAsia" w:ascii="仿宋_GB2312" w:hAnsi="宋体" w:eastAsia="仿宋_GB2312"/>
          <w:sz w:val="24"/>
        </w:rPr>
        <w:t>项目招标的</w:t>
      </w:r>
      <w:r>
        <w:rPr>
          <w:rFonts w:hint="eastAsia" w:ascii="仿宋_GB2312" w:hAnsi="宋体" w:eastAsia="仿宋_GB2312"/>
          <w:sz w:val="24"/>
          <w:u w:val="single"/>
        </w:rPr>
        <w:t>（招标编号/包号）</w:t>
      </w:r>
      <w:r>
        <w:rPr>
          <w:rFonts w:hint="eastAsia" w:ascii="仿宋_GB2312" w:hAnsi="宋体" w:eastAsia="仿宋_GB2312"/>
          <w:sz w:val="24"/>
        </w:rPr>
        <w:t>，签字代表</w:t>
      </w:r>
      <w:r>
        <w:rPr>
          <w:rFonts w:hint="eastAsia" w:ascii="仿宋_GB2312" w:hAnsi="宋体" w:eastAsia="仿宋_GB2312"/>
          <w:sz w:val="24"/>
          <w:u w:val="single"/>
        </w:rPr>
        <w:t>（姓名、职务）</w:t>
      </w:r>
      <w:r>
        <w:rPr>
          <w:rFonts w:hint="eastAsia" w:ascii="仿宋_GB2312" w:hAnsi="宋体" w:eastAsia="仿宋_GB2312"/>
          <w:sz w:val="24"/>
        </w:rPr>
        <w:t>经正式授权并代表供应商</w:t>
      </w:r>
      <w:r>
        <w:rPr>
          <w:rFonts w:hint="eastAsia" w:ascii="仿宋_GB2312" w:hAnsi="宋体" w:eastAsia="仿宋_GB2312"/>
          <w:sz w:val="24"/>
          <w:u w:val="single"/>
        </w:rPr>
        <w:t>（供应商名称、地址）</w:t>
      </w:r>
      <w:r>
        <w:rPr>
          <w:rFonts w:hint="eastAsia" w:ascii="仿宋_GB2312" w:hAnsi="宋体" w:eastAsia="仿宋_GB2312"/>
          <w:sz w:val="24"/>
        </w:rPr>
        <w:t>提交响应文件正本</w:t>
      </w:r>
      <w:r>
        <w:rPr>
          <w:rFonts w:hint="eastAsia" w:ascii="仿宋_GB2312" w:hAnsi="宋体" w:eastAsia="仿宋_GB2312"/>
          <w:sz w:val="24"/>
          <w:u w:val="single"/>
        </w:rPr>
        <w:t>壹</w:t>
      </w:r>
      <w:r>
        <w:rPr>
          <w:rFonts w:hint="eastAsia" w:ascii="仿宋_GB2312" w:hAnsi="宋体" w:eastAsia="仿宋_GB2312"/>
          <w:sz w:val="24"/>
        </w:rPr>
        <w:t>份和副本</w:t>
      </w:r>
      <w:r>
        <w:rPr>
          <w:rFonts w:hint="eastAsia" w:ascii="仿宋_GB2312" w:hAnsi="宋体" w:eastAsia="仿宋_GB2312"/>
          <w:sz w:val="24"/>
          <w:u w:val="single"/>
        </w:rPr>
        <w:t>四</w:t>
      </w:r>
      <w:r>
        <w:rPr>
          <w:rFonts w:hint="eastAsia" w:ascii="仿宋_GB2312" w:hAnsi="宋体" w:eastAsia="仿宋_GB2312"/>
          <w:sz w:val="24"/>
        </w:rPr>
        <w:t>份。</w:t>
      </w:r>
    </w:p>
    <w:p>
      <w:pPr>
        <w:numPr>
          <w:ilvl w:val="0"/>
          <w:numId w:val="4"/>
        </w:numPr>
        <w:spacing w:line="460" w:lineRule="exact"/>
        <w:ind w:left="1230"/>
        <w:rPr>
          <w:rFonts w:ascii="仿宋_GB2312" w:hAnsi="宋体" w:eastAsia="仿宋_GB2312"/>
          <w:sz w:val="24"/>
        </w:rPr>
      </w:pPr>
      <w:r>
        <w:rPr>
          <w:rFonts w:hint="eastAsia" w:ascii="仿宋_GB2312" w:hAnsi="宋体" w:eastAsia="仿宋_GB2312"/>
          <w:sz w:val="24"/>
        </w:rPr>
        <w:t>开标一览表</w:t>
      </w:r>
    </w:p>
    <w:p>
      <w:pPr>
        <w:numPr>
          <w:ilvl w:val="0"/>
          <w:numId w:val="4"/>
        </w:numPr>
        <w:spacing w:line="460" w:lineRule="exact"/>
        <w:ind w:left="1230"/>
        <w:rPr>
          <w:rFonts w:ascii="仿宋_GB2312" w:hAnsi="宋体" w:eastAsia="仿宋_GB2312"/>
          <w:sz w:val="24"/>
        </w:rPr>
      </w:pPr>
      <w:r>
        <w:rPr>
          <w:rFonts w:hint="eastAsia" w:ascii="仿宋_GB2312" w:hAnsi="宋体" w:eastAsia="仿宋_GB2312"/>
          <w:sz w:val="24"/>
        </w:rPr>
        <w:t>按磋商文件供应商须知、服务要求及其他要求提供有关文件</w:t>
      </w:r>
    </w:p>
    <w:p>
      <w:pPr>
        <w:numPr>
          <w:ilvl w:val="0"/>
          <w:numId w:val="4"/>
        </w:numPr>
        <w:spacing w:line="460" w:lineRule="exact"/>
        <w:ind w:left="1230"/>
        <w:rPr>
          <w:rFonts w:ascii="仿宋_GB2312" w:hAnsi="宋体" w:eastAsia="仿宋_GB2312"/>
          <w:sz w:val="24"/>
        </w:rPr>
      </w:pPr>
      <w:r>
        <w:rPr>
          <w:rFonts w:hint="eastAsia" w:ascii="仿宋_GB2312" w:hAnsi="宋体" w:eastAsia="仿宋_GB2312"/>
          <w:sz w:val="24"/>
        </w:rPr>
        <w:t>资格证明文件</w:t>
      </w:r>
    </w:p>
    <w:p>
      <w:pPr>
        <w:numPr>
          <w:ilvl w:val="0"/>
          <w:numId w:val="4"/>
        </w:numPr>
        <w:spacing w:line="460" w:lineRule="exact"/>
        <w:ind w:left="1230"/>
        <w:rPr>
          <w:rFonts w:ascii="仿宋_GB2312" w:hAnsi="宋体" w:eastAsia="仿宋_GB2312"/>
          <w:sz w:val="24"/>
        </w:rPr>
      </w:pPr>
      <w:r>
        <w:rPr>
          <w:rFonts w:hint="eastAsia" w:ascii="仿宋_GB2312" w:hAnsi="宋体" w:eastAsia="仿宋_GB2312"/>
          <w:sz w:val="24"/>
        </w:rPr>
        <w:t>投标保证金，形式（电汇或转账），金额为</w:t>
      </w:r>
      <w:r>
        <w:rPr>
          <w:rFonts w:hint="eastAsia" w:ascii="仿宋_GB2312" w:hAnsi="宋体" w:eastAsia="仿宋_GB2312"/>
          <w:sz w:val="24"/>
          <w:u w:val="single"/>
        </w:rPr>
        <w:t>（￥：）</w:t>
      </w:r>
      <w:r>
        <w:rPr>
          <w:rFonts w:hint="eastAsia" w:ascii="仿宋_GB2312" w:hAnsi="宋体" w:eastAsia="仿宋_GB2312"/>
          <w:sz w:val="24"/>
        </w:rPr>
        <w:t>。</w:t>
      </w:r>
    </w:p>
    <w:p>
      <w:pPr>
        <w:spacing w:line="460" w:lineRule="exact"/>
        <w:ind w:firstLine="555"/>
        <w:rPr>
          <w:rFonts w:ascii="仿宋_GB2312" w:hAnsi="宋体" w:eastAsia="仿宋_GB2312"/>
          <w:sz w:val="24"/>
        </w:rPr>
      </w:pPr>
      <w:r>
        <w:rPr>
          <w:rFonts w:hint="eastAsia" w:ascii="仿宋_GB2312" w:hAnsi="宋体" w:eastAsia="仿宋_GB2312"/>
          <w:sz w:val="24"/>
        </w:rPr>
        <w:t>据此函，签字代表宣布并同意如下：</w:t>
      </w:r>
    </w:p>
    <w:p>
      <w:pPr>
        <w:spacing w:line="460" w:lineRule="exact"/>
        <w:ind w:firstLine="555"/>
        <w:rPr>
          <w:rFonts w:ascii="仿宋_GB2312" w:hAnsi="宋体" w:eastAsia="仿宋_GB2312"/>
          <w:sz w:val="24"/>
        </w:rPr>
      </w:pPr>
      <w:r>
        <w:rPr>
          <w:rFonts w:hint="eastAsia" w:ascii="仿宋_GB2312" w:hAnsi="宋体" w:eastAsia="仿宋_GB2312"/>
          <w:sz w:val="24"/>
        </w:rPr>
        <w:t>1、供应商将按磋商文件的规定履行合同责任和义务；</w:t>
      </w:r>
    </w:p>
    <w:p>
      <w:pPr>
        <w:spacing w:line="460" w:lineRule="exact"/>
        <w:ind w:firstLine="555"/>
        <w:rPr>
          <w:rFonts w:ascii="仿宋_GB2312" w:hAnsi="宋体" w:eastAsia="仿宋_GB2312"/>
          <w:sz w:val="24"/>
        </w:rPr>
      </w:pPr>
      <w:r>
        <w:rPr>
          <w:rFonts w:hint="eastAsia" w:ascii="仿宋_GB2312" w:hAnsi="宋体" w:eastAsia="仿宋_GB2312"/>
          <w:sz w:val="24"/>
        </w:rPr>
        <w:t>2、供应商已详细阅读并理解了磋商文件的全部，包括修改文件（如有的话）。我们完全理解并同意放弃对这方面有不明及误解的权利。</w:t>
      </w:r>
    </w:p>
    <w:p>
      <w:pPr>
        <w:spacing w:line="460" w:lineRule="exact"/>
        <w:ind w:firstLine="555"/>
        <w:rPr>
          <w:rFonts w:ascii="仿宋_GB2312" w:hAnsi="宋体" w:eastAsia="仿宋_GB2312"/>
          <w:sz w:val="24"/>
        </w:rPr>
      </w:pPr>
      <w:r>
        <w:rPr>
          <w:rFonts w:hint="eastAsia" w:ascii="仿宋_GB2312" w:hAnsi="宋体" w:eastAsia="仿宋_GB2312"/>
          <w:sz w:val="24"/>
        </w:rPr>
        <w:t>3、本投标有效期自开标之日起</w:t>
      </w:r>
      <w:r>
        <w:rPr>
          <w:rFonts w:hint="eastAsia" w:ascii="仿宋_GB2312" w:hAnsi="宋体" w:eastAsia="仿宋_GB2312"/>
          <w:sz w:val="24"/>
          <w:u w:val="single"/>
        </w:rPr>
        <w:t xml:space="preserve">  60  </w:t>
      </w:r>
      <w:r>
        <w:rPr>
          <w:rFonts w:hint="eastAsia" w:ascii="仿宋_GB2312" w:hAnsi="宋体" w:eastAsia="仿宋_GB2312"/>
          <w:sz w:val="24"/>
        </w:rPr>
        <w:t>个日历日。</w:t>
      </w:r>
    </w:p>
    <w:p>
      <w:pPr>
        <w:spacing w:line="460" w:lineRule="exact"/>
        <w:ind w:firstLine="555"/>
        <w:rPr>
          <w:rFonts w:ascii="仿宋_GB2312" w:hAnsi="宋体" w:eastAsia="仿宋_GB2312"/>
          <w:sz w:val="24"/>
        </w:rPr>
      </w:pPr>
      <w:r>
        <w:rPr>
          <w:rFonts w:hint="eastAsia" w:ascii="仿宋_GB2312" w:hAnsi="宋体" w:eastAsia="仿宋_GB2312"/>
          <w:sz w:val="24"/>
        </w:rPr>
        <w:t>4、在规定的开标日期后，如果在投标有效期内撤回投标，同意投标保证金将被贵方不予退还。</w:t>
      </w:r>
    </w:p>
    <w:p>
      <w:pPr>
        <w:spacing w:line="460" w:lineRule="exact"/>
        <w:ind w:firstLine="555"/>
        <w:rPr>
          <w:rFonts w:ascii="仿宋_GB2312" w:hAnsi="宋体" w:eastAsia="仿宋_GB2312"/>
          <w:sz w:val="24"/>
        </w:rPr>
      </w:pPr>
      <w:r>
        <w:rPr>
          <w:rFonts w:hint="eastAsia" w:ascii="仿宋_GB2312" w:hAnsi="宋体" w:eastAsia="仿宋_GB2312"/>
          <w:sz w:val="24"/>
        </w:rPr>
        <w:t>5、供应商同意提供按照贵方可能要求的与其投标有关的一切数据或资料，完全理解贵方不一定接受最低价的投标或收到的任何投标的约定。</w:t>
      </w:r>
    </w:p>
    <w:p>
      <w:pPr>
        <w:spacing w:line="460" w:lineRule="exact"/>
        <w:ind w:firstLine="570"/>
        <w:rPr>
          <w:rFonts w:ascii="仿宋_GB2312" w:hAnsi="宋体" w:eastAsia="仿宋_GB2312"/>
          <w:sz w:val="24"/>
        </w:rPr>
      </w:pPr>
      <w:r>
        <w:rPr>
          <w:rFonts w:hint="eastAsia" w:ascii="仿宋_GB2312" w:hAnsi="宋体" w:eastAsia="仿宋_GB2312"/>
          <w:sz w:val="24"/>
        </w:rPr>
        <w:t>6、与本投标有关的一切正式往来信函请寄：</w:t>
      </w:r>
    </w:p>
    <w:p>
      <w:pPr>
        <w:spacing w:line="460" w:lineRule="exact"/>
        <w:ind w:firstLine="240" w:firstLineChars="100"/>
        <w:rPr>
          <w:rFonts w:ascii="仿宋_GB2312" w:hAnsi="宋体" w:eastAsia="仿宋_GB2312"/>
          <w:sz w:val="24"/>
          <w:u w:val="single"/>
        </w:rPr>
      </w:pPr>
      <w:r>
        <w:rPr>
          <w:rFonts w:hint="eastAsia" w:ascii="仿宋_GB2312" w:hAnsi="宋体" w:eastAsia="仿宋_GB2312"/>
          <w:sz w:val="24"/>
        </w:rPr>
        <w:t>地　　　　　址：</w:t>
      </w:r>
      <w:r>
        <w:rPr>
          <w:rFonts w:hint="eastAsia" w:ascii="仿宋_GB2312" w:hAnsi="宋体" w:eastAsia="仿宋_GB2312"/>
          <w:sz w:val="24"/>
          <w:u w:val="single"/>
        </w:rPr>
        <w:t>　　　　　　　　　　</w:t>
      </w:r>
      <w:r>
        <w:rPr>
          <w:rFonts w:hint="eastAsia" w:ascii="仿宋_GB2312" w:hAnsi="宋体" w:eastAsia="仿宋_GB2312"/>
          <w:sz w:val="24"/>
        </w:rPr>
        <w:t>邮编：</w:t>
      </w:r>
      <w:r>
        <w:rPr>
          <w:rFonts w:hint="eastAsia" w:ascii="仿宋_GB2312" w:hAnsi="宋体" w:eastAsia="仿宋_GB2312"/>
          <w:sz w:val="24"/>
          <w:u w:val="single"/>
        </w:rPr>
        <w:t>　　　　　　　　　</w:t>
      </w:r>
    </w:p>
    <w:p>
      <w:pPr>
        <w:spacing w:line="460" w:lineRule="exact"/>
        <w:rPr>
          <w:rFonts w:ascii="仿宋_GB2312" w:hAnsi="宋体" w:eastAsia="仿宋_GB2312"/>
          <w:sz w:val="24"/>
        </w:rPr>
      </w:pPr>
      <w:r>
        <w:rPr>
          <w:rFonts w:hint="eastAsia" w:ascii="仿宋_GB2312" w:hAnsi="宋体" w:eastAsia="仿宋_GB2312"/>
          <w:sz w:val="24"/>
        </w:rPr>
        <w:t>　电　　　　　话：</w:t>
      </w:r>
      <w:r>
        <w:rPr>
          <w:rFonts w:hint="eastAsia" w:ascii="仿宋_GB2312" w:hAnsi="宋体" w:eastAsia="仿宋_GB2312"/>
          <w:sz w:val="24"/>
          <w:u w:val="single"/>
        </w:rPr>
        <w:t>　　　　　　　　　　</w:t>
      </w:r>
      <w:r>
        <w:rPr>
          <w:rFonts w:hint="eastAsia" w:ascii="仿宋_GB2312" w:hAnsi="宋体" w:eastAsia="仿宋_GB2312"/>
          <w:sz w:val="24"/>
        </w:rPr>
        <w:t>传真：</w:t>
      </w:r>
      <w:r>
        <w:rPr>
          <w:rFonts w:hint="eastAsia" w:ascii="仿宋_GB2312" w:hAnsi="宋体" w:eastAsia="仿宋_GB2312"/>
          <w:sz w:val="24"/>
          <w:u w:val="single"/>
        </w:rPr>
        <w:t>　　　　　　　　　</w:t>
      </w:r>
    </w:p>
    <w:p>
      <w:pPr>
        <w:spacing w:line="460" w:lineRule="exact"/>
        <w:rPr>
          <w:rFonts w:ascii="仿宋_GB2312" w:hAnsi="宋体" w:eastAsia="仿宋_GB2312"/>
          <w:sz w:val="24"/>
        </w:rPr>
      </w:pPr>
      <w:r>
        <w:rPr>
          <w:rFonts w:hint="eastAsia" w:ascii="仿宋_GB2312" w:hAnsi="宋体" w:eastAsia="仿宋_GB2312"/>
          <w:sz w:val="24"/>
        </w:rPr>
        <w:t>　供应商代表签字：</w:t>
      </w:r>
      <w:r>
        <w:rPr>
          <w:rFonts w:hint="eastAsia" w:ascii="仿宋_GB2312" w:hAnsi="宋体" w:eastAsia="仿宋_GB2312"/>
          <w:sz w:val="24"/>
          <w:u w:val="single"/>
        </w:rPr>
        <w:t>　　　　　　　　　　　　　</w:t>
      </w:r>
    </w:p>
    <w:p>
      <w:pPr>
        <w:spacing w:line="460" w:lineRule="exact"/>
        <w:rPr>
          <w:rFonts w:ascii="仿宋_GB2312" w:hAnsi="宋体" w:eastAsia="仿宋_GB2312"/>
          <w:sz w:val="24"/>
        </w:rPr>
      </w:pPr>
      <w:r>
        <w:rPr>
          <w:rFonts w:hint="eastAsia" w:ascii="仿宋_GB2312" w:hAnsi="宋体" w:eastAsia="仿宋_GB2312"/>
          <w:sz w:val="24"/>
        </w:rPr>
        <w:t>　供应商名称：</w:t>
      </w:r>
      <w:r>
        <w:rPr>
          <w:rFonts w:hint="eastAsia" w:ascii="仿宋_GB2312" w:hAnsi="宋体" w:eastAsia="仿宋_GB2312"/>
          <w:sz w:val="24"/>
          <w:u w:val="single"/>
        </w:rPr>
        <w:t>　　　　　　　　　　</w:t>
      </w:r>
    </w:p>
    <w:p>
      <w:pPr>
        <w:spacing w:line="460" w:lineRule="exact"/>
        <w:rPr>
          <w:rFonts w:ascii="仿宋_GB2312" w:hAnsi="宋体" w:eastAsia="仿宋_GB2312"/>
          <w:sz w:val="24"/>
        </w:rPr>
      </w:pPr>
      <w:r>
        <w:rPr>
          <w:rFonts w:hint="eastAsia" w:ascii="仿宋_GB2312" w:hAnsi="宋体" w:eastAsia="仿宋_GB2312"/>
          <w:sz w:val="24"/>
        </w:rPr>
        <w:t>　公章：</w:t>
      </w:r>
      <w:r>
        <w:rPr>
          <w:rFonts w:hint="eastAsia" w:ascii="仿宋_GB2312" w:hAnsi="宋体" w:eastAsia="仿宋_GB2312"/>
          <w:sz w:val="24"/>
          <w:u w:val="single"/>
        </w:rPr>
        <w:t>　　　　　　　　　　　　　</w:t>
      </w:r>
    </w:p>
    <w:p>
      <w:pPr>
        <w:spacing w:line="460" w:lineRule="exact"/>
        <w:rPr>
          <w:rFonts w:hint="eastAsia" w:ascii="仿宋_GB2312" w:hAnsi="宋体" w:eastAsia="仿宋_GB2312"/>
          <w:b/>
          <w:sz w:val="32"/>
          <w:szCs w:val="32"/>
        </w:rPr>
      </w:pPr>
      <w:r>
        <w:rPr>
          <w:rFonts w:hint="eastAsia" w:ascii="仿宋_GB2312" w:hAnsi="宋体" w:eastAsia="仿宋_GB2312"/>
          <w:sz w:val="24"/>
        </w:rPr>
        <w:t>　20</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w:t>
      </w:r>
    </w:p>
    <w:p>
      <w:pPr>
        <w:spacing w:line="360" w:lineRule="auto"/>
        <w:jc w:val="left"/>
        <w:rPr>
          <w:rFonts w:hint="eastAsia" w:ascii="仿宋_GB2312" w:hAnsi="宋体" w:eastAsia="仿宋_GB2312"/>
          <w:b/>
          <w:sz w:val="32"/>
          <w:szCs w:val="32"/>
        </w:rPr>
      </w:pPr>
    </w:p>
    <w:p>
      <w:pPr>
        <w:spacing w:line="360" w:lineRule="auto"/>
        <w:jc w:val="left"/>
        <w:rPr>
          <w:rFonts w:ascii="仿宋_GB2312" w:hAnsi="宋体" w:eastAsia="仿宋_GB2312"/>
          <w:b/>
          <w:sz w:val="32"/>
          <w:szCs w:val="32"/>
        </w:rPr>
      </w:pPr>
      <w:r>
        <w:rPr>
          <w:rFonts w:hint="eastAsia" w:ascii="仿宋_GB2312" w:hAnsi="宋体" w:eastAsia="仿宋_GB2312"/>
          <w:b/>
          <w:sz w:val="32"/>
          <w:szCs w:val="32"/>
        </w:rPr>
        <w:t>（附件三）</w:t>
      </w:r>
    </w:p>
    <w:p>
      <w:pPr>
        <w:spacing w:line="360" w:lineRule="auto"/>
        <w:jc w:val="center"/>
        <w:rPr>
          <w:rFonts w:ascii="仿宋_GB2312" w:hAnsi="宋体" w:eastAsia="仿宋_GB2312"/>
          <w:b/>
          <w:sz w:val="32"/>
          <w:szCs w:val="32"/>
        </w:rPr>
      </w:pPr>
      <w:r>
        <w:rPr>
          <w:rFonts w:hint="eastAsia" w:ascii="仿宋_GB2312" w:hAnsi="宋体" w:eastAsia="仿宋_GB2312"/>
          <w:b/>
          <w:sz w:val="32"/>
          <w:szCs w:val="32"/>
        </w:rPr>
        <w:t>服务承诺书</w:t>
      </w:r>
    </w:p>
    <w:p>
      <w:pPr>
        <w:autoSpaceDE w:val="0"/>
        <w:autoSpaceDN w:val="0"/>
        <w:adjustRightInd w:val="0"/>
        <w:spacing w:line="360" w:lineRule="auto"/>
        <w:ind w:left="424"/>
        <w:jc w:val="center"/>
        <w:rPr>
          <w:b/>
          <w:bCs/>
          <w:szCs w:val="21"/>
        </w:rPr>
      </w:pPr>
    </w:p>
    <w:p>
      <w:pPr>
        <w:autoSpaceDE w:val="0"/>
        <w:autoSpaceDN w:val="0"/>
        <w:adjustRightInd w:val="0"/>
        <w:spacing w:line="360" w:lineRule="auto"/>
        <w:ind w:left="424" w:hanging="422"/>
        <w:rPr>
          <w:rFonts w:ascii="仿宋_GB2312" w:eastAsia="仿宋_GB2312"/>
          <w:sz w:val="24"/>
        </w:rPr>
      </w:pPr>
      <w:r>
        <w:rPr>
          <w:rFonts w:hint="eastAsia" w:ascii="仿宋_GB2312" w:eastAsia="仿宋_GB2312"/>
          <w:sz w:val="24"/>
        </w:rPr>
        <w:t>采购人：</w:t>
      </w:r>
    </w:p>
    <w:p>
      <w:pPr>
        <w:autoSpaceDE w:val="0"/>
        <w:autoSpaceDN w:val="0"/>
        <w:adjustRightInd w:val="0"/>
        <w:spacing w:line="360" w:lineRule="auto"/>
        <w:ind w:firstLine="420"/>
        <w:rPr>
          <w:rFonts w:ascii="仿宋_GB2312" w:eastAsia="仿宋_GB2312"/>
          <w:sz w:val="24"/>
        </w:rPr>
      </w:pPr>
      <w:r>
        <w:rPr>
          <w:rFonts w:ascii="仿宋_GB2312" w:eastAsia="仿宋_GB2312"/>
          <w:sz w:val="24"/>
        </w:rPr>
        <w:t>1</w:t>
      </w:r>
      <w:r>
        <w:rPr>
          <w:rFonts w:hint="eastAsia" w:ascii="仿宋_GB2312" w:eastAsia="仿宋_GB2312"/>
          <w:sz w:val="24"/>
        </w:rPr>
        <w:t>、根据已收到的项目的磋商文件，我单位经考察现场和研究贵方的磋商文件后，将接受该磋商文件中各条款内容并且以投标一览表中所报投标价格承包本招标范围内的供应工作。</w:t>
      </w:r>
    </w:p>
    <w:p>
      <w:pPr>
        <w:autoSpaceDE w:val="0"/>
        <w:autoSpaceDN w:val="0"/>
        <w:adjustRightInd w:val="0"/>
        <w:spacing w:line="360" w:lineRule="auto"/>
        <w:ind w:firstLine="420"/>
        <w:rPr>
          <w:rFonts w:ascii="仿宋_GB2312" w:eastAsia="仿宋_GB2312"/>
          <w:sz w:val="24"/>
        </w:rPr>
      </w:pPr>
      <w:r>
        <w:rPr>
          <w:rFonts w:ascii="仿宋_GB2312" w:eastAsia="仿宋_GB2312"/>
          <w:sz w:val="24"/>
        </w:rPr>
        <w:t>2</w:t>
      </w:r>
      <w:r>
        <w:rPr>
          <w:rFonts w:hint="eastAsia" w:ascii="仿宋_GB2312" w:eastAsia="仿宋_GB2312"/>
          <w:sz w:val="24"/>
        </w:rPr>
        <w:t>、如果我方中标，非业主原因，我方保证在</w:t>
      </w:r>
      <w:r>
        <w:rPr>
          <w:rFonts w:hint="eastAsia" w:ascii="仿宋_GB2312" w:eastAsia="仿宋_GB2312"/>
          <w:sz w:val="24"/>
          <w:u w:val="single"/>
        </w:rPr>
        <w:t>日（日历日）内</w:t>
      </w:r>
      <w:r>
        <w:rPr>
          <w:rFonts w:hint="eastAsia" w:ascii="仿宋_GB2312" w:eastAsia="仿宋_GB2312"/>
          <w:sz w:val="24"/>
        </w:rPr>
        <w:t>完</w:t>
      </w:r>
      <w:r>
        <w:rPr>
          <w:rFonts w:hint="eastAsia" w:ascii="仿宋_GB2312" w:eastAsia="仿宋_GB2312"/>
          <w:color w:val="0000FF"/>
          <w:sz w:val="24"/>
        </w:rPr>
        <w:t>成</w:t>
      </w:r>
      <w:r>
        <w:rPr>
          <w:rFonts w:hint="eastAsia" w:ascii="仿宋_GB2312" w:eastAsia="仿宋_GB2312"/>
          <w:color w:val="0000FF"/>
          <w:sz w:val="24"/>
          <w:lang w:val="en-US" w:eastAsia="zh-CN"/>
        </w:rPr>
        <w:t>所有供货任务</w:t>
      </w:r>
      <w:r>
        <w:rPr>
          <w:rFonts w:hint="eastAsia" w:ascii="仿宋_GB2312" w:eastAsia="仿宋_GB2312"/>
          <w:sz w:val="24"/>
        </w:rPr>
        <w:t>。</w:t>
      </w:r>
    </w:p>
    <w:p>
      <w:pPr>
        <w:autoSpaceDE w:val="0"/>
        <w:autoSpaceDN w:val="0"/>
        <w:adjustRightInd w:val="0"/>
        <w:spacing w:line="360" w:lineRule="auto"/>
        <w:ind w:firstLine="420"/>
        <w:rPr>
          <w:rFonts w:ascii="仿宋_GB2312" w:eastAsia="仿宋_GB2312"/>
          <w:sz w:val="24"/>
        </w:rPr>
      </w:pPr>
      <w:r>
        <w:rPr>
          <w:rFonts w:ascii="仿宋_GB2312" w:eastAsia="仿宋_GB2312"/>
          <w:sz w:val="24"/>
        </w:rPr>
        <w:t>3</w:t>
      </w:r>
      <w:r>
        <w:rPr>
          <w:rFonts w:hint="eastAsia" w:ascii="仿宋_GB2312" w:eastAsia="仿宋_GB2312"/>
          <w:sz w:val="24"/>
        </w:rPr>
        <w:t>、如果我方中标，非业主原因，我方保证将按下列质量等级完成招标项目。</w:t>
      </w:r>
    </w:p>
    <w:p>
      <w:pPr>
        <w:autoSpaceDE w:val="0"/>
        <w:autoSpaceDN w:val="0"/>
        <w:adjustRightInd w:val="0"/>
        <w:spacing w:line="360" w:lineRule="auto"/>
        <w:ind w:firstLine="420"/>
        <w:rPr>
          <w:rFonts w:hint="eastAsia" w:ascii="仿宋_GB2312" w:eastAsia="仿宋_GB2312"/>
          <w:color w:val="0000FF"/>
          <w:sz w:val="24"/>
          <w:u w:val="single"/>
          <w:lang w:val="en-US" w:eastAsia="zh-CN"/>
        </w:rPr>
      </w:pPr>
      <w:r>
        <w:rPr>
          <w:rFonts w:hint="eastAsia" w:ascii="仿宋_GB2312" w:eastAsia="仿宋_GB2312"/>
          <w:color w:val="0000FF"/>
          <w:sz w:val="24"/>
          <w:lang w:val="en-US" w:eastAsia="zh-CN"/>
        </w:rPr>
        <w:t>验收质量标准</w:t>
      </w:r>
      <w:r>
        <w:rPr>
          <w:rFonts w:hint="eastAsia" w:ascii="仿宋_GB2312" w:eastAsia="仿宋_GB2312"/>
          <w:color w:val="0000FF"/>
          <w:sz w:val="24"/>
        </w:rPr>
        <w:t>：</w:t>
      </w:r>
      <w:r>
        <w:rPr>
          <w:rFonts w:hint="eastAsia" w:ascii="仿宋_GB2312" w:eastAsia="仿宋_GB2312"/>
          <w:color w:val="0000FF"/>
          <w:sz w:val="24"/>
          <w:u w:val="single"/>
          <w:lang w:val="en-US" w:eastAsia="zh-CN"/>
        </w:rPr>
        <w:t xml:space="preserve">      </w:t>
      </w:r>
    </w:p>
    <w:p>
      <w:pPr>
        <w:autoSpaceDE w:val="0"/>
        <w:autoSpaceDN w:val="0"/>
        <w:adjustRightInd w:val="0"/>
        <w:spacing w:line="360" w:lineRule="auto"/>
        <w:ind w:firstLine="420"/>
        <w:rPr>
          <w:rFonts w:ascii="仿宋_GB2312" w:eastAsia="仿宋_GB2312"/>
          <w:sz w:val="24"/>
        </w:rPr>
      </w:pPr>
      <w:r>
        <w:rPr>
          <w:rFonts w:ascii="仿宋_GB2312" w:eastAsia="仿宋_GB2312"/>
          <w:sz w:val="24"/>
        </w:rPr>
        <w:t>4</w:t>
      </w:r>
      <w:r>
        <w:rPr>
          <w:rFonts w:hint="eastAsia" w:ascii="仿宋_GB2312" w:eastAsia="仿宋_GB2312"/>
          <w:sz w:val="24"/>
        </w:rPr>
        <w:t>、如果我方中标，我方将按磋商文件规定的时间内签订合同。如果我方违约，除投标保证金外，我方还将以中标价</w:t>
      </w:r>
      <w:r>
        <w:rPr>
          <w:rFonts w:hint="eastAsia" w:ascii="仿宋_GB2312" w:eastAsia="仿宋_GB2312"/>
          <w:b/>
          <w:bCs/>
          <w:sz w:val="24"/>
          <w:u w:val="single"/>
          <w:lang w:val="en-US" w:eastAsia="zh-CN"/>
        </w:rPr>
        <w:t xml:space="preserve">   </w:t>
      </w:r>
      <w:r>
        <w:rPr>
          <w:rFonts w:ascii="仿宋_GB2312" w:eastAsia="仿宋_GB2312"/>
          <w:sz w:val="24"/>
        </w:rPr>
        <w:t>%</w:t>
      </w:r>
      <w:r>
        <w:rPr>
          <w:rFonts w:hint="eastAsia" w:ascii="仿宋_GB2312" w:eastAsia="仿宋_GB2312"/>
          <w:sz w:val="24"/>
        </w:rPr>
        <w:t>作为赔偿金，同时贵方有权终止我方中标并选择其它中标人。</w:t>
      </w:r>
    </w:p>
    <w:p>
      <w:pPr>
        <w:autoSpaceDE w:val="0"/>
        <w:autoSpaceDN w:val="0"/>
        <w:adjustRightInd w:val="0"/>
        <w:spacing w:line="360" w:lineRule="auto"/>
        <w:ind w:firstLine="420"/>
        <w:rPr>
          <w:rFonts w:ascii="仿宋_GB2312" w:eastAsia="仿宋_GB2312"/>
          <w:sz w:val="24"/>
        </w:rPr>
      </w:pPr>
      <w:r>
        <w:rPr>
          <w:rFonts w:ascii="仿宋_GB2312" w:eastAsia="仿宋_GB2312"/>
          <w:sz w:val="24"/>
        </w:rPr>
        <w:t>5</w:t>
      </w:r>
      <w:r>
        <w:rPr>
          <w:rFonts w:hint="eastAsia" w:ascii="仿宋_GB2312" w:eastAsia="仿宋_GB2312"/>
          <w:sz w:val="24"/>
        </w:rPr>
        <w:t>、贵方的磋商文件、中标通知书、我方的响应文件将构成约束双方的合同一部分。</w:t>
      </w:r>
    </w:p>
    <w:p>
      <w:pPr>
        <w:autoSpaceDE w:val="0"/>
        <w:autoSpaceDN w:val="0"/>
        <w:adjustRightInd w:val="0"/>
        <w:spacing w:line="360" w:lineRule="auto"/>
        <w:ind w:firstLine="420"/>
        <w:rPr>
          <w:rFonts w:ascii="仿宋_GB2312" w:eastAsia="仿宋_GB2312"/>
          <w:sz w:val="24"/>
        </w:rPr>
      </w:pPr>
      <w:r>
        <w:rPr>
          <w:rFonts w:ascii="仿宋_GB2312" w:eastAsia="仿宋_GB2312"/>
          <w:sz w:val="24"/>
        </w:rPr>
        <w:t>6</w:t>
      </w:r>
      <w:r>
        <w:rPr>
          <w:rFonts w:hint="eastAsia" w:ascii="仿宋_GB2312" w:eastAsia="仿宋_GB2312"/>
          <w:sz w:val="24"/>
        </w:rPr>
        <w:t>、如果我方未中标，贵方没有必要对我方做出任何解释和说明，我方将充分尊重和理解贵方的选择。</w:t>
      </w:r>
    </w:p>
    <w:p>
      <w:pPr>
        <w:autoSpaceDE w:val="0"/>
        <w:autoSpaceDN w:val="0"/>
        <w:adjustRightInd w:val="0"/>
        <w:spacing w:line="360" w:lineRule="auto"/>
        <w:ind w:firstLine="420"/>
        <w:rPr>
          <w:rFonts w:ascii="仿宋_GB2312" w:eastAsia="仿宋_GB2312"/>
          <w:sz w:val="24"/>
        </w:rPr>
      </w:pPr>
      <w:r>
        <w:rPr>
          <w:rFonts w:hint="eastAsia" w:ascii="仿宋_GB2312" w:eastAsia="仿宋_GB2312"/>
          <w:sz w:val="24"/>
        </w:rPr>
        <w:t>其它承诺优惠条件</w:t>
      </w:r>
    </w:p>
    <w:p>
      <w:pPr>
        <w:autoSpaceDE w:val="0"/>
        <w:autoSpaceDN w:val="0"/>
        <w:adjustRightInd w:val="0"/>
        <w:spacing w:line="360" w:lineRule="auto"/>
        <w:rPr>
          <w:rFonts w:ascii="仿宋_GB2312" w:eastAsia="仿宋_GB2312"/>
          <w:sz w:val="24"/>
        </w:rPr>
      </w:pPr>
      <w:r>
        <w:rPr>
          <w:rFonts w:hint="eastAsia" w:ascii="仿宋_GB2312" w:eastAsia="仿宋_GB2312"/>
          <w:sz w:val="24"/>
        </w:rPr>
        <w:t>供应商：（盖章）</w:t>
      </w:r>
    </w:p>
    <w:p>
      <w:pPr>
        <w:autoSpaceDE w:val="0"/>
        <w:autoSpaceDN w:val="0"/>
        <w:adjustRightInd w:val="0"/>
        <w:spacing w:line="360" w:lineRule="auto"/>
        <w:rPr>
          <w:rFonts w:ascii="仿宋_GB2312" w:eastAsia="仿宋_GB2312"/>
          <w:sz w:val="24"/>
        </w:rPr>
      </w:pPr>
      <w:r>
        <w:rPr>
          <w:rFonts w:hint="eastAsia" w:ascii="仿宋_GB2312" w:eastAsia="仿宋_GB2312"/>
          <w:sz w:val="24"/>
        </w:rPr>
        <w:t>法定代表人</w:t>
      </w:r>
    </w:p>
    <w:p>
      <w:pPr>
        <w:autoSpaceDE w:val="0"/>
        <w:autoSpaceDN w:val="0"/>
        <w:adjustRightInd w:val="0"/>
        <w:spacing w:line="360" w:lineRule="auto"/>
        <w:rPr>
          <w:rFonts w:ascii="仿宋_GB2312" w:eastAsia="仿宋_GB2312"/>
          <w:sz w:val="24"/>
        </w:rPr>
      </w:pPr>
      <w:r>
        <w:rPr>
          <w:rFonts w:hint="eastAsia" w:ascii="仿宋_GB2312" w:eastAsia="仿宋_GB2312"/>
          <w:sz w:val="24"/>
        </w:rPr>
        <w:t>或委托代理人：（盖章）</w:t>
      </w: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spacing w:line="360" w:lineRule="auto"/>
        <w:rPr>
          <w:rFonts w:ascii="仿宋_GB2312" w:hAnsi="宋体" w:eastAsia="仿宋_GB2312"/>
          <w:b/>
          <w:sz w:val="32"/>
          <w:szCs w:val="32"/>
        </w:rPr>
      </w:pPr>
    </w:p>
    <w:p>
      <w:pPr>
        <w:pStyle w:val="7"/>
        <w:ind w:left="0" w:leftChars="0" w:firstLine="0" w:firstLineChars="0"/>
      </w:pPr>
    </w:p>
    <w:p/>
    <w:p>
      <w:pPr>
        <w:pStyle w:val="11"/>
      </w:pPr>
    </w:p>
    <w:p/>
    <w:p>
      <w:pPr>
        <w:pStyle w:val="11"/>
      </w:pPr>
    </w:p>
    <w:p>
      <w:pPr>
        <w:pStyle w:val="11"/>
      </w:pPr>
    </w:p>
    <w:p/>
    <w:p>
      <w:pPr>
        <w:spacing w:line="360" w:lineRule="auto"/>
        <w:rPr>
          <w:rFonts w:ascii="仿宋_GB2312" w:hAnsi="宋体" w:eastAsia="仿宋_GB2312"/>
          <w:b/>
          <w:sz w:val="32"/>
          <w:szCs w:val="32"/>
        </w:rPr>
      </w:pPr>
      <w:r>
        <w:rPr>
          <w:rFonts w:hint="eastAsia" w:ascii="仿宋_GB2312" w:hAnsi="宋体" w:eastAsia="仿宋_GB2312"/>
          <w:b/>
          <w:sz w:val="32"/>
          <w:szCs w:val="32"/>
        </w:rPr>
        <w:t>（附件四）</w:t>
      </w:r>
    </w:p>
    <w:p>
      <w:pPr>
        <w:spacing w:line="360" w:lineRule="auto"/>
        <w:jc w:val="center"/>
        <w:rPr>
          <w:rFonts w:ascii="仿宋_GB2312" w:hAnsi="宋体" w:eastAsia="仿宋_GB2312"/>
          <w:b/>
          <w:sz w:val="32"/>
          <w:szCs w:val="32"/>
        </w:rPr>
      </w:pPr>
      <w:r>
        <w:rPr>
          <w:rFonts w:hint="eastAsia" w:ascii="仿宋_GB2312" w:hAnsi="宋体" w:eastAsia="仿宋_GB2312"/>
          <w:b/>
          <w:sz w:val="32"/>
          <w:szCs w:val="32"/>
        </w:rPr>
        <w:t xml:space="preserve">  3、法定代表人身份证明</w:t>
      </w:r>
    </w:p>
    <w:p>
      <w:pPr>
        <w:spacing w:line="440" w:lineRule="exact"/>
        <w:rPr>
          <w:rFonts w:ascii="宋体" w:hAnsi="宋体"/>
          <w:sz w:val="28"/>
          <w:szCs w:val="28"/>
        </w:rPr>
      </w:pPr>
    </w:p>
    <w:p>
      <w:pPr>
        <w:spacing w:line="440" w:lineRule="exact"/>
        <w:rPr>
          <w:rFonts w:ascii="宋体" w:hAnsi="宋体"/>
          <w:sz w:val="28"/>
          <w:szCs w:val="28"/>
        </w:rPr>
      </w:pPr>
    </w:p>
    <w:p>
      <w:pPr>
        <w:autoSpaceDE w:val="0"/>
        <w:autoSpaceDN w:val="0"/>
        <w:adjustRightInd w:val="0"/>
        <w:spacing w:line="360" w:lineRule="auto"/>
        <w:ind w:firstLine="422"/>
        <w:rPr>
          <w:rFonts w:ascii="仿宋_GB2312" w:hAnsi="宋体" w:eastAsia="仿宋_GB2312"/>
          <w:sz w:val="24"/>
          <w:u w:val="single"/>
        </w:rPr>
      </w:pPr>
      <w:r>
        <w:rPr>
          <w:rFonts w:hint="eastAsia" w:ascii="仿宋_GB2312" w:hAnsi="宋体" w:eastAsia="仿宋_GB2312"/>
          <w:sz w:val="24"/>
          <w:u w:val="single"/>
        </w:rPr>
        <w:t>供应商</w:t>
      </w:r>
      <w:r>
        <w:rPr>
          <w:rFonts w:ascii="仿宋_GB2312" w:hAnsi="宋体" w:eastAsia="仿宋_GB2312"/>
          <w:sz w:val="24"/>
          <w:u w:val="single"/>
        </w:rPr>
        <w:t>名称：</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单位性质：</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地址：</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成立时间：年月日</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经营期限：</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姓名：性别：</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年龄：职务：</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系</w:t>
      </w:r>
      <w:r>
        <w:rPr>
          <w:rFonts w:hint="eastAsia" w:ascii="仿宋_GB2312" w:hAnsi="宋体" w:eastAsia="仿宋_GB2312"/>
          <w:sz w:val="24"/>
          <w:u w:val="single"/>
        </w:rPr>
        <w:t>（供应商</w:t>
      </w:r>
      <w:r>
        <w:rPr>
          <w:rFonts w:ascii="仿宋_GB2312" w:hAnsi="宋体" w:eastAsia="仿宋_GB2312"/>
          <w:sz w:val="24"/>
          <w:u w:val="single"/>
        </w:rPr>
        <w:t>名称</w:t>
      </w:r>
      <w:r>
        <w:rPr>
          <w:rFonts w:hint="eastAsia" w:ascii="仿宋_GB2312" w:hAnsi="宋体" w:eastAsia="仿宋_GB2312"/>
          <w:sz w:val="24"/>
          <w:u w:val="single"/>
        </w:rPr>
        <w:t>）</w:t>
      </w:r>
      <w:r>
        <w:rPr>
          <w:rFonts w:ascii="仿宋_GB2312" w:hAnsi="宋体" w:eastAsia="仿宋_GB2312"/>
          <w:sz w:val="24"/>
          <w:u w:val="single"/>
        </w:rPr>
        <w:t>的法定代表人。</w:t>
      </w:r>
    </w:p>
    <w:p>
      <w:pPr>
        <w:autoSpaceDE w:val="0"/>
        <w:autoSpaceDN w:val="0"/>
        <w:adjustRightInd w:val="0"/>
        <w:spacing w:line="360" w:lineRule="auto"/>
        <w:ind w:firstLine="422"/>
        <w:rPr>
          <w:rFonts w:ascii="仿宋_GB2312" w:hAnsi="宋体" w:eastAsia="仿宋_GB2312"/>
          <w:sz w:val="24"/>
          <w:u w:val="single"/>
        </w:rPr>
      </w:pPr>
      <w:r>
        <w:rPr>
          <w:rFonts w:ascii="仿宋_GB2312" w:hAnsi="宋体" w:eastAsia="仿宋_GB2312"/>
          <w:sz w:val="24"/>
          <w:u w:val="single"/>
        </w:rPr>
        <w:t>特此证明。</w:t>
      </w:r>
    </w:p>
    <w:tbl>
      <w:tblPr>
        <w:tblStyle w:val="27"/>
        <w:tblW w:w="8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jc w:val="center"/>
        </w:trPr>
        <w:tc>
          <w:tcPr>
            <w:tcW w:w="4077" w:type="dxa"/>
            <w:tcBorders>
              <w:top w:val="double" w:color="auto" w:sz="4" w:space="0"/>
              <w:left w:val="double" w:color="auto" w:sz="4" w:space="0"/>
              <w:bottom w:val="double" w:color="auto" w:sz="4" w:space="0"/>
              <w:right w:val="double" w:color="auto" w:sz="4" w:space="0"/>
            </w:tcBorders>
            <w:vAlign w:val="center"/>
          </w:tcPr>
          <w:p>
            <w:pPr>
              <w:spacing w:line="440" w:lineRule="exact"/>
              <w:jc w:val="center"/>
              <w:rPr>
                <w:rFonts w:ascii="仿宋_GB2312" w:hAnsi="宋体" w:eastAsia="仿宋_GB2312"/>
                <w:b/>
                <w:sz w:val="24"/>
              </w:rPr>
            </w:pPr>
            <w:r>
              <w:rPr>
                <w:rFonts w:hint="eastAsia" w:ascii="仿宋_GB2312" w:hAnsi="宋体" w:eastAsia="仿宋_GB2312"/>
                <w:b/>
                <w:sz w:val="24"/>
              </w:rPr>
              <w:t>身份证</w:t>
            </w:r>
            <w:r>
              <w:rPr>
                <w:rFonts w:ascii="仿宋_GB2312" w:hAnsi="宋体" w:eastAsia="仿宋_GB2312"/>
                <w:b/>
                <w:sz w:val="24"/>
              </w:rPr>
              <w:t>复印件（正面）</w:t>
            </w:r>
          </w:p>
        </w:tc>
        <w:tc>
          <w:tcPr>
            <w:tcW w:w="3969" w:type="dxa"/>
            <w:tcBorders>
              <w:top w:val="double" w:color="auto" w:sz="4" w:space="0"/>
              <w:left w:val="double" w:color="auto" w:sz="4" w:space="0"/>
              <w:bottom w:val="double" w:color="auto" w:sz="4" w:space="0"/>
              <w:right w:val="double" w:color="auto" w:sz="4" w:space="0"/>
            </w:tcBorders>
            <w:vAlign w:val="center"/>
          </w:tcPr>
          <w:p>
            <w:pPr>
              <w:spacing w:line="440" w:lineRule="exact"/>
              <w:jc w:val="center"/>
              <w:rPr>
                <w:rFonts w:ascii="仿宋_GB2312" w:hAnsi="宋体" w:eastAsia="仿宋_GB2312"/>
                <w:b/>
                <w:sz w:val="24"/>
              </w:rPr>
            </w:pPr>
            <w:r>
              <w:rPr>
                <w:rFonts w:hint="eastAsia" w:ascii="仿宋_GB2312" w:hAnsi="宋体" w:eastAsia="仿宋_GB2312"/>
                <w:b/>
                <w:sz w:val="24"/>
              </w:rPr>
              <w:t>身份证</w:t>
            </w:r>
            <w:r>
              <w:rPr>
                <w:rFonts w:ascii="仿宋_GB2312" w:hAnsi="宋体" w:eastAsia="仿宋_GB2312"/>
                <w:b/>
                <w:sz w:val="24"/>
              </w:rPr>
              <w:t>复印件（</w:t>
            </w:r>
            <w:r>
              <w:rPr>
                <w:rFonts w:hint="eastAsia" w:ascii="仿宋_GB2312" w:hAnsi="宋体" w:eastAsia="仿宋_GB2312"/>
                <w:b/>
                <w:sz w:val="24"/>
              </w:rPr>
              <w:t>背面</w:t>
            </w:r>
            <w:r>
              <w:rPr>
                <w:rFonts w:ascii="仿宋_GB2312" w:hAnsi="宋体" w:eastAsia="仿宋_GB2312"/>
                <w:b/>
                <w:sz w:val="24"/>
              </w:rPr>
              <w:t>）</w:t>
            </w:r>
          </w:p>
        </w:tc>
      </w:tr>
    </w:tbl>
    <w:p>
      <w:pPr>
        <w:autoSpaceDE w:val="0"/>
        <w:autoSpaceDN w:val="0"/>
        <w:adjustRightInd w:val="0"/>
        <w:spacing w:line="360" w:lineRule="auto"/>
        <w:rPr>
          <w:rFonts w:ascii="仿宋_GB2312" w:hAnsi="宋体" w:eastAsia="仿宋_GB2312"/>
          <w:sz w:val="24"/>
          <w:u w:val="single"/>
        </w:rPr>
      </w:pPr>
    </w:p>
    <w:p>
      <w:pPr>
        <w:autoSpaceDE w:val="0"/>
        <w:autoSpaceDN w:val="0"/>
        <w:adjustRightInd w:val="0"/>
        <w:spacing w:line="360" w:lineRule="auto"/>
        <w:ind w:firstLine="422"/>
        <w:rPr>
          <w:rFonts w:ascii="仿宋_GB2312" w:hAnsi="宋体" w:eastAsia="仿宋_GB2312"/>
          <w:sz w:val="24"/>
          <w:u w:val="single"/>
        </w:rPr>
      </w:pPr>
      <w:r>
        <w:rPr>
          <w:rFonts w:hint="eastAsia" w:ascii="仿宋_GB2312" w:hAnsi="宋体" w:eastAsia="仿宋_GB2312"/>
          <w:sz w:val="24"/>
          <w:u w:val="single"/>
        </w:rPr>
        <w:t>供应商</w:t>
      </w:r>
      <w:r>
        <w:rPr>
          <w:rFonts w:ascii="仿宋_GB2312" w:hAnsi="宋体" w:eastAsia="仿宋_GB2312"/>
          <w:sz w:val="24"/>
          <w:u w:val="single"/>
        </w:rPr>
        <w:t>：（盖单位章）</w:t>
      </w:r>
    </w:p>
    <w:p>
      <w:pPr>
        <w:autoSpaceDE w:val="0"/>
        <w:autoSpaceDN w:val="0"/>
        <w:adjustRightInd w:val="0"/>
        <w:spacing w:line="360" w:lineRule="auto"/>
        <w:ind w:firstLine="422"/>
        <w:rPr>
          <w:rFonts w:ascii="仿宋_GB2312" w:hAnsi="宋体" w:eastAsia="仿宋_GB2312"/>
          <w:sz w:val="24"/>
          <w:u w:val="single"/>
        </w:rPr>
      </w:pPr>
      <w:r>
        <w:rPr>
          <w:rFonts w:hint="eastAsia" w:ascii="仿宋_GB2312" w:hAnsi="宋体" w:eastAsia="仿宋_GB2312"/>
          <w:sz w:val="24"/>
          <w:u w:val="single"/>
        </w:rPr>
        <w:t>法定代表或委托代理人（签字或盖章）</w:t>
      </w:r>
    </w:p>
    <w:p>
      <w:pPr>
        <w:autoSpaceDE w:val="0"/>
        <w:autoSpaceDN w:val="0"/>
        <w:adjustRightInd w:val="0"/>
        <w:spacing w:line="360" w:lineRule="auto"/>
        <w:ind w:firstLine="422"/>
        <w:rPr>
          <w:rFonts w:ascii="仿宋_GB2312" w:hAnsi="宋体" w:eastAsia="仿宋_GB2312"/>
          <w:sz w:val="24"/>
          <w:u w:val="single"/>
        </w:rPr>
      </w:pPr>
      <w:r>
        <w:rPr>
          <w:rFonts w:hint="eastAsia" w:ascii="仿宋_GB2312" w:hAnsi="宋体" w:eastAsia="仿宋_GB2312"/>
          <w:sz w:val="24"/>
          <w:u w:val="single"/>
        </w:rPr>
        <w:t>日期：</w:t>
      </w:r>
      <w:r>
        <w:rPr>
          <w:rFonts w:ascii="仿宋_GB2312" w:hAnsi="宋体" w:eastAsia="仿宋_GB2312"/>
          <w:sz w:val="24"/>
          <w:u w:val="single"/>
        </w:rPr>
        <w:t>年月日</w:t>
      </w:r>
    </w:p>
    <w:p>
      <w:pPr>
        <w:autoSpaceDE w:val="0"/>
        <w:autoSpaceDN w:val="0"/>
        <w:adjustRightInd w:val="0"/>
        <w:spacing w:line="360" w:lineRule="auto"/>
        <w:ind w:firstLine="422"/>
        <w:rPr>
          <w:rFonts w:ascii="仿宋_GB2312" w:hAnsi="宋体" w:eastAsia="仿宋_GB2312"/>
          <w:sz w:val="24"/>
          <w:u w:val="single"/>
        </w:rPr>
      </w:pPr>
    </w:p>
    <w:p>
      <w:pPr>
        <w:spacing w:line="360" w:lineRule="auto"/>
        <w:ind w:firstLine="360" w:firstLineChars="150"/>
        <w:rPr>
          <w:rFonts w:ascii="仿宋_GB2312" w:hAnsi="宋体" w:eastAsia="仿宋_GB2312"/>
          <w:b/>
          <w:sz w:val="32"/>
          <w:szCs w:val="32"/>
        </w:rPr>
      </w:pPr>
      <w:r>
        <w:rPr>
          <w:rFonts w:hint="eastAsia" w:ascii="仿宋_GB2312" w:hAnsi="宋体" w:eastAsia="仿宋_GB2312"/>
          <w:sz w:val="24"/>
        </w:rPr>
        <w:t>注：另附法人身份证复印件</w:t>
      </w:r>
    </w:p>
    <w:p>
      <w:pPr>
        <w:spacing w:line="360" w:lineRule="auto"/>
        <w:rPr>
          <w:rFonts w:hint="eastAsia" w:ascii="仿宋_GB2312" w:hAnsi="宋体" w:eastAsia="仿宋_GB2312"/>
          <w:b/>
          <w:sz w:val="32"/>
          <w:szCs w:val="32"/>
        </w:rPr>
      </w:pPr>
    </w:p>
    <w:p>
      <w:pPr>
        <w:spacing w:line="360" w:lineRule="auto"/>
        <w:rPr>
          <w:rFonts w:ascii="仿宋_GB2312" w:hAnsi="宋体" w:eastAsia="仿宋_GB2312"/>
          <w:b/>
          <w:sz w:val="32"/>
          <w:szCs w:val="32"/>
        </w:rPr>
      </w:pPr>
      <w:r>
        <w:rPr>
          <w:rFonts w:hint="eastAsia" w:ascii="仿宋_GB2312" w:hAnsi="宋体" w:eastAsia="仿宋_GB2312"/>
          <w:b/>
          <w:sz w:val="32"/>
          <w:szCs w:val="32"/>
        </w:rPr>
        <w:t>（附件五）</w:t>
      </w:r>
    </w:p>
    <w:p>
      <w:pPr>
        <w:spacing w:line="360" w:lineRule="auto"/>
        <w:jc w:val="center"/>
        <w:rPr>
          <w:rFonts w:ascii="仿宋_GB2312" w:hAnsi="宋体" w:eastAsia="仿宋_GB2312"/>
          <w:b/>
          <w:sz w:val="32"/>
          <w:szCs w:val="32"/>
        </w:rPr>
      </w:pPr>
      <w:r>
        <w:rPr>
          <w:rFonts w:hint="eastAsia" w:ascii="仿宋_GB2312" w:hAnsi="宋体" w:eastAsia="仿宋_GB2312"/>
          <w:b/>
          <w:sz w:val="32"/>
          <w:szCs w:val="32"/>
        </w:rPr>
        <w:t>法人代表授权委托书</w:t>
      </w:r>
    </w:p>
    <w:p>
      <w:pPr>
        <w:autoSpaceDE w:val="0"/>
        <w:autoSpaceDN w:val="0"/>
        <w:adjustRightInd w:val="0"/>
        <w:spacing w:line="360" w:lineRule="auto"/>
        <w:ind w:firstLine="422"/>
        <w:rPr>
          <w:rFonts w:ascii="仿宋_GB2312" w:hAnsi="宋体" w:eastAsia="仿宋_GB2312"/>
          <w:sz w:val="24"/>
        </w:rPr>
      </w:pPr>
      <w:r>
        <w:rPr>
          <w:rFonts w:hint="eastAsia" w:ascii="仿宋_GB2312" w:hAnsi="宋体" w:eastAsia="仿宋_GB2312"/>
          <w:sz w:val="24"/>
        </w:rPr>
        <w:t>本授权声明：注册于中华人民共和国的</w:t>
      </w:r>
      <w:r>
        <w:rPr>
          <w:rFonts w:hint="eastAsia" w:ascii="仿宋_GB2312" w:hAnsi="宋体" w:eastAsia="仿宋_GB2312"/>
          <w:sz w:val="24"/>
          <w:u w:val="single"/>
        </w:rPr>
        <w:t>（供应商名称、住址）</w:t>
      </w:r>
      <w:r>
        <w:rPr>
          <w:rFonts w:hint="eastAsia" w:ascii="仿宋_GB2312" w:hAnsi="宋体" w:eastAsia="仿宋_GB2312"/>
          <w:sz w:val="24"/>
        </w:rPr>
        <w:t>的法人代表</w:t>
      </w:r>
      <w:r>
        <w:rPr>
          <w:rFonts w:hint="eastAsia" w:ascii="仿宋_GB2312" w:hAnsi="宋体" w:eastAsia="仿宋_GB2312"/>
          <w:sz w:val="24"/>
          <w:u w:val="single"/>
        </w:rPr>
        <w:t>（法定代表人姓名、职务）</w:t>
      </w:r>
      <w:r>
        <w:rPr>
          <w:rFonts w:hint="eastAsia" w:ascii="仿宋_GB2312" w:hAnsi="宋体" w:eastAsia="仿宋_GB2312"/>
          <w:sz w:val="24"/>
        </w:rPr>
        <w:t>代表本公司授权在下面签字的</w:t>
      </w:r>
      <w:r>
        <w:rPr>
          <w:rFonts w:hint="eastAsia" w:ascii="仿宋_GB2312" w:hAnsi="宋体" w:eastAsia="仿宋_GB2312"/>
          <w:sz w:val="24"/>
          <w:u w:val="single"/>
        </w:rPr>
        <w:t>（被授权人的姓名、职务）</w:t>
      </w:r>
      <w:r>
        <w:rPr>
          <w:rFonts w:hint="eastAsia" w:ascii="仿宋_GB2312" w:hAnsi="宋体" w:eastAsia="仿宋_GB2312"/>
          <w:sz w:val="24"/>
        </w:rPr>
        <w:t>为本公司的合法代理人，就此次项目，招标编号为</w:t>
      </w:r>
      <w:r>
        <w:rPr>
          <w:rFonts w:hint="eastAsia" w:ascii="仿宋_GB2312" w:hAnsi="宋体" w:eastAsia="仿宋_GB2312"/>
          <w:sz w:val="24"/>
          <w:u w:val="single"/>
        </w:rPr>
        <w:t>（招标编号）</w:t>
      </w:r>
      <w:r>
        <w:rPr>
          <w:rFonts w:hint="eastAsia" w:ascii="仿宋_GB2312" w:hAnsi="宋体" w:eastAsia="仿宋_GB2312"/>
          <w:sz w:val="24"/>
        </w:rPr>
        <w:t>的</w:t>
      </w:r>
      <w:r>
        <w:rPr>
          <w:rFonts w:hint="eastAsia" w:ascii="仿宋_GB2312" w:hAnsi="宋体" w:eastAsia="仿宋_GB2312"/>
          <w:sz w:val="24"/>
          <w:u w:val="single"/>
        </w:rPr>
        <w:t>（招标包号）</w:t>
      </w:r>
      <w:r>
        <w:rPr>
          <w:rFonts w:hint="eastAsia" w:ascii="仿宋_GB2312" w:hAnsi="宋体" w:eastAsia="仿宋_GB2312"/>
          <w:sz w:val="24"/>
        </w:rPr>
        <w:t>的投标及合同的执行、完成和保修，以本公司名义处理一切与之有关的事务。</w:t>
      </w:r>
    </w:p>
    <w:p>
      <w:pPr>
        <w:autoSpaceDE w:val="0"/>
        <w:autoSpaceDN w:val="0"/>
        <w:adjustRightInd w:val="0"/>
        <w:spacing w:line="360" w:lineRule="auto"/>
        <w:ind w:firstLine="420" w:firstLineChars="175"/>
        <w:rPr>
          <w:rFonts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年月日</w:t>
      </w:r>
      <w:r>
        <w:rPr>
          <w:rFonts w:hint="eastAsia" w:ascii="仿宋_GB2312" w:hAnsi="宋体" w:eastAsia="仿宋_GB2312"/>
          <w:sz w:val="24"/>
        </w:rPr>
        <w:t>签字生效，特此声明。</w:t>
      </w:r>
    </w:p>
    <w:p>
      <w:pPr>
        <w:autoSpaceDE w:val="0"/>
        <w:autoSpaceDN w:val="0"/>
        <w:adjustRightInd w:val="0"/>
        <w:spacing w:line="360" w:lineRule="auto"/>
        <w:ind w:firstLine="480" w:firstLineChars="200"/>
        <w:rPr>
          <w:rFonts w:ascii="仿宋_GB2312" w:hAnsi="宋体" w:eastAsia="仿宋_GB2312"/>
          <w:sz w:val="24"/>
          <w:u w:val="single"/>
        </w:rPr>
      </w:pPr>
      <w:r>
        <w:rPr>
          <w:rFonts w:hint="eastAsia" w:ascii="仿宋_GB2312" w:hAnsi="宋体" w:eastAsia="仿宋_GB2312"/>
          <w:sz w:val="24"/>
        </w:rPr>
        <w:t>法人签字/签章：</w:t>
      </w:r>
    </w:p>
    <w:p>
      <w:pPr>
        <w:autoSpaceDE w:val="0"/>
        <w:autoSpaceDN w:val="0"/>
        <w:adjustRightInd w:val="0"/>
        <w:spacing w:line="360" w:lineRule="auto"/>
        <w:ind w:firstLine="480" w:firstLineChars="200"/>
        <w:rPr>
          <w:rFonts w:ascii="仿宋_GB2312" w:hAnsi="宋体" w:eastAsia="仿宋_GB2312"/>
          <w:sz w:val="24"/>
          <w:u w:val="single"/>
        </w:rPr>
      </w:pPr>
      <w:r>
        <w:rPr>
          <w:rFonts w:hint="eastAsia" w:ascii="仿宋_GB2312" w:hAnsi="宋体" w:eastAsia="仿宋_GB2312"/>
          <w:sz w:val="24"/>
        </w:rPr>
        <w:t>代理（被授权人）签字：</w:t>
      </w:r>
    </w:p>
    <w:p>
      <w:pPr>
        <w:autoSpaceDE w:val="0"/>
        <w:autoSpaceDN w:val="0"/>
        <w:adjustRightInd w:val="0"/>
        <w:spacing w:line="360" w:lineRule="auto"/>
        <w:ind w:firstLine="480" w:firstLineChars="200"/>
        <w:rPr>
          <w:rFonts w:ascii="仿宋_GB2312" w:hAnsi="宋体" w:eastAsia="仿宋_GB2312"/>
          <w:sz w:val="24"/>
          <w:u w:val="single"/>
        </w:rPr>
      </w:pPr>
      <w:r>
        <w:rPr>
          <w:rFonts w:hint="eastAsia" w:ascii="仿宋_GB2312" w:hAnsi="宋体" w:eastAsia="仿宋_GB2312"/>
          <w:sz w:val="24"/>
        </w:rPr>
        <w:t>单位名称（并加盖公章）：</w:t>
      </w:r>
    </w:p>
    <w:p>
      <w:pPr>
        <w:spacing w:line="360" w:lineRule="auto"/>
        <w:ind w:firstLine="480"/>
        <w:rPr>
          <w:rFonts w:ascii="仿宋_GB2312" w:hAnsi="宋体" w:eastAsia="仿宋_GB2312"/>
          <w:sz w:val="24"/>
          <w:u w:val="single"/>
        </w:rPr>
      </w:pPr>
      <w:r>
        <w:rPr>
          <w:rFonts w:hint="eastAsia" w:ascii="仿宋_GB2312" w:hAnsi="宋体" w:eastAsia="仿宋_GB2312"/>
          <w:sz w:val="24"/>
        </w:rPr>
        <w:t>授权日期：20</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注：参加开标会议的供应商的法定代表人或其委托代理人应携带本人身份证（原件并附复印件），委托代理人还应携带《法定代表人授权委托书》，以证明其身份；</w:t>
      </w:r>
    </w:p>
    <w:p>
      <w:pPr>
        <w:spacing w:line="440" w:lineRule="exact"/>
        <w:ind w:firstLine="482" w:firstLineChars="200"/>
        <w:rPr>
          <w:rFonts w:ascii="仿宋_GB2312" w:hAnsi="宋体" w:eastAsia="仿宋_GB2312"/>
          <w:b/>
          <w:sz w:val="24"/>
        </w:rPr>
      </w:pPr>
    </w:p>
    <w:tbl>
      <w:tblPr>
        <w:tblStyle w:val="27"/>
        <w:tblW w:w="8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jc w:val="center"/>
        </w:trPr>
        <w:tc>
          <w:tcPr>
            <w:tcW w:w="4077" w:type="dxa"/>
            <w:tcBorders>
              <w:top w:val="double" w:color="auto" w:sz="4" w:space="0"/>
              <w:left w:val="double" w:color="auto" w:sz="4" w:space="0"/>
              <w:bottom w:val="double" w:color="auto" w:sz="4" w:space="0"/>
              <w:right w:val="double" w:color="auto" w:sz="4" w:space="0"/>
            </w:tcBorders>
            <w:vAlign w:val="center"/>
          </w:tcPr>
          <w:p>
            <w:pPr>
              <w:spacing w:line="440" w:lineRule="exact"/>
              <w:jc w:val="center"/>
              <w:rPr>
                <w:rFonts w:ascii="仿宋_GB2312" w:hAnsi="宋体" w:eastAsia="仿宋_GB2312"/>
                <w:b/>
                <w:sz w:val="24"/>
              </w:rPr>
            </w:pPr>
            <w:r>
              <w:rPr>
                <w:rFonts w:hint="eastAsia" w:ascii="仿宋_GB2312" w:hAnsi="宋体" w:eastAsia="仿宋_GB2312"/>
                <w:b/>
                <w:sz w:val="24"/>
              </w:rPr>
              <w:t>身份证</w:t>
            </w:r>
            <w:r>
              <w:rPr>
                <w:rFonts w:ascii="仿宋_GB2312" w:hAnsi="宋体" w:eastAsia="仿宋_GB2312"/>
                <w:b/>
                <w:sz w:val="24"/>
              </w:rPr>
              <w:t>复印件（正面）</w:t>
            </w:r>
          </w:p>
        </w:tc>
        <w:tc>
          <w:tcPr>
            <w:tcW w:w="3969" w:type="dxa"/>
            <w:tcBorders>
              <w:top w:val="double" w:color="auto" w:sz="4" w:space="0"/>
              <w:left w:val="double" w:color="auto" w:sz="4" w:space="0"/>
              <w:bottom w:val="double" w:color="auto" w:sz="4" w:space="0"/>
              <w:right w:val="double" w:color="auto" w:sz="4" w:space="0"/>
            </w:tcBorders>
            <w:vAlign w:val="center"/>
          </w:tcPr>
          <w:p>
            <w:pPr>
              <w:spacing w:line="440" w:lineRule="exact"/>
              <w:jc w:val="center"/>
              <w:rPr>
                <w:rFonts w:ascii="仿宋_GB2312" w:hAnsi="宋体" w:eastAsia="仿宋_GB2312"/>
                <w:b/>
                <w:sz w:val="24"/>
              </w:rPr>
            </w:pPr>
            <w:r>
              <w:rPr>
                <w:rFonts w:hint="eastAsia" w:ascii="仿宋_GB2312" w:hAnsi="宋体" w:eastAsia="仿宋_GB2312"/>
                <w:b/>
                <w:sz w:val="24"/>
              </w:rPr>
              <w:t>身份证</w:t>
            </w:r>
            <w:r>
              <w:rPr>
                <w:rFonts w:ascii="仿宋_GB2312" w:hAnsi="宋体" w:eastAsia="仿宋_GB2312"/>
                <w:b/>
                <w:sz w:val="24"/>
              </w:rPr>
              <w:t>复印件（</w:t>
            </w:r>
            <w:r>
              <w:rPr>
                <w:rFonts w:hint="eastAsia" w:ascii="仿宋_GB2312" w:hAnsi="宋体" w:eastAsia="仿宋_GB2312"/>
                <w:b/>
                <w:sz w:val="24"/>
              </w:rPr>
              <w:t>背面</w:t>
            </w:r>
            <w:r>
              <w:rPr>
                <w:rFonts w:ascii="仿宋_GB2312" w:hAnsi="宋体" w:eastAsia="仿宋_GB2312"/>
                <w:b/>
                <w:sz w:val="24"/>
              </w:rPr>
              <w:t>）</w:t>
            </w:r>
          </w:p>
        </w:tc>
      </w:tr>
    </w:tbl>
    <w:p>
      <w:pPr>
        <w:pStyle w:val="3"/>
        <w:ind w:left="0" w:leftChars="0" w:firstLine="0" w:firstLineChars="0"/>
        <w:rPr>
          <w:rFonts w:ascii="仿宋_GB2312" w:hAnsi="宋体" w:eastAsia="仿宋_GB2312"/>
          <w:b/>
          <w:sz w:val="32"/>
          <w:szCs w:val="32"/>
        </w:rPr>
      </w:pPr>
    </w:p>
    <w:p/>
    <w:p>
      <w:pPr>
        <w:tabs>
          <w:tab w:val="left" w:pos="9135"/>
        </w:tabs>
        <w:spacing w:line="360" w:lineRule="auto"/>
        <w:rPr>
          <w:rFonts w:ascii="仿宋_GB2312" w:hAnsi="宋体" w:eastAsia="仿宋_GB2312"/>
          <w:b/>
          <w:sz w:val="32"/>
          <w:szCs w:val="32"/>
        </w:rPr>
      </w:pPr>
      <w:r>
        <w:rPr>
          <w:rFonts w:hint="eastAsia" w:ascii="仿宋_GB2312" w:hAnsi="宋体" w:eastAsia="仿宋_GB2312"/>
          <w:b/>
          <w:sz w:val="32"/>
          <w:szCs w:val="32"/>
        </w:rPr>
        <w:t>（附件六）</w:t>
      </w:r>
    </w:p>
    <w:p>
      <w:pPr>
        <w:tabs>
          <w:tab w:val="left" w:pos="9135"/>
        </w:tabs>
        <w:spacing w:line="360" w:lineRule="auto"/>
        <w:jc w:val="center"/>
        <w:rPr>
          <w:rFonts w:ascii="仿宋_GB2312" w:hAnsi="宋体" w:eastAsia="仿宋_GB2312"/>
          <w:b/>
          <w:sz w:val="32"/>
          <w:szCs w:val="32"/>
        </w:rPr>
      </w:pPr>
      <w:r>
        <w:rPr>
          <w:rFonts w:hint="eastAsia" w:ascii="仿宋_GB2312" w:hAnsi="宋体" w:eastAsia="仿宋_GB2312"/>
          <w:b/>
          <w:sz w:val="32"/>
          <w:szCs w:val="32"/>
        </w:rPr>
        <w:t>开标一览表</w:t>
      </w:r>
    </w:p>
    <w:p>
      <w:pPr>
        <w:pStyle w:val="63"/>
        <w:spacing w:line="360" w:lineRule="auto"/>
        <w:ind w:left="210" w:leftChars="-86" w:hanging="391" w:hangingChars="163"/>
        <w:jc w:val="both"/>
        <w:rPr>
          <w:rFonts w:ascii="仿宋_GB2312" w:hAnsi="宋体" w:eastAsia="仿宋_GB2312"/>
          <w:color w:val="auto"/>
        </w:rPr>
      </w:pPr>
      <w:r>
        <w:rPr>
          <w:rFonts w:hint="eastAsia" w:ascii="仿宋_GB2312" w:hAnsi="宋体" w:eastAsia="仿宋_GB2312"/>
          <w:color w:val="auto"/>
        </w:rPr>
        <w:t>项目名称：</w:t>
      </w:r>
    </w:p>
    <w:p>
      <w:pPr>
        <w:pStyle w:val="63"/>
        <w:spacing w:line="360" w:lineRule="auto"/>
        <w:ind w:left="210" w:leftChars="-86" w:hanging="391" w:hangingChars="163"/>
        <w:jc w:val="both"/>
        <w:rPr>
          <w:rFonts w:ascii="仿宋_GB2312" w:hAnsi="宋体" w:eastAsia="仿宋_GB2312"/>
          <w:color w:val="auto"/>
          <w:u w:val="single"/>
        </w:rPr>
      </w:pPr>
      <w:r>
        <w:rPr>
          <w:rFonts w:hint="eastAsia" w:ascii="仿宋_GB2312" w:hAnsi="宋体" w:eastAsia="仿宋_GB2312"/>
          <w:color w:val="auto"/>
        </w:rPr>
        <w:t>招标编号：</w:t>
      </w:r>
    </w:p>
    <w:p>
      <w:pPr>
        <w:pStyle w:val="63"/>
        <w:spacing w:line="360" w:lineRule="auto"/>
        <w:ind w:left="210" w:leftChars="-86" w:hanging="391" w:hangingChars="163"/>
        <w:jc w:val="both"/>
        <w:rPr>
          <w:rFonts w:ascii="仿宋_GB2312" w:hAnsi="宋体" w:eastAsia="仿宋_GB2312"/>
          <w:color w:val="auto"/>
          <w:u w:val="single"/>
        </w:rPr>
      </w:pPr>
    </w:p>
    <w:tbl>
      <w:tblPr>
        <w:tblStyle w:val="27"/>
        <w:tblW w:w="9776" w:type="dxa"/>
        <w:jc w:val="center"/>
        <w:tblLayout w:type="fixed"/>
        <w:tblCellMar>
          <w:top w:w="0" w:type="dxa"/>
          <w:left w:w="108" w:type="dxa"/>
          <w:bottom w:w="0" w:type="dxa"/>
          <w:right w:w="108" w:type="dxa"/>
        </w:tblCellMar>
      </w:tblPr>
      <w:tblGrid>
        <w:gridCol w:w="880"/>
        <w:gridCol w:w="1872"/>
        <w:gridCol w:w="850"/>
        <w:gridCol w:w="1074"/>
        <w:gridCol w:w="720"/>
        <w:gridCol w:w="2190"/>
        <w:gridCol w:w="2190"/>
      </w:tblGrid>
      <w:tr>
        <w:tblPrEx>
          <w:tblCellMar>
            <w:top w:w="0" w:type="dxa"/>
            <w:left w:w="108" w:type="dxa"/>
            <w:bottom w:w="0" w:type="dxa"/>
            <w:right w:w="108" w:type="dxa"/>
          </w:tblCellMar>
        </w:tblPrEx>
        <w:trPr>
          <w:trHeight w:val="641" w:hRule="atLeast"/>
          <w:jc w:val="center"/>
        </w:trPr>
        <w:tc>
          <w:tcPr>
            <w:tcW w:w="880" w:type="dxa"/>
            <w:tcBorders>
              <w:top w:val="single" w:color="auto" w:sz="8" w:space="0"/>
              <w:left w:val="single" w:color="auto" w:sz="8" w:space="0"/>
              <w:bottom w:val="single" w:color="auto" w:sz="4" w:space="0"/>
              <w:right w:val="single" w:color="auto" w:sz="8"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序号</w:t>
            </w:r>
          </w:p>
        </w:tc>
        <w:tc>
          <w:tcPr>
            <w:tcW w:w="2722" w:type="dxa"/>
            <w:gridSpan w:val="2"/>
            <w:tcBorders>
              <w:top w:val="single" w:color="auto" w:sz="8" w:space="0"/>
              <w:left w:val="nil"/>
              <w:bottom w:val="single" w:color="auto" w:sz="4" w:space="0"/>
              <w:right w:val="single" w:color="auto" w:sz="4"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投标内容</w:t>
            </w:r>
          </w:p>
        </w:tc>
        <w:tc>
          <w:tcPr>
            <w:tcW w:w="1074" w:type="dxa"/>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数量</w:t>
            </w:r>
          </w:p>
        </w:tc>
        <w:tc>
          <w:tcPr>
            <w:tcW w:w="720" w:type="dxa"/>
            <w:tcBorders>
              <w:top w:val="single" w:color="auto" w:sz="8"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单位</w:t>
            </w:r>
          </w:p>
        </w:tc>
        <w:tc>
          <w:tcPr>
            <w:tcW w:w="2190" w:type="dxa"/>
            <w:tcBorders>
              <w:top w:val="single" w:color="auto" w:sz="8" w:space="0"/>
              <w:left w:val="single" w:color="auto" w:sz="4" w:space="0"/>
              <w:bottom w:val="single" w:color="auto" w:sz="4" w:space="0"/>
              <w:right w:val="single" w:color="000000" w:sz="8" w:space="0"/>
            </w:tcBorders>
            <w:vAlign w:val="center"/>
          </w:tcPr>
          <w:p>
            <w:pPr>
              <w:jc w:val="center"/>
              <w:rPr>
                <w:rFonts w:ascii="仿宋_GB2312" w:hAnsi="宋体" w:eastAsia="仿宋_GB2312"/>
                <w:kern w:val="0"/>
                <w:sz w:val="24"/>
                <w:szCs w:val="24"/>
              </w:rPr>
            </w:pPr>
            <w:r>
              <w:rPr>
                <w:rFonts w:hint="eastAsia" w:ascii="仿宋_GB2312" w:hAnsi="宋体" w:eastAsia="仿宋_GB2312"/>
                <w:kern w:val="0"/>
                <w:sz w:val="24"/>
                <w:szCs w:val="24"/>
              </w:rPr>
              <w:t>投标报价</w:t>
            </w:r>
          </w:p>
        </w:tc>
        <w:tc>
          <w:tcPr>
            <w:tcW w:w="2190" w:type="dxa"/>
            <w:tcBorders>
              <w:top w:val="single" w:color="auto" w:sz="8" w:space="0"/>
              <w:left w:val="single" w:color="auto" w:sz="4" w:space="0"/>
              <w:bottom w:val="single" w:color="auto" w:sz="4" w:space="0"/>
              <w:right w:val="single" w:color="000000" w:sz="8" w:space="0"/>
            </w:tcBorders>
            <w:vAlign w:val="center"/>
          </w:tcPr>
          <w:p>
            <w:pPr>
              <w:jc w:val="center"/>
              <w:rPr>
                <w:rFonts w:ascii="仿宋_GB2312" w:hAnsi="宋体" w:eastAsia="仿宋_GB2312"/>
                <w:kern w:val="0"/>
                <w:sz w:val="24"/>
                <w:szCs w:val="24"/>
              </w:rPr>
            </w:pPr>
            <w:r>
              <w:rPr>
                <w:rFonts w:hint="eastAsia" w:ascii="仿宋_GB2312" w:hAnsi="宋体" w:eastAsia="仿宋_GB2312" w:cs="Times New Roman"/>
                <w:kern w:val="0"/>
                <w:sz w:val="24"/>
                <w:szCs w:val="24"/>
                <w:lang w:val="en-US" w:eastAsia="zh-CN"/>
              </w:rPr>
              <w:t>供货验收标准</w:t>
            </w:r>
          </w:p>
        </w:tc>
      </w:tr>
      <w:tr>
        <w:tblPrEx>
          <w:tblCellMar>
            <w:top w:w="0" w:type="dxa"/>
            <w:left w:w="108" w:type="dxa"/>
            <w:bottom w:w="0" w:type="dxa"/>
            <w:right w:w="108" w:type="dxa"/>
          </w:tblCellMar>
        </w:tblPrEx>
        <w:trPr>
          <w:trHeight w:val="555"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yellow"/>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yellow"/>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yellow"/>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kern w:val="0"/>
                <w:sz w:val="24"/>
                <w:szCs w:val="24"/>
              </w:rPr>
            </w:pPr>
          </w:p>
        </w:tc>
      </w:tr>
      <w:tr>
        <w:tblPrEx>
          <w:tblCellMar>
            <w:top w:w="0" w:type="dxa"/>
            <w:left w:w="108" w:type="dxa"/>
            <w:bottom w:w="0" w:type="dxa"/>
            <w:right w:w="108" w:type="dxa"/>
          </w:tblCellMar>
        </w:tblPrEx>
        <w:trPr>
          <w:trHeight w:val="549"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yellow"/>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yellow"/>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highlight w:val="yellow"/>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vMerge w:val="continue"/>
            <w:tcBorders>
              <w:left w:val="single" w:color="auto" w:sz="4" w:space="0"/>
              <w:right w:val="single" w:color="auto" w:sz="4" w:space="0"/>
            </w:tcBorders>
          </w:tcPr>
          <w:p>
            <w:pPr>
              <w:widowControl/>
              <w:jc w:val="center"/>
              <w:rPr>
                <w:rFonts w:ascii="仿宋_GB2312" w:hAnsi="宋体" w:eastAsia="仿宋_GB2312"/>
                <w:kern w:val="0"/>
                <w:sz w:val="24"/>
                <w:szCs w:val="24"/>
              </w:rPr>
            </w:pPr>
          </w:p>
        </w:tc>
      </w:tr>
      <w:tr>
        <w:tblPrEx>
          <w:tblCellMar>
            <w:top w:w="0" w:type="dxa"/>
            <w:left w:w="108" w:type="dxa"/>
            <w:bottom w:w="0" w:type="dxa"/>
            <w:right w:w="108" w:type="dxa"/>
          </w:tblCellMar>
        </w:tblPrEx>
        <w:trPr>
          <w:trHeight w:val="557"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vMerge w:val="continue"/>
            <w:tcBorders>
              <w:left w:val="single" w:color="auto" w:sz="4" w:space="0"/>
              <w:right w:val="single" w:color="auto" w:sz="4" w:space="0"/>
            </w:tcBorders>
          </w:tcPr>
          <w:p>
            <w:pPr>
              <w:widowControl/>
              <w:jc w:val="center"/>
              <w:rPr>
                <w:rFonts w:ascii="仿宋_GB2312" w:hAnsi="宋体" w:eastAsia="仿宋_GB2312"/>
                <w:kern w:val="0"/>
                <w:sz w:val="24"/>
                <w:szCs w:val="24"/>
              </w:rPr>
            </w:pP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vMerge w:val="continue"/>
            <w:tcBorders>
              <w:left w:val="single" w:color="auto" w:sz="4" w:space="0"/>
              <w:bottom w:val="single" w:color="auto" w:sz="4" w:space="0"/>
              <w:right w:val="single" w:color="auto" w:sz="4" w:space="0"/>
            </w:tcBorders>
          </w:tcPr>
          <w:p>
            <w:pPr>
              <w:widowControl/>
              <w:jc w:val="center"/>
              <w:rPr>
                <w:rFonts w:ascii="仿宋_GB2312" w:hAnsi="宋体" w:eastAsia="仿宋_GB2312"/>
                <w:kern w:val="0"/>
                <w:sz w:val="24"/>
                <w:szCs w:val="24"/>
              </w:rPr>
            </w:pP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cs="Times New Roman"/>
                <w:kern w:val="0"/>
                <w:sz w:val="24"/>
                <w:szCs w:val="24"/>
                <w:lang w:val="en-US" w:eastAsia="zh-CN"/>
              </w:rPr>
              <w:t>合同履约期限</w:t>
            </w: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kern w:val="0"/>
                <w:sz w:val="24"/>
                <w:szCs w:val="24"/>
              </w:rPr>
            </w:pP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vMerge w:val="continue"/>
            <w:tcBorders>
              <w:left w:val="single" w:color="auto" w:sz="4" w:space="0"/>
              <w:right w:val="single" w:color="auto" w:sz="4" w:space="0"/>
            </w:tcBorders>
          </w:tcPr>
          <w:p>
            <w:pPr>
              <w:widowControl/>
              <w:jc w:val="center"/>
              <w:rPr>
                <w:rFonts w:ascii="仿宋_GB2312" w:hAnsi="宋体" w:eastAsia="仿宋_GB2312"/>
                <w:kern w:val="0"/>
                <w:sz w:val="24"/>
                <w:szCs w:val="24"/>
              </w:rPr>
            </w:pPr>
          </w:p>
        </w:tc>
      </w:tr>
      <w:tr>
        <w:tblPrEx>
          <w:tblCellMar>
            <w:top w:w="0" w:type="dxa"/>
            <w:left w:w="108" w:type="dxa"/>
            <w:bottom w:w="0" w:type="dxa"/>
            <w:right w:w="108" w:type="dxa"/>
          </w:tblCellMar>
        </w:tblPrEx>
        <w:trPr>
          <w:trHeight w:val="571"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7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2190" w:type="dxa"/>
            <w:vMerge w:val="continue"/>
            <w:tcBorders>
              <w:left w:val="single" w:color="auto" w:sz="4" w:space="0"/>
              <w:bottom w:val="single" w:color="auto" w:sz="4" w:space="0"/>
              <w:right w:val="single" w:color="auto" w:sz="4" w:space="0"/>
            </w:tcBorders>
          </w:tcPr>
          <w:p>
            <w:pPr>
              <w:widowControl/>
              <w:jc w:val="center"/>
              <w:rPr>
                <w:rFonts w:ascii="仿宋_GB2312" w:hAnsi="宋体" w:eastAsia="仿宋_GB2312"/>
                <w:kern w:val="0"/>
                <w:sz w:val="24"/>
                <w:szCs w:val="24"/>
              </w:rPr>
            </w:pPr>
          </w:p>
        </w:tc>
      </w:tr>
      <w:tr>
        <w:tblPrEx>
          <w:tblCellMar>
            <w:top w:w="0" w:type="dxa"/>
            <w:left w:w="108" w:type="dxa"/>
            <w:bottom w:w="0" w:type="dxa"/>
            <w:right w:w="108" w:type="dxa"/>
          </w:tblCellMar>
        </w:tblPrEx>
        <w:trPr>
          <w:trHeight w:val="705" w:hRule="atLeast"/>
          <w:jc w:val="center"/>
        </w:trPr>
        <w:tc>
          <w:tcPr>
            <w:tcW w:w="2752" w:type="dxa"/>
            <w:gridSpan w:val="2"/>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kern w:val="0"/>
                <w:sz w:val="24"/>
                <w:szCs w:val="24"/>
              </w:rPr>
            </w:pPr>
            <w:r>
              <w:rPr>
                <w:rFonts w:hint="eastAsia" w:ascii="仿宋_GB2312" w:hAnsi="宋体" w:eastAsia="仿宋_GB2312"/>
                <w:kern w:val="0"/>
                <w:sz w:val="24"/>
                <w:szCs w:val="24"/>
              </w:rPr>
              <w:t>投标总报价（元）</w:t>
            </w:r>
          </w:p>
        </w:tc>
        <w:tc>
          <w:tcPr>
            <w:tcW w:w="702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4"/>
                <w:szCs w:val="24"/>
              </w:rPr>
            </w:pPr>
            <w:r>
              <w:rPr>
                <w:rFonts w:hint="eastAsia" w:ascii="仿宋_GB2312" w:hAnsi="宋体" w:eastAsia="仿宋_GB2312"/>
                <w:kern w:val="0"/>
                <w:sz w:val="24"/>
                <w:szCs w:val="24"/>
              </w:rPr>
              <w:t>小写：</w:t>
            </w:r>
          </w:p>
        </w:tc>
      </w:tr>
      <w:tr>
        <w:tblPrEx>
          <w:tblCellMar>
            <w:top w:w="0" w:type="dxa"/>
            <w:left w:w="108" w:type="dxa"/>
            <w:bottom w:w="0" w:type="dxa"/>
            <w:right w:w="108" w:type="dxa"/>
          </w:tblCellMar>
        </w:tblPrEx>
        <w:trPr>
          <w:trHeight w:val="683" w:hRule="atLeast"/>
          <w:jc w:val="center"/>
        </w:trPr>
        <w:tc>
          <w:tcPr>
            <w:tcW w:w="2752" w:type="dxa"/>
            <w:gridSpan w:val="2"/>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4"/>
                <w:szCs w:val="24"/>
              </w:rPr>
            </w:pPr>
          </w:p>
        </w:tc>
        <w:tc>
          <w:tcPr>
            <w:tcW w:w="702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4"/>
                <w:szCs w:val="24"/>
              </w:rPr>
            </w:pPr>
            <w:r>
              <w:rPr>
                <w:rFonts w:hint="eastAsia" w:ascii="仿宋_GB2312" w:hAnsi="宋体" w:eastAsia="仿宋_GB2312"/>
                <w:kern w:val="0"/>
                <w:sz w:val="24"/>
                <w:szCs w:val="24"/>
              </w:rPr>
              <w:t>大写：</w:t>
            </w:r>
          </w:p>
        </w:tc>
      </w:tr>
    </w:tbl>
    <w:p>
      <w:pPr>
        <w:pStyle w:val="63"/>
        <w:spacing w:line="440" w:lineRule="exact"/>
        <w:ind w:left="210" w:leftChars="-86" w:hanging="391" w:hangingChars="163"/>
        <w:jc w:val="both"/>
        <w:rPr>
          <w:rFonts w:ascii="仿宋_GB2312" w:hAnsi="宋体" w:eastAsia="仿宋_GB2312"/>
          <w:color w:val="auto"/>
          <w:u w:val="single"/>
        </w:rPr>
      </w:pPr>
    </w:p>
    <w:p>
      <w:pPr>
        <w:pStyle w:val="63"/>
        <w:spacing w:line="360" w:lineRule="auto"/>
        <w:rPr>
          <w:rFonts w:ascii="仿宋_GB2312" w:hAnsi="宋体" w:eastAsia="仿宋_GB2312"/>
          <w:color w:val="auto"/>
          <w:u w:val="single"/>
        </w:rPr>
      </w:pPr>
      <w:r>
        <w:rPr>
          <w:rFonts w:hint="eastAsia" w:ascii="仿宋_GB2312" w:hAnsi="宋体" w:eastAsia="仿宋_GB2312"/>
          <w:color w:val="auto"/>
        </w:rPr>
        <w:t>供应商名称（公章）：</w:t>
      </w:r>
    </w:p>
    <w:p>
      <w:pPr>
        <w:pStyle w:val="63"/>
        <w:spacing w:line="360" w:lineRule="auto"/>
        <w:rPr>
          <w:rFonts w:ascii="仿宋_GB2312" w:hAnsi="宋体" w:eastAsia="仿宋_GB2312"/>
          <w:color w:val="auto"/>
          <w:u w:val="single"/>
        </w:rPr>
      </w:pPr>
    </w:p>
    <w:p>
      <w:pPr>
        <w:pStyle w:val="63"/>
        <w:spacing w:line="360" w:lineRule="auto"/>
        <w:rPr>
          <w:rFonts w:ascii="仿宋_GB2312" w:hAnsi="宋体" w:eastAsia="仿宋_GB2312"/>
          <w:color w:val="auto"/>
          <w:u w:val="single"/>
        </w:rPr>
      </w:pPr>
      <w:r>
        <w:rPr>
          <w:rFonts w:hint="eastAsia" w:ascii="仿宋_GB2312" w:hAnsi="宋体" w:eastAsia="仿宋_GB2312"/>
          <w:color w:val="auto"/>
        </w:rPr>
        <w:t>供应商法人授权代表签字（盖章）：</w:t>
      </w:r>
    </w:p>
    <w:p>
      <w:pPr>
        <w:pStyle w:val="63"/>
        <w:spacing w:line="360" w:lineRule="auto"/>
        <w:ind w:firstLine="640"/>
        <w:rPr>
          <w:rFonts w:ascii="仿宋_GB2312" w:hAnsi="宋体" w:eastAsia="仿宋_GB2312"/>
          <w:color w:val="auto"/>
          <w:u w:val="single"/>
        </w:rPr>
      </w:pPr>
    </w:p>
    <w:p>
      <w:pPr>
        <w:pStyle w:val="63"/>
        <w:spacing w:line="440" w:lineRule="exact"/>
        <w:ind w:left="195" w:leftChars="-36" w:hanging="271" w:hangingChars="113"/>
        <w:jc w:val="both"/>
        <w:rPr>
          <w:rFonts w:ascii="仿宋_GB2312" w:hAnsi="宋体" w:eastAsia="仿宋_GB2312"/>
          <w:b/>
          <w:color w:val="auto"/>
          <w:sz w:val="32"/>
          <w:szCs w:val="32"/>
        </w:rPr>
      </w:pPr>
      <w:r>
        <w:rPr>
          <w:rFonts w:hint="eastAsia" w:ascii="仿宋_GB2312" w:hAnsi="宋体" w:eastAsia="仿宋_GB2312"/>
        </w:rPr>
        <w:t>日期：20</w:t>
      </w:r>
      <w:r>
        <w:rPr>
          <w:rFonts w:hint="eastAsia" w:ascii="仿宋_GB2312" w:hAnsi="宋体" w:eastAsia="仿宋_GB2312"/>
          <w:lang w:val="en-US" w:eastAsia="zh-CN"/>
        </w:rPr>
        <w:t>23</w:t>
      </w:r>
      <w:r>
        <w:rPr>
          <w:rFonts w:hint="eastAsia" w:ascii="仿宋_GB2312" w:hAnsi="宋体" w:eastAsia="仿宋_GB2312"/>
        </w:rPr>
        <w:t>年</w:t>
      </w:r>
      <w:r>
        <w:rPr>
          <w:rFonts w:hint="eastAsia" w:ascii="仿宋_GB2312" w:hAnsi="宋体" w:eastAsia="仿宋_GB2312"/>
          <w:u w:val="single"/>
        </w:rPr>
        <w:t>　</w:t>
      </w:r>
      <w:r>
        <w:rPr>
          <w:rFonts w:hint="eastAsia" w:ascii="仿宋_GB2312" w:hAnsi="宋体" w:eastAsia="仿宋_GB2312"/>
        </w:rPr>
        <w:t>月</w:t>
      </w:r>
      <w:r>
        <w:rPr>
          <w:rFonts w:hint="eastAsia" w:ascii="仿宋_GB2312" w:hAnsi="宋体" w:eastAsia="仿宋_GB2312"/>
          <w:u w:val="single"/>
        </w:rPr>
        <w:t>　</w:t>
      </w:r>
      <w:r>
        <w:rPr>
          <w:rFonts w:hint="eastAsia" w:ascii="仿宋_GB2312" w:hAnsi="宋体" w:eastAsia="仿宋_GB2312"/>
        </w:rPr>
        <w:t>日</w:t>
      </w:r>
    </w:p>
    <w:p>
      <w:pPr>
        <w:pStyle w:val="63"/>
        <w:spacing w:line="440" w:lineRule="exact"/>
        <w:jc w:val="both"/>
        <w:rPr>
          <w:rFonts w:ascii="仿宋_GB2312" w:hAnsi="宋体" w:eastAsia="仿宋_GB2312"/>
          <w:b/>
          <w:color w:val="auto"/>
          <w:sz w:val="32"/>
          <w:szCs w:val="32"/>
        </w:rPr>
      </w:pPr>
    </w:p>
    <w:p>
      <w:pPr>
        <w:pStyle w:val="63"/>
        <w:spacing w:line="440" w:lineRule="exact"/>
        <w:jc w:val="both"/>
        <w:rPr>
          <w:rFonts w:ascii="仿宋_GB2312" w:hAnsi="宋体" w:eastAsia="仿宋_GB2312"/>
          <w:b/>
          <w:color w:val="auto"/>
          <w:sz w:val="32"/>
          <w:szCs w:val="32"/>
        </w:rPr>
      </w:pPr>
    </w:p>
    <w:p>
      <w:pPr>
        <w:pStyle w:val="63"/>
        <w:spacing w:line="440" w:lineRule="exact"/>
        <w:ind w:left="287" w:leftChars="-36" w:hanging="363" w:hangingChars="113"/>
        <w:jc w:val="both"/>
        <w:rPr>
          <w:rFonts w:ascii="仿宋_GB2312" w:hAnsi="宋体" w:eastAsia="仿宋_GB2312"/>
          <w:b/>
          <w:color w:val="auto"/>
          <w:sz w:val="30"/>
          <w:szCs w:val="30"/>
        </w:rPr>
      </w:pPr>
      <w:r>
        <w:rPr>
          <w:rFonts w:hint="eastAsia" w:ascii="仿宋_GB2312" w:hAnsi="宋体" w:eastAsia="仿宋_GB2312"/>
          <w:b/>
          <w:color w:val="auto"/>
          <w:sz w:val="32"/>
          <w:szCs w:val="32"/>
        </w:rPr>
        <w:t>（附件七）</w:t>
      </w:r>
    </w:p>
    <w:p>
      <w:pPr>
        <w:spacing w:line="360" w:lineRule="auto"/>
        <w:jc w:val="center"/>
        <w:rPr>
          <w:rFonts w:ascii="仿宋_GB2312" w:hAnsi="宋体" w:eastAsia="仿宋_GB2312"/>
          <w:b/>
          <w:sz w:val="30"/>
          <w:szCs w:val="30"/>
        </w:rPr>
      </w:pPr>
      <w:r>
        <w:rPr>
          <w:rFonts w:hint="eastAsia" w:ascii="仿宋_GB2312" w:hAnsi="宋体" w:eastAsia="仿宋_GB2312"/>
          <w:b/>
          <w:sz w:val="30"/>
          <w:szCs w:val="30"/>
        </w:rPr>
        <w:t>关于资格的声明函</w:t>
      </w:r>
    </w:p>
    <w:p>
      <w:pPr>
        <w:spacing w:line="360" w:lineRule="auto"/>
        <w:rPr>
          <w:rFonts w:ascii="仿宋_GB2312" w:hAnsi="宋体" w:eastAsia="仿宋_GB2312"/>
          <w:b/>
          <w:sz w:val="30"/>
          <w:szCs w:val="30"/>
        </w:rPr>
      </w:pPr>
    </w:p>
    <w:p>
      <w:pPr>
        <w:pStyle w:val="12"/>
        <w:spacing w:line="360" w:lineRule="auto"/>
        <w:rPr>
          <w:rFonts w:ascii="仿宋_GB2312" w:eastAsia="仿宋_GB2312"/>
          <w:sz w:val="24"/>
        </w:rPr>
      </w:pPr>
      <w:r>
        <w:rPr>
          <w:rFonts w:hint="eastAsia" w:ascii="仿宋_GB2312" w:eastAsia="仿宋_GB2312"/>
          <w:sz w:val="24"/>
        </w:rPr>
        <w:t>致：</w:t>
      </w:r>
      <w:r>
        <w:rPr>
          <w:rFonts w:hint="eastAsia" w:ascii="仿宋_GB2312" w:eastAsia="仿宋_GB2312"/>
          <w:sz w:val="24"/>
          <w:lang w:eastAsia="zh-CN"/>
        </w:rPr>
        <w:t>新疆昌盛方略项目管理有限公司</w:t>
      </w:r>
      <w:r>
        <w:rPr>
          <w:rFonts w:hint="eastAsia" w:ascii="仿宋_GB2312" w:eastAsia="仿宋_GB2312"/>
          <w:sz w:val="24"/>
        </w:rPr>
        <w:t>：</w:t>
      </w:r>
    </w:p>
    <w:p>
      <w:pPr>
        <w:pStyle w:val="12"/>
        <w:spacing w:line="360" w:lineRule="auto"/>
        <w:ind w:firstLine="480" w:firstLineChars="200"/>
        <w:rPr>
          <w:rFonts w:ascii="仿宋_GB2312" w:eastAsia="仿宋_GB2312"/>
          <w:sz w:val="24"/>
        </w:rPr>
      </w:pPr>
      <w:r>
        <w:rPr>
          <w:rFonts w:hint="eastAsia" w:ascii="仿宋_GB2312" w:eastAsia="仿宋_GB2312"/>
          <w:sz w:val="24"/>
        </w:rPr>
        <w:t>关于贵方20</w:t>
      </w:r>
      <w:r>
        <w:rPr>
          <w:rFonts w:hint="eastAsia" w:ascii="仿宋_GB2312" w:eastAsia="仿宋_GB2312"/>
          <w:sz w:val="24"/>
          <w:u w:val="single"/>
        </w:rPr>
        <w:t>　　</w:t>
      </w:r>
      <w:r>
        <w:rPr>
          <w:rFonts w:hint="eastAsia" w:ascii="仿宋_GB2312" w:eastAsia="仿宋_GB2312"/>
          <w:sz w:val="24"/>
        </w:rPr>
        <w:t>年</w:t>
      </w:r>
      <w:r>
        <w:rPr>
          <w:rFonts w:hint="eastAsia" w:ascii="仿宋_GB2312" w:eastAsia="仿宋_GB2312"/>
          <w:sz w:val="24"/>
          <w:u w:val="single"/>
        </w:rPr>
        <w:t>　　</w:t>
      </w:r>
      <w:r>
        <w:rPr>
          <w:rFonts w:hint="eastAsia" w:ascii="仿宋_GB2312" w:eastAsia="仿宋_GB2312"/>
          <w:sz w:val="24"/>
        </w:rPr>
        <w:t>月</w:t>
      </w:r>
      <w:r>
        <w:rPr>
          <w:rFonts w:hint="eastAsia" w:ascii="仿宋_GB2312" w:eastAsia="仿宋_GB2312"/>
          <w:sz w:val="24"/>
          <w:u w:val="single"/>
        </w:rPr>
        <w:t>　　</w:t>
      </w:r>
      <w:r>
        <w:rPr>
          <w:rFonts w:hint="eastAsia" w:ascii="仿宋_GB2312" w:eastAsia="仿宋_GB2312"/>
          <w:sz w:val="24"/>
        </w:rPr>
        <w:t>日第</w:t>
      </w:r>
      <w:r>
        <w:rPr>
          <w:rFonts w:hint="eastAsia" w:ascii="仿宋_GB2312" w:eastAsia="仿宋_GB2312"/>
          <w:sz w:val="24"/>
          <w:u w:val="single"/>
        </w:rPr>
        <w:t>（招标编号）</w:t>
      </w:r>
      <w:r>
        <w:rPr>
          <w:rFonts w:hint="eastAsia" w:ascii="仿宋_GB2312" w:eastAsia="仿宋_GB2312"/>
          <w:sz w:val="24"/>
        </w:rPr>
        <w:t>招标公告关于</w:t>
      </w:r>
      <w:r>
        <w:rPr>
          <w:rFonts w:hint="eastAsia" w:ascii="仿宋_GB2312" w:eastAsia="仿宋_GB2312"/>
          <w:sz w:val="24"/>
          <w:u w:val="single"/>
        </w:rPr>
        <w:t>“　　　　　　　　”</w:t>
      </w:r>
      <w:r>
        <w:rPr>
          <w:rFonts w:hint="eastAsia" w:ascii="仿宋_GB2312" w:eastAsia="仿宋_GB2312"/>
          <w:sz w:val="24"/>
        </w:rPr>
        <w:t>的招标项目，本签字人愿意参加投标，并有能力提供</w:t>
      </w:r>
      <w:r>
        <w:rPr>
          <w:rFonts w:hint="eastAsia" w:ascii="仿宋_GB2312" w:eastAsia="仿宋_GB2312"/>
          <w:sz w:val="24"/>
          <w:u w:val="single"/>
        </w:rPr>
        <w:t>（项目名称）</w:t>
      </w:r>
      <w:r>
        <w:rPr>
          <w:rFonts w:hint="eastAsia" w:ascii="仿宋_GB2312" w:eastAsia="仿宋_GB2312"/>
          <w:sz w:val="24"/>
        </w:rPr>
        <w:t>项目中的（</w:t>
      </w:r>
      <w:r>
        <w:rPr>
          <w:rFonts w:hint="eastAsia" w:ascii="仿宋_GB2312" w:eastAsia="仿宋_GB2312"/>
          <w:sz w:val="24"/>
          <w:u w:val="single"/>
        </w:rPr>
        <w:t>招标包号及内容）</w:t>
      </w:r>
      <w:r>
        <w:rPr>
          <w:rFonts w:hint="eastAsia" w:ascii="仿宋_GB2312" w:eastAsia="仿宋_GB2312"/>
          <w:sz w:val="24"/>
        </w:rPr>
        <w:t>招标服务及相关服务，并保证所提交的所有文件和说明是真实和准确的。</w:t>
      </w:r>
    </w:p>
    <w:p>
      <w:pPr>
        <w:pStyle w:val="12"/>
        <w:spacing w:line="360" w:lineRule="auto"/>
        <w:rPr>
          <w:rFonts w:ascii="仿宋_GB2312" w:eastAsia="仿宋_GB2312"/>
          <w:sz w:val="24"/>
          <w:u w:val="single"/>
        </w:rPr>
      </w:pPr>
      <w:r>
        <w:rPr>
          <w:rFonts w:hint="eastAsia" w:ascii="仿宋_GB2312" w:eastAsia="仿宋_GB2312"/>
          <w:sz w:val="24"/>
        </w:rPr>
        <w:t>供应商：</w:t>
      </w:r>
      <w:r>
        <w:rPr>
          <w:rFonts w:hint="eastAsia" w:ascii="仿宋_GB2312" w:eastAsia="仿宋_GB2312"/>
          <w:sz w:val="24"/>
          <w:u w:val="single"/>
        </w:rPr>
        <w:t>　供应商名称　</w:t>
      </w:r>
      <w:r>
        <w:rPr>
          <w:rFonts w:hint="eastAsia" w:ascii="仿宋_GB2312" w:eastAsia="仿宋_GB2312"/>
          <w:sz w:val="24"/>
        </w:rPr>
        <w:t>　签字人姓名、职务：</w:t>
      </w:r>
    </w:p>
    <w:p>
      <w:pPr>
        <w:pStyle w:val="12"/>
        <w:spacing w:line="360" w:lineRule="auto"/>
        <w:rPr>
          <w:rFonts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　　　　　　　　　　　　</w:t>
      </w:r>
      <w:r>
        <w:rPr>
          <w:rFonts w:hint="eastAsia" w:ascii="仿宋_GB2312" w:eastAsia="仿宋_GB2312"/>
          <w:sz w:val="24"/>
        </w:rPr>
        <w:t>　受权签署本资格文件人：</w:t>
      </w:r>
      <w:r>
        <w:rPr>
          <w:rFonts w:hint="eastAsia" w:ascii="仿宋_GB2312" w:eastAsia="仿宋_GB2312"/>
          <w:sz w:val="24"/>
          <w:u w:val="single"/>
        </w:rPr>
        <w:t>授权人姓名</w:t>
      </w:r>
    </w:p>
    <w:p>
      <w:pPr>
        <w:pStyle w:val="12"/>
        <w:spacing w:line="360" w:lineRule="auto"/>
        <w:rPr>
          <w:rFonts w:ascii="仿宋_GB2312" w:eastAsia="仿宋_GB2312"/>
          <w:sz w:val="24"/>
        </w:rPr>
      </w:pPr>
      <w:r>
        <w:rPr>
          <w:rFonts w:hint="eastAsia" w:ascii="仿宋_GB2312" w:eastAsia="仿宋_GB2312"/>
          <w:sz w:val="24"/>
        </w:rPr>
        <w:t>传真：</w:t>
      </w:r>
      <w:r>
        <w:rPr>
          <w:rFonts w:hint="eastAsia" w:ascii="仿宋_GB2312" w:eastAsia="仿宋_GB2312"/>
          <w:sz w:val="24"/>
          <w:u w:val="single"/>
        </w:rPr>
        <w:t>　　　　　　</w:t>
      </w:r>
      <w:r>
        <w:rPr>
          <w:rFonts w:hint="eastAsia" w:ascii="仿宋_GB2312" w:eastAsia="仿宋_GB2312"/>
          <w:sz w:val="24"/>
        </w:rPr>
        <w:t>　　　　　　　　　　　　　</w:t>
      </w:r>
    </w:p>
    <w:p>
      <w:pPr>
        <w:pStyle w:val="12"/>
        <w:spacing w:line="360" w:lineRule="auto"/>
        <w:rPr>
          <w:rFonts w:ascii="仿宋_GB2312" w:eastAsia="仿宋_GB2312"/>
          <w:sz w:val="24"/>
          <w:u w:val="single"/>
        </w:rPr>
      </w:pPr>
      <w:r>
        <w:rPr>
          <w:rFonts w:hint="eastAsia" w:ascii="仿宋_GB2312" w:eastAsia="仿宋_GB2312"/>
          <w:sz w:val="24"/>
        </w:rPr>
        <w:t>邮编：</w:t>
      </w:r>
      <w:r>
        <w:rPr>
          <w:rFonts w:hint="eastAsia" w:ascii="仿宋_GB2312" w:eastAsia="仿宋_GB2312"/>
          <w:sz w:val="24"/>
          <w:u w:val="single"/>
        </w:rPr>
        <w:t>　　　　　　　　　　　　</w:t>
      </w:r>
      <w:r>
        <w:rPr>
          <w:rFonts w:hint="eastAsia" w:ascii="仿宋_GB2312" w:eastAsia="仿宋_GB2312"/>
          <w:sz w:val="24"/>
        </w:rPr>
        <w:t>　电话：</w:t>
      </w:r>
      <w:r>
        <w:rPr>
          <w:rFonts w:hint="eastAsia" w:ascii="仿宋_GB2312" w:eastAsia="仿宋_GB2312"/>
          <w:sz w:val="24"/>
          <w:u w:val="single"/>
        </w:rPr>
        <w:t>　　　　　　　　</w:t>
      </w:r>
    </w:p>
    <w:p>
      <w:pPr>
        <w:pStyle w:val="12"/>
        <w:spacing w:line="360" w:lineRule="auto"/>
        <w:rPr>
          <w:rFonts w:ascii="仿宋_GB2312" w:eastAsia="仿宋_GB2312"/>
          <w:sz w:val="24"/>
          <w:u w:val="single"/>
        </w:rPr>
      </w:pPr>
      <w:r>
        <w:rPr>
          <w:rFonts w:hint="eastAsia" w:ascii="仿宋_GB2312" w:eastAsia="仿宋_GB2312"/>
          <w:sz w:val="24"/>
        </w:rPr>
        <w:t>盖章：</w:t>
      </w:r>
    </w:p>
    <w:p>
      <w:pPr>
        <w:pStyle w:val="13"/>
        <w:spacing w:line="360" w:lineRule="auto"/>
        <w:rPr>
          <w:rFonts w:ascii="仿宋_GB2312" w:hAnsi="宋体" w:eastAsia="仿宋_GB2312"/>
          <w:sz w:val="24"/>
          <w:szCs w:val="24"/>
        </w:rPr>
      </w:pPr>
    </w:p>
    <w:p>
      <w:pPr>
        <w:pStyle w:val="13"/>
        <w:spacing w:line="360" w:lineRule="auto"/>
        <w:jc w:val="center"/>
        <w:rPr>
          <w:rFonts w:ascii="仿宋_GB2312" w:hAnsi="宋体" w:eastAsia="仿宋_GB2312"/>
          <w:sz w:val="24"/>
          <w:szCs w:val="24"/>
        </w:rPr>
      </w:pPr>
    </w:p>
    <w:p>
      <w:pPr>
        <w:pStyle w:val="13"/>
        <w:spacing w:line="360" w:lineRule="auto"/>
        <w:jc w:val="center"/>
        <w:rPr>
          <w:rFonts w:ascii="仿宋_GB2312" w:hAnsi="宋体" w:eastAsia="仿宋_GB2312"/>
          <w:bCs/>
          <w:sz w:val="24"/>
          <w:szCs w:val="24"/>
        </w:rPr>
      </w:pPr>
      <w:r>
        <w:rPr>
          <w:rFonts w:hint="eastAsia" w:ascii="仿宋_GB2312" w:hAnsi="宋体" w:eastAsia="仿宋_GB2312"/>
          <w:sz w:val="24"/>
          <w:szCs w:val="24"/>
        </w:rPr>
        <w:t>　　　　　　　　　　　　　　　　　　</w:t>
      </w:r>
      <w:r>
        <w:rPr>
          <w:rFonts w:hint="eastAsia" w:ascii="仿宋_GB2312" w:hAnsi="宋体" w:eastAsia="仿宋_GB2312"/>
          <w:bCs/>
          <w:sz w:val="24"/>
          <w:szCs w:val="24"/>
        </w:rPr>
        <w:t>20</w:t>
      </w:r>
      <w:r>
        <w:rPr>
          <w:rFonts w:hint="eastAsia" w:ascii="仿宋_GB2312" w:hAnsi="宋体" w:eastAsia="仿宋_GB2312"/>
          <w:bCs/>
          <w:sz w:val="24"/>
          <w:szCs w:val="24"/>
          <w:u w:val="single"/>
        </w:rPr>
        <w:t>　　</w:t>
      </w:r>
      <w:r>
        <w:rPr>
          <w:rFonts w:hint="eastAsia" w:ascii="仿宋_GB2312" w:hAnsi="宋体" w:eastAsia="仿宋_GB2312"/>
          <w:bCs/>
          <w:sz w:val="24"/>
          <w:szCs w:val="24"/>
        </w:rPr>
        <w:t>年</w:t>
      </w:r>
      <w:r>
        <w:rPr>
          <w:rFonts w:hint="eastAsia" w:ascii="仿宋_GB2312" w:hAnsi="宋体" w:eastAsia="仿宋_GB2312"/>
          <w:bCs/>
          <w:sz w:val="24"/>
          <w:szCs w:val="24"/>
          <w:u w:val="single"/>
        </w:rPr>
        <w:t>　</w:t>
      </w:r>
      <w:r>
        <w:rPr>
          <w:rFonts w:hint="eastAsia" w:ascii="仿宋_GB2312" w:hAnsi="宋体" w:eastAsia="仿宋_GB2312"/>
          <w:bCs/>
          <w:sz w:val="24"/>
          <w:szCs w:val="24"/>
        </w:rPr>
        <w:t>月</w:t>
      </w:r>
      <w:r>
        <w:rPr>
          <w:rFonts w:hint="eastAsia" w:ascii="仿宋_GB2312" w:hAnsi="宋体" w:eastAsia="仿宋_GB2312"/>
          <w:bCs/>
          <w:sz w:val="24"/>
          <w:szCs w:val="24"/>
          <w:u w:val="single"/>
        </w:rPr>
        <w:t>　</w:t>
      </w:r>
      <w:r>
        <w:rPr>
          <w:rFonts w:hint="eastAsia" w:ascii="仿宋_GB2312" w:hAnsi="宋体" w:eastAsia="仿宋_GB2312"/>
          <w:bCs/>
          <w:sz w:val="24"/>
          <w:szCs w:val="24"/>
        </w:rPr>
        <w:t>日</w:t>
      </w:r>
    </w:p>
    <w:p>
      <w:pPr>
        <w:pStyle w:val="13"/>
        <w:spacing w:line="360" w:lineRule="auto"/>
        <w:rPr>
          <w:rFonts w:ascii="仿宋_GB2312" w:hAnsi="宋体" w:eastAsia="仿宋_GB2312"/>
          <w:bCs/>
          <w:sz w:val="24"/>
          <w:szCs w:val="24"/>
        </w:rPr>
      </w:pPr>
    </w:p>
    <w:p>
      <w:pPr>
        <w:pStyle w:val="13"/>
        <w:spacing w:line="360" w:lineRule="auto"/>
        <w:rPr>
          <w:rFonts w:ascii="仿宋_GB2312" w:hAnsi="宋体" w:eastAsia="仿宋_GB2312"/>
          <w:bCs/>
          <w:sz w:val="24"/>
          <w:szCs w:val="24"/>
        </w:rPr>
      </w:pPr>
    </w:p>
    <w:p>
      <w:pPr>
        <w:pStyle w:val="13"/>
        <w:spacing w:line="360" w:lineRule="auto"/>
        <w:rPr>
          <w:rFonts w:ascii="仿宋_GB2312" w:hAnsi="宋体" w:eastAsia="仿宋_GB2312"/>
          <w:bCs/>
          <w:sz w:val="24"/>
          <w:szCs w:val="24"/>
        </w:rPr>
      </w:pPr>
    </w:p>
    <w:p>
      <w:pPr>
        <w:pStyle w:val="13"/>
        <w:spacing w:line="360" w:lineRule="auto"/>
        <w:rPr>
          <w:rFonts w:ascii="仿宋_GB2312" w:hAnsi="宋体" w:eastAsia="仿宋_GB2312"/>
          <w:bCs/>
          <w:sz w:val="24"/>
          <w:szCs w:val="24"/>
        </w:rPr>
      </w:pPr>
    </w:p>
    <w:p>
      <w:pPr>
        <w:pStyle w:val="13"/>
        <w:spacing w:line="360" w:lineRule="auto"/>
        <w:rPr>
          <w:rFonts w:ascii="仿宋_GB2312" w:hAnsi="宋体" w:eastAsia="仿宋_GB2312"/>
          <w:bCs/>
          <w:sz w:val="24"/>
          <w:szCs w:val="24"/>
        </w:rPr>
      </w:pPr>
    </w:p>
    <w:p>
      <w:pPr>
        <w:pStyle w:val="13"/>
        <w:spacing w:line="360" w:lineRule="auto"/>
        <w:rPr>
          <w:rFonts w:ascii="仿宋_GB2312" w:hAnsi="宋体" w:eastAsia="仿宋_GB2312"/>
          <w:bCs/>
          <w:sz w:val="24"/>
          <w:szCs w:val="24"/>
        </w:rPr>
      </w:pPr>
    </w:p>
    <w:p>
      <w:pPr>
        <w:pStyle w:val="13"/>
        <w:spacing w:line="360" w:lineRule="auto"/>
        <w:rPr>
          <w:rFonts w:ascii="仿宋_GB2312" w:hAnsi="宋体" w:eastAsia="仿宋_GB2312"/>
          <w:bCs/>
          <w:sz w:val="24"/>
          <w:szCs w:val="24"/>
        </w:rPr>
      </w:pPr>
    </w:p>
    <w:p>
      <w:pPr>
        <w:pStyle w:val="14"/>
        <w:rPr>
          <w:rFonts w:ascii="仿宋_GB2312" w:hAnsi="宋体" w:eastAsia="仿宋_GB2312"/>
          <w:bCs/>
          <w:sz w:val="24"/>
          <w:szCs w:val="24"/>
        </w:rPr>
      </w:pPr>
    </w:p>
    <w:p>
      <w:pPr>
        <w:rPr>
          <w:rFonts w:ascii="仿宋_GB2312" w:hAnsi="宋体" w:eastAsia="仿宋_GB2312"/>
          <w:bCs/>
          <w:sz w:val="24"/>
          <w:szCs w:val="24"/>
        </w:rPr>
      </w:pPr>
    </w:p>
    <w:p>
      <w:pPr>
        <w:pStyle w:val="11"/>
      </w:pPr>
    </w:p>
    <w:p>
      <w:pPr>
        <w:spacing w:line="440" w:lineRule="exact"/>
        <w:jc w:val="left"/>
        <w:rPr>
          <w:rFonts w:hint="eastAsia" w:ascii="仿宋_GB2312" w:hAnsi="宋体" w:eastAsia="仿宋_GB2312"/>
          <w:b/>
          <w:sz w:val="32"/>
          <w:szCs w:val="32"/>
        </w:rPr>
      </w:pPr>
    </w:p>
    <w:p>
      <w:pPr>
        <w:spacing w:line="440" w:lineRule="exact"/>
        <w:jc w:val="left"/>
        <w:rPr>
          <w:rFonts w:ascii="仿宋_GB2312" w:hAnsi="宋体" w:eastAsia="仿宋_GB2312"/>
          <w:b/>
          <w:sz w:val="32"/>
          <w:szCs w:val="32"/>
        </w:rPr>
      </w:pPr>
      <w:r>
        <w:rPr>
          <w:rFonts w:hint="eastAsia" w:ascii="仿宋_GB2312" w:hAnsi="宋体" w:eastAsia="仿宋_GB2312"/>
          <w:b/>
          <w:sz w:val="32"/>
          <w:szCs w:val="32"/>
        </w:rPr>
        <w:t>（附件</w:t>
      </w:r>
      <w:r>
        <w:rPr>
          <w:rFonts w:hint="eastAsia" w:ascii="仿宋_GB2312" w:hAnsi="宋体" w:eastAsia="仿宋_GB2312"/>
          <w:b/>
          <w:sz w:val="32"/>
          <w:szCs w:val="32"/>
          <w:lang w:val="en-US" w:eastAsia="zh-CN"/>
        </w:rPr>
        <w:t>八</w:t>
      </w:r>
      <w:r>
        <w:rPr>
          <w:rFonts w:hint="eastAsia" w:ascii="仿宋_GB2312" w:hAnsi="宋体" w:eastAsia="仿宋_GB2312"/>
          <w:b/>
          <w:sz w:val="32"/>
          <w:szCs w:val="32"/>
        </w:rPr>
        <w:t>）</w:t>
      </w:r>
    </w:p>
    <w:p>
      <w:pPr>
        <w:spacing w:line="440" w:lineRule="exact"/>
        <w:jc w:val="center"/>
        <w:rPr>
          <w:rFonts w:ascii="仿宋_GB2312" w:hAnsi="宋体" w:eastAsia="仿宋_GB2312"/>
          <w:b/>
          <w:sz w:val="32"/>
          <w:szCs w:val="32"/>
        </w:rPr>
      </w:pPr>
      <w:r>
        <w:rPr>
          <w:rFonts w:hint="eastAsia" w:ascii="仿宋_GB2312" w:hAnsi="宋体" w:eastAsia="仿宋_GB2312"/>
          <w:b/>
          <w:sz w:val="32"/>
          <w:szCs w:val="32"/>
        </w:rPr>
        <w:t>近三年业绩表</w:t>
      </w:r>
    </w:p>
    <w:p>
      <w:pPr>
        <w:spacing w:line="440" w:lineRule="exact"/>
        <w:jc w:val="center"/>
        <w:rPr>
          <w:rFonts w:ascii="仿宋_GB2312" w:hAnsi="宋体" w:eastAsia="仿宋_GB2312"/>
          <w:b/>
          <w:sz w:val="32"/>
          <w:szCs w:val="32"/>
        </w:rPr>
      </w:pPr>
    </w:p>
    <w:p>
      <w:pPr>
        <w:spacing w:line="440" w:lineRule="exact"/>
        <w:rPr>
          <w:rFonts w:ascii="仿宋_GB2312" w:hAnsi="宋体" w:eastAsia="仿宋_GB2312"/>
          <w:sz w:val="24"/>
          <w:u w:val="single"/>
        </w:rPr>
      </w:pPr>
      <w:r>
        <w:rPr>
          <w:rFonts w:hint="eastAsia" w:ascii="仿宋_GB2312" w:hAnsi="宋体" w:eastAsia="仿宋_GB2312"/>
          <w:sz w:val="24"/>
        </w:rPr>
        <w:t>供应商名称（公章）：</w:t>
      </w:r>
      <w:r>
        <w:rPr>
          <w:rFonts w:hint="eastAsia" w:ascii="仿宋_GB2312" w:hAnsi="宋体" w:eastAsia="仿宋_GB2312"/>
          <w:sz w:val="24"/>
          <w:u w:val="single"/>
        </w:rPr>
        <w:t>　　　　　</w:t>
      </w:r>
      <w:r>
        <w:rPr>
          <w:rFonts w:hint="eastAsia" w:ascii="仿宋_GB2312" w:hAnsi="宋体" w:eastAsia="仿宋_GB2312"/>
          <w:sz w:val="24"/>
        </w:rPr>
        <w:t>招标编号/包号：</w:t>
      </w:r>
      <w:r>
        <w:rPr>
          <w:rFonts w:hint="eastAsia" w:ascii="仿宋_GB2312" w:hAnsi="宋体" w:eastAsia="仿宋_GB2312"/>
          <w:sz w:val="24"/>
          <w:u w:val="single"/>
        </w:rPr>
        <w:t>　　　　　　　　　　　</w:t>
      </w:r>
    </w:p>
    <w:p>
      <w:pPr>
        <w:spacing w:line="440" w:lineRule="exact"/>
        <w:ind w:firstLine="1325" w:firstLineChars="550"/>
        <w:rPr>
          <w:rFonts w:ascii="仿宋_GB2312" w:hAnsi="宋体" w:eastAsia="仿宋_GB2312"/>
          <w:b/>
          <w:sz w:val="24"/>
        </w:rPr>
      </w:pPr>
    </w:p>
    <w:tbl>
      <w:tblPr>
        <w:tblStyle w:val="2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3547"/>
        <w:gridCol w:w="203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90" w:type="dxa"/>
            <w:shd w:val="clear" w:color="auto" w:fill="E6E6E6"/>
          </w:tcPr>
          <w:p>
            <w:pPr>
              <w:pStyle w:val="42"/>
              <w:spacing w:line="440" w:lineRule="exact"/>
              <w:jc w:val="center"/>
              <w:rPr>
                <w:rFonts w:ascii="仿宋_GB2312" w:hAnsi="宋体" w:eastAsia="仿宋_GB2312"/>
                <w:color w:val="auto"/>
              </w:rPr>
            </w:pPr>
            <w:r>
              <w:rPr>
                <w:rFonts w:hint="eastAsia" w:ascii="仿宋_GB2312" w:hAnsi="宋体" w:eastAsia="仿宋_GB2312"/>
                <w:color w:val="auto"/>
              </w:rPr>
              <w:t>地　区</w:t>
            </w:r>
          </w:p>
        </w:tc>
        <w:tc>
          <w:tcPr>
            <w:tcW w:w="3547" w:type="dxa"/>
            <w:shd w:val="clear" w:color="auto" w:fill="E6E6E6"/>
          </w:tcPr>
          <w:p>
            <w:pPr>
              <w:pStyle w:val="42"/>
              <w:spacing w:line="440" w:lineRule="exact"/>
              <w:ind w:right="-107" w:rightChars="-51"/>
              <w:jc w:val="center"/>
              <w:rPr>
                <w:rFonts w:ascii="仿宋_GB2312" w:hAnsi="宋体" w:eastAsia="仿宋_GB2312"/>
                <w:color w:val="auto"/>
              </w:rPr>
            </w:pPr>
            <w:r>
              <w:rPr>
                <w:rFonts w:hint="eastAsia" w:ascii="仿宋_GB2312" w:hAnsi="宋体" w:eastAsia="仿宋_GB2312"/>
                <w:color w:val="auto"/>
              </w:rPr>
              <w:t>项目名称</w:t>
            </w:r>
          </w:p>
        </w:tc>
        <w:tc>
          <w:tcPr>
            <w:tcW w:w="2031" w:type="dxa"/>
            <w:shd w:val="clear" w:color="auto" w:fill="E6E6E6"/>
          </w:tcPr>
          <w:p>
            <w:pPr>
              <w:pStyle w:val="42"/>
              <w:spacing w:line="440" w:lineRule="exact"/>
              <w:ind w:firstLine="360" w:firstLineChars="150"/>
              <w:rPr>
                <w:rFonts w:ascii="仿宋_GB2312" w:hAnsi="宋体" w:eastAsia="仿宋_GB2312"/>
                <w:color w:val="auto"/>
              </w:rPr>
            </w:pPr>
            <w:r>
              <w:rPr>
                <w:rFonts w:hint="eastAsia" w:ascii="仿宋_GB2312" w:hAnsi="宋体" w:eastAsia="仿宋_GB2312"/>
                <w:color w:val="auto"/>
              </w:rPr>
              <w:t>金　额</w:t>
            </w:r>
          </w:p>
        </w:tc>
        <w:tc>
          <w:tcPr>
            <w:tcW w:w="1620" w:type="dxa"/>
            <w:shd w:val="clear" w:color="auto" w:fill="E6E6E6"/>
          </w:tcPr>
          <w:p>
            <w:pPr>
              <w:pStyle w:val="42"/>
              <w:spacing w:line="440" w:lineRule="exact"/>
              <w:jc w:val="center"/>
              <w:rPr>
                <w:rFonts w:ascii="仿宋_GB2312" w:hAnsi="宋体" w:eastAsia="仿宋_GB2312"/>
                <w:color w:val="auto"/>
              </w:rPr>
            </w:pPr>
            <w:r>
              <w:rPr>
                <w:rFonts w:hint="eastAsia" w:ascii="仿宋_GB2312" w:hAnsi="宋体" w:eastAsia="仿宋_GB2312"/>
                <w:color w:val="auto"/>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90" w:type="dxa"/>
          </w:tcPr>
          <w:p>
            <w:pPr>
              <w:spacing w:line="440" w:lineRule="exact"/>
              <w:rPr>
                <w:rFonts w:ascii="仿宋_GB2312" w:hAnsi="宋体" w:eastAsia="仿宋_GB2312"/>
                <w:sz w:val="24"/>
              </w:rPr>
            </w:pPr>
          </w:p>
        </w:tc>
        <w:tc>
          <w:tcPr>
            <w:tcW w:w="3547" w:type="dxa"/>
          </w:tcPr>
          <w:p>
            <w:pPr>
              <w:spacing w:line="440" w:lineRule="exact"/>
              <w:rPr>
                <w:rFonts w:ascii="仿宋_GB2312" w:hAnsi="宋体" w:eastAsia="仿宋_GB2312"/>
                <w:sz w:val="24"/>
              </w:rPr>
            </w:pPr>
          </w:p>
        </w:tc>
        <w:tc>
          <w:tcPr>
            <w:tcW w:w="2031" w:type="dxa"/>
          </w:tcPr>
          <w:p>
            <w:pPr>
              <w:spacing w:line="440" w:lineRule="exact"/>
              <w:rPr>
                <w:rFonts w:ascii="仿宋_GB2312" w:hAnsi="宋体" w:eastAsia="仿宋_GB2312"/>
                <w:sz w:val="24"/>
              </w:rPr>
            </w:pPr>
          </w:p>
        </w:tc>
        <w:tc>
          <w:tcPr>
            <w:tcW w:w="1620" w:type="dxa"/>
          </w:tcPr>
          <w:p>
            <w:pPr>
              <w:spacing w:line="44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90" w:type="dxa"/>
          </w:tcPr>
          <w:p>
            <w:pPr>
              <w:spacing w:line="440" w:lineRule="exact"/>
              <w:rPr>
                <w:rFonts w:ascii="仿宋_GB2312" w:hAnsi="宋体" w:eastAsia="仿宋_GB2312"/>
                <w:sz w:val="24"/>
              </w:rPr>
            </w:pPr>
          </w:p>
        </w:tc>
        <w:tc>
          <w:tcPr>
            <w:tcW w:w="3547" w:type="dxa"/>
          </w:tcPr>
          <w:p>
            <w:pPr>
              <w:spacing w:line="440" w:lineRule="exact"/>
              <w:rPr>
                <w:rFonts w:ascii="仿宋_GB2312" w:hAnsi="宋体" w:eastAsia="仿宋_GB2312"/>
                <w:sz w:val="24"/>
              </w:rPr>
            </w:pPr>
          </w:p>
        </w:tc>
        <w:tc>
          <w:tcPr>
            <w:tcW w:w="2031" w:type="dxa"/>
          </w:tcPr>
          <w:p>
            <w:pPr>
              <w:spacing w:line="440" w:lineRule="exact"/>
              <w:rPr>
                <w:rFonts w:ascii="仿宋_GB2312" w:hAnsi="宋体" w:eastAsia="仿宋_GB2312"/>
                <w:sz w:val="24"/>
              </w:rPr>
            </w:pPr>
          </w:p>
        </w:tc>
        <w:tc>
          <w:tcPr>
            <w:tcW w:w="1620" w:type="dxa"/>
          </w:tcPr>
          <w:p>
            <w:pPr>
              <w:spacing w:line="44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090" w:type="dxa"/>
          </w:tcPr>
          <w:p>
            <w:pPr>
              <w:spacing w:line="440" w:lineRule="exact"/>
              <w:rPr>
                <w:rFonts w:ascii="仿宋_GB2312" w:hAnsi="宋体" w:eastAsia="仿宋_GB2312"/>
                <w:sz w:val="24"/>
              </w:rPr>
            </w:pPr>
          </w:p>
        </w:tc>
        <w:tc>
          <w:tcPr>
            <w:tcW w:w="3547" w:type="dxa"/>
          </w:tcPr>
          <w:p>
            <w:pPr>
              <w:spacing w:line="440" w:lineRule="exact"/>
              <w:rPr>
                <w:rFonts w:ascii="仿宋_GB2312" w:hAnsi="宋体" w:eastAsia="仿宋_GB2312"/>
                <w:sz w:val="24"/>
              </w:rPr>
            </w:pPr>
          </w:p>
        </w:tc>
        <w:tc>
          <w:tcPr>
            <w:tcW w:w="2031" w:type="dxa"/>
          </w:tcPr>
          <w:p>
            <w:pPr>
              <w:spacing w:line="440" w:lineRule="exact"/>
              <w:rPr>
                <w:rFonts w:ascii="仿宋_GB2312" w:hAnsi="宋体" w:eastAsia="仿宋_GB2312"/>
                <w:sz w:val="24"/>
              </w:rPr>
            </w:pPr>
          </w:p>
        </w:tc>
        <w:tc>
          <w:tcPr>
            <w:tcW w:w="1620" w:type="dxa"/>
          </w:tcPr>
          <w:p>
            <w:pPr>
              <w:spacing w:line="44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090" w:type="dxa"/>
          </w:tcPr>
          <w:p>
            <w:pPr>
              <w:spacing w:line="440" w:lineRule="exact"/>
              <w:rPr>
                <w:rFonts w:ascii="仿宋_GB2312" w:hAnsi="宋体" w:eastAsia="仿宋_GB2312"/>
                <w:sz w:val="24"/>
              </w:rPr>
            </w:pPr>
            <w:r>
              <w:rPr>
                <w:rFonts w:hint="eastAsia" w:ascii="仿宋_GB2312" w:hAnsi="宋体" w:eastAsia="仿宋_GB2312"/>
                <w:sz w:val="24"/>
              </w:rPr>
              <w:t>…</w:t>
            </w:r>
          </w:p>
        </w:tc>
        <w:tc>
          <w:tcPr>
            <w:tcW w:w="3547" w:type="dxa"/>
          </w:tcPr>
          <w:p>
            <w:pPr>
              <w:spacing w:line="440" w:lineRule="exact"/>
              <w:rPr>
                <w:rFonts w:ascii="仿宋_GB2312" w:hAnsi="宋体" w:eastAsia="仿宋_GB2312"/>
                <w:sz w:val="24"/>
              </w:rPr>
            </w:pPr>
            <w:r>
              <w:rPr>
                <w:rFonts w:hint="eastAsia" w:ascii="仿宋_GB2312" w:hAnsi="宋体" w:eastAsia="仿宋_GB2312"/>
                <w:sz w:val="24"/>
              </w:rPr>
              <w:t>…</w:t>
            </w:r>
          </w:p>
        </w:tc>
        <w:tc>
          <w:tcPr>
            <w:tcW w:w="2031" w:type="dxa"/>
          </w:tcPr>
          <w:p>
            <w:pPr>
              <w:spacing w:line="440" w:lineRule="exact"/>
              <w:rPr>
                <w:rFonts w:ascii="仿宋_GB2312" w:hAnsi="宋体" w:eastAsia="仿宋_GB2312"/>
                <w:sz w:val="24"/>
              </w:rPr>
            </w:pPr>
            <w:r>
              <w:rPr>
                <w:rFonts w:hint="eastAsia" w:ascii="仿宋_GB2312" w:hAnsi="宋体" w:eastAsia="仿宋_GB2312"/>
                <w:sz w:val="24"/>
              </w:rPr>
              <w:t>…</w:t>
            </w:r>
          </w:p>
        </w:tc>
        <w:tc>
          <w:tcPr>
            <w:tcW w:w="1620" w:type="dxa"/>
          </w:tcPr>
          <w:p>
            <w:pPr>
              <w:spacing w:line="440" w:lineRule="exact"/>
              <w:rPr>
                <w:rFonts w:ascii="仿宋_GB2312" w:hAnsi="宋体" w:eastAsia="仿宋_GB2312"/>
                <w:sz w:val="24"/>
              </w:rPr>
            </w:pPr>
            <w:r>
              <w:rPr>
                <w:rFonts w:hint="eastAsia" w:ascii="仿宋_GB2312" w:hAnsi="宋体" w:eastAsia="仿宋_GB2312"/>
                <w:sz w:val="24"/>
              </w:rPr>
              <w:t>…</w:t>
            </w:r>
          </w:p>
        </w:tc>
      </w:tr>
    </w:tbl>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r>
        <w:rPr>
          <w:rFonts w:hint="eastAsia" w:ascii="仿宋_GB2312" w:hAnsi="宋体" w:eastAsia="仿宋_GB2312"/>
          <w:b/>
          <w:sz w:val="24"/>
        </w:rPr>
        <w:t>注：附中标通知书或合同复印件。</w:t>
      </w: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Pr>
        <w:spacing w:line="440" w:lineRule="exact"/>
        <w:rPr>
          <w:rFonts w:ascii="仿宋_GB2312" w:hAnsi="宋体" w:eastAsia="仿宋_GB2312"/>
          <w:b/>
          <w:sz w:val="24"/>
        </w:rPr>
      </w:pPr>
    </w:p>
    <w:p/>
    <w:p>
      <w:pPr>
        <w:pStyle w:val="11"/>
        <w:rPr>
          <w:rFonts w:ascii="仿宋_GB2312" w:hAnsi="宋体" w:eastAsia="仿宋_GB2312"/>
          <w:b/>
          <w:sz w:val="32"/>
          <w:szCs w:val="32"/>
        </w:rPr>
      </w:pPr>
    </w:p>
    <w:p>
      <w:pPr>
        <w:rPr>
          <w:rFonts w:ascii="仿宋_GB2312" w:hAnsi="宋体" w:eastAsia="仿宋_GB2312"/>
          <w:b/>
          <w:sz w:val="32"/>
          <w:szCs w:val="32"/>
        </w:rPr>
      </w:pPr>
    </w:p>
    <w:p>
      <w:pPr>
        <w:pStyle w:val="11"/>
        <w:rPr>
          <w:rFonts w:ascii="仿宋_GB2312" w:hAnsi="宋体" w:eastAsia="仿宋_GB2312"/>
          <w:b/>
          <w:sz w:val="32"/>
          <w:szCs w:val="32"/>
        </w:rPr>
      </w:pPr>
    </w:p>
    <w:p>
      <w:pPr>
        <w:rPr>
          <w:rFonts w:ascii="仿宋_GB2312" w:hAnsi="宋体" w:eastAsia="仿宋_GB2312"/>
          <w:b/>
          <w:sz w:val="32"/>
          <w:szCs w:val="32"/>
        </w:rPr>
      </w:pPr>
    </w:p>
    <w:p>
      <w:pPr>
        <w:pStyle w:val="11"/>
        <w:rPr>
          <w:rFonts w:ascii="仿宋_GB2312" w:hAnsi="宋体" w:eastAsia="仿宋_GB2312"/>
          <w:b/>
          <w:sz w:val="32"/>
          <w:szCs w:val="32"/>
        </w:rPr>
      </w:pPr>
    </w:p>
    <w:p/>
    <w:p/>
    <w:p>
      <w:pPr>
        <w:spacing w:line="440" w:lineRule="exact"/>
        <w:jc w:val="left"/>
        <w:rPr>
          <w:rFonts w:ascii="仿宋_GB2312" w:hAnsi="宋体" w:eastAsia="仿宋_GB2312"/>
          <w:b/>
          <w:sz w:val="32"/>
          <w:szCs w:val="32"/>
        </w:rPr>
      </w:pPr>
      <w:r>
        <w:rPr>
          <w:rFonts w:hint="eastAsia" w:ascii="仿宋_GB2312" w:hAnsi="宋体" w:eastAsia="仿宋_GB2312"/>
          <w:b/>
          <w:sz w:val="32"/>
          <w:szCs w:val="32"/>
        </w:rPr>
        <w:t>（附件</w:t>
      </w:r>
      <w:r>
        <w:rPr>
          <w:rFonts w:hint="eastAsia" w:ascii="仿宋_GB2312" w:hAnsi="宋体" w:eastAsia="仿宋_GB2312"/>
          <w:b/>
          <w:sz w:val="32"/>
          <w:szCs w:val="32"/>
          <w:lang w:val="en-US" w:eastAsia="zh-CN"/>
        </w:rPr>
        <w:t>九</w:t>
      </w:r>
      <w:r>
        <w:rPr>
          <w:rFonts w:hint="eastAsia" w:ascii="仿宋_GB2312" w:hAnsi="宋体" w:eastAsia="仿宋_GB2312"/>
          <w:b/>
          <w:sz w:val="32"/>
          <w:szCs w:val="32"/>
        </w:rPr>
        <w:t>）</w:t>
      </w:r>
    </w:p>
    <w:p>
      <w:pPr>
        <w:ind w:firstLine="708" w:firstLineChars="196"/>
        <w:rPr>
          <w:rFonts w:ascii="宋体" w:hAnsi="宋体"/>
          <w:b/>
          <w:bCs/>
          <w:sz w:val="36"/>
          <w:szCs w:val="36"/>
        </w:rPr>
      </w:pPr>
    </w:p>
    <w:p>
      <w:pPr>
        <w:ind w:firstLine="708" w:firstLineChars="196"/>
        <w:rPr>
          <w:rFonts w:ascii="宋体" w:hAnsi="宋体"/>
          <w:b/>
          <w:bCs/>
          <w:sz w:val="36"/>
          <w:szCs w:val="36"/>
        </w:rPr>
      </w:pPr>
    </w:p>
    <w:p>
      <w:pPr>
        <w:ind w:firstLine="708" w:firstLineChars="196"/>
        <w:rPr>
          <w:rFonts w:ascii="宋体" w:hAnsi="宋体"/>
          <w:b/>
          <w:bCs/>
          <w:sz w:val="36"/>
          <w:szCs w:val="36"/>
        </w:rPr>
      </w:pPr>
      <w:r>
        <w:rPr>
          <w:rFonts w:hint="eastAsia" w:ascii="宋体" w:hAnsi="宋体"/>
          <w:b/>
          <w:bCs/>
          <w:sz w:val="36"/>
          <w:szCs w:val="36"/>
        </w:rPr>
        <w:t>投标保证金</w:t>
      </w:r>
      <w:r>
        <w:rPr>
          <w:rFonts w:hint="eastAsia" w:ascii="宋体" w:hAnsi="宋体"/>
          <w:b/>
          <w:bCs/>
          <w:sz w:val="36"/>
          <w:szCs w:val="36"/>
          <w:lang w:val="en-US" w:eastAsia="zh-CN"/>
        </w:rPr>
        <w:t>缴纳凭证或电子保函</w:t>
      </w: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spacing w:line="440" w:lineRule="exact"/>
        <w:jc w:val="left"/>
        <w:rPr>
          <w:rFonts w:ascii="仿宋_GB2312" w:hAnsi="宋体" w:eastAsia="仿宋_GB2312"/>
          <w:b/>
          <w:sz w:val="32"/>
          <w:szCs w:val="32"/>
        </w:rPr>
      </w:pPr>
      <w:r>
        <w:rPr>
          <w:rFonts w:hint="eastAsia" w:ascii="仿宋_GB2312" w:hAnsi="宋体" w:eastAsia="仿宋_GB2312"/>
          <w:b/>
          <w:sz w:val="32"/>
          <w:szCs w:val="32"/>
        </w:rPr>
        <w:t>（附件十）</w:t>
      </w:r>
    </w:p>
    <w:p>
      <w:pPr>
        <w:pStyle w:val="71"/>
        <w:spacing w:line="470" w:lineRule="exact"/>
        <w:ind w:firstLine="0" w:firstLineChars="0"/>
        <w:rPr>
          <w:rFonts w:ascii="宋体" w:hAnsi="宋体" w:eastAsia="宋体"/>
          <w:b/>
          <w:sz w:val="24"/>
        </w:rPr>
      </w:pPr>
    </w:p>
    <w:p>
      <w:pPr>
        <w:spacing w:line="480" w:lineRule="auto"/>
        <w:jc w:val="center"/>
        <w:rPr>
          <w:rFonts w:ascii="宋体" w:hAnsi="宋体"/>
          <w:b/>
          <w:sz w:val="32"/>
          <w:szCs w:val="28"/>
        </w:rPr>
      </w:pPr>
      <w:r>
        <w:rPr>
          <w:rFonts w:hint="eastAsia" w:ascii="宋体" w:hAnsi="宋体"/>
          <w:b/>
          <w:sz w:val="32"/>
          <w:szCs w:val="28"/>
        </w:rPr>
        <w:t>反商业贿赂承诺书 </w:t>
      </w:r>
    </w:p>
    <w:p>
      <w:pPr>
        <w:spacing w:line="480" w:lineRule="auto"/>
        <w:jc w:val="center"/>
        <w:rPr>
          <w:rFonts w:ascii="宋体" w:hAnsi="宋体"/>
          <w:b/>
          <w:sz w:val="24"/>
          <w:szCs w:val="28"/>
        </w:rPr>
      </w:pPr>
      <w:r>
        <w:rPr>
          <w:rFonts w:hint="eastAsia" w:ascii="宋体" w:hAnsi="宋体"/>
          <w:b/>
          <w:sz w:val="24"/>
          <w:szCs w:val="28"/>
        </w:rPr>
        <w:t>供应商（供应商）反商业贿赂承诺书 </w:t>
      </w:r>
    </w:p>
    <w:p>
      <w:pPr>
        <w:spacing w:line="480" w:lineRule="auto"/>
        <w:jc w:val="center"/>
        <w:rPr>
          <w:rFonts w:ascii="宋体" w:hAnsi="宋体"/>
          <w:b/>
          <w:sz w:val="24"/>
          <w:szCs w:val="28"/>
        </w:rPr>
      </w:pPr>
    </w:p>
    <w:p>
      <w:pPr>
        <w:spacing w:line="480" w:lineRule="auto"/>
        <w:ind w:firstLine="480" w:firstLineChars="200"/>
        <w:rPr>
          <w:rFonts w:ascii="宋体" w:hAnsi="宋体"/>
          <w:sz w:val="24"/>
          <w:szCs w:val="28"/>
        </w:rPr>
      </w:pPr>
      <w:r>
        <w:rPr>
          <w:rFonts w:hint="eastAsia" w:ascii="宋体" w:hAnsi="宋体"/>
          <w:sz w:val="24"/>
          <w:szCs w:val="28"/>
        </w:rPr>
        <w:t>我公司承诺在</w:t>
      </w:r>
      <w:r>
        <w:rPr>
          <w:rFonts w:hint="eastAsia" w:ascii="宋体" w:hAnsi="宋体"/>
          <w:sz w:val="24"/>
          <w:szCs w:val="28"/>
          <w:u w:val="single"/>
        </w:rPr>
        <w:t>（项目名称、项目编号）</w:t>
      </w:r>
      <w:r>
        <w:rPr>
          <w:rFonts w:hint="eastAsia" w:ascii="宋体" w:hAnsi="宋体"/>
          <w:sz w:val="24"/>
          <w:szCs w:val="28"/>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480" w:lineRule="auto"/>
        <w:rPr>
          <w:rFonts w:ascii="宋体" w:hAnsi="宋体"/>
          <w:sz w:val="24"/>
          <w:szCs w:val="28"/>
        </w:rPr>
      </w:pPr>
      <w:r>
        <w:rPr>
          <w:rFonts w:hint="eastAsia" w:ascii="宋体" w:hAnsi="宋体"/>
          <w:sz w:val="24"/>
          <w:szCs w:val="28"/>
        </w:rPr>
        <w:t>我公司承诺在参加本次投标前三年内，无以下行为：  </w:t>
      </w:r>
    </w:p>
    <w:p>
      <w:pPr>
        <w:spacing w:line="480" w:lineRule="auto"/>
        <w:rPr>
          <w:rFonts w:ascii="宋体" w:hAnsi="宋体"/>
          <w:sz w:val="24"/>
          <w:szCs w:val="28"/>
        </w:rPr>
      </w:pPr>
      <w:r>
        <w:rPr>
          <w:rFonts w:hint="eastAsia" w:ascii="宋体" w:hAnsi="宋体"/>
          <w:sz w:val="24"/>
          <w:szCs w:val="28"/>
        </w:rPr>
        <w:t> 1、重大违法行为；</w:t>
      </w:r>
    </w:p>
    <w:p>
      <w:pPr>
        <w:spacing w:line="480" w:lineRule="auto"/>
        <w:rPr>
          <w:rFonts w:ascii="宋体" w:hAnsi="宋体"/>
          <w:sz w:val="24"/>
          <w:szCs w:val="28"/>
        </w:rPr>
      </w:pPr>
      <w:r>
        <w:rPr>
          <w:rFonts w:hint="eastAsia" w:ascii="宋体" w:hAnsi="宋体"/>
          <w:sz w:val="24"/>
          <w:szCs w:val="28"/>
        </w:rPr>
        <w:t> 2、商业贿赂行为；</w:t>
      </w:r>
    </w:p>
    <w:p>
      <w:pPr>
        <w:spacing w:line="480" w:lineRule="auto"/>
        <w:rPr>
          <w:rFonts w:ascii="宋体" w:hAnsi="宋体"/>
          <w:sz w:val="24"/>
          <w:szCs w:val="28"/>
        </w:rPr>
      </w:pPr>
      <w:r>
        <w:rPr>
          <w:rFonts w:hint="eastAsia" w:ascii="宋体" w:hAnsi="宋体"/>
          <w:sz w:val="24"/>
          <w:szCs w:val="28"/>
        </w:rPr>
        <w:t> 3、政府采购法《第七十七条》，列入不良行为记录名单的各种行为；  </w:t>
      </w:r>
    </w:p>
    <w:p>
      <w:pPr>
        <w:spacing w:line="480" w:lineRule="auto"/>
        <w:rPr>
          <w:rFonts w:ascii="宋体" w:hAnsi="宋体"/>
          <w:sz w:val="24"/>
          <w:szCs w:val="28"/>
        </w:rPr>
      </w:pPr>
      <w:r>
        <w:rPr>
          <w:rFonts w:hint="eastAsia" w:ascii="宋体" w:hAnsi="宋体"/>
          <w:sz w:val="24"/>
          <w:szCs w:val="28"/>
        </w:rPr>
        <w:t>    如有上述行为，我公司及项目参与人员自愿放弃本次项目的投标、报价资格，若为预中标、成交人，也自愿放弃中标、成交资格。  </w:t>
      </w:r>
    </w:p>
    <w:p>
      <w:pPr>
        <w:spacing w:line="480" w:lineRule="auto"/>
        <w:rPr>
          <w:rFonts w:ascii="宋体" w:hAnsi="宋体"/>
          <w:sz w:val="24"/>
          <w:szCs w:val="28"/>
        </w:rPr>
      </w:pPr>
      <w:r>
        <w:rPr>
          <w:rFonts w:hint="eastAsia" w:ascii="宋体" w:hAnsi="宋体"/>
          <w:sz w:val="24"/>
          <w:szCs w:val="28"/>
        </w:rPr>
        <w:t>供应商（盖章）：</w:t>
      </w:r>
    </w:p>
    <w:p>
      <w:pPr>
        <w:spacing w:line="480" w:lineRule="auto"/>
        <w:rPr>
          <w:rFonts w:ascii="宋体" w:hAnsi="宋体"/>
          <w:sz w:val="24"/>
          <w:szCs w:val="28"/>
        </w:rPr>
      </w:pPr>
      <w:r>
        <w:rPr>
          <w:rFonts w:hint="eastAsia" w:ascii="宋体" w:hAnsi="宋体"/>
          <w:sz w:val="24"/>
          <w:szCs w:val="28"/>
        </w:rPr>
        <w:t>法定代表人或授权代理人（盖章）：</w:t>
      </w:r>
    </w:p>
    <w:p>
      <w:pPr>
        <w:spacing w:line="540" w:lineRule="exact"/>
        <w:rPr>
          <w:rFonts w:ascii="宋体" w:hAnsi="宋体"/>
          <w:b/>
          <w:sz w:val="32"/>
          <w:szCs w:val="32"/>
        </w:rPr>
      </w:pPr>
      <w:r>
        <w:rPr>
          <w:rFonts w:hint="eastAsia" w:ascii="宋体" w:hAnsi="宋体"/>
          <w:sz w:val="24"/>
          <w:szCs w:val="28"/>
        </w:rPr>
        <w:t>日期：</w:t>
      </w:r>
      <w:r>
        <w:rPr>
          <w:rFonts w:hint="eastAsia" w:ascii="宋体" w:hAnsi="宋体"/>
          <w:sz w:val="24"/>
          <w:szCs w:val="28"/>
          <w:lang w:val="en-US" w:eastAsia="zh-CN"/>
        </w:rPr>
        <w:t xml:space="preserve">     </w:t>
      </w:r>
      <w:r>
        <w:rPr>
          <w:rFonts w:hint="eastAsia" w:ascii="宋体" w:hAnsi="宋体"/>
          <w:sz w:val="24"/>
          <w:szCs w:val="28"/>
        </w:rPr>
        <w:t>年</w:t>
      </w:r>
      <w:r>
        <w:rPr>
          <w:rFonts w:hint="eastAsia" w:ascii="宋体" w:hAnsi="宋体"/>
          <w:sz w:val="24"/>
          <w:szCs w:val="28"/>
          <w:lang w:val="en-US" w:eastAsia="zh-CN"/>
        </w:rPr>
        <w:t xml:space="preserve">   </w:t>
      </w:r>
      <w:r>
        <w:rPr>
          <w:rFonts w:hint="eastAsia" w:ascii="宋体" w:hAnsi="宋体"/>
          <w:sz w:val="24"/>
          <w:szCs w:val="28"/>
        </w:rPr>
        <w:t>月</w:t>
      </w:r>
      <w:r>
        <w:rPr>
          <w:rFonts w:hint="eastAsia" w:ascii="宋体" w:hAnsi="宋体"/>
          <w:sz w:val="24"/>
          <w:szCs w:val="28"/>
          <w:lang w:val="en-US" w:eastAsia="zh-CN"/>
        </w:rPr>
        <w:t xml:space="preserve">   </w:t>
      </w:r>
      <w:r>
        <w:rPr>
          <w:rFonts w:hint="eastAsia" w:ascii="宋体" w:hAnsi="宋体"/>
          <w:sz w:val="24"/>
          <w:szCs w:val="28"/>
        </w:rPr>
        <w:t>日</w:t>
      </w:r>
    </w:p>
    <w:p>
      <w:pPr>
        <w:spacing w:line="540" w:lineRule="exact"/>
        <w:rPr>
          <w:rFonts w:ascii="宋体" w:hAnsi="宋体"/>
          <w:b/>
          <w:sz w:val="32"/>
          <w:szCs w:val="32"/>
        </w:rPr>
      </w:pPr>
    </w:p>
    <w:p>
      <w:pPr>
        <w:spacing w:line="360" w:lineRule="auto"/>
        <w:rPr>
          <w:rFonts w:hint="eastAsia" w:ascii="仿宋_GB2312" w:hAnsi="宋体" w:eastAsia="仿宋_GB2312"/>
          <w:b/>
          <w:sz w:val="32"/>
          <w:szCs w:val="32"/>
        </w:rPr>
      </w:pPr>
    </w:p>
    <w:p>
      <w:pPr>
        <w:pStyle w:val="11"/>
        <w:rPr>
          <w:rFonts w:hint="eastAsia"/>
        </w:rPr>
      </w:pPr>
    </w:p>
    <w:p>
      <w:pPr>
        <w:spacing w:line="360" w:lineRule="auto"/>
        <w:rPr>
          <w:rFonts w:ascii="仿宋_GB2312" w:hAnsi="宋体" w:eastAsia="仿宋_GB2312"/>
          <w:b/>
          <w:sz w:val="32"/>
          <w:szCs w:val="32"/>
        </w:rPr>
      </w:pPr>
      <w:r>
        <w:rPr>
          <w:rFonts w:hint="eastAsia" w:ascii="仿宋_GB2312" w:hAnsi="宋体" w:eastAsia="仿宋_GB2312"/>
          <w:b/>
          <w:sz w:val="32"/>
          <w:szCs w:val="32"/>
        </w:rPr>
        <w:t>（附件十</w:t>
      </w:r>
      <w:r>
        <w:rPr>
          <w:rFonts w:hint="eastAsia" w:ascii="仿宋_GB2312" w:hAnsi="宋体" w:eastAsia="仿宋_GB2312"/>
          <w:b/>
          <w:sz w:val="32"/>
          <w:szCs w:val="32"/>
          <w:lang w:val="en-US" w:eastAsia="zh-CN"/>
        </w:rPr>
        <w:t>一</w:t>
      </w:r>
      <w:r>
        <w:rPr>
          <w:rFonts w:hint="eastAsia" w:ascii="仿宋_GB2312" w:hAnsi="宋体" w:eastAsia="仿宋_GB2312"/>
          <w:b/>
          <w:sz w:val="32"/>
          <w:szCs w:val="32"/>
        </w:rPr>
        <w:t>）</w:t>
      </w:r>
    </w:p>
    <w:p>
      <w:pPr>
        <w:spacing w:line="480" w:lineRule="auto"/>
        <w:rPr>
          <w:rFonts w:ascii="仿宋_GB2312" w:eastAsia="仿宋_GB2312"/>
          <w:sz w:val="24"/>
        </w:rPr>
      </w:pPr>
      <w:r>
        <w:rPr>
          <w:rFonts w:hint="eastAsia" w:ascii="仿宋_GB2312" w:hAnsi="宋体" w:eastAsia="仿宋_GB2312"/>
          <w:b/>
          <w:sz w:val="32"/>
          <w:szCs w:val="32"/>
        </w:rPr>
        <w:t>技术部分</w:t>
      </w:r>
    </w:p>
    <w:p>
      <w:pPr>
        <w:numPr>
          <w:ilvl w:val="0"/>
          <w:numId w:val="5"/>
        </w:numPr>
        <w:autoSpaceDE w:val="0"/>
        <w:autoSpaceDN w:val="0"/>
        <w:adjustRightInd w:val="0"/>
        <w:spacing w:line="470" w:lineRule="exact"/>
        <w:rPr>
          <w:rFonts w:ascii="宋体" w:hAnsi="宋体"/>
          <w:kern w:val="0"/>
          <w:sz w:val="24"/>
        </w:rPr>
      </w:pPr>
      <w:r>
        <w:rPr>
          <w:rFonts w:hint="eastAsia" w:ascii="宋体" w:hAnsi="宋体"/>
          <w:kern w:val="0"/>
          <w:sz w:val="24"/>
          <w:lang w:val="en-US" w:eastAsia="zh-CN"/>
        </w:rPr>
        <w:t>项目整体服务方案</w:t>
      </w:r>
    </w:p>
    <w:p>
      <w:pPr>
        <w:numPr>
          <w:ilvl w:val="0"/>
          <w:numId w:val="5"/>
        </w:numPr>
        <w:autoSpaceDE w:val="0"/>
        <w:autoSpaceDN w:val="0"/>
        <w:adjustRightInd w:val="0"/>
        <w:spacing w:line="470" w:lineRule="exact"/>
        <w:rPr>
          <w:rFonts w:ascii="宋体" w:hAnsi="宋体"/>
          <w:kern w:val="0"/>
          <w:sz w:val="24"/>
        </w:rPr>
      </w:pPr>
      <w:r>
        <w:rPr>
          <w:rFonts w:hint="eastAsia" w:ascii="宋体" w:hAnsi="宋体"/>
          <w:kern w:val="0"/>
          <w:sz w:val="24"/>
        </w:rPr>
        <w:t>人员</w:t>
      </w:r>
      <w:r>
        <w:rPr>
          <w:rFonts w:hint="eastAsia" w:ascii="宋体" w:hAnsi="宋体"/>
          <w:kern w:val="0"/>
          <w:sz w:val="24"/>
          <w:lang w:eastAsia="zh-CN"/>
        </w:rPr>
        <w:t>配备</w:t>
      </w:r>
    </w:p>
    <w:p>
      <w:pPr>
        <w:numPr>
          <w:ilvl w:val="0"/>
          <w:numId w:val="5"/>
        </w:numPr>
        <w:autoSpaceDE w:val="0"/>
        <w:autoSpaceDN w:val="0"/>
        <w:adjustRightInd w:val="0"/>
        <w:spacing w:line="470" w:lineRule="exact"/>
        <w:ind w:left="1198" w:leftChars="0" w:hanging="720" w:firstLineChars="0"/>
        <w:rPr>
          <w:rFonts w:ascii="宋体" w:hAnsi="宋体"/>
          <w:kern w:val="0"/>
          <w:sz w:val="24"/>
        </w:rPr>
      </w:pPr>
      <w:r>
        <w:rPr>
          <w:rFonts w:hint="eastAsia" w:ascii="宋体" w:hAnsi="宋体"/>
          <w:kern w:val="0"/>
          <w:sz w:val="24"/>
          <w:lang w:eastAsia="zh-CN"/>
        </w:rPr>
        <w:t>单位</w:t>
      </w:r>
      <w:r>
        <w:rPr>
          <w:rFonts w:hint="eastAsia" w:ascii="宋体" w:hAnsi="宋体"/>
          <w:kern w:val="0"/>
          <w:sz w:val="24"/>
        </w:rPr>
        <w:t>管理水平</w:t>
      </w:r>
      <w:r>
        <w:rPr>
          <w:rFonts w:hint="eastAsia" w:ascii="宋体" w:hAnsi="宋体"/>
          <w:kern w:val="0"/>
          <w:sz w:val="24"/>
          <w:lang w:eastAsia="zh-CN"/>
        </w:rPr>
        <w:t>，</w:t>
      </w:r>
      <w:r>
        <w:rPr>
          <w:rFonts w:hint="eastAsia" w:ascii="宋体" w:hAnsi="宋体"/>
          <w:kern w:val="0"/>
          <w:sz w:val="24"/>
          <w:lang w:val="en-US" w:eastAsia="zh-CN"/>
        </w:rPr>
        <w:t>团队成员的工作经验、专业、技术水平</w:t>
      </w:r>
    </w:p>
    <w:p>
      <w:pPr>
        <w:numPr>
          <w:ilvl w:val="0"/>
          <w:numId w:val="5"/>
        </w:numPr>
        <w:autoSpaceDE w:val="0"/>
        <w:autoSpaceDN w:val="0"/>
        <w:adjustRightInd w:val="0"/>
        <w:spacing w:line="470" w:lineRule="exact"/>
        <w:ind w:left="1198" w:leftChars="0" w:hanging="720" w:firstLineChars="0"/>
        <w:rPr>
          <w:rFonts w:ascii="宋体" w:hAnsi="宋体"/>
          <w:kern w:val="0"/>
          <w:sz w:val="24"/>
        </w:rPr>
      </w:pPr>
      <w:r>
        <w:rPr>
          <w:rFonts w:hint="eastAsia" w:ascii="宋体" w:hAnsi="宋体"/>
          <w:kern w:val="0"/>
          <w:sz w:val="24"/>
          <w:lang w:val="en-US" w:eastAsia="zh-CN"/>
        </w:rPr>
        <w:t>售后</w:t>
      </w:r>
      <w:r>
        <w:rPr>
          <w:rFonts w:hint="eastAsia" w:ascii="宋体" w:hAnsi="宋体"/>
          <w:kern w:val="0"/>
          <w:sz w:val="24"/>
        </w:rPr>
        <w:t>服务承诺</w:t>
      </w:r>
    </w:p>
    <w:p>
      <w:pPr>
        <w:numPr>
          <w:ilvl w:val="0"/>
          <w:numId w:val="5"/>
        </w:numPr>
        <w:autoSpaceDE w:val="0"/>
        <w:autoSpaceDN w:val="0"/>
        <w:adjustRightInd w:val="0"/>
        <w:spacing w:line="470" w:lineRule="exact"/>
        <w:ind w:left="1198" w:leftChars="0" w:hanging="720" w:firstLineChars="0"/>
        <w:rPr>
          <w:rFonts w:ascii="宋体" w:hAnsi="宋体"/>
          <w:kern w:val="0"/>
          <w:sz w:val="24"/>
        </w:rPr>
      </w:pPr>
      <w:r>
        <w:rPr>
          <w:rFonts w:hint="eastAsia" w:ascii="宋体" w:hAnsi="宋体"/>
          <w:kern w:val="0"/>
          <w:sz w:val="24"/>
        </w:rPr>
        <w:t>企业的优惠条件</w:t>
      </w:r>
    </w:p>
    <w:p>
      <w:pPr>
        <w:autoSpaceDE w:val="0"/>
        <w:autoSpaceDN w:val="0"/>
        <w:adjustRightInd w:val="0"/>
        <w:spacing w:line="470" w:lineRule="exact"/>
        <w:ind w:firstLine="477" w:firstLineChars="199"/>
        <w:rPr>
          <w:rFonts w:ascii="宋体" w:hAnsi="宋体"/>
          <w:kern w:val="0"/>
          <w:sz w:val="24"/>
        </w:rPr>
      </w:pPr>
    </w:p>
    <w:p>
      <w:pPr>
        <w:spacing w:line="480" w:lineRule="auto"/>
        <w:rPr>
          <w:rFonts w:ascii="仿宋_GB2312" w:hAnsi="宋体" w:eastAsia="仿宋_GB2312"/>
          <w:b/>
          <w:sz w:val="32"/>
          <w:szCs w:val="32"/>
        </w:rPr>
      </w:pPr>
    </w:p>
    <w:p>
      <w:pPr>
        <w:spacing w:line="480" w:lineRule="auto"/>
        <w:ind w:firstLine="4498" w:firstLineChars="1400"/>
        <w:rPr>
          <w:rFonts w:ascii="仿宋_GB2312" w:hAnsi="宋体" w:eastAsia="仿宋_GB2312"/>
          <w:b/>
          <w:sz w:val="32"/>
          <w:szCs w:val="32"/>
        </w:rPr>
      </w:pPr>
    </w:p>
    <w:p>
      <w:pPr>
        <w:spacing w:line="360" w:lineRule="auto"/>
        <w:ind w:firstLine="482" w:firstLineChars="200"/>
        <w:rPr>
          <w:rFonts w:ascii="仿宋_GB2312" w:eastAsia="仿宋_GB2312"/>
          <w:b/>
          <w:sz w:val="24"/>
        </w:rPr>
      </w:pPr>
      <w:r>
        <w:rPr>
          <w:rFonts w:hint="eastAsia" w:ascii="仿宋_GB2312" w:eastAsia="仿宋_GB2312"/>
          <w:b/>
          <w:sz w:val="24"/>
        </w:rPr>
        <w:t>无格式要求，供应商自行拟定</w:t>
      </w:r>
    </w:p>
    <w:p>
      <w:pPr>
        <w:spacing w:line="480" w:lineRule="auto"/>
        <w:rPr>
          <w:rFonts w:ascii="仿宋_GB2312" w:eastAsia="仿宋_GB2312"/>
          <w:sz w:val="24"/>
        </w:rPr>
      </w:pPr>
    </w:p>
    <w:p>
      <w:pPr>
        <w:spacing w:line="480" w:lineRule="auto"/>
        <w:rPr>
          <w:rFonts w:ascii="仿宋_GB2312" w:eastAsia="仿宋_GB2312"/>
          <w:sz w:val="24"/>
        </w:rPr>
      </w:pPr>
    </w:p>
    <w:p>
      <w:pPr>
        <w:spacing w:line="360" w:lineRule="auto"/>
        <w:rPr>
          <w:rFonts w:ascii="仿宋_GB2312" w:hAnsi="宋体" w:eastAsia="仿宋_GB2312"/>
          <w:b/>
          <w:sz w:val="32"/>
          <w:szCs w:val="32"/>
        </w:rPr>
      </w:pPr>
      <w:r>
        <w:rPr>
          <w:rFonts w:hint="eastAsia" w:ascii="仿宋_GB2312" w:hAnsi="宋体" w:eastAsia="仿宋_GB2312"/>
          <w:b/>
          <w:sz w:val="32"/>
          <w:szCs w:val="32"/>
        </w:rPr>
        <w:t>（附件十</w:t>
      </w:r>
      <w:r>
        <w:rPr>
          <w:rFonts w:hint="eastAsia" w:ascii="仿宋_GB2312" w:hAnsi="宋体" w:eastAsia="仿宋_GB2312"/>
          <w:b/>
          <w:sz w:val="32"/>
          <w:szCs w:val="32"/>
          <w:lang w:val="en-US" w:eastAsia="zh-CN"/>
        </w:rPr>
        <w:t>二</w:t>
      </w:r>
      <w:r>
        <w:rPr>
          <w:rFonts w:hint="eastAsia" w:ascii="仿宋_GB2312" w:hAnsi="宋体" w:eastAsia="仿宋_GB2312"/>
          <w:b/>
          <w:sz w:val="32"/>
          <w:szCs w:val="32"/>
        </w:rPr>
        <w:t>）需要提供的其他证明材料</w:t>
      </w: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spacing w:line="480" w:lineRule="auto"/>
        <w:ind w:firstLine="6000" w:firstLineChars="2500"/>
        <w:rPr>
          <w:rFonts w:ascii="仿宋_GB2312" w:eastAsia="仿宋_GB2312"/>
          <w:sz w:val="24"/>
        </w:rPr>
      </w:pPr>
    </w:p>
    <w:p>
      <w:pPr>
        <w:rPr>
          <w:rFonts w:ascii="仿宋_GB2312" w:eastAsia="仿宋_GB2312"/>
          <w:sz w:val="24"/>
        </w:rPr>
      </w:pPr>
    </w:p>
    <w:p>
      <w:pPr>
        <w:pStyle w:val="11"/>
        <w:rPr>
          <w:rFonts w:ascii="仿宋_GB2312" w:eastAsia="仿宋_GB2312"/>
          <w:sz w:val="24"/>
        </w:rPr>
      </w:pPr>
    </w:p>
    <w:p>
      <w:pPr>
        <w:rPr>
          <w:rFonts w:ascii="仿宋_GB2312" w:eastAsia="仿宋_GB2312"/>
          <w:sz w:val="24"/>
        </w:rPr>
      </w:pPr>
    </w:p>
    <w:p>
      <w:pPr>
        <w:pStyle w:val="11"/>
        <w:rPr>
          <w:rFonts w:ascii="仿宋_GB2312" w:eastAsia="仿宋_GB2312"/>
          <w:sz w:val="24"/>
        </w:rPr>
      </w:pPr>
    </w:p>
    <w:p>
      <w:pPr>
        <w:rPr>
          <w:rFonts w:ascii="仿宋_GB2312" w:eastAsia="仿宋_GB2312"/>
          <w:sz w:val="24"/>
        </w:rPr>
      </w:pPr>
    </w:p>
    <w:p>
      <w:pPr>
        <w:pStyle w:val="2"/>
        <w:rPr>
          <w:rFonts w:ascii="仿宋_GB2312" w:eastAsia="仿宋_GB2312"/>
          <w:sz w:val="24"/>
        </w:rPr>
      </w:pPr>
    </w:p>
    <w:p>
      <w:pPr>
        <w:keepNext w:val="0"/>
        <w:keepLines w:val="0"/>
        <w:widowControl/>
        <w:suppressLineNumbers w:val="0"/>
        <w:jc w:val="both"/>
        <w:rPr>
          <w:rFonts w:hint="eastAsia"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（附件十三）</w:t>
      </w:r>
    </w:p>
    <w:p>
      <w:pPr>
        <w:keepNext w:val="0"/>
        <w:keepLines w:val="0"/>
        <w:widowControl/>
        <w:suppressLineNumbers w:val="0"/>
        <w:jc w:val="center"/>
        <w:rPr>
          <w:rFonts w:hint="eastAsia" w:ascii="仿宋" w:hAnsi="仿宋" w:eastAsia="仿宋" w:cs="仿宋"/>
          <w:b/>
          <w:bCs/>
          <w:color w:val="000000"/>
          <w:kern w:val="0"/>
          <w:sz w:val="36"/>
          <w:szCs w:val="36"/>
          <w:lang w:val="en-US" w:eastAsia="zh-CN" w:bidi="ar"/>
        </w:rPr>
      </w:pPr>
    </w:p>
    <w:p>
      <w:pPr>
        <w:keepNext w:val="0"/>
        <w:keepLines w:val="0"/>
        <w:widowControl/>
        <w:suppressLineNumbers w:val="0"/>
        <w:jc w:val="center"/>
        <w:rPr>
          <w:rFonts w:hint="eastAsia" w:ascii="仿宋" w:hAnsi="仿宋" w:eastAsia="仿宋" w:cs="仿宋"/>
          <w:b/>
          <w:bCs/>
          <w:color w:val="000000"/>
          <w:kern w:val="0"/>
          <w:sz w:val="36"/>
          <w:szCs w:val="36"/>
          <w:lang w:val="en-US" w:eastAsia="zh-CN" w:bidi="ar"/>
        </w:rPr>
      </w:pPr>
      <w:r>
        <w:rPr>
          <w:rFonts w:hint="eastAsia" w:ascii="仿宋" w:hAnsi="仿宋" w:eastAsia="仿宋" w:cs="仿宋"/>
          <w:b/>
          <w:bCs/>
          <w:color w:val="000000"/>
          <w:kern w:val="0"/>
          <w:sz w:val="36"/>
          <w:szCs w:val="36"/>
          <w:lang w:val="en-US" w:eastAsia="zh-CN" w:bidi="ar"/>
        </w:rPr>
        <w:t>中小企业声明函</w:t>
      </w:r>
    </w:p>
    <w:p>
      <w:pPr>
        <w:pStyle w:val="11"/>
        <w:rPr>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本公司（联合体）郑重声明，根据《政府采购促进中小企业发展管理办法》（财库[2020]46号）的规定，本公司（联合体）参加</w:t>
      </w:r>
      <w:r>
        <w:rPr>
          <w:rFonts w:hint="eastAsia" w:ascii="仿宋" w:hAnsi="仿宋" w:eastAsia="仿宋" w:cs="仿宋"/>
          <w:color w:val="000000"/>
          <w:kern w:val="0"/>
          <w:sz w:val="28"/>
          <w:szCs w:val="28"/>
          <w:u w:val="single"/>
          <w:lang w:val="en-US" w:eastAsia="zh-CN" w:bidi="ar"/>
        </w:rPr>
        <w:t xml:space="preserve">   （单位名称）</w:t>
      </w:r>
      <w:r>
        <w:rPr>
          <w:rFonts w:hint="eastAsia" w:ascii="仿宋" w:hAnsi="仿宋" w:eastAsia="仿宋" w:cs="仿宋"/>
          <w:color w:val="000000"/>
          <w:kern w:val="0"/>
          <w:sz w:val="28"/>
          <w:szCs w:val="28"/>
          <w:lang w:val="en-US" w:eastAsia="zh-CN" w:bidi="ar"/>
        </w:rPr>
        <w:t>的</w:t>
      </w:r>
      <w:r>
        <w:rPr>
          <w:rFonts w:hint="eastAsia" w:ascii="仿宋" w:hAnsi="仿宋" w:eastAsia="仿宋" w:cs="仿宋"/>
          <w:color w:val="000000"/>
          <w:kern w:val="0"/>
          <w:sz w:val="28"/>
          <w:szCs w:val="28"/>
          <w:u w:val="single"/>
          <w:lang w:val="en-US" w:eastAsia="zh-CN" w:bidi="ar"/>
        </w:rPr>
        <w:t xml:space="preserve">    （项目名称）</w:t>
      </w:r>
      <w:r>
        <w:rPr>
          <w:rFonts w:hint="eastAsia" w:ascii="仿宋" w:hAnsi="仿宋" w:eastAsia="仿宋" w:cs="仿宋"/>
          <w:color w:val="000000"/>
          <w:kern w:val="0"/>
          <w:sz w:val="28"/>
          <w:szCs w:val="28"/>
          <w:lang w:val="en-US" w:eastAsia="zh-CN" w:bidi="ar"/>
        </w:rPr>
        <w:t>采购活动，提供的货物为符合政策要求的中小企业。相关企业（含联合体中的中小企业、签订分包意向协议的中小企业）的具体情况如下：</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u w:val="single"/>
          <w:lang w:val="en-US" w:eastAsia="zh-CN" w:bidi="ar"/>
        </w:rPr>
        <w:t xml:space="preserve">   （标的名称）</w:t>
      </w:r>
      <w:r>
        <w:rPr>
          <w:rFonts w:hint="eastAsia" w:ascii="仿宋" w:hAnsi="仿宋" w:eastAsia="仿宋" w:cs="仿宋"/>
          <w:color w:val="000000"/>
          <w:kern w:val="0"/>
          <w:sz w:val="28"/>
          <w:szCs w:val="28"/>
          <w:lang w:val="en-US" w:eastAsia="zh-CN" w:bidi="ar"/>
        </w:rPr>
        <w:t>，属于</w:t>
      </w:r>
      <w:r>
        <w:rPr>
          <w:rFonts w:hint="eastAsia" w:ascii="仿宋" w:hAnsi="仿宋" w:eastAsia="仿宋" w:cs="仿宋"/>
          <w:color w:val="000000"/>
          <w:kern w:val="0"/>
          <w:sz w:val="28"/>
          <w:szCs w:val="28"/>
          <w:u w:val="single"/>
          <w:lang w:val="en-US" w:eastAsia="zh-CN" w:bidi="ar"/>
        </w:rPr>
        <w:t xml:space="preserve">  （采购文件中明确的所属行业）</w:t>
      </w:r>
      <w:r>
        <w:rPr>
          <w:rFonts w:hint="eastAsia" w:ascii="仿宋" w:hAnsi="仿宋" w:eastAsia="仿宋" w:cs="仿宋"/>
          <w:color w:val="000000"/>
          <w:kern w:val="0"/>
          <w:sz w:val="28"/>
          <w:szCs w:val="28"/>
          <w:lang w:val="en-US" w:eastAsia="zh-CN" w:bidi="ar"/>
        </w:rPr>
        <w:t>；投标人为</w:t>
      </w:r>
      <w:r>
        <w:rPr>
          <w:rFonts w:hint="eastAsia" w:ascii="仿宋" w:hAnsi="仿宋" w:eastAsia="仿宋" w:cs="仿宋"/>
          <w:color w:val="000000"/>
          <w:kern w:val="0"/>
          <w:sz w:val="28"/>
          <w:szCs w:val="28"/>
          <w:u w:val="single"/>
          <w:lang w:val="en-US" w:eastAsia="zh-CN" w:bidi="ar"/>
        </w:rPr>
        <w:t xml:space="preserve">    （企业名称）</w:t>
      </w:r>
      <w:r>
        <w:rPr>
          <w:rFonts w:hint="eastAsia" w:ascii="仿宋" w:hAnsi="仿宋" w:eastAsia="仿宋" w:cs="仿宋"/>
          <w:color w:val="000000"/>
          <w:kern w:val="0"/>
          <w:sz w:val="28"/>
          <w:szCs w:val="28"/>
          <w:lang w:val="en-US" w:eastAsia="zh-CN" w:bidi="ar"/>
        </w:rPr>
        <w:t>，从业人员</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人，营业收入为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万元，资产总额为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万元，属于</w:t>
      </w:r>
      <w:r>
        <w:rPr>
          <w:rFonts w:hint="eastAsia" w:ascii="仿宋" w:hAnsi="仿宋" w:eastAsia="仿宋" w:cs="仿宋"/>
          <w:color w:val="000000"/>
          <w:kern w:val="0"/>
          <w:sz w:val="28"/>
          <w:szCs w:val="28"/>
          <w:u w:val="single"/>
          <w:lang w:val="en-US" w:eastAsia="zh-CN" w:bidi="ar"/>
        </w:rPr>
        <w:t xml:space="preserve">   （中型企业、小型企业、微型企业）</w:t>
      </w:r>
      <w:r>
        <w:rPr>
          <w:rFonts w:hint="eastAsia" w:ascii="仿宋" w:hAnsi="仿宋" w:eastAsia="仿宋" w:cs="仿宋"/>
          <w:color w:val="000000"/>
          <w:kern w:val="0"/>
          <w:sz w:val="28"/>
          <w:szCs w:val="28"/>
          <w:lang w:val="en-US" w:eastAsia="zh-CN" w:bidi="ar"/>
        </w:rPr>
        <w:t>；</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u w:val="single"/>
          <w:lang w:val="en-US" w:eastAsia="zh-CN" w:bidi="ar"/>
        </w:rPr>
        <w:t xml:space="preserve">     （标的名称）</w:t>
      </w:r>
      <w:r>
        <w:rPr>
          <w:rFonts w:hint="eastAsia" w:ascii="仿宋" w:hAnsi="仿宋" w:eastAsia="仿宋" w:cs="仿宋"/>
          <w:color w:val="000000"/>
          <w:kern w:val="0"/>
          <w:sz w:val="28"/>
          <w:szCs w:val="28"/>
          <w:lang w:val="en-US" w:eastAsia="zh-CN" w:bidi="ar"/>
        </w:rPr>
        <w:t>，属于</w:t>
      </w:r>
      <w:r>
        <w:rPr>
          <w:rFonts w:hint="eastAsia" w:ascii="仿宋" w:hAnsi="仿宋" w:eastAsia="仿宋" w:cs="仿宋"/>
          <w:color w:val="000000"/>
          <w:kern w:val="0"/>
          <w:sz w:val="28"/>
          <w:szCs w:val="28"/>
          <w:u w:val="single"/>
          <w:lang w:val="en-US" w:eastAsia="zh-CN" w:bidi="ar"/>
        </w:rPr>
        <w:t>（采购文件中明确的所属行业）</w:t>
      </w:r>
      <w:r>
        <w:rPr>
          <w:rFonts w:hint="eastAsia" w:ascii="仿宋" w:hAnsi="仿宋" w:eastAsia="仿宋" w:cs="仿宋"/>
          <w:color w:val="000000"/>
          <w:kern w:val="0"/>
          <w:sz w:val="28"/>
          <w:szCs w:val="28"/>
          <w:lang w:val="en-US" w:eastAsia="zh-CN" w:bidi="ar"/>
        </w:rPr>
        <w:t>；投标人为</w:t>
      </w:r>
      <w:r>
        <w:rPr>
          <w:rFonts w:hint="eastAsia" w:ascii="仿宋" w:hAnsi="仿宋" w:eastAsia="仿宋" w:cs="仿宋"/>
          <w:color w:val="000000"/>
          <w:kern w:val="0"/>
          <w:sz w:val="28"/>
          <w:szCs w:val="28"/>
          <w:u w:val="single"/>
          <w:lang w:val="en-US" w:eastAsia="zh-CN" w:bidi="ar"/>
        </w:rPr>
        <w:t xml:space="preserve">   （企业名称）</w:t>
      </w:r>
      <w:r>
        <w:rPr>
          <w:rFonts w:hint="eastAsia" w:ascii="仿宋" w:hAnsi="仿宋" w:eastAsia="仿宋" w:cs="仿宋"/>
          <w:color w:val="000000"/>
          <w:kern w:val="0"/>
          <w:sz w:val="28"/>
          <w:szCs w:val="28"/>
          <w:lang w:val="en-US" w:eastAsia="zh-CN" w:bidi="ar"/>
        </w:rPr>
        <w:t>，从业人员</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人，营业收入为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万元，资产总额为</w:t>
      </w:r>
      <w:r>
        <w:rPr>
          <w:rFonts w:hint="eastAsia" w:ascii="仿宋" w:hAnsi="仿宋" w:eastAsia="仿宋" w:cs="仿宋"/>
          <w:color w:val="000000"/>
          <w:kern w:val="0"/>
          <w:sz w:val="28"/>
          <w:szCs w:val="28"/>
          <w:u w:val="single"/>
          <w:lang w:val="en-US" w:eastAsia="zh-CN" w:bidi="ar"/>
        </w:rPr>
        <w:t xml:space="preserve">    </w:t>
      </w:r>
      <w:r>
        <w:rPr>
          <w:rFonts w:hint="eastAsia" w:ascii="仿宋" w:hAnsi="仿宋" w:eastAsia="仿宋" w:cs="仿宋"/>
          <w:color w:val="000000"/>
          <w:kern w:val="0"/>
          <w:sz w:val="28"/>
          <w:szCs w:val="28"/>
          <w:lang w:val="en-US" w:eastAsia="zh-CN" w:bidi="ar"/>
        </w:rPr>
        <w:t>万元，属于</w:t>
      </w:r>
      <w:r>
        <w:rPr>
          <w:rFonts w:hint="eastAsia" w:ascii="仿宋" w:hAnsi="仿宋" w:eastAsia="仿宋" w:cs="仿宋"/>
          <w:color w:val="000000"/>
          <w:kern w:val="0"/>
          <w:sz w:val="28"/>
          <w:szCs w:val="28"/>
          <w:u w:val="single"/>
          <w:lang w:val="en-US" w:eastAsia="zh-CN" w:bidi="ar"/>
        </w:rPr>
        <w:t xml:space="preserve">    （中型企业、小型企业、微型企业）</w:t>
      </w:r>
      <w:r>
        <w:rPr>
          <w:rFonts w:hint="eastAsia" w:ascii="仿宋" w:hAnsi="仿宋" w:eastAsia="仿宋" w:cs="仿宋"/>
          <w:color w:val="000000"/>
          <w:kern w:val="0"/>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本企业对上述声明内容的真实性负责。如有虚假，将依法承担相应责任。</w:t>
      </w:r>
    </w:p>
    <w:p>
      <w:pPr>
        <w:keepNext w:val="0"/>
        <w:keepLines w:val="0"/>
        <w:pageBreakBefore w:val="0"/>
        <w:widowControl/>
        <w:suppressLineNumbers w:val="0"/>
        <w:kinsoku/>
        <w:wordWrap/>
        <w:overflowPunct/>
        <w:topLinePunct w:val="0"/>
        <w:autoSpaceDE/>
        <w:autoSpaceDN/>
        <w:bidi w:val="0"/>
        <w:adjustRightInd/>
        <w:snapToGrid/>
        <w:spacing w:line="460" w:lineRule="exact"/>
        <w:ind w:left="4630" w:leftChars="2205" w:firstLine="0" w:firstLineChars="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  企业名称（盖章）：</w:t>
      </w:r>
    </w:p>
    <w:p>
      <w:pPr>
        <w:keepNext w:val="0"/>
        <w:keepLines w:val="0"/>
        <w:pageBreakBefore w:val="0"/>
        <w:widowControl/>
        <w:suppressLineNumbers w:val="0"/>
        <w:kinsoku/>
        <w:wordWrap/>
        <w:overflowPunct/>
        <w:topLinePunct w:val="0"/>
        <w:autoSpaceDE/>
        <w:autoSpaceDN/>
        <w:bidi w:val="0"/>
        <w:adjustRightInd/>
        <w:snapToGrid/>
        <w:spacing w:line="460" w:lineRule="exact"/>
        <w:ind w:left="4910" w:leftChars="2205" w:hanging="280" w:hangingChars="1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      日期：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650" w:firstLineChars="1500"/>
        <w:jc w:val="left"/>
        <w:textAlignment w:val="auto"/>
        <w:rPr>
          <w:rFonts w:hint="eastAsia" w:ascii="仿宋" w:hAnsi="仿宋" w:eastAsia="仿宋" w:cs="仿宋"/>
          <w:color w:val="000000"/>
          <w:kern w:val="0"/>
          <w:sz w:val="31"/>
          <w:szCs w:val="31"/>
          <w:lang w:val="en-US" w:eastAsia="zh-CN" w:bidi="ar"/>
        </w:rPr>
      </w:pPr>
    </w:p>
    <w:p>
      <w:pPr>
        <w:spacing w:before="94" w:line="375" w:lineRule="auto"/>
        <w:ind w:left="19" w:right="69" w:firstLine="487"/>
        <w:rPr>
          <w:rFonts w:ascii="宋体" w:hAnsi="宋体" w:eastAsia="宋体" w:cs="宋体"/>
          <w:spacing w:val="12"/>
          <w:sz w:val="23"/>
          <w:szCs w:val="23"/>
        </w:rPr>
      </w:pPr>
      <w:r>
        <w:rPr>
          <w:rFonts w:hint="eastAsia" w:ascii="宋体" w:hAnsi="宋体" w:eastAsia="宋体" w:cs="宋体"/>
          <w:spacing w:val="12"/>
          <w:sz w:val="23"/>
          <w:szCs w:val="23"/>
        </w:rPr>
        <w:t>注:</w:t>
      </w:r>
    </w:p>
    <w:p>
      <w:pPr>
        <w:spacing w:before="94" w:line="375" w:lineRule="auto"/>
        <w:ind w:left="19" w:right="69" w:firstLine="487"/>
        <w:rPr>
          <w:rFonts w:ascii="宋体" w:hAnsi="宋体" w:eastAsia="宋体" w:cs="宋体"/>
          <w:spacing w:val="12"/>
          <w:sz w:val="23"/>
          <w:szCs w:val="23"/>
        </w:rPr>
      </w:pPr>
      <w:r>
        <w:rPr>
          <w:rFonts w:hint="eastAsia" w:ascii="宋体" w:hAnsi="宋体" w:eastAsia="宋体" w:cs="宋体"/>
          <w:spacing w:val="12"/>
          <w:sz w:val="23"/>
          <w:szCs w:val="23"/>
        </w:rPr>
        <w:t>1、从业人员、营业收入、资产总额填报上一年度数据，无上一年度数据的新成立企业可不填报.</w:t>
      </w:r>
    </w:p>
    <w:p>
      <w:pPr>
        <w:spacing w:before="94" w:line="375" w:lineRule="auto"/>
        <w:ind w:left="19" w:right="69" w:firstLine="487"/>
        <w:rPr>
          <w:rFonts w:hint="eastAsia"/>
          <w:lang w:val="en-US" w:eastAsia="zh-CN"/>
        </w:rPr>
        <w:sectPr>
          <w:headerReference r:id="rId8" w:type="default"/>
          <w:footerReference r:id="rId9" w:type="default"/>
          <w:pgSz w:w="12240" w:h="15840"/>
          <w:pgMar w:top="1440" w:right="1080" w:bottom="1440" w:left="1080" w:header="720" w:footer="720" w:gutter="0"/>
          <w:cols w:space="720" w:num="1"/>
        </w:sectPr>
      </w:pPr>
      <w:r>
        <w:rPr>
          <w:rFonts w:hint="eastAsia" w:ascii="宋体" w:hAnsi="宋体" w:eastAsia="宋体" w:cs="宋体"/>
          <w:spacing w:val="12"/>
          <w:sz w:val="23"/>
          <w:szCs w:val="23"/>
        </w:rPr>
        <w:t>2、各供应商参照《关于印发中小企业划型标准规定的通知 工信部联企业〔2011〕300号》中小企业划型标准规定中规定的行业以及划型标准对本企业进行划型。</w:t>
      </w:r>
    </w:p>
    <w:p>
      <w:pPr>
        <w:pStyle w:val="2"/>
        <w:bidi w:val="0"/>
        <w:spacing w:line="480" w:lineRule="auto"/>
        <w:jc w:val="center"/>
        <w:outlineLvl w:val="0"/>
        <w:rPr>
          <w:rFonts w:hint="eastAsia" w:ascii="宋体" w:hAnsi="宋体" w:eastAsia="宋体" w:cs="宋体"/>
          <w:b/>
          <w:bCs/>
          <w:sz w:val="32"/>
          <w:szCs w:val="32"/>
        </w:rPr>
      </w:pPr>
      <w:bookmarkStart w:id="28" w:name="_Toc30623"/>
      <w:bookmarkStart w:id="29" w:name="_Toc7247"/>
    </w:p>
    <w:p>
      <w:pPr>
        <w:pStyle w:val="2"/>
        <w:bidi w:val="0"/>
        <w:spacing w:line="480" w:lineRule="auto"/>
        <w:jc w:val="center"/>
        <w:outlineLvl w:val="0"/>
        <w:rPr>
          <w:rFonts w:hint="eastAsia" w:ascii="宋体" w:hAnsi="宋体" w:eastAsia="宋体" w:cs="宋体"/>
          <w:b/>
          <w:bCs/>
          <w:sz w:val="32"/>
          <w:szCs w:val="32"/>
        </w:rPr>
      </w:pPr>
      <w:bookmarkStart w:id="30" w:name="_Toc78"/>
      <w:r>
        <w:rPr>
          <w:rFonts w:hint="eastAsia" w:ascii="宋体" w:hAnsi="宋体" w:eastAsia="宋体" w:cs="宋体"/>
          <w:b/>
          <w:bCs/>
          <w:sz w:val="32"/>
          <w:szCs w:val="32"/>
        </w:rPr>
        <w:t>竞争性</w:t>
      </w:r>
      <w:r>
        <w:rPr>
          <w:rFonts w:hint="eastAsia" w:ascii="宋体" w:hAnsi="宋体" w:eastAsia="宋体" w:cs="宋体"/>
          <w:b/>
          <w:bCs/>
          <w:sz w:val="32"/>
          <w:szCs w:val="32"/>
          <w:lang w:val="en-US" w:eastAsia="zh-CN"/>
        </w:rPr>
        <w:t>磋商</w:t>
      </w:r>
      <w:r>
        <w:rPr>
          <w:rFonts w:hint="eastAsia" w:ascii="宋体" w:hAnsi="宋体" w:eastAsia="宋体" w:cs="宋体"/>
          <w:b/>
          <w:bCs/>
          <w:sz w:val="32"/>
          <w:szCs w:val="32"/>
        </w:rPr>
        <w:t>第</w:t>
      </w:r>
      <w:r>
        <w:rPr>
          <w:rFonts w:hint="eastAsia" w:ascii="宋体" w:hAnsi="宋体" w:eastAsia="宋体" w:cs="宋体"/>
          <w:b/>
          <w:bCs/>
          <w:sz w:val="32"/>
          <w:szCs w:val="32"/>
          <w:u w:val="single"/>
          <w:lang w:val="en-US" w:eastAsia="zh-CN"/>
        </w:rPr>
        <w:t>（ ）</w:t>
      </w:r>
      <w:r>
        <w:rPr>
          <w:rFonts w:hint="eastAsia" w:ascii="宋体" w:hAnsi="宋体" w:eastAsia="宋体" w:cs="宋体"/>
          <w:b/>
          <w:bCs/>
          <w:sz w:val="32"/>
          <w:szCs w:val="32"/>
        </w:rPr>
        <w:t>次报价单（单独提供）</w:t>
      </w:r>
      <w:bookmarkEnd w:id="28"/>
      <w:bookmarkEnd w:id="29"/>
      <w:bookmarkEnd w:id="30"/>
    </w:p>
    <w:p>
      <w:pPr>
        <w:rPr>
          <w:rFonts w:hint="eastAsia"/>
        </w:rPr>
      </w:pPr>
    </w:p>
    <w:p>
      <w:pPr>
        <w:pStyle w:val="2"/>
        <w:bidi w:val="0"/>
        <w:spacing w:line="480" w:lineRule="auto"/>
        <w:rPr>
          <w:rFonts w:hint="default" w:ascii="宋体" w:hAnsi="宋体" w:eastAsia="宋体" w:cs="宋体"/>
          <w:sz w:val="24"/>
          <w:szCs w:val="24"/>
          <w:u w:val="single"/>
          <w:lang w:val="en-US" w:eastAsia="zh-CN"/>
        </w:rPr>
      </w:pP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trike w:val="0"/>
          <w:dstrike w:val="0"/>
          <w:sz w:val="24"/>
          <w:szCs w:val="24"/>
          <w:u w:val="none"/>
          <w:lang w:val="en-US" w:eastAsia="zh-CN"/>
        </w:rPr>
        <w:t>（招标人）</w:t>
      </w:r>
    </w:p>
    <w:p>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val="en-US" w:eastAsia="zh-CN"/>
        </w:rPr>
        <w:t>竞争性磋商文件</w:t>
      </w:r>
      <w:r>
        <w:rPr>
          <w:rFonts w:hint="eastAsia" w:ascii="宋体" w:hAnsi="宋体" w:eastAsia="宋体" w:cs="宋体"/>
          <w:sz w:val="24"/>
          <w:szCs w:val="24"/>
        </w:rPr>
        <w:t>上明确的各项要求，本人经请示公司领导同意并代表本公司对</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项目名称）                     </w:t>
      </w:r>
      <w:r>
        <w:rPr>
          <w:rFonts w:hint="eastAsia" w:ascii="宋体" w:hAnsi="宋体" w:eastAsia="宋体" w:cs="宋体"/>
          <w:sz w:val="24"/>
          <w:szCs w:val="24"/>
        </w:rPr>
        <w:t>竞争性</w:t>
      </w:r>
      <w:r>
        <w:rPr>
          <w:rFonts w:hint="eastAsia" w:ascii="宋体" w:hAnsi="宋体" w:eastAsia="宋体" w:cs="宋体"/>
          <w:sz w:val="24"/>
          <w:szCs w:val="24"/>
          <w:lang w:val="en-US" w:eastAsia="zh-CN"/>
        </w:rPr>
        <w:t>磋商</w:t>
      </w:r>
      <w:r>
        <w:rPr>
          <w:rFonts w:hint="eastAsia" w:ascii="宋体" w:hAnsi="宋体" w:eastAsia="宋体" w:cs="宋体"/>
          <w:sz w:val="24"/>
          <w:szCs w:val="24"/>
        </w:rPr>
        <w:t>做出最终报价（人民币）如下：</w:t>
      </w:r>
    </w:p>
    <w:p>
      <w:pPr>
        <w:pStyle w:val="2"/>
        <w:bidi w:val="0"/>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2"/>
        <w:bidi w:val="0"/>
        <w:spacing w:line="480" w:lineRule="auto"/>
        <w:rPr>
          <w:rFonts w:hint="eastAsia" w:ascii="宋体" w:hAnsi="宋体" w:eastAsia="宋体" w:cs="宋体"/>
          <w:sz w:val="24"/>
          <w:szCs w:val="24"/>
        </w:rPr>
      </w:pPr>
      <w:r>
        <w:rPr>
          <w:rFonts w:hint="eastAsia" w:ascii="宋体" w:hAnsi="宋体" w:eastAsia="宋体" w:cs="宋体"/>
          <w:sz w:val="24"/>
          <w:szCs w:val="24"/>
        </w:rPr>
        <w:t xml:space="preserve">报价：  </w:t>
      </w:r>
      <w:r>
        <w:rPr>
          <w:rFonts w:hint="eastAsia" w:ascii="宋体" w:hAnsi="宋体" w:eastAsia="宋体" w:cs="宋体"/>
          <w:sz w:val="24"/>
          <w:szCs w:val="24"/>
          <w:lang w:val="en-US" w:eastAsia="zh-CN"/>
        </w:rPr>
        <w:t xml:space="preserve">                    （小写）</w:t>
      </w:r>
      <w:r>
        <w:rPr>
          <w:rFonts w:hint="eastAsia" w:ascii="宋体" w:hAnsi="宋体" w:eastAsia="宋体" w:cs="宋体"/>
          <w:sz w:val="24"/>
          <w:szCs w:val="24"/>
        </w:rPr>
        <w:t xml:space="preserve">     </w:t>
      </w:r>
    </w:p>
    <w:p>
      <w:pPr>
        <w:pStyle w:val="2"/>
        <w:bidi w:val="0"/>
        <w:spacing w:line="48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（大写）</w:t>
      </w:r>
      <w:r>
        <w:rPr>
          <w:rFonts w:hint="eastAsia" w:ascii="宋体" w:hAnsi="宋体" w:eastAsia="宋体" w:cs="宋体"/>
          <w:sz w:val="24"/>
          <w:szCs w:val="24"/>
        </w:rPr>
        <w:t xml:space="preserve">            </w:t>
      </w:r>
    </w:p>
    <w:p>
      <w:pPr>
        <w:pStyle w:val="2"/>
        <w:bidi w:val="0"/>
        <w:spacing w:line="480" w:lineRule="auto"/>
        <w:rPr>
          <w:rFonts w:hint="eastAsia" w:ascii="宋体" w:hAnsi="宋体" w:eastAsia="宋体" w:cs="宋体"/>
          <w:sz w:val="24"/>
          <w:szCs w:val="24"/>
        </w:rPr>
      </w:pPr>
      <w:r>
        <w:rPr>
          <w:rFonts w:hint="eastAsia" w:ascii="宋体" w:hAnsi="宋体" w:eastAsia="宋体" w:cs="宋体"/>
          <w:sz w:val="24"/>
          <w:szCs w:val="24"/>
        </w:rPr>
        <w:t>相关补充说明：</w:t>
      </w:r>
    </w:p>
    <w:p>
      <w:pPr>
        <w:pStyle w:val="2"/>
        <w:bidi w:val="0"/>
        <w:spacing w:line="480" w:lineRule="auto"/>
        <w:rPr>
          <w:rFonts w:hint="eastAsia" w:ascii="宋体" w:hAnsi="宋体" w:eastAsia="宋体" w:cs="宋体"/>
          <w:sz w:val="24"/>
          <w:szCs w:val="24"/>
        </w:rPr>
      </w:pPr>
    </w:p>
    <w:p>
      <w:pPr>
        <w:rPr>
          <w:rFonts w:hint="eastAsia"/>
        </w:rPr>
      </w:pPr>
    </w:p>
    <w:p>
      <w:pPr>
        <w:ind w:firstLine="5280" w:firstLineChars="2200"/>
        <w:jc w:val="center"/>
        <w:rPr>
          <w:rFonts w:hint="eastAsia" w:ascii="宋体" w:hAnsi="宋体" w:eastAsia="宋体" w:cs="宋体"/>
          <w:sz w:val="24"/>
          <w:szCs w:val="24"/>
        </w:rPr>
      </w:pPr>
      <w:r>
        <w:rPr>
          <w:rFonts w:hint="eastAsia" w:ascii="宋体" w:hAnsi="宋体" w:eastAsia="宋体" w:cs="宋体"/>
          <w:sz w:val="24"/>
          <w:szCs w:val="24"/>
        </w:rPr>
        <w:t xml:space="preserve">供应商名称（盖章）：                            </w:t>
      </w:r>
    </w:p>
    <w:p>
      <w:pPr>
        <w:jc w:val="left"/>
        <w:rPr>
          <w:rFonts w:hint="eastAsia" w:ascii="宋体" w:hAnsi="宋体" w:eastAsia="宋体" w:cs="宋体"/>
          <w:sz w:val="24"/>
          <w:szCs w:val="24"/>
        </w:rPr>
      </w:pPr>
    </w:p>
    <w:p>
      <w:pPr>
        <w:ind w:firstLine="4560" w:firstLineChars="1900"/>
        <w:jc w:val="both"/>
        <w:rPr>
          <w:rFonts w:hint="eastAsia" w:ascii="宋体" w:hAnsi="宋体" w:eastAsia="宋体" w:cs="宋体"/>
          <w:sz w:val="24"/>
          <w:szCs w:val="24"/>
        </w:rPr>
      </w:pPr>
      <w:r>
        <w:rPr>
          <w:rFonts w:hint="eastAsia" w:ascii="宋体" w:hAnsi="宋体" w:eastAsia="宋体" w:cs="宋体"/>
          <w:sz w:val="24"/>
          <w:szCs w:val="24"/>
        </w:rPr>
        <w:t>法定代表人或授权代表（签字或盖章）：</w:t>
      </w:r>
    </w:p>
    <w:p>
      <w:pPr>
        <w:snapToGrid w:val="0"/>
        <w:spacing w:before="50" w:after="50" w:line="500" w:lineRule="exact"/>
        <w:ind w:left="5615" w:leftChars="331" w:right="-817" w:rightChars="-389" w:hanging="4920" w:hangingChars="205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    年   月   日</w:t>
      </w:r>
    </w:p>
    <w:p>
      <w:pPr>
        <w:pStyle w:val="2"/>
        <w:bidi w:val="0"/>
        <w:spacing w:line="480" w:lineRule="auto"/>
        <w:rPr>
          <w:rFonts w:hint="eastAsia" w:ascii="宋体" w:hAnsi="宋体" w:eastAsia="宋体" w:cs="宋体"/>
          <w:b/>
          <w:bCs/>
          <w:sz w:val="24"/>
          <w:szCs w:val="24"/>
          <w:highlight w:val="none"/>
          <w:u w:val="single"/>
          <w:lang w:eastAsia="zh-CN"/>
        </w:rPr>
      </w:pPr>
    </w:p>
    <w:p/>
    <w:sectPr>
      <w:headerReference r:id="rId10" w:type="first"/>
      <w:footerReference r:id="rId11" w:type="default"/>
      <w:pgSz w:w="11906" w:h="16838"/>
      <w:pgMar w:top="1418" w:right="1196" w:bottom="1418" w:left="1701" w:header="851" w:footer="590" w:gutter="0"/>
      <w:pgBorders>
        <w:top w:val="none" w:sz="0" w:space="0"/>
        <w:left w:val="none" w:sz="0" w:space="0"/>
        <w:bottom w:val="none" w:sz="0" w:space="0"/>
        <w:right w:val="none" w:sz="0" w:space="0"/>
      </w:pgBorders>
      <w:cols w:space="720" w:num="1"/>
      <w:docGrid w:linePitch="312" w:charSpace="-11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ind w:firstLine="360"/>
      <w:rPr>
        <w:rStyle w:val="32"/>
      </w:rPr>
    </w:pPr>
    <w:r>
      <w:fldChar w:fldCharType="begin"/>
    </w:r>
    <w:r>
      <w:rPr>
        <w:rStyle w:val="32"/>
      </w:rPr>
      <w:instrText xml:space="preserve">PAGE  </w:instrText>
    </w:r>
    <w:r>
      <w:fldChar w:fldCharType="separate"/>
    </w:r>
    <w:r>
      <w:rPr>
        <w:rStyle w:val="32"/>
      </w:rPr>
      <w:t>11</w:t>
    </w:r>
    <w:r>
      <w:fldChar w:fldCharType="end"/>
    </w:r>
  </w:p>
  <w:p>
    <w:pPr>
      <w:pStyle w:val="19"/>
      <w:ind w:right="108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ind w:firstLine="360"/>
      <w:rPr>
        <w:rStyle w:val="32"/>
      </w:rPr>
    </w:pPr>
    <w:r>
      <w:fldChar w:fldCharType="begin"/>
    </w:r>
    <w:r>
      <w:rPr>
        <w:rStyle w:val="32"/>
      </w:rPr>
      <w:instrText xml:space="preserve">PAGE  </w:instrText>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104"/>
      <w:jc w:val="center"/>
    </w:pPr>
    <w:r>
      <w:fldChar w:fldCharType="begin"/>
    </w:r>
    <w:r>
      <w:instrText xml:space="preserve"> PAGE   \* MERGEFORMAT </w:instrText>
    </w:r>
    <w:r>
      <w:fldChar w:fldCharType="separate"/>
    </w:r>
    <w:r>
      <w:rPr>
        <w:sz w:val="18"/>
      </w:rPr>
      <w:t>11</w:t>
    </w:r>
    <w:r>
      <w:rPr>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fldChar w:fldCharType="begin"/>
    </w:r>
    <w:r>
      <w:instrText xml:space="preserve">PAGE   \* MERGEFORMAT</w:instrText>
    </w:r>
    <w:r>
      <w:fldChar w:fldCharType="separate"/>
    </w:r>
    <w:r>
      <w:rPr>
        <w:lang w:val="zh-CN"/>
      </w:rPr>
      <w:t>13</w: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2711" w:firstLineChars="1500"/>
      <w:jc w:val="right"/>
      <w:rPr>
        <w:b/>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hint="default" w:eastAsia="宋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1"/>
    </w:pPr>
    <w:r>
      <w:rPr>
        <w:rFonts w:hint="eastAsia"/>
        <w:b/>
      </w:rPr>
      <w:t>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52DC4"/>
    <w:multiLevelType w:val="singleLevel"/>
    <w:tmpl w:val="B2452DC4"/>
    <w:lvl w:ilvl="0" w:tentative="0">
      <w:start w:val="2"/>
      <w:numFmt w:val="chineseCounting"/>
      <w:suff w:val="nothing"/>
      <w:lvlText w:val="%1、"/>
      <w:lvlJc w:val="left"/>
      <w:pPr>
        <w:ind w:left="-210"/>
      </w:pPr>
      <w:rPr>
        <w:rFonts w:hint="eastAsia"/>
      </w:rPr>
    </w:lvl>
  </w:abstractNum>
  <w:abstractNum w:abstractNumId="1">
    <w:nsid w:val="030795D0"/>
    <w:multiLevelType w:val="singleLevel"/>
    <w:tmpl w:val="030795D0"/>
    <w:lvl w:ilvl="0" w:tentative="0">
      <w:start w:val="5"/>
      <w:numFmt w:val="decimal"/>
      <w:suff w:val="nothing"/>
      <w:lvlText w:val="（%1）"/>
      <w:lvlJc w:val="left"/>
    </w:lvl>
  </w:abstractNum>
  <w:abstractNum w:abstractNumId="2">
    <w:nsid w:val="232F2446"/>
    <w:multiLevelType w:val="singleLevel"/>
    <w:tmpl w:val="232F2446"/>
    <w:lvl w:ilvl="0" w:tentative="0">
      <w:start w:val="1"/>
      <w:numFmt w:val="decimal"/>
      <w:suff w:val="space"/>
      <w:lvlText w:val="%1."/>
      <w:lvlJc w:val="left"/>
    </w:lvl>
  </w:abstractNum>
  <w:abstractNum w:abstractNumId="3">
    <w:nsid w:val="50B74215"/>
    <w:multiLevelType w:val="multilevel"/>
    <w:tmpl w:val="50B74215"/>
    <w:lvl w:ilvl="0" w:tentative="0">
      <w:start w:val="1"/>
      <w:numFmt w:val="decimal"/>
      <w:lvlText w:val="（%1）"/>
      <w:lvlJc w:val="left"/>
      <w:pPr>
        <w:ind w:left="1198" w:hanging="720"/>
      </w:pPr>
      <w:rPr>
        <w:rFonts w:hint="default"/>
      </w:rPr>
    </w:lvl>
    <w:lvl w:ilvl="1" w:tentative="0">
      <w:start w:val="1"/>
      <w:numFmt w:val="lowerLetter"/>
      <w:lvlText w:val="%2)"/>
      <w:lvlJc w:val="left"/>
      <w:pPr>
        <w:ind w:left="1318" w:hanging="420"/>
      </w:pPr>
    </w:lvl>
    <w:lvl w:ilvl="2" w:tentative="0">
      <w:start w:val="1"/>
      <w:numFmt w:val="lowerRoman"/>
      <w:lvlText w:val="%3."/>
      <w:lvlJc w:val="right"/>
      <w:pPr>
        <w:ind w:left="1738" w:hanging="420"/>
      </w:pPr>
    </w:lvl>
    <w:lvl w:ilvl="3" w:tentative="0">
      <w:start w:val="1"/>
      <w:numFmt w:val="decimal"/>
      <w:lvlText w:val="%4."/>
      <w:lvlJc w:val="left"/>
      <w:pPr>
        <w:ind w:left="2158" w:hanging="420"/>
      </w:pPr>
    </w:lvl>
    <w:lvl w:ilvl="4" w:tentative="0">
      <w:start w:val="1"/>
      <w:numFmt w:val="lowerLetter"/>
      <w:lvlText w:val="%5)"/>
      <w:lvlJc w:val="left"/>
      <w:pPr>
        <w:ind w:left="2578" w:hanging="420"/>
      </w:pPr>
    </w:lvl>
    <w:lvl w:ilvl="5" w:tentative="0">
      <w:start w:val="1"/>
      <w:numFmt w:val="lowerRoman"/>
      <w:lvlText w:val="%6."/>
      <w:lvlJc w:val="right"/>
      <w:pPr>
        <w:ind w:left="2998" w:hanging="420"/>
      </w:pPr>
    </w:lvl>
    <w:lvl w:ilvl="6" w:tentative="0">
      <w:start w:val="1"/>
      <w:numFmt w:val="decimal"/>
      <w:lvlText w:val="%7."/>
      <w:lvlJc w:val="left"/>
      <w:pPr>
        <w:ind w:left="3418" w:hanging="420"/>
      </w:pPr>
    </w:lvl>
    <w:lvl w:ilvl="7" w:tentative="0">
      <w:start w:val="1"/>
      <w:numFmt w:val="lowerLetter"/>
      <w:lvlText w:val="%8)"/>
      <w:lvlJc w:val="left"/>
      <w:pPr>
        <w:ind w:left="3838" w:hanging="420"/>
      </w:pPr>
    </w:lvl>
    <w:lvl w:ilvl="8" w:tentative="0">
      <w:start w:val="1"/>
      <w:numFmt w:val="lowerRoman"/>
      <w:lvlText w:val="%9."/>
      <w:lvlJc w:val="right"/>
      <w:pPr>
        <w:ind w:left="4258" w:hanging="420"/>
      </w:pPr>
    </w:lvl>
  </w:abstractNum>
  <w:abstractNum w:abstractNumId="4">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5">
    <w:nsid w:val="5F26443D"/>
    <w:multiLevelType w:val="singleLevel"/>
    <w:tmpl w:val="5F26443D"/>
    <w:lvl w:ilvl="0" w:tentative="0">
      <w:start w:val="5"/>
      <w:numFmt w:val="chineseCounting"/>
      <w:suff w:val="nothing"/>
      <w:lvlText w:val="%1、"/>
      <w:lvlJc w:val="left"/>
      <w:rPr>
        <w:rFonts w:hint="eastAsia"/>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M2RhODQ4Y2FkMDNjZjNjOTExN2RkMWY1NWY3ODcifQ=="/>
  </w:docVars>
  <w:rsids>
    <w:rsidRoot w:val="00676FD0"/>
    <w:rsid w:val="000001ED"/>
    <w:rsid w:val="0000107A"/>
    <w:rsid w:val="000010E2"/>
    <w:rsid w:val="00002870"/>
    <w:rsid w:val="00003E9B"/>
    <w:rsid w:val="00004CAD"/>
    <w:rsid w:val="00004D70"/>
    <w:rsid w:val="000052D0"/>
    <w:rsid w:val="00006097"/>
    <w:rsid w:val="00007402"/>
    <w:rsid w:val="00012698"/>
    <w:rsid w:val="000135AB"/>
    <w:rsid w:val="00013F60"/>
    <w:rsid w:val="00014CD6"/>
    <w:rsid w:val="00015255"/>
    <w:rsid w:val="0001732D"/>
    <w:rsid w:val="00017C9E"/>
    <w:rsid w:val="00017E78"/>
    <w:rsid w:val="00020659"/>
    <w:rsid w:val="00021743"/>
    <w:rsid w:val="0002181E"/>
    <w:rsid w:val="00022019"/>
    <w:rsid w:val="000233CA"/>
    <w:rsid w:val="00025376"/>
    <w:rsid w:val="00026ABA"/>
    <w:rsid w:val="0002738D"/>
    <w:rsid w:val="00027750"/>
    <w:rsid w:val="00027B31"/>
    <w:rsid w:val="000302F9"/>
    <w:rsid w:val="000306A7"/>
    <w:rsid w:val="00031258"/>
    <w:rsid w:val="000315BE"/>
    <w:rsid w:val="0003460A"/>
    <w:rsid w:val="00034E0E"/>
    <w:rsid w:val="00035446"/>
    <w:rsid w:val="00040740"/>
    <w:rsid w:val="00040B31"/>
    <w:rsid w:val="00040CBD"/>
    <w:rsid w:val="00040E41"/>
    <w:rsid w:val="000418B8"/>
    <w:rsid w:val="00042D58"/>
    <w:rsid w:val="00043070"/>
    <w:rsid w:val="000448BF"/>
    <w:rsid w:val="000452BB"/>
    <w:rsid w:val="00046131"/>
    <w:rsid w:val="00047539"/>
    <w:rsid w:val="00047BAA"/>
    <w:rsid w:val="0005025E"/>
    <w:rsid w:val="000536E3"/>
    <w:rsid w:val="00054C75"/>
    <w:rsid w:val="0005580A"/>
    <w:rsid w:val="00056451"/>
    <w:rsid w:val="000564C0"/>
    <w:rsid w:val="00056620"/>
    <w:rsid w:val="000570F9"/>
    <w:rsid w:val="00057378"/>
    <w:rsid w:val="0005765B"/>
    <w:rsid w:val="00060822"/>
    <w:rsid w:val="00060A5B"/>
    <w:rsid w:val="000633D0"/>
    <w:rsid w:val="00064036"/>
    <w:rsid w:val="000660FB"/>
    <w:rsid w:val="000663C0"/>
    <w:rsid w:val="00066A78"/>
    <w:rsid w:val="00066EC2"/>
    <w:rsid w:val="0007044F"/>
    <w:rsid w:val="0007076E"/>
    <w:rsid w:val="00070922"/>
    <w:rsid w:val="00071227"/>
    <w:rsid w:val="00071834"/>
    <w:rsid w:val="00072559"/>
    <w:rsid w:val="00072AA2"/>
    <w:rsid w:val="000754E2"/>
    <w:rsid w:val="0007638E"/>
    <w:rsid w:val="000765DB"/>
    <w:rsid w:val="00077107"/>
    <w:rsid w:val="0007732A"/>
    <w:rsid w:val="000775E0"/>
    <w:rsid w:val="00077E2A"/>
    <w:rsid w:val="00077E8E"/>
    <w:rsid w:val="00077FCD"/>
    <w:rsid w:val="000800E9"/>
    <w:rsid w:val="00080603"/>
    <w:rsid w:val="000817BC"/>
    <w:rsid w:val="00081B00"/>
    <w:rsid w:val="000822F2"/>
    <w:rsid w:val="00082760"/>
    <w:rsid w:val="00083430"/>
    <w:rsid w:val="00083538"/>
    <w:rsid w:val="0008379D"/>
    <w:rsid w:val="000837A6"/>
    <w:rsid w:val="00083DE9"/>
    <w:rsid w:val="00084473"/>
    <w:rsid w:val="00085568"/>
    <w:rsid w:val="00086342"/>
    <w:rsid w:val="00086A61"/>
    <w:rsid w:val="000920D6"/>
    <w:rsid w:val="00092116"/>
    <w:rsid w:val="00092588"/>
    <w:rsid w:val="00093507"/>
    <w:rsid w:val="000944D6"/>
    <w:rsid w:val="000972CA"/>
    <w:rsid w:val="00097AFC"/>
    <w:rsid w:val="000A1EE5"/>
    <w:rsid w:val="000A3C66"/>
    <w:rsid w:val="000A5DA7"/>
    <w:rsid w:val="000A65A4"/>
    <w:rsid w:val="000A7386"/>
    <w:rsid w:val="000B2225"/>
    <w:rsid w:val="000B418C"/>
    <w:rsid w:val="000B4864"/>
    <w:rsid w:val="000B5477"/>
    <w:rsid w:val="000B7206"/>
    <w:rsid w:val="000B76BD"/>
    <w:rsid w:val="000B779E"/>
    <w:rsid w:val="000B7B2C"/>
    <w:rsid w:val="000B7B9D"/>
    <w:rsid w:val="000C22D6"/>
    <w:rsid w:val="000C3BAE"/>
    <w:rsid w:val="000C4E72"/>
    <w:rsid w:val="000C51D1"/>
    <w:rsid w:val="000C5D7B"/>
    <w:rsid w:val="000C6812"/>
    <w:rsid w:val="000C7056"/>
    <w:rsid w:val="000C7A22"/>
    <w:rsid w:val="000C7EC2"/>
    <w:rsid w:val="000D05DC"/>
    <w:rsid w:val="000D0630"/>
    <w:rsid w:val="000D1DB7"/>
    <w:rsid w:val="000D35B8"/>
    <w:rsid w:val="000D6F54"/>
    <w:rsid w:val="000D720C"/>
    <w:rsid w:val="000E0129"/>
    <w:rsid w:val="000E0660"/>
    <w:rsid w:val="000E07FD"/>
    <w:rsid w:val="000E0BFD"/>
    <w:rsid w:val="000E1261"/>
    <w:rsid w:val="000E1965"/>
    <w:rsid w:val="000E232D"/>
    <w:rsid w:val="000E2995"/>
    <w:rsid w:val="000E31B6"/>
    <w:rsid w:val="000E33F9"/>
    <w:rsid w:val="000E35B9"/>
    <w:rsid w:val="000E4F78"/>
    <w:rsid w:val="000E5744"/>
    <w:rsid w:val="000E5957"/>
    <w:rsid w:val="000E5B99"/>
    <w:rsid w:val="000E5F3E"/>
    <w:rsid w:val="000E6A74"/>
    <w:rsid w:val="000E77F2"/>
    <w:rsid w:val="000E7921"/>
    <w:rsid w:val="000E7DFD"/>
    <w:rsid w:val="000E7EBC"/>
    <w:rsid w:val="000F06DC"/>
    <w:rsid w:val="000F332B"/>
    <w:rsid w:val="000F4571"/>
    <w:rsid w:val="000F45F8"/>
    <w:rsid w:val="000F5091"/>
    <w:rsid w:val="000F5097"/>
    <w:rsid w:val="000F5F6B"/>
    <w:rsid w:val="000F6DED"/>
    <w:rsid w:val="00100410"/>
    <w:rsid w:val="00100E52"/>
    <w:rsid w:val="00101DC5"/>
    <w:rsid w:val="001021DF"/>
    <w:rsid w:val="0010264F"/>
    <w:rsid w:val="00104792"/>
    <w:rsid w:val="00104CF4"/>
    <w:rsid w:val="00104D48"/>
    <w:rsid w:val="00104ECC"/>
    <w:rsid w:val="00105BE4"/>
    <w:rsid w:val="00106733"/>
    <w:rsid w:val="00107A33"/>
    <w:rsid w:val="00107F10"/>
    <w:rsid w:val="00107F8B"/>
    <w:rsid w:val="001115D1"/>
    <w:rsid w:val="00111EE7"/>
    <w:rsid w:val="001126C6"/>
    <w:rsid w:val="00112E5A"/>
    <w:rsid w:val="00114704"/>
    <w:rsid w:val="00116023"/>
    <w:rsid w:val="00116247"/>
    <w:rsid w:val="001166BD"/>
    <w:rsid w:val="00116E18"/>
    <w:rsid w:val="00116FB0"/>
    <w:rsid w:val="00117289"/>
    <w:rsid w:val="001178D6"/>
    <w:rsid w:val="00120AB5"/>
    <w:rsid w:val="00120B34"/>
    <w:rsid w:val="00120B4C"/>
    <w:rsid w:val="00121527"/>
    <w:rsid w:val="0012159F"/>
    <w:rsid w:val="00121791"/>
    <w:rsid w:val="0012262E"/>
    <w:rsid w:val="00122701"/>
    <w:rsid w:val="0012301F"/>
    <w:rsid w:val="0012303F"/>
    <w:rsid w:val="001261AB"/>
    <w:rsid w:val="00126FED"/>
    <w:rsid w:val="00127B15"/>
    <w:rsid w:val="00130C60"/>
    <w:rsid w:val="0013133C"/>
    <w:rsid w:val="001315D9"/>
    <w:rsid w:val="00131881"/>
    <w:rsid w:val="001339FA"/>
    <w:rsid w:val="00136B38"/>
    <w:rsid w:val="00137531"/>
    <w:rsid w:val="00140B8E"/>
    <w:rsid w:val="001419FB"/>
    <w:rsid w:val="00145E09"/>
    <w:rsid w:val="00146418"/>
    <w:rsid w:val="001475D6"/>
    <w:rsid w:val="0015077D"/>
    <w:rsid w:val="00150E48"/>
    <w:rsid w:val="00151091"/>
    <w:rsid w:val="00153404"/>
    <w:rsid w:val="00153530"/>
    <w:rsid w:val="0015357D"/>
    <w:rsid w:val="00154BA3"/>
    <w:rsid w:val="00154EC6"/>
    <w:rsid w:val="00154FC3"/>
    <w:rsid w:val="001551AD"/>
    <w:rsid w:val="00155A8B"/>
    <w:rsid w:val="00155E50"/>
    <w:rsid w:val="00156CA3"/>
    <w:rsid w:val="00157018"/>
    <w:rsid w:val="001572BC"/>
    <w:rsid w:val="00157F2A"/>
    <w:rsid w:val="001601CF"/>
    <w:rsid w:val="001603A8"/>
    <w:rsid w:val="001603A9"/>
    <w:rsid w:val="00160F6F"/>
    <w:rsid w:val="00165D8B"/>
    <w:rsid w:val="00176F7E"/>
    <w:rsid w:val="00177860"/>
    <w:rsid w:val="00177A35"/>
    <w:rsid w:val="001822EE"/>
    <w:rsid w:val="0018316C"/>
    <w:rsid w:val="00184ABD"/>
    <w:rsid w:val="00185AF2"/>
    <w:rsid w:val="00186047"/>
    <w:rsid w:val="00187067"/>
    <w:rsid w:val="001878BC"/>
    <w:rsid w:val="0019079D"/>
    <w:rsid w:val="001918C6"/>
    <w:rsid w:val="00192972"/>
    <w:rsid w:val="00192A6C"/>
    <w:rsid w:val="00192EF9"/>
    <w:rsid w:val="00194248"/>
    <w:rsid w:val="00194DCC"/>
    <w:rsid w:val="0019562B"/>
    <w:rsid w:val="001A0E6A"/>
    <w:rsid w:val="001A1D1A"/>
    <w:rsid w:val="001A2968"/>
    <w:rsid w:val="001A3760"/>
    <w:rsid w:val="001A4CB7"/>
    <w:rsid w:val="001A5107"/>
    <w:rsid w:val="001A5258"/>
    <w:rsid w:val="001A5844"/>
    <w:rsid w:val="001A65A0"/>
    <w:rsid w:val="001A66DA"/>
    <w:rsid w:val="001A6D9E"/>
    <w:rsid w:val="001A6EA2"/>
    <w:rsid w:val="001B1AE6"/>
    <w:rsid w:val="001B1B6A"/>
    <w:rsid w:val="001B315F"/>
    <w:rsid w:val="001B38DB"/>
    <w:rsid w:val="001B4854"/>
    <w:rsid w:val="001B5507"/>
    <w:rsid w:val="001B5966"/>
    <w:rsid w:val="001B5D3E"/>
    <w:rsid w:val="001B6E2B"/>
    <w:rsid w:val="001B7C32"/>
    <w:rsid w:val="001C3873"/>
    <w:rsid w:val="001C518E"/>
    <w:rsid w:val="001C53A6"/>
    <w:rsid w:val="001C7016"/>
    <w:rsid w:val="001D0400"/>
    <w:rsid w:val="001D0C11"/>
    <w:rsid w:val="001D0FDC"/>
    <w:rsid w:val="001D107D"/>
    <w:rsid w:val="001D113E"/>
    <w:rsid w:val="001D1215"/>
    <w:rsid w:val="001D2265"/>
    <w:rsid w:val="001D22E4"/>
    <w:rsid w:val="001D31FD"/>
    <w:rsid w:val="001D3B3F"/>
    <w:rsid w:val="001D3C2D"/>
    <w:rsid w:val="001D413B"/>
    <w:rsid w:val="001D4346"/>
    <w:rsid w:val="001D5DEA"/>
    <w:rsid w:val="001D67E8"/>
    <w:rsid w:val="001D73C3"/>
    <w:rsid w:val="001D752D"/>
    <w:rsid w:val="001D7A7B"/>
    <w:rsid w:val="001E0364"/>
    <w:rsid w:val="001E0540"/>
    <w:rsid w:val="001E1107"/>
    <w:rsid w:val="001E1118"/>
    <w:rsid w:val="001E1B81"/>
    <w:rsid w:val="001E2620"/>
    <w:rsid w:val="001E2956"/>
    <w:rsid w:val="001E2AE5"/>
    <w:rsid w:val="001E3721"/>
    <w:rsid w:val="001E4282"/>
    <w:rsid w:val="001E5AE3"/>
    <w:rsid w:val="001E6357"/>
    <w:rsid w:val="001E745B"/>
    <w:rsid w:val="001F0248"/>
    <w:rsid w:val="001F02CB"/>
    <w:rsid w:val="001F0504"/>
    <w:rsid w:val="001F1138"/>
    <w:rsid w:val="001F145D"/>
    <w:rsid w:val="001F307B"/>
    <w:rsid w:val="001F4100"/>
    <w:rsid w:val="001F4ABB"/>
    <w:rsid w:val="001F5231"/>
    <w:rsid w:val="002001EB"/>
    <w:rsid w:val="002009BD"/>
    <w:rsid w:val="00200A4C"/>
    <w:rsid w:val="00201010"/>
    <w:rsid w:val="00201B1C"/>
    <w:rsid w:val="0020371E"/>
    <w:rsid w:val="00203ADF"/>
    <w:rsid w:val="00204561"/>
    <w:rsid w:val="00204B0A"/>
    <w:rsid w:val="00204BF3"/>
    <w:rsid w:val="002064FF"/>
    <w:rsid w:val="002067B0"/>
    <w:rsid w:val="002117F9"/>
    <w:rsid w:val="002142A7"/>
    <w:rsid w:val="00215488"/>
    <w:rsid w:val="00215FDD"/>
    <w:rsid w:val="00216EE1"/>
    <w:rsid w:val="00217A7A"/>
    <w:rsid w:val="0022070B"/>
    <w:rsid w:val="002225B6"/>
    <w:rsid w:val="00222868"/>
    <w:rsid w:val="00222B72"/>
    <w:rsid w:val="002239A7"/>
    <w:rsid w:val="00223B8A"/>
    <w:rsid w:val="002251B8"/>
    <w:rsid w:val="00225E54"/>
    <w:rsid w:val="0023334E"/>
    <w:rsid w:val="0023341C"/>
    <w:rsid w:val="00237012"/>
    <w:rsid w:val="00237B4C"/>
    <w:rsid w:val="00237D5A"/>
    <w:rsid w:val="002407C7"/>
    <w:rsid w:val="002412D0"/>
    <w:rsid w:val="00241330"/>
    <w:rsid w:val="00242D6A"/>
    <w:rsid w:val="00243F87"/>
    <w:rsid w:val="002442F4"/>
    <w:rsid w:val="0024559E"/>
    <w:rsid w:val="00246923"/>
    <w:rsid w:val="00246CD4"/>
    <w:rsid w:val="00247B3E"/>
    <w:rsid w:val="00250F98"/>
    <w:rsid w:val="002517E5"/>
    <w:rsid w:val="0025180B"/>
    <w:rsid w:val="00253BBD"/>
    <w:rsid w:val="00254137"/>
    <w:rsid w:val="00254821"/>
    <w:rsid w:val="00254A4B"/>
    <w:rsid w:val="00255103"/>
    <w:rsid w:val="00255452"/>
    <w:rsid w:val="00255579"/>
    <w:rsid w:val="0025563F"/>
    <w:rsid w:val="00260177"/>
    <w:rsid w:val="0026048F"/>
    <w:rsid w:val="002606DA"/>
    <w:rsid w:val="00260C31"/>
    <w:rsid w:val="0026140D"/>
    <w:rsid w:val="00261DFF"/>
    <w:rsid w:val="002622DA"/>
    <w:rsid w:val="00262536"/>
    <w:rsid w:val="0026316F"/>
    <w:rsid w:val="00263866"/>
    <w:rsid w:val="002638E4"/>
    <w:rsid w:val="00263924"/>
    <w:rsid w:val="00264B57"/>
    <w:rsid w:val="00267CA0"/>
    <w:rsid w:val="00267CF3"/>
    <w:rsid w:val="002705BD"/>
    <w:rsid w:val="00270AE0"/>
    <w:rsid w:val="00270E2B"/>
    <w:rsid w:val="00272E18"/>
    <w:rsid w:val="00273053"/>
    <w:rsid w:val="00274337"/>
    <w:rsid w:val="002757CC"/>
    <w:rsid w:val="00277063"/>
    <w:rsid w:val="0027727F"/>
    <w:rsid w:val="002775CA"/>
    <w:rsid w:val="00280182"/>
    <w:rsid w:val="0028171D"/>
    <w:rsid w:val="00282A66"/>
    <w:rsid w:val="00282B56"/>
    <w:rsid w:val="00282FFF"/>
    <w:rsid w:val="00284544"/>
    <w:rsid w:val="00284A39"/>
    <w:rsid w:val="0028620C"/>
    <w:rsid w:val="00286FC4"/>
    <w:rsid w:val="00287785"/>
    <w:rsid w:val="0028798B"/>
    <w:rsid w:val="00287FE8"/>
    <w:rsid w:val="002906CF"/>
    <w:rsid w:val="002909FF"/>
    <w:rsid w:val="002914A8"/>
    <w:rsid w:val="00291C0E"/>
    <w:rsid w:val="00292018"/>
    <w:rsid w:val="00293063"/>
    <w:rsid w:val="0029324A"/>
    <w:rsid w:val="00293F94"/>
    <w:rsid w:val="0029485A"/>
    <w:rsid w:val="00295637"/>
    <w:rsid w:val="00296839"/>
    <w:rsid w:val="002972F5"/>
    <w:rsid w:val="002A0B68"/>
    <w:rsid w:val="002A13A6"/>
    <w:rsid w:val="002A1F92"/>
    <w:rsid w:val="002A20CC"/>
    <w:rsid w:val="002A218F"/>
    <w:rsid w:val="002A26F7"/>
    <w:rsid w:val="002A5A24"/>
    <w:rsid w:val="002A6D7C"/>
    <w:rsid w:val="002A72FE"/>
    <w:rsid w:val="002A7744"/>
    <w:rsid w:val="002A775D"/>
    <w:rsid w:val="002B0487"/>
    <w:rsid w:val="002B1D61"/>
    <w:rsid w:val="002B2409"/>
    <w:rsid w:val="002B2D13"/>
    <w:rsid w:val="002B3159"/>
    <w:rsid w:val="002B73DF"/>
    <w:rsid w:val="002B7D50"/>
    <w:rsid w:val="002C03BC"/>
    <w:rsid w:val="002C1E3B"/>
    <w:rsid w:val="002C20DF"/>
    <w:rsid w:val="002C2E81"/>
    <w:rsid w:val="002C3054"/>
    <w:rsid w:val="002C338D"/>
    <w:rsid w:val="002C3B22"/>
    <w:rsid w:val="002C4797"/>
    <w:rsid w:val="002C602D"/>
    <w:rsid w:val="002C6FB2"/>
    <w:rsid w:val="002C7346"/>
    <w:rsid w:val="002D00BD"/>
    <w:rsid w:val="002D2460"/>
    <w:rsid w:val="002D32AD"/>
    <w:rsid w:val="002D3C9B"/>
    <w:rsid w:val="002D4B42"/>
    <w:rsid w:val="002D5184"/>
    <w:rsid w:val="002D5335"/>
    <w:rsid w:val="002D5865"/>
    <w:rsid w:val="002D5CED"/>
    <w:rsid w:val="002D62AD"/>
    <w:rsid w:val="002E0E16"/>
    <w:rsid w:val="002E12B5"/>
    <w:rsid w:val="002E1D70"/>
    <w:rsid w:val="002E2638"/>
    <w:rsid w:val="002E29ED"/>
    <w:rsid w:val="002E2C16"/>
    <w:rsid w:val="002E531F"/>
    <w:rsid w:val="002E5C51"/>
    <w:rsid w:val="002E65E5"/>
    <w:rsid w:val="002E69AF"/>
    <w:rsid w:val="002E79E4"/>
    <w:rsid w:val="002F0E9F"/>
    <w:rsid w:val="002F1139"/>
    <w:rsid w:val="002F1218"/>
    <w:rsid w:val="002F1D1F"/>
    <w:rsid w:val="002F1EDB"/>
    <w:rsid w:val="002F20EB"/>
    <w:rsid w:val="002F2ACE"/>
    <w:rsid w:val="002F350B"/>
    <w:rsid w:val="002F6559"/>
    <w:rsid w:val="002F68C4"/>
    <w:rsid w:val="002F794F"/>
    <w:rsid w:val="00300DA9"/>
    <w:rsid w:val="0030202B"/>
    <w:rsid w:val="003031F3"/>
    <w:rsid w:val="00303609"/>
    <w:rsid w:val="00304C87"/>
    <w:rsid w:val="00306CFC"/>
    <w:rsid w:val="00307753"/>
    <w:rsid w:val="00310062"/>
    <w:rsid w:val="0031092E"/>
    <w:rsid w:val="00311259"/>
    <w:rsid w:val="003130D2"/>
    <w:rsid w:val="003156C9"/>
    <w:rsid w:val="00315CEE"/>
    <w:rsid w:val="003177B0"/>
    <w:rsid w:val="00320496"/>
    <w:rsid w:val="0032060D"/>
    <w:rsid w:val="00320D7C"/>
    <w:rsid w:val="00322A90"/>
    <w:rsid w:val="003254BF"/>
    <w:rsid w:val="003262BF"/>
    <w:rsid w:val="0033074A"/>
    <w:rsid w:val="00330E78"/>
    <w:rsid w:val="00331261"/>
    <w:rsid w:val="0033253D"/>
    <w:rsid w:val="003325D4"/>
    <w:rsid w:val="00332D0D"/>
    <w:rsid w:val="00332F50"/>
    <w:rsid w:val="003330C1"/>
    <w:rsid w:val="00333D83"/>
    <w:rsid w:val="0033400D"/>
    <w:rsid w:val="0033443A"/>
    <w:rsid w:val="00334C0E"/>
    <w:rsid w:val="00335BDC"/>
    <w:rsid w:val="00335D54"/>
    <w:rsid w:val="00336505"/>
    <w:rsid w:val="00336A4F"/>
    <w:rsid w:val="00337751"/>
    <w:rsid w:val="00340DFD"/>
    <w:rsid w:val="00340F3E"/>
    <w:rsid w:val="003410A5"/>
    <w:rsid w:val="00341B3F"/>
    <w:rsid w:val="00342057"/>
    <w:rsid w:val="003422A5"/>
    <w:rsid w:val="0034330F"/>
    <w:rsid w:val="0034358C"/>
    <w:rsid w:val="0034438B"/>
    <w:rsid w:val="00344571"/>
    <w:rsid w:val="00344A43"/>
    <w:rsid w:val="00344D00"/>
    <w:rsid w:val="0034691F"/>
    <w:rsid w:val="00346C1D"/>
    <w:rsid w:val="00347136"/>
    <w:rsid w:val="00350693"/>
    <w:rsid w:val="00350FCB"/>
    <w:rsid w:val="003515C5"/>
    <w:rsid w:val="003519BC"/>
    <w:rsid w:val="00351C84"/>
    <w:rsid w:val="00352F8C"/>
    <w:rsid w:val="00353120"/>
    <w:rsid w:val="00353785"/>
    <w:rsid w:val="00354515"/>
    <w:rsid w:val="00354A93"/>
    <w:rsid w:val="00354B9D"/>
    <w:rsid w:val="003560D2"/>
    <w:rsid w:val="0035684F"/>
    <w:rsid w:val="00357642"/>
    <w:rsid w:val="00357FA2"/>
    <w:rsid w:val="00357FDB"/>
    <w:rsid w:val="00360305"/>
    <w:rsid w:val="00360733"/>
    <w:rsid w:val="0036154E"/>
    <w:rsid w:val="00361986"/>
    <w:rsid w:val="0036223F"/>
    <w:rsid w:val="00362A64"/>
    <w:rsid w:val="0036347E"/>
    <w:rsid w:val="00363D75"/>
    <w:rsid w:val="003675BE"/>
    <w:rsid w:val="00367854"/>
    <w:rsid w:val="00367B08"/>
    <w:rsid w:val="00371452"/>
    <w:rsid w:val="00372D4B"/>
    <w:rsid w:val="003735DA"/>
    <w:rsid w:val="003741E8"/>
    <w:rsid w:val="00374B3A"/>
    <w:rsid w:val="00374CD0"/>
    <w:rsid w:val="00374E7C"/>
    <w:rsid w:val="003757FE"/>
    <w:rsid w:val="00375FAB"/>
    <w:rsid w:val="003763B6"/>
    <w:rsid w:val="00377282"/>
    <w:rsid w:val="00382BA2"/>
    <w:rsid w:val="00382C7D"/>
    <w:rsid w:val="003843EE"/>
    <w:rsid w:val="00384C45"/>
    <w:rsid w:val="00384C7B"/>
    <w:rsid w:val="0038553D"/>
    <w:rsid w:val="00385E17"/>
    <w:rsid w:val="00385E8B"/>
    <w:rsid w:val="00386939"/>
    <w:rsid w:val="00387C57"/>
    <w:rsid w:val="0039272A"/>
    <w:rsid w:val="00393107"/>
    <w:rsid w:val="00393572"/>
    <w:rsid w:val="00393D5E"/>
    <w:rsid w:val="00394F88"/>
    <w:rsid w:val="00396C74"/>
    <w:rsid w:val="003A02D0"/>
    <w:rsid w:val="003A057F"/>
    <w:rsid w:val="003A22B6"/>
    <w:rsid w:val="003A2990"/>
    <w:rsid w:val="003A33EA"/>
    <w:rsid w:val="003A3FE0"/>
    <w:rsid w:val="003A4614"/>
    <w:rsid w:val="003A55C3"/>
    <w:rsid w:val="003A634A"/>
    <w:rsid w:val="003A6EB2"/>
    <w:rsid w:val="003A7613"/>
    <w:rsid w:val="003B1D6C"/>
    <w:rsid w:val="003B246E"/>
    <w:rsid w:val="003B2813"/>
    <w:rsid w:val="003B3B80"/>
    <w:rsid w:val="003B3BE5"/>
    <w:rsid w:val="003B4866"/>
    <w:rsid w:val="003B4A5D"/>
    <w:rsid w:val="003B6E5A"/>
    <w:rsid w:val="003C072B"/>
    <w:rsid w:val="003C0E2B"/>
    <w:rsid w:val="003C2E0B"/>
    <w:rsid w:val="003C2F77"/>
    <w:rsid w:val="003C4C9F"/>
    <w:rsid w:val="003C57F0"/>
    <w:rsid w:val="003C5E79"/>
    <w:rsid w:val="003C69A1"/>
    <w:rsid w:val="003C7A19"/>
    <w:rsid w:val="003C7D86"/>
    <w:rsid w:val="003C7F77"/>
    <w:rsid w:val="003D02B3"/>
    <w:rsid w:val="003D07B0"/>
    <w:rsid w:val="003D16BC"/>
    <w:rsid w:val="003D2035"/>
    <w:rsid w:val="003D44DB"/>
    <w:rsid w:val="003D45E7"/>
    <w:rsid w:val="003D6BCA"/>
    <w:rsid w:val="003D6BFE"/>
    <w:rsid w:val="003E0F10"/>
    <w:rsid w:val="003E0F16"/>
    <w:rsid w:val="003E255A"/>
    <w:rsid w:val="003E2C31"/>
    <w:rsid w:val="003E386D"/>
    <w:rsid w:val="003E3BA1"/>
    <w:rsid w:val="003E42CE"/>
    <w:rsid w:val="003E443D"/>
    <w:rsid w:val="003E4DD5"/>
    <w:rsid w:val="003E4F7E"/>
    <w:rsid w:val="003E519C"/>
    <w:rsid w:val="003E5C12"/>
    <w:rsid w:val="003E7758"/>
    <w:rsid w:val="003F0346"/>
    <w:rsid w:val="003F1A15"/>
    <w:rsid w:val="003F2EB9"/>
    <w:rsid w:val="003F3D7B"/>
    <w:rsid w:val="003F455E"/>
    <w:rsid w:val="003F5130"/>
    <w:rsid w:val="003F7237"/>
    <w:rsid w:val="003F7528"/>
    <w:rsid w:val="003F7BAE"/>
    <w:rsid w:val="00400A28"/>
    <w:rsid w:val="00400BF3"/>
    <w:rsid w:val="004011C5"/>
    <w:rsid w:val="0040146E"/>
    <w:rsid w:val="00402DD2"/>
    <w:rsid w:val="0040336A"/>
    <w:rsid w:val="00403791"/>
    <w:rsid w:val="00406379"/>
    <w:rsid w:val="00411395"/>
    <w:rsid w:val="0041206A"/>
    <w:rsid w:val="0041251D"/>
    <w:rsid w:val="00413D20"/>
    <w:rsid w:val="004147DE"/>
    <w:rsid w:val="00414BA1"/>
    <w:rsid w:val="004154C6"/>
    <w:rsid w:val="00415BCA"/>
    <w:rsid w:val="00416326"/>
    <w:rsid w:val="00416965"/>
    <w:rsid w:val="00417B24"/>
    <w:rsid w:val="00420B65"/>
    <w:rsid w:val="00420C5D"/>
    <w:rsid w:val="00420E78"/>
    <w:rsid w:val="0042111D"/>
    <w:rsid w:val="004212F2"/>
    <w:rsid w:val="0042131F"/>
    <w:rsid w:val="004220AC"/>
    <w:rsid w:val="004229A9"/>
    <w:rsid w:val="00422F97"/>
    <w:rsid w:val="00423B94"/>
    <w:rsid w:val="0042595B"/>
    <w:rsid w:val="00426D54"/>
    <w:rsid w:val="0043023A"/>
    <w:rsid w:val="004308DE"/>
    <w:rsid w:val="00431CA0"/>
    <w:rsid w:val="0043274E"/>
    <w:rsid w:val="004331BA"/>
    <w:rsid w:val="004335A8"/>
    <w:rsid w:val="00433859"/>
    <w:rsid w:val="004355B0"/>
    <w:rsid w:val="00435E4E"/>
    <w:rsid w:val="00435FAA"/>
    <w:rsid w:val="0043695B"/>
    <w:rsid w:val="004452C0"/>
    <w:rsid w:val="00445FAB"/>
    <w:rsid w:val="00446342"/>
    <w:rsid w:val="00447C4A"/>
    <w:rsid w:val="00450852"/>
    <w:rsid w:val="00450B79"/>
    <w:rsid w:val="00451987"/>
    <w:rsid w:val="00451D45"/>
    <w:rsid w:val="0045332B"/>
    <w:rsid w:val="00453B13"/>
    <w:rsid w:val="00454C18"/>
    <w:rsid w:val="00456977"/>
    <w:rsid w:val="0045716E"/>
    <w:rsid w:val="004572AA"/>
    <w:rsid w:val="0045758D"/>
    <w:rsid w:val="0046009E"/>
    <w:rsid w:val="00460414"/>
    <w:rsid w:val="00460CAC"/>
    <w:rsid w:val="00460D5D"/>
    <w:rsid w:val="00460D8E"/>
    <w:rsid w:val="00462A68"/>
    <w:rsid w:val="00463A43"/>
    <w:rsid w:val="0046550B"/>
    <w:rsid w:val="004659CA"/>
    <w:rsid w:val="00466DBA"/>
    <w:rsid w:val="00470473"/>
    <w:rsid w:val="00471FBC"/>
    <w:rsid w:val="00473109"/>
    <w:rsid w:val="004745E2"/>
    <w:rsid w:val="00474C8E"/>
    <w:rsid w:val="00475E66"/>
    <w:rsid w:val="004763E1"/>
    <w:rsid w:val="0047780E"/>
    <w:rsid w:val="004819B6"/>
    <w:rsid w:val="00481EFE"/>
    <w:rsid w:val="0048334D"/>
    <w:rsid w:val="00483847"/>
    <w:rsid w:val="0048407B"/>
    <w:rsid w:val="004848A3"/>
    <w:rsid w:val="00485F17"/>
    <w:rsid w:val="004864FB"/>
    <w:rsid w:val="00487243"/>
    <w:rsid w:val="0048751B"/>
    <w:rsid w:val="00487943"/>
    <w:rsid w:val="004933C7"/>
    <w:rsid w:val="00494607"/>
    <w:rsid w:val="004952ED"/>
    <w:rsid w:val="00496A30"/>
    <w:rsid w:val="004A02C0"/>
    <w:rsid w:val="004A0407"/>
    <w:rsid w:val="004A150F"/>
    <w:rsid w:val="004A2667"/>
    <w:rsid w:val="004A29F9"/>
    <w:rsid w:val="004A57B6"/>
    <w:rsid w:val="004A67D4"/>
    <w:rsid w:val="004A7B0F"/>
    <w:rsid w:val="004A7BBB"/>
    <w:rsid w:val="004B0176"/>
    <w:rsid w:val="004B0585"/>
    <w:rsid w:val="004B2250"/>
    <w:rsid w:val="004B2401"/>
    <w:rsid w:val="004B39C4"/>
    <w:rsid w:val="004B3AA9"/>
    <w:rsid w:val="004B3F91"/>
    <w:rsid w:val="004B44E7"/>
    <w:rsid w:val="004B65E8"/>
    <w:rsid w:val="004B76FF"/>
    <w:rsid w:val="004B7E3F"/>
    <w:rsid w:val="004C1C72"/>
    <w:rsid w:val="004C1E15"/>
    <w:rsid w:val="004C235D"/>
    <w:rsid w:val="004C2556"/>
    <w:rsid w:val="004C2F88"/>
    <w:rsid w:val="004C46D5"/>
    <w:rsid w:val="004C494A"/>
    <w:rsid w:val="004C62D6"/>
    <w:rsid w:val="004C7F3A"/>
    <w:rsid w:val="004D1951"/>
    <w:rsid w:val="004D19C6"/>
    <w:rsid w:val="004D26F8"/>
    <w:rsid w:val="004D539E"/>
    <w:rsid w:val="004D5486"/>
    <w:rsid w:val="004D607A"/>
    <w:rsid w:val="004D6E27"/>
    <w:rsid w:val="004D74E7"/>
    <w:rsid w:val="004E00F6"/>
    <w:rsid w:val="004E1BE0"/>
    <w:rsid w:val="004E399B"/>
    <w:rsid w:val="004E3F37"/>
    <w:rsid w:val="004E4B25"/>
    <w:rsid w:val="004E5668"/>
    <w:rsid w:val="004E7BFD"/>
    <w:rsid w:val="004F004F"/>
    <w:rsid w:val="004F023A"/>
    <w:rsid w:val="004F1764"/>
    <w:rsid w:val="004F257E"/>
    <w:rsid w:val="004F40F1"/>
    <w:rsid w:val="004F48C4"/>
    <w:rsid w:val="004F4A99"/>
    <w:rsid w:val="004F4ED3"/>
    <w:rsid w:val="004F5686"/>
    <w:rsid w:val="004F6906"/>
    <w:rsid w:val="004F781D"/>
    <w:rsid w:val="00500510"/>
    <w:rsid w:val="00501C8A"/>
    <w:rsid w:val="0050242C"/>
    <w:rsid w:val="00503AA7"/>
    <w:rsid w:val="00506470"/>
    <w:rsid w:val="0050778D"/>
    <w:rsid w:val="00510F72"/>
    <w:rsid w:val="00511040"/>
    <w:rsid w:val="005122D2"/>
    <w:rsid w:val="00513335"/>
    <w:rsid w:val="00514CF7"/>
    <w:rsid w:val="00515222"/>
    <w:rsid w:val="005156E2"/>
    <w:rsid w:val="0051598E"/>
    <w:rsid w:val="005159D6"/>
    <w:rsid w:val="00516ED6"/>
    <w:rsid w:val="00520414"/>
    <w:rsid w:val="00520748"/>
    <w:rsid w:val="00520A21"/>
    <w:rsid w:val="0052121D"/>
    <w:rsid w:val="00521825"/>
    <w:rsid w:val="005220AF"/>
    <w:rsid w:val="00522264"/>
    <w:rsid w:val="005222E1"/>
    <w:rsid w:val="00522CBF"/>
    <w:rsid w:val="00523399"/>
    <w:rsid w:val="00523CC5"/>
    <w:rsid w:val="005244BC"/>
    <w:rsid w:val="00524B63"/>
    <w:rsid w:val="0052748F"/>
    <w:rsid w:val="00527759"/>
    <w:rsid w:val="00527A45"/>
    <w:rsid w:val="00527BE5"/>
    <w:rsid w:val="00530C9B"/>
    <w:rsid w:val="00530E16"/>
    <w:rsid w:val="00531F28"/>
    <w:rsid w:val="00533A57"/>
    <w:rsid w:val="00534337"/>
    <w:rsid w:val="005353C6"/>
    <w:rsid w:val="005357E9"/>
    <w:rsid w:val="00537C09"/>
    <w:rsid w:val="00540898"/>
    <w:rsid w:val="00540DDF"/>
    <w:rsid w:val="005421AD"/>
    <w:rsid w:val="00543C43"/>
    <w:rsid w:val="00544A3D"/>
    <w:rsid w:val="00544F36"/>
    <w:rsid w:val="00545595"/>
    <w:rsid w:val="00546226"/>
    <w:rsid w:val="00546C98"/>
    <w:rsid w:val="00552019"/>
    <w:rsid w:val="005534D6"/>
    <w:rsid w:val="005538AA"/>
    <w:rsid w:val="005538B9"/>
    <w:rsid w:val="00553C41"/>
    <w:rsid w:val="00553FB7"/>
    <w:rsid w:val="00554F7B"/>
    <w:rsid w:val="00555605"/>
    <w:rsid w:val="00555BC0"/>
    <w:rsid w:val="00557153"/>
    <w:rsid w:val="0055743E"/>
    <w:rsid w:val="00557F3C"/>
    <w:rsid w:val="00561225"/>
    <w:rsid w:val="00561465"/>
    <w:rsid w:val="00562385"/>
    <w:rsid w:val="0056254F"/>
    <w:rsid w:val="00562710"/>
    <w:rsid w:val="00563752"/>
    <w:rsid w:val="00564343"/>
    <w:rsid w:val="005644B0"/>
    <w:rsid w:val="00565172"/>
    <w:rsid w:val="005658F8"/>
    <w:rsid w:val="00571365"/>
    <w:rsid w:val="005723E8"/>
    <w:rsid w:val="00572EE9"/>
    <w:rsid w:val="00573A39"/>
    <w:rsid w:val="00574B52"/>
    <w:rsid w:val="005750AC"/>
    <w:rsid w:val="00577008"/>
    <w:rsid w:val="00577C3C"/>
    <w:rsid w:val="0058219C"/>
    <w:rsid w:val="00582584"/>
    <w:rsid w:val="00582680"/>
    <w:rsid w:val="00582702"/>
    <w:rsid w:val="00583271"/>
    <w:rsid w:val="00583ACD"/>
    <w:rsid w:val="00583DE3"/>
    <w:rsid w:val="005845AC"/>
    <w:rsid w:val="00585908"/>
    <w:rsid w:val="00587B1B"/>
    <w:rsid w:val="00587DED"/>
    <w:rsid w:val="00591C66"/>
    <w:rsid w:val="0059587F"/>
    <w:rsid w:val="00595AFF"/>
    <w:rsid w:val="0059615B"/>
    <w:rsid w:val="005A020F"/>
    <w:rsid w:val="005A07A9"/>
    <w:rsid w:val="005A0CE2"/>
    <w:rsid w:val="005A1E02"/>
    <w:rsid w:val="005A26B7"/>
    <w:rsid w:val="005A2BA0"/>
    <w:rsid w:val="005A32BF"/>
    <w:rsid w:val="005A3FB2"/>
    <w:rsid w:val="005A6339"/>
    <w:rsid w:val="005A6C3F"/>
    <w:rsid w:val="005A6F60"/>
    <w:rsid w:val="005A7705"/>
    <w:rsid w:val="005A7BB7"/>
    <w:rsid w:val="005B00D6"/>
    <w:rsid w:val="005B01B0"/>
    <w:rsid w:val="005B1642"/>
    <w:rsid w:val="005B1F31"/>
    <w:rsid w:val="005B3FCC"/>
    <w:rsid w:val="005B4B05"/>
    <w:rsid w:val="005B6530"/>
    <w:rsid w:val="005B6B87"/>
    <w:rsid w:val="005B7D19"/>
    <w:rsid w:val="005B7ED4"/>
    <w:rsid w:val="005C05C6"/>
    <w:rsid w:val="005C0699"/>
    <w:rsid w:val="005C0C92"/>
    <w:rsid w:val="005C271C"/>
    <w:rsid w:val="005C364D"/>
    <w:rsid w:val="005C3BAE"/>
    <w:rsid w:val="005C4ABA"/>
    <w:rsid w:val="005C52A3"/>
    <w:rsid w:val="005C73F2"/>
    <w:rsid w:val="005D1DA3"/>
    <w:rsid w:val="005D3534"/>
    <w:rsid w:val="005D48F1"/>
    <w:rsid w:val="005D58A6"/>
    <w:rsid w:val="005D6BFB"/>
    <w:rsid w:val="005D6E8A"/>
    <w:rsid w:val="005D6F80"/>
    <w:rsid w:val="005D7FA5"/>
    <w:rsid w:val="005E0A6D"/>
    <w:rsid w:val="005E1CF3"/>
    <w:rsid w:val="005E1DE2"/>
    <w:rsid w:val="005E23BC"/>
    <w:rsid w:val="005E2452"/>
    <w:rsid w:val="005E31D6"/>
    <w:rsid w:val="005E33BD"/>
    <w:rsid w:val="005E3E42"/>
    <w:rsid w:val="005E5645"/>
    <w:rsid w:val="005E6A97"/>
    <w:rsid w:val="005F0986"/>
    <w:rsid w:val="005F40C9"/>
    <w:rsid w:val="005F422D"/>
    <w:rsid w:val="005F4BCA"/>
    <w:rsid w:val="005F52BC"/>
    <w:rsid w:val="005F5C7E"/>
    <w:rsid w:val="005F5F68"/>
    <w:rsid w:val="005F7FD9"/>
    <w:rsid w:val="006002D0"/>
    <w:rsid w:val="00601644"/>
    <w:rsid w:val="00601CE0"/>
    <w:rsid w:val="00603458"/>
    <w:rsid w:val="006035CA"/>
    <w:rsid w:val="00603721"/>
    <w:rsid w:val="00603EDE"/>
    <w:rsid w:val="006042A3"/>
    <w:rsid w:val="00610039"/>
    <w:rsid w:val="00610051"/>
    <w:rsid w:val="00610361"/>
    <w:rsid w:val="00612623"/>
    <w:rsid w:val="00612678"/>
    <w:rsid w:val="006147D1"/>
    <w:rsid w:val="00614888"/>
    <w:rsid w:val="00614DC3"/>
    <w:rsid w:val="006162C1"/>
    <w:rsid w:val="00617534"/>
    <w:rsid w:val="00617667"/>
    <w:rsid w:val="0062038E"/>
    <w:rsid w:val="00620B47"/>
    <w:rsid w:val="00620DE4"/>
    <w:rsid w:val="006215B4"/>
    <w:rsid w:val="00622BCC"/>
    <w:rsid w:val="00623269"/>
    <w:rsid w:val="00623412"/>
    <w:rsid w:val="006237E3"/>
    <w:rsid w:val="00623967"/>
    <w:rsid w:val="006245E4"/>
    <w:rsid w:val="00625901"/>
    <w:rsid w:val="00626EBC"/>
    <w:rsid w:val="0063092D"/>
    <w:rsid w:val="00630C1D"/>
    <w:rsid w:val="00630E85"/>
    <w:rsid w:val="00631C5A"/>
    <w:rsid w:val="00632171"/>
    <w:rsid w:val="0063342B"/>
    <w:rsid w:val="00633512"/>
    <w:rsid w:val="006336CB"/>
    <w:rsid w:val="00633E47"/>
    <w:rsid w:val="00633E5A"/>
    <w:rsid w:val="006342BE"/>
    <w:rsid w:val="00634406"/>
    <w:rsid w:val="00635373"/>
    <w:rsid w:val="00640A7E"/>
    <w:rsid w:val="00641193"/>
    <w:rsid w:val="00641C7B"/>
    <w:rsid w:val="006426D7"/>
    <w:rsid w:val="00642CF0"/>
    <w:rsid w:val="00642EBB"/>
    <w:rsid w:val="006449E1"/>
    <w:rsid w:val="00644C59"/>
    <w:rsid w:val="00645852"/>
    <w:rsid w:val="006460B0"/>
    <w:rsid w:val="00647F2F"/>
    <w:rsid w:val="006507B9"/>
    <w:rsid w:val="00650B46"/>
    <w:rsid w:val="006511FC"/>
    <w:rsid w:val="00651B75"/>
    <w:rsid w:val="00651FA8"/>
    <w:rsid w:val="00652B35"/>
    <w:rsid w:val="00653152"/>
    <w:rsid w:val="006535F4"/>
    <w:rsid w:val="00653ACC"/>
    <w:rsid w:val="00655541"/>
    <w:rsid w:val="006574A8"/>
    <w:rsid w:val="00662652"/>
    <w:rsid w:val="00664021"/>
    <w:rsid w:val="006659EB"/>
    <w:rsid w:val="00666557"/>
    <w:rsid w:val="00666592"/>
    <w:rsid w:val="006668BD"/>
    <w:rsid w:val="0067152E"/>
    <w:rsid w:val="0067183E"/>
    <w:rsid w:val="00671C75"/>
    <w:rsid w:val="00672337"/>
    <w:rsid w:val="00674A4F"/>
    <w:rsid w:val="0067623D"/>
    <w:rsid w:val="00676FD0"/>
    <w:rsid w:val="00677427"/>
    <w:rsid w:val="00680642"/>
    <w:rsid w:val="00680B40"/>
    <w:rsid w:val="00680F2A"/>
    <w:rsid w:val="00681FB7"/>
    <w:rsid w:val="00684331"/>
    <w:rsid w:val="00684A22"/>
    <w:rsid w:val="00687814"/>
    <w:rsid w:val="006878CC"/>
    <w:rsid w:val="00687D6F"/>
    <w:rsid w:val="00690308"/>
    <w:rsid w:val="0069048C"/>
    <w:rsid w:val="006904F5"/>
    <w:rsid w:val="006931FA"/>
    <w:rsid w:val="00693347"/>
    <w:rsid w:val="006935B2"/>
    <w:rsid w:val="00693EA6"/>
    <w:rsid w:val="006944C9"/>
    <w:rsid w:val="00694501"/>
    <w:rsid w:val="006945C4"/>
    <w:rsid w:val="00694CE3"/>
    <w:rsid w:val="00696E6E"/>
    <w:rsid w:val="006A0A7B"/>
    <w:rsid w:val="006A28F0"/>
    <w:rsid w:val="006A2AA2"/>
    <w:rsid w:val="006A341A"/>
    <w:rsid w:val="006A4343"/>
    <w:rsid w:val="006A45E7"/>
    <w:rsid w:val="006A5254"/>
    <w:rsid w:val="006A58DE"/>
    <w:rsid w:val="006A714E"/>
    <w:rsid w:val="006A71D9"/>
    <w:rsid w:val="006A7FE4"/>
    <w:rsid w:val="006B04AB"/>
    <w:rsid w:val="006B0801"/>
    <w:rsid w:val="006B0A8C"/>
    <w:rsid w:val="006B1989"/>
    <w:rsid w:val="006B2145"/>
    <w:rsid w:val="006B2A1F"/>
    <w:rsid w:val="006B3273"/>
    <w:rsid w:val="006B3929"/>
    <w:rsid w:val="006B5A62"/>
    <w:rsid w:val="006B5B91"/>
    <w:rsid w:val="006B72EB"/>
    <w:rsid w:val="006B73E8"/>
    <w:rsid w:val="006B76FA"/>
    <w:rsid w:val="006C0137"/>
    <w:rsid w:val="006C066C"/>
    <w:rsid w:val="006C1480"/>
    <w:rsid w:val="006C1FA0"/>
    <w:rsid w:val="006C2882"/>
    <w:rsid w:val="006C2C7D"/>
    <w:rsid w:val="006C430B"/>
    <w:rsid w:val="006C45D5"/>
    <w:rsid w:val="006C5C19"/>
    <w:rsid w:val="006C63E6"/>
    <w:rsid w:val="006C7333"/>
    <w:rsid w:val="006C77BF"/>
    <w:rsid w:val="006C7FFE"/>
    <w:rsid w:val="006D094E"/>
    <w:rsid w:val="006D0EE6"/>
    <w:rsid w:val="006D1B6F"/>
    <w:rsid w:val="006D2156"/>
    <w:rsid w:val="006D2F9F"/>
    <w:rsid w:val="006D3DE0"/>
    <w:rsid w:val="006D4F05"/>
    <w:rsid w:val="006D5630"/>
    <w:rsid w:val="006D5901"/>
    <w:rsid w:val="006D5908"/>
    <w:rsid w:val="006D613A"/>
    <w:rsid w:val="006D6808"/>
    <w:rsid w:val="006D6B86"/>
    <w:rsid w:val="006D6D82"/>
    <w:rsid w:val="006D72E5"/>
    <w:rsid w:val="006D73F0"/>
    <w:rsid w:val="006D7A90"/>
    <w:rsid w:val="006E0A2F"/>
    <w:rsid w:val="006E0DAD"/>
    <w:rsid w:val="006E1BC1"/>
    <w:rsid w:val="006E2A80"/>
    <w:rsid w:val="006E47FA"/>
    <w:rsid w:val="006E57BF"/>
    <w:rsid w:val="006E67C3"/>
    <w:rsid w:val="006F03C7"/>
    <w:rsid w:val="006F0F76"/>
    <w:rsid w:val="006F108B"/>
    <w:rsid w:val="006F2341"/>
    <w:rsid w:val="006F2FA5"/>
    <w:rsid w:val="006F3C41"/>
    <w:rsid w:val="006F3F41"/>
    <w:rsid w:val="006F430E"/>
    <w:rsid w:val="006F4574"/>
    <w:rsid w:val="006F55F9"/>
    <w:rsid w:val="006F5A69"/>
    <w:rsid w:val="006F5D94"/>
    <w:rsid w:val="006F649F"/>
    <w:rsid w:val="006F6EEB"/>
    <w:rsid w:val="007002C3"/>
    <w:rsid w:val="00702A0F"/>
    <w:rsid w:val="00702BB9"/>
    <w:rsid w:val="00704783"/>
    <w:rsid w:val="00705C49"/>
    <w:rsid w:val="007067C1"/>
    <w:rsid w:val="00706A2F"/>
    <w:rsid w:val="00707B14"/>
    <w:rsid w:val="007103B0"/>
    <w:rsid w:val="007105B5"/>
    <w:rsid w:val="00710A71"/>
    <w:rsid w:val="0071180E"/>
    <w:rsid w:val="00713BA7"/>
    <w:rsid w:val="00714668"/>
    <w:rsid w:val="00715188"/>
    <w:rsid w:val="00716EEB"/>
    <w:rsid w:val="0072156F"/>
    <w:rsid w:val="007224A6"/>
    <w:rsid w:val="00722A5C"/>
    <w:rsid w:val="00722E70"/>
    <w:rsid w:val="00723349"/>
    <w:rsid w:val="00723D85"/>
    <w:rsid w:val="00724751"/>
    <w:rsid w:val="00725386"/>
    <w:rsid w:val="007256FD"/>
    <w:rsid w:val="00725711"/>
    <w:rsid w:val="00726126"/>
    <w:rsid w:val="00731DEA"/>
    <w:rsid w:val="00732AAA"/>
    <w:rsid w:val="00732D03"/>
    <w:rsid w:val="0073349B"/>
    <w:rsid w:val="007337C4"/>
    <w:rsid w:val="00734A81"/>
    <w:rsid w:val="00734C05"/>
    <w:rsid w:val="00734DD8"/>
    <w:rsid w:val="0073747E"/>
    <w:rsid w:val="00737C1D"/>
    <w:rsid w:val="007418D5"/>
    <w:rsid w:val="007431D1"/>
    <w:rsid w:val="0074457E"/>
    <w:rsid w:val="00744CBA"/>
    <w:rsid w:val="00745252"/>
    <w:rsid w:val="007505FD"/>
    <w:rsid w:val="00750F7F"/>
    <w:rsid w:val="00751AB5"/>
    <w:rsid w:val="0075285B"/>
    <w:rsid w:val="007541D7"/>
    <w:rsid w:val="00754416"/>
    <w:rsid w:val="007547AD"/>
    <w:rsid w:val="007572BE"/>
    <w:rsid w:val="00757BB9"/>
    <w:rsid w:val="00757C41"/>
    <w:rsid w:val="0076091F"/>
    <w:rsid w:val="007613AF"/>
    <w:rsid w:val="0076177F"/>
    <w:rsid w:val="0076324B"/>
    <w:rsid w:val="00764C12"/>
    <w:rsid w:val="00765197"/>
    <w:rsid w:val="00767123"/>
    <w:rsid w:val="007704BB"/>
    <w:rsid w:val="007705BE"/>
    <w:rsid w:val="00770CD7"/>
    <w:rsid w:val="00770E97"/>
    <w:rsid w:val="00771B0A"/>
    <w:rsid w:val="00772165"/>
    <w:rsid w:val="0077306E"/>
    <w:rsid w:val="00773571"/>
    <w:rsid w:val="007735F3"/>
    <w:rsid w:val="0077427A"/>
    <w:rsid w:val="0077538C"/>
    <w:rsid w:val="00775FD7"/>
    <w:rsid w:val="00776720"/>
    <w:rsid w:val="0077746B"/>
    <w:rsid w:val="00777BFC"/>
    <w:rsid w:val="007813CE"/>
    <w:rsid w:val="00781D20"/>
    <w:rsid w:val="007831E9"/>
    <w:rsid w:val="0078336C"/>
    <w:rsid w:val="00783606"/>
    <w:rsid w:val="00783CB8"/>
    <w:rsid w:val="007848DB"/>
    <w:rsid w:val="00784FCE"/>
    <w:rsid w:val="00785FE1"/>
    <w:rsid w:val="00786985"/>
    <w:rsid w:val="00787249"/>
    <w:rsid w:val="00787BA3"/>
    <w:rsid w:val="00790737"/>
    <w:rsid w:val="00791941"/>
    <w:rsid w:val="007924A2"/>
    <w:rsid w:val="00792F5A"/>
    <w:rsid w:val="00793C90"/>
    <w:rsid w:val="00793DE2"/>
    <w:rsid w:val="007945A8"/>
    <w:rsid w:val="00794776"/>
    <w:rsid w:val="007950E4"/>
    <w:rsid w:val="007A1F9C"/>
    <w:rsid w:val="007A3214"/>
    <w:rsid w:val="007A4651"/>
    <w:rsid w:val="007A6ADE"/>
    <w:rsid w:val="007A6EAB"/>
    <w:rsid w:val="007A7842"/>
    <w:rsid w:val="007A795E"/>
    <w:rsid w:val="007B0977"/>
    <w:rsid w:val="007B19D7"/>
    <w:rsid w:val="007B249C"/>
    <w:rsid w:val="007B252A"/>
    <w:rsid w:val="007B30C5"/>
    <w:rsid w:val="007B43AB"/>
    <w:rsid w:val="007B712D"/>
    <w:rsid w:val="007B75F3"/>
    <w:rsid w:val="007B7763"/>
    <w:rsid w:val="007C0139"/>
    <w:rsid w:val="007C1919"/>
    <w:rsid w:val="007C3282"/>
    <w:rsid w:val="007C3412"/>
    <w:rsid w:val="007C61BA"/>
    <w:rsid w:val="007C6C0C"/>
    <w:rsid w:val="007C6C6D"/>
    <w:rsid w:val="007D20B6"/>
    <w:rsid w:val="007D319D"/>
    <w:rsid w:val="007D37F4"/>
    <w:rsid w:val="007D3ABD"/>
    <w:rsid w:val="007D3DA9"/>
    <w:rsid w:val="007D5D08"/>
    <w:rsid w:val="007D6DCB"/>
    <w:rsid w:val="007D7F92"/>
    <w:rsid w:val="007E038C"/>
    <w:rsid w:val="007E1D54"/>
    <w:rsid w:val="007E5445"/>
    <w:rsid w:val="007E5C0E"/>
    <w:rsid w:val="007E5C91"/>
    <w:rsid w:val="007E67E4"/>
    <w:rsid w:val="007E7537"/>
    <w:rsid w:val="007F1079"/>
    <w:rsid w:val="007F1091"/>
    <w:rsid w:val="007F10CA"/>
    <w:rsid w:val="007F1A8A"/>
    <w:rsid w:val="007F1DDD"/>
    <w:rsid w:val="007F292B"/>
    <w:rsid w:val="007F2AEE"/>
    <w:rsid w:val="007F2CCB"/>
    <w:rsid w:val="007F321C"/>
    <w:rsid w:val="007F32C2"/>
    <w:rsid w:val="007F50C7"/>
    <w:rsid w:val="007F5704"/>
    <w:rsid w:val="007F62C6"/>
    <w:rsid w:val="007F6D29"/>
    <w:rsid w:val="007F7462"/>
    <w:rsid w:val="007F7A80"/>
    <w:rsid w:val="007F7E54"/>
    <w:rsid w:val="007F7EFD"/>
    <w:rsid w:val="008012B0"/>
    <w:rsid w:val="008021EF"/>
    <w:rsid w:val="00803AC9"/>
    <w:rsid w:val="008041AC"/>
    <w:rsid w:val="00804C22"/>
    <w:rsid w:val="00804D76"/>
    <w:rsid w:val="00804DF1"/>
    <w:rsid w:val="0080673B"/>
    <w:rsid w:val="00807519"/>
    <w:rsid w:val="0081085B"/>
    <w:rsid w:val="00812399"/>
    <w:rsid w:val="00812895"/>
    <w:rsid w:val="00813B4B"/>
    <w:rsid w:val="00813C4E"/>
    <w:rsid w:val="00813E1B"/>
    <w:rsid w:val="008142E0"/>
    <w:rsid w:val="0081486C"/>
    <w:rsid w:val="00815A3A"/>
    <w:rsid w:val="0081770F"/>
    <w:rsid w:val="00817EE0"/>
    <w:rsid w:val="00825607"/>
    <w:rsid w:val="008269C9"/>
    <w:rsid w:val="00826ACD"/>
    <w:rsid w:val="00827423"/>
    <w:rsid w:val="0083071E"/>
    <w:rsid w:val="008328F4"/>
    <w:rsid w:val="00833276"/>
    <w:rsid w:val="00833688"/>
    <w:rsid w:val="008338E7"/>
    <w:rsid w:val="00834750"/>
    <w:rsid w:val="008358CE"/>
    <w:rsid w:val="0083689B"/>
    <w:rsid w:val="00836A46"/>
    <w:rsid w:val="008404C7"/>
    <w:rsid w:val="00841AA3"/>
    <w:rsid w:val="00843D77"/>
    <w:rsid w:val="008440D9"/>
    <w:rsid w:val="008441D1"/>
    <w:rsid w:val="008456B0"/>
    <w:rsid w:val="00845B6A"/>
    <w:rsid w:val="00846F80"/>
    <w:rsid w:val="0084709D"/>
    <w:rsid w:val="0084712C"/>
    <w:rsid w:val="0084750D"/>
    <w:rsid w:val="008475EA"/>
    <w:rsid w:val="00850919"/>
    <w:rsid w:val="00850A14"/>
    <w:rsid w:val="00851650"/>
    <w:rsid w:val="00851F1C"/>
    <w:rsid w:val="00852837"/>
    <w:rsid w:val="00852FB5"/>
    <w:rsid w:val="008540B0"/>
    <w:rsid w:val="00854F0A"/>
    <w:rsid w:val="0085500D"/>
    <w:rsid w:val="00856269"/>
    <w:rsid w:val="0085650A"/>
    <w:rsid w:val="00856B96"/>
    <w:rsid w:val="0085712F"/>
    <w:rsid w:val="00857252"/>
    <w:rsid w:val="00857BF6"/>
    <w:rsid w:val="008603AC"/>
    <w:rsid w:val="00861506"/>
    <w:rsid w:val="008615C8"/>
    <w:rsid w:val="008622AA"/>
    <w:rsid w:val="008624D8"/>
    <w:rsid w:val="0086267B"/>
    <w:rsid w:val="00862A08"/>
    <w:rsid w:val="00865B49"/>
    <w:rsid w:val="00866DA3"/>
    <w:rsid w:val="008701A3"/>
    <w:rsid w:val="00872045"/>
    <w:rsid w:val="00872B63"/>
    <w:rsid w:val="00873A31"/>
    <w:rsid w:val="00874792"/>
    <w:rsid w:val="00874E9C"/>
    <w:rsid w:val="00876AD1"/>
    <w:rsid w:val="00877477"/>
    <w:rsid w:val="0087761D"/>
    <w:rsid w:val="00877760"/>
    <w:rsid w:val="00885320"/>
    <w:rsid w:val="008854A0"/>
    <w:rsid w:val="0088655C"/>
    <w:rsid w:val="00887BFA"/>
    <w:rsid w:val="00887EDD"/>
    <w:rsid w:val="00892755"/>
    <w:rsid w:val="00893553"/>
    <w:rsid w:val="00893F22"/>
    <w:rsid w:val="0089543C"/>
    <w:rsid w:val="00895A42"/>
    <w:rsid w:val="00896273"/>
    <w:rsid w:val="00897EDA"/>
    <w:rsid w:val="008A35C4"/>
    <w:rsid w:val="008A3AA3"/>
    <w:rsid w:val="008A3B13"/>
    <w:rsid w:val="008A750D"/>
    <w:rsid w:val="008B02E7"/>
    <w:rsid w:val="008B2CA3"/>
    <w:rsid w:val="008B52BE"/>
    <w:rsid w:val="008B55D0"/>
    <w:rsid w:val="008B6666"/>
    <w:rsid w:val="008B7062"/>
    <w:rsid w:val="008B752F"/>
    <w:rsid w:val="008B7C33"/>
    <w:rsid w:val="008B7D09"/>
    <w:rsid w:val="008C0563"/>
    <w:rsid w:val="008C356A"/>
    <w:rsid w:val="008C3789"/>
    <w:rsid w:val="008C4871"/>
    <w:rsid w:val="008C4E2F"/>
    <w:rsid w:val="008C54FD"/>
    <w:rsid w:val="008D01A8"/>
    <w:rsid w:val="008D0A7B"/>
    <w:rsid w:val="008D0B7C"/>
    <w:rsid w:val="008D1326"/>
    <w:rsid w:val="008D1941"/>
    <w:rsid w:val="008D2751"/>
    <w:rsid w:val="008D363D"/>
    <w:rsid w:val="008D48A6"/>
    <w:rsid w:val="008D4A4B"/>
    <w:rsid w:val="008D6E81"/>
    <w:rsid w:val="008E02D9"/>
    <w:rsid w:val="008E05A9"/>
    <w:rsid w:val="008E05F2"/>
    <w:rsid w:val="008E094E"/>
    <w:rsid w:val="008E1371"/>
    <w:rsid w:val="008E15CE"/>
    <w:rsid w:val="008E3590"/>
    <w:rsid w:val="008E4804"/>
    <w:rsid w:val="008E51FE"/>
    <w:rsid w:val="008E61DB"/>
    <w:rsid w:val="008E6F47"/>
    <w:rsid w:val="008E6F92"/>
    <w:rsid w:val="008F1240"/>
    <w:rsid w:val="008F1F9D"/>
    <w:rsid w:val="008F293F"/>
    <w:rsid w:val="008F2BD0"/>
    <w:rsid w:val="008F3F4F"/>
    <w:rsid w:val="008F493A"/>
    <w:rsid w:val="008F4C0B"/>
    <w:rsid w:val="008F4F6B"/>
    <w:rsid w:val="008F5C9C"/>
    <w:rsid w:val="008F657B"/>
    <w:rsid w:val="008F66EE"/>
    <w:rsid w:val="008F68DD"/>
    <w:rsid w:val="008F6FEB"/>
    <w:rsid w:val="008F71D7"/>
    <w:rsid w:val="00901919"/>
    <w:rsid w:val="0090225B"/>
    <w:rsid w:val="009026E0"/>
    <w:rsid w:val="00902B80"/>
    <w:rsid w:val="00903009"/>
    <w:rsid w:val="00903A78"/>
    <w:rsid w:val="00903AEF"/>
    <w:rsid w:val="009043A8"/>
    <w:rsid w:val="00904A4E"/>
    <w:rsid w:val="00905E8D"/>
    <w:rsid w:val="009063E0"/>
    <w:rsid w:val="009069E9"/>
    <w:rsid w:val="00911774"/>
    <w:rsid w:val="0091194E"/>
    <w:rsid w:val="00912DE1"/>
    <w:rsid w:val="009132BA"/>
    <w:rsid w:val="00914E25"/>
    <w:rsid w:val="0092046C"/>
    <w:rsid w:val="0092153D"/>
    <w:rsid w:val="00924094"/>
    <w:rsid w:val="009241C0"/>
    <w:rsid w:val="00924404"/>
    <w:rsid w:val="00924476"/>
    <w:rsid w:val="009248D2"/>
    <w:rsid w:val="00924BCE"/>
    <w:rsid w:val="00925178"/>
    <w:rsid w:val="00926A7A"/>
    <w:rsid w:val="00927002"/>
    <w:rsid w:val="0093243F"/>
    <w:rsid w:val="0093529B"/>
    <w:rsid w:val="00935A95"/>
    <w:rsid w:val="00935E31"/>
    <w:rsid w:val="0093619C"/>
    <w:rsid w:val="00936346"/>
    <w:rsid w:val="0093787D"/>
    <w:rsid w:val="0093796F"/>
    <w:rsid w:val="00937C04"/>
    <w:rsid w:val="0094214B"/>
    <w:rsid w:val="00942B86"/>
    <w:rsid w:val="00943282"/>
    <w:rsid w:val="009439D7"/>
    <w:rsid w:val="009450A0"/>
    <w:rsid w:val="009458CF"/>
    <w:rsid w:val="0094629E"/>
    <w:rsid w:val="00947075"/>
    <w:rsid w:val="009520E1"/>
    <w:rsid w:val="00952211"/>
    <w:rsid w:val="0095260D"/>
    <w:rsid w:val="00953D5A"/>
    <w:rsid w:val="00954BBE"/>
    <w:rsid w:val="0095599D"/>
    <w:rsid w:val="00955A03"/>
    <w:rsid w:val="0095605D"/>
    <w:rsid w:val="00956145"/>
    <w:rsid w:val="00956A0F"/>
    <w:rsid w:val="009573A5"/>
    <w:rsid w:val="00957974"/>
    <w:rsid w:val="009622B3"/>
    <w:rsid w:val="00962399"/>
    <w:rsid w:val="00962690"/>
    <w:rsid w:val="009631E4"/>
    <w:rsid w:val="00964BF6"/>
    <w:rsid w:val="009656FD"/>
    <w:rsid w:val="0096676C"/>
    <w:rsid w:val="00970456"/>
    <w:rsid w:val="00971709"/>
    <w:rsid w:val="00971C10"/>
    <w:rsid w:val="00972C4B"/>
    <w:rsid w:val="009730F1"/>
    <w:rsid w:val="009734C1"/>
    <w:rsid w:val="0097482A"/>
    <w:rsid w:val="00974CED"/>
    <w:rsid w:val="0098087D"/>
    <w:rsid w:val="009808D9"/>
    <w:rsid w:val="00981142"/>
    <w:rsid w:val="00981880"/>
    <w:rsid w:val="00982037"/>
    <w:rsid w:val="009820F3"/>
    <w:rsid w:val="00982625"/>
    <w:rsid w:val="00982B46"/>
    <w:rsid w:val="00982E3C"/>
    <w:rsid w:val="009833F2"/>
    <w:rsid w:val="0098604F"/>
    <w:rsid w:val="009871EF"/>
    <w:rsid w:val="009873DA"/>
    <w:rsid w:val="0099121F"/>
    <w:rsid w:val="009923A1"/>
    <w:rsid w:val="009928E5"/>
    <w:rsid w:val="00992B98"/>
    <w:rsid w:val="009932F6"/>
    <w:rsid w:val="0099645C"/>
    <w:rsid w:val="00996C12"/>
    <w:rsid w:val="00996C57"/>
    <w:rsid w:val="00997FEE"/>
    <w:rsid w:val="009A08FA"/>
    <w:rsid w:val="009A150C"/>
    <w:rsid w:val="009A2007"/>
    <w:rsid w:val="009A375B"/>
    <w:rsid w:val="009A41F5"/>
    <w:rsid w:val="009A4678"/>
    <w:rsid w:val="009A53C6"/>
    <w:rsid w:val="009A5AF6"/>
    <w:rsid w:val="009A62A9"/>
    <w:rsid w:val="009B05A9"/>
    <w:rsid w:val="009B076D"/>
    <w:rsid w:val="009B0B2B"/>
    <w:rsid w:val="009B0F0B"/>
    <w:rsid w:val="009B10F3"/>
    <w:rsid w:val="009B1402"/>
    <w:rsid w:val="009B186E"/>
    <w:rsid w:val="009B32E9"/>
    <w:rsid w:val="009B44C4"/>
    <w:rsid w:val="009B4E1D"/>
    <w:rsid w:val="009B5754"/>
    <w:rsid w:val="009B6312"/>
    <w:rsid w:val="009B6588"/>
    <w:rsid w:val="009B69F5"/>
    <w:rsid w:val="009B7485"/>
    <w:rsid w:val="009C0E57"/>
    <w:rsid w:val="009C222D"/>
    <w:rsid w:val="009C2B19"/>
    <w:rsid w:val="009C38DA"/>
    <w:rsid w:val="009C38DC"/>
    <w:rsid w:val="009C5031"/>
    <w:rsid w:val="009C5D67"/>
    <w:rsid w:val="009C75A8"/>
    <w:rsid w:val="009D09A2"/>
    <w:rsid w:val="009D1E1A"/>
    <w:rsid w:val="009D2056"/>
    <w:rsid w:val="009D255F"/>
    <w:rsid w:val="009D27DF"/>
    <w:rsid w:val="009D36EA"/>
    <w:rsid w:val="009D3A10"/>
    <w:rsid w:val="009D42A0"/>
    <w:rsid w:val="009D489B"/>
    <w:rsid w:val="009D4C34"/>
    <w:rsid w:val="009D658E"/>
    <w:rsid w:val="009D7ABA"/>
    <w:rsid w:val="009E077A"/>
    <w:rsid w:val="009E2272"/>
    <w:rsid w:val="009E243E"/>
    <w:rsid w:val="009E2567"/>
    <w:rsid w:val="009E2CFA"/>
    <w:rsid w:val="009E43A0"/>
    <w:rsid w:val="009E450C"/>
    <w:rsid w:val="009E45C9"/>
    <w:rsid w:val="009E531C"/>
    <w:rsid w:val="009E5CDA"/>
    <w:rsid w:val="009E763D"/>
    <w:rsid w:val="009F1233"/>
    <w:rsid w:val="009F1607"/>
    <w:rsid w:val="009F301A"/>
    <w:rsid w:val="009F4FD3"/>
    <w:rsid w:val="009F589A"/>
    <w:rsid w:val="009F606B"/>
    <w:rsid w:val="009F6F72"/>
    <w:rsid w:val="009F7B2C"/>
    <w:rsid w:val="009F7E7F"/>
    <w:rsid w:val="00A00403"/>
    <w:rsid w:val="00A00E2F"/>
    <w:rsid w:val="00A021E8"/>
    <w:rsid w:val="00A02CBA"/>
    <w:rsid w:val="00A031B7"/>
    <w:rsid w:val="00A03E1B"/>
    <w:rsid w:val="00A06076"/>
    <w:rsid w:val="00A0670C"/>
    <w:rsid w:val="00A07412"/>
    <w:rsid w:val="00A074A9"/>
    <w:rsid w:val="00A07C31"/>
    <w:rsid w:val="00A07CD5"/>
    <w:rsid w:val="00A10A72"/>
    <w:rsid w:val="00A10D17"/>
    <w:rsid w:val="00A11C58"/>
    <w:rsid w:val="00A12C81"/>
    <w:rsid w:val="00A1438B"/>
    <w:rsid w:val="00A17026"/>
    <w:rsid w:val="00A17906"/>
    <w:rsid w:val="00A20FC9"/>
    <w:rsid w:val="00A21633"/>
    <w:rsid w:val="00A218A0"/>
    <w:rsid w:val="00A21B55"/>
    <w:rsid w:val="00A21DFD"/>
    <w:rsid w:val="00A22672"/>
    <w:rsid w:val="00A235FE"/>
    <w:rsid w:val="00A23885"/>
    <w:rsid w:val="00A238D0"/>
    <w:rsid w:val="00A24BD2"/>
    <w:rsid w:val="00A25B63"/>
    <w:rsid w:val="00A25E64"/>
    <w:rsid w:val="00A25F6C"/>
    <w:rsid w:val="00A27AC7"/>
    <w:rsid w:val="00A27E72"/>
    <w:rsid w:val="00A27F51"/>
    <w:rsid w:val="00A33587"/>
    <w:rsid w:val="00A33893"/>
    <w:rsid w:val="00A33ADF"/>
    <w:rsid w:val="00A3497F"/>
    <w:rsid w:val="00A35A15"/>
    <w:rsid w:val="00A36918"/>
    <w:rsid w:val="00A36A8B"/>
    <w:rsid w:val="00A36BC3"/>
    <w:rsid w:val="00A37728"/>
    <w:rsid w:val="00A40C2E"/>
    <w:rsid w:val="00A41499"/>
    <w:rsid w:val="00A4316C"/>
    <w:rsid w:val="00A432E7"/>
    <w:rsid w:val="00A43A7A"/>
    <w:rsid w:val="00A474AA"/>
    <w:rsid w:val="00A50ECD"/>
    <w:rsid w:val="00A52386"/>
    <w:rsid w:val="00A530EA"/>
    <w:rsid w:val="00A534BC"/>
    <w:rsid w:val="00A5435A"/>
    <w:rsid w:val="00A5468F"/>
    <w:rsid w:val="00A5479D"/>
    <w:rsid w:val="00A54C8C"/>
    <w:rsid w:val="00A55A31"/>
    <w:rsid w:val="00A56122"/>
    <w:rsid w:val="00A5619A"/>
    <w:rsid w:val="00A56A1A"/>
    <w:rsid w:val="00A60041"/>
    <w:rsid w:val="00A608F1"/>
    <w:rsid w:val="00A60986"/>
    <w:rsid w:val="00A617AA"/>
    <w:rsid w:val="00A618AA"/>
    <w:rsid w:val="00A6231F"/>
    <w:rsid w:val="00A6472E"/>
    <w:rsid w:val="00A64AC6"/>
    <w:rsid w:val="00A6581D"/>
    <w:rsid w:val="00A66291"/>
    <w:rsid w:val="00A667A7"/>
    <w:rsid w:val="00A676B7"/>
    <w:rsid w:val="00A70924"/>
    <w:rsid w:val="00A7095C"/>
    <w:rsid w:val="00A709DD"/>
    <w:rsid w:val="00A71E00"/>
    <w:rsid w:val="00A72304"/>
    <w:rsid w:val="00A72751"/>
    <w:rsid w:val="00A72866"/>
    <w:rsid w:val="00A746F0"/>
    <w:rsid w:val="00A753F4"/>
    <w:rsid w:val="00A756E0"/>
    <w:rsid w:val="00A75EF3"/>
    <w:rsid w:val="00A7743E"/>
    <w:rsid w:val="00A80182"/>
    <w:rsid w:val="00A803EB"/>
    <w:rsid w:val="00A8255E"/>
    <w:rsid w:val="00A846C0"/>
    <w:rsid w:val="00A85418"/>
    <w:rsid w:val="00A86614"/>
    <w:rsid w:val="00A876A1"/>
    <w:rsid w:val="00A90A42"/>
    <w:rsid w:val="00A922A5"/>
    <w:rsid w:val="00A92EC4"/>
    <w:rsid w:val="00A93447"/>
    <w:rsid w:val="00A935BA"/>
    <w:rsid w:val="00A93ED7"/>
    <w:rsid w:val="00A94B92"/>
    <w:rsid w:val="00A97271"/>
    <w:rsid w:val="00A97310"/>
    <w:rsid w:val="00A978A2"/>
    <w:rsid w:val="00AA0923"/>
    <w:rsid w:val="00AA1796"/>
    <w:rsid w:val="00AA3D6D"/>
    <w:rsid w:val="00AA4988"/>
    <w:rsid w:val="00AA57E9"/>
    <w:rsid w:val="00AA6511"/>
    <w:rsid w:val="00AA65E9"/>
    <w:rsid w:val="00AA6767"/>
    <w:rsid w:val="00AA69A4"/>
    <w:rsid w:val="00AA7AD9"/>
    <w:rsid w:val="00AB1AD1"/>
    <w:rsid w:val="00AB1FD3"/>
    <w:rsid w:val="00AB3A43"/>
    <w:rsid w:val="00AB62C4"/>
    <w:rsid w:val="00AB6D09"/>
    <w:rsid w:val="00AB6E1C"/>
    <w:rsid w:val="00AB7361"/>
    <w:rsid w:val="00AC1A48"/>
    <w:rsid w:val="00AC36D8"/>
    <w:rsid w:val="00AC3F9B"/>
    <w:rsid w:val="00AC40AF"/>
    <w:rsid w:val="00AC475C"/>
    <w:rsid w:val="00AC612E"/>
    <w:rsid w:val="00AC7BC7"/>
    <w:rsid w:val="00AC7F5A"/>
    <w:rsid w:val="00AD05F5"/>
    <w:rsid w:val="00AD1884"/>
    <w:rsid w:val="00AD18BF"/>
    <w:rsid w:val="00AD23DE"/>
    <w:rsid w:val="00AD579F"/>
    <w:rsid w:val="00AD6472"/>
    <w:rsid w:val="00AD6D27"/>
    <w:rsid w:val="00AE1414"/>
    <w:rsid w:val="00AE1648"/>
    <w:rsid w:val="00AE2CA2"/>
    <w:rsid w:val="00AE6182"/>
    <w:rsid w:val="00AE73DB"/>
    <w:rsid w:val="00AF12B4"/>
    <w:rsid w:val="00AF2716"/>
    <w:rsid w:val="00AF2CA0"/>
    <w:rsid w:val="00AF393C"/>
    <w:rsid w:val="00AF3E9E"/>
    <w:rsid w:val="00AF682B"/>
    <w:rsid w:val="00AF6E12"/>
    <w:rsid w:val="00AF6E61"/>
    <w:rsid w:val="00AF77A2"/>
    <w:rsid w:val="00B00805"/>
    <w:rsid w:val="00B00C96"/>
    <w:rsid w:val="00B010E3"/>
    <w:rsid w:val="00B01DBC"/>
    <w:rsid w:val="00B022AD"/>
    <w:rsid w:val="00B022C4"/>
    <w:rsid w:val="00B02CBC"/>
    <w:rsid w:val="00B04EE5"/>
    <w:rsid w:val="00B06341"/>
    <w:rsid w:val="00B0723C"/>
    <w:rsid w:val="00B0750E"/>
    <w:rsid w:val="00B10B7D"/>
    <w:rsid w:val="00B1105C"/>
    <w:rsid w:val="00B11D34"/>
    <w:rsid w:val="00B13D90"/>
    <w:rsid w:val="00B16320"/>
    <w:rsid w:val="00B20087"/>
    <w:rsid w:val="00B200F5"/>
    <w:rsid w:val="00B20DB2"/>
    <w:rsid w:val="00B213DA"/>
    <w:rsid w:val="00B21DDA"/>
    <w:rsid w:val="00B22261"/>
    <w:rsid w:val="00B2239C"/>
    <w:rsid w:val="00B231C3"/>
    <w:rsid w:val="00B2395A"/>
    <w:rsid w:val="00B25416"/>
    <w:rsid w:val="00B268A4"/>
    <w:rsid w:val="00B27035"/>
    <w:rsid w:val="00B275B0"/>
    <w:rsid w:val="00B27B0D"/>
    <w:rsid w:val="00B30185"/>
    <w:rsid w:val="00B30808"/>
    <w:rsid w:val="00B30A88"/>
    <w:rsid w:val="00B30FD3"/>
    <w:rsid w:val="00B310C8"/>
    <w:rsid w:val="00B31ECF"/>
    <w:rsid w:val="00B32470"/>
    <w:rsid w:val="00B3331D"/>
    <w:rsid w:val="00B340F0"/>
    <w:rsid w:val="00B34E0E"/>
    <w:rsid w:val="00B35408"/>
    <w:rsid w:val="00B36A1C"/>
    <w:rsid w:val="00B40290"/>
    <w:rsid w:val="00B43221"/>
    <w:rsid w:val="00B45F4E"/>
    <w:rsid w:val="00B472F6"/>
    <w:rsid w:val="00B516C2"/>
    <w:rsid w:val="00B52516"/>
    <w:rsid w:val="00B537FA"/>
    <w:rsid w:val="00B547FA"/>
    <w:rsid w:val="00B55374"/>
    <w:rsid w:val="00B554CF"/>
    <w:rsid w:val="00B560E3"/>
    <w:rsid w:val="00B56678"/>
    <w:rsid w:val="00B57637"/>
    <w:rsid w:val="00B60536"/>
    <w:rsid w:val="00B623EB"/>
    <w:rsid w:val="00B634E4"/>
    <w:rsid w:val="00B64922"/>
    <w:rsid w:val="00B64B64"/>
    <w:rsid w:val="00B65816"/>
    <w:rsid w:val="00B65E29"/>
    <w:rsid w:val="00B6604A"/>
    <w:rsid w:val="00B66B15"/>
    <w:rsid w:val="00B66FFB"/>
    <w:rsid w:val="00B706E1"/>
    <w:rsid w:val="00B714D7"/>
    <w:rsid w:val="00B72539"/>
    <w:rsid w:val="00B72A13"/>
    <w:rsid w:val="00B72E8C"/>
    <w:rsid w:val="00B73255"/>
    <w:rsid w:val="00B73332"/>
    <w:rsid w:val="00B75A77"/>
    <w:rsid w:val="00B76FA1"/>
    <w:rsid w:val="00B80FAE"/>
    <w:rsid w:val="00B81480"/>
    <w:rsid w:val="00B826D2"/>
    <w:rsid w:val="00B8361F"/>
    <w:rsid w:val="00B83D84"/>
    <w:rsid w:val="00B83ED3"/>
    <w:rsid w:val="00B84301"/>
    <w:rsid w:val="00B84EA4"/>
    <w:rsid w:val="00B86D49"/>
    <w:rsid w:val="00B91259"/>
    <w:rsid w:val="00B91ACE"/>
    <w:rsid w:val="00B92375"/>
    <w:rsid w:val="00B932A4"/>
    <w:rsid w:val="00B9596E"/>
    <w:rsid w:val="00B95D6C"/>
    <w:rsid w:val="00BA06D8"/>
    <w:rsid w:val="00BA1130"/>
    <w:rsid w:val="00BA136E"/>
    <w:rsid w:val="00BA1820"/>
    <w:rsid w:val="00BA3170"/>
    <w:rsid w:val="00BA53B9"/>
    <w:rsid w:val="00BA6538"/>
    <w:rsid w:val="00BA7197"/>
    <w:rsid w:val="00BB2283"/>
    <w:rsid w:val="00BB295B"/>
    <w:rsid w:val="00BB2EA5"/>
    <w:rsid w:val="00BB2F2A"/>
    <w:rsid w:val="00BB2FB6"/>
    <w:rsid w:val="00BB3CD4"/>
    <w:rsid w:val="00BB4349"/>
    <w:rsid w:val="00BB5D11"/>
    <w:rsid w:val="00BB6001"/>
    <w:rsid w:val="00BB7D2E"/>
    <w:rsid w:val="00BC1993"/>
    <w:rsid w:val="00BC2757"/>
    <w:rsid w:val="00BC2C35"/>
    <w:rsid w:val="00BC31A1"/>
    <w:rsid w:val="00BC34F2"/>
    <w:rsid w:val="00BC35AC"/>
    <w:rsid w:val="00BC38DD"/>
    <w:rsid w:val="00BC4567"/>
    <w:rsid w:val="00BC5010"/>
    <w:rsid w:val="00BC7400"/>
    <w:rsid w:val="00BD00D8"/>
    <w:rsid w:val="00BD033D"/>
    <w:rsid w:val="00BD0453"/>
    <w:rsid w:val="00BD06F8"/>
    <w:rsid w:val="00BD0E2A"/>
    <w:rsid w:val="00BD0E4F"/>
    <w:rsid w:val="00BD28E8"/>
    <w:rsid w:val="00BD3B74"/>
    <w:rsid w:val="00BD3E22"/>
    <w:rsid w:val="00BD550A"/>
    <w:rsid w:val="00BE033E"/>
    <w:rsid w:val="00BE20AB"/>
    <w:rsid w:val="00BE2620"/>
    <w:rsid w:val="00BE2C28"/>
    <w:rsid w:val="00BE34F1"/>
    <w:rsid w:val="00BE3EDE"/>
    <w:rsid w:val="00BE52FB"/>
    <w:rsid w:val="00BE5566"/>
    <w:rsid w:val="00BE7759"/>
    <w:rsid w:val="00BF00B2"/>
    <w:rsid w:val="00BF0DAD"/>
    <w:rsid w:val="00BF43B9"/>
    <w:rsid w:val="00BF4BA1"/>
    <w:rsid w:val="00BF58D5"/>
    <w:rsid w:val="00BF761D"/>
    <w:rsid w:val="00BF7989"/>
    <w:rsid w:val="00BF7BC5"/>
    <w:rsid w:val="00C0008A"/>
    <w:rsid w:val="00C002F1"/>
    <w:rsid w:val="00C007E9"/>
    <w:rsid w:val="00C01845"/>
    <w:rsid w:val="00C02196"/>
    <w:rsid w:val="00C0260D"/>
    <w:rsid w:val="00C02973"/>
    <w:rsid w:val="00C03313"/>
    <w:rsid w:val="00C03BF7"/>
    <w:rsid w:val="00C04117"/>
    <w:rsid w:val="00C05864"/>
    <w:rsid w:val="00C0636F"/>
    <w:rsid w:val="00C06952"/>
    <w:rsid w:val="00C06AE2"/>
    <w:rsid w:val="00C06FE8"/>
    <w:rsid w:val="00C07979"/>
    <w:rsid w:val="00C10456"/>
    <w:rsid w:val="00C109FB"/>
    <w:rsid w:val="00C11818"/>
    <w:rsid w:val="00C12651"/>
    <w:rsid w:val="00C13052"/>
    <w:rsid w:val="00C1318E"/>
    <w:rsid w:val="00C133FA"/>
    <w:rsid w:val="00C13FDF"/>
    <w:rsid w:val="00C160A8"/>
    <w:rsid w:val="00C17E8F"/>
    <w:rsid w:val="00C20660"/>
    <w:rsid w:val="00C212DF"/>
    <w:rsid w:val="00C22562"/>
    <w:rsid w:val="00C239D1"/>
    <w:rsid w:val="00C24362"/>
    <w:rsid w:val="00C26475"/>
    <w:rsid w:val="00C265CF"/>
    <w:rsid w:val="00C2723A"/>
    <w:rsid w:val="00C27F92"/>
    <w:rsid w:val="00C304B9"/>
    <w:rsid w:val="00C3098B"/>
    <w:rsid w:val="00C32280"/>
    <w:rsid w:val="00C33293"/>
    <w:rsid w:val="00C3686A"/>
    <w:rsid w:val="00C376D0"/>
    <w:rsid w:val="00C37DAA"/>
    <w:rsid w:val="00C416AC"/>
    <w:rsid w:val="00C4189F"/>
    <w:rsid w:val="00C419BF"/>
    <w:rsid w:val="00C42B58"/>
    <w:rsid w:val="00C42C30"/>
    <w:rsid w:val="00C4382C"/>
    <w:rsid w:val="00C43E1E"/>
    <w:rsid w:val="00C44104"/>
    <w:rsid w:val="00C44A6A"/>
    <w:rsid w:val="00C44BF9"/>
    <w:rsid w:val="00C45F80"/>
    <w:rsid w:val="00C46BEA"/>
    <w:rsid w:val="00C47FE3"/>
    <w:rsid w:val="00C50683"/>
    <w:rsid w:val="00C508F6"/>
    <w:rsid w:val="00C50C7E"/>
    <w:rsid w:val="00C51C48"/>
    <w:rsid w:val="00C51EB3"/>
    <w:rsid w:val="00C52F39"/>
    <w:rsid w:val="00C53D4D"/>
    <w:rsid w:val="00C53EE1"/>
    <w:rsid w:val="00C562EA"/>
    <w:rsid w:val="00C564B4"/>
    <w:rsid w:val="00C60C66"/>
    <w:rsid w:val="00C61C5C"/>
    <w:rsid w:val="00C6234D"/>
    <w:rsid w:val="00C6418C"/>
    <w:rsid w:val="00C64A5D"/>
    <w:rsid w:val="00C64BAB"/>
    <w:rsid w:val="00C73E82"/>
    <w:rsid w:val="00C761CC"/>
    <w:rsid w:val="00C76508"/>
    <w:rsid w:val="00C7736E"/>
    <w:rsid w:val="00C77D6C"/>
    <w:rsid w:val="00C77E7B"/>
    <w:rsid w:val="00C80671"/>
    <w:rsid w:val="00C80B34"/>
    <w:rsid w:val="00C82251"/>
    <w:rsid w:val="00C8319B"/>
    <w:rsid w:val="00C84C55"/>
    <w:rsid w:val="00C86B7E"/>
    <w:rsid w:val="00C870E1"/>
    <w:rsid w:val="00C90067"/>
    <w:rsid w:val="00C90F0B"/>
    <w:rsid w:val="00C9101A"/>
    <w:rsid w:val="00C91D66"/>
    <w:rsid w:val="00C9275C"/>
    <w:rsid w:val="00C9279C"/>
    <w:rsid w:val="00C92C26"/>
    <w:rsid w:val="00C93D7B"/>
    <w:rsid w:val="00C94B6F"/>
    <w:rsid w:val="00C964BC"/>
    <w:rsid w:val="00CA1242"/>
    <w:rsid w:val="00CA4679"/>
    <w:rsid w:val="00CA5243"/>
    <w:rsid w:val="00CA707B"/>
    <w:rsid w:val="00CB0946"/>
    <w:rsid w:val="00CB1472"/>
    <w:rsid w:val="00CB2946"/>
    <w:rsid w:val="00CB3786"/>
    <w:rsid w:val="00CB4F13"/>
    <w:rsid w:val="00CB618D"/>
    <w:rsid w:val="00CB6CAF"/>
    <w:rsid w:val="00CC2733"/>
    <w:rsid w:val="00CC354C"/>
    <w:rsid w:val="00CC4580"/>
    <w:rsid w:val="00CC4B35"/>
    <w:rsid w:val="00CC56A0"/>
    <w:rsid w:val="00CC57D3"/>
    <w:rsid w:val="00CC61BB"/>
    <w:rsid w:val="00CC6DF9"/>
    <w:rsid w:val="00CC7144"/>
    <w:rsid w:val="00CC77E5"/>
    <w:rsid w:val="00CD0332"/>
    <w:rsid w:val="00CD1597"/>
    <w:rsid w:val="00CD2C16"/>
    <w:rsid w:val="00CD4200"/>
    <w:rsid w:val="00CD44BA"/>
    <w:rsid w:val="00CD504F"/>
    <w:rsid w:val="00CD548A"/>
    <w:rsid w:val="00CD556C"/>
    <w:rsid w:val="00CD683F"/>
    <w:rsid w:val="00CD71BF"/>
    <w:rsid w:val="00CD776F"/>
    <w:rsid w:val="00CE0567"/>
    <w:rsid w:val="00CE118F"/>
    <w:rsid w:val="00CE15F5"/>
    <w:rsid w:val="00CE167A"/>
    <w:rsid w:val="00CE1EFC"/>
    <w:rsid w:val="00CE3D49"/>
    <w:rsid w:val="00CE4B9D"/>
    <w:rsid w:val="00CE4E34"/>
    <w:rsid w:val="00CE5A8B"/>
    <w:rsid w:val="00CE66AF"/>
    <w:rsid w:val="00CE7C5F"/>
    <w:rsid w:val="00CF0DB5"/>
    <w:rsid w:val="00CF12BA"/>
    <w:rsid w:val="00CF1836"/>
    <w:rsid w:val="00CF1C9D"/>
    <w:rsid w:val="00CF1FA1"/>
    <w:rsid w:val="00CF34BA"/>
    <w:rsid w:val="00CF38BB"/>
    <w:rsid w:val="00CF398E"/>
    <w:rsid w:val="00CF3B1C"/>
    <w:rsid w:val="00CF3FCE"/>
    <w:rsid w:val="00CF7013"/>
    <w:rsid w:val="00CF7525"/>
    <w:rsid w:val="00CF7FEF"/>
    <w:rsid w:val="00D00561"/>
    <w:rsid w:val="00D0057E"/>
    <w:rsid w:val="00D008B9"/>
    <w:rsid w:val="00D01883"/>
    <w:rsid w:val="00D0290D"/>
    <w:rsid w:val="00D02D19"/>
    <w:rsid w:val="00D04208"/>
    <w:rsid w:val="00D06CAA"/>
    <w:rsid w:val="00D12672"/>
    <w:rsid w:val="00D13199"/>
    <w:rsid w:val="00D1416F"/>
    <w:rsid w:val="00D14B69"/>
    <w:rsid w:val="00D16179"/>
    <w:rsid w:val="00D164F9"/>
    <w:rsid w:val="00D20C86"/>
    <w:rsid w:val="00D2176C"/>
    <w:rsid w:val="00D22B57"/>
    <w:rsid w:val="00D23013"/>
    <w:rsid w:val="00D2402A"/>
    <w:rsid w:val="00D259B4"/>
    <w:rsid w:val="00D25CD7"/>
    <w:rsid w:val="00D26031"/>
    <w:rsid w:val="00D2661D"/>
    <w:rsid w:val="00D305A2"/>
    <w:rsid w:val="00D307F7"/>
    <w:rsid w:val="00D315DF"/>
    <w:rsid w:val="00D343E6"/>
    <w:rsid w:val="00D34684"/>
    <w:rsid w:val="00D34C84"/>
    <w:rsid w:val="00D35651"/>
    <w:rsid w:val="00D36581"/>
    <w:rsid w:val="00D36F37"/>
    <w:rsid w:val="00D37C78"/>
    <w:rsid w:val="00D37C87"/>
    <w:rsid w:val="00D37D57"/>
    <w:rsid w:val="00D37E50"/>
    <w:rsid w:val="00D400B6"/>
    <w:rsid w:val="00D41508"/>
    <w:rsid w:val="00D41561"/>
    <w:rsid w:val="00D41BF5"/>
    <w:rsid w:val="00D41F90"/>
    <w:rsid w:val="00D42DE1"/>
    <w:rsid w:val="00D43418"/>
    <w:rsid w:val="00D442E7"/>
    <w:rsid w:val="00D46FBE"/>
    <w:rsid w:val="00D52E5E"/>
    <w:rsid w:val="00D562AE"/>
    <w:rsid w:val="00D56A3C"/>
    <w:rsid w:val="00D56D20"/>
    <w:rsid w:val="00D56E1E"/>
    <w:rsid w:val="00D61A51"/>
    <w:rsid w:val="00D61D43"/>
    <w:rsid w:val="00D6255C"/>
    <w:rsid w:val="00D62A99"/>
    <w:rsid w:val="00D62CCE"/>
    <w:rsid w:val="00D63D99"/>
    <w:rsid w:val="00D65513"/>
    <w:rsid w:val="00D65784"/>
    <w:rsid w:val="00D7176D"/>
    <w:rsid w:val="00D728BD"/>
    <w:rsid w:val="00D733AF"/>
    <w:rsid w:val="00D734E5"/>
    <w:rsid w:val="00D7454C"/>
    <w:rsid w:val="00D74701"/>
    <w:rsid w:val="00D74F32"/>
    <w:rsid w:val="00D74F37"/>
    <w:rsid w:val="00D75383"/>
    <w:rsid w:val="00D75F17"/>
    <w:rsid w:val="00D76A28"/>
    <w:rsid w:val="00D76BFE"/>
    <w:rsid w:val="00D77971"/>
    <w:rsid w:val="00D80972"/>
    <w:rsid w:val="00D81911"/>
    <w:rsid w:val="00D82085"/>
    <w:rsid w:val="00D8313A"/>
    <w:rsid w:val="00D841FE"/>
    <w:rsid w:val="00D8523D"/>
    <w:rsid w:val="00D85378"/>
    <w:rsid w:val="00D85FF1"/>
    <w:rsid w:val="00D86177"/>
    <w:rsid w:val="00D87473"/>
    <w:rsid w:val="00D907E7"/>
    <w:rsid w:val="00D91E45"/>
    <w:rsid w:val="00D92E07"/>
    <w:rsid w:val="00D945B5"/>
    <w:rsid w:val="00D955FD"/>
    <w:rsid w:val="00D97D4B"/>
    <w:rsid w:val="00DA066B"/>
    <w:rsid w:val="00DA11C1"/>
    <w:rsid w:val="00DA3C67"/>
    <w:rsid w:val="00DA4F72"/>
    <w:rsid w:val="00DA5E7D"/>
    <w:rsid w:val="00DA69DA"/>
    <w:rsid w:val="00DA6BBC"/>
    <w:rsid w:val="00DA7A25"/>
    <w:rsid w:val="00DA7AC5"/>
    <w:rsid w:val="00DA7F25"/>
    <w:rsid w:val="00DB00C4"/>
    <w:rsid w:val="00DB0E6E"/>
    <w:rsid w:val="00DB1C5E"/>
    <w:rsid w:val="00DB2A73"/>
    <w:rsid w:val="00DB2FEA"/>
    <w:rsid w:val="00DB30AF"/>
    <w:rsid w:val="00DB445B"/>
    <w:rsid w:val="00DB463A"/>
    <w:rsid w:val="00DB4729"/>
    <w:rsid w:val="00DB5867"/>
    <w:rsid w:val="00DB7D1A"/>
    <w:rsid w:val="00DC0FDE"/>
    <w:rsid w:val="00DC1A7D"/>
    <w:rsid w:val="00DC3238"/>
    <w:rsid w:val="00DC3737"/>
    <w:rsid w:val="00DC44C1"/>
    <w:rsid w:val="00DC5276"/>
    <w:rsid w:val="00DC5825"/>
    <w:rsid w:val="00DC7B5F"/>
    <w:rsid w:val="00DD1BAA"/>
    <w:rsid w:val="00DD39F9"/>
    <w:rsid w:val="00DD3D40"/>
    <w:rsid w:val="00DD5B10"/>
    <w:rsid w:val="00DD5E42"/>
    <w:rsid w:val="00DD654F"/>
    <w:rsid w:val="00DD6AB2"/>
    <w:rsid w:val="00DE054D"/>
    <w:rsid w:val="00DE152F"/>
    <w:rsid w:val="00DE2A1B"/>
    <w:rsid w:val="00DE61BD"/>
    <w:rsid w:val="00DE7048"/>
    <w:rsid w:val="00DE7294"/>
    <w:rsid w:val="00DF06F2"/>
    <w:rsid w:val="00DF1946"/>
    <w:rsid w:val="00DF1BC2"/>
    <w:rsid w:val="00DF2348"/>
    <w:rsid w:val="00DF274B"/>
    <w:rsid w:val="00DF2A28"/>
    <w:rsid w:val="00DF2CC7"/>
    <w:rsid w:val="00DF320E"/>
    <w:rsid w:val="00DF4370"/>
    <w:rsid w:val="00DF44AD"/>
    <w:rsid w:val="00DF4660"/>
    <w:rsid w:val="00DF4FE0"/>
    <w:rsid w:val="00DF53D7"/>
    <w:rsid w:val="00DF7188"/>
    <w:rsid w:val="00DF7533"/>
    <w:rsid w:val="00DF7570"/>
    <w:rsid w:val="00E02DD7"/>
    <w:rsid w:val="00E04611"/>
    <w:rsid w:val="00E04CF5"/>
    <w:rsid w:val="00E05B15"/>
    <w:rsid w:val="00E063CF"/>
    <w:rsid w:val="00E067A5"/>
    <w:rsid w:val="00E06F28"/>
    <w:rsid w:val="00E10E1E"/>
    <w:rsid w:val="00E10E3D"/>
    <w:rsid w:val="00E12199"/>
    <w:rsid w:val="00E13F5E"/>
    <w:rsid w:val="00E14469"/>
    <w:rsid w:val="00E14DDF"/>
    <w:rsid w:val="00E17C43"/>
    <w:rsid w:val="00E20725"/>
    <w:rsid w:val="00E21866"/>
    <w:rsid w:val="00E21CA4"/>
    <w:rsid w:val="00E2237E"/>
    <w:rsid w:val="00E22964"/>
    <w:rsid w:val="00E237A4"/>
    <w:rsid w:val="00E245A7"/>
    <w:rsid w:val="00E24723"/>
    <w:rsid w:val="00E26C18"/>
    <w:rsid w:val="00E30EBE"/>
    <w:rsid w:val="00E3140A"/>
    <w:rsid w:val="00E31AF5"/>
    <w:rsid w:val="00E31D2F"/>
    <w:rsid w:val="00E31DB2"/>
    <w:rsid w:val="00E33303"/>
    <w:rsid w:val="00E33BDF"/>
    <w:rsid w:val="00E33E57"/>
    <w:rsid w:val="00E33EF4"/>
    <w:rsid w:val="00E34340"/>
    <w:rsid w:val="00E34366"/>
    <w:rsid w:val="00E34533"/>
    <w:rsid w:val="00E34D6B"/>
    <w:rsid w:val="00E35846"/>
    <w:rsid w:val="00E35B46"/>
    <w:rsid w:val="00E361C6"/>
    <w:rsid w:val="00E3698D"/>
    <w:rsid w:val="00E404EC"/>
    <w:rsid w:val="00E406FE"/>
    <w:rsid w:val="00E40735"/>
    <w:rsid w:val="00E4096C"/>
    <w:rsid w:val="00E417AC"/>
    <w:rsid w:val="00E41868"/>
    <w:rsid w:val="00E450F8"/>
    <w:rsid w:val="00E45385"/>
    <w:rsid w:val="00E45B8F"/>
    <w:rsid w:val="00E45DC7"/>
    <w:rsid w:val="00E46158"/>
    <w:rsid w:val="00E46284"/>
    <w:rsid w:val="00E4689C"/>
    <w:rsid w:val="00E474C6"/>
    <w:rsid w:val="00E511D0"/>
    <w:rsid w:val="00E52A3C"/>
    <w:rsid w:val="00E52D6E"/>
    <w:rsid w:val="00E53BFB"/>
    <w:rsid w:val="00E55DDE"/>
    <w:rsid w:val="00E5646C"/>
    <w:rsid w:val="00E56BA9"/>
    <w:rsid w:val="00E611A1"/>
    <w:rsid w:val="00E62613"/>
    <w:rsid w:val="00E630B4"/>
    <w:rsid w:val="00E643FC"/>
    <w:rsid w:val="00E6780E"/>
    <w:rsid w:val="00E67FE0"/>
    <w:rsid w:val="00E70069"/>
    <w:rsid w:val="00E70367"/>
    <w:rsid w:val="00E710C1"/>
    <w:rsid w:val="00E725D4"/>
    <w:rsid w:val="00E72E38"/>
    <w:rsid w:val="00E74ED0"/>
    <w:rsid w:val="00E75AFF"/>
    <w:rsid w:val="00E76BB7"/>
    <w:rsid w:val="00E82455"/>
    <w:rsid w:val="00E838BE"/>
    <w:rsid w:val="00E84697"/>
    <w:rsid w:val="00E846F3"/>
    <w:rsid w:val="00E85095"/>
    <w:rsid w:val="00E853D7"/>
    <w:rsid w:val="00E85FAA"/>
    <w:rsid w:val="00E86E7B"/>
    <w:rsid w:val="00E871A6"/>
    <w:rsid w:val="00E901DB"/>
    <w:rsid w:val="00E90B33"/>
    <w:rsid w:val="00E90DE9"/>
    <w:rsid w:val="00E910D4"/>
    <w:rsid w:val="00E917E2"/>
    <w:rsid w:val="00E924FD"/>
    <w:rsid w:val="00E9276C"/>
    <w:rsid w:val="00E92AE7"/>
    <w:rsid w:val="00E935DD"/>
    <w:rsid w:val="00E9372C"/>
    <w:rsid w:val="00E93D5B"/>
    <w:rsid w:val="00E95809"/>
    <w:rsid w:val="00E95C51"/>
    <w:rsid w:val="00E96025"/>
    <w:rsid w:val="00E97BD5"/>
    <w:rsid w:val="00E97D25"/>
    <w:rsid w:val="00EA0728"/>
    <w:rsid w:val="00EA1F26"/>
    <w:rsid w:val="00EA30E0"/>
    <w:rsid w:val="00EA44BE"/>
    <w:rsid w:val="00EA4943"/>
    <w:rsid w:val="00EA5064"/>
    <w:rsid w:val="00EA5D99"/>
    <w:rsid w:val="00EA6B1A"/>
    <w:rsid w:val="00EA6B3F"/>
    <w:rsid w:val="00EA6CBA"/>
    <w:rsid w:val="00EB07E7"/>
    <w:rsid w:val="00EB0D7A"/>
    <w:rsid w:val="00EB129E"/>
    <w:rsid w:val="00EB24C6"/>
    <w:rsid w:val="00EB26AB"/>
    <w:rsid w:val="00EB2C16"/>
    <w:rsid w:val="00EB4835"/>
    <w:rsid w:val="00EB4C9D"/>
    <w:rsid w:val="00EB6429"/>
    <w:rsid w:val="00EB666F"/>
    <w:rsid w:val="00EC133C"/>
    <w:rsid w:val="00EC209F"/>
    <w:rsid w:val="00EC3562"/>
    <w:rsid w:val="00EC3F8E"/>
    <w:rsid w:val="00EC5611"/>
    <w:rsid w:val="00EC64BC"/>
    <w:rsid w:val="00EC7751"/>
    <w:rsid w:val="00ED0E5B"/>
    <w:rsid w:val="00ED3321"/>
    <w:rsid w:val="00ED3867"/>
    <w:rsid w:val="00ED3C2C"/>
    <w:rsid w:val="00ED46A4"/>
    <w:rsid w:val="00ED4761"/>
    <w:rsid w:val="00ED5A4B"/>
    <w:rsid w:val="00EE0AAE"/>
    <w:rsid w:val="00EE10FB"/>
    <w:rsid w:val="00EE29B2"/>
    <w:rsid w:val="00EE2A54"/>
    <w:rsid w:val="00EE39FE"/>
    <w:rsid w:val="00EE3E6E"/>
    <w:rsid w:val="00EE4687"/>
    <w:rsid w:val="00EE511A"/>
    <w:rsid w:val="00EE5968"/>
    <w:rsid w:val="00EE5BB6"/>
    <w:rsid w:val="00EE6859"/>
    <w:rsid w:val="00EE68DE"/>
    <w:rsid w:val="00EE6BAA"/>
    <w:rsid w:val="00EE701B"/>
    <w:rsid w:val="00EE75D4"/>
    <w:rsid w:val="00EF0E62"/>
    <w:rsid w:val="00EF0F45"/>
    <w:rsid w:val="00EF1AE8"/>
    <w:rsid w:val="00EF2825"/>
    <w:rsid w:val="00EF4DD1"/>
    <w:rsid w:val="00EF6E29"/>
    <w:rsid w:val="00EF7F53"/>
    <w:rsid w:val="00F010DC"/>
    <w:rsid w:val="00F0144D"/>
    <w:rsid w:val="00F01817"/>
    <w:rsid w:val="00F01C25"/>
    <w:rsid w:val="00F01CF1"/>
    <w:rsid w:val="00F023CB"/>
    <w:rsid w:val="00F0302F"/>
    <w:rsid w:val="00F03DA2"/>
    <w:rsid w:val="00F04C24"/>
    <w:rsid w:val="00F05BF2"/>
    <w:rsid w:val="00F06D1B"/>
    <w:rsid w:val="00F1005E"/>
    <w:rsid w:val="00F103CD"/>
    <w:rsid w:val="00F10847"/>
    <w:rsid w:val="00F10979"/>
    <w:rsid w:val="00F10BAD"/>
    <w:rsid w:val="00F117E5"/>
    <w:rsid w:val="00F120A0"/>
    <w:rsid w:val="00F13945"/>
    <w:rsid w:val="00F152CF"/>
    <w:rsid w:val="00F154B4"/>
    <w:rsid w:val="00F20336"/>
    <w:rsid w:val="00F20A48"/>
    <w:rsid w:val="00F20F94"/>
    <w:rsid w:val="00F240A8"/>
    <w:rsid w:val="00F26A0E"/>
    <w:rsid w:val="00F2733E"/>
    <w:rsid w:val="00F30D8E"/>
    <w:rsid w:val="00F30EDA"/>
    <w:rsid w:val="00F33275"/>
    <w:rsid w:val="00F33ABA"/>
    <w:rsid w:val="00F3451A"/>
    <w:rsid w:val="00F35ABB"/>
    <w:rsid w:val="00F35B7A"/>
    <w:rsid w:val="00F36FE0"/>
    <w:rsid w:val="00F37265"/>
    <w:rsid w:val="00F378E1"/>
    <w:rsid w:val="00F379FD"/>
    <w:rsid w:val="00F407A4"/>
    <w:rsid w:val="00F4091A"/>
    <w:rsid w:val="00F40DC0"/>
    <w:rsid w:val="00F418B9"/>
    <w:rsid w:val="00F41B0A"/>
    <w:rsid w:val="00F4201F"/>
    <w:rsid w:val="00F42C55"/>
    <w:rsid w:val="00F42D7F"/>
    <w:rsid w:val="00F4351D"/>
    <w:rsid w:val="00F4629A"/>
    <w:rsid w:val="00F46BAC"/>
    <w:rsid w:val="00F46C5A"/>
    <w:rsid w:val="00F5097E"/>
    <w:rsid w:val="00F50E81"/>
    <w:rsid w:val="00F51103"/>
    <w:rsid w:val="00F51D06"/>
    <w:rsid w:val="00F52776"/>
    <w:rsid w:val="00F5343C"/>
    <w:rsid w:val="00F540E7"/>
    <w:rsid w:val="00F54EB9"/>
    <w:rsid w:val="00F54FBA"/>
    <w:rsid w:val="00F55305"/>
    <w:rsid w:val="00F5533A"/>
    <w:rsid w:val="00F57122"/>
    <w:rsid w:val="00F60A50"/>
    <w:rsid w:val="00F61A3C"/>
    <w:rsid w:val="00F61D7A"/>
    <w:rsid w:val="00F64B1A"/>
    <w:rsid w:val="00F66554"/>
    <w:rsid w:val="00F66A5F"/>
    <w:rsid w:val="00F70093"/>
    <w:rsid w:val="00F7013D"/>
    <w:rsid w:val="00F71061"/>
    <w:rsid w:val="00F7263E"/>
    <w:rsid w:val="00F72EC2"/>
    <w:rsid w:val="00F73910"/>
    <w:rsid w:val="00F74336"/>
    <w:rsid w:val="00F762C6"/>
    <w:rsid w:val="00F764A1"/>
    <w:rsid w:val="00F76652"/>
    <w:rsid w:val="00F7668A"/>
    <w:rsid w:val="00F76F3E"/>
    <w:rsid w:val="00F8162D"/>
    <w:rsid w:val="00F816AA"/>
    <w:rsid w:val="00F81FAD"/>
    <w:rsid w:val="00F8379D"/>
    <w:rsid w:val="00F86358"/>
    <w:rsid w:val="00F86E7F"/>
    <w:rsid w:val="00F8741D"/>
    <w:rsid w:val="00F87DC3"/>
    <w:rsid w:val="00F91366"/>
    <w:rsid w:val="00F93BCB"/>
    <w:rsid w:val="00F9409E"/>
    <w:rsid w:val="00F9497A"/>
    <w:rsid w:val="00F95DC9"/>
    <w:rsid w:val="00F96526"/>
    <w:rsid w:val="00FA2057"/>
    <w:rsid w:val="00FA3971"/>
    <w:rsid w:val="00FA73B3"/>
    <w:rsid w:val="00FB0767"/>
    <w:rsid w:val="00FB1649"/>
    <w:rsid w:val="00FB2417"/>
    <w:rsid w:val="00FB5D2B"/>
    <w:rsid w:val="00FB5F82"/>
    <w:rsid w:val="00FB6A12"/>
    <w:rsid w:val="00FB7A00"/>
    <w:rsid w:val="00FC2EEA"/>
    <w:rsid w:val="00FC385A"/>
    <w:rsid w:val="00FC472A"/>
    <w:rsid w:val="00FD06D4"/>
    <w:rsid w:val="00FD08B5"/>
    <w:rsid w:val="00FD16B4"/>
    <w:rsid w:val="00FD17A7"/>
    <w:rsid w:val="00FD263F"/>
    <w:rsid w:val="00FD28AD"/>
    <w:rsid w:val="00FD30BB"/>
    <w:rsid w:val="00FD4062"/>
    <w:rsid w:val="00FD4231"/>
    <w:rsid w:val="00FD54BA"/>
    <w:rsid w:val="00FD672B"/>
    <w:rsid w:val="00FD6C0E"/>
    <w:rsid w:val="00FD6D15"/>
    <w:rsid w:val="00FD70F5"/>
    <w:rsid w:val="00FD73AD"/>
    <w:rsid w:val="00FD73E4"/>
    <w:rsid w:val="00FD76AF"/>
    <w:rsid w:val="00FD7CC8"/>
    <w:rsid w:val="00FD7DCD"/>
    <w:rsid w:val="00FE064D"/>
    <w:rsid w:val="00FE0A8F"/>
    <w:rsid w:val="00FE12E6"/>
    <w:rsid w:val="00FE1909"/>
    <w:rsid w:val="00FE1C69"/>
    <w:rsid w:val="00FE2FAA"/>
    <w:rsid w:val="00FE3B9A"/>
    <w:rsid w:val="00FE4430"/>
    <w:rsid w:val="00FE5081"/>
    <w:rsid w:val="00FE547A"/>
    <w:rsid w:val="00FE733C"/>
    <w:rsid w:val="00FE756A"/>
    <w:rsid w:val="00FE7EA5"/>
    <w:rsid w:val="00FE7EF3"/>
    <w:rsid w:val="00FE7F91"/>
    <w:rsid w:val="00FF0506"/>
    <w:rsid w:val="00FF0814"/>
    <w:rsid w:val="00FF0F98"/>
    <w:rsid w:val="00FF13FD"/>
    <w:rsid w:val="00FF14A7"/>
    <w:rsid w:val="00FF3CC0"/>
    <w:rsid w:val="00FF47DD"/>
    <w:rsid w:val="00FF4AA2"/>
    <w:rsid w:val="00FF64B0"/>
    <w:rsid w:val="00FF6E30"/>
    <w:rsid w:val="00FF72D6"/>
    <w:rsid w:val="012A6BDB"/>
    <w:rsid w:val="0183453D"/>
    <w:rsid w:val="019D73AC"/>
    <w:rsid w:val="02641F7D"/>
    <w:rsid w:val="029721E9"/>
    <w:rsid w:val="02A22ACB"/>
    <w:rsid w:val="02F84D3D"/>
    <w:rsid w:val="03355182"/>
    <w:rsid w:val="040C6A6B"/>
    <w:rsid w:val="04763EE5"/>
    <w:rsid w:val="04EB48D3"/>
    <w:rsid w:val="05ED6429"/>
    <w:rsid w:val="0659586C"/>
    <w:rsid w:val="067C2076"/>
    <w:rsid w:val="06E31D05"/>
    <w:rsid w:val="07566228"/>
    <w:rsid w:val="07C1191B"/>
    <w:rsid w:val="08273E74"/>
    <w:rsid w:val="082F0B20"/>
    <w:rsid w:val="08856A8F"/>
    <w:rsid w:val="08D12032"/>
    <w:rsid w:val="09007443"/>
    <w:rsid w:val="091F4B4B"/>
    <w:rsid w:val="09D378F6"/>
    <w:rsid w:val="09E718CF"/>
    <w:rsid w:val="0A9E7CF1"/>
    <w:rsid w:val="0B36617C"/>
    <w:rsid w:val="0BAE4FC0"/>
    <w:rsid w:val="0C744A84"/>
    <w:rsid w:val="0E123852"/>
    <w:rsid w:val="0E2D7D0A"/>
    <w:rsid w:val="0EAF6971"/>
    <w:rsid w:val="0FBA6904"/>
    <w:rsid w:val="0FDD70C3"/>
    <w:rsid w:val="105477D0"/>
    <w:rsid w:val="10881228"/>
    <w:rsid w:val="10C36704"/>
    <w:rsid w:val="11095FA7"/>
    <w:rsid w:val="11561326"/>
    <w:rsid w:val="11E9219A"/>
    <w:rsid w:val="11FB1179"/>
    <w:rsid w:val="1259033D"/>
    <w:rsid w:val="13405DEA"/>
    <w:rsid w:val="13B32A60"/>
    <w:rsid w:val="13D72EAC"/>
    <w:rsid w:val="13E946D3"/>
    <w:rsid w:val="14192827"/>
    <w:rsid w:val="141D25CF"/>
    <w:rsid w:val="145B427D"/>
    <w:rsid w:val="14F57569"/>
    <w:rsid w:val="155618F4"/>
    <w:rsid w:val="15EF3AF7"/>
    <w:rsid w:val="16760F68"/>
    <w:rsid w:val="167C3456"/>
    <w:rsid w:val="17F23C9B"/>
    <w:rsid w:val="183509D1"/>
    <w:rsid w:val="19793E03"/>
    <w:rsid w:val="1A225A6F"/>
    <w:rsid w:val="1A606D71"/>
    <w:rsid w:val="1A670100"/>
    <w:rsid w:val="1BAF0CD9"/>
    <w:rsid w:val="1BD46FA1"/>
    <w:rsid w:val="1C111473"/>
    <w:rsid w:val="1C6C5EA1"/>
    <w:rsid w:val="1D1F4CC2"/>
    <w:rsid w:val="1D2E5635"/>
    <w:rsid w:val="1DBC49FF"/>
    <w:rsid w:val="1DE63A32"/>
    <w:rsid w:val="1E5C0C53"/>
    <w:rsid w:val="1E885939"/>
    <w:rsid w:val="1F2D7B6A"/>
    <w:rsid w:val="1F3A0D32"/>
    <w:rsid w:val="1FAB1C93"/>
    <w:rsid w:val="1FF24910"/>
    <w:rsid w:val="203B62B7"/>
    <w:rsid w:val="20A72895"/>
    <w:rsid w:val="20AD0C27"/>
    <w:rsid w:val="213A2F69"/>
    <w:rsid w:val="21496A36"/>
    <w:rsid w:val="215869F4"/>
    <w:rsid w:val="22146DBF"/>
    <w:rsid w:val="226A273E"/>
    <w:rsid w:val="227D2BB6"/>
    <w:rsid w:val="2342795C"/>
    <w:rsid w:val="238C0BD7"/>
    <w:rsid w:val="23977CA8"/>
    <w:rsid w:val="23DC0B7C"/>
    <w:rsid w:val="23F24EDE"/>
    <w:rsid w:val="24027328"/>
    <w:rsid w:val="24863878"/>
    <w:rsid w:val="250824DF"/>
    <w:rsid w:val="25DF1492"/>
    <w:rsid w:val="26A76454"/>
    <w:rsid w:val="26DB434F"/>
    <w:rsid w:val="27363334"/>
    <w:rsid w:val="275A34C6"/>
    <w:rsid w:val="275B723E"/>
    <w:rsid w:val="27E62FAC"/>
    <w:rsid w:val="28340FDD"/>
    <w:rsid w:val="28402B5E"/>
    <w:rsid w:val="285308F2"/>
    <w:rsid w:val="28A54C15"/>
    <w:rsid w:val="28DF6F15"/>
    <w:rsid w:val="28F85D26"/>
    <w:rsid w:val="2920604A"/>
    <w:rsid w:val="2921063D"/>
    <w:rsid w:val="2995611D"/>
    <w:rsid w:val="2A663F30"/>
    <w:rsid w:val="2ADB2B70"/>
    <w:rsid w:val="2AE36CBD"/>
    <w:rsid w:val="2B073965"/>
    <w:rsid w:val="2B1740F5"/>
    <w:rsid w:val="2B9E76FA"/>
    <w:rsid w:val="2BDE3F9A"/>
    <w:rsid w:val="2C1852AA"/>
    <w:rsid w:val="2CE329E0"/>
    <w:rsid w:val="2D6A1F89"/>
    <w:rsid w:val="2DF06932"/>
    <w:rsid w:val="2E1343CF"/>
    <w:rsid w:val="2E3E5F0C"/>
    <w:rsid w:val="2E642E7C"/>
    <w:rsid w:val="2F0A4589"/>
    <w:rsid w:val="2FA37038"/>
    <w:rsid w:val="319B2920"/>
    <w:rsid w:val="319C4717"/>
    <w:rsid w:val="31D07226"/>
    <w:rsid w:val="31EF5153"/>
    <w:rsid w:val="31F664E1"/>
    <w:rsid w:val="32130E41"/>
    <w:rsid w:val="3287538B"/>
    <w:rsid w:val="335334BF"/>
    <w:rsid w:val="340D7B12"/>
    <w:rsid w:val="34DD714D"/>
    <w:rsid w:val="34E80D67"/>
    <w:rsid w:val="34F605A6"/>
    <w:rsid w:val="36266C69"/>
    <w:rsid w:val="36F01751"/>
    <w:rsid w:val="37086ED1"/>
    <w:rsid w:val="370A20E7"/>
    <w:rsid w:val="371239CE"/>
    <w:rsid w:val="382673F4"/>
    <w:rsid w:val="386D0B7F"/>
    <w:rsid w:val="38996961"/>
    <w:rsid w:val="38D97FC3"/>
    <w:rsid w:val="39241D31"/>
    <w:rsid w:val="393F42CA"/>
    <w:rsid w:val="39755F3E"/>
    <w:rsid w:val="398C3287"/>
    <w:rsid w:val="39F33306"/>
    <w:rsid w:val="3A076DBC"/>
    <w:rsid w:val="3A4D6EBA"/>
    <w:rsid w:val="3B585B17"/>
    <w:rsid w:val="3B6B584A"/>
    <w:rsid w:val="3BA66882"/>
    <w:rsid w:val="3C905574"/>
    <w:rsid w:val="3CA32DC2"/>
    <w:rsid w:val="3D0D46DF"/>
    <w:rsid w:val="3D9F7A2D"/>
    <w:rsid w:val="3DA07301"/>
    <w:rsid w:val="3E0C4381"/>
    <w:rsid w:val="3E25745B"/>
    <w:rsid w:val="3E460E59"/>
    <w:rsid w:val="3E6447D3"/>
    <w:rsid w:val="3E717652"/>
    <w:rsid w:val="3E952D8F"/>
    <w:rsid w:val="3EA6703C"/>
    <w:rsid w:val="3F6448A3"/>
    <w:rsid w:val="3F656A54"/>
    <w:rsid w:val="3F6A7BC7"/>
    <w:rsid w:val="3FD8476D"/>
    <w:rsid w:val="3FDE40A3"/>
    <w:rsid w:val="403B0B6F"/>
    <w:rsid w:val="41645DEE"/>
    <w:rsid w:val="41C81CFE"/>
    <w:rsid w:val="420258C4"/>
    <w:rsid w:val="42456039"/>
    <w:rsid w:val="42864D18"/>
    <w:rsid w:val="42DD107F"/>
    <w:rsid w:val="42EB7271"/>
    <w:rsid w:val="4404683C"/>
    <w:rsid w:val="4433538B"/>
    <w:rsid w:val="445157F9"/>
    <w:rsid w:val="44EC1534"/>
    <w:rsid w:val="46711033"/>
    <w:rsid w:val="47282841"/>
    <w:rsid w:val="478D4D9A"/>
    <w:rsid w:val="479954ED"/>
    <w:rsid w:val="47FB31CB"/>
    <w:rsid w:val="493273D6"/>
    <w:rsid w:val="49E84C9F"/>
    <w:rsid w:val="4A070E34"/>
    <w:rsid w:val="4A471363"/>
    <w:rsid w:val="4A624F8F"/>
    <w:rsid w:val="4AC76815"/>
    <w:rsid w:val="4AEC1DD8"/>
    <w:rsid w:val="4B2C18E1"/>
    <w:rsid w:val="4C991AEB"/>
    <w:rsid w:val="4C9D6AA1"/>
    <w:rsid w:val="4CC81420"/>
    <w:rsid w:val="4CD31213"/>
    <w:rsid w:val="4CE55E97"/>
    <w:rsid w:val="4CE949B9"/>
    <w:rsid w:val="4E281379"/>
    <w:rsid w:val="4F271630"/>
    <w:rsid w:val="4F532425"/>
    <w:rsid w:val="4FF0236A"/>
    <w:rsid w:val="50891D39"/>
    <w:rsid w:val="509B67AD"/>
    <w:rsid w:val="539A2B96"/>
    <w:rsid w:val="54C73613"/>
    <w:rsid w:val="54E01871"/>
    <w:rsid w:val="54FE0192"/>
    <w:rsid w:val="55EA6982"/>
    <w:rsid w:val="562D027A"/>
    <w:rsid w:val="56DC53F6"/>
    <w:rsid w:val="570E3EF9"/>
    <w:rsid w:val="579D6934"/>
    <w:rsid w:val="57E447E5"/>
    <w:rsid w:val="584E7C2E"/>
    <w:rsid w:val="58CD3500"/>
    <w:rsid w:val="59684544"/>
    <w:rsid w:val="59B85CA7"/>
    <w:rsid w:val="59C06909"/>
    <w:rsid w:val="5A20384C"/>
    <w:rsid w:val="5A2D7EDB"/>
    <w:rsid w:val="5A376EF6"/>
    <w:rsid w:val="5A767910"/>
    <w:rsid w:val="5A9A35FE"/>
    <w:rsid w:val="5ADC7773"/>
    <w:rsid w:val="5C207B33"/>
    <w:rsid w:val="5CA0005D"/>
    <w:rsid w:val="5CEE0F87"/>
    <w:rsid w:val="5CFA0E85"/>
    <w:rsid w:val="5D5C5C40"/>
    <w:rsid w:val="5E20206C"/>
    <w:rsid w:val="5E4060DA"/>
    <w:rsid w:val="5E4F2952"/>
    <w:rsid w:val="5E4F5D29"/>
    <w:rsid w:val="5EFF2B3D"/>
    <w:rsid w:val="5F3A0F0C"/>
    <w:rsid w:val="5F3F6843"/>
    <w:rsid w:val="5F6E77E6"/>
    <w:rsid w:val="606764AF"/>
    <w:rsid w:val="61194A88"/>
    <w:rsid w:val="618140DA"/>
    <w:rsid w:val="62595B4D"/>
    <w:rsid w:val="62650040"/>
    <w:rsid w:val="62BE3C02"/>
    <w:rsid w:val="62CC631F"/>
    <w:rsid w:val="6315416A"/>
    <w:rsid w:val="631A1780"/>
    <w:rsid w:val="632048BD"/>
    <w:rsid w:val="636F54AF"/>
    <w:rsid w:val="639E415F"/>
    <w:rsid w:val="64542A70"/>
    <w:rsid w:val="64BE613B"/>
    <w:rsid w:val="64CE360B"/>
    <w:rsid w:val="6578278E"/>
    <w:rsid w:val="65E41BD1"/>
    <w:rsid w:val="65F26275"/>
    <w:rsid w:val="6605586F"/>
    <w:rsid w:val="664D3C1B"/>
    <w:rsid w:val="668929CC"/>
    <w:rsid w:val="675242D9"/>
    <w:rsid w:val="67B35CFF"/>
    <w:rsid w:val="67CF3C05"/>
    <w:rsid w:val="683642FC"/>
    <w:rsid w:val="692240A6"/>
    <w:rsid w:val="695378CB"/>
    <w:rsid w:val="6A955B90"/>
    <w:rsid w:val="6C8E6D3B"/>
    <w:rsid w:val="6C924A92"/>
    <w:rsid w:val="6D567859"/>
    <w:rsid w:val="6D596978"/>
    <w:rsid w:val="6E4D6EA3"/>
    <w:rsid w:val="6E5A3142"/>
    <w:rsid w:val="6EC64626"/>
    <w:rsid w:val="6FF94CA3"/>
    <w:rsid w:val="71D419B9"/>
    <w:rsid w:val="71E44963"/>
    <w:rsid w:val="71ED1C92"/>
    <w:rsid w:val="72E562AD"/>
    <w:rsid w:val="737738A5"/>
    <w:rsid w:val="74430CA6"/>
    <w:rsid w:val="749B49EB"/>
    <w:rsid w:val="76BB072D"/>
    <w:rsid w:val="77400C32"/>
    <w:rsid w:val="77DC4DFE"/>
    <w:rsid w:val="78047EB1"/>
    <w:rsid w:val="784875D4"/>
    <w:rsid w:val="78E35D19"/>
    <w:rsid w:val="795D66BF"/>
    <w:rsid w:val="79825532"/>
    <w:rsid w:val="79A4194C"/>
    <w:rsid w:val="7A0E5017"/>
    <w:rsid w:val="7A1A1C0E"/>
    <w:rsid w:val="7A230AC3"/>
    <w:rsid w:val="7B643141"/>
    <w:rsid w:val="7BCB1916"/>
    <w:rsid w:val="7C150808"/>
    <w:rsid w:val="7C27582E"/>
    <w:rsid w:val="7C4B2553"/>
    <w:rsid w:val="7C6821B3"/>
    <w:rsid w:val="7CA0464C"/>
    <w:rsid w:val="7CBE0F77"/>
    <w:rsid w:val="7D712A5C"/>
    <w:rsid w:val="7E492AC2"/>
    <w:rsid w:val="7E8D1843"/>
    <w:rsid w:val="7F3A2271"/>
    <w:rsid w:val="7FE652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360"/>
      </w:tabs>
      <w:ind w:left="360" w:hanging="360"/>
      <w:jc w:val="center"/>
      <w:outlineLvl w:val="0"/>
    </w:pPr>
    <w:rPr>
      <w:rFonts w:ascii="Times New Roman" w:hAnsi="Times New Roman" w:eastAsia="宋体"/>
      <w:b/>
      <w:sz w:val="36"/>
    </w:rPr>
  </w:style>
  <w:style w:type="paragraph" w:styleId="4">
    <w:name w:val="heading 2"/>
    <w:basedOn w:val="1"/>
    <w:next w:val="1"/>
    <w:qFormat/>
    <w:uiPriority w:val="0"/>
    <w:pPr>
      <w:keepNext/>
      <w:keepLines/>
      <w:spacing w:before="260" w:after="260" w:line="416" w:lineRule="auto"/>
      <w:jc w:val="center"/>
      <w:outlineLvl w:val="1"/>
    </w:pPr>
    <w:rPr>
      <w:rFonts w:ascii="Arial Black" w:hAnsi="Arial Black" w:eastAsia="宋体"/>
      <w:b/>
      <w:bCs/>
      <w:sz w:val="30"/>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54"/>
    <w:qFormat/>
    <w:uiPriority w:val="0"/>
    <w:pPr>
      <w:keepNext/>
      <w:keepLines/>
      <w:spacing w:before="280" w:after="290" w:line="372" w:lineRule="auto"/>
      <w:outlineLvl w:val="3"/>
    </w:pPr>
    <w:rPr>
      <w:rFonts w:ascii="宋体" w:hAnsi="Arial"/>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unhideWhenUsed/>
    <w:qFormat/>
    <w:uiPriority w:val="99"/>
    <w:pPr>
      <w:spacing w:after="120"/>
    </w:pPr>
  </w:style>
  <w:style w:type="paragraph" w:styleId="7">
    <w:name w:val="Normal Indent"/>
    <w:basedOn w:val="1"/>
    <w:next w:val="1"/>
    <w:semiHidden/>
    <w:qFormat/>
    <w:uiPriority w:val="0"/>
    <w:pPr>
      <w:ind w:firstLine="420"/>
    </w:pPr>
  </w:style>
  <w:style w:type="paragraph" w:styleId="8">
    <w:name w:val="Document Map"/>
    <w:basedOn w:val="1"/>
    <w:semiHidden/>
    <w:qFormat/>
    <w:uiPriority w:val="0"/>
    <w:pPr>
      <w:shd w:val="clear" w:color="auto" w:fill="000080"/>
    </w:pPr>
  </w:style>
  <w:style w:type="paragraph" w:styleId="9">
    <w:name w:val="toa heading"/>
    <w:basedOn w:val="1"/>
    <w:next w:val="1"/>
    <w:qFormat/>
    <w:uiPriority w:val="0"/>
    <w:pPr>
      <w:spacing w:before="120"/>
    </w:pPr>
    <w:rPr>
      <w:rFonts w:ascii="Arial" w:hAnsi="Arial"/>
      <w:sz w:val="24"/>
      <w:szCs w:val="21"/>
    </w:rPr>
  </w:style>
  <w:style w:type="paragraph" w:styleId="10">
    <w:name w:val="annotation text"/>
    <w:basedOn w:val="1"/>
    <w:link w:val="51"/>
    <w:unhideWhenUsed/>
    <w:qFormat/>
    <w:uiPriority w:val="99"/>
    <w:pPr>
      <w:jc w:val="left"/>
    </w:pPr>
  </w:style>
  <w:style w:type="paragraph" w:styleId="11">
    <w:name w:val="index 6"/>
    <w:basedOn w:val="1"/>
    <w:next w:val="1"/>
    <w:qFormat/>
    <w:uiPriority w:val="99"/>
    <w:pPr>
      <w:ind w:left="2100"/>
    </w:pPr>
  </w:style>
  <w:style w:type="paragraph" w:styleId="12">
    <w:name w:val="Body Text Indent"/>
    <w:basedOn w:val="1"/>
    <w:link w:val="56"/>
    <w:qFormat/>
    <w:uiPriority w:val="0"/>
    <w:pPr>
      <w:spacing w:after="120"/>
      <w:ind w:left="420" w:leftChars="200"/>
    </w:pPr>
  </w:style>
  <w:style w:type="paragraph" w:styleId="13">
    <w:name w:val="Plain Text"/>
    <w:basedOn w:val="1"/>
    <w:next w:val="14"/>
    <w:link w:val="55"/>
    <w:qFormat/>
    <w:uiPriority w:val="99"/>
    <w:rPr>
      <w:rFonts w:ascii="宋体" w:hAnsi="Courier New"/>
    </w:rPr>
  </w:style>
  <w:style w:type="paragraph" w:styleId="14">
    <w:name w:val="toc 2"/>
    <w:basedOn w:val="1"/>
    <w:next w:val="1"/>
    <w:semiHidden/>
    <w:qFormat/>
    <w:uiPriority w:val="0"/>
    <w:pPr>
      <w:ind w:left="420" w:leftChars="200"/>
    </w:pPr>
  </w:style>
  <w:style w:type="paragraph" w:styleId="15">
    <w:name w:val="Date"/>
    <w:basedOn w:val="1"/>
    <w:next w:val="1"/>
    <w:qFormat/>
    <w:uiPriority w:val="0"/>
    <w:pPr>
      <w:adjustRightInd w:val="0"/>
      <w:spacing w:line="360" w:lineRule="atLeast"/>
      <w:ind w:firstLine="454"/>
      <w:textAlignment w:val="baseline"/>
    </w:pPr>
    <w:rPr>
      <w:kern w:val="0"/>
    </w:rPr>
  </w:style>
  <w:style w:type="paragraph" w:styleId="16">
    <w:name w:val="Body Text Indent 2"/>
    <w:basedOn w:val="1"/>
    <w:link w:val="47"/>
    <w:qFormat/>
    <w:uiPriority w:val="0"/>
    <w:pPr>
      <w:ind w:firstLine="480"/>
    </w:pPr>
    <w:rPr>
      <w:rFonts w:ascii="宋体" w:hAnsi="宋体"/>
      <w:sz w:val="30"/>
      <w:szCs w:val="24"/>
    </w:rPr>
  </w:style>
  <w:style w:type="paragraph" w:styleId="17">
    <w:name w:val="endnote text"/>
    <w:basedOn w:val="1"/>
    <w:link w:val="53"/>
    <w:unhideWhenUsed/>
    <w:qFormat/>
    <w:uiPriority w:val="99"/>
    <w:pPr>
      <w:snapToGrid w:val="0"/>
      <w:jc w:val="left"/>
    </w:pPr>
  </w:style>
  <w:style w:type="paragraph" w:styleId="18">
    <w:name w:val="Balloon Text"/>
    <w:basedOn w:val="1"/>
    <w:link w:val="49"/>
    <w:unhideWhenUsed/>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semiHidden/>
    <w:unhideWhenUsed/>
    <w:qFormat/>
    <w:uiPriority w:val="39"/>
  </w:style>
  <w:style w:type="paragraph" w:styleId="22">
    <w:name w:val="Body Text 2"/>
    <w:basedOn w:val="1"/>
    <w:qFormat/>
    <w:uiPriority w:val="0"/>
    <w:pPr>
      <w:spacing w:line="360" w:lineRule="auto"/>
    </w:pPr>
    <w:rPr>
      <w:b/>
      <w:sz w:val="28"/>
      <w:szCs w:val="21"/>
    </w:rPr>
  </w:style>
  <w:style w:type="paragraph" w:styleId="23">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4">
    <w:name w:val="Normal (Web)"/>
    <w:basedOn w:val="1"/>
    <w:next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5">
    <w:name w:val="annotation subject"/>
    <w:basedOn w:val="10"/>
    <w:next w:val="10"/>
    <w:link w:val="50"/>
    <w:unhideWhenUsed/>
    <w:qFormat/>
    <w:uiPriority w:val="99"/>
    <w:rPr>
      <w:b/>
      <w:bCs/>
    </w:rPr>
  </w:style>
  <w:style w:type="paragraph" w:styleId="26">
    <w:name w:val="Body Text First Indent"/>
    <w:basedOn w:val="2"/>
    <w:link w:val="39"/>
    <w:unhideWhenUsed/>
    <w:qFormat/>
    <w:uiPriority w:val="99"/>
    <w:pPr>
      <w:ind w:firstLine="420" w:firstLineChars="100"/>
    </w:p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endnote reference"/>
    <w:basedOn w:val="29"/>
    <w:unhideWhenUsed/>
    <w:qFormat/>
    <w:uiPriority w:val="99"/>
    <w:rPr>
      <w:vertAlign w:val="superscript"/>
    </w:rPr>
  </w:style>
  <w:style w:type="character" w:styleId="32">
    <w:name w:val="page number"/>
    <w:basedOn w:val="29"/>
    <w:qFormat/>
    <w:uiPriority w:val="0"/>
  </w:style>
  <w:style w:type="character" w:styleId="33">
    <w:name w:val="Hyperlink"/>
    <w:qFormat/>
    <w:uiPriority w:val="0"/>
    <w:rPr>
      <w:color w:val="0000FF"/>
      <w:u w:val="single"/>
    </w:rPr>
  </w:style>
  <w:style w:type="character" w:styleId="34">
    <w:name w:val="annotation reference"/>
    <w:basedOn w:val="29"/>
    <w:unhideWhenUsed/>
    <w:qFormat/>
    <w:uiPriority w:val="99"/>
    <w:rPr>
      <w:sz w:val="21"/>
      <w:szCs w:val="21"/>
    </w:rPr>
  </w:style>
  <w:style w:type="character" w:styleId="35">
    <w:name w:val="HTML Sample"/>
    <w:basedOn w:val="29"/>
    <w:qFormat/>
    <w:uiPriority w:val="0"/>
    <w:rPr>
      <w:rFonts w:ascii="Courier New" w:hAnsi="Courier New"/>
    </w:rPr>
  </w:style>
  <w:style w:type="character" w:customStyle="1" w:styleId="36">
    <w:name w:val="hs14"/>
    <w:basedOn w:val="29"/>
    <w:qFormat/>
    <w:uiPriority w:val="0"/>
  </w:style>
  <w:style w:type="character" w:customStyle="1" w:styleId="37">
    <w:name w:val="（符号）三标题1.1 Char"/>
    <w:link w:val="38"/>
    <w:qFormat/>
    <w:uiPriority w:val="0"/>
    <w:rPr>
      <w:rFonts w:ascii="宋体" w:hAnsi="宋体"/>
      <w:kern w:val="2"/>
      <w:sz w:val="24"/>
      <w:szCs w:val="24"/>
    </w:rPr>
  </w:style>
  <w:style w:type="paragraph" w:customStyle="1" w:styleId="38">
    <w:name w:val="（符号）三标题1.1"/>
    <w:basedOn w:val="1"/>
    <w:link w:val="37"/>
    <w:qFormat/>
    <w:uiPriority w:val="0"/>
    <w:pPr>
      <w:tabs>
        <w:tab w:val="left" w:pos="700"/>
      </w:tabs>
      <w:spacing w:line="500" w:lineRule="exact"/>
      <w:ind w:left="700" w:hanging="700"/>
    </w:pPr>
    <w:rPr>
      <w:rFonts w:ascii="宋体" w:hAnsi="宋体"/>
      <w:sz w:val="24"/>
      <w:szCs w:val="24"/>
    </w:rPr>
  </w:style>
  <w:style w:type="character" w:customStyle="1" w:styleId="39">
    <w:name w:val="正文首行缩进 Char"/>
    <w:basedOn w:val="40"/>
    <w:link w:val="26"/>
    <w:semiHidden/>
    <w:qFormat/>
    <w:uiPriority w:val="99"/>
    <w:rPr>
      <w:kern w:val="2"/>
      <w:sz w:val="21"/>
    </w:rPr>
  </w:style>
  <w:style w:type="character" w:customStyle="1" w:styleId="40">
    <w:name w:val="正文文本 Char"/>
    <w:link w:val="2"/>
    <w:semiHidden/>
    <w:qFormat/>
    <w:uiPriority w:val="99"/>
    <w:rPr>
      <w:kern w:val="2"/>
      <w:sz w:val="21"/>
    </w:rPr>
  </w:style>
  <w:style w:type="character" w:customStyle="1" w:styleId="41">
    <w:name w:val="Default Text Char"/>
    <w:link w:val="42"/>
    <w:qFormat/>
    <w:uiPriority w:val="0"/>
    <w:rPr>
      <w:color w:val="000000"/>
      <w:sz w:val="24"/>
      <w:szCs w:val="24"/>
      <w:lang w:val="en-US" w:eastAsia="zh-CN" w:bidi="ar-SA"/>
    </w:rPr>
  </w:style>
  <w:style w:type="paragraph" w:customStyle="1" w:styleId="42">
    <w:name w:val="Default Text"/>
    <w:basedOn w:val="43"/>
    <w:link w:val="4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3">
    <w:name w:val="正文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44">
    <w:name w:val="case31"/>
    <w:qFormat/>
    <w:uiPriority w:val="0"/>
    <w:rPr>
      <w:rFonts w:hint="default" w:ascii="ˎ̥" w:hAnsi="ˎ̥"/>
      <w:sz w:val="21"/>
      <w:szCs w:val="21"/>
    </w:rPr>
  </w:style>
  <w:style w:type="character" w:customStyle="1" w:styleId="45">
    <w:name w:val="页脚 Char"/>
    <w:link w:val="19"/>
    <w:qFormat/>
    <w:uiPriority w:val="99"/>
    <w:rPr>
      <w:kern w:val="2"/>
      <w:sz w:val="18"/>
    </w:rPr>
  </w:style>
  <w:style w:type="character" w:customStyle="1" w:styleId="46">
    <w:name w:val="HTML 预设格式 Char"/>
    <w:link w:val="23"/>
    <w:qFormat/>
    <w:uiPriority w:val="0"/>
    <w:rPr>
      <w:rFonts w:ascii="宋体" w:hAnsi="宋体" w:cs="宋体"/>
      <w:sz w:val="24"/>
      <w:szCs w:val="24"/>
    </w:rPr>
  </w:style>
  <w:style w:type="character" w:customStyle="1" w:styleId="47">
    <w:name w:val="正文文本缩进 2 Char"/>
    <w:link w:val="16"/>
    <w:qFormat/>
    <w:uiPriority w:val="0"/>
    <w:rPr>
      <w:rFonts w:ascii="宋体" w:hAnsi="宋体"/>
      <w:kern w:val="2"/>
      <w:sz w:val="30"/>
      <w:szCs w:val="24"/>
    </w:rPr>
  </w:style>
  <w:style w:type="character" w:customStyle="1" w:styleId="48">
    <w:name w:val="text"/>
    <w:basedOn w:val="29"/>
    <w:qFormat/>
    <w:uiPriority w:val="0"/>
  </w:style>
  <w:style w:type="character" w:customStyle="1" w:styleId="49">
    <w:name w:val="批注框文本 Char"/>
    <w:link w:val="18"/>
    <w:semiHidden/>
    <w:qFormat/>
    <w:uiPriority w:val="99"/>
    <w:rPr>
      <w:kern w:val="2"/>
      <w:sz w:val="18"/>
      <w:szCs w:val="18"/>
    </w:rPr>
  </w:style>
  <w:style w:type="character" w:customStyle="1" w:styleId="50">
    <w:name w:val="批注主题 Char"/>
    <w:basedOn w:val="51"/>
    <w:link w:val="25"/>
    <w:semiHidden/>
    <w:qFormat/>
    <w:uiPriority w:val="99"/>
    <w:rPr>
      <w:b/>
      <w:bCs/>
      <w:kern w:val="2"/>
      <w:sz w:val="21"/>
    </w:rPr>
  </w:style>
  <w:style w:type="character" w:customStyle="1" w:styleId="51">
    <w:name w:val="批注文字 Char"/>
    <w:basedOn w:val="29"/>
    <w:link w:val="10"/>
    <w:semiHidden/>
    <w:qFormat/>
    <w:uiPriority w:val="99"/>
    <w:rPr>
      <w:kern w:val="2"/>
      <w:sz w:val="21"/>
    </w:rPr>
  </w:style>
  <w:style w:type="character" w:customStyle="1" w:styleId="52">
    <w:name w:val="p2"/>
    <w:basedOn w:val="29"/>
    <w:qFormat/>
    <w:uiPriority w:val="0"/>
  </w:style>
  <w:style w:type="character" w:customStyle="1" w:styleId="53">
    <w:name w:val="尾注文本 Char"/>
    <w:basedOn w:val="29"/>
    <w:link w:val="17"/>
    <w:semiHidden/>
    <w:qFormat/>
    <w:uiPriority w:val="99"/>
    <w:rPr>
      <w:kern w:val="2"/>
      <w:sz w:val="21"/>
    </w:rPr>
  </w:style>
  <w:style w:type="character" w:customStyle="1" w:styleId="54">
    <w:name w:val="标题 4 Char"/>
    <w:basedOn w:val="29"/>
    <w:link w:val="6"/>
    <w:qFormat/>
    <w:uiPriority w:val="0"/>
    <w:rPr>
      <w:rFonts w:ascii="宋体" w:hAnsi="Arial" w:eastAsia="宋体"/>
      <w:b/>
      <w:sz w:val="28"/>
      <w:lang w:val="en-US" w:eastAsia="zh-CN" w:bidi="ar-SA"/>
    </w:rPr>
  </w:style>
  <w:style w:type="character" w:customStyle="1" w:styleId="55">
    <w:name w:val="纯文本 Char"/>
    <w:link w:val="13"/>
    <w:qFormat/>
    <w:uiPriority w:val="99"/>
    <w:rPr>
      <w:rFonts w:ascii="宋体" w:hAnsi="Courier New"/>
      <w:kern w:val="2"/>
      <w:sz w:val="21"/>
    </w:rPr>
  </w:style>
  <w:style w:type="character" w:customStyle="1" w:styleId="56">
    <w:name w:val="正文文本缩进 Char"/>
    <w:link w:val="12"/>
    <w:qFormat/>
    <w:uiPriority w:val="0"/>
    <w:rPr>
      <w:kern w:val="2"/>
      <w:sz w:val="21"/>
    </w:rPr>
  </w:style>
  <w:style w:type="paragraph" w:customStyle="1" w:styleId="57">
    <w:name w:val="a-正文"/>
    <w:basedOn w:val="1"/>
    <w:qFormat/>
    <w:uiPriority w:val="0"/>
    <w:pPr>
      <w:tabs>
        <w:tab w:val="left" w:pos="567"/>
        <w:tab w:val="left" w:pos="851"/>
      </w:tabs>
      <w:adjustRightInd w:val="0"/>
      <w:spacing w:beforeLines="50" w:line="440" w:lineRule="exact"/>
      <w:ind w:left="84" w:leftChars="35" w:firstLine="480" w:firstLineChars="200"/>
      <w:jc w:val="left"/>
      <w:textAlignment w:val="baseline"/>
    </w:pPr>
    <w:rPr>
      <w:rFonts w:ascii="宋体" w:hAnsi="宋体"/>
      <w:kern w:val="0"/>
      <w:sz w:val="24"/>
    </w:rPr>
  </w:style>
  <w:style w:type="paragraph" w:customStyle="1" w:styleId="58">
    <w:name w:val="列出段落1"/>
    <w:basedOn w:val="1"/>
    <w:qFormat/>
    <w:uiPriority w:val="0"/>
    <w:pPr>
      <w:ind w:firstLine="420" w:firstLineChars="200"/>
    </w:pPr>
    <w:rPr>
      <w:rFonts w:hint="eastAsia"/>
      <w:szCs w:val="24"/>
    </w:rPr>
  </w:style>
  <w:style w:type="paragraph" w:customStyle="1" w:styleId="59">
    <w:name w:val="列出段落2"/>
    <w:basedOn w:val="1"/>
    <w:qFormat/>
    <w:uiPriority w:val="34"/>
    <w:pPr>
      <w:ind w:firstLine="420" w:firstLineChars="200"/>
    </w:pPr>
    <w:rPr>
      <w:rFonts w:ascii="Calibri" w:hAnsi="Calibri"/>
      <w:szCs w:val="24"/>
    </w:rPr>
  </w:style>
  <w:style w:type="paragraph" w:customStyle="1" w:styleId="60">
    <w:name w:val="段"/>
    <w:qFormat/>
    <w:uiPriority w:val="0"/>
    <w:pPr>
      <w:autoSpaceDE w:val="0"/>
      <w:autoSpaceDN w:val="0"/>
      <w:ind w:firstLine="200" w:firstLineChars="200"/>
      <w:jc w:val="both"/>
    </w:pPr>
    <w:rPr>
      <w:rFonts w:ascii="宋体" w:hAnsi="Times New Roman" w:eastAsia="宋体" w:cs="Times New Roman"/>
      <w:sz w:val="22"/>
      <w:lang w:val="en-US" w:eastAsia="en-US" w:bidi="en-US"/>
    </w:rPr>
  </w:style>
  <w:style w:type="paragraph" w:customStyle="1" w:styleId="61">
    <w:name w:val="纯文本1"/>
    <w:basedOn w:val="1"/>
    <w:qFormat/>
    <w:uiPriority w:val="0"/>
    <w:pPr>
      <w:adjustRightInd w:val="0"/>
      <w:textAlignment w:val="baseline"/>
    </w:pPr>
    <w:rPr>
      <w:rFonts w:ascii="宋体" w:hAnsi="Courier New" w:eastAsia="楷体_GB2312"/>
      <w:sz w:val="28"/>
    </w:rPr>
  </w:style>
  <w:style w:type="paragraph" w:customStyle="1" w:styleId="62">
    <w:name w:val="Char Char Char"/>
    <w:basedOn w:val="8"/>
    <w:qFormat/>
    <w:uiPriority w:val="0"/>
    <w:rPr>
      <w:rFonts w:ascii="Tahoma" w:hAnsi="Tahoma"/>
      <w:sz w:val="24"/>
      <w:szCs w:val="24"/>
    </w:rPr>
  </w:style>
  <w:style w:type="paragraph" w:customStyle="1" w:styleId="6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styleId="65">
    <w:name w:val="List Paragraph"/>
    <w:basedOn w:val="1"/>
    <w:qFormat/>
    <w:uiPriority w:val="99"/>
    <w:pPr>
      <w:ind w:firstLine="420" w:firstLineChars="200"/>
    </w:pPr>
    <w:rPr>
      <w:rFonts w:ascii="Calibri" w:hAnsi="Calibri" w:eastAsia="仿宋"/>
      <w:sz w:val="32"/>
      <w:szCs w:val="22"/>
    </w:rPr>
  </w:style>
  <w:style w:type="paragraph" w:customStyle="1" w:styleId="66">
    <w:name w:val="pa-5"/>
    <w:basedOn w:val="1"/>
    <w:qFormat/>
    <w:uiPriority w:val="0"/>
    <w:pPr>
      <w:widowControl/>
      <w:spacing w:before="150" w:after="150"/>
      <w:jc w:val="left"/>
    </w:pPr>
    <w:rPr>
      <w:rFonts w:ascii="宋体" w:hAnsi="宋体" w:cs="宋体"/>
      <w:kern w:val="0"/>
      <w:sz w:val="24"/>
    </w:rPr>
  </w:style>
  <w:style w:type="paragraph" w:customStyle="1" w:styleId="67">
    <w:name w:val="正文表标题"/>
    <w:next w:val="1"/>
    <w:qFormat/>
    <w:uiPriority w:val="0"/>
    <w:pPr>
      <w:tabs>
        <w:tab w:val="left" w:pos="360"/>
      </w:tabs>
      <w:ind w:left="360" w:hanging="360"/>
      <w:jc w:val="center"/>
    </w:pPr>
    <w:rPr>
      <w:rFonts w:ascii="黑体" w:hAnsi="Times New Roman" w:eastAsia="黑体" w:cs="Times New Roman"/>
      <w:sz w:val="22"/>
      <w:lang w:val="en-US" w:eastAsia="en-US" w:bidi="en-US"/>
    </w:rPr>
  </w:style>
  <w:style w:type="paragraph" w:customStyle="1" w:styleId="68">
    <w:name w:val="a-编号"/>
    <w:basedOn w:val="1"/>
    <w:qFormat/>
    <w:uiPriority w:val="0"/>
    <w:pPr>
      <w:tabs>
        <w:tab w:val="left" w:pos="567"/>
        <w:tab w:val="left" w:pos="720"/>
        <w:tab w:val="left" w:pos="851"/>
        <w:tab w:val="left" w:pos="1362"/>
      </w:tabs>
      <w:adjustRightInd w:val="0"/>
      <w:spacing w:beforeLines="50" w:line="440" w:lineRule="exact"/>
      <w:ind w:left="1362" w:hanging="794"/>
      <w:jc w:val="left"/>
      <w:textAlignment w:val="baseline"/>
    </w:pPr>
    <w:rPr>
      <w:rFonts w:ascii="宋体" w:hAnsi="宋体"/>
      <w:kern w:val="0"/>
      <w:sz w:val="24"/>
    </w:rPr>
  </w:style>
  <w:style w:type="paragraph" w:customStyle="1" w:styleId="69">
    <w:name w:val="xl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70">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71">
    <w:name w:val="5）标书正文 首行缩进2字符"/>
    <w:basedOn w:val="1"/>
    <w:qFormat/>
    <w:uiPriority w:val="0"/>
    <w:pPr>
      <w:spacing w:line="480" w:lineRule="exact"/>
      <w:ind w:firstLine="200" w:firstLineChars="200"/>
    </w:pPr>
    <w:rPr>
      <w:rFonts w:ascii="仿宋_GB2312" w:eastAsia="仿宋_GB2312"/>
      <w:sz w:val="28"/>
      <w:szCs w:val="24"/>
    </w:rPr>
  </w:style>
  <w:style w:type="paragraph" w:customStyle="1" w:styleId="72">
    <w:name w:val="WPS Plain"/>
    <w:qFormat/>
    <w:uiPriority w:val="0"/>
    <w:rPr>
      <w:rFonts w:ascii="Times New Roman" w:hAnsi="Times New Roman" w:eastAsia="宋体" w:cs="Times New Roman"/>
      <w:lang w:val="en-US" w:eastAsia="zh-CN" w:bidi="ar-SA"/>
    </w:rPr>
  </w:style>
  <w:style w:type="paragraph" w:customStyle="1" w:styleId="73">
    <w:name w:val="文件正文"/>
    <w:qFormat/>
    <w:uiPriority w:val="0"/>
    <w:pPr>
      <w:ind w:firstLine="200" w:firstLineChars="200"/>
      <w:jc w:val="both"/>
    </w:pPr>
    <w:rPr>
      <w:rFonts w:ascii="Times New Roman" w:hAnsi="Times New Roman" w:eastAsia="仿宋" w:cs="Times New Roman"/>
      <w:sz w:val="32"/>
      <w:lang w:val="en-US" w:eastAsia="zh-CN" w:bidi="ar-SA"/>
    </w:rPr>
  </w:style>
  <w:style w:type="paragraph" w:customStyle="1" w:styleId="74">
    <w:name w:val="标书样式"/>
    <w:basedOn w:val="1"/>
    <w:qFormat/>
    <w:uiPriority w:val="0"/>
    <w:pPr>
      <w:widowControl/>
      <w:spacing w:line="360" w:lineRule="auto"/>
      <w:ind w:firstLine="200" w:firstLineChars="200"/>
      <w:jc w:val="left"/>
    </w:pPr>
    <w:rPr>
      <w:rFonts w:ascii="Calibri" w:hAnsi="Calibri"/>
      <w:kern w:val="0"/>
      <w:sz w:val="24"/>
      <w:szCs w:val="22"/>
      <w:lang w:eastAsia="en-US" w:bidi="en-US"/>
    </w:rPr>
  </w:style>
  <w:style w:type="paragraph" w:customStyle="1" w:styleId="75">
    <w:name w:val="p0"/>
    <w:basedOn w:val="1"/>
    <w:qFormat/>
    <w:uiPriority w:val="0"/>
    <w:pPr>
      <w:widowControl/>
    </w:pPr>
    <w:rPr>
      <w:rFonts w:ascii="Calibri" w:hAnsi="Calibri" w:cs="宋体"/>
      <w:kern w:val="0"/>
      <w:szCs w:val="21"/>
    </w:rPr>
  </w:style>
  <w:style w:type="paragraph" w:customStyle="1" w:styleId="76">
    <w:name w:val="Char Char Char1"/>
    <w:basedOn w:val="8"/>
    <w:qFormat/>
    <w:uiPriority w:val="0"/>
    <w:rPr>
      <w:rFonts w:ascii="Tahoma" w:hAnsi="Tahoma"/>
      <w:sz w:val="24"/>
      <w:szCs w:val="24"/>
    </w:rPr>
  </w:style>
  <w:style w:type="paragraph" w:customStyle="1" w:styleId="77">
    <w:name w:val="(符号)五标题1.1.1"/>
    <w:basedOn w:val="1"/>
    <w:qFormat/>
    <w:uiPriority w:val="0"/>
    <w:pPr>
      <w:tabs>
        <w:tab w:val="left" w:pos="1000"/>
      </w:tabs>
      <w:spacing w:line="500" w:lineRule="exact"/>
      <w:ind w:left="1000" w:hanging="1000"/>
    </w:pPr>
    <w:rPr>
      <w:rFonts w:ascii="宋体" w:hAnsi="宋体" w:cs="宋体"/>
      <w:color w:val="000000"/>
      <w:sz w:val="24"/>
    </w:rPr>
  </w:style>
  <w:style w:type="table" w:customStyle="1" w:styleId="78">
    <w:name w:val="网格型11"/>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80">
    <w:name w:val="默认"/>
    <w:qFormat/>
    <w:uiPriority w:val="0"/>
    <w:pPr>
      <w:framePr w:wrap="around" w:vAnchor="margin" w:hAnchor="text" w:yAlign="top"/>
    </w:pPr>
    <w:rPr>
      <w:rFonts w:ascii="Arial Unicode MS" w:hAnsi="Arial Unicode MS" w:eastAsia="Times New Roman" w:cs="Arial Unicode MS"/>
      <w:color w:val="000000"/>
      <w:sz w:val="22"/>
      <w:szCs w:val="22"/>
      <w:lang w:val="zh-TW" w:eastAsia="zh-TW" w:bidi="ar-SA"/>
    </w:rPr>
  </w:style>
  <w:style w:type="paragraph" w:customStyle="1" w:styleId="81">
    <w:name w:val="样式 样式 样式 左侧:  2 字符1 + 首行缩进:  2 字符1 + 首行缩进:  2 字符"/>
    <w:basedOn w:val="1"/>
    <w:qFormat/>
    <w:uiPriority w:val="0"/>
    <w:pPr>
      <w:widowControl/>
      <w:adjustRightInd w:val="0"/>
      <w:spacing w:before="60" w:after="120" w:line="440" w:lineRule="atLeast"/>
      <w:ind w:firstLine="480"/>
    </w:pPr>
    <w:rPr>
      <w:sz w:val="24"/>
    </w:rPr>
  </w:style>
  <w:style w:type="character" w:customStyle="1" w:styleId="82">
    <w:name w:val="正文文本 + Arial Unicode MS"/>
    <w:basedOn w:val="29"/>
    <w:qFormat/>
    <w:uiPriority w:val="0"/>
    <w:rPr>
      <w:rFonts w:ascii="Arial Unicode MS" w:hAnsi="Arial Unicode MS" w:eastAsia="Arial Unicode MS" w:cs="Arial Unicode MS"/>
      <w:color w:val="000000"/>
      <w:spacing w:val="0"/>
      <w:w w:val="100"/>
      <w:position w:val="0"/>
      <w:sz w:val="18"/>
      <w:szCs w:val="18"/>
      <w:u w:val="none"/>
      <w:lang w:val="en-US"/>
    </w:rPr>
  </w:style>
  <w:style w:type="paragraph" w:customStyle="1" w:styleId="83">
    <w:name w:val="正文文本4"/>
    <w:basedOn w:val="1"/>
    <w:qFormat/>
    <w:uiPriority w:val="0"/>
    <w:pPr>
      <w:shd w:val="clear" w:color="auto" w:fill="FFFFFF"/>
      <w:spacing w:line="355" w:lineRule="exact"/>
      <w:ind w:hanging="500"/>
      <w:jc w:val="left"/>
    </w:pPr>
    <w:rPr>
      <w:rFonts w:ascii="宋体" w:hAnsi="宋体" w:eastAsia="宋体" w:cs="Calibri"/>
      <w:kern w:val="0"/>
      <w:sz w:val="22"/>
      <w:szCs w:val="22"/>
    </w:rPr>
  </w:style>
  <w:style w:type="paragraph" w:customStyle="1" w:styleId="84">
    <w:name w:val="正文首行缩进1"/>
    <w:qFormat/>
    <w:uiPriority w:val="0"/>
    <w:pPr>
      <w:spacing w:after="120"/>
      <w:ind w:firstLine="420" w:firstLineChars="100"/>
    </w:pPr>
    <w:rPr>
      <w:rFonts w:ascii="Calibri" w:hAnsi="Calibri" w:eastAsia="宋体" w:cs="Times New Roman"/>
      <w:kern w:val="2"/>
      <w:sz w:val="24"/>
      <w:szCs w:val="24"/>
      <w:lang w:val="en-US" w:eastAsia="zh-CN" w:bidi="ar-SA"/>
    </w:rPr>
  </w:style>
  <w:style w:type="character" w:customStyle="1" w:styleId="85">
    <w:name w:val="标题 Char"/>
    <w:qFormat/>
    <w:uiPriority w:val="0"/>
    <w:rPr>
      <w:rFonts w:ascii="Arial" w:hAnsi="Arial" w:eastAsia="宋体" w:cs="Arial"/>
      <w:b/>
      <w:bCs/>
      <w:kern w:val="2"/>
      <w:sz w:val="32"/>
      <w:szCs w:val="32"/>
      <w:lang w:val="en-US" w:eastAsia="zh-CN" w:bidi="ar-SA"/>
    </w:rPr>
  </w:style>
  <w:style w:type="paragraph" w:customStyle="1" w:styleId="86">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character" w:customStyle="1" w:styleId="87">
    <w:name w:val="font11"/>
    <w:basedOn w:val="29"/>
    <w:qFormat/>
    <w:uiPriority w:val="0"/>
    <w:rPr>
      <w:rFonts w:hint="eastAsia" w:ascii="宋体" w:hAnsi="宋体" w:eastAsia="宋体" w:cs="宋体"/>
      <w:color w:val="000000"/>
      <w:sz w:val="22"/>
      <w:szCs w:val="22"/>
      <w:u w:val="none"/>
    </w:rPr>
  </w:style>
  <w:style w:type="paragraph" w:customStyle="1" w:styleId="88">
    <w:name w:val="Char Char Char Char Char Char Char Char Char Char Char Char Char Char1 Char Char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50</Pages>
  <Words>21423</Words>
  <Characters>23287</Characters>
  <Lines>171</Lines>
  <Paragraphs>48</Paragraphs>
  <TotalTime>0</TotalTime>
  <ScaleCrop>false</ScaleCrop>
  <LinksUpToDate>false</LinksUpToDate>
  <CharactersWithSpaces>25983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2019-09-11T07:49:00Z</dcterms:created>
  <dc:creator>李霆</dc:creator>
  <cp:lastModifiedBy>a_a</cp:lastModifiedBy>
  <cp:lastPrinted>2018-11-05T08:10:00Z</cp:lastPrinted>
  <dcterms:modified xsi:type="dcterms:W3CDTF">2023-04-24T12:19:12Z</dcterms:modified>
  <dc:title>新疆维吾尔自治区政府采购中心</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C914603239144393A1193057CEA8E86B</vt:lpwstr>
  </property>
</Properties>
</file>