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rPr>
      </w:pPr>
    </w:p>
    <w:p>
      <w:pPr>
        <w:spacing w:line="360" w:lineRule="auto"/>
        <w:jc w:val="center"/>
        <w:rPr>
          <w:rFonts w:ascii="宋体" w:hAnsi="宋体" w:cs="宋体"/>
          <w:b/>
          <w:sz w:val="24"/>
        </w:rPr>
      </w:pPr>
    </w:p>
    <w:p>
      <w:pPr>
        <w:adjustRightInd/>
        <w:spacing w:line="360" w:lineRule="auto"/>
        <w:jc w:val="center"/>
        <w:rPr>
          <w:rFonts w:hint="eastAsia" w:asciiTheme="majorEastAsia" w:hAnsiTheme="majorEastAsia" w:eastAsiaTheme="majorEastAsia" w:cstheme="majorEastAsia"/>
          <w:b/>
          <w:sz w:val="44"/>
          <w:szCs w:val="44"/>
        </w:rPr>
      </w:pPr>
    </w:p>
    <w:p>
      <w:pPr>
        <w:adjustRightInd/>
        <w:spacing w:line="360" w:lineRule="auto"/>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库车市伊西哈拉镇水库以北、多来提巴格村北东G3012北侧等3处历史遗留废弃工矿地整治（二次）</w:t>
      </w:r>
    </w:p>
    <w:p>
      <w:pPr>
        <w:adjustRightInd/>
        <w:spacing w:line="360" w:lineRule="auto"/>
        <w:jc w:val="center"/>
        <w:rPr>
          <w:rFonts w:hint="eastAsia" w:asciiTheme="majorEastAsia" w:hAnsiTheme="majorEastAsia" w:eastAsiaTheme="majorEastAsia" w:cstheme="majorEastAsia"/>
          <w:sz w:val="48"/>
          <w:szCs w:val="48"/>
        </w:rPr>
      </w:pPr>
    </w:p>
    <w:p>
      <w:pPr>
        <w:adjustRightInd/>
        <w:spacing w:line="360" w:lineRule="auto"/>
        <w:jc w:val="center"/>
        <w:rPr>
          <w:rFonts w:hint="eastAsia" w:asciiTheme="majorEastAsia" w:hAnsiTheme="majorEastAsia" w:eastAsiaTheme="majorEastAsia" w:cstheme="majorEastAsia"/>
          <w:sz w:val="48"/>
          <w:szCs w:val="48"/>
        </w:rPr>
      </w:pPr>
    </w:p>
    <w:p>
      <w:pPr>
        <w:adjustRightInd/>
        <w:spacing w:line="360" w:lineRule="auto"/>
        <w:jc w:val="center"/>
        <w:rPr>
          <w:rFonts w:hint="eastAsia" w:asciiTheme="majorEastAsia" w:hAnsiTheme="majorEastAsia" w:eastAsiaTheme="majorEastAsia" w:cstheme="majorEastAsia"/>
          <w:sz w:val="48"/>
          <w:szCs w:val="48"/>
        </w:rPr>
      </w:pPr>
      <w:r>
        <w:rPr>
          <w:rFonts w:hint="eastAsia" w:asciiTheme="majorEastAsia" w:hAnsiTheme="majorEastAsia" w:eastAsiaTheme="majorEastAsia" w:cstheme="majorEastAsia"/>
          <w:sz w:val="48"/>
          <w:szCs w:val="48"/>
        </w:rPr>
        <w:t>竞争性磋商文件</w:t>
      </w:r>
    </w:p>
    <w:p>
      <w:pPr>
        <w:snapToGrid w:val="0"/>
        <w:spacing w:line="360" w:lineRule="auto"/>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编号:</w:t>
      </w:r>
      <w:r>
        <w:rPr>
          <w:rFonts w:hint="eastAsia" w:asciiTheme="majorEastAsia" w:hAnsiTheme="majorEastAsia" w:eastAsiaTheme="majorEastAsia" w:cstheme="majorEastAsia"/>
          <w:sz w:val="30"/>
          <w:szCs w:val="30"/>
          <w:lang w:val="en-US" w:eastAsia="zh-CN"/>
        </w:rPr>
        <w:t>GYZB-AKSDZFZ2023-05（二次）</w:t>
      </w:r>
    </w:p>
    <w:p>
      <w:pPr>
        <w:adjustRightInd/>
        <w:spacing w:line="360" w:lineRule="auto"/>
        <w:rPr>
          <w:rFonts w:hint="eastAsia" w:asciiTheme="majorEastAsia" w:hAnsiTheme="majorEastAsia" w:eastAsiaTheme="majorEastAsia" w:cstheme="majorEastAsia"/>
          <w:sz w:val="28"/>
          <w:szCs w:val="20"/>
        </w:rPr>
      </w:pPr>
    </w:p>
    <w:p>
      <w:pPr>
        <w:spacing w:line="360" w:lineRule="auto"/>
        <w:jc w:val="center"/>
        <w:rPr>
          <w:rFonts w:hint="eastAsia" w:asciiTheme="majorEastAsia" w:hAnsiTheme="majorEastAsia" w:eastAsiaTheme="majorEastAsia" w:cstheme="majorEastAsia"/>
          <w:b/>
          <w:sz w:val="44"/>
          <w:szCs w:val="44"/>
        </w:rPr>
      </w:pPr>
    </w:p>
    <w:p>
      <w:pPr>
        <w:spacing w:line="360" w:lineRule="auto"/>
        <w:jc w:val="center"/>
        <w:rPr>
          <w:rFonts w:hint="eastAsia" w:asciiTheme="majorEastAsia" w:hAnsiTheme="majorEastAsia" w:eastAsiaTheme="majorEastAsia" w:cstheme="majorEastAsia"/>
          <w:sz w:val="24"/>
        </w:rPr>
      </w:pPr>
    </w:p>
    <w:p>
      <w:pPr>
        <w:spacing w:line="360" w:lineRule="auto"/>
        <w:jc w:val="center"/>
        <w:rPr>
          <w:rFonts w:hint="eastAsia" w:asciiTheme="majorEastAsia" w:hAnsiTheme="majorEastAsia" w:eastAsiaTheme="majorEastAsia" w:cstheme="majorEastAsia"/>
          <w:sz w:val="24"/>
        </w:rPr>
      </w:pPr>
    </w:p>
    <w:p>
      <w:pPr>
        <w:spacing w:line="360" w:lineRule="auto"/>
        <w:rPr>
          <w:rFonts w:hint="eastAsia" w:asciiTheme="majorEastAsia" w:hAnsiTheme="majorEastAsia" w:eastAsiaTheme="majorEastAsia" w:cstheme="majorEastAsia"/>
          <w:sz w:val="32"/>
          <w:szCs w:val="32"/>
        </w:rPr>
      </w:pPr>
    </w:p>
    <w:p>
      <w:pPr>
        <w:kinsoku/>
        <w:wordWrap/>
        <w:overflowPunct/>
        <w:topLinePunct w:val="0"/>
        <w:bidi w:val="0"/>
        <w:snapToGrid w:val="0"/>
        <w:spacing w:line="360" w:lineRule="auto"/>
        <w:ind w:firstLine="840" w:firstLineChars="300"/>
        <w:jc w:val="left"/>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采 购 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阿克苏地区自然资源局</w:t>
      </w:r>
    </w:p>
    <w:p>
      <w:pPr>
        <w:kinsoku/>
        <w:wordWrap/>
        <w:overflowPunct/>
        <w:topLinePunct w:val="0"/>
        <w:bidi w:val="0"/>
        <w:snapToGrid w:val="0"/>
        <w:spacing w:line="360" w:lineRule="auto"/>
        <w:ind w:firstLine="840" w:firstLineChars="300"/>
        <w:jc w:val="left"/>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采购</w:t>
      </w:r>
      <w:r>
        <w:rPr>
          <w:rFonts w:hint="eastAsia" w:asciiTheme="majorEastAsia" w:hAnsiTheme="majorEastAsia" w:eastAsiaTheme="majorEastAsia" w:cstheme="majorEastAsia"/>
          <w:sz w:val="28"/>
          <w:szCs w:val="28"/>
          <w:lang w:val="en-US" w:eastAsia="zh-CN"/>
        </w:rPr>
        <w:t>代理</w:t>
      </w:r>
      <w:r>
        <w:rPr>
          <w:rFonts w:hint="eastAsia" w:asciiTheme="majorEastAsia" w:hAnsiTheme="majorEastAsia" w:eastAsiaTheme="majorEastAsia" w:cstheme="majorEastAsia"/>
          <w:sz w:val="28"/>
          <w:szCs w:val="28"/>
        </w:rPr>
        <w:t>机构：</w:t>
      </w:r>
      <w:r>
        <w:rPr>
          <w:rFonts w:hint="eastAsia" w:asciiTheme="majorEastAsia" w:hAnsiTheme="majorEastAsia" w:eastAsiaTheme="majorEastAsia" w:cstheme="majorEastAsia"/>
          <w:sz w:val="28"/>
          <w:szCs w:val="28"/>
          <w:lang w:val="en-US" w:eastAsia="zh-CN"/>
        </w:rPr>
        <w:t>新疆国源土地矿产资源交易中心（有限公司）</w:t>
      </w:r>
    </w:p>
    <w:p>
      <w:pPr>
        <w:kinsoku/>
        <w:wordWrap/>
        <w:overflowPunct/>
        <w:topLinePunct w:val="0"/>
        <w:bidi w:val="0"/>
        <w:snapToGrid w:val="0"/>
        <w:spacing w:line="360" w:lineRule="auto"/>
        <w:ind w:firstLine="840" w:firstLineChars="300"/>
        <w:jc w:val="left"/>
        <w:textAlignment w:val="auto"/>
        <w:outlineLvl w:val="9"/>
        <w:rPr>
          <w:rFonts w:ascii="宋体" w:hAnsi="宋体" w:cs="宋体"/>
          <w:sz w:val="24"/>
        </w:rPr>
      </w:pPr>
      <w:r>
        <w:rPr>
          <w:rFonts w:hint="eastAsia" w:asciiTheme="majorEastAsia" w:hAnsiTheme="majorEastAsia" w:eastAsiaTheme="majorEastAsia" w:cstheme="majorEastAsia"/>
          <w:sz w:val="28"/>
          <w:szCs w:val="28"/>
        </w:rPr>
        <w:t>发出日期：</w:t>
      </w:r>
      <w:r>
        <w:rPr>
          <w:rFonts w:hint="eastAsia" w:asciiTheme="majorEastAsia" w:hAnsiTheme="majorEastAsia" w:eastAsiaTheme="majorEastAsia" w:cstheme="majorEastAsia"/>
          <w:sz w:val="28"/>
          <w:szCs w:val="28"/>
          <w:lang w:val="en-US" w:eastAsia="zh-CN"/>
        </w:rPr>
        <w:t>2023年4月</w:t>
      </w:r>
      <w:r>
        <w:rPr>
          <w:rFonts w:hint="eastAsia" w:ascii="宋体" w:hAnsi="宋体" w:cs="宋体"/>
          <w:sz w:val="24"/>
        </w:rPr>
        <w:br w:type="page"/>
      </w:r>
      <w:bookmarkStart w:id="0" w:name="_Hlt67893495"/>
      <w:bookmarkEnd w:id="0"/>
    </w:p>
    <w:p>
      <w:pPr>
        <w:spacing w:line="360" w:lineRule="auto"/>
        <w:jc w:val="center"/>
        <w:rPr>
          <w:rFonts w:ascii="宋体" w:hAnsi="宋体" w:cs="宋体"/>
          <w:sz w:val="24"/>
        </w:rPr>
      </w:pPr>
    </w:p>
    <w:p>
      <w:pPr>
        <w:spacing w:line="360" w:lineRule="auto"/>
        <w:jc w:val="center"/>
        <w:rPr>
          <w:rFonts w:ascii="宋体" w:hAnsi="宋体" w:cs="宋体"/>
          <w:b/>
          <w:sz w:val="48"/>
          <w:szCs w:val="48"/>
        </w:rPr>
      </w:pPr>
      <w:r>
        <w:rPr>
          <w:rFonts w:hint="eastAsia" w:ascii="宋体" w:hAnsi="宋体" w:cs="宋体"/>
          <w:b/>
          <w:sz w:val="48"/>
          <w:szCs w:val="48"/>
        </w:rPr>
        <w:t>目  录</w:t>
      </w: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ind w:firstLine="1280" w:firstLineChars="400"/>
        <w:rPr>
          <w:rFonts w:ascii="宋体" w:hAnsi="宋体" w:cs="宋体"/>
          <w:sz w:val="32"/>
          <w:szCs w:val="32"/>
        </w:rPr>
      </w:pPr>
      <w:r>
        <w:rPr>
          <w:rFonts w:hint="eastAsia" w:ascii="宋体" w:hAnsi="宋体" w:cs="宋体"/>
          <w:sz w:val="32"/>
          <w:szCs w:val="32"/>
        </w:rPr>
        <w:t>第一部分      竞争性磋商公告</w:t>
      </w:r>
    </w:p>
    <w:p>
      <w:pPr>
        <w:spacing w:line="360" w:lineRule="auto"/>
        <w:ind w:firstLine="1280" w:firstLineChars="400"/>
        <w:rPr>
          <w:rFonts w:ascii="宋体" w:hAnsi="宋体" w:cs="宋体"/>
          <w:sz w:val="32"/>
          <w:szCs w:val="32"/>
        </w:rPr>
      </w:pPr>
      <w:r>
        <w:rPr>
          <w:rFonts w:hint="eastAsia" w:ascii="宋体" w:hAnsi="宋体" w:cs="宋体"/>
          <w:sz w:val="32"/>
          <w:szCs w:val="32"/>
        </w:rPr>
        <w:t>第二部分      供应商须知</w:t>
      </w:r>
    </w:p>
    <w:p>
      <w:pPr>
        <w:spacing w:line="360" w:lineRule="auto"/>
        <w:ind w:firstLine="1280" w:firstLineChars="400"/>
        <w:rPr>
          <w:rFonts w:ascii="宋体" w:hAnsi="宋体" w:cs="宋体"/>
          <w:sz w:val="32"/>
          <w:szCs w:val="32"/>
        </w:rPr>
      </w:pPr>
      <w:r>
        <w:rPr>
          <w:rFonts w:hint="eastAsia" w:ascii="宋体" w:hAnsi="宋体" w:cs="宋体"/>
          <w:sz w:val="32"/>
          <w:szCs w:val="32"/>
        </w:rPr>
        <w:t>第</w:t>
      </w:r>
      <w:r>
        <w:rPr>
          <w:rFonts w:hint="eastAsia" w:ascii="宋体" w:hAnsi="宋体" w:cs="宋体"/>
          <w:sz w:val="32"/>
          <w:szCs w:val="32"/>
          <w:lang w:eastAsia="zh-CN"/>
        </w:rPr>
        <w:t>两部分</w:t>
      </w:r>
      <w:r>
        <w:rPr>
          <w:rFonts w:hint="eastAsia" w:ascii="宋体" w:hAnsi="宋体" w:cs="宋体"/>
          <w:sz w:val="32"/>
          <w:szCs w:val="32"/>
        </w:rPr>
        <w:t xml:space="preserve">      采购需求</w:t>
      </w:r>
    </w:p>
    <w:p>
      <w:pPr>
        <w:spacing w:line="360" w:lineRule="auto"/>
        <w:ind w:firstLine="1280" w:firstLineChars="400"/>
        <w:rPr>
          <w:rFonts w:ascii="宋体" w:hAnsi="宋体" w:cs="宋体"/>
          <w:sz w:val="32"/>
          <w:szCs w:val="32"/>
        </w:rPr>
      </w:pPr>
      <w:r>
        <w:rPr>
          <w:rFonts w:hint="eastAsia" w:ascii="宋体" w:hAnsi="宋体" w:cs="宋体"/>
          <w:sz w:val="32"/>
          <w:szCs w:val="32"/>
        </w:rPr>
        <w:t>第四部分      评审办法</w:t>
      </w:r>
    </w:p>
    <w:p>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pPr>
        <w:spacing w:line="360" w:lineRule="auto"/>
        <w:ind w:firstLine="1280" w:firstLineChars="400"/>
        <w:rPr>
          <w:rFonts w:ascii="宋体" w:hAnsi="宋体" w:cs="宋体"/>
          <w:sz w:val="32"/>
          <w:szCs w:val="32"/>
        </w:rPr>
      </w:pPr>
    </w:p>
    <w:p>
      <w:pPr>
        <w:spacing w:line="360" w:lineRule="auto"/>
        <w:ind w:firstLine="549" w:firstLineChars="229"/>
        <w:rPr>
          <w:rFonts w:ascii="宋体" w:hAnsi="宋体" w:cs="宋体"/>
          <w:sz w:val="24"/>
        </w:rPr>
      </w:pPr>
      <w:bookmarkStart w:id="1" w:name="_Hlt91233176"/>
      <w:bookmarkEnd w:id="1"/>
      <w:bookmarkStart w:id="2" w:name="_Toc91899869"/>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rPr>
          <w:rFonts w:ascii="宋体" w:hAnsi="宋体" w:cs="宋体"/>
          <w:sz w:val="24"/>
        </w:rPr>
      </w:pPr>
    </w:p>
    <w:p>
      <w:pPr>
        <w:numPr>
          <w:ilvl w:val="0"/>
          <w:numId w:val="1"/>
        </w:numPr>
        <w:adjustRightInd/>
        <w:spacing w:line="360" w:lineRule="auto"/>
        <w:jc w:val="center"/>
        <w:outlineLvl w:val="0"/>
        <w:rPr>
          <w:rFonts w:hint="eastAsia"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07423"/>
      <w:bookmarkEnd w:id="4"/>
      <w:bookmarkStart w:id="5" w:name="_Hlt74729822"/>
      <w:bookmarkEnd w:id="5"/>
      <w:bookmarkStart w:id="6" w:name="_Hlt74728647"/>
      <w:bookmarkEnd w:id="6"/>
      <w:bookmarkStart w:id="7" w:name="_Hlt74649545"/>
      <w:bookmarkEnd w:id="7"/>
      <w:bookmarkStart w:id="8" w:name="第二部分"/>
      <w:bookmarkStart w:id="9" w:name="_Toc91899870"/>
      <w:bookmarkStart w:id="10" w:name="_Toc91899871"/>
      <w:r>
        <w:rPr>
          <w:rFonts w:hint="eastAsia" w:ascii="宋体" w:hAnsi="宋体" w:cs="宋体"/>
          <w:b/>
          <w:sz w:val="36"/>
          <w:szCs w:val="20"/>
        </w:rPr>
        <w:t>竞争性磋商公告</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项目概况</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库车市伊西哈拉镇水库以北、多来提巴格村北东G3012北侧等3处历史遗留废弃工矿地整治（二次）采购项目的潜在供应商应在新疆政府采购网政采云平台（www.zcygov.cn）获取采购文件，并于2023年5月24日 11:00（北京时间）前提交响应文件。</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一、项目基本情况</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项目编号：</w:t>
      </w:r>
      <w:r>
        <w:rPr>
          <w:rFonts w:hint="eastAsia" w:asciiTheme="majorEastAsia" w:hAnsiTheme="majorEastAsia" w:eastAsiaTheme="majorEastAsia" w:cstheme="majorEastAsia"/>
          <w:sz w:val="24"/>
          <w:szCs w:val="32"/>
          <w:lang w:val="en-US" w:eastAsia="zh-CN"/>
        </w:rPr>
        <w:t>GYZB-AKSDZFZ2023-05（二次）</w:t>
      </w:r>
      <w:r>
        <w:rPr>
          <w:rFonts w:hint="eastAsia" w:asciiTheme="majorEastAsia" w:hAnsiTheme="majorEastAsia" w:eastAsiaTheme="majorEastAsia" w:cstheme="majorEastAsia"/>
          <w:sz w:val="24"/>
          <w:szCs w:val="32"/>
        </w:rPr>
        <w:t>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项目名称：</w:t>
      </w:r>
      <w:r>
        <w:rPr>
          <w:rFonts w:hint="eastAsia" w:asciiTheme="majorEastAsia" w:hAnsiTheme="majorEastAsia" w:eastAsiaTheme="majorEastAsia" w:cstheme="majorEastAsia"/>
          <w:sz w:val="24"/>
          <w:szCs w:val="32"/>
          <w:lang w:val="en-US" w:eastAsia="zh-CN"/>
        </w:rPr>
        <w:t>库车市伊西哈拉镇水库以北、多来提巴格村北东G3012北侧等3处历史遗留废弃工矿地整治（二次）</w:t>
      </w:r>
      <w:r>
        <w:rPr>
          <w:rFonts w:hint="eastAsia" w:asciiTheme="majorEastAsia" w:hAnsiTheme="majorEastAsia" w:eastAsiaTheme="majorEastAsia" w:cstheme="majorEastAsia"/>
          <w:sz w:val="24"/>
          <w:szCs w:val="32"/>
        </w:rPr>
        <w:t>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采购方式：竞争性磋商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预算金额（元）：</w:t>
      </w:r>
      <w:r>
        <w:rPr>
          <w:rFonts w:hint="eastAsia" w:asciiTheme="majorEastAsia" w:hAnsiTheme="majorEastAsia" w:eastAsiaTheme="majorEastAsia" w:cstheme="majorEastAsia"/>
          <w:sz w:val="24"/>
          <w:szCs w:val="32"/>
          <w:lang w:val="en-US" w:eastAsia="zh-CN"/>
        </w:rPr>
        <w:t>1147000.0</w:t>
      </w:r>
      <w:r>
        <w:rPr>
          <w:rFonts w:hint="eastAsia" w:asciiTheme="majorEastAsia" w:hAnsiTheme="majorEastAsia" w:eastAsiaTheme="majorEastAsia" w:cstheme="majorEastAsia"/>
          <w:sz w:val="24"/>
          <w:szCs w:val="32"/>
        </w:rPr>
        <w:t>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最高限价（元）：</w:t>
      </w:r>
      <w:r>
        <w:rPr>
          <w:rFonts w:hint="eastAsia" w:asciiTheme="majorEastAsia" w:hAnsiTheme="majorEastAsia" w:eastAsiaTheme="majorEastAsia" w:cstheme="majorEastAsia"/>
          <w:sz w:val="24"/>
          <w:szCs w:val="32"/>
          <w:lang w:val="en-US" w:eastAsia="zh-CN"/>
        </w:rPr>
        <w:t>1147000.0</w:t>
      </w:r>
      <w:r>
        <w:rPr>
          <w:rFonts w:hint="eastAsia" w:asciiTheme="majorEastAsia" w:hAnsiTheme="majorEastAsia" w:eastAsiaTheme="majorEastAsia" w:cstheme="majorEastAsia"/>
          <w:sz w:val="24"/>
          <w:szCs w:val="32"/>
        </w:rPr>
        <w:t>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采购需求：</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标项名称：</w:t>
      </w:r>
      <w:r>
        <w:rPr>
          <w:rFonts w:hint="eastAsia" w:asciiTheme="majorEastAsia" w:hAnsiTheme="majorEastAsia" w:eastAsiaTheme="majorEastAsia" w:cstheme="majorEastAsia"/>
          <w:sz w:val="24"/>
          <w:szCs w:val="32"/>
          <w:lang w:val="en-US" w:eastAsia="zh-CN"/>
        </w:rPr>
        <w:t>库车市伊西哈拉镇水库以北、多来提巴格村北东G3012北侧等3处历史遗留废弃工矿地整治（二次）</w:t>
      </w:r>
      <w:r>
        <w:rPr>
          <w:rFonts w:hint="eastAsia" w:asciiTheme="majorEastAsia" w:hAnsiTheme="majorEastAsia" w:eastAsiaTheme="majorEastAsia" w:cstheme="majorEastAsia"/>
          <w:sz w:val="24"/>
          <w:szCs w:val="32"/>
        </w:rPr>
        <w:t>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   数量：不限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预算金额（元）：</w:t>
      </w:r>
      <w:r>
        <w:rPr>
          <w:rFonts w:hint="eastAsia" w:asciiTheme="majorEastAsia" w:hAnsiTheme="majorEastAsia" w:eastAsiaTheme="majorEastAsia" w:cstheme="majorEastAsia"/>
          <w:sz w:val="24"/>
          <w:szCs w:val="32"/>
          <w:lang w:val="en-US" w:eastAsia="zh-CN"/>
        </w:rPr>
        <w:t>1147000.0</w:t>
      </w:r>
      <w:r>
        <w:rPr>
          <w:rFonts w:hint="eastAsia" w:asciiTheme="majorEastAsia" w:hAnsiTheme="majorEastAsia" w:eastAsiaTheme="majorEastAsia" w:cstheme="majorEastAsia"/>
          <w:sz w:val="24"/>
          <w:szCs w:val="32"/>
        </w:rPr>
        <w:t>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单位：批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简要规格描述：通过</w:t>
      </w:r>
      <w:r>
        <w:rPr>
          <w:rFonts w:hint="eastAsia" w:asciiTheme="majorEastAsia" w:hAnsiTheme="majorEastAsia" w:eastAsiaTheme="majorEastAsia" w:cstheme="majorEastAsia"/>
          <w:sz w:val="24"/>
          <w:szCs w:val="32"/>
          <w:lang w:eastAsia="zh-CN"/>
        </w:rPr>
        <w:t>库车市伊西哈拉镇水库以北、多来提巴格村北东G3012北侧等3处历史遗留废弃工矿地整治（二次）</w:t>
      </w:r>
      <w:r>
        <w:rPr>
          <w:rFonts w:hint="eastAsia" w:asciiTheme="majorEastAsia" w:hAnsiTheme="majorEastAsia" w:eastAsiaTheme="majorEastAsia" w:cstheme="majorEastAsia"/>
          <w:sz w:val="24"/>
          <w:szCs w:val="32"/>
        </w:rPr>
        <w:t>项目的实施，改善土地功能，消除露天采砂坑及废料堆对当地建设规划的影响，最大限度地恢复</w:t>
      </w:r>
      <w:r>
        <w:rPr>
          <w:rFonts w:hint="eastAsia" w:asciiTheme="majorEastAsia" w:hAnsiTheme="majorEastAsia" w:eastAsiaTheme="majorEastAsia" w:cstheme="majorEastAsia"/>
          <w:sz w:val="24"/>
          <w:szCs w:val="32"/>
          <w:lang w:eastAsia="zh-CN"/>
        </w:rPr>
        <w:t>整治区</w:t>
      </w:r>
      <w:r>
        <w:rPr>
          <w:rFonts w:hint="eastAsia" w:asciiTheme="majorEastAsia" w:hAnsiTheme="majorEastAsia" w:eastAsiaTheme="majorEastAsia" w:cstheme="majorEastAsia"/>
          <w:sz w:val="24"/>
          <w:szCs w:val="32"/>
        </w:rPr>
        <w:t>的地质环境，治理后使</w:t>
      </w:r>
      <w:r>
        <w:rPr>
          <w:rFonts w:hint="eastAsia" w:asciiTheme="majorEastAsia" w:hAnsiTheme="majorEastAsia" w:eastAsiaTheme="majorEastAsia" w:cstheme="majorEastAsia"/>
          <w:sz w:val="24"/>
          <w:szCs w:val="32"/>
          <w:lang w:eastAsia="zh-CN"/>
        </w:rPr>
        <w:t>整治区</w:t>
      </w:r>
      <w:r>
        <w:rPr>
          <w:rFonts w:hint="eastAsia" w:asciiTheme="majorEastAsia" w:hAnsiTheme="majorEastAsia" w:eastAsiaTheme="majorEastAsia" w:cstheme="majorEastAsia"/>
          <w:sz w:val="24"/>
          <w:szCs w:val="32"/>
        </w:rPr>
        <w:t>与周围地形地貌相协调。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备注：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合同履约期限：标项 1，以最终签订合同为准。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本项目（</w:t>
      </w:r>
      <w:r>
        <w:rPr>
          <w:rFonts w:hint="eastAsia" w:asciiTheme="majorEastAsia" w:hAnsiTheme="majorEastAsia" w:eastAsiaTheme="majorEastAsia" w:cstheme="majorEastAsia"/>
          <w:sz w:val="24"/>
          <w:szCs w:val="32"/>
          <w:lang w:val="en-US" w:eastAsia="zh-CN"/>
        </w:rPr>
        <w:t>是</w:t>
      </w:r>
      <w:r>
        <w:rPr>
          <w:rFonts w:hint="eastAsia" w:asciiTheme="majorEastAsia" w:hAnsiTheme="majorEastAsia" w:eastAsiaTheme="majorEastAsia" w:cstheme="majorEastAsia"/>
          <w:sz w:val="24"/>
          <w:szCs w:val="32"/>
        </w:rPr>
        <w:t>）接受联合体投标。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二、申请人的资格要求：</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2.落实政府采购政策需满足的资格要求：供应商为中小企业</w:t>
      </w:r>
      <w:r>
        <w:rPr>
          <w:rFonts w:hint="eastAsia" w:asciiTheme="majorEastAsia" w:hAnsiTheme="majorEastAsia" w:eastAsiaTheme="majorEastAsia" w:cstheme="majorEastAsia"/>
          <w:sz w:val="24"/>
          <w:szCs w:val="32"/>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3.本项目的特定资格要求：</w:t>
      </w:r>
      <w:r>
        <w:rPr>
          <w:rFonts w:hint="eastAsia" w:asciiTheme="majorEastAsia" w:hAnsiTheme="majorEastAsia" w:eastAsiaTheme="majorEastAsia" w:cstheme="majorEastAsia"/>
          <w:sz w:val="24"/>
          <w:szCs w:val="32"/>
          <w:lang w:val="en-US" w:eastAsia="zh-CN"/>
        </w:rPr>
        <w:t>供应商投标需提供地质灾害治理工程设计和施工乙级（含乙级）以上资质。</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三、获取采购文件</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w:t>
      </w:r>
      <w:r>
        <w:rPr>
          <w:rFonts w:hint="eastAsia" w:asciiTheme="majorEastAsia" w:hAnsiTheme="majorEastAsia" w:eastAsiaTheme="majorEastAsia" w:cstheme="majorEastAsia"/>
          <w:sz w:val="24"/>
          <w:szCs w:val="32"/>
          <w:lang w:val="en-US" w:eastAsia="zh-CN"/>
        </w:rPr>
        <w:t xml:space="preserve"> </w:t>
      </w:r>
      <w:r>
        <w:rPr>
          <w:rFonts w:hint="eastAsia" w:asciiTheme="majorEastAsia" w:hAnsiTheme="majorEastAsia" w:eastAsiaTheme="majorEastAsia" w:cstheme="majorEastAsia"/>
          <w:sz w:val="24"/>
          <w:szCs w:val="32"/>
        </w:rPr>
        <w:t>时间：2023年</w:t>
      </w:r>
      <w:r>
        <w:rPr>
          <w:rFonts w:hint="eastAsia" w:asciiTheme="majorEastAsia" w:hAnsiTheme="majorEastAsia" w:eastAsiaTheme="majorEastAsia" w:cstheme="majorEastAsia"/>
          <w:sz w:val="24"/>
          <w:szCs w:val="32"/>
          <w:lang w:val="en-US" w:eastAsia="zh-CN"/>
        </w:rPr>
        <w:t>4</w:t>
      </w:r>
      <w:r>
        <w:rPr>
          <w:rFonts w:hint="eastAsia" w:asciiTheme="majorEastAsia" w:hAnsiTheme="majorEastAsia" w:eastAsiaTheme="majorEastAsia" w:cstheme="majorEastAsia"/>
          <w:sz w:val="24"/>
          <w:szCs w:val="32"/>
        </w:rPr>
        <w:t>月2</w:t>
      </w:r>
      <w:r>
        <w:rPr>
          <w:rFonts w:hint="eastAsia" w:asciiTheme="majorEastAsia" w:hAnsiTheme="majorEastAsia" w:eastAsiaTheme="majorEastAsia" w:cstheme="majorEastAsia"/>
          <w:sz w:val="24"/>
          <w:szCs w:val="32"/>
          <w:lang w:val="en-US" w:eastAsia="zh-CN"/>
        </w:rPr>
        <w:t>5</w:t>
      </w:r>
      <w:r>
        <w:rPr>
          <w:rFonts w:hint="eastAsia" w:asciiTheme="majorEastAsia" w:hAnsiTheme="majorEastAsia" w:eastAsiaTheme="majorEastAsia" w:cstheme="majorEastAsia"/>
          <w:sz w:val="24"/>
          <w:szCs w:val="32"/>
        </w:rPr>
        <w:t>日至2023年</w:t>
      </w:r>
      <w:r>
        <w:rPr>
          <w:rFonts w:hint="eastAsia" w:asciiTheme="majorEastAsia" w:hAnsiTheme="majorEastAsia" w:eastAsiaTheme="majorEastAsia" w:cstheme="majorEastAsia"/>
          <w:sz w:val="24"/>
          <w:szCs w:val="32"/>
          <w:lang w:val="en-US" w:eastAsia="zh-CN"/>
        </w:rPr>
        <w:t>5</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10</w:t>
      </w:r>
      <w:r>
        <w:rPr>
          <w:rFonts w:hint="eastAsia" w:asciiTheme="majorEastAsia" w:hAnsiTheme="majorEastAsia" w:eastAsiaTheme="majorEastAsia" w:cstheme="majorEastAsia"/>
          <w:sz w:val="24"/>
          <w:szCs w:val="32"/>
        </w:rPr>
        <w:t>日，每天上午10:</w:t>
      </w:r>
      <w:r>
        <w:rPr>
          <w:rFonts w:hint="eastAsia" w:asciiTheme="majorEastAsia" w:hAnsiTheme="majorEastAsia" w:eastAsiaTheme="majorEastAsia" w:cstheme="majorEastAsia"/>
          <w:sz w:val="24"/>
          <w:szCs w:val="32"/>
          <w:lang w:val="en-US" w:eastAsia="zh-CN"/>
        </w:rPr>
        <w:t>3</w:t>
      </w:r>
      <w:r>
        <w:rPr>
          <w:rFonts w:hint="eastAsia" w:asciiTheme="majorEastAsia" w:hAnsiTheme="majorEastAsia" w:eastAsiaTheme="majorEastAsia" w:cstheme="majorEastAsia"/>
          <w:sz w:val="24"/>
          <w:szCs w:val="32"/>
        </w:rPr>
        <w:t>0至14:00，下午15:30至19:</w:t>
      </w:r>
      <w:r>
        <w:rPr>
          <w:rFonts w:hint="eastAsia" w:asciiTheme="majorEastAsia" w:hAnsiTheme="majorEastAsia" w:eastAsiaTheme="majorEastAsia" w:cstheme="majorEastAsia"/>
          <w:sz w:val="24"/>
          <w:szCs w:val="32"/>
          <w:lang w:val="en-US" w:eastAsia="zh-CN"/>
        </w:rPr>
        <w:t>0</w:t>
      </w:r>
      <w:r>
        <w:rPr>
          <w:rFonts w:hint="eastAsia" w:asciiTheme="majorEastAsia" w:hAnsiTheme="majorEastAsia" w:eastAsiaTheme="majorEastAsia" w:cstheme="majorEastAsia"/>
          <w:sz w:val="24"/>
          <w:szCs w:val="32"/>
        </w:rPr>
        <w:t>0（北京时间，法定节假日除外）</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地点：新疆政府采购网政采云平台（www.zcygov.cn）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方式：供应商登录政采云平台https://www.zcygov.cn/在线申请获取采购文件（进入“项目采购”应用，在获取采购文件菜单中选择项目，申请获取采购文件）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售价（元）： 0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四、响应文件提交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截止时间：2023年</w:t>
      </w:r>
      <w:r>
        <w:rPr>
          <w:rFonts w:hint="eastAsia" w:asciiTheme="majorEastAsia" w:hAnsiTheme="majorEastAsia" w:eastAsiaTheme="majorEastAsia" w:cstheme="majorEastAsia"/>
          <w:sz w:val="24"/>
          <w:szCs w:val="32"/>
          <w:lang w:val="en-US" w:eastAsia="zh-CN"/>
        </w:rPr>
        <w:t>5</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24</w:t>
      </w:r>
      <w:r>
        <w:rPr>
          <w:rFonts w:hint="eastAsia" w:asciiTheme="majorEastAsia" w:hAnsiTheme="majorEastAsia" w:eastAsiaTheme="majorEastAsia" w:cstheme="majorEastAsia"/>
          <w:sz w:val="24"/>
          <w:szCs w:val="32"/>
        </w:rPr>
        <w:t>日 1</w:t>
      </w: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t>:</w:t>
      </w:r>
      <w:r>
        <w:rPr>
          <w:rFonts w:hint="eastAsia" w:asciiTheme="majorEastAsia" w:hAnsiTheme="majorEastAsia" w:eastAsiaTheme="majorEastAsia" w:cstheme="majorEastAsia"/>
          <w:sz w:val="24"/>
          <w:szCs w:val="32"/>
          <w:lang w:val="en-US" w:eastAsia="zh-CN"/>
        </w:rPr>
        <w:t>0</w:t>
      </w:r>
      <w:r>
        <w:rPr>
          <w:rFonts w:hint="eastAsia" w:asciiTheme="majorEastAsia" w:hAnsiTheme="majorEastAsia" w:eastAsiaTheme="majorEastAsia" w:cstheme="majorEastAsia"/>
          <w:sz w:val="24"/>
          <w:szCs w:val="32"/>
        </w:rPr>
        <w:t>0（北京时间）</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w:t>
      </w:r>
      <w:r>
        <w:rPr>
          <w:rFonts w:hint="eastAsia" w:asciiTheme="majorEastAsia" w:hAnsiTheme="majorEastAsia" w:eastAsiaTheme="majorEastAsia" w:cstheme="majorEastAsia"/>
          <w:sz w:val="24"/>
          <w:szCs w:val="32"/>
          <w:lang w:val="en-US" w:eastAsia="zh-CN"/>
        </w:rPr>
        <w:t xml:space="preserve"> </w:t>
      </w:r>
      <w:r>
        <w:rPr>
          <w:rFonts w:hint="eastAsia" w:asciiTheme="majorEastAsia" w:hAnsiTheme="majorEastAsia" w:eastAsiaTheme="majorEastAsia" w:cstheme="majorEastAsia"/>
          <w:sz w:val="24"/>
          <w:szCs w:val="32"/>
        </w:rPr>
        <w:t>地点：政采云投标客户端投标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五、响应文件开启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开启时间：2023年</w:t>
      </w:r>
      <w:bookmarkStart w:id="461" w:name="_GoBack"/>
      <w:bookmarkEnd w:id="461"/>
      <w:r>
        <w:rPr>
          <w:rFonts w:hint="eastAsia" w:asciiTheme="majorEastAsia" w:hAnsiTheme="majorEastAsia" w:eastAsiaTheme="majorEastAsia" w:cstheme="majorEastAsia"/>
          <w:sz w:val="24"/>
          <w:szCs w:val="32"/>
          <w:lang w:val="en-US" w:eastAsia="zh-CN"/>
        </w:rPr>
        <w:t>5</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24</w:t>
      </w:r>
      <w:r>
        <w:rPr>
          <w:rFonts w:hint="eastAsia" w:asciiTheme="majorEastAsia" w:hAnsiTheme="majorEastAsia" w:eastAsiaTheme="majorEastAsia" w:cstheme="majorEastAsia"/>
          <w:sz w:val="24"/>
          <w:szCs w:val="32"/>
        </w:rPr>
        <w:t>日 1</w:t>
      </w: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t>:</w:t>
      </w:r>
      <w:r>
        <w:rPr>
          <w:rFonts w:hint="eastAsia" w:asciiTheme="majorEastAsia" w:hAnsiTheme="majorEastAsia" w:eastAsiaTheme="majorEastAsia" w:cstheme="majorEastAsia"/>
          <w:sz w:val="24"/>
          <w:szCs w:val="32"/>
          <w:lang w:val="en-US" w:eastAsia="zh-CN"/>
        </w:rPr>
        <w:t>0</w:t>
      </w:r>
      <w:r>
        <w:rPr>
          <w:rFonts w:hint="eastAsia" w:asciiTheme="majorEastAsia" w:hAnsiTheme="majorEastAsia" w:eastAsiaTheme="majorEastAsia" w:cstheme="majorEastAsia"/>
          <w:sz w:val="24"/>
          <w:szCs w:val="32"/>
        </w:rPr>
        <w:t>0 （北京时间）</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地点：新疆政府采购网政采云平台（www.zcygov.cn）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六、公告期限</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自本公告发布之日起</w:t>
      </w:r>
      <w:r>
        <w:rPr>
          <w:rFonts w:hint="eastAsia" w:asciiTheme="majorEastAsia" w:hAnsiTheme="majorEastAsia" w:eastAsiaTheme="majorEastAsia" w:cstheme="majorEastAsia"/>
          <w:sz w:val="24"/>
          <w:szCs w:val="32"/>
          <w:lang w:val="en-US" w:eastAsia="zh-CN"/>
        </w:rPr>
        <w:t>9</w:t>
      </w:r>
      <w:r>
        <w:rPr>
          <w:rFonts w:hint="eastAsia" w:asciiTheme="majorEastAsia" w:hAnsiTheme="majorEastAsia" w:eastAsiaTheme="majorEastAsia" w:cstheme="majorEastAsia"/>
          <w:sz w:val="24"/>
          <w:szCs w:val="32"/>
        </w:rPr>
        <w:t>个工作日。</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七、其他补充事宜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特别提示： </w:t>
      </w:r>
      <w:r>
        <w:rPr>
          <w:rFonts w:hint="eastAsia" w:asciiTheme="majorEastAsia" w:hAnsiTheme="majorEastAsia" w:eastAsiaTheme="majorEastAsia" w:cstheme="majorEastAsia"/>
          <w:sz w:val="24"/>
          <w:szCs w:val="32"/>
        </w:rPr>
        <w:br w:type="textWrapping"/>
      </w:r>
      <w:r>
        <w:rPr>
          <w:rFonts w:hint="eastAsia" w:asciiTheme="majorEastAsia" w:hAnsiTheme="majorEastAsia" w:eastAsiaTheme="majorEastAsia" w:cstheme="majorEastAsia"/>
          <w:sz w:val="24"/>
          <w:szCs w:val="32"/>
        </w:rPr>
        <w:t xml:space="preserve">1、超过200万元的货物和服务采购项目、超过400万元的工程采购项目中适宜由中小企业提供的，预留该部分采购项目预算总额的30%以上专门面向中小企业采购，其中预留给小微企业的比例不低于60%。 </w:t>
      </w:r>
      <w:r>
        <w:rPr>
          <w:rFonts w:hint="eastAsia" w:asciiTheme="majorEastAsia" w:hAnsiTheme="majorEastAsia" w:eastAsiaTheme="majorEastAsia" w:cstheme="majorEastAsia"/>
          <w:sz w:val="24"/>
          <w:szCs w:val="32"/>
        </w:rPr>
        <w:br w:type="textWrapping"/>
      </w:r>
      <w:r>
        <w:rPr>
          <w:rFonts w:hint="eastAsia" w:asciiTheme="majorEastAsia" w:hAnsiTheme="majorEastAsia" w:eastAsiaTheme="majorEastAsia" w:cstheme="majorEastAsia"/>
          <w:sz w:val="24"/>
          <w:szCs w:val="32"/>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r>
        <w:rPr>
          <w:rFonts w:hint="eastAsia" w:asciiTheme="majorEastAsia" w:hAnsiTheme="majorEastAsia" w:eastAsiaTheme="majorEastAsia" w:cstheme="majorEastAsia"/>
          <w:sz w:val="24"/>
          <w:szCs w:val="32"/>
        </w:rPr>
        <w:br w:type="textWrapping"/>
      </w:r>
      <w:r>
        <w:rPr>
          <w:rFonts w:hint="eastAsia" w:asciiTheme="majorEastAsia" w:hAnsiTheme="majorEastAsia" w:eastAsiaTheme="majorEastAsia" w:cstheme="majorEastAsia"/>
          <w:sz w:val="24"/>
          <w:szCs w:val="32"/>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八、凡对本次招标提出询问，请按以下方式联系</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1.采购人信息</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名称：阿克苏地区自然资源局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地址：</w:t>
      </w:r>
      <w:r>
        <w:rPr>
          <w:rFonts w:hint="eastAsia" w:asciiTheme="majorEastAsia" w:hAnsiTheme="majorEastAsia" w:eastAsiaTheme="majorEastAsia" w:cstheme="majorEastAsia"/>
          <w:sz w:val="24"/>
          <w:szCs w:val="32"/>
        </w:rPr>
        <w:t>阿克苏市水韵路25号</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联系人：</w:t>
      </w:r>
      <w:bookmarkStart w:id="11" w:name="_Toc28359009"/>
      <w:bookmarkStart w:id="12" w:name="_Toc28359086"/>
      <w:r>
        <w:rPr>
          <w:rFonts w:hint="eastAsia" w:asciiTheme="majorEastAsia" w:hAnsiTheme="majorEastAsia" w:eastAsiaTheme="majorEastAsia" w:cstheme="majorEastAsia"/>
          <w:sz w:val="24"/>
          <w:szCs w:val="32"/>
          <w:lang w:val="en-US" w:eastAsia="zh-CN"/>
        </w:rPr>
        <w:t xml:space="preserve">王海东      联系电话：15909976466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lang w:val="en-US" w:eastAsia="zh-CN"/>
        </w:rPr>
      </w:pPr>
      <w:bookmarkStart w:id="13" w:name="_Toc472"/>
      <w:r>
        <w:rPr>
          <w:rFonts w:hint="eastAsia" w:asciiTheme="majorEastAsia" w:hAnsiTheme="majorEastAsia" w:eastAsiaTheme="majorEastAsia" w:cstheme="majorEastAsia"/>
          <w:sz w:val="24"/>
          <w:szCs w:val="32"/>
          <w:lang w:val="en-US" w:eastAsia="zh-CN"/>
        </w:rPr>
        <w:t>2.采购代理机构信息</w:t>
      </w:r>
      <w:bookmarkEnd w:id="11"/>
      <w:bookmarkEnd w:id="12"/>
      <w:bookmarkEnd w:id="13"/>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名称：新疆国源土地矿产资源交易中心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地址：乌鲁木齐市新市区阜新街1号2号楼3楼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联系方式：</w:t>
      </w:r>
      <w:bookmarkStart w:id="14" w:name="_Toc28359010"/>
      <w:bookmarkStart w:id="15" w:name="_Toc28359087"/>
      <w:r>
        <w:rPr>
          <w:rFonts w:hint="eastAsia" w:asciiTheme="majorEastAsia" w:hAnsiTheme="majorEastAsia" w:eastAsiaTheme="majorEastAsia" w:cstheme="majorEastAsia"/>
          <w:sz w:val="24"/>
          <w:szCs w:val="32"/>
          <w:lang w:val="en-US" w:eastAsia="zh-CN"/>
        </w:rPr>
        <w:t>柳苗苗  0991-4846293   18299392519　</w:t>
      </w:r>
    </w:p>
    <w:bookmarkEnd w:id="14"/>
    <w:bookmarkEnd w:id="15"/>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开标地点：乌鲁木齐市阜新街1号2号楼3楼开标厅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44"/>
          <w:szCs w:val="22"/>
        </w:rPr>
        <w:sectPr>
          <w:headerReference r:id="rId3" w:type="default"/>
          <w:footerReference r:id="rId4" w:type="default"/>
          <w:pgSz w:w="11907" w:h="16840"/>
          <w:pgMar w:top="1474" w:right="1814" w:bottom="1474" w:left="1814" w:header="851" w:footer="851" w:gutter="0"/>
          <w:pgNumType w:start="1"/>
          <w:cols w:space="720" w:num="1"/>
        </w:sectPr>
      </w:pPr>
    </w:p>
    <w:p>
      <w:pPr>
        <w:keepNext w:val="0"/>
        <w:keepLines w:val="0"/>
        <w:pageBreakBefore w:val="0"/>
        <w:widowControl w:val="0"/>
        <w:kinsoku/>
        <w:wordWrap/>
        <w:overflowPunct/>
        <w:topLinePunct w:val="0"/>
        <w:autoSpaceDE/>
        <w:autoSpaceDN/>
        <w:bidi w:val="0"/>
        <w:adjustRightInd w:val="0"/>
        <w:snapToGrid/>
        <w:jc w:val="center"/>
        <w:textAlignment w:val="auto"/>
        <w:outlineLvl w:val="0"/>
        <w:rPr>
          <w:rFonts w:hAnsi="宋体" w:cs="宋体"/>
          <w:b/>
          <w:snapToGrid/>
          <w:sz w:val="36"/>
          <w:szCs w:val="20"/>
        </w:rPr>
      </w:pPr>
      <w:r>
        <w:rPr>
          <w:rFonts w:hint="eastAsia" w:hAnsi="宋体" w:cs="宋体"/>
          <w:b/>
          <w:snapToGrid/>
          <w:sz w:val="36"/>
          <w:szCs w:val="20"/>
        </w:rPr>
        <w:t>第二部分</w:t>
      </w:r>
      <w:bookmarkEnd w:id="8"/>
      <w:r>
        <w:rPr>
          <w:rFonts w:hint="eastAsia" w:hAnsi="宋体" w:cs="宋体"/>
          <w:b/>
          <w:snapToGrid/>
          <w:sz w:val="36"/>
          <w:szCs w:val="20"/>
        </w:rPr>
        <w:t xml:space="preserve"> 供应商须知</w:t>
      </w:r>
      <w:bookmarkEnd w:id="9"/>
    </w:p>
    <w:p>
      <w:pPr>
        <w:snapToGrid w:val="0"/>
        <w:spacing w:line="360" w:lineRule="auto"/>
        <w:jc w:val="center"/>
        <w:rPr>
          <w:rFonts w:hint="eastAsia" w:ascii="宋体" w:hAnsi="宋体" w:cs="宋体"/>
          <w:b/>
          <w:sz w:val="32"/>
          <w:szCs w:val="20"/>
        </w:rPr>
      </w:pPr>
    </w:p>
    <w:p>
      <w:pPr>
        <w:snapToGrid w:val="0"/>
        <w:spacing w:line="360" w:lineRule="auto"/>
        <w:jc w:val="center"/>
        <w:rPr>
          <w:rFonts w:ascii="宋体" w:hAnsi="宋体" w:cs="宋体"/>
          <w:b/>
          <w:sz w:val="32"/>
          <w:szCs w:val="20"/>
        </w:rPr>
      </w:pPr>
      <w:r>
        <w:rPr>
          <w:rFonts w:hint="eastAsia" w:ascii="宋体" w:hAnsi="宋体" w:cs="宋体"/>
          <w:b/>
          <w:sz w:val="32"/>
          <w:szCs w:val="20"/>
        </w:rPr>
        <w:t>前附表</w:t>
      </w:r>
    </w:p>
    <w:tbl>
      <w:tblPr>
        <w:tblStyle w:val="62"/>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2093"/>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ascii="宋体" w:hAnsi="宋体" w:cs="宋体"/>
                <w:b/>
                <w:sz w:val="24"/>
              </w:rPr>
            </w:pPr>
            <w:r>
              <w:rPr>
                <w:rFonts w:hint="eastAsia" w:ascii="宋体" w:hAnsi="宋体" w:cs="宋体"/>
                <w:b/>
                <w:sz w:val="24"/>
              </w:rPr>
              <w:t>序号</w:t>
            </w:r>
          </w:p>
        </w:tc>
        <w:tc>
          <w:tcPr>
            <w:tcW w:w="2093" w:type="dxa"/>
            <w:vAlign w:val="center"/>
          </w:tcPr>
          <w:p>
            <w:pPr>
              <w:snapToGrid w:val="0"/>
              <w:spacing w:line="360" w:lineRule="auto"/>
              <w:jc w:val="center"/>
              <w:rPr>
                <w:rFonts w:ascii="宋体" w:hAnsi="宋体" w:cs="宋体"/>
                <w:b/>
                <w:sz w:val="24"/>
              </w:rPr>
            </w:pPr>
            <w:r>
              <w:rPr>
                <w:rFonts w:hint="eastAsia" w:ascii="宋体" w:hAnsi="宋体" w:cs="宋体"/>
                <w:b/>
                <w:sz w:val="24"/>
              </w:rPr>
              <w:t>事项</w:t>
            </w:r>
          </w:p>
        </w:tc>
        <w:tc>
          <w:tcPr>
            <w:tcW w:w="6927" w:type="dxa"/>
            <w:vAlign w:val="center"/>
          </w:tcPr>
          <w:p>
            <w:pPr>
              <w:snapToGrid w:val="0"/>
              <w:spacing w:line="360" w:lineRule="auto"/>
              <w:jc w:val="center"/>
              <w:rPr>
                <w:rFonts w:ascii="宋体" w:hAnsi="宋体" w:cs="宋体"/>
                <w:b/>
                <w:sz w:val="24"/>
              </w:rPr>
            </w:pPr>
            <w:r>
              <w:rPr>
                <w:rFonts w:hint="eastAsia" w:ascii="宋体" w:hAnsi="宋体" w:cs="宋体"/>
                <w:b/>
                <w:sz w:val="24"/>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ascii="宋体" w:hAnsi="宋体" w:cs="宋体"/>
                <w:sz w:val="24"/>
              </w:rPr>
            </w:pPr>
            <w:r>
              <w:rPr>
                <w:rFonts w:hint="eastAsia" w:ascii="宋体" w:hAnsi="宋体" w:cs="宋体"/>
                <w:sz w:val="24"/>
              </w:rPr>
              <w:t>1</w:t>
            </w:r>
          </w:p>
        </w:tc>
        <w:tc>
          <w:tcPr>
            <w:tcW w:w="2093" w:type="dxa"/>
            <w:vAlign w:val="center"/>
          </w:tcPr>
          <w:p>
            <w:pPr>
              <w:jc w:val="center"/>
              <w:rPr>
                <w:b/>
                <w:bCs/>
              </w:rPr>
            </w:pPr>
            <w:r>
              <w:rPr>
                <w:rFonts w:hint="eastAsia"/>
                <w:b/>
                <w:bCs/>
              </w:rPr>
              <w:t>项目属性</w:t>
            </w:r>
          </w:p>
        </w:tc>
        <w:tc>
          <w:tcPr>
            <w:tcW w:w="6927" w:type="dxa"/>
            <w:vAlign w:val="bottom"/>
          </w:tcPr>
          <w:p>
            <w:pPr>
              <w:spacing w:line="360" w:lineRule="auto"/>
              <w:jc w:val="left"/>
              <w:rPr>
                <w:rFonts w:ascii="宋体" w:hAnsi="宋体" w:cs="宋体"/>
                <w:sz w:val="24"/>
              </w:rPr>
            </w:pPr>
            <w:r>
              <w:rPr>
                <w:rFonts w:hint="eastAsia" w:ascii="宋体" w:hAnsi="宋体" w:cs="宋体"/>
                <w:sz w:val="24"/>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ascii="宋体" w:hAnsi="宋体" w:cs="宋体"/>
                <w:sz w:val="24"/>
              </w:rPr>
            </w:pPr>
            <w:r>
              <w:rPr>
                <w:rFonts w:hint="eastAsia" w:ascii="宋体" w:hAnsi="宋体" w:cs="宋体"/>
                <w:sz w:val="24"/>
              </w:rPr>
              <w:t>2</w:t>
            </w:r>
          </w:p>
        </w:tc>
        <w:tc>
          <w:tcPr>
            <w:tcW w:w="2093" w:type="dxa"/>
            <w:vAlign w:val="center"/>
          </w:tcPr>
          <w:p>
            <w:pPr>
              <w:jc w:val="center"/>
              <w:rPr>
                <w:b/>
                <w:bCs/>
              </w:rPr>
            </w:pPr>
            <w:r>
              <w:rPr>
                <w:rFonts w:hint="eastAsia"/>
                <w:b/>
                <w:bCs/>
              </w:rPr>
              <w:t>采购标的及其对应的中小企业划分标准所属行业</w:t>
            </w:r>
          </w:p>
        </w:tc>
        <w:tc>
          <w:tcPr>
            <w:tcW w:w="6927" w:type="dxa"/>
            <w:vAlign w:val="center"/>
          </w:tcPr>
          <w:p>
            <w:pPr>
              <w:snapToGrid w:val="0"/>
              <w:spacing w:line="360" w:lineRule="auto"/>
              <w:rPr>
                <w:rFonts w:hint="eastAsia" w:ascii="宋体" w:hAnsi="宋体" w:eastAsia="宋体" w:cs="宋体"/>
                <w:lang w:val="en-US" w:eastAsia="zh-CN"/>
              </w:rPr>
            </w:pPr>
            <w:r>
              <w:rPr>
                <w:rFonts w:hint="eastAsia" w:ascii="宋体" w:hAnsi="宋体" w:cs="宋体"/>
                <w:kern w:val="0"/>
                <w:sz w:val="24"/>
              </w:rPr>
              <w:t>标的：</w:t>
            </w:r>
            <w:r>
              <w:rPr>
                <w:rFonts w:hint="eastAsia" w:ascii="宋体" w:hAnsi="宋体" w:cs="宋体"/>
                <w:kern w:val="0"/>
                <w:sz w:val="24"/>
                <w:u w:val="none"/>
              </w:rPr>
              <w:t xml:space="preserve"> </w:t>
            </w:r>
            <w:r>
              <w:rPr>
                <w:rFonts w:hint="eastAsia" w:ascii="宋体" w:hAnsi="宋体" w:cs="宋体"/>
                <w:kern w:val="0"/>
                <w:sz w:val="24"/>
                <w:u w:val="single"/>
                <w:lang w:val="en-US" w:eastAsia="zh-CN"/>
              </w:rPr>
              <w:t>库车市伊西哈拉镇水库以北、多来提巴格村北东G3012北侧等3处历史遗留废弃工矿地整治（二次）</w:t>
            </w:r>
            <w:r>
              <w:rPr>
                <w:rFonts w:hint="eastAsia" w:ascii="宋体" w:hAnsi="宋体" w:cs="宋体"/>
                <w:kern w:val="0"/>
                <w:sz w:val="24"/>
                <w:u w:val="none"/>
              </w:rPr>
              <w:t xml:space="preserve"> </w:t>
            </w:r>
            <w:r>
              <w:rPr>
                <w:rFonts w:hint="eastAsia" w:ascii="宋体" w:hAnsi="宋体" w:cs="宋体"/>
                <w:kern w:val="0"/>
                <w:sz w:val="24"/>
              </w:rPr>
              <w:t>，属于</w:t>
            </w:r>
            <w:r>
              <w:rPr>
                <w:rFonts w:hint="eastAsia" w:ascii="宋体" w:hAnsi="宋体" w:cs="宋体"/>
                <w:kern w:val="0"/>
                <w:sz w:val="24"/>
                <w:u w:val="single"/>
                <w:lang w:val="en-US" w:eastAsia="zh-CN"/>
              </w:rPr>
              <w:t>其他未列明</w:t>
            </w:r>
            <w:r>
              <w:rPr>
                <w:rFonts w:hint="eastAsia" w:ascii="宋体" w:hAnsi="宋体" w:cs="宋体"/>
                <w:kern w:val="0"/>
                <w:sz w:val="24"/>
                <w:u w:val="none"/>
                <w:lang w:val="en-US" w:eastAsia="zh-CN"/>
              </w:rPr>
              <w:t>行</w:t>
            </w:r>
            <w:r>
              <w:rPr>
                <w:rFonts w:hint="eastAsia" w:ascii="宋体" w:hAnsi="宋体" w:cs="宋体"/>
                <w:kern w:val="0"/>
                <w:sz w:val="24"/>
              </w:rPr>
              <w:t>业</w:t>
            </w:r>
            <w:r>
              <w:rPr>
                <w:rFonts w:hint="eastAsia" w:ascii="宋体" w:hAnsi="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ascii="宋体" w:hAnsi="宋体" w:cs="宋体"/>
                <w:sz w:val="24"/>
              </w:rPr>
            </w:pPr>
            <w:r>
              <w:rPr>
                <w:rFonts w:hint="eastAsia" w:ascii="宋体" w:hAnsi="宋体" w:cs="宋体"/>
                <w:sz w:val="24"/>
              </w:rPr>
              <w:t>3</w:t>
            </w:r>
          </w:p>
        </w:tc>
        <w:tc>
          <w:tcPr>
            <w:tcW w:w="2093" w:type="dxa"/>
            <w:vAlign w:val="center"/>
          </w:tcPr>
          <w:p>
            <w:pPr>
              <w:jc w:val="center"/>
              <w:rPr>
                <w:b/>
                <w:bCs/>
              </w:rPr>
            </w:pPr>
            <w:r>
              <w:rPr>
                <w:rFonts w:hint="eastAsia"/>
                <w:b/>
                <w:bCs/>
              </w:rPr>
              <w:t>是否允许采购进口产品</w:t>
            </w:r>
          </w:p>
        </w:tc>
        <w:tc>
          <w:tcPr>
            <w:tcW w:w="6927" w:type="dxa"/>
            <w:vAlign w:val="center"/>
          </w:tcPr>
          <w:p>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ascii="宋体" w:hAnsi="宋体" w:cs="宋体"/>
                <w:sz w:val="24"/>
              </w:rPr>
            </w:pPr>
            <w:r>
              <w:rPr>
                <w:rFonts w:hint="eastAsia" w:ascii="宋体" w:hAnsi="宋体" w:cs="宋体"/>
                <w:sz w:val="24"/>
              </w:rPr>
              <w:t>4</w:t>
            </w:r>
          </w:p>
        </w:tc>
        <w:tc>
          <w:tcPr>
            <w:tcW w:w="2093" w:type="dxa"/>
            <w:vAlign w:val="center"/>
          </w:tcPr>
          <w:p>
            <w:pPr>
              <w:jc w:val="center"/>
              <w:rPr>
                <w:b/>
                <w:bCs/>
              </w:rPr>
            </w:pPr>
            <w:r>
              <w:rPr>
                <w:rFonts w:hint="eastAsia"/>
                <w:b/>
                <w:bCs/>
              </w:rPr>
              <w:t>分包</w:t>
            </w:r>
          </w:p>
        </w:tc>
        <w:tc>
          <w:tcPr>
            <w:tcW w:w="6927" w:type="dxa"/>
            <w:vAlign w:val="center"/>
          </w:tcPr>
          <w:p>
            <w:pPr>
              <w:spacing w:line="360" w:lineRule="auto"/>
              <w:rPr>
                <w:rFonts w:ascii="宋体" w:hAnsi="宋体" w:cs="宋体"/>
                <w:sz w:val="24"/>
              </w:rPr>
            </w:pPr>
            <w:sdt>
              <w:sdtPr>
                <w:rPr>
                  <w:rFonts w:hint="eastAsia" w:ascii="宋体" w:hAnsi="宋体" w:cs="宋体"/>
                  <w:kern w:val="0"/>
                  <w:sz w:val="24"/>
                </w:rPr>
                <w:id w:val="-147728692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宋体" w:cs="宋体"/>
                    <w:kern w:val="0"/>
                    <w:sz w:val="24"/>
                    <w:szCs w:val="24"/>
                    <w:lang w:val="en-US" w:eastAsia="zh-CN" w:bidi="ar-SA"/>
                  </w:rPr>
                  <w:t>þ</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u w:val="single"/>
                <w:lang w:val="en-US" w:eastAsia="zh-CN"/>
              </w:rPr>
              <w:t>土方</w:t>
            </w:r>
            <w:r>
              <w:rPr>
                <w:rFonts w:hint="eastAsia" w:ascii="宋体" w:hAnsi="宋体" w:cs="宋体"/>
                <w:sz w:val="24"/>
                <w:u w:val="single"/>
              </w:rPr>
              <w:t xml:space="preserve"> </w:t>
            </w:r>
            <w:r>
              <w:rPr>
                <w:rFonts w:hint="eastAsia" w:ascii="宋体" w:hAnsi="宋体" w:cs="宋体"/>
                <w:sz w:val="24"/>
              </w:rPr>
              <w:t>工作分包。</w:t>
            </w:r>
          </w:p>
          <w:p>
            <w:pPr>
              <w:spacing w:line="360" w:lineRule="auto"/>
              <w:rPr>
                <w:rFonts w:ascii="宋体" w:hAnsi="宋体" w:cs="宋体"/>
                <w:sz w:val="24"/>
              </w:rPr>
            </w:pPr>
            <w:sdt>
              <w:sdtPr>
                <w:rPr>
                  <w:rFonts w:hint="eastAsia" w:ascii="宋体" w:hAnsi="宋体" w:cs="宋体"/>
                  <w:kern w:val="0"/>
                  <w:sz w:val="24"/>
                </w:rPr>
                <w:id w:val="-127633135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kern w:val="0"/>
                <w:sz w:val="24"/>
              </w:rPr>
              <w:t xml:space="preserve"> B</w:t>
            </w:r>
            <w:r>
              <w:rPr>
                <w:rFonts w:hint="eastAsia" w:ascii="宋体" w:hAnsi="宋体" w:cs="宋体"/>
                <w:sz w:val="24"/>
              </w:rPr>
              <w:t>不同意分包，具体理由：</w:t>
            </w:r>
            <w:r>
              <w:rPr>
                <w:rFonts w:hint="eastAsia" w:ascii="宋体" w:hAnsi="宋体" w:cs="宋体"/>
                <w:sz w:val="24"/>
                <w:u w:val="single"/>
              </w:rPr>
              <w:t xml:space="preserve">             </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ascii="宋体" w:hAnsi="宋体" w:cs="宋体"/>
                <w:sz w:val="24"/>
              </w:rPr>
            </w:pPr>
            <w:r>
              <w:rPr>
                <w:rFonts w:hint="eastAsia" w:ascii="宋体" w:hAnsi="宋体" w:cs="宋体"/>
                <w:sz w:val="24"/>
              </w:rPr>
              <w:t>5</w:t>
            </w:r>
          </w:p>
        </w:tc>
        <w:tc>
          <w:tcPr>
            <w:tcW w:w="2093" w:type="dxa"/>
            <w:vAlign w:val="center"/>
          </w:tcPr>
          <w:p>
            <w:pPr>
              <w:jc w:val="center"/>
              <w:rPr>
                <w:b/>
                <w:bCs/>
              </w:rPr>
            </w:pPr>
            <w:r>
              <w:rPr>
                <w:rFonts w:hint="eastAsia"/>
                <w:b/>
                <w:bCs/>
              </w:rPr>
              <w:t>磋商前答疑会或现场考察</w:t>
            </w:r>
          </w:p>
        </w:tc>
        <w:tc>
          <w:tcPr>
            <w:tcW w:w="6927" w:type="dxa"/>
            <w:vAlign w:val="center"/>
          </w:tcPr>
          <w:p>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2093" w:type="dxa"/>
            <w:vAlign w:val="center"/>
          </w:tcPr>
          <w:p>
            <w:pPr>
              <w:jc w:val="center"/>
              <w:rPr>
                <w:b/>
                <w:bCs/>
              </w:rPr>
            </w:pPr>
            <w:r>
              <w:rPr>
                <w:rFonts w:hint="eastAsia"/>
                <w:b/>
                <w:bCs/>
              </w:rPr>
              <w:t>方案讲解演示</w:t>
            </w:r>
          </w:p>
        </w:tc>
        <w:tc>
          <w:tcPr>
            <w:tcW w:w="6927" w:type="dxa"/>
            <w:vAlign w:val="center"/>
          </w:tcPr>
          <w:p>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b/>
                <w:kern w:val="0"/>
                <w:sz w:val="24"/>
                <w:lang w:val="zh-CN"/>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2093" w:type="dxa"/>
            <w:vAlign w:val="center"/>
          </w:tcPr>
          <w:p>
            <w:pPr>
              <w:jc w:val="center"/>
              <w:rPr>
                <w:b/>
                <w:bCs/>
              </w:rPr>
            </w:pPr>
            <w:r>
              <w:rPr>
                <w:rFonts w:hint="eastAsia"/>
                <w:b/>
                <w:bCs/>
              </w:rPr>
              <w:t>节能产品、环境标志产品</w:t>
            </w:r>
          </w:p>
        </w:tc>
        <w:tc>
          <w:tcPr>
            <w:tcW w:w="6927" w:type="dxa"/>
            <w:vAlign w:val="center"/>
          </w:tcPr>
          <w:p>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2093" w:type="dxa"/>
            <w:vAlign w:val="center"/>
          </w:tcPr>
          <w:p>
            <w:pPr>
              <w:jc w:val="center"/>
              <w:rPr>
                <w:b/>
                <w:bCs/>
              </w:rPr>
            </w:pPr>
            <w:r>
              <w:rPr>
                <w:rFonts w:hint="eastAsia"/>
                <w:b/>
                <w:bCs/>
              </w:rPr>
              <w:t>报价要求</w:t>
            </w:r>
          </w:p>
        </w:tc>
        <w:tc>
          <w:tcPr>
            <w:tcW w:w="6927" w:type="dxa"/>
            <w:vAlign w:val="center"/>
          </w:tcPr>
          <w:p>
            <w:pPr>
              <w:snapToGrid w:val="0"/>
              <w:spacing w:line="360" w:lineRule="auto"/>
              <w:jc w:val="left"/>
              <w:rPr>
                <w:rFonts w:hint="eastAsia"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sz w:val="24"/>
              </w:rPr>
              <w:t>报价单是报价的唯一载体</w:t>
            </w:r>
            <w:r>
              <w:rPr>
                <w:rFonts w:hint="eastAsia" w:ascii="宋体" w:hAnsi="宋体" w:cs="宋体"/>
                <w:kern w:val="0"/>
                <w:sz w:val="24"/>
                <w:lang w:val="zh-CN"/>
              </w:rPr>
              <w:t>。响应文件中价格全部采用人民币报价。采购文件未列明，而供应商认为必需的费用也需列入报价。</w:t>
            </w:r>
          </w:p>
          <w:p>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最后报价出现下列情形的，响应文件无效：</w:t>
            </w:r>
          </w:p>
          <w:p>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响应文件出现不是唯一的、有选择性最后报价的；</w:t>
            </w:r>
          </w:p>
          <w:p>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最后报价超过采购文件中规定的预算金额或者最高限价的;</w:t>
            </w:r>
          </w:p>
          <w:p>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
                <w:sz w:val="24"/>
                <w:szCs w:val="21"/>
              </w:rPr>
              <w:t>;</w:t>
            </w:r>
          </w:p>
          <w:p>
            <w:pPr>
              <w:spacing w:line="360" w:lineRule="auto"/>
              <w:ind w:firstLine="241" w:firstLineChars="100"/>
              <w:rPr>
                <w:rFonts w:ascii="宋体" w:hAnsi="宋体" w:cs="宋体"/>
                <w:sz w:val="24"/>
              </w:rPr>
            </w:pPr>
            <w:r>
              <w:rPr>
                <w:rFonts w:hint="eastAsia" w:ascii="宋体" w:hAnsi="宋体" w:cs="宋体"/>
                <w:b/>
                <w:kern w:val="0"/>
                <w:sz w:val="24"/>
              </w:rPr>
              <w:t>供应商对根据修正原则修正后的报价不确认的</w:t>
            </w:r>
            <w:r>
              <w:rPr>
                <w:rFonts w:hint="eastAsia" w:ascii="宋体" w:hAnsi="宋体" w:cs="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9</w:t>
            </w:r>
          </w:p>
        </w:tc>
        <w:tc>
          <w:tcPr>
            <w:tcW w:w="2093" w:type="dxa"/>
            <w:vAlign w:val="center"/>
          </w:tcPr>
          <w:p>
            <w:pPr>
              <w:jc w:val="center"/>
              <w:rPr>
                <w:b/>
                <w:bCs/>
              </w:rPr>
            </w:pPr>
            <w:r>
              <w:rPr>
                <w:rFonts w:hint="eastAsia"/>
                <w:b/>
                <w:bCs/>
              </w:rPr>
              <w:t>备份响应文件送达地点和签收人员</w:t>
            </w:r>
          </w:p>
        </w:tc>
        <w:tc>
          <w:tcPr>
            <w:tcW w:w="6927" w:type="dxa"/>
            <w:vAlign w:val="center"/>
          </w:tcPr>
          <w:p>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不要求提供。</w:t>
            </w:r>
          </w:p>
          <w:p>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B要求提供，</w:t>
            </w:r>
          </w:p>
          <w:p>
            <w:pPr>
              <w:pStyle w:val="34"/>
              <w:spacing w:line="360" w:lineRule="auto"/>
              <w:rPr>
                <w:rFonts w:hAnsi="宋体" w:cs="宋体"/>
                <w:kern w:val="28"/>
                <w:sz w:val="24"/>
              </w:rPr>
            </w:pPr>
            <w:r>
              <w:rPr>
                <w:rFonts w:hint="eastAsia" w:hAnsi="宋体" w:cs="宋体"/>
                <w:b/>
                <w:sz w:val="24"/>
                <w:szCs w:val="24"/>
              </w:rPr>
              <w:t>采购人、</w:t>
            </w:r>
            <w:r>
              <w:rPr>
                <w:rFonts w:hint="eastAsia" w:hAnsi="宋体" w:cs="宋体"/>
                <w:b/>
                <w:sz w:val="24"/>
                <w:szCs w:val="24"/>
                <w:lang w:eastAsia="zh-CN"/>
              </w:rPr>
              <w:t>采购代理机构</w:t>
            </w:r>
            <w:r>
              <w:rPr>
                <w:rFonts w:hint="eastAsia" w:hAnsi="宋体" w:cs="宋体"/>
                <w:b/>
                <w:sz w:val="24"/>
                <w:szCs w:val="24"/>
              </w:rPr>
              <w:t>不强制或变相强制供应商提交备份响应文件。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2093" w:type="dxa"/>
            <w:vAlign w:val="center"/>
          </w:tcPr>
          <w:p>
            <w:pPr>
              <w:jc w:val="center"/>
              <w:rPr>
                <w:b/>
                <w:bCs/>
              </w:rPr>
            </w:pPr>
            <w:r>
              <w:rPr>
                <w:rFonts w:hint="eastAsia"/>
                <w:b/>
                <w:bCs/>
              </w:rPr>
              <w:t>其它说明</w:t>
            </w:r>
          </w:p>
        </w:tc>
        <w:tc>
          <w:tcPr>
            <w:tcW w:w="6927" w:type="dxa"/>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联合体或者以分包方式履行合同的，联合体各方（供应商与分包供应商）分别提供与联合体协议（分包意向协议）中规定的分工内容相应的业绩证明材料，</w:t>
            </w:r>
            <w:r>
              <w:rPr>
                <w:rFonts w:hint="eastAsia" w:ascii="宋体" w:hAnsi="宋体" w:cs="宋体"/>
                <w:snapToGrid w:val="0"/>
                <w:kern w:val="28"/>
                <w:sz w:val="24"/>
                <w:highlight w:val="none"/>
              </w:rPr>
              <w:t>业绩数量以提供材料较少的一方为准</w:t>
            </w:r>
            <w:r>
              <w:rPr>
                <w:rFonts w:hint="eastAsia" w:ascii="宋体" w:hAnsi="宋体" w:cs="宋体"/>
                <w:b/>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14" w:type="dxa"/>
            <w:vAlign w:val="center"/>
          </w:tcPr>
          <w:p>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2093" w:type="dxa"/>
            <w:vAlign w:val="center"/>
          </w:tcPr>
          <w:p>
            <w:pPr>
              <w:jc w:val="center"/>
              <w:rPr>
                <w:b/>
                <w:bCs/>
              </w:rPr>
            </w:pPr>
            <w:r>
              <w:rPr>
                <w:rFonts w:hint="eastAsia"/>
                <w:b/>
                <w:bCs/>
              </w:rPr>
              <w:t>采购代理服务费</w:t>
            </w:r>
          </w:p>
        </w:tc>
        <w:tc>
          <w:tcPr>
            <w:tcW w:w="6927" w:type="dxa"/>
            <w:vAlign w:val="center"/>
          </w:tcPr>
          <w:p>
            <w:pPr>
              <w:spacing w:line="360" w:lineRule="auto"/>
              <w:rPr>
                <w:rFonts w:hint="eastAsia" w:ascii="宋体" w:hAnsi="宋体" w:cs="宋体"/>
                <w:snapToGrid w:val="0"/>
                <w:kern w:val="28"/>
                <w:sz w:val="24"/>
              </w:rPr>
            </w:pPr>
            <w:r>
              <w:rPr>
                <w:rFonts w:hint="eastAsia" w:ascii="宋体" w:hAnsi="宋体" w:cs="宋体"/>
                <w:b/>
                <w:bCs/>
                <w:snapToGrid w:val="0"/>
                <w:kern w:val="28"/>
                <w:sz w:val="24"/>
                <w:lang w:eastAsia="zh-CN"/>
              </w:rPr>
              <w:t>根据（发改价格</w:t>
            </w:r>
            <w:r>
              <w:rPr>
                <w:rFonts w:hint="eastAsia" w:ascii="宋体" w:hAnsi="宋体" w:cs="宋体"/>
                <w:b/>
                <w:bCs/>
                <w:snapToGrid w:val="0"/>
                <w:kern w:val="28"/>
                <w:sz w:val="24"/>
                <w:lang w:val="en-US" w:eastAsia="zh-CN"/>
              </w:rPr>
              <w:t>[2015]299号文件</w:t>
            </w:r>
            <w:r>
              <w:rPr>
                <w:rFonts w:hint="eastAsia" w:ascii="宋体" w:hAnsi="宋体" w:cs="宋体"/>
                <w:b/>
                <w:bCs/>
                <w:snapToGrid w:val="0"/>
                <w:kern w:val="28"/>
                <w:sz w:val="24"/>
                <w:lang w:eastAsia="zh-CN"/>
              </w:rPr>
              <w:t>），代理服务费按</w:t>
            </w:r>
            <w:r>
              <w:rPr>
                <w:rFonts w:hint="eastAsia" w:ascii="宋体" w:hAnsi="宋体" w:cs="宋体"/>
                <w:b/>
                <w:bCs/>
                <w:snapToGrid w:val="0"/>
                <w:kern w:val="28"/>
                <w:sz w:val="24"/>
                <w:lang w:val="en-US" w:eastAsia="zh-CN"/>
              </w:rPr>
              <w:t>成交</w:t>
            </w:r>
            <w:r>
              <w:rPr>
                <w:rFonts w:hint="eastAsia" w:ascii="宋体" w:hAnsi="宋体" w:cs="宋体"/>
                <w:b/>
                <w:bCs/>
                <w:snapToGrid w:val="0"/>
                <w:kern w:val="28"/>
                <w:sz w:val="24"/>
                <w:lang w:eastAsia="zh-CN"/>
              </w:rPr>
              <w:t>金额的</w:t>
            </w:r>
            <w:r>
              <w:rPr>
                <w:rFonts w:hint="eastAsia" w:ascii="宋体" w:hAnsi="宋体" w:cs="宋体"/>
                <w:b/>
                <w:bCs/>
                <w:snapToGrid w:val="0"/>
                <w:kern w:val="28"/>
                <w:sz w:val="24"/>
                <w:lang w:val="en-US" w:eastAsia="zh-CN"/>
              </w:rPr>
              <w:t>1.5%收取。</w:t>
            </w:r>
            <w:r>
              <w:rPr>
                <w:rFonts w:hint="eastAsia" w:ascii="宋体" w:hAnsi="宋体" w:cs="宋体"/>
                <w:snapToGrid w:val="0"/>
                <w:kern w:val="28"/>
                <w:sz w:val="24"/>
              </w:rPr>
              <w:t>由中标单位向招标代理机构支付本项目的代理费。</w:t>
            </w:r>
          </w:p>
          <w:p>
            <w:pPr>
              <w:spacing w:line="360" w:lineRule="auto"/>
              <w:rPr>
                <w:rFonts w:hint="eastAsia" w:ascii="宋体" w:hAnsi="宋体" w:cs="宋体"/>
                <w:snapToGrid w:val="0"/>
                <w:kern w:val="28"/>
                <w:sz w:val="24"/>
                <w:lang w:eastAsia="zh-CN"/>
              </w:rPr>
            </w:pPr>
            <w:r>
              <w:rPr>
                <w:rFonts w:hint="eastAsia" w:ascii="宋体" w:hAnsi="宋体" w:cs="宋体"/>
                <w:snapToGrid w:val="0"/>
                <w:kern w:val="28"/>
                <w:sz w:val="24"/>
                <w:lang w:eastAsia="zh-CN"/>
              </w:rPr>
              <w:t>支</w:t>
            </w:r>
            <w:r>
              <w:rPr>
                <w:rFonts w:hint="eastAsia" w:ascii="宋体" w:hAnsi="宋体" w:cs="宋体"/>
                <w:snapToGrid w:val="0"/>
                <w:kern w:val="28"/>
                <w:sz w:val="24"/>
                <w:lang w:val="en-US" w:eastAsia="zh-CN"/>
              </w:rPr>
              <w:t xml:space="preserve"> </w:t>
            </w:r>
            <w:r>
              <w:rPr>
                <w:rFonts w:hint="eastAsia" w:ascii="宋体" w:hAnsi="宋体" w:cs="宋体"/>
                <w:snapToGrid w:val="0"/>
                <w:kern w:val="28"/>
                <w:sz w:val="24"/>
                <w:lang w:eastAsia="zh-CN"/>
              </w:rPr>
              <w:t>付</w:t>
            </w:r>
            <w:r>
              <w:rPr>
                <w:rFonts w:hint="eastAsia" w:ascii="宋体" w:hAnsi="宋体" w:cs="宋体"/>
                <w:snapToGrid w:val="0"/>
                <w:kern w:val="28"/>
                <w:sz w:val="24"/>
                <w:lang w:val="en-US" w:eastAsia="zh-CN"/>
              </w:rPr>
              <w:t xml:space="preserve"> </w:t>
            </w:r>
            <w:r>
              <w:rPr>
                <w:rFonts w:hint="eastAsia" w:ascii="宋体" w:hAnsi="宋体" w:cs="宋体"/>
                <w:snapToGrid w:val="0"/>
                <w:kern w:val="28"/>
                <w:sz w:val="24"/>
                <w:lang w:eastAsia="zh-CN"/>
              </w:rPr>
              <w:t>方：由</w:t>
            </w:r>
            <w:r>
              <w:rPr>
                <w:rFonts w:hint="eastAsia" w:ascii="宋体" w:hAnsi="宋体" w:cs="宋体"/>
                <w:snapToGrid w:val="0"/>
                <w:kern w:val="28"/>
                <w:sz w:val="24"/>
              </w:rPr>
              <w:t>中标人</w:t>
            </w:r>
            <w:r>
              <w:rPr>
                <w:rFonts w:hint="eastAsia" w:ascii="宋体" w:hAnsi="宋体" w:cs="宋体"/>
                <w:snapToGrid w:val="0"/>
                <w:kern w:val="28"/>
                <w:sz w:val="24"/>
                <w:lang w:eastAsia="zh-CN"/>
              </w:rPr>
              <w:t>支付</w:t>
            </w:r>
          </w:p>
          <w:p>
            <w:pPr>
              <w:spacing w:line="360" w:lineRule="auto"/>
              <w:rPr>
                <w:rFonts w:hint="eastAsia" w:ascii="宋体" w:hAnsi="宋体" w:cs="宋体"/>
                <w:snapToGrid w:val="0"/>
                <w:kern w:val="28"/>
                <w:sz w:val="24"/>
              </w:rPr>
            </w:pPr>
            <w:r>
              <w:rPr>
                <w:rFonts w:hint="eastAsia" w:ascii="宋体" w:hAnsi="宋体" w:cs="宋体"/>
                <w:snapToGrid w:val="0"/>
                <w:kern w:val="28"/>
                <w:sz w:val="24"/>
              </w:rPr>
              <w:t>支付形式：</w:t>
            </w:r>
            <w:r>
              <w:rPr>
                <w:rFonts w:hint="eastAsia" w:ascii="宋体" w:hAnsi="宋体" w:cs="宋体"/>
                <w:snapToGrid w:val="0"/>
                <w:kern w:val="28"/>
                <w:sz w:val="24"/>
                <w:lang w:val="en-US" w:eastAsia="zh-CN"/>
              </w:rPr>
              <w:t>对公</w:t>
            </w:r>
            <w:r>
              <w:rPr>
                <w:rFonts w:hint="eastAsia" w:ascii="宋体" w:hAnsi="宋体" w:cs="宋体"/>
                <w:snapToGrid w:val="0"/>
                <w:kern w:val="28"/>
                <w:sz w:val="24"/>
              </w:rPr>
              <w:t xml:space="preserve">转账 </w:t>
            </w:r>
          </w:p>
          <w:p>
            <w:pPr>
              <w:spacing w:line="360" w:lineRule="auto"/>
              <w:rPr>
                <w:rFonts w:ascii="宋体" w:hAnsi="宋体" w:cs="宋体"/>
                <w:snapToGrid w:val="0"/>
                <w:kern w:val="28"/>
                <w:sz w:val="24"/>
              </w:rPr>
            </w:pPr>
            <w:r>
              <w:rPr>
                <w:rFonts w:hint="eastAsia" w:ascii="宋体" w:hAnsi="宋体" w:cs="宋体"/>
                <w:snapToGrid w:val="0"/>
                <w:kern w:val="28"/>
                <w:sz w:val="24"/>
                <w:lang w:eastAsia="zh-CN"/>
              </w:rPr>
              <w:t>支付时间：领取中标通知书时</w:t>
            </w:r>
          </w:p>
        </w:tc>
      </w:tr>
    </w:tbl>
    <w:p>
      <w:pPr>
        <w:snapToGrid w:val="0"/>
        <w:spacing w:line="360" w:lineRule="auto"/>
        <w:jc w:val="center"/>
        <w:rPr>
          <w:rFonts w:ascii="宋体" w:hAnsi="宋体" w:cs="宋体"/>
          <w:b/>
          <w:sz w:val="32"/>
          <w:szCs w:val="20"/>
        </w:rPr>
      </w:pPr>
    </w:p>
    <w:bookmarkEnd w:id="10"/>
    <w:p>
      <w:pPr>
        <w:widowControl/>
        <w:adjustRightInd/>
        <w:jc w:val="left"/>
        <w:rPr>
          <w:rFonts w:ascii="宋体" w:hAnsi="宋体" w:cs="宋体"/>
          <w:b/>
          <w:sz w:val="32"/>
          <w:szCs w:val="20"/>
        </w:rPr>
      </w:pPr>
      <w:bookmarkStart w:id="16" w:name="第三部分"/>
      <w:bookmarkStart w:id="17" w:name="_Toc164416483"/>
      <w:r>
        <w:rPr>
          <w:rFonts w:hint="eastAsia" w:ascii="宋体" w:hAnsi="宋体" w:cs="宋体"/>
          <w:b/>
          <w:sz w:val="32"/>
          <w:szCs w:val="20"/>
        </w:rPr>
        <w:br w:type="page"/>
      </w:r>
    </w:p>
    <w:p>
      <w:pPr>
        <w:snapToGrid w:val="0"/>
        <w:spacing w:line="360" w:lineRule="auto"/>
        <w:jc w:val="center"/>
        <w:outlineLvl w:val="0"/>
        <w:rPr>
          <w:rFonts w:ascii="宋体" w:hAnsi="宋体" w:cs="宋体"/>
          <w:b/>
          <w:sz w:val="32"/>
          <w:szCs w:val="20"/>
        </w:rPr>
      </w:pPr>
      <w:r>
        <w:rPr>
          <w:rFonts w:hint="eastAsia" w:ascii="宋体" w:hAnsi="宋体" w:cs="宋体"/>
          <w:b/>
          <w:sz w:val="32"/>
          <w:szCs w:val="20"/>
        </w:rPr>
        <w:t>一、总则</w:t>
      </w:r>
    </w:p>
    <w:p>
      <w:pPr>
        <w:snapToGrid w:val="0"/>
        <w:spacing w:line="360" w:lineRule="auto"/>
        <w:jc w:val="left"/>
        <w:outlineLvl w:val="1"/>
        <w:rPr>
          <w:rFonts w:ascii="宋体" w:hAnsi="宋体" w:cs="宋体"/>
          <w:b/>
          <w:sz w:val="24"/>
        </w:rPr>
      </w:pPr>
      <w:r>
        <w:rPr>
          <w:rFonts w:hint="eastAsia" w:ascii="宋体" w:hAnsi="宋体" w:cs="宋体"/>
          <w:b/>
          <w:sz w:val="24"/>
        </w:rPr>
        <w:t>1. 适用范围</w:t>
      </w:r>
    </w:p>
    <w:p>
      <w:pPr>
        <w:snapToGrid w:val="0"/>
        <w:spacing w:line="360" w:lineRule="auto"/>
        <w:ind w:firstLine="480" w:firstLineChars="200"/>
        <w:jc w:val="left"/>
        <w:rPr>
          <w:rFonts w:ascii="宋体" w:hAnsi="宋体" w:cs="宋体"/>
          <w:sz w:val="24"/>
        </w:rPr>
      </w:pPr>
      <w:r>
        <w:rPr>
          <w:rFonts w:hint="eastAsia" w:ascii="宋体" w:hAnsi="宋体" w:cs="宋体"/>
          <w:sz w:val="24"/>
        </w:rPr>
        <w:t>本采购文件适用于该项目的采购邀请、响应文件提交、响应文件开启、资格审查及信用信息查询、磋商、评审、成交供应商确定、合同、验收等行为（法律、法规另有规定的，从其规定）。</w:t>
      </w:r>
    </w:p>
    <w:p>
      <w:pPr>
        <w:numPr>
          <w:ilvl w:val="0"/>
          <w:numId w:val="2"/>
        </w:numPr>
        <w:snapToGrid w:val="0"/>
        <w:spacing w:line="360" w:lineRule="auto"/>
        <w:ind w:leftChars="0"/>
        <w:jc w:val="left"/>
        <w:outlineLvl w:val="1"/>
        <w:rPr>
          <w:rFonts w:hint="eastAsia" w:ascii="宋体" w:hAnsi="宋体" w:eastAsia="宋体" w:cs="宋体"/>
          <w:b/>
          <w:sz w:val="24"/>
        </w:rPr>
      </w:pPr>
      <w:r>
        <w:rPr>
          <w:rFonts w:hint="eastAsia" w:ascii="宋体" w:hAnsi="宋体" w:eastAsia="宋体" w:cs="宋体"/>
          <w:b/>
          <w:sz w:val="24"/>
        </w:rPr>
        <w:t>定义</w:t>
      </w:r>
    </w:p>
    <w:p>
      <w:pPr>
        <w:snapToGrid w:val="0"/>
        <w:spacing w:line="360" w:lineRule="auto"/>
        <w:ind w:firstLine="480" w:firstLineChars="200"/>
        <w:rPr>
          <w:rFonts w:ascii="宋体" w:hAnsi="宋体" w:cs="宋体"/>
          <w:sz w:val="24"/>
        </w:rPr>
      </w:pPr>
      <w:r>
        <w:rPr>
          <w:rFonts w:hint="eastAsia" w:ascii="宋体" w:hAnsi="宋体" w:cs="宋体"/>
          <w:sz w:val="24"/>
        </w:rPr>
        <w:t>2.1 “采购人”系指竞争性磋商公告中载明的本项目的采购人。</w:t>
      </w:r>
    </w:p>
    <w:p>
      <w:pPr>
        <w:snapToGrid w:val="0"/>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”系指竞争性磋商公告中载明的本项目的</w:t>
      </w:r>
      <w:r>
        <w:rPr>
          <w:rFonts w:hint="eastAsia" w:ascii="宋体" w:hAnsi="宋体" w:cs="宋体"/>
          <w:sz w:val="24"/>
          <w:lang w:eastAsia="zh-CN"/>
        </w:rPr>
        <w:t>采购代理机构</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2.3 “供应商”系指是指提交响应文件和报价、参与竞争性磋商采购活动的法人、其他组织或者自然人。</w:t>
      </w:r>
    </w:p>
    <w:p>
      <w:pPr>
        <w:snapToGrid w:val="0"/>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pPr>
        <w:snapToGrid w:val="0"/>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w:t>
      </w:r>
    </w:p>
    <w:p>
      <w:pPr>
        <w:snapToGrid w:val="0"/>
        <w:spacing w:line="360" w:lineRule="auto"/>
        <w:ind w:firstLine="480" w:firstLineChars="200"/>
        <w:rPr>
          <w:rFonts w:ascii="宋体" w:hAnsi="宋体" w:cs="宋体"/>
          <w:sz w:val="24"/>
        </w:rPr>
      </w:pPr>
      <w:r>
        <w:rPr>
          <w:rFonts w:hint="eastAsia" w:ascii="宋体" w:hAnsi="宋体" w:cs="宋体"/>
          <w:sz w:val="24"/>
        </w:rPr>
        <w:t>2.6“</w:t>
      </w:r>
      <w:r>
        <w:rPr>
          <w:rFonts w:hint="eastAsia" w:ascii="宋体" w:hAnsi="宋体" w:cs="宋体"/>
          <w:sz w:val="24"/>
          <w:lang w:val="en-US" w:eastAsia="zh-CN"/>
        </w:rPr>
        <w:t>电子交易平台</w:t>
      </w:r>
      <w:r>
        <w:rPr>
          <w:rFonts w:hint="eastAsia" w:ascii="宋体" w:hAnsi="宋体" w:cs="宋体"/>
          <w:sz w:val="24"/>
        </w:rPr>
        <w:t>”</w:t>
      </w:r>
      <w:r>
        <w:rPr>
          <w:rFonts w:hint="eastAsia" w:ascii="宋体" w:hAnsi="宋体" w:cs="宋体"/>
          <w:sz w:val="24"/>
          <w:lang w:val="en-US" w:eastAsia="zh-CN"/>
        </w:rPr>
        <w:t>系</w:t>
      </w:r>
      <w:r>
        <w:rPr>
          <w:rFonts w:hint="eastAsia" w:ascii="宋体" w:hAnsi="宋体" w:cs="宋体"/>
          <w:sz w:val="24"/>
        </w:rPr>
        <w:t>指本项目政府采购活动所依托的</w:t>
      </w:r>
      <w:r>
        <w:rPr>
          <w:rFonts w:hint="eastAsia" w:ascii="宋体" w:hAnsi="宋体" w:cs="宋体"/>
          <w:sz w:val="24"/>
          <w:lang w:val="en-US" w:eastAsia="zh-CN"/>
        </w:rPr>
        <w:t>新疆</w:t>
      </w:r>
      <w:r>
        <w:rPr>
          <w:rFonts w:hint="eastAsia" w:ascii="宋体" w:hAnsi="宋体" w:cs="宋体"/>
          <w:sz w:val="24"/>
        </w:rPr>
        <w:t>政府采购云平台（</w:t>
      </w:r>
      <w:r>
        <w:rPr>
          <w:rFonts w:hint="eastAsia" w:ascii="宋体" w:hAnsi="宋体" w:cs="宋体"/>
          <w:sz w:val="24"/>
          <w:lang w:eastAsia="zh-CN"/>
        </w:rPr>
        <w:t>http://www.ccgp-xinjiang.gov.cn/</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系指不适用本项目的要求，“※”系指磋商过程中可能实质性变动的内容。</w:t>
      </w:r>
    </w:p>
    <w:p>
      <w:pPr>
        <w:snapToGrid w:val="0"/>
        <w:spacing w:line="360" w:lineRule="auto"/>
        <w:jc w:val="left"/>
        <w:outlineLvl w:val="1"/>
        <w:rPr>
          <w:rFonts w:hint="eastAsia" w:ascii="宋体" w:hAnsi="宋体" w:cs="宋体"/>
          <w:b/>
          <w:sz w:val="24"/>
        </w:rPr>
      </w:pPr>
      <w:r>
        <w:rPr>
          <w:rFonts w:hint="eastAsia" w:ascii="宋体" w:hAnsi="宋体" w:cs="宋体"/>
          <w:b/>
          <w:sz w:val="24"/>
        </w:rPr>
        <w:t>3. 采购项目需要落实的政府采购政策</w:t>
      </w:r>
    </w:p>
    <w:p>
      <w:pPr>
        <w:snapToGrid w:val="0"/>
        <w:spacing w:line="360" w:lineRule="auto"/>
        <w:ind w:firstLine="480" w:firstLineChars="2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3.2 支持绿色发展</w:t>
      </w:r>
    </w:p>
    <w:p>
      <w:pPr>
        <w:snapToGrid w:val="0"/>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sz w:val="24"/>
        </w:rPr>
        <w:t>采购人拟采购的产品属于政府强制采购的节能产品品目清单范围的，供应商未按采购文件要求提供国家确定的认证机构出具的、处于有效期之内的节能产品认证证书的，响应文件无效。</w:t>
      </w:r>
    </w:p>
    <w:p>
      <w:pPr>
        <w:snapToGrid w:val="0"/>
        <w:spacing w:line="360" w:lineRule="auto"/>
        <w:ind w:firstLine="480" w:firstLineChars="200"/>
        <w:rPr>
          <w:rFonts w:ascii="宋体" w:hAnsi="宋体" w:cs="宋体"/>
          <w:sz w:val="24"/>
        </w:rPr>
      </w:pPr>
      <w:r>
        <w:rPr>
          <w:rFonts w:hint="eastAsia" w:ascii="宋体" w:hAnsi="宋体" w:cs="宋体"/>
          <w:sz w:val="24"/>
        </w:rPr>
        <w:t>3.2.2纳入政府采购管理的修缮、装修类项目采购建材的，鼓励采购单位将绿色建材性能、指标等作为实质性条件纳入采购文件和合同，具体性能指标要求参考相关绿色建材政府采购需求标准。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hint="eastAsia" w:ascii="宋体" w:hAnsi="宋体" w:cs="宋体"/>
          <w:sz w:val="24"/>
          <w:lang w:val="en-US"/>
        </w:rPr>
      </w:pPr>
      <w:r>
        <w:rPr>
          <w:rFonts w:hint="eastAsia" w:ascii="宋体" w:hAnsi="宋体" w:cs="宋体"/>
          <w:sz w:val="24"/>
          <w:lang w:val="en-US"/>
        </w:rPr>
        <w:t>3.2.4 鼓励供应商在参加政府采购过程中开展绿色设计、选择绿色材料、打造绿色制造工艺、开展绿色运输、做好废弃产品回收处理，实现产品全周期的绿色环保。</w:t>
      </w:r>
    </w:p>
    <w:p>
      <w:pPr>
        <w:spacing w:line="360" w:lineRule="auto"/>
        <w:ind w:firstLine="480" w:firstLineChars="200"/>
        <w:rPr>
          <w:rFonts w:hint="eastAsia" w:ascii="宋体" w:hAnsi="宋体" w:cs="宋体"/>
          <w:sz w:val="24"/>
        </w:rPr>
      </w:pPr>
      <w:r>
        <w:rPr>
          <w:rFonts w:hint="eastAsia" w:ascii="宋体" w:hAnsi="宋体" w:cs="宋体"/>
          <w:sz w:val="24"/>
        </w:rPr>
        <w:t>3.3支持中小企业发展</w:t>
      </w:r>
    </w:p>
    <w:p>
      <w:pPr>
        <w:snapToGrid w:val="0"/>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bCs/>
          <w:sz w:val="24"/>
        </w:rPr>
        <w:t>3.3.2</w:t>
      </w:r>
      <w:r>
        <w:rPr>
          <w:rFonts w:hint="eastAsia" w:ascii="宋体" w:hAnsi="宋体" w:cs="宋体"/>
          <w:kern w:val="0"/>
          <w:sz w:val="24"/>
        </w:rPr>
        <w:t>在政府采购活动中，供应商提供的工程符合下列情形的，享受中小企业扶持政策：</w:t>
      </w:r>
      <w:r>
        <w:rPr>
          <w:rFonts w:ascii="宋体" w:hAnsi="宋体" w:cs="宋体"/>
          <w:sz w:val="24"/>
        </w:rPr>
        <w:t>在工程采购项目中，工程由中小企业承建，即工程施工单位为中小企业</w:t>
      </w:r>
      <w:r>
        <w:rPr>
          <w:rFonts w:hint="eastAsia" w:ascii="宋体" w:hAnsi="宋体" w:cs="宋体"/>
          <w:kern w:val="0"/>
          <w:sz w:val="24"/>
        </w:rPr>
        <w:t>。</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snapToGrid w:val="0"/>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3.3.3对于未预留份额专门面向中小企业的政府采购工程项目，以及预留份额政府采购工程项目中的非预留部分标项，对小型和微型企业的最后报价给予</w:t>
      </w:r>
      <w:r>
        <w:rPr>
          <w:rFonts w:hint="eastAsia" w:ascii="宋体" w:hAnsi="宋体" w:cs="宋体"/>
          <w:sz w:val="24"/>
          <w:lang w:val="en-US" w:eastAsia="zh-CN"/>
        </w:rPr>
        <w:t>4</w:t>
      </w:r>
      <w:r>
        <w:rPr>
          <w:rFonts w:hint="eastAsia" w:ascii="宋体" w:hAnsi="宋体" w:cs="宋体"/>
          <w:sz w:val="24"/>
        </w:rPr>
        <w:t>%的扣除，用扣除后的价格参与评审。组成联合体或者接受分包的小微企业与联合体内其他企业、分包企业之间存在直接控股、管理关系的，不享受价格扣除优惠政策。</w:t>
      </w:r>
    </w:p>
    <w:p>
      <w:pPr>
        <w:snapToGrid w:val="0"/>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3.3.4符合《关于促进残疾人就业政府采购政策的通知》（财库〔2017〕141号）规定的条件并提供《残疾人福利性单位声明函》的残疾人福利性单位视同小型、微型企业；</w:t>
      </w:r>
    </w:p>
    <w:p>
      <w:pPr>
        <w:snapToGrid w:val="0"/>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auto"/>
        <w:ind w:firstLine="480" w:firstLineChars="200"/>
        <w:rPr>
          <w:rFonts w:ascii="宋体" w:hAnsi="宋体" w:cs="宋体"/>
          <w:sz w:val="24"/>
        </w:rPr>
      </w:pPr>
      <w:r>
        <w:rPr>
          <w:rFonts w:hint="eastAsia" w:ascii="宋体" w:hAnsi="宋体" w:cs="宋体"/>
          <w:sz w:val="24"/>
        </w:rPr>
        <w:t>3.3.6可享受中小企业扶持政策的供应商应按照采购文件格式要求提供《中小企业声明函》，供应商提供的《中小企业声明函》与实际情况不符的，不享受中小企业扶持政策。声明内容不实的，属于提供虚假材料谋取中标、成交的，依法承担法律责任。</w:t>
      </w:r>
    </w:p>
    <w:p>
      <w:pPr>
        <w:snapToGrid w:val="0"/>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pPr>
        <w:snapToGrid w:val="0"/>
        <w:spacing w:line="360" w:lineRule="auto"/>
        <w:jc w:val="left"/>
        <w:outlineLvl w:val="1"/>
        <w:rPr>
          <w:rFonts w:hint="eastAsia" w:ascii="宋体" w:hAnsi="宋体" w:cs="宋体"/>
          <w:b/>
          <w:sz w:val="24"/>
        </w:rPr>
      </w:pPr>
      <w:r>
        <w:rPr>
          <w:rFonts w:hint="eastAsia" w:ascii="宋体" w:hAnsi="宋体" w:cs="宋体"/>
          <w:b/>
          <w:sz w:val="24"/>
        </w:rPr>
        <w:t>4. 询问、质疑、投诉</w:t>
      </w:r>
    </w:p>
    <w:p>
      <w:pPr>
        <w:pStyle w:val="887"/>
        <w:shd w:val="clear" w:color="auto" w:fill="FFFFFF"/>
        <w:adjustRightInd w:val="0"/>
        <w:snapToGrid w:val="0"/>
        <w:spacing w:before="0" w:beforeAutospacing="0" w:after="0" w:afterAutospacing="0" w:line="360" w:lineRule="auto"/>
        <w:ind w:firstLine="480" w:firstLineChars="200"/>
        <w:contextualSpacing/>
        <w:rPr>
          <w:rFonts w:ascii="宋体" w:hAnsi="宋体" w:cs="宋体"/>
          <w:kern w:val="0"/>
          <w:sz w:val="24"/>
          <w:lang w:val="zh-CN"/>
        </w:rPr>
      </w:pPr>
      <w:r>
        <w:rPr>
          <w:rFonts w:hint="eastAsia"/>
        </w:rPr>
        <w:t>4.1</w:t>
      </w:r>
      <w:r>
        <w:rPr>
          <w:rFonts w:hint="eastAsia" w:ascii="宋体" w:hAnsi="宋体" w:cs="宋体"/>
          <w:kern w:val="0"/>
          <w:sz w:val="24"/>
          <w:lang w:val="zh-CN"/>
        </w:rPr>
        <w:t>供应商询问</w:t>
      </w:r>
    </w:p>
    <w:p>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w:t>
      </w:r>
      <w:r>
        <w:rPr>
          <w:rFonts w:hint="eastAsia" w:ascii="宋体" w:hAnsi="宋体" w:cs="宋体"/>
          <w:kern w:val="0"/>
          <w:sz w:val="24"/>
          <w:lang w:val="en-US" w:eastAsia="zh-CN"/>
        </w:rPr>
        <w:t>2</w:t>
      </w:r>
      <w:r>
        <w:rPr>
          <w:rFonts w:hint="eastAsia" w:ascii="宋体" w:hAnsi="宋体" w:cs="宋体"/>
          <w:kern w:val="0"/>
          <w:sz w:val="24"/>
          <w:lang w:val="zh-CN"/>
        </w:rPr>
        <w:t>供应商质疑</w:t>
      </w:r>
    </w:p>
    <w:p>
      <w:pPr>
        <w:pStyle w:val="34"/>
        <w:snapToGrid w:val="0"/>
        <w:spacing w:line="360" w:lineRule="auto"/>
        <w:ind w:firstLine="480" w:firstLineChars="200"/>
        <w:rPr>
          <w:rFonts w:hAnsi="宋体" w:cs="宋体"/>
          <w:sz w:val="24"/>
        </w:rPr>
      </w:pPr>
      <w:r>
        <w:rPr>
          <w:rFonts w:hint="eastAsia" w:hAnsi="宋体" w:cs="宋体"/>
          <w:kern w:val="0"/>
          <w:sz w:val="24"/>
          <w:lang w:val="zh-CN"/>
        </w:rPr>
        <w:t>4.2</w:t>
      </w:r>
      <w:r>
        <w:rPr>
          <w:rFonts w:hint="eastAsia" w:hAnsi="宋体" w:cs="宋体"/>
          <w:sz w:val="24"/>
        </w:rPr>
        <w:t>.1提出质疑的供应商应当是参与所质疑项目采购活动的供应商。潜在供应商已依法获取其可质疑的采购文件的，可以对该文件提出质疑。</w:t>
      </w:r>
    </w:p>
    <w:p>
      <w:pPr>
        <w:pStyle w:val="34"/>
        <w:snapToGrid w:val="0"/>
        <w:spacing w:line="360" w:lineRule="auto"/>
        <w:ind w:firstLine="480" w:firstLineChars="200"/>
        <w:rPr>
          <w:rFonts w:hAnsi="宋体" w:cs="宋体"/>
          <w:sz w:val="24"/>
        </w:rPr>
      </w:pPr>
      <w:r>
        <w:rPr>
          <w:rFonts w:hint="eastAsia" w:hAnsi="宋体" w:cs="宋体"/>
          <w:kern w:val="0"/>
          <w:sz w:val="24"/>
          <w:lang w:val="zh-CN"/>
        </w:rPr>
        <w:t>4.2</w:t>
      </w:r>
      <w:r>
        <w:rPr>
          <w:rFonts w:hint="eastAsia" w:hAnsi="宋体" w:cs="宋体"/>
          <w:sz w:val="24"/>
        </w:rPr>
        <w:t>.2供应商认为采购文件、采购过程和成交结果使自己的权益受到损害的，可以在知道或者应知其权益受到损害之日起七个工作日内，以书面形式向采购人或者</w:t>
      </w:r>
      <w:r>
        <w:rPr>
          <w:rFonts w:hint="eastAsia" w:hAnsi="宋体" w:cs="宋体"/>
          <w:sz w:val="24"/>
          <w:lang w:eastAsia="zh-CN"/>
        </w:rPr>
        <w:t>采购代理机构</w:t>
      </w:r>
      <w:r>
        <w:rPr>
          <w:rFonts w:hint="eastAsia" w:hAnsi="宋体" w:cs="宋体"/>
          <w:sz w:val="24"/>
        </w:rPr>
        <w:t>提出质疑，否则，采购人或者</w:t>
      </w:r>
      <w:r>
        <w:rPr>
          <w:rFonts w:hint="eastAsia" w:hAnsi="宋体" w:cs="宋体"/>
          <w:sz w:val="24"/>
          <w:lang w:eastAsia="zh-CN"/>
        </w:rPr>
        <w:t>采购代理机构</w:t>
      </w:r>
      <w:r>
        <w:rPr>
          <w:rFonts w:hint="eastAsia" w:hAnsi="宋体" w:cs="宋体"/>
          <w:sz w:val="24"/>
        </w:rPr>
        <w:t>不予受理：</w:t>
      </w:r>
    </w:p>
    <w:p>
      <w:pPr>
        <w:pStyle w:val="6"/>
        <w:spacing w:line="360" w:lineRule="auto"/>
        <w:ind w:firstLine="480" w:firstLineChars="200"/>
        <w:rPr>
          <w:rFonts w:hAnsi="宋体" w:cs="宋体"/>
          <w:snapToGrid/>
          <w:color w:val="auto"/>
          <w:kern w:val="2"/>
          <w:sz w:val="24"/>
        </w:rPr>
      </w:pPr>
      <w:r>
        <w:rPr>
          <w:rFonts w:hint="eastAsia" w:hAnsi="宋体" w:cs="宋体"/>
          <w:snapToGrid/>
          <w:color w:val="auto"/>
          <w:kern w:val="2"/>
          <w:sz w:val="24"/>
          <w:lang w:eastAsia="zh-CN"/>
        </w:rPr>
        <w:t>4.2</w:t>
      </w:r>
      <w:r>
        <w:rPr>
          <w:rFonts w:hint="eastAsia" w:hAnsi="宋体" w:cs="宋体"/>
          <w:snapToGrid/>
          <w:color w:val="auto"/>
          <w:kern w:val="2"/>
          <w:sz w:val="24"/>
        </w:rPr>
        <w:t>.2.1对采购文件提出质疑的，质疑期限为供应商获得采购文件之日或者采购文件公告期限届满之日起计算。</w:t>
      </w:r>
    </w:p>
    <w:p>
      <w:pPr>
        <w:pStyle w:val="34"/>
        <w:snapToGrid w:val="0"/>
        <w:spacing w:line="360" w:lineRule="auto"/>
        <w:ind w:firstLine="480" w:firstLineChars="200"/>
        <w:rPr>
          <w:rFonts w:hAnsi="宋体" w:cs="宋体"/>
          <w:sz w:val="24"/>
        </w:rPr>
      </w:pPr>
      <w:r>
        <w:rPr>
          <w:rFonts w:hint="eastAsia" w:hAnsi="宋体" w:cs="宋体"/>
          <w:sz w:val="24"/>
          <w:lang w:eastAsia="zh-CN"/>
        </w:rPr>
        <w:t>4.2</w:t>
      </w:r>
      <w:r>
        <w:rPr>
          <w:rFonts w:hint="eastAsia" w:hAnsi="宋体" w:cs="宋体"/>
          <w:sz w:val="24"/>
        </w:rPr>
        <w:t>.2.2对采购过程提出质疑的，质疑期限为各采购程序环节结束之日起计算。</w:t>
      </w:r>
    </w:p>
    <w:p>
      <w:pPr>
        <w:pStyle w:val="34"/>
        <w:snapToGrid w:val="0"/>
        <w:spacing w:line="360" w:lineRule="auto"/>
        <w:ind w:firstLine="480" w:firstLineChars="200"/>
        <w:rPr>
          <w:rFonts w:hAnsi="宋体" w:cs="宋体"/>
          <w:sz w:val="24"/>
        </w:rPr>
      </w:pPr>
      <w:r>
        <w:rPr>
          <w:rFonts w:hint="eastAsia" w:hAnsi="宋体" w:cs="宋体"/>
          <w:sz w:val="24"/>
          <w:lang w:eastAsia="zh-CN"/>
        </w:rPr>
        <w:t>4.2</w:t>
      </w:r>
      <w:r>
        <w:rPr>
          <w:rFonts w:hint="eastAsia" w:hAnsi="宋体" w:cs="宋体"/>
          <w:sz w:val="24"/>
        </w:rPr>
        <w:t>.2.3对采购结果提出质疑的，质疑期限自采购结果公告期限届满之日起计算。</w:t>
      </w:r>
    </w:p>
    <w:p>
      <w:pPr>
        <w:pStyle w:val="34"/>
        <w:snapToGrid w:val="0"/>
        <w:spacing w:line="360" w:lineRule="auto"/>
        <w:ind w:firstLine="480" w:firstLineChars="200"/>
        <w:rPr>
          <w:rFonts w:hAnsi="宋体" w:cs="宋体"/>
          <w:kern w:val="0"/>
          <w:sz w:val="24"/>
          <w:lang w:val="zh-CN"/>
        </w:rPr>
      </w:pPr>
      <w:r>
        <w:rPr>
          <w:rFonts w:hint="eastAsia" w:hAnsi="宋体" w:cs="宋体"/>
          <w:kern w:val="0"/>
          <w:sz w:val="24"/>
          <w:lang w:val="zh-CN"/>
        </w:rPr>
        <w:t>4.2.3</w:t>
      </w:r>
      <w:r>
        <w:rPr>
          <w:rFonts w:hint="eastAsia" w:hAnsi="宋体" w:cs="宋体"/>
          <w:sz w:val="24"/>
        </w:rPr>
        <w:t>供应商提出质疑应当提交质疑函和必要的证明材料。质疑函应当包括下列内容：</w:t>
      </w:r>
    </w:p>
    <w:p>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4.2.3.1供应商的姓名或者名称、地址、邮编、联系人及联系电话；</w:t>
      </w:r>
    </w:p>
    <w:p>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4.2.3.2质疑项目的名称、编号；</w:t>
      </w:r>
    </w:p>
    <w:p>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4.2.3.3具体、明确的质疑事项和与质疑事项相关的请求；</w:t>
      </w:r>
    </w:p>
    <w:p>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4.2.3.4事实依据；</w:t>
      </w:r>
    </w:p>
    <w:p>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4.2.3.5必要的法律依据；</w:t>
      </w:r>
    </w:p>
    <w:p>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4.2.3.6提出质疑的日期。</w:t>
      </w:r>
    </w:p>
    <w:p>
      <w:pPr>
        <w:pStyle w:val="887"/>
        <w:shd w:val="clear" w:color="auto" w:fill="FFFFFF"/>
        <w:adjustRightInd w:val="0"/>
        <w:snapToGrid w:val="0"/>
        <w:spacing w:before="0" w:beforeAutospacing="0" w:after="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pPr>
        <w:pStyle w:val="887"/>
        <w:shd w:val="clear" w:color="auto" w:fill="FFFFFF"/>
        <w:adjustRightInd w:val="0"/>
        <w:snapToGrid w:val="0"/>
        <w:spacing w:before="0" w:beforeAutospacing="0" w:after="0" w:afterAutospacing="0" w:line="360" w:lineRule="auto"/>
        <w:ind w:firstLine="480" w:firstLineChars="200"/>
        <w:contextualSpacing/>
      </w:pPr>
      <w:r>
        <w:rPr>
          <w:rFonts w:hint="eastAsia"/>
          <w:lang w:eastAsia="zh-CN"/>
        </w:rPr>
        <w:t>4.2</w:t>
      </w:r>
      <w:r>
        <w:rPr>
          <w:rFonts w:hint="eastAsia"/>
        </w:rPr>
        <w:t>.4对同一采购程序环节的质疑，供应商须在法定质疑期内一次性提出。</w:t>
      </w:r>
    </w:p>
    <w:p>
      <w:pPr>
        <w:pStyle w:val="887"/>
        <w:shd w:val="clear" w:color="auto" w:fill="FFFFFF"/>
        <w:adjustRightInd w:val="0"/>
        <w:snapToGrid w:val="0"/>
        <w:spacing w:before="0" w:beforeAutospacing="0" w:after="0" w:afterAutospacing="0" w:line="360" w:lineRule="auto"/>
        <w:ind w:firstLine="480" w:firstLineChars="200"/>
        <w:contextualSpacing/>
        <w:rPr>
          <w:rFonts w:hint="eastAsia"/>
        </w:rPr>
      </w:pPr>
      <w:r>
        <w:rPr>
          <w:rFonts w:hint="eastAsia"/>
          <w:lang w:val="zh-CN"/>
        </w:rPr>
        <w:t>4.2</w:t>
      </w:r>
      <w:r>
        <w:rPr>
          <w:rFonts w:hint="eastAsia"/>
        </w:rPr>
        <w:t>.5采购人或者</w:t>
      </w:r>
      <w:r>
        <w:rPr>
          <w:rFonts w:hint="eastAsia"/>
          <w:lang w:eastAsia="zh-CN"/>
        </w:rPr>
        <w:t>采购代理机构</w:t>
      </w:r>
      <w:r>
        <w:rPr>
          <w:rFonts w:hint="eastAsia"/>
        </w:rPr>
        <w:t>应当在收到供应商的书面质疑后七个工作日内作出答复，并以书面形式通知质疑供应商和其他与质疑处理结果有利害关系的政府采购当事人，但答复的内容不得涉及商业秘密。</w:t>
      </w:r>
    </w:p>
    <w:p>
      <w:pPr>
        <w:pStyle w:val="887"/>
        <w:shd w:val="clear" w:color="auto" w:fill="FFFFFF"/>
        <w:adjustRightInd w:val="0"/>
        <w:snapToGrid w:val="0"/>
        <w:spacing w:before="0" w:beforeAutospacing="0" w:after="0" w:afterAutospacing="0" w:line="360" w:lineRule="auto"/>
        <w:ind w:firstLine="480" w:firstLineChars="200"/>
        <w:contextualSpacing/>
      </w:pPr>
      <w:r>
        <w:rPr>
          <w:rFonts w:hint="eastAsia"/>
          <w:lang w:val="zh-CN"/>
        </w:rPr>
        <w:t>4.2</w:t>
      </w:r>
      <w:r>
        <w:rPr>
          <w:rFonts w:hint="eastAsia"/>
        </w:rPr>
        <w:t>.6询问或者质疑事项可能影响采购结果的，采购人应当暂停签订合同，已经签订合同的，应当中止履行合同。</w:t>
      </w:r>
    </w:p>
    <w:p>
      <w:pPr>
        <w:pStyle w:val="887"/>
        <w:shd w:val="clear" w:color="auto" w:fill="FFFFFF"/>
        <w:adjustRightInd w:val="0"/>
        <w:snapToGrid w:val="0"/>
        <w:spacing w:before="0" w:beforeAutospacing="0" w:after="0" w:afterAutospacing="0" w:line="360" w:lineRule="auto"/>
        <w:ind w:firstLine="480" w:firstLineChars="200"/>
        <w:contextualSpacing/>
        <w:rPr>
          <w:lang w:val="zh-CN"/>
        </w:rPr>
      </w:pPr>
      <w:r>
        <w:rPr>
          <w:rFonts w:hint="eastAsia"/>
          <w:lang w:val="zh-CN"/>
        </w:rPr>
        <w:t>4.3供应商投诉</w:t>
      </w:r>
    </w:p>
    <w:p>
      <w:pPr>
        <w:pStyle w:val="887"/>
        <w:shd w:val="clear" w:color="auto" w:fill="FFFFFF"/>
        <w:adjustRightInd w:val="0"/>
        <w:snapToGrid w:val="0"/>
        <w:spacing w:before="0" w:beforeAutospacing="0" w:after="0" w:afterAutospacing="0" w:line="360" w:lineRule="auto"/>
        <w:ind w:firstLine="480" w:firstLineChars="200"/>
        <w:contextualSpacing/>
      </w:pPr>
      <w:r>
        <w:rPr>
          <w:rFonts w:hint="eastAsia"/>
          <w:lang w:eastAsia="zh-CN"/>
        </w:rPr>
        <w:t>4.3</w:t>
      </w:r>
      <w:r>
        <w:rPr>
          <w:rFonts w:hint="eastAsia"/>
        </w:rPr>
        <w:t>.1质疑供应商对采购人、</w:t>
      </w:r>
      <w:r>
        <w:rPr>
          <w:rFonts w:hint="eastAsia"/>
          <w:lang w:eastAsia="zh-CN"/>
        </w:rPr>
        <w:t>采购代理机构</w:t>
      </w:r>
      <w:r>
        <w:rPr>
          <w:rFonts w:hint="eastAsia"/>
        </w:rPr>
        <w:t>的答复不满意或者采购人、</w:t>
      </w:r>
      <w:r>
        <w:rPr>
          <w:rFonts w:hint="eastAsia"/>
          <w:lang w:eastAsia="zh-CN"/>
        </w:rPr>
        <w:t>采购代理机构</w:t>
      </w:r>
      <w:r>
        <w:rPr>
          <w:rFonts w:hint="eastAsia"/>
        </w:rPr>
        <w:t>未在规定的时间内作出答复的，可以在答复期满后十五个工作日内向同级政府采购监督管理部门提出投诉。</w:t>
      </w:r>
    </w:p>
    <w:p>
      <w:pPr>
        <w:pStyle w:val="887"/>
        <w:shd w:val="clear" w:color="auto" w:fill="FFFFFF"/>
        <w:adjustRightInd w:val="0"/>
        <w:snapToGrid w:val="0"/>
        <w:spacing w:before="0" w:beforeAutospacing="0" w:after="0" w:afterAutospacing="0" w:line="360" w:lineRule="auto"/>
        <w:ind w:firstLine="480" w:firstLineChars="200"/>
        <w:contextualSpacing/>
      </w:pPr>
      <w:r>
        <w:rPr>
          <w:rFonts w:hint="eastAsia"/>
          <w:lang w:eastAsia="zh-CN"/>
        </w:rPr>
        <w:t>4.3</w:t>
      </w:r>
      <w:r>
        <w:rPr>
          <w:rFonts w:hint="eastAsia"/>
        </w:rPr>
        <w:t>.</w:t>
      </w:r>
      <w:r>
        <w:rPr>
          <w:rFonts w:hint="eastAsia"/>
          <w:lang w:val="zh-CN"/>
        </w:rPr>
        <w:t>2</w:t>
      </w:r>
      <w:r>
        <w:rPr>
          <w:rFonts w:hint="eastAsia"/>
        </w:rPr>
        <w:t>供应商投诉的事项不得超出已质疑事项的范围，基于质疑答复内容提出的投诉事项除外。</w:t>
      </w:r>
    </w:p>
    <w:p>
      <w:pPr>
        <w:pStyle w:val="887"/>
        <w:shd w:val="clear" w:color="auto" w:fill="FFFFFF"/>
        <w:adjustRightInd w:val="0"/>
        <w:snapToGrid w:val="0"/>
        <w:spacing w:before="0" w:beforeAutospacing="0" w:after="0" w:afterAutospacing="0" w:line="360" w:lineRule="auto"/>
        <w:ind w:firstLine="480" w:firstLineChars="200"/>
        <w:contextualSpacing/>
      </w:pPr>
      <w:r>
        <w:rPr>
          <w:rFonts w:hint="eastAsia"/>
          <w:lang w:eastAsia="zh-CN"/>
        </w:rPr>
        <w:t>4.3.2</w:t>
      </w:r>
      <w:r>
        <w:rPr>
          <w:rFonts w:hint="eastAsia"/>
        </w:rPr>
        <w:t>供应商投诉应当有明确的请求和必要的证明材料。</w:t>
      </w:r>
    </w:p>
    <w:p>
      <w:pPr>
        <w:pStyle w:val="887"/>
        <w:shd w:val="clear" w:color="auto" w:fill="FFFFFF"/>
        <w:adjustRightInd w:val="0"/>
        <w:snapToGrid w:val="0"/>
        <w:spacing w:before="0" w:beforeAutospacing="0" w:after="0" w:afterAutospacing="0" w:line="360" w:lineRule="auto"/>
        <w:ind w:firstLine="480" w:firstLineChars="200"/>
        <w:contextualSpacing/>
      </w:pPr>
      <w:r>
        <w:rPr>
          <w:rFonts w:hint="eastAsia"/>
          <w:lang w:eastAsia="zh-CN"/>
        </w:rPr>
        <w:t>4.3</w:t>
      </w:r>
      <w:r>
        <w:rPr>
          <w:rFonts w:hint="eastAsia"/>
        </w:rPr>
        <w:t>.4以联合体形式参加政府采购活动的，其投诉应当由组成联合体的所有供应商共同提出。</w:t>
      </w:r>
    </w:p>
    <w:p>
      <w:pPr>
        <w:pStyle w:val="129"/>
        <w:snapToGrid w:val="0"/>
        <w:spacing w:before="0"/>
        <w:ind w:firstLine="360"/>
        <w:rPr>
          <w:rFonts w:ascii="宋体" w:hAnsi="宋体" w:cs="宋体"/>
          <w:sz w:val="18"/>
          <w:szCs w:val="18"/>
        </w:rPr>
      </w:pPr>
    </w:p>
    <w:p>
      <w:pPr>
        <w:snapToGrid w:val="0"/>
        <w:spacing w:line="360" w:lineRule="auto"/>
        <w:jc w:val="center"/>
        <w:outlineLvl w:val="0"/>
        <w:rPr>
          <w:rFonts w:ascii="宋体" w:hAnsi="宋体" w:cs="宋体"/>
          <w:b/>
          <w:sz w:val="32"/>
          <w:szCs w:val="20"/>
        </w:rPr>
      </w:pPr>
      <w:r>
        <w:rPr>
          <w:rFonts w:hint="eastAsia" w:ascii="宋体" w:hAnsi="宋体" w:cs="宋体"/>
          <w:b/>
          <w:sz w:val="32"/>
          <w:szCs w:val="20"/>
        </w:rPr>
        <w:t>二、采购文件的构成、澄清、修改</w:t>
      </w:r>
    </w:p>
    <w:p>
      <w:pPr>
        <w:snapToGrid w:val="0"/>
        <w:spacing w:line="360" w:lineRule="auto"/>
        <w:jc w:val="left"/>
        <w:outlineLvl w:val="1"/>
        <w:rPr>
          <w:rFonts w:hint="eastAsia" w:ascii="宋体" w:hAnsi="宋体" w:cs="宋体"/>
          <w:b/>
          <w:sz w:val="24"/>
        </w:rPr>
      </w:pPr>
      <w:r>
        <w:rPr>
          <w:rFonts w:hint="eastAsia" w:ascii="宋体" w:hAnsi="宋体" w:cs="宋体"/>
          <w:b/>
          <w:sz w:val="24"/>
        </w:rPr>
        <w:t>5．采购文件的构成</w:t>
      </w:r>
    </w:p>
    <w:p>
      <w:pPr>
        <w:pStyle w:val="34"/>
        <w:spacing w:line="360" w:lineRule="auto"/>
        <w:ind w:firstLine="480" w:firstLineChars="200"/>
        <w:rPr>
          <w:rFonts w:hAnsi="宋体" w:cs="宋体"/>
          <w:sz w:val="24"/>
          <w:szCs w:val="24"/>
        </w:rPr>
      </w:pPr>
      <w:r>
        <w:rPr>
          <w:rFonts w:hint="eastAsia" w:hAnsi="宋体" w:cs="宋体"/>
          <w:sz w:val="24"/>
          <w:szCs w:val="24"/>
        </w:rPr>
        <w:t>5.1 采购文件包括下列文件及附件：</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5.1.1竞争性磋商公告；</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5.1.2供应商须知；</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5.1.4评审办法；</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pPr>
        <w:spacing w:line="360" w:lineRule="auto"/>
        <w:ind w:firstLine="960" w:firstLineChars="4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澄清或者修改的内容为采购文件的组成部分</w:t>
      </w:r>
      <w:r>
        <w:rPr>
          <w:rFonts w:hint="eastAsia" w:ascii="宋体" w:hAnsi="宋体" w:cs="宋体"/>
          <w:sz w:val="24"/>
        </w:rPr>
        <w:t>。</w:t>
      </w:r>
    </w:p>
    <w:p>
      <w:pPr>
        <w:snapToGrid w:val="0"/>
        <w:spacing w:line="360" w:lineRule="auto"/>
        <w:jc w:val="left"/>
        <w:outlineLvl w:val="1"/>
        <w:rPr>
          <w:rFonts w:hint="eastAsia" w:ascii="宋体" w:hAnsi="宋体" w:cs="宋体"/>
          <w:b/>
          <w:sz w:val="24"/>
        </w:rPr>
      </w:pPr>
      <w:r>
        <w:rPr>
          <w:rFonts w:hint="eastAsia" w:ascii="宋体" w:hAnsi="宋体" w:cs="宋体"/>
          <w:b/>
          <w:sz w:val="24"/>
        </w:rPr>
        <w:t>6. 采购文件的澄清、修改</w:t>
      </w:r>
    </w:p>
    <w:p>
      <w:pPr>
        <w:pStyle w:val="129"/>
        <w:snapToGrid w:val="0"/>
        <w:spacing w:before="0"/>
        <w:ind w:firstLine="480"/>
        <w:rPr>
          <w:rFonts w:ascii="宋体" w:hAnsi="宋体" w:cs="宋体"/>
        </w:rPr>
      </w:pPr>
      <w:r>
        <w:rPr>
          <w:rFonts w:hint="eastAsia" w:ascii="宋体" w:hAnsi="宋体" w:cs="宋体"/>
        </w:rPr>
        <w:t>6.1已获取采购文件的潜在供应商，若有问题需要澄清，应于响应文件提交（上传）截止时间前，以书面形式向</w:t>
      </w:r>
      <w:r>
        <w:rPr>
          <w:rFonts w:hint="eastAsia" w:ascii="宋体" w:hAnsi="宋体" w:cs="宋体"/>
          <w:lang w:eastAsia="zh-CN"/>
        </w:rPr>
        <w:t>采购代理机构</w:t>
      </w:r>
      <w:r>
        <w:rPr>
          <w:rFonts w:hint="eastAsia" w:ascii="宋体" w:hAnsi="宋体" w:cs="宋体"/>
        </w:rPr>
        <w:t>提出。</w:t>
      </w:r>
    </w:p>
    <w:p>
      <w:pPr>
        <w:pStyle w:val="129"/>
        <w:snapToGrid w:val="0"/>
        <w:spacing w:before="0"/>
        <w:ind w:firstLine="480"/>
        <w:rPr>
          <w:rFonts w:ascii="宋体" w:hAnsi="宋体" w:cs="宋体"/>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对采购文件进行澄清或修改的，将同时通过</w:t>
      </w:r>
      <w:r>
        <w:rPr>
          <w:rFonts w:hint="eastAsia" w:ascii="宋体" w:hAnsi="宋体" w:cs="宋体"/>
          <w:lang w:eastAsia="zh-CN"/>
        </w:rPr>
        <w:t>新疆政府采购网投标客户端</w:t>
      </w:r>
      <w:r>
        <w:rPr>
          <w:rFonts w:hint="eastAsia" w:ascii="宋体" w:hAnsi="宋体" w:cs="宋体"/>
        </w:rPr>
        <w:t>通知已获取采购文件的潜在供应商。依法应当公告的，将按规定公告，同时视情况延长响应文件提交（上传）截止时间和响应文件开启时间。该澄清或者修改的内容为采购文件的组成部分。</w:t>
      </w:r>
    </w:p>
    <w:p>
      <w:pPr>
        <w:pStyle w:val="23"/>
        <w:rPr>
          <w:rFonts w:hAnsi="宋体" w:cs="宋体"/>
          <w:sz w:val="18"/>
          <w:szCs w:val="18"/>
          <w:lang w:val="en-US"/>
        </w:rPr>
      </w:pPr>
    </w:p>
    <w:p>
      <w:pPr>
        <w:snapToGrid w:val="0"/>
        <w:spacing w:line="360" w:lineRule="auto"/>
        <w:jc w:val="center"/>
        <w:outlineLvl w:val="0"/>
        <w:rPr>
          <w:rFonts w:ascii="宋体" w:hAnsi="宋体" w:cs="宋体"/>
          <w:b/>
          <w:sz w:val="32"/>
          <w:szCs w:val="20"/>
        </w:rPr>
      </w:pPr>
      <w:r>
        <w:rPr>
          <w:rFonts w:hint="eastAsia" w:ascii="宋体" w:hAnsi="宋体" w:cs="宋体"/>
          <w:b/>
          <w:sz w:val="32"/>
          <w:szCs w:val="20"/>
        </w:rPr>
        <w:t>三、提交响应文件</w:t>
      </w:r>
    </w:p>
    <w:p>
      <w:pPr>
        <w:snapToGrid w:val="0"/>
        <w:spacing w:line="360" w:lineRule="auto"/>
        <w:jc w:val="left"/>
        <w:outlineLvl w:val="1"/>
        <w:rPr>
          <w:rFonts w:hint="eastAsia" w:ascii="宋体" w:hAnsi="宋体" w:cs="宋体"/>
          <w:b/>
          <w:sz w:val="24"/>
        </w:rPr>
      </w:pPr>
      <w:r>
        <w:rPr>
          <w:rFonts w:hint="eastAsia" w:ascii="宋体" w:hAnsi="宋体" w:cs="宋体"/>
          <w:b/>
          <w:sz w:val="24"/>
        </w:rPr>
        <w:t>7. 采购文件的获取</w:t>
      </w:r>
    </w:p>
    <w:p>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详见竞争性磋商公告中获取采购文件的时间期限、地点、方式。</w:t>
      </w:r>
    </w:p>
    <w:p>
      <w:pPr>
        <w:snapToGrid w:val="0"/>
        <w:spacing w:line="360" w:lineRule="auto"/>
        <w:jc w:val="left"/>
        <w:outlineLvl w:val="1"/>
        <w:rPr>
          <w:rFonts w:hint="eastAsia" w:ascii="宋体" w:hAnsi="宋体" w:cs="宋体"/>
          <w:b/>
          <w:sz w:val="24"/>
        </w:rPr>
      </w:pPr>
      <w:r>
        <w:rPr>
          <w:rFonts w:hint="eastAsia" w:ascii="宋体" w:hAnsi="宋体" w:cs="宋体"/>
          <w:b/>
          <w:sz w:val="24"/>
        </w:rPr>
        <w:t>8.磋商前答疑会或现场考察</w:t>
      </w:r>
    </w:p>
    <w:p>
      <w:pPr>
        <w:pStyle w:val="34"/>
        <w:spacing w:line="360" w:lineRule="auto"/>
        <w:ind w:firstLine="480" w:firstLineChars="200"/>
        <w:rPr>
          <w:rFonts w:hAnsi="宋体" w:cs="宋体"/>
          <w:sz w:val="24"/>
          <w:szCs w:val="24"/>
        </w:rPr>
      </w:pPr>
      <w:r>
        <w:rPr>
          <w:rFonts w:hint="eastAsia" w:hAnsi="宋体" w:cs="宋体"/>
          <w:sz w:val="24"/>
          <w:szCs w:val="24"/>
        </w:rPr>
        <w:t>采购人组织潜在供应商现场考察或者召开磋商前答疑会的，潜在供应商按第二部分供应商须知前附表的规定参加现场考察或者磋商前答疑会。</w:t>
      </w:r>
    </w:p>
    <w:p>
      <w:pPr>
        <w:snapToGrid w:val="0"/>
        <w:spacing w:line="360" w:lineRule="auto"/>
        <w:jc w:val="left"/>
        <w:outlineLvl w:val="1"/>
        <w:rPr>
          <w:rFonts w:hint="eastAsia" w:ascii="宋体" w:hAnsi="宋体" w:cs="宋体"/>
          <w:b/>
          <w:sz w:val="24"/>
        </w:rPr>
      </w:pPr>
      <w:r>
        <w:rPr>
          <w:rFonts w:hint="eastAsia" w:ascii="宋体" w:hAnsi="宋体" w:cs="宋体"/>
          <w:b/>
          <w:sz w:val="24"/>
        </w:rPr>
        <w:t>9.磋商保证金</w:t>
      </w:r>
    </w:p>
    <w:p>
      <w:pPr>
        <w:pStyle w:val="6"/>
        <w:spacing w:line="360" w:lineRule="auto"/>
        <w:ind w:firstLine="470" w:firstLineChars="196"/>
        <w:rPr>
          <w:rFonts w:hAnsi="宋体" w:cs="宋体"/>
          <w:color w:val="auto"/>
          <w:sz w:val="24"/>
        </w:rPr>
      </w:pPr>
      <w:r>
        <w:rPr>
          <w:rFonts w:hint="eastAsia" w:hAnsi="宋体" w:cs="宋体"/>
          <w:color w:val="auto"/>
          <w:sz w:val="24"/>
        </w:rPr>
        <w:t>本项目不需缴纳磋商保证金。</w:t>
      </w:r>
    </w:p>
    <w:p>
      <w:pPr>
        <w:snapToGrid w:val="0"/>
        <w:spacing w:line="360" w:lineRule="auto"/>
        <w:jc w:val="left"/>
        <w:outlineLvl w:val="1"/>
        <w:rPr>
          <w:rFonts w:hint="eastAsia" w:ascii="宋体" w:hAnsi="宋体" w:cs="宋体"/>
          <w:b/>
          <w:sz w:val="24"/>
        </w:rPr>
      </w:pPr>
      <w:r>
        <w:rPr>
          <w:rFonts w:hint="eastAsia" w:ascii="宋体" w:hAnsi="宋体" w:cs="宋体"/>
          <w:b/>
          <w:sz w:val="24"/>
        </w:rPr>
        <w:t>10. 响应文件的语言</w:t>
      </w:r>
    </w:p>
    <w:p>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响应文件及供应商与采购有关的来往通知、函件和文件均应使用中文。</w:t>
      </w:r>
    </w:p>
    <w:p>
      <w:pPr>
        <w:snapToGrid w:val="0"/>
        <w:spacing w:line="360" w:lineRule="auto"/>
        <w:jc w:val="left"/>
        <w:outlineLvl w:val="1"/>
        <w:rPr>
          <w:rFonts w:hint="eastAsia" w:ascii="宋体" w:hAnsi="宋体" w:cs="宋体"/>
          <w:b/>
          <w:sz w:val="24"/>
        </w:rPr>
      </w:pPr>
      <w:r>
        <w:rPr>
          <w:rFonts w:hint="eastAsia" w:ascii="宋体" w:hAnsi="宋体" w:cs="宋体"/>
          <w:b/>
          <w:sz w:val="24"/>
        </w:rPr>
        <w:t>11. 响应文件的组成</w:t>
      </w:r>
    </w:p>
    <w:p>
      <w:pPr>
        <w:snapToGrid w:val="0"/>
        <w:spacing w:line="360" w:lineRule="auto"/>
        <w:ind w:firstLine="480" w:firstLineChars="200"/>
        <w:rPr>
          <w:rFonts w:ascii="宋体" w:hAnsi="宋体" w:cs="宋体"/>
          <w:sz w:val="24"/>
          <w:lang w:val="zh-CN"/>
        </w:rPr>
      </w:pPr>
      <w:r>
        <w:rPr>
          <w:rFonts w:hint="eastAsia" w:ascii="宋体" w:hAnsi="宋体" w:cs="宋体"/>
          <w:sz w:val="24"/>
          <w:lang w:val="zh-CN"/>
        </w:rPr>
        <w:t xml:space="preserve">11.1  </w:t>
      </w:r>
      <w:r>
        <w:rPr>
          <w:rFonts w:hint="eastAsia" w:ascii="宋体" w:hAnsi="宋体" w:cs="宋体"/>
          <w:sz w:val="24"/>
        </w:rPr>
        <w:t>商务技术</w:t>
      </w:r>
      <w:r>
        <w:rPr>
          <w:rFonts w:hint="eastAsia" w:ascii="宋体" w:hAnsi="宋体" w:cs="宋体"/>
          <w:sz w:val="24"/>
          <w:lang w:val="zh-CN"/>
        </w:rPr>
        <w:t>文件：</w:t>
      </w:r>
    </w:p>
    <w:p>
      <w:pPr>
        <w:snapToGrid w:val="0"/>
        <w:spacing w:line="360" w:lineRule="auto"/>
        <w:ind w:firstLine="960" w:firstLineChars="400"/>
        <w:rPr>
          <w:rFonts w:ascii="宋体" w:hAnsi="宋体" w:cs="宋体"/>
          <w:sz w:val="24"/>
        </w:rPr>
      </w:pPr>
      <w:r>
        <w:rPr>
          <w:rFonts w:hint="eastAsia" w:ascii="宋体" w:hAnsi="宋体" w:cs="宋体"/>
          <w:sz w:val="24"/>
          <w:lang w:eastAsia="zh-CN"/>
        </w:rPr>
        <w:t>11.1</w:t>
      </w:r>
      <w:r>
        <w:rPr>
          <w:rFonts w:hint="eastAsia" w:ascii="宋体" w:hAnsi="宋体" w:cs="宋体"/>
          <w:sz w:val="24"/>
        </w:rPr>
        <w:t>.1响应函；</w:t>
      </w:r>
      <w:r>
        <w:rPr>
          <w:rFonts w:hint="eastAsia" w:ascii="宋体" w:hAnsi="宋体" w:cs="宋体"/>
          <w:sz w:val="24"/>
          <w:lang w:val="zh-CN"/>
        </w:rPr>
        <w:t xml:space="preserve"> </w:t>
      </w:r>
    </w:p>
    <w:p>
      <w:pPr>
        <w:snapToGrid w:val="0"/>
        <w:spacing w:line="360" w:lineRule="auto"/>
        <w:ind w:firstLine="960" w:firstLineChars="400"/>
        <w:rPr>
          <w:rFonts w:ascii="宋体" w:hAnsi="宋体" w:cs="宋体"/>
          <w:sz w:val="24"/>
        </w:rPr>
      </w:pPr>
      <w:r>
        <w:rPr>
          <w:rFonts w:hint="eastAsia" w:ascii="宋体" w:hAnsi="宋体" w:cs="宋体"/>
          <w:sz w:val="24"/>
          <w:lang w:eastAsia="zh-CN"/>
        </w:rPr>
        <w:t>11.1</w:t>
      </w:r>
      <w:r>
        <w:rPr>
          <w:rFonts w:hint="eastAsia" w:ascii="宋体" w:hAnsi="宋体" w:cs="宋体"/>
          <w:sz w:val="24"/>
        </w:rPr>
        <w:t>.2授权委托书或法定代表人（单位负责人、自然人本人）身份证明；</w:t>
      </w:r>
    </w:p>
    <w:p>
      <w:pPr>
        <w:snapToGrid w:val="0"/>
        <w:spacing w:line="360" w:lineRule="auto"/>
        <w:ind w:firstLine="960" w:firstLineChars="400"/>
        <w:rPr>
          <w:rFonts w:ascii="宋体" w:hAnsi="宋体" w:cs="宋体"/>
          <w:sz w:val="24"/>
        </w:rPr>
      </w:pPr>
      <w:r>
        <w:rPr>
          <w:rFonts w:hint="eastAsia" w:ascii="宋体" w:hAnsi="宋体" w:cs="宋体"/>
          <w:sz w:val="24"/>
          <w:lang w:eastAsia="zh-CN"/>
        </w:rPr>
        <w:t>11.1</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评审标准相应的商务技术资料；</w:t>
      </w:r>
    </w:p>
    <w:p>
      <w:pPr>
        <w:snapToGrid w:val="0"/>
        <w:spacing w:line="360" w:lineRule="auto"/>
        <w:ind w:firstLine="960" w:firstLineChars="400"/>
        <w:rPr>
          <w:rFonts w:ascii="宋体" w:hAnsi="宋体" w:cs="宋体"/>
          <w:sz w:val="24"/>
        </w:rPr>
      </w:pPr>
      <w:r>
        <w:rPr>
          <w:rFonts w:hint="eastAsia" w:ascii="宋体" w:hAnsi="宋体" w:cs="宋体"/>
          <w:sz w:val="24"/>
          <w:lang w:eastAsia="zh-CN"/>
        </w:rPr>
        <w:t>11.1</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商务技术偏离表；</w:t>
      </w:r>
    </w:p>
    <w:p>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11.1.</w:t>
      </w:r>
      <w:r>
        <w:rPr>
          <w:rFonts w:hint="eastAsia" w:ascii="宋体" w:hAnsi="宋体" w:cs="宋体"/>
          <w:sz w:val="24"/>
          <w:lang w:val="en-US" w:eastAsia="zh-CN"/>
        </w:rPr>
        <w:t>5</w:t>
      </w:r>
      <w:r>
        <w:rPr>
          <w:rFonts w:hint="eastAsia" w:ascii="宋体" w:hAnsi="宋体" w:cs="宋体"/>
          <w:sz w:val="24"/>
          <w:lang w:val="zh-CN"/>
        </w:rPr>
        <w:t>政府采购供应商廉洁自律承诺书；</w:t>
      </w:r>
    </w:p>
    <w:p>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11.2</w:t>
      </w:r>
      <w:r>
        <w:rPr>
          <w:rFonts w:hint="eastAsia" w:ascii="宋体" w:hAnsi="宋体" w:cs="宋体"/>
          <w:b/>
          <w:sz w:val="24"/>
        </w:rPr>
        <w:t>报价文件：</w:t>
      </w:r>
      <w:r>
        <w:rPr>
          <w:rFonts w:hint="eastAsia" w:ascii="宋体" w:hAnsi="宋体" w:cs="宋体"/>
          <w:sz w:val="24"/>
        </w:rPr>
        <w:t xml:space="preserve"> </w:t>
      </w:r>
    </w:p>
    <w:p>
      <w:pPr>
        <w:snapToGrid w:val="0"/>
        <w:spacing w:line="360" w:lineRule="auto"/>
        <w:ind w:firstLine="960" w:firstLineChars="400"/>
        <w:rPr>
          <w:rFonts w:ascii="宋体" w:hAnsi="宋体" w:cs="宋体"/>
          <w:sz w:val="24"/>
        </w:rPr>
      </w:pPr>
      <w:r>
        <w:rPr>
          <w:rFonts w:hint="eastAsia" w:ascii="宋体" w:hAnsi="宋体" w:cs="宋体"/>
          <w:sz w:val="24"/>
          <w:lang w:eastAsia="zh-CN"/>
        </w:rPr>
        <w:t>11.2</w:t>
      </w:r>
      <w:r>
        <w:rPr>
          <w:rFonts w:hint="eastAsia" w:ascii="宋体" w:hAnsi="宋体" w:cs="宋体"/>
          <w:sz w:val="24"/>
        </w:rPr>
        <w:t>.1报价单；</w:t>
      </w:r>
    </w:p>
    <w:p>
      <w:pPr>
        <w:snapToGrid w:val="0"/>
        <w:spacing w:line="360" w:lineRule="auto"/>
        <w:ind w:firstLine="960" w:firstLineChars="400"/>
        <w:rPr>
          <w:rFonts w:ascii="宋体" w:hAnsi="宋体" w:cs="宋体"/>
          <w:sz w:val="24"/>
        </w:rPr>
      </w:pPr>
      <w:r>
        <w:rPr>
          <w:rFonts w:hint="eastAsia" w:ascii="宋体" w:hAnsi="宋体" w:cs="宋体"/>
          <w:sz w:val="24"/>
          <w:lang w:eastAsia="zh-CN"/>
        </w:rPr>
        <w:t>11.2</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中小企业声明函。</w:t>
      </w:r>
    </w:p>
    <w:p>
      <w:pPr>
        <w:spacing w:line="360" w:lineRule="auto"/>
        <w:ind w:firstLine="723" w:firstLineChars="300"/>
        <w:rPr>
          <w:rFonts w:ascii="宋体" w:hAnsi="宋体" w:cs="宋体"/>
          <w:b/>
          <w:sz w:val="24"/>
        </w:rPr>
      </w:pPr>
      <w:r>
        <w:rPr>
          <w:rFonts w:hint="eastAsia" w:ascii="宋体" w:hAnsi="宋体" w:cs="宋体"/>
          <w:b/>
          <w:sz w:val="24"/>
        </w:rPr>
        <w:t>响应文件含有采购人不能接受的附加条件的，响应文件无效；</w:t>
      </w:r>
    </w:p>
    <w:p>
      <w:pPr>
        <w:spacing w:line="360" w:lineRule="auto"/>
        <w:ind w:firstLine="723" w:firstLineChars="300"/>
        <w:rPr>
          <w:rFonts w:ascii="宋体" w:hAnsi="宋体" w:cs="宋体"/>
          <w:b/>
          <w:sz w:val="24"/>
          <w:szCs w:val="21"/>
        </w:rPr>
      </w:pPr>
      <w:r>
        <w:rPr>
          <w:rFonts w:hint="eastAsia" w:ascii="宋体" w:hAnsi="宋体" w:cs="宋体"/>
          <w:b/>
          <w:sz w:val="24"/>
        </w:rPr>
        <w:t>供应商提供虚假材料的，响应文件无效。</w:t>
      </w:r>
    </w:p>
    <w:p>
      <w:pPr>
        <w:snapToGrid w:val="0"/>
        <w:spacing w:line="360" w:lineRule="auto"/>
        <w:jc w:val="left"/>
        <w:outlineLvl w:val="1"/>
        <w:rPr>
          <w:rFonts w:hint="eastAsia" w:ascii="宋体" w:hAnsi="宋体" w:cs="宋体"/>
          <w:b/>
          <w:sz w:val="24"/>
        </w:rPr>
      </w:pPr>
      <w:r>
        <w:rPr>
          <w:rFonts w:hint="eastAsia" w:ascii="宋体" w:hAnsi="宋体" w:cs="宋体"/>
          <w:b/>
          <w:sz w:val="24"/>
        </w:rPr>
        <w:t>12</w:t>
      </w:r>
      <w:r>
        <w:rPr>
          <w:rFonts w:hint="eastAsia" w:ascii="宋体" w:hAnsi="宋体" w:cs="宋体"/>
          <w:b/>
          <w:sz w:val="24"/>
          <w:lang w:val="zh-CN"/>
        </w:rPr>
        <w:t xml:space="preserve">. </w:t>
      </w:r>
      <w:r>
        <w:rPr>
          <w:rFonts w:hint="eastAsia" w:ascii="宋体" w:hAnsi="宋体" w:cs="宋体"/>
          <w:b/>
          <w:sz w:val="24"/>
        </w:rPr>
        <w:t>响应文件的编制</w:t>
      </w:r>
    </w:p>
    <w:p>
      <w:pPr>
        <w:spacing w:line="360" w:lineRule="auto"/>
        <w:ind w:firstLine="480" w:firstLineChars="200"/>
        <w:rPr>
          <w:rFonts w:ascii="宋体" w:hAnsi="宋体" w:cs="宋体"/>
          <w:b/>
          <w:sz w:val="24"/>
        </w:rPr>
      </w:pPr>
      <w:r>
        <w:rPr>
          <w:rFonts w:hint="eastAsia" w:ascii="宋体" w:hAnsi="宋体" w:cs="宋体"/>
          <w:kern w:val="0"/>
          <w:sz w:val="24"/>
          <w:lang w:val="zh-CN"/>
        </w:rPr>
        <w:t>12.1响应文件分为商务技术文件、报价文件两部分。各供应商在编制响应文件时请按照采购文件第六部分规定的格式进行，混乱的编排导致响应文件被误读或磋商小组查找不到有效文件是供应商的风险。</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12.2供应商进行电子投标应</w:t>
      </w:r>
      <w:r>
        <w:rPr>
          <w:rFonts w:hint="eastAsia" w:ascii="宋体" w:hAnsi="宋体" w:cs="宋体"/>
          <w:kern w:val="0"/>
          <w:sz w:val="24"/>
          <w:lang w:val="en-US" w:eastAsia="zh-CN"/>
        </w:rPr>
        <w:t>在“新疆政府采购网投标客户端”完成</w:t>
      </w:r>
      <w:r>
        <w:rPr>
          <w:rFonts w:hint="eastAsia" w:ascii="宋体" w:hAnsi="宋体" w:cs="宋体"/>
          <w:kern w:val="0"/>
          <w:sz w:val="24"/>
          <w:lang w:val="zh-CN"/>
        </w:rPr>
        <w:t>，并按照采购文件和</w:t>
      </w:r>
      <w:r>
        <w:rPr>
          <w:rFonts w:hint="eastAsia" w:ascii="宋体" w:hAnsi="宋体" w:cs="宋体"/>
          <w:kern w:val="0"/>
          <w:sz w:val="24"/>
          <w:lang w:val="en-US" w:eastAsia="zh-CN"/>
        </w:rPr>
        <w:t>投标客户端</w:t>
      </w:r>
      <w:r>
        <w:rPr>
          <w:rFonts w:hint="eastAsia" w:ascii="宋体" w:hAnsi="宋体" w:cs="宋体"/>
          <w:kern w:val="0"/>
          <w:sz w:val="24"/>
          <w:lang w:val="zh-CN"/>
        </w:rPr>
        <w:t>的要求编制并加密响应文件。供应商未按规定加密的响应文件，</w:t>
      </w:r>
      <w:r>
        <w:rPr>
          <w:rFonts w:hint="eastAsia" w:ascii="宋体" w:hAnsi="宋体" w:cs="宋体"/>
          <w:kern w:val="0"/>
          <w:sz w:val="24"/>
          <w:lang w:val="en-US" w:eastAsia="zh-CN"/>
        </w:rPr>
        <w:t>投标客户端</w:t>
      </w:r>
      <w:r>
        <w:rPr>
          <w:rFonts w:hint="eastAsia" w:ascii="宋体" w:hAnsi="宋体" w:cs="宋体"/>
          <w:kern w:val="0"/>
          <w:sz w:val="24"/>
          <w:lang w:val="zh-CN"/>
        </w:rPr>
        <w:t>将拒收并提示。</w:t>
      </w:r>
    </w:p>
    <w:p>
      <w:pPr>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12.3使用“新疆政府采购网投标客户端”需要提前申领CA数字证书，申领流程请自行前</w:t>
      </w:r>
      <w:r>
        <w:rPr>
          <w:rFonts w:hint="eastAsia" w:ascii="宋体" w:hAnsi="宋体" w:eastAsia="宋体" w:cs="宋体"/>
          <w:kern w:val="0"/>
          <w:sz w:val="24"/>
          <w:lang w:val="zh-CN"/>
        </w:rPr>
        <w:t>往“</w:t>
      </w:r>
      <w:r>
        <w:rPr>
          <w:rFonts w:hint="eastAsia" w:ascii="宋体" w:hAnsi="宋体" w:eastAsia="宋体" w:cs="宋体"/>
          <w:kern w:val="0"/>
          <w:sz w:val="24"/>
          <w:lang w:val="en-US" w:eastAsia="zh-CN"/>
        </w:rPr>
        <w:t>新疆</w:t>
      </w:r>
      <w:r>
        <w:rPr>
          <w:rFonts w:hint="eastAsia" w:ascii="宋体" w:hAnsi="宋体" w:eastAsia="宋体" w:cs="宋体"/>
          <w:kern w:val="0"/>
          <w:sz w:val="24"/>
          <w:lang w:val="zh-CN"/>
        </w:rPr>
        <w:t>政府采购网&gt; 办事指南 &gt; 投标报价 &gt; CA证书办理操作指南”进行查阅。</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13.响应文件的签署、盖章</w:t>
      </w:r>
    </w:p>
    <w:p>
      <w:pPr>
        <w:pStyle w:val="129"/>
        <w:snapToGrid w:val="0"/>
        <w:spacing w:before="0"/>
        <w:ind w:firstLine="480"/>
        <w:rPr>
          <w:rFonts w:ascii="宋体" w:hAnsi="宋体" w:cs="宋体"/>
          <w:b/>
        </w:rPr>
      </w:pPr>
      <w:r>
        <w:rPr>
          <w:rFonts w:hint="eastAsia" w:ascii="宋体" w:hAnsi="宋体" w:cs="宋体"/>
          <w:szCs w:val="24"/>
        </w:rPr>
        <w:t>13.1响应文件按照采购文件第六部分格式要</w:t>
      </w:r>
      <w:r>
        <w:rPr>
          <w:rFonts w:hint="eastAsia" w:ascii="宋体" w:hAnsi="宋体" w:cs="宋体"/>
        </w:rPr>
        <w:t>求进行签署、盖章。</w:t>
      </w:r>
      <w:r>
        <w:rPr>
          <w:rFonts w:hint="eastAsia" w:ascii="宋体" w:hAnsi="宋体" w:cs="宋体"/>
          <w:b/>
        </w:rPr>
        <w:t>▲供应商的响应文件未按照采购文件要求签署、盖章的，其响应文件无效</w:t>
      </w:r>
      <w:r>
        <w:rPr>
          <w:rFonts w:hint="eastAsia" w:ascii="宋体" w:hAnsi="宋体" w:cs="宋体"/>
          <w:szCs w:val="24"/>
        </w:rPr>
        <w:t>。</w:t>
      </w:r>
    </w:p>
    <w:p>
      <w:pPr>
        <w:pStyle w:val="129"/>
        <w:snapToGrid w:val="0"/>
        <w:spacing w:before="0"/>
        <w:ind w:firstLine="480"/>
        <w:rPr>
          <w:rFonts w:ascii="宋体" w:hAnsi="宋体" w:cs="宋体"/>
        </w:rPr>
      </w:pPr>
      <w:r>
        <w:rPr>
          <w:rFonts w:hint="eastAsia" w:ascii="宋体" w:hAnsi="宋体" w:cs="宋体"/>
        </w:rPr>
        <w:t>13.2为确保网上操作合法、有效和安全，供应商应当在响应文件提交（上传）截止时间前完成在“政府采购云平台”的身份认证，确保在电子投标过程中能够对相关数据电文进行加密和使用电子签名。</w:t>
      </w:r>
    </w:p>
    <w:p>
      <w:pPr>
        <w:pStyle w:val="129"/>
        <w:snapToGrid w:val="0"/>
        <w:spacing w:before="0"/>
        <w:ind w:firstLine="480"/>
        <w:rPr>
          <w:rFonts w:ascii="宋体" w:hAnsi="宋体" w:cs="宋体"/>
          <w:szCs w:val="24"/>
        </w:rPr>
      </w:pPr>
      <w:r>
        <w:rPr>
          <w:rFonts w:hint="eastAsia" w:ascii="宋体" w:hAnsi="宋体" w:cs="宋体"/>
        </w:rPr>
        <w:t>13.3采购文件对响应文件签署、盖章的要求适用于电子签名。</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14. 响应文件的提交、补充、修改、撤回</w:t>
      </w:r>
    </w:p>
    <w:p>
      <w:pPr>
        <w:pStyle w:val="129"/>
        <w:snapToGrid w:val="0"/>
        <w:spacing w:before="0"/>
        <w:ind w:firstLine="480"/>
        <w:rPr>
          <w:rFonts w:ascii="宋体" w:hAnsi="宋体" w:cs="宋体"/>
          <w:szCs w:val="24"/>
        </w:rPr>
      </w:pPr>
      <w:r>
        <w:rPr>
          <w:rFonts w:hint="eastAsia" w:ascii="宋体" w:hAnsi="宋体" w:cs="宋体"/>
          <w:szCs w:val="24"/>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w:t>
      </w:r>
      <w:r>
        <w:rPr>
          <w:rFonts w:hint="eastAsia" w:ascii="宋体" w:hAnsi="宋体" w:cs="宋体"/>
          <w:szCs w:val="24"/>
          <w:lang w:eastAsia="zh-CN"/>
        </w:rPr>
        <w:t>新疆政府采购网投标客户端</w:t>
      </w:r>
      <w:r>
        <w:rPr>
          <w:rFonts w:hint="eastAsia" w:ascii="宋体" w:hAnsi="宋体" w:cs="宋体"/>
          <w:szCs w:val="24"/>
        </w:rPr>
        <w:t>将拒收。</w:t>
      </w:r>
    </w:p>
    <w:p>
      <w:pPr>
        <w:pStyle w:val="129"/>
        <w:snapToGrid w:val="0"/>
        <w:spacing w:before="0"/>
        <w:ind w:firstLine="480"/>
        <w:rPr>
          <w:rFonts w:ascii="宋体" w:hAnsi="宋体" w:cs="宋体"/>
          <w:szCs w:val="24"/>
        </w:rPr>
      </w:pPr>
      <w:r>
        <w:rPr>
          <w:rFonts w:hint="eastAsia" w:ascii="宋体" w:hAnsi="宋体" w:cs="宋体"/>
          <w:szCs w:val="24"/>
        </w:rPr>
        <w:t>14.2</w:t>
      </w:r>
      <w:r>
        <w:rPr>
          <w:rFonts w:hint="eastAsia" w:ascii="宋体" w:hAnsi="宋体" w:cs="宋体"/>
          <w:szCs w:val="24"/>
          <w:lang w:eastAsia="zh-CN"/>
        </w:rPr>
        <w:t>新疆政府采购网投标客户端</w:t>
      </w:r>
      <w:r>
        <w:rPr>
          <w:rFonts w:hint="eastAsia" w:ascii="宋体" w:hAnsi="宋体" w:cs="宋体"/>
          <w:szCs w:val="24"/>
        </w:rPr>
        <w:t>收到响应文件，将妥善保存并即时向供应商发出确认回执通知。在响应文件提交（上传）截止时间前，除供应商补充、修改或者撤回响应文件外，任何单位和个人不得解密或提取响应文件。</w:t>
      </w:r>
    </w:p>
    <w:p>
      <w:pPr>
        <w:pStyle w:val="129"/>
        <w:snapToGrid w:val="0"/>
        <w:spacing w:before="0"/>
        <w:ind w:firstLine="480"/>
        <w:rPr>
          <w:rFonts w:ascii="宋体" w:hAnsi="宋体" w:cs="宋体"/>
          <w:szCs w:val="24"/>
        </w:rPr>
      </w:pPr>
      <w:r>
        <w:rPr>
          <w:rFonts w:hint="eastAsia" w:ascii="宋体" w:hAnsi="宋体" w:cs="宋体"/>
          <w:szCs w:val="24"/>
        </w:rPr>
        <w:t>1</w:t>
      </w:r>
      <w:r>
        <w:rPr>
          <w:rFonts w:hint="eastAsia" w:ascii="宋体" w:hAnsi="宋体" w:cs="宋体"/>
          <w:szCs w:val="24"/>
          <w:lang w:eastAsia="zh-CN"/>
        </w:rPr>
        <w:t>4.2</w:t>
      </w:r>
      <w:r>
        <w:rPr>
          <w:rFonts w:hint="eastAsia" w:ascii="宋体" w:hAnsi="宋体" w:cs="宋体"/>
          <w:szCs w:val="24"/>
        </w:rPr>
        <w:t>采购人、</w:t>
      </w:r>
      <w:r>
        <w:rPr>
          <w:rFonts w:hint="eastAsia" w:ascii="宋体" w:hAnsi="宋体" w:cs="宋体"/>
          <w:szCs w:val="24"/>
          <w:lang w:eastAsia="zh-CN"/>
        </w:rPr>
        <w:t>采购代理机构</w:t>
      </w:r>
      <w:r>
        <w:rPr>
          <w:rFonts w:hint="eastAsia" w:ascii="宋体" w:hAnsi="宋体" w:cs="宋体"/>
          <w:szCs w:val="24"/>
        </w:rPr>
        <w:t>可以视情况延长响应文件提交的截止时间。在上述情况下，</w:t>
      </w:r>
      <w:r>
        <w:rPr>
          <w:rFonts w:hint="eastAsia" w:ascii="宋体" w:hAnsi="宋体" w:cs="宋体"/>
          <w:szCs w:val="24"/>
          <w:lang w:eastAsia="zh-CN"/>
        </w:rPr>
        <w:t>采购代理机构</w:t>
      </w:r>
      <w:r>
        <w:rPr>
          <w:rFonts w:hint="eastAsia" w:ascii="宋体" w:hAnsi="宋体" w:cs="宋体"/>
          <w:szCs w:val="24"/>
        </w:rPr>
        <w:t>与供应商以前在响应文件提交截止时间方面的全部权利、责任和义务，将适用于延长至新的响应文件提交截止时间。</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15.备份响应文件</w:t>
      </w:r>
    </w:p>
    <w:p>
      <w:pPr>
        <w:pStyle w:val="34"/>
        <w:snapToGrid w:val="0"/>
        <w:spacing w:line="360" w:lineRule="auto"/>
        <w:ind w:firstLine="480" w:firstLineChars="200"/>
        <w:rPr>
          <w:rFonts w:hint="default"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不要求提交备份响应文件。</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16.响应文件的无效处理</w:t>
      </w:r>
    </w:p>
    <w:p>
      <w:pPr>
        <w:pStyle w:val="26"/>
        <w:spacing w:line="360" w:lineRule="auto"/>
        <w:ind w:firstLine="360" w:firstLineChars="150"/>
        <w:rPr>
          <w:rFonts w:cs="宋体"/>
          <w:szCs w:val="21"/>
        </w:rPr>
      </w:pPr>
      <w:r>
        <w:rPr>
          <w:rFonts w:hint="eastAsia" w:cs="宋体"/>
          <w:szCs w:val="21"/>
        </w:rPr>
        <w:t>有采购文件第四部分</w:t>
      </w:r>
      <w:r>
        <w:rPr>
          <w:rFonts w:hint="eastAsia" w:cs="宋体"/>
        </w:rPr>
        <w:t>4.2规定</w:t>
      </w:r>
      <w:r>
        <w:rPr>
          <w:rFonts w:hint="eastAsia" w:cs="宋体"/>
          <w:szCs w:val="21"/>
        </w:rPr>
        <w:t>的情形之一的，响应文件无效：</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17.响应文件有效期</w:t>
      </w:r>
    </w:p>
    <w:p>
      <w:pPr>
        <w:spacing w:line="360" w:lineRule="auto"/>
        <w:ind w:firstLine="480" w:firstLineChars="200"/>
        <w:rPr>
          <w:rFonts w:ascii="宋体" w:hAnsi="宋体" w:cs="宋体"/>
          <w:b/>
          <w:sz w:val="24"/>
          <w:szCs w:val="21"/>
        </w:rPr>
      </w:pPr>
      <w:r>
        <w:rPr>
          <w:rFonts w:hint="eastAsia" w:ascii="宋体" w:hAnsi="宋体" w:cs="宋体"/>
          <w:sz w:val="24"/>
          <w:szCs w:val="20"/>
        </w:rPr>
        <w:t>17.1响应文件有效期为从提交响应文件的截止之日起90天。▲</w:t>
      </w:r>
      <w:r>
        <w:rPr>
          <w:rFonts w:hint="eastAsia" w:ascii="宋体" w:hAnsi="宋体" w:cs="宋体"/>
          <w:b/>
          <w:sz w:val="24"/>
          <w:szCs w:val="20"/>
        </w:rPr>
        <w:t>供应商的响应文件中承</w:t>
      </w:r>
      <w:r>
        <w:rPr>
          <w:rFonts w:hint="eastAsia" w:ascii="宋体" w:hAnsi="宋体" w:cs="宋体"/>
          <w:b/>
          <w:sz w:val="24"/>
          <w:szCs w:val="21"/>
        </w:rPr>
        <w:t>诺的响应文件有效期少于采购文件中载明的响应文件有效期的，响应文件无效。</w:t>
      </w:r>
    </w:p>
    <w:p>
      <w:pPr>
        <w:pStyle w:val="129"/>
        <w:spacing w:before="0"/>
        <w:ind w:firstLine="480"/>
        <w:rPr>
          <w:rFonts w:ascii="宋体" w:hAnsi="宋体" w:cs="宋体"/>
        </w:rPr>
      </w:pPr>
      <w:r>
        <w:rPr>
          <w:rFonts w:hint="eastAsia" w:ascii="宋体" w:hAnsi="宋体" w:cs="宋体"/>
        </w:rPr>
        <w:t>17.2响应文件合格投递后，自响应文件提交截止时间起，在响应文件有效期内有效。</w:t>
      </w:r>
    </w:p>
    <w:p>
      <w:pPr>
        <w:pStyle w:val="129"/>
        <w:spacing w:before="0"/>
        <w:ind w:firstLine="480"/>
        <w:rPr>
          <w:rFonts w:ascii="宋体" w:hAnsi="宋体" w:cs="宋体"/>
        </w:rPr>
      </w:pPr>
      <w:r>
        <w:rPr>
          <w:rFonts w:hint="eastAsia" w:ascii="宋体" w:hAnsi="宋体" w:cs="宋体"/>
        </w:rPr>
        <w:t>17.3在原定响应文件有效期满之前，如果出现特殊情况，</w:t>
      </w:r>
      <w:r>
        <w:rPr>
          <w:rFonts w:hint="eastAsia" w:ascii="宋体" w:hAnsi="宋体" w:cs="宋体"/>
          <w:lang w:eastAsia="zh-CN"/>
        </w:rPr>
        <w:t>采购代理机构</w:t>
      </w:r>
      <w:r>
        <w:rPr>
          <w:rFonts w:hint="eastAsia" w:ascii="宋体" w:hAnsi="宋体" w:cs="宋体"/>
        </w:rPr>
        <w:t>可以以书面形式通知供应商延长响应文件有效期。供应商同意延长的，不得要求或被允许修改其响应文件，供应商拒绝延长的，其响应文件无效。</w:t>
      </w:r>
    </w:p>
    <w:p>
      <w:pPr>
        <w:pStyle w:val="129"/>
        <w:spacing w:before="0"/>
        <w:ind w:firstLine="643"/>
        <w:rPr>
          <w:rFonts w:ascii="宋体" w:hAnsi="宋体" w:cs="宋体"/>
          <w:b/>
          <w:sz w:val="32"/>
        </w:rPr>
      </w:pPr>
    </w:p>
    <w:p>
      <w:pPr>
        <w:snapToGrid w:val="0"/>
        <w:spacing w:line="360" w:lineRule="auto"/>
        <w:jc w:val="center"/>
        <w:outlineLvl w:val="0"/>
        <w:rPr>
          <w:rFonts w:ascii="宋体" w:hAnsi="宋体" w:cs="宋体"/>
          <w:b/>
          <w:sz w:val="32"/>
          <w:szCs w:val="20"/>
        </w:rPr>
      </w:pPr>
      <w:r>
        <w:rPr>
          <w:rFonts w:hint="eastAsia" w:ascii="宋体" w:hAnsi="宋体" w:cs="宋体"/>
          <w:b/>
          <w:sz w:val="32"/>
          <w:szCs w:val="20"/>
        </w:rPr>
        <w:t>四、响应文件开启、资格审查与信用信息查询</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 xml:space="preserve">18.响应文件开启 </w:t>
      </w:r>
    </w:p>
    <w:p>
      <w:pPr>
        <w:pStyle w:val="555"/>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按照采购文件规定的时间通过</w:t>
      </w:r>
      <w:r>
        <w:rPr>
          <w:rFonts w:hint="eastAsia" w:ascii="宋体" w:hAnsi="宋体" w:cs="宋体"/>
          <w:sz w:val="24"/>
          <w:lang w:eastAsia="zh-CN"/>
        </w:rPr>
        <w:t>新疆政府采购网投标客户端</w:t>
      </w:r>
      <w:r>
        <w:rPr>
          <w:rFonts w:hint="eastAsia" w:ascii="宋体" w:hAnsi="宋体" w:cs="宋体"/>
          <w:sz w:val="24"/>
        </w:rPr>
        <w:t>组织响应文件开启，所有供应商均应当准时在线参加。供应商不足3家的，不得开启。</w:t>
      </w:r>
    </w:p>
    <w:p>
      <w:pPr>
        <w:pStyle w:val="555"/>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18.2响应文件开启时，</w:t>
      </w:r>
      <w:r>
        <w:rPr>
          <w:rFonts w:hint="eastAsia" w:ascii="宋体" w:hAnsi="宋体" w:cs="宋体"/>
          <w:sz w:val="24"/>
          <w:lang w:eastAsia="zh-CN"/>
        </w:rPr>
        <w:t>新疆政府采购网投标客户端</w:t>
      </w:r>
      <w:r>
        <w:rPr>
          <w:rFonts w:hint="eastAsia" w:ascii="宋体" w:hAnsi="宋体" w:cs="宋体"/>
          <w:sz w:val="24"/>
        </w:rPr>
        <w:t>按响应文件开启时间自动提取所有响应文件。</w:t>
      </w:r>
      <w:r>
        <w:rPr>
          <w:rFonts w:hint="eastAsia" w:ascii="宋体" w:hAnsi="宋体" w:cs="宋体"/>
          <w:sz w:val="24"/>
          <w:lang w:eastAsia="zh-CN"/>
        </w:rPr>
        <w:t>采购代理机构</w:t>
      </w:r>
      <w:r>
        <w:rPr>
          <w:rFonts w:hint="eastAsia" w:ascii="宋体" w:hAnsi="宋体" w:cs="宋体"/>
          <w:sz w:val="24"/>
        </w:rPr>
        <w:t>依托</w:t>
      </w:r>
      <w:r>
        <w:rPr>
          <w:rFonts w:hint="eastAsia" w:ascii="宋体" w:hAnsi="宋体" w:cs="宋体"/>
          <w:sz w:val="24"/>
          <w:lang w:eastAsia="zh-CN"/>
        </w:rPr>
        <w:t>新疆政府采购网投标客户端</w:t>
      </w:r>
      <w:r>
        <w:rPr>
          <w:rFonts w:hint="eastAsia" w:ascii="宋体" w:hAnsi="宋体" w:cs="宋体"/>
          <w:sz w:val="24"/>
        </w:rPr>
        <w:t>发起开始解密指令，供应商按照平台提示和采购文件的规定在半小时内完成在线解密。</w:t>
      </w:r>
    </w:p>
    <w:p>
      <w:pPr>
        <w:pStyle w:val="555"/>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18.3</w:t>
      </w:r>
      <w:r>
        <w:rPr>
          <w:rFonts w:hint="eastAsia" w:ascii="宋体" w:hAnsi="宋体" w:cs="宋体"/>
          <w:b/>
          <w:bCs/>
          <w:sz w:val="24"/>
        </w:rPr>
        <w:t>响应文件未按时解密，视为响应文件撤回。</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19、资格审查</w:t>
      </w:r>
    </w:p>
    <w:p>
      <w:pPr>
        <w:snapToGrid w:val="0"/>
        <w:spacing w:line="360" w:lineRule="auto"/>
        <w:ind w:firstLine="480" w:firstLineChars="200"/>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w:t>
      </w:r>
      <w:r>
        <w:rPr>
          <w:rFonts w:hint="eastAsia" w:ascii="宋体" w:hAnsi="宋体" w:cs="宋体"/>
          <w:sz w:val="24"/>
          <w:lang w:eastAsia="zh-CN"/>
        </w:rPr>
        <w:t>采购代理机构</w:t>
      </w:r>
      <w:r>
        <w:rPr>
          <w:rFonts w:hint="eastAsia" w:ascii="宋体" w:hAnsi="宋体" w:cs="宋体"/>
          <w:sz w:val="24"/>
        </w:rPr>
        <w:t>或磋商小组依据法律法规和采购文件的规定，对供应商的资格进行审查。</w:t>
      </w:r>
    </w:p>
    <w:p>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供应商未按照采购文件要求提供与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供应商不具备采购文件中规定的资格要求，其响应文件无效。</w:t>
      </w:r>
    </w:p>
    <w:p>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对未通过资格审查的供应商，采购人或</w:t>
      </w:r>
      <w:r>
        <w:rPr>
          <w:rFonts w:hint="eastAsia" w:ascii="宋体" w:hAnsi="宋体" w:cs="宋体"/>
          <w:lang w:eastAsia="zh-CN"/>
        </w:rPr>
        <w:t>采购代理机构</w:t>
      </w:r>
      <w:r>
        <w:rPr>
          <w:rFonts w:hint="eastAsia" w:ascii="宋体" w:hAnsi="宋体" w:cs="宋体"/>
        </w:rPr>
        <w:t>告知其未通过的原因。</w:t>
      </w:r>
    </w:p>
    <w:p>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合格供应商不足3家的，不再评审。</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20、信用信息查询</w:t>
      </w:r>
    </w:p>
    <w:p>
      <w:pPr>
        <w:pStyle w:val="129"/>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kern w:val="0"/>
          <w:szCs w:val="24"/>
          <w:lang w:eastAsia="zh-CN"/>
        </w:rPr>
        <w:t>采购代理机构</w:t>
      </w:r>
      <w:r>
        <w:rPr>
          <w:rFonts w:hint="eastAsia" w:ascii="宋体" w:hAnsi="宋体" w:cs="宋体"/>
          <w:kern w:val="0"/>
          <w:szCs w:val="24"/>
        </w:rPr>
        <w:t>将在资格审查时通过“信用中国”网站(www.creditchina.gov.cn)、中国政府采购网(www.ccgp.gov.cn)渠道查询供应商接受资格审查时的信用记录。</w:t>
      </w:r>
    </w:p>
    <w:p>
      <w:pPr>
        <w:pStyle w:val="129"/>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20.2信用信息查询记录和证据留存的具体方式：现场查询的供应商的信用记录、查询结果经确认后将与采购文件一起存档。</w:t>
      </w:r>
    </w:p>
    <w:p>
      <w:pPr>
        <w:pStyle w:val="129"/>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20.3信用信息的使用规则：经查询列入失信被执行人名单、重大税收违法案件当事人名单、政府采购严重违法失信行为记录名单的供应商将被拒绝参与政府采购活动。</w:t>
      </w:r>
    </w:p>
    <w:p>
      <w:pPr>
        <w:pStyle w:val="129"/>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pPr>
        <w:pStyle w:val="129"/>
        <w:spacing w:before="0"/>
        <w:ind w:firstLine="0" w:firstLineChars="0"/>
        <w:rPr>
          <w:rFonts w:ascii="宋体" w:hAnsi="宋体" w:cs="宋体"/>
          <w:kern w:val="0"/>
          <w:szCs w:val="24"/>
        </w:rPr>
      </w:pPr>
    </w:p>
    <w:p>
      <w:pPr>
        <w:snapToGrid w:val="0"/>
        <w:spacing w:line="360" w:lineRule="auto"/>
        <w:jc w:val="center"/>
        <w:outlineLvl w:val="0"/>
        <w:rPr>
          <w:rFonts w:ascii="宋体" w:hAnsi="宋体" w:cs="宋体"/>
          <w:b/>
          <w:sz w:val="32"/>
          <w:szCs w:val="20"/>
        </w:rPr>
      </w:pPr>
      <w:r>
        <w:rPr>
          <w:rFonts w:hint="eastAsia" w:ascii="宋体" w:hAnsi="宋体" w:cs="宋体"/>
          <w:b/>
          <w:sz w:val="32"/>
          <w:szCs w:val="20"/>
        </w:rPr>
        <w:t>五、评审</w:t>
      </w:r>
    </w:p>
    <w:p>
      <w:pPr>
        <w:spacing w:line="360" w:lineRule="auto"/>
        <w:rPr>
          <w:rFonts w:ascii="宋体" w:hAnsi="宋体" w:cs="宋体"/>
          <w:b/>
          <w:sz w:val="24"/>
        </w:rPr>
      </w:pPr>
      <w:bookmarkStart w:id="18"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sz w:val="24"/>
        </w:rPr>
        <w:t>详见采购文件第四部分评审办法。</w:t>
      </w:r>
    </w:p>
    <w:p>
      <w:pPr>
        <w:spacing w:line="360" w:lineRule="auto"/>
        <w:rPr>
          <w:rFonts w:ascii="宋体" w:hAnsi="宋体" w:cs="宋体"/>
          <w:b/>
          <w:sz w:val="24"/>
        </w:rPr>
      </w:pPr>
    </w:p>
    <w:p>
      <w:pPr>
        <w:snapToGrid w:val="0"/>
        <w:spacing w:line="360" w:lineRule="auto"/>
        <w:jc w:val="center"/>
        <w:outlineLvl w:val="0"/>
        <w:rPr>
          <w:rFonts w:ascii="宋体" w:hAnsi="宋体" w:cs="宋体"/>
          <w:b/>
          <w:sz w:val="32"/>
          <w:szCs w:val="20"/>
        </w:rPr>
      </w:pPr>
      <w:r>
        <w:rPr>
          <w:rFonts w:hint="eastAsia" w:ascii="宋体" w:hAnsi="宋体" w:cs="宋体"/>
          <w:b/>
          <w:sz w:val="32"/>
          <w:szCs w:val="20"/>
        </w:rPr>
        <w:t>六、成交供应商确定</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22. 确定成交供应商</w:t>
      </w:r>
    </w:p>
    <w:p>
      <w:pPr>
        <w:pStyle w:val="129"/>
        <w:snapToGrid w:val="0"/>
        <w:spacing w:before="0"/>
        <w:ind w:firstLine="480"/>
        <w:rPr>
          <w:rFonts w:ascii="宋体" w:hAnsi="宋体" w:cs="宋体"/>
          <w:b/>
          <w:szCs w:val="24"/>
        </w:rPr>
      </w:pPr>
      <w:r>
        <w:rPr>
          <w:rFonts w:hint="eastAsia" w:ascii="宋体" w:hAnsi="宋体" w:cs="宋体"/>
          <w:szCs w:val="24"/>
        </w:rPr>
        <w:t>政府采购项目实行全流程电子化，采购结果确定和结果公告均在线完成。为进一步提升采购结果确定效率，采购代理机构应当依法及时将评审报告送交采购人。采购单位应当自收到评审报告之日起2个工作日内在线确定中标或者成交供应商。中标、成交通知书和中标、成交结果公告应当在规定时间内同时发出。</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23. 成交通知与成交结果公告</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23.1自成交供应商确定之日起1个工作日内，</w:t>
      </w:r>
      <w:r>
        <w:rPr>
          <w:rFonts w:hint="eastAsia" w:ascii="宋体" w:hAnsi="宋体" w:cs="宋体"/>
          <w:sz w:val="24"/>
          <w:lang w:eastAsia="zh-CN"/>
        </w:rPr>
        <w:t>采购代理机构</w:t>
      </w:r>
      <w:r>
        <w:rPr>
          <w:rFonts w:hint="eastAsia" w:ascii="宋体" w:hAnsi="宋体" w:cs="宋体"/>
          <w:sz w:val="24"/>
          <w:lang w:val="en-US" w:eastAsia="zh-CN"/>
        </w:rPr>
        <w:t>向</w:t>
      </w:r>
      <w:r>
        <w:rPr>
          <w:rFonts w:hint="eastAsia" w:ascii="宋体" w:hAnsi="宋体" w:cs="宋体"/>
          <w:sz w:val="24"/>
        </w:rPr>
        <w:t>成交供应商发出成交通知书，同时编制发布采购结果公告。</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23.2成交结果公告内容包括采购人及其委托的</w:t>
      </w:r>
      <w:r>
        <w:rPr>
          <w:rFonts w:hint="eastAsia" w:ascii="宋体" w:hAnsi="宋体" w:cs="宋体"/>
          <w:sz w:val="24"/>
          <w:lang w:eastAsia="zh-CN"/>
        </w:rPr>
        <w:t>采购代理机构</w:t>
      </w:r>
      <w:r>
        <w:rPr>
          <w:rFonts w:hint="eastAsia" w:ascii="宋体" w:hAnsi="宋体" w:cs="宋体"/>
          <w:sz w:val="24"/>
        </w:rPr>
        <w:t>的名称、地址、联系方式，项目名称和项目编号，成交供应商名称、地址和成交金额，主要成交标的的名称、规格型号、数量、单价、服务要求，开标记录、资格审查情况、评审专家抽取规则、符合性审查情况成交结果公告期限以及评审专家名单、评分汇总及明细。</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pPr>
        <w:snapToGrid w:val="0"/>
        <w:spacing w:line="360" w:lineRule="auto"/>
        <w:ind w:left="120" w:leftChars="57" w:firstLine="482" w:firstLineChars="150"/>
        <w:jc w:val="center"/>
        <w:rPr>
          <w:rFonts w:ascii="宋体" w:hAnsi="宋体" w:cs="宋体"/>
          <w:b/>
          <w:sz w:val="32"/>
        </w:rPr>
      </w:pPr>
    </w:p>
    <w:p>
      <w:pPr>
        <w:snapToGrid w:val="0"/>
        <w:spacing w:line="360" w:lineRule="auto"/>
        <w:jc w:val="center"/>
        <w:outlineLvl w:val="0"/>
        <w:rPr>
          <w:rFonts w:ascii="宋体" w:hAnsi="宋体" w:cs="宋体"/>
          <w:b/>
          <w:sz w:val="32"/>
          <w:szCs w:val="20"/>
        </w:rPr>
      </w:pPr>
      <w:r>
        <w:rPr>
          <w:rFonts w:hint="eastAsia" w:ascii="宋体" w:hAnsi="宋体" w:cs="宋体"/>
          <w:b/>
          <w:sz w:val="32"/>
          <w:szCs w:val="20"/>
        </w:rPr>
        <w:t>七、合同授予</w:t>
      </w:r>
    </w:p>
    <w:p>
      <w:pPr>
        <w:pStyle w:val="26"/>
        <w:snapToGrid w:val="0"/>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25. 合同的签订</w:t>
      </w:r>
    </w:p>
    <w:p>
      <w:pPr>
        <w:widowControl/>
        <w:shd w:val="clear" w:color="auto" w:fill="FFFFFF"/>
        <w:snapToGrid w:val="0"/>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采购人与成交供应商应当在成交通知书发出之日起三十日内，按照采购文件确定的事项签订政府采购合同，并在签订之日起2个工作日内将政府采购合同在</w:t>
      </w:r>
      <w:r>
        <w:rPr>
          <w:rFonts w:hint="eastAsia" w:ascii="宋体" w:hAnsi="宋体" w:cs="宋体"/>
          <w:kern w:val="0"/>
          <w:sz w:val="24"/>
          <w:lang w:eastAsia="zh-CN"/>
        </w:rPr>
        <w:t>新疆政府采购网</w:t>
      </w:r>
      <w:r>
        <w:rPr>
          <w:rFonts w:hint="eastAsia" w:ascii="宋体" w:hAnsi="宋体" w:cs="宋体"/>
          <w:kern w:val="0"/>
          <w:sz w:val="24"/>
        </w:rPr>
        <w:t>上公告。除不可抗力等特殊情况外，原则上应当在成交通知书发出之日起</w:t>
      </w:r>
      <w:r>
        <w:rPr>
          <w:rFonts w:hint="eastAsia" w:ascii="宋体" w:hAnsi="宋体" w:cs="宋体"/>
          <w:kern w:val="0"/>
          <w:sz w:val="24"/>
          <w:lang w:val="en-US" w:eastAsia="zh-CN"/>
        </w:rPr>
        <w:t>30</w:t>
      </w:r>
      <w:r>
        <w:rPr>
          <w:rFonts w:hint="eastAsia" w:ascii="宋体" w:hAnsi="宋体" w:cs="宋体"/>
          <w:kern w:val="0"/>
          <w:sz w:val="24"/>
        </w:rPr>
        <w:t>日内，与成交供应商按照采购文件确定的事项签订政府采购合同。</w:t>
      </w:r>
    </w:p>
    <w:p>
      <w:pPr>
        <w:pStyle w:val="129"/>
        <w:snapToGrid w:val="0"/>
        <w:spacing w:before="0"/>
        <w:ind w:firstLine="480"/>
        <w:rPr>
          <w:rFonts w:ascii="宋体" w:hAnsi="宋体" w:cs="宋体"/>
          <w:kern w:val="0"/>
        </w:rPr>
      </w:pPr>
      <w:r>
        <w:rPr>
          <w:rFonts w:hint="eastAsia" w:ascii="宋体" w:hAnsi="宋体" w:cs="宋体"/>
          <w:kern w:val="0"/>
          <w:lang w:val="zh-CN"/>
        </w:rPr>
        <w:t>25.2成交供应商按规定的日期、时间、地点，由法定代表人或其授权代表与采购人代表签订合同。如成交供应商为联合体的，由联合体成员各方法定代表人或其授权代表与采购人代表签订合同。</w:t>
      </w:r>
    </w:p>
    <w:p>
      <w:pPr>
        <w:pStyle w:val="129"/>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pPr>
        <w:pStyle w:val="129"/>
        <w:snapToGrid w:val="0"/>
        <w:spacing w:before="0"/>
        <w:ind w:firstLine="480"/>
        <w:rPr>
          <w:rFonts w:ascii="宋体" w:hAnsi="宋体" w:cs="宋体"/>
        </w:rPr>
      </w:pPr>
      <w:r>
        <w:rPr>
          <w:rFonts w:hint="eastAsia" w:ascii="宋体" w:hAnsi="宋体" w:cs="宋体"/>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pPr>
        <w:pStyle w:val="129"/>
        <w:snapToGrid w:val="0"/>
        <w:spacing w:before="0"/>
        <w:ind w:firstLine="480"/>
        <w:rPr>
          <w:rFonts w:ascii="宋体" w:hAnsi="宋体" w:cs="宋体"/>
        </w:rPr>
      </w:pPr>
      <w:r>
        <w:rPr>
          <w:rFonts w:hint="eastAsia" w:ascii="宋体" w:hAnsi="宋体" w:cs="宋体"/>
        </w:rPr>
        <w:t>25.5采购合同由采购人与成交供应商根据采购文件、响应文件等内容通过政府采购</w:t>
      </w:r>
      <w:r>
        <w:rPr>
          <w:rFonts w:hint="eastAsia" w:ascii="宋体" w:hAnsi="宋体" w:cs="宋体"/>
          <w:lang w:eastAsia="zh-CN"/>
        </w:rPr>
        <w:t>新疆政府采购网投标客户端</w:t>
      </w:r>
      <w:r>
        <w:rPr>
          <w:rFonts w:hint="eastAsia" w:ascii="宋体" w:hAnsi="宋体" w:cs="宋体"/>
        </w:rPr>
        <w:t>在线签订，自动备案。</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rPr>
        <w:t>26. 履约保证金</w:t>
      </w:r>
    </w:p>
    <w:p>
      <w:pPr>
        <w:pStyle w:val="129"/>
        <w:snapToGrid w:val="0"/>
        <w:spacing w:before="0"/>
        <w:ind w:firstLine="480"/>
        <w:rPr>
          <w:rFonts w:hint="eastAsia" w:ascii="宋体" w:hAnsi="宋体" w:eastAsia="宋体" w:cs="宋体"/>
        </w:rPr>
      </w:pPr>
      <w:r>
        <w:rPr>
          <w:rFonts w:hint="eastAsia" w:ascii="宋体" w:hAnsi="宋体" w:eastAsia="宋体" w:cs="宋体"/>
        </w:rPr>
        <w:t>拟签订的合同文本要求成交供应商提交履约保证金的，供应商应当以支票、汇票、本票或者金融机构、担保机构出具的保函等非现金形式提交。</w:t>
      </w:r>
    </w:p>
    <w:p>
      <w:pPr>
        <w:snapToGrid w:val="0"/>
        <w:spacing w:line="360" w:lineRule="auto"/>
        <w:ind w:firstLine="3357" w:firstLineChars="1045"/>
        <w:rPr>
          <w:rFonts w:ascii="宋体" w:hAnsi="宋体" w:cs="宋体"/>
          <w:b/>
          <w:sz w:val="32"/>
        </w:rPr>
      </w:pPr>
    </w:p>
    <w:p>
      <w:pPr>
        <w:snapToGrid w:val="0"/>
        <w:spacing w:line="360" w:lineRule="auto"/>
        <w:jc w:val="center"/>
        <w:outlineLvl w:val="0"/>
        <w:rPr>
          <w:rFonts w:ascii="宋体" w:hAnsi="宋体" w:cs="宋体"/>
          <w:b/>
          <w:sz w:val="32"/>
          <w:szCs w:val="20"/>
        </w:rPr>
      </w:pPr>
      <w:r>
        <w:rPr>
          <w:rFonts w:hint="eastAsia" w:ascii="宋体" w:hAnsi="宋体" w:cs="宋体"/>
          <w:b/>
          <w:sz w:val="32"/>
          <w:szCs w:val="20"/>
        </w:rPr>
        <w:t>八、电子交易活动的中止</w:t>
      </w:r>
    </w:p>
    <w:p>
      <w:pPr>
        <w:snapToGrid w:val="0"/>
        <w:spacing w:line="360" w:lineRule="auto"/>
        <w:jc w:val="left"/>
        <w:outlineLvl w:val="1"/>
        <w:rPr>
          <w:rFonts w:hint="eastAsia" w:ascii="宋体" w:hAnsi="宋体" w:eastAsia="宋体" w:cs="宋体"/>
          <w:b/>
          <w:sz w:val="24"/>
        </w:rPr>
      </w:pPr>
      <w:r>
        <w:rPr>
          <w:rFonts w:hint="eastAsia" w:ascii="宋体" w:hAnsi="宋体" w:eastAsia="宋体" w:cs="宋体"/>
          <w:b/>
          <w:sz w:val="24"/>
          <w:lang w:eastAsia="zh-CN"/>
        </w:rPr>
        <w:t>27.</w:t>
      </w:r>
      <w:r>
        <w:rPr>
          <w:rFonts w:hint="eastAsia" w:ascii="宋体" w:hAnsi="宋体" w:eastAsia="宋体" w:cs="宋体"/>
          <w:b/>
          <w:sz w:val="24"/>
        </w:rPr>
        <w:t xml:space="preserve"> 电子交易活动的中止</w:t>
      </w:r>
    </w:p>
    <w:p>
      <w:pPr>
        <w:pStyle w:val="129"/>
        <w:snapToGrid w:val="0"/>
        <w:spacing w:before="0"/>
        <w:ind w:firstLine="480" w:firstLineChars="200"/>
        <w:rPr>
          <w:rFonts w:ascii="宋体" w:hAnsi="宋体" w:cs="宋体"/>
        </w:rPr>
      </w:pPr>
      <w:r>
        <w:rPr>
          <w:rFonts w:hint="eastAsia" w:ascii="宋体" w:hAnsi="宋体" w:cs="宋体"/>
        </w:rPr>
        <w:t>采购过程中出现以下情形，导致</w:t>
      </w:r>
      <w:r>
        <w:rPr>
          <w:rFonts w:hint="eastAsia" w:ascii="宋体" w:hAnsi="宋体" w:cs="宋体"/>
          <w:lang w:eastAsia="zh-CN"/>
        </w:rPr>
        <w:t>新疆政府采购网投标客户端</w:t>
      </w:r>
      <w:r>
        <w:rPr>
          <w:rFonts w:hint="eastAsia" w:ascii="宋体" w:hAnsi="宋体" w:cs="宋体"/>
        </w:rPr>
        <w:t>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pPr>
        <w:pStyle w:val="129"/>
        <w:snapToGrid w:val="0"/>
        <w:spacing w:before="0"/>
        <w:ind w:firstLine="480"/>
        <w:rPr>
          <w:rFonts w:ascii="宋体" w:hAnsi="宋体" w:cs="宋体"/>
        </w:rPr>
      </w:pPr>
      <w:r>
        <w:rPr>
          <w:rFonts w:hint="eastAsia" w:ascii="宋体" w:hAnsi="宋体" w:cs="宋体"/>
          <w:lang w:eastAsia="zh-CN"/>
        </w:rPr>
        <w:t>27.</w:t>
      </w:r>
      <w:r>
        <w:rPr>
          <w:rFonts w:hint="eastAsia" w:ascii="宋体" w:hAnsi="宋体" w:cs="宋体"/>
        </w:rPr>
        <w:t>1</w:t>
      </w:r>
      <w:r>
        <w:rPr>
          <w:rFonts w:hint="eastAsia" w:ascii="宋体" w:hAnsi="宋体" w:cs="宋体"/>
          <w:lang w:eastAsia="zh-CN"/>
        </w:rPr>
        <w:t>新疆政府采购网投标客户端</w:t>
      </w:r>
      <w:r>
        <w:rPr>
          <w:rFonts w:hint="eastAsia" w:ascii="宋体" w:hAnsi="宋体" w:cs="宋体"/>
        </w:rPr>
        <w:t xml:space="preserve">发生故障而无法登录访问的； </w:t>
      </w:r>
    </w:p>
    <w:p>
      <w:pPr>
        <w:pStyle w:val="129"/>
        <w:snapToGrid w:val="0"/>
        <w:spacing w:before="0"/>
        <w:ind w:firstLine="480"/>
        <w:rPr>
          <w:rFonts w:ascii="宋体" w:hAnsi="宋体" w:cs="宋体"/>
        </w:rPr>
      </w:pPr>
      <w:r>
        <w:rPr>
          <w:rFonts w:hint="eastAsia" w:ascii="宋体" w:hAnsi="宋体" w:cs="宋体"/>
          <w:lang w:eastAsia="zh-CN"/>
        </w:rPr>
        <w:t>27.</w:t>
      </w:r>
      <w:r>
        <w:rPr>
          <w:rFonts w:hint="eastAsia" w:ascii="宋体" w:hAnsi="宋体" w:cs="宋体"/>
        </w:rPr>
        <w:t>2</w:t>
      </w:r>
      <w:r>
        <w:rPr>
          <w:rFonts w:hint="eastAsia" w:ascii="宋体" w:hAnsi="宋体" w:cs="宋体"/>
          <w:lang w:eastAsia="zh-CN"/>
        </w:rPr>
        <w:t>新疆政府采购网投标客户端</w:t>
      </w:r>
      <w:r>
        <w:rPr>
          <w:rFonts w:hint="eastAsia" w:ascii="宋体" w:hAnsi="宋体" w:cs="宋体"/>
        </w:rPr>
        <w:t>应用或数据库出现错误，不能进行正常操作的；</w:t>
      </w:r>
    </w:p>
    <w:p>
      <w:pPr>
        <w:pStyle w:val="129"/>
        <w:snapToGrid w:val="0"/>
        <w:spacing w:before="0"/>
        <w:ind w:firstLine="480"/>
        <w:rPr>
          <w:rFonts w:ascii="宋体" w:hAnsi="宋体" w:cs="宋体"/>
        </w:rPr>
      </w:pPr>
      <w:r>
        <w:rPr>
          <w:rFonts w:hint="eastAsia" w:ascii="宋体" w:hAnsi="宋体" w:cs="宋体"/>
          <w:lang w:eastAsia="zh-CN"/>
        </w:rPr>
        <w:t>27.</w:t>
      </w:r>
      <w:r>
        <w:rPr>
          <w:rFonts w:hint="eastAsia" w:ascii="宋体" w:hAnsi="宋体" w:cs="宋体"/>
        </w:rPr>
        <w:t>3</w:t>
      </w:r>
      <w:r>
        <w:rPr>
          <w:rFonts w:hint="eastAsia" w:ascii="宋体" w:hAnsi="宋体" w:cs="宋体"/>
          <w:lang w:eastAsia="zh-CN"/>
        </w:rPr>
        <w:t>新疆政府采购网投标客户端</w:t>
      </w:r>
      <w:r>
        <w:rPr>
          <w:rFonts w:hint="eastAsia" w:ascii="宋体" w:hAnsi="宋体" w:cs="宋体"/>
        </w:rPr>
        <w:t>发现严重安全漏洞，有潜在泄密危险的；</w:t>
      </w:r>
    </w:p>
    <w:p>
      <w:pPr>
        <w:pStyle w:val="129"/>
        <w:snapToGrid w:val="0"/>
        <w:spacing w:before="0"/>
        <w:ind w:firstLine="480"/>
        <w:rPr>
          <w:rFonts w:ascii="宋体" w:hAnsi="宋体" w:cs="宋体"/>
        </w:rPr>
      </w:pPr>
      <w:r>
        <w:rPr>
          <w:rFonts w:hint="eastAsia" w:ascii="宋体" w:hAnsi="宋体" w:cs="宋体"/>
          <w:lang w:eastAsia="zh-CN"/>
        </w:rPr>
        <w:t>27.</w:t>
      </w:r>
      <w:r>
        <w:rPr>
          <w:rFonts w:hint="eastAsia" w:ascii="宋体" w:hAnsi="宋体" w:cs="宋体"/>
        </w:rPr>
        <w:t xml:space="preserve">4病毒发作导致不能进行正常操作的； </w:t>
      </w:r>
    </w:p>
    <w:p>
      <w:pPr>
        <w:pStyle w:val="129"/>
        <w:snapToGrid w:val="0"/>
        <w:spacing w:before="0"/>
        <w:ind w:firstLine="480"/>
        <w:rPr>
          <w:rFonts w:ascii="宋体" w:hAnsi="宋体" w:cs="宋体"/>
        </w:rPr>
      </w:pPr>
      <w:r>
        <w:rPr>
          <w:rFonts w:hint="eastAsia" w:ascii="宋体" w:hAnsi="宋体" w:cs="宋体"/>
          <w:lang w:eastAsia="zh-CN"/>
        </w:rPr>
        <w:t>27.</w:t>
      </w:r>
      <w:r>
        <w:rPr>
          <w:rFonts w:hint="eastAsia" w:ascii="宋体" w:hAnsi="宋体" w:cs="宋体"/>
        </w:rPr>
        <w:t>5其他无法保证电子交易的公平、公正和安全的情况。</w:t>
      </w:r>
    </w:p>
    <w:p>
      <w:pPr>
        <w:pStyle w:val="129"/>
        <w:snapToGrid w:val="0"/>
        <w:spacing w:before="0"/>
        <w:ind w:firstLine="0" w:firstLineChars="0"/>
        <w:rPr>
          <w:rFonts w:ascii="宋体" w:hAnsi="宋体" w:cs="宋体"/>
        </w:rPr>
      </w:pPr>
      <w:r>
        <w:rPr>
          <w:rFonts w:hint="eastAsia" w:ascii="宋体" w:hAnsi="宋体" w:cs="宋体"/>
        </w:rPr>
        <w:t xml:space="preserve"> 2</w:t>
      </w:r>
      <w:r>
        <w:rPr>
          <w:rFonts w:hint="eastAsia" w:ascii="宋体" w:hAnsi="宋体" w:cs="宋体"/>
          <w:lang w:val="en-US" w:eastAsia="zh-CN"/>
        </w:rPr>
        <w:t>8</w:t>
      </w:r>
      <w:r>
        <w:rPr>
          <w:rFonts w:hint="eastAsia" w:ascii="宋体" w:hAnsi="宋体" w:cs="宋体"/>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sz w:val="24"/>
        </w:rPr>
      </w:pPr>
    </w:p>
    <w:p>
      <w:pPr>
        <w:snapToGrid w:val="0"/>
        <w:spacing w:line="360" w:lineRule="auto"/>
        <w:jc w:val="center"/>
        <w:outlineLvl w:val="0"/>
        <w:rPr>
          <w:rFonts w:ascii="宋体" w:hAnsi="宋体" w:cs="宋体"/>
          <w:b/>
          <w:sz w:val="32"/>
          <w:szCs w:val="20"/>
        </w:rPr>
      </w:pPr>
      <w:r>
        <w:rPr>
          <w:rFonts w:hint="eastAsia" w:ascii="宋体" w:hAnsi="宋体" w:cs="宋体"/>
          <w:b/>
          <w:sz w:val="32"/>
          <w:szCs w:val="20"/>
        </w:rPr>
        <w:t>九、验收</w:t>
      </w:r>
    </w:p>
    <w:p>
      <w:pPr>
        <w:snapToGrid w:val="0"/>
        <w:spacing w:line="360" w:lineRule="auto"/>
        <w:jc w:val="left"/>
        <w:outlineLvl w:val="1"/>
        <w:rPr>
          <w:rFonts w:hint="eastAsia" w:ascii="宋体" w:hAnsi="宋体" w:eastAsia="宋体" w:cs="宋体"/>
          <w:b/>
          <w:sz w:val="24"/>
          <w:lang w:eastAsia="zh-CN"/>
        </w:rPr>
      </w:pPr>
      <w:r>
        <w:rPr>
          <w:rFonts w:hint="eastAsia" w:ascii="宋体" w:hAnsi="宋体" w:eastAsia="宋体" w:cs="宋体"/>
          <w:b/>
          <w:sz w:val="24"/>
          <w:lang w:eastAsia="zh-CN"/>
        </w:rPr>
        <w:t>29.验收</w:t>
      </w:r>
    </w:p>
    <w:p>
      <w:pPr>
        <w:tabs>
          <w:tab w:val="left" w:pos="0"/>
        </w:tabs>
        <w:spacing w:line="360" w:lineRule="auto"/>
        <w:ind w:firstLine="480"/>
        <w:rPr>
          <w:rFonts w:ascii="宋体" w:hAnsi="宋体" w:cs="宋体"/>
          <w:kern w:val="0"/>
          <w:sz w:val="24"/>
        </w:rPr>
      </w:pPr>
      <w:r>
        <w:rPr>
          <w:rFonts w:hint="eastAsia" w:ascii="宋体" w:hAnsi="宋体" w:cs="宋体"/>
          <w:kern w:val="0"/>
          <w:sz w:val="24"/>
          <w:lang w:eastAsia="zh-CN"/>
        </w:rPr>
        <w:t>29.</w:t>
      </w:r>
      <w:r>
        <w:rPr>
          <w:rFonts w:hint="eastAsia" w:ascii="宋体" w:hAnsi="宋体" w:cs="宋体"/>
          <w:kern w:val="0"/>
          <w:sz w:val="24"/>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kern w:val="0"/>
          <w:sz w:val="24"/>
        </w:rPr>
      </w:pPr>
      <w:r>
        <w:rPr>
          <w:rFonts w:hint="eastAsia" w:ascii="宋体" w:hAnsi="宋体" w:cs="宋体"/>
          <w:kern w:val="0"/>
          <w:sz w:val="24"/>
          <w:lang w:eastAsia="zh-CN"/>
        </w:rPr>
        <w:t>29.</w:t>
      </w:r>
      <w:r>
        <w:rPr>
          <w:rFonts w:hint="eastAsia" w:ascii="宋体" w:hAnsi="宋体" w:cs="宋体"/>
          <w:kern w:val="0"/>
          <w:sz w:val="24"/>
        </w:rPr>
        <w:t>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ascii="宋体" w:hAnsi="宋体" w:cs="宋体"/>
          <w:kern w:val="0"/>
          <w:sz w:val="24"/>
        </w:rPr>
      </w:pPr>
      <w:r>
        <w:rPr>
          <w:rFonts w:hint="eastAsia" w:ascii="宋体" w:hAnsi="宋体" w:cs="宋体"/>
          <w:kern w:val="0"/>
          <w:sz w:val="24"/>
          <w:lang w:eastAsia="zh-CN"/>
        </w:rPr>
        <w:t>29.</w:t>
      </w:r>
      <w:r>
        <w:rPr>
          <w:rFonts w:hint="eastAsia" w:ascii="宋体" w:hAnsi="宋体" w:cs="宋体"/>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sz w:val="18"/>
          <w:szCs w:val="18"/>
        </w:rPr>
      </w:pPr>
      <w:r>
        <w:rPr>
          <w:rFonts w:hint="eastAsia" w:ascii="宋体" w:hAnsi="宋体" w:cs="宋体"/>
          <w:kern w:val="0"/>
          <w:sz w:val="24"/>
          <w:lang w:eastAsia="zh-CN"/>
        </w:rPr>
        <w:t>29.</w:t>
      </w:r>
      <w:r>
        <w:rPr>
          <w:rFonts w:hint="eastAsia" w:ascii="宋体" w:hAnsi="宋体" w:cs="宋体"/>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8"/>
    <w:p>
      <w:pPr>
        <w:tabs>
          <w:tab w:val="left" w:pos="0"/>
        </w:tabs>
        <w:spacing w:line="360" w:lineRule="auto"/>
        <w:ind w:firstLine="480"/>
        <w:rPr>
          <w:rFonts w:ascii="宋体" w:hAnsi="宋体" w:cs="宋体"/>
          <w:kern w:val="0"/>
          <w:sz w:val="24"/>
        </w:rPr>
        <w:sectPr>
          <w:headerReference r:id="rId6" w:type="first"/>
          <w:footerReference r:id="rId8" w:type="first"/>
          <w:headerReference r:id="rId5" w:type="default"/>
          <w:footerReference r:id="rId7" w:type="default"/>
          <w:pgSz w:w="11906" w:h="16838"/>
          <w:pgMar w:top="1440" w:right="1080" w:bottom="1440" w:left="1080" w:header="851" w:footer="992" w:gutter="0"/>
          <w:cols w:space="720" w:num="1"/>
          <w:titlePg/>
          <w:docGrid w:linePitch="312" w:charSpace="0"/>
        </w:sectPr>
      </w:pPr>
      <w:bookmarkStart w:id="19" w:name="_Hlt74714665"/>
      <w:bookmarkEnd w:id="19"/>
      <w:bookmarkStart w:id="20" w:name="_Hlt68057669"/>
      <w:bookmarkEnd w:id="20"/>
      <w:bookmarkStart w:id="21" w:name="_Hlt74730295"/>
      <w:bookmarkEnd w:id="21"/>
      <w:bookmarkStart w:id="22" w:name="_Hlt75236290"/>
      <w:bookmarkEnd w:id="22"/>
      <w:bookmarkStart w:id="23" w:name="_Hlt68072998"/>
      <w:bookmarkEnd w:id="23"/>
      <w:bookmarkStart w:id="24" w:name="_Hlt75236011"/>
      <w:bookmarkEnd w:id="24"/>
      <w:bookmarkStart w:id="25" w:name="_Hlt74729768"/>
      <w:bookmarkEnd w:id="25"/>
      <w:bookmarkStart w:id="26" w:name="_Hlt68072990"/>
      <w:bookmarkEnd w:id="26"/>
      <w:bookmarkStart w:id="27" w:name="_Hlt75236101"/>
      <w:bookmarkEnd w:id="27"/>
      <w:bookmarkStart w:id="28" w:name="_Hlt68073093"/>
      <w:bookmarkEnd w:id="28"/>
      <w:bookmarkStart w:id="29" w:name="_Hlt74707468"/>
      <w:bookmarkEnd w:id="29"/>
      <w:bookmarkStart w:id="30" w:name="_Hlt68403820"/>
      <w:bookmarkEnd w:id="30"/>
    </w:p>
    <w:bookmarkEnd w:id="16"/>
    <w:bookmarkEnd w:id="17"/>
    <w:p>
      <w:pPr>
        <w:pStyle w:val="34"/>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Ansi="宋体" w:cs="宋体"/>
          <w:b/>
          <w:snapToGrid/>
          <w:sz w:val="36"/>
          <w:szCs w:val="20"/>
        </w:rPr>
      </w:pPr>
      <w:bookmarkStart w:id="31" w:name="第四部分"/>
      <w:r>
        <w:rPr>
          <w:rFonts w:hint="eastAsia" w:hAnsi="宋体" w:cs="宋体"/>
          <w:b/>
          <w:snapToGrid/>
          <w:sz w:val="36"/>
          <w:szCs w:val="20"/>
        </w:rPr>
        <w:t>第</w:t>
      </w:r>
      <w:r>
        <w:rPr>
          <w:rFonts w:hint="eastAsia" w:hAnsi="宋体" w:cs="宋体"/>
          <w:b/>
          <w:snapToGrid/>
          <w:sz w:val="36"/>
          <w:szCs w:val="20"/>
          <w:lang w:val="en-US" w:eastAsia="zh-CN"/>
        </w:rPr>
        <w:t>三</w:t>
      </w:r>
      <w:r>
        <w:rPr>
          <w:rFonts w:hint="eastAsia" w:hAnsi="宋体" w:cs="宋体"/>
          <w:b/>
          <w:snapToGrid/>
          <w:sz w:val="36"/>
          <w:szCs w:val="20"/>
          <w:lang w:eastAsia="zh-CN"/>
        </w:rPr>
        <w:t>部分</w:t>
      </w:r>
      <w:r>
        <w:rPr>
          <w:rFonts w:hint="eastAsia" w:hAnsi="宋体" w:cs="宋体"/>
          <w:b/>
          <w:snapToGrid/>
          <w:sz w:val="36"/>
          <w:szCs w:val="20"/>
        </w:rPr>
        <w:t xml:space="preserve"> 采购需求</w:t>
      </w:r>
    </w:p>
    <w:p>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outlineLvl w:val="1"/>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一、项目名称、编号及费用</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项目名称：库车市伊西哈拉镇水库以北、多来提巴格村北东G3012北侧等3处历史遗留废弃工矿地整治（二次）</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项目编号：GYZB-AKSDZFZ2023-05（二次）</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项目费用：114.7万元（壹佰壹拾肆万柒仟元整）</w:t>
      </w:r>
    </w:p>
    <w:p>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outlineLvl w:val="1"/>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二、整治区范围和面积</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整治一区位于库车市北西约9.5千米处，紧邻G3012高速公路北侧，中心地理坐标为东经82°57′55.89″、北纬41°47′17.94″，面积约8公顷。</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整治二区位于整治一区北侧约350米处，整治区之间由干渠隔开，面积约2.5公顷。</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整治三区位于库车市北约9.85千米处，距G3012高速公路立交桥北1.74千米处，中心地理坐标为东经82°58′43.50″、北纬41°48′29.31″，面积约37.9公顷。</w:t>
      </w:r>
    </w:p>
    <w:p>
      <w:pPr>
        <w:keepNext w:val="0"/>
        <w:keepLines w:val="0"/>
        <w:pageBreakBefore w:val="0"/>
        <w:widowControl w:val="0"/>
        <w:kinsoku/>
        <w:wordWrap/>
        <w:overflowPunct/>
        <w:topLinePunct w:val="0"/>
        <w:bidi w:val="0"/>
        <w:adjustRightInd w:val="0"/>
        <w:snapToGrid w:val="0"/>
        <w:spacing w:line="560" w:lineRule="exact"/>
        <w:ind w:firstLine="482" w:firstLineChars="200"/>
        <w:textAlignment w:val="auto"/>
        <w:outlineLvl w:val="9"/>
        <w:rPr>
          <w:rFonts w:hint="eastAsia" w:ascii="仿宋" w:hAnsi="仿宋" w:eastAsia="仿宋" w:cs="仿宋"/>
          <w:color w:val="auto"/>
          <w:sz w:val="24"/>
          <w:szCs w:val="22"/>
        </w:rPr>
      </w:pPr>
      <w:r>
        <w:rPr>
          <w:rFonts w:hint="eastAsia" w:ascii="仿宋" w:hAnsi="仿宋" w:eastAsia="仿宋" w:cs="仿宋"/>
          <w:b/>
          <w:color w:val="auto"/>
          <w:sz w:val="24"/>
          <w:szCs w:val="24"/>
          <w:u w:val="single"/>
        </w:rPr>
        <w:t>最终</w:t>
      </w:r>
      <w:r>
        <w:rPr>
          <w:rFonts w:hint="eastAsia" w:ascii="仿宋" w:hAnsi="仿宋" w:eastAsia="仿宋" w:cs="仿宋"/>
          <w:b/>
          <w:color w:val="auto"/>
          <w:sz w:val="24"/>
          <w:szCs w:val="24"/>
          <w:u w:val="single"/>
          <w:lang w:val="en-US" w:eastAsia="zh-CN"/>
        </w:rPr>
        <w:t>整治</w:t>
      </w:r>
      <w:r>
        <w:rPr>
          <w:rFonts w:hint="eastAsia" w:ascii="仿宋" w:hAnsi="仿宋" w:eastAsia="仿宋" w:cs="仿宋"/>
          <w:b/>
          <w:color w:val="auto"/>
          <w:sz w:val="24"/>
          <w:szCs w:val="24"/>
          <w:u w:val="single"/>
        </w:rPr>
        <w:t>区面积以投标单位现场踏勘并与当地自然资源部门沟通后确定的为准</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outlineLvl w:val="1"/>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三、社会经济概况</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库车市辖6乡8镇4个街道222个行政村、51个社区，总面积约1.52万平方千米。全市2020年年末总人口约为60万人，其中：城镇人口占总人口的37.23%。是一个以维吾尔族为主体的多民族聚集区，维吾尔族占总人口的89.46%、汉族占9.86%、其他民族0.68%。2019年，库车市生产总值268.08亿元，比上年增长9.7%。其中第一产业增长6.72%、第二产业增长7.41%、第三产业增长13.84%。</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伊西哈拉镇：农业耕地面积2.4万亩，人均0.8亩；可利用草地面积75.6万亩，林地面积3.3万亩；2020年，农业总产值2.5亿元，比上年增长10%，农业增加值占国内生产总值的23%；粮食作物以小麦、玉米为主；2020年，生产粮食16753.3吨，人均539.9千克，其中小麦9689.9吨，玉米7063.4吨。</w:t>
      </w:r>
    </w:p>
    <w:p>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outlineLvl w:val="1"/>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四、自然地理与地质概况</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（一）地形地貌</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整治区均位于山前冲洪积倾斜平原区，整体地势北高南低，地形平坦开阔。受历史采砂影响，区内露天采坑内呈现坑坑洼洼、高低不平的总体地形，坑内废料、垃圾胡乱堆弃，地形破碎，满目疮痍，地貌形态发生了较大变化，对原有的地质环境造成了较大的破坏。</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（二）气象水文</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整治</w:t>
      </w:r>
      <w:r>
        <w:rPr>
          <w:rFonts w:hint="eastAsia" w:ascii="仿宋" w:hAnsi="仿宋" w:eastAsia="仿宋" w:cs="仿宋"/>
          <w:color w:val="auto"/>
          <w:sz w:val="24"/>
          <w:szCs w:val="24"/>
        </w:rPr>
        <w:t>区属典型的大陆性气候，根据库车市气象站资料，该地区多年平均气温10.7℃，气候比较温和。一般冬、春两季月平均气温最高14.7℃，夏、秋两季月平均气温26℃左右，历年极端最高气温为41.5℃，极端最低气温为-12℃。常年无积雪，多年平均相对湿度43％，四季分明。冬季寒冷，夏季炎热，降水量稀少，空气干燥，蒸发量2111.1毫米。年降水量50～75毫米，相对湿度较南部平原区大，风沙活动较弱。夏季白天日照最长达16小时，冬季白天日照最短也达10小时以上，多年平均的日照数近3000小时。全年无霜期达266天，主导风向为北风，年平均风速为2.6米/秒。</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整治区内地表均无常年性水流，也无泉点出露，夏季降雨形成的暂时性流水，由北向南排泄于戈壁荒漠中消散。</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（三）地层岩性、地质构造</w:t>
      </w:r>
    </w:p>
    <w:p>
      <w:pPr>
        <w:pStyle w:val="6"/>
        <w:keepNext w:val="0"/>
        <w:keepLines w:val="0"/>
        <w:pageBreakBefore w:val="0"/>
        <w:widowControl w:val="0"/>
        <w:kinsoku/>
        <w:wordWrap/>
        <w:overflowPunct/>
        <w:topLinePunct w:val="0"/>
        <w:bidi w:val="0"/>
        <w:snapToGrid w:val="0"/>
        <w:spacing w:line="560" w:lineRule="exact"/>
        <w:ind w:firstLine="560"/>
        <w:textAlignment w:val="auto"/>
        <w:outlineLvl w:val="9"/>
        <w:rPr>
          <w:rFonts w:hint="eastAsia" w:ascii="仿宋" w:hAnsi="仿宋" w:eastAsia="仿宋" w:cs="仿宋"/>
          <w:color w:val="auto"/>
          <w:sz w:val="24"/>
          <w:szCs w:val="24"/>
        </w:rPr>
      </w:pPr>
      <w:bookmarkStart w:id="32" w:name="_Toc355776635"/>
      <w:r>
        <w:rPr>
          <w:rFonts w:hint="eastAsia" w:ascii="仿宋" w:hAnsi="仿宋" w:eastAsia="仿宋" w:cs="仿宋"/>
          <w:color w:val="auto"/>
          <w:sz w:val="24"/>
          <w:szCs w:val="24"/>
        </w:rPr>
        <w:t>1.地层岩性</w:t>
      </w:r>
    </w:p>
    <w:bookmarkEnd w:id="32"/>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整治区出露的地层岩性为碎石，岩性由第四系上更新统-全新统冲洪积层 (</w:t>
      </w:r>
      <w:r>
        <w:rPr>
          <w:rFonts w:hint="eastAsia" w:ascii="仿宋" w:hAnsi="仿宋" w:eastAsia="仿宋" w:cs="仿宋"/>
          <w:color w:val="auto"/>
          <w:sz w:val="24"/>
          <w:szCs w:val="22"/>
        </w:rPr>
        <w:t>Q</w:t>
      </w:r>
      <w:r>
        <w:rPr>
          <w:rFonts w:hint="eastAsia" w:ascii="仿宋" w:hAnsi="仿宋" w:eastAsia="仿宋" w:cs="仿宋"/>
          <w:color w:val="auto"/>
          <w:sz w:val="24"/>
          <w:szCs w:val="22"/>
          <w:vertAlign w:val="subscript"/>
        </w:rPr>
        <w:t>3-4</w:t>
      </w:r>
      <w:r>
        <w:rPr>
          <w:rFonts w:hint="eastAsia" w:ascii="仿宋" w:hAnsi="仿宋" w:eastAsia="仿宋" w:cs="仿宋"/>
          <w:color w:val="auto"/>
          <w:sz w:val="24"/>
          <w:szCs w:val="22"/>
          <w:vertAlign w:val="superscript"/>
        </w:rPr>
        <w:t>apl</w:t>
      </w:r>
      <w:r>
        <w:rPr>
          <w:rFonts w:hint="eastAsia" w:ascii="仿宋" w:hAnsi="仿宋" w:eastAsia="仿宋" w:cs="仿宋"/>
          <w:color w:val="auto"/>
          <w:sz w:val="24"/>
          <w:szCs w:val="24"/>
          <w:lang w:val="en-US" w:eastAsia="zh-CN"/>
        </w:rPr>
        <w:t>)砾石、砂等组成，浅灰色、灰褐色，干燥，稍密，一般粒径2-5厘米，最大可见20厘米，颗粒多呈次圆状，母岩成分主要为砂岩、泥岩岩及石英岩组成，充填物主要为中粗砂及粘性土，骨架颗粒排列无序大部分接触，略有胶结现象。</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2.地质构造</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整治区属于南天山优地槽褶皱带和塔里木凹陷两个二级构造单元。它包括哈尔克山复背斜、库车凹陷、塔北隆起、满加尔凹陷四个三级构造单元。</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根据《中国地震动峰值加速度区划图》，</w:t>
      </w:r>
      <w:r>
        <w:rPr>
          <w:rFonts w:hint="eastAsia" w:ascii="仿宋" w:hAnsi="仿宋" w:eastAsia="仿宋" w:cs="仿宋"/>
          <w:color w:val="auto"/>
          <w:sz w:val="24"/>
          <w:szCs w:val="24"/>
          <w:lang w:val="en-US" w:eastAsia="zh-CN"/>
        </w:rPr>
        <w:t>整治</w:t>
      </w:r>
      <w:r>
        <w:rPr>
          <w:rFonts w:hint="eastAsia" w:ascii="仿宋" w:hAnsi="仿宋" w:eastAsia="仿宋" w:cs="仿宋"/>
          <w:color w:val="auto"/>
          <w:sz w:val="24"/>
          <w:szCs w:val="24"/>
        </w:rPr>
        <w:t>区地震烈度为</w:t>
      </w:r>
      <w:r>
        <w:rPr>
          <w:rFonts w:hint="eastAsia" w:ascii="仿宋" w:hAnsi="仿宋" w:eastAsia="仿宋" w:cs="仿宋"/>
          <w:bCs/>
          <w:color w:val="auto"/>
          <w:sz w:val="24"/>
          <w:szCs w:val="24"/>
        </w:rPr>
        <w:t>Ⅷ</w:t>
      </w:r>
      <w:r>
        <w:rPr>
          <w:rFonts w:hint="eastAsia" w:ascii="仿宋" w:hAnsi="仿宋" w:eastAsia="仿宋" w:cs="仿宋"/>
          <w:color w:val="auto"/>
          <w:sz w:val="24"/>
          <w:szCs w:val="24"/>
        </w:rPr>
        <w:t>度，地震动峰值加速度值为0.</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g，地壳稳定性为</w:t>
      </w:r>
      <w:r>
        <w:rPr>
          <w:rFonts w:hint="eastAsia" w:ascii="仿宋" w:hAnsi="仿宋" w:eastAsia="仿宋" w:cs="仿宋"/>
          <w:color w:val="auto"/>
          <w:sz w:val="24"/>
          <w:szCs w:val="24"/>
          <w:lang w:val="en-US" w:eastAsia="zh-CN"/>
        </w:rPr>
        <w:t>次不稳定区</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（四）水文地质条件</w:t>
      </w:r>
    </w:p>
    <w:p>
      <w:pPr>
        <w:pStyle w:val="965"/>
        <w:keepNext w:val="0"/>
        <w:keepLines w:val="0"/>
        <w:pageBreakBefore w:val="0"/>
        <w:widowControl w:val="0"/>
        <w:kinsoku/>
        <w:wordWrap/>
        <w:overflowPunct/>
        <w:topLinePunct w:val="0"/>
        <w:bidi w:val="0"/>
        <w:adjustRightInd w:val="0"/>
        <w:snapToGrid w:val="0"/>
        <w:spacing w:line="560" w:lineRule="exact"/>
        <w:ind w:firstLine="56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整治区地下水类型为第四系松散岩类孔隙潜水，含水层岩性为圆砾、砂砾石、中粗砂等。地下水水位埋深大于20米，单井涌水量一般大于1000立方米/日，水量丰富，补给充沛。</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（五）工程地质条件</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据整治区出露的地层岩性、岩体硬度、颗粒成分、工程地质特性，将整治区岩土体划分为单层结构碎石土土体。工程地质条件良好，地基承载力特征值fak =200-300千帕。</w:t>
      </w:r>
    </w:p>
    <w:p>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outlineLvl w:val="1"/>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五、主要地质环境问题</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整治区历史上均为砂石料采区，主要由于公路、城市建设，在此无序的开采，形成了采坑及废料堆，致使原始地面高低不平，小型沟、坎、土堆遍地，在地表形成大面积连片的采砂坑及废料堆，露天采坑及周边扰动区域严重破坏了土地及原始地貌形态。</w:t>
      </w:r>
    </w:p>
    <w:p>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outlineLvl w:val="1"/>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六、目标任务</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（一）目标</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通过</w:t>
      </w:r>
      <w:r>
        <w:rPr>
          <w:rFonts w:hint="eastAsia" w:ascii="仿宋" w:hAnsi="仿宋" w:eastAsia="仿宋" w:cs="仿宋"/>
          <w:color w:val="auto"/>
          <w:kern w:val="0"/>
          <w:sz w:val="24"/>
          <w:szCs w:val="24"/>
          <w:lang w:eastAsia="zh-CN"/>
        </w:rPr>
        <w:t>库车市伊西哈拉镇水库以北、多来提巴格村北东G3012北侧等3处历史遗留废弃工矿地整治（二次）</w:t>
      </w:r>
      <w:r>
        <w:rPr>
          <w:rFonts w:hint="eastAsia" w:ascii="仿宋" w:hAnsi="仿宋" w:eastAsia="仿宋" w:cs="仿宋"/>
          <w:color w:val="auto"/>
          <w:kern w:val="0"/>
          <w:sz w:val="24"/>
          <w:szCs w:val="24"/>
        </w:rPr>
        <w:t>项目的实施，改善土地功能，消除露天采砂坑及废料堆对当地建设规划的影响，最大限度地恢复</w:t>
      </w:r>
      <w:r>
        <w:rPr>
          <w:rFonts w:hint="eastAsia" w:ascii="仿宋" w:hAnsi="仿宋" w:eastAsia="仿宋" w:cs="仿宋"/>
          <w:color w:val="auto"/>
          <w:kern w:val="0"/>
          <w:sz w:val="24"/>
          <w:szCs w:val="24"/>
          <w:lang w:eastAsia="zh-CN"/>
        </w:rPr>
        <w:t>整治区</w:t>
      </w:r>
      <w:r>
        <w:rPr>
          <w:rFonts w:hint="eastAsia" w:ascii="仿宋" w:hAnsi="仿宋" w:eastAsia="仿宋" w:cs="仿宋"/>
          <w:color w:val="auto"/>
          <w:kern w:val="0"/>
          <w:sz w:val="24"/>
          <w:szCs w:val="24"/>
        </w:rPr>
        <w:t>的地质环境，治理后使</w:t>
      </w:r>
      <w:r>
        <w:rPr>
          <w:rFonts w:hint="eastAsia" w:ascii="仿宋" w:hAnsi="仿宋" w:eastAsia="仿宋" w:cs="仿宋"/>
          <w:color w:val="auto"/>
          <w:kern w:val="0"/>
          <w:sz w:val="24"/>
          <w:szCs w:val="24"/>
          <w:lang w:eastAsia="zh-CN"/>
        </w:rPr>
        <w:t>整治区</w:t>
      </w:r>
      <w:r>
        <w:rPr>
          <w:rFonts w:hint="eastAsia" w:ascii="仿宋" w:hAnsi="仿宋" w:eastAsia="仿宋" w:cs="仿宋"/>
          <w:color w:val="auto"/>
          <w:kern w:val="0"/>
          <w:sz w:val="24"/>
          <w:szCs w:val="24"/>
        </w:rPr>
        <w:t>与周围地形地貌相协调。</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（二）任务</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1.根据勘查报告和实地踏勘成果及相关规范标准要求编制历史遗留废弃工矿土地整治工程设计和施工组织设计；</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2.按照审批通过的</w:t>
      </w:r>
      <w:r>
        <w:rPr>
          <w:rFonts w:hint="eastAsia" w:ascii="仿宋" w:hAnsi="仿宋" w:eastAsia="仿宋" w:cs="仿宋"/>
          <w:color w:val="auto"/>
          <w:kern w:val="0"/>
          <w:sz w:val="24"/>
          <w:szCs w:val="24"/>
          <w:lang w:val="en-US" w:eastAsia="zh-CN"/>
        </w:rPr>
        <w:t>整治</w:t>
      </w:r>
      <w:r>
        <w:rPr>
          <w:rFonts w:hint="eastAsia" w:ascii="仿宋" w:hAnsi="仿宋" w:eastAsia="仿宋" w:cs="仿宋"/>
          <w:color w:val="auto"/>
          <w:kern w:val="0"/>
          <w:sz w:val="24"/>
          <w:szCs w:val="24"/>
        </w:rPr>
        <w:t>工程设计和施工组织设计，组织历史遗留废弃工矿土地整治工程施工；</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整治</w:t>
      </w:r>
      <w:r>
        <w:rPr>
          <w:rFonts w:hint="eastAsia" w:ascii="仿宋" w:hAnsi="仿宋" w:eastAsia="仿宋" w:cs="仿宋"/>
          <w:color w:val="auto"/>
          <w:kern w:val="0"/>
          <w:sz w:val="24"/>
          <w:szCs w:val="24"/>
        </w:rPr>
        <w:t>工程完工后，制作永久性的</w:t>
      </w:r>
      <w:r>
        <w:rPr>
          <w:rFonts w:hint="eastAsia" w:ascii="仿宋" w:hAnsi="仿宋" w:eastAsia="仿宋" w:cs="仿宋"/>
          <w:color w:val="auto"/>
          <w:kern w:val="0"/>
          <w:sz w:val="24"/>
          <w:szCs w:val="24"/>
          <w:lang w:val="en-US" w:eastAsia="zh-CN"/>
        </w:rPr>
        <w:t>整治</w:t>
      </w:r>
      <w:r>
        <w:rPr>
          <w:rFonts w:hint="eastAsia" w:ascii="仿宋" w:hAnsi="仿宋" w:eastAsia="仿宋" w:cs="仿宋"/>
          <w:color w:val="auto"/>
          <w:kern w:val="0"/>
          <w:sz w:val="24"/>
          <w:szCs w:val="24"/>
        </w:rPr>
        <w:t>工程说明碑。</w:t>
      </w:r>
    </w:p>
    <w:p>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outlineLvl w:val="1"/>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七、主要技术要求</w:t>
      </w:r>
    </w:p>
    <w:p>
      <w:pPr>
        <w:keepNext w:val="0"/>
        <w:keepLines w:val="0"/>
        <w:pageBreakBefore w:val="0"/>
        <w:widowControl w:val="0"/>
        <w:kinsoku/>
        <w:wordWrap/>
        <w:overflowPunct/>
        <w:topLinePunct w:val="0"/>
        <w:bidi w:val="0"/>
        <w:spacing w:line="560" w:lineRule="exact"/>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《工程测量通用规范》（GB 55018-2021）；</w:t>
      </w:r>
    </w:p>
    <w:p>
      <w:pPr>
        <w:keepNext w:val="0"/>
        <w:keepLines w:val="0"/>
        <w:pageBreakBefore w:val="0"/>
        <w:widowControl w:val="0"/>
        <w:kinsoku/>
        <w:wordWrap/>
        <w:overflowPunct/>
        <w:topLinePunct w:val="0"/>
        <w:bidi w:val="0"/>
        <w:adjustRightInd w:val="0"/>
        <w:snapToGrid/>
        <w:spacing w:line="520" w:lineRule="exact"/>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《全球定位系统测量（GPS）规范》（GB／T18314-2009）；</w:t>
      </w:r>
    </w:p>
    <w:p>
      <w:pPr>
        <w:keepNext w:val="0"/>
        <w:keepLines w:val="0"/>
        <w:pageBreakBefore w:val="0"/>
        <w:widowControl w:val="0"/>
        <w:kinsoku/>
        <w:wordWrap/>
        <w:overflowPunct/>
        <w:topLinePunct w:val="0"/>
        <w:bidi w:val="0"/>
        <w:adjustRightInd w:val="0"/>
        <w:snapToGrid/>
        <w:spacing w:line="520" w:lineRule="exact"/>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《土方与爆破工程施工及验收规范》（GB50201-2012）；</w:t>
      </w:r>
    </w:p>
    <w:p>
      <w:pPr>
        <w:keepNext w:val="0"/>
        <w:keepLines w:val="0"/>
        <w:pageBreakBefore w:val="0"/>
        <w:widowControl w:val="0"/>
        <w:kinsoku/>
        <w:wordWrap/>
        <w:overflowPunct/>
        <w:topLinePunct w:val="0"/>
        <w:bidi w:val="0"/>
        <w:adjustRightInd w:val="0"/>
        <w:snapToGrid/>
        <w:spacing w:line="520" w:lineRule="exact"/>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《自治区历史遗留废弃工矿土地整治项目管理办法（试行）》</w:t>
      </w:r>
    </w:p>
    <w:p>
      <w:pPr>
        <w:keepNext w:val="0"/>
        <w:keepLines w:val="0"/>
        <w:pageBreakBefore w:val="0"/>
        <w:widowControl w:val="0"/>
        <w:kinsoku/>
        <w:wordWrap/>
        <w:overflowPunct/>
        <w:topLinePunct w:val="0"/>
        <w:bidi w:val="0"/>
        <w:adjustRightInd w:val="0"/>
        <w:snapToGrid/>
        <w:spacing w:line="520" w:lineRule="exact"/>
        <w:ind w:firstLine="460" w:firstLineChars="192"/>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sz w:val="24"/>
          <w:szCs w:val="24"/>
          <w:lang w:val="en-US" w:eastAsia="zh-CN"/>
        </w:rPr>
        <w:t>《土地开发整理项目预算定额标准》；</w:t>
      </w:r>
    </w:p>
    <w:p>
      <w:pPr>
        <w:keepNext w:val="0"/>
        <w:keepLines w:val="0"/>
        <w:pageBreakBefore w:val="0"/>
        <w:widowControl w:val="0"/>
        <w:kinsoku/>
        <w:wordWrap/>
        <w:overflowPunct/>
        <w:topLinePunct w:val="0"/>
        <w:bidi w:val="0"/>
        <w:adjustRightInd w:val="0"/>
        <w:snapToGrid/>
        <w:spacing w:line="520" w:lineRule="exact"/>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《建设工程质量管理条例》；</w:t>
      </w:r>
    </w:p>
    <w:p>
      <w:pPr>
        <w:keepNext w:val="0"/>
        <w:keepLines w:val="0"/>
        <w:pageBreakBefore w:val="0"/>
        <w:widowControl w:val="0"/>
        <w:kinsoku/>
        <w:wordWrap/>
        <w:overflowPunct/>
        <w:topLinePunct w:val="0"/>
        <w:bidi w:val="0"/>
        <w:adjustRightInd w:val="0"/>
        <w:snapToGrid/>
        <w:spacing w:line="520" w:lineRule="exact"/>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《建设工程安全生产管理条例》；</w:t>
      </w:r>
    </w:p>
    <w:p>
      <w:pPr>
        <w:keepNext w:val="0"/>
        <w:keepLines w:val="0"/>
        <w:pageBreakBefore w:val="0"/>
        <w:widowControl w:val="0"/>
        <w:kinsoku/>
        <w:wordWrap/>
        <w:overflowPunct/>
        <w:topLinePunct w:val="0"/>
        <w:bidi w:val="0"/>
        <w:adjustRightInd w:val="0"/>
        <w:snapToGrid/>
        <w:spacing w:line="520" w:lineRule="exact"/>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《建设项目环境保护管理条例》；</w:t>
      </w:r>
    </w:p>
    <w:p>
      <w:pPr>
        <w:keepNext w:val="0"/>
        <w:keepLines w:val="0"/>
        <w:pageBreakBefore w:val="0"/>
        <w:widowControl w:val="0"/>
        <w:kinsoku/>
        <w:wordWrap/>
        <w:overflowPunct/>
        <w:topLinePunct w:val="0"/>
        <w:bidi w:val="0"/>
        <w:adjustRightInd w:val="0"/>
        <w:snapToGrid/>
        <w:spacing w:line="520" w:lineRule="exact"/>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《建设工程施工质量验收规范》；</w:t>
      </w:r>
    </w:p>
    <w:p>
      <w:pPr>
        <w:keepNext w:val="0"/>
        <w:keepLines w:val="0"/>
        <w:pageBreakBefore w:val="0"/>
        <w:widowControl w:val="0"/>
        <w:kinsoku/>
        <w:wordWrap/>
        <w:overflowPunct/>
        <w:topLinePunct w:val="0"/>
        <w:bidi w:val="0"/>
        <w:adjustRightInd w:val="0"/>
        <w:snapToGrid/>
        <w:spacing w:line="520" w:lineRule="exact"/>
        <w:ind w:firstLine="460" w:firstLineChars="192"/>
        <w:textAlignment w:val="auto"/>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rPr>
        <w:t>施工工地扬尘污染防治须纳入安全生产文明施工管理范畴，建立扬尘控制责任制度，工地必须采取相应的扬尘治理措施工作内容，并将扬尘治理费用列入工程造价；</w:t>
      </w:r>
    </w:p>
    <w:p>
      <w:pPr>
        <w:keepNext w:val="0"/>
        <w:keepLines w:val="0"/>
        <w:pageBreakBefore w:val="0"/>
        <w:widowControl w:val="0"/>
        <w:kinsoku/>
        <w:wordWrap/>
        <w:overflowPunct/>
        <w:topLinePunct w:val="0"/>
        <w:bidi w:val="0"/>
        <w:adjustRightInd w:val="0"/>
        <w:snapToGrid/>
        <w:spacing w:line="520" w:lineRule="exact"/>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其它相关技术规范要求，执行的技术和规范应以项目实施时现行最新技术标准和规范为准。</w:t>
      </w:r>
    </w:p>
    <w:p>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1"/>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八、主要实物工作量</w:t>
      </w:r>
    </w:p>
    <w:p>
      <w:pPr>
        <w:keepNext w:val="0"/>
        <w:keepLines w:val="0"/>
        <w:pageBreakBefore w:val="0"/>
        <w:widowControl w:val="0"/>
        <w:kinsoku/>
        <w:wordWrap/>
        <w:overflowPunct/>
        <w:topLinePunct w:val="0"/>
        <w:bidi w:val="0"/>
        <w:adjustRightInd w:val="0"/>
        <w:snapToGrid/>
        <w:spacing w:line="52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整治区</w:t>
      </w:r>
      <w:r>
        <w:rPr>
          <w:rFonts w:hint="eastAsia" w:ascii="仿宋" w:hAnsi="仿宋" w:eastAsia="仿宋" w:cs="仿宋"/>
          <w:color w:val="auto"/>
          <w:sz w:val="24"/>
          <w:szCs w:val="24"/>
        </w:rPr>
        <w:t>可采取</w:t>
      </w:r>
      <w:r>
        <w:rPr>
          <w:rFonts w:hint="eastAsia" w:ascii="仿宋" w:hAnsi="仿宋" w:eastAsia="仿宋" w:cs="仿宋"/>
          <w:color w:val="auto"/>
          <w:sz w:val="24"/>
          <w:szCs w:val="24"/>
          <w:lang w:val="en-US" w:eastAsia="zh-CN"/>
        </w:rPr>
        <w:t>削高填低</w:t>
      </w:r>
      <w:r>
        <w:rPr>
          <w:rFonts w:hint="eastAsia" w:ascii="仿宋" w:hAnsi="仿宋" w:eastAsia="仿宋" w:cs="仿宋"/>
          <w:color w:val="auto"/>
          <w:sz w:val="24"/>
          <w:szCs w:val="24"/>
        </w:rPr>
        <w:t>及场地平整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播撒草籽</w:t>
      </w:r>
      <w:r>
        <w:rPr>
          <w:rFonts w:hint="eastAsia" w:ascii="仿宋" w:hAnsi="仿宋" w:eastAsia="仿宋" w:cs="仿宋"/>
          <w:color w:val="auto"/>
          <w:sz w:val="24"/>
          <w:szCs w:val="24"/>
        </w:rPr>
        <w:t>等相结合的</w:t>
      </w:r>
      <w:r>
        <w:rPr>
          <w:rFonts w:hint="eastAsia" w:ascii="仿宋" w:hAnsi="仿宋" w:eastAsia="仿宋" w:cs="仿宋"/>
          <w:color w:val="auto"/>
          <w:sz w:val="24"/>
          <w:szCs w:val="24"/>
          <w:lang w:val="en-US" w:eastAsia="zh-CN"/>
        </w:rPr>
        <w:t>整治</w:t>
      </w:r>
      <w:r>
        <w:rPr>
          <w:rFonts w:hint="eastAsia" w:ascii="仿宋" w:hAnsi="仿宋" w:eastAsia="仿宋" w:cs="仿宋"/>
          <w:color w:val="auto"/>
          <w:sz w:val="24"/>
          <w:szCs w:val="24"/>
        </w:rPr>
        <w:t>方式，结合周边地质环境现状，设计合理的回填标高与压实指标，对</w:t>
      </w:r>
      <w:r>
        <w:rPr>
          <w:rFonts w:hint="eastAsia" w:ascii="仿宋" w:hAnsi="仿宋" w:eastAsia="仿宋" w:cs="仿宋"/>
          <w:color w:val="auto"/>
          <w:sz w:val="24"/>
          <w:szCs w:val="24"/>
          <w:lang w:eastAsia="zh-CN"/>
        </w:rPr>
        <w:t>整治区</w:t>
      </w:r>
      <w:r>
        <w:rPr>
          <w:rFonts w:hint="eastAsia" w:ascii="仿宋" w:hAnsi="仿宋" w:eastAsia="仿宋" w:cs="仿宋"/>
          <w:color w:val="auto"/>
          <w:sz w:val="24"/>
          <w:szCs w:val="24"/>
        </w:rPr>
        <w:t>进行</w:t>
      </w:r>
      <w:r>
        <w:rPr>
          <w:rFonts w:hint="eastAsia" w:ascii="仿宋" w:hAnsi="仿宋" w:eastAsia="仿宋" w:cs="仿宋"/>
          <w:color w:val="auto"/>
          <w:sz w:val="24"/>
          <w:szCs w:val="24"/>
          <w:lang w:val="en-US" w:eastAsia="zh-CN"/>
        </w:rPr>
        <w:t>整治</w:t>
      </w:r>
      <w:r>
        <w:rPr>
          <w:rFonts w:hint="eastAsia" w:ascii="仿宋" w:hAnsi="仿宋" w:eastAsia="仿宋" w:cs="仿宋"/>
          <w:color w:val="auto"/>
          <w:sz w:val="24"/>
          <w:szCs w:val="24"/>
        </w:rPr>
        <w:t>恢复。</w:t>
      </w:r>
      <w:r>
        <w:rPr>
          <w:rFonts w:hint="eastAsia" w:ascii="仿宋" w:hAnsi="仿宋" w:eastAsia="仿宋" w:cs="仿宋"/>
          <w:color w:val="auto"/>
          <w:sz w:val="24"/>
          <w:szCs w:val="24"/>
          <w:lang w:eastAsia="zh-CN"/>
        </w:rPr>
        <w:t>整治区</w:t>
      </w:r>
      <w:r>
        <w:rPr>
          <w:rFonts w:hint="eastAsia" w:ascii="仿宋" w:hAnsi="仿宋" w:eastAsia="仿宋" w:cs="仿宋"/>
          <w:color w:val="auto"/>
          <w:sz w:val="24"/>
          <w:szCs w:val="24"/>
        </w:rPr>
        <w:t>面积约</w:t>
      </w:r>
      <w:r>
        <w:rPr>
          <w:rFonts w:hint="eastAsia" w:ascii="仿宋" w:hAnsi="仿宋" w:eastAsia="仿宋" w:cs="仿宋"/>
          <w:color w:val="auto"/>
          <w:sz w:val="24"/>
          <w:szCs w:val="24"/>
          <w:lang w:val="en-US" w:eastAsia="zh-CN"/>
        </w:rPr>
        <w:t>48.4</w:t>
      </w:r>
      <w:r>
        <w:rPr>
          <w:rFonts w:hint="eastAsia" w:ascii="仿宋" w:hAnsi="仿宋" w:eastAsia="仿宋" w:cs="仿宋"/>
          <w:color w:val="auto"/>
          <w:sz w:val="24"/>
          <w:szCs w:val="24"/>
        </w:rPr>
        <w:t>公顷</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bidi w:val="0"/>
        <w:adjustRightInd w:val="0"/>
        <w:snapToGrid/>
        <w:spacing w:line="520" w:lineRule="exact"/>
        <w:ind w:firstLine="482" w:firstLineChars="200"/>
        <w:textAlignment w:val="auto"/>
        <w:outlineLvl w:val="9"/>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rPr>
        <w:t>最终以审批后的</w:t>
      </w:r>
      <w:r>
        <w:rPr>
          <w:rFonts w:hint="eastAsia" w:ascii="仿宋" w:hAnsi="仿宋" w:eastAsia="仿宋" w:cs="仿宋"/>
          <w:b/>
          <w:color w:val="auto"/>
          <w:sz w:val="24"/>
          <w:szCs w:val="24"/>
          <w:u w:val="single"/>
          <w:lang w:val="en-US" w:eastAsia="zh-CN"/>
        </w:rPr>
        <w:t>整治</w:t>
      </w:r>
      <w:r>
        <w:rPr>
          <w:rFonts w:hint="eastAsia" w:ascii="仿宋" w:hAnsi="仿宋" w:eastAsia="仿宋" w:cs="仿宋"/>
          <w:b/>
          <w:color w:val="auto"/>
          <w:sz w:val="24"/>
          <w:szCs w:val="24"/>
          <w:u w:val="single"/>
        </w:rPr>
        <w:t>工程项目设计书中工作量为准。</w:t>
      </w:r>
    </w:p>
    <w:p>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1"/>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九、预期提交成果</w:t>
      </w:r>
    </w:p>
    <w:p>
      <w:pPr>
        <w:keepNext w:val="0"/>
        <w:keepLines w:val="0"/>
        <w:pageBreakBefore w:val="0"/>
        <w:widowControl w:val="0"/>
        <w:kinsoku/>
        <w:wordWrap/>
        <w:overflowPunct/>
        <w:topLinePunct w:val="0"/>
        <w:bidi w:val="0"/>
        <w:adjustRightInd w:val="0"/>
        <w:snapToGrid/>
        <w:spacing w:line="52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sz w:val="24"/>
          <w:szCs w:val="24"/>
          <w:lang w:val="en-US" w:eastAsia="zh-CN"/>
        </w:rPr>
        <w:t>整治</w:t>
      </w:r>
      <w:r>
        <w:rPr>
          <w:rFonts w:hint="eastAsia" w:ascii="仿宋" w:hAnsi="仿宋" w:eastAsia="仿宋" w:cs="仿宋"/>
          <w:color w:val="auto"/>
          <w:sz w:val="24"/>
          <w:szCs w:val="24"/>
        </w:rPr>
        <w:t>工程设计成果</w:t>
      </w:r>
    </w:p>
    <w:p>
      <w:pPr>
        <w:keepNext w:val="0"/>
        <w:keepLines w:val="0"/>
        <w:pageBreakBefore w:val="0"/>
        <w:widowControl w:val="0"/>
        <w:kinsoku/>
        <w:wordWrap/>
        <w:overflowPunct/>
        <w:topLinePunct w:val="0"/>
        <w:bidi w:val="0"/>
        <w:adjustRightInd w:val="0"/>
        <w:snapToGrid/>
        <w:spacing w:line="520" w:lineRule="exact"/>
        <w:ind w:firstLine="480"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库车市伊西哈拉镇水库以北、多来提巴格村北东G3012北侧等3处历史遗留废弃工矿地整治（二次）</w:t>
      </w: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设计书》（施工设计和施工组织设计）；</w:t>
      </w:r>
    </w:p>
    <w:p>
      <w:pPr>
        <w:keepNext w:val="0"/>
        <w:keepLines w:val="0"/>
        <w:pageBreakBefore w:val="0"/>
        <w:widowControl w:val="0"/>
        <w:kinsoku/>
        <w:wordWrap/>
        <w:overflowPunct/>
        <w:topLinePunct w:val="0"/>
        <w:bidi w:val="0"/>
        <w:adjustRightInd w:val="0"/>
        <w:snapToGrid/>
        <w:spacing w:line="520" w:lineRule="exact"/>
        <w:ind w:firstLine="480"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库车市伊西哈拉镇水库以北、多来提巴格村北东G3012北侧等3处历史遗留废弃工矿地整治（二次）</w:t>
      </w: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平面布置图》及各单项治理工程设计大样图。</w:t>
      </w:r>
    </w:p>
    <w:p>
      <w:pPr>
        <w:keepNext w:val="0"/>
        <w:keepLines w:val="0"/>
        <w:pageBreakBefore w:val="0"/>
        <w:widowControl w:val="0"/>
        <w:kinsoku/>
        <w:wordWrap/>
        <w:overflowPunct/>
        <w:topLinePunct w:val="0"/>
        <w:bidi w:val="0"/>
        <w:adjustRightInd w:val="0"/>
        <w:snapToGrid/>
        <w:spacing w:line="52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color w:val="auto"/>
          <w:sz w:val="24"/>
          <w:szCs w:val="24"/>
          <w:lang w:val="en-US" w:eastAsia="zh-CN"/>
        </w:rPr>
        <w:t>整治</w:t>
      </w:r>
      <w:r>
        <w:rPr>
          <w:rFonts w:hint="eastAsia" w:ascii="仿宋" w:hAnsi="仿宋" w:eastAsia="仿宋" w:cs="仿宋"/>
          <w:color w:val="auto"/>
          <w:sz w:val="24"/>
          <w:szCs w:val="24"/>
        </w:rPr>
        <w:t>工程施工成果</w:t>
      </w:r>
    </w:p>
    <w:p>
      <w:pPr>
        <w:pStyle w:val="966"/>
        <w:keepNext w:val="0"/>
        <w:keepLines w:val="0"/>
        <w:pageBreakBefore w:val="0"/>
        <w:widowControl w:val="0"/>
        <w:kinsoku/>
        <w:wordWrap/>
        <w:overflowPunct/>
        <w:topLinePunct w:val="0"/>
        <w:bidi w:val="0"/>
        <w:adjustRightInd w:val="0"/>
        <w:snapToGrid/>
        <w:spacing w:line="52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历史遗留废弃工矿土地整治项目</w:t>
      </w:r>
      <w:r>
        <w:rPr>
          <w:rFonts w:hint="eastAsia" w:ascii="仿宋" w:hAnsi="仿宋" w:eastAsia="仿宋" w:cs="仿宋"/>
          <w:color w:val="auto"/>
          <w:kern w:val="0"/>
          <w:sz w:val="24"/>
          <w:szCs w:val="24"/>
        </w:rPr>
        <w:t>施工成果和资料汇交应按《自治区历史遗留废弃工矿土地整治项目管理办法（试行）》</w:t>
      </w:r>
      <w:r>
        <w:rPr>
          <w:rFonts w:hint="eastAsia" w:ascii="仿宋" w:hAnsi="仿宋" w:eastAsia="仿宋" w:cs="仿宋"/>
          <w:color w:val="auto"/>
          <w:sz w:val="24"/>
          <w:szCs w:val="24"/>
        </w:rPr>
        <w:t>要求执行</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520" w:lineRule="exact"/>
        <w:ind w:firstLine="482" w:firstLineChars="200"/>
        <w:textAlignment w:val="auto"/>
        <w:outlineLvl w:val="1"/>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十、工作周期</w:t>
      </w: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outlineLvl w:val="9"/>
        <w:rPr>
          <w:rFonts w:hint="eastAsia" w:ascii="仿宋" w:hAnsi="仿宋" w:eastAsia="仿宋" w:cs="仿宋"/>
          <w:kern w:val="0"/>
          <w:sz w:val="22"/>
          <w:szCs w:val="22"/>
          <w:lang w:eastAsia="zh-CN"/>
        </w:rPr>
      </w:pPr>
      <w:r>
        <w:rPr>
          <w:rFonts w:hint="eastAsia" w:ascii="仿宋" w:hAnsi="仿宋" w:eastAsia="仿宋" w:cs="仿宋"/>
          <w:color w:val="auto"/>
          <w:kern w:val="0"/>
          <w:sz w:val="24"/>
          <w:szCs w:val="24"/>
        </w:rPr>
        <w:t>2023年</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月-202</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月，2023年8月31日前完成野外竣工验收，2023年11月30日前提交全套竣工资料。</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宋体" w:hAnsi="宋体" w:cs="宋体"/>
          <w:b/>
          <w:sz w:val="36"/>
          <w:szCs w:val="20"/>
        </w:rPr>
      </w:pPr>
      <w:r>
        <w:rPr>
          <w:rFonts w:hint="eastAsia" w:ascii="宋体" w:hAnsi="宋体" w:cs="宋体"/>
          <w:b/>
          <w:sz w:val="24"/>
        </w:rPr>
        <w:br w:type="page"/>
      </w:r>
      <w:r>
        <w:rPr>
          <w:rFonts w:hint="eastAsia" w:ascii="宋体" w:hAnsi="宋体" w:cs="宋体"/>
          <w:b/>
          <w:sz w:val="36"/>
          <w:szCs w:val="20"/>
        </w:rPr>
        <w:t>第四部分</w:t>
      </w:r>
      <w:bookmarkStart w:id="33" w:name="_Toc184308077"/>
      <w:bookmarkEnd w:id="33"/>
      <w:bookmarkStart w:id="34" w:name="_Toc184308088"/>
      <w:bookmarkEnd w:id="34"/>
      <w:bookmarkStart w:id="35" w:name="_Toc184308068"/>
      <w:bookmarkEnd w:id="35"/>
      <w:bookmarkStart w:id="36" w:name="_Toc184314462"/>
      <w:bookmarkEnd w:id="36"/>
      <w:bookmarkStart w:id="37" w:name="_Toc184308041"/>
      <w:bookmarkEnd w:id="37"/>
      <w:bookmarkStart w:id="38" w:name="_Toc184314471"/>
      <w:bookmarkEnd w:id="38"/>
      <w:bookmarkStart w:id="39" w:name="_Toc184312133"/>
      <w:bookmarkEnd w:id="39"/>
      <w:bookmarkStart w:id="40" w:name="_Toc184308105"/>
      <w:bookmarkEnd w:id="40"/>
      <w:bookmarkStart w:id="41" w:name="_Toc184310281"/>
      <w:bookmarkEnd w:id="41"/>
      <w:bookmarkStart w:id="42" w:name="_Toc184312115"/>
      <w:bookmarkEnd w:id="42"/>
      <w:bookmarkStart w:id="43" w:name="_Toc184308066"/>
      <w:bookmarkEnd w:id="43"/>
      <w:bookmarkStart w:id="44" w:name="_Toc184314419"/>
      <w:bookmarkEnd w:id="44"/>
      <w:bookmarkStart w:id="45" w:name="_Toc184313301"/>
      <w:bookmarkEnd w:id="45"/>
      <w:bookmarkStart w:id="46" w:name="_Toc184310299"/>
      <w:bookmarkEnd w:id="46"/>
      <w:bookmarkStart w:id="47" w:name="_Toc184313286"/>
      <w:bookmarkEnd w:id="47"/>
      <w:bookmarkStart w:id="48" w:name="_Toc184310337"/>
      <w:bookmarkEnd w:id="48"/>
      <w:bookmarkStart w:id="49" w:name="_Toc184310321"/>
      <w:bookmarkEnd w:id="49"/>
      <w:bookmarkStart w:id="50" w:name="_Toc184310284"/>
      <w:bookmarkEnd w:id="50"/>
      <w:bookmarkStart w:id="51" w:name="_Toc184314440"/>
      <w:bookmarkEnd w:id="51"/>
      <w:bookmarkStart w:id="52" w:name="_Toc184310278"/>
      <w:bookmarkEnd w:id="52"/>
      <w:bookmarkStart w:id="53" w:name="_Toc184308107"/>
      <w:bookmarkEnd w:id="53"/>
      <w:bookmarkStart w:id="54" w:name="_Toc184312069"/>
      <w:bookmarkEnd w:id="54"/>
      <w:bookmarkStart w:id="55" w:name="_Toc184308047"/>
      <w:bookmarkEnd w:id="55"/>
      <w:bookmarkStart w:id="56" w:name="_Toc184312119"/>
      <w:bookmarkEnd w:id="56"/>
      <w:bookmarkStart w:id="57" w:name="_Toc184314469"/>
      <w:bookmarkEnd w:id="57"/>
      <w:bookmarkStart w:id="58" w:name="_Toc184314435"/>
      <w:bookmarkEnd w:id="58"/>
      <w:bookmarkStart w:id="59" w:name="_Toc184308079"/>
      <w:bookmarkEnd w:id="59"/>
      <w:bookmarkStart w:id="60" w:name="_Toc184310274"/>
      <w:bookmarkEnd w:id="60"/>
      <w:bookmarkStart w:id="61" w:name="_Toc184310304"/>
      <w:bookmarkEnd w:id="61"/>
      <w:bookmarkStart w:id="62" w:name="_Toc184308106"/>
      <w:bookmarkEnd w:id="62"/>
      <w:bookmarkStart w:id="63" w:name="_Toc184310330"/>
      <w:bookmarkEnd w:id="63"/>
      <w:bookmarkStart w:id="64" w:name="_Toc184312106"/>
      <w:bookmarkEnd w:id="64"/>
      <w:bookmarkStart w:id="65" w:name="_Toc184310344"/>
      <w:bookmarkEnd w:id="65"/>
      <w:bookmarkStart w:id="66" w:name="_Toc184314479"/>
      <w:bookmarkEnd w:id="66"/>
      <w:bookmarkStart w:id="67" w:name="_Toc184313289"/>
      <w:bookmarkEnd w:id="67"/>
      <w:bookmarkStart w:id="68" w:name="_Toc184310333"/>
      <w:bookmarkEnd w:id="68"/>
      <w:bookmarkStart w:id="69" w:name="_Toc184310283"/>
      <w:bookmarkEnd w:id="69"/>
      <w:bookmarkStart w:id="70" w:name="_Toc184314429"/>
      <w:bookmarkEnd w:id="70"/>
      <w:bookmarkStart w:id="71" w:name="_Toc184314447"/>
      <w:bookmarkEnd w:id="71"/>
      <w:bookmarkStart w:id="72" w:name="_Toc184312067"/>
      <w:bookmarkEnd w:id="72"/>
      <w:bookmarkStart w:id="73" w:name="_Toc184313293"/>
      <w:bookmarkEnd w:id="73"/>
      <w:bookmarkStart w:id="74" w:name="_Toc184313261"/>
      <w:bookmarkEnd w:id="74"/>
      <w:bookmarkStart w:id="75" w:name="_Toc184313259"/>
      <w:bookmarkEnd w:id="75"/>
      <w:bookmarkStart w:id="76" w:name="_Toc184312070"/>
      <w:bookmarkEnd w:id="76"/>
      <w:bookmarkStart w:id="77" w:name="_Toc184313295"/>
      <w:bookmarkEnd w:id="77"/>
      <w:bookmarkStart w:id="78" w:name="_Toc184314480"/>
      <w:bookmarkEnd w:id="78"/>
      <w:bookmarkStart w:id="79" w:name="_Toc184314458"/>
      <w:bookmarkEnd w:id="79"/>
      <w:bookmarkStart w:id="80" w:name="_Toc184312094"/>
      <w:bookmarkEnd w:id="80"/>
      <w:bookmarkStart w:id="81" w:name="_Toc184312074"/>
      <w:bookmarkEnd w:id="81"/>
      <w:bookmarkStart w:id="82" w:name="_Toc184314434"/>
      <w:bookmarkEnd w:id="82"/>
      <w:bookmarkStart w:id="83" w:name="_Toc184310272"/>
      <w:bookmarkEnd w:id="83"/>
      <w:bookmarkStart w:id="84" w:name="_Toc184314457"/>
      <w:bookmarkEnd w:id="84"/>
      <w:bookmarkStart w:id="85" w:name="_Toc184312085"/>
      <w:bookmarkEnd w:id="85"/>
      <w:bookmarkStart w:id="86" w:name="_Toc184313241"/>
      <w:bookmarkEnd w:id="86"/>
      <w:bookmarkStart w:id="87" w:name="_Toc184313255"/>
      <w:bookmarkEnd w:id="87"/>
      <w:bookmarkStart w:id="88" w:name="_Toc184310287"/>
      <w:bookmarkEnd w:id="88"/>
      <w:bookmarkStart w:id="89" w:name="_Toc184314423"/>
      <w:bookmarkEnd w:id="89"/>
      <w:bookmarkStart w:id="90" w:name="_Toc184310329"/>
      <w:bookmarkEnd w:id="90"/>
      <w:bookmarkStart w:id="91" w:name="_Toc184310273"/>
      <w:bookmarkEnd w:id="91"/>
      <w:bookmarkStart w:id="92" w:name="_Toc184308094"/>
      <w:bookmarkEnd w:id="92"/>
      <w:bookmarkStart w:id="93" w:name="_Toc184314442"/>
      <w:bookmarkEnd w:id="93"/>
      <w:bookmarkStart w:id="94" w:name="_Toc184313296"/>
      <w:bookmarkEnd w:id="94"/>
      <w:bookmarkStart w:id="95" w:name="_Toc184313238"/>
      <w:bookmarkEnd w:id="95"/>
      <w:bookmarkStart w:id="96" w:name="_Toc184310295"/>
      <w:bookmarkEnd w:id="96"/>
      <w:bookmarkStart w:id="97" w:name="_Toc184308108"/>
      <w:bookmarkEnd w:id="97"/>
      <w:bookmarkStart w:id="98" w:name="_Toc184310340"/>
      <w:bookmarkEnd w:id="98"/>
      <w:bookmarkStart w:id="99" w:name="_Toc184313284"/>
      <w:bookmarkEnd w:id="99"/>
      <w:bookmarkStart w:id="100" w:name="_Toc184312139"/>
      <w:bookmarkEnd w:id="100"/>
      <w:bookmarkStart w:id="101" w:name="_Toc184312102"/>
      <w:bookmarkEnd w:id="101"/>
      <w:bookmarkStart w:id="102" w:name="_Toc184308065"/>
      <w:bookmarkEnd w:id="102"/>
      <w:bookmarkStart w:id="103" w:name="_Toc184310277"/>
      <w:bookmarkEnd w:id="103"/>
      <w:bookmarkStart w:id="104" w:name="_Toc184308038"/>
      <w:bookmarkEnd w:id="104"/>
      <w:bookmarkStart w:id="105" w:name="_Toc184312075"/>
      <w:bookmarkEnd w:id="105"/>
      <w:bookmarkStart w:id="106" w:name="_Toc184312092"/>
      <w:bookmarkEnd w:id="106"/>
      <w:bookmarkStart w:id="107" w:name="_Toc184313245"/>
      <w:bookmarkEnd w:id="107"/>
      <w:bookmarkStart w:id="108" w:name="_Toc184314475"/>
      <w:bookmarkEnd w:id="108"/>
      <w:bookmarkStart w:id="109" w:name="_Toc184312071"/>
      <w:bookmarkEnd w:id="109"/>
      <w:bookmarkStart w:id="110" w:name="_Toc184312103"/>
      <w:bookmarkEnd w:id="110"/>
      <w:bookmarkStart w:id="111" w:name="_Toc184312107"/>
      <w:bookmarkEnd w:id="111"/>
      <w:bookmarkStart w:id="112" w:name="_Toc184310293"/>
      <w:bookmarkEnd w:id="112"/>
      <w:bookmarkStart w:id="113" w:name="_Toc184312089"/>
      <w:bookmarkEnd w:id="113"/>
      <w:bookmarkStart w:id="114" w:name="_Toc184310292"/>
      <w:bookmarkEnd w:id="114"/>
      <w:bookmarkStart w:id="115" w:name="_Toc184312104"/>
      <w:bookmarkEnd w:id="115"/>
      <w:bookmarkStart w:id="116" w:name="_Toc184310341"/>
      <w:bookmarkEnd w:id="116"/>
      <w:bookmarkStart w:id="117" w:name="_Toc184310312"/>
      <w:bookmarkEnd w:id="117"/>
      <w:bookmarkStart w:id="118" w:name="_Toc184312087"/>
      <w:bookmarkEnd w:id="118"/>
      <w:bookmarkStart w:id="119" w:name="_Toc184308051"/>
      <w:bookmarkEnd w:id="119"/>
      <w:bookmarkStart w:id="120" w:name="_Toc184314430"/>
      <w:bookmarkEnd w:id="120"/>
      <w:bookmarkStart w:id="121" w:name="_Toc184314417"/>
      <w:bookmarkEnd w:id="121"/>
      <w:bookmarkStart w:id="122" w:name="_Toc184313277"/>
      <w:bookmarkEnd w:id="122"/>
      <w:bookmarkStart w:id="123" w:name="_Toc184310343"/>
      <w:bookmarkEnd w:id="123"/>
      <w:bookmarkStart w:id="124" w:name="_Toc184314445"/>
      <w:bookmarkEnd w:id="124"/>
      <w:bookmarkStart w:id="125" w:name="_Toc184313271"/>
      <w:bookmarkEnd w:id="125"/>
      <w:bookmarkStart w:id="126" w:name="_Toc184313297"/>
      <w:bookmarkEnd w:id="126"/>
      <w:bookmarkStart w:id="127" w:name="_Toc184312122"/>
      <w:bookmarkEnd w:id="127"/>
      <w:bookmarkStart w:id="128" w:name="_Toc184308103"/>
      <w:bookmarkEnd w:id="128"/>
      <w:bookmarkStart w:id="129" w:name="_Toc184313266"/>
      <w:bookmarkEnd w:id="129"/>
      <w:bookmarkStart w:id="130" w:name="_Toc184308089"/>
      <w:bookmarkEnd w:id="130"/>
      <w:bookmarkStart w:id="131" w:name="_Toc184310300"/>
      <w:bookmarkEnd w:id="131"/>
      <w:bookmarkStart w:id="132" w:name="_Toc184312093"/>
      <w:bookmarkEnd w:id="132"/>
      <w:bookmarkStart w:id="133" w:name="_Toc184310285"/>
      <w:bookmarkEnd w:id="133"/>
      <w:bookmarkStart w:id="134" w:name="_Toc184313242"/>
      <w:bookmarkEnd w:id="134"/>
      <w:bookmarkStart w:id="135" w:name="_Toc184313268"/>
      <w:bookmarkEnd w:id="135"/>
      <w:bookmarkStart w:id="136" w:name="_Toc184310310"/>
      <w:bookmarkEnd w:id="136"/>
      <w:bookmarkStart w:id="137" w:name="_Toc184313306"/>
      <w:bookmarkEnd w:id="137"/>
      <w:bookmarkStart w:id="138" w:name="_Toc184312112"/>
      <w:bookmarkEnd w:id="138"/>
      <w:bookmarkStart w:id="139" w:name="_Toc184314482"/>
      <w:bookmarkEnd w:id="139"/>
      <w:bookmarkStart w:id="140" w:name="_Toc184312111"/>
      <w:bookmarkEnd w:id="140"/>
      <w:bookmarkStart w:id="141" w:name="_Toc184314473"/>
      <w:bookmarkEnd w:id="141"/>
      <w:bookmarkStart w:id="142" w:name="_Toc184314426"/>
      <w:bookmarkEnd w:id="142"/>
      <w:bookmarkStart w:id="143" w:name="_Toc184312098"/>
      <w:bookmarkEnd w:id="143"/>
      <w:bookmarkStart w:id="144" w:name="_Toc184308096"/>
      <w:bookmarkEnd w:id="144"/>
      <w:bookmarkStart w:id="145" w:name="_Toc184314449"/>
      <w:bookmarkEnd w:id="145"/>
      <w:bookmarkStart w:id="146" w:name="_Toc184308040"/>
      <w:bookmarkEnd w:id="146"/>
      <w:bookmarkStart w:id="147" w:name="_Toc184312124"/>
      <w:bookmarkEnd w:id="147"/>
      <w:bookmarkStart w:id="148" w:name="_Toc184313265"/>
      <w:bookmarkEnd w:id="148"/>
      <w:bookmarkStart w:id="149" w:name="_Toc184308062"/>
      <w:bookmarkEnd w:id="149"/>
      <w:bookmarkStart w:id="150" w:name="_Toc184314416"/>
      <w:bookmarkEnd w:id="150"/>
      <w:bookmarkStart w:id="151" w:name="_Toc184308064"/>
      <w:bookmarkEnd w:id="151"/>
      <w:bookmarkStart w:id="152" w:name="_Toc184313300"/>
      <w:bookmarkEnd w:id="152"/>
      <w:bookmarkStart w:id="153" w:name="_Toc184313258"/>
      <w:bookmarkEnd w:id="153"/>
      <w:bookmarkStart w:id="154" w:name="_Toc184308100"/>
      <w:bookmarkEnd w:id="154"/>
      <w:bookmarkStart w:id="155" w:name="_Toc184308052"/>
      <w:bookmarkEnd w:id="155"/>
      <w:bookmarkStart w:id="156" w:name="_Toc184314452"/>
      <w:bookmarkEnd w:id="156"/>
      <w:bookmarkStart w:id="157" w:name="_Toc184308060"/>
      <w:bookmarkEnd w:id="157"/>
      <w:bookmarkStart w:id="158" w:name="_Toc184310314"/>
      <w:bookmarkEnd w:id="158"/>
      <w:bookmarkStart w:id="159" w:name="_Toc184313250"/>
      <w:bookmarkEnd w:id="159"/>
      <w:bookmarkStart w:id="160" w:name="_Toc184308104"/>
      <w:bookmarkEnd w:id="160"/>
      <w:bookmarkStart w:id="161" w:name="_Toc184312073"/>
      <w:bookmarkEnd w:id="161"/>
      <w:bookmarkStart w:id="162" w:name="_Toc184308093"/>
      <w:bookmarkEnd w:id="162"/>
      <w:bookmarkStart w:id="163" w:name="_Toc184314441"/>
      <w:bookmarkEnd w:id="163"/>
      <w:bookmarkStart w:id="164" w:name="_Toc184312114"/>
      <w:bookmarkEnd w:id="164"/>
      <w:bookmarkStart w:id="165" w:name="_Toc184310280"/>
      <w:bookmarkEnd w:id="165"/>
      <w:bookmarkStart w:id="166" w:name="_Toc184310323"/>
      <w:bookmarkEnd w:id="166"/>
      <w:bookmarkStart w:id="167" w:name="_Toc184308087"/>
      <w:bookmarkEnd w:id="167"/>
      <w:bookmarkStart w:id="168" w:name="_Toc184310336"/>
      <w:bookmarkEnd w:id="168"/>
      <w:bookmarkStart w:id="169" w:name="_Toc184314412"/>
      <w:bookmarkEnd w:id="169"/>
      <w:bookmarkStart w:id="170" w:name="_Toc184314443"/>
      <w:bookmarkEnd w:id="170"/>
      <w:bookmarkStart w:id="171" w:name="_Toc184313308"/>
      <w:bookmarkEnd w:id="171"/>
      <w:bookmarkStart w:id="172" w:name="_Toc184313304"/>
      <w:bookmarkEnd w:id="172"/>
      <w:bookmarkStart w:id="173" w:name="_Toc184310282"/>
      <w:bookmarkEnd w:id="173"/>
      <w:bookmarkStart w:id="174" w:name="_Toc184314481"/>
      <w:bookmarkEnd w:id="174"/>
      <w:bookmarkStart w:id="175" w:name="_Toc184308083"/>
      <w:bookmarkEnd w:id="175"/>
      <w:bookmarkStart w:id="176" w:name="_Toc184313310"/>
      <w:bookmarkEnd w:id="176"/>
      <w:bookmarkStart w:id="177" w:name="_Toc184308070"/>
      <w:bookmarkEnd w:id="177"/>
      <w:bookmarkStart w:id="178" w:name="_Toc184313288"/>
      <w:bookmarkEnd w:id="178"/>
      <w:bookmarkStart w:id="179" w:name="_Toc184314421"/>
      <w:bookmarkEnd w:id="179"/>
      <w:bookmarkStart w:id="180" w:name="_Toc184312099"/>
      <w:bookmarkEnd w:id="180"/>
      <w:bookmarkStart w:id="181" w:name="_Toc184308036"/>
      <w:bookmarkEnd w:id="181"/>
      <w:bookmarkStart w:id="182" w:name="_Toc184314410"/>
      <w:bookmarkEnd w:id="182"/>
      <w:bookmarkStart w:id="183" w:name="_Toc184308074"/>
      <w:bookmarkEnd w:id="183"/>
      <w:bookmarkStart w:id="184" w:name="_Toc184313290"/>
      <w:bookmarkEnd w:id="184"/>
      <w:bookmarkStart w:id="185" w:name="_Toc184312121"/>
      <w:bookmarkEnd w:id="185"/>
      <w:bookmarkStart w:id="186" w:name="_Toc184313279"/>
      <w:bookmarkEnd w:id="186"/>
      <w:bookmarkStart w:id="187" w:name="_Toc184308092"/>
      <w:bookmarkEnd w:id="187"/>
      <w:bookmarkStart w:id="188" w:name="_Toc184313249"/>
      <w:bookmarkEnd w:id="188"/>
      <w:bookmarkStart w:id="189" w:name="_Toc184310306"/>
      <w:bookmarkEnd w:id="189"/>
      <w:bookmarkStart w:id="190" w:name="_Toc184308098"/>
      <w:bookmarkEnd w:id="190"/>
      <w:bookmarkStart w:id="191" w:name="_Toc184310308"/>
      <w:bookmarkEnd w:id="191"/>
      <w:bookmarkStart w:id="192" w:name="_Toc184313294"/>
      <w:bookmarkEnd w:id="192"/>
      <w:bookmarkStart w:id="193" w:name="_Toc184308101"/>
      <w:bookmarkEnd w:id="193"/>
      <w:bookmarkStart w:id="194" w:name="_Toc184313246"/>
      <w:bookmarkEnd w:id="194"/>
      <w:bookmarkStart w:id="195" w:name="_Toc184312076"/>
      <w:bookmarkEnd w:id="195"/>
      <w:bookmarkStart w:id="196" w:name="_Toc184308056"/>
      <w:bookmarkEnd w:id="196"/>
      <w:bookmarkStart w:id="197" w:name="_Toc184308097"/>
      <w:bookmarkEnd w:id="197"/>
      <w:bookmarkStart w:id="198" w:name="_Toc184314456"/>
      <w:bookmarkEnd w:id="198"/>
      <w:bookmarkStart w:id="199" w:name="_Toc184314455"/>
      <w:bookmarkEnd w:id="199"/>
      <w:bookmarkStart w:id="200" w:name="_Toc184308058"/>
      <w:bookmarkEnd w:id="200"/>
      <w:bookmarkStart w:id="201" w:name="_Toc184313276"/>
      <w:bookmarkEnd w:id="201"/>
      <w:bookmarkStart w:id="202" w:name="_Toc184313269"/>
      <w:bookmarkEnd w:id="202"/>
      <w:bookmarkStart w:id="203" w:name="_Toc184312134"/>
      <w:bookmarkEnd w:id="203"/>
      <w:bookmarkStart w:id="204" w:name="_Toc184314436"/>
      <w:bookmarkEnd w:id="204"/>
      <w:bookmarkStart w:id="205" w:name="_Toc184312131"/>
      <w:bookmarkEnd w:id="205"/>
      <w:bookmarkStart w:id="206" w:name="_Toc184308076"/>
      <w:bookmarkEnd w:id="206"/>
      <w:bookmarkStart w:id="207" w:name="_Toc184312090"/>
      <w:bookmarkEnd w:id="207"/>
      <w:bookmarkStart w:id="208" w:name="_Toc184314427"/>
      <w:bookmarkEnd w:id="208"/>
      <w:bookmarkStart w:id="209" w:name="_Toc184313285"/>
      <w:bookmarkEnd w:id="209"/>
      <w:bookmarkStart w:id="210" w:name="_Toc184314463"/>
      <w:bookmarkEnd w:id="210"/>
      <w:bookmarkStart w:id="211" w:name="_Toc184314411"/>
      <w:bookmarkEnd w:id="211"/>
      <w:bookmarkStart w:id="212" w:name="_Toc184310302"/>
      <w:bookmarkEnd w:id="212"/>
      <w:bookmarkStart w:id="213" w:name="_Toc184313247"/>
      <w:bookmarkEnd w:id="213"/>
      <w:bookmarkStart w:id="214" w:name="_Toc184308057"/>
      <w:bookmarkEnd w:id="214"/>
      <w:bookmarkStart w:id="215" w:name="_Toc184310307"/>
      <w:bookmarkEnd w:id="215"/>
      <w:bookmarkStart w:id="216" w:name="_Toc184312109"/>
      <w:bookmarkEnd w:id="216"/>
      <w:bookmarkStart w:id="217" w:name="_Toc184314454"/>
      <w:bookmarkEnd w:id="217"/>
      <w:bookmarkStart w:id="218" w:name="_Toc184310286"/>
      <w:bookmarkEnd w:id="218"/>
      <w:bookmarkStart w:id="219" w:name="_Toc184313287"/>
      <w:bookmarkEnd w:id="219"/>
      <w:bookmarkStart w:id="220" w:name="_Toc184310338"/>
      <w:bookmarkEnd w:id="220"/>
      <w:bookmarkStart w:id="221" w:name="_Toc184313251"/>
      <w:bookmarkEnd w:id="221"/>
      <w:bookmarkStart w:id="222" w:name="_Toc184308039"/>
      <w:bookmarkEnd w:id="222"/>
      <w:bookmarkStart w:id="223" w:name="_Toc184313274"/>
      <w:bookmarkEnd w:id="223"/>
      <w:bookmarkStart w:id="224" w:name="_Toc184308063"/>
      <w:bookmarkEnd w:id="224"/>
      <w:bookmarkStart w:id="225" w:name="_Toc184310288"/>
      <w:bookmarkEnd w:id="225"/>
      <w:bookmarkStart w:id="226" w:name="_Toc184313281"/>
      <w:bookmarkEnd w:id="226"/>
      <w:bookmarkStart w:id="227" w:name="_Toc184314453"/>
      <w:bookmarkEnd w:id="227"/>
      <w:bookmarkStart w:id="228" w:name="_Toc184308042"/>
      <w:bookmarkEnd w:id="228"/>
      <w:bookmarkStart w:id="229" w:name="_Toc184310327"/>
      <w:bookmarkEnd w:id="229"/>
      <w:bookmarkStart w:id="230" w:name="_Toc184313291"/>
      <w:bookmarkEnd w:id="230"/>
      <w:bookmarkStart w:id="231" w:name="_Toc184314459"/>
      <w:bookmarkEnd w:id="231"/>
      <w:bookmarkStart w:id="232" w:name="_Toc184312082"/>
      <w:bookmarkEnd w:id="232"/>
      <w:bookmarkStart w:id="233" w:name="_Toc184310290"/>
      <w:bookmarkEnd w:id="233"/>
      <w:bookmarkStart w:id="234" w:name="_Toc184310335"/>
      <w:bookmarkEnd w:id="234"/>
      <w:bookmarkStart w:id="235" w:name="_Toc184313272"/>
      <w:bookmarkEnd w:id="235"/>
      <w:bookmarkStart w:id="236" w:name="_Toc184314448"/>
      <w:bookmarkEnd w:id="236"/>
      <w:bookmarkStart w:id="237" w:name="_Toc184308086"/>
      <w:bookmarkEnd w:id="237"/>
      <w:bookmarkStart w:id="238" w:name="_Toc184310298"/>
      <w:bookmarkEnd w:id="238"/>
      <w:bookmarkStart w:id="239" w:name="_Toc184312118"/>
      <w:bookmarkEnd w:id="239"/>
      <w:bookmarkStart w:id="240" w:name="_Toc184313253"/>
      <w:bookmarkEnd w:id="240"/>
      <w:bookmarkStart w:id="241" w:name="_Toc184308061"/>
      <w:bookmarkEnd w:id="241"/>
      <w:bookmarkStart w:id="242" w:name="_Toc184313280"/>
      <w:bookmarkEnd w:id="242"/>
      <w:bookmarkStart w:id="243" w:name="_Toc184313305"/>
      <w:bookmarkEnd w:id="243"/>
      <w:bookmarkStart w:id="244" w:name="_Toc184308080"/>
      <w:bookmarkEnd w:id="244"/>
      <w:bookmarkStart w:id="245" w:name="_Toc184308054"/>
      <w:bookmarkEnd w:id="245"/>
      <w:bookmarkStart w:id="246" w:name="_Toc184310332"/>
      <w:bookmarkEnd w:id="246"/>
      <w:bookmarkStart w:id="247" w:name="_Toc184308069"/>
      <w:bookmarkEnd w:id="247"/>
      <w:bookmarkStart w:id="248" w:name="_Toc184308072"/>
      <w:bookmarkEnd w:id="248"/>
      <w:bookmarkStart w:id="249" w:name="_Toc184312125"/>
      <w:bookmarkEnd w:id="249"/>
      <w:bookmarkStart w:id="250" w:name="_Toc184308084"/>
      <w:bookmarkEnd w:id="250"/>
      <w:bookmarkStart w:id="251" w:name="_Toc184308046"/>
      <w:bookmarkEnd w:id="251"/>
      <w:bookmarkStart w:id="252" w:name="_Toc184314446"/>
      <w:bookmarkEnd w:id="252"/>
      <w:bookmarkStart w:id="253" w:name="_Toc184313302"/>
      <w:bookmarkEnd w:id="253"/>
      <w:bookmarkStart w:id="254" w:name="_Toc184314437"/>
      <w:bookmarkEnd w:id="254"/>
      <w:bookmarkStart w:id="255" w:name="_Toc184312120"/>
      <w:bookmarkEnd w:id="255"/>
      <w:bookmarkStart w:id="256" w:name="_Toc184312080"/>
      <w:bookmarkEnd w:id="256"/>
      <w:bookmarkStart w:id="257" w:name="_Toc184308075"/>
      <w:bookmarkEnd w:id="257"/>
      <w:bookmarkStart w:id="258" w:name="_Toc184308082"/>
      <w:bookmarkEnd w:id="258"/>
      <w:bookmarkStart w:id="259" w:name="_Toc184313299"/>
      <w:bookmarkEnd w:id="259"/>
      <w:bookmarkStart w:id="260" w:name="_Toc184308045"/>
      <w:bookmarkEnd w:id="260"/>
      <w:bookmarkStart w:id="261" w:name="_Toc184314478"/>
      <w:bookmarkEnd w:id="261"/>
      <w:bookmarkStart w:id="262" w:name="_Toc184312079"/>
      <w:bookmarkEnd w:id="262"/>
      <w:bookmarkStart w:id="263" w:name="_Toc184314433"/>
      <w:bookmarkEnd w:id="263"/>
      <w:bookmarkStart w:id="264" w:name="_Toc184313270"/>
      <w:bookmarkEnd w:id="264"/>
      <w:bookmarkStart w:id="265" w:name="_Toc184308055"/>
      <w:bookmarkEnd w:id="265"/>
      <w:bookmarkStart w:id="266" w:name="_Toc184310297"/>
      <w:bookmarkEnd w:id="266"/>
      <w:bookmarkStart w:id="267" w:name="_Toc184313309"/>
      <w:bookmarkEnd w:id="267"/>
      <w:bookmarkStart w:id="268" w:name="_Toc184314424"/>
      <w:bookmarkEnd w:id="268"/>
      <w:bookmarkStart w:id="269" w:name="_Toc184308091"/>
      <w:bookmarkEnd w:id="269"/>
      <w:bookmarkStart w:id="270" w:name="_Toc184310305"/>
      <w:bookmarkEnd w:id="270"/>
      <w:bookmarkStart w:id="271" w:name="_Toc184313298"/>
      <w:bookmarkEnd w:id="271"/>
      <w:bookmarkStart w:id="272" w:name="_Toc184308067"/>
      <w:bookmarkEnd w:id="272"/>
      <w:bookmarkStart w:id="273" w:name="_Toc184312084"/>
      <w:bookmarkEnd w:id="273"/>
      <w:bookmarkStart w:id="274" w:name="_Toc184312129"/>
      <w:bookmarkEnd w:id="274"/>
      <w:bookmarkStart w:id="275" w:name="_Toc184313254"/>
      <w:bookmarkEnd w:id="275"/>
      <w:bookmarkStart w:id="276" w:name="_Toc184310316"/>
      <w:bookmarkEnd w:id="276"/>
      <w:bookmarkStart w:id="277" w:name="_Toc184314465"/>
      <w:bookmarkEnd w:id="277"/>
      <w:bookmarkStart w:id="278" w:name="_Toc184314461"/>
      <w:bookmarkEnd w:id="278"/>
      <w:bookmarkStart w:id="279" w:name="_Toc184308050"/>
      <w:bookmarkEnd w:id="279"/>
      <w:bookmarkStart w:id="280" w:name="_Toc184314466"/>
      <w:bookmarkEnd w:id="280"/>
      <w:bookmarkStart w:id="281" w:name="_Toc184310324"/>
      <w:bookmarkEnd w:id="281"/>
      <w:bookmarkStart w:id="282" w:name="_Toc184313278"/>
      <w:bookmarkEnd w:id="282"/>
      <w:bookmarkStart w:id="283" w:name="_Toc184314472"/>
      <w:bookmarkEnd w:id="283"/>
      <w:bookmarkStart w:id="284" w:name="_Toc184308081"/>
      <w:bookmarkEnd w:id="284"/>
      <w:bookmarkStart w:id="285" w:name="_Toc184310289"/>
      <w:bookmarkEnd w:id="285"/>
      <w:bookmarkStart w:id="286" w:name="_Toc184312068"/>
      <w:bookmarkEnd w:id="286"/>
      <w:bookmarkStart w:id="287" w:name="_Toc184312116"/>
      <w:bookmarkEnd w:id="287"/>
      <w:bookmarkStart w:id="288" w:name="_Toc184312123"/>
      <w:bookmarkEnd w:id="288"/>
      <w:bookmarkStart w:id="289" w:name="_Toc184308085"/>
      <w:bookmarkEnd w:id="289"/>
      <w:bookmarkStart w:id="290" w:name="_Toc184314414"/>
      <w:bookmarkEnd w:id="290"/>
      <w:bookmarkStart w:id="291" w:name="_Toc184308059"/>
      <w:bookmarkEnd w:id="291"/>
      <w:bookmarkStart w:id="292" w:name="_Toc184314451"/>
      <w:bookmarkEnd w:id="292"/>
      <w:bookmarkStart w:id="293" w:name="_Toc184312088"/>
      <w:bookmarkEnd w:id="293"/>
      <w:bookmarkStart w:id="294" w:name="_Toc184312127"/>
      <w:bookmarkEnd w:id="294"/>
      <w:bookmarkStart w:id="295" w:name="_Toc184314422"/>
      <w:bookmarkEnd w:id="295"/>
      <w:bookmarkStart w:id="296" w:name="_Toc184310296"/>
      <w:bookmarkEnd w:id="296"/>
      <w:bookmarkStart w:id="297" w:name="_Toc184312105"/>
      <w:bookmarkEnd w:id="297"/>
      <w:bookmarkStart w:id="298" w:name="_Toc184312096"/>
      <w:bookmarkEnd w:id="298"/>
      <w:bookmarkStart w:id="299" w:name="_Toc184310320"/>
      <w:bookmarkEnd w:id="299"/>
      <w:bookmarkStart w:id="300" w:name="_Toc184313262"/>
      <w:bookmarkEnd w:id="300"/>
      <w:bookmarkStart w:id="301" w:name="_Toc184313303"/>
      <w:bookmarkEnd w:id="301"/>
      <w:bookmarkStart w:id="302" w:name="_Toc184312132"/>
      <w:bookmarkEnd w:id="302"/>
      <w:bookmarkStart w:id="303" w:name="_Toc184314428"/>
      <w:bookmarkEnd w:id="303"/>
      <w:bookmarkStart w:id="304" w:name="_Toc184314418"/>
      <w:bookmarkEnd w:id="304"/>
      <w:bookmarkStart w:id="305" w:name="_Toc184313248"/>
      <w:bookmarkEnd w:id="305"/>
      <w:bookmarkStart w:id="306" w:name="_Toc184313282"/>
      <w:bookmarkEnd w:id="306"/>
      <w:bookmarkStart w:id="307" w:name="_Toc184314415"/>
      <w:bookmarkEnd w:id="307"/>
      <w:bookmarkStart w:id="308" w:name="_Toc184310319"/>
      <w:bookmarkEnd w:id="308"/>
      <w:bookmarkStart w:id="309" w:name="_Toc184312086"/>
      <w:bookmarkEnd w:id="309"/>
      <w:bookmarkStart w:id="310" w:name="_Toc184312091"/>
      <w:bookmarkEnd w:id="310"/>
      <w:bookmarkStart w:id="311" w:name="_Toc184312138"/>
      <w:bookmarkEnd w:id="311"/>
      <w:bookmarkStart w:id="312" w:name="_Toc184314474"/>
      <w:bookmarkEnd w:id="312"/>
      <w:bookmarkStart w:id="313" w:name="_Toc184310318"/>
      <w:bookmarkEnd w:id="313"/>
      <w:bookmarkStart w:id="314" w:name="_Toc184313283"/>
      <w:bookmarkEnd w:id="314"/>
      <w:bookmarkStart w:id="315" w:name="_Toc184308044"/>
      <w:bookmarkEnd w:id="315"/>
      <w:bookmarkStart w:id="316" w:name="_Toc184312135"/>
      <w:bookmarkEnd w:id="316"/>
      <w:bookmarkStart w:id="317" w:name="_Toc184308078"/>
      <w:bookmarkEnd w:id="317"/>
      <w:bookmarkStart w:id="318" w:name="_Toc184312097"/>
      <w:bookmarkEnd w:id="318"/>
      <w:bookmarkStart w:id="319" w:name="_Toc184310315"/>
      <w:bookmarkEnd w:id="319"/>
      <w:bookmarkStart w:id="320" w:name="_Toc184313244"/>
      <w:bookmarkEnd w:id="320"/>
      <w:bookmarkStart w:id="321" w:name="_Toc184308090"/>
      <w:bookmarkEnd w:id="321"/>
      <w:bookmarkStart w:id="322" w:name="_Toc184312101"/>
      <w:bookmarkEnd w:id="322"/>
      <w:bookmarkStart w:id="323" w:name="_Toc184310311"/>
      <w:bookmarkEnd w:id="323"/>
      <w:bookmarkStart w:id="324" w:name="_Toc184312110"/>
      <w:bookmarkEnd w:id="324"/>
      <w:bookmarkStart w:id="325" w:name="_Toc184314460"/>
      <w:bookmarkEnd w:id="325"/>
      <w:bookmarkStart w:id="326" w:name="_Toc184312072"/>
      <w:bookmarkEnd w:id="326"/>
      <w:bookmarkStart w:id="327" w:name="_Toc184312137"/>
      <w:bookmarkEnd w:id="327"/>
      <w:bookmarkStart w:id="328" w:name="_Toc184312126"/>
      <w:bookmarkEnd w:id="328"/>
      <w:bookmarkStart w:id="329" w:name="_Toc184310328"/>
      <w:bookmarkEnd w:id="329"/>
      <w:bookmarkStart w:id="330" w:name="_Toc184310313"/>
      <w:bookmarkEnd w:id="330"/>
      <w:bookmarkStart w:id="331" w:name="_Toc184314420"/>
      <w:bookmarkEnd w:id="331"/>
      <w:bookmarkStart w:id="332" w:name="_Toc184310279"/>
      <w:bookmarkEnd w:id="332"/>
      <w:bookmarkStart w:id="333" w:name="_Toc184308102"/>
      <w:bookmarkEnd w:id="333"/>
      <w:bookmarkStart w:id="334" w:name="_Toc184312128"/>
      <w:bookmarkEnd w:id="334"/>
      <w:bookmarkStart w:id="335" w:name="_Toc184313239"/>
      <w:bookmarkEnd w:id="335"/>
      <w:bookmarkStart w:id="336" w:name="_Toc184310334"/>
      <w:bookmarkEnd w:id="336"/>
      <w:bookmarkStart w:id="337" w:name="_Toc184312100"/>
      <w:bookmarkEnd w:id="337"/>
      <w:bookmarkStart w:id="338" w:name="_Toc184312081"/>
      <w:bookmarkEnd w:id="338"/>
      <w:bookmarkStart w:id="339" w:name="_Toc184308071"/>
      <w:bookmarkEnd w:id="339"/>
      <w:bookmarkStart w:id="340" w:name="_Toc184313273"/>
      <w:bookmarkEnd w:id="340"/>
      <w:bookmarkStart w:id="341" w:name="_Toc184314432"/>
      <w:bookmarkEnd w:id="341"/>
      <w:bookmarkStart w:id="342" w:name="_Toc184313275"/>
      <w:bookmarkEnd w:id="342"/>
      <w:bookmarkStart w:id="343" w:name="_Toc184310322"/>
      <w:bookmarkEnd w:id="343"/>
      <w:bookmarkStart w:id="344" w:name="_Toc184314431"/>
      <w:bookmarkEnd w:id="344"/>
      <w:bookmarkStart w:id="345" w:name="_Toc184313292"/>
      <w:bookmarkEnd w:id="345"/>
      <w:bookmarkStart w:id="346" w:name="_Toc184313267"/>
      <w:bookmarkEnd w:id="346"/>
      <w:bookmarkStart w:id="347" w:name="_Toc184310325"/>
      <w:bookmarkEnd w:id="347"/>
      <w:bookmarkStart w:id="348" w:name="_Toc184312078"/>
      <w:bookmarkEnd w:id="348"/>
      <w:bookmarkStart w:id="349" w:name="_Toc184313256"/>
      <w:bookmarkEnd w:id="349"/>
      <w:bookmarkStart w:id="350" w:name="_Toc184312136"/>
      <w:bookmarkEnd w:id="350"/>
      <w:bookmarkStart w:id="351" w:name="_Toc184314468"/>
      <w:bookmarkEnd w:id="351"/>
      <w:bookmarkStart w:id="352" w:name="_Toc184314470"/>
      <w:bookmarkEnd w:id="352"/>
      <w:bookmarkStart w:id="353" w:name="_Toc184313252"/>
      <w:bookmarkEnd w:id="353"/>
      <w:bookmarkStart w:id="354" w:name="_Toc184312113"/>
      <w:bookmarkEnd w:id="354"/>
      <w:bookmarkStart w:id="355" w:name="_Toc184313263"/>
      <w:bookmarkEnd w:id="355"/>
      <w:bookmarkStart w:id="356" w:name="_Toc184310331"/>
      <w:bookmarkEnd w:id="356"/>
      <w:bookmarkStart w:id="357" w:name="_Toc184314425"/>
      <w:bookmarkEnd w:id="357"/>
      <w:bookmarkStart w:id="358" w:name="_Toc184314444"/>
      <w:bookmarkEnd w:id="358"/>
      <w:bookmarkStart w:id="359" w:name="_Toc184314467"/>
      <w:bookmarkEnd w:id="359"/>
      <w:bookmarkStart w:id="360" w:name="_Toc184314476"/>
      <w:bookmarkEnd w:id="360"/>
      <w:bookmarkStart w:id="361" w:name="_Toc184310276"/>
      <w:bookmarkEnd w:id="361"/>
      <w:bookmarkStart w:id="362" w:name="_Toc184312108"/>
      <w:bookmarkEnd w:id="362"/>
      <w:bookmarkStart w:id="363" w:name="_Toc184313307"/>
      <w:bookmarkEnd w:id="363"/>
      <w:bookmarkStart w:id="364" w:name="_Toc184310339"/>
      <w:bookmarkEnd w:id="364"/>
      <w:bookmarkStart w:id="365" w:name="_Toc184308099"/>
      <w:bookmarkEnd w:id="365"/>
      <w:bookmarkStart w:id="366" w:name="_Toc184313240"/>
      <w:bookmarkEnd w:id="366"/>
      <w:bookmarkStart w:id="367" w:name="_Toc184313260"/>
      <w:bookmarkEnd w:id="367"/>
      <w:bookmarkStart w:id="368" w:name="_Toc184313257"/>
      <w:bookmarkEnd w:id="368"/>
      <w:bookmarkStart w:id="369" w:name="_Toc184312095"/>
      <w:bookmarkEnd w:id="369"/>
      <w:bookmarkStart w:id="370" w:name="_Toc184312130"/>
      <w:bookmarkEnd w:id="370"/>
      <w:bookmarkStart w:id="371" w:name="_Toc184312077"/>
      <w:bookmarkEnd w:id="371"/>
      <w:bookmarkStart w:id="372" w:name="_Toc184310294"/>
      <w:bookmarkEnd w:id="372"/>
      <w:bookmarkStart w:id="373" w:name="_Toc184313264"/>
      <w:bookmarkEnd w:id="373"/>
      <w:bookmarkStart w:id="374" w:name="_Toc184312117"/>
      <w:bookmarkEnd w:id="374"/>
      <w:bookmarkStart w:id="375" w:name="_Toc184308049"/>
      <w:bookmarkEnd w:id="375"/>
      <w:bookmarkStart w:id="376" w:name="_Toc184314464"/>
      <w:bookmarkEnd w:id="376"/>
      <w:bookmarkStart w:id="377" w:name="_Toc184310301"/>
      <w:bookmarkEnd w:id="377"/>
      <w:bookmarkStart w:id="378" w:name="_Toc184312083"/>
      <w:bookmarkEnd w:id="378"/>
      <w:bookmarkStart w:id="379" w:name="_Toc184313243"/>
      <w:bookmarkEnd w:id="379"/>
      <w:bookmarkStart w:id="380" w:name="_Toc184310291"/>
      <w:bookmarkEnd w:id="380"/>
      <w:bookmarkStart w:id="381" w:name="_Toc184310342"/>
      <w:bookmarkEnd w:id="381"/>
      <w:bookmarkStart w:id="382" w:name="_Toc184314450"/>
      <w:bookmarkEnd w:id="382"/>
      <w:bookmarkStart w:id="383" w:name="_Toc184308043"/>
      <w:bookmarkEnd w:id="383"/>
      <w:bookmarkStart w:id="384" w:name="_Toc184314477"/>
      <w:bookmarkEnd w:id="384"/>
      <w:bookmarkStart w:id="385" w:name="_Toc184308048"/>
      <w:bookmarkEnd w:id="385"/>
      <w:bookmarkStart w:id="386" w:name="_Toc184308037"/>
      <w:bookmarkEnd w:id="386"/>
      <w:bookmarkStart w:id="387" w:name="_Toc184310309"/>
      <w:bookmarkEnd w:id="387"/>
      <w:bookmarkStart w:id="388" w:name="_Toc184310326"/>
      <w:bookmarkEnd w:id="388"/>
      <w:bookmarkStart w:id="389" w:name="_Toc184314439"/>
      <w:bookmarkEnd w:id="389"/>
      <w:bookmarkStart w:id="390" w:name="_Toc184308073"/>
      <w:bookmarkEnd w:id="390"/>
      <w:bookmarkStart w:id="391" w:name="_Toc184314438"/>
      <w:bookmarkEnd w:id="391"/>
      <w:bookmarkStart w:id="392" w:name="_Toc184308095"/>
      <w:bookmarkEnd w:id="392"/>
      <w:bookmarkStart w:id="393" w:name="_Toc184310275"/>
      <w:bookmarkEnd w:id="393"/>
      <w:bookmarkStart w:id="394" w:name="_Toc184314413"/>
      <w:bookmarkEnd w:id="394"/>
      <w:bookmarkStart w:id="395" w:name="_Toc184310303"/>
      <w:bookmarkEnd w:id="395"/>
      <w:bookmarkStart w:id="396" w:name="_Toc184310317"/>
      <w:bookmarkEnd w:id="396"/>
      <w:bookmarkStart w:id="397" w:name="_Toc184308053"/>
      <w:bookmarkEnd w:id="397"/>
      <w:r>
        <w:rPr>
          <w:rFonts w:hint="eastAsia" w:ascii="宋体" w:hAnsi="宋体" w:cs="宋体"/>
          <w:b/>
          <w:sz w:val="36"/>
          <w:szCs w:val="20"/>
        </w:rPr>
        <w:t xml:space="preserve"> 评审办法</w:t>
      </w:r>
    </w:p>
    <w:p>
      <w:pPr>
        <w:snapToGrid w:val="0"/>
        <w:spacing w:line="360" w:lineRule="auto"/>
        <w:jc w:val="center"/>
        <w:rPr>
          <w:rFonts w:ascii="宋体" w:hAnsi="宋体" w:cs="宋体"/>
          <w:b/>
          <w:sz w:val="32"/>
          <w:szCs w:val="20"/>
        </w:rPr>
      </w:pPr>
      <w:r>
        <w:rPr>
          <w:rFonts w:hint="eastAsia" w:ascii="宋体" w:hAnsi="宋体" w:cs="宋体"/>
          <w:b/>
          <w:sz w:val="32"/>
          <w:szCs w:val="20"/>
          <w:lang w:val="en-US" w:eastAsia="zh-CN"/>
        </w:rPr>
        <w:t>商务技术评分表</w:t>
      </w:r>
    </w:p>
    <w:tbl>
      <w:tblPr>
        <w:tblStyle w:val="62"/>
        <w:tblW w:w="9897" w:type="dxa"/>
        <w:jc w:val="center"/>
        <w:tblLayout w:type="fixed"/>
        <w:tblCellMar>
          <w:top w:w="0" w:type="dxa"/>
          <w:left w:w="0" w:type="dxa"/>
          <w:bottom w:w="0" w:type="dxa"/>
          <w:right w:w="0" w:type="dxa"/>
        </w:tblCellMar>
      </w:tblPr>
      <w:tblGrid>
        <w:gridCol w:w="597"/>
        <w:gridCol w:w="1422"/>
        <w:gridCol w:w="7318"/>
        <w:gridCol w:w="560"/>
      </w:tblGrid>
      <w:tr>
        <w:tblPrEx>
          <w:tblCellMar>
            <w:top w:w="0" w:type="dxa"/>
            <w:left w:w="0" w:type="dxa"/>
            <w:bottom w:w="0" w:type="dxa"/>
            <w:right w:w="0" w:type="dxa"/>
          </w:tblCellMar>
        </w:tblPrEx>
        <w:trPr>
          <w:trHeight w:val="90" w:hRule="atLeast"/>
          <w:jc w:val="center"/>
        </w:trPr>
        <w:tc>
          <w:tcPr>
            <w:tcW w:w="597" w:type="dxa"/>
            <w:tcBorders>
              <w:top w:val="single" w:color="000000" w:sz="8" w:space="0"/>
              <w:left w:val="single" w:color="000000" w:sz="8"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Times New Roman"/>
                <w:b/>
                <w:bCs/>
                <w:sz w:val="24"/>
                <w:szCs w:val="24"/>
              </w:rPr>
            </w:pPr>
            <w:r>
              <w:rPr>
                <w:rFonts w:hint="eastAsia" w:ascii="仿宋" w:hAnsi="仿宋" w:eastAsia="仿宋" w:cs="仿宋"/>
                <w:b/>
                <w:bCs/>
                <w:kern w:val="0"/>
                <w:sz w:val="24"/>
                <w:szCs w:val="24"/>
              </w:rPr>
              <w:t>序号</w:t>
            </w:r>
          </w:p>
        </w:tc>
        <w:tc>
          <w:tcPr>
            <w:tcW w:w="1422" w:type="dxa"/>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Times New Roman"/>
                <w:b/>
                <w:bCs/>
                <w:sz w:val="24"/>
                <w:szCs w:val="24"/>
              </w:rPr>
            </w:pPr>
            <w:r>
              <w:rPr>
                <w:rFonts w:hint="eastAsia" w:ascii="仿宋" w:hAnsi="仿宋" w:eastAsia="仿宋" w:cs="仿宋"/>
                <w:b/>
                <w:bCs/>
                <w:kern w:val="0"/>
                <w:sz w:val="24"/>
                <w:szCs w:val="24"/>
              </w:rPr>
              <w:t>评分内容</w:t>
            </w:r>
          </w:p>
        </w:tc>
        <w:tc>
          <w:tcPr>
            <w:tcW w:w="7318" w:type="dxa"/>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Times New Roman"/>
                <w:b/>
                <w:bCs/>
                <w:sz w:val="24"/>
                <w:szCs w:val="24"/>
              </w:rPr>
            </w:pPr>
            <w:r>
              <w:rPr>
                <w:rFonts w:hint="eastAsia" w:ascii="仿宋" w:hAnsi="仿宋" w:eastAsia="仿宋" w:cs="仿宋"/>
                <w:b/>
                <w:bCs/>
                <w:kern w:val="0"/>
                <w:sz w:val="24"/>
                <w:szCs w:val="24"/>
              </w:rPr>
              <w:t>评分标准</w:t>
            </w:r>
          </w:p>
        </w:tc>
        <w:tc>
          <w:tcPr>
            <w:tcW w:w="560" w:type="dxa"/>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Times New Roman"/>
                <w:b/>
                <w:bCs/>
                <w:color w:val="auto"/>
                <w:sz w:val="24"/>
                <w:szCs w:val="24"/>
              </w:rPr>
            </w:pPr>
            <w:r>
              <w:rPr>
                <w:rFonts w:hint="eastAsia" w:ascii="仿宋" w:hAnsi="仿宋" w:eastAsia="仿宋" w:cs="仿宋"/>
                <w:b/>
                <w:bCs/>
                <w:color w:val="auto"/>
                <w:kern w:val="0"/>
                <w:sz w:val="24"/>
                <w:szCs w:val="24"/>
              </w:rPr>
              <w:t>满分</w:t>
            </w:r>
          </w:p>
        </w:tc>
      </w:tr>
      <w:tr>
        <w:tblPrEx>
          <w:tblCellMar>
            <w:top w:w="0" w:type="dxa"/>
            <w:left w:w="0" w:type="dxa"/>
            <w:bottom w:w="0" w:type="dxa"/>
            <w:right w:w="0" w:type="dxa"/>
          </w:tblCellMar>
        </w:tblPrEx>
        <w:trPr>
          <w:trHeight w:val="585" w:hRule="atLeast"/>
          <w:jc w:val="center"/>
        </w:trPr>
        <w:tc>
          <w:tcPr>
            <w:tcW w:w="597"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ascii="仿宋" w:hAnsi="仿宋" w:eastAsia="仿宋" w:cs="仿宋"/>
                <w:kern w:val="2"/>
                <w:sz w:val="21"/>
                <w:szCs w:val="21"/>
                <w:lang w:val="en-US" w:eastAsia="zh-CN" w:bidi="ar-SA"/>
              </w:rPr>
            </w:pPr>
            <w:r>
              <w:rPr>
                <w:rFonts w:ascii="仿宋" w:hAnsi="仿宋" w:eastAsia="仿宋" w:cs="仿宋"/>
              </w:rPr>
              <w:t>1</w:t>
            </w:r>
          </w:p>
        </w:tc>
        <w:tc>
          <w:tcPr>
            <w:tcW w:w="14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投标技术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材料</w:t>
            </w:r>
          </w:p>
        </w:tc>
        <w:tc>
          <w:tcPr>
            <w:tcW w:w="73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仿宋" w:hAnsi="仿宋" w:eastAsia="仿宋" w:cs="仿宋"/>
                <w:lang w:val="en-US" w:eastAsia="zh-CN"/>
              </w:rPr>
            </w:pPr>
            <w:r>
              <w:rPr>
                <w:rFonts w:hint="eastAsia" w:ascii="仿宋" w:hAnsi="仿宋" w:eastAsia="仿宋" w:cs="仿宋"/>
                <w:color w:val="auto"/>
                <w:lang w:val="en-US" w:eastAsia="zh-CN"/>
              </w:rPr>
              <w:t>技术设计、经费预算、施工组织设计等重要投标内容齐全、完整得2分；缺少技术设计、经费预算、施工组织设计等重要投标内容之一的，本项不得分，且以下相关评分内容均不得分;</w:t>
            </w:r>
          </w:p>
        </w:tc>
        <w:tc>
          <w:tcPr>
            <w:tcW w:w="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b/>
                <w:bCs/>
                <w:color w:val="auto"/>
                <w:kern w:val="2"/>
                <w:sz w:val="24"/>
                <w:szCs w:val="24"/>
                <w:lang w:val="en-US" w:eastAsia="zh-CN" w:bidi="ar-SA"/>
              </w:rPr>
            </w:pPr>
            <w:r>
              <w:rPr>
                <w:rFonts w:ascii="宋体" w:hAnsi="宋体" w:cs="宋体"/>
                <w:b/>
                <w:bCs/>
                <w:color w:val="auto"/>
                <w:sz w:val="24"/>
                <w:szCs w:val="24"/>
              </w:rPr>
              <w:t>2</w:t>
            </w:r>
          </w:p>
        </w:tc>
      </w:tr>
      <w:tr>
        <w:tblPrEx>
          <w:tblCellMar>
            <w:top w:w="0" w:type="dxa"/>
            <w:left w:w="0" w:type="dxa"/>
            <w:bottom w:w="0" w:type="dxa"/>
            <w:right w:w="0" w:type="dxa"/>
          </w:tblCellMar>
        </w:tblPrEx>
        <w:trPr>
          <w:trHeight w:val="730" w:hRule="atLeast"/>
          <w:jc w:val="center"/>
        </w:trPr>
        <w:tc>
          <w:tcPr>
            <w:tcW w:w="597"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ascii="仿宋" w:hAnsi="仿宋" w:eastAsia="仿宋" w:cs="仿宋"/>
                <w:kern w:val="2"/>
                <w:sz w:val="21"/>
                <w:szCs w:val="21"/>
                <w:lang w:val="en-US" w:eastAsia="zh-CN" w:bidi="ar-SA"/>
              </w:rPr>
            </w:pPr>
            <w:r>
              <w:rPr>
                <w:rFonts w:ascii="仿宋" w:hAnsi="仿宋" w:eastAsia="仿宋" w:cs="仿宋"/>
              </w:rPr>
              <w:t>2</w:t>
            </w:r>
          </w:p>
        </w:tc>
        <w:tc>
          <w:tcPr>
            <w:tcW w:w="14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设计书内容及质量</w:t>
            </w:r>
          </w:p>
        </w:tc>
        <w:tc>
          <w:tcPr>
            <w:tcW w:w="73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1.目标任务明确，符合治理目标和实际，满足相关标准、规范得5分；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2.工作内容、工程布置、工程量合理18分；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lang w:val="en-US" w:eastAsia="zh-CN"/>
              </w:rPr>
            </w:pPr>
            <w:r>
              <w:rPr>
                <w:rFonts w:hint="eastAsia" w:ascii="仿宋" w:hAnsi="仿宋" w:eastAsia="仿宋" w:cs="仿宋"/>
                <w:lang w:val="en-US" w:eastAsia="zh-CN"/>
              </w:rPr>
              <w:t>3.</w:t>
            </w:r>
            <w:r>
              <w:rPr>
                <w:rFonts w:hint="eastAsia" w:ascii="仿宋" w:hAnsi="仿宋" w:eastAsia="仿宋"/>
                <w:color w:val="auto"/>
                <w:szCs w:val="21"/>
                <w:highlight w:val="none"/>
              </w:rPr>
              <w:t>进度安排明确</w:t>
            </w:r>
            <w:r>
              <w:rPr>
                <w:rFonts w:hint="eastAsia" w:ascii="仿宋" w:hAnsi="仿宋" w:eastAsia="仿宋" w:cs="仿宋"/>
                <w:lang w:val="en-US" w:eastAsia="zh-CN"/>
              </w:rPr>
              <w:t>得2分；</w:t>
            </w:r>
          </w:p>
        </w:tc>
        <w:tc>
          <w:tcPr>
            <w:tcW w:w="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eastAsia="宋体" w:cs="Times New Roman"/>
                <w:b/>
                <w:bCs/>
                <w:color w:val="auto"/>
                <w:kern w:val="2"/>
                <w:sz w:val="24"/>
                <w:szCs w:val="24"/>
                <w:lang w:val="en-US" w:eastAsia="zh-CN" w:bidi="ar-SA"/>
              </w:rPr>
            </w:pPr>
            <w:r>
              <w:rPr>
                <w:rFonts w:hint="eastAsia" w:ascii="宋体" w:cs="Times New Roman"/>
                <w:b/>
                <w:bCs/>
                <w:color w:val="auto"/>
                <w:kern w:val="2"/>
                <w:sz w:val="24"/>
                <w:szCs w:val="24"/>
                <w:lang w:val="en-US" w:eastAsia="zh-CN" w:bidi="ar-SA"/>
              </w:rPr>
              <w:t>25</w:t>
            </w:r>
          </w:p>
        </w:tc>
      </w:tr>
      <w:tr>
        <w:tblPrEx>
          <w:tblCellMar>
            <w:top w:w="0" w:type="dxa"/>
            <w:left w:w="0" w:type="dxa"/>
            <w:bottom w:w="0" w:type="dxa"/>
            <w:right w:w="0" w:type="dxa"/>
          </w:tblCellMar>
        </w:tblPrEx>
        <w:trPr>
          <w:trHeight w:val="1086" w:hRule="atLeast"/>
          <w:jc w:val="center"/>
        </w:trPr>
        <w:tc>
          <w:tcPr>
            <w:tcW w:w="597" w:type="dxa"/>
            <w:tcBorders>
              <w:top w:val="single" w:color="000000" w:sz="4" w:space="0"/>
              <w:left w:val="single" w:color="000000" w:sz="8" w:space="0"/>
              <w:right w:val="single" w:color="000000" w:sz="4" w:space="0"/>
            </w:tcBorders>
            <w:noWrap/>
            <w:tcMar>
              <w:top w:w="12" w:type="dxa"/>
              <w:left w:w="12" w:type="dxa"/>
              <w:right w:w="12" w:type="dxa"/>
            </w:tcMar>
            <w:vAlign w:val="center"/>
          </w:tcPr>
          <w:p>
            <w:pPr>
              <w:spacing w:line="276" w:lineRule="auto"/>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1422" w:type="dxa"/>
            <w:tcBorders>
              <w:top w:val="single" w:color="000000" w:sz="4" w:space="0"/>
              <w:left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施工组织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 w:hAnsi="仿宋" w:eastAsia="仿宋" w:cs="Times New Roman"/>
                <w:kern w:val="2"/>
                <w:sz w:val="21"/>
                <w:szCs w:val="21"/>
                <w:lang w:val="en-US" w:eastAsia="zh-CN" w:bidi="ar-SA"/>
              </w:rPr>
            </w:pPr>
            <w:r>
              <w:rPr>
                <w:rFonts w:hint="eastAsia" w:ascii="仿宋" w:hAnsi="仿宋" w:eastAsia="仿宋" w:cs="仿宋"/>
                <w:lang w:val="en-US" w:eastAsia="zh-CN"/>
              </w:rPr>
              <w:t>设计内容及质量</w:t>
            </w:r>
          </w:p>
        </w:tc>
        <w:tc>
          <w:tcPr>
            <w:tcW w:w="7318" w:type="dxa"/>
            <w:tcBorders>
              <w:top w:val="single" w:color="000000" w:sz="4" w:space="0"/>
              <w:left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1.施工组织设计和设计书相匹配，施工工作量、施工方法、施工组织与施工图设计衔接合理得10分；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2.整体及分部、分项工程技术、标准和质量要求明确得8分；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3.施工图设计齐全、图件规范、图面美观2分。</w:t>
            </w:r>
          </w:p>
        </w:tc>
        <w:tc>
          <w:tcPr>
            <w:tcW w:w="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20</w:t>
            </w:r>
          </w:p>
        </w:tc>
      </w:tr>
      <w:tr>
        <w:tblPrEx>
          <w:tblCellMar>
            <w:top w:w="0" w:type="dxa"/>
            <w:left w:w="0" w:type="dxa"/>
            <w:bottom w:w="0" w:type="dxa"/>
            <w:right w:w="0" w:type="dxa"/>
          </w:tblCellMar>
        </w:tblPrEx>
        <w:trPr>
          <w:trHeight w:val="1020" w:hRule="atLeast"/>
          <w:jc w:val="center"/>
        </w:trPr>
        <w:tc>
          <w:tcPr>
            <w:tcW w:w="597"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14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hint="default"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保障措施</w:t>
            </w:r>
          </w:p>
        </w:tc>
        <w:tc>
          <w:tcPr>
            <w:tcW w:w="73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1.组织管理机构保障，健全明确得2分；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2.施工进度保障体系及主要措施有效得2分；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3.施工安全保障体系及主要措施有效得2分；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4.绿色施工保障体系及主要措施有效得2分。</w:t>
            </w:r>
          </w:p>
        </w:tc>
        <w:tc>
          <w:tcPr>
            <w:tcW w:w="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eastAsia="宋体" w:cs="Times New Roman"/>
                <w:b/>
                <w:bCs/>
                <w:color w:val="auto"/>
                <w:kern w:val="2"/>
                <w:sz w:val="24"/>
                <w:szCs w:val="24"/>
                <w:lang w:val="en-US" w:eastAsia="zh-CN" w:bidi="ar-SA"/>
              </w:rPr>
            </w:pPr>
            <w:r>
              <w:rPr>
                <w:rFonts w:hint="eastAsia" w:ascii="宋体" w:hAnsi="宋体" w:cs="宋体"/>
                <w:b/>
                <w:bCs/>
                <w:color w:val="auto"/>
                <w:kern w:val="0"/>
                <w:sz w:val="24"/>
                <w:szCs w:val="24"/>
                <w:lang w:val="en-US" w:eastAsia="zh-CN"/>
              </w:rPr>
              <w:t>8</w:t>
            </w:r>
          </w:p>
        </w:tc>
      </w:tr>
      <w:tr>
        <w:tblPrEx>
          <w:tblCellMar>
            <w:top w:w="0" w:type="dxa"/>
            <w:left w:w="0" w:type="dxa"/>
            <w:bottom w:w="0" w:type="dxa"/>
            <w:right w:w="0" w:type="dxa"/>
          </w:tblCellMar>
        </w:tblPrEx>
        <w:trPr>
          <w:trHeight w:val="758" w:hRule="atLeast"/>
          <w:jc w:val="center"/>
        </w:trPr>
        <w:tc>
          <w:tcPr>
            <w:tcW w:w="597"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4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预算编制标准及内容</w:t>
            </w:r>
          </w:p>
        </w:tc>
        <w:tc>
          <w:tcPr>
            <w:tcW w:w="73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1.预算表式完整、齐全得1分；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2.预算依据的主要标准准确、适宜，相应技术条件选取正确得3分；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3.预算明细项不存在缺项、漏项及增项得4分。</w:t>
            </w:r>
          </w:p>
        </w:tc>
        <w:tc>
          <w:tcPr>
            <w:tcW w:w="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Times New Roman"/>
                <w:color w:val="auto"/>
                <w:lang w:eastAsia="zh-CN"/>
              </w:rPr>
            </w:pPr>
            <w:r>
              <w:rPr>
                <w:rFonts w:hint="eastAsia" w:ascii="仿宋" w:hAnsi="仿宋" w:eastAsia="仿宋" w:cs="仿宋"/>
                <w:b/>
                <w:bCs/>
                <w:color w:val="auto"/>
                <w:kern w:val="0"/>
                <w:sz w:val="24"/>
                <w:szCs w:val="24"/>
                <w:lang w:val="en-US" w:eastAsia="zh-CN"/>
              </w:rPr>
              <w:t>8</w:t>
            </w:r>
          </w:p>
        </w:tc>
      </w:tr>
      <w:tr>
        <w:tblPrEx>
          <w:tblCellMar>
            <w:top w:w="0" w:type="dxa"/>
            <w:left w:w="0" w:type="dxa"/>
            <w:bottom w:w="0" w:type="dxa"/>
            <w:right w:w="0" w:type="dxa"/>
          </w:tblCellMar>
        </w:tblPrEx>
        <w:trPr>
          <w:trHeight w:val="750" w:hRule="atLeast"/>
          <w:jc w:val="center"/>
        </w:trPr>
        <w:tc>
          <w:tcPr>
            <w:tcW w:w="597"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hint="default" w:ascii="仿宋" w:hAnsi="仿宋" w:eastAsia="仿宋" w:cs="仿宋"/>
                <w:lang w:val="en-US" w:eastAsia="zh-CN"/>
              </w:rPr>
            </w:pPr>
            <w:r>
              <w:rPr>
                <w:rFonts w:hint="eastAsia" w:ascii="仿宋" w:hAnsi="仿宋" w:eastAsia="仿宋" w:cs="仿宋"/>
                <w:lang w:val="en-US" w:eastAsia="zh-CN"/>
              </w:rPr>
              <w:t>6</w:t>
            </w:r>
          </w:p>
        </w:tc>
        <w:tc>
          <w:tcPr>
            <w:tcW w:w="14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预算工作量与设计书工作量衔接</w:t>
            </w:r>
          </w:p>
        </w:tc>
        <w:tc>
          <w:tcPr>
            <w:tcW w:w="73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预算工作量与设计书具体工作量部署完全一致得2分。</w:t>
            </w:r>
          </w:p>
        </w:tc>
        <w:tc>
          <w:tcPr>
            <w:tcW w:w="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2</w:t>
            </w:r>
          </w:p>
        </w:tc>
      </w:tr>
      <w:tr>
        <w:tblPrEx>
          <w:tblCellMar>
            <w:top w:w="0" w:type="dxa"/>
            <w:left w:w="0" w:type="dxa"/>
            <w:bottom w:w="0" w:type="dxa"/>
            <w:right w:w="0" w:type="dxa"/>
          </w:tblCellMar>
        </w:tblPrEx>
        <w:trPr>
          <w:trHeight w:val="706" w:hRule="atLeast"/>
          <w:jc w:val="center"/>
        </w:trPr>
        <w:tc>
          <w:tcPr>
            <w:tcW w:w="597"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hint="default" w:ascii="仿宋" w:hAnsi="仿宋" w:eastAsia="仿宋" w:cs="仿宋"/>
                <w:lang w:val="en-US" w:eastAsia="zh-CN"/>
              </w:rPr>
            </w:pPr>
            <w:r>
              <w:rPr>
                <w:rFonts w:hint="eastAsia" w:ascii="仿宋" w:hAnsi="仿宋" w:eastAsia="仿宋" w:cs="仿宋"/>
                <w:lang w:val="en-US" w:eastAsia="zh-CN"/>
              </w:rPr>
              <w:t>7</w:t>
            </w:r>
          </w:p>
        </w:tc>
        <w:tc>
          <w:tcPr>
            <w:tcW w:w="14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预算编制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说明</w:t>
            </w:r>
          </w:p>
        </w:tc>
        <w:tc>
          <w:tcPr>
            <w:tcW w:w="73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1.预算组成完整及工程量预算计算方法正确得2分；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2.工程技术指标分析全面得1分。</w:t>
            </w:r>
          </w:p>
        </w:tc>
        <w:tc>
          <w:tcPr>
            <w:tcW w:w="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bCs/>
                <w:color w:val="auto"/>
                <w:kern w:val="0"/>
                <w:sz w:val="24"/>
                <w:szCs w:val="24"/>
                <w:lang w:eastAsia="zh-CN"/>
              </w:rPr>
            </w:pPr>
            <w:r>
              <w:rPr>
                <w:rFonts w:hint="eastAsia" w:ascii="仿宋" w:hAnsi="仿宋" w:eastAsia="仿宋" w:cs="仿宋"/>
                <w:b/>
                <w:bCs/>
                <w:color w:val="auto"/>
                <w:kern w:val="0"/>
                <w:sz w:val="24"/>
                <w:szCs w:val="24"/>
                <w:lang w:val="en-US" w:eastAsia="zh-CN"/>
              </w:rPr>
              <w:t>3</w:t>
            </w:r>
          </w:p>
        </w:tc>
      </w:tr>
      <w:tr>
        <w:tblPrEx>
          <w:tblCellMar>
            <w:top w:w="0" w:type="dxa"/>
            <w:left w:w="0" w:type="dxa"/>
            <w:bottom w:w="0" w:type="dxa"/>
            <w:right w:w="0" w:type="dxa"/>
          </w:tblCellMar>
        </w:tblPrEx>
        <w:trPr>
          <w:trHeight w:val="610" w:hRule="atLeast"/>
          <w:jc w:val="center"/>
        </w:trPr>
        <w:tc>
          <w:tcPr>
            <w:tcW w:w="597"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hint="default" w:ascii="仿宋" w:hAnsi="仿宋" w:eastAsia="仿宋" w:cs="仿宋"/>
                <w:lang w:val="en-US" w:eastAsia="zh-CN"/>
              </w:rPr>
            </w:pPr>
            <w:r>
              <w:rPr>
                <w:rFonts w:hint="eastAsia" w:ascii="仿宋" w:hAnsi="仿宋" w:eastAsia="仿宋" w:cs="仿宋"/>
                <w:lang w:val="en-US" w:eastAsia="zh-CN"/>
              </w:rPr>
              <w:t>8</w:t>
            </w:r>
          </w:p>
        </w:tc>
        <w:tc>
          <w:tcPr>
            <w:tcW w:w="14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hint="eastAsia" w:ascii="仿宋" w:hAnsi="仿宋" w:eastAsia="仿宋" w:cs="Times New Roman"/>
                <w:color w:val="auto"/>
                <w:lang w:val="en-US" w:eastAsia="zh-CN"/>
              </w:rPr>
            </w:pPr>
            <w:r>
              <w:rPr>
                <w:rFonts w:hint="eastAsia" w:ascii="仿宋" w:hAnsi="仿宋" w:eastAsia="仿宋" w:cs="仿宋"/>
                <w:lang w:val="en-US" w:eastAsia="zh-CN"/>
              </w:rPr>
              <w:t>主要业绩</w:t>
            </w:r>
          </w:p>
        </w:tc>
        <w:tc>
          <w:tcPr>
            <w:tcW w:w="73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近三年每项类似业绩并提供证明材料得1分，最高得2分。</w:t>
            </w:r>
          </w:p>
        </w:tc>
        <w:tc>
          <w:tcPr>
            <w:tcW w:w="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bCs/>
                <w:color w:val="auto"/>
                <w:kern w:val="0"/>
                <w:sz w:val="24"/>
                <w:szCs w:val="24"/>
                <w:lang w:eastAsia="zh-CN"/>
              </w:rPr>
            </w:pPr>
            <w:r>
              <w:rPr>
                <w:rFonts w:hint="eastAsia" w:ascii="仿宋" w:hAnsi="仿宋" w:eastAsia="仿宋" w:cs="仿宋"/>
                <w:b/>
                <w:bCs/>
                <w:color w:val="auto"/>
                <w:kern w:val="0"/>
                <w:sz w:val="24"/>
                <w:szCs w:val="24"/>
                <w:lang w:val="en-US" w:eastAsia="zh-CN"/>
              </w:rPr>
              <w:t>2</w:t>
            </w:r>
          </w:p>
        </w:tc>
      </w:tr>
      <w:tr>
        <w:tblPrEx>
          <w:tblCellMar>
            <w:top w:w="0" w:type="dxa"/>
            <w:left w:w="0" w:type="dxa"/>
            <w:bottom w:w="0" w:type="dxa"/>
            <w:right w:w="0" w:type="dxa"/>
          </w:tblCellMar>
        </w:tblPrEx>
        <w:trPr>
          <w:trHeight w:val="458" w:hRule="atLeast"/>
          <w:jc w:val="center"/>
        </w:trPr>
        <w:tc>
          <w:tcPr>
            <w:tcW w:w="9337" w:type="dxa"/>
            <w:gridSpan w:val="3"/>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ascii="仿宋" w:hAnsi="仿宋" w:eastAsia="仿宋" w:cs="仿宋"/>
                <w:b/>
                <w:bCs/>
                <w:color w:val="auto"/>
              </w:rPr>
            </w:pPr>
            <w:r>
              <w:rPr>
                <w:rFonts w:hint="eastAsia" w:ascii="仿宋" w:hAnsi="仿宋" w:eastAsia="仿宋" w:cs="仿宋"/>
                <w:b/>
                <w:bCs/>
                <w:color w:val="auto"/>
              </w:rPr>
              <w:t>总得分</w:t>
            </w:r>
            <w:r>
              <w:rPr>
                <w:rFonts w:ascii="仿宋" w:hAnsi="仿宋" w:eastAsia="仿宋" w:cs="仿宋"/>
                <w:b/>
                <w:bCs/>
                <w:color w:val="auto"/>
              </w:rPr>
              <w:t>V</w:t>
            </w:r>
          </w:p>
        </w:tc>
        <w:tc>
          <w:tcPr>
            <w:tcW w:w="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76" w:lineRule="auto"/>
              <w:jc w:val="center"/>
              <w:rPr>
                <w:rFonts w:hint="eastAsia" w:ascii="仿宋" w:hAnsi="仿宋" w:eastAsia="仿宋" w:cs="仿宋"/>
                <w:b/>
                <w:bCs/>
                <w:color w:val="auto"/>
              </w:rPr>
            </w:pPr>
            <w:r>
              <w:rPr>
                <w:rFonts w:hint="eastAsia" w:ascii="仿宋" w:hAnsi="仿宋" w:eastAsia="仿宋" w:cs="仿宋"/>
                <w:b/>
                <w:bCs/>
                <w:color w:val="auto"/>
                <w:lang w:val="en-US" w:eastAsia="zh-CN"/>
              </w:rPr>
              <w:t>7</w:t>
            </w:r>
            <w:r>
              <w:rPr>
                <w:rFonts w:hint="eastAsia" w:ascii="仿宋" w:hAnsi="仿宋" w:eastAsia="仿宋" w:cs="仿宋"/>
                <w:b/>
                <w:bCs/>
                <w:color w:val="auto"/>
              </w:rPr>
              <w:t>0</w:t>
            </w:r>
          </w:p>
        </w:tc>
      </w:tr>
    </w:tbl>
    <w:p>
      <w:pPr>
        <w:rPr>
          <w:rFonts w:hint="eastAsia" w:ascii="仿宋" w:hAnsi="仿宋" w:eastAsia="仿宋" w:cs="仿宋"/>
          <w:b/>
          <w:bCs/>
          <w:color w:val="auto"/>
          <w:sz w:val="32"/>
          <w:szCs w:val="32"/>
        </w:rPr>
      </w:pPr>
    </w:p>
    <w:p>
      <w:pPr>
        <w:jc w:val="center"/>
        <w:rPr>
          <w:rFonts w:hint="eastAsia" w:ascii="仿宋" w:hAnsi="仿宋" w:eastAsia="仿宋" w:cs="Times New Roman"/>
          <w:b/>
          <w:bCs/>
          <w:color w:val="auto"/>
          <w:sz w:val="40"/>
          <w:szCs w:val="40"/>
          <w:lang w:val="en-US" w:eastAsia="zh-CN"/>
        </w:rPr>
      </w:pPr>
      <w:r>
        <w:rPr>
          <w:rFonts w:hint="eastAsia" w:ascii="仿宋" w:hAnsi="仿宋" w:eastAsia="仿宋" w:cs="仿宋"/>
          <w:b/>
          <w:bCs/>
          <w:color w:val="auto"/>
          <w:sz w:val="32"/>
          <w:szCs w:val="32"/>
        </w:rPr>
        <w:t>报价评分</w:t>
      </w:r>
      <w:r>
        <w:rPr>
          <w:rFonts w:hint="eastAsia" w:ascii="仿宋" w:hAnsi="仿宋" w:eastAsia="仿宋" w:cs="仿宋"/>
          <w:b/>
          <w:bCs/>
          <w:color w:val="auto"/>
          <w:sz w:val="32"/>
          <w:szCs w:val="32"/>
          <w:lang w:val="en-US" w:eastAsia="zh-CN"/>
        </w:rPr>
        <w:t>表</w:t>
      </w:r>
    </w:p>
    <w:tbl>
      <w:tblPr>
        <w:tblStyle w:val="62"/>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11"/>
        <w:gridCol w:w="7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135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Times New Roman"/>
              </w:rPr>
            </w:pPr>
            <w:r>
              <w:rPr>
                <w:rFonts w:hint="eastAsia" w:ascii="仿宋" w:hAnsi="仿宋" w:eastAsia="仿宋" w:cs="仿宋"/>
              </w:rPr>
              <w:t>报价评审</w:t>
            </w:r>
          </w:p>
        </w:tc>
        <w:tc>
          <w:tcPr>
            <w:tcW w:w="101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lang w:val="en-US" w:eastAsia="zh-CN"/>
              </w:rPr>
            </w:pPr>
            <w:r>
              <w:rPr>
                <w:rFonts w:ascii="仿宋" w:hAnsi="仿宋" w:eastAsia="仿宋" w:cs="仿宋"/>
              </w:rPr>
              <w:t>30</w:t>
            </w:r>
            <w:r>
              <w:rPr>
                <w:rFonts w:hint="eastAsia" w:ascii="仿宋" w:hAnsi="仿宋" w:eastAsia="仿宋" w:cs="仿宋"/>
                <w:lang w:val="en-US" w:eastAsia="zh-CN"/>
              </w:rPr>
              <w:t>分</w:t>
            </w:r>
          </w:p>
        </w:tc>
        <w:tc>
          <w:tcPr>
            <w:tcW w:w="7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各供应商的价格得分的计算公式：满足招标文件要求且投标价格最低的有效投标报价为评标基准价，其价格分为满分。其他投标人的价格分统一按照下列公式计算：投标报价得分=(评标基准价／投标报价)×价格权值；计算分数时四舍五入取小数点后两位。由监标人员负责核准每个合格供应商的价格得分。（注：若报价单位为中小企业、监狱企业、残疾人福利企业，其投标报价扣除 10 %后参与评审，提供相关证明资料，否则无效。）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6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Times New Roman"/>
              </w:rPr>
            </w:pPr>
            <w:r>
              <w:rPr>
                <w:rFonts w:hint="eastAsia" w:ascii="仿宋" w:hAnsi="仿宋" w:eastAsia="仿宋" w:cs="仿宋"/>
              </w:rPr>
              <w:t>报价分合计</w:t>
            </w:r>
          </w:p>
        </w:tc>
        <w:tc>
          <w:tcPr>
            <w:tcW w:w="757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Times New Roman"/>
              </w:rPr>
            </w:pPr>
            <w:r>
              <w:rPr>
                <w:rFonts w:ascii="仿宋" w:hAnsi="仿宋" w:eastAsia="仿宋" w:cs="仿宋"/>
              </w:rPr>
              <w:t>30</w:t>
            </w:r>
            <w:r>
              <w:rPr>
                <w:rFonts w:hint="eastAsia" w:ascii="仿宋" w:hAnsi="仿宋" w:eastAsia="仿宋" w:cs="仿宋"/>
              </w:rPr>
              <w:t>分</w:t>
            </w:r>
          </w:p>
        </w:tc>
      </w:tr>
    </w:tbl>
    <w:p>
      <w:pPr>
        <w:snapToGrid w:val="0"/>
        <w:spacing w:line="360" w:lineRule="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供应商编制响应文件（商务技术文件部分）时，建议按此目录（序号和内容）提供评审标准相应的商务技术资料。 </w:t>
      </w:r>
    </w:p>
    <w:p>
      <w:pPr>
        <w:jc w:val="left"/>
        <w:rPr>
          <w:rFonts w:ascii="宋体" w:hAnsi="宋体" w:cs="宋体"/>
          <w:b/>
          <w:sz w:val="32"/>
        </w:rPr>
      </w:pPr>
      <w:r>
        <w:rPr>
          <w:rFonts w:hint="eastAsia" w:ascii="宋体" w:hAnsi="宋体" w:cs="宋体"/>
          <w:b/>
          <w:sz w:val="32"/>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宋体" w:hAnsi="宋体" w:cs="宋体"/>
          <w:b/>
          <w:sz w:val="28"/>
          <w:szCs w:val="28"/>
        </w:rPr>
      </w:pPr>
      <w:r>
        <w:rPr>
          <w:rFonts w:hint="eastAsia" w:ascii="宋体" w:hAnsi="宋体" w:cs="宋体"/>
          <w:b/>
          <w:sz w:val="32"/>
        </w:rPr>
        <w:t>一、评审方法</w:t>
      </w:r>
    </w:p>
    <w:p>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cs="宋体"/>
          <w:b/>
          <w:sz w:val="32"/>
        </w:rPr>
      </w:pPr>
      <w:r>
        <w:rPr>
          <w:rFonts w:hint="eastAsia" w:ascii="宋体" w:hAnsi="宋体" w:cs="宋体"/>
          <w:b/>
          <w:sz w:val="32"/>
        </w:rPr>
        <w:t>二、评审标准</w:t>
      </w:r>
    </w:p>
    <w:p>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评审标准：</w:t>
      </w:r>
      <w:r>
        <w:rPr>
          <w:rFonts w:hint="eastAsia" w:ascii="宋体" w:hAnsi="宋体" w:cs="宋体"/>
          <w:kern w:val="0"/>
          <w:sz w:val="24"/>
        </w:rPr>
        <w:t>见评审办法前附表。</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cs="宋体"/>
          <w:b/>
          <w:sz w:val="32"/>
        </w:rPr>
      </w:pPr>
      <w:r>
        <w:rPr>
          <w:rFonts w:hint="eastAsia" w:ascii="宋体" w:hAnsi="宋体" w:cs="宋体"/>
          <w:b/>
          <w:sz w:val="32"/>
        </w:rPr>
        <w:t>三、评审程序</w:t>
      </w:r>
    </w:p>
    <w:p>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磋商小组应当对符合资格的供应商的响应文件进行符合性审查，以确定其是否满足采购文件的实质性要求。不满足采购文件的实质性要求的，响应文件无效。</w:t>
      </w:r>
    </w:p>
    <w:p>
      <w:pPr>
        <w:spacing w:line="360" w:lineRule="auto"/>
        <w:ind w:firstLine="472" w:firstLineChars="196"/>
        <w:rPr>
          <w:rFonts w:ascii="宋体" w:hAnsi="宋体" w:cs="宋体"/>
          <w:sz w:val="24"/>
        </w:rPr>
      </w:pPr>
      <w:r>
        <w:rPr>
          <w:rFonts w:hint="eastAsia" w:ascii="宋体" w:hAnsi="宋体" w:cs="宋体"/>
          <w:b/>
          <w:kern w:val="0"/>
          <w:sz w:val="24"/>
        </w:rPr>
        <w:t>3.2 磋商。</w:t>
      </w:r>
      <w:r>
        <w:rPr>
          <w:rFonts w:hint="eastAsia" w:ascii="宋体" w:hAnsi="宋体" w:cs="宋体"/>
          <w:sz w:val="24"/>
        </w:rPr>
        <w:t>磋商小组将对确定为实质性响应本采购文件的响应文件进行详细评价和比较，主要就资信、服务方案内容、服务承诺等磋商小组认为与本次采购有关的因素与</w:t>
      </w:r>
      <w:r>
        <w:rPr>
          <w:rFonts w:hint="eastAsia" w:ascii="宋体" w:hAnsi="宋体" w:cs="宋体"/>
          <w:kern w:val="0"/>
          <w:sz w:val="24"/>
        </w:rPr>
        <w:t>符合性审查合格的</w:t>
      </w:r>
      <w:r>
        <w:rPr>
          <w:rFonts w:hint="eastAsia" w:ascii="宋体" w:hAnsi="宋体" w:cs="宋体"/>
          <w:sz w:val="24"/>
        </w:rPr>
        <w:t>供应商逐一进行磋商。</w:t>
      </w:r>
    </w:p>
    <w:p>
      <w:pPr>
        <w:spacing w:line="360" w:lineRule="auto"/>
        <w:ind w:firstLine="470" w:firstLineChars="196"/>
        <w:rPr>
          <w:rFonts w:ascii="宋体" w:hAnsi="宋体" w:cs="宋体"/>
          <w:sz w:val="24"/>
        </w:rPr>
      </w:pPr>
      <w:r>
        <w:rPr>
          <w:rFonts w:hint="eastAsia" w:ascii="宋体" w:hAnsi="宋体" w:cs="宋体"/>
          <w:sz w:val="24"/>
        </w:rPr>
        <w:t>供应商应按磋商小组通知的时间在线或以邮件回复做出承诺或回复，承诺或回复的内容须由供应商法定代表人或授权代表签署，并作为响应文件的补充部分。</w:t>
      </w:r>
    </w:p>
    <w:p>
      <w:pPr>
        <w:spacing w:line="360" w:lineRule="auto"/>
        <w:ind w:firstLine="472" w:firstLineChars="196"/>
        <w:rPr>
          <w:rFonts w:ascii="宋体" w:hAnsi="宋体" w:cs="宋体"/>
          <w:b/>
          <w:bCs/>
          <w:kern w:val="0"/>
          <w:sz w:val="24"/>
        </w:rPr>
      </w:pPr>
      <w:r>
        <w:rPr>
          <w:rFonts w:hint="eastAsia" w:ascii="宋体" w:hAnsi="宋体" w:cs="宋体"/>
          <w:b/>
          <w:bCs/>
          <w:kern w:val="0"/>
          <w:sz w:val="24"/>
        </w:rPr>
        <w:t>3.3最后报价</w:t>
      </w:r>
    </w:p>
    <w:p>
      <w:pPr>
        <w:spacing w:line="360" w:lineRule="auto"/>
        <w:ind w:firstLine="470" w:firstLineChars="196"/>
        <w:rPr>
          <w:rFonts w:ascii="宋体" w:hAnsi="宋体" w:cs="宋体"/>
          <w:kern w:val="0"/>
          <w:sz w:val="24"/>
        </w:rPr>
      </w:pPr>
      <w:r>
        <w:rPr>
          <w:rFonts w:hint="eastAsia" w:ascii="宋体" w:hAnsi="宋体" w:cs="宋体"/>
          <w:kern w:val="0"/>
          <w:sz w:val="24"/>
        </w:rPr>
        <w:t>3.3.1 磋商文件能够详细列明采购标的的技术、服务要求的，磋商结束后，磋商小组应当要求所有符合性审查合格的供应商在规定时间内提交最后报价，提交最后报价的供应商不得少于3家。</w:t>
      </w:r>
    </w:p>
    <w:p>
      <w:pPr>
        <w:spacing w:line="360" w:lineRule="auto"/>
        <w:ind w:firstLine="470" w:firstLineChars="196"/>
        <w:rPr>
          <w:rFonts w:ascii="宋体" w:hAnsi="宋体" w:cs="宋体"/>
          <w:kern w:val="0"/>
          <w:sz w:val="24"/>
        </w:rPr>
      </w:pPr>
      <w:r>
        <w:rPr>
          <w:rFonts w:hint="eastAsia" w:ascii="宋体" w:hAnsi="宋体" w:cs="宋体"/>
          <w:kern w:val="0"/>
          <w:sz w:val="24"/>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470" w:firstLineChars="196"/>
        <w:rPr>
          <w:rFonts w:ascii="宋体" w:hAnsi="宋体" w:cs="宋体"/>
          <w:kern w:val="0"/>
          <w:sz w:val="24"/>
        </w:rPr>
      </w:pPr>
      <w:r>
        <w:rPr>
          <w:rFonts w:hint="eastAsia" w:ascii="宋体" w:hAnsi="宋体" w:cs="宋体"/>
          <w:kern w:val="0"/>
          <w:sz w:val="24"/>
        </w:rPr>
        <w:t>3.3.3 已提交响应文件的供应商，在提交最后报价之前，可以根据磋商情况退出磋商</w:t>
      </w:r>
    </w:p>
    <w:p>
      <w:pPr>
        <w:spacing w:line="360" w:lineRule="auto"/>
        <w:ind w:firstLine="472" w:firstLineChars="196"/>
        <w:rPr>
          <w:rFonts w:ascii="宋体" w:hAnsi="宋体" w:cs="宋体"/>
          <w:kern w:val="0"/>
          <w:sz w:val="24"/>
        </w:rPr>
      </w:pPr>
      <w:r>
        <w:rPr>
          <w:rFonts w:hint="eastAsia" w:ascii="宋体" w:hAnsi="宋体" w:cs="宋体"/>
          <w:b/>
          <w:kern w:val="0"/>
          <w:sz w:val="24"/>
        </w:rPr>
        <w:t>3.4 综合评分。</w:t>
      </w:r>
      <w:r>
        <w:rPr>
          <w:rFonts w:hint="eastAsia" w:ascii="宋体" w:hAnsi="宋体" w:cs="宋体"/>
          <w:bCs/>
          <w:kern w:val="0"/>
          <w:sz w:val="24"/>
        </w:rPr>
        <w:t>经磋商确定最终采购需求和提交最后报价的供应商后，</w:t>
      </w:r>
      <w:r>
        <w:rPr>
          <w:rFonts w:hint="eastAsia" w:ascii="宋体" w:hAnsi="宋体" w:cs="宋体"/>
          <w:kern w:val="0"/>
          <w:sz w:val="24"/>
        </w:rPr>
        <w:t>磋商小组应当按照采购文件中规定的评审标准，对符合性审查合格的响应文件进行综合评分。磋商文件中没有规定的评审标准不得作为评审依据。</w:t>
      </w:r>
    </w:p>
    <w:p>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kern w:val="0"/>
          <w:sz w:val="24"/>
        </w:rPr>
        <w:t>3.5汇总商务技术得分。</w:t>
      </w:r>
      <w:r>
        <w:rPr>
          <w:rFonts w:hint="eastAsia" w:ascii="宋体" w:hAnsi="宋体" w:cs="宋体"/>
          <w:kern w:val="0"/>
          <w:sz w:val="24"/>
        </w:rPr>
        <w:t>磋商小组各成员应当独立对每个供应商的商务和技术文件进行评价，并汇总商务技术得分情况</w:t>
      </w:r>
      <w:r>
        <w:rPr>
          <w:rFonts w:hint="eastAsia" w:ascii="宋体" w:hAnsi="宋体" w:cs="宋体"/>
          <w:color w:val="000000" w:themeColor="text1"/>
          <w:kern w:val="0"/>
          <w:sz w:val="24"/>
          <w14:textFill>
            <w14:solidFill>
              <w14:schemeClr w14:val="tx1"/>
            </w14:solidFill>
          </w14:textFill>
        </w:rPr>
        <w:t>。磋商小组成员总评分偏离平均分30%以上的，以及个人主观打分偏离所有磋商小组成员主观打分平均值</w:t>
      </w:r>
      <w:r>
        <w:rPr>
          <w:rFonts w:ascii="宋体" w:hAnsi="宋体" w:cs="宋体"/>
          <w:color w:val="000000" w:themeColor="text1"/>
          <w:kern w:val="0"/>
          <w:sz w:val="24"/>
          <w14:textFill>
            <w14:solidFill>
              <w14:schemeClr w14:val="tx1"/>
            </w14:solidFill>
          </w14:textFill>
        </w:rPr>
        <w:t>30%以上的，由</w:t>
      </w:r>
      <w:r>
        <w:rPr>
          <w:rFonts w:hint="eastAsia" w:ascii="宋体" w:hAnsi="宋体" w:cs="宋体"/>
          <w:color w:val="000000" w:themeColor="text1"/>
          <w:kern w:val="0"/>
          <w:sz w:val="24"/>
          <w14:textFill>
            <w14:solidFill>
              <w14:schemeClr w14:val="tx1"/>
            </w14:solidFill>
          </w14:textFill>
        </w:rPr>
        <w:t>磋商小组</w:t>
      </w:r>
      <w:r>
        <w:rPr>
          <w:rFonts w:ascii="宋体" w:hAnsi="宋体" w:cs="宋体"/>
          <w:color w:val="000000" w:themeColor="text1"/>
          <w:kern w:val="0"/>
          <w:sz w:val="24"/>
          <w14:textFill>
            <w14:solidFill>
              <w14:schemeClr w14:val="tx1"/>
            </w14:solidFill>
          </w14:textFill>
        </w:rPr>
        <w:t>启动评分畸高、畸低行为认定程序</w:t>
      </w:r>
      <w:r>
        <w:rPr>
          <w:rFonts w:hint="eastAsia" w:ascii="宋体" w:hAnsi="宋体" w:cs="宋体"/>
          <w:color w:val="000000" w:themeColor="text1"/>
          <w:kern w:val="0"/>
          <w:sz w:val="24"/>
          <w14:textFill>
            <w14:solidFill>
              <w14:schemeClr w14:val="tx1"/>
            </w14:solidFill>
          </w14:textFill>
        </w:rPr>
        <w:t>，磋商小组组长应提醒相关评审人员进行复核或书面说明理由，评审人员拒绝说明的，由现场监督员据实记录；评审人员的评审、修改记录应保留原件，随项目其他资料一并存档。</w:t>
      </w:r>
    </w:p>
    <w:p>
      <w:pPr>
        <w:spacing w:line="360" w:lineRule="auto"/>
        <w:ind w:firstLine="472" w:firstLineChars="196"/>
        <w:rPr>
          <w:rFonts w:ascii="宋体" w:hAnsi="宋体" w:cs="宋体"/>
          <w:b/>
          <w:kern w:val="0"/>
          <w:sz w:val="24"/>
        </w:rPr>
      </w:pPr>
      <w:r>
        <w:rPr>
          <w:rFonts w:hint="eastAsia" w:ascii="宋体" w:hAnsi="宋体" w:cs="宋体"/>
          <w:b/>
          <w:kern w:val="0"/>
          <w:sz w:val="24"/>
        </w:rPr>
        <w:t>3.6报价评审。</w:t>
      </w:r>
    </w:p>
    <w:p>
      <w:pPr>
        <w:pStyle w:val="129"/>
        <w:spacing w:before="0"/>
        <w:ind w:firstLine="508" w:firstLineChars="212"/>
        <w:rPr>
          <w:rFonts w:ascii="宋体" w:hAnsi="宋体" w:cs="宋体"/>
          <w:kern w:val="0"/>
        </w:rPr>
      </w:pPr>
      <w:r>
        <w:rPr>
          <w:rFonts w:hint="eastAsia" w:ascii="宋体" w:hAnsi="宋体" w:cs="宋体"/>
          <w:kern w:val="0"/>
        </w:rPr>
        <w:t>3.6.1响应文件报价出现前后不一致的，按照下列规定修正：</w:t>
      </w:r>
    </w:p>
    <w:p>
      <w:pPr>
        <w:pStyle w:val="129"/>
        <w:spacing w:before="0"/>
        <w:ind w:firstLine="480"/>
        <w:rPr>
          <w:rFonts w:ascii="宋体" w:hAnsi="宋体" w:cs="宋体"/>
          <w:kern w:val="0"/>
          <w:szCs w:val="24"/>
        </w:rPr>
      </w:pPr>
      <w:r>
        <w:rPr>
          <w:rFonts w:hint="eastAsia" w:ascii="宋体" w:hAnsi="宋体" w:cs="宋体"/>
          <w:kern w:val="0"/>
          <w:szCs w:val="24"/>
        </w:rPr>
        <w:t>3.6.1.</w:t>
      </w:r>
      <w:r>
        <w:rPr>
          <w:rFonts w:hint="eastAsia" w:ascii="宋体" w:hAnsi="宋体" w:cs="宋体"/>
          <w:kern w:val="0"/>
          <w:szCs w:val="24"/>
          <w:lang w:val="en-US" w:eastAsia="zh-CN"/>
        </w:rPr>
        <w:t>1</w:t>
      </w:r>
      <w:r>
        <w:rPr>
          <w:rFonts w:hint="eastAsia" w:ascii="宋体" w:hAnsi="宋体" w:cs="宋体"/>
          <w:kern w:val="0"/>
          <w:szCs w:val="24"/>
        </w:rPr>
        <w:t>大写金额和小写金额不一致的，以大写金额为准;</w:t>
      </w:r>
    </w:p>
    <w:p>
      <w:pPr>
        <w:pStyle w:val="129"/>
        <w:spacing w:before="0"/>
        <w:ind w:firstLine="480"/>
        <w:rPr>
          <w:rFonts w:ascii="宋体" w:hAnsi="宋体" w:cs="宋体"/>
          <w:kern w:val="0"/>
          <w:szCs w:val="24"/>
        </w:rPr>
      </w:pPr>
      <w:r>
        <w:rPr>
          <w:rFonts w:hint="eastAsia" w:ascii="宋体" w:hAnsi="宋体" w:cs="宋体"/>
          <w:kern w:val="0"/>
          <w:szCs w:val="24"/>
        </w:rPr>
        <w:t>3.6.1.</w:t>
      </w:r>
      <w:r>
        <w:rPr>
          <w:rFonts w:hint="eastAsia" w:ascii="宋体" w:hAnsi="宋体" w:cs="宋体"/>
          <w:kern w:val="0"/>
          <w:szCs w:val="24"/>
          <w:lang w:val="en-US" w:eastAsia="zh-CN"/>
        </w:rPr>
        <w:t>2</w:t>
      </w:r>
      <w:r>
        <w:rPr>
          <w:rFonts w:hint="eastAsia" w:ascii="宋体" w:hAnsi="宋体" w:cs="宋体"/>
          <w:kern w:val="0"/>
          <w:szCs w:val="24"/>
        </w:rPr>
        <w:t>单价金额小数点或者百分比有明显错位的，以已标价工程量清单的总价为准，并修改单价;</w:t>
      </w:r>
    </w:p>
    <w:p>
      <w:pPr>
        <w:pStyle w:val="129"/>
        <w:spacing w:before="0"/>
        <w:ind w:firstLine="480"/>
        <w:rPr>
          <w:rFonts w:ascii="宋体" w:hAnsi="宋体" w:cs="宋体"/>
          <w:kern w:val="0"/>
          <w:szCs w:val="24"/>
        </w:rPr>
      </w:pPr>
      <w:r>
        <w:rPr>
          <w:rFonts w:hint="eastAsia" w:ascii="宋体" w:hAnsi="宋体" w:cs="宋体"/>
          <w:kern w:val="0"/>
          <w:szCs w:val="24"/>
        </w:rPr>
        <w:t>3.6.1.</w:t>
      </w:r>
      <w:r>
        <w:rPr>
          <w:rFonts w:hint="eastAsia" w:ascii="宋体" w:hAnsi="宋体" w:cs="宋体"/>
          <w:kern w:val="0"/>
          <w:szCs w:val="24"/>
          <w:lang w:val="en-US" w:eastAsia="zh-CN"/>
        </w:rPr>
        <w:t>3</w:t>
      </w:r>
      <w:r>
        <w:rPr>
          <w:rFonts w:hint="eastAsia" w:ascii="宋体" w:hAnsi="宋体" w:cs="宋体"/>
          <w:kern w:val="0"/>
          <w:szCs w:val="24"/>
        </w:rPr>
        <w:t>总价金额与按单价汇总金额不一致的，以单价金额计算结果为准。</w:t>
      </w:r>
    </w:p>
    <w:p>
      <w:pPr>
        <w:pStyle w:val="129"/>
        <w:spacing w:before="0"/>
        <w:ind w:firstLine="480"/>
        <w:rPr>
          <w:rFonts w:ascii="宋体" w:hAnsi="宋体" w:cs="宋体"/>
          <w:kern w:val="0"/>
          <w:szCs w:val="24"/>
        </w:rPr>
      </w:pPr>
      <w:r>
        <w:rPr>
          <w:rFonts w:hint="eastAsia" w:ascii="宋体" w:hAnsi="宋体" w:cs="宋体"/>
          <w:kern w:val="0"/>
          <w:szCs w:val="24"/>
        </w:rPr>
        <w:t>3.6.1.</w:t>
      </w:r>
      <w:r>
        <w:rPr>
          <w:rFonts w:hint="eastAsia" w:ascii="宋体" w:hAnsi="宋体" w:cs="宋体"/>
          <w:kern w:val="0"/>
          <w:szCs w:val="24"/>
          <w:lang w:val="en-US" w:eastAsia="zh-CN"/>
        </w:rPr>
        <w:t>4</w:t>
      </w:r>
      <w:r>
        <w:rPr>
          <w:rFonts w:hint="eastAsia" w:ascii="宋体" w:hAnsi="宋体" w:cs="宋体"/>
          <w:kern w:val="0"/>
          <w:szCs w:val="24"/>
        </w:rPr>
        <w:t>同时出现两种以上不一致的，按照3.6.1规定的顺序修正。修正后的报价经供应商确认后产生约束力。</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3.6.2响应文件出现不是唯一的、有选择性最后报价的，响应文件无效。</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3.6.3最后报价超过采购文件中规定的预算金额或者最高限价的，响应文件无效。</w:t>
      </w:r>
    </w:p>
    <w:p>
      <w:pPr>
        <w:pStyle w:val="129"/>
        <w:spacing w:before="0"/>
        <w:ind w:firstLine="480"/>
        <w:rPr>
          <w:rFonts w:ascii="宋体" w:hAnsi="宋体" w:cs="宋体"/>
          <w:kern w:val="0"/>
          <w:szCs w:val="24"/>
        </w:rPr>
      </w:pPr>
      <w:r>
        <w:rPr>
          <w:rFonts w:hint="eastAsia" w:ascii="宋体" w:hAnsi="宋体" w:cs="宋体"/>
          <w:kern w:val="0"/>
          <w:szCs w:val="24"/>
        </w:rPr>
        <w:t>3.6.4对于未预留份额专门面向中小企业的政府采购工程项目，以及预留份额政府采购工程项目中的非预留部分标项，对小型和微型企业的最后报价给予</w:t>
      </w:r>
      <w:r>
        <w:rPr>
          <w:rFonts w:hint="eastAsia" w:ascii="宋体" w:hAnsi="宋体" w:cs="宋体"/>
          <w:kern w:val="0"/>
          <w:szCs w:val="24"/>
          <w:lang w:val="en-US" w:eastAsia="zh-CN"/>
        </w:rPr>
        <w:t>4</w:t>
      </w:r>
      <w:r>
        <w:rPr>
          <w:rFonts w:hint="eastAsia" w:ascii="宋体" w:hAnsi="宋体" w:cs="宋体"/>
          <w:kern w:val="0"/>
          <w:szCs w:val="24"/>
        </w:rPr>
        <w:t>%的扣除，用扣除后的价格参与评审。组成联合体或者接受分包的小微企业与联合体内其他企业、分包企业之间存在直接控股、管理关系的，不享受价格扣除优惠政策。</w:t>
      </w:r>
    </w:p>
    <w:p>
      <w:pPr>
        <w:spacing w:line="360" w:lineRule="auto"/>
        <w:ind w:firstLine="482" w:firstLineChars="200"/>
        <w:rPr>
          <w:rFonts w:ascii="宋体" w:hAnsi="宋体" w:cs="宋体"/>
          <w:b/>
          <w:kern w:val="0"/>
          <w:sz w:val="24"/>
        </w:rPr>
      </w:pPr>
      <w:r>
        <w:rPr>
          <w:rFonts w:hint="eastAsia" w:ascii="宋体" w:hAnsi="宋体" w:cs="宋体"/>
          <w:b/>
          <w:kern w:val="0"/>
          <w:sz w:val="24"/>
        </w:rPr>
        <w:t>3.7排序与推荐。</w:t>
      </w:r>
      <w:r>
        <w:rPr>
          <w:rFonts w:hint="eastAsia" w:ascii="宋体" w:hAnsi="宋体" w:cs="宋体"/>
          <w:kern w:val="0"/>
          <w:sz w:val="24"/>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p>
    <w:p>
      <w:pPr>
        <w:spacing w:line="360" w:lineRule="auto"/>
        <w:ind w:firstLine="472" w:firstLineChars="196"/>
        <w:rPr>
          <w:rFonts w:ascii="宋体" w:hAnsi="宋体" w:cs="宋体"/>
          <w:kern w:val="0"/>
          <w:sz w:val="24"/>
        </w:rPr>
      </w:pPr>
      <w:r>
        <w:rPr>
          <w:rFonts w:hint="eastAsia" w:ascii="宋体" w:hAnsi="宋体" w:cs="宋体"/>
          <w:b/>
          <w:kern w:val="0"/>
          <w:sz w:val="24"/>
        </w:rPr>
        <w:t>3.8评审报告。</w:t>
      </w:r>
      <w:r>
        <w:rPr>
          <w:rFonts w:hint="eastAsia" w:ascii="宋体" w:hAnsi="宋体" w:cs="宋体"/>
          <w:kern w:val="0"/>
          <w:sz w:val="24"/>
        </w:rPr>
        <w:t>磋商小组成员对需要共同认定的事项存在争议的，应当按照少数服从多数的原则作出结论。持不同意见的磋商小组成员应当在评审报告上签署不同意见及理由，否则视为同意评审报告。</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cs="宋体"/>
          <w:b/>
          <w:sz w:val="32"/>
        </w:rPr>
      </w:pPr>
      <w:r>
        <w:rPr>
          <w:rFonts w:hint="eastAsia" w:ascii="宋体" w:hAnsi="宋体" w:cs="宋体"/>
          <w:b/>
          <w:sz w:val="32"/>
        </w:rPr>
        <w:t>四、评审中的其他事项</w:t>
      </w:r>
    </w:p>
    <w:p>
      <w:pPr>
        <w:pStyle w:val="129"/>
        <w:spacing w:before="0"/>
        <w:ind w:firstLine="472" w:firstLineChars="196"/>
        <w:rPr>
          <w:rFonts w:ascii="宋体" w:hAnsi="宋体" w:cs="宋体"/>
          <w:kern w:val="0"/>
          <w:szCs w:val="24"/>
        </w:rPr>
      </w:pPr>
      <w:r>
        <w:rPr>
          <w:rFonts w:hint="eastAsia" w:ascii="宋体" w:hAnsi="宋体" w:cs="宋体"/>
          <w:b/>
          <w:kern w:val="0"/>
          <w:szCs w:val="24"/>
        </w:rPr>
        <w:t>4.1供应商澄清、说明或者补正。</w:t>
      </w:r>
      <w:r>
        <w:rPr>
          <w:rFonts w:hint="eastAsia" w:ascii="宋体" w:hAnsi="宋体" w:cs="宋体"/>
          <w:kern w:val="0"/>
          <w:szCs w:val="24"/>
        </w:rPr>
        <w:t>对于响应文件中含义不明确、同类问题表述不一致或者有明显文字和计算错误的内容需要供应商作出必要的澄清、说明或者补正的，磋商小组和供应商通过</w:t>
      </w:r>
      <w:r>
        <w:rPr>
          <w:rFonts w:hint="eastAsia" w:ascii="宋体" w:hAnsi="宋体" w:cs="宋体"/>
          <w:kern w:val="0"/>
          <w:szCs w:val="24"/>
          <w:lang w:eastAsia="zh-CN"/>
        </w:rPr>
        <w:t>新疆政府采购网投标客户端</w:t>
      </w:r>
      <w:r>
        <w:rPr>
          <w:rFonts w:hint="eastAsia" w:ascii="宋体" w:hAnsi="宋体" w:cs="宋体"/>
          <w:kern w:val="0"/>
          <w:szCs w:val="24"/>
        </w:rPr>
        <w:t>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26"/>
        <w:spacing w:line="360" w:lineRule="auto"/>
        <w:ind w:left="954" w:leftChars="226" w:hanging="479" w:firstLineChars="0"/>
        <w:rPr>
          <w:rFonts w:cs="宋体"/>
          <w:szCs w:val="21"/>
        </w:rPr>
      </w:pPr>
      <w:r>
        <w:rPr>
          <w:rFonts w:hint="eastAsia" w:cs="宋体"/>
          <w:b/>
          <w:kern w:val="0"/>
        </w:rPr>
        <w:t>4.2响应文件无效。</w:t>
      </w:r>
      <w:r>
        <w:rPr>
          <w:rFonts w:hint="eastAsia" w:cs="宋体"/>
          <w:szCs w:val="21"/>
        </w:rPr>
        <w:t>有下列情形之一的，响应文件无效：</w:t>
      </w:r>
    </w:p>
    <w:p>
      <w:pPr>
        <w:spacing w:line="360" w:lineRule="auto"/>
        <w:ind w:firstLine="480" w:firstLineChars="200"/>
        <w:rPr>
          <w:rFonts w:ascii="宋体" w:hAnsi="宋体" w:cs="宋体"/>
          <w:kern w:val="0"/>
          <w:sz w:val="24"/>
        </w:rPr>
      </w:pPr>
      <w:r>
        <w:rPr>
          <w:rFonts w:hint="eastAsia" w:ascii="宋体" w:hAnsi="宋体" w:cs="宋体"/>
          <w:kern w:val="0"/>
          <w:sz w:val="24"/>
        </w:rPr>
        <w:t>4.2.1供应商不具备采购文件中规定的资格要求的（供应商未提供有效的资格文件的，视为供应商不具备采购文件中规定的资格要求）；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4.2.2响应文件未按照采购文件要求签署、盖章的；</w:t>
      </w:r>
    </w:p>
    <w:p>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4.2.3采购人拟采购的产品属于政府强制采购的节能产品品目清单范围的，供应商未按采购文件要求提供国家确定的认证机构出具的、处于有效期之内的节能产品认证证书的；</w:t>
      </w:r>
    </w:p>
    <w:p>
      <w:pPr>
        <w:spacing w:line="360" w:lineRule="auto"/>
        <w:ind w:firstLine="480" w:firstLineChars="200"/>
        <w:rPr>
          <w:rFonts w:ascii="宋体" w:hAnsi="宋体" w:cs="宋体"/>
          <w:kern w:val="0"/>
          <w:sz w:val="24"/>
        </w:rPr>
      </w:pPr>
      <w:r>
        <w:rPr>
          <w:rFonts w:hint="eastAsia" w:ascii="宋体" w:hAnsi="宋体" w:cs="宋体"/>
          <w:kern w:val="0"/>
          <w:sz w:val="24"/>
        </w:rPr>
        <w:t>4.2.4响应文件含有采购人不能接受的附加条件的；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4.2.5响应文件中承诺的响应文件有效期少于采购文件中载明的响应文件有效期的；</w:t>
      </w:r>
    </w:p>
    <w:p>
      <w:pPr>
        <w:spacing w:line="360" w:lineRule="auto"/>
        <w:ind w:firstLine="480" w:firstLineChars="200"/>
        <w:rPr>
          <w:rFonts w:ascii="宋体" w:hAnsi="宋体" w:cs="宋体"/>
          <w:kern w:val="0"/>
          <w:sz w:val="24"/>
        </w:rPr>
      </w:pPr>
      <w:r>
        <w:rPr>
          <w:rFonts w:hint="eastAsia" w:ascii="宋体" w:hAnsi="宋体" w:cs="宋体"/>
          <w:kern w:val="0"/>
          <w:sz w:val="24"/>
        </w:rPr>
        <w:t>4.2.6响应文件出现不是唯一的、有选择性最后报价的;</w:t>
      </w:r>
    </w:p>
    <w:p>
      <w:pPr>
        <w:spacing w:line="360" w:lineRule="auto"/>
        <w:ind w:firstLine="480" w:firstLineChars="200"/>
        <w:rPr>
          <w:rFonts w:ascii="宋体" w:hAnsi="宋体" w:cs="宋体"/>
          <w:kern w:val="0"/>
          <w:sz w:val="24"/>
        </w:rPr>
      </w:pPr>
      <w:r>
        <w:rPr>
          <w:rFonts w:hint="eastAsia" w:ascii="宋体" w:hAnsi="宋体" w:cs="宋体"/>
          <w:kern w:val="0"/>
          <w:sz w:val="24"/>
        </w:rPr>
        <w:t>4.2.7最后报价超过采购文件中规定的预算金额或者最高限价的;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4.2.9供应商对根据修正原则修正后的报价不确认的；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4.2.10供应商提供虚假材料响应的；</w:t>
      </w:r>
    </w:p>
    <w:p>
      <w:pPr>
        <w:spacing w:line="360" w:lineRule="auto"/>
        <w:ind w:firstLine="480" w:firstLineChars="200"/>
        <w:rPr>
          <w:rFonts w:ascii="宋体" w:hAnsi="宋体" w:cs="宋体"/>
          <w:kern w:val="0"/>
          <w:sz w:val="24"/>
        </w:rPr>
      </w:pPr>
      <w:r>
        <w:rPr>
          <w:rFonts w:hint="eastAsia" w:ascii="宋体" w:hAnsi="宋体" w:cs="宋体"/>
          <w:kern w:val="0"/>
          <w:sz w:val="24"/>
        </w:rPr>
        <w:t>4.2.11供应商有恶意串通、妨碍其他供应商的竞争行为、损害采购人或者其他供应商的合法权益情形的；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4.2.12供应商未在</w:t>
      </w:r>
      <w:r>
        <w:rPr>
          <w:rFonts w:hint="eastAsia" w:ascii="宋体" w:hAnsi="宋体" w:cs="宋体"/>
          <w:kern w:val="0"/>
          <w:sz w:val="24"/>
          <w:lang w:eastAsia="zh-CN"/>
        </w:rPr>
        <w:t>新疆政府采购网投标客户端</w:t>
      </w:r>
      <w:r>
        <w:rPr>
          <w:rFonts w:hint="eastAsia" w:ascii="宋体" w:hAnsi="宋体" w:cs="宋体"/>
          <w:kern w:val="0"/>
          <w:sz w:val="24"/>
        </w:rPr>
        <w:t>传输递交响应文件的，响应文件无效；</w:t>
      </w:r>
    </w:p>
    <w:p>
      <w:pPr>
        <w:spacing w:line="360" w:lineRule="auto"/>
        <w:ind w:firstLine="480" w:firstLineChars="200"/>
        <w:rPr>
          <w:rFonts w:ascii="宋体" w:hAnsi="宋体" w:cs="宋体"/>
          <w:kern w:val="0"/>
          <w:sz w:val="24"/>
        </w:rPr>
      </w:pPr>
      <w:r>
        <w:rPr>
          <w:rFonts w:hint="eastAsia" w:ascii="宋体" w:hAnsi="宋体" w:cs="宋体"/>
          <w:kern w:val="0"/>
          <w:sz w:val="24"/>
        </w:rPr>
        <w:t>4.2.13 响应文件不满足采购文件的其它实质性要求的；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pPr>
        <w:pStyle w:val="26"/>
        <w:snapToGrid w:val="0"/>
        <w:spacing w:line="360" w:lineRule="auto"/>
        <w:ind w:firstLine="472" w:firstLineChars="196"/>
        <w:rPr>
          <w:rFonts w:cs="宋体"/>
        </w:rPr>
      </w:pPr>
      <w:r>
        <w:rPr>
          <w:rFonts w:hint="eastAsia" w:cs="宋体"/>
          <w:b/>
        </w:rPr>
        <w:t>5.终止竞争性磋商采购活动。</w:t>
      </w:r>
      <w:r>
        <w:rPr>
          <w:rFonts w:hint="eastAsia" w:cs="宋体"/>
        </w:rPr>
        <w:t>出现下列情形之一的，采购人或者采购代理机构应当终止竞争性磋商采购活动，发布项目终止公告并说明原因，重新开展采购活动：</w:t>
      </w:r>
    </w:p>
    <w:p>
      <w:pPr>
        <w:pStyle w:val="26"/>
        <w:snapToGrid w:val="0"/>
        <w:spacing w:line="360" w:lineRule="auto"/>
        <w:rPr>
          <w:rFonts w:cs="宋体"/>
        </w:rPr>
      </w:pPr>
      <w:r>
        <w:rPr>
          <w:rFonts w:hint="eastAsia" w:cs="宋体"/>
        </w:rPr>
        <w:t>5.1因情况变化，不再符合规定的竞争性磋商采购方式适用情形的；</w:t>
      </w:r>
    </w:p>
    <w:p>
      <w:pPr>
        <w:pStyle w:val="26"/>
        <w:snapToGrid w:val="0"/>
        <w:spacing w:line="360" w:lineRule="auto"/>
        <w:rPr>
          <w:rFonts w:cs="宋体"/>
        </w:rPr>
      </w:pPr>
      <w:r>
        <w:rPr>
          <w:rFonts w:hint="eastAsia" w:cs="宋体"/>
        </w:rPr>
        <w:t>5.2出现影响采购公正的违法、违规行为的；</w:t>
      </w:r>
    </w:p>
    <w:p>
      <w:pPr>
        <w:pStyle w:val="26"/>
        <w:snapToGrid w:val="0"/>
        <w:spacing w:line="360" w:lineRule="auto"/>
        <w:rPr>
          <w:rFonts w:cs="宋体"/>
        </w:rPr>
      </w:pPr>
      <w:r>
        <w:rPr>
          <w:rFonts w:hint="eastAsia" w:cs="宋体"/>
        </w:rPr>
        <w:t>5.3除本办法第二十一条第三款规定的情形外，在采购过程中符合要求的供应商或者报价未超过采购预算的供应商不足3家的。</w:t>
      </w:r>
    </w:p>
    <w:p>
      <w:pPr>
        <w:pStyle w:val="26"/>
        <w:snapToGrid w:val="0"/>
        <w:spacing w:line="360" w:lineRule="auto"/>
        <w:rPr>
          <w:rFonts w:cs="宋体"/>
        </w:rPr>
      </w:pPr>
      <w:r>
        <w:rPr>
          <w:rFonts w:hint="eastAsia" w:cs="宋体"/>
        </w:rPr>
        <w:t>5.4在采购活动中因重大变故，采购任务取消的，采购人或者采购代理机构应当终止采购活动，通知所有参加采购活动的供应商，并将项目实施情况和采购任务取消原因报送本级财政部门。</w:t>
      </w:r>
    </w:p>
    <w:p>
      <w:pPr>
        <w:pStyle w:val="26"/>
        <w:snapToGrid w:val="0"/>
        <w:spacing w:line="360" w:lineRule="auto"/>
        <w:ind w:firstLine="482"/>
        <w:rPr>
          <w:rFonts w:cs="宋体"/>
        </w:rPr>
      </w:pPr>
      <w:r>
        <w:rPr>
          <w:rFonts w:hint="eastAsia" w:cs="宋体"/>
          <w:b/>
          <w:kern w:val="0"/>
        </w:rPr>
        <w:t>6.重新开展采购。</w:t>
      </w:r>
      <w:r>
        <w:rPr>
          <w:rFonts w:hint="eastAsia" w:cs="宋体"/>
        </w:rPr>
        <w:t>有政府采购法第七十一条、第七十二条规定的违法行为之一，影响或者可能影响成交结果的，依照下列规定处理：</w:t>
      </w:r>
    </w:p>
    <w:p>
      <w:pPr>
        <w:pStyle w:val="26"/>
        <w:snapToGrid w:val="0"/>
        <w:spacing w:line="360" w:lineRule="auto"/>
        <w:rPr>
          <w:rFonts w:cs="宋体"/>
        </w:rPr>
      </w:pPr>
      <w:r>
        <w:rPr>
          <w:rFonts w:hint="eastAsia" w:cs="宋体"/>
        </w:rPr>
        <w:t>6.1未确定成交供应商的，终止本次政府采购活动，重新开展政府采购活动。</w:t>
      </w:r>
    </w:p>
    <w:p>
      <w:pPr>
        <w:pStyle w:val="26"/>
        <w:snapToGrid w:val="0"/>
        <w:spacing w:line="360" w:lineRule="auto"/>
        <w:rPr>
          <w:rFonts w:cs="宋体"/>
        </w:rPr>
      </w:pPr>
      <w:r>
        <w:rPr>
          <w:rFonts w:hint="eastAsia" w:cs="宋体"/>
        </w:rPr>
        <w:t>6.2已确定成交供应商但尚未签订政府采购合同的，成交结果无效，从合格的成交候选供应商中另行确定成交供应商；没有合格的成交候选供应商的，重新开展政府采购活动。</w:t>
      </w:r>
    </w:p>
    <w:p>
      <w:pPr>
        <w:pStyle w:val="26"/>
        <w:snapToGrid w:val="0"/>
        <w:spacing w:line="360" w:lineRule="auto"/>
        <w:rPr>
          <w:rFonts w:cs="宋体"/>
        </w:rPr>
      </w:pPr>
      <w:r>
        <w:rPr>
          <w:rFonts w:hint="eastAsia" w:cs="宋体"/>
        </w:rPr>
        <w:t>6.3政府采购合同已签订但尚未履行的，撤销合同，从合格的成交候选供应商中另行确定成交供应商；没有合格的成交候选供应商的，重新开展政府采购活动。</w:t>
      </w:r>
    </w:p>
    <w:p>
      <w:pPr>
        <w:pStyle w:val="26"/>
        <w:snapToGrid w:val="0"/>
        <w:spacing w:line="360" w:lineRule="auto"/>
        <w:rPr>
          <w:rFonts w:cs="宋体"/>
        </w:rPr>
      </w:pPr>
      <w:r>
        <w:rPr>
          <w:rFonts w:hint="eastAsia" w:cs="宋体"/>
        </w:rPr>
        <w:t>6.4政府采购合同已经履行，给采购人、供应商造成损失的，由责任人承担赔偿责任。</w:t>
      </w:r>
    </w:p>
    <w:p>
      <w:pPr>
        <w:pStyle w:val="26"/>
        <w:snapToGrid w:val="0"/>
        <w:spacing w:line="360" w:lineRule="auto"/>
        <w:rPr>
          <w:rFonts w:cs="宋体"/>
        </w:rPr>
      </w:pPr>
      <w:r>
        <w:rPr>
          <w:rFonts w:hint="eastAsia" w:cs="宋体"/>
        </w:rPr>
        <w:t>6.5政府采购当事人有其他违反政府采购法或者政府采购法实施条例等法律法规规定的行为，经改正后仍然影响或者可能影响成交结果或者依法被认定为成交无效的，依照6.1-6.4规定处理。</w:t>
      </w:r>
    </w:p>
    <w:p>
      <w:pPr>
        <w:pStyle w:val="26"/>
        <w:snapToGrid w:val="0"/>
        <w:spacing w:line="360" w:lineRule="auto"/>
        <w:ind w:firstLine="0" w:firstLineChars="0"/>
        <w:rPr>
          <w:rFonts w:cs="宋体"/>
        </w:rPr>
        <w:sectPr>
          <w:pgSz w:w="11907" w:h="16840"/>
          <w:pgMar w:top="1440" w:right="1080" w:bottom="1440" w:left="1080" w:header="851" w:footer="851" w:gutter="0"/>
          <w:cols w:space="720" w:num="1"/>
        </w:sectPr>
      </w:pPr>
    </w:p>
    <w:bookmarkEnd w:id="31"/>
    <w:p>
      <w:pPr>
        <w:spacing w:line="360" w:lineRule="auto"/>
        <w:jc w:val="center"/>
        <w:outlineLvl w:val="0"/>
        <w:rPr>
          <w:rFonts w:ascii="宋体" w:hAnsi="宋体" w:cs="宋体"/>
          <w:b/>
          <w:sz w:val="36"/>
          <w:szCs w:val="36"/>
        </w:rPr>
      </w:pPr>
      <w:bookmarkStart w:id="398" w:name="第五部分"/>
      <w:bookmarkStart w:id="399" w:name="_Toc86217003"/>
      <w:r>
        <w:rPr>
          <w:rFonts w:hint="eastAsia" w:ascii="宋体" w:hAnsi="宋体" w:cs="宋体"/>
          <w:b/>
          <w:sz w:val="36"/>
          <w:szCs w:val="36"/>
        </w:rPr>
        <w:t>第五部分 拟签订的合同文本</w:t>
      </w:r>
    </w:p>
    <w:p>
      <w:pPr>
        <w:keepNext/>
        <w:keepLines/>
        <w:numPr>
          <w:ilvl w:val="1"/>
          <w:numId w:val="0"/>
        </w:numPr>
        <w:snapToGrid w:val="0"/>
        <w:spacing w:before="100" w:line="360" w:lineRule="auto"/>
        <w:jc w:val="center"/>
        <w:rPr>
          <w:rFonts w:ascii="宋体" w:hAnsi="宋体" w:cs="宋体"/>
          <w:snapToGrid w:val="0"/>
          <w:kern w:val="44"/>
          <w:sz w:val="28"/>
          <w:szCs w:val="20"/>
        </w:rPr>
      </w:pPr>
      <w:bookmarkStart w:id="400" w:name="_Toc32130"/>
      <w:bookmarkStart w:id="401" w:name="_Toc97299497"/>
      <w:r>
        <w:rPr>
          <w:rFonts w:hint="eastAsia" w:ascii="宋体" w:hAnsi="宋体" w:cs="宋体"/>
          <w:snapToGrid w:val="0"/>
          <w:kern w:val="44"/>
          <w:sz w:val="28"/>
          <w:szCs w:val="20"/>
        </w:rPr>
        <w:t>第一部分  合同协议书</w:t>
      </w:r>
      <w:bookmarkEnd w:id="400"/>
      <w:bookmarkEnd w:id="401"/>
    </w:p>
    <w:p>
      <w:pPr>
        <w:snapToGrid w:val="0"/>
        <w:spacing w:line="360" w:lineRule="auto"/>
        <w:ind w:firstLine="470" w:firstLineChars="196"/>
        <w:rPr>
          <w:rFonts w:ascii="宋体" w:hAnsi="宋体" w:cs="宋体"/>
          <w:snapToGrid w:val="0"/>
          <w:kern w:val="0"/>
          <w:sz w:val="24"/>
          <w:u w:val="single"/>
        </w:rPr>
      </w:pPr>
      <w:r>
        <w:rPr>
          <w:rFonts w:hint="eastAsia" w:ascii="宋体" w:hAnsi="宋体" w:cs="宋体"/>
          <w:snapToGrid w:val="0"/>
          <w:kern w:val="0"/>
          <w:sz w:val="24"/>
        </w:rPr>
        <w:t>发包人（全称）：</w:t>
      </w:r>
      <w:r>
        <w:rPr>
          <w:rFonts w:hint="eastAsia" w:ascii="宋体" w:hAnsi="宋体" w:cs="宋体"/>
          <w:snapToGrid w:val="0"/>
          <w:kern w:val="0"/>
          <w:sz w:val="24"/>
          <w:u w:val="single"/>
        </w:rPr>
        <w:t xml:space="preserve">    </w:t>
      </w:r>
      <w:bookmarkStart w:id="402" w:name="SOA_hhxys_fbr"/>
      <w:r>
        <w:rPr>
          <w:rFonts w:hint="eastAsia" w:ascii="宋体" w:hAnsi="宋体" w:cs="宋体"/>
          <w:snapToGrid w:val="0"/>
          <w:kern w:val="0"/>
          <w:sz w:val="24"/>
          <w:u w:val="single"/>
        </w:rPr>
        <w:t xml:space="preserve">                  </w:t>
      </w:r>
      <w:bookmarkEnd w:id="402"/>
      <w:r>
        <w:rPr>
          <w:rFonts w:hint="eastAsia" w:ascii="宋体" w:hAnsi="宋体" w:cs="宋体"/>
          <w:snapToGrid w:val="0"/>
          <w:kern w:val="0"/>
          <w:sz w:val="24"/>
          <w:u w:val="single"/>
        </w:rPr>
        <w:t xml:space="preserve"> </w:t>
      </w:r>
    </w:p>
    <w:p>
      <w:pPr>
        <w:snapToGrid w:val="0"/>
        <w:spacing w:line="360" w:lineRule="auto"/>
        <w:ind w:firstLine="470" w:firstLineChars="196"/>
        <w:rPr>
          <w:rFonts w:ascii="宋体" w:hAnsi="宋体" w:cs="宋体"/>
          <w:b/>
          <w:snapToGrid w:val="0"/>
          <w:kern w:val="0"/>
          <w:sz w:val="24"/>
          <w:u w:val="single"/>
        </w:rPr>
      </w:pPr>
      <w:r>
        <w:rPr>
          <w:rFonts w:hint="eastAsia" w:ascii="宋体" w:hAnsi="宋体" w:cs="宋体"/>
          <w:snapToGrid w:val="0"/>
          <w:kern w:val="0"/>
          <w:sz w:val="24"/>
        </w:rPr>
        <w:t>承包人（全称）：</w:t>
      </w:r>
      <w:r>
        <w:rPr>
          <w:rFonts w:hint="eastAsia" w:ascii="宋体" w:hAnsi="宋体" w:cs="宋体"/>
          <w:snapToGrid w:val="0"/>
          <w:kern w:val="0"/>
          <w:sz w:val="24"/>
          <w:u w:val="single"/>
        </w:rPr>
        <w:t xml:space="preserve">                  </w:t>
      </w:r>
      <w:bookmarkStart w:id="403" w:name="SOA_hhxys_cbr"/>
      <w:r>
        <w:rPr>
          <w:rFonts w:hint="eastAsia" w:ascii="宋体" w:hAnsi="宋体" w:cs="宋体"/>
          <w:snapToGrid w:val="0"/>
          <w:kern w:val="0"/>
          <w:sz w:val="24"/>
          <w:u w:val="single"/>
        </w:rPr>
        <w:t xml:space="preserve">  </w:t>
      </w:r>
      <w:r>
        <w:rPr>
          <w:rFonts w:hint="eastAsia" w:ascii="宋体" w:hAnsi="宋体" w:cs="宋体"/>
          <w:b/>
          <w:snapToGrid w:val="0"/>
          <w:kern w:val="0"/>
          <w:sz w:val="24"/>
          <w:u w:val="single"/>
        </w:rPr>
        <w:t xml:space="preserve">           </w:t>
      </w:r>
      <w:r>
        <w:rPr>
          <w:rFonts w:hint="eastAsia" w:ascii="宋体" w:hAnsi="宋体" w:cs="宋体"/>
          <w:snapToGrid w:val="0"/>
          <w:kern w:val="0"/>
          <w:sz w:val="24"/>
          <w:u w:val="single"/>
        </w:rPr>
        <w:t xml:space="preserve">    </w:t>
      </w:r>
      <w:bookmarkEnd w:id="403"/>
      <w:r>
        <w:rPr>
          <w:rFonts w:hint="eastAsia" w:ascii="宋体" w:hAnsi="宋体" w:cs="宋体"/>
          <w:snapToGrid w:val="0"/>
          <w:kern w:val="0"/>
          <w:sz w:val="24"/>
          <w:u w:val="single"/>
        </w:rPr>
        <w:t xml:space="preserve">   </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根据《中华人民共和国民法典》及有关法律规定，遵循平等、自愿、公平和诚实信用的原则，双方就</w:t>
      </w:r>
      <w:r>
        <w:rPr>
          <w:rFonts w:hint="eastAsia" w:ascii="宋体" w:hAnsi="宋体" w:cs="宋体"/>
          <w:snapToGrid w:val="0"/>
          <w:kern w:val="0"/>
          <w:sz w:val="24"/>
          <w:u w:val="single"/>
        </w:rPr>
        <w:t xml:space="preserve">           </w:t>
      </w:r>
      <w:r>
        <w:rPr>
          <w:rFonts w:hint="eastAsia" w:ascii="宋体" w:hAnsi="宋体" w:cs="宋体"/>
          <w:snapToGrid w:val="0"/>
          <w:kern w:val="0"/>
          <w:sz w:val="24"/>
        </w:rPr>
        <w:t>工程施工及有关事项协商一致，共同达成如下协议：</w:t>
      </w:r>
    </w:p>
    <w:p>
      <w:pPr>
        <w:snapToGrid w:val="0"/>
        <w:spacing w:before="24" w:beforeLines="10" w:after="24" w:afterLines="10" w:line="360" w:lineRule="auto"/>
        <w:outlineLvl w:val="1"/>
        <w:rPr>
          <w:rFonts w:ascii="宋体" w:hAnsi="宋体" w:cs="宋体"/>
          <w:b/>
          <w:bCs/>
          <w:snapToGrid w:val="0"/>
          <w:kern w:val="0"/>
          <w:sz w:val="24"/>
        </w:rPr>
      </w:pPr>
      <w:bookmarkStart w:id="404" w:name="_Toc97299498"/>
      <w:bookmarkStart w:id="405" w:name="_Toc361220410"/>
      <w:r>
        <w:rPr>
          <w:rFonts w:hint="eastAsia" w:ascii="宋体" w:hAnsi="宋体" w:cs="宋体"/>
          <w:b/>
          <w:bCs/>
          <w:snapToGrid w:val="0"/>
          <w:kern w:val="0"/>
          <w:sz w:val="24"/>
        </w:rPr>
        <w:t>一、工程概况</w:t>
      </w:r>
      <w:bookmarkEnd w:id="404"/>
      <w:bookmarkEnd w:id="405"/>
    </w:p>
    <w:p>
      <w:pPr>
        <w:snapToGrid w:val="0"/>
        <w:spacing w:line="360" w:lineRule="auto"/>
        <w:ind w:firstLine="470" w:firstLineChars="196"/>
        <w:rPr>
          <w:rFonts w:ascii="宋体" w:hAnsi="宋体" w:cs="宋体"/>
          <w:snapToGrid w:val="0"/>
          <w:kern w:val="0"/>
          <w:sz w:val="24"/>
          <w:u w:val="single"/>
        </w:rPr>
      </w:pPr>
      <w:r>
        <w:rPr>
          <w:rFonts w:hint="eastAsia" w:ascii="宋体" w:hAnsi="宋体" w:cs="宋体"/>
          <w:bCs/>
          <w:snapToGrid w:val="0"/>
          <w:kern w:val="0"/>
          <w:sz w:val="24"/>
        </w:rPr>
        <w:t>1.工程名称</w:t>
      </w:r>
      <w:r>
        <w:rPr>
          <w:rFonts w:hint="eastAsia" w:ascii="宋体" w:hAnsi="宋体" w:cs="宋体"/>
          <w:snapToGrid w:val="0"/>
          <w:kern w:val="0"/>
          <w:sz w:val="24"/>
        </w:rPr>
        <w:t>：</w:t>
      </w: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snapToGrid w:val="0"/>
        <w:spacing w:line="360" w:lineRule="auto"/>
        <w:ind w:firstLine="470" w:firstLineChars="196"/>
        <w:rPr>
          <w:rFonts w:ascii="宋体" w:hAnsi="宋体" w:cs="宋体"/>
          <w:bCs/>
          <w:snapToGrid w:val="0"/>
          <w:kern w:val="0"/>
          <w:sz w:val="24"/>
        </w:rPr>
      </w:pPr>
      <w:r>
        <w:rPr>
          <w:rFonts w:hint="eastAsia" w:ascii="宋体" w:hAnsi="宋体" w:cs="宋体"/>
          <w:bCs/>
          <w:snapToGrid w:val="0"/>
          <w:kern w:val="0"/>
          <w:sz w:val="24"/>
        </w:rPr>
        <w:t>2.工程地点：</w:t>
      </w: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snapToGrid w:val="0"/>
        <w:spacing w:line="360" w:lineRule="auto"/>
        <w:ind w:firstLine="470" w:firstLineChars="196"/>
        <w:rPr>
          <w:rFonts w:ascii="宋体" w:hAnsi="宋体" w:cs="宋体"/>
          <w:bCs/>
          <w:snapToGrid w:val="0"/>
          <w:kern w:val="0"/>
          <w:sz w:val="24"/>
        </w:rPr>
      </w:pPr>
      <w:r>
        <w:rPr>
          <w:rFonts w:hint="eastAsia" w:ascii="宋体" w:hAnsi="宋体" w:cs="宋体"/>
          <w:bCs/>
          <w:snapToGrid w:val="0"/>
          <w:kern w:val="0"/>
          <w:sz w:val="24"/>
          <w:lang w:val="en-US" w:eastAsia="zh-CN"/>
        </w:rPr>
        <w:t>3</w:t>
      </w:r>
      <w:r>
        <w:rPr>
          <w:rFonts w:hint="eastAsia" w:ascii="宋体" w:hAnsi="宋体" w:cs="宋体"/>
          <w:bCs/>
          <w:snapToGrid w:val="0"/>
          <w:kern w:val="0"/>
          <w:sz w:val="24"/>
        </w:rPr>
        <w:t>.资金来源：</w:t>
      </w:r>
      <w:r>
        <w:rPr>
          <w:rFonts w:hint="eastAsia" w:ascii="宋体" w:hAnsi="宋体" w:cs="宋体"/>
          <w:snapToGrid w:val="0"/>
          <w:kern w:val="0"/>
          <w:sz w:val="24"/>
          <w:u w:val="single"/>
        </w:rPr>
        <w:t>        </w:t>
      </w:r>
      <w:r>
        <w:rPr>
          <w:rFonts w:hint="eastAsia" w:ascii="宋体" w:hAnsi="宋体" w:cs="宋体"/>
          <w:bCs/>
          <w:snapToGrid w:val="0"/>
          <w:kern w:val="0"/>
          <w:sz w:val="24"/>
        </w:rPr>
        <w:t>。</w:t>
      </w:r>
    </w:p>
    <w:p>
      <w:pPr>
        <w:snapToGrid w:val="0"/>
        <w:spacing w:line="360" w:lineRule="auto"/>
        <w:ind w:firstLine="463" w:firstLineChars="193"/>
        <w:rPr>
          <w:rFonts w:ascii="宋体" w:hAnsi="宋体" w:cs="宋体"/>
          <w:snapToGrid w:val="0"/>
          <w:kern w:val="0"/>
          <w:sz w:val="24"/>
        </w:rPr>
      </w:pPr>
      <w:r>
        <w:rPr>
          <w:rFonts w:hint="eastAsia" w:ascii="宋体" w:hAnsi="宋体" w:cs="宋体"/>
          <w:bCs/>
          <w:snapToGrid w:val="0"/>
          <w:kern w:val="0"/>
          <w:sz w:val="24"/>
          <w:lang w:val="en-US" w:eastAsia="zh-CN"/>
        </w:rPr>
        <w:t>4</w:t>
      </w:r>
      <w:r>
        <w:rPr>
          <w:rFonts w:hint="eastAsia" w:ascii="宋体" w:hAnsi="宋体" w:cs="宋体"/>
          <w:bCs/>
          <w:snapToGrid w:val="0"/>
          <w:kern w:val="0"/>
          <w:sz w:val="24"/>
        </w:rPr>
        <w:t xml:space="preserve">.工程内容：                           </w:t>
      </w:r>
      <w:r>
        <w:rPr>
          <w:rFonts w:hint="eastAsia" w:ascii="宋体" w:hAnsi="宋体" w:cs="宋体"/>
          <w:snapToGrid w:val="0"/>
          <w:kern w:val="0"/>
          <w:sz w:val="24"/>
        </w:rPr>
        <w:t xml:space="preserve"> </w:t>
      </w:r>
    </w:p>
    <w:p>
      <w:pPr>
        <w:snapToGrid w:val="0"/>
        <w:spacing w:line="360" w:lineRule="auto"/>
        <w:ind w:firstLine="470" w:firstLineChars="196"/>
        <w:rPr>
          <w:rFonts w:ascii="宋体" w:hAnsi="宋体" w:cs="宋体"/>
          <w:bCs/>
          <w:snapToGrid w:val="0"/>
          <w:kern w:val="0"/>
          <w:sz w:val="24"/>
        </w:rPr>
      </w:pPr>
      <w:r>
        <w:rPr>
          <w:rFonts w:hint="eastAsia" w:ascii="宋体" w:hAnsi="宋体" w:cs="宋体"/>
          <w:bCs/>
          <w:snapToGrid w:val="0"/>
          <w:kern w:val="0"/>
          <w:sz w:val="24"/>
          <w:lang w:val="en-US" w:eastAsia="zh-CN"/>
        </w:rPr>
        <w:t>5</w:t>
      </w:r>
      <w:r>
        <w:rPr>
          <w:rFonts w:hint="eastAsia" w:ascii="宋体" w:hAnsi="宋体" w:cs="宋体"/>
          <w:bCs/>
          <w:snapToGrid w:val="0"/>
          <w:kern w:val="0"/>
          <w:sz w:val="24"/>
        </w:rPr>
        <w:t>.工程承包范围：</w:t>
      </w:r>
    </w:p>
    <w:p>
      <w:pPr>
        <w:snapToGrid w:val="0"/>
        <w:spacing w:line="360" w:lineRule="auto"/>
        <w:ind w:firstLine="463" w:firstLineChars="193"/>
        <w:rPr>
          <w:rFonts w:ascii="宋体" w:hAnsi="宋体" w:cs="宋体"/>
          <w:bCs/>
          <w:snapToGrid w:val="0"/>
          <w:kern w:val="0"/>
          <w:sz w:val="24"/>
        </w:rPr>
      </w:pPr>
      <w:bookmarkStart w:id="406" w:name="_Toc361220411"/>
      <w:r>
        <w:rPr>
          <w:rFonts w:hint="eastAsia" w:ascii="宋体" w:hAnsi="宋体" w:cs="宋体"/>
          <w:bCs/>
          <w:snapToGrid w:val="0"/>
          <w:kern w:val="0"/>
          <w:sz w:val="24"/>
        </w:rPr>
        <w:t>本项目为（项目名称）项目，详见采购文件要求</w:t>
      </w:r>
    </w:p>
    <w:p>
      <w:pPr>
        <w:snapToGrid w:val="0"/>
        <w:spacing w:line="360" w:lineRule="auto"/>
        <w:outlineLvl w:val="1"/>
        <w:rPr>
          <w:rFonts w:ascii="宋体" w:hAnsi="宋体" w:cs="宋体"/>
          <w:b/>
          <w:bCs/>
          <w:snapToGrid w:val="0"/>
          <w:kern w:val="0"/>
          <w:sz w:val="24"/>
        </w:rPr>
      </w:pPr>
      <w:bookmarkStart w:id="407" w:name="_Toc97299499"/>
      <w:r>
        <w:rPr>
          <w:rFonts w:hint="eastAsia" w:ascii="宋体" w:hAnsi="宋体" w:cs="宋体"/>
          <w:b/>
          <w:bCs/>
          <w:snapToGrid w:val="0"/>
          <w:kern w:val="0"/>
          <w:sz w:val="24"/>
        </w:rPr>
        <w:t>二、合同工期</w:t>
      </w:r>
      <w:bookmarkEnd w:id="406"/>
      <w:bookmarkEnd w:id="407"/>
    </w:p>
    <w:p>
      <w:pPr>
        <w:snapToGrid w:val="0"/>
        <w:spacing w:line="360" w:lineRule="auto"/>
        <w:ind w:firstLine="459"/>
        <w:rPr>
          <w:rFonts w:ascii="宋体" w:hAnsi="宋体" w:cs="宋体"/>
          <w:snapToGrid w:val="0"/>
          <w:kern w:val="0"/>
          <w:sz w:val="24"/>
        </w:rPr>
      </w:pPr>
      <w:r>
        <w:rPr>
          <w:rFonts w:hint="eastAsia" w:ascii="宋体" w:hAnsi="宋体" w:cs="宋体"/>
          <w:snapToGrid w:val="0"/>
          <w:kern w:val="0"/>
          <w:sz w:val="24"/>
        </w:rPr>
        <w:t>计划开工日期：</w:t>
      </w:r>
      <w:r>
        <w:rPr>
          <w:rFonts w:hint="eastAsia" w:ascii="宋体" w:hAnsi="宋体" w:cs="宋体"/>
          <w:snapToGrid w:val="0"/>
          <w:kern w:val="0"/>
          <w:sz w:val="24"/>
          <w:u w:val="single"/>
        </w:rPr>
        <w:t xml:space="preserve">20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pPr>
        <w:snapToGrid w:val="0"/>
        <w:spacing w:line="360" w:lineRule="auto"/>
        <w:ind w:firstLine="459"/>
        <w:rPr>
          <w:rFonts w:ascii="宋体" w:hAnsi="宋体" w:cs="宋体"/>
          <w:snapToGrid w:val="0"/>
          <w:kern w:val="0"/>
          <w:sz w:val="24"/>
        </w:rPr>
      </w:pPr>
      <w:bookmarkStart w:id="408" w:name="SOA_hhxys_jgn"/>
      <w:r>
        <w:rPr>
          <w:rFonts w:hint="eastAsia" w:ascii="宋体" w:hAnsi="宋体" w:cs="宋体"/>
          <w:snapToGrid w:val="0"/>
          <w:kern w:val="0"/>
          <w:sz w:val="24"/>
        </w:rPr>
        <w:t>计划竣工日期：</w:t>
      </w:r>
      <w:r>
        <w:rPr>
          <w:rFonts w:hint="eastAsia" w:ascii="宋体" w:hAnsi="宋体" w:cs="宋体"/>
          <w:snapToGrid w:val="0"/>
          <w:kern w:val="0"/>
          <w:sz w:val="24"/>
          <w:u w:val="single"/>
        </w:rPr>
        <w:t xml:space="preserve">20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bookmarkEnd w:id="408"/>
    </w:p>
    <w:p>
      <w:pPr>
        <w:snapToGrid w:val="0"/>
        <w:spacing w:line="360" w:lineRule="auto"/>
        <w:ind w:firstLine="459"/>
        <w:rPr>
          <w:rFonts w:ascii="宋体" w:hAnsi="宋体" w:cs="宋体"/>
          <w:snapToGrid w:val="0"/>
          <w:kern w:val="0"/>
          <w:sz w:val="24"/>
        </w:rPr>
      </w:pPr>
      <w:r>
        <w:rPr>
          <w:rFonts w:hint="eastAsia" w:ascii="宋体" w:hAnsi="宋体" w:cs="宋体"/>
          <w:snapToGrid w:val="0"/>
          <w:kern w:val="0"/>
          <w:sz w:val="24"/>
        </w:rPr>
        <w:t>工期总日历天数：</w:t>
      </w:r>
      <w:r>
        <w:rPr>
          <w:rFonts w:hint="eastAsia" w:ascii="宋体" w:hAnsi="宋体" w:cs="宋体"/>
          <w:snapToGrid w:val="0"/>
          <w:kern w:val="0"/>
          <w:sz w:val="24"/>
          <w:u w:val="single"/>
        </w:rPr>
        <w:t xml:space="preserve">     </w:t>
      </w:r>
      <w:r>
        <w:rPr>
          <w:rFonts w:hint="eastAsia" w:ascii="宋体" w:hAnsi="宋体" w:cs="宋体"/>
          <w:snapToGrid w:val="0"/>
          <w:kern w:val="0"/>
          <w:sz w:val="24"/>
        </w:rPr>
        <w:t>天。工期总日历天数与根据前述计划开竣工日期计算的工期天数不一致的，以工期总日历天数为准。</w:t>
      </w:r>
    </w:p>
    <w:p>
      <w:pPr>
        <w:snapToGrid w:val="0"/>
        <w:spacing w:line="360" w:lineRule="auto"/>
        <w:outlineLvl w:val="1"/>
        <w:rPr>
          <w:rFonts w:ascii="宋体" w:hAnsi="宋体" w:cs="宋体"/>
          <w:b/>
          <w:bCs/>
          <w:snapToGrid w:val="0"/>
          <w:kern w:val="0"/>
          <w:sz w:val="24"/>
        </w:rPr>
      </w:pPr>
      <w:bookmarkStart w:id="409" w:name="_Toc97299500"/>
      <w:bookmarkStart w:id="410" w:name="_Toc361220412"/>
      <w:r>
        <w:rPr>
          <w:rFonts w:hint="eastAsia" w:ascii="宋体" w:hAnsi="宋体" w:cs="宋体"/>
          <w:b/>
          <w:bCs/>
          <w:snapToGrid w:val="0"/>
          <w:kern w:val="0"/>
          <w:sz w:val="24"/>
        </w:rPr>
        <w:t>三、质量标准</w:t>
      </w:r>
      <w:bookmarkEnd w:id="409"/>
      <w:bookmarkEnd w:id="410"/>
    </w:p>
    <w:p>
      <w:pPr>
        <w:snapToGrid w:val="0"/>
        <w:spacing w:line="360" w:lineRule="auto"/>
        <w:ind w:firstLine="459"/>
        <w:rPr>
          <w:rFonts w:ascii="宋体" w:hAnsi="宋体" w:cs="宋体"/>
          <w:snapToGrid w:val="0"/>
          <w:kern w:val="0"/>
          <w:sz w:val="24"/>
        </w:rPr>
      </w:pPr>
      <w:r>
        <w:rPr>
          <w:rFonts w:hint="eastAsia" w:ascii="宋体" w:hAnsi="宋体" w:cs="宋体"/>
          <w:snapToGrid w:val="0"/>
          <w:kern w:val="0"/>
          <w:sz w:val="24"/>
        </w:rPr>
        <w:t>工程质量符合</w:t>
      </w:r>
      <w:r>
        <w:rPr>
          <w:rFonts w:hint="eastAsia" w:ascii="宋体" w:hAnsi="宋体" w:cs="宋体"/>
          <w:snapToGrid w:val="0"/>
          <w:kern w:val="0"/>
          <w:sz w:val="24"/>
          <w:u w:val="single"/>
        </w:rPr>
        <w:t></w:t>
      </w:r>
      <w:bookmarkStart w:id="411" w:name="SOA_hhxys_zlbz"/>
      <w:r>
        <w:rPr>
          <w:rFonts w:hint="eastAsia" w:ascii="宋体" w:hAnsi="宋体" w:cs="宋体"/>
          <w:snapToGrid w:val="0"/>
          <w:kern w:val="0"/>
          <w:sz w:val="24"/>
          <w:u w:val="single"/>
        </w:rPr>
        <w:t xml:space="preserve">       </w:t>
      </w:r>
      <w:bookmarkEnd w:id="411"/>
      <w:r>
        <w:rPr>
          <w:rFonts w:hint="eastAsia" w:ascii="宋体" w:hAnsi="宋体" w:cs="宋体"/>
          <w:snapToGrid w:val="0"/>
          <w:kern w:val="0"/>
          <w:sz w:val="24"/>
          <w:u w:val="single"/>
        </w:rPr>
        <w:t></w:t>
      </w:r>
      <w:r>
        <w:rPr>
          <w:rFonts w:hint="eastAsia" w:ascii="宋体" w:hAnsi="宋体" w:cs="宋体"/>
          <w:snapToGrid w:val="0"/>
          <w:kern w:val="0"/>
          <w:sz w:val="24"/>
        </w:rPr>
        <w:t>标准。</w:t>
      </w:r>
    </w:p>
    <w:p>
      <w:pPr>
        <w:snapToGrid w:val="0"/>
        <w:spacing w:line="360" w:lineRule="auto"/>
        <w:outlineLvl w:val="1"/>
        <w:rPr>
          <w:rFonts w:ascii="宋体" w:hAnsi="宋体" w:cs="宋体"/>
          <w:b/>
          <w:bCs/>
          <w:snapToGrid w:val="0"/>
          <w:kern w:val="0"/>
          <w:sz w:val="24"/>
        </w:rPr>
      </w:pPr>
      <w:bookmarkStart w:id="412" w:name="_Toc97299501"/>
      <w:bookmarkStart w:id="413" w:name="_Toc361220413"/>
      <w:r>
        <w:rPr>
          <w:rFonts w:hint="eastAsia" w:ascii="宋体" w:hAnsi="宋体" w:cs="宋体"/>
          <w:b/>
          <w:bCs/>
          <w:snapToGrid w:val="0"/>
          <w:kern w:val="0"/>
          <w:sz w:val="24"/>
        </w:rPr>
        <w:t>四、签约合同价与合同价格形式</w:t>
      </w:r>
      <w:bookmarkEnd w:id="412"/>
      <w:bookmarkEnd w:id="413"/>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1.签约合同价为：</w:t>
      </w:r>
    </w:p>
    <w:p>
      <w:pPr>
        <w:snapToGrid w:val="0"/>
        <w:spacing w:line="360" w:lineRule="auto"/>
        <w:ind w:firstLine="600" w:firstLineChars="250"/>
        <w:rPr>
          <w:rFonts w:ascii="宋体" w:hAnsi="宋体" w:cs="宋体"/>
          <w:snapToGrid w:val="0"/>
          <w:kern w:val="0"/>
          <w:sz w:val="24"/>
        </w:rPr>
      </w:pPr>
      <w:r>
        <w:rPr>
          <w:rFonts w:hint="eastAsia" w:ascii="宋体" w:hAnsi="宋体" w:cs="宋体"/>
          <w:snapToGrid w:val="0"/>
          <w:kern w:val="0"/>
          <w:sz w:val="24"/>
        </w:rPr>
        <w:t>人民币（大写）</w:t>
      </w:r>
      <w:bookmarkStart w:id="414" w:name="SOA_hhxys_htjdx"/>
      <w:r>
        <w:rPr>
          <w:rFonts w:hint="eastAsia" w:ascii="宋体" w:hAnsi="宋体" w:cs="宋体"/>
          <w:snapToGrid w:val="0"/>
          <w:kern w:val="0"/>
          <w:sz w:val="24"/>
          <w:u w:val="single"/>
        </w:rPr>
        <w:t xml:space="preserve">                   </w:t>
      </w:r>
      <w:bookmarkEnd w:id="414"/>
      <w:r>
        <w:rPr>
          <w:rFonts w:hint="eastAsia" w:ascii="宋体" w:hAnsi="宋体" w:cs="宋体"/>
          <w:snapToGrid w:val="0"/>
          <w:kern w:val="0"/>
          <w:sz w:val="24"/>
        </w:rPr>
        <w:t>(¥</w:t>
      </w:r>
      <w:r>
        <w:rPr>
          <w:rFonts w:hint="eastAsia" w:ascii="宋体" w:hAnsi="宋体" w:cs="宋体"/>
          <w:snapToGrid w:val="0"/>
          <w:kern w:val="0"/>
          <w:sz w:val="24"/>
          <w:u w:val="single"/>
        </w:rPr>
        <w:t xml:space="preserve"> </w:t>
      </w:r>
      <w:bookmarkStart w:id="415" w:name="SOA_hhxys_htjxx"/>
      <w:r>
        <w:rPr>
          <w:rFonts w:hint="eastAsia" w:ascii="宋体" w:hAnsi="宋体" w:cs="宋体"/>
          <w:snapToGrid w:val="0"/>
          <w:kern w:val="0"/>
          <w:sz w:val="24"/>
          <w:u w:val="single"/>
        </w:rPr>
        <w:t xml:space="preserve">            </w:t>
      </w:r>
      <w:bookmarkEnd w:id="415"/>
      <w:r>
        <w:rPr>
          <w:rFonts w:hint="eastAsia" w:ascii="宋体" w:hAnsi="宋体" w:cs="宋体"/>
          <w:snapToGrid w:val="0"/>
          <w:kern w:val="0"/>
          <w:sz w:val="24"/>
          <w:u w:val="single"/>
        </w:rPr>
        <w:t xml:space="preserve"> </w:t>
      </w:r>
      <w:r>
        <w:rPr>
          <w:rFonts w:hint="eastAsia" w:ascii="宋体" w:hAnsi="宋体" w:cs="宋体"/>
          <w:snapToGrid w:val="0"/>
          <w:kern w:val="0"/>
          <w:sz w:val="24"/>
        </w:rPr>
        <w:t>元)；</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其中：</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（1）安全文明施工费：</w:t>
      </w:r>
    </w:p>
    <w:p>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416" w:name="SOA_hhxys_wmsgfdx"/>
      <w:r>
        <w:rPr>
          <w:rFonts w:hint="eastAsia" w:ascii="宋体" w:hAnsi="宋体" w:cs="宋体"/>
          <w:snapToGrid w:val="0"/>
          <w:kern w:val="0"/>
          <w:sz w:val="24"/>
          <w:u w:val="single"/>
        </w:rPr>
        <w:t xml:space="preserve">                </w:t>
      </w:r>
      <w:bookmarkEnd w:id="416"/>
      <w:r>
        <w:rPr>
          <w:rFonts w:hint="eastAsia" w:ascii="宋体" w:hAnsi="宋体" w:cs="宋体"/>
          <w:snapToGrid w:val="0"/>
          <w:kern w:val="0"/>
          <w:sz w:val="24"/>
        </w:rPr>
        <w:t>(¥</w:t>
      </w:r>
      <w:bookmarkStart w:id="417" w:name="SOA_hhxys_wmsgfxx"/>
      <w:r>
        <w:rPr>
          <w:rFonts w:hint="eastAsia" w:ascii="宋体" w:hAnsi="宋体" w:cs="宋体"/>
          <w:snapToGrid w:val="0"/>
          <w:kern w:val="0"/>
          <w:sz w:val="24"/>
          <w:u w:val="single"/>
        </w:rPr>
        <w:t xml:space="preserve">                  </w:t>
      </w:r>
      <w:bookmarkEnd w:id="417"/>
      <w:r>
        <w:rPr>
          <w:rFonts w:hint="eastAsia" w:ascii="宋体" w:hAnsi="宋体" w:cs="宋体"/>
          <w:snapToGrid w:val="0"/>
          <w:kern w:val="0"/>
          <w:sz w:val="24"/>
        </w:rPr>
        <w:t>元)；</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（2）材料和工程设备暂估价金额：</w:t>
      </w:r>
    </w:p>
    <w:p>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418" w:name="SOA_hhxys_sbzgjdx"/>
      <w:r>
        <w:rPr>
          <w:rFonts w:hint="eastAsia" w:ascii="宋体" w:hAnsi="宋体" w:cs="宋体"/>
          <w:snapToGrid w:val="0"/>
          <w:kern w:val="0"/>
          <w:sz w:val="24"/>
          <w:u w:val="single"/>
        </w:rPr>
        <w:t xml:space="preserve">       </w:t>
      </w:r>
      <w:bookmarkEnd w:id="418"/>
      <w:r>
        <w:rPr>
          <w:rFonts w:hint="eastAsia" w:ascii="宋体" w:hAnsi="宋体" w:cs="宋体"/>
          <w:snapToGrid w:val="0"/>
          <w:kern w:val="0"/>
          <w:sz w:val="24"/>
        </w:rPr>
        <w:t>(¥</w:t>
      </w:r>
      <w:bookmarkStart w:id="419" w:name="SOA_hhxys_sbzgjxx"/>
      <w:r>
        <w:rPr>
          <w:rFonts w:hint="eastAsia" w:ascii="宋体" w:hAnsi="宋体" w:cs="宋体"/>
          <w:snapToGrid w:val="0"/>
          <w:kern w:val="0"/>
          <w:sz w:val="24"/>
          <w:u w:val="single"/>
        </w:rPr>
        <w:t xml:space="preserve">      </w:t>
      </w:r>
      <w:bookmarkEnd w:id="419"/>
      <w:r>
        <w:rPr>
          <w:rFonts w:hint="eastAsia" w:ascii="宋体" w:hAnsi="宋体" w:cs="宋体"/>
          <w:snapToGrid w:val="0"/>
          <w:kern w:val="0"/>
          <w:sz w:val="24"/>
        </w:rPr>
        <w:t>元)；</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（3）专业工程暂估价金额：</w:t>
      </w:r>
    </w:p>
    <w:p>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420" w:name="SOA_hhxys_gczgjdx"/>
      <w:r>
        <w:rPr>
          <w:rFonts w:hint="eastAsia" w:ascii="宋体" w:hAnsi="宋体" w:cs="宋体"/>
          <w:snapToGrid w:val="0"/>
          <w:kern w:val="0"/>
          <w:sz w:val="24"/>
          <w:u w:val="single"/>
        </w:rPr>
        <w:t xml:space="preserve">       </w:t>
      </w:r>
      <w:bookmarkEnd w:id="420"/>
      <w:r>
        <w:rPr>
          <w:rFonts w:hint="eastAsia" w:ascii="宋体" w:hAnsi="宋体" w:cs="宋体"/>
          <w:snapToGrid w:val="0"/>
          <w:kern w:val="0"/>
          <w:sz w:val="24"/>
        </w:rPr>
        <w:t>(¥</w:t>
      </w:r>
      <w:bookmarkStart w:id="421" w:name="SOA_hhxys_gczgjxx"/>
      <w:r>
        <w:rPr>
          <w:rFonts w:hint="eastAsia" w:ascii="宋体" w:hAnsi="宋体" w:cs="宋体"/>
          <w:snapToGrid w:val="0"/>
          <w:kern w:val="0"/>
          <w:sz w:val="24"/>
          <w:u w:val="single"/>
        </w:rPr>
        <w:t xml:space="preserve">       </w:t>
      </w:r>
      <w:bookmarkEnd w:id="421"/>
      <w:r>
        <w:rPr>
          <w:rFonts w:hint="eastAsia" w:ascii="宋体" w:hAnsi="宋体" w:cs="宋体"/>
          <w:snapToGrid w:val="0"/>
          <w:kern w:val="0"/>
          <w:sz w:val="24"/>
        </w:rPr>
        <w:t>元)；</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（4）暂列金额：</w:t>
      </w:r>
    </w:p>
    <w:p>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422" w:name="SOA_hhxys_zljedx"/>
      <w:r>
        <w:rPr>
          <w:rFonts w:hint="eastAsia" w:ascii="宋体" w:hAnsi="宋体" w:cs="宋体"/>
          <w:snapToGrid w:val="0"/>
          <w:kern w:val="0"/>
          <w:sz w:val="24"/>
          <w:u w:val="single"/>
        </w:rPr>
        <w:t xml:space="preserve">       </w:t>
      </w:r>
      <w:bookmarkEnd w:id="422"/>
      <w:r>
        <w:rPr>
          <w:rFonts w:hint="eastAsia" w:ascii="宋体" w:hAnsi="宋体" w:cs="宋体"/>
          <w:snapToGrid w:val="0"/>
          <w:kern w:val="0"/>
          <w:sz w:val="24"/>
        </w:rPr>
        <w:t>(¥</w:t>
      </w:r>
      <w:bookmarkStart w:id="423" w:name="SOA_hhxys_zljexx"/>
      <w:r>
        <w:rPr>
          <w:rFonts w:hint="eastAsia" w:ascii="宋体" w:hAnsi="宋体" w:cs="宋体"/>
          <w:snapToGrid w:val="0"/>
          <w:kern w:val="0"/>
          <w:sz w:val="24"/>
          <w:u w:val="single"/>
        </w:rPr>
        <w:t xml:space="preserve">        </w:t>
      </w:r>
      <w:bookmarkEnd w:id="423"/>
      <w:r>
        <w:rPr>
          <w:rFonts w:hint="eastAsia" w:ascii="宋体" w:hAnsi="宋体" w:cs="宋体"/>
          <w:snapToGrid w:val="0"/>
          <w:kern w:val="0"/>
          <w:sz w:val="24"/>
        </w:rPr>
        <w:t>元)。</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2.合同价格形式：</w:t>
      </w:r>
      <w:r>
        <w:rPr>
          <w:rFonts w:hint="eastAsia" w:ascii="宋体" w:hAnsi="宋体" w:cs="宋体"/>
          <w:snapToGrid w:val="0"/>
          <w:kern w:val="0"/>
          <w:sz w:val="24"/>
          <w:u w:val="single"/>
        </w:rPr>
        <w:t></w:t>
      </w:r>
      <w:bookmarkStart w:id="424" w:name="SOA_hhxys_htjgxs"/>
      <w:r>
        <w:rPr>
          <w:rFonts w:hint="eastAsia" w:ascii="宋体" w:hAnsi="宋体" w:cs="宋体"/>
          <w:snapToGrid w:val="0"/>
          <w:kern w:val="0"/>
          <w:sz w:val="24"/>
          <w:u w:val="single"/>
        </w:rPr>
        <w:t xml:space="preserve">  </w:t>
      </w:r>
      <w:bookmarkEnd w:id="424"/>
      <w:r>
        <w:rPr>
          <w:rFonts w:hint="eastAsia" w:ascii="宋体" w:hAnsi="宋体" w:cs="宋体"/>
          <w:snapToGrid w:val="0"/>
          <w:kern w:val="0"/>
          <w:sz w:val="24"/>
          <w:u w:val="single"/>
        </w:rPr>
        <w:t xml:space="preserve">      </w:t>
      </w:r>
      <w:r>
        <w:rPr>
          <w:rFonts w:hint="eastAsia" w:ascii="宋体" w:hAnsi="宋体" w:cs="宋体"/>
          <w:snapToGrid w:val="0"/>
          <w:kern w:val="0"/>
          <w:sz w:val="24"/>
        </w:rPr>
        <w:t>。</w:t>
      </w:r>
    </w:p>
    <w:p>
      <w:pPr>
        <w:snapToGrid w:val="0"/>
        <w:spacing w:line="360" w:lineRule="auto"/>
        <w:outlineLvl w:val="1"/>
        <w:rPr>
          <w:rFonts w:hint="eastAsia" w:ascii="宋体" w:hAnsi="宋体" w:eastAsia="宋体" w:cs="宋体"/>
          <w:b/>
          <w:bCs/>
          <w:snapToGrid w:val="0"/>
          <w:kern w:val="0"/>
          <w:sz w:val="24"/>
          <w:lang w:eastAsia="zh-CN"/>
        </w:rPr>
      </w:pPr>
      <w:bookmarkStart w:id="425" w:name="_Toc361220414"/>
      <w:bookmarkStart w:id="426" w:name="_Toc97299502"/>
      <w:r>
        <w:rPr>
          <w:rFonts w:hint="eastAsia" w:ascii="宋体" w:hAnsi="宋体" w:cs="宋体"/>
          <w:b/>
          <w:bCs/>
          <w:snapToGrid w:val="0"/>
          <w:kern w:val="0"/>
          <w:sz w:val="24"/>
        </w:rPr>
        <w:t>五、项目</w:t>
      </w:r>
      <w:bookmarkEnd w:id="425"/>
      <w:bookmarkEnd w:id="426"/>
      <w:r>
        <w:rPr>
          <w:rFonts w:hint="eastAsia" w:ascii="宋体" w:hAnsi="宋体" w:cs="宋体"/>
          <w:b/>
          <w:bCs/>
          <w:snapToGrid w:val="0"/>
          <w:kern w:val="0"/>
          <w:sz w:val="24"/>
          <w:lang w:val="en-US" w:eastAsia="zh-CN"/>
        </w:rPr>
        <w:t>负责</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项目经</w:t>
      </w:r>
      <w:r>
        <w:rPr>
          <w:rFonts w:hint="eastAsia" w:ascii="宋体" w:hAnsi="宋体" w:cs="宋体"/>
          <w:snapToGrid w:val="0"/>
          <w:kern w:val="0"/>
          <w:sz w:val="24"/>
          <w:lang w:val="en-US" w:eastAsia="zh-CN"/>
        </w:rPr>
        <w:t>负责</w:t>
      </w:r>
      <w:r>
        <w:rPr>
          <w:rFonts w:hint="eastAsia" w:ascii="宋体" w:hAnsi="宋体" w:cs="宋体"/>
          <w:snapToGrid w:val="0"/>
          <w:kern w:val="0"/>
          <w:sz w:val="24"/>
        </w:rPr>
        <w:t>：</w:t>
      </w:r>
      <w:r>
        <w:rPr>
          <w:rFonts w:hint="eastAsia" w:ascii="宋体" w:hAnsi="宋体" w:cs="宋体"/>
          <w:snapToGrid w:val="0"/>
          <w:kern w:val="0"/>
          <w:sz w:val="24"/>
          <w:u w:val="single"/>
        </w:rPr>
        <w:t></w:t>
      </w:r>
      <w:bookmarkStart w:id="427" w:name="SOA_hhxys_cbrxmjl"/>
      <w:r>
        <w:rPr>
          <w:rFonts w:hint="eastAsia" w:ascii="宋体" w:hAnsi="宋体" w:cs="宋体"/>
          <w:snapToGrid w:val="0"/>
          <w:kern w:val="0"/>
          <w:sz w:val="24"/>
          <w:u w:val="single"/>
        </w:rPr>
        <w:t xml:space="preserve">        </w:t>
      </w:r>
      <w:bookmarkEnd w:id="427"/>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snapToGrid w:val="0"/>
        <w:spacing w:line="360" w:lineRule="auto"/>
        <w:outlineLvl w:val="1"/>
        <w:rPr>
          <w:rFonts w:ascii="宋体" w:hAnsi="宋体" w:cs="宋体"/>
          <w:b/>
          <w:bCs/>
          <w:snapToGrid w:val="0"/>
          <w:kern w:val="0"/>
          <w:sz w:val="24"/>
        </w:rPr>
      </w:pPr>
      <w:bookmarkStart w:id="428" w:name="_Toc361220415"/>
      <w:bookmarkStart w:id="429" w:name="_Toc97299503"/>
      <w:r>
        <w:rPr>
          <w:rFonts w:hint="eastAsia" w:ascii="宋体" w:hAnsi="宋体" w:cs="宋体"/>
          <w:b/>
          <w:bCs/>
          <w:snapToGrid w:val="0"/>
          <w:kern w:val="0"/>
          <w:sz w:val="24"/>
        </w:rPr>
        <w:t>六、合同文件构成</w:t>
      </w:r>
      <w:bookmarkEnd w:id="428"/>
      <w:bookmarkEnd w:id="429"/>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本协议书与下列文件一起构成合同文件：</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（1）成交通知书（如果有）；</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 xml:space="preserve">（2）响应函及其附录（如果有）； </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（3）专用合同条款；</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（4）通用合同条款；</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（5）技术标准和要求；</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w:t>
      </w:r>
      <w:r>
        <w:rPr>
          <w:rFonts w:hint="eastAsia" w:ascii="宋体" w:hAnsi="宋体" w:cs="宋体"/>
          <w:snapToGrid w:val="0"/>
          <w:kern w:val="0"/>
          <w:sz w:val="24"/>
          <w:lang w:val="en-US" w:eastAsia="zh-CN"/>
        </w:rPr>
        <w:t>6</w:t>
      </w:r>
      <w:r>
        <w:rPr>
          <w:rFonts w:hint="eastAsia" w:ascii="宋体" w:hAnsi="宋体" w:cs="宋体"/>
          <w:snapToGrid w:val="0"/>
          <w:kern w:val="0"/>
          <w:sz w:val="24"/>
        </w:rPr>
        <w:t>）其他合同文件。</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在合同订立及履行过程中形成的与合同有关的文件均构成合同文件组成部分。</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上述各项合同文件包括合同当事人就该项合同文件所作出的补充和修改，属于同一类内容的文件，应以最新签署的为准。专用合同条款及其附件须经合同当事人签字或盖章。</w:t>
      </w:r>
    </w:p>
    <w:p>
      <w:pPr>
        <w:snapToGrid w:val="0"/>
        <w:spacing w:line="360" w:lineRule="auto"/>
        <w:outlineLvl w:val="1"/>
        <w:rPr>
          <w:rFonts w:ascii="宋体" w:hAnsi="宋体" w:cs="宋体"/>
          <w:b/>
          <w:bCs/>
          <w:snapToGrid w:val="0"/>
          <w:kern w:val="0"/>
          <w:sz w:val="24"/>
        </w:rPr>
      </w:pPr>
      <w:bookmarkStart w:id="430" w:name="_Toc97299504"/>
      <w:bookmarkStart w:id="431" w:name="_Toc361220416"/>
      <w:r>
        <w:rPr>
          <w:rFonts w:hint="eastAsia" w:ascii="宋体" w:hAnsi="宋体" w:cs="宋体"/>
          <w:b/>
          <w:bCs/>
          <w:snapToGrid w:val="0"/>
          <w:kern w:val="0"/>
          <w:sz w:val="24"/>
        </w:rPr>
        <w:t>七、承诺</w:t>
      </w:r>
      <w:bookmarkEnd w:id="430"/>
      <w:bookmarkEnd w:id="431"/>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1.发包人承诺按照法律规定履行项目审批手续、筹集工程建设资金并按照合同约定的期限和方式支付合同价款。</w:t>
      </w:r>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2.承包人承诺按照法律规定及合同约定组织完成工程施工，确保工程质量和安全，不进行转包及违法分包，并在缺陷责任期及保修期内承担相应的工程维修责任。</w:t>
      </w:r>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3.发包人和承包人通过</w:t>
      </w:r>
      <w:r>
        <w:rPr>
          <w:rFonts w:hint="eastAsia"/>
        </w:rPr>
        <w:t>政府采购</w:t>
      </w:r>
      <w:r>
        <w:rPr>
          <w:rFonts w:hint="eastAsia" w:ascii="宋体" w:hAnsi="宋体" w:cs="宋体"/>
          <w:bCs/>
          <w:snapToGrid w:val="0"/>
          <w:kern w:val="0"/>
          <w:sz w:val="24"/>
        </w:rPr>
        <w:t>形式签订合同的，双方理解并承诺不再就同一工程另行签订与合同实质性内容相背离的协议。</w:t>
      </w:r>
    </w:p>
    <w:p>
      <w:pPr>
        <w:snapToGrid w:val="0"/>
        <w:spacing w:line="360" w:lineRule="auto"/>
        <w:outlineLvl w:val="1"/>
        <w:rPr>
          <w:rFonts w:ascii="宋体" w:hAnsi="宋体" w:cs="宋体"/>
          <w:b/>
          <w:bCs/>
          <w:snapToGrid w:val="0"/>
          <w:kern w:val="0"/>
          <w:sz w:val="24"/>
        </w:rPr>
      </w:pPr>
      <w:bookmarkStart w:id="432" w:name="_Toc97299505"/>
      <w:bookmarkStart w:id="433" w:name="_Toc361220417"/>
      <w:r>
        <w:rPr>
          <w:rFonts w:hint="eastAsia" w:ascii="宋体" w:hAnsi="宋体" w:cs="宋体"/>
          <w:b/>
          <w:bCs/>
          <w:snapToGrid w:val="0"/>
          <w:kern w:val="0"/>
          <w:sz w:val="24"/>
        </w:rPr>
        <w:t>八、词语含义</w:t>
      </w:r>
      <w:bookmarkEnd w:id="432"/>
      <w:bookmarkEnd w:id="433"/>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本协议书中词语含义与第二部分通用合同条款中赋予的含义相同。</w:t>
      </w:r>
    </w:p>
    <w:p>
      <w:pPr>
        <w:snapToGrid w:val="0"/>
        <w:spacing w:line="360" w:lineRule="auto"/>
        <w:outlineLvl w:val="1"/>
        <w:rPr>
          <w:rFonts w:ascii="宋体" w:hAnsi="宋体" w:cs="宋体"/>
          <w:b/>
          <w:bCs/>
          <w:snapToGrid w:val="0"/>
          <w:kern w:val="0"/>
          <w:sz w:val="24"/>
        </w:rPr>
      </w:pPr>
      <w:bookmarkStart w:id="434" w:name="_Toc361220418"/>
      <w:bookmarkStart w:id="435" w:name="_Toc97299506"/>
      <w:r>
        <w:rPr>
          <w:rFonts w:hint="eastAsia" w:ascii="宋体" w:hAnsi="宋体" w:cs="宋体"/>
          <w:b/>
          <w:bCs/>
          <w:snapToGrid w:val="0"/>
          <w:kern w:val="0"/>
          <w:sz w:val="24"/>
        </w:rPr>
        <w:t>九、签订时间</w:t>
      </w:r>
      <w:bookmarkEnd w:id="434"/>
      <w:bookmarkEnd w:id="435"/>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本合同于</w:t>
      </w:r>
      <w:bookmarkStart w:id="436" w:name="SOA_hhxys_htqdn"/>
      <w:r>
        <w:rPr>
          <w:rFonts w:hint="eastAsia" w:ascii="宋体" w:hAnsi="宋体" w:cs="宋体"/>
          <w:bCs/>
          <w:snapToGrid w:val="0"/>
          <w:kern w:val="0"/>
          <w:sz w:val="24"/>
          <w:u w:val="single"/>
        </w:rPr>
        <w:t xml:space="preserve">      </w:t>
      </w:r>
      <w:bookmarkEnd w:id="436"/>
      <w:r>
        <w:rPr>
          <w:rFonts w:hint="eastAsia" w:ascii="宋体" w:hAnsi="宋体" w:cs="宋体"/>
          <w:bCs/>
          <w:snapToGrid w:val="0"/>
          <w:kern w:val="0"/>
          <w:sz w:val="24"/>
        </w:rPr>
        <w:t>年</w:t>
      </w:r>
      <w:bookmarkStart w:id="437" w:name="SOA_hhxys_htqdy"/>
      <w:r>
        <w:rPr>
          <w:rFonts w:hint="eastAsia" w:ascii="宋体" w:hAnsi="宋体" w:cs="宋体"/>
          <w:bCs/>
          <w:snapToGrid w:val="0"/>
          <w:kern w:val="0"/>
          <w:sz w:val="24"/>
          <w:u w:val="single"/>
        </w:rPr>
        <w:t xml:space="preserve">      </w:t>
      </w:r>
      <w:bookmarkEnd w:id="437"/>
      <w:r>
        <w:rPr>
          <w:rFonts w:hint="eastAsia" w:ascii="宋体" w:hAnsi="宋体" w:cs="宋体"/>
          <w:bCs/>
          <w:snapToGrid w:val="0"/>
          <w:kern w:val="0"/>
          <w:sz w:val="24"/>
        </w:rPr>
        <w:t>月</w:t>
      </w:r>
      <w:bookmarkStart w:id="438" w:name="SOA_hhxys_htqdr"/>
      <w:r>
        <w:rPr>
          <w:rFonts w:hint="eastAsia" w:ascii="宋体" w:hAnsi="宋体" w:cs="宋体"/>
          <w:bCs/>
          <w:snapToGrid w:val="0"/>
          <w:kern w:val="0"/>
          <w:sz w:val="24"/>
          <w:u w:val="single"/>
        </w:rPr>
        <w:t xml:space="preserve">      </w:t>
      </w:r>
      <w:bookmarkEnd w:id="438"/>
      <w:r>
        <w:rPr>
          <w:rFonts w:hint="eastAsia" w:ascii="宋体" w:hAnsi="宋体" w:cs="宋体"/>
          <w:bCs/>
          <w:snapToGrid w:val="0"/>
          <w:kern w:val="0"/>
          <w:sz w:val="24"/>
        </w:rPr>
        <w:t>日签订。</w:t>
      </w:r>
    </w:p>
    <w:p>
      <w:pPr>
        <w:snapToGrid w:val="0"/>
        <w:spacing w:line="360" w:lineRule="auto"/>
        <w:outlineLvl w:val="1"/>
        <w:rPr>
          <w:rFonts w:ascii="宋体" w:hAnsi="宋体" w:cs="宋体"/>
          <w:b/>
          <w:bCs/>
          <w:snapToGrid w:val="0"/>
          <w:kern w:val="0"/>
          <w:sz w:val="24"/>
        </w:rPr>
      </w:pPr>
      <w:bookmarkStart w:id="439" w:name="_Toc361220419"/>
      <w:bookmarkStart w:id="440" w:name="_Toc97299507"/>
      <w:r>
        <w:rPr>
          <w:rFonts w:hint="eastAsia" w:ascii="宋体" w:hAnsi="宋体" w:cs="宋体"/>
          <w:b/>
          <w:bCs/>
          <w:snapToGrid w:val="0"/>
          <w:kern w:val="0"/>
          <w:sz w:val="24"/>
        </w:rPr>
        <w:t>十、签订地点</w:t>
      </w:r>
      <w:bookmarkEnd w:id="439"/>
      <w:bookmarkEnd w:id="440"/>
    </w:p>
    <w:p>
      <w:pPr>
        <w:snapToGrid w:val="0"/>
        <w:spacing w:line="360" w:lineRule="auto"/>
        <w:rPr>
          <w:rFonts w:ascii="宋体" w:hAnsi="宋体" w:cs="宋体"/>
          <w:bCs/>
          <w:snapToGrid w:val="0"/>
          <w:kern w:val="0"/>
          <w:sz w:val="24"/>
        </w:rPr>
      </w:pPr>
      <w:r>
        <w:rPr>
          <w:rFonts w:hint="eastAsia" w:ascii="宋体" w:hAnsi="宋体" w:cs="宋体"/>
          <w:bCs/>
          <w:snapToGrid w:val="0"/>
          <w:kern w:val="0"/>
          <w:sz w:val="24"/>
        </w:rPr>
        <w:t xml:space="preserve">    本合同在</w:t>
      </w:r>
      <w:r>
        <w:rPr>
          <w:rFonts w:hint="eastAsia" w:ascii="宋体" w:hAnsi="宋体" w:cs="宋体"/>
          <w:bCs/>
          <w:snapToGrid w:val="0"/>
          <w:kern w:val="0"/>
          <w:sz w:val="24"/>
          <w:u w:val="single"/>
        </w:rPr>
        <w:t xml:space="preserve">   </w:t>
      </w:r>
      <w:bookmarkStart w:id="441" w:name="SOA_zyht_htqddd"/>
      <w:r>
        <w:rPr>
          <w:rFonts w:hint="eastAsia" w:ascii="宋体" w:hAnsi="宋体" w:cs="宋体"/>
          <w:bCs/>
          <w:snapToGrid w:val="0"/>
          <w:kern w:val="0"/>
          <w:sz w:val="24"/>
          <w:u w:val="single"/>
        </w:rPr>
        <w:t xml:space="preserve">  </w:t>
      </w:r>
      <w:r>
        <w:rPr>
          <w:rFonts w:hint="eastAsia" w:ascii="宋体" w:hAnsi="宋体" w:cs="宋体"/>
          <w:bCs/>
          <w:snapToGrid w:val="0"/>
          <w:kern w:val="0"/>
          <w:sz w:val="24"/>
          <w:u w:val="single"/>
          <w:lang w:val="en-US" w:eastAsia="zh-CN"/>
        </w:rPr>
        <w:t>阿克苏市</w:t>
      </w:r>
      <w:r>
        <w:rPr>
          <w:rFonts w:hint="eastAsia" w:ascii="宋体" w:hAnsi="宋体" w:cs="宋体"/>
          <w:bCs/>
          <w:snapToGrid w:val="0"/>
          <w:kern w:val="0"/>
          <w:sz w:val="24"/>
          <w:u w:val="single"/>
        </w:rPr>
        <w:t xml:space="preserve">   </w:t>
      </w:r>
      <w:bookmarkEnd w:id="441"/>
      <w:r>
        <w:rPr>
          <w:rFonts w:hint="eastAsia" w:ascii="宋体" w:hAnsi="宋体" w:cs="宋体"/>
          <w:bCs/>
          <w:snapToGrid w:val="0"/>
          <w:kern w:val="0"/>
          <w:sz w:val="24"/>
          <w:u w:val="single"/>
        </w:rPr>
        <w:t xml:space="preserve">  </w:t>
      </w:r>
      <w:r>
        <w:rPr>
          <w:rFonts w:hint="eastAsia" w:ascii="宋体" w:hAnsi="宋体" w:cs="宋体"/>
          <w:bCs/>
          <w:snapToGrid w:val="0"/>
          <w:kern w:val="0"/>
          <w:sz w:val="24"/>
        </w:rPr>
        <w:t>签订。</w:t>
      </w:r>
    </w:p>
    <w:p>
      <w:pPr>
        <w:snapToGrid w:val="0"/>
        <w:spacing w:line="360" w:lineRule="auto"/>
        <w:outlineLvl w:val="1"/>
        <w:rPr>
          <w:rFonts w:ascii="宋体" w:hAnsi="宋体" w:cs="宋体"/>
          <w:b/>
          <w:bCs/>
          <w:snapToGrid w:val="0"/>
          <w:kern w:val="0"/>
          <w:sz w:val="24"/>
        </w:rPr>
      </w:pPr>
      <w:bookmarkStart w:id="442" w:name="_Toc361220420"/>
      <w:bookmarkStart w:id="443" w:name="_Toc97299508"/>
      <w:r>
        <w:rPr>
          <w:rFonts w:hint="eastAsia" w:ascii="宋体" w:hAnsi="宋体" w:cs="宋体"/>
          <w:b/>
          <w:bCs/>
          <w:snapToGrid w:val="0"/>
          <w:kern w:val="0"/>
          <w:sz w:val="24"/>
        </w:rPr>
        <w:t>十一、补充协议</w:t>
      </w:r>
      <w:bookmarkEnd w:id="442"/>
      <w:bookmarkEnd w:id="443"/>
    </w:p>
    <w:p>
      <w:pPr>
        <w:snapToGrid w:val="0"/>
        <w:spacing w:line="360" w:lineRule="auto"/>
        <w:ind w:firstLine="480" w:firstLineChars="200"/>
        <w:rPr>
          <w:rFonts w:ascii="宋体" w:hAnsi="宋体" w:cs="宋体"/>
          <w:b/>
          <w:bCs/>
          <w:snapToGrid w:val="0"/>
          <w:kern w:val="0"/>
          <w:sz w:val="24"/>
        </w:rPr>
      </w:pPr>
      <w:r>
        <w:rPr>
          <w:rFonts w:hint="eastAsia" w:ascii="宋体" w:hAnsi="宋体" w:cs="宋体"/>
          <w:bCs/>
          <w:snapToGrid w:val="0"/>
          <w:kern w:val="0"/>
          <w:sz w:val="24"/>
        </w:rPr>
        <w:t>合同未尽事宜，合同当事人另行签订补充协议，补充协议是合同的组成部分。</w:t>
      </w:r>
    </w:p>
    <w:p>
      <w:pPr>
        <w:snapToGrid w:val="0"/>
        <w:spacing w:line="360" w:lineRule="auto"/>
        <w:outlineLvl w:val="1"/>
        <w:rPr>
          <w:rFonts w:ascii="宋体" w:hAnsi="宋体" w:cs="宋体"/>
          <w:b/>
          <w:bCs/>
          <w:snapToGrid w:val="0"/>
          <w:kern w:val="0"/>
          <w:sz w:val="24"/>
        </w:rPr>
      </w:pPr>
      <w:bookmarkStart w:id="444" w:name="_Toc97299509"/>
      <w:bookmarkStart w:id="445" w:name="_Toc361220421"/>
      <w:r>
        <w:rPr>
          <w:rFonts w:hint="eastAsia" w:ascii="宋体" w:hAnsi="宋体" w:cs="宋体"/>
          <w:b/>
          <w:bCs/>
          <w:snapToGrid w:val="0"/>
          <w:kern w:val="0"/>
          <w:sz w:val="24"/>
        </w:rPr>
        <w:t>十二、合同生效</w:t>
      </w:r>
      <w:bookmarkEnd w:id="444"/>
      <w:bookmarkEnd w:id="445"/>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本合同自</w:t>
      </w:r>
      <w:r>
        <w:rPr>
          <w:rFonts w:hint="eastAsia" w:ascii="宋体" w:hAnsi="宋体" w:cs="宋体"/>
          <w:bCs/>
          <w:snapToGrid w:val="0"/>
          <w:kern w:val="0"/>
          <w:sz w:val="24"/>
          <w:u w:val="single"/>
        </w:rPr>
        <w:t xml:space="preserve">  </w:t>
      </w:r>
      <w:bookmarkStart w:id="446" w:name="SOA_hhxys_htsx"/>
      <w:r>
        <w:rPr>
          <w:rFonts w:hint="eastAsia" w:ascii="宋体" w:hAnsi="宋体" w:cs="宋体"/>
          <w:bCs/>
          <w:snapToGrid w:val="0"/>
          <w:kern w:val="0"/>
          <w:sz w:val="24"/>
          <w:u w:val="single"/>
        </w:rPr>
        <w:t xml:space="preserve">  </w:t>
      </w:r>
      <w:r>
        <w:rPr>
          <w:rFonts w:hint="eastAsia" w:ascii="宋体" w:hAnsi="宋体" w:cs="宋体"/>
          <w:b/>
          <w:bCs/>
          <w:snapToGrid w:val="0"/>
          <w:kern w:val="0"/>
          <w:sz w:val="24"/>
          <w:u w:val="single"/>
        </w:rPr>
        <w:t xml:space="preserve">   </w:t>
      </w:r>
      <w:r>
        <w:rPr>
          <w:rFonts w:hint="eastAsia" w:ascii="宋体" w:hAnsi="宋体" w:cs="宋体"/>
          <w:bCs/>
          <w:snapToGrid w:val="0"/>
          <w:kern w:val="0"/>
          <w:sz w:val="24"/>
          <w:u w:val="single"/>
        </w:rPr>
        <w:t xml:space="preserve">   </w:t>
      </w:r>
      <w:bookmarkEnd w:id="446"/>
      <w:r>
        <w:rPr>
          <w:rFonts w:hint="eastAsia" w:ascii="宋体" w:hAnsi="宋体" w:cs="宋体"/>
          <w:bCs/>
          <w:snapToGrid w:val="0"/>
          <w:kern w:val="0"/>
          <w:sz w:val="24"/>
          <w:u w:val="single"/>
        </w:rPr>
        <w:t xml:space="preserve">  </w:t>
      </w:r>
      <w:r>
        <w:rPr>
          <w:rFonts w:hint="eastAsia" w:ascii="宋体" w:hAnsi="宋体" w:cs="宋体"/>
          <w:bCs/>
          <w:snapToGrid w:val="0"/>
          <w:kern w:val="0"/>
          <w:sz w:val="24"/>
        </w:rPr>
        <w:t>生效。</w:t>
      </w:r>
    </w:p>
    <w:p>
      <w:pPr>
        <w:snapToGrid w:val="0"/>
        <w:spacing w:line="360" w:lineRule="auto"/>
        <w:outlineLvl w:val="1"/>
        <w:rPr>
          <w:rFonts w:ascii="宋体" w:hAnsi="宋体" w:cs="宋体"/>
          <w:b/>
          <w:bCs/>
          <w:snapToGrid w:val="0"/>
          <w:kern w:val="0"/>
          <w:sz w:val="24"/>
        </w:rPr>
      </w:pPr>
      <w:bookmarkStart w:id="447" w:name="_Toc97299510"/>
      <w:bookmarkStart w:id="448" w:name="_Toc361220422"/>
      <w:r>
        <w:rPr>
          <w:rFonts w:hint="eastAsia" w:ascii="宋体" w:hAnsi="宋体" w:cs="宋体"/>
          <w:b/>
          <w:bCs/>
          <w:snapToGrid w:val="0"/>
          <w:kern w:val="0"/>
          <w:sz w:val="24"/>
        </w:rPr>
        <w:t>十三、合同份数</w:t>
      </w:r>
      <w:bookmarkEnd w:id="447"/>
      <w:bookmarkEnd w:id="448"/>
    </w:p>
    <w:p>
      <w:pPr>
        <w:snapToGrid w:val="0"/>
        <w:spacing w:line="360" w:lineRule="auto"/>
        <w:ind w:left="210" w:leftChars="100" w:firstLine="240" w:firstLineChars="100"/>
        <w:rPr>
          <w:rFonts w:ascii="宋体" w:hAnsi="宋体" w:cs="宋体"/>
          <w:bCs/>
          <w:snapToGrid w:val="0"/>
          <w:kern w:val="0"/>
          <w:sz w:val="24"/>
        </w:rPr>
      </w:pPr>
      <w:r>
        <w:rPr>
          <w:rFonts w:hint="eastAsia" w:ascii="宋体" w:hAnsi="宋体" w:cs="宋体"/>
          <w:bCs/>
          <w:snapToGrid w:val="0"/>
          <w:kern w:val="0"/>
          <w:sz w:val="24"/>
        </w:rPr>
        <w:t>本合同一式</w:t>
      </w:r>
      <w:r>
        <w:rPr>
          <w:rFonts w:hint="eastAsia" w:ascii="宋体" w:hAnsi="宋体" w:cs="宋体"/>
          <w:b/>
          <w:bCs/>
          <w:snapToGrid w:val="0"/>
          <w:kern w:val="0"/>
          <w:sz w:val="24"/>
          <w:u w:val="single"/>
        </w:rPr>
        <w:t xml:space="preserve">  </w:t>
      </w:r>
      <w:r>
        <w:rPr>
          <w:rFonts w:hint="eastAsia" w:ascii="宋体" w:hAnsi="宋体" w:cs="宋体"/>
          <w:bCs/>
          <w:snapToGrid w:val="0"/>
          <w:kern w:val="0"/>
          <w:sz w:val="24"/>
        </w:rPr>
        <w:t>份，均具有同等法律效力，发包人执</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份，承包人执</w:t>
      </w:r>
      <w:r>
        <w:rPr>
          <w:rFonts w:hint="eastAsia" w:ascii="宋体" w:hAnsi="宋体" w:cs="宋体"/>
          <w:b/>
          <w:snapToGrid w:val="0"/>
          <w:kern w:val="0"/>
          <w:sz w:val="24"/>
          <w:u w:val="single"/>
        </w:rPr>
        <w:t xml:space="preserve">  </w:t>
      </w:r>
      <w:r>
        <w:rPr>
          <w:rFonts w:hint="eastAsia" w:ascii="宋体" w:hAnsi="宋体" w:cs="宋体"/>
          <w:bCs/>
          <w:snapToGrid w:val="0"/>
          <w:kern w:val="0"/>
          <w:sz w:val="24"/>
        </w:rPr>
        <w:t>份。</w:t>
      </w:r>
    </w:p>
    <w:p>
      <w:pPr>
        <w:snapToGrid w:val="0"/>
        <w:spacing w:line="360" w:lineRule="auto"/>
        <w:ind w:firstLine="480" w:firstLineChars="200"/>
        <w:rPr>
          <w:rFonts w:ascii="宋体" w:hAnsi="宋体" w:cs="宋体"/>
          <w:snapToGrid w:val="0"/>
          <w:kern w:val="0"/>
          <w:sz w:val="24"/>
        </w:rPr>
      </w:pP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发包人：  (公章)</w:t>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承包人：  (公章)</w:t>
      </w:r>
    </w:p>
    <w:p>
      <w:pPr>
        <w:snapToGrid w:val="0"/>
        <w:spacing w:line="360" w:lineRule="auto"/>
        <w:ind w:firstLine="480" w:firstLineChars="200"/>
        <w:rPr>
          <w:rFonts w:ascii="宋体" w:hAnsi="宋体" w:cs="宋体"/>
          <w:bCs/>
          <w:snapToGrid w:val="0"/>
          <w:kern w:val="0"/>
          <w:sz w:val="24"/>
        </w:rPr>
      </w:pPr>
      <w:r>
        <w:rPr>
          <w:rFonts w:hint="eastAsia" w:ascii="宋体" w:hAnsi="宋体" w:cs="宋体"/>
          <w:snapToGrid w:val="0"/>
          <w:kern w:val="0"/>
          <w:sz w:val="24"/>
        </w:rPr>
        <w:t>法定代表人或其委托代理人：</w:t>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法定代表人或其委托代理人：</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（签字）</w:t>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（签字）</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组织机构代码：</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组织机构代码：</w:t>
      </w:r>
      <w:bookmarkStart w:id="449" w:name="SOA_hhxys_zjjgdm1"/>
      <w:r>
        <w:rPr>
          <w:rFonts w:hint="eastAsia" w:ascii="宋体" w:hAnsi="宋体" w:cs="宋体"/>
          <w:snapToGrid w:val="0"/>
          <w:kern w:val="0"/>
          <w:sz w:val="24"/>
          <w:u w:val="single"/>
        </w:rPr>
        <w:t xml:space="preserve">      </w:t>
      </w:r>
      <w:bookmarkEnd w:id="449"/>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地  址：</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地  址：</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邮政编码：</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邮政编码：</w:t>
      </w:r>
      <w:bookmarkStart w:id="450" w:name="SOA_hhxys_cbryb"/>
      <w:r>
        <w:rPr>
          <w:rFonts w:hint="eastAsia" w:ascii="宋体" w:hAnsi="宋体" w:cs="宋体"/>
          <w:snapToGrid w:val="0"/>
          <w:kern w:val="0"/>
          <w:sz w:val="24"/>
          <w:u w:val="single"/>
        </w:rPr>
        <w:t xml:space="preserve">             </w:t>
      </w:r>
      <w:bookmarkEnd w:id="450"/>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法定代表人：</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法定代表人：</w:t>
      </w:r>
      <w:bookmarkStart w:id="451" w:name="SOA_hhxys_fddbr1"/>
      <w:r>
        <w:rPr>
          <w:rFonts w:hint="eastAsia" w:ascii="宋体" w:hAnsi="宋体" w:cs="宋体"/>
          <w:snapToGrid w:val="0"/>
          <w:kern w:val="0"/>
          <w:sz w:val="24"/>
          <w:u w:val="single"/>
        </w:rPr>
        <w:t xml:space="preserve">     </w:t>
      </w:r>
      <w:bookmarkEnd w:id="451"/>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委托代理人：</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委托代理人：</w:t>
      </w:r>
      <w:bookmarkStart w:id="452" w:name="SOA_hhxys_wtdlr1"/>
      <w:r>
        <w:rPr>
          <w:rFonts w:hint="eastAsia" w:ascii="宋体" w:hAnsi="宋体" w:cs="宋体"/>
          <w:snapToGrid w:val="0"/>
          <w:kern w:val="0"/>
          <w:sz w:val="24"/>
          <w:u w:val="single"/>
        </w:rPr>
        <w:t xml:space="preserve">    </w:t>
      </w:r>
      <w:bookmarkEnd w:id="452"/>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电  话：</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电  话：</w:t>
      </w:r>
      <w:bookmarkStart w:id="453" w:name="SOA_hhxys_cbrdh"/>
      <w:r>
        <w:rPr>
          <w:rFonts w:hint="eastAsia" w:ascii="宋体" w:hAnsi="宋体" w:cs="宋体"/>
          <w:snapToGrid w:val="0"/>
          <w:kern w:val="0"/>
          <w:sz w:val="24"/>
          <w:u w:val="single"/>
        </w:rPr>
        <w:t xml:space="preserve">            </w:t>
      </w:r>
      <w:bookmarkEnd w:id="453"/>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传  真：</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传  真：</w:t>
      </w:r>
      <w:bookmarkStart w:id="454" w:name="SOA_hhxys_cbrcz"/>
      <w:r>
        <w:rPr>
          <w:rFonts w:hint="eastAsia" w:ascii="宋体" w:hAnsi="宋体" w:cs="宋体"/>
          <w:snapToGrid w:val="0"/>
          <w:kern w:val="0"/>
          <w:sz w:val="24"/>
          <w:u w:val="single"/>
        </w:rPr>
        <w:t xml:space="preserve">              </w:t>
      </w:r>
      <w:bookmarkEnd w:id="454"/>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电子信箱：</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电子信箱：</w:t>
      </w:r>
      <w:bookmarkStart w:id="455" w:name="SOA_hhxys_cbrdzxx"/>
      <w:r>
        <w:rPr>
          <w:rFonts w:hint="eastAsia" w:ascii="宋体" w:hAnsi="宋体" w:cs="宋体"/>
          <w:snapToGrid w:val="0"/>
          <w:kern w:val="0"/>
          <w:sz w:val="24"/>
          <w:u w:val="single"/>
        </w:rPr>
        <w:t xml:space="preserve">      </w:t>
      </w:r>
      <w:bookmarkEnd w:id="455"/>
      <w:r>
        <w:rPr>
          <w:rFonts w:hint="eastAsia" w:ascii="宋体" w:hAnsi="宋体" w:cs="宋体"/>
          <w:snapToGrid w:val="0"/>
          <w:kern w:val="0"/>
          <w:sz w:val="24"/>
          <w:u w:val="single"/>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开户银行：</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开户银行：</w:t>
      </w:r>
      <w:r>
        <w:rPr>
          <w:rFonts w:hint="eastAsia" w:ascii="宋体" w:hAnsi="宋体" w:cs="宋体"/>
          <w:snapToGrid w:val="0"/>
          <w:kern w:val="0"/>
          <w:sz w:val="24"/>
          <w:u w:val="single"/>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账  号：</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账  号：</w:t>
      </w:r>
      <w:r>
        <w:rPr>
          <w:rFonts w:hint="eastAsia" w:ascii="宋体" w:hAnsi="宋体" w:cs="宋体"/>
          <w:snapToGrid w:val="0"/>
          <w:kern w:val="0"/>
          <w:sz w:val="24"/>
          <w:u w:val="single"/>
        </w:rPr>
        <w:t></w:t>
      </w:r>
      <w:bookmarkStart w:id="456" w:name="SOA_hhxys_cbrzh"/>
      <w:r>
        <w:rPr>
          <w:rFonts w:hint="eastAsia" w:ascii="宋体" w:hAnsi="宋体" w:cs="宋体"/>
          <w:snapToGrid w:val="0"/>
          <w:kern w:val="0"/>
          <w:sz w:val="24"/>
          <w:u w:val="single"/>
        </w:rPr>
        <w:t xml:space="preserve"> </w:t>
      </w:r>
      <w:bookmarkEnd w:id="456"/>
      <w:r>
        <w:rPr>
          <w:rFonts w:hint="eastAsia" w:ascii="宋体" w:hAnsi="宋体" w:cs="宋体"/>
          <w:snapToGrid w:val="0"/>
          <w:kern w:val="0"/>
          <w:sz w:val="24"/>
          <w:u w:val="single"/>
        </w:rPr>
        <w:t xml:space="preserve">        </w:t>
      </w:r>
    </w:p>
    <w:p>
      <w:pPr>
        <w:snapToGrid w:val="0"/>
        <w:spacing w:line="360" w:lineRule="auto"/>
        <w:jc w:val="center"/>
        <w:outlineLvl w:val="0"/>
        <w:rPr>
          <w:rFonts w:ascii="宋体" w:hAnsi="宋体" w:cs="宋体"/>
          <w:b/>
          <w:sz w:val="36"/>
          <w:szCs w:val="20"/>
        </w:rPr>
      </w:pPr>
      <w:r>
        <w:rPr>
          <w:rFonts w:hint="eastAsia" w:ascii="宋体" w:hAnsi="宋体" w:cs="宋体"/>
          <w:snapToGrid w:val="0"/>
          <w:kern w:val="0"/>
          <w:sz w:val="24"/>
        </w:rPr>
        <w:br w:type="page"/>
      </w:r>
      <w:r>
        <w:rPr>
          <w:rFonts w:hint="eastAsia" w:ascii="宋体" w:hAnsi="宋体" w:cs="宋体"/>
          <w:b/>
          <w:sz w:val="36"/>
          <w:szCs w:val="20"/>
        </w:rPr>
        <w:t>第六部分</w:t>
      </w:r>
      <w:bookmarkEnd w:id="398"/>
      <w:r>
        <w:rPr>
          <w:rFonts w:hint="eastAsia" w:ascii="宋体" w:hAnsi="宋体" w:cs="宋体"/>
          <w:b/>
          <w:sz w:val="36"/>
          <w:szCs w:val="20"/>
        </w:rPr>
        <w:t xml:space="preserve"> </w:t>
      </w:r>
      <w:bookmarkEnd w:id="399"/>
      <w:r>
        <w:rPr>
          <w:rFonts w:hint="eastAsia" w:ascii="宋体" w:hAnsi="宋体" w:cs="宋体"/>
          <w:b/>
          <w:sz w:val="36"/>
          <w:szCs w:val="20"/>
        </w:rPr>
        <w:t>应提交的有关格式范例</w:t>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9"/>
        <w:rPr>
          <w:rFonts w:ascii="宋体" w:hAnsi="宋体" w:cs="宋体"/>
          <w:b/>
          <w:kern w:val="0"/>
          <w:sz w:val="36"/>
          <w:szCs w:val="36"/>
        </w:rPr>
      </w:pPr>
    </w:p>
    <w:p>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 xml:space="preserve">  一、 符合参加政府采购活动应当具备的一般条件的承诺函</w:t>
      </w:r>
    </w:p>
    <w:p>
      <w:pPr>
        <w:snapToGrid w:val="0"/>
        <w:spacing w:line="360" w:lineRule="auto"/>
        <w:rPr>
          <w:rFonts w:ascii="宋体" w:hAnsi="宋体" w:cs="宋体"/>
          <w:sz w:val="24"/>
        </w:rPr>
      </w:pPr>
      <w:r>
        <w:rPr>
          <w:rFonts w:hint="eastAsia" w:ascii="宋体" w:hAnsi="宋体" w:cs="宋体"/>
          <w:sz w:val="24"/>
        </w:rPr>
        <w:t>（采购人）、（采购代理机构）：</w:t>
      </w:r>
    </w:p>
    <w:p>
      <w:pPr>
        <w:snapToGrid w:val="0"/>
        <w:spacing w:line="360" w:lineRule="auto"/>
        <w:ind w:firstLine="480" w:firstLineChars="200"/>
        <w:rPr>
          <w:rFonts w:ascii="宋体" w:hAnsi="宋体" w:cs="宋体"/>
          <w:sz w:val="24"/>
        </w:rPr>
      </w:pPr>
      <w:r>
        <w:rPr>
          <w:rFonts w:hint="eastAsia" w:ascii="宋体" w:hAnsi="宋体" w:cs="宋体"/>
          <w:sz w:val="24"/>
        </w:rPr>
        <w:t>我方参与（项目名称）【项目编号：（采购编号）】政府采购活动，郑重承诺：</w:t>
      </w:r>
    </w:p>
    <w:p>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供应商名称(电子签名)：</w:t>
      </w:r>
    </w:p>
    <w:p>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ind w:right="480"/>
        <w:jc w:val="center"/>
        <w:rPr>
          <w:rFonts w:ascii="宋体" w:hAnsi="宋体" w:cs="宋体"/>
          <w:b/>
          <w:kern w:val="0"/>
          <w:sz w:val="32"/>
          <w:szCs w:val="32"/>
        </w:rPr>
        <w:sectPr>
          <w:headerReference r:id="rId9" w:type="first"/>
          <w:footerReference r:id="rId11" w:type="first"/>
          <w:footerReference r:id="rId10" w:type="default"/>
          <w:pgSz w:w="11906" w:h="16838"/>
          <w:pgMar w:top="1440" w:right="1080" w:bottom="1440" w:left="1080" w:header="851" w:footer="992" w:gutter="0"/>
          <w:cols w:space="720" w:num="1"/>
          <w:titlePg/>
          <w:docGrid w:linePitch="312" w:charSpace="0"/>
        </w:sectPr>
      </w:pPr>
    </w:p>
    <w:p>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以联合体形式参与的，提供联合协议；本项目不接受联合体或者供应商不以联合体形式投参与的，则不需要提供</w:t>
      </w:r>
    </w:p>
    <w:p>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pPr>
        <w:spacing w:line="360" w:lineRule="auto"/>
        <w:rPr>
          <w:rFonts w:ascii="宋体" w:hAnsi="宋体" w:cs="宋体"/>
          <w:sz w:val="24"/>
        </w:rPr>
      </w:pPr>
      <w:r>
        <w:rPr>
          <w:rFonts w:hint="eastAsia" w:ascii="宋体" w:hAnsi="宋体" w:cs="宋体"/>
          <w:sz w:val="24"/>
        </w:rPr>
        <w:t>（根据竞争性磋商公告落实政府采购政策需满足的资格要求选择提供相应的材料；未要求的，无需提供）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 xml:space="preserve">.专门面向中小企业，工程全部由符合政策要求的中小企业（或小微企业）承建的，提供相应的中小企业声明函。 </w:t>
      </w:r>
    </w:p>
    <w:p>
      <w:pPr>
        <w:widowControl/>
        <w:spacing w:line="360" w:lineRule="auto"/>
        <w:ind w:firstLine="480"/>
        <w:jc w:val="left"/>
        <w:rPr>
          <w:rFonts w:ascii="宋体" w:hAnsi="宋体" w:cs="宋体"/>
          <w:sz w:val="24"/>
        </w:rPr>
      </w:pPr>
    </w:p>
    <w:p>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要求以联合体形式参加的，提供联合协议和中小企业声明函（附件</w:t>
      </w:r>
      <w:r>
        <w:rPr>
          <w:rFonts w:hint="eastAsia" w:ascii="宋体" w:hAnsi="宋体" w:cs="宋体"/>
          <w:sz w:val="24"/>
          <w:lang w:val="en-US" w:eastAsia="zh-CN"/>
        </w:rPr>
        <w:t>1</w:t>
      </w:r>
      <w:r>
        <w:rPr>
          <w:rFonts w:hint="eastAsia" w:ascii="宋体" w:hAnsi="宋体" w:cs="宋体"/>
          <w:sz w:val="24"/>
        </w:rPr>
        <w:t>），联合协议中中小企业合同金额应当达到竞争性磋商公告载明的比例；如果供应商本身提供所有标的均由中小企业承建的，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pPr>
        <w:snapToGrid w:val="0"/>
        <w:spacing w:before="50" w:after="50" w:line="360" w:lineRule="auto"/>
        <w:jc w:val="center"/>
        <w:rPr>
          <w:rFonts w:ascii="宋体" w:hAnsi="宋体" w:cs="宋体"/>
          <w:sz w:val="24"/>
        </w:rPr>
      </w:pPr>
      <w:r>
        <w:rPr>
          <w:rFonts w:hint="eastAsia" w:ascii="宋体" w:hAnsi="宋体" w:cs="宋体"/>
          <w:b/>
          <w:sz w:val="24"/>
        </w:rPr>
        <w:t xml:space="preserve">    </w:t>
      </w:r>
    </w:p>
    <w:p>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要求合同分包的，提供中小企业声明函，分包意向协议中中小企业合同金额应当达到竞争性磋商公告载明的比例；如果供应商本身提供所有标的均由中小企业承建，</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pPr>
        <w:widowControl/>
        <w:spacing w:line="360" w:lineRule="auto"/>
        <w:ind w:left="150"/>
        <w:jc w:val="center"/>
        <w:rPr>
          <w:rFonts w:ascii="宋体" w:hAnsi="宋体" w:cs="宋体"/>
          <w:b/>
          <w:kern w:val="0"/>
          <w:sz w:val="32"/>
          <w:szCs w:val="32"/>
        </w:rPr>
      </w:pPr>
    </w:p>
    <w:p>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pPr>
        <w:spacing w:line="360" w:lineRule="auto"/>
        <w:jc w:val="center"/>
        <w:rPr>
          <w:rFonts w:ascii="宋体" w:hAnsi="宋体" w:cs="宋体"/>
          <w:sz w:val="24"/>
        </w:rPr>
      </w:pPr>
      <w:r>
        <w:rPr>
          <w:rFonts w:hint="eastAsia" w:ascii="宋体" w:hAnsi="宋体" w:cs="宋体"/>
          <w:sz w:val="24"/>
        </w:rPr>
        <w:t>（根据竞争性磋商公告本项目的特定资格要求提供相应的材料；）</w:t>
      </w:r>
    </w:p>
    <w:p>
      <w:pPr>
        <w:rPr>
          <w:rFonts w:ascii="宋体" w:hAnsi="宋体" w:cs="宋体"/>
        </w:rPr>
      </w:pPr>
    </w:p>
    <w:p>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pPr>
        <w:keepNext/>
        <w:keepLines/>
        <w:pageBreakBefore w:val="0"/>
        <w:widowControl w:val="0"/>
        <w:tabs>
          <w:tab w:val="left" w:pos="432"/>
        </w:tabs>
        <w:kinsoku/>
        <w:wordWrap/>
        <w:overflowPunct/>
        <w:topLinePunct w:val="0"/>
        <w:autoSpaceDE/>
        <w:autoSpaceDN/>
        <w:bidi w:val="0"/>
        <w:adjustRightInd/>
        <w:snapToGrid/>
        <w:ind w:left="431" w:hanging="431"/>
        <w:textAlignment w:val="auto"/>
        <w:outlineLvl w:val="9"/>
        <w:rPr>
          <w:rFonts w:ascii="宋体" w:hAnsi="宋体" w:cs="宋体"/>
          <w:b w:val="0"/>
          <w:kern w:val="0"/>
          <w:sz w:val="36"/>
          <w:szCs w:val="36"/>
        </w:rPr>
      </w:pPr>
    </w:p>
    <w:p>
      <w:pPr>
        <w:keepNext w:val="0"/>
        <w:keepLines w:val="0"/>
        <w:pageBreakBefore w:val="0"/>
        <w:widowControl w:val="0"/>
        <w:kinsoku/>
        <w:wordWrap/>
        <w:overflowPunct/>
        <w:topLinePunct w:val="0"/>
        <w:autoSpaceDE/>
        <w:autoSpaceDN/>
        <w:bidi w:val="0"/>
        <w:adjustRightInd w:val="0"/>
        <w:snapToGrid/>
        <w:spacing w:line="360" w:lineRule="auto"/>
        <w:ind w:right="420" w:firstLine="3614" w:firstLineChars="1000"/>
        <w:textAlignment w:val="auto"/>
        <w:outlineLvl w:val="1"/>
        <w:rPr>
          <w:rFonts w:ascii="宋体" w:hAnsi="宋体" w:cs="宋体"/>
          <w:b/>
          <w:kern w:val="0"/>
          <w:sz w:val="36"/>
          <w:szCs w:val="36"/>
        </w:rPr>
      </w:pPr>
      <w:r>
        <w:rPr>
          <w:rFonts w:hint="eastAsia" w:ascii="宋体" w:hAnsi="宋体" w:cs="宋体"/>
          <w:b/>
          <w:kern w:val="0"/>
          <w:sz w:val="36"/>
          <w:szCs w:val="36"/>
        </w:rPr>
        <w:t>商务技术文件部分</w:t>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9"/>
        <w:rPr>
          <w:rFonts w:hint="eastAsia" w:ascii="宋体" w:hAnsi="宋体" w:cs="宋体"/>
          <w:b/>
          <w:kern w:val="0"/>
          <w:sz w:val="28"/>
          <w:szCs w:val="28"/>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9"/>
        <w:rPr>
          <w:rFonts w:ascii="宋体" w:hAnsi="宋体" w:cs="宋体"/>
          <w:b/>
          <w:kern w:val="0"/>
          <w:sz w:val="28"/>
          <w:szCs w:val="28"/>
        </w:rPr>
      </w:pPr>
      <w:r>
        <w:rPr>
          <w:rFonts w:hint="eastAsia" w:ascii="宋体" w:hAnsi="宋体" w:cs="宋体"/>
          <w:b/>
          <w:kern w:val="0"/>
          <w:sz w:val="28"/>
          <w:szCs w:val="28"/>
        </w:rPr>
        <w:t>目录</w:t>
      </w:r>
    </w:p>
    <w:p>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响应函………………………………………………………………………………（页码）</w:t>
      </w:r>
    </w:p>
    <w:p>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2）法定代表人身份证明</w:t>
      </w:r>
      <w:r>
        <w:rPr>
          <w:rFonts w:hint="eastAsia" w:ascii="宋体" w:hAnsi="宋体" w:cs="宋体"/>
          <w:sz w:val="24"/>
        </w:rPr>
        <w:t>………………………………………………………………（页码）</w:t>
      </w:r>
    </w:p>
    <w:p>
      <w:pPr>
        <w:snapToGrid w:val="0"/>
        <w:spacing w:line="360" w:lineRule="auto"/>
        <w:ind w:left="479" w:leftChars="228"/>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lang w:val="en-US" w:eastAsia="zh-CN"/>
        </w:rPr>
        <w:t>符合性审查资料</w:t>
      </w:r>
      <w:r>
        <w:rPr>
          <w:rFonts w:hint="eastAsia" w:ascii="宋体" w:hAnsi="宋体" w:cs="宋体"/>
          <w:sz w:val="24"/>
        </w:rPr>
        <w:t>……………………………………………………………………（页码）</w:t>
      </w:r>
    </w:p>
    <w:p>
      <w:pPr>
        <w:snapToGrid w:val="0"/>
        <w:spacing w:line="360" w:lineRule="auto"/>
        <w:ind w:left="479" w:leftChars="228"/>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）评审标准相应的商务技术资料……………………………………………………（页码）（</w:t>
      </w:r>
      <w:r>
        <w:rPr>
          <w:rFonts w:hint="eastAsia" w:ascii="宋体" w:hAnsi="宋体" w:cs="宋体"/>
          <w:sz w:val="24"/>
          <w:lang w:val="en-US" w:eastAsia="zh-CN"/>
        </w:rPr>
        <w:t>5</w:t>
      </w:r>
      <w:r>
        <w:rPr>
          <w:rFonts w:hint="eastAsia" w:ascii="宋体" w:hAnsi="宋体" w:cs="宋体"/>
          <w:sz w:val="24"/>
        </w:rPr>
        <w:t>）商务技术偏离表……………………………………………………………………（页码）</w:t>
      </w:r>
    </w:p>
    <w:p>
      <w:pPr>
        <w:snapToGrid w:val="0"/>
        <w:spacing w:line="360" w:lineRule="auto"/>
        <w:ind w:left="479" w:leftChars="228"/>
        <w:rPr>
          <w:rFonts w:ascii="宋体" w:hAnsi="宋体" w:cs="宋体"/>
          <w:sz w:val="24"/>
        </w:rPr>
      </w:pPr>
      <w:r>
        <w:rPr>
          <w:rFonts w:hint="eastAsia" w:ascii="宋体" w:hAnsi="宋体" w:cs="宋体"/>
          <w:sz w:val="24"/>
          <w:lang w:val="zh-CN"/>
        </w:rPr>
        <w:t>（</w:t>
      </w:r>
      <w:r>
        <w:rPr>
          <w:rFonts w:hint="eastAsia" w:ascii="宋体" w:hAnsi="宋体" w:cs="宋体"/>
          <w:sz w:val="24"/>
          <w:lang w:val="en-US" w:eastAsia="zh-CN"/>
        </w:rPr>
        <w:t>6</w:t>
      </w:r>
      <w:r>
        <w:rPr>
          <w:rFonts w:hint="eastAsia" w:ascii="宋体" w:hAnsi="宋体" w:cs="宋体"/>
          <w:sz w:val="24"/>
          <w:lang w:val="zh-CN"/>
        </w:rPr>
        <w:t>）政府采购供应商廉洁自律承诺书</w:t>
      </w:r>
      <w:r>
        <w:rPr>
          <w:rFonts w:hint="eastAsia" w:ascii="宋体" w:hAnsi="宋体" w:cs="宋体"/>
          <w:sz w:val="24"/>
        </w:rPr>
        <w:t>…………………………………………………（页码）</w:t>
      </w:r>
    </w:p>
    <w:p>
      <w:pPr>
        <w:snapToGrid w:val="0"/>
        <w:spacing w:line="360" w:lineRule="auto"/>
        <w:jc w:val="center"/>
        <w:rPr>
          <w:rFonts w:ascii="宋体" w:hAnsi="宋体" w:cs="宋体"/>
          <w:b/>
          <w:kern w:val="0"/>
          <w:sz w:val="24"/>
          <w:szCs w:val="32"/>
          <w:lang w:val="zh-CN"/>
        </w:rPr>
      </w:pPr>
    </w:p>
    <w:p>
      <w:pPr>
        <w:keepNext/>
        <w:keepLines/>
        <w:pageBreakBefore w:val="0"/>
        <w:widowControl w:val="0"/>
        <w:kinsoku/>
        <w:wordWrap/>
        <w:overflowPunct/>
        <w:topLinePunct w:val="0"/>
        <w:autoSpaceDE/>
        <w:autoSpaceDN/>
        <w:bidi w:val="0"/>
        <w:adjustRightInd w:val="0"/>
        <w:snapToGrid/>
        <w:spacing w:line="377" w:lineRule="auto"/>
        <w:ind w:left="862" w:hanging="862"/>
        <w:textAlignment w:val="auto"/>
        <w:outlineLvl w:val="9"/>
        <w:rPr>
          <w:rFonts w:ascii="宋体" w:hAnsi="宋体" w:cs="宋体"/>
          <w:b/>
          <w:kern w:val="0"/>
          <w:sz w:val="24"/>
          <w:szCs w:val="32"/>
          <w:lang w:val="zh-CN"/>
        </w:rPr>
      </w:pPr>
    </w:p>
    <w:p>
      <w:pPr>
        <w:rPr>
          <w:lang w:val="zh-CN"/>
        </w:rPr>
        <w:sectPr>
          <w:pgSz w:w="11906" w:h="16838"/>
          <w:pgMar w:top="1440" w:right="1080" w:bottom="1440" w:left="1080" w:header="851" w:footer="992" w:gutter="0"/>
          <w:cols w:space="720" w:num="1"/>
          <w:titlePg/>
          <w:docGrid w:linePitch="312" w:charSpace="0"/>
        </w:sect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ascii="宋体" w:hAnsi="宋体" w:cs="宋体"/>
          <w:b/>
          <w:bCs/>
          <w:sz w:val="32"/>
          <w:szCs w:val="32"/>
          <w:lang w:val="zh-CN"/>
        </w:rPr>
      </w:pPr>
      <w:r>
        <w:rPr>
          <w:rFonts w:hint="eastAsia" w:ascii="宋体" w:hAnsi="宋体" w:cs="宋体"/>
          <w:b/>
          <w:bCs/>
          <w:sz w:val="32"/>
          <w:szCs w:val="32"/>
          <w:lang w:val="zh-CN"/>
        </w:rPr>
        <w:t>一、响应函</w:t>
      </w:r>
    </w:p>
    <w:p>
      <w:pPr>
        <w:snapToGrid w:val="0"/>
        <w:spacing w:line="360" w:lineRule="auto"/>
        <w:rPr>
          <w:rFonts w:ascii="宋体" w:hAnsi="宋体" w:cs="宋体"/>
          <w:sz w:val="24"/>
        </w:rPr>
      </w:pPr>
      <w:r>
        <w:rPr>
          <w:rFonts w:hint="eastAsia" w:ascii="宋体" w:hAnsi="宋体" w:cs="宋体"/>
          <w:sz w:val="24"/>
        </w:rPr>
        <w:t>（采购人）、（采购代理机构）：</w:t>
      </w:r>
    </w:p>
    <w:p>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我方参加你方组织的（项目名称）【项目编号：（采购编号）】采购的有关活动，并对此项目提交响应文件及报价。为此：</w:t>
      </w:r>
    </w:p>
    <w:p>
      <w:pPr>
        <w:snapToGrid w:val="0"/>
        <w:spacing w:line="360" w:lineRule="auto"/>
        <w:ind w:firstLine="480" w:firstLineChars="200"/>
        <w:rPr>
          <w:rFonts w:ascii="宋体" w:hAnsi="宋体" w:cs="宋体"/>
          <w:sz w:val="24"/>
        </w:rPr>
      </w:pPr>
      <w:r>
        <w:rPr>
          <w:rFonts w:hint="eastAsia" w:ascii="宋体" w:hAnsi="宋体" w:cs="宋体"/>
          <w:sz w:val="24"/>
        </w:rPr>
        <w:t>1、我方承诺响应文件有效期从提交响应文件的截止之日起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本响应文件在响应文件有效期满之前均具有约束力。</w:t>
      </w:r>
    </w:p>
    <w:p>
      <w:pPr>
        <w:snapToGrid w:val="0"/>
        <w:spacing w:line="360" w:lineRule="auto"/>
        <w:ind w:firstLine="480" w:firstLineChars="200"/>
        <w:rPr>
          <w:rFonts w:ascii="宋体" w:hAnsi="宋体" w:cs="宋体"/>
          <w:sz w:val="24"/>
        </w:rPr>
      </w:pPr>
      <w:r>
        <w:rPr>
          <w:rFonts w:hint="eastAsia" w:ascii="宋体" w:hAnsi="宋体" w:cs="宋体"/>
          <w:sz w:val="24"/>
        </w:rPr>
        <w:t>2、我方的响应文件包括以下内容：</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2.2.1响应函；</w:t>
      </w:r>
      <w:r>
        <w:rPr>
          <w:rFonts w:hint="eastAsia" w:ascii="宋体" w:hAnsi="宋体" w:cs="宋体"/>
          <w:sz w:val="24"/>
          <w:lang w:val="zh-CN"/>
        </w:rPr>
        <w:t xml:space="preserve"> </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2.2.2法定代表人身份证明；</w:t>
      </w:r>
    </w:p>
    <w:p>
      <w:pPr>
        <w:snapToGrid w:val="0"/>
        <w:spacing w:line="360" w:lineRule="auto"/>
        <w:ind w:left="420" w:leftChars="200" w:firstLine="480" w:firstLineChars="200"/>
        <w:rPr>
          <w:rFonts w:hint="eastAsia" w:ascii="宋体" w:hAnsi="宋体" w:eastAsia="宋体" w:cs="宋体"/>
          <w:sz w:val="24"/>
          <w:lang w:val="en-US" w:eastAsia="zh-CN"/>
        </w:rPr>
      </w:pPr>
      <w:r>
        <w:rPr>
          <w:rFonts w:hint="eastAsia" w:ascii="宋体" w:hAnsi="宋体" w:cs="宋体"/>
          <w:sz w:val="24"/>
        </w:rPr>
        <w:t>2.2.</w:t>
      </w:r>
      <w:r>
        <w:rPr>
          <w:rFonts w:ascii="宋体" w:hAnsi="宋体" w:cs="宋体"/>
          <w:sz w:val="24"/>
        </w:rPr>
        <w:t>3</w:t>
      </w:r>
      <w:r>
        <w:rPr>
          <w:rFonts w:hint="eastAsia" w:ascii="宋体" w:hAnsi="宋体" w:cs="宋体"/>
          <w:sz w:val="24"/>
          <w:lang w:val="en-US" w:eastAsia="zh-CN"/>
        </w:rPr>
        <w:t xml:space="preserve"> </w:t>
      </w:r>
      <w:r>
        <w:rPr>
          <w:rFonts w:hint="eastAsia" w:ascii="宋体" w:hAnsi="宋体" w:cs="宋体"/>
          <w:sz w:val="24"/>
        </w:rPr>
        <w:t>评审标准相应的商务技术资料；</w:t>
      </w:r>
    </w:p>
    <w:p>
      <w:pPr>
        <w:snapToGrid w:val="0"/>
        <w:spacing w:line="360" w:lineRule="auto"/>
        <w:ind w:left="420" w:leftChars="200" w:firstLine="480" w:firstLineChars="200"/>
        <w:rPr>
          <w:rFonts w:hint="eastAsia" w:ascii="宋体" w:hAnsi="宋体" w:eastAsia="宋体" w:cs="宋体"/>
          <w:sz w:val="24"/>
          <w:lang w:val="en-US" w:eastAsia="zh-CN"/>
        </w:rPr>
      </w:pPr>
      <w:r>
        <w:rPr>
          <w:rFonts w:hint="eastAsia" w:ascii="宋体" w:hAnsi="宋体" w:cs="宋体"/>
          <w:sz w:val="24"/>
        </w:rPr>
        <w:t>2.2.</w:t>
      </w:r>
      <w:r>
        <w:rPr>
          <w:rFonts w:ascii="宋体" w:hAnsi="宋体" w:cs="宋体"/>
          <w:sz w:val="24"/>
        </w:rPr>
        <w:t>4</w:t>
      </w:r>
      <w:r>
        <w:rPr>
          <w:rFonts w:hint="eastAsia" w:ascii="宋体" w:hAnsi="宋体" w:cs="宋体"/>
          <w:sz w:val="24"/>
          <w:lang w:val="en-US" w:eastAsia="zh-CN"/>
        </w:rPr>
        <w:t xml:space="preserve"> </w:t>
      </w:r>
      <w:r>
        <w:rPr>
          <w:rFonts w:hint="eastAsia" w:ascii="宋体" w:hAnsi="宋体" w:cs="宋体"/>
          <w:sz w:val="24"/>
        </w:rPr>
        <w:t>商务技术偏离表；</w:t>
      </w:r>
    </w:p>
    <w:p>
      <w:pPr>
        <w:snapToGrid w:val="0"/>
        <w:spacing w:line="360" w:lineRule="auto"/>
        <w:ind w:left="420" w:leftChars="200" w:firstLine="480" w:firstLineChars="200"/>
        <w:rPr>
          <w:rFonts w:hint="eastAsia" w:ascii="宋体" w:hAnsi="宋体" w:eastAsia="宋体" w:cs="宋体"/>
          <w:sz w:val="24"/>
          <w:lang w:val="en-US" w:eastAsia="zh-CN"/>
        </w:rPr>
      </w:pPr>
      <w:r>
        <w:rPr>
          <w:rFonts w:hint="eastAsia" w:ascii="宋体" w:hAnsi="宋体" w:cs="宋体"/>
          <w:sz w:val="24"/>
        </w:rPr>
        <w:t>2.2.</w:t>
      </w:r>
      <w:r>
        <w:rPr>
          <w:rFonts w:ascii="宋体" w:hAnsi="宋体" w:cs="宋体"/>
          <w:sz w:val="24"/>
        </w:rPr>
        <w:t>5</w:t>
      </w:r>
      <w:r>
        <w:rPr>
          <w:rFonts w:hint="eastAsia" w:ascii="宋体" w:hAnsi="宋体" w:cs="宋体"/>
          <w:sz w:val="24"/>
          <w:lang w:val="en-US" w:eastAsia="zh-CN"/>
        </w:rPr>
        <w:t xml:space="preserve"> </w:t>
      </w:r>
      <w:r>
        <w:rPr>
          <w:rFonts w:hint="eastAsia" w:ascii="宋体" w:hAnsi="宋体" w:cs="宋体"/>
          <w:sz w:val="24"/>
          <w:lang w:val="zh-CN"/>
        </w:rPr>
        <w:t>政府采购供应商廉洁自律承诺书；</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2.3.1报价单；</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3、我方承诺除商务技术偏离表列出的偏离外，我方响应采购文件的全部要求。</w:t>
      </w:r>
    </w:p>
    <w:p>
      <w:pPr>
        <w:snapToGrid w:val="0"/>
        <w:spacing w:line="360" w:lineRule="auto"/>
        <w:ind w:firstLine="480" w:firstLineChars="200"/>
        <w:rPr>
          <w:rFonts w:ascii="宋体" w:hAnsi="宋体" w:cs="宋体"/>
          <w:sz w:val="24"/>
        </w:rPr>
      </w:pPr>
      <w:r>
        <w:rPr>
          <w:rFonts w:hint="eastAsia" w:ascii="宋体" w:hAnsi="宋体" w:cs="宋体"/>
          <w:sz w:val="24"/>
        </w:rPr>
        <w:t>4、如我方成交，我方承诺：</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4.1在收到成交通知书后，在成交通知书规定的期限内与你方签订合同；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pPr>
        <w:snapToGrid w:val="0"/>
        <w:spacing w:line="360" w:lineRule="auto"/>
        <w:ind w:left="210" w:leftChars="100" w:firstLine="480" w:firstLineChars="200"/>
        <w:rPr>
          <w:rFonts w:ascii="宋体" w:hAnsi="宋体" w:cs="宋体"/>
          <w:sz w:val="24"/>
        </w:rPr>
      </w:pPr>
      <w:r>
        <w:rPr>
          <w:rFonts w:hint="eastAsia" w:ascii="宋体" w:hAnsi="宋体" w:cs="宋体"/>
          <w:sz w:val="24"/>
          <w:lang w:eastAsia="zh-CN"/>
        </w:rPr>
        <w:t>4.2</w:t>
      </w:r>
      <w:r>
        <w:rPr>
          <w:rFonts w:hint="eastAsia" w:ascii="宋体" w:hAnsi="宋体" w:cs="宋体"/>
          <w:sz w:val="24"/>
        </w:rPr>
        <w:t xml:space="preserve">按照采购文件要求提交履约保证金； </w:t>
      </w:r>
    </w:p>
    <w:p>
      <w:pPr>
        <w:snapToGrid w:val="0"/>
        <w:spacing w:line="360" w:lineRule="auto"/>
        <w:ind w:left="210" w:leftChars="100" w:firstLine="480" w:firstLineChars="200"/>
        <w:rPr>
          <w:rFonts w:ascii="宋体" w:hAnsi="宋体" w:cs="宋体"/>
          <w:sz w:val="24"/>
        </w:rPr>
      </w:pPr>
      <w:r>
        <w:rPr>
          <w:rFonts w:hint="eastAsia" w:ascii="宋体" w:hAnsi="宋体" w:cs="宋体"/>
          <w:sz w:val="24"/>
          <w:lang w:eastAsia="zh-CN"/>
        </w:rPr>
        <w:t>4.3</w:t>
      </w:r>
      <w:r>
        <w:rPr>
          <w:rFonts w:hint="eastAsia" w:ascii="宋体" w:hAnsi="宋体" w:cs="宋体"/>
          <w:sz w:val="24"/>
        </w:rPr>
        <w:t xml:space="preserve">在合同约定的期限内完成合同规定的全部义务。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pPr>
        <w:spacing w:line="360" w:lineRule="auto"/>
        <w:ind w:firstLine="3600" w:firstLineChars="1500"/>
        <w:rPr>
          <w:rFonts w:ascii="宋体" w:hAnsi="宋体" w:cs="宋体"/>
          <w:sz w:val="24"/>
        </w:rPr>
      </w:pPr>
      <w:r>
        <w:rPr>
          <w:rFonts w:hint="eastAsia" w:ascii="宋体" w:hAnsi="宋体" w:cs="宋体"/>
          <w:sz w:val="24"/>
        </w:rPr>
        <w:t>供应商名称（</w:t>
      </w:r>
      <w:r>
        <w:rPr>
          <w:rFonts w:hint="eastAsia" w:ascii="宋体" w:hAnsi="宋体" w:cs="宋体"/>
          <w:sz w:val="24"/>
          <w:lang w:val="en-US" w:eastAsia="zh-CN"/>
        </w:rPr>
        <w:t>签章</w:t>
      </w:r>
      <w:r>
        <w:rPr>
          <w:rFonts w:hint="eastAsia" w:ascii="宋体" w:hAnsi="宋体" w:cs="宋体"/>
          <w:sz w:val="24"/>
        </w:rPr>
        <w:t xml:space="preserve">）：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left="420" w:leftChars="200" w:firstLine="4200" w:firstLineChars="1750"/>
        <w:rPr>
          <w:rFonts w:ascii="宋体" w:hAnsi="宋体" w:cs="宋体"/>
          <w:kern w:val="0"/>
          <w:sz w:val="24"/>
          <w:u w:val="single"/>
        </w:rPr>
      </w:pPr>
    </w:p>
    <w:p>
      <w:pPr>
        <w:spacing w:line="360" w:lineRule="auto"/>
        <w:ind w:right="420"/>
        <w:rPr>
          <w:rFonts w:ascii="宋体" w:hAnsi="宋体" w:cs="宋体"/>
          <w:sz w:val="24"/>
        </w:rPr>
      </w:pPr>
      <w:r>
        <w:rPr>
          <w:rFonts w:hint="eastAsia" w:ascii="宋体" w:hAnsi="宋体" w:cs="宋体"/>
          <w:sz w:val="24"/>
        </w:rPr>
        <w:t>注：按本格式和要求提供。</w:t>
      </w:r>
    </w:p>
    <w:p>
      <w:pPr>
        <w:snapToGrid w:val="0"/>
        <w:spacing w:line="360" w:lineRule="auto"/>
        <w:jc w:val="center"/>
        <w:rPr>
          <w:rFonts w:ascii="宋体" w:hAnsi="宋体" w:cs="宋体"/>
          <w:b/>
          <w:kern w:val="0"/>
          <w:sz w:val="32"/>
          <w:szCs w:val="32"/>
        </w:rPr>
      </w:pPr>
    </w:p>
    <w:p>
      <w:pPr>
        <w:snapToGrid w:val="0"/>
        <w:spacing w:line="360" w:lineRule="auto"/>
        <w:rPr>
          <w:rFonts w:ascii="宋体" w:hAnsi="宋体" w:cs="宋体"/>
          <w:sz w:val="24"/>
        </w:rPr>
      </w:pPr>
    </w:p>
    <w:p>
      <w:pPr>
        <w:jc w:val="center"/>
        <w:rPr>
          <w:rFonts w:ascii="宋体" w:hAnsi="宋体" w:cs="宋体"/>
          <w:b/>
          <w:kern w:val="0"/>
          <w:sz w:val="32"/>
          <w:szCs w:val="32"/>
        </w:rPr>
      </w:pPr>
    </w:p>
    <w:p>
      <w:pPr>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hint="eastAsia" w:ascii="宋体" w:hAnsi="宋体" w:eastAsia="宋体" w:cs="宋体"/>
          <w:b/>
          <w:bCs/>
          <w:sz w:val="32"/>
          <w:szCs w:val="32"/>
          <w:lang w:val="zh-CN"/>
        </w:rPr>
      </w:pPr>
      <w:r>
        <w:rPr>
          <w:rFonts w:hint="eastAsia" w:ascii="宋体" w:hAnsi="宋体" w:eastAsia="宋体" w:cs="宋体"/>
          <w:b/>
          <w:bCs/>
          <w:sz w:val="32"/>
          <w:szCs w:val="32"/>
          <w:lang w:val="zh-CN"/>
        </w:rPr>
        <w:t>二、法定代表人身份证明</w:t>
      </w:r>
    </w:p>
    <w:p>
      <w:pPr>
        <w:widowControl/>
        <w:topLinePunct/>
        <w:spacing w:line="360" w:lineRule="auto"/>
        <w:ind w:firstLine="420"/>
        <w:rPr>
          <w:rFonts w:hint="eastAsia" w:ascii="宋体" w:hAnsi="宋体" w:cs="宋体"/>
          <w:color w:val="auto"/>
          <w:kern w:val="0"/>
          <w:szCs w:val="21"/>
          <w:lang w:eastAsia="zh-CN"/>
        </w:rPr>
      </w:pPr>
    </w:p>
    <w:p>
      <w:pPr>
        <w:widowControl/>
        <w:topLinePunct/>
        <w:spacing w:line="360" w:lineRule="auto"/>
        <w:ind w:firstLine="420"/>
        <w:rPr>
          <w:rFonts w:ascii="宋体" w:hAnsi="宋体" w:cs="宋体"/>
          <w:color w:val="auto"/>
          <w:kern w:val="0"/>
          <w:szCs w:val="21"/>
          <w:u w:val="single"/>
        </w:rPr>
      </w:pPr>
      <w:r>
        <w:rPr>
          <w:rFonts w:hint="eastAsia" w:ascii="宋体" w:hAnsi="宋体" w:cs="宋体"/>
          <w:color w:val="auto"/>
          <w:kern w:val="0"/>
          <w:szCs w:val="21"/>
          <w:lang w:eastAsia="zh-CN"/>
        </w:rPr>
        <w:t>供应商</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p>
    <w:p>
      <w:pPr>
        <w:widowControl/>
        <w:topLinePunct/>
        <w:spacing w:line="360" w:lineRule="auto"/>
        <w:ind w:firstLine="420"/>
        <w:rPr>
          <w:rFonts w:ascii="宋体" w:hAnsi="宋体" w:cs="宋体"/>
          <w:color w:val="auto"/>
          <w:kern w:val="0"/>
          <w:szCs w:val="21"/>
        </w:rPr>
      </w:pPr>
      <w:r>
        <w:rPr>
          <w:rFonts w:hint="eastAsia" w:ascii="宋体" w:hAnsi="宋体" w:cs="宋体"/>
          <w:color w:val="auto"/>
          <w:kern w:val="0"/>
          <w:szCs w:val="21"/>
        </w:rPr>
        <w:t>单位性质：</w:t>
      </w:r>
      <w:r>
        <w:rPr>
          <w:rFonts w:hint="eastAsia" w:ascii="宋体" w:hAnsi="宋体" w:cs="宋体"/>
          <w:color w:val="auto"/>
          <w:kern w:val="0"/>
          <w:szCs w:val="21"/>
          <w:u w:val="single"/>
        </w:rPr>
        <w:t xml:space="preserve">                           </w:t>
      </w:r>
    </w:p>
    <w:p>
      <w:pPr>
        <w:widowControl/>
        <w:topLinePunct/>
        <w:spacing w:line="360" w:lineRule="auto"/>
        <w:ind w:firstLine="420"/>
        <w:rPr>
          <w:rFonts w:ascii="宋体" w:hAnsi="宋体" w:cs="宋体"/>
          <w:color w:val="auto"/>
          <w:kern w:val="0"/>
          <w:szCs w:val="21"/>
        </w:rPr>
      </w:pPr>
      <w:r>
        <w:rPr>
          <w:rFonts w:hint="eastAsia" w:ascii="宋体" w:hAnsi="宋体" w:cs="宋体"/>
          <w:color w:val="auto"/>
          <w:kern w:val="0"/>
          <w:szCs w:val="21"/>
        </w:rPr>
        <w:t>成立时间：</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widowControl/>
        <w:topLinePunct/>
        <w:spacing w:line="360" w:lineRule="auto"/>
        <w:ind w:firstLine="420"/>
        <w:rPr>
          <w:rFonts w:ascii="宋体" w:hAnsi="宋体" w:cs="宋体"/>
          <w:color w:val="auto"/>
          <w:kern w:val="0"/>
          <w:szCs w:val="21"/>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pPr>
        <w:widowControl/>
        <w:topLinePunct/>
        <w:spacing w:line="360" w:lineRule="auto"/>
        <w:ind w:firstLine="420"/>
        <w:rPr>
          <w:rFonts w:ascii="宋体" w:hAnsi="宋体" w:cs="宋体"/>
          <w:color w:val="auto"/>
          <w:kern w:val="0"/>
          <w:szCs w:val="21"/>
          <w:u w:val="single"/>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性别：</w:t>
      </w:r>
      <w:r>
        <w:rPr>
          <w:rFonts w:hint="eastAsia" w:ascii="宋体" w:hAnsi="宋体" w:cs="宋体"/>
          <w:color w:val="auto"/>
          <w:kern w:val="0"/>
          <w:szCs w:val="21"/>
          <w:u w:val="single"/>
        </w:rPr>
        <w:t xml:space="preserve">          </w:t>
      </w:r>
      <w:r>
        <w:rPr>
          <w:rFonts w:hint="eastAsia" w:ascii="宋体" w:hAnsi="宋体" w:cs="宋体"/>
          <w:color w:val="auto"/>
          <w:kern w:val="0"/>
          <w:szCs w:val="21"/>
        </w:rPr>
        <w:t>年龄：</w:t>
      </w:r>
      <w:r>
        <w:rPr>
          <w:rFonts w:hint="eastAsia" w:ascii="宋体" w:hAnsi="宋体" w:cs="宋体"/>
          <w:color w:val="auto"/>
          <w:kern w:val="0"/>
          <w:szCs w:val="21"/>
          <w:u w:val="single"/>
        </w:rPr>
        <w:t xml:space="preserve">         </w:t>
      </w:r>
      <w:r>
        <w:rPr>
          <w:rFonts w:hint="eastAsia" w:ascii="宋体" w:hAnsi="宋体" w:cs="宋体"/>
          <w:color w:val="auto"/>
          <w:kern w:val="0"/>
          <w:szCs w:val="21"/>
        </w:rPr>
        <w:t>职务：</w:t>
      </w:r>
      <w:r>
        <w:rPr>
          <w:rFonts w:hint="eastAsia" w:ascii="宋体" w:hAnsi="宋体" w:cs="宋体"/>
          <w:color w:val="auto"/>
          <w:kern w:val="0"/>
          <w:szCs w:val="21"/>
          <w:u w:val="single"/>
        </w:rPr>
        <w:t xml:space="preserve">         </w:t>
      </w:r>
    </w:p>
    <w:p>
      <w:pPr>
        <w:widowControl/>
        <w:topLinePunct/>
        <w:spacing w:line="360" w:lineRule="auto"/>
        <w:ind w:firstLine="420"/>
        <w:rPr>
          <w:rFonts w:ascii="宋体" w:hAnsi="宋体" w:cs="宋体"/>
          <w:color w:val="auto"/>
          <w:kern w:val="0"/>
          <w:szCs w:val="21"/>
        </w:rPr>
      </w:pPr>
      <w:r>
        <w:rPr>
          <w:rFonts w:hint="eastAsia" w:ascii="宋体" w:hAnsi="宋体" w:cs="宋体"/>
          <w:color w:val="auto"/>
          <w:kern w:val="0"/>
          <w:szCs w:val="21"/>
        </w:rPr>
        <w:t>系</w:t>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s="宋体"/>
          <w:color w:val="auto"/>
          <w:kern w:val="0"/>
          <w:szCs w:val="21"/>
          <w:lang w:eastAsia="zh-CN"/>
        </w:rPr>
        <w:t>供应商</w:t>
      </w:r>
      <w:r>
        <w:rPr>
          <w:rFonts w:hint="eastAsia" w:ascii="宋体" w:hAnsi="宋体" w:cs="宋体"/>
          <w:color w:val="auto"/>
          <w:kern w:val="0"/>
          <w:szCs w:val="21"/>
        </w:rPr>
        <w:t>名称）的法定代表人。</w:t>
      </w:r>
    </w:p>
    <w:p>
      <w:pPr>
        <w:widowControl/>
        <w:topLinePunct/>
        <w:spacing w:line="360" w:lineRule="auto"/>
        <w:ind w:firstLine="420"/>
        <w:rPr>
          <w:rFonts w:ascii="宋体" w:hAnsi="宋体" w:cs="宋体"/>
          <w:color w:val="auto"/>
          <w:kern w:val="0"/>
          <w:szCs w:val="21"/>
        </w:rPr>
      </w:pPr>
      <w:r>
        <w:rPr>
          <w:rFonts w:hint="eastAsia" w:ascii="宋体" w:hAnsi="宋体" w:cs="宋体"/>
          <w:color w:val="auto"/>
          <w:kern w:val="0"/>
          <w:szCs w:val="21"/>
        </w:rPr>
        <w:t xml:space="preserve">    特此证明。</w:t>
      </w:r>
    </w:p>
    <w:p>
      <w:pPr>
        <w:snapToGrid w:val="0"/>
        <w:spacing w:line="360" w:lineRule="auto"/>
        <w:rPr>
          <w:rFonts w:ascii="宋体" w:hAnsi="宋体" w:cs="宋体"/>
          <w:sz w:val="24"/>
        </w:rPr>
      </w:pPr>
      <w:r>
        <w:rPr>
          <w:rFonts w:hint="eastAsia" w:ascii="宋体" w:hAnsi="宋体" w:cs="宋体"/>
          <w:sz w:val="24"/>
        </w:rPr>
        <w:t xml:space="preserve">                             </w:t>
      </w:r>
    </w:p>
    <w:p>
      <w:pPr>
        <w:pStyle w:val="147"/>
        <w:spacing w:line="360" w:lineRule="auto"/>
        <w:ind w:firstLine="210" w:firstLineChars="1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47"/>
              <w:adjustRightInd w:val="0"/>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正面：                                 反面：</w:t>
            </w:r>
          </w:p>
          <w:p>
            <w:pPr>
              <w:pStyle w:val="147"/>
              <w:adjustRightInd w:val="0"/>
              <w:spacing w:line="360" w:lineRule="auto"/>
              <w:rPr>
                <w:rFonts w:hint="eastAsia" w:ascii="宋体" w:hAnsi="宋体" w:eastAsia="宋体" w:cs="宋体"/>
                <w:color w:val="auto"/>
                <w:kern w:val="0"/>
                <w:sz w:val="21"/>
                <w:szCs w:val="21"/>
                <w:lang w:val="en-US" w:eastAsia="zh-CN" w:bidi="ar-SA"/>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供应商名称(</w:t>
      </w:r>
      <w:r>
        <w:rPr>
          <w:rFonts w:hint="eastAsia" w:ascii="宋体" w:hAnsi="宋体" w:cs="宋体"/>
          <w:kern w:val="0"/>
          <w:sz w:val="24"/>
          <w:lang w:val="en-US" w:eastAsia="zh-CN"/>
        </w:rPr>
        <w:t>签章</w:t>
      </w:r>
      <w:r>
        <w:rPr>
          <w:rFonts w:hint="eastAsia" w:ascii="宋体" w:hAnsi="宋体" w:cs="宋体"/>
          <w:kern w:val="0"/>
          <w:sz w:val="24"/>
          <w:lang w:val="zh-CN"/>
        </w:rPr>
        <w:t xml:space="preserve">)：                              </w:t>
      </w:r>
    </w:p>
    <w:p>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hint="eastAsia" w:ascii="宋体" w:hAnsi="宋体" w:eastAsia="宋体" w:cs="宋体"/>
          <w:b/>
          <w:bCs/>
          <w:sz w:val="32"/>
          <w:szCs w:val="32"/>
          <w:lang w:val="zh-CN"/>
        </w:rPr>
      </w:pPr>
      <w:r>
        <w:rPr>
          <w:rFonts w:hint="eastAsia" w:ascii="宋体" w:hAnsi="宋体" w:eastAsia="宋体" w:cs="宋体"/>
          <w:b/>
          <w:bCs/>
          <w:sz w:val="32"/>
          <w:szCs w:val="32"/>
          <w:lang w:val="en-US" w:eastAsia="zh-CN"/>
        </w:rPr>
        <w:t>三</w:t>
      </w:r>
      <w:r>
        <w:rPr>
          <w:rFonts w:hint="eastAsia" w:ascii="宋体" w:hAnsi="宋体" w:eastAsia="宋体" w:cs="宋体"/>
          <w:b/>
          <w:bCs/>
          <w:sz w:val="32"/>
          <w:szCs w:val="32"/>
          <w:lang w:val="zh-CN"/>
        </w:rPr>
        <w:t>、符合性审查资料</w:t>
      </w:r>
    </w:p>
    <w:p>
      <w:pPr>
        <w:jc w:val="center"/>
        <w:rPr>
          <w:rFonts w:ascii="宋体" w:hAnsi="宋体" w:cs="宋体"/>
          <w:b/>
          <w:kern w:val="0"/>
          <w:sz w:val="32"/>
          <w:szCs w:val="32"/>
        </w:rPr>
      </w:pPr>
    </w:p>
    <w:tbl>
      <w:tblPr>
        <w:tblStyle w:val="62"/>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40"/>
        <w:gridCol w:w="3492"/>
        <w:gridCol w:w="4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lang w:eastAsia="zh-CN"/>
              </w:rPr>
            </w:pPr>
            <w:r>
              <w:rPr>
                <w:rFonts w:hint="eastAsia" w:ascii="宋体" w:hAnsi="宋体" w:eastAsia="宋体" w:cs="宋体"/>
                <w:sz w:val="24"/>
                <w:lang w:eastAsia="zh-CN"/>
              </w:rPr>
              <w:t>序号</w:t>
            </w:r>
          </w:p>
        </w:tc>
        <w:tc>
          <w:tcPr>
            <w:tcW w:w="8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lang w:eastAsia="zh-CN"/>
              </w:rPr>
            </w:pPr>
            <w:r>
              <w:rPr>
                <w:rFonts w:hint="eastAsia" w:ascii="宋体" w:hAnsi="宋体" w:eastAsia="宋体" w:cs="宋体"/>
                <w:sz w:val="24"/>
                <w:lang w:eastAsia="zh-CN"/>
              </w:rPr>
              <w:t>类别</w:t>
            </w:r>
          </w:p>
        </w:tc>
        <w:tc>
          <w:tcPr>
            <w:tcW w:w="17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lang w:eastAsia="zh-CN"/>
              </w:rPr>
            </w:pPr>
            <w:r>
              <w:rPr>
                <w:rFonts w:hint="eastAsia" w:ascii="宋体" w:hAnsi="宋体" w:eastAsia="宋体" w:cs="宋体"/>
                <w:sz w:val="24"/>
                <w:lang w:eastAsia="zh-CN"/>
              </w:rPr>
              <w:t>要求</w:t>
            </w:r>
          </w:p>
        </w:tc>
        <w:tc>
          <w:tcPr>
            <w:tcW w:w="20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lang w:eastAsia="zh-CN"/>
              </w:rPr>
            </w:pPr>
            <w:r>
              <w:rPr>
                <w:rFonts w:hint="eastAsia" w:ascii="宋体" w:hAnsi="宋体" w:eastAsia="宋体" w:cs="宋体"/>
                <w:sz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rPr>
            </w:pPr>
            <w:r>
              <w:rPr>
                <w:rFonts w:hint="eastAsia" w:ascii="宋体" w:hAnsi="宋体" w:eastAsia="宋体" w:cs="宋体"/>
                <w:sz w:val="24"/>
              </w:rPr>
              <w:t>1</w:t>
            </w:r>
          </w:p>
        </w:tc>
        <w:tc>
          <w:tcPr>
            <w:tcW w:w="8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rPr>
            </w:pPr>
            <w:r>
              <w:rPr>
                <w:rFonts w:hint="eastAsia" w:ascii="宋体" w:hAnsi="宋体" w:eastAsia="宋体" w:cs="宋体"/>
                <w:sz w:val="24"/>
                <w:lang w:eastAsia="zh-CN"/>
              </w:rPr>
              <w:t>报价</w:t>
            </w:r>
          </w:p>
        </w:tc>
        <w:tc>
          <w:tcPr>
            <w:tcW w:w="17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rPr>
            </w:pPr>
            <w:r>
              <w:rPr>
                <w:rFonts w:hint="eastAsia" w:ascii="宋体" w:hAnsi="宋体" w:eastAsia="宋体" w:cs="宋体"/>
                <w:sz w:val="24"/>
              </w:rPr>
              <w:t>投标报价的合理性</w:t>
            </w:r>
          </w:p>
        </w:tc>
        <w:tc>
          <w:tcPr>
            <w:tcW w:w="20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rPr>
            </w:pPr>
            <w:r>
              <w:rPr>
                <w:rFonts w:hint="eastAsia" w:ascii="宋体" w:hAnsi="宋体" w:eastAsia="宋体" w:cs="宋体"/>
                <w:sz w:val="24"/>
              </w:rPr>
              <w:t>供应商报价超过采购文件规定的预算金额，其投标将被认定为投标无效。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8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default" w:ascii="宋体" w:hAnsi="宋体" w:eastAsia="宋体" w:cs="宋体"/>
                <w:sz w:val="24"/>
                <w:lang w:val="en-US" w:eastAsia="zh-CN"/>
              </w:rPr>
            </w:pPr>
            <w:r>
              <w:rPr>
                <w:rFonts w:hint="eastAsia" w:ascii="宋体" w:hAnsi="宋体" w:eastAsia="宋体" w:cs="宋体"/>
                <w:sz w:val="24"/>
                <w:lang w:eastAsia="zh-CN"/>
              </w:rPr>
              <w:t>商务</w:t>
            </w:r>
            <w:r>
              <w:rPr>
                <w:rFonts w:hint="eastAsia" w:ascii="宋体" w:hAnsi="宋体" w:eastAsia="宋体" w:cs="宋体"/>
                <w:sz w:val="24"/>
                <w:lang w:val="en-US" w:eastAsia="zh-CN"/>
              </w:rPr>
              <w:t>技术</w:t>
            </w:r>
          </w:p>
        </w:tc>
        <w:tc>
          <w:tcPr>
            <w:tcW w:w="17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rPr>
            </w:pPr>
            <w:r>
              <w:rPr>
                <w:rFonts w:hint="eastAsia" w:ascii="宋体" w:hAnsi="宋体" w:eastAsia="宋体" w:cs="宋体"/>
                <w:sz w:val="24"/>
                <w:lang w:eastAsia="zh-CN"/>
              </w:rPr>
              <w:t>应根据采购文件的要求提供详细的</w:t>
            </w:r>
            <w:r>
              <w:rPr>
                <w:rFonts w:hint="eastAsia" w:ascii="宋体" w:hAnsi="宋体" w:eastAsia="宋体" w:cs="宋体"/>
                <w:sz w:val="24"/>
                <w:lang w:val="en-US" w:eastAsia="zh-CN"/>
              </w:rPr>
              <w:t>商务技术</w:t>
            </w:r>
            <w:r>
              <w:rPr>
                <w:rFonts w:hint="eastAsia" w:ascii="宋体" w:hAnsi="宋体" w:eastAsia="宋体" w:cs="宋体"/>
                <w:sz w:val="24"/>
                <w:lang w:eastAsia="zh-CN"/>
              </w:rPr>
              <w:t>投标方案</w:t>
            </w:r>
          </w:p>
        </w:tc>
        <w:tc>
          <w:tcPr>
            <w:tcW w:w="20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lang w:eastAsia="zh-CN"/>
              </w:rPr>
            </w:pPr>
            <w:r>
              <w:rPr>
                <w:rFonts w:hint="eastAsia" w:ascii="宋体" w:hAnsi="宋体" w:eastAsia="宋体" w:cs="宋体"/>
                <w:sz w:val="24"/>
                <w:lang w:eastAsia="zh-CN"/>
              </w:rPr>
              <w:t>未提供商务</w:t>
            </w:r>
            <w:r>
              <w:rPr>
                <w:rFonts w:hint="eastAsia" w:ascii="宋体" w:hAnsi="宋体" w:eastAsia="宋体" w:cs="宋体"/>
                <w:sz w:val="24"/>
                <w:lang w:val="en-US" w:eastAsia="zh-CN"/>
              </w:rPr>
              <w:t>技术</w:t>
            </w:r>
            <w:r>
              <w:rPr>
                <w:rFonts w:hint="eastAsia" w:ascii="宋体" w:hAnsi="宋体" w:eastAsia="宋体" w:cs="宋体"/>
                <w:sz w:val="24"/>
                <w:lang w:eastAsia="zh-CN"/>
              </w:rPr>
              <w:t>投标方案的，其投标将被认定未投标无效。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941" w:type="pct"/>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rPr>
            </w:pPr>
            <w:r>
              <w:rPr>
                <w:rFonts w:hint="eastAsia" w:ascii="宋体" w:hAnsi="宋体" w:eastAsia="宋体" w:cs="宋体"/>
                <w:sz w:val="24"/>
                <w:lang w:val="en-US" w:eastAsia="zh-CN"/>
              </w:rPr>
              <w:t>检查结果</w:t>
            </w:r>
          </w:p>
        </w:tc>
        <w:tc>
          <w:tcPr>
            <w:tcW w:w="2058"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20"/>
              <w:rPr>
                <w:rFonts w:hint="eastAsia" w:ascii="宋体" w:hAnsi="宋体" w:eastAsia="宋体" w:cs="宋体"/>
                <w:sz w:val="24"/>
              </w:rPr>
            </w:pPr>
            <w:r>
              <w:rPr>
                <w:rFonts w:hint="eastAsia" w:ascii="宋体" w:hAnsi="宋体" w:eastAsia="宋体" w:cs="宋体"/>
                <w:sz w:val="24"/>
              </w:rPr>
              <w:t>注：投标文件有不符合上述情形之一的，作废标处理。出现偏差的标记“×”，没有出现偏差的标记“√” 。</w:t>
            </w:r>
          </w:p>
        </w:tc>
      </w:tr>
    </w:tbl>
    <w:p>
      <w:pPr>
        <w:spacing w:line="360" w:lineRule="auto"/>
        <w:ind w:right="420"/>
        <w:rPr>
          <w:rFonts w:hint="eastAsia" w:ascii="宋体" w:hAnsi="宋体" w:cs="宋体"/>
          <w:sz w:val="24"/>
        </w:rPr>
      </w:pPr>
      <w:r>
        <w:rPr>
          <w:rFonts w:hint="eastAsia" w:ascii="宋体" w:hAnsi="宋体" w:cs="宋体"/>
          <w:sz w:val="24"/>
        </w:rPr>
        <w:t>注：按本格式和要求提供。</w:t>
      </w:r>
    </w:p>
    <w:p>
      <w:pPr>
        <w:rPr>
          <w:rFonts w:hint="eastAsia" w:ascii="宋体" w:hAnsi="宋体" w:cs="宋体"/>
          <w:sz w:val="24"/>
        </w:rPr>
      </w:pPr>
      <w:r>
        <w:rPr>
          <w:rFonts w:hint="eastAsia" w:ascii="宋体" w:hAnsi="宋体" w:cs="宋体"/>
          <w:sz w:val="24"/>
        </w:rPr>
        <w:br w:type="page"/>
      </w:r>
    </w:p>
    <w:p>
      <w:pPr>
        <w:jc w:val="center"/>
        <w:rPr>
          <w:rFonts w:ascii="宋体" w:hAnsi="宋体" w:cs="宋体"/>
          <w:b/>
          <w:kern w:val="0"/>
          <w:sz w:val="32"/>
          <w:szCs w:val="32"/>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四、评审标准相应的商务技术资料</w:t>
      </w:r>
    </w:p>
    <w:p>
      <w:pPr>
        <w:snapToGrid w:val="0"/>
        <w:spacing w:line="360" w:lineRule="auto"/>
        <w:jc w:val="left"/>
        <w:rPr>
          <w:rFonts w:ascii="宋体" w:hAnsi="宋体" w:cs="宋体"/>
          <w:b/>
          <w:sz w:val="24"/>
        </w:rPr>
      </w:pPr>
      <w:r>
        <w:rPr>
          <w:rFonts w:hint="eastAsia" w:ascii="宋体" w:hAnsi="宋体" w:cs="宋体"/>
          <w:b/>
          <w:sz w:val="24"/>
        </w:rPr>
        <w:t>（按采购文件第四部分评审办法前附表中“响应文件中评审标准相应的商务技术资料目录”提供资料。）</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sz w:val="24"/>
              </w:rPr>
            </w:pPr>
            <w:r>
              <w:rPr>
                <w:rFonts w:hint="eastAsia" w:ascii="宋体" w:hAnsi="宋体" w:cs="宋体"/>
                <w:b/>
                <w:bCs/>
                <w:sz w:val="24"/>
              </w:rPr>
              <w:t>序号</w:t>
            </w:r>
          </w:p>
        </w:tc>
        <w:tc>
          <w:tcPr>
            <w:tcW w:w="3683" w:type="dxa"/>
          </w:tcPr>
          <w:p>
            <w:pPr>
              <w:jc w:val="center"/>
              <w:rPr>
                <w:rFonts w:ascii="宋体" w:hAnsi="宋体" w:cs="宋体"/>
                <w:b/>
                <w:bCs/>
                <w:sz w:val="24"/>
              </w:rPr>
            </w:pPr>
            <w:r>
              <w:rPr>
                <w:rFonts w:hint="eastAsia" w:ascii="宋体" w:hAnsi="宋体" w:cs="宋体"/>
                <w:b/>
                <w:bCs/>
                <w:sz w:val="24"/>
              </w:rPr>
              <w:t>采购文件章节及具体内容</w:t>
            </w:r>
          </w:p>
        </w:tc>
        <w:tc>
          <w:tcPr>
            <w:tcW w:w="3546" w:type="dxa"/>
          </w:tcPr>
          <w:p>
            <w:pPr>
              <w:jc w:val="center"/>
              <w:rPr>
                <w:rFonts w:ascii="宋体" w:hAnsi="宋体" w:cs="宋体"/>
                <w:b/>
                <w:bCs/>
                <w:sz w:val="24"/>
              </w:rPr>
            </w:pPr>
            <w:r>
              <w:rPr>
                <w:rFonts w:hint="eastAsia" w:ascii="宋体" w:hAnsi="宋体" w:cs="宋体"/>
                <w:b/>
                <w:bCs/>
                <w:sz w:val="24"/>
              </w:rPr>
              <w:t>响应文件章节及具体内容</w:t>
            </w:r>
          </w:p>
        </w:tc>
        <w:tc>
          <w:tcPr>
            <w:tcW w:w="1276" w:type="dxa"/>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1</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2</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bl>
    <w:p>
      <w:pPr>
        <w:jc w:val="left"/>
        <w:rPr>
          <w:rFonts w:ascii="宋体" w:hAnsi="宋体" w:cs="宋体"/>
          <w:kern w:val="0"/>
          <w:sz w:val="24"/>
        </w:rPr>
      </w:pPr>
      <w:r>
        <w:rPr>
          <w:rFonts w:hint="eastAsia" w:ascii="宋体" w:hAnsi="宋体" w:cs="宋体"/>
          <w:kern w:val="0"/>
          <w:sz w:val="24"/>
        </w:rPr>
        <w:t>供应商保证：除商务技术偏离表列出的偏离外，供应商响应采购文件的全部要求</w:t>
      </w:r>
    </w:p>
    <w:p>
      <w:pPr>
        <w:jc w:val="center"/>
        <w:rPr>
          <w:rFonts w:ascii="宋体" w:hAnsi="宋体" w:cs="宋体"/>
          <w:b/>
          <w:kern w:val="0"/>
          <w:sz w:val="32"/>
          <w:szCs w:val="32"/>
        </w:rPr>
      </w:pPr>
    </w:p>
    <w:p>
      <w:pPr>
        <w:spacing w:line="360" w:lineRule="auto"/>
        <w:ind w:right="420"/>
        <w:rPr>
          <w:rFonts w:ascii="宋体" w:hAnsi="宋体" w:cs="宋体"/>
          <w:sz w:val="24"/>
        </w:rPr>
      </w:pPr>
      <w:r>
        <w:rPr>
          <w:rFonts w:hint="eastAsia" w:ascii="宋体" w:hAnsi="宋体" w:cs="宋体"/>
          <w:sz w:val="24"/>
        </w:rPr>
        <w:t>注：按本格式和要求提供。</w:t>
      </w:r>
    </w:p>
    <w:p>
      <w:pPr>
        <w:ind w:firstLine="1911" w:firstLineChars="595"/>
        <w:rPr>
          <w:rFonts w:ascii="宋体" w:hAnsi="宋体" w:cs="宋体"/>
          <w:b/>
          <w:bCs/>
          <w:sz w:val="32"/>
          <w:szCs w:val="32"/>
        </w:rPr>
        <w:sectPr>
          <w:footerReference r:id="rId13" w:type="first"/>
          <w:footerReference r:id="rId12" w:type="default"/>
          <w:pgSz w:w="11906" w:h="16838"/>
          <w:pgMar w:top="1440" w:right="1080" w:bottom="1440" w:left="1080" w:header="851" w:footer="992" w:gutter="0"/>
          <w:cols w:space="720" w:num="1"/>
          <w:titlePg/>
          <w:docGrid w:linePitch="312" w:charSpace="0"/>
        </w:sect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lang w:val="zh-CN" w:eastAsia="zh-CN"/>
        </w:rPr>
        <w:t>政府采购供应商廉洁自律承诺书</w:t>
      </w:r>
    </w:p>
    <w:p>
      <w:pPr>
        <w:snapToGrid w:val="0"/>
        <w:spacing w:line="360" w:lineRule="auto"/>
        <w:rPr>
          <w:rFonts w:ascii="宋体" w:hAnsi="宋体" w:cs="宋体"/>
          <w:sz w:val="24"/>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供应商名称（</w:t>
      </w:r>
      <w:r>
        <w:rPr>
          <w:rFonts w:hint="eastAsia" w:ascii="宋体" w:hAnsi="宋体" w:cs="宋体"/>
          <w:sz w:val="24"/>
        </w:rPr>
        <w:t>电子签名</w:t>
      </w:r>
      <w:r>
        <w:rPr>
          <w:rFonts w:hint="eastAsia" w:ascii="宋体" w:hAnsi="宋体" w:cs="宋体"/>
          <w:kern w:val="0"/>
          <w:sz w:val="24"/>
          <w:lang w:val="zh-CN"/>
        </w:rPr>
        <w:t xml:space="preserve">）：                                                                                                                                                                                                               </w:t>
      </w:r>
    </w:p>
    <w:p>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spacing w:line="360" w:lineRule="auto"/>
        <w:jc w:val="center"/>
        <w:rPr>
          <w:rFonts w:ascii="宋体" w:hAnsi="宋体" w:cs="宋体"/>
          <w:b/>
          <w:bCs/>
          <w:sz w:val="24"/>
        </w:rPr>
        <w:sectPr>
          <w:pgSz w:w="11906" w:h="16838"/>
          <w:pgMar w:top="1440" w:right="1080" w:bottom="1440" w:left="1080" w:header="851" w:footer="992" w:gutter="0"/>
          <w:cols w:space="720" w:num="1"/>
          <w:titlePg/>
          <w:docGrid w:linePitch="312" w:charSpace="0"/>
        </w:sect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1"/>
        <w:rPr>
          <w:rFonts w:ascii="宋体" w:hAnsi="宋体" w:cs="宋体"/>
          <w:b/>
          <w:kern w:val="0"/>
          <w:sz w:val="36"/>
          <w:szCs w:val="36"/>
        </w:rPr>
      </w:pPr>
      <w:r>
        <w:rPr>
          <w:rFonts w:hint="eastAsia" w:ascii="宋体" w:hAnsi="宋体" w:cs="宋体"/>
          <w:b/>
          <w:kern w:val="0"/>
          <w:sz w:val="36"/>
          <w:szCs w:val="36"/>
        </w:rPr>
        <w:t>报价文件部分</w:t>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9"/>
        <w:rPr>
          <w:rFonts w:ascii="宋体" w:hAnsi="宋体" w:cs="宋体"/>
          <w:b/>
          <w:kern w:val="0"/>
          <w:sz w:val="36"/>
          <w:szCs w:val="36"/>
        </w:rPr>
      </w:pPr>
      <w:r>
        <w:rPr>
          <w:rFonts w:hint="eastAsia" w:ascii="宋体" w:hAnsi="宋体" w:cs="宋体"/>
          <w:b/>
          <w:kern w:val="0"/>
          <w:sz w:val="36"/>
          <w:szCs w:val="36"/>
        </w:rPr>
        <w:t>目录</w:t>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9"/>
        <w:rPr>
          <w:rFonts w:ascii="宋体" w:hAnsi="宋体" w:cs="宋体"/>
          <w:b/>
          <w:kern w:val="0"/>
          <w:sz w:val="36"/>
          <w:szCs w:val="36"/>
        </w:rPr>
      </w:pPr>
    </w:p>
    <w:p>
      <w:pPr>
        <w:snapToGrid w:val="0"/>
        <w:spacing w:line="360" w:lineRule="auto"/>
        <w:rPr>
          <w:rFonts w:ascii="宋体" w:hAnsi="宋体" w:cs="宋体"/>
          <w:sz w:val="24"/>
        </w:rPr>
      </w:pPr>
      <w:r>
        <w:rPr>
          <w:rFonts w:hint="eastAsia" w:ascii="宋体" w:hAnsi="宋体" w:cs="宋体"/>
          <w:sz w:val="24"/>
        </w:rPr>
        <w:t>（1）报价单…………………………………………………………………………（页码）</w:t>
      </w:r>
    </w:p>
    <w:p>
      <w:pPr>
        <w:snapToGrid w:val="0"/>
        <w:spacing w:line="36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）中小企业声明函………………………………………………………………（页码）</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footerReference r:id="rId16" w:type="first"/>
          <w:headerReference r:id="rId14" w:type="default"/>
          <w:footerReference r:id="rId15" w:type="default"/>
          <w:pgSz w:w="11906" w:h="16838"/>
          <w:pgMar w:top="1440" w:right="1080" w:bottom="1440" w:left="1080" w:header="851" w:footer="992" w:gutter="0"/>
          <w:cols w:space="720" w:num="1"/>
          <w:titlePg/>
          <w:docGrid w:linePitch="312" w:charSpace="0"/>
        </w:sect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一、报价单</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按你方采购文件要求，我们，本响应文件签字方，谨此向你方发出要约如下：如你方接受本投标，我方承诺按照如下报价单的价格完成</w:t>
      </w:r>
      <w:r>
        <w:rPr>
          <w:rFonts w:hint="eastAsia" w:ascii="宋体" w:hAnsi="宋体" w:cs="宋体"/>
          <w:sz w:val="24"/>
        </w:rPr>
        <w:t>（项目名称）</w:t>
      </w:r>
      <w:r>
        <w:rPr>
          <w:rFonts w:hint="eastAsia" w:ascii="宋体" w:hAnsi="宋体" w:cs="宋体"/>
          <w:kern w:val="0"/>
          <w:sz w:val="24"/>
          <w:lang w:val="zh-CN"/>
        </w:rPr>
        <w:t>【项目编号：</w:t>
      </w:r>
      <w:r>
        <w:rPr>
          <w:rFonts w:hint="eastAsia" w:ascii="宋体" w:hAnsi="宋体" w:cs="宋体"/>
          <w:sz w:val="24"/>
        </w:rPr>
        <w:t>（采购编号）】的实施</w:t>
      </w:r>
      <w:r>
        <w:rPr>
          <w:rFonts w:hint="eastAsia" w:ascii="宋体" w:hAnsi="宋体" w:cs="宋体"/>
          <w:kern w:val="0"/>
          <w:sz w:val="24"/>
          <w:lang w:val="zh-CN"/>
        </w:rPr>
        <w:t>。</w:t>
      </w:r>
    </w:p>
    <w:p>
      <w:pPr>
        <w:spacing w:line="360" w:lineRule="auto"/>
        <w:jc w:val="center"/>
        <w:rPr>
          <w:rFonts w:ascii="宋体" w:hAnsi="宋体" w:cs="宋体"/>
          <w:b/>
          <w:kern w:val="0"/>
          <w:sz w:val="24"/>
          <w:lang w:val="zh-CN"/>
        </w:rPr>
      </w:pPr>
      <w:r>
        <w:rPr>
          <w:rFonts w:hint="eastAsia" w:ascii="宋体" w:hAnsi="宋体" w:cs="宋体"/>
          <w:b/>
          <w:kern w:val="0"/>
          <w:sz w:val="24"/>
          <w:lang w:val="zh-CN"/>
        </w:rPr>
        <w:t>报价单(单位均为人民币元)</w:t>
      </w:r>
    </w:p>
    <w:tbl>
      <w:tblPr>
        <w:tblStyle w:val="62"/>
        <w:tblW w:w="14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675"/>
        <w:gridCol w:w="4525"/>
        <w:gridCol w:w="4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831" w:type="dxa"/>
            <w:vAlign w:val="center"/>
          </w:tcPr>
          <w:p>
            <w:pPr>
              <w:spacing w:line="360" w:lineRule="auto"/>
              <w:jc w:val="center"/>
              <w:rPr>
                <w:rFonts w:ascii="宋体" w:hAnsi="宋体" w:cs="宋体"/>
                <w:b/>
                <w:sz w:val="24"/>
              </w:rPr>
            </w:pPr>
            <w:r>
              <w:rPr>
                <w:rFonts w:hint="eastAsia" w:ascii="宋体" w:hAnsi="宋体" w:cs="宋体"/>
                <w:b/>
                <w:sz w:val="24"/>
              </w:rPr>
              <w:t>项目名称</w:t>
            </w:r>
          </w:p>
        </w:tc>
        <w:tc>
          <w:tcPr>
            <w:tcW w:w="2675" w:type="dxa"/>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施工范围</w:t>
            </w:r>
          </w:p>
        </w:tc>
        <w:tc>
          <w:tcPr>
            <w:tcW w:w="4525" w:type="dxa"/>
            <w:vAlign w:val="center"/>
          </w:tcPr>
          <w:p>
            <w:pPr>
              <w:spacing w:line="360" w:lineRule="auto"/>
              <w:jc w:val="center"/>
              <w:rPr>
                <w:rFonts w:ascii="宋体" w:hAnsi="宋体" w:cs="宋体"/>
                <w:b/>
                <w:sz w:val="24"/>
              </w:rPr>
            </w:pPr>
            <w:r>
              <w:rPr>
                <w:rFonts w:hint="eastAsia" w:ascii="宋体" w:hAnsi="宋体" w:cs="宋体"/>
                <w:b/>
                <w:sz w:val="24"/>
              </w:rPr>
              <w:t>施工工期</w:t>
            </w:r>
          </w:p>
        </w:tc>
        <w:tc>
          <w:tcPr>
            <w:tcW w:w="4527" w:type="dxa"/>
            <w:vAlign w:val="center"/>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备注（如果有）</w:t>
            </w:r>
          </w:p>
          <w:p>
            <w:pPr>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831" w:type="dxa"/>
            <w:vAlign w:val="center"/>
          </w:tcPr>
          <w:p>
            <w:pPr>
              <w:snapToGrid w:val="0"/>
              <w:spacing w:line="360" w:lineRule="auto"/>
              <w:jc w:val="center"/>
              <w:rPr>
                <w:rFonts w:ascii="宋体" w:hAnsi="宋体" w:cs="宋体"/>
                <w:sz w:val="24"/>
              </w:rPr>
            </w:pPr>
          </w:p>
        </w:tc>
        <w:tc>
          <w:tcPr>
            <w:tcW w:w="2675" w:type="dxa"/>
            <w:vAlign w:val="center"/>
          </w:tcPr>
          <w:p>
            <w:pPr>
              <w:snapToGrid w:val="0"/>
              <w:spacing w:line="360" w:lineRule="auto"/>
              <w:jc w:val="center"/>
              <w:rPr>
                <w:rFonts w:ascii="宋体" w:hAnsi="宋体" w:cs="宋体"/>
                <w:sz w:val="24"/>
              </w:rPr>
            </w:pPr>
          </w:p>
        </w:tc>
        <w:tc>
          <w:tcPr>
            <w:tcW w:w="4525" w:type="dxa"/>
            <w:vAlign w:val="center"/>
          </w:tcPr>
          <w:p>
            <w:pPr>
              <w:snapToGrid w:val="0"/>
              <w:spacing w:line="360" w:lineRule="auto"/>
              <w:jc w:val="center"/>
              <w:rPr>
                <w:rFonts w:ascii="宋体" w:hAnsi="宋体" w:cs="宋体"/>
                <w:sz w:val="24"/>
              </w:rPr>
            </w:pPr>
          </w:p>
        </w:tc>
        <w:tc>
          <w:tcPr>
            <w:tcW w:w="4527"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031" w:type="dxa"/>
            <w:gridSpan w:val="3"/>
            <w:vAlign w:val="center"/>
          </w:tcPr>
          <w:p>
            <w:pPr>
              <w:spacing w:line="360" w:lineRule="auto"/>
              <w:jc w:val="center"/>
              <w:rPr>
                <w:rFonts w:ascii="宋体" w:hAnsi="宋体" w:cs="宋体"/>
                <w:sz w:val="24"/>
              </w:rPr>
            </w:pPr>
            <w:r>
              <w:rPr>
                <w:rFonts w:hint="eastAsia" w:ascii="宋体" w:hAnsi="宋体" w:cs="宋体"/>
                <w:b/>
                <w:sz w:val="24"/>
              </w:rPr>
              <w:t>磋商报价（小写）</w:t>
            </w:r>
          </w:p>
        </w:tc>
        <w:tc>
          <w:tcPr>
            <w:tcW w:w="4527"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031" w:type="dxa"/>
            <w:gridSpan w:val="3"/>
            <w:vAlign w:val="center"/>
          </w:tcPr>
          <w:p>
            <w:pPr>
              <w:spacing w:line="360" w:lineRule="auto"/>
              <w:jc w:val="center"/>
              <w:rPr>
                <w:rFonts w:ascii="宋体" w:hAnsi="宋体" w:cs="宋体"/>
                <w:sz w:val="24"/>
              </w:rPr>
            </w:pPr>
            <w:r>
              <w:rPr>
                <w:rFonts w:hint="eastAsia" w:ascii="宋体" w:hAnsi="宋体" w:cs="宋体"/>
                <w:b/>
                <w:sz w:val="24"/>
              </w:rPr>
              <w:t>磋商报价（大写）</w:t>
            </w:r>
          </w:p>
        </w:tc>
        <w:tc>
          <w:tcPr>
            <w:tcW w:w="4527" w:type="dxa"/>
            <w:vAlign w:val="center"/>
          </w:tcPr>
          <w:p>
            <w:pPr>
              <w:spacing w:line="360" w:lineRule="auto"/>
              <w:jc w:val="center"/>
              <w:rPr>
                <w:rFonts w:ascii="宋体" w:hAnsi="宋体" w:cs="宋体"/>
                <w:sz w:val="24"/>
              </w:rPr>
            </w:pPr>
          </w:p>
        </w:tc>
      </w:tr>
    </w:tbl>
    <w:p>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pPr>
        <w:spacing w:line="360" w:lineRule="auto"/>
        <w:ind w:left="-2" w:leftChars="-1" w:firstLine="480" w:firstLineChars="200"/>
        <w:rPr>
          <w:rFonts w:ascii="宋体" w:hAnsi="宋体" w:cs="宋体"/>
          <w:color w:val="0000FF"/>
          <w:kern w:val="0"/>
          <w:sz w:val="24"/>
          <w:lang w:val="zh-CN"/>
        </w:rPr>
      </w:pPr>
      <w:r>
        <w:rPr>
          <w:rFonts w:hint="eastAsia" w:ascii="宋体" w:hAnsi="宋体" w:cs="宋体"/>
          <w:kern w:val="0"/>
          <w:sz w:val="24"/>
          <w:lang w:val="zh-CN"/>
        </w:rPr>
        <w:t>1、供应商需按</w:t>
      </w:r>
      <w:r>
        <w:rPr>
          <w:rFonts w:hint="eastAsia" w:ascii="宋体" w:hAnsi="宋体" w:cs="宋体"/>
          <w:color w:val="0000FF"/>
          <w:kern w:val="0"/>
          <w:sz w:val="24"/>
          <w:lang w:val="zh-CN"/>
        </w:rPr>
        <w:t>本表格式填写</w:t>
      </w:r>
      <w:r>
        <w:rPr>
          <w:rFonts w:hint="eastAsia" w:ascii="宋体" w:hAnsi="宋体" w:cs="宋体"/>
          <w:b/>
          <w:color w:val="0000FF"/>
          <w:kern w:val="0"/>
          <w:sz w:val="24"/>
          <w:lang w:val="zh-CN"/>
        </w:rPr>
        <w:t>，</w:t>
      </w:r>
      <w:r>
        <w:rPr>
          <w:rFonts w:hint="eastAsia" w:ascii="宋体" w:hAnsi="宋体" w:cs="宋体"/>
          <w:b/>
          <w:color w:val="0000FF"/>
          <w:kern w:val="0"/>
          <w:sz w:val="24"/>
        </w:rPr>
        <w:t>否则视为</w:t>
      </w:r>
      <w:r>
        <w:rPr>
          <w:rFonts w:hint="eastAsia" w:ascii="宋体" w:hAnsi="宋体" w:cs="宋体"/>
          <w:b/>
          <w:color w:val="0000FF"/>
          <w:sz w:val="24"/>
        </w:rPr>
        <w:t>响应文件含有采购人不能接受的附加条件，响应文件无效</w:t>
      </w:r>
      <w:r>
        <w:rPr>
          <w:rFonts w:hint="eastAsia" w:ascii="宋体" w:hAnsi="宋体" w:cs="宋体"/>
          <w:b/>
          <w:color w:val="0000FF"/>
          <w:kern w:val="0"/>
          <w:sz w:val="24"/>
          <w:lang w:val="zh-CN"/>
        </w:rPr>
        <w:t>；</w:t>
      </w:r>
      <w:r>
        <w:rPr>
          <w:rFonts w:hint="eastAsia" w:ascii="宋体" w:hAnsi="宋体" w:cs="宋体"/>
          <w:color w:val="0000FF"/>
          <w:kern w:val="0"/>
          <w:sz w:val="24"/>
          <w:lang w:val="zh-CN"/>
        </w:rPr>
        <w:t>。</w:t>
      </w:r>
    </w:p>
    <w:p>
      <w:pPr>
        <w:spacing w:line="360" w:lineRule="auto"/>
        <w:ind w:firstLine="480" w:firstLineChars="200"/>
        <w:rPr>
          <w:rFonts w:ascii="宋体" w:hAnsi="宋体" w:cs="宋体"/>
          <w:color w:val="0000FF"/>
          <w:kern w:val="0"/>
          <w:sz w:val="24"/>
        </w:rPr>
      </w:pPr>
      <w:r>
        <w:rPr>
          <w:rFonts w:hint="eastAsia" w:ascii="宋体" w:hAnsi="宋体" w:cs="宋体"/>
          <w:color w:val="0000FF"/>
          <w:kern w:val="0"/>
          <w:sz w:val="24"/>
          <w:lang w:val="zh-CN"/>
        </w:rPr>
        <w:t>2、有关本项目实施所涉及的一切费用均计入报价。</w:t>
      </w:r>
      <w:r>
        <w:rPr>
          <w:rFonts w:hint="eastAsia" w:ascii="宋体" w:hAnsi="宋体" w:cs="宋体"/>
          <w:b/>
          <w:color w:val="0000FF"/>
          <w:kern w:val="0"/>
          <w:sz w:val="24"/>
          <w:lang w:val="zh-CN"/>
        </w:rPr>
        <w:t>采购人将以合同形式有偿取得货物或服务，不接受供应商给予的赠品、回扣或者与采购无关的其他商品、服务</w:t>
      </w:r>
      <w:r>
        <w:rPr>
          <w:rFonts w:hint="eastAsia" w:ascii="宋体" w:hAnsi="宋体" w:cs="宋体"/>
          <w:color w:val="0000FF"/>
          <w:kern w:val="0"/>
          <w:sz w:val="24"/>
          <w:lang w:val="zh-CN"/>
        </w:rPr>
        <w:t>，</w:t>
      </w:r>
      <w:r>
        <w:rPr>
          <w:rFonts w:hint="eastAsia" w:ascii="宋体" w:hAnsi="宋体" w:cs="宋体"/>
          <w:b/>
          <w:color w:val="0000FF"/>
          <w:kern w:val="0"/>
          <w:sz w:val="24"/>
          <w:lang w:val="zh-CN"/>
        </w:rPr>
        <w:t>不得出现“0元”“免费赠送”等形式的无偿报价，</w:t>
      </w:r>
      <w:r>
        <w:rPr>
          <w:rFonts w:hint="eastAsia" w:ascii="宋体" w:hAnsi="宋体" w:cs="宋体"/>
          <w:b/>
          <w:color w:val="0000FF"/>
          <w:kern w:val="0"/>
          <w:sz w:val="24"/>
        </w:rPr>
        <w:t>否则视为</w:t>
      </w:r>
      <w:r>
        <w:rPr>
          <w:rFonts w:hint="eastAsia" w:ascii="宋体" w:hAnsi="宋体" w:cs="宋体"/>
          <w:b/>
          <w:color w:val="0000FF"/>
          <w:sz w:val="24"/>
        </w:rPr>
        <w:t>响应文件含有采购人不能接受的附加条件，响应文件无效</w:t>
      </w:r>
      <w:r>
        <w:rPr>
          <w:rFonts w:hint="eastAsia" w:ascii="宋体" w:hAnsi="宋体" w:cs="宋体"/>
          <w:b/>
          <w:color w:val="0000FF"/>
          <w:kern w:val="0"/>
          <w:sz w:val="24"/>
          <w:lang w:val="zh-CN"/>
        </w:rPr>
        <w:t>；采购内容未包含在《报价单》名称栏中，供应商不能作出合理解释的，</w:t>
      </w:r>
      <w:r>
        <w:rPr>
          <w:rFonts w:hint="eastAsia" w:ascii="宋体" w:hAnsi="宋体" w:cs="宋体"/>
          <w:b/>
          <w:color w:val="0000FF"/>
          <w:kern w:val="0"/>
          <w:sz w:val="24"/>
        </w:rPr>
        <w:t>视为</w:t>
      </w:r>
      <w:r>
        <w:rPr>
          <w:rFonts w:hint="eastAsia" w:ascii="宋体" w:hAnsi="宋体" w:cs="宋体"/>
          <w:b/>
          <w:color w:val="0000FF"/>
          <w:sz w:val="24"/>
        </w:rPr>
        <w:t>响应文件含有采购人不能接受的附加条件的，响应文件无效。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3、特别提示：采购代理机构将对项目名称和项目编号，成交供应商名称、地址和成交金额、施工范围、施工工期、规格型号、数量、单价等予以公示。</w:t>
      </w:r>
    </w:p>
    <w:p>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pPr>
        <w:spacing w:line="360" w:lineRule="auto"/>
        <w:ind w:firstLine="482" w:firstLineChars="200"/>
        <w:rPr>
          <w:rFonts w:ascii="宋体" w:hAnsi="宋体" w:cs="宋体"/>
          <w:b/>
          <w:kern w:val="0"/>
          <w:sz w:val="24"/>
        </w:r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40" w:right="1080" w:bottom="1440" w:left="1080" w:header="851" w:footer="992" w:gutter="0"/>
          <w:cols w:space="720" w:num="1"/>
          <w:titlePg/>
          <w:docGrid w:linePitch="312" w:charSpace="0"/>
        </w:sectPr>
      </w:pPr>
    </w:p>
    <w:p>
      <w:pPr>
        <w:pStyle w:val="691"/>
        <w:keepNext w:val="0"/>
        <w:pageBreakBefore w:val="0"/>
        <w:tabs>
          <w:tab w:val="clear" w:pos="720"/>
        </w:tabs>
        <w:snapToGrid w:val="0"/>
        <w:spacing w:before="120" w:after="120"/>
        <w:ind w:firstLine="643"/>
        <w:outlineLvl w:val="9"/>
        <w:rPr>
          <w:rFonts w:ascii="宋体" w:hAnsi="宋体" w:eastAsia="宋体" w:cs="宋体"/>
          <w:sz w:val="32"/>
          <w:szCs w:val="32"/>
        </w:rPr>
      </w:pPr>
      <w:r>
        <w:rPr>
          <w:rFonts w:hint="eastAsia" w:ascii="宋体" w:hAnsi="宋体" w:eastAsia="宋体" w:cs="宋体"/>
          <w:kern w:val="2"/>
          <w:sz w:val="32"/>
          <w:szCs w:val="32"/>
          <w:lang w:val="en-US" w:eastAsia="zh-CN"/>
        </w:rPr>
        <w:t>二</w:t>
      </w:r>
      <w:r>
        <w:rPr>
          <w:rFonts w:hint="eastAsia" w:ascii="宋体" w:hAnsi="宋体" w:eastAsia="宋体" w:cs="宋体"/>
          <w:kern w:val="2"/>
          <w:sz w:val="32"/>
          <w:szCs w:val="32"/>
        </w:rPr>
        <w:t>、</w:t>
      </w:r>
      <w:r>
        <w:rPr>
          <w:rFonts w:hint="eastAsia" w:ascii="宋体" w:hAnsi="宋体" w:eastAsia="宋体" w:cs="宋体"/>
          <w:sz w:val="32"/>
          <w:szCs w:val="32"/>
        </w:rPr>
        <w:t>中小企业声明函</w:t>
      </w:r>
    </w:p>
    <w:p>
      <w:pPr>
        <w:widowControl/>
        <w:spacing w:line="360" w:lineRule="auto"/>
        <w:ind w:firstLine="120" w:firstLineChars="50"/>
        <w:jc w:val="left"/>
        <w:rPr>
          <w:rFonts w:ascii="宋体" w:hAnsi="宋体" w:cs="宋体"/>
          <w:b/>
          <w:sz w:val="24"/>
        </w:rPr>
      </w:pPr>
      <w:r>
        <w:rPr>
          <w:rFonts w:hint="eastAsia" w:ascii="宋体" w:hAnsi="宋体" w:cs="宋体"/>
          <w:b/>
          <w:sz w:val="24"/>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w:t>
      </w:r>
    </w:p>
    <w:p>
      <w:pPr>
        <w:pStyle w:val="26"/>
      </w:pPr>
    </w:p>
    <w:sectPr>
      <w:footerReference r:id="rId19" w:type="first"/>
      <w:headerReference r:id="rId17" w:type="default"/>
      <w:footerReference r:id="rId18" w:type="default"/>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Yu Gothic UI"/>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457" w:name="_Toc91899912"/>
    <w:bookmarkStart w:id="458" w:name="_Toc36110187"/>
    <w:bookmarkStart w:id="459" w:name="_Toc131845147"/>
    <w:bookmarkStart w:id="460" w:name="_Toc164085800"/>
    <w:r>
      <w:rPr>
        <w:rFonts w:hint="eastAsia" w:ascii="仿宋_GB2312" w:eastAsia="仿宋_GB2312"/>
        <w:kern w:val="0"/>
        <w:szCs w:val="21"/>
      </w:rPr>
      <w:t xml:space="preserve"> 页</w:t>
    </w:r>
    <w:bookmarkEnd w:id="457"/>
    <w:bookmarkEnd w:id="458"/>
    <w:bookmarkEnd w:id="459"/>
    <w:bookmarkEnd w:id="46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4"/>
      </w:pBdr>
      <w:jc w:val="right"/>
    </w:pPr>
    <w:r>
      <w:t></w:t>
    </w:r>
    <w:r>
      <w:rPr>
        <w:rFonts w:hint="eastAsia"/>
      </w:rPr>
      <w:t xml:space="preserve">          </w:t>
    </w:r>
  </w:p>
  <w:p>
    <w:pPr>
      <w:pStyle w:val="59"/>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jc w:val="right"/>
      <w:rPr>
        <w:rFonts w:ascii="仿宋_GB2312" w:eastAsia="仿宋_GB2312"/>
        <w:i/>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tabs>
        <w:tab w:val="center" w:pos="4535"/>
        <w:tab w:val="right" w:pos="9070"/>
        <w:tab w:val="clear" w:pos="4153"/>
        <w:tab w:val="clear" w:pos="8306"/>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tabs>
        <w:tab w:val="center" w:pos="4535"/>
        <w:tab w:val="right" w:pos="9070"/>
        <w:tab w:val="clear" w:pos="4153"/>
        <w:tab w:val="clear" w:pos="8306"/>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tabs>
        <w:tab w:val="center" w:pos="4535"/>
        <w:tab w:val="right" w:pos="9070"/>
        <w:tab w:val="clear" w:pos="4153"/>
        <w:tab w:val="clear" w:pos="8306"/>
      </w:tabs>
      <w:jc w:val="right"/>
      <w:rPr>
        <w:rFonts w:ascii="仿宋_GB2312" w:eastAsia="仿宋_GB2312"/>
        <w:b/>
        <w:i/>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tabs>
        <w:tab w:val="center" w:pos="4535"/>
        <w:tab w:val="right" w:pos="9070"/>
        <w:tab w:val="clear" w:pos="4153"/>
        <w:tab w:val="clear" w:pos="8306"/>
      </w:tabs>
      <w:jc w:val="right"/>
      <w:rPr>
        <w:rFonts w:ascii="仿宋_GB2312"/>
        <w:b/>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F64B5"/>
    <w:multiLevelType w:val="singleLevel"/>
    <w:tmpl w:val="934F64B5"/>
    <w:lvl w:ilvl="0" w:tentative="0">
      <w:start w:val="1"/>
      <w:numFmt w:val="chineseCounting"/>
      <w:suff w:val="space"/>
      <w:lvlText w:val="第%1部分"/>
      <w:lvlJc w:val="left"/>
      <w:rPr>
        <w:rFonts w:hint="eastAsia"/>
      </w:rPr>
    </w:lvl>
  </w:abstractNum>
  <w:abstractNum w:abstractNumId="1">
    <w:nsid w:val="FB3DD325"/>
    <w:multiLevelType w:val="singleLevel"/>
    <w:tmpl w:val="FB3DD325"/>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NGNjYWQ4NTFmYTVkMmY0NTQ2ZDVjMmU0NGZhYTk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2C9"/>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A25"/>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8DC"/>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088"/>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6CEE"/>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17FE0"/>
    <w:rsid w:val="005207D8"/>
    <w:rsid w:val="0052091D"/>
    <w:rsid w:val="005212F4"/>
    <w:rsid w:val="00521908"/>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250"/>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8BB"/>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503"/>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D71"/>
    <w:rsid w:val="008052CE"/>
    <w:rsid w:val="0080548A"/>
    <w:rsid w:val="008058D0"/>
    <w:rsid w:val="00806A4C"/>
    <w:rsid w:val="0080705B"/>
    <w:rsid w:val="0080723C"/>
    <w:rsid w:val="00807F71"/>
    <w:rsid w:val="0081000F"/>
    <w:rsid w:val="0081137A"/>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DD"/>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4FC"/>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3E71"/>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EC6"/>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1EE"/>
    <w:rsid w:val="00E912FD"/>
    <w:rsid w:val="00E91B26"/>
    <w:rsid w:val="00E92C6E"/>
    <w:rsid w:val="00E92D0B"/>
    <w:rsid w:val="00E92FFF"/>
    <w:rsid w:val="00E93195"/>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C65DA5"/>
    <w:rsid w:val="01D55165"/>
    <w:rsid w:val="01DF6BF8"/>
    <w:rsid w:val="01EC2C57"/>
    <w:rsid w:val="025F0711"/>
    <w:rsid w:val="026B2E25"/>
    <w:rsid w:val="02824D4D"/>
    <w:rsid w:val="02DC4B10"/>
    <w:rsid w:val="02DD76CE"/>
    <w:rsid w:val="02F36323"/>
    <w:rsid w:val="02F5619C"/>
    <w:rsid w:val="0326446A"/>
    <w:rsid w:val="032D5555"/>
    <w:rsid w:val="036634D2"/>
    <w:rsid w:val="03DD35E4"/>
    <w:rsid w:val="03F040A4"/>
    <w:rsid w:val="04076900"/>
    <w:rsid w:val="041A5A3B"/>
    <w:rsid w:val="042311BA"/>
    <w:rsid w:val="042B157A"/>
    <w:rsid w:val="048F763B"/>
    <w:rsid w:val="049F330E"/>
    <w:rsid w:val="04AA775C"/>
    <w:rsid w:val="04AF1889"/>
    <w:rsid w:val="04C64E6C"/>
    <w:rsid w:val="04F66F48"/>
    <w:rsid w:val="05251E14"/>
    <w:rsid w:val="05A16594"/>
    <w:rsid w:val="05A7762D"/>
    <w:rsid w:val="060E5941"/>
    <w:rsid w:val="06110FAF"/>
    <w:rsid w:val="061E21DC"/>
    <w:rsid w:val="06493CA7"/>
    <w:rsid w:val="065A6178"/>
    <w:rsid w:val="066F1CF3"/>
    <w:rsid w:val="06930BB8"/>
    <w:rsid w:val="07245D42"/>
    <w:rsid w:val="07264C62"/>
    <w:rsid w:val="0779354C"/>
    <w:rsid w:val="07A46B95"/>
    <w:rsid w:val="08061376"/>
    <w:rsid w:val="08452D77"/>
    <w:rsid w:val="086401F8"/>
    <w:rsid w:val="08661343"/>
    <w:rsid w:val="08751CAA"/>
    <w:rsid w:val="087E4C40"/>
    <w:rsid w:val="08923AEE"/>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1D1584"/>
    <w:rsid w:val="0A3E7710"/>
    <w:rsid w:val="0A5B7E63"/>
    <w:rsid w:val="0A703465"/>
    <w:rsid w:val="0AA374A5"/>
    <w:rsid w:val="0AAB7649"/>
    <w:rsid w:val="0ABC5606"/>
    <w:rsid w:val="0B30404E"/>
    <w:rsid w:val="0B4C6C14"/>
    <w:rsid w:val="0B547599"/>
    <w:rsid w:val="0B631A88"/>
    <w:rsid w:val="0B683D45"/>
    <w:rsid w:val="0B7F3F11"/>
    <w:rsid w:val="0B884417"/>
    <w:rsid w:val="0BF6188C"/>
    <w:rsid w:val="0BF73C91"/>
    <w:rsid w:val="0C170175"/>
    <w:rsid w:val="0C286CCE"/>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2B4878"/>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7725CD"/>
    <w:rsid w:val="1C88086E"/>
    <w:rsid w:val="1D266CE1"/>
    <w:rsid w:val="1D3963AF"/>
    <w:rsid w:val="1D3D0FE5"/>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90412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380DB3"/>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361934"/>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A93FB1"/>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11ECE"/>
    <w:rsid w:val="31AC537E"/>
    <w:rsid w:val="31B476D1"/>
    <w:rsid w:val="31E3679B"/>
    <w:rsid w:val="31E732FD"/>
    <w:rsid w:val="32517576"/>
    <w:rsid w:val="32BE5C2C"/>
    <w:rsid w:val="32D63C1D"/>
    <w:rsid w:val="32FB6478"/>
    <w:rsid w:val="332410BB"/>
    <w:rsid w:val="33263B3F"/>
    <w:rsid w:val="336963EB"/>
    <w:rsid w:val="33816EEB"/>
    <w:rsid w:val="33EB55CD"/>
    <w:rsid w:val="33EC4C02"/>
    <w:rsid w:val="340D2360"/>
    <w:rsid w:val="3410665D"/>
    <w:rsid w:val="34211214"/>
    <w:rsid w:val="342E63AB"/>
    <w:rsid w:val="34406D6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204F94"/>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6176D3"/>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A85B8C"/>
    <w:rsid w:val="43C77C27"/>
    <w:rsid w:val="43DE09EE"/>
    <w:rsid w:val="44002FAD"/>
    <w:rsid w:val="441C37AA"/>
    <w:rsid w:val="44872456"/>
    <w:rsid w:val="449101DD"/>
    <w:rsid w:val="44DE1391"/>
    <w:rsid w:val="451B225C"/>
    <w:rsid w:val="452410C9"/>
    <w:rsid w:val="45317DFB"/>
    <w:rsid w:val="453F506A"/>
    <w:rsid w:val="456D3CE4"/>
    <w:rsid w:val="4579042C"/>
    <w:rsid w:val="457F0571"/>
    <w:rsid w:val="45851176"/>
    <w:rsid w:val="45C55BC2"/>
    <w:rsid w:val="45C63B94"/>
    <w:rsid w:val="460E7DA5"/>
    <w:rsid w:val="46422483"/>
    <w:rsid w:val="4659254A"/>
    <w:rsid w:val="465B0637"/>
    <w:rsid w:val="465E3F0D"/>
    <w:rsid w:val="466A16E6"/>
    <w:rsid w:val="46893F2B"/>
    <w:rsid w:val="46C444E6"/>
    <w:rsid w:val="46C4686E"/>
    <w:rsid w:val="477B778F"/>
    <w:rsid w:val="478203EC"/>
    <w:rsid w:val="47B025FA"/>
    <w:rsid w:val="4809698F"/>
    <w:rsid w:val="4811697D"/>
    <w:rsid w:val="487A3E25"/>
    <w:rsid w:val="488B5503"/>
    <w:rsid w:val="48937E21"/>
    <w:rsid w:val="489A0361"/>
    <w:rsid w:val="48A8102D"/>
    <w:rsid w:val="48B94FF3"/>
    <w:rsid w:val="48E37AAB"/>
    <w:rsid w:val="48FD4B4C"/>
    <w:rsid w:val="490A68E0"/>
    <w:rsid w:val="491055FE"/>
    <w:rsid w:val="495F5B3E"/>
    <w:rsid w:val="496F77D7"/>
    <w:rsid w:val="497654FD"/>
    <w:rsid w:val="49B64211"/>
    <w:rsid w:val="49D41AAC"/>
    <w:rsid w:val="49F6167F"/>
    <w:rsid w:val="4A064FA0"/>
    <w:rsid w:val="4A16615C"/>
    <w:rsid w:val="4A4424D7"/>
    <w:rsid w:val="4AB82D0F"/>
    <w:rsid w:val="4AEB7664"/>
    <w:rsid w:val="4AFD7C19"/>
    <w:rsid w:val="4B0567D1"/>
    <w:rsid w:val="4B236AAE"/>
    <w:rsid w:val="4B2F799D"/>
    <w:rsid w:val="4B707271"/>
    <w:rsid w:val="4B9348A0"/>
    <w:rsid w:val="4B9739F7"/>
    <w:rsid w:val="4BEE2503"/>
    <w:rsid w:val="4BF727EA"/>
    <w:rsid w:val="4C245A30"/>
    <w:rsid w:val="4CB6685F"/>
    <w:rsid w:val="4CC367FE"/>
    <w:rsid w:val="4CD60C1F"/>
    <w:rsid w:val="4D077F3C"/>
    <w:rsid w:val="4D123355"/>
    <w:rsid w:val="4D2A3B31"/>
    <w:rsid w:val="4D312C52"/>
    <w:rsid w:val="4D905305"/>
    <w:rsid w:val="4D964A72"/>
    <w:rsid w:val="4D9C1254"/>
    <w:rsid w:val="4D9E5B15"/>
    <w:rsid w:val="4E793892"/>
    <w:rsid w:val="4E800872"/>
    <w:rsid w:val="4EC569ED"/>
    <w:rsid w:val="4ED50EA1"/>
    <w:rsid w:val="4EEC050C"/>
    <w:rsid w:val="4F104EC3"/>
    <w:rsid w:val="4F47354A"/>
    <w:rsid w:val="4F911C54"/>
    <w:rsid w:val="4FE625E0"/>
    <w:rsid w:val="5021480F"/>
    <w:rsid w:val="505C301C"/>
    <w:rsid w:val="50962ECB"/>
    <w:rsid w:val="50A42E38"/>
    <w:rsid w:val="50A4577F"/>
    <w:rsid w:val="50B73D1F"/>
    <w:rsid w:val="50BD5BC9"/>
    <w:rsid w:val="50C11EEE"/>
    <w:rsid w:val="50E97CFC"/>
    <w:rsid w:val="50FA4028"/>
    <w:rsid w:val="510D65B7"/>
    <w:rsid w:val="511157AB"/>
    <w:rsid w:val="5142540C"/>
    <w:rsid w:val="515A5DC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4C1537"/>
    <w:rsid w:val="53544462"/>
    <w:rsid w:val="5397158E"/>
    <w:rsid w:val="53E325D5"/>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2E78E5"/>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1E264C"/>
    <w:rsid w:val="595E1678"/>
    <w:rsid w:val="59662122"/>
    <w:rsid w:val="596D5BD4"/>
    <w:rsid w:val="597E3DD8"/>
    <w:rsid w:val="59F80043"/>
    <w:rsid w:val="5A09252F"/>
    <w:rsid w:val="5A0B2778"/>
    <w:rsid w:val="5A2A7C7B"/>
    <w:rsid w:val="5A3E2560"/>
    <w:rsid w:val="5A5D3B6E"/>
    <w:rsid w:val="5A637A76"/>
    <w:rsid w:val="5A6D33BA"/>
    <w:rsid w:val="5A792B1F"/>
    <w:rsid w:val="5A874767"/>
    <w:rsid w:val="5A8E15F9"/>
    <w:rsid w:val="5AA85BE2"/>
    <w:rsid w:val="5AAD6F28"/>
    <w:rsid w:val="5ABE2749"/>
    <w:rsid w:val="5AD63A24"/>
    <w:rsid w:val="5AE51A4D"/>
    <w:rsid w:val="5B2E1A1D"/>
    <w:rsid w:val="5B551E7C"/>
    <w:rsid w:val="5B843A1C"/>
    <w:rsid w:val="5B873E3F"/>
    <w:rsid w:val="5C02690E"/>
    <w:rsid w:val="5C196DA7"/>
    <w:rsid w:val="5C2A048C"/>
    <w:rsid w:val="5C4D2220"/>
    <w:rsid w:val="5C80234E"/>
    <w:rsid w:val="5C8A680C"/>
    <w:rsid w:val="5CB35A65"/>
    <w:rsid w:val="5D0C4701"/>
    <w:rsid w:val="5D0F0395"/>
    <w:rsid w:val="5D221076"/>
    <w:rsid w:val="5D397964"/>
    <w:rsid w:val="5D5A391C"/>
    <w:rsid w:val="5D5F10C0"/>
    <w:rsid w:val="5D790E2F"/>
    <w:rsid w:val="5D891B7B"/>
    <w:rsid w:val="5DAD38EE"/>
    <w:rsid w:val="5E006862"/>
    <w:rsid w:val="5E0207B9"/>
    <w:rsid w:val="5E1834A1"/>
    <w:rsid w:val="5E261785"/>
    <w:rsid w:val="5E4A7017"/>
    <w:rsid w:val="5E552BBA"/>
    <w:rsid w:val="5E611C10"/>
    <w:rsid w:val="5E7A0F3F"/>
    <w:rsid w:val="5EE65271"/>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0D059B"/>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3F23480"/>
    <w:rsid w:val="64055776"/>
    <w:rsid w:val="641F5B67"/>
    <w:rsid w:val="64240056"/>
    <w:rsid w:val="643E143A"/>
    <w:rsid w:val="64491666"/>
    <w:rsid w:val="648B6EEF"/>
    <w:rsid w:val="64C158BF"/>
    <w:rsid w:val="64CE2EAA"/>
    <w:rsid w:val="653C3090"/>
    <w:rsid w:val="65854376"/>
    <w:rsid w:val="658767BE"/>
    <w:rsid w:val="65892531"/>
    <w:rsid w:val="65E174B7"/>
    <w:rsid w:val="66195831"/>
    <w:rsid w:val="662E75B1"/>
    <w:rsid w:val="66342C2E"/>
    <w:rsid w:val="663E784C"/>
    <w:rsid w:val="668B6A45"/>
    <w:rsid w:val="67112C4A"/>
    <w:rsid w:val="672F3F24"/>
    <w:rsid w:val="673E055F"/>
    <w:rsid w:val="67551CE3"/>
    <w:rsid w:val="67A22552"/>
    <w:rsid w:val="67B22DCC"/>
    <w:rsid w:val="67BE71AA"/>
    <w:rsid w:val="67CF7323"/>
    <w:rsid w:val="67D90273"/>
    <w:rsid w:val="67DE5875"/>
    <w:rsid w:val="67E55852"/>
    <w:rsid w:val="67EB1AB4"/>
    <w:rsid w:val="67FA1285"/>
    <w:rsid w:val="68551F4F"/>
    <w:rsid w:val="68563458"/>
    <w:rsid w:val="687C10C9"/>
    <w:rsid w:val="68840C16"/>
    <w:rsid w:val="68876EFB"/>
    <w:rsid w:val="68884654"/>
    <w:rsid w:val="689B3087"/>
    <w:rsid w:val="689F444F"/>
    <w:rsid w:val="68B96DBB"/>
    <w:rsid w:val="68CA2805"/>
    <w:rsid w:val="68E937A3"/>
    <w:rsid w:val="68FB149A"/>
    <w:rsid w:val="693E15D3"/>
    <w:rsid w:val="69627681"/>
    <w:rsid w:val="6977531D"/>
    <w:rsid w:val="69CC2BFF"/>
    <w:rsid w:val="69FD55B8"/>
    <w:rsid w:val="6A0B1C62"/>
    <w:rsid w:val="6A2406C8"/>
    <w:rsid w:val="6A9A1ADF"/>
    <w:rsid w:val="6ADE0BD1"/>
    <w:rsid w:val="6AE81378"/>
    <w:rsid w:val="6AE96859"/>
    <w:rsid w:val="6B147746"/>
    <w:rsid w:val="6B24787C"/>
    <w:rsid w:val="6B573233"/>
    <w:rsid w:val="6B5B6274"/>
    <w:rsid w:val="6B935D53"/>
    <w:rsid w:val="6C1316F7"/>
    <w:rsid w:val="6C196F71"/>
    <w:rsid w:val="6C226FCB"/>
    <w:rsid w:val="6C31226F"/>
    <w:rsid w:val="6C517EC7"/>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AE49DF"/>
    <w:rsid w:val="6ED446C5"/>
    <w:rsid w:val="6F2A7D94"/>
    <w:rsid w:val="6F8331F1"/>
    <w:rsid w:val="6FAE1A09"/>
    <w:rsid w:val="6FD75BF8"/>
    <w:rsid w:val="707723D0"/>
    <w:rsid w:val="70F5661B"/>
    <w:rsid w:val="71360107"/>
    <w:rsid w:val="713B688E"/>
    <w:rsid w:val="7148279F"/>
    <w:rsid w:val="71D43752"/>
    <w:rsid w:val="71F1796A"/>
    <w:rsid w:val="71FB63D5"/>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5D394A"/>
    <w:rsid w:val="75600BE5"/>
    <w:rsid w:val="7564475C"/>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36DC3"/>
    <w:rsid w:val="7904172F"/>
    <w:rsid w:val="790F7E27"/>
    <w:rsid w:val="792A231A"/>
    <w:rsid w:val="79316829"/>
    <w:rsid w:val="796B4A13"/>
    <w:rsid w:val="796C1E08"/>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D564F7"/>
    <w:rsid w:val="7CE27788"/>
    <w:rsid w:val="7D0C32F1"/>
    <w:rsid w:val="7D0F408D"/>
    <w:rsid w:val="7D491C6C"/>
    <w:rsid w:val="7D5429C0"/>
    <w:rsid w:val="7D6E6D43"/>
    <w:rsid w:val="7DB57A34"/>
    <w:rsid w:val="7DE60973"/>
    <w:rsid w:val="7DEF0916"/>
    <w:rsid w:val="7E1E5218"/>
    <w:rsid w:val="7E6C679B"/>
    <w:rsid w:val="7E9A4E1F"/>
    <w:rsid w:val="7EA7723A"/>
    <w:rsid w:val="7EF56FBB"/>
    <w:rsid w:val="7F0768EB"/>
    <w:rsid w:val="7F143BEC"/>
    <w:rsid w:val="7F362021"/>
    <w:rsid w:val="7F715AF2"/>
    <w:rsid w:val="7F7B47F9"/>
    <w:rsid w:val="7F886E69"/>
    <w:rsid w:val="BB7FA927"/>
    <w:rsid w:val="EFF72F48"/>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2">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0"/>
    <w:qFormat/>
    <w:uiPriority w:val="0"/>
    <w:pPr>
      <w:shd w:val="clear" w:color="auto" w:fill="000080"/>
    </w:pPr>
  </w:style>
  <w:style w:type="paragraph" w:styleId="19">
    <w:name w:val="annotation text"/>
    <w:basedOn w:val="1"/>
    <w:link w:val="342"/>
    <w:qFormat/>
    <w:uiPriority w:val="99"/>
    <w:pPr>
      <w:jc w:val="left"/>
    </w:pPr>
  </w:style>
  <w:style w:type="paragraph" w:styleId="20">
    <w:name w:val="Salutation"/>
    <w:basedOn w:val="1"/>
    <w:next w:val="1"/>
    <w:link w:val="296"/>
    <w:qFormat/>
    <w:uiPriority w:val="0"/>
    <w:rPr>
      <w:rFonts w:ascii="仿宋_GB2312" w:eastAsia="仿宋_GB2312"/>
      <w:sz w:val="28"/>
      <w:szCs w:val="20"/>
    </w:rPr>
  </w:style>
  <w:style w:type="paragraph" w:styleId="21">
    <w:name w:val="Body Text 3"/>
    <w:basedOn w:val="1"/>
    <w:link w:val="328"/>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28"/>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25"/>
    <w:link w:val="319"/>
    <w:qFormat/>
    <w:uiPriority w:val="0"/>
    <w:pPr>
      <w:ind w:firstLine="420"/>
    </w:pPr>
    <w:rPr>
      <w:rFonts w:hAnsi="Calibri" w:cs="Times New Roman"/>
      <w:snapToGrid/>
      <w:szCs w:val="20"/>
    </w:rPr>
  </w:style>
  <w:style w:type="paragraph" w:styleId="25">
    <w:name w:val="toc 6"/>
    <w:basedOn w:val="1"/>
    <w:next w:val="1"/>
    <w:qFormat/>
    <w:uiPriority w:val="0"/>
    <w:pPr>
      <w:ind w:left="2100" w:leftChars="1000"/>
    </w:pPr>
  </w:style>
  <w:style w:type="paragraph" w:styleId="26">
    <w:name w:val="Body Text Indent"/>
    <w:basedOn w:val="1"/>
    <w:next w:val="2"/>
    <w:link w:val="263"/>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79"/>
    <w:qFormat/>
    <w:uiPriority w:val="0"/>
    <w:pPr>
      <w:ind w:left="100" w:leftChars="2500"/>
    </w:pPr>
    <w:rPr>
      <w:rFonts w:ascii="宋体"/>
      <w:sz w:val="24"/>
      <w:szCs w:val="21"/>
      <w:lang w:val="zh-CN"/>
    </w:rPr>
  </w:style>
  <w:style w:type="paragraph" w:styleId="38">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9">
    <w:name w:val="endnote text"/>
    <w:basedOn w:val="1"/>
    <w:link w:val="930"/>
    <w:qFormat/>
    <w:uiPriority w:val="0"/>
    <w:rPr>
      <w:lang w:val="zh-CN"/>
    </w:rPr>
  </w:style>
  <w:style w:type="paragraph" w:styleId="40">
    <w:name w:val="Balloon Text"/>
    <w:basedOn w:val="1"/>
    <w:link w:val="186"/>
    <w:qFormat/>
    <w:uiPriority w:val="0"/>
    <w:rPr>
      <w:sz w:val="18"/>
      <w:szCs w:val="18"/>
    </w:rPr>
  </w:style>
  <w:style w:type="paragraph" w:styleId="41">
    <w:name w:val="footer"/>
    <w:basedOn w:val="1"/>
    <w:link w:val="381"/>
    <w:qFormat/>
    <w:uiPriority w:val="99"/>
    <w:pPr>
      <w:tabs>
        <w:tab w:val="center" w:pos="4153"/>
        <w:tab w:val="right" w:pos="8306"/>
      </w:tabs>
      <w:snapToGrid w:val="0"/>
      <w:jc w:val="left"/>
    </w:pPr>
    <w:rPr>
      <w:sz w:val="18"/>
      <w:szCs w:val="18"/>
    </w:rPr>
  </w:style>
  <w:style w:type="paragraph" w:styleId="42">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6"/>
    <w:link w:val="308"/>
    <w:qFormat/>
    <w:uiPriority w:val="0"/>
    <w:pPr>
      <w:adjustRightInd/>
      <w:snapToGrid/>
      <w:spacing w:before="60" w:after="60" w:line="300" w:lineRule="exact"/>
      <w:ind w:firstLine="0"/>
    </w:pPr>
    <w:rPr>
      <w:rFonts w:ascii="Calibri"/>
      <w:snapToGrid/>
      <w:color w:val="0000FF"/>
      <w:kern w:val="0"/>
      <w:sz w:val="21"/>
    </w:r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3"/>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0"/>
    <w:qFormat/>
    <w:uiPriority w:val="0"/>
    <w:pPr>
      <w:spacing w:after="120" w:line="480" w:lineRule="auto"/>
    </w:pPr>
  </w:style>
  <w:style w:type="paragraph" w:styleId="57">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4"/>
    <w:qFormat/>
    <w:uiPriority w:val="0"/>
    <w:rPr>
      <w:b/>
      <w:bCs/>
    </w:rPr>
  </w:style>
  <w:style w:type="paragraph" w:styleId="61">
    <w:name w:val="Body Text First Indent 2"/>
    <w:basedOn w:val="26"/>
    <w:link w:val="119"/>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styleId="79">
    <w:name w:val="HTML Sample"/>
    <w:basedOn w:val="69"/>
    <w:qFormat/>
    <w:uiPriority w:val="0"/>
    <w:rPr>
      <w:rFonts w:ascii="Courier New" w:hAnsi="Courier New"/>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0"/>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8"/>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4"/>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7"/>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40"/>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6"/>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8"/>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1"/>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2"/>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6"/>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6">
    <w:name w:val="列出段落1"/>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6"/>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3"/>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9"/>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0"/>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7"/>
    <w:qFormat/>
    <w:uiPriority w:val="0"/>
    <w:rPr>
      <w:rFonts w:ascii="黑体" w:hAnsi="Courier New" w:eastAsia="黑体"/>
    </w:rPr>
  </w:style>
  <w:style w:type="character" w:customStyle="1" w:styleId="300">
    <w:name w:val="正文文本 2 Char1"/>
    <w:link w:val="56"/>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2"/>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8"/>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1"/>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24"/>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2"/>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1"/>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qFormat/>
    <w:uiPriority w:val="99"/>
    <w:rPr>
      <w:kern w:val="2"/>
      <w:sz w:val="21"/>
      <w:szCs w:val="24"/>
    </w:rPr>
  </w:style>
  <w:style w:type="character" w:customStyle="1" w:styleId="343">
    <w:name w:val="签名 Char"/>
    <w:link w:val="43"/>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3"/>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1"/>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2"/>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6"/>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2"/>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1">
    <w:name w:val="无间隔2"/>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4"/>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5"/>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5"/>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2"/>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6"/>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3"/>
    <w:qFormat/>
    <w:uiPriority w:val="0"/>
    <w:pPr>
      <w:tabs>
        <w:tab w:val="left" w:pos="840"/>
      </w:tabs>
      <w:adjustRightInd/>
      <w:ind w:left="840" w:hanging="420"/>
    </w:pPr>
  </w:style>
  <w:style w:type="paragraph" w:customStyle="1" w:styleId="624">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2"/>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2"/>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8"/>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5"/>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8">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2"/>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8"/>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3"/>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9"/>
    <w:qFormat/>
    <w:uiPriority w:val="0"/>
    <w:rPr>
      <w:kern w:val="2"/>
      <w:sz w:val="21"/>
      <w:szCs w:val="24"/>
      <w:lang w:val="zh-CN"/>
    </w:rPr>
  </w:style>
  <w:style w:type="character" w:customStyle="1" w:styleId="931">
    <w:name w:val="无间隔 字符"/>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69"/>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样式 标题 2 + Times New Roman 四号 非加粗 段前: 5 磅 段后: 0 磅 行距: 固定值 20..."/>
    <w:basedOn w:val="4"/>
    <w:qFormat/>
    <w:uiPriority w:val="0"/>
    <w:pPr>
      <w:tabs>
        <w:tab w:val="left" w:pos="1080"/>
        <w:tab w:val="clear" w:pos="432"/>
      </w:tabs>
      <w:spacing w:before="100" w:line="400" w:lineRule="exact"/>
    </w:pPr>
    <w:rPr>
      <w:rFonts w:ascii="Times New Roman" w:hAnsi="Times New Roman" w:eastAsia="黑体" w:cs="宋体"/>
      <w:b w:val="0"/>
      <w:sz w:val="28"/>
      <w:szCs w:val="20"/>
    </w:rPr>
  </w:style>
  <w:style w:type="paragraph" w:customStyle="1" w:styleId="963">
    <w:name w:val="p16"/>
    <w:basedOn w:val="1"/>
    <w:qFormat/>
    <w:uiPriority w:val="0"/>
    <w:pPr>
      <w:widowControl/>
      <w:spacing w:before="100" w:after="100"/>
      <w:jc w:val="left"/>
    </w:pPr>
    <w:rPr>
      <w:rFonts w:ascii="宋体" w:hAnsi="宋体" w:cs="宋体"/>
      <w:color w:val="000000"/>
      <w:kern w:val="0"/>
      <w:sz w:val="24"/>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标书正文"/>
    <w:qFormat/>
    <w:uiPriority w:val="0"/>
    <w:pPr>
      <w:widowControl w:val="0"/>
      <w:autoSpaceDE w:val="0"/>
      <w:autoSpaceDN w:val="0"/>
      <w:spacing w:line="500" w:lineRule="exact"/>
      <w:ind w:firstLine="528" w:firstLineChars="200"/>
      <w:jc w:val="both"/>
    </w:pPr>
    <w:rPr>
      <w:rFonts w:ascii="仿宋_GB2312" w:hAnsi="仿宋_GB2312" w:eastAsia="仿宋_GB2312" w:cs="宋体"/>
      <w:kern w:val="2"/>
      <w:sz w:val="28"/>
      <w:szCs w:val="20"/>
      <w:lang w:val="en-US" w:eastAsia="zh-CN" w:bidi="ar-SA"/>
    </w:rPr>
  </w:style>
  <w:style w:type="paragraph" w:customStyle="1" w:styleId="966">
    <w:name w:val="4号表格样式"/>
    <w:basedOn w:val="1"/>
    <w:qFormat/>
    <w:uiPriority w:val="0"/>
    <w:pPr>
      <w:autoSpaceDE w:val="0"/>
      <w:autoSpaceDN w:val="0"/>
      <w:spacing w:line="360" w:lineRule="auto"/>
      <w:ind w:firstLine="560" w:firstLineChars="200"/>
    </w:pPr>
    <w:rPr>
      <w:rFonts w:ascii="仿宋_GB2312" w:hAnsi="宋体"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44</Pages>
  <Words>20069</Words>
  <Characters>21448</Characters>
  <Lines>405</Lines>
  <Paragraphs>114</Paragraphs>
  <TotalTime>97</TotalTime>
  <ScaleCrop>false</ScaleCrop>
  <LinksUpToDate>false</LinksUpToDate>
  <CharactersWithSpaces>23051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2022-05-07T07:35:00Z</dcterms:created>
  <dc:creator>玥</dc:creator>
  <cp:lastModifiedBy>Administrator</cp:lastModifiedBy>
  <cp:lastPrinted>2021-12-27T11:06:00Z</cp:lastPrinted>
  <dcterms:modified xsi:type="dcterms:W3CDTF">2023-04-23T17:59:16Z</dcterms:modified>
  <dc:title>杭州市市民卡扩大发卡工程</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855B7432850E4509BA46C656CC095026</vt:lpwstr>
  </property>
  <property fmtid="{D5CDD505-2E9C-101B-9397-08002B2CF9AE}" pid="5" name="commondata">
    <vt:lpwstr>eyJoZGlkIjoiNGNlMmFkMDQ1NDY0ZmRiM2Q0NjY4NTFjN2IwMTllYjMifQ==</vt:lpwstr>
  </property>
</Properties>
</file>