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color w:val="auto"/>
          <w:spacing w:val="2"/>
          <w:sz w:val="44"/>
          <w:szCs w:val="44"/>
          <w:highlight w:val="none"/>
          <w:lang w:val="en-US" w:bidi="ar-SA"/>
          <w14:shadow w14:blurRad="50800" w14:dist="38100" w14:dir="2700000" w14:sx="100000" w14:sy="100000" w14:kx="0" w14:ky="0" w14:algn="tl">
            <w14:srgbClr w14:val="000000">
              <w14:alpha w14:val="60000"/>
            </w14:srgbClr>
          </w14:shadow>
        </w:rPr>
      </w:pPr>
      <w:r>
        <w:rPr>
          <w:rFonts w:hint="eastAsia" w:cs="Times New Roman"/>
          <w:b/>
          <w:color w:val="auto"/>
          <w:spacing w:val="2"/>
          <w:sz w:val="44"/>
          <w:szCs w:val="44"/>
          <w:highlight w:val="none"/>
          <w:lang w:val="en-US" w:eastAsia="zh-CN" w:bidi="ar-SA"/>
          <w14:shadow w14:blurRad="50800" w14:dist="38100" w14:dir="2700000" w14:sx="100000" w14:sy="100000" w14:kx="0" w14:ky="0" w14:algn="tl">
            <w14:srgbClr w14:val="000000">
              <w14:alpha w14:val="60000"/>
            </w14:srgbClr>
          </w14:shadow>
        </w:rPr>
        <w:t>伽师县英买里乡阿亚格英买里（11）村产业园道路建设项目</w:t>
      </w:r>
      <w:r>
        <w:rPr>
          <w:rFonts w:hint="eastAsia" w:cs="Times New Roman"/>
          <w:b/>
          <w:color w:val="auto"/>
          <w:spacing w:val="2"/>
          <w:sz w:val="44"/>
          <w:szCs w:val="44"/>
          <w:highlight w:val="none"/>
          <w:lang w:val="en-US" w:bidi="ar-SA"/>
          <w14:shadow w14:blurRad="50800" w14:dist="38100" w14:dir="2700000" w14:sx="100000" w14:sy="100000" w14:kx="0" w14:ky="0" w14:algn="tl">
            <w14:srgbClr w14:val="000000">
              <w14:alpha w14:val="60000"/>
            </w14:srgbClr>
          </w14:shadow>
        </w:rPr>
        <w:t xml:space="preserve"> </w:t>
      </w:r>
    </w:p>
    <w:p>
      <w:pPr>
        <w:kinsoku w:val="0"/>
        <w:overflowPunct w:val="0"/>
        <w:adjustRightInd w:val="0"/>
        <w:spacing w:before="6"/>
        <w:jc w:val="center"/>
        <w:rPr>
          <w:rFonts w:cs="Times New Roman"/>
          <w:b/>
          <w:sz w:val="94"/>
          <w:szCs w:val="24"/>
          <w:lang w:val="en-US" w:bidi="ar-SA"/>
        </w:rPr>
      </w:pPr>
      <w:r>
        <w:rPr>
          <w:rFonts w:hint="eastAsia" w:cs="Times New Roman"/>
          <w:b/>
          <w:sz w:val="94"/>
          <w:szCs w:val="24"/>
          <w:lang w:val="en-US" w:bidi="ar-SA"/>
        </w:rPr>
        <w:t xml:space="preserve"> </w:t>
      </w:r>
    </w:p>
    <w:p>
      <w:pPr>
        <w:kinsoku w:val="0"/>
        <w:overflowPunct w:val="0"/>
        <w:adjustRightInd w:val="0"/>
        <w:ind w:right="501"/>
        <w:jc w:val="center"/>
        <w:rPr>
          <w:rFonts w:cs="Times New Roman"/>
          <w:sz w:val="72"/>
          <w:szCs w:val="24"/>
          <w:lang w:val="en-US" w:bidi="ar-SA"/>
        </w:rPr>
      </w:pPr>
      <w:r>
        <w:rPr>
          <w:rFonts w:hint="eastAsia" w:cs="Times New Roman"/>
          <w:b/>
          <w:spacing w:val="2"/>
          <w:sz w:val="72"/>
          <w:szCs w:val="24"/>
          <w:lang w:val="en-US" w:bidi="ar-SA"/>
          <w14:shadow w14:blurRad="50800" w14:dist="38100" w14:dir="2700000" w14:sx="100000" w14:sy="100000" w14:kx="0" w14:ky="0" w14:algn="tl">
            <w14:srgbClr w14:val="000000">
              <w14:alpha w14:val="60000"/>
            </w14:srgbClr>
          </w14:shadow>
        </w:rPr>
        <w:t>竞争</w:t>
      </w:r>
      <w:r>
        <w:rPr>
          <w:rFonts w:hint="eastAsia" w:cs="Times New Roman"/>
          <w:b/>
          <w:spacing w:val="4"/>
          <w:sz w:val="72"/>
          <w:szCs w:val="24"/>
          <w:lang w:val="en-US" w:bidi="ar-SA"/>
          <w14:shadow w14:blurRad="50800" w14:dist="38100" w14:dir="2700000" w14:sx="100000" w14:sy="100000" w14:kx="0" w14:ky="0" w14:algn="tl">
            <w14:srgbClr w14:val="000000">
              <w14:alpha w14:val="60000"/>
            </w14:srgbClr>
          </w14:shadow>
        </w:rPr>
        <w:t>性</w:t>
      </w:r>
      <w:r>
        <w:rPr>
          <w:rFonts w:hint="eastAsia" w:cs="Times New Roman"/>
          <w:b/>
          <w:spacing w:val="2"/>
          <w:sz w:val="72"/>
          <w:szCs w:val="24"/>
          <w:lang w:val="en-US" w:bidi="ar-SA"/>
          <w14:shadow w14:blurRad="50800" w14:dist="38100" w14:dir="2700000" w14:sx="100000" w14:sy="100000" w14:kx="0" w14:ky="0" w14:algn="tl">
            <w14:srgbClr w14:val="000000">
              <w14:alpha w14:val="60000"/>
            </w14:srgbClr>
          </w14:shadow>
        </w:rPr>
        <w:t>磋商文</w:t>
      </w:r>
      <w:r>
        <w:rPr>
          <w:rFonts w:hint="eastAsia" w:cs="Times New Roman"/>
          <w:b/>
          <w:sz w:val="72"/>
          <w:szCs w:val="24"/>
          <w:lang w:val="en-US" w:bidi="ar-SA"/>
          <w14:shadow w14:blurRad="50800" w14:dist="38100" w14:dir="2700000" w14:sx="100000" w14:sy="100000" w14:kx="0" w14:ky="0" w14:algn="tl">
            <w14:srgbClr w14:val="000000">
              <w14:alpha w14:val="60000"/>
            </w14:srgbClr>
          </w14:shadow>
        </w:rPr>
        <w:t>件</w:t>
      </w:r>
    </w:p>
    <w:p>
      <w:pPr>
        <w:kinsoku w:val="0"/>
        <w:overflowPunct w:val="0"/>
        <w:adjustRightInd w:val="0"/>
        <w:rPr>
          <w:rFonts w:cs="Times New Roman"/>
          <w:b/>
          <w:sz w:val="30"/>
          <w:szCs w:val="24"/>
          <w:lang w:val="en-US" w:bidi="ar-SA"/>
        </w:rPr>
      </w:pPr>
    </w:p>
    <w:p>
      <w:pPr>
        <w:kinsoku w:val="0"/>
        <w:overflowPunct w:val="0"/>
        <w:adjustRightInd w:val="0"/>
        <w:rPr>
          <w:rFonts w:cs="Times New Roman"/>
          <w:b/>
          <w:sz w:val="30"/>
          <w:szCs w:val="24"/>
          <w:lang w:val="en-US" w:bidi="ar-SA"/>
        </w:rPr>
      </w:pPr>
    </w:p>
    <w:p>
      <w:pPr>
        <w:kinsoku w:val="0"/>
        <w:overflowPunct w:val="0"/>
        <w:adjustRightInd w:val="0"/>
        <w:spacing w:line="600" w:lineRule="exact"/>
        <w:ind w:firstLine="2281" w:firstLineChars="8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adjustRightInd w:val="0"/>
        <w:spacing w:line="600" w:lineRule="exact"/>
        <w:ind w:firstLine="1405" w:firstLineChars="500"/>
        <w:rPr>
          <w:rFonts w:hint="eastAsia" w:eastAsia="宋体" w:cs="Times New Roman"/>
          <w:b/>
          <w:color w:val="000000" w:themeColor="text1"/>
          <w:sz w:val="28"/>
          <w:szCs w:val="24"/>
          <w:lang w:val="en-US" w:eastAsia="zh-CN" w:bidi="ar-SA"/>
          <w14:textFill>
            <w14:solidFill>
              <w14:schemeClr w14:val="tx1"/>
            </w14:solidFill>
          </w14:textFill>
        </w:rPr>
      </w:pPr>
      <w:r>
        <w:rPr>
          <w:rFonts w:hint="eastAsia" w:cs="Times New Roman"/>
          <w:b/>
          <w:sz w:val="28"/>
          <w:szCs w:val="24"/>
          <w:lang w:val="en-US" w:bidi="ar-SA"/>
        </w:rPr>
        <w:t>采购文件编号：</w:t>
      </w:r>
      <w:r>
        <w:rPr>
          <w:rFonts w:hint="eastAsia" w:cs="Times New Roman"/>
          <w:b/>
          <w:color w:val="000000" w:themeColor="text1"/>
          <w:sz w:val="28"/>
          <w:szCs w:val="24"/>
          <w:lang w:val="en-US" w:eastAsia="zh-CN" w:bidi="ar-SA"/>
          <w14:textFill>
            <w14:solidFill>
              <w14:schemeClr w14:val="tx1"/>
            </w14:solidFill>
          </w14:textFill>
        </w:rPr>
        <w:t>XBXY-JSX-(CG)2023-002号</w:t>
      </w:r>
    </w:p>
    <w:p>
      <w:pPr>
        <w:adjustRightInd w:val="0"/>
        <w:spacing w:line="600" w:lineRule="exact"/>
        <w:ind w:firstLine="1405" w:firstLineChars="500"/>
        <w:rPr>
          <w:rFonts w:cs="Times New Roman"/>
          <w:b/>
          <w:color w:val="0000FF"/>
          <w:sz w:val="28"/>
          <w:szCs w:val="24"/>
          <w:highlight w:val="none"/>
          <w:lang w:val="en-US" w:bidi="ar-SA"/>
        </w:rPr>
      </w:pPr>
      <w:r>
        <w:rPr>
          <w:rFonts w:hint="eastAsia" w:cs="Times New Roman"/>
          <w:b/>
          <w:color w:val="000000" w:themeColor="text1"/>
          <w:sz w:val="28"/>
          <w:szCs w:val="24"/>
          <w:lang w:val="en-US" w:eastAsia="zh-CN" w:bidi="ar-SA"/>
          <w14:textFill>
            <w14:solidFill>
              <w14:schemeClr w14:val="tx1"/>
            </w14:solidFill>
          </w14:textFill>
        </w:rPr>
        <w:drawing>
          <wp:anchor distT="0" distB="0" distL="114300" distR="114300" simplePos="0" relativeHeight="251684864" behindDoc="0" locked="0" layoutInCell="1" allowOverlap="1">
            <wp:simplePos x="0" y="0"/>
            <wp:positionH relativeFrom="column">
              <wp:posOffset>3632200</wp:posOffset>
            </wp:positionH>
            <wp:positionV relativeFrom="paragraph">
              <wp:posOffset>742315</wp:posOffset>
            </wp:positionV>
            <wp:extent cx="1440180" cy="1440180"/>
            <wp:effectExtent l="0" t="0" r="7620" b="7620"/>
            <wp:wrapNone/>
            <wp:docPr id="2" name="图片 2" descr="QQ图片2021020915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10209151716"/>
                    <pic:cNvPicPr>
                      <a:picLocks noChangeAspect="1"/>
                    </pic:cNvPicPr>
                  </pic:nvPicPr>
                  <pic:blipFill>
                    <a:blip r:embed="rId33"/>
                    <a:stretch>
                      <a:fillRect/>
                    </a:stretch>
                  </pic:blipFill>
                  <pic:spPr>
                    <a:xfrm>
                      <a:off x="0" y="0"/>
                      <a:ext cx="1440180" cy="1440180"/>
                    </a:xfrm>
                    <a:prstGeom prst="rect">
                      <a:avLst/>
                    </a:prstGeom>
                  </pic:spPr>
                </pic:pic>
              </a:graphicData>
            </a:graphic>
          </wp:anchor>
        </w:drawing>
      </w:r>
      <w:r>
        <w:rPr>
          <w:rFonts w:hint="eastAsia" w:cs="Times New Roman"/>
          <w:b/>
          <w:sz w:val="28"/>
          <w:szCs w:val="24"/>
          <w:lang w:val="en-US" w:bidi="ar-SA"/>
        </w:rPr>
        <w:t>项目名称：</w:t>
      </w:r>
      <w:r>
        <w:rPr>
          <w:rFonts w:hint="eastAsia" w:cs="Times New Roman"/>
          <w:b/>
          <w:color w:val="auto"/>
          <w:sz w:val="28"/>
          <w:szCs w:val="24"/>
          <w:highlight w:val="none"/>
          <w:lang w:val="en-US" w:eastAsia="zh-CN" w:bidi="ar-SA"/>
        </w:rPr>
        <w:t>伽师县英买里乡阿亚格英买里（11）村产业园道路建设项目</w:t>
      </w:r>
      <w:r>
        <w:rPr>
          <w:rFonts w:hint="eastAsia" w:cs="Times New Roman"/>
          <w:b/>
          <w:color w:val="auto"/>
          <w:sz w:val="28"/>
          <w:szCs w:val="24"/>
          <w:highlight w:val="none"/>
          <w:lang w:val="en-US" w:bidi="ar-SA"/>
        </w:rPr>
        <w:t xml:space="preserve"> </w:t>
      </w:r>
    </w:p>
    <w:p>
      <w:pPr>
        <w:adjustRightInd w:val="0"/>
        <w:spacing w:line="600" w:lineRule="exact"/>
        <w:ind w:firstLine="1405" w:firstLineChars="500"/>
        <w:rPr>
          <w:rFonts w:hint="eastAsia" w:eastAsia="宋体" w:cs="Times New Roman"/>
          <w:b/>
          <w:sz w:val="28"/>
          <w:szCs w:val="24"/>
          <w:lang w:val="en-US" w:eastAsia="zh-CN" w:bidi="ar-SA"/>
        </w:rPr>
      </w:pPr>
      <w:r>
        <w:rPr>
          <w:rFonts w:hint="eastAsia" w:cs="Times New Roman"/>
          <w:b/>
          <w:sz w:val="28"/>
          <w:szCs w:val="24"/>
          <w:lang w:val="en-US" w:bidi="ar-SA"/>
        </w:rPr>
        <w:t>采购单位：</w:t>
      </w:r>
      <w:r>
        <w:rPr>
          <w:rFonts w:hint="eastAsia" w:cs="Times New Roman"/>
          <w:b/>
          <w:sz w:val="28"/>
          <w:szCs w:val="24"/>
          <w:lang w:val="en-US" w:eastAsia="zh-CN" w:bidi="ar-SA"/>
        </w:rPr>
        <w:t>伽师县交通运输局</w:t>
      </w:r>
    </w:p>
    <w:p>
      <w:pPr>
        <w:tabs>
          <w:tab w:val="left" w:pos="1684"/>
        </w:tabs>
        <w:kinsoku w:val="0"/>
        <w:overflowPunct w:val="0"/>
        <w:adjustRightInd w:val="0"/>
        <w:spacing w:line="580" w:lineRule="exact"/>
        <w:ind w:right="1" w:firstLine="1405" w:firstLineChars="500"/>
        <w:jc w:val="both"/>
        <w:rPr>
          <w:rFonts w:hint="eastAsia" w:cs="Times New Roman"/>
          <w:b/>
          <w:sz w:val="28"/>
          <w:szCs w:val="24"/>
          <w:lang w:val="en-US" w:eastAsia="zh-CN" w:bidi="ar-SA"/>
        </w:rPr>
      </w:pPr>
      <w:r>
        <w:rPr>
          <w:rFonts w:hint="eastAsia" w:cs="Times New Roman"/>
          <w:b/>
          <w:sz w:val="28"/>
          <w:szCs w:val="24"/>
          <w:lang w:val="en-US" w:eastAsia="zh-CN" w:bidi="ar-SA"/>
        </w:rPr>
        <w:t xml:space="preserve">采购代理机构：喀什西部鑫源工程项目管理有限公司 </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lang w:eastAsia="zh-CN"/>
        </w:rPr>
        <w:t>二〇二</w:t>
      </w:r>
      <w:r>
        <w:rPr>
          <w:rFonts w:hint="eastAsia" w:ascii="仿宋" w:hAnsi="仿宋" w:eastAsia="仿宋" w:cs="仿宋"/>
          <w:b/>
          <w:color w:val="auto"/>
          <w:spacing w:val="0"/>
          <w:w w:val="100"/>
          <w:position w:val="0"/>
          <w:sz w:val="28"/>
          <w:szCs w:val="28"/>
          <w:highlight w:val="none"/>
          <w:lang w:val="en-US" w:eastAsia="zh-CN"/>
        </w:rPr>
        <w:t xml:space="preserve">三 </w:t>
      </w:r>
      <w:r>
        <w:rPr>
          <w:rFonts w:hint="eastAsia" w:ascii="仿宋" w:hAnsi="仿宋" w:eastAsia="仿宋" w:cs="仿宋"/>
          <w:b/>
          <w:color w:val="auto"/>
          <w:spacing w:val="0"/>
          <w:w w:val="100"/>
          <w:position w:val="0"/>
          <w:sz w:val="28"/>
          <w:szCs w:val="28"/>
          <w:highlight w:val="none"/>
          <w:lang w:eastAsia="zh-CN"/>
        </w:rPr>
        <w:t>年</w:t>
      </w:r>
      <w:r>
        <w:rPr>
          <w:rFonts w:hint="eastAsia" w:ascii="仿宋" w:hAnsi="仿宋" w:eastAsia="仿宋" w:cs="仿宋"/>
          <w:b/>
          <w:color w:val="auto"/>
          <w:spacing w:val="0"/>
          <w:w w:val="100"/>
          <w:position w:val="0"/>
          <w:sz w:val="28"/>
          <w:szCs w:val="28"/>
          <w:highlight w:val="none"/>
          <w:lang w:val="en-US" w:eastAsia="zh-CN"/>
        </w:rPr>
        <w:t>五</w:t>
      </w:r>
      <w:r>
        <w:rPr>
          <w:rFonts w:hint="eastAsia" w:ascii="仿宋" w:hAnsi="仿宋" w:eastAsia="仿宋" w:cs="仿宋"/>
          <w:b/>
          <w:color w:val="auto"/>
          <w:spacing w:val="0"/>
          <w:w w:val="100"/>
          <w:position w:val="0"/>
          <w:sz w:val="28"/>
          <w:szCs w:val="28"/>
          <w:highlight w:val="none"/>
          <w:lang w:eastAsia="zh-CN"/>
        </w:rPr>
        <w:t>月</w:t>
      </w:r>
    </w:p>
    <w:p>
      <w:pPr>
        <w:tabs>
          <w:tab w:val="left" w:pos="1684"/>
        </w:tabs>
        <w:kinsoku w:val="0"/>
        <w:overflowPunct w:val="0"/>
        <w:adjustRightInd w:val="0"/>
        <w:spacing w:line="580" w:lineRule="exact"/>
        <w:ind w:right="1" w:firstLine="2289" w:firstLineChars="500"/>
        <w:jc w:val="both"/>
        <w:rPr>
          <w:rFonts w:cs="Times New Roman"/>
          <w:b/>
          <w:w w:val="95"/>
          <w:sz w:val="48"/>
          <w:szCs w:val="24"/>
          <w:lang w:val="en-US" w:bidi="ar-SA"/>
        </w:rPr>
      </w:pPr>
      <w:r>
        <w:rPr>
          <w:rFonts w:cs="Times New Roman"/>
          <w:b/>
          <w:w w:val="95"/>
          <w:sz w:val="48"/>
          <w:szCs w:val="24"/>
          <w:lang w:val="en-US" w:bidi="ar-SA"/>
        </w:rPr>
        <w:br w:type="page"/>
      </w:r>
    </w:p>
    <w:p>
      <w:pPr>
        <w:tabs>
          <w:tab w:val="left" w:pos="1684"/>
        </w:tabs>
        <w:kinsoku w:val="0"/>
        <w:overflowPunct w:val="0"/>
        <w:adjustRightInd w:val="0"/>
        <w:spacing w:line="580" w:lineRule="exact"/>
        <w:ind w:right="1"/>
        <w:jc w:val="center"/>
        <w:rPr>
          <w:rFonts w:cs="Times New Roman"/>
          <w:b/>
          <w:w w:val="95"/>
          <w:sz w:val="48"/>
          <w:szCs w:val="24"/>
          <w:lang w:val="en-US" w:bidi="ar-SA"/>
        </w:rPr>
      </w:pPr>
    </w:p>
    <w:p>
      <w:pPr>
        <w:tabs>
          <w:tab w:val="left" w:pos="1684"/>
        </w:tabs>
        <w:kinsoku w:val="0"/>
        <w:overflowPunct w:val="0"/>
        <w:adjustRightInd w:val="0"/>
        <w:spacing w:line="580" w:lineRule="exact"/>
        <w:ind w:right="1"/>
        <w:jc w:val="center"/>
        <w:rPr>
          <w:rFonts w:eastAsia="Times New Roman" w:cs="Times New Roman"/>
          <w:sz w:val="32"/>
          <w:szCs w:val="32"/>
          <w:lang w:val="en-US" w:bidi="ar-SA"/>
        </w:rPr>
      </w:pPr>
      <w:r>
        <w:rPr>
          <w:rFonts w:hint="eastAsia" w:cs="Times New Roman"/>
          <w:b/>
          <w:w w:val="95"/>
          <w:sz w:val="32"/>
          <w:szCs w:val="32"/>
          <w:lang w:val="en-US" w:bidi="ar-SA"/>
        </w:rPr>
        <w:t xml:space="preserve">目  </w:t>
      </w:r>
      <w:r>
        <w:rPr>
          <w:rFonts w:hint="eastAsia" w:cs="Times New Roman"/>
          <w:b/>
          <w:sz w:val="32"/>
          <w:szCs w:val="32"/>
          <w:lang w:val="en-US" w:bidi="ar-SA"/>
        </w:rPr>
        <w:t>录</w:t>
      </w: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spacing w:before="160"/>
        <w:ind w:left="111"/>
        <w:rPr>
          <w:rFonts w:eastAsia="Times New Roman" w:cs="Times New Roman"/>
          <w:sz w:val="28"/>
          <w:szCs w:val="28"/>
          <w:lang w:val="en-US" w:bidi="ar-SA"/>
        </w:rPr>
      </w:pPr>
      <w:r>
        <w:rPr>
          <w:rFonts w:hint="eastAsia" w:cs="Times New Roman"/>
          <w:sz w:val="28"/>
          <w:szCs w:val="28"/>
          <w:lang w:val="en-US" w:bidi="ar-SA"/>
        </w:rPr>
        <w:t>竞争性磋商公告</w:t>
      </w:r>
    </w:p>
    <w:p>
      <w:pPr>
        <w:kinsoku w:val="0"/>
        <w:overflowPunct w:val="0"/>
        <w:adjustRightInd w:val="0"/>
        <w:spacing w:before="3"/>
        <w:rPr>
          <w:rFonts w:eastAsia="Times New Roman" w:cs="Times New Roman"/>
          <w:sz w:val="28"/>
          <w:szCs w:val="28"/>
          <w:lang w:val="en-US" w:bidi="ar-SA"/>
        </w:rPr>
      </w:pPr>
    </w:p>
    <w:p>
      <w:pPr>
        <w:tabs>
          <w:tab w:val="left" w:pos="1776"/>
        </w:tabs>
        <w:kinsoku w:val="0"/>
        <w:overflowPunct w:val="0"/>
        <w:adjustRightInd w:val="0"/>
        <w:spacing w:line="488" w:lineRule="auto"/>
        <w:ind w:left="111" w:right="3667"/>
        <w:rPr>
          <w:rFonts w:eastAsia="Times New Roman" w:cs="Times New Roman"/>
          <w:sz w:val="28"/>
          <w:szCs w:val="28"/>
          <w:lang w:val="en-US" w:bidi="ar-SA"/>
        </w:rPr>
      </w:pPr>
      <w:r>
        <w:rPr>
          <w:rFonts w:hint="eastAsia" w:cs="Times New Roman"/>
          <w:sz w:val="28"/>
          <w:szCs w:val="28"/>
          <w:lang w:val="en-US" w:bidi="ar-SA"/>
        </w:rPr>
        <w:t>第一章</w:t>
      </w:r>
      <w:r>
        <w:rPr>
          <w:rFonts w:eastAsia="Times New Roman" w:cs="Times New Roman"/>
          <w:sz w:val="28"/>
          <w:szCs w:val="28"/>
          <w:lang w:val="en-US" w:bidi="ar-SA"/>
        </w:rPr>
        <w:tab/>
      </w:r>
      <w:r>
        <w:rPr>
          <w:rFonts w:hint="eastAsia" w:cs="Times New Roman"/>
          <w:sz w:val="28"/>
          <w:szCs w:val="28"/>
          <w:lang w:val="en-US" w:bidi="ar-SA"/>
        </w:rPr>
        <w:t>磋商须知前附表及磋商须知第二章</w:t>
      </w:r>
      <w:r>
        <w:rPr>
          <w:rFonts w:eastAsia="Times New Roman" w:cs="Times New Roman"/>
          <w:sz w:val="28"/>
          <w:szCs w:val="28"/>
          <w:lang w:val="en-US" w:bidi="ar-SA"/>
        </w:rPr>
        <w:tab/>
      </w:r>
      <w:r>
        <w:rPr>
          <w:rFonts w:hint="eastAsia" w:cs="Times New Roman"/>
          <w:sz w:val="28"/>
          <w:szCs w:val="28"/>
          <w:lang w:val="en-US" w:bidi="ar-SA"/>
        </w:rPr>
        <w:t>合同条款及格式</w:t>
      </w:r>
    </w:p>
    <w:p>
      <w:pPr>
        <w:tabs>
          <w:tab w:val="left" w:pos="1776"/>
        </w:tabs>
        <w:kinsoku w:val="0"/>
        <w:overflowPunct w:val="0"/>
        <w:adjustRightInd w:val="0"/>
        <w:spacing w:before="96" w:line="489" w:lineRule="auto"/>
        <w:ind w:left="111" w:right="4267"/>
        <w:rPr>
          <w:rFonts w:eastAsia="Times New Roman" w:cs="Times New Roman"/>
          <w:sz w:val="28"/>
          <w:szCs w:val="28"/>
          <w:lang w:val="en-US" w:bidi="ar-SA"/>
        </w:rPr>
      </w:pPr>
      <w:r>
        <w:rPr>
          <w:rFonts w:hint="eastAsia" w:cs="Times New Roman"/>
          <w:sz w:val="28"/>
          <w:szCs w:val="28"/>
          <w:lang w:val="en-US" w:bidi="ar-SA"/>
        </w:rPr>
        <w:t>第三章</w:t>
      </w:r>
      <w:r>
        <w:rPr>
          <w:rFonts w:eastAsia="Times New Roman" w:cs="Times New Roman"/>
          <w:sz w:val="28"/>
          <w:szCs w:val="28"/>
          <w:lang w:val="en-US" w:bidi="ar-SA"/>
        </w:rPr>
        <w:tab/>
      </w:r>
      <w:r>
        <w:rPr>
          <w:rFonts w:hint="eastAsia" w:cs="Times New Roman"/>
          <w:sz w:val="28"/>
          <w:szCs w:val="28"/>
          <w:lang w:val="en-US" w:bidi="ar-SA"/>
        </w:rPr>
        <w:t>工程量清单</w:t>
      </w:r>
    </w:p>
    <w:p>
      <w:pPr>
        <w:tabs>
          <w:tab w:val="left" w:pos="1776"/>
        </w:tabs>
        <w:kinsoku w:val="0"/>
        <w:overflowPunct w:val="0"/>
        <w:adjustRightInd w:val="0"/>
        <w:spacing w:before="96" w:line="489" w:lineRule="auto"/>
        <w:ind w:left="111" w:right="4267"/>
        <w:rPr>
          <w:rFonts w:cs="Times New Roman"/>
          <w:sz w:val="28"/>
          <w:szCs w:val="28"/>
          <w:lang w:val="en-US" w:bidi="ar-SA"/>
        </w:rPr>
      </w:pPr>
      <w:r>
        <w:rPr>
          <w:rFonts w:hint="eastAsia" w:cs="Times New Roman"/>
          <w:sz w:val="28"/>
          <w:szCs w:val="28"/>
          <w:lang w:val="en-US" w:bidi="ar-SA"/>
        </w:rPr>
        <w:t>第四章</w:t>
      </w:r>
      <w:r>
        <w:rPr>
          <w:rFonts w:eastAsia="Times New Roman" w:cs="Times New Roman"/>
          <w:sz w:val="28"/>
          <w:szCs w:val="28"/>
          <w:lang w:val="en-US" w:bidi="ar-SA"/>
        </w:rPr>
        <w:tab/>
      </w:r>
      <w:r>
        <w:rPr>
          <w:rFonts w:hint="eastAsia" w:cs="Times New Roman"/>
          <w:sz w:val="28"/>
          <w:szCs w:val="28"/>
          <w:lang w:val="en-US" w:bidi="ar-SA"/>
        </w:rPr>
        <w:t>图纸（另卷）</w:t>
      </w:r>
    </w:p>
    <w:p>
      <w:pPr>
        <w:tabs>
          <w:tab w:val="left" w:pos="1776"/>
        </w:tabs>
        <w:kinsoku w:val="0"/>
        <w:overflowPunct w:val="0"/>
        <w:adjustRightInd w:val="0"/>
        <w:spacing w:before="96" w:line="489" w:lineRule="auto"/>
        <w:ind w:left="111" w:right="4267"/>
        <w:rPr>
          <w:rFonts w:cs="Times New Roman"/>
          <w:sz w:val="28"/>
          <w:szCs w:val="28"/>
          <w:lang w:val="en-US" w:bidi="ar-SA"/>
        </w:rPr>
      </w:pPr>
      <w:r>
        <w:rPr>
          <w:rFonts w:hint="eastAsia" w:cs="Times New Roman"/>
          <w:sz w:val="28"/>
          <w:szCs w:val="28"/>
          <w:lang w:val="en-US" w:bidi="ar-SA"/>
        </w:rPr>
        <w:t>第五章</w:t>
      </w:r>
      <w:r>
        <w:rPr>
          <w:rFonts w:eastAsia="Times New Roman" w:cs="Times New Roman"/>
          <w:sz w:val="28"/>
          <w:szCs w:val="28"/>
          <w:lang w:val="en-US" w:bidi="ar-SA"/>
        </w:rPr>
        <w:tab/>
      </w:r>
      <w:r>
        <w:rPr>
          <w:rFonts w:hint="eastAsia" w:cs="Times New Roman"/>
          <w:sz w:val="28"/>
          <w:szCs w:val="28"/>
          <w:lang w:val="en-US" w:bidi="ar-SA"/>
        </w:rPr>
        <w:t>技术规范</w:t>
      </w:r>
    </w:p>
    <w:p>
      <w:pPr>
        <w:tabs>
          <w:tab w:val="left" w:pos="1776"/>
        </w:tabs>
        <w:kinsoku w:val="0"/>
        <w:overflowPunct w:val="0"/>
        <w:adjustRightInd w:val="0"/>
        <w:spacing w:before="96" w:line="489" w:lineRule="auto"/>
        <w:ind w:left="111" w:right="4267"/>
        <w:rPr>
          <w:rFonts w:ascii="Times New Roman" w:hAnsi="Times New Roman" w:cs="Times New Roman"/>
          <w:sz w:val="28"/>
          <w:szCs w:val="28"/>
          <w:lang w:val="en-US" w:bidi="ar-SA"/>
        </w:rPr>
      </w:pPr>
      <w:r>
        <w:rPr>
          <w:rFonts w:hint="eastAsia" w:cs="Times New Roman"/>
          <w:sz w:val="28"/>
          <w:szCs w:val="28"/>
          <w:lang w:val="en-US" w:bidi="ar-SA"/>
        </w:rPr>
        <w:t>第六章</w:t>
      </w:r>
      <w:r>
        <w:rPr>
          <w:rFonts w:hint="eastAsia" w:cs="Times New Roman"/>
          <w:sz w:val="28"/>
          <w:szCs w:val="28"/>
          <w:lang w:val="en-US" w:bidi="ar-SA"/>
        </w:rPr>
        <w:tab/>
      </w:r>
      <w:r>
        <w:rPr>
          <w:rFonts w:hint="eastAsia" w:cs="Times New Roman"/>
          <w:sz w:val="28"/>
          <w:szCs w:val="28"/>
          <w:lang w:val="en-US" w:bidi="ar-SA"/>
        </w:rPr>
        <w:t>工程量清单计量规则</w:t>
      </w:r>
    </w:p>
    <w:p>
      <w:pPr>
        <w:tabs>
          <w:tab w:val="left" w:pos="1776"/>
        </w:tabs>
        <w:kinsoku w:val="0"/>
        <w:overflowPunct w:val="0"/>
        <w:adjustRightInd w:val="0"/>
        <w:spacing w:before="96" w:line="489" w:lineRule="auto"/>
        <w:ind w:left="111" w:right="4267"/>
        <w:rPr>
          <w:rFonts w:eastAsia="Times New Roman" w:cs="Times New Roman"/>
          <w:sz w:val="28"/>
          <w:szCs w:val="28"/>
          <w:lang w:val="en-US" w:bidi="ar-SA"/>
        </w:rPr>
      </w:pPr>
      <w:r>
        <w:rPr>
          <w:rFonts w:hint="eastAsia" w:cs="Times New Roman"/>
          <w:sz w:val="28"/>
          <w:szCs w:val="28"/>
          <w:lang w:val="en-US" w:bidi="ar-SA"/>
        </w:rPr>
        <w:t>第七章</w:t>
      </w:r>
      <w:r>
        <w:rPr>
          <w:rFonts w:eastAsia="Times New Roman" w:cs="Times New Roman"/>
          <w:sz w:val="28"/>
          <w:szCs w:val="28"/>
          <w:lang w:val="en-US" w:bidi="ar-SA"/>
        </w:rPr>
        <w:tab/>
      </w:r>
      <w:r>
        <w:rPr>
          <w:rFonts w:hint="eastAsia" w:cs="Times New Roman"/>
          <w:sz w:val="28"/>
          <w:szCs w:val="28"/>
          <w:lang w:val="en-US" w:bidi="ar-SA"/>
        </w:rPr>
        <w:t>响应文件格式</w:t>
      </w:r>
    </w:p>
    <w:p>
      <w:pPr>
        <w:tabs>
          <w:tab w:val="left" w:pos="1776"/>
        </w:tabs>
        <w:kinsoku w:val="0"/>
        <w:overflowPunct w:val="0"/>
        <w:spacing w:before="96" w:line="489" w:lineRule="auto"/>
        <w:ind w:left="111" w:right="4267"/>
        <w:rPr>
          <w:rFonts w:eastAsia="Times New Roman"/>
          <w:sz w:val="28"/>
          <w:szCs w:val="28"/>
        </w:rPr>
        <w:sectPr>
          <w:headerReference r:id="rId3" w:type="default"/>
          <w:footerReference r:id="rId4" w:type="default"/>
          <w:pgSz w:w="11910" w:h="16840"/>
          <w:pgMar w:top="1040" w:right="1440" w:bottom="1180" w:left="1420" w:header="858" w:footer="997" w:gutter="0"/>
          <w:pgNumType w:start="1"/>
          <w:cols w:space="720" w:num="1"/>
        </w:sectPr>
      </w:pPr>
      <w:r>
        <w:rPr>
          <w:rFonts w:hint="eastAsia" w:cs="Times New Roman"/>
          <w:sz w:val="28"/>
          <w:szCs w:val="28"/>
          <w:lang w:val="en-US" w:bidi="ar-SA"/>
        </w:rPr>
        <w:t>第八章      评审方法及标准</w:t>
      </w:r>
    </w:p>
    <w:p>
      <w:pPr>
        <w:ind w:firstLine="48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伽师县英买里乡阿亚格英买里（11）村产业园道路建设项目</w:t>
      </w:r>
    </w:p>
    <w:p>
      <w:pPr>
        <w:ind w:firstLine="480"/>
        <w:jc w:val="center"/>
        <w:rPr>
          <w:rFonts w:hint="default" w:eastAsia="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firstLine="0" w:firstLineChars="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outlineLvl w:val="9"/>
        <w:rPr>
          <w:rFonts w:ascii="仿宋" w:hAnsi="仿宋" w:eastAsia="仿宋"/>
          <w:color w:val="auto"/>
          <w:sz w:val="28"/>
          <w:szCs w:val="28"/>
          <w:highlight w:val="none"/>
        </w:rPr>
      </w:pPr>
      <w:r>
        <w:rPr>
          <w:rFonts w:hint="eastAsia" w:ascii="仿宋" w:hAnsi="仿宋" w:eastAsia="仿宋"/>
          <w:color w:val="auto"/>
          <w:sz w:val="24"/>
          <w:szCs w:val="24"/>
          <w:highlight w:val="none"/>
          <w:u w:val="single"/>
          <w:lang w:eastAsia="zh-CN"/>
        </w:rPr>
        <w:t>伽师县英买里乡阿亚格英买里（11）村产业园道路建设项目</w:t>
      </w:r>
      <w:r>
        <w:rPr>
          <w:rFonts w:hint="eastAsia" w:ascii="仿宋" w:hAnsi="仿宋" w:eastAsia="仿宋"/>
          <w:color w:val="auto"/>
          <w:sz w:val="24"/>
          <w:szCs w:val="24"/>
          <w:highlight w:val="none"/>
          <w:u w:val="none"/>
          <w:lang w:eastAsia="zh-CN"/>
        </w:rPr>
        <w:t>招标项目的潜在投标人应在供应商登陆政采云平台（登录政府采购云平台→ 项目采购 → 获取磋商文件，通过后可下载磋商文件，如有操作性问题，可与政采云在线客服进行咨询，咨询电话：400-881-7190）在线获取磋商文件</w:t>
      </w:r>
      <w:r>
        <w:rPr>
          <w:rFonts w:hint="eastAsia" w:ascii="仿宋" w:hAnsi="仿宋" w:eastAsia="仿宋"/>
          <w:color w:val="auto"/>
          <w:sz w:val="24"/>
          <w:szCs w:val="24"/>
          <w:highlight w:val="none"/>
        </w:rPr>
        <w:t>，并于</w:t>
      </w:r>
      <w:r>
        <w:rPr>
          <w:rFonts w:hint="eastAsia"/>
          <w:color w:val="auto"/>
          <w:sz w:val="24"/>
          <w:szCs w:val="24"/>
          <w:highlight w:val="none"/>
          <w:u w:val="single"/>
          <w:lang w:val="en-US" w:eastAsia="zh-CN"/>
        </w:rPr>
        <w:t>2023年05 月16日16</w:t>
      </w:r>
      <w:r>
        <w:rPr>
          <w:rFonts w:hint="eastAsia"/>
          <w:color w:val="auto"/>
          <w:sz w:val="24"/>
          <w:szCs w:val="24"/>
          <w:highlight w:val="none"/>
          <w:u w:val="single"/>
          <w:lang w:eastAsia="zh-CN"/>
        </w:rPr>
        <w:t>点</w:t>
      </w:r>
      <w:r>
        <w:rPr>
          <w:rFonts w:hint="eastAsia"/>
          <w:color w:val="auto"/>
          <w:sz w:val="24"/>
          <w:szCs w:val="24"/>
          <w:highlight w:val="none"/>
          <w:u w:val="single"/>
          <w:lang w:val="en-US" w:eastAsia="zh-CN"/>
        </w:rPr>
        <w:t>00</w:t>
      </w:r>
      <w:r>
        <w:rPr>
          <w:rFonts w:hint="eastAsia"/>
          <w:color w:val="auto"/>
          <w:sz w:val="24"/>
          <w:szCs w:val="24"/>
          <w:highlight w:val="none"/>
          <w:u w:val="single"/>
          <w:lang w:eastAsia="zh-CN"/>
        </w:rPr>
        <w:t>分</w:t>
      </w:r>
      <w:r>
        <w:rPr>
          <w:rFonts w:hint="eastAsia"/>
          <w:color w:val="auto"/>
          <w:sz w:val="24"/>
          <w:szCs w:val="24"/>
          <w:highlight w:val="none"/>
          <w:u w:val="none"/>
          <w:lang w:eastAsia="zh-CN"/>
        </w:rPr>
        <w:t>（</w:t>
      </w:r>
      <w:r>
        <w:rPr>
          <w:rFonts w:hint="eastAsia" w:ascii="仿宋" w:hAnsi="仿宋" w:eastAsia="仿宋"/>
          <w:bCs/>
          <w:color w:val="auto"/>
          <w:sz w:val="24"/>
          <w:szCs w:val="24"/>
          <w:highlight w:val="none"/>
        </w:rPr>
        <w:t>北京时间）前递交投标</w:t>
      </w:r>
      <w:r>
        <w:rPr>
          <w:rFonts w:ascii="仿宋" w:hAnsi="仿宋" w:eastAsia="仿宋"/>
          <w:bCs/>
          <w:color w:val="auto"/>
          <w:sz w:val="24"/>
          <w:szCs w:val="24"/>
          <w:highlight w:val="none"/>
        </w:rPr>
        <w:t>文件</w:t>
      </w:r>
      <w:r>
        <w:rPr>
          <w:rFonts w:hint="eastAsia" w:ascii="仿宋" w:hAnsi="仿宋" w:eastAsia="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XBXY-JSX-(CG)2023-002号</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伽师县英买里乡阿亚格英买里（11）村产业园道路建设项目</w:t>
      </w:r>
      <w:r>
        <w:rPr>
          <w:rFonts w:hint="eastAsia" w:ascii="仿宋" w:hAnsi="仿宋" w:eastAsia="仿宋" w:cs="仿宋"/>
          <w:color w:val="auto"/>
          <w:sz w:val="24"/>
          <w:szCs w:val="24"/>
          <w:highlight w:val="none"/>
        </w:rPr>
        <w:t> </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采购方式：</w:t>
      </w:r>
      <w:r>
        <w:rPr>
          <w:rFonts w:hint="eastAsia" w:ascii="仿宋" w:hAnsi="仿宋" w:eastAsia="仿宋" w:cs="仿宋"/>
          <w:color w:val="auto"/>
          <w:sz w:val="24"/>
          <w:szCs w:val="24"/>
          <w:highlight w:val="none"/>
          <w:lang w:val="en-US" w:eastAsia="zh-CN"/>
        </w:rPr>
        <w:t>竞争性磋商</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3900000.00</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最高限价（元）：3668311.75</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采购需求：新建道路5.697公里</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简要规格描述：新建道路5.697公里</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具体详见磋商文件</w:t>
      </w:r>
      <w:r>
        <w:rPr>
          <w:rFonts w:hint="eastAsia" w:ascii="仿宋" w:hAnsi="仿宋" w:eastAsia="仿宋" w:cs="仿宋"/>
          <w:color w:val="auto"/>
          <w:sz w:val="24"/>
          <w:szCs w:val="24"/>
          <w:highlight w:val="none"/>
        </w:rPr>
        <w:t> </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二、申请人的资格要求：</w:t>
      </w:r>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 </w:t>
      </w:r>
    </w:p>
    <w:p>
      <w:pPr>
        <w:pStyle w:val="17"/>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380" w:lineRule="exact"/>
        <w:ind w:right="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（1）符合《中华人民共和国政府采购法》第二十二条相关规定； </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（2）合格有效的法人或非法人组织营业执照；</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（3）法定代表人资格证明或法定代表人授权委托书及身份证；</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（4）近六个月完税证明（零申报需加盖税务机关鲜章）及近六个月本单位社保缴纳证明（及个人明细）、2022年财务审计报告（成立不满一年的提供开标前一个月内有效银行资信证明）；</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（6）供应商及其法人参加本次采购活动前三年内，在经营活动中没有重大违法记录的声明及反商业受贿承诺。</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投标人须具备：供应商须具备公路工程施工总承包叁级及以上资质，具有合格有效的安全生产许可证，区外企业进疆信息报送册；项目经理须具备公路工程专业二级及以上注册建造师执业资格，持有有效的交通运输主管部门颁发的安全生产考核合格证书(B 类),且未担任其他在建工程项目的项目经理；</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（8）投标保证金缴纳凭证。</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（9）其他要求详见磋商文件具体内容</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三、获取磋商文件</w:t>
      </w:r>
    </w:p>
    <w:p>
      <w:pPr>
        <w:keepNext w:val="0"/>
        <w:keepLines w:val="0"/>
        <w:pageBreakBefore w:val="0"/>
        <w:kinsoku/>
        <w:wordWrap/>
        <w:overflowPunct/>
        <w:topLinePunct w:val="0"/>
        <w:autoSpaceDE/>
        <w:autoSpaceDN/>
        <w:bidi w:val="0"/>
        <w:snapToGrid/>
        <w:spacing w:line="380" w:lineRule="exact"/>
        <w:ind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20</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u w:val="single"/>
          <w:lang w:val="en-US" w:eastAsia="zh-CN"/>
        </w:rPr>
        <w:t>前</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14：00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20：00</w:t>
      </w:r>
      <w:r>
        <w:rPr>
          <w:rFonts w:hint="eastAsia" w:ascii="仿宋" w:hAnsi="仿宋" w:eastAsia="仿宋" w:cs="仿宋"/>
          <w:color w:val="auto"/>
          <w:sz w:val="24"/>
          <w:szCs w:val="24"/>
          <w:highlight w:val="none"/>
        </w:rPr>
        <w:t>（北京时间，法定节假日除外）</w:t>
      </w:r>
      <w:r>
        <w:rPr>
          <w:rFonts w:hint="eastAsia" w:ascii="仿宋" w:hAnsi="仿宋" w:eastAsia="仿宋" w:cs="仿宋"/>
          <w:color w:val="auto"/>
          <w:sz w:val="24"/>
          <w:szCs w:val="24"/>
          <w:highlight w:val="none"/>
          <w:lang w:eastAsia="zh-CN"/>
        </w:rPr>
        <w:t>。</w:t>
      </w:r>
    </w:p>
    <w:p>
      <w:pPr>
        <w:pStyle w:val="35"/>
        <w:keepNext w:val="0"/>
        <w:keepLines w:val="0"/>
        <w:pageBreakBefore w:val="0"/>
        <w:kinsoku/>
        <w:wordWrap/>
        <w:overflowPunct/>
        <w:topLinePunct w:val="0"/>
        <w:autoSpaceDE/>
        <w:autoSpaceDN/>
        <w:bidi w:val="0"/>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kern w:val="2"/>
          <w:sz w:val="24"/>
          <w:szCs w:val="24"/>
          <w:highlight w:val="none"/>
          <w:u w:val="single"/>
          <w:shd w:val="clear" w:color="auto" w:fill="FFFFFF"/>
        </w:rPr>
        <w:t>http://www.ccgp-xinjiang.gov.cn/</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方式：线上下载（</w:t>
      </w:r>
      <w:r>
        <w:rPr>
          <w:rFonts w:hint="eastAsia" w:ascii="仿宋" w:hAnsi="仿宋" w:eastAsia="仿宋" w:cs="仿宋"/>
          <w:color w:val="auto"/>
          <w:sz w:val="24"/>
          <w:szCs w:val="24"/>
          <w:highlight w:val="none"/>
          <w:u w:val="none"/>
          <w:lang w:eastAsia="zh-CN"/>
        </w:rPr>
        <w:t>供应商登陆政采云平台→ 项目采购 → 获取磋商文件，通过后可下载磋商文件</w:t>
      </w:r>
      <w:r>
        <w:rPr>
          <w:rFonts w:hint="eastAsia" w:ascii="仿宋" w:hAnsi="仿宋" w:eastAsia="仿宋" w:cs="仿宋"/>
          <w:color w:val="auto"/>
          <w:sz w:val="24"/>
          <w:szCs w:val="24"/>
          <w:highlight w:val="none"/>
          <w:lang w:val="en-US" w:eastAsia="zh-CN"/>
        </w:rPr>
        <w:t>）</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售价：0.00元</w:t>
      </w:r>
    </w:p>
    <w:p>
      <w:pPr>
        <w:keepNext w:val="0"/>
        <w:keepLines w:val="0"/>
        <w:pageBreakBefore w:val="0"/>
        <w:numPr>
          <w:ilvl w:val="0"/>
          <w:numId w:val="1"/>
        </w:numPr>
        <w:kinsoku/>
        <w:wordWrap/>
        <w:overflowPunct/>
        <w:topLinePunct w:val="0"/>
        <w:autoSpaceDE/>
        <w:autoSpaceDN/>
        <w:bidi w:val="0"/>
        <w:spacing w:line="380" w:lineRule="exact"/>
        <w:jc w:val="left"/>
        <w:textAlignment w:val="auto"/>
        <w:outlineLvl w:val="9"/>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提交投标文件截止时间、开标时间和地点</w:t>
      </w:r>
    </w:p>
    <w:p>
      <w:pPr>
        <w:keepNext w:val="0"/>
        <w:keepLines w:val="0"/>
        <w:pageBreakBefore w:val="0"/>
        <w:numPr>
          <w:ilvl w:val="0"/>
          <w:numId w:val="0"/>
        </w:numPr>
        <w:kinsoku/>
        <w:wordWrap/>
        <w:overflowPunct/>
        <w:topLinePunct w:val="0"/>
        <w:autoSpaceDE/>
        <w:autoSpaceDN/>
        <w:bidi w:val="0"/>
        <w:spacing w:line="380" w:lineRule="exact"/>
        <w:ind w:firstLine="480" w:firstLineChars="200"/>
        <w:jc w:val="left"/>
        <w:textAlignment w:val="auto"/>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none"/>
          <w:lang w:val="en-US" w:eastAsia="zh-CN"/>
        </w:rPr>
        <w:t>时间：</w:t>
      </w:r>
      <w:r>
        <w:rPr>
          <w:rFonts w:hint="eastAsia" w:ascii="仿宋" w:hAnsi="仿宋" w:eastAsia="仿宋" w:cs="仿宋"/>
          <w:bCs/>
          <w:color w:val="auto"/>
          <w:sz w:val="24"/>
          <w:szCs w:val="24"/>
          <w:highlight w:val="none"/>
          <w:u w:val="single"/>
          <w:lang w:val="en-US" w:eastAsia="zh-CN"/>
        </w:rPr>
        <w:t>2023年05月16日 16</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地点：（https://www.zcygov.cn在线投标）</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自本公告发布之日起5个工作日。</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六、其他补充事宜</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1.本项目采用全流程不见面电子开评标，投标人需要使用CA加密设备，投标人可通过新疆数字证书认证中心官网（https://www.xjca.com.cn/）或下载“新疆政务通”APP自行进行申领。</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7.为了保证开评标顺利进行，政采云线上开标功能完全实现，投标人开标所使用的电脑设备须具有视频及语音功能。</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七、对本次招标提出询问，请按以下方式联系。　　　　　　　　　　　　</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w:t>
      </w:r>
      <w:r>
        <w:rPr>
          <w:rFonts w:hint="eastAsia" w:ascii="仿宋" w:hAnsi="仿宋" w:eastAsia="仿宋" w:cs="仿宋"/>
          <w:b w:val="0"/>
          <w:bCs w:val="0"/>
          <w:color w:val="auto"/>
          <w:sz w:val="24"/>
          <w:szCs w:val="24"/>
          <w:highlight w:val="none"/>
          <w:lang w:val="en-US" w:eastAsia="zh-CN"/>
        </w:rPr>
        <w:t>伽师县交通运输局</w:t>
      </w:r>
    </w:p>
    <w:p>
      <w:pPr>
        <w:keepNext w:val="0"/>
        <w:keepLines w:val="0"/>
        <w:pageBreakBefore w:val="0"/>
        <w:kinsoku/>
        <w:wordWrap/>
        <w:overflowPunct/>
        <w:topLinePunct w:val="0"/>
        <w:autoSpaceDE/>
        <w:autoSpaceDN/>
        <w:bidi w:val="0"/>
        <w:spacing w:line="380" w:lineRule="exac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址：伽师县</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联系人：王林</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称：喀什西部鑫源工程项目管理有限公司</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pacing w:val="0"/>
          <w:w w:val="100"/>
          <w:kern w:val="0"/>
          <w:position w:val="0"/>
          <w:sz w:val="24"/>
          <w:szCs w:val="24"/>
          <w:highlight w:val="none"/>
          <w:lang w:val="en-US" w:eastAsia="zh-CN" w:bidi="ar"/>
        </w:rPr>
        <w:t>喀什市中亚商贸城6号楼2楼S10室</w:t>
      </w:r>
    </w:p>
    <w:p>
      <w:pPr>
        <w:keepNext w:val="0"/>
        <w:keepLines w:val="0"/>
        <w:pageBreakBefore w:val="0"/>
        <w:kinsoku/>
        <w:wordWrap/>
        <w:overflowPunct/>
        <w:topLinePunct w:val="0"/>
        <w:autoSpaceDE/>
        <w:autoSpaceDN/>
        <w:bidi w:val="0"/>
        <w:spacing w:line="380" w:lineRule="exact"/>
        <w:textAlignment w:val="auto"/>
        <w:outlineLvl w:val="9"/>
        <w:rPr>
          <w:rFonts w:hint="eastAsia" w:ascii="仿宋_GB2312" w:eastAsia="仿宋_GB2312"/>
          <w:color w:val="auto"/>
          <w:sz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_GB2312" w:eastAsia="仿宋_GB2312"/>
          <w:color w:val="auto"/>
          <w:sz w:val="24"/>
          <w:highlight w:val="none"/>
          <w:lang w:val="en-US" w:eastAsia="zh-CN"/>
        </w:rPr>
        <w:t>陈凯   15509988357</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_GB2312" w:eastAsia="仿宋_GB2312"/>
          <w:color w:val="auto"/>
          <w:sz w:val="24"/>
          <w:highlight w:val="none"/>
          <w:lang w:val="en-US" w:eastAsia="zh-CN"/>
        </w:rPr>
        <w:t xml:space="preserve">陈凯    </w:t>
      </w:r>
    </w:p>
    <w:p>
      <w:pPr>
        <w:keepNext w:val="0"/>
        <w:keepLines w:val="0"/>
        <w:pageBreakBefore w:val="0"/>
        <w:kinsoku/>
        <w:wordWrap/>
        <w:overflowPunct/>
        <w:topLinePunct w:val="0"/>
        <w:autoSpaceDE/>
        <w:autoSpaceDN/>
        <w:bidi w:val="0"/>
        <w:spacing w:line="380" w:lineRule="exac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pacing w:val="0"/>
          <w:w w:val="100"/>
          <w:kern w:val="0"/>
          <w:position w:val="0"/>
          <w:sz w:val="24"/>
          <w:szCs w:val="24"/>
          <w:highlight w:val="none"/>
          <w:lang w:val="en-US" w:eastAsia="zh-CN" w:bidi="ar"/>
        </w:rPr>
        <w:t>15509988357</w:t>
      </w:r>
    </w:p>
    <w:p/>
    <w:p>
      <w:pPr>
        <w:spacing w:line="360" w:lineRule="auto"/>
        <w:ind w:left="5240" w:leftChars="200" w:hanging="4800" w:hangingChars="2000"/>
        <w:rPr>
          <w:rFonts w:hint="eastAsia"/>
          <w:color w:val="FF0000"/>
          <w:sz w:val="24"/>
          <w:szCs w:val="21"/>
          <w:highlight w:val="none"/>
          <w:lang w:val="en-US" w:bidi="ar-SA"/>
        </w:rPr>
      </w:pPr>
      <w:r>
        <w:rPr>
          <w:rFonts w:hint="eastAsia"/>
          <w:color w:val="000000"/>
          <w:sz w:val="24"/>
          <w:szCs w:val="21"/>
          <w:lang w:val="en-US" w:bidi="ar-SA"/>
        </w:rPr>
        <w:t xml:space="preserve">                                    </w:t>
      </w:r>
      <w:r>
        <w:rPr>
          <w:rFonts w:hint="eastAsia"/>
          <w:color w:val="000000"/>
          <w:sz w:val="24"/>
          <w:szCs w:val="21"/>
          <w:highlight w:val="none"/>
          <w:lang w:val="en-US" w:bidi="ar-SA"/>
        </w:rPr>
        <w:t xml:space="preserve"> </w:t>
      </w:r>
      <w:r>
        <w:rPr>
          <w:rFonts w:hint="eastAsia"/>
          <w:color w:val="FF0000"/>
          <w:sz w:val="24"/>
          <w:szCs w:val="21"/>
          <w:highlight w:val="none"/>
          <w:lang w:val="en-US" w:bidi="ar-SA"/>
        </w:rPr>
        <w:t xml:space="preserve">    </w:t>
      </w:r>
    </w:p>
    <w:p>
      <w:pPr>
        <w:spacing w:line="360" w:lineRule="auto"/>
        <w:ind w:left="5240" w:leftChars="200" w:hanging="4800" w:hangingChars="2000"/>
        <w:rPr>
          <w:rFonts w:hint="eastAsia"/>
          <w:color w:val="FF0000"/>
          <w:sz w:val="24"/>
          <w:szCs w:val="21"/>
          <w:highlight w:val="none"/>
          <w:lang w:val="en-US" w:bidi="ar-SA"/>
        </w:rPr>
      </w:pPr>
    </w:p>
    <w:p>
      <w:pPr>
        <w:spacing w:line="360" w:lineRule="auto"/>
        <w:ind w:left="5240" w:leftChars="200" w:hanging="4800" w:hangingChars="2000"/>
        <w:rPr>
          <w:rFonts w:hint="eastAsia"/>
          <w:color w:val="FF0000"/>
          <w:sz w:val="24"/>
          <w:szCs w:val="21"/>
          <w:highlight w:val="none"/>
          <w:lang w:val="en-US" w:bidi="ar-SA"/>
        </w:rPr>
      </w:pPr>
    </w:p>
    <w:p>
      <w:pPr>
        <w:spacing w:line="360" w:lineRule="auto"/>
        <w:ind w:left="5240" w:leftChars="200" w:hanging="4800" w:hangingChars="2000"/>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pStyle w:val="2"/>
        <w:rPr>
          <w:rFonts w:hint="eastAsia"/>
          <w:color w:val="FF0000"/>
          <w:sz w:val="24"/>
          <w:szCs w:val="21"/>
          <w:highlight w:val="none"/>
          <w:lang w:val="en-US" w:bidi="ar-SA"/>
        </w:rPr>
      </w:pPr>
    </w:p>
    <w:p>
      <w:pPr>
        <w:spacing w:line="360" w:lineRule="auto"/>
        <w:ind w:left="5240" w:leftChars="200" w:hanging="4800" w:hangingChars="2000"/>
        <w:rPr>
          <w:rFonts w:hint="eastAsia"/>
          <w:color w:val="FF0000"/>
          <w:sz w:val="24"/>
          <w:szCs w:val="21"/>
          <w:highlight w:val="none"/>
          <w:lang w:val="en-US" w:bidi="ar-SA"/>
        </w:rPr>
      </w:pPr>
    </w:p>
    <w:p>
      <w:pPr>
        <w:spacing w:line="360" w:lineRule="auto"/>
        <w:ind w:left="5240" w:leftChars="200" w:hanging="4800" w:hangingChars="2000"/>
        <w:rPr>
          <w:rFonts w:cs="Times New Roman"/>
          <w:b/>
          <w:spacing w:val="1"/>
          <w:sz w:val="30"/>
          <w:szCs w:val="30"/>
          <w:lang w:val="en-US" w:bidi="ar-SA"/>
        </w:rPr>
      </w:pPr>
      <w:r>
        <w:rPr>
          <w:rFonts w:hint="eastAsia" w:cs="Times New Roman"/>
          <w:color w:val="0000FF"/>
          <w:sz w:val="24"/>
          <w:szCs w:val="24"/>
          <w:highlight w:val="none"/>
          <w:lang w:val="en-US" w:bidi="ar-SA"/>
        </w:rPr>
        <w:t xml:space="preserve">    </w:t>
      </w:r>
      <w:r>
        <w:rPr>
          <w:rFonts w:hint="eastAsia" w:cs="Times New Roman"/>
          <w:sz w:val="24"/>
          <w:szCs w:val="24"/>
          <w:highlight w:val="none"/>
          <w:lang w:val="en-US" w:bidi="ar-SA"/>
        </w:rPr>
        <w:t xml:space="preserve">        </w:t>
      </w:r>
      <w:r>
        <w:rPr>
          <w:rFonts w:hint="eastAsia" w:cs="Times New Roman"/>
          <w:sz w:val="24"/>
          <w:szCs w:val="24"/>
          <w:lang w:val="en-US" w:bidi="ar-SA"/>
        </w:rPr>
        <w:t xml:space="preserve">  </w:t>
      </w:r>
    </w:p>
    <w:p>
      <w:pPr>
        <w:kinsoku w:val="0"/>
        <w:overflowPunct w:val="0"/>
        <w:adjustRightInd w:val="0"/>
        <w:spacing w:line="500" w:lineRule="exact"/>
        <w:jc w:val="center"/>
        <w:rPr>
          <w:rFonts w:cs="Times New Roman"/>
          <w:b/>
          <w:spacing w:val="1"/>
          <w:sz w:val="30"/>
          <w:szCs w:val="30"/>
          <w:lang w:val="en-US" w:bidi="ar-SA"/>
        </w:rPr>
      </w:pPr>
      <w:r>
        <w:rPr>
          <w:rFonts w:hint="eastAsia" w:cs="Times New Roman"/>
          <w:b/>
          <w:spacing w:val="1"/>
          <w:sz w:val="30"/>
          <w:szCs w:val="30"/>
          <w:lang w:val="en-US" w:bidi="ar-SA"/>
        </w:rPr>
        <w:t>第一章</w:t>
      </w:r>
      <w:r>
        <w:rPr>
          <w:rFonts w:hint="eastAsia" w:cs="Times New Roman"/>
          <w:b/>
          <w:spacing w:val="1"/>
          <w:sz w:val="30"/>
          <w:szCs w:val="30"/>
          <w:lang w:val="en-US" w:bidi="ar-SA"/>
        </w:rPr>
        <w:tab/>
      </w:r>
      <w:r>
        <w:rPr>
          <w:rFonts w:hint="eastAsia" w:cs="Times New Roman"/>
          <w:b/>
          <w:spacing w:val="1"/>
          <w:sz w:val="30"/>
          <w:szCs w:val="30"/>
          <w:lang w:val="en-US" w:bidi="ar-SA"/>
        </w:rPr>
        <w:t>磋商须知前附表及磋商须知</w:t>
      </w:r>
    </w:p>
    <w:p>
      <w:pPr>
        <w:kinsoku w:val="0"/>
        <w:overflowPunct w:val="0"/>
        <w:adjustRightInd w:val="0"/>
        <w:rPr>
          <w:rFonts w:eastAsia="Times New Roman" w:cs="Times New Roman"/>
          <w:sz w:val="20"/>
          <w:szCs w:val="24"/>
          <w:lang w:val="en-US" w:bidi="ar-SA"/>
        </w:rPr>
      </w:pPr>
    </w:p>
    <w:p>
      <w:pPr>
        <w:kinsoku w:val="0"/>
        <w:overflowPunct w:val="0"/>
        <w:adjustRightInd w:val="0"/>
        <w:spacing w:before="13"/>
        <w:rPr>
          <w:rFonts w:eastAsia="Times New Roman" w:cs="Times New Roman"/>
          <w:sz w:val="13"/>
          <w:szCs w:val="24"/>
          <w:lang w:val="en-US" w:bidi="ar-SA"/>
        </w:rPr>
      </w:pPr>
    </w:p>
    <w:p>
      <w:pPr>
        <w:numPr>
          <w:ilvl w:val="0"/>
          <w:numId w:val="2"/>
        </w:numPr>
        <w:kinsoku w:val="0"/>
        <w:overflowPunct w:val="0"/>
        <w:adjustRightInd w:val="0"/>
        <w:spacing w:before="7"/>
        <w:ind w:left="398"/>
        <w:jc w:val="center"/>
        <w:outlineLvl w:val="1"/>
        <w:rPr>
          <w:rFonts w:eastAsia="Times New Roman" w:cs="Times New Roman"/>
          <w:b/>
          <w:sz w:val="30"/>
          <w:szCs w:val="24"/>
          <w:lang w:val="en-US" w:bidi="ar-SA"/>
        </w:rPr>
      </w:pPr>
      <w:r>
        <w:rPr>
          <w:rFonts w:hint="eastAsia" w:cs="Times New Roman"/>
          <w:b/>
          <w:sz w:val="30"/>
          <w:szCs w:val="24"/>
          <w:lang w:val="en-US" w:bidi="ar-SA"/>
        </w:rPr>
        <w:t>磋商须知前附表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142"/>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条款号</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条款名称</w:t>
            </w:r>
          </w:p>
        </w:tc>
        <w:tc>
          <w:tcPr>
            <w:tcW w:w="635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采购人</w:t>
            </w:r>
          </w:p>
        </w:tc>
        <w:tc>
          <w:tcPr>
            <w:tcW w:w="6357" w:type="dxa"/>
            <w:vAlign w:val="center"/>
          </w:tcPr>
          <w:p>
            <w:pPr>
              <w:keepNext w:val="0"/>
              <w:keepLines w:val="0"/>
              <w:suppressLineNumbers w:val="0"/>
              <w:spacing w:before="0" w:beforeAutospacing="0" w:after="0" w:afterAutospacing="0" w:line="400" w:lineRule="exact"/>
              <w:ind w:left="0" w:right="0"/>
              <w:rPr>
                <w:rFonts w:hint="eastAsia" w:eastAsia="宋体"/>
                <w:color w:val="000000"/>
                <w:sz w:val="24"/>
                <w:szCs w:val="21"/>
                <w:lang w:val="en-US" w:eastAsia="zh-CN" w:bidi="ar-SA"/>
              </w:rPr>
            </w:pPr>
            <w:r>
              <w:rPr>
                <w:rFonts w:hint="eastAsia"/>
                <w:color w:val="000000"/>
                <w:sz w:val="24"/>
                <w:szCs w:val="24"/>
                <w:lang w:val="en-US" w:bidi="ar-SA"/>
              </w:rPr>
              <w:t>名称：</w:t>
            </w:r>
            <w:r>
              <w:rPr>
                <w:rFonts w:hint="eastAsia"/>
                <w:color w:val="000000"/>
                <w:sz w:val="24"/>
                <w:szCs w:val="21"/>
                <w:lang w:val="en-US" w:eastAsia="zh-CN" w:bidi="ar-SA"/>
              </w:rPr>
              <w:t>伽师县交通运输局</w:t>
            </w:r>
          </w:p>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地址：</w:t>
            </w:r>
            <w:r>
              <w:rPr>
                <w:rFonts w:hint="eastAsia"/>
                <w:color w:val="000000"/>
                <w:sz w:val="24"/>
                <w:szCs w:val="24"/>
                <w:lang w:val="en-US" w:eastAsia="zh-CN" w:bidi="ar-SA"/>
              </w:rPr>
              <w:t>伽师县</w:t>
            </w:r>
          </w:p>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联系人：</w:t>
            </w:r>
            <w:r>
              <w:rPr>
                <w:rFonts w:hint="eastAsia"/>
                <w:color w:val="000000"/>
                <w:sz w:val="24"/>
                <w:szCs w:val="21"/>
                <w:lang w:val="en-US" w:eastAsia="zh-CN" w:bidi="ar-SA"/>
              </w:rPr>
              <w:t>王林</w:t>
            </w:r>
          </w:p>
          <w:p>
            <w:pPr>
              <w:keepNext w:val="0"/>
              <w:keepLines w:val="0"/>
              <w:suppressLineNumbers w:val="0"/>
              <w:spacing w:before="0" w:beforeAutospacing="0" w:after="0" w:afterAutospacing="0" w:line="400" w:lineRule="exact"/>
              <w:ind w:left="0" w:right="0"/>
              <w:rPr>
                <w:rFonts w:hint="default" w:hAnsi="Times New Roman" w:eastAsia="Times New Roman" w:cs="Times New Roman"/>
                <w:sz w:val="24"/>
                <w:szCs w:val="24"/>
                <w:lang w:val="en-US" w:bidi="ar-SA"/>
              </w:rPr>
            </w:pPr>
            <w:r>
              <w:rPr>
                <w:rFonts w:hint="eastAsia"/>
                <w:color w:val="000000"/>
                <w:sz w:val="24"/>
                <w:szCs w:val="24"/>
                <w:lang w:val="en-US" w:bidi="ar-SA"/>
              </w:rPr>
              <w:t>电话：</w:t>
            </w:r>
            <w:r>
              <w:rPr>
                <w:rFonts w:hint="eastAsia"/>
                <w:color w:val="000000"/>
                <w:sz w:val="24"/>
                <w:szCs w:val="24"/>
                <w:lang w:val="en-US" w:eastAsia="zh-CN" w:bidi="ar-SA"/>
              </w:rPr>
              <w:t>15209061540</w:t>
            </w:r>
            <w:r>
              <w:rPr>
                <w:rFonts w:hint="eastAsia"/>
                <w:color w:val="000000"/>
                <w:sz w:val="24"/>
                <w:szCs w:val="21"/>
                <w:lang w:val="en-US"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招标代理机构</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名称：</w:t>
            </w:r>
            <w:r>
              <w:rPr>
                <w:rFonts w:hint="eastAsia"/>
                <w:color w:val="000000"/>
                <w:sz w:val="24"/>
                <w:szCs w:val="24"/>
                <w:lang w:val="en-US" w:eastAsia="zh-CN" w:bidi="ar-SA"/>
              </w:rPr>
              <w:t>喀什西部鑫源工程项目管理有限公司</w:t>
            </w:r>
          </w:p>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地址：</w:t>
            </w:r>
            <w:r>
              <w:rPr>
                <w:rFonts w:hint="eastAsia"/>
                <w:color w:val="000000"/>
                <w:sz w:val="24"/>
                <w:szCs w:val="24"/>
                <w:lang w:val="en-US" w:eastAsia="zh-CN" w:bidi="ar-SA"/>
              </w:rPr>
              <w:t>喀什市中亚商贸城6号楼2楼S10室</w:t>
            </w:r>
            <w:r>
              <w:rPr>
                <w:rFonts w:hint="eastAsia"/>
                <w:color w:val="000000"/>
                <w:sz w:val="24"/>
                <w:szCs w:val="24"/>
                <w:lang w:val="en-US" w:bidi="ar-SA"/>
              </w:rPr>
              <w:t xml:space="preserve"> </w:t>
            </w:r>
          </w:p>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联系人：</w:t>
            </w:r>
            <w:r>
              <w:rPr>
                <w:rFonts w:hint="eastAsia"/>
                <w:color w:val="000000"/>
                <w:sz w:val="24"/>
                <w:szCs w:val="24"/>
                <w:lang w:val="en-US" w:eastAsia="zh-CN" w:bidi="ar-SA"/>
              </w:rPr>
              <w:t>陈凯</w:t>
            </w:r>
          </w:p>
          <w:p>
            <w:pPr>
              <w:keepNext w:val="0"/>
              <w:keepLines w:val="0"/>
              <w:suppressLineNumbers w:val="0"/>
              <w:adjustRightInd w:val="0"/>
              <w:spacing w:before="0" w:beforeAutospacing="0" w:after="0" w:afterAutospacing="0" w:line="400" w:lineRule="exact"/>
              <w:ind w:left="0" w:right="0"/>
              <w:rPr>
                <w:rFonts w:hint="eastAsia" w:hAnsi="Times New Roman" w:eastAsia="宋体" w:cs="Times New Roman"/>
                <w:sz w:val="24"/>
                <w:szCs w:val="24"/>
                <w:lang w:val="en-US" w:eastAsia="zh-CN" w:bidi="ar-SA"/>
              </w:rPr>
            </w:pPr>
            <w:r>
              <w:rPr>
                <w:rFonts w:hint="eastAsia"/>
                <w:color w:val="000000"/>
                <w:sz w:val="24"/>
                <w:szCs w:val="24"/>
                <w:lang w:val="en-US" w:bidi="ar-SA"/>
              </w:rPr>
              <w:t>电话：</w:t>
            </w:r>
            <w:r>
              <w:rPr>
                <w:rFonts w:hint="eastAsia"/>
                <w:color w:val="000000"/>
                <w:sz w:val="24"/>
                <w:szCs w:val="24"/>
                <w:lang w:val="en-US" w:eastAsia="zh-CN" w:bidi="ar-SA"/>
              </w:rPr>
              <w:t>15509988357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项目名称</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eastAsia="zh-CN" w:bidi="ar-SA"/>
              </w:rPr>
              <w:t>伽师县英买里乡阿亚格英买里（11）村产业园道路建设项目</w:t>
            </w:r>
            <w:r>
              <w:rPr>
                <w:rFonts w:hint="eastAsia" w:cs="Times New Roman"/>
                <w:sz w:val="24"/>
                <w:szCs w:val="24"/>
                <w:lang w:val="en-US"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建设地点</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sz w:val="24"/>
                <w:szCs w:val="24"/>
                <w:lang w:val="en-US" w:bidi="ar-SA"/>
              </w:rPr>
            </w:pPr>
            <w:r>
              <w:rPr>
                <w:rFonts w:hint="eastAsia" w:cs="Times New Roman"/>
                <w:sz w:val="24"/>
                <w:szCs w:val="24"/>
                <w:lang w:val="en-US" w:eastAsia="zh-CN" w:bidi="ar-SA"/>
              </w:rPr>
              <w:t>英买里乡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资金来源</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color w:val="0000FF"/>
                <w:sz w:val="24"/>
                <w:szCs w:val="24"/>
                <w:highlight w:val="yellow"/>
                <w:u w:val="none"/>
                <w:lang w:val="en-US" w:bidi="ar-SA"/>
              </w:rPr>
            </w:pPr>
            <w:r>
              <w:rPr>
                <w:rStyle w:val="25"/>
                <w:rFonts w:hint="eastAsia"/>
                <w:color w:val="auto"/>
                <w:sz w:val="24"/>
                <w:szCs w:val="24"/>
                <w:u w:val="none"/>
                <w:lang w:val="en-US" w:eastAsia="zh-CN"/>
              </w:rPr>
              <w:t>衔接资金及其他资金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6</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出资比例</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default" w:cs="Times New Roman"/>
                <w:sz w:val="24"/>
                <w:szCs w:val="24"/>
                <w:lang w:val="en-US"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7</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资金落实情况</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8</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eastAsia="Times New Roman" w:cs="Times New Roman"/>
                <w:sz w:val="24"/>
                <w:szCs w:val="24"/>
                <w:lang w:val="en-US" w:bidi="ar-SA"/>
              </w:rPr>
            </w:pPr>
            <w:r>
              <w:rPr>
                <w:rFonts w:hint="eastAsia" w:cs="Times New Roman"/>
                <w:sz w:val="24"/>
                <w:szCs w:val="24"/>
                <w:lang w:val="en-US" w:bidi="ar-SA"/>
              </w:rPr>
              <w:t>采购预算、内容</w:t>
            </w:r>
          </w:p>
          <w:p>
            <w:pPr>
              <w:keepNext w:val="0"/>
              <w:keepLines w:val="0"/>
              <w:suppressLineNumbers w:val="0"/>
              <w:adjustRightInd w:val="0"/>
              <w:spacing w:before="0" w:beforeAutospacing="0" w:after="0" w:afterAutospacing="0" w:line="400" w:lineRule="exact"/>
              <w:ind w:left="0" w:right="0"/>
              <w:jc w:val="center"/>
              <w:rPr>
                <w:rFonts w:hint="default" w:eastAsia="Times New Roman" w:cs="Times New Roman"/>
                <w:sz w:val="24"/>
                <w:szCs w:val="24"/>
                <w:lang w:val="en-US" w:bidi="ar-SA"/>
              </w:rPr>
            </w:pPr>
            <w:r>
              <w:rPr>
                <w:rFonts w:hint="eastAsia" w:cs="Times New Roman"/>
                <w:sz w:val="24"/>
                <w:szCs w:val="24"/>
                <w:lang w:val="en-US" w:bidi="ar-SA"/>
              </w:rPr>
              <w:t>及范围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color w:val="auto"/>
                <w:sz w:val="24"/>
                <w:szCs w:val="24"/>
                <w:lang w:val="en-US" w:bidi="ar-SA"/>
              </w:rPr>
            </w:pPr>
            <w:r>
              <w:rPr>
                <w:rFonts w:hint="eastAsia" w:cs="Times New Roman"/>
                <w:color w:val="auto"/>
                <w:sz w:val="24"/>
                <w:szCs w:val="24"/>
                <w:lang w:val="en-US" w:bidi="ar-SA"/>
              </w:rPr>
              <w:t>采购预算：</w:t>
            </w:r>
            <w:r>
              <w:rPr>
                <w:rFonts w:hint="eastAsia" w:cs="Times New Roman"/>
                <w:color w:val="auto"/>
                <w:sz w:val="24"/>
                <w:szCs w:val="24"/>
                <w:lang w:val="en-US" w:eastAsia="zh-CN" w:bidi="ar-SA"/>
              </w:rPr>
              <w:t>3900000.00</w:t>
            </w:r>
            <w:r>
              <w:rPr>
                <w:rFonts w:hint="default" w:cs="Times New Roman"/>
                <w:color w:val="auto"/>
                <w:sz w:val="24"/>
                <w:szCs w:val="24"/>
                <w:lang w:val="en-US" w:bidi="ar-SA"/>
              </w:rPr>
              <w:t>元</w:t>
            </w:r>
            <w:r>
              <w:rPr>
                <w:rFonts w:hint="eastAsia" w:cs="Times New Roman"/>
                <w:color w:val="auto"/>
                <w:sz w:val="24"/>
                <w:szCs w:val="24"/>
                <w:lang w:val="en-US" w:bidi="ar-SA"/>
              </w:rPr>
              <w:t>。</w:t>
            </w:r>
          </w:p>
          <w:p>
            <w:pPr>
              <w:keepNext w:val="0"/>
              <w:keepLines w:val="0"/>
              <w:suppressLineNumbers w:val="0"/>
              <w:adjustRightInd w:val="0"/>
              <w:spacing w:before="0" w:beforeAutospacing="0" w:after="0" w:afterAutospacing="0" w:line="400" w:lineRule="exact"/>
              <w:ind w:left="0" w:right="0"/>
              <w:rPr>
                <w:rFonts w:hint="default" w:cs="Times New Roman"/>
                <w:color w:val="auto"/>
                <w:sz w:val="24"/>
                <w:szCs w:val="24"/>
                <w:lang w:val="en-US" w:bidi="ar-SA"/>
              </w:rPr>
            </w:pPr>
            <w:r>
              <w:rPr>
                <w:rFonts w:hint="eastAsia" w:cs="Times New Roman"/>
                <w:color w:val="auto"/>
                <w:sz w:val="24"/>
                <w:szCs w:val="24"/>
                <w:lang w:val="en-US" w:bidi="ar-SA"/>
              </w:rPr>
              <w:t>最高投标限价：3668311.75</w:t>
            </w:r>
            <w:r>
              <w:rPr>
                <w:rFonts w:hint="default" w:cs="Times New Roman"/>
                <w:color w:val="auto"/>
                <w:sz w:val="24"/>
                <w:szCs w:val="24"/>
                <w:lang w:val="en-US" w:bidi="ar-SA"/>
              </w:rPr>
              <w:t>元</w:t>
            </w:r>
            <w:r>
              <w:rPr>
                <w:rFonts w:hint="eastAsia" w:cs="Times New Roman"/>
                <w:color w:val="auto"/>
                <w:sz w:val="24"/>
                <w:szCs w:val="24"/>
                <w:lang w:val="en-US" w:bidi="ar-SA"/>
              </w:rPr>
              <w:t>，投标报价不得高于最高投标限价，否则响应文件将被拒绝。</w:t>
            </w:r>
          </w:p>
          <w:p>
            <w:pPr>
              <w:keepNext w:val="0"/>
              <w:keepLines w:val="0"/>
              <w:suppressLineNumbers w:val="0"/>
              <w:adjustRightInd w:val="0"/>
              <w:spacing w:before="0" w:beforeAutospacing="0" w:after="0" w:afterAutospacing="0" w:line="400" w:lineRule="exact"/>
              <w:ind w:left="0" w:right="0"/>
              <w:rPr>
                <w:rFonts w:hint="eastAsia" w:eastAsia="宋体" w:cs="Times New Roman"/>
                <w:color w:val="auto"/>
                <w:sz w:val="24"/>
                <w:szCs w:val="24"/>
                <w:lang w:val="en-US" w:eastAsia="zh-CN" w:bidi="ar-SA"/>
              </w:rPr>
            </w:pPr>
            <w:r>
              <w:rPr>
                <w:rFonts w:hint="eastAsia" w:ascii="宋体" w:hAnsi="宋体" w:eastAsia="宋体" w:cs="Times New Roman"/>
                <w:color w:val="auto"/>
                <w:sz w:val="24"/>
                <w:szCs w:val="21"/>
                <w:highlight w:val="none"/>
                <w:lang w:val="en-US" w:bidi="ar-SA"/>
              </w:rPr>
              <w:t>建设规模：新建道路5.697公里</w:t>
            </w:r>
            <w:r>
              <w:rPr>
                <w:rFonts w:hint="eastAsia" w:cs="Times New Roman"/>
                <w:color w:val="auto"/>
                <w:sz w:val="24"/>
                <w:szCs w:val="21"/>
                <w:highlight w:val="none"/>
                <w:lang w:val="en-US" w:eastAsia="zh-CN" w:bidi="ar-SA"/>
              </w:rPr>
              <w:t>。</w:t>
            </w:r>
            <w:r>
              <w:rPr>
                <w:rFonts w:hint="eastAsia" w:cs="Times New Roman"/>
                <w:color w:val="auto"/>
                <w:sz w:val="24"/>
                <w:szCs w:val="24"/>
                <w:lang w:val="en-US" w:eastAsia="zh-CN" w:bidi="ar-SA"/>
              </w:rPr>
              <w:t xml:space="preserve"> </w:t>
            </w:r>
          </w:p>
          <w:p>
            <w:pPr>
              <w:keepNext w:val="0"/>
              <w:keepLines w:val="0"/>
              <w:suppressLineNumbers w:val="0"/>
              <w:adjustRightInd w:val="0"/>
              <w:spacing w:before="0" w:beforeAutospacing="0" w:after="0" w:afterAutospacing="0" w:line="400" w:lineRule="exact"/>
              <w:ind w:left="0" w:right="0"/>
              <w:rPr>
                <w:rFonts w:hint="default" w:eastAsia="宋体" w:cs="Times New Roman"/>
                <w:sz w:val="24"/>
                <w:szCs w:val="24"/>
                <w:lang w:val="en-US" w:eastAsia="zh-CN" w:bidi="ar-SA"/>
              </w:rPr>
            </w:pPr>
            <w:r>
              <w:rPr>
                <w:rFonts w:hint="eastAsia" w:cs="Times New Roman"/>
                <w:color w:val="auto"/>
                <w:sz w:val="24"/>
                <w:szCs w:val="24"/>
                <w:lang w:val="en-US" w:bidi="ar-SA"/>
              </w:rPr>
              <w:t>采购范围：新建道路5.697公里</w:t>
            </w:r>
            <w:r>
              <w:rPr>
                <w:rFonts w:hint="eastAsia" w:cs="Times New Roman"/>
                <w:color w:val="auto"/>
                <w:sz w:val="24"/>
                <w:szCs w:val="24"/>
                <w:lang w:val="en-US" w:eastAsia="zh-CN" w:bidi="ar-SA"/>
              </w:rPr>
              <w:t>，本工程工程量清单及施工图图纸内全部工作内容。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9</w:t>
            </w:r>
          </w:p>
        </w:tc>
        <w:tc>
          <w:tcPr>
            <w:tcW w:w="2142" w:type="dxa"/>
            <w:vAlign w:val="center"/>
          </w:tcPr>
          <w:p>
            <w:pPr>
              <w:keepNext w:val="0"/>
              <w:keepLines w:val="0"/>
              <w:suppressLineNumbers w:val="0"/>
              <w:adjustRightInd w:val="0"/>
              <w:spacing w:before="0" w:beforeAutospacing="0" w:after="0" w:afterAutospacing="0" w:line="400" w:lineRule="exact"/>
              <w:ind w:left="0" w:right="0" w:firstLine="720" w:firstLineChars="300"/>
              <w:jc w:val="both"/>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工期</w:t>
            </w:r>
          </w:p>
        </w:tc>
        <w:tc>
          <w:tcPr>
            <w:tcW w:w="6357" w:type="dxa"/>
            <w:vAlign w:val="bottom"/>
          </w:tcPr>
          <w:p>
            <w:pPr>
              <w:keepNext w:val="0"/>
              <w:keepLines w:val="0"/>
              <w:suppressLineNumbers w:val="0"/>
              <w:adjustRightInd w:val="0"/>
              <w:spacing w:before="109" w:beforeAutospacing="0" w:after="0" w:afterAutospacing="0" w:line="400" w:lineRule="exact"/>
              <w:ind w:left="0" w:right="0"/>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计划工期：施工工期</w:t>
            </w:r>
            <w:r>
              <w:rPr>
                <w:rFonts w:hint="eastAsia" w:ascii="Times New Roman" w:hAnsi="Times New Roman" w:cs="Times New Roman"/>
                <w:color w:val="auto"/>
                <w:sz w:val="24"/>
                <w:szCs w:val="24"/>
                <w:highlight w:val="none"/>
                <w:lang w:val="en-US" w:eastAsia="zh-CN" w:bidi="ar-SA"/>
              </w:rPr>
              <w:t>90天</w:t>
            </w:r>
            <w:r>
              <w:rPr>
                <w:rFonts w:hint="default" w:ascii="Times New Roman" w:hAnsi="Times New Roman" w:cs="Times New Roman"/>
                <w:color w:val="auto"/>
                <w:sz w:val="24"/>
                <w:szCs w:val="24"/>
                <w:highlight w:val="none"/>
                <w:lang w:val="en-US" w:bidi="ar-SA"/>
              </w:rPr>
              <w:t>。</w:t>
            </w:r>
          </w:p>
          <w:p>
            <w:pPr>
              <w:keepNext w:val="0"/>
              <w:keepLines w:val="0"/>
              <w:suppressLineNumbers w:val="0"/>
              <w:adjustRightInd w:val="0"/>
              <w:spacing w:before="109" w:beforeAutospacing="0" w:after="0" w:afterAutospacing="0" w:line="400" w:lineRule="exact"/>
              <w:ind w:left="0" w:right="0"/>
              <w:rPr>
                <w:rFonts w:hint="default" w:ascii="Times New Roman" w:hAnsi="Times New Roman" w:cs="Times New Roman"/>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计划开工日期： 20</w:t>
            </w:r>
            <w:r>
              <w:rPr>
                <w:rFonts w:hint="eastAsia" w:ascii="Times New Roman" w:hAnsi="Times New Roman" w:cs="Times New Roman"/>
                <w:b/>
                <w:bCs/>
                <w:color w:val="auto"/>
                <w:sz w:val="24"/>
                <w:szCs w:val="24"/>
                <w:highlight w:val="none"/>
                <w:lang w:val="en-US" w:eastAsia="zh-CN" w:bidi="ar-SA"/>
              </w:rPr>
              <w:t>23</w:t>
            </w:r>
            <w:r>
              <w:rPr>
                <w:rFonts w:hint="eastAsia" w:ascii="Times New Roman" w:hAnsi="Times New Roman" w:cs="Times New Roman"/>
                <w:b/>
                <w:bCs/>
                <w:color w:val="auto"/>
                <w:sz w:val="24"/>
                <w:szCs w:val="24"/>
                <w:highlight w:val="none"/>
                <w:lang w:val="en-US" w:bidi="ar-SA"/>
              </w:rPr>
              <w:t>年</w:t>
            </w:r>
            <w:r>
              <w:rPr>
                <w:rFonts w:hint="eastAsia" w:ascii="Times New Roman" w:hAnsi="Times New Roman" w:cs="Times New Roman"/>
                <w:b/>
                <w:bCs/>
                <w:color w:val="auto"/>
                <w:sz w:val="24"/>
                <w:szCs w:val="24"/>
                <w:highlight w:val="none"/>
                <w:lang w:val="en-US" w:eastAsia="zh-CN" w:bidi="ar-SA"/>
              </w:rPr>
              <w:t>05</w:t>
            </w:r>
            <w:r>
              <w:rPr>
                <w:rFonts w:hint="eastAsia" w:ascii="Times New Roman" w:hAnsi="Times New Roman" w:cs="Times New Roman"/>
                <w:b/>
                <w:bCs/>
                <w:color w:val="auto"/>
                <w:sz w:val="24"/>
                <w:szCs w:val="24"/>
                <w:highlight w:val="none"/>
                <w:lang w:val="en-US" w:bidi="ar-SA"/>
              </w:rPr>
              <w:t>月</w:t>
            </w:r>
            <w:r>
              <w:rPr>
                <w:rFonts w:hint="eastAsia" w:ascii="Times New Roman" w:hAnsi="Times New Roman" w:cs="Times New Roman"/>
                <w:b/>
                <w:bCs/>
                <w:color w:val="auto"/>
                <w:sz w:val="24"/>
                <w:szCs w:val="24"/>
                <w:highlight w:val="none"/>
                <w:lang w:val="en-US" w:eastAsia="zh-CN" w:bidi="ar-SA"/>
              </w:rPr>
              <w:t>18</w:t>
            </w:r>
            <w:r>
              <w:rPr>
                <w:rFonts w:hint="eastAsia" w:ascii="Times New Roman" w:hAnsi="Times New Roman" w:cs="Times New Roman"/>
                <w:b/>
                <w:bCs/>
                <w:color w:val="auto"/>
                <w:sz w:val="24"/>
                <w:szCs w:val="24"/>
                <w:highlight w:val="none"/>
                <w:lang w:val="en-US" w:bidi="ar-SA"/>
              </w:rPr>
              <w:t>日</w:t>
            </w:r>
          </w:p>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ascii="Times New Roman" w:hAnsi="Times New Roman" w:cs="Times New Roman"/>
                <w:b/>
                <w:bCs/>
                <w:color w:val="auto"/>
                <w:sz w:val="24"/>
                <w:szCs w:val="24"/>
                <w:highlight w:val="none"/>
                <w:lang w:val="en-US" w:bidi="ar-SA"/>
              </w:rPr>
              <w:t>计划交工日期： 20</w:t>
            </w:r>
            <w:r>
              <w:rPr>
                <w:rFonts w:hint="eastAsia" w:ascii="Times New Roman" w:hAnsi="Times New Roman" w:cs="Times New Roman"/>
                <w:b/>
                <w:bCs/>
                <w:color w:val="auto"/>
                <w:sz w:val="24"/>
                <w:szCs w:val="24"/>
                <w:highlight w:val="none"/>
                <w:lang w:val="en-US" w:eastAsia="zh-CN" w:bidi="ar-SA"/>
              </w:rPr>
              <w:t>23</w:t>
            </w:r>
            <w:r>
              <w:rPr>
                <w:rFonts w:hint="eastAsia" w:ascii="Times New Roman" w:hAnsi="Times New Roman" w:cs="Times New Roman"/>
                <w:b/>
                <w:bCs/>
                <w:color w:val="auto"/>
                <w:sz w:val="24"/>
                <w:szCs w:val="24"/>
                <w:highlight w:val="none"/>
                <w:lang w:val="en-US" w:bidi="ar-SA"/>
              </w:rPr>
              <w:t>年</w:t>
            </w:r>
            <w:r>
              <w:rPr>
                <w:rFonts w:hint="eastAsia" w:ascii="Times New Roman" w:hAnsi="Times New Roman" w:cs="Times New Roman"/>
                <w:b/>
                <w:bCs/>
                <w:color w:val="auto"/>
                <w:sz w:val="24"/>
                <w:szCs w:val="24"/>
                <w:highlight w:val="none"/>
                <w:lang w:val="en-US" w:eastAsia="zh-CN" w:bidi="ar-SA"/>
              </w:rPr>
              <w:t>08</w:t>
            </w:r>
            <w:r>
              <w:rPr>
                <w:rFonts w:hint="eastAsia" w:ascii="Times New Roman" w:hAnsi="Times New Roman" w:cs="Times New Roman"/>
                <w:b/>
                <w:bCs/>
                <w:color w:val="auto"/>
                <w:sz w:val="24"/>
                <w:szCs w:val="24"/>
                <w:highlight w:val="none"/>
                <w:lang w:val="en-US" w:bidi="ar-SA"/>
              </w:rPr>
              <w:t>月</w:t>
            </w:r>
            <w:r>
              <w:rPr>
                <w:rFonts w:hint="eastAsia" w:ascii="Times New Roman" w:hAnsi="Times New Roman" w:cs="Times New Roman"/>
                <w:b/>
                <w:bCs/>
                <w:color w:val="auto"/>
                <w:sz w:val="24"/>
                <w:szCs w:val="24"/>
                <w:highlight w:val="none"/>
                <w:lang w:val="en-US" w:eastAsia="zh-CN" w:bidi="ar-SA"/>
              </w:rPr>
              <w:t>16</w:t>
            </w:r>
            <w:r>
              <w:rPr>
                <w:rFonts w:hint="eastAsia" w:ascii="Times New Roman" w:hAnsi="Times New Roman" w:cs="Times New Roman"/>
                <w:b/>
                <w:bCs/>
                <w:color w:val="auto"/>
                <w:sz w:val="24"/>
                <w:szCs w:val="24"/>
                <w:highlight w:val="none"/>
                <w:lang w:val="en-US"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质量要求</w:t>
            </w:r>
          </w:p>
        </w:tc>
        <w:tc>
          <w:tcPr>
            <w:tcW w:w="6357" w:type="dxa"/>
            <w:vAlign w:val="bottom"/>
          </w:tcPr>
          <w:p>
            <w:pPr>
              <w:keepNext w:val="0"/>
              <w:keepLines w:val="0"/>
              <w:suppressLineNumbers w:val="0"/>
              <w:tabs>
                <w:tab w:val="left" w:pos="4112"/>
              </w:tabs>
              <w:adjustRightInd w:val="0"/>
              <w:spacing w:before="110" w:beforeAutospacing="0" w:after="0" w:afterAutospacing="0" w:line="400" w:lineRule="exact"/>
              <w:ind w:left="0" w:right="0"/>
              <w:rPr>
                <w:rFonts w:hint="default" w:ascii="Times New Roman" w:hAnsi="Times New Roman" w:cs="Times New Roman"/>
                <w:sz w:val="24"/>
                <w:szCs w:val="24"/>
                <w:u w:val="single"/>
                <w:lang w:val="en-US" w:bidi="ar-SA"/>
              </w:rPr>
            </w:pPr>
            <w:r>
              <w:rPr>
                <w:rFonts w:hint="eastAsia" w:ascii="Times New Roman" w:hAnsi="Times New Roman" w:cs="Times New Roman"/>
                <w:sz w:val="24"/>
                <w:szCs w:val="24"/>
                <w:lang w:val="en-US" w:bidi="ar-SA"/>
              </w:rPr>
              <w:t>标段工程交工验收的质量评定：</w:t>
            </w:r>
            <w:r>
              <w:rPr>
                <w:rFonts w:hint="eastAsia" w:ascii="Times New Roman" w:hAnsi="Times New Roman" w:cs="Times New Roman"/>
                <w:sz w:val="24"/>
                <w:szCs w:val="24"/>
                <w:u w:val="single"/>
                <w:lang w:val="en-US" w:bidi="ar-SA"/>
              </w:rPr>
              <w:t xml:space="preserve"> 合格。</w:t>
            </w:r>
          </w:p>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ascii="Times New Roman" w:hAnsi="Times New Roman" w:cs="Times New Roman"/>
                <w:sz w:val="24"/>
                <w:szCs w:val="24"/>
                <w:lang w:val="en-US" w:bidi="ar-SA"/>
              </w:rPr>
              <w:t>竣工验收的质量评定：</w:t>
            </w:r>
            <w:r>
              <w:rPr>
                <w:rFonts w:hint="eastAsia" w:ascii="Times New Roman" w:hAnsi="Times New Roman" w:cs="Times New Roman"/>
                <w:sz w:val="24"/>
                <w:szCs w:val="24"/>
                <w:u w:val="single"/>
                <w:lang w:val="en-US" w:bidi="ar-SA"/>
              </w:rPr>
              <w:t>合格</w:t>
            </w:r>
            <w:r>
              <w:rPr>
                <w:rFonts w:hint="eastAsia" w:ascii="Times New Roman" w:hAnsi="Times New Roman" w:cs="Times New Roman"/>
                <w:sz w:val="24"/>
                <w:szCs w:val="24"/>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eastAsia" w:cs="Times New Roman"/>
                <w:sz w:val="24"/>
                <w:szCs w:val="24"/>
                <w:lang w:val="en-US" w:bidi="ar-SA"/>
              </w:rPr>
              <w:t>11</w:t>
            </w:r>
          </w:p>
        </w:tc>
        <w:tc>
          <w:tcPr>
            <w:tcW w:w="2142" w:type="dxa"/>
            <w:vAlign w:val="center"/>
          </w:tcPr>
          <w:p>
            <w:pPr>
              <w:pStyle w:val="22"/>
              <w:keepNext w:val="0"/>
              <w:keepLines w:val="0"/>
              <w:suppressLineNumbers w:val="0"/>
              <w:spacing w:before="1" w:beforeAutospacing="0" w:after="0" w:afterAutospacing="0"/>
              <w:ind w:left="0" w:right="0" w:firstLine="480" w:firstLineChars="200"/>
              <w:jc w:val="both"/>
              <w:rPr>
                <w:rFonts w:hint="default"/>
                <w:sz w:val="24"/>
                <w:szCs w:val="24"/>
                <w:lang w:val="en-US" w:bidi="ar-SA"/>
              </w:rPr>
            </w:pPr>
            <w:r>
              <w:rPr>
                <w:rFonts w:hint="eastAsia"/>
                <w:sz w:val="24"/>
                <w:szCs w:val="24"/>
              </w:rPr>
              <w:t>安全目标</w:t>
            </w:r>
          </w:p>
        </w:tc>
        <w:tc>
          <w:tcPr>
            <w:tcW w:w="6357" w:type="dxa"/>
            <w:vAlign w:val="center"/>
          </w:tcPr>
          <w:p>
            <w:pPr>
              <w:pStyle w:val="22"/>
              <w:keepNext w:val="0"/>
              <w:keepLines w:val="0"/>
              <w:suppressLineNumbers w:val="0"/>
              <w:spacing w:before="3" w:beforeAutospacing="0" w:after="0" w:afterAutospacing="0" w:line="398" w:lineRule="exact"/>
              <w:ind w:left="0" w:right="97"/>
              <w:jc w:val="both"/>
              <w:rPr>
                <w:rFonts w:hint="default"/>
                <w:sz w:val="24"/>
                <w:szCs w:val="24"/>
                <w:lang w:val="en-US" w:bidi="ar-SA"/>
              </w:rPr>
            </w:pPr>
            <w:r>
              <w:rPr>
                <w:rFonts w:hint="eastAsia"/>
                <w:sz w:val="24"/>
                <w:szCs w:val="24"/>
              </w:rPr>
              <w:t>各类生产安全责任事故死亡人数为零，不发生一般火灾事故。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付款方式</w:t>
            </w:r>
          </w:p>
        </w:tc>
        <w:tc>
          <w:tcPr>
            <w:tcW w:w="6357" w:type="dxa"/>
            <w:vAlign w:val="bottom"/>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开工预付款金额：</w:t>
            </w:r>
            <w:r>
              <w:rPr>
                <w:rFonts w:hint="eastAsia" w:ascii="Times New Roman" w:hAnsi="Times New Roman" w:cs="Times New Roman"/>
                <w:color w:val="auto"/>
                <w:sz w:val="24"/>
                <w:szCs w:val="24"/>
                <w:highlight w:val="none"/>
                <w:u w:val="single"/>
                <w:lang w:val="en-US" w:eastAsia="zh-CN" w:bidi="ar-SA"/>
              </w:rPr>
              <w:t>30</w:t>
            </w:r>
            <w:r>
              <w:rPr>
                <w:rFonts w:hint="eastAsia" w:ascii="Times New Roman" w:hAnsi="Times New Roman" w:cs="Times New Roman"/>
                <w:color w:val="auto"/>
                <w:sz w:val="24"/>
                <w:szCs w:val="24"/>
                <w:highlight w:val="none"/>
                <w:u w:val="single"/>
                <w:lang w:val="en-US" w:bidi="ar-SA"/>
              </w:rPr>
              <w:t xml:space="preserve"> %</w:t>
            </w:r>
            <w:r>
              <w:rPr>
                <w:rFonts w:hint="eastAsia" w:ascii="Times New Roman" w:hAnsi="Times New Roman" w:cs="Times New Roman"/>
                <w:color w:val="auto"/>
                <w:sz w:val="24"/>
                <w:szCs w:val="24"/>
                <w:highlight w:val="none"/>
                <w:lang w:val="en-US" w:bidi="ar-SA"/>
              </w:rPr>
              <w:t>签约合同价；</w:t>
            </w:r>
          </w:p>
          <w:p>
            <w:pPr>
              <w:keepNext w:val="0"/>
              <w:keepLines w:val="0"/>
              <w:suppressLineNumbers w:val="0"/>
              <w:adjustRightInd w:val="0"/>
              <w:spacing w:before="0" w:beforeAutospacing="0" w:after="0" w:afterAutospacing="0" w:line="400" w:lineRule="exact"/>
              <w:ind w:left="0" w:right="0"/>
              <w:rPr>
                <w:rFonts w:hint="default"/>
                <w:sz w:val="24"/>
                <w:szCs w:val="24"/>
                <w:lang w:val="en-US" w:bidi="ar-SA"/>
              </w:rPr>
            </w:pPr>
            <w:r>
              <w:rPr>
                <w:rFonts w:hint="eastAsia" w:ascii="Times New Roman" w:hAnsi="Times New Roman" w:cs="Times New Roman"/>
                <w:color w:val="auto"/>
                <w:sz w:val="24"/>
                <w:szCs w:val="24"/>
                <w:highlight w:val="none"/>
                <w:lang w:val="en-US" w:bidi="ar-SA"/>
              </w:rPr>
              <w:t>质量保证金限额</w:t>
            </w:r>
            <w:r>
              <w:rPr>
                <w:rFonts w:hint="eastAsia" w:ascii="Times New Roman" w:hAnsi="Times New Roman" w:cs="Times New Roman"/>
                <w:color w:val="auto"/>
                <w:sz w:val="24"/>
                <w:szCs w:val="24"/>
                <w:highlight w:val="none"/>
                <w:u w:val="none"/>
                <w:lang w:val="en-US" w:bidi="ar-SA"/>
              </w:rPr>
              <w:t>：</w:t>
            </w:r>
            <w:r>
              <w:rPr>
                <w:rFonts w:hint="eastAsia" w:ascii="Times New Roman" w:hAnsi="Times New Roman" w:cs="Times New Roman"/>
                <w:color w:val="auto"/>
                <w:sz w:val="24"/>
                <w:szCs w:val="24"/>
                <w:highlight w:val="none"/>
                <w:u w:val="single"/>
                <w:lang w:val="en-US" w:bidi="ar-SA"/>
              </w:rPr>
              <w:t>3%</w:t>
            </w:r>
            <w:r>
              <w:rPr>
                <w:rFonts w:hint="eastAsia" w:ascii="Times New Roman" w:hAnsi="Times New Roman" w:cs="Times New Roman"/>
                <w:color w:val="auto"/>
                <w:sz w:val="24"/>
                <w:szCs w:val="24"/>
                <w:highlight w:val="none"/>
                <w:lang w:val="en-US" w:bidi="ar-SA"/>
              </w:rPr>
              <w:t>合同价格。最终付款方式按中标后合同约定。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供应商资质条件、能力</w:t>
            </w:r>
          </w:p>
        </w:tc>
        <w:tc>
          <w:tcPr>
            <w:tcW w:w="6357"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380" w:lineRule="exact"/>
              <w:ind w:left="0" w:right="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（1）符合《中华人民共和国政府采购法》第二十二条相关规定； </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（2）合格有效的法人或非法人组织营业执照；</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（3）法定代表人资格证明或法定代表人授权委托书及身份证；</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（4）近六个月完税证明（零申报需加盖税务机关鲜章）及近六个月本单位社保缴纳证明（及个人明细）、2022年财务审计报告（成立不满一年的提供开标前一个月内有效银行资信证明）；</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（6）供应商及其法人参加本次采购活动前三年内，在经营活动中没有重大违法记录的声明及反商业受贿承诺。</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投标人须具备：供应商须具备公路工程施工总承包叁级及以上资质，具有合格有效的安全生产许可证，区外企业进疆信息报送册；项目经理须具备公路工程专业二级及以上注册建造师执业资格，持有有效的交通运输主管部门颁发的安全生产考核合格证书(B 类),且未担任其他在建工程项目的项目经理；</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right="0" w:rightChars="0"/>
              <w:textAlignment w:val="auto"/>
              <w:outlineLvl w:val="9"/>
              <w:rPr>
                <w:rFonts w:hint="default" w:cs="Times New Roman"/>
                <w:color w:val="FF0000"/>
                <w:sz w:val="24"/>
                <w:szCs w:val="24"/>
                <w:lang w:val="en-US" w:bidi="ar-SA"/>
              </w:rPr>
            </w:pPr>
            <w:r>
              <w:rPr>
                <w:rFonts w:hint="eastAsia" w:ascii="仿宋" w:hAnsi="仿宋" w:eastAsia="仿宋" w:cs="仿宋"/>
                <w:color w:val="auto"/>
                <w:kern w:val="2"/>
                <w:sz w:val="24"/>
                <w:szCs w:val="24"/>
                <w:highlight w:val="none"/>
                <w:lang w:val="en-US" w:eastAsia="zh-CN" w:bidi="ar-SA"/>
              </w:rPr>
              <w:t>（8）投标保证金缴纳凭证。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现场踏勘</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不统一组织踏勘，各投标供应商应认真踏勘施工现场，了解工程建设地点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投标预备会</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16</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构成磋商文件的其他材料</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17</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澄清或者修改时间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磋商截止时间</w:t>
            </w:r>
            <w:r>
              <w:rPr>
                <w:rFonts w:hint="default" w:cs="Times New Roman"/>
                <w:sz w:val="24"/>
                <w:szCs w:val="24"/>
                <w:lang w:val="en-US" w:bidi="ar-SA"/>
              </w:rPr>
              <w:t>5</w:t>
            </w:r>
            <w:r>
              <w:rPr>
                <w:rFonts w:hint="eastAsia" w:cs="Times New Roman"/>
                <w:sz w:val="24"/>
                <w:szCs w:val="24"/>
                <w:lang w:val="en-US" w:bidi="ar-S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18</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构成响应文件的其他材料</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19</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投标有效期</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default" w:cs="Times New Roman"/>
                <w:sz w:val="24"/>
                <w:szCs w:val="24"/>
                <w:u w:val="single"/>
                <w:lang w:val="en-US" w:bidi="ar-SA"/>
              </w:rPr>
              <w:t>90</w:t>
            </w:r>
            <w:r>
              <w:rPr>
                <w:rFonts w:hint="eastAsia" w:cs="Times New Roman"/>
                <w:sz w:val="24"/>
                <w:szCs w:val="24"/>
                <w:lang w:val="en-US" w:bidi="ar-S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20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磋商保证金</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color w:val="0000FF"/>
                <w:sz w:val="24"/>
                <w:szCs w:val="24"/>
                <w:highlight w:val="none"/>
                <w:lang w:val="en-US" w:bidi="ar-SA"/>
              </w:rPr>
            </w:pPr>
            <w:r>
              <w:rPr>
                <w:rFonts w:hint="eastAsia" w:cs="Times New Roman"/>
                <w:b/>
                <w:color w:val="auto"/>
                <w:sz w:val="24"/>
                <w:szCs w:val="24"/>
                <w:highlight w:val="none"/>
                <w:lang w:val="en-US" w:bidi="ar-SA"/>
              </w:rPr>
              <w:t>本项目的磋商保证金为人民币：</w:t>
            </w:r>
            <w:r>
              <w:rPr>
                <w:rFonts w:hint="eastAsia" w:cs="Times New Roman"/>
                <w:b/>
                <w:color w:val="auto"/>
                <w:sz w:val="24"/>
                <w:szCs w:val="24"/>
                <w:highlight w:val="none"/>
                <w:u w:val="single"/>
                <w:lang w:val="en-US" w:eastAsia="zh-CN" w:bidi="ar-SA"/>
              </w:rPr>
              <w:t>70000.00</w:t>
            </w:r>
            <w:r>
              <w:rPr>
                <w:rFonts w:hint="eastAsia" w:cs="Times New Roman"/>
                <w:b/>
                <w:color w:val="auto"/>
                <w:sz w:val="24"/>
                <w:szCs w:val="24"/>
                <w:highlight w:val="none"/>
                <w:u w:val="single"/>
                <w:lang w:val="en-US" w:bidi="ar-SA"/>
              </w:rPr>
              <w:t>元</w:t>
            </w:r>
            <w:r>
              <w:rPr>
                <w:rFonts w:hint="eastAsia" w:cs="Times New Roman"/>
                <w:b/>
                <w:color w:val="auto"/>
                <w:sz w:val="24"/>
                <w:szCs w:val="24"/>
                <w:highlight w:val="none"/>
                <w:lang w:val="en-US" w:bidi="ar-SA"/>
              </w:rPr>
              <w:t>，</w:t>
            </w:r>
            <w:r>
              <w:rPr>
                <w:rFonts w:hint="eastAsia" w:cs="Times New Roman"/>
                <w:color w:val="auto"/>
                <w:sz w:val="24"/>
                <w:szCs w:val="24"/>
                <w:highlight w:val="none"/>
                <w:lang w:val="en-US" w:bidi="ar-SA"/>
              </w:rPr>
              <w:t>磋商保证金到账截止时间同磋商截止时间。</w:t>
            </w:r>
          </w:p>
          <w:p>
            <w:pPr>
              <w:keepNext w:val="0"/>
              <w:keepLines w:val="0"/>
              <w:suppressLineNumbers w:val="0"/>
              <w:adjustRightInd w:val="0"/>
              <w:spacing w:before="0" w:beforeAutospacing="0" w:after="0" w:afterAutospacing="0" w:line="400" w:lineRule="exact"/>
              <w:ind w:left="0" w:right="0"/>
              <w:rPr>
                <w:rFonts w:hint="default" w:hAnsi="Times New Roman" w:cs="Times New Roman"/>
                <w:b/>
                <w:sz w:val="24"/>
                <w:szCs w:val="24"/>
                <w:lang w:val="en-US" w:bidi="ar-SA"/>
              </w:rPr>
            </w:pPr>
            <w:r>
              <w:rPr>
                <w:rFonts w:hint="eastAsia" w:cs="Times New Roman"/>
                <w:b/>
                <w:sz w:val="24"/>
                <w:szCs w:val="24"/>
                <w:lang w:val="en-US" w:bidi="ar-SA"/>
              </w:rPr>
              <w:t>提交方式：从供应商基本账户以电汇、网银等非现金形式在提交首次响应文件截止时间前交纳。汇款需注明采购项目名称。</w:t>
            </w:r>
          </w:p>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账户信息：</w:t>
            </w:r>
          </w:p>
          <w:p>
            <w:pPr>
              <w:keepNext w:val="0"/>
              <w:keepLines w:val="0"/>
              <w:widowControl/>
              <w:suppressLineNumbers w:val="0"/>
              <w:tabs>
                <w:tab w:val="left" w:pos="0"/>
              </w:tabs>
              <w:adjustRightInd w:val="0"/>
              <w:spacing w:before="0" w:beforeAutospacing="0" w:after="0" w:afterAutospacing="0" w:line="400" w:lineRule="exact"/>
              <w:ind w:left="0" w:right="0"/>
              <w:rPr>
                <w:rFonts w:hint="eastAsia" w:cs="Times New Roman"/>
                <w:sz w:val="24"/>
                <w:szCs w:val="24"/>
                <w:lang w:val="en-US" w:bidi="ar-SA"/>
              </w:rPr>
            </w:pPr>
            <w:r>
              <w:rPr>
                <w:rFonts w:hint="eastAsia" w:cs="Times New Roman"/>
                <w:sz w:val="24"/>
                <w:szCs w:val="24"/>
                <w:lang w:val="en-US" w:bidi="ar-SA"/>
              </w:rPr>
              <w:t>收款单位：喀什西部鑫源工程项目管理有限公司</w:t>
            </w:r>
          </w:p>
          <w:p>
            <w:pPr>
              <w:keepNext w:val="0"/>
              <w:keepLines w:val="0"/>
              <w:widowControl/>
              <w:suppressLineNumbers w:val="0"/>
              <w:tabs>
                <w:tab w:val="left" w:pos="0"/>
              </w:tabs>
              <w:adjustRightInd w:val="0"/>
              <w:spacing w:before="0" w:beforeAutospacing="0" w:after="0" w:afterAutospacing="0" w:line="400" w:lineRule="exact"/>
              <w:ind w:left="0" w:right="0"/>
              <w:rPr>
                <w:rFonts w:hint="eastAsia" w:cs="Times New Roman"/>
                <w:sz w:val="24"/>
                <w:szCs w:val="24"/>
                <w:lang w:val="en-US" w:bidi="ar-SA"/>
              </w:rPr>
            </w:pPr>
            <w:r>
              <w:rPr>
                <w:rFonts w:hint="eastAsia" w:cs="Times New Roman"/>
                <w:sz w:val="24"/>
                <w:szCs w:val="24"/>
                <w:lang w:val="en-US" w:bidi="ar-SA"/>
              </w:rPr>
              <w:t xml:space="preserve">行    号： 103894047588 </w:t>
            </w:r>
          </w:p>
          <w:p>
            <w:pPr>
              <w:keepNext w:val="0"/>
              <w:keepLines w:val="0"/>
              <w:widowControl/>
              <w:suppressLineNumbers w:val="0"/>
              <w:tabs>
                <w:tab w:val="left" w:pos="0"/>
              </w:tabs>
              <w:adjustRightInd w:val="0"/>
              <w:spacing w:before="0" w:beforeAutospacing="0" w:after="0" w:afterAutospacing="0" w:line="400" w:lineRule="exact"/>
              <w:ind w:left="0" w:right="0"/>
              <w:rPr>
                <w:rFonts w:hint="eastAsia" w:cs="Times New Roman"/>
                <w:sz w:val="24"/>
                <w:szCs w:val="24"/>
                <w:lang w:val="en-US" w:bidi="ar-SA"/>
              </w:rPr>
            </w:pPr>
            <w:r>
              <w:rPr>
                <w:rFonts w:hint="eastAsia" w:cs="Times New Roman"/>
                <w:sz w:val="24"/>
                <w:szCs w:val="24"/>
                <w:lang w:val="en-US" w:bidi="ar-SA"/>
              </w:rPr>
              <w:t>帐  号： 30475801040006063</w:t>
            </w:r>
          </w:p>
          <w:p>
            <w:pPr>
              <w:keepNext w:val="0"/>
              <w:keepLines w:val="0"/>
              <w:widowControl/>
              <w:suppressLineNumbers w:val="0"/>
              <w:tabs>
                <w:tab w:val="left" w:pos="0"/>
              </w:tabs>
              <w:adjustRightInd w:val="0"/>
              <w:spacing w:before="0" w:beforeAutospacing="0" w:after="0" w:afterAutospacing="0" w:line="400" w:lineRule="exact"/>
              <w:ind w:left="0" w:right="0"/>
              <w:rPr>
                <w:rFonts w:hint="eastAsia" w:cs="Times New Roman"/>
                <w:sz w:val="24"/>
                <w:szCs w:val="24"/>
                <w:lang w:val="en-US" w:bidi="ar-SA"/>
              </w:rPr>
            </w:pPr>
            <w:r>
              <w:rPr>
                <w:rFonts w:hint="eastAsia" w:cs="Times New Roman"/>
                <w:sz w:val="24"/>
                <w:szCs w:val="24"/>
                <w:lang w:val="en-US" w:bidi="ar-SA"/>
              </w:rPr>
              <w:t>开户银行：中国农业银行股份有限公司喀什南湖路支行</w:t>
            </w:r>
          </w:p>
          <w:p>
            <w:pPr>
              <w:keepNext w:val="0"/>
              <w:keepLines w:val="0"/>
              <w:widowControl/>
              <w:suppressLineNumbers w:val="0"/>
              <w:tabs>
                <w:tab w:val="left" w:pos="0"/>
              </w:tabs>
              <w:adjustRightInd w:val="0"/>
              <w:spacing w:before="0" w:beforeAutospacing="0" w:after="0" w:afterAutospacing="0" w:line="400" w:lineRule="exact"/>
              <w:ind w:left="0" w:right="0"/>
              <w:rPr>
                <w:rFonts w:hint="default" w:ascii="Times New Roman" w:hAnsi="Times New Roman" w:eastAsia="Times New Roman" w:cs="Times New Roman"/>
                <w:sz w:val="28"/>
                <w:szCs w:val="24"/>
                <w:lang w:val="en-US" w:bidi="ar-SA"/>
              </w:rPr>
            </w:pPr>
            <w:r>
              <w:rPr>
                <w:rFonts w:hint="eastAsia" w:cs="Times New Roman"/>
                <w:sz w:val="24"/>
                <w:szCs w:val="24"/>
                <w:lang w:val="en-US" w:bidi="ar-SA"/>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21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olor w:val="000000"/>
                <w:sz w:val="24"/>
                <w:szCs w:val="21"/>
                <w:lang w:val="en-US" w:bidi="ar-SA"/>
              </w:rPr>
              <w:t>投标前准备</w:t>
            </w:r>
          </w:p>
        </w:tc>
        <w:tc>
          <w:tcPr>
            <w:tcW w:w="6357" w:type="dxa"/>
            <w:vAlign w:val="center"/>
          </w:tcPr>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default"/>
                <w:color w:val="000000"/>
                <w:sz w:val="24"/>
                <w:szCs w:val="21"/>
                <w:lang w:val="en-US" w:bidi="ar-SA"/>
              </w:rPr>
              <w:t>1</w:t>
            </w:r>
            <w:r>
              <w:rPr>
                <w:rFonts w:hint="eastAsia"/>
                <w:color w:val="000000"/>
                <w:sz w:val="24"/>
                <w:szCs w:val="21"/>
                <w:lang w:val="en-US" w:bidi="ar-SA"/>
              </w:rPr>
              <w:t>、本项目实行网上投标，采用加密电子投标响应文件。若供应商参与投标，自行承担投标一切费用。</w:t>
            </w:r>
          </w:p>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default"/>
                <w:color w:val="000000"/>
                <w:sz w:val="24"/>
                <w:szCs w:val="21"/>
                <w:lang w:val="en-US" w:bidi="ar-SA"/>
              </w:rPr>
              <w:t>2</w:t>
            </w:r>
            <w:r>
              <w:rPr>
                <w:rFonts w:hint="eastAsia"/>
                <w:color w:val="000000"/>
                <w:sz w:val="24"/>
                <w:szCs w:val="21"/>
                <w:lang w:val="en-US" w:bidi="ar-SA"/>
              </w:rPr>
              <w:t>、各供应商在开标前应确保成为新疆维吾尔自治区政府采购网正式注册入库供应商，并完成</w:t>
            </w:r>
            <w:r>
              <w:rPr>
                <w:rFonts w:hint="default"/>
                <w:color w:val="000000"/>
                <w:sz w:val="24"/>
                <w:szCs w:val="21"/>
                <w:lang w:val="en-US" w:bidi="ar-SA"/>
              </w:rPr>
              <w:t>CA</w:t>
            </w:r>
            <w:r>
              <w:rPr>
                <w:rFonts w:hint="eastAsia"/>
                <w:color w:val="000000"/>
                <w:sz w:val="24"/>
                <w:szCs w:val="21"/>
                <w:lang w:val="en-US" w:bidi="ar-SA"/>
              </w:rPr>
              <w:t>数字证书申领。因未注册入库、未办理</w:t>
            </w:r>
            <w:r>
              <w:rPr>
                <w:rFonts w:hint="default"/>
                <w:color w:val="000000"/>
                <w:sz w:val="24"/>
                <w:szCs w:val="21"/>
                <w:lang w:val="en-US" w:bidi="ar-SA"/>
              </w:rPr>
              <w:t>CA</w:t>
            </w:r>
            <w:r>
              <w:rPr>
                <w:rFonts w:hint="eastAsia"/>
                <w:color w:val="000000"/>
                <w:sz w:val="24"/>
                <w:szCs w:val="21"/>
                <w:lang w:val="en-US" w:bidi="ar-SA"/>
              </w:rPr>
              <w:t>数字证书等原因造成无法投标或投标失败等后果由供应商自行承担。</w:t>
            </w:r>
          </w:p>
          <w:p>
            <w:pPr>
              <w:keepNext w:val="0"/>
              <w:keepLines w:val="0"/>
              <w:suppressLineNumbers w:val="0"/>
              <w:adjustRightInd w:val="0"/>
              <w:spacing w:before="0" w:beforeAutospacing="0" w:after="0" w:afterAutospacing="0" w:line="312" w:lineRule="auto"/>
              <w:ind w:left="0" w:right="0"/>
              <w:rPr>
                <w:rFonts w:hint="default" w:ascii="Times New Roman" w:hAnsi="Times New Roman" w:eastAsia="Times New Roman" w:cs="Times New Roman"/>
                <w:sz w:val="24"/>
                <w:szCs w:val="24"/>
                <w:lang w:val="en-US" w:bidi="ar-SA"/>
              </w:rPr>
            </w:pPr>
            <w:r>
              <w:rPr>
                <w:rFonts w:hint="default"/>
                <w:color w:val="000000"/>
                <w:sz w:val="24"/>
                <w:szCs w:val="21"/>
                <w:lang w:val="en-US" w:bidi="ar-SA"/>
              </w:rPr>
              <w:t>3</w:t>
            </w:r>
            <w:r>
              <w:rPr>
                <w:rFonts w:hint="eastAsia"/>
                <w:color w:val="000000"/>
                <w:sz w:val="24"/>
                <w:szCs w:val="21"/>
                <w:lang w:val="en-US" w:bidi="ar-SA"/>
              </w:rPr>
              <w:t>、供应商将政采云电子交易客户端下载、安装完成后，可通过账号密码或</w:t>
            </w:r>
            <w:r>
              <w:rPr>
                <w:rFonts w:hint="default"/>
                <w:color w:val="000000"/>
                <w:sz w:val="24"/>
                <w:szCs w:val="21"/>
                <w:lang w:val="en-US" w:bidi="ar-SA"/>
              </w:rPr>
              <w:t>CA</w:t>
            </w:r>
            <w:r>
              <w:rPr>
                <w:rFonts w:hint="eastAsia"/>
                <w:color w:val="000000"/>
                <w:sz w:val="24"/>
                <w:szCs w:val="21"/>
                <w:lang w:val="en-US" w:bidi="ar-SA"/>
              </w:rPr>
              <w:t>登录客户端进行响应文件制作。在使用政采云投标客户端时，建议使用</w:t>
            </w:r>
            <w:r>
              <w:rPr>
                <w:rFonts w:hint="default"/>
                <w:color w:val="000000"/>
                <w:sz w:val="24"/>
                <w:szCs w:val="21"/>
                <w:lang w:val="en-US" w:bidi="ar-SA"/>
              </w:rPr>
              <w:t>WIN7</w:t>
            </w:r>
            <w:r>
              <w:rPr>
                <w:rFonts w:hint="eastAsia"/>
                <w:color w:val="000000"/>
                <w:sz w:val="24"/>
                <w:szCs w:val="21"/>
                <w:lang w:val="en-US" w:bidi="ar-SA"/>
              </w:rPr>
              <w:t>及以上操作系统。客户端请至新疆政府采购网（</w:t>
            </w:r>
            <w:r>
              <w:rPr>
                <w:rFonts w:hint="default" w:ascii="Times New Roman" w:hAnsi="Times New Roman" w:cs="Times New Roman"/>
                <w:sz w:val="24"/>
                <w:szCs w:val="24"/>
                <w:lang w:val="en-US" w:bidi="ar-SA"/>
              </w:rPr>
              <w:fldChar w:fldCharType="begin"/>
            </w:r>
            <w:r>
              <w:rPr>
                <w:rFonts w:hint="default" w:ascii="Times New Roman" w:hAnsi="Times New Roman" w:cs="Times New Roman"/>
                <w:sz w:val="24"/>
                <w:szCs w:val="24"/>
                <w:lang w:val="en-US" w:bidi="ar-SA"/>
              </w:rPr>
              <w:instrText xml:space="preserve"> HYPERLINK "http://www.ccgp-xinjiang.gov.cn/" </w:instrText>
            </w:r>
            <w:r>
              <w:rPr>
                <w:rFonts w:hint="default" w:ascii="Times New Roman" w:hAnsi="Times New Roman" w:cs="Times New Roman"/>
                <w:sz w:val="24"/>
                <w:szCs w:val="24"/>
                <w:lang w:val="en-US" w:bidi="ar-SA"/>
              </w:rPr>
              <w:fldChar w:fldCharType="separate"/>
            </w:r>
            <w:r>
              <w:rPr>
                <w:rFonts w:hint="default"/>
                <w:color w:val="000000"/>
                <w:sz w:val="24"/>
                <w:szCs w:val="21"/>
                <w:lang w:val="en-US" w:bidi="ar-SA"/>
              </w:rPr>
              <w:t>http://www.ccgp-xinjiang.gov.cn/</w:t>
            </w:r>
            <w:r>
              <w:rPr>
                <w:rFonts w:hint="default"/>
                <w:color w:val="000000"/>
                <w:sz w:val="24"/>
                <w:szCs w:val="21"/>
                <w:lang w:val="en-US" w:bidi="ar-SA"/>
              </w:rPr>
              <w:fldChar w:fldCharType="end"/>
            </w:r>
            <w:r>
              <w:rPr>
                <w:rFonts w:hint="eastAsia"/>
                <w:color w:val="000000"/>
                <w:sz w:val="24"/>
                <w:szCs w:val="21"/>
                <w:lang w:val="en-US" w:bidi="ar-SA"/>
              </w:rPr>
              <w:t>）下载专区查看，如有问题可拨打政采云客户服务热线</w:t>
            </w:r>
            <w:r>
              <w:rPr>
                <w:rFonts w:hint="default"/>
                <w:color w:val="000000"/>
                <w:sz w:val="24"/>
                <w:szCs w:val="21"/>
                <w:lang w:val="en-US" w:bidi="ar-SA"/>
              </w:rPr>
              <w:t>400-881-7190</w:t>
            </w:r>
            <w:r>
              <w:rPr>
                <w:rFonts w:hint="eastAsia"/>
                <w:color w:val="000000"/>
                <w:sz w:val="24"/>
                <w:szCs w:val="21"/>
                <w:lang w:val="en-US" w:bidi="ar-SA"/>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磋商响应文件签字、盖章要求</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cs="Times New Roman"/>
                <w:sz w:val="24"/>
                <w:szCs w:val="24"/>
                <w:lang w:val="en-US" w:bidi="ar-SA"/>
              </w:rPr>
              <w:t>上传的电子磋商响应文件的盖章可采用</w:t>
            </w:r>
            <w:r>
              <w:rPr>
                <w:rFonts w:hint="default" w:cs="Times New Roman"/>
                <w:sz w:val="24"/>
                <w:szCs w:val="24"/>
                <w:lang w:val="en-US" w:bidi="ar-SA"/>
              </w:rPr>
              <w:t>CA</w:t>
            </w:r>
            <w:r>
              <w:rPr>
                <w:rFonts w:hint="eastAsia" w:cs="Times New Roman"/>
                <w:sz w:val="24"/>
                <w:szCs w:val="24"/>
                <w:lang w:val="en-US" w:bidi="ar-SA"/>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23</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磋商响应文件数量及制作</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1、供应商投标时须提供：加密的电子响应文件壹份（*.jmb 格式）；备份文件壹份（BFBS格式），按政采云平台供应商项目采购-电子招投标操作指南(www.zcygov.cn)及本磋商文件要求编制、提交。</w:t>
            </w:r>
          </w:p>
          <w:p>
            <w:pPr>
              <w:keepNext w:val="0"/>
              <w:keepLines w:val="0"/>
              <w:suppressLineNumbers w:val="0"/>
              <w:adjustRightInd w:val="0"/>
              <w:spacing w:before="0" w:beforeAutospacing="0" w:after="0" w:afterAutospacing="0" w:line="400" w:lineRule="exact"/>
              <w:ind w:left="0" w:right="0"/>
              <w:jc w:val="both"/>
              <w:rPr>
                <w:rFonts w:hint="default"/>
                <w:color w:val="000000"/>
                <w:sz w:val="24"/>
                <w:szCs w:val="24"/>
                <w:lang w:val="en-US" w:bidi="ar-SA"/>
              </w:rPr>
            </w:pPr>
            <w:r>
              <w:rPr>
                <w:rFonts w:hint="eastAsia"/>
                <w:color w:val="000000"/>
                <w:sz w:val="24"/>
                <w:szCs w:val="24"/>
                <w:lang w:val="en-US" w:bidi="ar-SA"/>
              </w:rPr>
              <w:t>2、开标后各投标供应商需在公示期满后，另行提交纸质版响应文件（正本一份、副本二份）。须与电子版响应文件内容一致，纸质响应文件需留存备案将一律不予退还。</w:t>
            </w:r>
          </w:p>
          <w:p>
            <w:pPr>
              <w:keepNext w:val="0"/>
              <w:keepLines w:val="0"/>
              <w:suppressLineNumbers w:val="0"/>
              <w:adjustRightInd w:val="0"/>
              <w:spacing w:before="0" w:beforeAutospacing="0" w:after="0" w:afterAutospacing="0" w:line="400" w:lineRule="exact"/>
              <w:ind w:left="0" w:right="0"/>
              <w:jc w:val="both"/>
              <w:rPr>
                <w:rFonts w:hint="default"/>
                <w:color w:val="000000"/>
                <w:sz w:val="24"/>
                <w:szCs w:val="24"/>
                <w:lang w:val="en-US" w:bidi="ar-SA"/>
              </w:rPr>
            </w:pPr>
            <w:r>
              <w:rPr>
                <w:rFonts w:hint="eastAsia"/>
                <w:color w:val="000000"/>
                <w:sz w:val="24"/>
                <w:szCs w:val="24"/>
                <w:lang w:val="en-US" w:bidi="ar-SA"/>
              </w:rPr>
              <w:t>3、纸质版标书邮寄地址及收件人：</w:t>
            </w:r>
            <w:r>
              <w:rPr>
                <w:rFonts w:hint="eastAsia"/>
                <w:color w:val="000000"/>
                <w:sz w:val="24"/>
                <w:szCs w:val="24"/>
                <w:lang w:val="en-US" w:eastAsia="zh-CN" w:bidi="ar-SA"/>
              </w:rPr>
              <w:t>喀什市中亚商贸城6号楼2楼S10室</w:t>
            </w:r>
            <w:r>
              <w:rPr>
                <w:rFonts w:hint="eastAsia"/>
                <w:color w:val="000000"/>
                <w:sz w:val="24"/>
                <w:szCs w:val="24"/>
                <w:lang w:val="en-US" w:bidi="ar-SA"/>
              </w:rPr>
              <w:t>（</w:t>
            </w:r>
            <w:r>
              <w:rPr>
                <w:rFonts w:hint="eastAsia"/>
                <w:color w:val="000000"/>
                <w:sz w:val="24"/>
                <w:szCs w:val="24"/>
                <w:lang w:val="en-US" w:eastAsia="zh-CN" w:bidi="ar-SA"/>
              </w:rPr>
              <w:t>喀什西部鑫源工程项目管理有限公司</w:t>
            </w:r>
            <w:r>
              <w:rPr>
                <w:rFonts w:hint="eastAsia"/>
                <w:color w:val="000000"/>
                <w:sz w:val="24"/>
                <w:szCs w:val="24"/>
                <w:lang w:val="en-US" w:bidi="ar-SA"/>
              </w:rPr>
              <w:t>）</w:t>
            </w:r>
          </w:p>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收件人：</w:t>
            </w:r>
            <w:r>
              <w:rPr>
                <w:rFonts w:hint="eastAsia"/>
                <w:sz w:val="24"/>
                <w:szCs w:val="21"/>
                <w:lang w:val="en-US" w:eastAsia="zh-CN" w:bidi="ar-SA"/>
              </w:rPr>
              <w:t>陈凯</w:t>
            </w:r>
            <w:r>
              <w:rPr>
                <w:rFonts w:hint="eastAsia"/>
                <w:sz w:val="24"/>
                <w:szCs w:val="21"/>
                <w:lang w:val="en-US" w:bidi="ar-SA"/>
              </w:rPr>
              <w:t xml:space="preserve">    </w:t>
            </w:r>
            <w:r>
              <w:rPr>
                <w:rFonts w:hint="eastAsia"/>
                <w:sz w:val="24"/>
                <w:szCs w:val="24"/>
                <w:lang w:val="en-US" w:bidi="ar-SA"/>
              </w:rPr>
              <w:t>联系电话：</w:t>
            </w:r>
            <w:r>
              <w:rPr>
                <w:rFonts w:hint="eastAsia"/>
                <w:sz w:val="24"/>
                <w:szCs w:val="24"/>
                <w:lang w:val="en-US" w:eastAsia="zh-CN" w:bidi="ar-SA"/>
              </w:rPr>
              <w:t>15509988357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color w:val="FF0000"/>
                <w:sz w:val="24"/>
                <w:szCs w:val="24"/>
                <w:lang w:val="en-US" w:bidi="ar-SA"/>
              </w:rPr>
            </w:pPr>
            <w:r>
              <w:rPr>
                <w:rFonts w:hint="eastAsia" w:ascii="BRGEKD+??¨¬?" w:hAnsi="BRGEKD+??¨¬?" w:cs="BRGEKD+??¨¬?"/>
                <w:spacing w:val="-1"/>
                <w:sz w:val="24"/>
                <w:szCs w:val="24"/>
                <w:lang w:val="en-US" w:bidi="ar-SA"/>
              </w:rPr>
              <w:t>响应文件的解密</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color w:val="FF0000"/>
                <w:sz w:val="24"/>
                <w:szCs w:val="24"/>
                <w:lang w:val="en-US" w:bidi="ar-SA"/>
              </w:rPr>
            </w:pPr>
            <w:r>
              <w:rPr>
                <w:rFonts w:hint="eastAsia"/>
                <w:color w:val="000000"/>
                <w:sz w:val="24"/>
                <w:szCs w:val="21"/>
                <w:lang w:val="en-US" w:bidi="ar-SA"/>
              </w:rPr>
              <w:t>本项目采用全流程不见面电子开评标，供应商无需到开标现场解密，通过政采云平台在线响应，并保持电话畅通。开标时发出解密指令后</w:t>
            </w:r>
            <w:r>
              <w:rPr>
                <w:rFonts w:hint="default"/>
                <w:color w:val="000000"/>
                <w:sz w:val="24"/>
                <w:szCs w:val="21"/>
                <w:lang w:val="en-US" w:bidi="ar-SA"/>
              </w:rPr>
              <w:t>30</w:t>
            </w:r>
            <w:r>
              <w:rPr>
                <w:rFonts w:hint="eastAsia"/>
                <w:color w:val="000000"/>
                <w:sz w:val="24"/>
                <w:szCs w:val="21"/>
                <w:lang w:val="en-US" w:bidi="ar-SA"/>
              </w:rPr>
              <w:t>分钟内，供应商可以登录“政采云”平台，用“项目采购</w:t>
            </w:r>
            <w:r>
              <w:rPr>
                <w:rFonts w:hint="default"/>
                <w:color w:val="000000"/>
                <w:sz w:val="24"/>
                <w:szCs w:val="21"/>
                <w:lang w:val="en-US" w:bidi="ar-SA"/>
              </w:rPr>
              <w:t>-</w:t>
            </w:r>
            <w:r>
              <w:rPr>
                <w:rFonts w:hint="eastAsia"/>
                <w:color w:val="000000"/>
                <w:sz w:val="24"/>
                <w:szCs w:val="21"/>
                <w:lang w:val="en-US" w:bidi="ar-SA"/>
              </w:rPr>
              <w:t>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color w:val="000000"/>
                <w:sz w:val="24"/>
                <w:szCs w:val="24"/>
                <w:lang w:val="en-US" w:bidi="ar-SA"/>
              </w:rPr>
            </w:pPr>
            <w:r>
              <w:rPr>
                <w:rFonts w:hint="eastAsia" w:cs="Times New Roman"/>
                <w:color w:val="000000"/>
                <w:sz w:val="24"/>
                <w:szCs w:val="24"/>
                <w:lang w:val="en-US" w:bidi="ar-SA"/>
              </w:rPr>
              <w:t>25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spacing w:val="-1"/>
                <w:sz w:val="24"/>
                <w:szCs w:val="24"/>
                <w:lang w:val="en-US" w:bidi="ar-SA"/>
              </w:rPr>
            </w:pPr>
            <w:r>
              <w:rPr>
                <w:rFonts w:hint="eastAsia"/>
                <w:spacing w:val="-1"/>
                <w:sz w:val="24"/>
                <w:szCs w:val="24"/>
                <w:lang w:val="en-US" w:bidi="ar-SA"/>
              </w:rPr>
              <w:t>投标报价确认时间要求</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olor w:val="000000"/>
                <w:sz w:val="24"/>
                <w:szCs w:val="21"/>
                <w:lang w:val="en-US" w:bidi="ar-SA"/>
              </w:rPr>
            </w:pPr>
            <w:r>
              <w:rPr>
                <w:rFonts w:hint="eastAsia"/>
                <w:sz w:val="24"/>
                <w:szCs w:val="24"/>
                <w:lang w:val="en-US" w:bidi="ar-SA"/>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color w:val="000000"/>
                <w:sz w:val="24"/>
                <w:szCs w:val="24"/>
                <w:lang w:val="en-US" w:bidi="ar-SA"/>
              </w:rPr>
            </w:pPr>
            <w:r>
              <w:rPr>
                <w:rFonts w:hint="eastAsia" w:cs="Times New Roman"/>
                <w:color w:val="000000"/>
                <w:sz w:val="24"/>
                <w:szCs w:val="24"/>
                <w:lang w:val="en-US" w:bidi="ar-SA"/>
              </w:rPr>
              <w:t>26</w:t>
            </w:r>
          </w:p>
        </w:tc>
        <w:tc>
          <w:tcPr>
            <w:tcW w:w="2142" w:type="dxa"/>
            <w:vAlign w:val="center"/>
          </w:tcPr>
          <w:p>
            <w:pPr>
              <w:pStyle w:val="14"/>
              <w:keepNext w:val="0"/>
              <w:keepLines w:val="0"/>
              <w:suppressLineNumbers w:val="0"/>
              <w:adjustRightInd w:val="0"/>
              <w:spacing w:before="0" w:beforeAutospacing="0" w:after="0" w:afterAutospacing="0" w:line="440" w:lineRule="exact"/>
              <w:ind w:left="0" w:right="0"/>
              <w:jc w:val="center"/>
              <w:rPr>
                <w:rFonts w:hint="default" w:hAnsi="宋体"/>
                <w:spacing w:val="-1"/>
                <w:sz w:val="24"/>
                <w:szCs w:val="24"/>
                <w:lang w:val="en-US" w:bidi="ar-SA"/>
              </w:rPr>
            </w:pPr>
            <w:r>
              <w:rPr>
                <w:rFonts w:hint="eastAsia" w:hAnsi="宋体"/>
                <w:spacing w:val="-1"/>
                <w:sz w:val="24"/>
                <w:szCs w:val="24"/>
              </w:rPr>
              <w:t>政采云在线最终报价要求</w:t>
            </w:r>
          </w:p>
        </w:tc>
        <w:tc>
          <w:tcPr>
            <w:tcW w:w="6357" w:type="dxa"/>
            <w:vAlign w:val="center"/>
          </w:tcPr>
          <w:p>
            <w:pPr>
              <w:pStyle w:val="14"/>
              <w:keepNext w:val="0"/>
              <w:keepLines w:val="0"/>
              <w:suppressLineNumbers w:val="0"/>
              <w:adjustRightInd w:val="0"/>
              <w:spacing w:before="0" w:beforeAutospacing="0" w:after="0" w:afterAutospacing="0" w:line="440" w:lineRule="exact"/>
              <w:ind w:left="0" w:right="0"/>
              <w:rPr>
                <w:rFonts w:hint="default" w:hAnsi="宋体"/>
                <w:sz w:val="24"/>
                <w:szCs w:val="24"/>
              </w:rPr>
            </w:pPr>
            <w:r>
              <w:rPr>
                <w:rFonts w:hint="eastAsia" w:hAnsi="宋体"/>
                <w:b/>
                <w:bCs/>
                <w:sz w:val="24"/>
                <w:szCs w:val="24"/>
              </w:rPr>
              <w:t>本项目磋商报价为二轮报价，</w:t>
            </w:r>
            <w:r>
              <w:rPr>
                <w:rFonts w:hint="eastAsia" w:hAnsi="宋体"/>
                <w:sz w:val="24"/>
                <w:szCs w:val="24"/>
              </w:rPr>
              <w:t>首次报价在响应文件中体现；二次报价即最终报价由各磋商供应商在开启最终报价指令发出后</w:t>
            </w:r>
            <w:r>
              <w:rPr>
                <w:rFonts w:hint="eastAsia" w:hAnsi="宋体"/>
                <w:sz w:val="24"/>
                <w:szCs w:val="24"/>
                <w:lang w:val="en-US"/>
              </w:rPr>
              <w:t>20</w:t>
            </w:r>
            <w:r>
              <w:rPr>
                <w:rFonts w:hint="eastAsia" w:hAnsi="宋体"/>
                <w:sz w:val="24"/>
                <w:szCs w:val="24"/>
              </w:rPr>
              <w:t>分钟内在政采云平台在线完成报价，最终报价不得高于首次报价。若逾期未按磋商文件的要求在线提交最终报价，则视同退出磋商。</w:t>
            </w:r>
          </w:p>
          <w:p>
            <w:pPr>
              <w:pStyle w:val="14"/>
              <w:keepNext w:val="0"/>
              <w:keepLines w:val="0"/>
              <w:suppressLineNumbers w:val="0"/>
              <w:adjustRightInd w:val="0"/>
              <w:spacing w:before="0" w:beforeAutospacing="0" w:after="0" w:afterAutospacing="0" w:line="440" w:lineRule="exact"/>
              <w:ind w:left="0" w:right="0"/>
              <w:rPr>
                <w:rFonts w:hint="default" w:hAnsi="宋体"/>
                <w:b/>
                <w:bCs/>
                <w:sz w:val="24"/>
                <w:szCs w:val="24"/>
              </w:rPr>
            </w:pPr>
            <w:r>
              <w:rPr>
                <w:rFonts w:hint="eastAsia" w:hAnsi="宋体"/>
                <w:b/>
                <w:bCs/>
                <w:sz w:val="24"/>
                <w:szCs w:val="24"/>
              </w:rPr>
              <w:t>★投标供应商在线上传最终报价时，须同时上传附件最终报价单（按本磋商文件提供的格式）原件的扫描件。</w:t>
            </w:r>
          </w:p>
          <w:p>
            <w:pPr>
              <w:keepNext w:val="0"/>
              <w:keepLines w:val="0"/>
              <w:suppressLineNumbers w:val="0"/>
              <w:tabs>
                <w:tab w:val="left" w:pos="1409"/>
              </w:tabs>
              <w:autoSpaceDE/>
              <w:autoSpaceDN/>
              <w:spacing w:before="74" w:beforeAutospacing="0" w:after="0" w:afterAutospacing="0" w:line="440" w:lineRule="exact"/>
              <w:ind w:left="0" w:right="409"/>
              <w:jc w:val="both"/>
              <w:rPr>
                <w:rFonts w:hint="default"/>
                <w:b/>
                <w:bCs/>
                <w:sz w:val="24"/>
                <w:szCs w:val="24"/>
                <w:lang w:val="en-US"/>
              </w:rPr>
            </w:pPr>
            <w:r>
              <w:rPr>
                <w:rFonts w:hint="eastAsia"/>
                <w:b/>
                <w:bCs/>
                <w:sz w:val="24"/>
                <w:szCs w:val="24"/>
                <w:lang w:val="en-US"/>
              </w:rPr>
              <w:t>中标供应商须按最终报价修正“已标价工程量清单”中的相应报价，修正后的报价文件经法人代表或授权委托人签署并加盖供应商公章，在领取中标通知书之前递交到招标代理机构。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27</w:t>
            </w:r>
          </w:p>
        </w:tc>
        <w:tc>
          <w:tcPr>
            <w:tcW w:w="2142" w:type="dxa"/>
            <w:vAlign w:val="center"/>
          </w:tcPr>
          <w:p>
            <w:pPr>
              <w:keepNext w:val="0"/>
              <w:keepLines w:val="0"/>
              <w:suppressLineNumbers w:val="0"/>
              <w:adjustRightInd w:val="0"/>
              <w:spacing w:before="0" w:beforeAutospacing="0" w:after="0" w:afterAutospacing="0" w:line="440" w:lineRule="exact"/>
              <w:ind w:left="0" w:right="0"/>
              <w:jc w:val="center"/>
              <w:rPr>
                <w:rFonts w:hint="default" w:ascii="BRGEKD+??¨¬?" w:hAnsi="BRGEKD+??¨¬?" w:cs="BRGEKD+??¨¬?"/>
                <w:spacing w:val="-1"/>
                <w:sz w:val="24"/>
                <w:szCs w:val="24"/>
                <w:lang w:val="en-US" w:bidi="ar-SA"/>
              </w:rPr>
            </w:pPr>
            <w:r>
              <w:rPr>
                <w:rFonts w:hint="eastAsia" w:ascii="BRGEKD+??¨¬?" w:hAnsi="BRGEKD+??¨¬?" w:cs="BRGEKD+??¨¬?"/>
                <w:spacing w:val="-1"/>
                <w:sz w:val="24"/>
                <w:szCs w:val="24"/>
                <w:lang w:val="en-US" w:bidi="ar-SA"/>
              </w:rPr>
              <w:t>评标办法</w:t>
            </w:r>
          </w:p>
        </w:tc>
        <w:tc>
          <w:tcPr>
            <w:tcW w:w="6357" w:type="dxa"/>
            <w:vAlign w:val="center"/>
          </w:tcPr>
          <w:p>
            <w:pPr>
              <w:keepNext w:val="0"/>
              <w:keepLines w:val="0"/>
              <w:suppressLineNumbers w:val="0"/>
              <w:adjustRightInd w:val="0"/>
              <w:spacing w:before="0" w:beforeAutospacing="0" w:after="0" w:afterAutospacing="0" w:line="440" w:lineRule="exact"/>
              <w:ind w:left="0" w:right="0"/>
              <w:rPr>
                <w:rFonts w:hint="default"/>
                <w:sz w:val="24"/>
                <w:szCs w:val="24"/>
                <w:lang w:val="en-US" w:bidi="ar-SA"/>
              </w:rPr>
            </w:pPr>
            <w:r>
              <w:rPr>
                <w:rFonts w:hint="eastAsia"/>
                <w:color w:val="000000"/>
                <w:sz w:val="24"/>
                <w:szCs w:val="24"/>
                <w:lang w:val="en-US" w:bidi="ar-SA"/>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28</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eastAsia"/>
                <w:spacing w:val="-1"/>
                <w:sz w:val="24"/>
                <w:szCs w:val="24"/>
                <w:lang w:val="en-US" w:bidi="ar-SA"/>
              </w:rPr>
              <w:t>首次递交竞争性磋商响应文件截止时间及磋商时间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default"/>
                <w:b/>
                <w:bCs/>
                <w:color w:val="095CF5"/>
                <w:sz w:val="24"/>
                <w:szCs w:val="21"/>
                <w:highlight w:val="none"/>
                <w:lang w:val="en-US" w:bidi="ar-SA"/>
              </w:rPr>
              <w:t>2</w:t>
            </w:r>
            <w:r>
              <w:rPr>
                <w:rFonts w:hint="eastAsia"/>
                <w:b/>
                <w:bCs/>
                <w:color w:val="0000FF"/>
                <w:sz w:val="24"/>
                <w:szCs w:val="21"/>
                <w:highlight w:val="none"/>
                <w:lang w:val="en-US" w:bidi="ar-SA"/>
              </w:rPr>
              <w:t>0</w:t>
            </w:r>
            <w:r>
              <w:rPr>
                <w:rFonts w:hint="eastAsia"/>
                <w:b/>
                <w:bCs/>
                <w:color w:val="0000FF"/>
                <w:sz w:val="24"/>
                <w:szCs w:val="21"/>
                <w:highlight w:val="none"/>
                <w:lang w:val="en-US" w:eastAsia="zh-CN" w:bidi="ar-SA"/>
              </w:rPr>
              <w:t>23</w:t>
            </w:r>
            <w:r>
              <w:rPr>
                <w:rFonts w:hint="eastAsia"/>
                <w:b/>
                <w:bCs/>
                <w:color w:val="0000FF"/>
                <w:sz w:val="24"/>
                <w:szCs w:val="21"/>
                <w:highlight w:val="none"/>
                <w:lang w:val="en-US" w:bidi="ar-SA"/>
              </w:rPr>
              <w:t>年</w:t>
            </w:r>
            <w:r>
              <w:rPr>
                <w:rFonts w:hint="eastAsia"/>
                <w:b/>
                <w:bCs/>
                <w:color w:val="0000FF"/>
                <w:sz w:val="24"/>
                <w:szCs w:val="21"/>
                <w:highlight w:val="none"/>
                <w:lang w:val="en-US" w:eastAsia="zh-CN" w:bidi="ar-SA"/>
              </w:rPr>
              <w:t>5</w:t>
            </w:r>
            <w:r>
              <w:rPr>
                <w:rFonts w:hint="eastAsia"/>
                <w:b/>
                <w:bCs/>
                <w:color w:val="0000FF"/>
                <w:sz w:val="24"/>
                <w:szCs w:val="21"/>
                <w:highlight w:val="none"/>
                <w:lang w:val="en-US" w:bidi="ar-SA"/>
              </w:rPr>
              <w:t>月</w:t>
            </w:r>
            <w:r>
              <w:rPr>
                <w:rFonts w:hint="eastAsia"/>
                <w:b/>
                <w:bCs/>
                <w:color w:val="0000FF"/>
                <w:sz w:val="24"/>
                <w:szCs w:val="21"/>
                <w:highlight w:val="none"/>
                <w:lang w:val="en-US" w:eastAsia="zh-CN" w:bidi="ar-SA"/>
              </w:rPr>
              <w:t>16</w:t>
            </w:r>
            <w:r>
              <w:rPr>
                <w:rFonts w:hint="eastAsia"/>
                <w:b/>
                <w:bCs/>
                <w:color w:val="0000FF"/>
                <w:sz w:val="24"/>
                <w:szCs w:val="21"/>
                <w:highlight w:val="none"/>
                <w:lang w:val="en-US" w:bidi="ar-SA"/>
              </w:rPr>
              <w:t>日</w:t>
            </w:r>
            <w:r>
              <w:rPr>
                <w:rFonts w:hint="eastAsia"/>
                <w:b/>
                <w:bCs/>
                <w:color w:val="0000FF"/>
                <w:sz w:val="24"/>
                <w:szCs w:val="21"/>
                <w:highlight w:val="none"/>
                <w:lang w:val="en-US" w:eastAsia="zh-CN" w:bidi="ar-SA"/>
              </w:rPr>
              <w:t>下</w:t>
            </w:r>
            <w:r>
              <w:rPr>
                <w:rFonts w:hint="eastAsia"/>
                <w:b/>
                <w:bCs/>
                <w:color w:val="0000FF"/>
                <w:sz w:val="24"/>
                <w:szCs w:val="21"/>
                <w:highlight w:val="none"/>
                <w:lang w:val="en-US" w:bidi="ar-SA"/>
              </w:rPr>
              <w:t>午</w:t>
            </w:r>
            <w:r>
              <w:rPr>
                <w:rFonts w:hint="eastAsia"/>
                <w:b/>
                <w:bCs/>
                <w:color w:val="0000FF"/>
                <w:sz w:val="24"/>
                <w:szCs w:val="21"/>
                <w:highlight w:val="none"/>
                <w:lang w:val="en-US" w:eastAsia="zh-CN" w:bidi="ar-SA"/>
              </w:rPr>
              <w:t>16</w:t>
            </w:r>
            <w:r>
              <w:rPr>
                <w:rFonts w:hint="eastAsia"/>
                <w:b/>
                <w:bCs/>
                <w:color w:val="0000FF"/>
                <w:sz w:val="24"/>
                <w:szCs w:val="21"/>
                <w:highlight w:val="none"/>
                <w:lang w:val="en-US" w:bidi="ar-SA"/>
              </w:rPr>
              <w:t>:</w:t>
            </w:r>
            <w:r>
              <w:rPr>
                <w:rFonts w:hint="eastAsia"/>
                <w:b/>
                <w:bCs/>
                <w:color w:val="0000FF"/>
                <w:sz w:val="24"/>
                <w:szCs w:val="21"/>
                <w:highlight w:val="none"/>
                <w:lang w:val="en-US" w:eastAsia="zh-CN" w:bidi="ar-SA"/>
              </w:rPr>
              <w:t>00</w:t>
            </w:r>
            <w:r>
              <w:rPr>
                <w:rFonts w:hint="eastAsia"/>
                <w:b/>
                <w:bCs/>
                <w:color w:val="0000FF"/>
                <w:sz w:val="24"/>
                <w:szCs w:val="21"/>
                <w:highlight w:val="none"/>
                <w:lang w:val="en-US" w:bidi="ar-SA"/>
              </w:rPr>
              <w:t>（北京时间)，逾期恕不接受</w:t>
            </w:r>
            <w:r>
              <w:rPr>
                <w:rFonts w:hint="eastAsia"/>
                <w:b/>
                <w:bCs/>
                <w:color w:val="095CF5"/>
                <w:sz w:val="24"/>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29</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eastAsia" w:ascii="BRGEKD+??¨¬?" w:hAnsi="BRGEKD+??¨¬?" w:cs="BRGEKD+??¨¬?"/>
                <w:spacing w:val="-1"/>
                <w:sz w:val="24"/>
                <w:szCs w:val="24"/>
                <w:lang w:val="en-US" w:bidi="ar-SA"/>
              </w:rPr>
              <w:t>首次递交竞争性磋商响应文件地点及磋商地点</w:t>
            </w:r>
          </w:p>
        </w:tc>
        <w:tc>
          <w:tcPr>
            <w:tcW w:w="6357" w:type="dxa"/>
            <w:vAlign w:val="center"/>
          </w:tcPr>
          <w:p>
            <w:pPr>
              <w:keepNext w:val="0"/>
              <w:keepLines w:val="0"/>
              <w:suppressLineNumbers w:val="0"/>
              <w:adjustRightInd w:val="0"/>
              <w:spacing w:before="0" w:beforeAutospacing="0" w:after="0" w:afterAutospacing="0" w:line="440" w:lineRule="exact"/>
              <w:ind w:left="0" w:right="0"/>
              <w:rPr>
                <w:rFonts w:hint="default"/>
                <w:color w:val="000000"/>
                <w:sz w:val="24"/>
                <w:szCs w:val="21"/>
                <w:lang w:val="en-US" w:bidi="ar-SA"/>
              </w:rPr>
            </w:pPr>
            <w:r>
              <w:rPr>
                <w:rFonts w:hint="eastAsia"/>
                <w:color w:val="000000"/>
                <w:sz w:val="24"/>
                <w:szCs w:val="21"/>
                <w:lang w:val="en-US" w:bidi="ar-SA"/>
              </w:rPr>
              <w:t>地点：各供应商应在响应文件提交截止时间前，通过“政采云”平台（</w:t>
            </w:r>
            <w:r>
              <w:rPr>
                <w:rFonts w:hint="default"/>
                <w:color w:val="000000"/>
                <w:sz w:val="24"/>
                <w:szCs w:val="21"/>
                <w:lang w:val="en-US" w:bidi="ar-SA"/>
              </w:rPr>
              <w:t>https://www.zcygov.cn</w:t>
            </w:r>
            <w:r>
              <w:rPr>
                <w:rFonts w:hint="eastAsia"/>
                <w:color w:val="000000"/>
                <w:sz w:val="24"/>
                <w:szCs w:val="21"/>
                <w:lang w:val="en-US" w:bidi="ar-SA"/>
              </w:rPr>
              <w:t>）上传加密的电子响应文件。</w:t>
            </w:r>
          </w:p>
          <w:p>
            <w:pPr>
              <w:keepNext w:val="0"/>
              <w:keepLines w:val="0"/>
              <w:suppressLineNumbers w:val="0"/>
              <w:adjustRightInd w:val="0"/>
              <w:spacing w:before="0" w:beforeAutospacing="0" w:after="0" w:afterAutospacing="0" w:line="440" w:lineRule="exact"/>
              <w:ind w:left="0" w:right="0" w:firstLine="360" w:firstLineChars="150"/>
              <w:rPr>
                <w:rFonts w:hint="default" w:eastAsia="Times New Roman" w:cs="Times New Roman"/>
                <w:color w:val="FF0000"/>
                <w:sz w:val="24"/>
                <w:szCs w:val="24"/>
                <w:lang w:val="en-US" w:bidi="ar-SA"/>
              </w:rPr>
            </w:pPr>
            <w:r>
              <w:rPr>
                <w:rFonts w:hint="eastAsia"/>
                <w:color w:val="000000"/>
                <w:sz w:val="24"/>
                <w:szCs w:val="21"/>
                <w:lang w:val="en-US" w:bidi="ar-SA"/>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w:t>
            </w:r>
            <w:r>
              <w:rPr>
                <w:rFonts w:hint="default"/>
                <w:color w:val="000000"/>
                <w:sz w:val="24"/>
                <w:szCs w:val="21"/>
                <w:lang w:val="en-US" w:bidi="ar-SA"/>
              </w:rPr>
              <w:t>400-881-7190</w:t>
            </w:r>
            <w:r>
              <w:rPr>
                <w:rFonts w:hint="eastAsia"/>
                <w:color w:val="000000"/>
                <w:sz w:val="24"/>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ascii="Times New Roman" w:hAnsi="Times New Roman" w:cs="Times New Roman"/>
                <w:sz w:val="24"/>
                <w:szCs w:val="24"/>
                <w:lang w:val="en-US" w:bidi="ar-SA"/>
              </w:rPr>
              <w:t>30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磋商小组的组建</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磋商小组的构成：采购人代表</w:t>
            </w:r>
            <w:r>
              <w:rPr>
                <w:rFonts w:hint="default" w:cs="Times New Roman"/>
                <w:sz w:val="24"/>
                <w:szCs w:val="24"/>
                <w:lang w:val="en-US" w:bidi="ar-SA"/>
              </w:rPr>
              <w:t xml:space="preserve"> </w:t>
            </w:r>
            <w:r>
              <w:rPr>
                <w:rFonts w:hint="eastAsia" w:cs="Times New Roman"/>
                <w:sz w:val="24"/>
                <w:szCs w:val="24"/>
                <w:lang w:val="en-US" w:eastAsia="zh-CN" w:bidi="ar-SA"/>
              </w:rPr>
              <w:t>0</w:t>
            </w:r>
            <w:r>
              <w:rPr>
                <w:rFonts w:hint="eastAsia" w:cs="Times New Roman"/>
                <w:sz w:val="24"/>
                <w:szCs w:val="24"/>
                <w:lang w:val="en-US" w:bidi="ar-SA"/>
              </w:rPr>
              <w:t>人，专家库中随机抽取</w:t>
            </w:r>
            <w:r>
              <w:rPr>
                <w:rFonts w:hint="eastAsia" w:cs="Times New Roman"/>
                <w:sz w:val="24"/>
                <w:szCs w:val="24"/>
                <w:lang w:val="en-US" w:eastAsia="zh-CN" w:bidi="ar-SA"/>
              </w:rPr>
              <w:t>3</w:t>
            </w:r>
            <w:r>
              <w:rPr>
                <w:rFonts w:hint="eastAsia" w:cs="Times New Roman"/>
                <w:sz w:val="24"/>
                <w:szCs w:val="24"/>
                <w:lang w:val="en-US" w:bidi="ar-SA"/>
              </w:rPr>
              <w:t>人，共</w:t>
            </w:r>
            <w:r>
              <w:rPr>
                <w:rFonts w:hint="default" w:cs="Times New Roman"/>
                <w:sz w:val="24"/>
                <w:szCs w:val="24"/>
                <w:lang w:val="en-US" w:bidi="ar-SA"/>
              </w:rPr>
              <w:t>3</w:t>
            </w:r>
            <w:r>
              <w:rPr>
                <w:rFonts w:hint="eastAsia" w:cs="Times New Roman"/>
                <w:sz w:val="24"/>
                <w:szCs w:val="24"/>
                <w:lang w:val="en-US" w:bidi="ar-SA"/>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ascii="Times New Roman" w:hAnsi="Times New Roman" w:cs="Times New Roman"/>
                <w:sz w:val="24"/>
                <w:szCs w:val="24"/>
                <w:lang w:val="en-US" w:bidi="ar-SA"/>
              </w:rPr>
              <w:t>31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是否授权磋商小组确定中标人</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否，推荐的中标候选人数</w:t>
            </w:r>
            <w:r>
              <w:rPr>
                <w:rFonts w:hint="default" w:cs="Times New Roman"/>
                <w:sz w:val="24"/>
                <w:szCs w:val="24"/>
                <w:u w:val="single"/>
                <w:lang w:val="en-US" w:bidi="ar-SA"/>
              </w:rPr>
              <w:t>3</w:t>
            </w:r>
            <w:r>
              <w:rPr>
                <w:rFonts w:hint="eastAsia" w:cs="Times New Roman"/>
                <w:sz w:val="24"/>
                <w:szCs w:val="24"/>
                <w:lang w:val="en-US"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32</w:t>
            </w:r>
          </w:p>
        </w:tc>
        <w:tc>
          <w:tcPr>
            <w:tcW w:w="2142" w:type="dxa"/>
            <w:vAlign w:val="center"/>
          </w:tcPr>
          <w:p>
            <w:pPr>
              <w:pStyle w:val="22"/>
              <w:keepNext w:val="0"/>
              <w:keepLines w:val="0"/>
              <w:suppressLineNumbers w:val="0"/>
              <w:tabs>
                <w:tab w:val="left" w:pos="470"/>
              </w:tabs>
              <w:adjustRightInd w:val="0"/>
              <w:spacing w:before="0" w:beforeAutospacing="0" w:after="0" w:afterAutospacing="0" w:line="360" w:lineRule="auto"/>
              <w:ind w:left="0" w:right="0" w:firstLine="240" w:firstLineChars="100"/>
              <w:jc w:val="center"/>
              <w:rPr>
                <w:rFonts w:hint="default"/>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履约保证金</w:t>
            </w:r>
          </w:p>
        </w:tc>
        <w:tc>
          <w:tcPr>
            <w:tcW w:w="6357" w:type="dxa"/>
            <w:vAlign w:val="center"/>
          </w:tcPr>
          <w:p>
            <w:pPr>
              <w:pStyle w:val="22"/>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是否要求中标人提交履约保证金： </w:t>
            </w:r>
          </w:p>
          <w:p>
            <w:pPr>
              <w:pStyle w:val="22"/>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 xml:space="preserve">要求，履约保证金的形式：银行保函或现金、支票形 </w:t>
            </w:r>
          </w:p>
          <w:p>
            <w:pPr>
              <w:pStyle w:val="22"/>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式</w:t>
            </w:r>
          </w:p>
          <w:p>
            <w:pPr>
              <w:pStyle w:val="22"/>
              <w:keepNext w:val="0"/>
              <w:keepLines w:val="0"/>
              <w:suppressLineNumbers w:val="0"/>
              <w:tabs>
                <w:tab w:val="left" w:pos="470"/>
              </w:tabs>
              <w:spacing w:before="0" w:beforeAutospacing="0" w:after="0" w:afterAutospacing="0" w:line="440" w:lineRule="exact"/>
              <w:ind w:left="0" w:right="0" w:firstLine="240" w:firstLineChars="10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履约保证金的金额：</w:t>
            </w:r>
            <w:r>
              <w:rPr>
                <w:rFonts w:hint="eastAsia"/>
                <w:color w:val="000000" w:themeColor="text1"/>
                <w:sz w:val="24"/>
                <w:szCs w:val="24"/>
                <w:u w:val="single"/>
                <w:lang w:val="en-US" w:eastAsia="zh-CN"/>
                <w14:textFill>
                  <w14:solidFill>
                    <w14:schemeClr w14:val="tx1"/>
                  </w14:solidFill>
                </w14:textFill>
              </w:rPr>
              <w:t>3</w:t>
            </w:r>
            <w:r>
              <w:rPr>
                <w:rFonts w:hint="eastAsia"/>
                <w:color w:val="000000" w:themeColor="text1"/>
                <w:sz w:val="24"/>
                <w:szCs w:val="24"/>
                <w:u w:val="single"/>
                <w:lang w:val="en-US"/>
                <w14:textFill>
                  <w14:solidFill>
                    <w14:schemeClr w14:val="tx1"/>
                  </w14:solidFill>
                </w14:textFill>
              </w:rPr>
              <w:t>%</w:t>
            </w:r>
            <w:r>
              <w:rPr>
                <w:rFonts w:hint="eastAsia"/>
                <w:color w:val="000000" w:themeColor="text1"/>
                <w:sz w:val="24"/>
                <w:szCs w:val="24"/>
                <w:lang w:val="en-US"/>
                <w14:textFill>
                  <w14:solidFill>
                    <w14:schemeClr w14:val="tx1"/>
                  </w14:solidFill>
                </w14:textFill>
              </w:rPr>
              <w:t>签约合同价，被交通运输厅农村公路建设从业单位信用评价评为信用等级的中标人，履约保证金金额为</w:t>
            </w:r>
            <w:r>
              <w:rPr>
                <w:rFonts w:hint="eastAsia"/>
                <w:color w:val="000000" w:themeColor="text1"/>
                <w:sz w:val="24"/>
                <w:szCs w:val="24"/>
                <w:u w:val="single"/>
                <w:lang w:val="en-US"/>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3</w:t>
            </w:r>
            <w:r>
              <w:rPr>
                <w:rFonts w:hint="eastAsia"/>
                <w:color w:val="000000" w:themeColor="text1"/>
                <w:sz w:val="24"/>
                <w:szCs w:val="24"/>
                <w:u w:val="single"/>
                <w:lang w:val="en-US"/>
                <w14:textFill>
                  <w14:solidFill>
                    <w14:schemeClr w14:val="tx1"/>
                  </w14:solidFill>
                </w14:textFill>
              </w:rPr>
              <w:t xml:space="preserve">% </w:t>
            </w:r>
            <w:r>
              <w:rPr>
                <w:rFonts w:hint="eastAsia"/>
                <w:color w:val="000000" w:themeColor="text1"/>
                <w:sz w:val="24"/>
                <w:szCs w:val="24"/>
                <w:lang w:val="en-US"/>
                <w14:textFill>
                  <w14:solidFill>
                    <w14:schemeClr w14:val="tx1"/>
                  </w14:solidFill>
                </w14:textFill>
              </w:rPr>
              <w:t>签约合同价</w:t>
            </w:r>
          </w:p>
          <w:p>
            <w:pPr>
              <w:pStyle w:val="22"/>
              <w:keepNext w:val="0"/>
              <w:keepLines w:val="0"/>
              <w:suppressLineNumbers w:val="0"/>
              <w:tabs>
                <w:tab w:val="left" w:pos="470"/>
              </w:tabs>
              <w:spacing w:before="0" w:beforeAutospacing="0" w:after="0" w:afterAutospacing="0" w:line="440" w:lineRule="exact"/>
              <w:ind w:left="0" w:right="0" w:firstLine="240" w:firstLineChars="10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采用银行保函时，出具保函的银行级别：应为国有商业银行或股份制银行的支行及其以上的银行。</w:t>
            </w:r>
          </w:p>
          <w:p>
            <w:pPr>
              <w:pStyle w:val="22"/>
              <w:keepNext w:val="0"/>
              <w:keepLines w:val="0"/>
              <w:suppressLineNumbers w:val="0"/>
              <w:tabs>
                <w:tab w:val="left" w:pos="470"/>
              </w:tabs>
              <w:adjustRightInd w:val="0"/>
              <w:spacing w:before="0" w:beforeAutospacing="0" w:after="0" w:afterAutospacing="0" w:line="440" w:lineRule="exact"/>
              <w:ind w:left="0" w:right="0"/>
              <w:rPr>
                <w:rFonts w:hint="default" w:cs="Times New Roman"/>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33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农民工工资保证金</w:t>
            </w:r>
          </w:p>
        </w:tc>
        <w:tc>
          <w:tcPr>
            <w:tcW w:w="6357" w:type="dxa"/>
            <w:vAlign w:val="center"/>
          </w:tcPr>
          <w:p>
            <w:pPr>
              <w:pStyle w:val="22"/>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是否要求中标人提交农民工工资保证金： </w:t>
            </w:r>
          </w:p>
          <w:p>
            <w:pPr>
              <w:pStyle w:val="22"/>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要求</w:t>
            </w:r>
          </w:p>
          <w:p>
            <w:pPr>
              <w:pStyle w:val="22"/>
              <w:keepNext w:val="0"/>
              <w:keepLines w:val="0"/>
              <w:suppressLineNumbers w:val="0"/>
              <w:tabs>
                <w:tab w:val="left" w:pos="470"/>
              </w:tabs>
              <w:spacing w:before="0" w:beforeAutospacing="0" w:after="0" w:afterAutospacing="0" w:line="440" w:lineRule="exact"/>
              <w:ind w:left="0" w:right="0"/>
              <w:rPr>
                <w:rFonts w:hint="default"/>
                <w:color w:val="auto"/>
                <w:sz w:val="24"/>
                <w:szCs w:val="24"/>
                <w:highlight w:val="none"/>
              </w:rPr>
            </w:pPr>
            <w:r>
              <w:rPr>
                <w:rFonts w:hint="eastAsia"/>
                <w:color w:val="auto"/>
                <w:sz w:val="24"/>
                <w:szCs w:val="24"/>
                <w:highlight w:val="none"/>
                <w:lang w:val="en-US"/>
              </w:rPr>
              <w:t>农民工工资保证金的金额及缴纳形式：</w:t>
            </w:r>
            <w:r>
              <w:rPr>
                <w:rFonts w:hint="eastAsia"/>
                <w:color w:val="auto"/>
                <w:sz w:val="24"/>
                <w:szCs w:val="24"/>
                <w:highlight w:val="none"/>
                <w:u w:val="single"/>
                <w:lang w:val="en-US"/>
              </w:rPr>
              <w:t>根据当地人社局劳动监察部门的相关规定缴纳，并须按采购人要求提供相关凭证</w:t>
            </w:r>
            <w:r>
              <w:rPr>
                <w:rFonts w:hint="eastAsia"/>
                <w:color w:val="auto"/>
                <w:sz w:val="24"/>
                <w:szCs w:val="24"/>
                <w:highlight w:val="none"/>
                <w:lang w:val="en-US"/>
              </w:rPr>
              <w:t>。</w:t>
            </w:r>
          </w:p>
          <w:p>
            <w:pPr>
              <w:pStyle w:val="22"/>
              <w:keepNext w:val="0"/>
              <w:keepLines w:val="0"/>
              <w:suppressLineNumbers w:val="0"/>
              <w:tabs>
                <w:tab w:val="left" w:pos="470"/>
              </w:tabs>
              <w:spacing w:before="0" w:beforeAutospacing="0" w:after="0" w:afterAutospacing="0" w:line="440" w:lineRule="exact"/>
              <w:ind w:left="0" w:right="0"/>
              <w:rPr>
                <w:rFonts w:hint="default" w:cs="Times New Roman"/>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知识产权</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bookmarkStart w:id="114" w:name="_GoBack"/>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35</w:t>
            </w:r>
          </w:p>
        </w:tc>
        <w:tc>
          <w:tcPr>
            <w:tcW w:w="2142" w:type="dxa"/>
            <w:vAlign w:val="center"/>
          </w:tcPr>
          <w:p>
            <w:pPr>
              <w:keepNext w:val="0"/>
              <w:keepLines w:val="0"/>
              <w:suppressLineNumbers w:val="0"/>
              <w:adjustRightInd w:val="0"/>
              <w:spacing w:before="0" w:beforeAutospacing="0" w:after="0" w:afterAutospacing="0" w:line="400" w:lineRule="exact"/>
              <w:ind w:left="0" w:right="0" w:firstLine="240" w:firstLineChars="10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招标代理服务费</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default"/>
                <w:lang w:val="en-US"/>
              </w:rPr>
            </w:pPr>
            <w:r>
              <w:rPr>
                <w:rFonts w:hint="default"/>
                <w:lang w:val="en-US" w:eastAsia="zh-CN"/>
              </w:rPr>
              <w:t>根据发改价格【2015】299号文参照国家计委计价格【2002】1980 号文计取招标代理服务费</w:t>
            </w:r>
            <w:r>
              <w:rPr>
                <w:rFonts w:hint="eastAsia"/>
                <w:lang w:val="en-US" w:eastAsia="zh-CN"/>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36</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解释权</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eastAsia" w:cs="Times New Roman"/>
                <w:sz w:val="24"/>
                <w:szCs w:val="24"/>
                <w:lang w:val="en-US" w:bidi="ar-SA"/>
              </w:rPr>
              <w:t>37</w:t>
            </w:r>
          </w:p>
        </w:tc>
        <w:tc>
          <w:tcPr>
            <w:tcW w:w="2142" w:type="dxa"/>
            <w:vAlign w:val="center"/>
          </w:tcPr>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eastAsia"/>
                <w:color w:val="000000"/>
                <w:sz w:val="24"/>
                <w:szCs w:val="21"/>
                <w:lang w:val="en-US" w:bidi="ar-SA"/>
              </w:rPr>
              <w:t>政府采购政策支持</w:t>
            </w:r>
          </w:p>
        </w:tc>
        <w:tc>
          <w:tcPr>
            <w:tcW w:w="6357" w:type="dxa"/>
          </w:tcPr>
          <w:p>
            <w:pPr>
              <w:keepNext w:val="0"/>
              <w:keepLines w:val="0"/>
              <w:suppressLineNumbers w:val="0"/>
              <w:adjustRightInd w:val="0"/>
              <w:snapToGrid w:val="0"/>
              <w:spacing w:before="0" w:beforeAutospacing="0" w:after="0" w:afterAutospacing="0" w:line="440" w:lineRule="exact"/>
              <w:ind w:left="0" w:right="0"/>
              <w:rPr>
                <w:rFonts w:hint="default" w:hAnsi="Times New Roman"/>
                <w:color w:val="000000"/>
                <w:sz w:val="24"/>
                <w:szCs w:val="21"/>
                <w:lang w:val="en-US" w:bidi="ar-SA"/>
              </w:rPr>
            </w:pPr>
            <w:r>
              <w:rPr>
                <w:rFonts w:hint="eastAsia"/>
                <w:b/>
                <w:highlight w:val="none"/>
                <w:lang w:val="en-US"/>
              </w:rPr>
              <w:t>本项目为中小企业/小微企业预留</w:t>
            </w:r>
          </w:p>
        </w:tc>
      </w:tr>
    </w:tbl>
    <w:p>
      <w:pPr>
        <w:kinsoku w:val="0"/>
        <w:overflowPunct w:val="0"/>
        <w:adjustRightInd w:val="0"/>
        <w:spacing w:before="7" w:line="400" w:lineRule="exact"/>
        <w:jc w:val="both"/>
        <w:outlineLvl w:val="1"/>
        <w:rPr>
          <w:rFonts w:eastAsia="Times New Roman" w:cs="Times New Roman"/>
          <w:b/>
          <w:sz w:val="24"/>
          <w:szCs w:val="24"/>
          <w:lang w:val="en-US" w:bidi="ar-SA"/>
        </w:rPr>
      </w:pPr>
    </w:p>
    <w:p>
      <w:pPr>
        <w:kinsoku w:val="0"/>
        <w:overflowPunct w:val="0"/>
        <w:adjustRightInd w:val="0"/>
        <w:spacing w:line="400" w:lineRule="exact"/>
        <w:rPr>
          <w:rFonts w:eastAsia="Times New Roman" w:cs="Times New Roman"/>
          <w:sz w:val="24"/>
          <w:szCs w:val="24"/>
          <w:lang w:val="en-US" w:bidi="ar-SA"/>
        </w:rPr>
      </w:pPr>
    </w:p>
    <w:p>
      <w:pPr>
        <w:rPr>
          <w:rFonts w:cs="Times New Roman"/>
          <w:b/>
          <w:sz w:val="30"/>
          <w:szCs w:val="24"/>
          <w:lang w:val="en-US" w:bidi="ar-SA"/>
        </w:rPr>
      </w:pPr>
      <w:r>
        <w:rPr>
          <w:rFonts w:hint="eastAsia" w:cs="Times New Roman"/>
          <w:b/>
          <w:sz w:val="30"/>
          <w:szCs w:val="24"/>
          <w:lang w:val="en-US" w:bidi="ar-SA"/>
        </w:rPr>
        <w:br w:type="page"/>
      </w:r>
    </w:p>
    <w:p>
      <w:pPr>
        <w:kinsoku w:val="0"/>
        <w:overflowPunct w:val="0"/>
        <w:adjustRightInd w:val="0"/>
        <w:spacing w:before="7"/>
        <w:ind w:left="3596" w:right="3620"/>
        <w:jc w:val="center"/>
        <w:outlineLvl w:val="1"/>
        <w:rPr>
          <w:rFonts w:eastAsia="Times New Roman" w:cs="Times New Roman"/>
          <w:sz w:val="30"/>
          <w:szCs w:val="24"/>
          <w:lang w:val="en-US" w:bidi="ar-SA"/>
        </w:rPr>
      </w:pPr>
      <w:r>
        <w:rPr>
          <w:rFonts w:hint="eastAsia" w:cs="Times New Roman"/>
          <w:b/>
          <w:sz w:val="30"/>
          <w:szCs w:val="24"/>
          <w:lang w:val="en-US" w:bidi="ar-SA"/>
        </w:rPr>
        <w:t>二、磋商须知</w:t>
      </w:r>
    </w:p>
    <w:p>
      <w:pPr>
        <w:kinsoku w:val="0"/>
        <w:overflowPunct w:val="0"/>
        <w:adjustRightInd w:val="0"/>
        <w:spacing w:before="236"/>
        <w:ind w:left="3596" w:right="3615"/>
        <w:jc w:val="center"/>
        <w:outlineLvl w:val="4"/>
        <w:rPr>
          <w:rFonts w:eastAsia="Times New Roman" w:cs="Times New Roman"/>
          <w:sz w:val="24"/>
          <w:szCs w:val="24"/>
          <w:lang w:val="en-US" w:bidi="ar-SA"/>
        </w:rPr>
      </w:pPr>
      <w:r>
        <w:rPr>
          <w:rFonts w:hint="eastAsia" w:cs="Times New Roman"/>
          <w:b/>
          <w:sz w:val="24"/>
          <w:szCs w:val="24"/>
          <w:lang w:val="en-US" w:bidi="ar-SA"/>
        </w:rPr>
        <w:t>（一）总则</w:t>
      </w:r>
    </w:p>
    <w:p>
      <w:pPr>
        <w:kinsoku w:val="0"/>
        <w:overflowPunct w:val="0"/>
        <w:adjustRightInd w:val="0"/>
        <w:spacing w:before="10"/>
        <w:rPr>
          <w:rFonts w:eastAsia="Times New Roman" w:cs="Times New Roman"/>
          <w:b/>
          <w:sz w:val="16"/>
          <w:szCs w:val="24"/>
          <w:lang w:val="en-US" w:bidi="ar-SA"/>
        </w:rPr>
      </w:pPr>
    </w:p>
    <w:p>
      <w:pPr>
        <w:adjustRightInd w:val="0"/>
        <w:spacing w:line="440" w:lineRule="exact"/>
        <w:ind w:firstLine="482" w:firstLineChars="200"/>
        <w:jc w:val="both"/>
        <w:outlineLvl w:val="2"/>
        <w:rPr>
          <w:rFonts w:cs="Times New Roman"/>
          <w:b/>
          <w:kern w:val="2"/>
          <w:sz w:val="24"/>
          <w:szCs w:val="24"/>
          <w:lang w:val="en-US" w:bidi="ar-SA"/>
        </w:rPr>
      </w:pPr>
      <w:bookmarkStart w:id="0" w:name="_Toc179632547"/>
      <w:bookmarkStart w:id="1" w:name="_Toc152042306"/>
      <w:bookmarkStart w:id="2" w:name="_Toc144974498"/>
      <w:bookmarkStart w:id="3" w:name="_Toc325103231"/>
      <w:bookmarkStart w:id="4" w:name="_Toc324362060"/>
      <w:bookmarkStart w:id="5" w:name="_Toc324362191"/>
      <w:bookmarkStart w:id="6" w:name="_Toc152045530"/>
      <w:r>
        <w:rPr>
          <w:rFonts w:cs="Times New Roman"/>
          <w:b/>
          <w:kern w:val="2"/>
          <w:sz w:val="24"/>
          <w:szCs w:val="24"/>
          <w:lang w:val="en-US" w:bidi="ar-SA"/>
        </w:rPr>
        <w:t>1.</w:t>
      </w:r>
      <w:r>
        <w:rPr>
          <w:rFonts w:hint="eastAsia" w:cs="Times New Roman"/>
          <w:b/>
          <w:kern w:val="2"/>
          <w:sz w:val="24"/>
          <w:szCs w:val="24"/>
          <w:lang w:val="en-US" w:bidi="ar-SA"/>
        </w:rPr>
        <w:t>项目概况</w:t>
      </w:r>
      <w:bookmarkEnd w:id="0"/>
      <w:bookmarkEnd w:id="1"/>
      <w:bookmarkEnd w:id="2"/>
      <w:bookmarkEnd w:id="3"/>
      <w:bookmarkEnd w:id="4"/>
      <w:bookmarkEnd w:id="5"/>
      <w:bookmarkEnd w:id="6"/>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1.1 </w:t>
      </w:r>
      <w:r>
        <w:rPr>
          <w:rFonts w:hint="eastAsia" w:ascii="Times New Roman" w:hAnsi="Times New Roman" w:cs="Times New Roman"/>
          <w:sz w:val="24"/>
          <w:szCs w:val="24"/>
          <w:lang w:val="en-US" w:bidi="ar-SA"/>
        </w:rPr>
        <w:t>本项目按照有关法律、法规和规章，通过竞争性磋商方式，择优选定施工企业。</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1.2 </w:t>
      </w:r>
      <w:r>
        <w:rPr>
          <w:rFonts w:hint="eastAsia" w:cs="Times New Roman"/>
          <w:sz w:val="24"/>
          <w:szCs w:val="24"/>
          <w:lang w:val="en-US" w:bidi="ar-SA"/>
        </w:rPr>
        <w:t>本项目采购人：见磋商须知前附表。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1.3 </w:t>
      </w:r>
      <w:r>
        <w:rPr>
          <w:rFonts w:hint="eastAsia" w:cs="Times New Roman"/>
          <w:sz w:val="24"/>
          <w:szCs w:val="24"/>
          <w:lang w:val="en-US" w:bidi="ar-SA"/>
        </w:rPr>
        <w:t>本项目招标代理机构：见磋商须知前附表。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1.4 </w:t>
      </w:r>
      <w:r>
        <w:rPr>
          <w:rFonts w:hint="eastAsia" w:cs="Times New Roman"/>
          <w:sz w:val="24"/>
          <w:szCs w:val="24"/>
          <w:lang w:val="en-US" w:bidi="ar-SA"/>
        </w:rPr>
        <w:t>本项目名称：见磋商须知前附表。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1.5 </w:t>
      </w:r>
      <w:r>
        <w:rPr>
          <w:rFonts w:hint="eastAsia" w:cs="Times New Roman"/>
          <w:sz w:val="24"/>
          <w:szCs w:val="24"/>
          <w:lang w:val="en-US" w:bidi="ar-SA"/>
        </w:rPr>
        <w:t>本项目建设地点：见磋商须知前附表。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7" w:name="_Toc152045531"/>
      <w:bookmarkStart w:id="8" w:name="_Toc324362061"/>
      <w:bookmarkStart w:id="9" w:name="_Toc144974499"/>
      <w:bookmarkStart w:id="10" w:name="_Toc324362192"/>
      <w:bookmarkStart w:id="11" w:name="_Toc152042307"/>
      <w:bookmarkStart w:id="12" w:name="_Toc179632548"/>
      <w:bookmarkStart w:id="13" w:name="_Toc325103232"/>
      <w:r>
        <w:rPr>
          <w:rFonts w:cs="Times New Roman"/>
          <w:b/>
          <w:kern w:val="2"/>
          <w:sz w:val="24"/>
          <w:szCs w:val="24"/>
          <w:lang w:val="en-US" w:bidi="ar-SA"/>
        </w:rPr>
        <w:t xml:space="preserve">2. </w:t>
      </w:r>
      <w:r>
        <w:rPr>
          <w:rFonts w:hint="eastAsia" w:cs="Times New Roman"/>
          <w:b/>
          <w:kern w:val="2"/>
          <w:sz w:val="24"/>
          <w:szCs w:val="24"/>
          <w:lang w:val="en-US" w:bidi="ar-SA"/>
        </w:rPr>
        <w:t>资金来源和落实情况</w:t>
      </w:r>
      <w:bookmarkEnd w:id="7"/>
      <w:bookmarkEnd w:id="8"/>
      <w:bookmarkEnd w:id="9"/>
      <w:bookmarkEnd w:id="10"/>
      <w:bookmarkEnd w:id="11"/>
      <w:bookmarkEnd w:id="12"/>
      <w:bookmarkEnd w:id="13"/>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2.1 </w:t>
      </w:r>
      <w:r>
        <w:rPr>
          <w:rFonts w:hint="eastAsia" w:cs="Times New Roman"/>
          <w:sz w:val="24"/>
          <w:szCs w:val="24"/>
          <w:lang w:val="en-US" w:bidi="ar-SA"/>
        </w:rPr>
        <w:t>本项目的资金来源：见磋商须知前附表。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2.2 </w:t>
      </w:r>
      <w:r>
        <w:rPr>
          <w:rFonts w:hint="eastAsia" w:cs="Times New Roman"/>
          <w:sz w:val="24"/>
          <w:szCs w:val="24"/>
          <w:lang w:val="en-US" w:bidi="ar-SA"/>
        </w:rPr>
        <w:t>本项目的出资比例：见磋商须知前附表。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2.3 </w:t>
      </w:r>
      <w:r>
        <w:rPr>
          <w:rFonts w:hint="eastAsia" w:cs="Times New Roman"/>
          <w:sz w:val="24"/>
          <w:szCs w:val="24"/>
          <w:lang w:val="en-US" w:bidi="ar-SA"/>
        </w:rPr>
        <w:t>本项目的资金落实情况：见磋商须知前附表。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14" w:name="_Toc324362193"/>
      <w:bookmarkStart w:id="15" w:name="_Toc144974500"/>
      <w:bookmarkStart w:id="16" w:name="_Toc152045532"/>
      <w:bookmarkStart w:id="17" w:name="_Toc179632549"/>
      <w:bookmarkStart w:id="18" w:name="_Toc325103233"/>
      <w:bookmarkStart w:id="19" w:name="_Toc152042308"/>
      <w:bookmarkStart w:id="20" w:name="_Toc324362062"/>
      <w:r>
        <w:rPr>
          <w:rFonts w:cs="Times New Roman"/>
          <w:b/>
          <w:kern w:val="2"/>
          <w:sz w:val="24"/>
          <w:szCs w:val="24"/>
          <w:lang w:val="en-US" w:bidi="ar-SA"/>
        </w:rPr>
        <w:t xml:space="preserve">3. </w:t>
      </w:r>
      <w:r>
        <w:rPr>
          <w:rFonts w:hint="eastAsia" w:cs="Times New Roman"/>
          <w:b/>
          <w:kern w:val="2"/>
          <w:sz w:val="24"/>
          <w:szCs w:val="24"/>
          <w:lang w:val="en-US" w:bidi="ar-SA"/>
        </w:rPr>
        <w:t>招标范围</w:t>
      </w:r>
      <w:bookmarkEnd w:id="14"/>
      <w:bookmarkEnd w:id="15"/>
      <w:bookmarkEnd w:id="16"/>
      <w:bookmarkEnd w:id="17"/>
      <w:bookmarkEnd w:id="18"/>
      <w:bookmarkEnd w:id="19"/>
      <w:bookmarkEnd w:id="20"/>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3.1 </w:t>
      </w:r>
      <w:r>
        <w:rPr>
          <w:rFonts w:hint="eastAsia" w:cs="Times New Roman"/>
          <w:sz w:val="24"/>
          <w:szCs w:val="24"/>
          <w:lang w:val="en-US" w:bidi="ar-SA"/>
        </w:rPr>
        <w:t>本次招标范围：见磋商须知前附表。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21" w:name="_Toc325103234"/>
      <w:bookmarkStart w:id="22" w:name="_Toc152042310"/>
      <w:bookmarkStart w:id="23" w:name="_Toc152045534"/>
      <w:bookmarkStart w:id="24" w:name="_Toc144974502"/>
      <w:bookmarkStart w:id="25" w:name="_Toc179632551"/>
      <w:bookmarkStart w:id="26" w:name="_Toc324362194"/>
      <w:bookmarkStart w:id="27" w:name="_Toc324362063"/>
      <w:r>
        <w:rPr>
          <w:rFonts w:cs="Times New Roman"/>
          <w:b/>
          <w:kern w:val="2"/>
          <w:sz w:val="24"/>
          <w:szCs w:val="24"/>
          <w:lang w:val="en-US" w:bidi="ar-SA"/>
        </w:rPr>
        <w:t xml:space="preserve">4. </w:t>
      </w:r>
      <w:r>
        <w:rPr>
          <w:rFonts w:hint="eastAsia" w:cs="Times New Roman"/>
          <w:b/>
          <w:kern w:val="2"/>
          <w:sz w:val="24"/>
          <w:szCs w:val="24"/>
          <w:lang w:val="en-US" w:bidi="ar-SA"/>
        </w:rPr>
        <w:t>供应商资格要求</w:t>
      </w:r>
      <w:bookmarkEnd w:id="21"/>
      <w:bookmarkEnd w:id="22"/>
      <w:bookmarkEnd w:id="23"/>
      <w:bookmarkEnd w:id="24"/>
      <w:bookmarkEnd w:id="25"/>
      <w:bookmarkEnd w:id="26"/>
      <w:bookmarkEnd w:id="27"/>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4.1 </w:t>
      </w:r>
      <w:r>
        <w:rPr>
          <w:rFonts w:hint="eastAsia" w:cs="Times New Roman"/>
          <w:sz w:val="24"/>
          <w:szCs w:val="24"/>
          <w:lang w:val="en-US" w:bidi="ar-SA"/>
        </w:rPr>
        <w:t>供应商应具备的资质条件、能力和信誉：见磋商须知前附表。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28" w:name="_Toc179632552"/>
      <w:bookmarkStart w:id="29" w:name="_Toc152045535"/>
      <w:bookmarkStart w:id="30" w:name="_Toc144974503"/>
      <w:bookmarkStart w:id="31" w:name="_Toc324362195"/>
      <w:bookmarkStart w:id="32" w:name="_Toc324362064"/>
      <w:bookmarkStart w:id="33" w:name="_Toc152042311"/>
      <w:bookmarkStart w:id="34" w:name="_Toc325103235"/>
      <w:r>
        <w:rPr>
          <w:rFonts w:cs="Times New Roman"/>
          <w:b/>
          <w:kern w:val="2"/>
          <w:sz w:val="24"/>
          <w:szCs w:val="24"/>
          <w:lang w:val="en-US" w:bidi="ar-SA"/>
        </w:rPr>
        <w:t xml:space="preserve">5. </w:t>
      </w:r>
      <w:r>
        <w:rPr>
          <w:rFonts w:hint="eastAsia" w:cs="Times New Roman"/>
          <w:b/>
          <w:kern w:val="2"/>
          <w:sz w:val="24"/>
          <w:szCs w:val="24"/>
          <w:lang w:val="en-US" w:bidi="ar-SA"/>
        </w:rPr>
        <w:t>费用承担</w:t>
      </w:r>
      <w:bookmarkEnd w:id="28"/>
      <w:bookmarkEnd w:id="29"/>
      <w:bookmarkEnd w:id="30"/>
      <w:bookmarkEnd w:id="31"/>
      <w:bookmarkEnd w:id="32"/>
      <w:bookmarkEnd w:id="33"/>
      <w:bookmarkEnd w:id="34"/>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供应商准备和参加投标活动发生的费用自理。</w:t>
      </w:r>
    </w:p>
    <w:p>
      <w:pPr>
        <w:adjustRightInd w:val="0"/>
        <w:spacing w:line="440" w:lineRule="exact"/>
        <w:ind w:firstLine="482" w:firstLineChars="200"/>
        <w:jc w:val="both"/>
        <w:outlineLvl w:val="2"/>
        <w:rPr>
          <w:rFonts w:cs="Times New Roman"/>
          <w:b/>
          <w:kern w:val="2"/>
          <w:sz w:val="24"/>
          <w:szCs w:val="24"/>
          <w:lang w:val="en-US" w:bidi="ar-SA"/>
        </w:rPr>
      </w:pPr>
      <w:bookmarkStart w:id="35" w:name="_Toc324362065"/>
      <w:bookmarkStart w:id="36" w:name="_Toc144974504"/>
      <w:bookmarkStart w:id="37" w:name="_Toc152042312"/>
      <w:bookmarkStart w:id="38" w:name="_Toc179632553"/>
      <w:bookmarkStart w:id="39" w:name="_Toc325103236"/>
      <w:bookmarkStart w:id="40" w:name="_Toc152045536"/>
      <w:bookmarkStart w:id="41" w:name="_Toc324362196"/>
      <w:r>
        <w:rPr>
          <w:rFonts w:cs="Times New Roman"/>
          <w:b/>
          <w:kern w:val="2"/>
          <w:sz w:val="24"/>
          <w:szCs w:val="24"/>
          <w:lang w:val="en-US" w:bidi="ar-SA"/>
        </w:rPr>
        <w:t xml:space="preserve">6. </w:t>
      </w:r>
      <w:r>
        <w:rPr>
          <w:rFonts w:hint="eastAsia" w:cs="Times New Roman"/>
          <w:b/>
          <w:kern w:val="2"/>
          <w:sz w:val="24"/>
          <w:szCs w:val="24"/>
          <w:lang w:val="en-US" w:bidi="ar-SA"/>
        </w:rPr>
        <w:t>保密</w:t>
      </w:r>
      <w:bookmarkEnd w:id="35"/>
      <w:bookmarkEnd w:id="36"/>
      <w:bookmarkEnd w:id="37"/>
      <w:bookmarkEnd w:id="38"/>
      <w:bookmarkEnd w:id="39"/>
      <w:bookmarkEnd w:id="40"/>
      <w:bookmarkEnd w:id="41"/>
    </w:p>
    <w:p>
      <w:pPr>
        <w:adjustRightInd w:val="0"/>
        <w:spacing w:line="440" w:lineRule="exact"/>
        <w:ind w:firstLine="480" w:firstLineChars="200"/>
        <w:rPr>
          <w:rFonts w:cs="Times New Roman"/>
          <w:sz w:val="24"/>
          <w:szCs w:val="24"/>
          <w:lang w:val="en-US" w:bidi="ar-SA"/>
        </w:rPr>
      </w:pPr>
      <w:r>
        <w:rPr>
          <w:rFonts w:hint="eastAsia" w:cs="Times New Roman"/>
          <w:sz w:val="24"/>
          <w:szCs w:val="24"/>
          <w:lang w:val="en-US" w:bidi="ar-SA"/>
        </w:rPr>
        <w:t>参与招标投标活动的各方应对磋商文件和响应文件中的商业和技术等秘密保密，违者应对由此造成的后果承担法律责任。</w:t>
      </w:r>
    </w:p>
    <w:p>
      <w:pPr>
        <w:adjustRightInd w:val="0"/>
        <w:spacing w:line="440" w:lineRule="exact"/>
        <w:ind w:firstLine="482" w:firstLineChars="200"/>
        <w:jc w:val="both"/>
        <w:outlineLvl w:val="2"/>
        <w:rPr>
          <w:rFonts w:cs="Times New Roman"/>
          <w:b/>
          <w:kern w:val="2"/>
          <w:sz w:val="24"/>
          <w:szCs w:val="24"/>
          <w:lang w:val="en-US" w:bidi="ar-SA"/>
        </w:rPr>
      </w:pPr>
      <w:bookmarkStart w:id="42" w:name="_Toc144974505"/>
      <w:bookmarkStart w:id="43" w:name="_Toc324362197"/>
      <w:bookmarkStart w:id="44" w:name="_Toc325103237"/>
      <w:bookmarkStart w:id="45" w:name="_Toc152042313"/>
      <w:bookmarkStart w:id="46" w:name="_Toc324362066"/>
      <w:bookmarkStart w:id="47" w:name="_Toc179632554"/>
      <w:bookmarkStart w:id="48" w:name="_Toc152045537"/>
      <w:r>
        <w:rPr>
          <w:rFonts w:cs="Times New Roman"/>
          <w:b/>
          <w:kern w:val="2"/>
          <w:sz w:val="24"/>
          <w:szCs w:val="24"/>
          <w:lang w:val="en-US" w:bidi="ar-SA"/>
        </w:rPr>
        <w:t xml:space="preserve">7. </w:t>
      </w:r>
      <w:r>
        <w:rPr>
          <w:rFonts w:hint="eastAsia" w:cs="Times New Roman"/>
          <w:b/>
          <w:kern w:val="2"/>
          <w:sz w:val="24"/>
          <w:szCs w:val="24"/>
          <w:lang w:val="en-US" w:bidi="ar-SA"/>
        </w:rPr>
        <w:t>语言</w:t>
      </w:r>
      <w:bookmarkEnd w:id="42"/>
      <w:r>
        <w:rPr>
          <w:rFonts w:hint="eastAsia" w:cs="Times New Roman"/>
          <w:b/>
          <w:kern w:val="2"/>
          <w:sz w:val="24"/>
          <w:szCs w:val="24"/>
          <w:lang w:val="en-US" w:bidi="ar-SA"/>
        </w:rPr>
        <w:t>文字</w:t>
      </w:r>
      <w:bookmarkEnd w:id="43"/>
      <w:bookmarkEnd w:id="44"/>
      <w:bookmarkEnd w:id="45"/>
      <w:bookmarkEnd w:id="46"/>
      <w:bookmarkEnd w:id="47"/>
      <w:bookmarkEnd w:id="48"/>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除专用术语外，与招标投标有关的语言均使用中文。必要时专用术语应附有中文注释。</w:t>
      </w:r>
    </w:p>
    <w:p>
      <w:pPr>
        <w:adjustRightInd w:val="0"/>
        <w:spacing w:line="440" w:lineRule="exact"/>
        <w:ind w:firstLine="482" w:firstLineChars="200"/>
        <w:jc w:val="both"/>
        <w:outlineLvl w:val="2"/>
        <w:rPr>
          <w:rFonts w:cs="Times New Roman"/>
          <w:b/>
          <w:kern w:val="2"/>
          <w:sz w:val="24"/>
          <w:szCs w:val="24"/>
          <w:lang w:val="en-US" w:bidi="ar-SA"/>
        </w:rPr>
      </w:pPr>
      <w:bookmarkStart w:id="49" w:name="_Toc144974506"/>
      <w:bookmarkStart w:id="50" w:name="_Toc325103238"/>
      <w:bookmarkStart w:id="51" w:name="_Toc324362198"/>
      <w:bookmarkStart w:id="52" w:name="_Toc179632555"/>
      <w:bookmarkStart w:id="53" w:name="_Toc324362067"/>
      <w:bookmarkStart w:id="54" w:name="_Toc152042314"/>
      <w:bookmarkStart w:id="55" w:name="_Toc152045538"/>
      <w:r>
        <w:rPr>
          <w:rFonts w:cs="Times New Roman"/>
          <w:b/>
          <w:kern w:val="2"/>
          <w:sz w:val="24"/>
          <w:szCs w:val="24"/>
          <w:lang w:val="en-US" w:bidi="ar-SA"/>
        </w:rPr>
        <w:t>8.</w:t>
      </w:r>
      <w:r>
        <w:rPr>
          <w:rFonts w:hint="eastAsia" w:cs="Times New Roman"/>
          <w:b/>
          <w:kern w:val="2"/>
          <w:sz w:val="24"/>
          <w:szCs w:val="24"/>
          <w:lang w:val="en-US" w:bidi="ar-SA"/>
        </w:rPr>
        <w:t>计量单位</w:t>
      </w:r>
      <w:bookmarkEnd w:id="49"/>
      <w:bookmarkEnd w:id="50"/>
      <w:bookmarkEnd w:id="51"/>
      <w:bookmarkEnd w:id="52"/>
      <w:bookmarkEnd w:id="53"/>
      <w:bookmarkEnd w:id="54"/>
      <w:bookmarkEnd w:id="55"/>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所有计量均采用中华人民共和国法定计量单位。</w:t>
      </w:r>
    </w:p>
    <w:p>
      <w:pPr>
        <w:adjustRightInd w:val="0"/>
        <w:spacing w:line="440" w:lineRule="exact"/>
        <w:ind w:firstLine="482" w:firstLineChars="200"/>
        <w:jc w:val="both"/>
        <w:outlineLvl w:val="2"/>
        <w:rPr>
          <w:rFonts w:cs="Times New Roman"/>
          <w:b/>
          <w:kern w:val="2"/>
          <w:sz w:val="24"/>
          <w:szCs w:val="24"/>
          <w:lang w:val="en-US" w:bidi="ar-SA"/>
        </w:rPr>
      </w:pPr>
      <w:bookmarkStart w:id="56" w:name="_Toc152045540"/>
      <w:bookmarkStart w:id="57" w:name="_Toc325103240"/>
      <w:bookmarkStart w:id="58" w:name="_Toc324362200"/>
      <w:bookmarkStart w:id="59" w:name="_Toc179632557"/>
      <w:bookmarkStart w:id="60" w:name="_Toc324362069"/>
      <w:bookmarkStart w:id="61" w:name="_Toc152042316"/>
      <w:bookmarkStart w:id="62" w:name="_Toc144974508"/>
      <w:r>
        <w:rPr>
          <w:rFonts w:cs="Times New Roman"/>
          <w:b/>
          <w:kern w:val="2"/>
          <w:sz w:val="24"/>
          <w:szCs w:val="24"/>
          <w:lang w:val="en-US" w:bidi="ar-SA"/>
        </w:rPr>
        <w:t xml:space="preserve">9. </w:t>
      </w:r>
      <w:bookmarkEnd w:id="56"/>
      <w:bookmarkEnd w:id="57"/>
      <w:bookmarkEnd w:id="58"/>
      <w:bookmarkEnd w:id="59"/>
      <w:bookmarkEnd w:id="60"/>
      <w:bookmarkEnd w:id="61"/>
      <w:bookmarkEnd w:id="62"/>
      <w:r>
        <w:rPr>
          <w:rFonts w:hint="eastAsia" w:cs="Times New Roman"/>
          <w:b/>
          <w:kern w:val="2"/>
          <w:sz w:val="24"/>
          <w:szCs w:val="24"/>
          <w:lang w:val="en-US" w:bidi="ar-SA"/>
        </w:rPr>
        <w:t>投标答疑</w:t>
      </w:r>
    </w:p>
    <w:p>
      <w:pPr>
        <w:adjustRightInd w:val="0"/>
        <w:spacing w:line="440" w:lineRule="exact"/>
        <w:ind w:firstLine="480" w:firstLineChars="200"/>
        <w:rPr>
          <w:rFonts w:ascii="Times New Roman" w:hAnsi="Times New Roman" w:eastAsia="Times New Roman" w:cs="Times New Roman"/>
          <w:sz w:val="24"/>
          <w:szCs w:val="24"/>
          <w:lang w:val="en-US" w:bidi="ar-SA"/>
        </w:rPr>
      </w:pPr>
      <w:bookmarkStart w:id="63" w:name="_Toc324362201"/>
      <w:bookmarkStart w:id="64" w:name="_Toc179632558"/>
      <w:bookmarkStart w:id="65" w:name="_Toc325103241"/>
      <w:bookmarkStart w:id="66" w:name="_Toc144974509"/>
      <w:bookmarkStart w:id="67" w:name="_Toc324362070"/>
      <w:bookmarkStart w:id="68" w:name="_Toc152045541"/>
      <w:bookmarkStart w:id="69" w:name="_Toc152042317"/>
      <w:r>
        <w:rPr>
          <w:rFonts w:hint="eastAsia" w:cs="Times New Roman"/>
          <w:sz w:val="24"/>
          <w:szCs w:val="24"/>
          <w:lang w:val="en-US" w:bidi="ar-SA"/>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kinsoku w:val="0"/>
        <w:overflowPunct w:val="0"/>
        <w:adjustRightInd w:val="0"/>
        <w:spacing w:before="57" w:line="440" w:lineRule="exact"/>
        <w:ind w:left="591"/>
        <w:rPr>
          <w:rFonts w:eastAsia="Times New Roman" w:cs="Times New Roman"/>
          <w:b/>
          <w:sz w:val="24"/>
          <w:szCs w:val="24"/>
          <w:lang w:val="en-US" w:bidi="ar-SA"/>
        </w:rPr>
      </w:pPr>
      <w:r>
        <w:rPr>
          <w:rFonts w:cs="Times New Roman"/>
          <w:b/>
          <w:sz w:val="24"/>
          <w:szCs w:val="24"/>
          <w:lang w:val="en-US" w:bidi="ar-SA"/>
        </w:rPr>
        <w:t>10</w:t>
      </w:r>
      <w:r>
        <w:rPr>
          <w:rFonts w:hint="eastAsia" w:cs="Times New Roman"/>
          <w:b/>
          <w:sz w:val="24"/>
          <w:szCs w:val="24"/>
          <w:lang w:val="en-US" w:bidi="ar-SA"/>
        </w:rPr>
        <w:t>、踏勘现场</w:t>
      </w:r>
    </w:p>
    <w:p>
      <w:pPr>
        <w:pStyle w:val="11"/>
        <w:kinsoku w:val="0"/>
        <w:overflowPunct w:val="0"/>
        <w:spacing w:line="440" w:lineRule="exact"/>
        <w:ind w:left="111" w:right="110" w:firstLine="480"/>
        <w:rPr>
          <w:rFonts w:eastAsia="Times New Roman" w:cs="Times New Roman"/>
          <w:spacing w:val="-4"/>
          <w:lang w:val="en-US" w:bidi="ar-SA"/>
        </w:rPr>
      </w:pPr>
      <w:r>
        <w:rPr>
          <w:rFonts w:cs="Times New Roman"/>
          <w:lang w:val="en-US" w:bidi="ar-SA"/>
        </w:rPr>
        <w:t>10.1</w:t>
      </w:r>
      <w:r>
        <w:rPr>
          <w:rFonts w:hint="eastAsia" w:cs="Times New Roman"/>
          <w:lang w:val="en-US" w:bidi="ar-SA"/>
        </w:rPr>
        <w:t xml:space="preserve"> </w:t>
      </w:r>
      <w:r>
        <w:rPr>
          <w:rFonts w:hint="eastAsia"/>
        </w:rPr>
        <w:t>各投标供应商应认真踏勘施工现场，了解工程建设地点的地形位置，材料运输储存条件，掌握有关可能影响投标报价的因素和情况，投标人一旦中标后不得以不完全了解现场情况为借口而增加造价和延长工期。</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cs="Times New Roman"/>
          <w:sz w:val="24"/>
          <w:szCs w:val="24"/>
          <w:lang w:val="en-US" w:bidi="ar-SA"/>
        </w:rPr>
        <w:t>10.2</w:t>
      </w:r>
      <w:r>
        <w:rPr>
          <w:rFonts w:hint="eastAsia" w:cs="Times New Roman"/>
          <w:sz w:val="24"/>
          <w:szCs w:val="24"/>
          <w:lang w:val="en-US" w:bidi="ar-SA"/>
        </w:rPr>
        <w:t xml:space="preserve"> 采购人向供应商提供的有关现场的数据和资料，是采购人现有的能被供应商利用的资料，采购人对供应商做出的任何推论、理解和结论均不负责任。</w:t>
      </w:r>
    </w:p>
    <w:p>
      <w:pPr>
        <w:kinsoku w:val="0"/>
        <w:overflowPunct w:val="0"/>
        <w:adjustRightInd w:val="0"/>
        <w:spacing w:before="57" w:line="440" w:lineRule="exact"/>
        <w:ind w:left="111" w:right="110" w:firstLine="480"/>
        <w:rPr>
          <w:rFonts w:eastAsia="Times New Roman" w:cs="Times New Roman"/>
          <w:b/>
          <w:sz w:val="24"/>
          <w:szCs w:val="24"/>
          <w:lang w:val="en-US" w:bidi="ar-SA"/>
        </w:rPr>
      </w:pPr>
      <w:r>
        <w:rPr>
          <w:rFonts w:cs="Times New Roman"/>
          <w:sz w:val="24"/>
          <w:szCs w:val="24"/>
          <w:lang w:val="en-US" w:bidi="ar-SA"/>
        </w:rPr>
        <w:t>10.3</w:t>
      </w:r>
      <w:r>
        <w:rPr>
          <w:rFonts w:hint="eastAsia" w:cs="Times New Roman"/>
          <w:sz w:val="24"/>
          <w:szCs w:val="24"/>
          <w:lang w:val="en-US" w:bidi="ar-SA"/>
        </w:rPr>
        <w:t xml:space="preserve"> 经采购人允许，供应商可为踏勘目的进入采购人的项目现场，但供应商不得因此使采购人承担有关的责任和蒙受损失。供应商应承担踏勘现场的责任和风险。</w:t>
      </w:r>
    </w:p>
    <w:p>
      <w:pPr>
        <w:kinsoku w:val="0"/>
        <w:overflowPunct w:val="0"/>
        <w:adjustRightInd w:val="0"/>
        <w:spacing w:before="178"/>
        <w:ind w:right="59"/>
        <w:jc w:val="center"/>
        <w:rPr>
          <w:rFonts w:eastAsia="Times New Roman" w:cs="Times New Roman"/>
          <w:b/>
          <w:sz w:val="24"/>
          <w:szCs w:val="24"/>
          <w:lang w:val="en-US" w:bidi="ar-SA"/>
        </w:rPr>
      </w:pPr>
    </w:p>
    <w:p>
      <w:pPr>
        <w:kinsoku w:val="0"/>
        <w:overflowPunct w:val="0"/>
        <w:adjustRightInd w:val="0"/>
        <w:spacing w:before="178"/>
        <w:ind w:right="59"/>
        <w:jc w:val="center"/>
        <w:rPr>
          <w:rFonts w:eastAsia="Times New Roman" w:cs="Times New Roman"/>
          <w:sz w:val="24"/>
          <w:szCs w:val="24"/>
          <w:lang w:val="en-US" w:bidi="ar-SA"/>
        </w:rPr>
      </w:pPr>
      <w:r>
        <w:rPr>
          <w:rFonts w:hint="eastAsia" w:cs="Times New Roman"/>
          <w:b/>
          <w:sz w:val="24"/>
          <w:szCs w:val="24"/>
          <w:lang w:val="en-US" w:bidi="ar-SA"/>
        </w:rPr>
        <w:t>（二）磋商文件</w:t>
      </w:r>
    </w:p>
    <w:p>
      <w:pPr>
        <w:kinsoku w:val="0"/>
        <w:overflowPunct w:val="0"/>
        <w:adjustRightInd w:val="0"/>
        <w:spacing w:before="10"/>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11</w:t>
      </w:r>
      <w:r>
        <w:rPr>
          <w:rFonts w:hint="eastAsia" w:cs="Times New Roman"/>
          <w:b/>
          <w:sz w:val="24"/>
          <w:szCs w:val="24"/>
          <w:lang w:val="en-US" w:bidi="ar-SA"/>
        </w:rPr>
        <w:t>、磋商文件的组成</w:t>
      </w:r>
    </w:p>
    <w:p>
      <w:pPr>
        <w:kinsoku w:val="0"/>
        <w:overflowPunct w:val="0"/>
        <w:adjustRightInd w:val="0"/>
        <w:spacing w:line="440" w:lineRule="exact"/>
        <w:ind w:left="591" w:right="4672"/>
        <w:rPr>
          <w:rFonts w:cs="Times New Roman"/>
          <w:sz w:val="24"/>
          <w:szCs w:val="24"/>
          <w:lang w:val="en-US" w:bidi="ar-SA"/>
        </w:rPr>
      </w:pPr>
      <w:r>
        <w:rPr>
          <w:rFonts w:cs="Times New Roman"/>
          <w:sz w:val="24"/>
          <w:szCs w:val="24"/>
          <w:lang w:val="en-US" w:bidi="ar-SA"/>
        </w:rPr>
        <w:t>11.1</w:t>
      </w:r>
      <w:r>
        <w:rPr>
          <w:rFonts w:hint="eastAsia" w:cs="Times New Roman"/>
          <w:sz w:val="24"/>
          <w:szCs w:val="24"/>
          <w:lang w:val="en-US" w:bidi="ar-SA"/>
        </w:rPr>
        <w:t>磋商文件包括下列内容：</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竞争性磋商公告</w:t>
      </w:r>
    </w:p>
    <w:p>
      <w:pPr>
        <w:numPr>
          <w:ilvl w:val="0"/>
          <w:numId w:val="3"/>
        </w:num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磋商须知前附表及磋商须知</w:t>
      </w:r>
    </w:p>
    <w:p>
      <w:pPr>
        <w:numPr>
          <w:ilvl w:val="0"/>
          <w:numId w:val="3"/>
        </w:num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合同条款及格式</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第三章</w:t>
      </w:r>
      <w:r>
        <w:rPr>
          <w:rFonts w:eastAsia="Times New Roman" w:cs="Times New Roman"/>
          <w:sz w:val="24"/>
          <w:szCs w:val="24"/>
          <w:lang w:val="en-US" w:bidi="ar-SA"/>
        </w:rPr>
        <w:tab/>
      </w:r>
      <w:r>
        <w:rPr>
          <w:rFonts w:hint="eastAsia" w:cs="Times New Roman"/>
          <w:sz w:val="24"/>
          <w:szCs w:val="24"/>
          <w:lang w:val="en-US" w:bidi="ar-SA"/>
        </w:rPr>
        <w:t>工程量清单</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第四章</w:t>
      </w:r>
      <w:r>
        <w:rPr>
          <w:rFonts w:eastAsia="Times New Roman" w:cs="Times New Roman"/>
          <w:sz w:val="24"/>
          <w:szCs w:val="24"/>
          <w:lang w:val="en-US" w:bidi="ar-SA"/>
        </w:rPr>
        <w:tab/>
      </w:r>
      <w:r>
        <w:rPr>
          <w:rFonts w:hint="eastAsia" w:cs="Times New Roman"/>
          <w:sz w:val="24"/>
          <w:szCs w:val="24"/>
          <w:lang w:val="en-US" w:bidi="ar-SA"/>
        </w:rPr>
        <w:t>图纸（另卷）</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第五章</w:t>
      </w:r>
      <w:r>
        <w:rPr>
          <w:rFonts w:eastAsia="Times New Roman" w:cs="Times New Roman"/>
          <w:sz w:val="24"/>
          <w:szCs w:val="24"/>
          <w:lang w:val="en-US" w:bidi="ar-SA"/>
        </w:rPr>
        <w:tab/>
      </w:r>
      <w:r>
        <w:rPr>
          <w:rFonts w:hint="eastAsia" w:eastAsia="Times New Roman" w:cs="Times New Roman"/>
          <w:sz w:val="24"/>
          <w:szCs w:val="24"/>
          <w:lang w:val="en-US" w:bidi="ar-SA"/>
        </w:rPr>
        <w:t>技术规范</w:t>
      </w:r>
    </w:p>
    <w:p>
      <w:p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第六章   工程量清单计量规则</w:t>
      </w:r>
    </w:p>
    <w:p>
      <w:p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第七章   响应文件格式</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第八章   评审方法及标准</w:t>
      </w:r>
    </w:p>
    <w:p>
      <w:pPr>
        <w:kinsoku w:val="0"/>
        <w:overflowPunct w:val="0"/>
        <w:adjustRightInd w:val="0"/>
        <w:spacing w:before="57" w:line="440" w:lineRule="exact"/>
        <w:ind w:firstLine="600" w:firstLineChars="250"/>
        <w:rPr>
          <w:rFonts w:cs="Times New Roman"/>
          <w:sz w:val="24"/>
          <w:szCs w:val="24"/>
          <w:lang w:val="en-US" w:bidi="ar-SA"/>
        </w:rPr>
      </w:pPr>
      <w:r>
        <w:rPr>
          <w:rFonts w:hint="eastAsia" w:cs="Times New Roman"/>
          <w:sz w:val="24"/>
          <w:szCs w:val="24"/>
          <w:lang w:val="en-US" w:bidi="ar-S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kinsoku w:val="0"/>
        <w:overflowPunct w:val="0"/>
        <w:adjustRightInd w:val="0"/>
        <w:spacing w:line="440" w:lineRule="exact"/>
        <w:ind w:left="591" w:right="112"/>
        <w:jc w:val="both"/>
        <w:rPr>
          <w:rFonts w:eastAsia="Times New Roman" w:cs="Times New Roman"/>
          <w:sz w:val="24"/>
          <w:szCs w:val="24"/>
          <w:lang w:val="en-US" w:bidi="ar-SA"/>
        </w:rPr>
      </w:pPr>
      <w:r>
        <w:rPr>
          <w:rFonts w:cs="Times New Roman"/>
          <w:b/>
          <w:sz w:val="24"/>
          <w:szCs w:val="24"/>
          <w:lang w:val="en-US" w:bidi="ar-SA"/>
        </w:rPr>
        <w:t>12</w:t>
      </w:r>
      <w:r>
        <w:rPr>
          <w:rFonts w:hint="eastAsia" w:cs="Times New Roman"/>
          <w:b/>
          <w:sz w:val="24"/>
          <w:szCs w:val="24"/>
          <w:lang w:val="en-US" w:bidi="ar-SA"/>
        </w:rPr>
        <w:t>、磋商文件的澄清</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12.1 </w:t>
      </w:r>
      <w:r>
        <w:rPr>
          <w:rFonts w:hint="eastAsia" w:cs="Times New Roman"/>
          <w:sz w:val="24"/>
          <w:szCs w:val="24"/>
          <w:lang w:val="en-US" w:bidi="ar-SA"/>
        </w:rPr>
        <w:t>若磋商供应商对采购文件有疑点或异议，可在知道或应知其权益受到损害之日起</w:t>
      </w:r>
      <w:r>
        <w:rPr>
          <w:rFonts w:cs="Times New Roman"/>
          <w:sz w:val="24"/>
          <w:szCs w:val="24"/>
          <w:lang w:val="en-US" w:bidi="ar-SA"/>
        </w:rPr>
        <w:t xml:space="preserve"> 7 </w:t>
      </w:r>
      <w:r>
        <w:rPr>
          <w:rFonts w:hint="eastAsia" w:cs="Times New Roman"/>
          <w:sz w:val="24"/>
          <w:szCs w:val="24"/>
          <w:lang w:val="en-US" w:bidi="ar-SA"/>
        </w:rPr>
        <w:t>个工作日内，将质疑书原件送达采购人或采购代理机构，采购人将视情况确定采用适当方式予以澄清或以书面形式予以答复。</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12.2 </w:t>
      </w:r>
      <w:r>
        <w:rPr>
          <w:rFonts w:hint="eastAsia" w:cs="Times New Roman"/>
          <w:sz w:val="24"/>
          <w:szCs w:val="24"/>
          <w:lang w:val="en-US" w:bidi="ar-S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12.3 </w:t>
      </w:r>
      <w:r>
        <w:rPr>
          <w:rFonts w:hint="eastAsia" w:cs="Times New Roman"/>
          <w:sz w:val="24"/>
          <w:szCs w:val="24"/>
          <w:lang w:val="en-US" w:bidi="ar-SA"/>
        </w:rPr>
        <w:t>更正或补充文件将作为采购文件的组成部分，对所有磋商供应商有约束力。当采购文件与更正或补充文件相矛盾时，以采购人最后发出的更正或补充文件为准。</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12.4 </w:t>
      </w:r>
      <w:r>
        <w:rPr>
          <w:rFonts w:hint="eastAsia" w:cs="Times New Roman"/>
          <w:sz w:val="24"/>
          <w:szCs w:val="24"/>
          <w:lang w:val="en-US" w:bidi="ar-SA"/>
        </w:rPr>
        <w:t>供应商在规定的时间内未对采购文件澄清或提出疑问的，采购代理机构将视其为同意。</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13</w:t>
      </w:r>
      <w:r>
        <w:rPr>
          <w:rFonts w:hint="eastAsia" w:cs="Times New Roman"/>
          <w:b/>
          <w:sz w:val="24"/>
          <w:szCs w:val="24"/>
          <w:lang w:val="en-US" w:bidi="ar-SA"/>
        </w:rPr>
        <w:t>、磋商文件的修改</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13.1</w:t>
      </w:r>
      <w:r>
        <w:rPr>
          <w:rFonts w:hint="eastAsia" w:cs="Times New Roman"/>
          <w:sz w:val="24"/>
          <w:szCs w:val="24"/>
          <w:lang w:val="en-US" w:bidi="ar-SA"/>
        </w:rPr>
        <w:t>磋商文件发出后</w:t>
      </w:r>
      <w:r>
        <w:rPr>
          <w:rFonts w:hint="eastAsia" w:cs="Times New Roman"/>
          <w:spacing w:val="-60"/>
          <w:sz w:val="24"/>
          <w:szCs w:val="24"/>
          <w:lang w:val="en-US" w:bidi="ar-SA"/>
        </w:rPr>
        <w:t>，</w:t>
      </w:r>
      <w:r>
        <w:rPr>
          <w:rFonts w:hint="eastAsia" w:cs="Times New Roman"/>
          <w:sz w:val="24"/>
          <w:szCs w:val="24"/>
          <w:lang w:val="en-US" w:bidi="ar-SA"/>
        </w:rPr>
        <w:t>在提交响应文件截止时间</w:t>
      </w:r>
      <w:r>
        <w:rPr>
          <w:rFonts w:cs="Times New Roman"/>
          <w:sz w:val="24"/>
          <w:szCs w:val="24"/>
          <w:lang w:val="en-US" w:bidi="ar-SA"/>
        </w:rPr>
        <w:t>5</w:t>
      </w:r>
      <w:r>
        <w:rPr>
          <w:rFonts w:hint="eastAsia" w:cs="Times New Roman"/>
          <w:sz w:val="24"/>
          <w:szCs w:val="24"/>
          <w:lang w:val="en-US" w:bidi="ar-SA"/>
        </w:rPr>
        <w:t>日前</w:t>
      </w:r>
      <w:r>
        <w:rPr>
          <w:rFonts w:hint="eastAsia" w:cs="Times New Roman"/>
          <w:spacing w:val="-60"/>
          <w:sz w:val="24"/>
          <w:szCs w:val="24"/>
          <w:lang w:val="en-US" w:bidi="ar-SA"/>
        </w:rPr>
        <w:t>，</w:t>
      </w:r>
      <w:r>
        <w:rPr>
          <w:rFonts w:hint="eastAsia" w:cs="Times New Roman"/>
          <w:sz w:val="24"/>
          <w:szCs w:val="24"/>
          <w:lang w:val="en-US" w:bidi="ar-SA"/>
        </w:rPr>
        <w:t>采购人可对磋商文件进行必要的澄清或修改。</w:t>
      </w:r>
    </w:p>
    <w:p>
      <w:pPr>
        <w:kinsoku w:val="0"/>
        <w:overflowPunct w:val="0"/>
        <w:adjustRightInd w:val="0"/>
        <w:spacing w:before="56" w:line="440" w:lineRule="exact"/>
        <w:ind w:left="591"/>
        <w:rPr>
          <w:rFonts w:cs="Times New Roman"/>
          <w:sz w:val="24"/>
          <w:szCs w:val="24"/>
          <w:u w:val="single"/>
          <w:lang w:val="en-US" w:bidi="ar-SA"/>
        </w:rPr>
      </w:pPr>
      <w:r>
        <w:rPr>
          <w:rFonts w:cs="Times New Roman"/>
          <w:sz w:val="24"/>
          <w:szCs w:val="24"/>
          <w:lang w:val="en-US" w:bidi="ar-SA"/>
        </w:rPr>
        <w:t>13.2</w:t>
      </w:r>
      <w:r>
        <w:rPr>
          <w:rFonts w:hint="eastAsia" w:cs="Times New Roman"/>
          <w:sz w:val="24"/>
          <w:szCs w:val="24"/>
          <w:lang w:val="en-US" w:bidi="ar-SA"/>
        </w:rPr>
        <w:t>磋商文件的修改将以书面形式发送给所有供应商</w:t>
      </w:r>
      <w:r>
        <w:rPr>
          <w:rFonts w:hint="eastAsia" w:cs="Times New Roman"/>
          <w:spacing w:val="-120"/>
          <w:sz w:val="24"/>
          <w:szCs w:val="24"/>
          <w:lang w:val="en-US" w:bidi="ar-SA"/>
        </w:rPr>
        <w:t>，</w:t>
      </w:r>
      <w:r>
        <w:rPr>
          <w:rFonts w:hint="eastAsia" w:cs="Times New Roman"/>
          <w:sz w:val="24"/>
          <w:szCs w:val="24"/>
          <w:lang w:val="en-US" w:bidi="ar-SA"/>
        </w:rPr>
        <w:t>供应商应于收到该修改文件后</w:t>
      </w:r>
      <w:r>
        <w:rPr>
          <w:rFonts w:cs="Times New Roman"/>
          <w:sz w:val="24"/>
          <w:szCs w:val="24"/>
          <w:u w:val="single"/>
          <w:lang w:val="en-US" w:bidi="ar-SA"/>
        </w:rPr>
        <w:t>1</w:t>
      </w:r>
    </w:p>
    <w:p>
      <w:pPr>
        <w:kinsoku w:val="0"/>
        <w:overflowPunct w:val="0"/>
        <w:adjustRightInd w:val="0"/>
        <w:spacing w:before="56" w:line="440" w:lineRule="exact"/>
        <w:rPr>
          <w:rFonts w:eastAsia="Times New Roman" w:cs="Times New Roman"/>
          <w:sz w:val="24"/>
          <w:szCs w:val="24"/>
          <w:lang w:val="en-US" w:bidi="ar-SA"/>
        </w:rPr>
      </w:pPr>
      <w:r>
        <w:rPr>
          <w:rFonts w:hint="eastAsia" w:cs="Times New Roman"/>
          <w:sz w:val="24"/>
          <w:szCs w:val="24"/>
          <w:lang w:val="en-US" w:bidi="ar-SA"/>
        </w:rPr>
        <w:t>日内以书面形式给予确认</w:t>
      </w:r>
      <w:r>
        <w:rPr>
          <w:rFonts w:hint="eastAsia" w:cs="Times New Roman"/>
          <w:spacing w:val="-32"/>
          <w:sz w:val="24"/>
          <w:szCs w:val="24"/>
          <w:lang w:val="en-US" w:bidi="ar-SA"/>
        </w:rPr>
        <w:t>。</w:t>
      </w:r>
      <w:r>
        <w:rPr>
          <w:rFonts w:hint="eastAsia" w:cs="Times New Roman"/>
          <w:sz w:val="24"/>
          <w:szCs w:val="24"/>
          <w:lang w:val="en-US" w:bidi="ar-SA"/>
        </w:rPr>
        <w:t>磋商文件的修改内容作为磋商文件的组成部</w:t>
      </w:r>
      <w:r>
        <w:rPr>
          <w:rFonts w:hint="eastAsia" w:cs="Times New Roman"/>
          <w:spacing w:val="2"/>
          <w:sz w:val="24"/>
          <w:szCs w:val="24"/>
          <w:lang w:val="en-US" w:bidi="ar-SA"/>
        </w:rPr>
        <w:t>分</w:t>
      </w:r>
      <w:r>
        <w:rPr>
          <w:rFonts w:hint="eastAsia" w:cs="Times New Roman"/>
          <w:spacing w:val="-32"/>
          <w:sz w:val="24"/>
          <w:szCs w:val="24"/>
          <w:lang w:val="en-US" w:bidi="ar-SA"/>
        </w:rPr>
        <w:t>，</w:t>
      </w:r>
      <w:r>
        <w:rPr>
          <w:rFonts w:hint="eastAsia" w:cs="Times New Roman"/>
          <w:sz w:val="24"/>
          <w:szCs w:val="24"/>
          <w:lang w:val="en-US" w:bidi="ar-SA"/>
        </w:rPr>
        <w:t>具有约束作用。</w:t>
      </w:r>
    </w:p>
    <w:p>
      <w:pPr>
        <w:kinsoku w:val="0"/>
        <w:overflowPunct w:val="0"/>
        <w:adjustRightInd w:val="0"/>
        <w:spacing w:before="56"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13.3</w:t>
      </w:r>
      <w:r>
        <w:rPr>
          <w:rFonts w:hint="eastAsia" w:cs="Times New Roman"/>
          <w:sz w:val="24"/>
          <w:szCs w:val="24"/>
          <w:lang w:val="en-US" w:bidi="ar-SA"/>
        </w:rPr>
        <w:t>磋商文件的澄清</w:t>
      </w:r>
      <w:r>
        <w:rPr>
          <w:rFonts w:hint="eastAsia" w:cs="Times New Roman"/>
          <w:spacing w:val="-41"/>
          <w:sz w:val="24"/>
          <w:szCs w:val="24"/>
          <w:lang w:val="en-US" w:bidi="ar-SA"/>
        </w:rPr>
        <w:t>、</w:t>
      </w:r>
      <w:r>
        <w:rPr>
          <w:rFonts w:hint="eastAsia" w:cs="Times New Roman"/>
          <w:sz w:val="24"/>
          <w:szCs w:val="24"/>
          <w:lang w:val="en-US" w:bidi="ar-SA"/>
        </w:rPr>
        <w:t>修改</w:t>
      </w:r>
      <w:r>
        <w:rPr>
          <w:rFonts w:hint="eastAsia" w:cs="Times New Roman"/>
          <w:spacing w:val="-39"/>
          <w:sz w:val="24"/>
          <w:szCs w:val="24"/>
          <w:lang w:val="en-US" w:bidi="ar-SA"/>
        </w:rPr>
        <w:t>、</w:t>
      </w:r>
      <w:r>
        <w:rPr>
          <w:rFonts w:hint="eastAsia" w:cs="Times New Roman"/>
          <w:sz w:val="24"/>
          <w:szCs w:val="24"/>
          <w:lang w:val="en-US" w:bidi="ar-SA"/>
        </w:rPr>
        <w:t>补充等内容均以书面形式明确的内容为准</w:t>
      </w:r>
      <w:r>
        <w:rPr>
          <w:rFonts w:hint="eastAsia" w:cs="Times New Roman"/>
          <w:spacing w:val="-41"/>
          <w:sz w:val="24"/>
          <w:szCs w:val="24"/>
          <w:lang w:val="en-US" w:bidi="ar-SA"/>
        </w:rPr>
        <w:t>。</w:t>
      </w:r>
      <w:r>
        <w:rPr>
          <w:rFonts w:hint="eastAsia" w:cs="Times New Roman"/>
          <w:sz w:val="24"/>
          <w:szCs w:val="24"/>
          <w:lang w:val="en-US" w:bidi="ar-SA"/>
        </w:rPr>
        <w:t>当磋商</w:t>
      </w:r>
      <w:r>
        <w:rPr>
          <w:rFonts w:hint="eastAsia" w:cs="Times New Roman"/>
          <w:spacing w:val="-2"/>
          <w:sz w:val="24"/>
          <w:szCs w:val="24"/>
          <w:lang w:val="en-US" w:bidi="ar-SA"/>
        </w:rPr>
        <w:t>文件、磋商文件的澄清、修改、补充等在同一内容的表述上不一致时，以最后发出的</w:t>
      </w:r>
      <w:r>
        <w:rPr>
          <w:rFonts w:hint="eastAsia" w:cs="Times New Roman"/>
          <w:sz w:val="24"/>
          <w:szCs w:val="24"/>
          <w:lang w:val="en-US" w:bidi="ar-SA"/>
        </w:rPr>
        <w:t>书面文件为准。</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13.4</w:t>
      </w:r>
      <w:r>
        <w:rPr>
          <w:rFonts w:hint="eastAsia" w:cs="Times New Roman"/>
          <w:sz w:val="24"/>
          <w:szCs w:val="24"/>
          <w:lang w:val="en-US" w:bidi="ar-SA"/>
        </w:rPr>
        <w:t>为使供应商在编制响应文件时有充分时间对磋商文件的澄清</w:t>
      </w:r>
      <w:r>
        <w:rPr>
          <w:rFonts w:hint="eastAsia" w:cs="Times New Roman"/>
          <w:spacing w:val="-60"/>
          <w:sz w:val="24"/>
          <w:szCs w:val="24"/>
          <w:lang w:val="en-US" w:bidi="ar-SA"/>
        </w:rPr>
        <w:t>、</w:t>
      </w:r>
      <w:r>
        <w:rPr>
          <w:rFonts w:hint="eastAsia" w:cs="Times New Roman"/>
          <w:sz w:val="24"/>
          <w:szCs w:val="24"/>
          <w:lang w:val="en-US" w:bidi="ar-SA"/>
        </w:rPr>
        <w:t>修改</w:t>
      </w:r>
      <w:r>
        <w:rPr>
          <w:rFonts w:hint="eastAsia" w:cs="Times New Roman"/>
          <w:spacing w:val="-60"/>
          <w:sz w:val="24"/>
          <w:szCs w:val="24"/>
          <w:lang w:val="en-US" w:bidi="ar-SA"/>
        </w:rPr>
        <w:t>、</w:t>
      </w:r>
      <w:r>
        <w:rPr>
          <w:rFonts w:hint="eastAsia" w:cs="Times New Roman"/>
          <w:sz w:val="24"/>
          <w:szCs w:val="24"/>
          <w:lang w:val="en-US" w:bidi="ar-SA"/>
        </w:rPr>
        <w:t>补充等内容进行研究</w:t>
      </w:r>
      <w:r>
        <w:rPr>
          <w:rFonts w:hint="eastAsia" w:cs="Times New Roman"/>
          <w:spacing w:val="-32"/>
          <w:sz w:val="24"/>
          <w:szCs w:val="24"/>
          <w:lang w:val="en-US" w:bidi="ar-SA"/>
        </w:rPr>
        <w:t>，</w:t>
      </w:r>
      <w:r>
        <w:rPr>
          <w:rFonts w:hint="eastAsia" w:cs="Times New Roman"/>
          <w:sz w:val="24"/>
          <w:szCs w:val="24"/>
          <w:lang w:val="en-US" w:bidi="ar-SA"/>
        </w:rPr>
        <w:t>采购人将酌情延长提交响应文件的截止时</w:t>
      </w:r>
      <w:r>
        <w:rPr>
          <w:rFonts w:hint="eastAsia" w:cs="Times New Roman"/>
          <w:spacing w:val="2"/>
          <w:sz w:val="24"/>
          <w:szCs w:val="24"/>
          <w:lang w:val="en-US" w:bidi="ar-SA"/>
        </w:rPr>
        <w:t>间</w:t>
      </w:r>
      <w:r>
        <w:rPr>
          <w:rFonts w:hint="eastAsia" w:cs="Times New Roman"/>
          <w:spacing w:val="-32"/>
          <w:sz w:val="24"/>
          <w:szCs w:val="24"/>
          <w:lang w:val="en-US" w:bidi="ar-SA"/>
        </w:rPr>
        <w:t>，</w:t>
      </w:r>
      <w:r>
        <w:rPr>
          <w:rFonts w:hint="eastAsia" w:cs="Times New Roman"/>
          <w:sz w:val="24"/>
          <w:szCs w:val="24"/>
          <w:lang w:val="en-US" w:bidi="ar-SA"/>
        </w:rPr>
        <w:t>具体时间将在磋商文件的修改、补充通知中予以明确。</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p>
    <w:p>
      <w:pPr>
        <w:kinsoku w:val="0"/>
        <w:overflowPunct w:val="0"/>
        <w:adjustRightInd w:val="0"/>
        <w:rPr>
          <w:rFonts w:eastAsia="Times New Roman" w:cs="Times New Roman"/>
          <w:sz w:val="24"/>
          <w:szCs w:val="24"/>
          <w:lang w:val="en-US" w:bidi="ar-SA"/>
        </w:rPr>
      </w:pPr>
    </w:p>
    <w:p>
      <w:pPr>
        <w:numPr>
          <w:ilvl w:val="0"/>
          <w:numId w:val="4"/>
        </w:numPr>
        <w:kinsoku w:val="0"/>
        <w:overflowPunct w:val="0"/>
        <w:adjustRightInd w:val="0"/>
        <w:spacing w:line="429" w:lineRule="auto"/>
        <w:ind w:left="591" w:right="110"/>
        <w:jc w:val="center"/>
        <w:outlineLvl w:val="4"/>
        <w:rPr>
          <w:rFonts w:eastAsia="Times New Roman" w:cs="Times New Roman"/>
          <w:b/>
          <w:spacing w:val="28"/>
          <w:w w:val="99"/>
          <w:sz w:val="24"/>
          <w:szCs w:val="24"/>
          <w:lang w:val="en-US" w:bidi="ar-SA"/>
        </w:rPr>
      </w:pPr>
      <w:r>
        <w:rPr>
          <w:rFonts w:hint="eastAsia" w:cs="Times New Roman"/>
          <w:b/>
          <w:w w:val="95"/>
          <w:sz w:val="24"/>
          <w:szCs w:val="24"/>
          <w:lang w:val="en-US" w:bidi="ar-SA"/>
        </w:rPr>
        <w:t>响应文件的编制</w:t>
      </w:r>
    </w:p>
    <w:p>
      <w:pPr>
        <w:kinsoku w:val="0"/>
        <w:overflowPunct w:val="0"/>
        <w:adjustRightInd w:val="0"/>
        <w:spacing w:line="440" w:lineRule="exact"/>
        <w:ind w:right="110" w:firstLine="482" w:firstLineChars="200"/>
        <w:outlineLvl w:val="4"/>
        <w:rPr>
          <w:rFonts w:eastAsia="Times New Roman" w:cs="Times New Roman"/>
          <w:sz w:val="24"/>
          <w:szCs w:val="24"/>
          <w:lang w:val="en-US" w:bidi="ar-SA"/>
        </w:rPr>
      </w:pPr>
      <w:r>
        <w:rPr>
          <w:rFonts w:cs="Times New Roman"/>
          <w:b/>
          <w:sz w:val="24"/>
          <w:szCs w:val="24"/>
          <w:lang w:val="en-US" w:bidi="ar-SA"/>
        </w:rPr>
        <w:t>14</w:t>
      </w:r>
      <w:r>
        <w:rPr>
          <w:rFonts w:hint="eastAsia" w:cs="Times New Roman"/>
          <w:b/>
          <w:sz w:val="24"/>
          <w:szCs w:val="24"/>
          <w:lang w:val="en-US" w:bidi="ar-SA"/>
        </w:rPr>
        <w:t>、响应文件的语言及度量衡单位</w:t>
      </w:r>
    </w:p>
    <w:p>
      <w:pPr>
        <w:kinsoku w:val="0"/>
        <w:overflowPunct w:val="0"/>
        <w:adjustRightInd w:val="0"/>
        <w:spacing w:before="56" w:line="440" w:lineRule="exact"/>
        <w:ind w:left="591"/>
        <w:rPr>
          <w:rFonts w:eastAsia="Times New Roman" w:cs="Times New Roman"/>
          <w:sz w:val="24"/>
          <w:szCs w:val="24"/>
          <w:lang w:val="en-US" w:bidi="ar-SA"/>
        </w:rPr>
      </w:pPr>
      <w:r>
        <w:rPr>
          <w:rFonts w:cs="Times New Roman"/>
          <w:sz w:val="24"/>
          <w:szCs w:val="24"/>
          <w:lang w:val="en-US" w:bidi="ar-SA"/>
        </w:rPr>
        <w:t>14.1</w:t>
      </w:r>
      <w:r>
        <w:rPr>
          <w:rFonts w:hint="eastAsia" w:cs="Times New Roman"/>
          <w:spacing w:val="-1"/>
          <w:sz w:val="24"/>
          <w:szCs w:val="24"/>
          <w:lang w:val="en-US" w:bidi="ar-SA"/>
        </w:rPr>
        <w:t>响应文件和与磋商有关的所有文件均应使用</w:t>
      </w:r>
      <w:r>
        <w:rPr>
          <w:rFonts w:hint="eastAsia" w:cs="Times New Roman"/>
          <w:sz w:val="24"/>
          <w:szCs w:val="24"/>
          <w:u w:val="single"/>
          <w:lang w:val="en-US" w:bidi="ar-SA"/>
        </w:rPr>
        <w:t>中文</w:t>
      </w:r>
      <w:r>
        <w:rPr>
          <w:rFonts w:hint="eastAsia" w:cs="Times New Roman"/>
          <w:sz w:val="24"/>
          <w:szCs w:val="24"/>
          <w:lang w:val="en-US" w:bidi="ar-SA"/>
        </w:rPr>
        <w:t>。</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14.2</w:t>
      </w:r>
      <w:r>
        <w:rPr>
          <w:rFonts w:hint="eastAsia" w:cs="Times New Roman"/>
          <w:sz w:val="24"/>
          <w:szCs w:val="24"/>
          <w:lang w:val="en-US" w:bidi="ar-SA"/>
        </w:rPr>
        <w:t>除工程规范另有规定外</w:t>
      </w:r>
      <w:r>
        <w:rPr>
          <w:rFonts w:hint="eastAsia" w:cs="Times New Roman"/>
          <w:spacing w:val="-60"/>
          <w:sz w:val="24"/>
          <w:szCs w:val="24"/>
          <w:lang w:val="en-US" w:bidi="ar-SA"/>
        </w:rPr>
        <w:t>，</w:t>
      </w:r>
      <w:r>
        <w:rPr>
          <w:rFonts w:hint="eastAsia" w:cs="Times New Roman"/>
          <w:sz w:val="24"/>
          <w:szCs w:val="24"/>
          <w:lang w:val="en-US" w:bidi="ar-SA"/>
        </w:rPr>
        <w:t>响应文件使用的度量衡单位</w:t>
      </w:r>
      <w:r>
        <w:rPr>
          <w:rFonts w:hint="eastAsia" w:cs="Times New Roman"/>
          <w:spacing w:val="-60"/>
          <w:sz w:val="24"/>
          <w:szCs w:val="24"/>
          <w:lang w:val="en-US" w:bidi="ar-SA"/>
        </w:rPr>
        <w:t>，</w:t>
      </w:r>
      <w:r>
        <w:rPr>
          <w:rFonts w:hint="eastAsia" w:cs="Times New Roman"/>
          <w:sz w:val="24"/>
          <w:szCs w:val="24"/>
          <w:lang w:val="en-US" w:bidi="ar-SA"/>
        </w:rPr>
        <w:t>均采用中华人民共和</w:t>
      </w:r>
    </w:p>
    <w:p>
      <w:pPr>
        <w:kinsoku w:val="0"/>
        <w:overflowPunct w:val="0"/>
        <w:adjustRightInd w:val="0"/>
        <w:spacing w:before="26" w:line="440" w:lineRule="exact"/>
        <w:ind w:left="591" w:right="5091" w:hanging="480"/>
        <w:rPr>
          <w:rFonts w:cs="Times New Roman"/>
          <w:sz w:val="24"/>
          <w:szCs w:val="24"/>
          <w:lang w:val="en-US" w:bidi="ar-SA"/>
        </w:rPr>
      </w:pPr>
      <w:r>
        <w:rPr>
          <w:rFonts w:hint="eastAsia" w:cs="Times New Roman"/>
          <w:sz w:val="24"/>
          <w:szCs w:val="24"/>
          <w:lang w:val="en-US" w:bidi="ar-SA"/>
        </w:rPr>
        <w:t>国法定计量单位。</w:t>
      </w:r>
    </w:p>
    <w:p>
      <w:pPr>
        <w:kinsoku w:val="0"/>
        <w:overflowPunct w:val="0"/>
        <w:adjustRightInd w:val="0"/>
        <w:spacing w:before="26" w:line="440" w:lineRule="exact"/>
        <w:ind w:left="541" w:leftChars="246" w:right="5091"/>
        <w:rPr>
          <w:rFonts w:cs="Times New Roman"/>
          <w:b/>
          <w:w w:val="95"/>
          <w:sz w:val="24"/>
          <w:szCs w:val="24"/>
          <w:lang w:val="en-US" w:bidi="ar-SA"/>
        </w:rPr>
      </w:pPr>
      <w:r>
        <w:rPr>
          <w:rFonts w:cs="Times New Roman"/>
          <w:b/>
          <w:w w:val="95"/>
          <w:sz w:val="24"/>
          <w:szCs w:val="24"/>
          <w:lang w:val="en-US" w:bidi="ar-SA"/>
        </w:rPr>
        <w:t>15</w:t>
      </w:r>
      <w:r>
        <w:rPr>
          <w:rFonts w:hint="eastAsia" w:cs="Times New Roman"/>
          <w:b/>
          <w:w w:val="95"/>
          <w:sz w:val="24"/>
          <w:szCs w:val="24"/>
          <w:lang w:val="en-US" w:bidi="ar-SA"/>
        </w:rPr>
        <w:t>、响应文件的组成</w:t>
      </w:r>
    </w:p>
    <w:p>
      <w:pPr>
        <w:kinsoku w:val="0"/>
        <w:overflowPunct w:val="0"/>
        <w:adjustRightInd w:val="0"/>
        <w:spacing w:line="440" w:lineRule="exact"/>
        <w:ind w:left="591"/>
        <w:rPr>
          <w:rFonts w:cs="Times New Roman"/>
          <w:sz w:val="24"/>
          <w:szCs w:val="24"/>
          <w:lang w:val="en-US" w:bidi="ar-SA"/>
        </w:rPr>
      </w:pPr>
      <w:r>
        <w:rPr>
          <w:rFonts w:hint="eastAsia" w:cs="Times New Roman"/>
          <w:sz w:val="24"/>
          <w:szCs w:val="24"/>
          <w:lang w:val="en-US" w:bidi="ar-SA"/>
        </w:rPr>
        <w:t>供应商投标时须提供加密的电子响应文件，按政采云平台供应商项目采购</w:t>
      </w:r>
      <w:r>
        <w:rPr>
          <w:rFonts w:cs="Times New Roman"/>
          <w:sz w:val="24"/>
          <w:szCs w:val="24"/>
          <w:lang w:val="en-US" w:bidi="ar-SA"/>
        </w:rPr>
        <w:t>-</w:t>
      </w:r>
      <w:r>
        <w:rPr>
          <w:rFonts w:hint="eastAsia" w:cs="Times New Roman"/>
          <w:sz w:val="24"/>
          <w:szCs w:val="24"/>
          <w:lang w:val="en-US" w:bidi="ar-SA"/>
        </w:rPr>
        <w:t>电子招</w:t>
      </w:r>
    </w:p>
    <w:p>
      <w:pPr>
        <w:kinsoku w:val="0"/>
        <w:overflowPunct w:val="0"/>
        <w:adjustRightInd w:val="0"/>
        <w:spacing w:line="440" w:lineRule="exact"/>
        <w:rPr>
          <w:rFonts w:cs="Times New Roman"/>
          <w:sz w:val="24"/>
          <w:szCs w:val="24"/>
          <w:lang w:val="en-US" w:bidi="ar-SA"/>
        </w:rPr>
      </w:pPr>
      <w:r>
        <w:rPr>
          <w:rFonts w:hint="eastAsia" w:cs="Times New Roman"/>
          <w:sz w:val="24"/>
          <w:szCs w:val="24"/>
          <w:lang w:val="en-US" w:bidi="ar-SA"/>
        </w:rPr>
        <w:t>投标操作指南</w:t>
      </w:r>
      <w:r>
        <w:rPr>
          <w:rFonts w:cs="Times New Roman"/>
          <w:sz w:val="24"/>
          <w:szCs w:val="24"/>
          <w:lang w:val="en-US" w:bidi="ar-SA"/>
        </w:rPr>
        <w:t>(www.zcygov.cn)</w:t>
      </w:r>
      <w:r>
        <w:rPr>
          <w:rFonts w:hint="eastAsia" w:cs="Times New Roman"/>
          <w:sz w:val="24"/>
          <w:szCs w:val="24"/>
          <w:lang w:val="en-US" w:bidi="ar-SA"/>
        </w:rPr>
        <w:t>及本磋商文件要求编制、提交。</w:t>
      </w:r>
    </w:p>
    <w:p>
      <w:pPr>
        <w:kinsoku w:val="0"/>
        <w:overflowPunct w:val="0"/>
        <w:adjustRightInd w:val="0"/>
        <w:spacing w:before="57" w:line="440" w:lineRule="exact"/>
        <w:ind w:left="591"/>
        <w:outlineLvl w:val="4"/>
        <w:rPr>
          <w:b/>
          <w:spacing w:val="2"/>
          <w:w w:val="95"/>
          <w:sz w:val="24"/>
          <w:szCs w:val="24"/>
          <w:lang w:val="en-US" w:bidi="ar-SA"/>
        </w:rPr>
      </w:pPr>
      <w:r>
        <w:rPr>
          <w:rFonts w:hint="eastAsia"/>
          <w:b/>
          <w:w w:val="95"/>
          <w:sz w:val="24"/>
          <w:szCs w:val="24"/>
          <w:lang w:val="en-US" w:bidi="ar-SA"/>
        </w:rPr>
        <w:t xml:space="preserve">15.1 </w:t>
      </w:r>
      <w:r>
        <w:rPr>
          <w:rFonts w:hint="eastAsia"/>
          <w:b/>
          <w:spacing w:val="2"/>
          <w:w w:val="95"/>
          <w:sz w:val="24"/>
          <w:szCs w:val="24"/>
          <w:lang w:val="en-US" w:bidi="ar-SA"/>
        </w:rPr>
        <w:t>响应文件由商务及技术文件、报价文件构成。</w:t>
      </w:r>
    </w:p>
    <w:p>
      <w:pPr>
        <w:kinsoku w:val="0"/>
        <w:overflowPunct w:val="0"/>
        <w:adjustRightInd w:val="0"/>
        <w:spacing w:before="57" w:line="440" w:lineRule="exact"/>
        <w:ind w:left="591"/>
        <w:outlineLvl w:val="4"/>
        <w:rPr>
          <w:b/>
          <w:sz w:val="24"/>
          <w:szCs w:val="24"/>
          <w:lang w:val="en-US" w:bidi="ar-SA"/>
        </w:rPr>
      </w:pPr>
      <w:r>
        <w:rPr>
          <w:rFonts w:hint="eastAsia"/>
          <w:b/>
          <w:sz w:val="24"/>
          <w:szCs w:val="24"/>
          <w:lang w:val="en-US" w:bidi="ar-SA"/>
        </w:rPr>
        <w:t>15.2 商务及技术文件</w:t>
      </w:r>
      <w:r>
        <w:rPr>
          <w:rFonts w:hint="eastAsia"/>
          <w:b/>
          <w:spacing w:val="-9"/>
          <w:sz w:val="24"/>
          <w:szCs w:val="24"/>
          <w:lang w:val="en-US" w:bidi="ar-SA"/>
        </w:rPr>
        <w:t>：</w:t>
      </w:r>
    </w:p>
    <w:p>
      <w:pPr>
        <w:tabs>
          <w:tab w:val="left" w:pos="1410"/>
        </w:tabs>
        <w:autoSpaceDE/>
        <w:autoSpaceDN/>
        <w:spacing w:line="440" w:lineRule="exact"/>
        <w:ind w:firstLine="480" w:firstLineChars="200"/>
        <w:jc w:val="both"/>
        <w:rPr>
          <w:kern w:val="2"/>
          <w:sz w:val="24"/>
          <w:szCs w:val="24"/>
          <w:lang w:val="en-US" w:bidi="ar-SA"/>
        </w:rPr>
      </w:pPr>
      <w:r>
        <w:rPr>
          <w:rFonts w:hint="eastAsia"/>
          <w:kern w:val="2"/>
          <w:sz w:val="24"/>
          <w:szCs w:val="24"/>
          <w:lang w:val="en-US" w:bidi="ar-SA"/>
        </w:rPr>
        <w:t>（1）投标函及投标函附录；</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（2）授权委托书或法定代表人身份证明；</w:t>
      </w:r>
    </w:p>
    <w:p>
      <w:pPr>
        <w:spacing w:line="440" w:lineRule="exact"/>
        <w:rPr>
          <w:sz w:val="24"/>
        </w:rPr>
        <w:sectPr>
          <w:footerReference r:id="rId5" w:type="default"/>
          <w:pgSz w:w="11910" w:h="16840"/>
          <w:pgMar w:top="1360" w:right="1120" w:bottom="1040" w:left="1260" w:header="882" w:footer="847" w:gutter="0"/>
          <w:cols w:space="720" w:num="1"/>
        </w:sectPr>
      </w:pPr>
    </w:p>
    <w:p>
      <w:pPr>
        <w:tabs>
          <w:tab w:val="left" w:pos="1410"/>
        </w:tabs>
        <w:autoSpaceDE/>
        <w:autoSpaceDN/>
        <w:spacing w:before="74" w:line="440" w:lineRule="exact"/>
        <w:ind w:firstLine="480" w:firstLineChars="200"/>
        <w:jc w:val="both"/>
        <w:rPr>
          <w:kern w:val="2"/>
          <w:sz w:val="24"/>
          <w:szCs w:val="24"/>
          <w:lang w:val="en-US" w:bidi="ar-SA"/>
        </w:rPr>
      </w:pPr>
      <w:r>
        <w:rPr>
          <w:rFonts w:hint="eastAsia"/>
          <w:kern w:val="2"/>
          <w:sz w:val="24"/>
          <w:szCs w:val="24"/>
          <w:lang w:val="en-US" w:bidi="ar-SA"/>
        </w:rPr>
        <w:t>（3）投标保证金；</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（4）施工组织设计；</w:t>
      </w:r>
    </w:p>
    <w:p>
      <w:pPr>
        <w:tabs>
          <w:tab w:val="left" w:pos="1410"/>
        </w:tabs>
        <w:autoSpaceDE/>
        <w:autoSpaceDN/>
        <w:spacing w:before="91" w:line="440" w:lineRule="exact"/>
        <w:ind w:firstLine="480" w:firstLineChars="200"/>
        <w:jc w:val="both"/>
        <w:rPr>
          <w:kern w:val="2"/>
          <w:sz w:val="24"/>
          <w:szCs w:val="24"/>
          <w:lang w:val="en-US" w:bidi="ar-SA"/>
        </w:rPr>
      </w:pPr>
      <w:r>
        <w:rPr>
          <w:rFonts w:hint="eastAsia"/>
          <w:kern w:val="2"/>
          <w:sz w:val="24"/>
          <w:szCs w:val="24"/>
          <w:lang w:val="en-US" w:bidi="ar-SA"/>
        </w:rPr>
        <w:t>（5）项目管理机构；</w:t>
      </w:r>
    </w:p>
    <w:p>
      <w:pPr>
        <w:tabs>
          <w:tab w:val="left" w:pos="1410"/>
        </w:tabs>
        <w:autoSpaceDE/>
        <w:autoSpaceDN/>
        <w:spacing w:before="94" w:line="440" w:lineRule="exact"/>
        <w:ind w:firstLine="480" w:firstLineChars="200"/>
        <w:jc w:val="both"/>
        <w:rPr>
          <w:kern w:val="2"/>
          <w:sz w:val="24"/>
          <w:szCs w:val="24"/>
          <w:lang w:val="en-US" w:bidi="ar-SA"/>
        </w:rPr>
      </w:pPr>
      <w:r>
        <w:rPr>
          <w:rFonts w:hint="eastAsia"/>
          <w:kern w:val="2"/>
          <w:sz w:val="24"/>
          <w:szCs w:val="24"/>
          <w:lang w:val="en-US" w:bidi="ar-SA"/>
        </w:rPr>
        <w:t>（6）拟分包项目情况表；</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（7）资格审查资料；</w:t>
      </w:r>
    </w:p>
    <w:p>
      <w:pPr>
        <w:tabs>
          <w:tab w:val="left" w:pos="1410"/>
        </w:tabs>
        <w:autoSpaceDE/>
        <w:autoSpaceDN/>
        <w:spacing w:before="91" w:line="440" w:lineRule="exact"/>
        <w:ind w:right="4276" w:firstLine="472" w:firstLineChars="200"/>
        <w:jc w:val="both"/>
        <w:rPr>
          <w:spacing w:val="-2"/>
          <w:kern w:val="2"/>
          <w:sz w:val="24"/>
          <w:szCs w:val="24"/>
          <w:lang w:val="en-US" w:bidi="ar-SA"/>
        </w:rPr>
      </w:pPr>
      <w:r>
        <w:rPr>
          <w:rFonts w:hint="eastAsia"/>
          <w:spacing w:val="-2"/>
          <w:kern w:val="2"/>
          <w:sz w:val="24"/>
          <w:szCs w:val="24"/>
          <w:lang w:val="en-US" w:bidi="ar-SA"/>
        </w:rPr>
        <w:t>（8）投标人须知前附表规定的其他资料。</w:t>
      </w:r>
    </w:p>
    <w:p>
      <w:pPr>
        <w:tabs>
          <w:tab w:val="left" w:pos="1410"/>
        </w:tabs>
        <w:autoSpaceDE/>
        <w:autoSpaceDN/>
        <w:spacing w:before="91" w:line="440" w:lineRule="exact"/>
        <w:ind w:right="4276" w:firstLine="474" w:firstLineChars="200"/>
        <w:jc w:val="both"/>
        <w:rPr>
          <w:b/>
          <w:bCs/>
          <w:spacing w:val="-2"/>
          <w:kern w:val="2"/>
          <w:sz w:val="24"/>
          <w:szCs w:val="24"/>
          <w:lang w:val="en-US" w:bidi="ar-SA"/>
        </w:rPr>
      </w:pPr>
      <w:r>
        <w:rPr>
          <w:rFonts w:hint="eastAsia"/>
          <w:b/>
          <w:bCs/>
          <w:spacing w:val="-2"/>
          <w:kern w:val="2"/>
          <w:sz w:val="24"/>
          <w:szCs w:val="24"/>
          <w:lang w:val="en-US" w:bidi="ar-SA"/>
        </w:rPr>
        <w:t>15.3 报价文件：</w:t>
      </w:r>
    </w:p>
    <w:p>
      <w:pPr>
        <w:tabs>
          <w:tab w:val="left" w:pos="1410"/>
        </w:tabs>
        <w:autoSpaceDE/>
        <w:autoSpaceDN/>
        <w:spacing w:before="2"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（1）投标函；</w:t>
      </w:r>
    </w:p>
    <w:p>
      <w:pPr>
        <w:tabs>
          <w:tab w:val="left" w:pos="1410"/>
        </w:tabs>
        <w:autoSpaceDE/>
        <w:autoSpaceDN/>
        <w:spacing w:before="91"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（2）已标价工程量清单（含工程量固化清单电子文件）；</w:t>
      </w:r>
    </w:p>
    <w:p>
      <w:pPr>
        <w:tabs>
          <w:tab w:val="left" w:pos="1410"/>
        </w:tabs>
        <w:autoSpaceDE/>
        <w:autoSpaceDN/>
        <w:spacing w:before="93"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（3）合同用款估算表；</w:t>
      </w:r>
    </w:p>
    <w:p>
      <w:pPr>
        <w:tabs>
          <w:tab w:val="left" w:pos="1410"/>
        </w:tabs>
        <w:autoSpaceDE/>
        <w:autoSpaceDN/>
        <w:spacing w:before="93" w:line="440" w:lineRule="exact"/>
        <w:ind w:firstLine="480" w:firstLineChars="200"/>
        <w:jc w:val="both"/>
        <w:rPr>
          <w:lang w:val="en-US"/>
        </w:rPr>
      </w:pPr>
      <w:r>
        <w:rPr>
          <w:rFonts w:hint="eastAsia" w:ascii="Calibri" w:hAnsi="Calibri" w:cs="Times New Roman"/>
          <w:kern w:val="2"/>
          <w:sz w:val="24"/>
          <w:szCs w:val="24"/>
          <w:lang w:val="en-US" w:bidi="ar-SA"/>
        </w:rPr>
        <w:t>（4）最终报价单。</w:t>
      </w:r>
    </w:p>
    <w:p>
      <w:pPr>
        <w:kinsoku w:val="0"/>
        <w:overflowPunct w:val="0"/>
        <w:adjustRightInd w:val="0"/>
        <w:spacing w:before="57" w:line="440" w:lineRule="exact"/>
        <w:ind w:right="232" w:firstLine="480" w:firstLineChars="200"/>
        <w:jc w:val="both"/>
        <w:rPr>
          <w:rFonts w:cs="Times New Roman"/>
          <w:sz w:val="24"/>
          <w:szCs w:val="24"/>
          <w:lang w:val="en-US" w:bidi="ar-SA"/>
        </w:rPr>
      </w:pPr>
      <w:r>
        <w:rPr>
          <w:rFonts w:hint="eastAsia" w:cs="Times New Roman"/>
          <w:sz w:val="24"/>
          <w:szCs w:val="24"/>
          <w:lang w:val="en-US" w:bidi="ar-SA"/>
        </w:rPr>
        <w:t>15.4 开标后各投标供应商需在公示期满后，另行提交纸质版响应文件（正本一份、副本二份）。须与电子版响应文件内容一致，纸质响应文件需留存备案将一律不予退还。</w:t>
      </w:r>
    </w:p>
    <w:p>
      <w:pPr>
        <w:kinsoku w:val="0"/>
        <w:overflowPunct w:val="0"/>
        <w:adjustRightInd w:val="0"/>
        <w:spacing w:before="57" w:line="440" w:lineRule="exact"/>
        <w:ind w:left="111" w:right="232" w:firstLine="480"/>
        <w:jc w:val="both"/>
        <w:rPr>
          <w:rFonts w:cs="Times New Roman"/>
          <w:sz w:val="24"/>
          <w:szCs w:val="24"/>
          <w:lang w:val="en-US" w:bidi="ar-SA"/>
        </w:rPr>
      </w:pPr>
      <w:r>
        <w:rPr>
          <w:rFonts w:hint="eastAsia" w:cs="Times New Roman"/>
          <w:sz w:val="24"/>
          <w:szCs w:val="24"/>
          <w:lang w:val="en-US" w:bidi="ar-SA"/>
        </w:rPr>
        <w:t>纸质版标书邮寄地址：新疆</w:t>
      </w:r>
      <w:r>
        <w:rPr>
          <w:rFonts w:hint="eastAsia" w:cs="Times New Roman"/>
          <w:sz w:val="24"/>
          <w:szCs w:val="24"/>
          <w:lang w:val="en-US" w:eastAsia="zh-CN" w:bidi="ar-SA"/>
        </w:rPr>
        <w:t>喀什市中亚商贸城6号楼2楼S10室</w:t>
      </w:r>
      <w:r>
        <w:rPr>
          <w:rFonts w:hint="eastAsia" w:cs="Times New Roman"/>
          <w:sz w:val="24"/>
          <w:szCs w:val="24"/>
          <w:lang w:val="en-US" w:bidi="ar-SA"/>
        </w:rPr>
        <w:t>（</w:t>
      </w:r>
      <w:r>
        <w:rPr>
          <w:rFonts w:hint="eastAsia" w:cs="Times New Roman"/>
          <w:sz w:val="24"/>
          <w:szCs w:val="24"/>
          <w:lang w:val="en-US" w:eastAsia="zh-CN" w:bidi="ar-SA"/>
        </w:rPr>
        <w:t>喀什西部鑫源工程项目管理有限公司</w:t>
      </w:r>
      <w:r>
        <w:rPr>
          <w:rFonts w:hint="eastAsia" w:cs="Times New Roman"/>
          <w:sz w:val="24"/>
          <w:szCs w:val="24"/>
          <w:lang w:val="en-US" w:bidi="ar-SA"/>
        </w:rPr>
        <w:t>）</w:t>
      </w:r>
    </w:p>
    <w:p>
      <w:pPr>
        <w:kinsoku w:val="0"/>
        <w:overflowPunct w:val="0"/>
        <w:adjustRightInd w:val="0"/>
        <w:spacing w:before="57" w:line="440" w:lineRule="exact"/>
        <w:ind w:left="111" w:right="232" w:firstLine="480"/>
        <w:jc w:val="both"/>
        <w:rPr>
          <w:rFonts w:hint="default" w:eastAsia="宋体" w:cs="Times New Roman"/>
          <w:sz w:val="24"/>
          <w:szCs w:val="24"/>
          <w:lang w:val="en-US" w:eastAsia="zh-CN" w:bidi="ar-SA"/>
        </w:rPr>
      </w:pPr>
      <w:r>
        <w:rPr>
          <w:rFonts w:hint="eastAsia" w:cs="Times New Roman"/>
          <w:sz w:val="24"/>
          <w:szCs w:val="24"/>
          <w:lang w:val="en-US" w:bidi="ar-SA"/>
        </w:rPr>
        <w:t>收件人：</w:t>
      </w:r>
      <w:r>
        <w:rPr>
          <w:rFonts w:hint="eastAsia" w:cs="Times New Roman"/>
          <w:sz w:val="24"/>
          <w:szCs w:val="24"/>
          <w:lang w:val="en-US" w:eastAsia="zh-CN" w:bidi="ar-SA"/>
        </w:rPr>
        <w:t xml:space="preserve">陈凯   </w:t>
      </w:r>
      <w:r>
        <w:rPr>
          <w:rFonts w:hint="eastAsia" w:cs="Times New Roman"/>
          <w:sz w:val="24"/>
          <w:szCs w:val="24"/>
          <w:lang w:val="en-US" w:bidi="ar-SA"/>
        </w:rPr>
        <w:t xml:space="preserve">  联系电话：</w:t>
      </w:r>
      <w:r>
        <w:rPr>
          <w:rFonts w:hint="eastAsia" w:cs="Times New Roman"/>
          <w:sz w:val="24"/>
          <w:szCs w:val="24"/>
          <w:lang w:val="en-US" w:eastAsia="zh-CN" w:bidi="ar-SA"/>
        </w:rPr>
        <w:t>15509988357</w:t>
      </w:r>
    </w:p>
    <w:p>
      <w:pPr>
        <w:kinsoku w:val="0"/>
        <w:overflowPunct w:val="0"/>
        <w:adjustRightInd w:val="0"/>
        <w:spacing w:before="57" w:line="440" w:lineRule="exact"/>
        <w:ind w:left="101" w:leftChars="46" w:right="232" w:firstLine="240" w:firstLineChars="100"/>
        <w:jc w:val="both"/>
        <w:rPr>
          <w:rFonts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5</w:t>
      </w:r>
      <w:r>
        <w:rPr>
          <w:rFonts w:cs="Times New Roman"/>
          <w:sz w:val="24"/>
          <w:szCs w:val="24"/>
          <w:lang w:val="en-US" w:bidi="ar-SA"/>
        </w:rPr>
        <w:t xml:space="preserve"> </w:t>
      </w:r>
      <w:r>
        <w:rPr>
          <w:rFonts w:hint="eastAsia" w:cs="Times New Roman"/>
          <w:sz w:val="24"/>
          <w:szCs w:val="24"/>
          <w:lang w:val="en-US" w:bidi="ar-SA"/>
        </w:rPr>
        <w:t>若磋商供应商未按采购文件的要求提供资料，或未对采购文件做出实质性响应，将作为无效响应文件。</w:t>
      </w:r>
    </w:p>
    <w:p>
      <w:pPr>
        <w:kinsoku w:val="0"/>
        <w:overflowPunct w:val="0"/>
        <w:adjustRightInd w:val="0"/>
        <w:spacing w:before="57" w:line="440" w:lineRule="exact"/>
        <w:ind w:right="232" w:firstLine="360" w:firstLineChars="150"/>
        <w:jc w:val="both"/>
        <w:rPr>
          <w:rFonts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6</w:t>
      </w:r>
      <w:r>
        <w:rPr>
          <w:rFonts w:cs="Times New Roman"/>
          <w:sz w:val="24"/>
          <w:szCs w:val="24"/>
          <w:lang w:val="en-US" w:bidi="ar-SA"/>
        </w:rPr>
        <w:t xml:space="preserve"> </w:t>
      </w:r>
      <w:r>
        <w:rPr>
          <w:rFonts w:hint="eastAsia" w:cs="Times New Roman"/>
          <w:sz w:val="24"/>
          <w:szCs w:val="24"/>
          <w:lang w:val="en-US" w:bidi="ar-SA"/>
        </w:rPr>
        <w:t>磋商响应文件出现下列情形之一的，采购人不予受理或被政采云平台拒收：</w:t>
      </w:r>
    </w:p>
    <w:p>
      <w:pPr>
        <w:kinsoku w:val="0"/>
        <w:overflowPunct w:val="0"/>
        <w:adjustRightInd w:val="0"/>
        <w:spacing w:before="57" w:line="440" w:lineRule="exact"/>
        <w:ind w:left="111" w:right="232" w:firstLine="480"/>
        <w:jc w:val="both"/>
        <w:rPr>
          <w:rFonts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）电子磋商响应文件未按磋商文件要求上传的；</w:t>
      </w:r>
    </w:p>
    <w:p>
      <w:pPr>
        <w:kinsoku w:val="0"/>
        <w:overflowPunct w:val="0"/>
        <w:adjustRightInd w:val="0"/>
        <w:spacing w:before="57" w:line="440" w:lineRule="exact"/>
        <w:ind w:left="111" w:right="232" w:firstLine="480"/>
        <w:jc w:val="both"/>
        <w:rPr>
          <w:rFonts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）供应商未按照须知前附表规定的时间解密电子磋商响应文件，或解密失败又未提交备份响应文件的。</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7</w:t>
      </w:r>
      <w:r>
        <w:rPr>
          <w:rFonts w:cs="Times New Roman"/>
          <w:sz w:val="24"/>
          <w:szCs w:val="24"/>
          <w:lang w:val="en-US" w:bidi="ar-SA"/>
        </w:rPr>
        <w:t xml:space="preserve"> </w:t>
      </w:r>
      <w:r>
        <w:rPr>
          <w:rFonts w:hint="eastAsia" w:cs="Times New Roman"/>
          <w:sz w:val="24"/>
          <w:szCs w:val="24"/>
          <w:lang w:val="en-US" w:bidi="ar-SA"/>
        </w:rPr>
        <w:t>响应文件封面要求</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7</w:t>
      </w:r>
      <w:r>
        <w:rPr>
          <w:rFonts w:cs="Times New Roman"/>
          <w:sz w:val="24"/>
          <w:szCs w:val="24"/>
          <w:lang w:val="en-US" w:bidi="ar-SA"/>
        </w:rPr>
        <w:t xml:space="preserve">.1 </w:t>
      </w:r>
      <w:r>
        <w:rPr>
          <w:rFonts w:hint="eastAsia" w:cs="Times New Roman"/>
          <w:sz w:val="24"/>
          <w:szCs w:val="24"/>
          <w:lang w:val="en-US" w:bidi="ar-SA"/>
        </w:rPr>
        <w:t>响应文件封面应按磋商文件规定格式编制。</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8</w:t>
      </w:r>
      <w:r>
        <w:rPr>
          <w:rFonts w:cs="Times New Roman"/>
          <w:sz w:val="24"/>
          <w:szCs w:val="24"/>
          <w:lang w:val="en-US" w:bidi="ar-SA"/>
        </w:rPr>
        <w:t xml:space="preserve"> </w:t>
      </w:r>
      <w:r>
        <w:rPr>
          <w:rFonts w:hint="eastAsia" w:cs="Times New Roman"/>
          <w:sz w:val="24"/>
          <w:szCs w:val="24"/>
          <w:lang w:val="en-US" w:bidi="ar-SA"/>
        </w:rPr>
        <w:t>响应文件目录要求</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8</w:t>
      </w:r>
      <w:r>
        <w:rPr>
          <w:rFonts w:cs="Times New Roman"/>
          <w:sz w:val="24"/>
          <w:szCs w:val="24"/>
          <w:lang w:val="en-US" w:bidi="ar-SA"/>
        </w:rPr>
        <w:t xml:space="preserve">.1 </w:t>
      </w:r>
      <w:r>
        <w:rPr>
          <w:rFonts w:hint="eastAsia" w:cs="Times New Roman"/>
          <w:sz w:val="24"/>
          <w:szCs w:val="24"/>
          <w:lang w:val="en-US" w:bidi="ar-SA"/>
        </w:rPr>
        <w:t>为便于评审，响应文件目录宜按本磋商文件相关内容先后顺序编排。</w:t>
      </w:r>
    </w:p>
    <w:p>
      <w:pPr>
        <w:kinsoku w:val="0"/>
        <w:overflowPunct w:val="0"/>
        <w:adjustRightInd w:val="0"/>
        <w:spacing w:line="440" w:lineRule="exact"/>
        <w:ind w:left="591" w:right="5091"/>
        <w:rPr>
          <w:rFonts w:eastAsia="Times New Roman" w:cs="Times New Roman"/>
          <w:sz w:val="24"/>
          <w:szCs w:val="24"/>
          <w:lang w:val="en-US" w:bidi="ar-SA"/>
        </w:rPr>
      </w:pPr>
      <w:r>
        <w:rPr>
          <w:rFonts w:cs="Times New Roman"/>
          <w:b/>
          <w:sz w:val="24"/>
          <w:szCs w:val="24"/>
          <w:lang w:val="en-US" w:bidi="ar-SA"/>
        </w:rPr>
        <w:t>16</w:t>
      </w:r>
      <w:r>
        <w:rPr>
          <w:rFonts w:hint="eastAsia" w:cs="Times New Roman"/>
          <w:b/>
          <w:sz w:val="24"/>
          <w:szCs w:val="24"/>
          <w:lang w:val="en-US" w:bidi="ar-SA"/>
        </w:rPr>
        <w:t>、响应文件格式</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16.1</w:t>
      </w:r>
      <w:r>
        <w:rPr>
          <w:rFonts w:hint="eastAsia" w:cs="Times New Roman"/>
          <w:sz w:val="24"/>
          <w:szCs w:val="24"/>
          <w:lang w:val="en-US" w:bidi="ar-SA"/>
        </w:rPr>
        <w:t>响应文件包括本须知第</w:t>
      </w:r>
      <w:r>
        <w:rPr>
          <w:rFonts w:cs="Times New Roman"/>
          <w:sz w:val="24"/>
          <w:szCs w:val="24"/>
          <w:lang w:val="en-US" w:bidi="ar-SA"/>
        </w:rPr>
        <w:t>15</w:t>
      </w:r>
      <w:r>
        <w:rPr>
          <w:rFonts w:hint="eastAsia" w:cs="Times New Roman"/>
          <w:sz w:val="24"/>
          <w:szCs w:val="24"/>
          <w:lang w:val="en-US" w:bidi="ar-SA"/>
        </w:rPr>
        <w:t>条中规定的内容，供应商提交的响应文件应当使用磋商文件所提供的响应文件全部格式（表格可以按同样格式扩展）。</w:t>
      </w:r>
    </w:p>
    <w:p>
      <w:pPr>
        <w:kinsoku w:val="0"/>
        <w:overflowPunct w:val="0"/>
        <w:adjustRightInd w:val="0"/>
        <w:spacing w:before="56" w:line="440" w:lineRule="exact"/>
        <w:ind w:left="591"/>
        <w:outlineLvl w:val="4"/>
        <w:rPr>
          <w:rFonts w:eastAsia="Times New Roman" w:cs="Times New Roman"/>
          <w:b/>
          <w:sz w:val="24"/>
          <w:szCs w:val="24"/>
          <w:lang w:val="en-US" w:bidi="ar-SA"/>
        </w:rPr>
      </w:pPr>
      <w:r>
        <w:rPr>
          <w:rFonts w:cs="Times New Roman"/>
          <w:b/>
          <w:sz w:val="24"/>
          <w:szCs w:val="24"/>
          <w:lang w:val="en-US" w:bidi="ar-SA"/>
        </w:rPr>
        <w:t>17</w:t>
      </w:r>
      <w:r>
        <w:rPr>
          <w:rFonts w:hint="eastAsia" w:cs="Times New Roman"/>
          <w:b/>
          <w:sz w:val="24"/>
          <w:szCs w:val="24"/>
          <w:lang w:val="en-US" w:bidi="ar-SA"/>
        </w:rPr>
        <w:t>、投标报价</w:t>
      </w:r>
    </w:p>
    <w:p>
      <w:pPr>
        <w:tabs>
          <w:tab w:val="left" w:pos="1409"/>
        </w:tabs>
        <w:autoSpaceDE/>
        <w:autoSpaceDN/>
        <w:spacing w:before="1" w:line="440" w:lineRule="exact"/>
        <w:ind w:right="289" w:firstLine="678" w:firstLineChars="300"/>
        <w:jc w:val="both"/>
        <w:rPr>
          <w:kern w:val="2"/>
          <w:sz w:val="24"/>
          <w:szCs w:val="24"/>
          <w:lang w:val="en-US" w:bidi="ar-SA"/>
        </w:rPr>
      </w:pPr>
      <w:r>
        <w:rPr>
          <w:rFonts w:hint="eastAsia"/>
          <w:spacing w:val="-7"/>
          <w:kern w:val="2"/>
          <w:sz w:val="24"/>
          <w:szCs w:val="24"/>
          <w:lang w:val="en-US" w:bidi="ar-SA"/>
        </w:rPr>
        <w:t>17.1投标报价应包括国家规定的增值税税金，除磋商须知前附表另有规定外，</w:t>
      </w:r>
      <w:r>
        <w:rPr>
          <w:rFonts w:hint="eastAsia"/>
          <w:spacing w:val="-5"/>
          <w:kern w:val="2"/>
          <w:sz w:val="24"/>
          <w:szCs w:val="24"/>
          <w:lang w:val="en-US" w:bidi="ar-SA"/>
        </w:rPr>
        <w:t>发票类型要求为增值税专用发票。投标供应商应按第七章</w:t>
      </w:r>
      <w:r>
        <w:rPr>
          <w:rFonts w:hint="eastAsia"/>
          <w:kern w:val="2"/>
          <w:sz w:val="24"/>
          <w:szCs w:val="24"/>
          <w:lang w:val="en-US" w:bidi="ar-SA"/>
        </w:rPr>
        <w:t>“响应文件格式”的要求在投标函中进行报价并填写工程量清单相应表格。</w:t>
      </w:r>
    </w:p>
    <w:p>
      <w:pPr>
        <w:adjustRightInd w:val="0"/>
        <w:spacing w:line="440" w:lineRule="exact"/>
        <w:ind w:left="591" w:right="289"/>
        <w:rPr>
          <w:spacing w:val="-13"/>
          <w:sz w:val="24"/>
          <w:szCs w:val="24"/>
          <w:lang w:val="en-US" w:bidi="ar-SA"/>
        </w:rPr>
      </w:pPr>
      <w:r>
        <w:rPr>
          <w:rFonts w:hint="eastAsia"/>
          <w:spacing w:val="-7"/>
          <w:sz w:val="24"/>
          <w:szCs w:val="24"/>
          <w:lang w:val="en-US" w:bidi="ar-SA"/>
        </w:rPr>
        <w:t>本项目招标采用工程量固化清单，采购人向投标供应商提供工</w:t>
      </w:r>
      <w:r>
        <w:rPr>
          <w:rFonts w:hint="eastAsia"/>
          <w:spacing w:val="-13"/>
          <w:sz w:val="24"/>
          <w:szCs w:val="24"/>
          <w:lang w:val="en-US" w:bidi="ar-SA"/>
        </w:rPr>
        <w:t>程量固化清单电子文件。投</w:t>
      </w:r>
    </w:p>
    <w:p>
      <w:pPr>
        <w:adjustRightInd w:val="0"/>
        <w:spacing w:line="440" w:lineRule="exact"/>
        <w:ind w:right="289"/>
        <w:rPr>
          <w:sz w:val="24"/>
          <w:szCs w:val="24"/>
          <w:lang w:val="en-US" w:bidi="ar-SA"/>
        </w:rPr>
      </w:pPr>
      <w:r>
        <w:rPr>
          <w:rFonts w:hint="eastAsia"/>
          <w:spacing w:val="-15"/>
          <w:sz w:val="24"/>
          <w:szCs w:val="24"/>
          <w:lang w:val="en-US" w:bidi="ar-SA"/>
        </w:rPr>
        <w:t>标供应商填写工程量清单中各子目的单价及总额价，即可完</w:t>
      </w:r>
      <w:r>
        <w:rPr>
          <w:rFonts w:hint="eastAsia"/>
          <w:spacing w:val="-21"/>
          <w:sz w:val="24"/>
          <w:szCs w:val="24"/>
          <w:lang w:val="en-US" w:bidi="ar-SA"/>
        </w:rPr>
        <w:t>成投标工程量清单的编制，确定投标报价，并打印出投标工程量清单，编入响应文件。</w:t>
      </w:r>
      <w:r>
        <w:rPr>
          <w:rFonts w:hint="eastAsia"/>
          <w:spacing w:val="-4"/>
          <w:sz w:val="24"/>
          <w:szCs w:val="24"/>
          <w:lang w:val="en-US" w:bidi="ar-SA"/>
        </w:rPr>
        <w:t>投标供应商未在工程量清单中填入单价或总额价的工程子目，将被认为其已包含在工程量清单其他子目的单价和总额价中，采购人将不予支付。</w:t>
      </w:r>
    </w:p>
    <w:p>
      <w:pPr>
        <w:adjustRightInd w:val="0"/>
        <w:spacing w:before="2" w:line="440" w:lineRule="exact"/>
        <w:ind w:left="591" w:right="316"/>
        <w:rPr>
          <w:spacing w:val="-1"/>
          <w:sz w:val="24"/>
          <w:szCs w:val="24"/>
          <w:lang w:val="en-US" w:bidi="ar-SA"/>
        </w:rPr>
      </w:pPr>
      <w:r>
        <w:rPr>
          <w:rFonts w:hint="eastAsia"/>
          <w:spacing w:val="-4"/>
          <w:sz w:val="24"/>
          <w:szCs w:val="24"/>
          <w:lang w:val="en-US" w:bidi="ar-SA"/>
        </w:rPr>
        <w:t>投标供应商必须严格遵循工程量固化清单电子文件中的数据、格式及运算定义</w:t>
      </w:r>
      <w:r>
        <w:rPr>
          <w:rFonts w:hint="eastAsia"/>
          <w:spacing w:val="-1"/>
          <w:sz w:val="24"/>
          <w:szCs w:val="24"/>
          <w:lang w:val="en-US" w:bidi="ar-SA"/>
        </w:rPr>
        <w:t>。严禁</w:t>
      </w:r>
    </w:p>
    <w:p>
      <w:pPr>
        <w:adjustRightInd w:val="0"/>
        <w:spacing w:before="2" w:line="440" w:lineRule="exact"/>
        <w:ind w:right="316"/>
        <w:rPr>
          <w:sz w:val="24"/>
          <w:szCs w:val="24"/>
          <w:lang w:val="en-US" w:bidi="ar-SA"/>
        </w:rPr>
      </w:pPr>
      <w:r>
        <w:rPr>
          <w:rFonts w:hint="eastAsia"/>
          <w:spacing w:val="-1"/>
          <w:sz w:val="24"/>
          <w:szCs w:val="24"/>
          <w:lang w:val="en-US" w:bidi="ar-SA"/>
        </w:rPr>
        <w:t>投标供应商修改工程量固化清单电子文件中的数据、格式及运算定义。</w:t>
      </w:r>
    </w:p>
    <w:p>
      <w:pPr>
        <w:adjustRightInd w:val="0"/>
        <w:spacing w:before="1" w:line="440" w:lineRule="exact"/>
        <w:ind w:left="591" w:right="409"/>
        <w:rPr>
          <w:sz w:val="24"/>
          <w:szCs w:val="24"/>
          <w:lang w:val="en-US" w:bidi="ar-SA"/>
        </w:rPr>
      </w:pPr>
      <w:r>
        <w:rPr>
          <w:rFonts w:hint="eastAsia"/>
          <w:sz w:val="24"/>
          <w:szCs w:val="24"/>
          <w:lang w:val="en-US" w:bidi="ar-SA"/>
        </w:rPr>
        <w:t>投标供应商根据采购人提供的工程量固化清单电子文件填报完成并打印的投标工</w:t>
      </w:r>
    </w:p>
    <w:p>
      <w:pPr>
        <w:adjustRightInd w:val="0"/>
        <w:spacing w:before="1" w:line="440" w:lineRule="exact"/>
        <w:ind w:right="409"/>
        <w:rPr>
          <w:sz w:val="24"/>
          <w:szCs w:val="24"/>
          <w:lang w:val="en-US" w:bidi="ar-SA"/>
        </w:rPr>
      </w:pPr>
      <w:r>
        <w:rPr>
          <w:rFonts w:hint="eastAsia"/>
          <w:sz w:val="24"/>
          <w:szCs w:val="24"/>
          <w:lang w:val="en-US" w:bidi="ar-SA"/>
        </w:rPr>
        <w:t>程</w:t>
      </w:r>
      <w:r>
        <w:rPr>
          <w:rFonts w:hint="eastAsia"/>
          <w:spacing w:val="-5"/>
          <w:sz w:val="24"/>
          <w:szCs w:val="24"/>
          <w:lang w:val="en-US" w:bidi="ar-SA"/>
        </w:rPr>
        <w:t>量清单中的投标报价和投标函大写金额报价应一致，如果报价金额出现差异，</w:t>
      </w:r>
      <w:r>
        <w:rPr>
          <w:rFonts w:hint="eastAsia"/>
          <w:b/>
          <w:spacing w:val="-6"/>
          <w:sz w:val="24"/>
          <w:szCs w:val="24"/>
          <w:lang w:val="en-US" w:bidi="ar-SA"/>
        </w:rPr>
        <w:t>其投标</w:t>
      </w:r>
      <w:r>
        <w:rPr>
          <w:rFonts w:hint="eastAsia"/>
          <w:b/>
          <w:sz w:val="24"/>
          <w:szCs w:val="24"/>
          <w:lang w:val="en-US" w:bidi="ar-SA"/>
        </w:rPr>
        <w:t>将被否决</w:t>
      </w:r>
      <w:r>
        <w:rPr>
          <w:rFonts w:hint="eastAsia"/>
          <w:sz w:val="24"/>
          <w:szCs w:val="24"/>
          <w:lang w:val="en-US" w:bidi="ar-SA"/>
        </w:rPr>
        <w:t>。</w:t>
      </w:r>
    </w:p>
    <w:p>
      <w:pPr>
        <w:tabs>
          <w:tab w:val="left" w:pos="1409"/>
        </w:tabs>
        <w:autoSpaceDE/>
        <w:autoSpaceDN/>
        <w:spacing w:line="440" w:lineRule="exact"/>
        <w:ind w:left="440" w:leftChars="200" w:right="676" w:firstLine="238" w:firstLineChars="100"/>
        <w:jc w:val="both"/>
        <w:rPr>
          <w:spacing w:val="-1"/>
          <w:kern w:val="2"/>
          <w:sz w:val="24"/>
          <w:szCs w:val="24"/>
          <w:lang w:val="en-US" w:bidi="ar-SA"/>
        </w:rPr>
      </w:pPr>
      <w:r>
        <w:rPr>
          <w:rFonts w:hint="eastAsia"/>
          <w:spacing w:val="-1"/>
          <w:kern w:val="2"/>
          <w:sz w:val="24"/>
          <w:szCs w:val="24"/>
          <w:lang w:val="en-US" w:bidi="ar-SA"/>
        </w:rPr>
        <w:t>17.2工程中涉及的工程一切险和第三方责任险等保险由投标供应商中标后自行</w:t>
      </w:r>
    </w:p>
    <w:p>
      <w:pPr>
        <w:tabs>
          <w:tab w:val="left" w:pos="1409"/>
        </w:tabs>
        <w:autoSpaceDE/>
        <w:autoSpaceDN/>
        <w:spacing w:line="440" w:lineRule="exact"/>
        <w:ind w:right="676"/>
        <w:jc w:val="both"/>
        <w:rPr>
          <w:kern w:val="2"/>
          <w:sz w:val="24"/>
          <w:szCs w:val="24"/>
          <w:lang w:val="en-US" w:bidi="ar-SA"/>
        </w:rPr>
      </w:pPr>
      <w:r>
        <w:rPr>
          <w:rFonts w:hint="eastAsia"/>
          <w:spacing w:val="-1"/>
          <w:kern w:val="2"/>
          <w:sz w:val="24"/>
          <w:szCs w:val="24"/>
          <w:lang w:val="en-US" w:bidi="ar-SA"/>
        </w:rPr>
        <w:t>投</w:t>
      </w:r>
      <w:r>
        <w:rPr>
          <w:rFonts w:hint="eastAsia"/>
          <w:kern w:val="2"/>
          <w:sz w:val="24"/>
          <w:szCs w:val="24"/>
          <w:lang w:val="en-US" w:bidi="ar-SA"/>
        </w:rPr>
        <w:t>保，保险费包含在所报的单价或总额价中。</w:t>
      </w:r>
    </w:p>
    <w:p>
      <w:pPr>
        <w:tabs>
          <w:tab w:val="left" w:pos="1409"/>
        </w:tabs>
        <w:autoSpaceDE/>
        <w:autoSpaceDN/>
        <w:spacing w:before="74" w:line="440" w:lineRule="exact"/>
        <w:ind w:left="660" w:leftChars="300" w:right="409"/>
        <w:jc w:val="both"/>
        <w:rPr>
          <w:spacing w:val="-4"/>
          <w:kern w:val="2"/>
          <w:sz w:val="24"/>
          <w:szCs w:val="24"/>
          <w:lang w:val="en-US" w:bidi="ar-SA"/>
        </w:rPr>
      </w:pPr>
      <w:r>
        <w:rPr>
          <w:rFonts w:hint="eastAsia"/>
          <w:kern w:val="2"/>
          <w:sz w:val="24"/>
          <w:szCs w:val="24"/>
          <w:lang w:val="en-US" w:bidi="ar-SA"/>
        </w:rPr>
        <w:t>17.3投标供应商应充分了解本项目的总体情况以及影响投标报价的其他要素。17.4投标供应商在磋商时间截止前修改投</w:t>
      </w:r>
      <w:r>
        <w:rPr>
          <w:rFonts w:hint="eastAsia"/>
          <w:spacing w:val="-4"/>
          <w:kern w:val="2"/>
          <w:sz w:val="24"/>
          <w:szCs w:val="24"/>
          <w:lang w:val="en-US" w:bidi="ar-SA"/>
        </w:rPr>
        <w:t>标函中的投标总报价，应同时修改响应文</w:t>
      </w:r>
    </w:p>
    <w:p>
      <w:pPr>
        <w:tabs>
          <w:tab w:val="left" w:pos="1409"/>
        </w:tabs>
        <w:autoSpaceDE/>
        <w:autoSpaceDN/>
        <w:spacing w:before="74" w:line="440" w:lineRule="exact"/>
        <w:ind w:right="409"/>
        <w:jc w:val="both"/>
        <w:rPr>
          <w:kern w:val="2"/>
          <w:sz w:val="24"/>
          <w:szCs w:val="24"/>
          <w:lang w:val="en-US" w:bidi="ar-SA"/>
        </w:rPr>
      </w:pPr>
      <w:r>
        <w:rPr>
          <w:rFonts w:hint="eastAsia"/>
          <w:spacing w:val="-4"/>
          <w:kern w:val="2"/>
          <w:sz w:val="24"/>
          <w:szCs w:val="24"/>
          <w:lang w:val="en-US" w:bidi="ar-SA"/>
        </w:rPr>
        <w:t>件</w:t>
      </w:r>
      <w:r>
        <w:rPr>
          <w:rFonts w:hint="eastAsia"/>
          <w:kern w:val="2"/>
          <w:sz w:val="24"/>
          <w:szCs w:val="24"/>
          <w:lang w:val="en-US" w:bidi="ar-SA"/>
        </w:rPr>
        <w:t>“已标价工程量清单”</w:t>
      </w:r>
      <w:r>
        <w:rPr>
          <w:rFonts w:hint="eastAsia"/>
          <w:spacing w:val="-7"/>
          <w:kern w:val="2"/>
          <w:sz w:val="24"/>
          <w:szCs w:val="24"/>
          <w:lang w:val="en-US" w:bidi="ar-SA"/>
        </w:rPr>
        <w:t>中的相应报价。</w:t>
      </w:r>
    </w:p>
    <w:p>
      <w:pPr>
        <w:tabs>
          <w:tab w:val="left" w:pos="1409"/>
        </w:tabs>
        <w:autoSpaceDE/>
        <w:autoSpaceDN/>
        <w:spacing w:before="1" w:line="440" w:lineRule="exact"/>
        <w:ind w:left="440" w:leftChars="200" w:right="409" w:firstLine="240" w:firstLineChars="100"/>
        <w:jc w:val="both"/>
        <w:rPr>
          <w:kern w:val="2"/>
          <w:sz w:val="24"/>
          <w:szCs w:val="24"/>
          <w:lang w:val="en-US" w:bidi="ar-SA"/>
        </w:rPr>
      </w:pPr>
      <w:r>
        <w:rPr>
          <w:rFonts w:hint="eastAsia"/>
          <w:kern w:val="2"/>
          <w:sz w:val="24"/>
          <w:szCs w:val="24"/>
          <w:lang w:val="en-US" w:bidi="ar-SA"/>
        </w:rPr>
        <w:t>17.5投标供应商如果发现工程量清单中的数量与图纸中数量不一致时，应立即通</w:t>
      </w:r>
    </w:p>
    <w:p>
      <w:pPr>
        <w:tabs>
          <w:tab w:val="left" w:pos="1409"/>
        </w:tabs>
        <w:autoSpaceDE/>
        <w:autoSpaceDN/>
        <w:spacing w:before="1" w:line="440" w:lineRule="exact"/>
        <w:ind w:right="409"/>
        <w:jc w:val="both"/>
        <w:rPr>
          <w:kern w:val="2"/>
          <w:sz w:val="24"/>
          <w:szCs w:val="24"/>
          <w:lang w:val="en-US" w:bidi="ar-SA"/>
        </w:rPr>
      </w:pPr>
      <w:r>
        <w:rPr>
          <w:rFonts w:hint="eastAsia"/>
          <w:kern w:val="2"/>
          <w:sz w:val="24"/>
          <w:szCs w:val="24"/>
          <w:lang w:val="en-US" w:bidi="ar-SA"/>
        </w:rPr>
        <w:t>知</w:t>
      </w:r>
      <w:r>
        <w:rPr>
          <w:rFonts w:hint="eastAsia"/>
          <w:spacing w:val="-10"/>
          <w:kern w:val="2"/>
          <w:sz w:val="24"/>
          <w:szCs w:val="24"/>
          <w:lang w:val="en-US" w:bidi="ar-SA"/>
        </w:rPr>
        <w:t>采购人核查，除非采购人以书面方式予以更正，否则，应以工程量清单中列出的数量</w:t>
      </w:r>
      <w:r>
        <w:rPr>
          <w:rFonts w:hint="eastAsia"/>
          <w:kern w:val="2"/>
          <w:sz w:val="24"/>
          <w:szCs w:val="24"/>
          <w:lang w:val="en-US" w:bidi="ar-SA"/>
        </w:rPr>
        <w:t>为准。</w:t>
      </w:r>
    </w:p>
    <w:p>
      <w:pPr>
        <w:tabs>
          <w:tab w:val="left" w:pos="1409"/>
        </w:tabs>
        <w:autoSpaceDE/>
        <w:autoSpaceDN/>
        <w:spacing w:before="1" w:line="440" w:lineRule="exact"/>
        <w:ind w:right="376" w:firstLine="720" w:firstLineChars="300"/>
        <w:jc w:val="both"/>
        <w:rPr>
          <w:kern w:val="2"/>
          <w:sz w:val="24"/>
          <w:szCs w:val="24"/>
          <w:lang w:val="en-US" w:bidi="ar-SA"/>
        </w:rPr>
      </w:pPr>
      <w:r>
        <w:rPr>
          <w:rFonts w:hint="eastAsia"/>
          <w:kern w:val="2"/>
          <w:sz w:val="24"/>
          <w:szCs w:val="24"/>
          <w:lang w:val="en-US" w:bidi="ar-SA"/>
        </w:rPr>
        <w:t>17.6投标供应商应根据《公路水运工程安全生产监督管理办法》，在投标总价中计</w:t>
      </w:r>
      <w:r>
        <w:rPr>
          <w:rFonts w:hint="eastAsia"/>
          <w:spacing w:val="-3"/>
          <w:kern w:val="2"/>
          <w:sz w:val="24"/>
          <w:szCs w:val="24"/>
          <w:lang w:val="en-US" w:bidi="ar-SA"/>
        </w:rPr>
        <w:t xml:space="preserve">入安全生产费用，安全生产费用应符合合同条款第 </w:t>
      </w:r>
      <w:r>
        <w:rPr>
          <w:rFonts w:hint="eastAsia"/>
          <w:kern w:val="2"/>
          <w:sz w:val="24"/>
          <w:szCs w:val="24"/>
          <w:lang w:val="en-US" w:bidi="ar-SA"/>
        </w:rPr>
        <w:t xml:space="preserve">13.2(6)项的规定。工程量清单第100 </w:t>
      </w:r>
      <w:r>
        <w:rPr>
          <w:rFonts w:hint="eastAsia"/>
          <w:spacing w:val="-1"/>
          <w:kern w:val="2"/>
          <w:sz w:val="24"/>
          <w:szCs w:val="24"/>
          <w:lang w:val="en-US" w:bidi="ar-SA"/>
        </w:rPr>
        <w:t>章内列有上述安全生产费的支付子目，由投标供应商按磋商文件的规定填写总额价。</w:t>
      </w:r>
    </w:p>
    <w:p>
      <w:pPr>
        <w:tabs>
          <w:tab w:val="left" w:pos="1409"/>
        </w:tabs>
        <w:autoSpaceDE/>
        <w:autoSpaceDN/>
        <w:spacing w:line="440" w:lineRule="exact"/>
        <w:ind w:left="440" w:leftChars="200" w:firstLine="240" w:firstLineChars="100"/>
        <w:jc w:val="both"/>
        <w:rPr>
          <w:kern w:val="2"/>
          <w:sz w:val="24"/>
          <w:szCs w:val="24"/>
          <w:lang w:val="en-US" w:bidi="ar-SA"/>
        </w:rPr>
      </w:pPr>
      <w:r>
        <w:rPr>
          <w:rFonts w:hint="eastAsia"/>
          <w:kern w:val="2"/>
          <w:sz w:val="24"/>
          <w:szCs w:val="24"/>
          <w:lang w:val="en-US" w:bidi="ar-SA"/>
        </w:rPr>
        <w:t>17.7采购人不接受调价函。</w:t>
      </w:r>
    </w:p>
    <w:p>
      <w:pPr>
        <w:tabs>
          <w:tab w:val="left" w:pos="1409"/>
        </w:tabs>
        <w:autoSpaceDE/>
        <w:autoSpaceDN/>
        <w:spacing w:before="94" w:line="440" w:lineRule="exact"/>
        <w:ind w:left="440" w:leftChars="200" w:right="436" w:firstLine="238" w:firstLineChars="100"/>
        <w:jc w:val="both"/>
        <w:rPr>
          <w:spacing w:val="-1"/>
          <w:kern w:val="2"/>
          <w:sz w:val="24"/>
          <w:szCs w:val="24"/>
          <w:lang w:val="en-US" w:bidi="ar-SA"/>
        </w:rPr>
      </w:pPr>
      <w:r>
        <w:rPr>
          <w:rFonts w:hint="eastAsia"/>
          <w:spacing w:val="-1"/>
          <w:kern w:val="2"/>
          <w:sz w:val="24"/>
          <w:szCs w:val="24"/>
          <w:lang w:val="en-US" w:bidi="ar-SA"/>
        </w:rPr>
        <w:t>17.8在合同实施期间，投标供应商填写的单价、合价和总额价不会由于物价波动</w:t>
      </w:r>
    </w:p>
    <w:p>
      <w:pPr>
        <w:tabs>
          <w:tab w:val="left" w:pos="1409"/>
        </w:tabs>
        <w:autoSpaceDE/>
        <w:autoSpaceDN/>
        <w:spacing w:before="94" w:line="440" w:lineRule="exact"/>
        <w:ind w:right="436"/>
        <w:jc w:val="both"/>
        <w:rPr>
          <w:kern w:val="2"/>
          <w:sz w:val="24"/>
          <w:szCs w:val="24"/>
          <w:lang w:val="en-US" w:bidi="ar-SA"/>
        </w:rPr>
      </w:pPr>
      <w:r>
        <w:rPr>
          <w:rFonts w:hint="eastAsia"/>
          <w:spacing w:val="-1"/>
          <w:kern w:val="2"/>
          <w:sz w:val="24"/>
          <w:szCs w:val="24"/>
          <w:lang w:val="en-US" w:bidi="ar-SA"/>
        </w:rPr>
        <w:t>进</w:t>
      </w:r>
      <w:r>
        <w:rPr>
          <w:rFonts w:hint="eastAsia"/>
          <w:kern w:val="2"/>
          <w:sz w:val="24"/>
          <w:szCs w:val="24"/>
          <w:lang w:val="en-US" w:bidi="ar-SA"/>
        </w:rPr>
        <w:t>行价格调整，法律变化引起的价格调整除外。</w:t>
      </w:r>
    </w:p>
    <w:p>
      <w:pPr>
        <w:tabs>
          <w:tab w:val="left" w:pos="1409"/>
        </w:tabs>
        <w:autoSpaceDE/>
        <w:autoSpaceDN/>
        <w:spacing w:line="440" w:lineRule="exact"/>
        <w:ind w:left="440" w:leftChars="200" w:right="436" w:firstLine="238" w:firstLineChars="100"/>
        <w:jc w:val="both"/>
        <w:rPr>
          <w:b/>
          <w:bCs/>
          <w:kern w:val="2"/>
          <w:sz w:val="24"/>
          <w:szCs w:val="24"/>
          <w:lang w:val="en-US" w:bidi="ar-SA"/>
        </w:rPr>
      </w:pPr>
      <w:r>
        <w:rPr>
          <w:rFonts w:hint="eastAsia"/>
          <w:spacing w:val="-1"/>
          <w:kern w:val="2"/>
          <w:sz w:val="24"/>
          <w:szCs w:val="24"/>
          <w:lang w:val="en-US" w:bidi="ar-SA"/>
        </w:rPr>
        <w:t>17.9</w:t>
      </w:r>
      <w:r>
        <w:rPr>
          <w:rFonts w:hint="eastAsia"/>
          <w:b/>
          <w:bCs/>
          <w:spacing w:val="-1"/>
          <w:kern w:val="2"/>
          <w:sz w:val="24"/>
          <w:szCs w:val="24"/>
          <w:lang w:val="en-US" w:bidi="ar-SA"/>
        </w:rPr>
        <w:t>投标供应商的投标报价不得超过</w:t>
      </w:r>
      <w:r>
        <w:rPr>
          <w:rFonts w:hint="eastAsia"/>
          <w:b/>
          <w:bCs/>
          <w:spacing w:val="-1"/>
          <w:kern w:val="2"/>
          <w:sz w:val="24"/>
          <w:szCs w:val="24"/>
          <w:lang w:val="en-US" w:eastAsia="zh-CN" w:bidi="ar-SA"/>
        </w:rPr>
        <w:t>最高限价</w:t>
      </w:r>
      <w:r>
        <w:rPr>
          <w:rFonts w:hint="eastAsia"/>
          <w:b/>
          <w:bCs/>
          <w:spacing w:val="-1"/>
          <w:kern w:val="2"/>
          <w:sz w:val="24"/>
          <w:szCs w:val="24"/>
          <w:lang w:val="en-US" w:bidi="ar-SA"/>
        </w:rPr>
        <w:t>金额，</w:t>
      </w:r>
      <w:r>
        <w:rPr>
          <w:rFonts w:hint="eastAsia"/>
          <w:b/>
          <w:bCs/>
          <w:kern w:val="2"/>
          <w:sz w:val="24"/>
          <w:szCs w:val="24"/>
          <w:lang w:val="en-US" w:eastAsia="zh-CN" w:bidi="ar-SA"/>
        </w:rPr>
        <w:t>最高限价</w:t>
      </w:r>
      <w:r>
        <w:rPr>
          <w:rFonts w:hint="eastAsia"/>
          <w:b/>
          <w:bCs/>
          <w:kern w:val="2"/>
          <w:sz w:val="24"/>
          <w:szCs w:val="24"/>
          <w:lang w:val="en-US" w:bidi="ar-SA"/>
        </w:rPr>
        <w:t>在磋商须知前附表</w:t>
      </w:r>
    </w:p>
    <w:p>
      <w:pPr>
        <w:tabs>
          <w:tab w:val="left" w:pos="1409"/>
        </w:tabs>
        <w:autoSpaceDE/>
        <w:autoSpaceDN/>
        <w:spacing w:line="440" w:lineRule="exact"/>
        <w:ind w:right="436"/>
        <w:jc w:val="both"/>
        <w:rPr>
          <w:b/>
          <w:bCs/>
          <w:kern w:val="2"/>
          <w:sz w:val="24"/>
          <w:szCs w:val="24"/>
          <w:lang w:val="en-US" w:bidi="ar-SA"/>
        </w:rPr>
      </w:pPr>
      <w:r>
        <w:rPr>
          <w:rFonts w:hint="eastAsia"/>
          <w:b/>
          <w:bCs/>
          <w:kern w:val="2"/>
          <w:sz w:val="24"/>
          <w:szCs w:val="24"/>
          <w:lang w:val="en-US" w:bidi="ar-SA"/>
        </w:rPr>
        <w:t>中载明。</w:t>
      </w:r>
    </w:p>
    <w:p>
      <w:pPr>
        <w:pStyle w:val="8"/>
        <w:kinsoku w:val="0"/>
        <w:overflowPunct w:val="0"/>
        <w:spacing w:before="60" w:line="440" w:lineRule="exact"/>
        <w:ind w:left="111" w:right="199" w:firstLine="480"/>
        <w:jc w:val="both"/>
        <w:rPr>
          <w:b w:val="0"/>
          <w:color w:val="000000" w:themeColor="text1"/>
          <w:spacing w:val="-1"/>
          <w:kern w:val="2"/>
          <w:sz w:val="24"/>
          <w:szCs w:val="24"/>
          <w:lang w:val="en-US" w:bidi="ar-SA"/>
          <w14:textFill>
            <w14:solidFill>
              <w14:schemeClr w14:val="tx1"/>
            </w14:solidFill>
          </w14:textFill>
        </w:rPr>
      </w:pPr>
      <w:r>
        <w:rPr>
          <w:rFonts w:hint="eastAsia"/>
          <w:b w:val="0"/>
          <w:color w:val="000000" w:themeColor="text1"/>
          <w:spacing w:val="-1"/>
          <w:kern w:val="2"/>
          <w:sz w:val="24"/>
          <w:szCs w:val="24"/>
          <w:lang w:val="en-US" w:bidi="ar-SA"/>
          <w14:textFill>
            <w14:solidFill>
              <w14:schemeClr w14:val="tx1"/>
            </w14:solidFill>
          </w14:textFill>
        </w:rPr>
        <w:t>17.10 本项目投标报价为二轮报价，首次报价在响应文件中体现；最终报价由各磋商供应商在规定的时间内（发出最终报价指令后的20分钟内）在政采云平台在线完成；政采云平台在线报价操作失败的，供应商应及时联系采购代理机构（应在政采云平台最终轮报价倒计价结束前，联系电话</w:t>
      </w:r>
      <w:r>
        <w:rPr>
          <w:rFonts w:hint="eastAsia"/>
          <w:b w:val="0"/>
          <w:color w:val="000000" w:themeColor="text1"/>
          <w:spacing w:val="-1"/>
          <w:kern w:val="2"/>
          <w:sz w:val="24"/>
          <w:szCs w:val="24"/>
          <w:lang w:val="en-US" w:eastAsia="zh-CN" w:bidi="ar-SA"/>
          <w14:textFill>
            <w14:solidFill>
              <w14:schemeClr w14:val="tx1"/>
            </w14:solidFill>
          </w14:textFill>
        </w:rPr>
        <w:t>15509988357</w:t>
      </w:r>
      <w:r>
        <w:rPr>
          <w:rFonts w:hint="eastAsia"/>
          <w:b w:val="0"/>
          <w:color w:val="000000" w:themeColor="text1"/>
          <w:spacing w:val="-1"/>
          <w:kern w:val="2"/>
          <w:sz w:val="24"/>
          <w:szCs w:val="24"/>
          <w:lang w:val="en-US" w:bidi="ar-SA"/>
          <w14:textFill>
            <w14:solidFill>
              <w14:schemeClr w14:val="tx1"/>
            </w14:solidFill>
          </w14:textFill>
        </w:rPr>
        <w:t>），通过指定的电子邮箱提供（最终报价函格式见磋商文件最终报价单内容相应附件，指定邮箱号：</w:t>
      </w:r>
      <w:r>
        <w:rPr>
          <w:rFonts w:hint="eastAsia"/>
          <w:b w:val="0"/>
          <w:color w:val="000000" w:themeColor="text1"/>
          <w:spacing w:val="-1"/>
          <w:kern w:val="2"/>
          <w:sz w:val="24"/>
          <w:szCs w:val="24"/>
          <w:lang w:val="en-US" w:eastAsia="zh-CN" w:bidi="ar-SA"/>
          <w14:textFill>
            <w14:solidFill>
              <w14:schemeClr w14:val="tx1"/>
            </w14:solidFill>
          </w14:textFill>
        </w:rPr>
        <w:t>965573208</w:t>
      </w:r>
      <w:r>
        <w:rPr>
          <w:rFonts w:hint="eastAsia"/>
          <w:b w:val="0"/>
          <w:color w:val="000000" w:themeColor="text1"/>
          <w:spacing w:val="-1"/>
          <w:kern w:val="2"/>
          <w:sz w:val="24"/>
          <w:szCs w:val="24"/>
          <w:lang w:val="en-US" w:bidi="ar-SA"/>
          <w14:textFill>
            <w14:solidFill>
              <w14:schemeClr w14:val="tx1"/>
            </w14:solidFill>
          </w14:textFill>
        </w:rPr>
        <w:t>@qq.com）。因本项目采用竞争性磋商方式，成交价以最终报价为准。</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18</w:t>
      </w:r>
      <w:r>
        <w:rPr>
          <w:rFonts w:hint="eastAsia" w:cs="Times New Roman"/>
          <w:b/>
          <w:sz w:val="24"/>
          <w:szCs w:val="24"/>
          <w:lang w:val="en-US" w:bidi="ar-SA"/>
        </w:rPr>
        <w:t>、磋商货币</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18.1</w:t>
      </w:r>
      <w:r>
        <w:rPr>
          <w:rFonts w:hint="eastAsia" w:cs="Times New Roman"/>
          <w:sz w:val="24"/>
          <w:szCs w:val="24"/>
          <w:lang w:val="en-US" w:bidi="ar-SA"/>
        </w:rPr>
        <w:t>本工程磋商报价采用的币种为</w:t>
      </w:r>
      <w:r>
        <w:rPr>
          <w:rFonts w:hint="eastAsia" w:cs="Times New Roman"/>
          <w:sz w:val="24"/>
          <w:szCs w:val="24"/>
          <w:u w:val="single"/>
          <w:lang w:val="en-US" w:bidi="ar-SA"/>
        </w:rPr>
        <w:t>人民币</w:t>
      </w:r>
      <w:r>
        <w:rPr>
          <w:rFonts w:hint="eastAsia" w:cs="Times New Roman"/>
          <w:sz w:val="24"/>
          <w:szCs w:val="24"/>
          <w:lang w:val="en-US" w:bidi="ar-SA"/>
        </w:rPr>
        <w:t>。</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19</w:t>
      </w:r>
      <w:r>
        <w:rPr>
          <w:rFonts w:hint="eastAsia" w:cs="Times New Roman"/>
          <w:b/>
          <w:sz w:val="24"/>
          <w:szCs w:val="24"/>
          <w:lang w:val="en-US" w:bidi="ar-SA"/>
        </w:rPr>
        <w:t>、磋商有效期</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19.1</w:t>
      </w:r>
      <w:r>
        <w:rPr>
          <w:rFonts w:hint="eastAsia" w:cs="Times New Roman"/>
          <w:sz w:val="24"/>
          <w:szCs w:val="24"/>
          <w:lang w:val="en-US" w:bidi="ar-SA"/>
        </w:rPr>
        <w:t>磋商有效期见本须知前附表第</w:t>
      </w:r>
      <w:r>
        <w:rPr>
          <w:rFonts w:cs="Times New Roman"/>
          <w:sz w:val="24"/>
          <w:szCs w:val="24"/>
          <w:lang w:val="en-US" w:bidi="ar-SA"/>
        </w:rPr>
        <w:t>1</w:t>
      </w:r>
      <w:r>
        <w:rPr>
          <w:rFonts w:hint="eastAsia" w:cs="Times New Roman"/>
          <w:sz w:val="24"/>
          <w:szCs w:val="24"/>
          <w:lang w:val="en-US" w:bidi="ar-SA"/>
        </w:rPr>
        <w:t>9项所规定的期限，在此期限内，凡符合磋商文件要求的响应文件均保持有效。</w:t>
      </w:r>
    </w:p>
    <w:p>
      <w:pPr>
        <w:kinsoku w:val="0"/>
        <w:overflowPunct w:val="0"/>
        <w:adjustRightInd w:val="0"/>
        <w:spacing w:before="26" w:line="440" w:lineRule="exact"/>
        <w:ind w:left="111" w:right="152" w:firstLine="480"/>
        <w:jc w:val="both"/>
        <w:rPr>
          <w:rFonts w:eastAsia="Times New Roman" w:cs="Times New Roman"/>
          <w:sz w:val="24"/>
          <w:szCs w:val="24"/>
          <w:lang w:val="en-US" w:bidi="ar-SA"/>
        </w:rPr>
      </w:pPr>
      <w:r>
        <w:rPr>
          <w:rFonts w:cs="Times New Roman"/>
          <w:sz w:val="24"/>
          <w:szCs w:val="24"/>
          <w:lang w:val="en-US" w:bidi="ar-SA"/>
        </w:rPr>
        <w:t>19.2</w:t>
      </w:r>
      <w:r>
        <w:rPr>
          <w:rFonts w:hint="eastAsia" w:cs="Times New Roman"/>
          <w:sz w:val="24"/>
          <w:szCs w:val="24"/>
          <w:lang w:val="en-US" w:bidi="ar-SA"/>
        </w:rPr>
        <w:t>在特殊情况下</w:t>
      </w:r>
      <w:r>
        <w:rPr>
          <w:rFonts w:hint="eastAsia" w:cs="Times New Roman"/>
          <w:spacing w:val="-60"/>
          <w:sz w:val="24"/>
          <w:szCs w:val="24"/>
          <w:lang w:val="en-US" w:bidi="ar-SA"/>
        </w:rPr>
        <w:t>，</w:t>
      </w:r>
      <w:r>
        <w:rPr>
          <w:rFonts w:hint="eastAsia" w:cs="Times New Roman"/>
          <w:sz w:val="24"/>
          <w:szCs w:val="24"/>
          <w:lang w:val="en-US" w:bidi="ar-SA"/>
        </w:rPr>
        <w:t>采购人在原定磋商有效期内</w:t>
      </w:r>
      <w:r>
        <w:rPr>
          <w:rFonts w:hint="eastAsia" w:cs="Times New Roman"/>
          <w:spacing w:val="-60"/>
          <w:sz w:val="24"/>
          <w:szCs w:val="24"/>
          <w:lang w:val="en-US" w:bidi="ar-SA"/>
        </w:rPr>
        <w:t>，</w:t>
      </w:r>
      <w:r>
        <w:rPr>
          <w:rFonts w:hint="eastAsia" w:cs="Times New Roman"/>
          <w:sz w:val="24"/>
          <w:szCs w:val="24"/>
          <w:lang w:val="en-US" w:bidi="ar-SA"/>
        </w:rPr>
        <w:t>可以根据需要以书面形式向供应商提出延长磋商有效期的要求</w:t>
      </w:r>
      <w:r>
        <w:rPr>
          <w:rFonts w:hint="eastAsia" w:cs="Times New Roman"/>
          <w:spacing w:val="-32"/>
          <w:sz w:val="24"/>
          <w:szCs w:val="24"/>
          <w:lang w:val="en-US" w:bidi="ar-SA"/>
        </w:rPr>
        <w:t>，</w:t>
      </w:r>
      <w:r>
        <w:rPr>
          <w:rFonts w:hint="eastAsia" w:cs="Times New Roman"/>
          <w:sz w:val="24"/>
          <w:szCs w:val="24"/>
          <w:lang w:val="en-US" w:bidi="ar-SA"/>
        </w:rPr>
        <w:t>对此要求供应商须以书面形式予以答</w:t>
      </w:r>
      <w:r>
        <w:rPr>
          <w:rFonts w:hint="eastAsia" w:cs="Times New Roman"/>
          <w:spacing w:val="2"/>
          <w:sz w:val="24"/>
          <w:szCs w:val="24"/>
          <w:lang w:val="en-US" w:bidi="ar-SA"/>
        </w:rPr>
        <w:t>复</w:t>
      </w:r>
      <w:r>
        <w:rPr>
          <w:rFonts w:hint="eastAsia" w:cs="Times New Roman"/>
          <w:spacing w:val="-32"/>
          <w:sz w:val="24"/>
          <w:szCs w:val="24"/>
          <w:lang w:val="en-US" w:bidi="ar-SA"/>
        </w:rPr>
        <w:t>。</w:t>
      </w:r>
      <w:r>
        <w:rPr>
          <w:rFonts w:hint="eastAsia" w:cs="Times New Roman"/>
          <w:sz w:val="24"/>
          <w:szCs w:val="24"/>
          <w:lang w:val="en-US" w:bidi="ar-SA"/>
        </w:rPr>
        <w:t>供应商可以拒绝采购人这种要求</w:t>
      </w:r>
      <w:r>
        <w:rPr>
          <w:rFonts w:hint="eastAsia" w:cs="Times New Roman"/>
          <w:spacing w:val="-32"/>
          <w:sz w:val="24"/>
          <w:szCs w:val="24"/>
          <w:lang w:val="en-US" w:bidi="ar-SA"/>
        </w:rPr>
        <w:t>，</w:t>
      </w:r>
      <w:r>
        <w:rPr>
          <w:rFonts w:hint="eastAsia" w:cs="Times New Roman"/>
          <w:sz w:val="24"/>
          <w:szCs w:val="24"/>
          <w:lang w:val="en-US" w:bidi="ar-SA"/>
        </w:rPr>
        <w:t>而不被没收保证</w:t>
      </w:r>
      <w:r>
        <w:rPr>
          <w:rFonts w:hint="eastAsia" w:cs="Times New Roman"/>
          <w:spacing w:val="2"/>
          <w:sz w:val="24"/>
          <w:szCs w:val="24"/>
          <w:lang w:val="en-US" w:bidi="ar-SA"/>
        </w:rPr>
        <w:t>金</w:t>
      </w:r>
      <w:r>
        <w:rPr>
          <w:rFonts w:hint="eastAsia" w:cs="Times New Roman"/>
          <w:spacing w:val="-32"/>
          <w:sz w:val="24"/>
          <w:szCs w:val="24"/>
          <w:lang w:val="en-US" w:bidi="ar-SA"/>
        </w:rPr>
        <w:t>。</w:t>
      </w:r>
      <w:r>
        <w:rPr>
          <w:rFonts w:hint="eastAsia" w:cs="Times New Roman"/>
          <w:sz w:val="24"/>
          <w:szCs w:val="24"/>
          <w:lang w:val="en-US" w:bidi="ar-SA"/>
        </w:rPr>
        <w:t>同意延长磋商有效期的供应商既不能要求也不允许修改其响应文件</w:t>
      </w:r>
      <w:r>
        <w:rPr>
          <w:rFonts w:hint="eastAsia" w:cs="Times New Roman"/>
          <w:spacing w:val="-32"/>
          <w:sz w:val="24"/>
          <w:szCs w:val="24"/>
          <w:lang w:val="en-US" w:bidi="ar-SA"/>
        </w:rPr>
        <w:t>，</w:t>
      </w:r>
      <w:r>
        <w:rPr>
          <w:rFonts w:hint="eastAsia" w:cs="Times New Roman"/>
          <w:sz w:val="24"/>
          <w:szCs w:val="24"/>
          <w:lang w:val="en-US" w:bidi="ar-SA"/>
        </w:rPr>
        <w:t>但需要相应地延长磋商保证金的有效</w:t>
      </w:r>
      <w:r>
        <w:rPr>
          <w:rFonts w:hint="eastAsia" w:cs="Times New Roman"/>
          <w:spacing w:val="2"/>
          <w:sz w:val="24"/>
          <w:szCs w:val="24"/>
          <w:lang w:val="en-US" w:bidi="ar-SA"/>
        </w:rPr>
        <w:t>期</w:t>
      </w:r>
      <w:r>
        <w:rPr>
          <w:rFonts w:hint="eastAsia" w:cs="Times New Roman"/>
          <w:spacing w:val="-32"/>
          <w:sz w:val="24"/>
          <w:szCs w:val="24"/>
          <w:lang w:val="en-US" w:bidi="ar-SA"/>
        </w:rPr>
        <w:t>，</w:t>
      </w:r>
      <w:r>
        <w:rPr>
          <w:rFonts w:hint="eastAsia" w:cs="Times New Roman"/>
          <w:sz w:val="24"/>
          <w:szCs w:val="24"/>
          <w:lang w:val="en-US" w:bidi="ar-SA"/>
        </w:rPr>
        <w:t>在延长的磋商有效期内本须知第</w:t>
      </w:r>
      <w:r>
        <w:rPr>
          <w:rFonts w:cs="Times New Roman"/>
          <w:sz w:val="24"/>
          <w:szCs w:val="24"/>
          <w:lang w:val="en-US" w:bidi="ar-SA"/>
        </w:rPr>
        <w:t>20</w:t>
      </w:r>
      <w:r>
        <w:rPr>
          <w:rFonts w:hint="eastAsia" w:cs="Times New Roman"/>
          <w:sz w:val="24"/>
          <w:szCs w:val="24"/>
          <w:lang w:val="en-US" w:bidi="ar-SA"/>
        </w:rPr>
        <w:t>条关于磋商保证金的退还与没收的规定仍然适用。</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20</w:t>
      </w:r>
      <w:r>
        <w:rPr>
          <w:rFonts w:hint="eastAsia" w:cs="Times New Roman"/>
          <w:b/>
          <w:sz w:val="24"/>
          <w:szCs w:val="24"/>
          <w:lang w:val="en-US" w:bidi="ar-SA"/>
        </w:rPr>
        <w:t>、磋商保证金</w:t>
      </w:r>
    </w:p>
    <w:p>
      <w:pPr>
        <w:tabs>
          <w:tab w:val="left" w:pos="3963"/>
        </w:tabs>
        <w:kinsoku w:val="0"/>
        <w:overflowPunct w:val="0"/>
        <w:adjustRightInd w:val="0"/>
        <w:spacing w:before="56" w:line="440" w:lineRule="exact"/>
        <w:ind w:left="591"/>
        <w:rPr>
          <w:rFonts w:cs="Times New Roman"/>
          <w:b/>
          <w:spacing w:val="1"/>
          <w:sz w:val="24"/>
          <w:szCs w:val="24"/>
          <w:lang w:val="en-US" w:bidi="ar-SA"/>
        </w:rPr>
      </w:pPr>
      <w:r>
        <w:rPr>
          <w:rFonts w:cs="Times New Roman"/>
          <w:b/>
          <w:spacing w:val="1"/>
          <w:sz w:val="24"/>
          <w:szCs w:val="24"/>
          <w:lang w:val="en-US" w:bidi="ar-SA"/>
        </w:rPr>
        <w:t>20.1</w:t>
      </w:r>
      <w:r>
        <w:rPr>
          <w:rFonts w:hint="eastAsia" w:cs="Times New Roman"/>
          <w:b/>
          <w:spacing w:val="1"/>
          <w:sz w:val="24"/>
          <w:szCs w:val="24"/>
          <w:lang w:val="en-US" w:bidi="ar-SA"/>
        </w:rPr>
        <w:t>供应商应同时提供前附表第20</w:t>
      </w:r>
      <w:r>
        <w:rPr>
          <w:rFonts w:hint="eastAsia" w:cs="Times New Roman"/>
          <w:b/>
          <w:spacing w:val="2"/>
          <w:sz w:val="24"/>
          <w:szCs w:val="24"/>
          <w:lang w:val="en-US" w:bidi="ar-SA"/>
        </w:rPr>
        <w:t>项规</w:t>
      </w:r>
      <w:r>
        <w:rPr>
          <w:rFonts w:hint="eastAsia" w:cs="Times New Roman"/>
          <w:b/>
          <w:sz w:val="24"/>
          <w:szCs w:val="24"/>
          <w:lang w:val="en-US" w:bidi="ar-SA"/>
        </w:rPr>
        <w:t>定</w:t>
      </w:r>
      <w:r>
        <w:rPr>
          <w:rFonts w:hint="eastAsia" w:cs="Times New Roman"/>
          <w:b/>
          <w:spacing w:val="2"/>
          <w:sz w:val="24"/>
          <w:szCs w:val="24"/>
          <w:lang w:val="en-US" w:bidi="ar-SA"/>
        </w:rPr>
        <w:t>数额的磋商</w:t>
      </w:r>
      <w:r>
        <w:rPr>
          <w:rFonts w:hint="eastAsia" w:cs="Times New Roman"/>
          <w:b/>
          <w:sz w:val="24"/>
          <w:szCs w:val="24"/>
          <w:lang w:val="en-US" w:bidi="ar-SA"/>
        </w:rPr>
        <w:t>保</w:t>
      </w:r>
      <w:r>
        <w:rPr>
          <w:rFonts w:hint="eastAsia" w:cs="Times New Roman"/>
          <w:b/>
          <w:spacing w:val="2"/>
          <w:sz w:val="24"/>
          <w:szCs w:val="24"/>
          <w:lang w:val="en-US" w:bidi="ar-SA"/>
        </w:rPr>
        <w:t>证金</w:t>
      </w:r>
      <w:r>
        <w:rPr>
          <w:rFonts w:hint="eastAsia" w:cs="Times New Roman"/>
          <w:b/>
          <w:spacing w:val="-33"/>
          <w:sz w:val="24"/>
          <w:szCs w:val="24"/>
          <w:lang w:val="en-US" w:bidi="ar-SA"/>
        </w:rPr>
        <w:t>，</w:t>
      </w:r>
      <w:r>
        <w:rPr>
          <w:rFonts w:hint="eastAsia" w:cs="Times New Roman"/>
          <w:b/>
          <w:spacing w:val="1"/>
          <w:sz w:val="24"/>
          <w:szCs w:val="24"/>
          <w:lang w:val="en-US" w:bidi="ar-SA"/>
        </w:rPr>
        <w:t>并作为其响应文件的一</w:t>
      </w:r>
    </w:p>
    <w:p>
      <w:pPr>
        <w:tabs>
          <w:tab w:val="left" w:pos="3963"/>
        </w:tabs>
        <w:kinsoku w:val="0"/>
        <w:overflowPunct w:val="0"/>
        <w:adjustRightInd w:val="0"/>
        <w:spacing w:before="56" w:line="440" w:lineRule="exact"/>
        <w:rPr>
          <w:rFonts w:cs="Times New Roman"/>
          <w:b/>
          <w:spacing w:val="1"/>
          <w:sz w:val="24"/>
          <w:szCs w:val="24"/>
          <w:lang w:val="en-US" w:bidi="ar-SA"/>
        </w:rPr>
      </w:pPr>
      <w:r>
        <w:rPr>
          <w:rFonts w:hint="eastAsia" w:cs="Times New Roman"/>
          <w:b/>
          <w:spacing w:val="1"/>
          <w:sz w:val="24"/>
          <w:szCs w:val="24"/>
          <w:lang w:val="en-US" w:bidi="ar-SA"/>
        </w:rPr>
        <w:t>部分。磋商保证金提交方式为从供应商基本账户以电汇、网银等非现金形式在提交首次响应文件截止时间前交纳。汇款需注明采购项目名称或编号。</w:t>
      </w:r>
    </w:p>
    <w:p>
      <w:pPr>
        <w:kinsoku w:val="0"/>
        <w:overflowPunct w:val="0"/>
        <w:adjustRightInd w:val="0"/>
        <w:spacing w:line="440" w:lineRule="exact"/>
        <w:ind w:left="111" w:firstLine="480"/>
        <w:rPr>
          <w:rFonts w:hint="eastAsia"/>
          <w:bCs/>
          <w:color w:val="000000"/>
          <w:sz w:val="24"/>
          <w:szCs w:val="24"/>
          <w:lang w:val="en-US" w:bidi="ar-SA"/>
        </w:rPr>
      </w:pPr>
      <w:r>
        <w:rPr>
          <w:rFonts w:hint="eastAsia"/>
          <w:bCs/>
          <w:color w:val="000000"/>
          <w:sz w:val="24"/>
          <w:szCs w:val="24"/>
          <w:lang w:val="en-US" w:bidi="ar-SA"/>
        </w:rPr>
        <w:t>收款单位：喀什西部鑫源工程项目管理有限公司</w:t>
      </w:r>
    </w:p>
    <w:p>
      <w:pPr>
        <w:kinsoku w:val="0"/>
        <w:overflowPunct w:val="0"/>
        <w:adjustRightInd w:val="0"/>
        <w:spacing w:line="440" w:lineRule="exact"/>
        <w:ind w:left="111" w:firstLine="480"/>
        <w:rPr>
          <w:rFonts w:hint="eastAsia"/>
          <w:bCs/>
          <w:color w:val="000000"/>
          <w:sz w:val="24"/>
          <w:szCs w:val="24"/>
          <w:lang w:val="en-US" w:bidi="ar-SA"/>
        </w:rPr>
      </w:pPr>
      <w:r>
        <w:rPr>
          <w:rFonts w:hint="eastAsia"/>
          <w:bCs/>
          <w:color w:val="000000"/>
          <w:sz w:val="24"/>
          <w:szCs w:val="24"/>
          <w:lang w:val="en-US" w:bidi="ar-SA"/>
        </w:rPr>
        <w:t xml:space="preserve">行    号： 103894047588 </w:t>
      </w:r>
    </w:p>
    <w:p>
      <w:pPr>
        <w:kinsoku w:val="0"/>
        <w:overflowPunct w:val="0"/>
        <w:adjustRightInd w:val="0"/>
        <w:spacing w:line="440" w:lineRule="exact"/>
        <w:ind w:left="111" w:firstLine="480"/>
        <w:rPr>
          <w:rFonts w:hint="eastAsia"/>
          <w:bCs/>
          <w:color w:val="000000"/>
          <w:sz w:val="24"/>
          <w:szCs w:val="24"/>
          <w:lang w:val="en-US" w:bidi="ar-SA"/>
        </w:rPr>
      </w:pPr>
      <w:r>
        <w:rPr>
          <w:rFonts w:hint="eastAsia"/>
          <w:bCs/>
          <w:color w:val="000000"/>
          <w:sz w:val="24"/>
          <w:szCs w:val="24"/>
          <w:lang w:val="en-US" w:bidi="ar-SA"/>
        </w:rPr>
        <w:t>帐  号： 30475801040006063</w:t>
      </w:r>
    </w:p>
    <w:p>
      <w:pPr>
        <w:kinsoku w:val="0"/>
        <w:overflowPunct w:val="0"/>
        <w:adjustRightInd w:val="0"/>
        <w:spacing w:line="440" w:lineRule="exact"/>
        <w:ind w:left="111" w:firstLine="480"/>
        <w:rPr>
          <w:rFonts w:hint="eastAsia"/>
          <w:bCs/>
          <w:color w:val="000000"/>
          <w:sz w:val="24"/>
          <w:szCs w:val="24"/>
          <w:lang w:val="en-US" w:bidi="ar-SA"/>
        </w:rPr>
      </w:pPr>
      <w:r>
        <w:rPr>
          <w:rFonts w:hint="eastAsia"/>
          <w:bCs/>
          <w:color w:val="000000"/>
          <w:sz w:val="24"/>
          <w:szCs w:val="24"/>
          <w:lang w:val="en-US" w:bidi="ar-SA"/>
        </w:rPr>
        <w:t>开户银行：中国农业银行股份有限公司喀什南湖路支行</w:t>
      </w:r>
    </w:p>
    <w:p>
      <w:pPr>
        <w:kinsoku w:val="0"/>
        <w:overflowPunct w:val="0"/>
        <w:adjustRightInd w:val="0"/>
        <w:spacing w:line="440" w:lineRule="exact"/>
        <w:ind w:left="111" w:firstLine="480"/>
        <w:rPr>
          <w:bCs/>
          <w:color w:val="000000"/>
          <w:sz w:val="24"/>
          <w:lang w:val="en-US" w:bidi="ar-SA"/>
        </w:rPr>
      </w:pPr>
      <w:r>
        <w:rPr>
          <w:rFonts w:hint="eastAsia"/>
          <w:bCs/>
          <w:color w:val="000000"/>
          <w:sz w:val="24"/>
          <w:szCs w:val="24"/>
          <w:lang w:val="en-US" w:bidi="ar-SA"/>
        </w:rPr>
        <w:t>磋商保证金以到账信息为准，供应商应充分考虑在途时间，投标供应商未按照磋商文件要求提交磋商保证金的，磋商无效。</w:t>
      </w:r>
      <w:r>
        <w:rPr>
          <w:rFonts w:hint="eastAsia"/>
          <w:bCs/>
          <w:color w:val="000000"/>
          <w:sz w:val="24"/>
          <w:lang w:val="en-US" w:bidi="ar-SA"/>
        </w:rPr>
        <w:t>磋商保证金以到账信息为准，供应商应充分考虑在途时间，投标供应商未按照磋商文件要求提交磋商保证金的，磋商无效。</w:t>
      </w:r>
    </w:p>
    <w:p>
      <w:pPr>
        <w:kinsoku w:val="0"/>
        <w:overflowPunct w:val="0"/>
        <w:adjustRightInd w:val="0"/>
        <w:spacing w:line="440" w:lineRule="exact"/>
        <w:ind w:left="111" w:firstLine="480"/>
        <w:rPr>
          <w:rFonts w:eastAsia="Times New Roman" w:cs="Times New Roman"/>
          <w:sz w:val="24"/>
          <w:szCs w:val="24"/>
          <w:lang w:val="en-US" w:bidi="ar-SA"/>
        </w:rPr>
      </w:pPr>
      <w:r>
        <w:rPr>
          <w:rFonts w:cs="Times New Roman"/>
          <w:sz w:val="24"/>
          <w:szCs w:val="24"/>
          <w:lang w:val="en-US" w:bidi="ar-SA"/>
        </w:rPr>
        <w:t xml:space="preserve">20.2 </w:t>
      </w:r>
      <w:r>
        <w:rPr>
          <w:rFonts w:hint="eastAsia" w:cs="Times New Roman"/>
          <w:spacing w:val="1"/>
          <w:sz w:val="24"/>
          <w:szCs w:val="24"/>
          <w:lang w:val="en-US" w:bidi="ar-SA"/>
        </w:rPr>
        <w:t>对于未能按要求提交磋商保证金的报价，采购人将视为不响应磋商文件而</w:t>
      </w:r>
      <w:r>
        <w:rPr>
          <w:rFonts w:hint="eastAsia" w:cs="Times New Roman"/>
          <w:sz w:val="24"/>
          <w:szCs w:val="24"/>
          <w:lang w:val="en-US" w:bidi="ar-SA"/>
        </w:rPr>
        <w:t>予以拒绝。</w:t>
      </w:r>
    </w:p>
    <w:p>
      <w:pPr>
        <w:kinsoku w:val="0"/>
        <w:overflowPunct w:val="0"/>
        <w:adjustRightInd w:val="0"/>
        <w:spacing w:before="56" w:line="440" w:lineRule="exact"/>
        <w:ind w:left="111" w:firstLine="480"/>
        <w:rPr>
          <w:rFonts w:eastAsia="Times New Roman" w:cs="Times New Roman"/>
          <w:sz w:val="24"/>
          <w:szCs w:val="24"/>
          <w:lang w:val="en-US" w:bidi="ar-SA"/>
        </w:rPr>
      </w:pPr>
      <w:r>
        <w:rPr>
          <w:rFonts w:cs="Times New Roman"/>
          <w:sz w:val="24"/>
          <w:szCs w:val="24"/>
          <w:lang w:val="en-US" w:bidi="ar-SA"/>
        </w:rPr>
        <w:t xml:space="preserve">20.3 </w:t>
      </w:r>
      <w:r>
        <w:rPr>
          <w:rFonts w:hint="eastAsia" w:cs="Times New Roman"/>
          <w:spacing w:val="1"/>
          <w:sz w:val="24"/>
          <w:szCs w:val="24"/>
          <w:lang w:val="en-US" w:bidi="ar-SA"/>
        </w:rPr>
        <w:t>未中标的供应商的磋商保证金将在成交通知书发出之日起</w:t>
      </w:r>
      <w:r>
        <w:rPr>
          <w:rFonts w:cs="Times New Roman"/>
          <w:sz w:val="24"/>
          <w:szCs w:val="24"/>
          <w:lang w:val="en-US" w:bidi="ar-SA"/>
        </w:rPr>
        <w:t>5</w:t>
      </w:r>
      <w:r>
        <w:rPr>
          <w:rFonts w:hint="eastAsia" w:cs="Times New Roman"/>
          <w:spacing w:val="1"/>
          <w:sz w:val="24"/>
          <w:szCs w:val="24"/>
          <w:lang w:val="en-US" w:bidi="ar-SA"/>
        </w:rPr>
        <w:t>个工作日内退</w:t>
      </w:r>
      <w:r>
        <w:rPr>
          <w:rFonts w:hint="eastAsia" w:cs="Times New Roman"/>
          <w:sz w:val="24"/>
          <w:szCs w:val="24"/>
          <w:lang w:val="en-US" w:bidi="ar-SA"/>
        </w:rPr>
        <w:t>还（无息）。</w:t>
      </w:r>
    </w:p>
    <w:p>
      <w:pPr>
        <w:kinsoku w:val="0"/>
        <w:overflowPunct w:val="0"/>
        <w:adjustRightInd w:val="0"/>
        <w:spacing w:before="60" w:line="440" w:lineRule="exact"/>
        <w:ind w:left="111" w:firstLine="480"/>
        <w:rPr>
          <w:rFonts w:eastAsia="Times New Roman" w:cs="Times New Roman"/>
          <w:sz w:val="24"/>
          <w:szCs w:val="24"/>
          <w:lang w:val="en-US" w:bidi="ar-SA"/>
        </w:rPr>
      </w:pPr>
      <w:r>
        <w:rPr>
          <w:rFonts w:cs="Times New Roman"/>
          <w:sz w:val="24"/>
          <w:szCs w:val="24"/>
          <w:lang w:val="en-US" w:bidi="ar-SA"/>
        </w:rPr>
        <w:t>20.4</w:t>
      </w:r>
      <w:r>
        <w:rPr>
          <w:rFonts w:hint="eastAsia" w:cs="Times New Roman"/>
          <w:sz w:val="24"/>
          <w:szCs w:val="24"/>
          <w:lang w:val="en-US" w:bidi="ar-SA"/>
        </w:rPr>
        <w:t xml:space="preserve"> 中标人的磋商保证金</w:t>
      </w:r>
      <w:r>
        <w:rPr>
          <w:rFonts w:hint="eastAsia" w:cs="Times New Roman"/>
          <w:spacing w:val="-120"/>
          <w:sz w:val="24"/>
          <w:szCs w:val="24"/>
          <w:lang w:val="en-US" w:bidi="ar-SA"/>
        </w:rPr>
        <w:t>，</w:t>
      </w:r>
      <w:r>
        <w:rPr>
          <w:rFonts w:hint="eastAsia"/>
          <w:sz w:val="24"/>
          <w:szCs w:val="24"/>
          <w:lang w:bidi="ar-SA"/>
        </w:rPr>
        <w:t>在采购合同签定后</w:t>
      </w:r>
      <w:r>
        <w:rPr>
          <w:sz w:val="24"/>
          <w:szCs w:val="24"/>
          <w:lang w:bidi="ar-SA"/>
        </w:rPr>
        <w:t>5</w:t>
      </w:r>
      <w:r>
        <w:rPr>
          <w:rFonts w:hint="eastAsia"/>
          <w:sz w:val="24"/>
          <w:szCs w:val="24"/>
          <w:lang w:bidi="ar-SA"/>
        </w:rPr>
        <w:t>个工作日内退还，但因供应商自身原因导致无法及时退还的除外。</w:t>
      </w:r>
    </w:p>
    <w:p>
      <w:pPr>
        <w:kinsoku w:val="0"/>
        <w:overflowPunct w:val="0"/>
        <w:adjustRightInd w:val="0"/>
        <w:spacing w:before="57" w:line="440" w:lineRule="exact"/>
        <w:ind w:left="591"/>
        <w:rPr>
          <w:rFonts w:eastAsia="Times New Roman" w:cs="Times New Roman"/>
          <w:sz w:val="24"/>
          <w:szCs w:val="24"/>
          <w:lang w:val="en-US" w:bidi="ar-SA"/>
        </w:rPr>
      </w:pPr>
      <w:r>
        <w:rPr>
          <w:rFonts w:cs="Times New Roman"/>
          <w:sz w:val="24"/>
          <w:szCs w:val="24"/>
          <w:lang w:val="en-US" w:bidi="ar-SA"/>
        </w:rPr>
        <w:t>20.5</w:t>
      </w:r>
      <w:r>
        <w:rPr>
          <w:rFonts w:hint="eastAsia" w:cs="Times New Roman"/>
          <w:sz w:val="24"/>
          <w:szCs w:val="24"/>
          <w:lang w:val="en-US" w:bidi="ar-SA"/>
        </w:rPr>
        <w:t>如供应商有下列情况，将被没收磋商保证金：</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20.5.1</w:t>
      </w:r>
      <w:r>
        <w:rPr>
          <w:rFonts w:hint="eastAsia" w:cs="Times New Roman"/>
          <w:sz w:val="24"/>
          <w:szCs w:val="24"/>
          <w:lang w:val="en-US" w:bidi="ar-SA"/>
        </w:rPr>
        <w:t>供应商在磋商有效期内撤销或修改其响应文件；</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20.5.2</w:t>
      </w:r>
      <w:r>
        <w:rPr>
          <w:rFonts w:hint="eastAsia" w:cs="Times New Roman"/>
          <w:sz w:val="24"/>
          <w:szCs w:val="24"/>
          <w:lang w:val="en-US" w:bidi="ar-SA"/>
        </w:rPr>
        <w:t>中标人未能在规定期限内签署合同协议；</w:t>
      </w:r>
    </w:p>
    <w:p>
      <w:pPr>
        <w:kinsoku w:val="0"/>
        <w:overflowPunct w:val="0"/>
        <w:adjustRightInd w:val="0"/>
        <w:spacing w:line="420" w:lineRule="exact"/>
        <w:ind w:left="591"/>
        <w:rPr>
          <w:rFonts w:eastAsia="Times New Roman" w:cs="Times New Roman"/>
          <w:sz w:val="24"/>
          <w:szCs w:val="24"/>
          <w:lang w:val="en-US" w:bidi="ar-SA"/>
        </w:rPr>
      </w:pPr>
      <w:r>
        <w:rPr>
          <w:rFonts w:cs="Times New Roman"/>
          <w:sz w:val="24"/>
          <w:szCs w:val="24"/>
          <w:lang w:val="en-US" w:bidi="ar-SA"/>
        </w:rPr>
        <w:t>20.5.3</w:t>
      </w:r>
      <w:r>
        <w:rPr>
          <w:rFonts w:hint="eastAsia" w:cs="Times New Roman"/>
          <w:sz w:val="24"/>
          <w:szCs w:val="24"/>
          <w:lang w:val="en-US" w:bidi="ar-SA"/>
        </w:rPr>
        <w:t>法律法规规定的其他情形。</w:t>
      </w:r>
    </w:p>
    <w:p>
      <w:pPr>
        <w:kinsoku w:val="0"/>
        <w:overflowPunct w:val="0"/>
        <w:adjustRightInd w:val="0"/>
        <w:spacing w:before="26" w:line="420" w:lineRule="exact"/>
        <w:ind w:left="590"/>
        <w:rPr>
          <w:rFonts w:eastAsia="Times New Roman" w:cs="Times New Roman"/>
          <w:sz w:val="24"/>
          <w:szCs w:val="24"/>
          <w:lang w:val="en-US" w:bidi="ar-SA"/>
        </w:rPr>
      </w:pPr>
      <w:r>
        <w:rPr>
          <w:rFonts w:cs="Times New Roman"/>
          <w:b/>
          <w:sz w:val="24"/>
          <w:szCs w:val="24"/>
          <w:lang w:val="en-US" w:bidi="ar-SA"/>
        </w:rPr>
        <w:t>21</w:t>
      </w:r>
      <w:r>
        <w:rPr>
          <w:rFonts w:hint="eastAsia" w:cs="Times New Roman"/>
          <w:b/>
          <w:sz w:val="24"/>
          <w:szCs w:val="24"/>
          <w:lang w:val="en-US" w:bidi="ar-SA"/>
        </w:rPr>
        <w:t>、供应商的替代方案：</w:t>
      </w:r>
      <w:r>
        <w:rPr>
          <w:rFonts w:hint="eastAsia" w:cs="Times New Roman"/>
          <w:sz w:val="24"/>
          <w:szCs w:val="24"/>
          <w:lang w:val="en-US" w:bidi="ar-SA"/>
        </w:rPr>
        <w:t>无。</w:t>
      </w:r>
    </w:p>
    <w:p>
      <w:pPr>
        <w:kinsoku w:val="0"/>
        <w:overflowPunct w:val="0"/>
        <w:adjustRightInd w:val="0"/>
        <w:spacing w:before="57" w:line="420" w:lineRule="exact"/>
        <w:ind w:left="591"/>
        <w:outlineLvl w:val="4"/>
        <w:rPr>
          <w:rFonts w:eastAsia="Times New Roman" w:cs="Times New Roman"/>
          <w:b/>
          <w:sz w:val="24"/>
          <w:szCs w:val="24"/>
          <w:lang w:val="en-US" w:bidi="ar-SA"/>
        </w:rPr>
      </w:pPr>
      <w:r>
        <w:rPr>
          <w:rFonts w:cs="Times New Roman"/>
          <w:b/>
          <w:sz w:val="24"/>
          <w:szCs w:val="24"/>
          <w:lang w:val="en-US" w:bidi="ar-SA"/>
        </w:rPr>
        <w:t>22</w:t>
      </w:r>
      <w:r>
        <w:rPr>
          <w:rFonts w:hint="eastAsia" w:cs="Times New Roman"/>
          <w:b/>
          <w:sz w:val="24"/>
          <w:szCs w:val="24"/>
          <w:lang w:val="en-US" w:bidi="ar-SA"/>
        </w:rPr>
        <w:t>、响应文件的份数和签署</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22.1  </w:t>
      </w:r>
      <w:r>
        <w:rPr>
          <w:rFonts w:hint="eastAsia" w:cs="Times New Roman"/>
          <w:sz w:val="24"/>
          <w:szCs w:val="24"/>
          <w:lang w:val="en-US" w:bidi="ar-SA"/>
        </w:rPr>
        <w:t>响应文件应按本采购文件第七章有关要求编制，上传的电子磋商响应文件的签署可采用</w:t>
      </w:r>
      <w:r>
        <w:rPr>
          <w:rFonts w:cs="Times New Roman"/>
          <w:sz w:val="24"/>
          <w:szCs w:val="24"/>
          <w:lang w:val="en-US" w:bidi="ar-SA"/>
        </w:rPr>
        <w:t>CA</w:t>
      </w:r>
      <w:r>
        <w:rPr>
          <w:rFonts w:hint="eastAsia" w:cs="Times New Roman"/>
          <w:sz w:val="24"/>
          <w:szCs w:val="24"/>
          <w:lang w:val="en-US" w:bidi="ar-SA"/>
        </w:rPr>
        <w:t>锁电子签章进行，如办理了法人电子锁，法人签字也可以进行电子签章。</w:t>
      </w:r>
    </w:p>
    <w:p>
      <w:pPr>
        <w:adjustRightInd w:val="0"/>
        <w:spacing w:line="440" w:lineRule="exact"/>
        <w:ind w:firstLine="420"/>
        <w:rPr>
          <w:rFonts w:hAnsi="Times New Roman" w:cs="Times New Roman"/>
          <w:sz w:val="24"/>
          <w:szCs w:val="24"/>
          <w:lang w:val="en-US" w:bidi="ar-SA"/>
        </w:rPr>
      </w:pPr>
      <w:r>
        <w:rPr>
          <w:rFonts w:cs="Times New Roman"/>
          <w:sz w:val="24"/>
          <w:szCs w:val="24"/>
          <w:lang w:val="en-US" w:bidi="ar-SA"/>
        </w:rPr>
        <w:t xml:space="preserve">22.2 </w:t>
      </w:r>
      <w:r>
        <w:rPr>
          <w:rFonts w:hint="eastAsia" w:cs="Times New Roman"/>
          <w:sz w:val="24"/>
          <w:szCs w:val="24"/>
          <w:lang w:val="en-US" w:bidi="ar-SA"/>
        </w:rPr>
        <w:t>纸质版响应文件均须在封面上清楚标明</w:t>
      </w:r>
      <w:r>
        <w:rPr>
          <w:rFonts w:hint="eastAsia" w:hAnsi="Times New Roman" w:cs="Times New Roman"/>
          <w:sz w:val="24"/>
          <w:szCs w:val="24"/>
          <w:lang w:val="en-US" w:bidi="ar-SA"/>
        </w:rPr>
        <w:t>“</w:t>
      </w:r>
      <w:r>
        <w:rPr>
          <w:rFonts w:hint="eastAsia" w:cs="Times New Roman"/>
          <w:sz w:val="24"/>
          <w:szCs w:val="24"/>
          <w:lang w:val="en-US" w:bidi="ar-SA"/>
        </w:rPr>
        <w:t>正本</w:t>
      </w:r>
      <w:r>
        <w:rPr>
          <w:rFonts w:hint="eastAsia" w:hAnsi="Times New Roman" w:cs="Times New Roman"/>
          <w:sz w:val="24"/>
          <w:szCs w:val="24"/>
          <w:lang w:val="en-US" w:bidi="ar-SA"/>
        </w:rPr>
        <w:t>”</w:t>
      </w:r>
      <w:r>
        <w:rPr>
          <w:rFonts w:hint="eastAsia" w:cs="Times New Roman"/>
          <w:sz w:val="24"/>
          <w:szCs w:val="24"/>
          <w:lang w:val="en-US" w:bidi="ar-SA"/>
        </w:rPr>
        <w:t>或</w:t>
      </w:r>
      <w:r>
        <w:rPr>
          <w:rFonts w:hint="eastAsia" w:hAnsi="Times New Roman" w:cs="Times New Roman"/>
          <w:sz w:val="24"/>
          <w:szCs w:val="24"/>
          <w:lang w:val="en-US" w:bidi="ar-SA"/>
        </w:rPr>
        <w:t>“</w:t>
      </w:r>
      <w:r>
        <w:rPr>
          <w:rFonts w:hint="eastAsia" w:cs="Times New Roman"/>
          <w:sz w:val="24"/>
          <w:szCs w:val="24"/>
          <w:lang w:val="en-US" w:bidi="ar-SA"/>
        </w:rPr>
        <w:t>副本</w:t>
      </w:r>
      <w:r>
        <w:rPr>
          <w:rFonts w:hint="eastAsia" w:hAnsi="Times New Roman" w:cs="Times New Roman"/>
          <w:sz w:val="24"/>
          <w:szCs w:val="24"/>
          <w:lang w:val="en-US" w:bidi="ar-SA"/>
        </w:rPr>
        <w:t>”</w:t>
      </w:r>
      <w:r>
        <w:rPr>
          <w:rFonts w:hint="eastAsia" w:cs="Times New Roman"/>
          <w:sz w:val="24"/>
          <w:szCs w:val="24"/>
          <w:lang w:val="en-US" w:bidi="ar-SA"/>
        </w:rPr>
        <w:t>字样。</w:t>
      </w:r>
      <w:r>
        <w:rPr>
          <w:rFonts w:hint="eastAsia" w:hAnsi="Times New Roman" w:cs="Times New Roman"/>
          <w:sz w:val="24"/>
          <w:szCs w:val="24"/>
          <w:lang w:val="en-US" w:bidi="ar-SA"/>
        </w:rPr>
        <w:t>“</w:t>
      </w:r>
      <w:r>
        <w:rPr>
          <w:rFonts w:hint="eastAsia" w:cs="Times New Roman"/>
          <w:sz w:val="24"/>
          <w:szCs w:val="24"/>
          <w:lang w:val="en-US" w:bidi="ar-SA"/>
        </w:rPr>
        <w:t>正本</w:t>
      </w:r>
      <w:r>
        <w:rPr>
          <w:rFonts w:hint="eastAsia" w:hAnsi="Times New Roman" w:cs="Times New Roman"/>
          <w:sz w:val="24"/>
          <w:szCs w:val="24"/>
          <w:lang w:val="en-US" w:bidi="ar-SA"/>
        </w:rPr>
        <w:t>”</w:t>
      </w:r>
      <w:r>
        <w:rPr>
          <w:rFonts w:hint="eastAsia" w:cs="Times New Roman"/>
          <w:sz w:val="24"/>
          <w:szCs w:val="24"/>
          <w:lang w:val="en-US" w:bidi="ar-SA"/>
        </w:rPr>
        <w:t>和</w:t>
      </w:r>
      <w:r>
        <w:rPr>
          <w:rFonts w:hint="eastAsia" w:hAnsi="Times New Roman" w:cs="Times New Roman"/>
          <w:sz w:val="24"/>
          <w:szCs w:val="24"/>
          <w:lang w:val="en-US" w:bidi="ar-SA"/>
        </w:rPr>
        <w:t>“</w:t>
      </w:r>
      <w:r>
        <w:rPr>
          <w:rFonts w:hint="eastAsia" w:cs="Times New Roman"/>
          <w:sz w:val="24"/>
          <w:szCs w:val="24"/>
          <w:lang w:val="en-US" w:bidi="ar-SA"/>
        </w:rPr>
        <w:t>副本</w:t>
      </w:r>
      <w:r>
        <w:rPr>
          <w:rFonts w:hint="eastAsia" w:hAnsi="Times New Roman" w:cs="Times New Roman"/>
          <w:sz w:val="24"/>
          <w:szCs w:val="24"/>
          <w:lang w:val="en-US" w:bidi="ar-SA"/>
        </w:rPr>
        <w:t>”</w:t>
      </w:r>
      <w:r>
        <w:rPr>
          <w:rFonts w:hint="eastAsia" w:cs="Times New Roman"/>
          <w:sz w:val="24"/>
          <w:szCs w:val="24"/>
          <w:lang w:val="en-US" w:bidi="ar-SA"/>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kinsoku w:val="0"/>
        <w:overflowPunct w:val="0"/>
        <w:adjustRightInd w:val="0"/>
        <w:spacing w:before="57" w:line="420" w:lineRule="exact"/>
        <w:ind w:right="110"/>
        <w:outlineLvl w:val="4"/>
        <w:rPr>
          <w:rFonts w:eastAsia="Times New Roman" w:cs="Times New Roman"/>
          <w:b/>
          <w:sz w:val="24"/>
          <w:szCs w:val="24"/>
          <w:lang w:val="en-US" w:bidi="ar-SA"/>
        </w:rPr>
      </w:pPr>
    </w:p>
    <w:p>
      <w:pPr>
        <w:numPr>
          <w:ilvl w:val="0"/>
          <w:numId w:val="4"/>
        </w:numPr>
        <w:kinsoku w:val="0"/>
        <w:overflowPunct w:val="0"/>
        <w:adjustRightInd w:val="0"/>
        <w:spacing w:before="57" w:line="440" w:lineRule="exact"/>
        <w:ind w:left="591" w:right="110"/>
        <w:jc w:val="center"/>
        <w:outlineLvl w:val="4"/>
        <w:rPr>
          <w:rFonts w:eastAsia="Times New Roman" w:cs="Times New Roman"/>
          <w:b/>
          <w:spacing w:val="26"/>
          <w:w w:val="99"/>
          <w:sz w:val="24"/>
          <w:szCs w:val="24"/>
          <w:lang w:val="en-US" w:bidi="ar-SA"/>
        </w:rPr>
      </w:pPr>
      <w:r>
        <w:rPr>
          <w:rFonts w:hint="eastAsia" w:cs="Times New Roman"/>
          <w:b/>
          <w:sz w:val="24"/>
          <w:szCs w:val="24"/>
          <w:lang w:val="en-US" w:bidi="ar-SA"/>
        </w:rPr>
        <w:t>响应文件的提交</w:t>
      </w:r>
    </w:p>
    <w:p>
      <w:pPr>
        <w:adjustRightInd w:val="0"/>
        <w:spacing w:line="440" w:lineRule="exact"/>
        <w:ind w:firstLine="482" w:firstLineChars="200"/>
        <w:rPr>
          <w:rFonts w:hAnsi="Times New Roman" w:eastAsia="Times New Roman" w:cs="Times New Roman"/>
          <w:b/>
          <w:color w:val="000000"/>
          <w:sz w:val="24"/>
          <w:szCs w:val="24"/>
          <w:lang w:val="en-US" w:bidi="ar-SA"/>
        </w:rPr>
      </w:pPr>
      <w:r>
        <w:rPr>
          <w:rFonts w:cs="Times New Roman"/>
          <w:b/>
          <w:color w:val="000000"/>
          <w:sz w:val="24"/>
          <w:szCs w:val="24"/>
          <w:lang w:val="en-US" w:bidi="ar-SA"/>
        </w:rPr>
        <w:t>23</w:t>
      </w:r>
      <w:r>
        <w:rPr>
          <w:rFonts w:hint="eastAsia" w:cs="Times New Roman"/>
          <w:b/>
          <w:color w:val="000000"/>
          <w:sz w:val="24"/>
          <w:szCs w:val="24"/>
          <w:lang w:val="en-US" w:bidi="ar-SA"/>
        </w:rPr>
        <w:t>、响应文件的密封与标志</w:t>
      </w:r>
    </w:p>
    <w:p>
      <w:pPr>
        <w:adjustRightInd w:val="0"/>
        <w:spacing w:line="440" w:lineRule="exact"/>
        <w:ind w:firstLine="480" w:firstLineChars="200"/>
        <w:rPr>
          <w:rFonts w:hAnsi="Times New Roman" w:cs="Times New Roman"/>
          <w:color w:val="000000"/>
          <w:sz w:val="24"/>
          <w:szCs w:val="24"/>
          <w:lang w:val="en-US" w:bidi="ar-SA"/>
        </w:rPr>
      </w:pPr>
      <w:r>
        <w:rPr>
          <w:rFonts w:cs="Times New Roman"/>
          <w:color w:val="000000"/>
          <w:sz w:val="24"/>
          <w:szCs w:val="24"/>
          <w:lang w:val="en-US" w:bidi="ar-SA"/>
        </w:rPr>
        <w:t xml:space="preserve">23.1 </w:t>
      </w:r>
      <w:r>
        <w:rPr>
          <w:rFonts w:hint="eastAsia" w:cs="Times New Roman"/>
          <w:color w:val="000000"/>
          <w:sz w:val="24"/>
          <w:szCs w:val="24"/>
          <w:lang w:val="en-US" w:bidi="ar-SA"/>
        </w:rPr>
        <w:t>电子投标响应文件按照本项目磋商文件和政采云平台的要求编制、加密传输。</w:t>
      </w:r>
    </w:p>
    <w:p>
      <w:pPr>
        <w:adjustRightInd w:val="0"/>
        <w:spacing w:line="440" w:lineRule="exact"/>
        <w:ind w:firstLine="480" w:firstLineChars="200"/>
        <w:rPr>
          <w:rFonts w:hAnsi="Times New Roman" w:cs="Times New Roman"/>
          <w:color w:val="000000"/>
          <w:sz w:val="24"/>
          <w:szCs w:val="24"/>
          <w:lang w:val="en-US" w:bidi="ar-SA"/>
        </w:rPr>
      </w:pPr>
      <w:r>
        <w:rPr>
          <w:rFonts w:cs="Times New Roman"/>
          <w:color w:val="000000"/>
          <w:sz w:val="24"/>
          <w:szCs w:val="24"/>
          <w:lang w:val="en-US" w:bidi="ar-SA"/>
        </w:rPr>
        <w:t xml:space="preserve">23.2 </w:t>
      </w:r>
      <w:r>
        <w:rPr>
          <w:rFonts w:hint="eastAsia" w:cs="Times New Roman"/>
          <w:color w:val="000000"/>
          <w:sz w:val="24"/>
          <w:szCs w:val="24"/>
          <w:lang w:val="en-US" w:bidi="ar-SA"/>
        </w:rPr>
        <w:t>纸质版响应文件密封不做要求，文件封面须标记清楚：采购编号及项目名称、供应商的名称、地址、联系人、电话和传真等内容。</w:t>
      </w:r>
    </w:p>
    <w:p>
      <w:pPr>
        <w:adjustRightInd w:val="0"/>
        <w:spacing w:line="440" w:lineRule="exact"/>
        <w:ind w:firstLine="442" w:firstLineChars="200"/>
        <w:rPr>
          <w:rFonts w:ascii="Times New Roman" w:hAnsi="Times New Roman" w:cs="Times New Roman"/>
          <w:b/>
          <w:color w:val="000000"/>
          <w:sz w:val="24"/>
          <w:szCs w:val="24"/>
          <w:lang w:val="en-US" w:bidi="ar-SA"/>
        </w:rPr>
      </w:pPr>
      <w:r>
        <w:rPr>
          <w:rFonts w:ascii="Times New Roman" w:hAnsi="Times New Roman" w:cs="Times New Roman"/>
          <w:b/>
          <w:color w:val="000000"/>
          <w:lang w:val="ru-RU" w:bidi="ar-SA"/>
        </w:rPr>
        <w:t>24</w:t>
      </w:r>
      <w:r>
        <w:rPr>
          <w:rFonts w:hint="eastAsia"/>
          <w:b/>
          <w:color w:val="000000"/>
          <w:lang w:val="ru-RU" w:bidi="ar-SA"/>
        </w:rPr>
        <w:t>、</w:t>
      </w:r>
      <w:r>
        <w:rPr>
          <w:rFonts w:hint="eastAsia" w:ascii="Times New Roman" w:hAnsi="Times New Roman" w:cs="Times New Roman"/>
          <w:b/>
          <w:color w:val="000000"/>
          <w:sz w:val="24"/>
          <w:szCs w:val="24"/>
          <w:lang w:val="en-US" w:bidi="ar-SA"/>
        </w:rPr>
        <w:t>提交首次响应文件截止时间</w:t>
      </w:r>
    </w:p>
    <w:p>
      <w:pPr>
        <w:kinsoku w:val="0"/>
        <w:overflowPunct w:val="0"/>
        <w:adjustRightInd w:val="0"/>
        <w:spacing w:before="57" w:line="440" w:lineRule="exact"/>
        <w:ind w:left="111" w:right="232" w:firstLine="480"/>
        <w:jc w:val="both"/>
        <w:rPr>
          <w:color w:val="000000"/>
          <w:sz w:val="24"/>
          <w:szCs w:val="21"/>
          <w:lang w:val="en-US" w:bidi="ar-SA"/>
        </w:rPr>
      </w:pPr>
      <w:r>
        <w:rPr>
          <w:rFonts w:cs="Times New Roman"/>
          <w:color w:val="000000"/>
          <w:sz w:val="24"/>
          <w:szCs w:val="24"/>
          <w:lang w:val="en-US" w:bidi="ar-SA"/>
        </w:rPr>
        <w:t>24.1</w:t>
      </w:r>
      <w:r>
        <w:rPr>
          <w:rFonts w:hint="eastAsia" w:cs="Times New Roman"/>
          <w:color w:val="000000"/>
          <w:sz w:val="24"/>
          <w:szCs w:val="24"/>
          <w:lang w:val="en-US" w:bidi="ar-SA"/>
        </w:rPr>
        <w:t>供应商应在采购文件第一章“竞争性磋商须知前附表”规定的提交首次响应文件截止时间前，</w:t>
      </w:r>
      <w:r>
        <w:rPr>
          <w:rFonts w:hint="eastAsia"/>
          <w:color w:val="000000"/>
          <w:sz w:val="24"/>
          <w:szCs w:val="21"/>
          <w:lang w:val="en-US" w:bidi="ar-SA"/>
        </w:rPr>
        <w:t>通过“政采云”平台（</w:t>
      </w:r>
      <w:r>
        <w:rPr>
          <w:color w:val="000000"/>
          <w:sz w:val="24"/>
          <w:szCs w:val="21"/>
          <w:lang w:val="en-US" w:bidi="ar-SA"/>
        </w:rPr>
        <w:t>https://www.zcygov.cn</w:t>
      </w:r>
      <w:r>
        <w:rPr>
          <w:rFonts w:hint="eastAsia"/>
          <w:color w:val="000000"/>
          <w:sz w:val="24"/>
          <w:szCs w:val="21"/>
          <w:lang w:val="en-US" w:bidi="ar-SA"/>
        </w:rPr>
        <w:t>）上传加密的电子响应文件。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24.2 </w:t>
      </w:r>
      <w:r>
        <w:rPr>
          <w:rFonts w:hint="eastAsia" w:cs="Times New Roman"/>
          <w:color w:val="000000"/>
          <w:sz w:val="24"/>
          <w:szCs w:val="24"/>
          <w:lang w:val="en-US" w:bidi="ar-SA"/>
        </w:rPr>
        <w:t>采购人可按本须知第</w:t>
      </w:r>
      <w:r>
        <w:rPr>
          <w:rFonts w:cs="Times New Roman"/>
          <w:color w:val="000000"/>
          <w:sz w:val="24"/>
          <w:szCs w:val="24"/>
          <w:lang w:val="en-US" w:bidi="ar-SA"/>
        </w:rPr>
        <w:t xml:space="preserve"> 13 </w:t>
      </w:r>
      <w:r>
        <w:rPr>
          <w:rFonts w:hint="eastAsia" w:cs="Times New Roman"/>
          <w:color w:val="000000"/>
          <w:sz w:val="24"/>
          <w:szCs w:val="24"/>
          <w:lang w:val="en-US" w:bidi="ar-SA"/>
        </w:rPr>
        <w:t>条规定以修改补充通知的方式，酌情延长提交响应文件的截止时间。在此情况下，供应商的所有权利和义务以及供应商受制约的截止时间，均以延长后新的磋商截止时间为准。</w:t>
      </w:r>
    </w:p>
    <w:p>
      <w:pPr>
        <w:kinsoku w:val="0"/>
        <w:overflowPunct w:val="0"/>
        <w:adjustRightInd w:val="0"/>
        <w:spacing w:before="60" w:line="440" w:lineRule="exact"/>
        <w:ind w:left="591"/>
        <w:outlineLvl w:val="4"/>
        <w:rPr>
          <w:rFonts w:eastAsia="Times New Roman" w:cs="Times New Roman"/>
          <w:b/>
          <w:color w:val="000000"/>
          <w:sz w:val="24"/>
          <w:szCs w:val="24"/>
          <w:lang w:val="en-US" w:bidi="ar-SA"/>
        </w:rPr>
      </w:pPr>
      <w:r>
        <w:rPr>
          <w:rFonts w:cs="Times New Roman"/>
          <w:b/>
          <w:color w:val="000000"/>
          <w:sz w:val="24"/>
          <w:szCs w:val="24"/>
          <w:lang w:val="en-US" w:bidi="ar-SA"/>
        </w:rPr>
        <w:t>26</w:t>
      </w:r>
      <w:r>
        <w:rPr>
          <w:rFonts w:hint="eastAsia" w:cs="Times New Roman"/>
          <w:b/>
          <w:color w:val="000000"/>
          <w:sz w:val="24"/>
          <w:szCs w:val="24"/>
          <w:lang w:val="en-US" w:bidi="ar-SA"/>
        </w:rPr>
        <w:t>、迟交的响应文件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26.1 </w:t>
      </w:r>
      <w:r>
        <w:rPr>
          <w:rFonts w:hint="eastAsia" w:cs="Times New Roman"/>
          <w:color w:val="000000"/>
          <w:sz w:val="24"/>
          <w:szCs w:val="24"/>
          <w:lang w:val="en-US" w:bidi="ar-SA"/>
        </w:rPr>
        <w:t>在提交首次响应文件截止时间后递交的响应文件，采购人将拒绝接受。</w:t>
      </w:r>
      <w:bookmarkStart w:id="70" w:name="_Toc301187687"/>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26.2 </w:t>
      </w:r>
      <w:r>
        <w:rPr>
          <w:rFonts w:hint="eastAsia" w:cs="Times New Roman"/>
          <w:color w:val="000000"/>
          <w:sz w:val="24"/>
          <w:szCs w:val="24"/>
          <w:lang w:val="en-US" w:bidi="ar-SA"/>
        </w:rPr>
        <w:t>不予接收的磋商响应文件情形：</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fldChar w:fldCharType="begin"/>
      </w:r>
      <w:r>
        <w:rPr>
          <w:rFonts w:cs="Times New Roman"/>
          <w:color w:val="000000"/>
          <w:sz w:val="24"/>
          <w:szCs w:val="24"/>
          <w:lang w:val="en-US" w:bidi="ar-SA"/>
        </w:rPr>
        <w:instrText xml:space="preserve"> = 1 \* GB2 </w:instrText>
      </w:r>
      <w:r>
        <w:rPr>
          <w:rFonts w:cs="Times New Roman"/>
          <w:color w:val="000000"/>
          <w:sz w:val="24"/>
          <w:szCs w:val="24"/>
          <w:lang w:val="en-US" w:bidi="ar-SA"/>
        </w:rPr>
        <w:fldChar w:fldCharType="separate"/>
      </w:r>
      <w:r>
        <w:rPr>
          <w:rFonts w:hint="eastAsia" w:cs="Times New Roman"/>
          <w:color w:val="000000"/>
          <w:sz w:val="24"/>
          <w:szCs w:val="24"/>
          <w:lang w:val="en-US" w:bidi="ar-SA"/>
        </w:rPr>
        <w:t>⑴</w:t>
      </w:r>
      <w:r>
        <w:rPr>
          <w:rFonts w:cs="Times New Roman"/>
          <w:color w:val="000000"/>
          <w:sz w:val="24"/>
          <w:szCs w:val="24"/>
          <w:lang w:val="en-US" w:bidi="ar-SA"/>
        </w:rPr>
        <w:fldChar w:fldCharType="end"/>
      </w:r>
      <w:bookmarkEnd w:id="70"/>
      <w:r>
        <w:rPr>
          <w:rFonts w:hint="eastAsia" w:cs="Times New Roman"/>
          <w:color w:val="000000"/>
          <w:sz w:val="24"/>
          <w:szCs w:val="24"/>
          <w:lang w:val="en-US" w:bidi="ar-SA"/>
        </w:rPr>
        <w:t>投标截止时间前未完成传输的电子磋商响应文件；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fldChar w:fldCharType="begin"/>
      </w:r>
      <w:r>
        <w:rPr>
          <w:rFonts w:cs="Times New Roman"/>
          <w:color w:val="000000"/>
          <w:sz w:val="24"/>
          <w:szCs w:val="24"/>
          <w:lang w:val="en-US" w:bidi="ar-SA"/>
        </w:rPr>
        <w:instrText xml:space="preserve"> = 2 \* GB2 </w:instrText>
      </w:r>
      <w:r>
        <w:rPr>
          <w:rFonts w:cs="Times New Roman"/>
          <w:color w:val="000000"/>
          <w:sz w:val="24"/>
          <w:szCs w:val="24"/>
          <w:lang w:val="en-US" w:bidi="ar-SA"/>
        </w:rPr>
        <w:fldChar w:fldCharType="separate"/>
      </w:r>
      <w:r>
        <w:rPr>
          <w:rFonts w:hint="eastAsia" w:cs="Times New Roman"/>
          <w:color w:val="000000"/>
          <w:sz w:val="24"/>
          <w:szCs w:val="24"/>
          <w:lang w:val="en-US" w:bidi="ar-SA"/>
        </w:rPr>
        <w:t>⑵</w:t>
      </w:r>
      <w:r>
        <w:rPr>
          <w:rFonts w:cs="Times New Roman"/>
          <w:color w:val="000000"/>
          <w:sz w:val="24"/>
          <w:szCs w:val="24"/>
          <w:lang w:val="en-US" w:bidi="ar-SA"/>
        </w:rPr>
        <w:fldChar w:fldCharType="end"/>
      </w:r>
      <w:r>
        <w:rPr>
          <w:rFonts w:hint="eastAsia" w:cs="Times New Roman"/>
          <w:color w:val="000000"/>
          <w:sz w:val="24"/>
          <w:szCs w:val="24"/>
          <w:lang w:val="en-US" w:bidi="ar-SA"/>
        </w:rPr>
        <w:t>未生成加密的电子磋商响应文件；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hint="eastAsia" w:cs="Times New Roman"/>
          <w:color w:val="000000"/>
          <w:sz w:val="24"/>
          <w:szCs w:val="24"/>
          <w:lang w:val="en-US" w:bidi="ar-SA"/>
        </w:rPr>
        <w:t>⑶在规定时间内未解密的电子磋商响应文件，或者解密不成功又未提供备份磋商响应文件的。</w:t>
      </w:r>
    </w:p>
    <w:p>
      <w:pPr>
        <w:kinsoku w:val="0"/>
        <w:overflowPunct w:val="0"/>
        <w:adjustRightInd w:val="0"/>
        <w:spacing w:before="60" w:line="440" w:lineRule="exact"/>
        <w:ind w:left="591"/>
        <w:outlineLvl w:val="4"/>
        <w:rPr>
          <w:rFonts w:eastAsia="Times New Roman" w:cs="Times New Roman"/>
          <w:b/>
          <w:color w:val="000000"/>
          <w:sz w:val="24"/>
          <w:szCs w:val="24"/>
          <w:lang w:val="en-US" w:bidi="ar-SA"/>
        </w:rPr>
      </w:pPr>
      <w:r>
        <w:rPr>
          <w:rFonts w:cs="Times New Roman"/>
          <w:b/>
          <w:color w:val="000000"/>
          <w:sz w:val="24"/>
          <w:szCs w:val="24"/>
          <w:lang w:val="en-US" w:bidi="ar-SA"/>
        </w:rPr>
        <w:t>27</w:t>
      </w:r>
      <w:r>
        <w:rPr>
          <w:rFonts w:hint="eastAsia" w:cs="Times New Roman"/>
          <w:b/>
          <w:color w:val="000000"/>
          <w:sz w:val="24"/>
          <w:szCs w:val="24"/>
          <w:lang w:val="en-US" w:bidi="ar-SA"/>
        </w:rPr>
        <w:t>、响应文件的补充、修改和撤回</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27.1 </w:t>
      </w:r>
      <w:r>
        <w:rPr>
          <w:rFonts w:hint="eastAsia" w:cs="Times New Roman"/>
          <w:color w:val="000000"/>
          <w:sz w:val="24"/>
          <w:szCs w:val="24"/>
          <w:lang w:val="en-US" w:bidi="ar-SA"/>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27.2 </w:t>
      </w:r>
      <w:r>
        <w:rPr>
          <w:rFonts w:hint="eastAsia" w:cs="Times New Roman"/>
          <w:color w:val="000000"/>
          <w:sz w:val="24"/>
          <w:szCs w:val="24"/>
          <w:lang w:val="en-US" w:bidi="ar-SA"/>
        </w:rPr>
        <w:t>补充、修改后重新提交的电子磋商响应文件应按磋商文件的规定编制、导入、加密和提交；</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27.3 </w:t>
      </w:r>
      <w:r>
        <w:rPr>
          <w:rFonts w:hint="eastAsia" w:cs="Times New Roman"/>
          <w:color w:val="000000"/>
          <w:sz w:val="24"/>
          <w:szCs w:val="24"/>
          <w:lang w:val="en-US" w:bidi="ar-SA"/>
        </w:rPr>
        <w:t>在投标截止时间后，磋商供应商不得修改、撤回已提交的电子磋商响应文件。</w:t>
      </w:r>
    </w:p>
    <w:p>
      <w:pPr>
        <w:kinsoku w:val="0"/>
        <w:overflowPunct w:val="0"/>
        <w:adjustRightInd w:val="0"/>
        <w:spacing w:before="2"/>
        <w:rPr>
          <w:rFonts w:cs="Times New Roman"/>
          <w:color w:val="000000"/>
          <w:sz w:val="20"/>
          <w:szCs w:val="24"/>
          <w:lang w:val="en-US" w:bidi="ar-SA"/>
        </w:rPr>
      </w:pPr>
    </w:p>
    <w:p>
      <w:pPr>
        <w:kinsoku w:val="0"/>
        <w:overflowPunct w:val="0"/>
        <w:adjustRightInd w:val="0"/>
        <w:ind w:left="458" w:right="577"/>
        <w:jc w:val="center"/>
        <w:rPr>
          <w:rFonts w:cs="Times New Roman"/>
          <w:b/>
          <w:color w:val="000000"/>
          <w:sz w:val="24"/>
          <w:szCs w:val="24"/>
          <w:lang w:val="en-US" w:bidi="ar-SA"/>
        </w:rPr>
      </w:pPr>
    </w:p>
    <w:p>
      <w:pPr>
        <w:kinsoku w:val="0"/>
        <w:overflowPunct w:val="0"/>
        <w:adjustRightInd w:val="0"/>
        <w:ind w:left="458" w:right="577"/>
        <w:jc w:val="center"/>
        <w:rPr>
          <w:rFonts w:eastAsia="Times New Roman" w:cs="Times New Roman"/>
          <w:color w:val="000000"/>
          <w:sz w:val="24"/>
          <w:szCs w:val="24"/>
          <w:lang w:val="en-US" w:bidi="ar-SA"/>
        </w:rPr>
      </w:pPr>
      <w:r>
        <w:rPr>
          <w:rFonts w:hint="eastAsia" w:cs="Times New Roman"/>
          <w:b/>
          <w:color w:val="000000"/>
          <w:sz w:val="24"/>
          <w:szCs w:val="24"/>
          <w:lang w:val="en-US" w:bidi="ar-SA"/>
        </w:rPr>
        <w:t>（五）磋商</w:t>
      </w:r>
    </w:p>
    <w:p>
      <w:pPr>
        <w:kinsoku w:val="0"/>
        <w:overflowPunct w:val="0"/>
        <w:adjustRightInd w:val="0"/>
        <w:spacing w:before="10"/>
        <w:rPr>
          <w:rFonts w:eastAsia="Times New Roman" w:cs="Times New Roman"/>
          <w:b/>
          <w:color w:val="000000"/>
          <w:sz w:val="18"/>
          <w:szCs w:val="24"/>
          <w:lang w:val="en-US" w:bidi="ar-SA"/>
        </w:rPr>
      </w:pPr>
    </w:p>
    <w:p>
      <w:pPr>
        <w:kinsoku w:val="0"/>
        <w:overflowPunct w:val="0"/>
        <w:adjustRightInd w:val="0"/>
        <w:spacing w:line="440" w:lineRule="exact"/>
        <w:ind w:firstLine="482" w:firstLineChars="200"/>
        <w:rPr>
          <w:rFonts w:eastAsia="Times New Roman" w:cs="Times New Roman"/>
          <w:sz w:val="24"/>
          <w:szCs w:val="24"/>
          <w:lang w:val="en-US" w:bidi="ar-SA"/>
        </w:rPr>
      </w:pPr>
      <w:r>
        <w:rPr>
          <w:rFonts w:cs="Times New Roman"/>
          <w:b/>
          <w:sz w:val="24"/>
          <w:szCs w:val="24"/>
          <w:lang w:val="en-US" w:bidi="ar-SA"/>
        </w:rPr>
        <w:t>28</w:t>
      </w:r>
      <w:r>
        <w:rPr>
          <w:rFonts w:hint="eastAsia" w:cs="Times New Roman"/>
          <w:b/>
          <w:sz w:val="24"/>
          <w:szCs w:val="24"/>
          <w:lang w:val="en-US" w:bidi="ar-SA"/>
        </w:rPr>
        <w:t>、磋商</w:t>
      </w:r>
    </w:p>
    <w:p>
      <w:pPr>
        <w:adjustRightInd w:val="0"/>
        <w:spacing w:line="440" w:lineRule="exact"/>
        <w:ind w:firstLine="480" w:firstLineChars="200"/>
        <w:rPr>
          <w:rFonts w:hAnsi="Times New Roman" w:cs="Times New Roman"/>
          <w:sz w:val="24"/>
          <w:szCs w:val="24"/>
          <w:lang w:val="en-US" w:bidi="ar-SA"/>
        </w:rPr>
      </w:pPr>
      <w:bookmarkStart w:id="71" w:name="_Toc520356165"/>
      <w:r>
        <w:rPr>
          <w:rFonts w:cs="Times New Roman"/>
          <w:sz w:val="24"/>
          <w:szCs w:val="24"/>
          <w:lang w:val="en-US" w:bidi="ar-SA"/>
        </w:rPr>
        <w:t xml:space="preserve">28.1 </w:t>
      </w:r>
      <w:r>
        <w:rPr>
          <w:rFonts w:hint="eastAsia" w:cs="Times New Roman"/>
          <w:sz w:val="24"/>
          <w:szCs w:val="24"/>
          <w:lang w:val="en-US" w:bidi="ar-SA"/>
        </w:rPr>
        <w:t>开标</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28.1.1 </w:t>
      </w:r>
      <w:r>
        <w:rPr>
          <w:rFonts w:hint="eastAsia" w:cs="Times New Roman"/>
          <w:sz w:val="24"/>
          <w:szCs w:val="24"/>
          <w:lang w:val="en-US" w:bidi="ar-SA"/>
        </w:rPr>
        <w:t>本项目采用全流程不见面电子开评标，采购人和采购代理机构将按规定的磋商时间和地点组织开评标，监督部门将视情况派代表到现场进行监督。投标供应商不足</w:t>
      </w:r>
      <w:r>
        <w:rPr>
          <w:rFonts w:cs="Times New Roman"/>
          <w:sz w:val="24"/>
          <w:szCs w:val="24"/>
          <w:lang w:val="en-US" w:bidi="ar-SA"/>
        </w:rPr>
        <w:t>3</w:t>
      </w:r>
      <w:r>
        <w:rPr>
          <w:rFonts w:hint="eastAsia" w:cs="Times New Roman"/>
          <w:sz w:val="24"/>
          <w:szCs w:val="24"/>
          <w:lang w:val="en-US" w:bidi="ar-SA"/>
        </w:rPr>
        <w:t>家的，不得开标。</w:t>
      </w:r>
    </w:p>
    <w:p>
      <w:pPr>
        <w:adjustRightInd w:val="0"/>
        <w:snapToGri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28.1.2 </w:t>
      </w:r>
      <w:r>
        <w:rPr>
          <w:rFonts w:hint="eastAsia" w:cs="Times New Roman"/>
          <w:sz w:val="24"/>
          <w:szCs w:val="24"/>
          <w:lang w:val="en-US" w:bidi="ar-SA"/>
        </w:rPr>
        <w:t>供应商无需到开标现场参加开标会议。供应商在开标前自备可联网电脑及</w:t>
      </w:r>
      <w:r>
        <w:rPr>
          <w:rFonts w:cs="Times New Roman"/>
          <w:sz w:val="24"/>
          <w:szCs w:val="24"/>
          <w:lang w:val="en-US" w:bidi="ar-SA"/>
        </w:rPr>
        <w:t>CA</w:t>
      </w:r>
      <w:r>
        <w:rPr>
          <w:rFonts w:hint="eastAsia" w:cs="Times New Roman"/>
          <w:sz w:val="24"/>
          <w:szCs w:val="24"/>
          <w:lang w:val="en-US" w:bidi="ar-SA"/>
        </w:rPr>
        <w:t>锁，电脑须提前配置好浏览器（建议使用</w:t>
      </w:r>
      <w:r>
        <w:rPr>
          <w:rFonts w:cs="Times New Roman"/>
          <w:sz w:val="24"/>
          <w:szCs w:val="24"/>
          <w:lang w:val="en-US" w:bidi="ar-SA"/>
        </w:rPr>
        <w:t>360</w:t>
      </w:r>
      <w:r>
        <w:rPr>
          <w:rFonts w:hint="eastAsia" w:cs="Times New Roman"/>
          <w:sz w:val="24"/>
          <w:szCs w:val="24"/>
          <w:lang w:val="en-US" w:bidi="ar-SA"/>
        </w:rPr>
        <w:t>浏览器或谷歌浏览器），以便开标时解锁，提前登录政采云平台做好准备，并保证设备正常，在线准时参加开标活动并进行文件解密、磋商谈判、答疑澄清。</w:t>
      </w:r>
    </w:p>
    <w:p>
      <w:pPr>
        <w:adjustRightInd w:val="0"/>
        <w:snapToGri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28.1.3</w:t>
      </w:r>
      <w:r>
        <w:rPr>
          <w:rFonts w:hint="eastAsia" w:cs="Times New Roman"/>
          <w:sz w:val="24"/>
          <w:szCs w:val="24"/>
          <w:lang w:val="en-US" w:bidi="ar-SA"/>
        </w:rPr>
        <w:t xml:space="preserve"> 开标时，采购代理机构主持介绍项目基本情况并宣布有关纪律和磋商程序，并检查所有电子响应文件的加密上传情况，在确认无误后，供应商使用</w:t>
      </w:r>
      <w:r>
        <w:rPr>
          <w:rFonts w:cs="Times New Roman"/>
          <w:sz w:val="24"/>
          <w:szCs w:val="24"/>
          <w:lang w:val="en-US" w:bidi="ar-SA"/>
        </w:rPr>
        <w:t>CA</w:t>
      </w:r>
      <w:r>
        <w:rPr>
          <w:rFonts w:hint="eastAsia" w:cs="Times New Roman"/>
          <w:sz w:val="24"/>
          <w:szCs w:val="24"/>
          <w:lang w:val="en-US" w:bidi="ar-SA"/>
        </w:rPr>
        <w:t>锁各自登录政采云平台，用“项目采购</w:t>
      </w:r>
      <w:r>
        <w:rPr>
          <w:rFonts w:hAnsi="Times New Roman" w:cs="Times New Roman"/>
          <w:sz w:val="24"/>
          <w:szCs w:val="24"/>
          <w:lang w:val="en-US" w:bidi="ar-SA"/>
        </w:rPr>
        <w:t>-</w:t>
      </w:r>
      <w:r>
        <w:rPr>
          <w:rFonts w:hint="eastAsia" w:cs="Times New Roman"/>
          <w:sz w:val="24"/>
          <w:szCs w:val="24"/>
          <w:lang w:val="en-US" w:bidi="ar-SA"/>
        </w:rPr>
        <w:t>开标评标”功能对电子磋商响应文件进行在线解密。在线解密电子磋商响应文件时间为发出解密指令后</w:t>
      </w:r>
      <w:r>
        <w:rPr>
          <w:rFonts w:cs="Times New Roman"/>
          <w:sz w:val="24"/>
          <w:szCs w:val="24"/>
          <w:lang w:val="en-US" w:bidi="ar-SA"/>
        </w:rPr>
        <w:t>30</w:t>
      </w:r>
      <w:r>
        <w:rPr>
          <w:rFonts w:hint="eastAsia" w:cs="Times New Roman"/>
          <w:sz w:val="24"/>
          <w:szCs w:val="24"/>
          <w:lang w:val="en-US" w:bidi="ar-SA"/>
        </w:rPr>
        <w:t>分钟内。若供应商在规定时间内未按时解密的，或解密失败又未提供备份响应文件的视为响应文件撤回。</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28.1.4 </w:t>
      </w:r>
      <w:r>
        <w:rPr>
          <w:rFonts w:hint="eastAsia" w:cs="Times New Roman"/>
          <w:sz w:val="24"/>
          <w:szCs w:val="24"/>
          <w:lang w:val="en-US" w:bidi="ar-SA"/>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 </w:t>
      </w:r>
      <w:r>
        <w:rPr>
          <w:rFonts w:hint="eastAsia" w:cs="Times New Roman"/>
          <w:sz w:val="24"/>
          <w:szCs w:val="24"/>
          <w:lang w:val="en-US" w:bidi="ar-SA"/>
        </w:rPr>
        <w:t>投标供应商资格资质审查</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28.2.1 </w:t>
      </w:r>
      <w:r>
        <w:rPr>
          <w:rFonts w:hint="eastAsia" w:cs="Times New Roman"/>
          <w:sz w:val="24"/>
          <w:szCs w:val="24"/>
          <w:lang w:val="en-US" w:bidi="ar-SA"/>
        </w:rPr>
        <w:t>投标供应商必须提交能够证明其具有履行本招标项目合同能力的资质证明文件，作为响应文件的一部分。</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28.2.2 </w:t>
      </w:r>
      <w:r>
        <w:rPr>
          <w:rFonts w:hint="eastAsia" w:cs="Times New Roman"/>
          <w:sz w:val="24"/>
          <w:szCs w:val="24"/>
          <w:lang w:val="en-US" w:bidi="ar-SA"/>
        </w:rPr>
        <w:t>采购人代表及采购代理机构依据法律法规和磋商文件中规定的内容，对投标供应商的资格进行审查。未通过资格审查的投标供应商不进入磋商；进入磋商的投标供应商不足</w:t>
      </w:r>
      <w:r>
        <w:rPr>
          <w:rFonts w:cs="Times New Roman"/>
          <w:sz w:val="24"/>
          <w:szCs w:val="24"/>
          <w:lang w:val="en-US" w:bidi="ar-SA"/>
        </w:rPr>
        <w:t>3</w:t>
      </w:r>
      <w:r>
        <w:rPr>
          <w:rFonts w:hint="eastAsia" w:cs="Times New Roman"/>
          <w:sz w:val="24"/>
          <w:szCs w:val="24"/>
          <w:lang w:val="en-US" w:bidi="ar-SA"/>
        </w:rPr>
        <w:t>家的，不得磋商。资格审查如下：</w:t>
      </w:r>
    </w:p>
    <w:p>
      <w:pPr>
        <w:adjustRightInd w:val="0"/>
        <w:spacing w:line="440" w:lineRule="exact"/>
        <w:ind w:firstLine="723" w:firstLineChars="300"/>
        <w:rPr>
          <w:rFonts w:hAnsi="Times New Roman"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a</w:t>
      </w:r>
      <w:r>
        <w:rPr>
          <w:rFonts w:hint="eastAsia" w:cs="Times New Roman"/>
          <w:b/>
          <w:color w:val="000000" w:themeColor="text1"/>
          <w:sz w:val="24"/>
          <w:szCs w:val="24"/>
          <w:lang w:val="en-US" w:bidi="ar-SA"/>
          <w14:textFill>
            <w14:solidFill>
              <w14:schemeClr w14:val="tx1"/>
            </w14:solidFill>
          </w14:textFill>
        </w:rPr>
        <w:t>、</w:t>
      </w:r>
      <w:r>
        <w:rPr>
          <w:rFonts w:hint="eastAsia" w:cs="Times New Roman"/>
          <w:b/>
          <w:color w:val="000000" w:themeColor="text1"/>
          <w:sz w:val="24"/>
          <w:szCs w:val="24"/>
          <w:lang w:val="en-US" w:eastAsia="zh-CN" w:bidi="ar-SA"/>
          <w14:textFill>
            <w14:solidFill>
              <w14:schemeClr w14:val="tx1"/>
            </w14:solidFill>
          </w14:textFill>
        </w:rPr>
        <w:t>合格有效的法人或非法人组织营业执照</w:t>
      </w:r>
      <w:r>
        <w:rPr>
          <w:rFonts w:hint="eastAsia" w:cs="Times New Roman"/>
          <w:b/>
          <w:color w:val="000000" w:themeColor="text1"/>
          <w:sz w:val="24"/>
          <w:szCs w:val="24"/>
          <w:lang w:val="en-US" w:bidi="ar-SA"/>
          <w14:textFill>
            <w14:solidFill>
              <w14:schemeClr w14:val="tx1"/>
            </w14:solidFill>
          </w14:textFill>
        </w:rPr>
        <w:t>；</w:t>
      </w:r>
    </w:p>
    <w:p>
      <w:pPr>
        <w:adjustRightInd w:val="0"/>
        <w:spacing w:line="40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b</w:t>
      </w:r>
      <w:r>
        <w:rPr>
          <w:rFonts w:hint="eastAsia" w:cs="Times New Roman"/>
          <w:b/>
          <w:color w:val="000000" w:themeColor="text1"/>
          <w:sz w:val="24"/>
          <w:szCs w:val="24"/>
          <w:lang w:val="en-US" w:bidi="ar-SA"/>
          <w14:textFill>
            <w14:solidFill>
              <w14:schemeClr w14:val="tx1"/>
            </w14:solidFill>
          </w14:textFill>
        </w:rPr>
        <w:t>、</w:t>
      </w:r>
      <w:r>
        <w:rPr>
          <w:rFonts w:hint="eastAsia" w:cs="Times New Roman"/>
          <w:b/>
          <w:color w:val="000000" w:themeColor="text1"/>
          <w:sz w:val="24"/>
          <w:szCs w:val="24"/>
          <w:lang w:val="en-US" w:eastAsia="zh-CN" w:bidi="ar-SA"/>
          <w14:textFill>
            <w14:solidFill>
              <w14:schemeClr w14:val="tx1"/>
            </w14:solidFill>
          </w14:textFill>
        </w:rPr>
        <w:t>法定代表人资格证明或法定代表人授权委托书及身份证</w:t>
      </w:r>
      <w:r>
        <w:rPr>
          <w:rFonts w:hint="eastAsia" w:cs="Times New Roman"/>
          <w:b/>
          <w:color w:val="000000" w:themeColor="text1"/>
          <w:sz w:val="24"/>
          <w:szCs w:val="24"/>
          <w:lang w:val="en-US" w:bidi="ar-SA"/>
          <w14:textFill>
            <w14:solidFill>
              <w14:schemeClr w14:val="tx1"/>
            </w14:solidFill>
          </w14:textFill>
        </w:rPr>
        <w:t>；</w:t>
      </w:r>
    </w:p>
    <w:p>
      <w:pPr>
        <w:adjustRightInd w:val="0"/>
        <w:spacing w:line="40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c</w:t>
      </w:r>
      <w:r>
        <w:rPr>
          <w:rFonts w:hint="eastAsia" w:cs="Times New Roman"/>
          <w:b/>
          <w:color w:val="000000" w:themeColor="text1"/>
          <w:sz w:val="24"/>
          <w:szCs w:val="24"/>
          <w:lang w:val="en-US" w:bidi="ar-SA"/>
          <w14:textFill>
            <w14:solidFill>
              <w14:schemeClr w14:val="tx1"/>
            </w14:solidFill>
          </w14:textFill>
        </w:rPr>
        <w:t>、</w:t>
      </w:r>
      <w:r>
        <w:rPr>
          <w:rFonts w:hint="eastAsia" w:cs="Times New Roman"/>
          <w:b/>
          <w:color w:val="000000" w:themeColor="text1"/>
          <w:sz w:val="24"/>
          <w:szCs w:val="24"/>
          <w:lang w:val="en-US" w:eastAsia="zh-CN" w:bidi="ar-SA"/>
          <w14:textFill>
            <w14:solidFill>
              <w14:schemeClr w14:val="tx1"/>
            </w14:solidFill>
          </w14:textFill>
        </w:rPr>
        <w:t>近六个月完税证明（零申报需加盖税务机关鲜章）及近六个月本单位社保缴纳证明（及授权委托人个人明细）、2022年财务审计报告（成立不满一年的提供开标前一个月内有效银行资信证明）；</w:t>
      </w:r>
      <w:r>
        <w:rPr>
          <w:rFonts w:hint="eastAsia" w:cs="Times New Roman"/>
          <w:b/>
          <w:color w:val="000000" w:themeColor="text1"/>
          <w:sz w:val="24"/>
          <w:szCs w:val="24"/>
          <w:lang w:val="en-US" w:bidi="ar-SA"/>
          <w14:textFill>
            <w14:solidFill>
              <w14:schemeClr w14:val="tx1"/>
            </w14:solidFill>
          </w14:textFill>
        </w:rPr>
        <w:t>；</w:t>
      </w:r>
    </w:p>
    <w:p>
      <w:pPr>
        <w:adjustRightInd w:val="0"/>
        <w:spacing w:line="440" w:lineRule="exact"/>
        <w:ind w:firstLine="723" w:firstLineChars="300"/>
        <w:rPr>
          <w:lang w:val="en-US"/>
        </w:rPr>
      </w:pPr>
      <w:r>
        <w:rPr>
          <w:rFonts w:cs="Times New Roman"/>
          <w:b/>
          <w:color w:val="000000" w:themeColor="text1"/>
          <w:sz w:val="24"/>
          <w:szCs w:val="24"/>
          <w:lang w:val="en-US" w:bidi="ar-SA"/>
          <w14:textFill>
            <w14:solidFill>
              <w14:schemeClr w14:val="tx1"/>
            </w14:solidFill>
          </w14:textFill>
        </w:rPr>
        <w:t>d</w:t>
      </w:r>
      <w:r>
        <w:rPr>
          <w:rFonts w:hint="eastAsia" w:cs="Times New Roman"/>
          <w:b/>
          <w:color w:val="000000" w:themeColor="text1"/>
          <w:sz w:val="24"/>
          <w:szCs w:val="24"/>
          <w:lang w:val="en-US" w:bidi="ar-SA"/>
          <w14:textFill>
            <w14:solidFill>
              <w14:schemeClr w14:val="tx1"/>
            </w14:solidFill>
          </w14:textFill>
        </w:rPr>
        <w:t>、</w:t>
      </w:r>
      <w:r>
        <w:rPr>
          <w:rFonts w:hint="eastAsia" w:cs="Times New Roman"/>
          <w:b/>
          <w:color w:val="000000" w:themeColor="text1"/>
          <w:sz w:val="24"/>
          <w:szCs w:val="24"/>
          <w:lang w:val="en-US" w:eastAsia="zh-CN" w:bidi="ar-SA"/>
          <w14:textFill>
            <w14:solidFill>
              <w14:schemeClr w14:val="tx1"/>
            </w14:solidFill>
          </w14:textFill>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pPr>
        <w:adjustRightInd w:val="0"/>
        <w:spacing w:line="44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e</w:t>
      </w:r>
      <w:r>
        <w:rPr>
          <w:rFonts w:hint="eastAsia" w:cs="Times New Roman"/>
          <w:b/>
          <w:color w:val="000000" w:themeColor="text1"/>
          <w:sz w:val="24"/>
          <w:szCs w:val="24"/>
          <w:lang w:val="en-US" w:bidi="ar-SA"/>
          <w14:textFill>
            <w14:solidFill>
              <w14:schemeClr w14:val="tx1"/>
            </w14:solidFill>
          </w14:textFill>
        </w:rPr>
        <w:t>、</w:t>
      </w:r>
      <w:r>
        <w:rPr>
          <w:rFonts w:hint="eastAsia" w:cs="Times New Roman"/>
          <w:b/>
          <w:color w:val="000000" w:themeColor="text1"/>
          <w:sz w:val="24"/>
          <w:szCs w:val="24"/>
          <w:lang w:val="en-US" w:eastAsia="zh-CN" w:bidi="ar-SA"/>
          <w14:textFill>
            <w14:solidFill>
              <w14:schemeClr w14:val="tx1"/>
            </w14:solidFill>
          </w14:textFill>
        </w:rPr>
        <w:t>供应商及其法人参加本次采购活动前三年内，在经营活动中没有重大违法记录的声明及反商业受贿承诺</w:t>
      </w:r>
      <w:r>
        <w:rPr>
          <w:rFonts w:hint="eastAsia" w:cs="Times New Roman"/>
          <w:b/>
          <w:color w:val="000000" w:themeColor="text1"/>
          <w:sz w:val="24"/>
          <w:szCs w:val="24"/>
          <w:lang w:val="en-US" w:bidi="ar-SA"/>
          <w14:textFill>
            <w14:solidFill>
              <w14:schemeClr w14:val="tx1"/>
            </w14:solidFill>
          </w14:textFill>
        </w:rPr>
        <w:t>；</w:t>
      </w:r>
    </w:p>
    <w:p>
      <w:pPr>
        <w:adjustRightInd w:val="0"/>
        <w:spacing w:line="440" w:lineRule="exact"/>
        <w:ind w:firstLine="723" w:firstLineChars="300"/>
        <w:rPr>
          <w:rFonts w:cs="Times New Roman"/>
          <w:b/>
          <w:color w:val="000000" w:themeColor="text1"/>
          <w:sz w:val="24"/>
          <w:szCs w:val="24"/>
          <w:lang w:val="en-US" w:bidi="ar-SA"/>
          <w14:textFill>
            <w14:solidFill>
              <w14:schemeClr w14:val="tx1"/>
            </w14:solidFill>
          </w14:textFill>
        </w:rPr>
      </w:pPr>
      <w:r>
        <w:rPr>
          <w:rFonts w:hint="eastAsia" w:cs="Times New Roman"/>
          <w:b/>
          <w:color w:val="000000" w:themeColor="text1"/>
          <w:sz w:val="24"/>
          <w:szCs w:val="24"/>
          <w:lang w:val="en-US" w:bidi="ar-SA"/>
          <w14:textFill>
            <w14:solidFill>
              <w14:schemeClr w14:val="tx1"/>
            </w14:solidFill>
          </w14:textFill>
        </w:rPr>
        <w:t>f、</w:t>
      </w:r>
      <w:r>
        <w:rPr>
          <w:rFonts w:hint="eastAsia" w:cs="Times New Roman"/>
          <w:b/>
          <w:color w:val="000000" w:themeColor="text1"/>
          <w:sz w:val="24"/>
          <w:szCs w:val="24"/>
          <w:lang w:val="en-US" w:eastAsia="zh-CN" w:bidi="ar-SA"/>
          <w14:textFill>
            <w14:solidFill>
              <w14:schemeClr w14:val="tx1"/>
            </w14:solidFill>
          </w14:textFill>
        </w:rPr>
        <w:t>投标人须具备：供应商须具备公路工程施工总承包叁级及以上资质，具有合格有效的安全生产许可证，区外企业进疆信息报送册；项目经理须具备公路工程专业二级及以上注册建造师执业资格，持有有效的交通运输主管部门颁发的安全生产考核合格证书(B 类),且未担任其他在建工程项目的项目经理</w:t>
      </w:r>
      <w:r>
        <w:rPr>
          <w:rFonts w:hint="eastAsia" w:cs="Times New Roman"/>
          <w:b/>
          <w:color w:val="000000" w:themeColor="text1"/>
          <w:sz w:val="24"/>
          <w:szCs w:val="24"/>
          <w:lang w:val="en-US" w:bidi="ar-SA"/>
          <w14:textFill>
            <w14:solidFill>
              <w14:schemeClr w14:val="tx1"/>
            </w14:solidFill>
          </w14:textFill>
        </w:rPr>
        <w:t>；</w:t>
      </w:r>
    </w:p>
    <w:p>
      <w:pPr>
        <w:adjustRightInd w:val="0"/>
        <w:spacing w:line="440" w:lineRule="exact"/>
        <w:ind w:firstLine="723" w:firstLineChars="300"/>
        <w:rPr>
          <w:rFonts w:cs="Times New Roman"/>
          <w:b/>
          <w:color w:val="000000" w:themeColor="text1"/>
          <w:sz w:val="24"/>
          <w:szCs w:val="24"/>
          <w:highlight w:val="none"/>
          <w:lang w:val="en-US" w:bidi="ar-SA"/>
          <w14:textFill>
            <w14:solidFill>
              <w14:schemeClr w14:val="tx1"/>
            </w14:solidFill>
          </w14:textFill>
        </w:rPr>
      </w:pPr>
      <w:r>
        <w:rPr>
          <w:rFonts w:hint="eastAsia" w:cs="Times New Roman"/>
          <w:b/>
          <w:color w:val="000000" w:themeColor="text1"/>
          <w:sz w:val="24"/>
          <w:szCs w:val="24"/>
          <w:highlight w:val="none"/>
          <w:lang w:val="en-US" w:bidi="ar-SA"/>
          <w14:textFill>
            <w14:solidFill>
              <w14:schemeClr w14:val="tx1"/>
            </w14:solidFill>
          </w14:textFill>
        </w:rPr>
        <w:t>g、</w:t>
      </w:r>
      <w:r>
        <w:rPr>
          <w:rFonts w:hint="eastAsia" w:cs="Times New Roman"/>
          <w:b/>
          <w:color w:val="000000" w:themeColor="text1"/>
          <w:sz w:val="24"/>
          <w:szCs w:val="24"/>
          <w:highlight w:val="none"/>
          <w:lang w:val="en-US" w:eastAsia="zh-CN" w:bidi="ar-SA"/>
          <w14:textFill>
            <w14:solidFill>
              <w14:schemeClr w14:val="tx1"/>
            </w14:solidFill>
          </w14:textFill>
        </w:rPr>
        <w:t>投标保证金缴纳凭证</w:t>
      </w:r>
      <w:r>
        <w:rPr>
          <w:rFonts w:hint="eastAsia" w:cs="Times New Roman"/>
          <w:b/>
          <w:color w:val="000000" w:themeColor="text1"/>
          <w:sz w:val="24"/>
          <w:szCs w:val="24"/>
          <w:highlight w:val="none"/>
          <w:lang w:val="en-US" w:bidi="ar-SA"/>
          <w14:textFill>
            <w14:solidFill>
              <w14:schemeClr w14:val="tx1"/>
            </w14:solidFill>
          </w14:textFill>
        </w:rPr>
        <w:t>；</w:t>
      </w:r>
    </w:p>
    <w:bookmarkEnd w:id="71"/>
    <w:p>
      <w:pPr>
        <w:kinsoku w:val="0"/>
        <w:overflowPunct w:val="0"/>
        <w:adjustRightInd w:val="0"/>
        <w:spacing w:line="440" w:lineRule="exact"/>
        <w:ind w:firstLine="480" w:firstLineChars="200"/>
        <w:rPr>
          <w:rFonts w:cs="Times New Roman"/>
          <w:b/>
          <w:sz w:val="24"/>
          <w:szCs w:val="24"/>
          <w:lang w:val="en-US" w:bidi="ar-SA"/>
        </w:rPr>
      </w:pPr>
      <w:r>
        <w:rPr>
          <w:rFonts w:eastAsia="Times New Roman" w:cs="Times New Roman"/>
          <w:b/>
          <w:sz w:val="24"/>
          <w:szCs w:val="24"/>
          <w:lang w:val="en-US" w:bidi="ar-SA"/>
        </w:rPr>
        <w:t>29</w:t>
      </w:r>
      <w:r>
        <w:rPr>
          <w:rFonts w:hint="eastAsia" w:cs="Times New Roman"/>
          <w:b/>
          <w:sz w:val="24"/>
          <w:szCs w:val="24"/>
          <w:lang w:val="en-US" w:bidi="ar-SA"/>
        </w:rPr>
        <w:t>、竞争性磋商程序</w:t>
      </w:r>
    </w:p>
    <w:p>
      <w:pPr>
        <w:adjustRightInd w:val="0"/>
        <w:spacing w:line="440" w:lineRule="exact"/>
        <w:ind w:left="420"/>
        <w:rPr>
          <w:rFonts w:hAnsi="Times New Roman" w:cs="Times New Roman"/>
          <w:sz w:val="24"/>
          <w:szCs w:val="24"/>
          <w:lang w:val="en-US" w:bidi="ar-SA"/>
        </w:rPr>
      </w:pPr>
      <w:r>
        <w:rPr>
          <w:rFonts w:cs="Times New Roman"/>
          <w:sz w:val="24"/>
          <w:szCs w:val="24"/>
          <w:lang w:val="en-US" w:bidi="ar-SA"/>
        </w:rPr>
        <w:t xml:space="preserve">29.1 </w:t>
      </w:r>
      <w:r>
        <w:rPr>
          <w:rFonts w:hint="eastAsia" w:cs="Times New Roman"/>
          <w:sz w:val="24"/>
          <w:szCs w:val="24"/>
          <w:lang w:val="en-US" w:bidi="ar-SA"/>
        </w:rPr>
        <w:t>根据公开、公平、公正、诚信科学的原则，组织招标采购。</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29.2 </w:t>
      </w:r>
      <w:r>
        <w:rPr>
          <w:rFonts w:hint="eastAsia" w:cs="Times New Roman"/>
          <w:sz w:val="24"/>
          <w:szCs w:val="24"/>
          <w:lang w:val="en-US" w:bidi="ar-SA"/>
        </w:rPr>
        <w:t>具体工作流程：</w:t>
      </w:r>
    </w:p>
    <w:p>
      <w:pPr>
        <w:adjustRightInd w:val="0"/>
        <w:spacing w:line="440" w:lineRule="exact"/>
        <w:ind w:firstLine="600" w:firstLineChars="250"/>
        <w:rPr>
          <w:rFonts w:hAnsi="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）磋商小组审阅竞争性磋商文件和响应文件；</w:t>
      </w:r>
    </w:p>
    <w:p>
      <w:pPr>
        <w:widowControl/>
        <w:adjustRightInd w:val="0"/>
        <w:spacing w:line="440" w:lineRule="exact"/>
        <w:ind w:firstLine="600" w:firstLineChars="250"/>
        <w:rPr>
          <w:rFonts w:hAnsi="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adjustRightInd w:val="0"/>
        <w:spacing w:line="440" w:lineRule="exact"/>
        <w:ind w:left="420" w:firstLine="120" w:firstLineChars="50"/>
        <w:rPr>
          <w:rFonts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3</w:t>
      </w:r>
      <w:r>
        <w:rPr>
          <w:rFonts w:hint="eastAsia" w:cs="Times New Roman"/>
          <w:sz w:val="24"/>
          <w:szCs w:val="24"/>
          <w:lang w:val="en-US" w:bidi="ar-SA"/>
        </w:rPr>
        <w:t>）磋商小组全体成员集中与单一供应商就采购需求、质量和服务等分别进行磋商。</w:t>
      </w:r>
    </w:p>
    <w:p>
      <w:pPr>
        <w:adjustRightInd w:val="0"/>
        <w:spacing w:line="440" w:lineRule="exact"/>
        <w:rPr>
          <w:rFonts w:hAnsi="Times New Roman" w:cs="Times New Roman"/>
          <w:sz w:val="24"/>
          <w:szCs w:val="24"/>
          <w:lang w:val="en-US" w:bidi="ar-SA"/>
        </w:rPr>
      </w:pPr>
      <w:r>
        <w:rPr>
          <w:rFonts w:hint="eastAsia" w:cs="Times New Roman"/>
          <w:sz w:val="24"/>
          <w:szCs w:val="24"/>
          <w:lang w:val="en-US" w:bidi="ar-SA"/>
        </w:rPr>
        <w:t>逐家磋商一次为一个轮次，磋商轮次由磋商小组视情况决定。</w:t>
      </w:r>
    </w:p>
    <w:p>
      <w:pPr>
        <w:pStyle w:val="29"/>
        <w:widowControl w:val="0"/>
        <w:autoSpaceDE w:val="0"/>
        <w:autoSpaceDN w:val="0"/>
        <w:spacing w:before="0" w:after="0" w:line="440" w:lineRule="exact"/>
        <w:ind w:firstLine="480" w:firstLineChars="200"/>
        <w:jc w:val="left"/>
        <w:rPr>
          <w:rFonts w:ascii="宋体" w:hAnsi="宋体"/>
          <w:sz w:val="24"/>
          <w:szCs w:val="24"/>
          <w:lang w:val="en-US" w:eastAsia="zh-CN"/>
        </w:rPr>
      </w:pPr>
      <w:r>
        <w:rPr>
          <w:rFonts w:hint="eastAsia" w:ascii="宋体" w:hAnsi="宋体"/>
          <w:sz w:val="24"/>
          <w:szCs w:val="24"/>
          <w:lang w:val="en-US" w:eastAsia="zh-CN"/>
        </w:rPr>
        <w:t>（4）磋商结束后，磋商小组将要求实质性响应磋商文件的供应商在规定时间内在线提交最后报价，磋商小组将现场公开唱价。</w:t>
      </w:r>
    </w:p>
    <w:p>
      <w:pPr>
        <w:adjustRightInd w:val="0"/>
        <w:spacing w:line="440" w:lineRule="exact"/>
        <w:ind w:firstLine="480" w:firstLineChars="200"/>
        <w:rPr>
          <w:rFonts w:hAnsi="Times New Roman" w:cs="Times New Roman"/>
          <w:sz w:val="24"/>
          <w:szCs w:val="24"/>
          <w:lang w:val="en-US" w:bidi="ar-SA"/>
        </w:rPr>
      </w:pPr>
      <w:r>
        <w:rPr>
          <w:rFonts w:hint="eastAsia" w:cs="Times New Roman"/>
          <w:sz w:val="24"/>
          <w:szCs w:val="24"/>
          <w:lang w:val="en-US" w:bidi="ar-SA"/>
        </w:rPr>
        <w:t>（5）采购人或采购代理机构将对磋商过程进行记录，由监督部门人员、采购方代表全程监督。</w:t>
      </w:r>
    </w:p>
    <w:p>
      <w:pPr>
        <w:adjustRightInd w:val="0"/>
        <w:spacing w:line="440" w:lineRule="exact"/>
        <w:ind w:firstLine="550" w:firstLineChars="250"/>
        <w:rPr>
          <w:rFonts w:hAnsi="Times New Roman"/>
          <w:color w:val="000000"/>
          <w:lang w:val="en-US" w:bidi="ar-SA"/>
        </w:rPr>
      </w:pPr>
    </w:p>
    <w:p>
      <w:pPr>
        <w:kinsoku w:val="0"/>
        <w:overflowPunct w:val="0"/>
        <w:adjustRightInd w:val="0"/>
        <w:spacing w:before="176"/>
        <w:ind w:left="458" w:right="577"/>
        <w:jc w:val="center"/>
        <w:rPr>
          <w:rFonts w:eastAsia="Times New Roman" w:cs="Times New Roman"/>
          <w:sz w:val="24"/>
          <w:szCs w:val="24"/>
          <w:lang w:val="en-US" w:bidi="ar-SA"/>
        </w:rPr>
      </w:pPr>
      <w:r>
        <w:rPr>
          <w:rFonts w:hint="eastAsia" w:cs="Times New Roman"/>
          <w:b/>
          <w:sz w:val="24"/>
          <w:szCs w:val="24"/>
          <w:lang w:val="en-US" w:bidi="ar-SA"/>
        </w:rPr>
        <w:t>（六）评审</w:t>
      </w:r>
    </w:p>
    <w:p>
      <w:pPr>
        <w:kinsoku w:val="0"/>
        <w:overflowPunct w:val="0"/>
        <w:adjustRightInd w:val="0"/>
        <w:spacing w:before="12"/>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30</w:t>
      </w:r>
      <w:r>
        <w:rPr>
          <w:rFonts w:hint="eastAsia" w:cs="Times New Roman"/>
          <w:b/>
          <w:sz w:val="24"/>
          <w:szCs w:val="24"/>
          <w:lang w:val="en-US" w:bidi="ar-SA"/>
        </w:rPr>
        <w:t>、磋商小组与评审</w:t>
      </w:r>
    </w:p>
    <w:p>
      <w:pPr>
        <w:kinsoku w:val="0"/>
        <w:overflowPunct w:val="0"/>
        <w:adjustRightInd w:val="0"/>
        <w:spacing w:line="440" w:lineRule="exact"/>
        <w:ind w:left="111" w:right="110" w:firstLine="480"/>
        <w:rPr>
          <w:rFonts w:cs="Times New Roman"/>
          <w:sz w:val="24"/>
          <w:szCs w:val="24"/>
          <w:lang w:val="en-US" w:bidi="ar-SA"/>
        </w:rPr>
      </w:pPr>
      <w:r>
        <w:rPr>
          <w:rFonts w:cs="Times New Roman"/>
          <w:sz w:val="24"/>
          <w:szCs w:val="24"/>
          <w:lang w:val="en-US" w:bidi="ar-SA"/>
        </w:rPr>
        <w:t xml:space="preserve">30.1 </w:t>
      </w:r>
      <w:r>
        <w:rPr>
          <w:rFonts w:hint="eastAsia" w:cs="Times New Roman"/>
          <w:sz w:val="24"/>
          <w:szCs w:val="24"/>
          <w:lang w:val="en-US" w:bidi="ar-SA"/>
        </w:rPr>
        <w:t>采购人按照有关规定程序负责组织成立评标委员会，组成竞争性磋商小组</w:t>
      </w:r>
      <w:r>
        <w:rPr>
          <w:rFonts w:cs="Times New Roman"/>
          <w:sz w:val="24"/>
          <w:szCs w:val="24"/>
          <w:lang w:val="en-US" w:bidi="ar-SA"/>
        </w:rPr>
        <w:t xml:space="preserve">, </w:t>
      </w:r>
      <w:r>
        <w:rPr>
          <w:rFonts w:hint="eastAsia" w:cs="Times New Roman"/>
          <w:sz w:val="24"/>
          <w:szCs w:val="24"/>
          <w:lang w:val="en-US" w:bidi="ar-SA"/>
        </w:rPr>
        <w:t>磋商小组由采购人的代表和有关方面的专家</w:t>
      </w:r>
      <w:r>
        <w:rPr>
          <w:rFonts w:cs="Times New Roman"/>
          <w:sz w:val="24"/>
          <w:szCs w:val="24"/>
          <w:lang w:val="en-US" w:bidi="ar-SA"/>
        </w:rPr>
        <w:t xml:space="preserve"> 3 </w:t>
      </w:r>
      <w:r>
        <w:rPr>
          <w:rFonts w:hint="eastAsia" w:cs="Times New Roman"/>
          <w:sz w:val="24"/>
          <w:szCs w:val="24"/>
          <w:lang w:val="en-US" w:bidi="ar-SA"/>
        </w:rPr>
        <w:t>人以上的单数组成。该磋商小组独立工作，负责评审所有响应文件并确定成交候选供应商。</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30.2</w:t>
      </w:r>
      <w:r>
        <w:rPr>
          <w:rFonts w:hint="eastAsia" w:cs="Times New Roman"/>
          <w:sz w:val="24"/>
          <w:szCs w:val="24"/>
          <w:lang w:val="en-US" w:bidi="ar-SA"/>
        </w:rPr>
        <w:t>磋商结束后，开始评审，评审采用保密方式进行。</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31</w:t>
      </w:r>
      <w:r>
        <w:rPr>
          <w:rFonts w:hint="eastAsia" w:cs="Times New Roman"/>
          <w:b/>
          <w:sz w:val="24"/>
          <w:szCs w:val="24"/>
          <w:lang w:val="en-US" w:bidi="ar-SA"/>
        </w:rPr>
        <w:t>、评审过程的保密</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31.1</w:t>
      </w:r>
      <w:r>
        <w:rPr>
          <w:rFonts w:hint="eastAsia" w:cs="Times New Roman"/>
          <w:sz w:val="24"/>
          <w:szCs w:val="24"/>
          <w:lang w:val="en-US" w:bidi="ar-SA"/>
        </w:rPr>
        <w:t>磋商后，直至授予中标人合同为止，凡属于对响应文件的审查、澄清、评价和比较的有关资料以及成交候选人的推荐情况</w:t>
      </w:r>
      <w:r>
        <w:rPr>
          <w:rFonts w:hint="eastAsia" w:cs="Times New Roman"/>
          <w:spacing w:val="-60"/>
          <w:sz w:val="24"/>
          <w:szCs w:val="24"/>
          <w:lang w:val="en-US" w:bidi="ar-SA"/>
        </w:rPr>
        <w:t>，</w:t>
      </w:r>
      <w:r>
        <w:rPr>
          <w:rFonts w:hint="eastAsia" w:cs="Times New Roman"/>
          <w:sz w:val="24"/>
          <w:szCs w:val="24"/>
          <w:lang w:val="en-US" w:bidi="ar-SA"/>
        </w:rPr>
        <w:t>与评审有关的其他任何情况均严格保密。</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31.2</w:t>
      </w:r>
      <w:r>
        <w:rPr>
          <w:rFonts w:hint="eastAsia" w:cs="Times New Roman"/>
          <w:sz w:val="24"/>
          <w:szCs w:val="24"/>
          <w:lang w:val="en-US" w:bidi="ar-SA"/>
        </w:rPr>
        <w:t>在响应文件的评审和比较</w:t>
      </w:r>
      <w:r>
        <w:rPr>
          <w:rFonts w:hint="eastAsia" w:cs="Times New Roman"/>
          <w:spacing w:val="-60"/>
          <w:sz w:val="24"/>
          <w:szCs w:val="24"/>
          <w:lang w:val="en-US" w:bidi="ar-SA"/>
        </w:rPr>
        <w:t>、</w:t>
      </w:r>
      <w:r>
        <w:rPr>
          <w:rFonts w:hint="eastAsia" w:cs="Times New Roman"/>
          <w:sz w:val="24"/>
          <w:szCs w:val="24"/>
          <w:lang w:val="en-US" w:bidi="ar-SA"/>
        </w:rPr>
        <w:t>成交候选人推荐以及授予合同的过程中</w:t>
      </w:r>
      <w:r>
        <w:rPr>
          <w:rFonts w:hint="eastAsia" w:cs="Times New Roman"/>
          <w:spacing w:val="-60"/>
          <w:sz w:val="24"/>
          <w:szCs w:val="24"/>
          <w:lang w:val="en-US" w:bidi="ar-SA"/>
        </w:rPr>
        <w:t>，</w:t>
      </w:r>
      <w:r>
        <w:rPr>
          <w:rFonts w:hint="eastAsia" w:cs="Times New Roman"/>
          <w:sz w:val="24"/>
          <w:szCs w:val="24"/>
          <w:lang w:val="en-US" w:bidi="ar-SA"/>
        </w:rPr>
        <w:t>供应商向采购人和磋商小组施加影响的任何行为，都将会导致其磋商被拒绝。</w:t>
      </w:r>
    </w:p>
    <w:p>
      <w:pPr>
        <w:kinsoku w:val="0"/>
        <w:overflowPunct w:val="0"/>
        <w:adjustRightInd w:val="0"/>
        <w:spacing w:before="60"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31.3</w:t>
      </w:r>
      <w:r>
        <w:rPr>
          <w:rFonts w:hint="eastAsia" w:cs="Times New Roman"/>
          <w:sz w:val="24"/>
          <w:szCs w:val="24"/>
          <w:lang w:val="en-US" w:bidi="ar-SA"/>
        </w:rPr>
        <w:t>中标人确定后</w:t>
      </w:r>
      <w:r>
        <w:rPr>
          <w:rFonts w:hint="eastAsia" w:cs="Times New Roman"/>
          <w:spacing w:val="-120"/>
          <w:sz w:val="24"/>
          <w:szCs w:val="24"/>
          <w:lang w:val="en-US" w:bidi="ar-SA"/>
        </w:rPr>
        <w:t>，</w:t>
      </w:r>
      <w:r>
        <w:rPr>
          <w:rFonts w:hint="eastAsia" w:cs="Times New Roman"/>
          <w:sz w:val="24"/>
          <w:szCs w:val="24"/>
          <w:lang w:val="en-US" w:bidi="ar-SA"/>
        </w:rPr>
        <w:t>采购人不对未中标人就评审过程以及未能成交原因作出任何解释</w:t>
      </w:r>
      <w:r>
        <w:rPr>
          <w:rFonts w:hint="eastAsia" w:cs="Times New Roman"/>
          <w:spacing w:val="-60"/>
          <w:sz w:val="24"/>
          <w:szCs w:val="24"/>
          <w:lang w:val="en-US" w:bidi="ar-SA"/>
        </w:rPr>
        <w:t>。</w:t>
      </w:r>
      <w:r>
        <w:rPr>
          <w:rFonts w:hint="eastAsia" w:cs="Times New Roman"/>
          <w:sz w:val="24"/>
          <w:szCs w:val="24"/>
          <w:lang w:val="en-US" w:bidi="ar-SA"/>
        </w:rPr>
        <w:t>未中标人不得向磋商小组组成人员或其他有关人员索问评审过程的情况和材料</w:t>
      </w:r>
    </w:p>
    <w:p>
      <w:pPr>
        <w:kinsoku w:val="0"/>
        <w:overflowPunct w:val="0"/>
        <w:adjustRightInd w:val="0"/>
        <w:spacing w:before="60" w:line="440" w:lineRule="exact"/>
        <w:ind w:left="591" w:right="110"/>
        <w:rPr>
          <w:rFonts w:cs="Times New Roman"/>
          <w:b/>
          <w:spacing w:val="25"/>
          <w:w w:val="99"/>
          <w:sz w:val="24"/>
          <w:szCs w:val="24"/>
          <w:lang w:val="en-US" w:bidi="ar-SA"/>
        </w:rPr>
      </w:pPr>
      <w:r>
        <w:rPr>
          <w:rFonts w:cs="Times New Roman"/>
          <w:b/>
          <w:sz w:val="24"/>
          <w:szCs w:val="24"/>
          <w:lang w:val="en-US" w:bidi="ar-SA"/>
        </w:rPr>
        <w:t>32</w:t>
      </w:r>
      <w:r>
        <w:rPr>
          <w:rFonts w:hint="eastAsia" w:cs="Times New Roman"/>
          <w:b/>
          <w:sz w:val="24"/>
          <w:szCs w:val="24"/>
          <w:lang w:val="en-US" w:bidi="ar-SA"/>
        </w:rPr>
        <w:t>、响应文件的澄清</w:t>
      </w:r>
    </w:p>
    <w:p>
      <w:pPr>
        <w:kinsoku w:val="0"/>
        <w:overflowPunct w:val="0"/>
        <w:adjustRightInd w:val="0"/>
        <w:spacing w:before="60" w:line="440" w:lineRule="exact"/>
        <w:ind w:left="591" w:right="108"/>
        <w:rPr>
          <w:rFonts w:cs="Times New Roman"/>
          <w:sz w:val="24"/>
          <w:szCs w:val="24"/>
          <w:lang w:val="en-US" w:bidi="ar-SA"/>
        </w:rPr>
      </w:pPr>
      <w:r>
        <w:rPr>
          <w:rFonts w:hint="eastAsia" w:cs="Times New Roman"/>
          <w:sz w:val="24"/>
          <w:szCs w:val="24"/>
          <w:lang w:val="en-US" w:bidi="ar-SA"/>
        </w:rPr>
        <w:t>为有助于响应文件的审查</w:t>
      </w:r>
      <w:r>
        <w:rPr>
          <w:rFonts w:hint="eastAsia" w:cs="Times New Roman"/>
          <w:spacing w:val="-32"/>
          <w:sz w:val="24"/>
          <w:szCs w:val="24"/>
          <w:lang w:val="en-US" w:bidi="ar-SA"/>
        </w:rPr>
        <w:t>、</w:t>
      </w:r>
      <w:r>
        <w:rPr>
          <w:rFonts w:hint="eastAsia" w:cs="Times New Roman"/>
          <w:sz w:val="24"/>
          <w:szCs w:val="24"/>
          <w:lang w:val="en-US" w:bidi="ar-SA"/>
        </w:rPr>
        <w:t>评价和比较</w:t>
      </w:r>
      <w:r>
        <w:rPr>
          <w:rFonts w:hint="eastAsia" w:cs="Times New Roman"/>
          <w:spacing w:val="-29"/>
          <w:sz w:val="24"/>
          <w:szCs w:val="24"/>
          <w:lang w:val="en-US" w:bidi="ar-SA"/>
        </w:rPr>
        <w:t>，</w:t>
      </w:r>
      <w:r>
        <w:rPr>
          <w:rFonts w:hint="eastAsia" w:cs="Times New Roman"/>
          <w:sz w:val="24"/>
          <w:szCs w:val="24"/>
          <w:lang w:val="en-US" w:bidi="ar-SA"/>
        </w:rPr>
        <w:t>磋商小组可以书面形式要求供应商对响应文</w:t>
      </w:r>
    </w:p>
    <w:p>
      <w:pPr>
        <w:kinsoku w:val="0"/>
        <w:overflowPunct w:val="0"/>
        <w:adjustRightInd w:val="0"/>
        <w:spacing w:before="60" w:line="440" w:lineRule="exact"/>
        <w:ind w:right="108"/>
        <w:rPr>
          <w:rFonts w:eastAsia="Times New Roman" w:cs="Times New Roman"/>
          <w:sz w:val="24"/>
          <w:szCs w:val="24"/>
          <w:lang w:val="en-US" w:bidi="ar-SA"/>
        </w:rPr>
      </w:pPr>
      <w:r>
        <w:rPr>
          <w:rFonts w:hint="eastAsia" w:cs="Times New Roman"/>
          <w:sz w:val="24"/>
          <w:szCs w:val="24"/>
          <w:lang w:val="en-US" w:bidi="ar-SA"/>
        </w:rPr>
        <w:t>件含义不明确的内容作必要的澄清或说明</w:t>
      </w:r>
      <w:r>
        <w:rPr>
          <w:rFonts w:hint="eastAsia" w:cs="Times New Roman"/>
          <w:spacing w:val="-60"/>
          <w:sz w:val="24"/>
          <w:szCs w:val="24"/>
          <w:lang w:val="en-US" w:bidi="ar-SA"/>
        </w:rPr>
        <w:t>，</w:t>
      </w:r>
      <w:r>
        <w:rPr>
          <w:rFonts w:hint="eastAsia" w:cs="Times New Roman"/>
          <w:sz w:val="24"/>
          <w:szCs w:val="24"/>
          <w:lang w:val="en-US" w:bidi="ar-SA"/>
        </w:rPr>
        <w:t>供应商应采用书面形式进行澄清或补</w:t>
      </w:r>
      <w:r>
        <w:rPr>
          <w:rFonts w:hint="eastAsia" w:cs="Times New Roman"/>
          <w:spacing w:val="1"/>
          <w:sz w:val="24"/>
          <w:szCs w:val="24"/>
          <w:lang w:val="en-US" w:bidi="ar-SA"/>
        </w:rPr>
        <w:t>正，但不得超出响应文件的范围或改变响应文件的实质性内容。根据本须知第</w:t>
      </w:r>
      <w:r>
        <w:rPr>
          <w:rFonts w:cs="Times New Roman"/>
          <w:sz w:val="24"/>
          <w:szCs w:val="24"/>
          <w:lang w:val="en-US" w:bidi="ar-SA"/>
        </w:rPr>
        <w:t>34</w:t>
      </w:r>
      <w:r>
        <w:rPr>
          <w:rFonts w:hint="eastAsia" w:cs="Times New Roman"/>
          <w:sz w:val="24"/>
          <w:szCs w:val="24"/>
          <w:lang w:val="en-US" w:bidi="ar-SA"/>
        </w:rPr>
        <w:t>条规定</w:t>
      </w:r>
      <w:r>
        <w:rPr>
          <w:rFonts w:hint="eastAsia" w:cs="Times New Roman"/>
          <w:spacing w:val="-32"/>
          <w:sz w:val="24"/>
          <w:szCs w:val="24"/>
          <w:lang w:val="en-US" w:bidi="ar-SA"/>
        </w:rPr>
        <w:t>，</w:t>
      </w:r>
      <w:r>
        <w:rPr>
          <w:rFonts w:hint="eastAsia" w:cs="Times New Roman"/>
          <w:sz w:val="24"/>
          <w:szCs w:val="24"/>
          <w:lang w:val="en-US" w:bidi="ar-SA"/>
        </w:rPr>
        <w:t>供应商的澄清或补正内容将作为响应文件的组成部</w:t>
      </w:r>
      <w:r>
        <w:rPr>
          <w:rFonts w:hint="eastAsia" w:cs="Times New Roman"/>
          <w:spacing w:val="2"/>
          <w:sz w:val="24"/>
          <w:szCs w:val="24"/>
          <w:lang w:val="en-US" w:bidi="ar-SA"/>
        </w:rPr>
        <w:t>分</w:t>
      </w:r>
      <w:r>
        <w:rPr>
          <w:rFonts w:hint="eastAsia" w:cs="Times New Roman"/>
          <w:spacing w:val="-32"/>
          <w:sz w:val="24"/>
          <w:szCs w:val="24"/>
          <w:lang w:val="en-US" w:bidi="ar-SA"/>
        </w:rPr>
        <w:t>，</w:t>
      </w:r>
      <w:r>
        <w:rPr>
          <w:rFonts w:hint="eastAsia" w:cs="Times New Roman"/>
          <w:sz w:val="24"/>
          <w:szCs w:val="24"/>
          <w:lang w:val="en-US" w:bidi="ar-SA"/>
        </w:rPr>
        <w:t>供应商拒不按照要求对响应文件进行澄清或补正的</w:t>
      </w:r>
      <w:r>
        <w:rPr>
          <w:rFonts w:hint="eastAsia" w:cs="Times New Roman"/>
          <w:spacing w:val="-32"/>
          <w:sz w:val="24"/>
          <w:szCs w:val="24"/>
          <w:lang w:val="en-US" w:bidi="ar-SA"/>
        </w:rPr>
        <w:t>，</w:t>
      </w:r>
      <w:r>
        <w:rPr>
          <w:rFonts w:hint="eastAsia" w:cs="Times New Roman"/>
          <w:sz w:val="24"/>
          <w:szCs w:val="24"/>
          <w:lang w:val="en-US" w:bidi="ar-SA"/>
        </w:rPr>
        <w:t>采购人将否决其报</w:t>
      </w:r>
      <w:r>
        <w:rPr>
          <w:rFonts w:hint="eastAsia" w:cs="Times New Roman"/>
          <w:spacing w:val="2"/>
          <w:sz w:val="24"/>
          <w:szCs w:val="24"/>
          <w:lang w:val="en-US" w:bidi="ar-SA"/>
        </w:rPr>
        <w:t>价</w:t>
      </w:r>
      <w:r>
        <w:rPr>
          <w:rFonts w:hint="eastAsia" w:cs="Times New Roman"/>
          <w:spacing w:val="-32"/>
          <w:sz w:val="24"/>
          <w:szCs w:val="24"/>
          <w:lang w:val="en-US" w:bidi="ar-SA"/>
        </w:rPr>
        <w:t>，</w:t>
      </w:r>
      <w:r>
        <w:rPr>
          <w:rFonts w:hint="eastAsia" w:cs="Times New Roman"/>
          <w:sz w:val="24"/>
          <w:szCs w:val="24"/>
          <w:lang w:val="en-US" w:bidi="ar-SA"/>
        </w:rPr>
        <w:t>采购人不接受供应商主动提出的澄清。凡属于磋商小组在评审中发现的计算错误进行核实的修改不在此列。</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33</w:t>
      </w:r>
      <w:r>
        <w:rPr>
          <w:rFonts w:hint="eastAsia" w:cs="Times New Roman"/>
          <w:b/>
          <w:sz w:val="24"/>
          <w:szCs w:val="24"/>
          <w:lang w:val="en-US" w:bidi="ar-SA"/>
        </w:rPr>
        <w:t>、响应文件的符合性审查</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33.1</w:t>
      </w:r>
      <w:r>
        <w:rPr>
          <w:rFonts w:hint="eastAsia" w:cs="Times New Roman"/>
          <w:sz w:val="24"/>
          <w:szCs w:val="24"/>
          <w:lang w:val="en-US" w:bidi="ar-SA"/>
        </w:rPr>
        <w:t>经采购人审查，通过资格审查的有效响应文件才能提交磋商小组进行评审。</w:t>
      </w:r>
    </w:p>
    <w:p>
      <w:pPr>
        <w:kinsoku w:val="0"/>
        <w:overflowPunct w:val="0"/>
        <w:adjustRightInd w:val="0"/>
        <w:spacing w:before="56"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33.2</w:t>
      </w:r>
      <w:r>
        <w:rPr>
          <w:rFonts w:hint="eastAsia" w:cs="Times New Roman"/>
          <w:sz w:val="24"/>
          <w:szCs w:val="24"/>
          <w:lang w:val="en-US" w:bidi="ar-SA"/>
        </w:rPr>
        <w:t>评审时</w:t>
      </w:r>
      <w:r>
        <w:rPr>
          <w:rFonts w:hint="eastAsia" w:cs="Times New Roman"/>
          <w:spacing w:val="-120"/>
          <w:sz w:val="24"/>
          <w:szCs w:val="24"/>
          <w:lang w:val="en-US" w:bidi="ar-SA"/>
        </w:rPr>
        <w:t>，</w:t>
      </w:r>
      <w:r>
        <w:rPr>
          <w:rFonts w:hint="eastAsia" w:cs="Times New Roman"/>
          <w:sz w:val="24"/>
          <w:szCs w:val="24"/>
          <w:lang w:val="en-US" w:bidi="ar-SA"/>
        </w:rPr>
        <w:t>磋商小组将首先评定每份响应文件是否在实质上响应了磋商文件的</w:t>
      </w:r>
      <w:r>
        <w:rPr>
          <w:rFonts w:hint="eastAsia" w:cs="Times New Roman"/>
          <w:spacing w:val="-2"/>
          <w:sz w:val="24"/>
          <w:szCs w:val="24"/>
          <w:lang w:val="en-US" w:bidi="ar-SA"/>
        </w:rPr>
        <w:t>要求。所谓实质上响应，是指响应文件应与磋商文件的所有实质性条款、条件和要求相符，无显著差异或保留。所谓显著差异或保留是指对工程的发包范围、质量标准及</w:t>
      </w:r>
      <w:r>
        <w:rPr>
          <w:rFonts w:hint="eastAsia" w:cs="Times New Roman"/>
          <w:spacing w:val="4"/>
          <w:sz w:val="24"/>
          <w:szCs w:val="24"/>
          <w:lang w:val="en-US" w:bidi="ar-SA"/>
        </w:rPr>
        <w:t>使用产生实质性影响或者对合同中规定的采购人的权力及供应商的义务造成实质性</w:t>
      </w:r>
      <w:r>
        <w:rPr>
          <w:rFonts w:hint="eastAsia" w:cs="Times New Roman"/>
          <w:sz w:val="24"/>
          <w:szCs w:val="24"/>
          <w:lang w:val="en-US" w:bidi="ar-SA"/>
        </w:rPr>
        <w:t>限制</w:t>
      </w:r>
      <w:r>
        <w:rPr>
          <w:rFonts w:hint="eastAsia" w:cs="Times New Roman"/>
          <w:spacing w:val="-32"/>
          <w:sz w:val="24"/>
          <w:szCs w:val="24"/>
          <w:lang w:val="en-US" w:bidi="ar-SA"/>
        </w:rPr>
        <w:t>，</w:t>
      </w:r>
      <w:r>
        <w:rPr>
          <w:rFonts w:hint="eastAsia" w:cs="Times New Roman"/>
          <w:sz w:val="24"/>
          <w:szCs w:val="24"/>
          <w:lang w:val="en-US" w:bidi="ar-SA"/>
        </w:rPr>
        <w:t>而且纠正这种差异或保留</w:t>
      </w:r>
      <w:r>
        <w:rPr>
          <w:rFonts w:hint="eastAsia" w:cs="Times New Roman"/>
          <w:spacing w:val="-29"/>
          <w:sz w:val="24"/>
          <w:szCs w:val="24"/>
          <w:lang w:val="en-US" w:bidi="ar-SA"/>
        </w:rPr>
        <w:t>，</w:t>
      </w:r>
      <w:r>
        <w:rPr>
          <w:rFonts w:hint="eastAsia" w:cs="Times New Roman"/>
          <w:sz w:val="24"/>
          <w:szCs w:val="24"/>
          <w:lang w:val="en-US" w:bidi="ar-SA"/>
        </w:rPr>
        <w:t>将会对其他实质上响应要求的供应商的竞争地位产生不公正的影响。</w:t>
      </w:r>
    </w:p>
    <w:p>
      <w:pPr>
        <w:kinsoku w:val="0"/>
        <w:overflowPunct w:val="0"/>
        <w:adjustRightInd w:val="0"/>
        <w:spacing w:before="57"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33.3</w:t>
      </w:r>
      <w:r>
        <w:rPr>
          <w:rFonts w:hint="eastAsia" w:cs="Times New Roman"/>
          <w:sz w:val="24"/>
          <w:szCs w:val="24"/>
          <w:lang w:val="en-US" w:bidi="ar-SA"/>
        </w:rPr>
        <w:t>如果响应文件实质上不响应磋商文件的各项要求</w:t>
      </w:r>
      <w:r>
        <w:rPr>
          <w:rFonts w:hint="eastAsia" w:cs="Times New Roman"/>
          <w:spacing w:val="-60"/>
          <w:sz w:val="24"/>
          <w:szCs w:val="24"/>
          <w:lang w:val="en-US" w:bidi="ar-SA"/>
        </w:rPr>
        <w:t>，</w:t>
      </w:r>
      <w:r>
        <w:rPr>
          <w:rFonts w:hint="eastAsia" w:cs="Times New Roman"/>
          <w:sz w:val="24"/>
          <w:szCs w:val="24"/>
          <w:lang w:val="en-US" w:bidi="ar-SA"/>
        </w:rPr>
        <w:t>磋商小组将予以拒绝</w:t>
      </w:r>
      <w:r>
        <w:rPr>
          <w:rFonts w:hint="eastAsia" w:cs="Times New Roman"/>
          <w:spacing w:val="-60"/>
          <w:sz w:val="24"/>
          <w:szCs w:val="24"/>
          <w:lang w:val="en-US" w:bidi="ar-SA"/>
        </w:rPr>
        <w:t>，</w:t>
      </w:r>
      <w:r>
        <w:rPr>
          <w:rFonts w:hint="eastAsia" w:cs="Times New Roman"/>
          <w:sz w:val="24"/>
          <w:szCs w:val="24"/>
          <w:lang w:val="en-US" w:bidi="ar-SA"/>
        </w:rPr>
        <w:t>并且不允许供应商通过修改或撤销其不符合要求的差异或保留</w:t>
      </w:r>
      <w:r>
        <w:rPr>
          <w:rFonts w:hint="eastAsia" w:cs="Times New Roman"/>
          <w:spacing w:val="-60"/>
          <w:sz w:val="24"/>
          <w:szCs w:val="24"/>
          <w:lang w:val="en-US" w:bidi="ar-SA"/>
        </w:rPr>
        <w:t>，</w:t>
      </w:r>
      <w:r>
        <w:rPr>
          <w:rFonts w:hint="eastAsia" w:cs="Times New Roman"/>
          <w:sz w:val="24"/>
          <w:szCs w:val="24"/>
          <w:lang w:val="en-US" w:bidi="ar-SA"/>
        </w:rPr>
        <w:t>使之成为具有响应性的报价。</w:t>
      </w:r>
    </w:p>
    <w:p>
      <w:pPr>
        <w:kinsoku w:val="0"/>
        <w:overflowPunct w:val="0"/>
        <w:adjustRightInd w:val="0"/>
        <w:spacing w:line="440" w:lineRule="exact"/>
        <w:ind w:left="111" w:right="232" w:firstLine="480"/>
        <w:jc w:val="both"/>
        <w:rPr>
          <w:rFonts w:cs="Times New Roman"/>
          <w:b/>
          <w:sz w:val="24"/>
          <w:szCs w:val="24"/>
          <w:lang w:val="en-US" w:bidi="ar-SA"/>
        </w:rPr>
      </w:pPr>
      <w:r>
        <w:rPr>
          <w:rFonts w:cs="Times New Roman"/>
          <w:sz w:val="24"/>
          <w:szCs w:val="24"/>
          <w:lang w:val="en-US" w:bidi="ar-SA"/>
        </w:rPr>
        <w:t>33.4</w:t>
      </w:r>
      <w:r>
        <w:rPr>
          <w:rFonts w:hint="eastAsia" w:cs="Times New Roman"/>
          <w:sz w:val="24"/>
          <w:szCs w:val="24"/>
          <w:lang w:val="en-US" w:bidi="ar-SA"/>
        </w:rPr>
        <w:t>响应文件有下列情形之一的</w:t>
      </w:r>
      <w:r>
        <w:rPr>
          <w:rFonts w:hint="eastAsia" w:cs="Times New Roman"/>
          <w:spacing w:val="-60"/>
          <w:sz w:val="24"/>
          <w:szCs w:val="24"/>
          <w:lang w:val="en-US" w:bidi="ar-SA"/>
        </w:rPr>
        <w:t>，</w:t>
      </w:r>
      <w:r>
        <w:rPr>
          <w:rFonts w:hint="eastAsia" w:cs="Times New Roman"/>
          <w:sz w:val="24"/>
          <w:szCs w:val="24"/>
          <w:lang w:val="en-US" w:bidi="ar-SA"/>
        </w:rPr>
        <w:t>视为未能对磋商文件作出实质性响应</w:t>
      </w:r>
      <w:r>
        <w:rPr>
          <w:rFonts w:hint="eastAsia" w:cs="Times New Roman"/>
          <w:spacing w:val="-60"/>
          <w:sz w:val="24"/>
          <w:szCs w:val="24"/>
          <w:lang w:val="en-US" w:bidi="ar-SA"/>
        </w:rPr>
        <w:t>，</w:t>
      </w:r>
      <w:r>
        <w:rPr>
          <w:rFonts w:hint="eastAsia" w:cs="Times New Roman"/>
          <w:sz w:val="24"/>
          <w:szCs w:val="24"/>
          <w:lang w:val="en-US" w:bidi="ar-SA"/>
        </w:rPr>
        <w:t>由磋商小组初审后按无效标处理：</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（1）未按照磋商文件规定要求签署、盖章的；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（2）响应文件明显不符合磋商文件规定的技术以及商务条款</w:t>
      </w:r>
      <w:r>
        <w:rPr>
          <w:rFonts w:hint="eastAsia" w:cs="Times New Roman"/>
          <w:b/>
          <w:sz w:val="24"/>
          <w:szCs w:val="24"/>
          <w:lang w:val="en-US" w:eastAsia="zh-CN" w:bidi="ar-SA"/>
        </w:rPr>
        <w:t>实质性</w:t>
      </w:r>
      <w:r>
        <w:rPr>
          <w:rFonts w:hint="eastAsia" w:cs="Times New Roman"/>
          <w:b/>
          <w:sz w:val="24"/>
          <w:szCs w:val="24"/>
          <w:lang w:val="en-US" w:bidi="ar-SA"/>
        </w:rPr>
        <w:t>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（3）响应文件载明的工期、质量标准、安全目标等明显不符合磋商文件要求的；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（4）供应商对同一招标项目作出两个以上报价未明确效力的；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（6）供应商的投标报价超过</w:t>
      </w:r>
      <w:r>
        <w:rPr>
          <w:rFonts w:hint="eastAsia" w:cs="Times New Roman"/>
          <w:b/>
          <w:sz w:val="24"/>
          <w:szCs w:val="24"/>
          <w:lang w:val="en-US" w:eastAsia="zh-CN" w:bidi="ar-SA"/>
        </w:rPr>
        <w:t>最高限</w:t>
      </w:r>
      <w:r>
        <w:rPr>
          <w:rFonts w:hint="eastAsia" w:cs="Times New Roman"/>
          <w:b/>
          <w:sz w:val="24"/>
          <w:szCs w:val="24"/>
          <w:lang w:val="en-US" w:bidi="ar-SA"/>
        </w:rPr>
        <w:t>价，且采购人不能支付的；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（7）供应商填写完毕的工程量固化清单对工程量固化清单电子文件中的数据、格式和运算定义进行修改；工程量固化清单中的投标报价和投标函大写金额报价不一致的；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（8）响应文件未按磋商文件规定的格式填写，内容不全或关键字迹模糊、无法辨认的；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（9）在评标过程中，发现供应商以他人名义投标、串通投标、以行贿手段谋取成交或者以其他弄虚作假方式投标的；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（10）响应文件附有采购人不能接受的条件的；</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（11）响应文件不符合磋商文件规定的其他实质性要求的。</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33.5</w:t>
      </w:r>
      <w:r>
        <w:rPr>
          <w:rFonts w:hint="eastAsia" w:cs="Times New Roman"/>
          <w:sz w:val="24"/>
          <w:szCs w:val="24"/>
          <w:lang w:val="en-US" w:eastAsia="zh-CN" w:bidi="ar-SA"/>
        </w:rPr>
        <w:t xml:space="preserve"> </w:t>
      </w:r>
      <w:r>
        <w:rPr>
          <w:rFonts w:hint="eastAsia" w:cs="Times New Roman"/>
          <w:sz w:val="24"/>
          <w:szCs w:val="24"/>
          <w:lang w:val="en-US" w:bidi="ar-SA"/>
        </w:rPr>
        <w:t>所有供应商报价均超出采购预算价的，本项目废标。</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33.6</w:t>
      </w:r>
      <w:r>
        <w:rPr>
          <w:rFonts w:hint="eastAsia" w:cs="Times New Roman"/>
          <w:sz w:val="24"/>
          <w:szCs w:val="24"/>
          <w:lang w:val="en-US" w:eastAsia="zh-CN" w:bidi="ar-SA"/>
        </w:rPr>
        <w:t xml:space="preserve"> </w:t>
      </w:r>
      <w:r>
        <w:rPr>
          <w:rFonts w:hint="eastAsia" w:cs="Times New Roman"/>
          <w:sz w:val="24"/>
          <w:szCs w:val="24"/>
          <w:lang w:val="en-US" w:bidi="ar-SA"/>
        </w:rPr>
        <w:t>响应文件在实质上响应磋商文件要求</w:t>
      </w:r>
      <w:r>
        <w:rPr>
          <w:rFonts w:hint="eastAsia" w:cs="Times New Roman"/>
          <w:spacing w:val="-120"/>
          <w:sz w:val="24"/>
          <w:szCs w:val="24"/>
          <w:lang w:val="en-US" w:bidi="ar-SA"/>
        </w:rPr>
        <w:t>，</w:t>
      </w:r>
      <w:r>
        <w:rPr>
          <w:rFonts w:hint="eastAsia" w:cs="Times New Roman"/>
          <w:sz w:val="24"/>
          <w:szCs w:val="24"/>
          <w:lang w:val="en-US" w:bidi="ar-SA"/>
        </w:rPr>
        <w:t>但在个别地方存在遗漏或者提供了不完整的技术信息和数据的情况</w:t>
      </w:r>
      <w:r>
        <w:rPr>
          <w:rFonts w:hint="eastAsia" w:cs="Times New Roman"/>
          <w:spacing w:val="-60"/>
          <w:sz w:val="24"/>
          <w:szCs w:val="24"/>
          <w:lang w:val="en-US" w:bidi="ar-SA"/>
        </w:rPr>
        <w:t>，</w:t>
      </w:r>
      <w:r>
        <w:rPr>
          <w:rFonts w:hint="eastAsia" w:cs="Times New Roman"/>
          <w:sz w:val="24"/>
          <w:szCs w:val="24"/>
          <w:lang w:val="en-US" w:bidi="ar-SA"/>
        </w:rPr>
        <w:t>并且补正这些遗漏或不完整不会对其他供应商造成不公平的结果，这种情况不影响响应文件的有效性。</w:t>
      </w:r>
    </w:p>
    <w:p>
      <w:pPr>
        <w:kinsoku w:val="0"/>
        <w:overflowPunct w:val="0"/>
        <w:adjustRightInd w:val="0"/>
        <w:spacing w:before="26" w:line="440" w:lineRule="exact"/>
        <w:ind w:left="111" w:right="110" w:firstLine="480"/>
        <w:rPr>
          <w:rFonts w:eastAsia="Times New Roman" w:cs="Times New Roman"/>
          <w:sz w:val="24"/>
          <w:szCs w:val="24"/>
          <w:lang w:val="en-US" w:bidi="ar-SA"/>
        </w:rPr>
      </w:pPr>
      <w:r>
        <w:rPr>
          <w:rFonts w:cs="Times New Roman"/>
          <w:sz w:val="24"/>
          <w:szCs w:val="24"/>
          <w:lang w:val="en-US" w:bidi="ar-SA"/>
        </w:rPr>
        <w:t>33.7</w:t>
      </w:r>
      <w:r>
        <w:rPr>
          <w:rFonts w:hint="eastAsia" w:cs="Times New Roman"/>
          <w:sz w:val="24"/>
          <w:szCs w:val="24"/>
          <w:lang w:val="en-US" w:eastAsia="zh-CN" w:bidi="ar-SA"/>
        </w:rPr>
        <w:t xml:space="preserve"> </w:t>
      </w:r>
      <w:r>
        <w:rPr>
          <w:rFonts w:hint="eastAsia" w:cs="Times New Roman"/>
          <w:sz w:val="24"/>
          <w:szCs w:val="24"/>
          <w:lang w:val="en-US" w:bidi="ar-SA"/>
        </w:rPr>
        <w:t>磋商小组对响应文件的判定</w:t>
      </w:r>
      <w:r>
        <w:rPr>
          <w:rFonts w:hint="eastAsia" w:cs="Times New Roman"/>
          <w:spacing w:val="-120"/>
          <w:sz w:val="24"/>
          <w:szCs w:val="24"/>
          <w:lang w:val="en-US" w:bidi="ar-SA"/>
        </w:rPr>
        <w:t>，</w:t>
      </w:r>
      <w:r>
        <w:rPr>
          <w:rFonts w:hint="eastAsia" w:cs="Times New Roman"/>
          <w:sz w:val="24"/>
          <w:szCs w:val="24"/>
          <w:lang w:val="en-US" w:bidi="ar-SA"/>
        </w:rPr>
        <w:t>只依据响应文件本身及按磋商文件规定提供的有关原件为准，不依靠其他任何外来证明。</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34</w:t>
      </w:r>
      <w:r>
        <w:rPr>
          <w:rFonts w:hint="eastAsia" w:cs="Times New Roman"/>
          <w:b/>
          <w:sz w:val="24"/>
          <w:szCs w:val="24"/>
          <w:lang w:val="en-US" w:bidi="ar-SA"/>
        </w:rPr>
        <w:t>、响应文件计算错误的修正</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34.1</w:t>
      </w:r>
      <w:r>
        <w:rPr>
          <w:rFonts w:hint="eastAsia" w:cs="Times New Roman"/>
          <w:sz w:val="24"/>
          <w:szCs w:val="24"/>
          <w:lang w:val="en-US" w:eastAsia="zh-CN" w:bidi="ar-SA"/>
        </w:rPr>
        <w:t xml:space="preserve"> </w:t>
      </w:r>
      <w:r>
        <w:rPr>
          <w:rFonts w:hint="eastAsia" w:cs="Times New Roman"/>
          <w:sz w:val="24"/>
          <w:szCs w:val="24"/>
          <w:lang w:val="en-US" w:bidi="ar-SA"/>
        </w:rPr>
        <w:t>磋商小组将对确定为实质上响应磋商文件要求的响应文件进行校核</w:t>
      </w:r>
      <w:r>
        <w:rPr>
          <w:rFonts w:hint="eastAsia" w:cs="Times New Roman"/>
          <w:spacing w:val="-120"/>
          <w:sz w:val="24"/>
          <w:szCs w:val="24"/>
          <w:lang w:val="en-US" w:bidi="ar-SA"/>
        </w:rPr>
        <w:t>，</w:t>
      </w:r>
      <w:r>
        <w:rPr>
          <w:rFonts w:hint="eastAsia" w:cs="Times New Roman"/>
          <w:sz w:val="24"/>
          <w:szCs w:val="24"/>
          <w:lang w:val="en-US" w:bidi="ar-SA"/>
        </w:rPr>
        <w:t>看其是否有计算或表达上的错误，修正错误的原则如下：</w:t>
      </w:r>
    </w:p>
    <w:p>
      <w:pPr>
        <w:kinsoku w:val="0"/>
        <w:overflowPunct w:val="0"/>
        <w:adjustRightInd w:val="0"/>
        <w:spacing w:before="57" w:line="440" w:lineRule="exact"/>
        <w:ind w:left="111" w:right="110" w:firstLine="480"/>
        <w:rPr>
          <w:rFonts w:eastAsia="Times New Roman" w:cs="Times New Roman"/>
          <w:sz w:val="24"/>
          <w:szCs w:val="24"/>
          <w:lang w:val="en-US" w:bidi="ar-SA"/>
        </w:rPr>
      </w:pPr>
      <w:r>
        <w:rPr>
          <w:rFonts w:cs="Times New Roman"/>
          <w:sz w:val="24"/>
          <w:szCs w:val="24"/>
          <w:lang w:val="en-US" w:bidi="ar-SA"/>
        </w:rPr>
        <w:t>34.1.1</w:t>
      </w:r>
      <w:r>
        <w:rPr>
          <w:rFonts w:hint="eastAsia" w:cs="Times New Roman"/>
          <w:sz w:val="24"/>
          <w:szCs w:val="24"/>
          <w:lang w:val="en-US" w:bidi="ar-SA"/>
        </w:rPr>
        <w:t>如果数字表示的金额和用文字表示的金额不一致时</w:t>
      </w:r>
      <w:r>
        <w:rPr>
          <w:rFonts w:hint="eastAsia" w:cs="Times New Roman"/>
          <w:spacing w:val="-120"/>
          <w:sz w:val="24"/>
          <w:szCs w:val="24"/>
          <w:lang w:val="en-US" w:bidi="ar-SA"/>
        </w:rPr>
        <w:t>，</w:t>
      </w:r>
      <w:r>
        <w:rPr>
          <w:rFonts w:hint="eastAsia" w:cs="Times New Roman"/>
          <w:sz w:val="24"/>
          <w:szCs w:val="24"/>
          <w:lang w:val="en-US" w:bidi="ar-SA"/>
        </w:rPr>
        <w:t>应以文字表示的金额为准；</w:t>
      </w:r>
    </w:p>
    <w:p>
      <w:pPr>
        <w:kinsoku w:val="0"/>
        <w:overflowPunct w:val="0"/>
        <w:adjustRightInd w:val="0"/>
        <w:spacing w:before="56" w:line="440" w:lineRule="exact"/>
        <w:ind w:left="591"/>
        <w:rPr>
          <w:rFonts w:eastAsia="Times New Roman" w:cs="Times New Roman"/>
          <w:sz w:val="24"/>
          <w:szCs w:val="24"/>
          <w:lang w:val="en-US" w:bidi="ar-SA"/>
        </w:rPr>
      </w:pPr>
      <w:r>
        <w:rPr>
          <w:rFonts w:cs="Times New Roman"/>
          <w:sz w:val="24"/>
          <w:szCs w:val="24"/>
          <w:lang w:val="en-US" w:bidi="ar-SA"/>
        </w:rPr>
        <w:t>34.1.2</w:t>
      </w:r>
      <w:r>
        <w:rPr>
          <w:rFonts w:hint="eastAsia" w:cs="Times New Roman"/>
          <w:sz w:val="24"/>
          <w:szCs w:val="24"/>
          <w:lang w:val="en-US" w:bidi="ar-SA"/>
        </w:rPr>
        <w:t>大写金额和小写金额不一致的，应以大写金额为准；</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34.2</w:t>
      </w:r>
      <w:r>
        <w:rPr>
          <w:rFonts w:hint="eastAsia" w:cs="Times New Roman"/>
          <w:sz w:val="24"/>
          <w:szCs w:val="24"/>
          <w:lang w:val="en-US" w:bidi="ar-SA"/>
        </w:rPr>
        <w:t xml:space="preserve"> 按上述修正错误的原则及方法调整或修正响应文件的磋商报价</w:t>
      </w:r>
      <w:r>
        <w:rPr>
          <w:rFonts w:hint="eastAsia" w:cs="Times New Roman"/>
          <w:spacing w:val="-120"/>
          <w:sz w:val="24"/>
          <w:szCs w:val="24"/>
          <w:lang w:val="en-US" w:bidi="ar-SA"/>
        </w:rPr>
        <w:t>，</w:t>
      </w:r>
      <w:r>
        <w:rPr>
          <w:rFonts w:hint="eastAsia" w:cs="Times New Roman"/>
          <w:sz w:val="24"/>
          <w:szCs w:val="24"/>
          <w:lang w:val="en-US" w:bidi="ar-SA"/>
        </w:rPr>
        <w:t>供应商同意</w:t>
      </w:r>
      <w:r>
        <w:rPr>
          <w:rFonts w:hint="eastAsia" w:cs="Times New Roman"/>
          <w:spacing w:val="-2"/>
          <w:sz w:val="24"/>
          <w:szCs w:val="24"/>
          <w:lang w:val="en-US" w:bidi="ar-SA"/>
        </w:rPr>
        <w:t>后，调整后的磋商报价对供应商起约束作用。如果供应商不接受修正后的报价，则其</w:t>
      </w:r>
      <w:r>
        <w:rPr>
          <w:rFonts w:hint="eastAsia" w:cs="Times New Roman"/>
          <w:sz w:val="24"/>
          <w:szCs w:val="24"/>
          <w:lang w:val="en-US" w:bidi="ar-SA"/>
        </w:rPr>
        <w:t>磋商将被拒绝，并不影响评审工作。</w:t>
      </w:r>
    </w:p>
    <w:p>
      <w:pPr>
        <w:kinsoku w:val="0"/>
        <w:overflowPunct w:val="0"/>
        <w:adjustRightInd w:val="0"/>
        <w:spacing w:before="57" w:line="440" w:lineRule="exact"/>
        <w:ind w:left="591"/>
        <w:rPr>
          <w:rFonts w:eastAsia="Times New Roman" w:cs="Times New Roman"/>
          <w:sz w:val="24"/>
          <w:szCs w:val="24"/>
          <w:lang w:val="en-US" w:bidi="ar-SA"/>
        </w:rPr>
      </w:pPr>
      <w:r>
        <w:rPr>
          <w:rFonts w:cs="Times New Roman"/>
          <w:sz w:val="24"/>
          <w:szCs w:val="24"/>
          <w:lang w:val="en-US" w:bidi="ar-SA"/>
        </w:rPr>
        <w:t>34.3</w:t>
      </w:r>
      <w:r>
        <w:rPr>
          <w:rFonts w:hint="eastAsia" w:cs="Times New Roman"/>
          <w:sz w:val="24"/>
          <w:szCs w:val="24"/>
          <w:lang w:val="en-US" w:bidi="ar-SA"/>
        </w:rPr>
        <w:t xml:space="preserve"> 对多报的清单子项或报价视为不实质响应磋商文件，按无效标处理。</w:t>
      </w:r>
    </w:p>
    <w:p>
      <w:pPr>
        <w:kinsoku w:val="0"/>
        <w:overflowPunct w:val="0"/>
        <w:adjustRightInd w:val="0"/>
        <w:spacing w:line="440" w:lineRule="exact"/>
        <w:ind w:left="591"/>
        <w:rPr>
          <w:rFonts w:eastAsia="Times New Roman" w:cs="Times New Roman"/>
          <w:sz w:val="24"/>
          <w:szCs w:val="24"/>
          <w:lang w:val="en-US" w:bidi="ar-SA"/>
        </w:rPr>
      </w:pPr>
      <w:r>
        <w:rPr>
          <w:rFonts w:cs="Times New Roman"/>
          <w:b/>
          <w:sz w:val="24"/>
          <w:szCs w:val="24"/>
          <w:lang w:val="en-US" w:bidi="ar-SA"/>
        </w:rPr>
        <w:t>35</w:t>
      </w:r>
      <w:r>
        <w:rPr>
          <w:rFonts w:hint="eastAsia" w:cs="Times New Roman"/>
          <w:b/>
          <w:sz w:val="24"/>
          <w:szCs w:val="24"/>
          <w:lang w:val="en-US" w:bidi="ar-SA"/>
        </w:rPr>
        <w:t>、响应文件的评审、比较和否决</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35.1</w:t>
      </w:r>
      <w:r>
        <w:rPr>
          <w:rFonts w:hint="eastAsia" w:cs="Times New Roman"/>
          <w:sz w:val="24"/>
          <w:szCs w:val="24"/>
          <w:lang w:val="en-US" w:bidi="ar-SA"/>
        </w:rPr>
        <w:t>磋商小组将按照本须知第</w:t>
      </w:r>
      <w:r>
        <w:rPr>
          <w:rFonts w:cs="Times New Roman"/>
          <w:sz w:val="24"/>
          <w:szCs w:val="24"/>
          <w:lang w:val="en-US" w:bidi="ar-SA"/>
        </w:rPr>
        <w:t>33</w:t>
      </w:r>
      <w:r>
        <w:rPr>
          <w:rFonts w:hint="eastAsia" w:cs="Times New Roman"/>
          <w:sz w:val="24"/>
          <w:szCs w:val="24"/>
          <w:lang w:val="en-US" w:bidi="ar-SA"/>
        </w:rPr>
        <w:t>条规定，仅对在实质上响应磋商文件要求的响应文件进行评估和比较。</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cs="Times New Roman"/>
          <w:sz w:val="24"/>
          <w:szCs w:val="24"/>
          <w:lang w:val="en-US" w:bidi="ar-SA"/>
        </w:rPr>
        <w:t>35.2</w:t>
      </w:r>
      <w:r>
        <w:rPr>
          <w:rFonts w:hint="eastAsia" w:cs="Times New Roman"/>
          <w:sz w:val="24"/>
          <w:szCs w:val="24"/>
          <w:lang w:val="en-US" w:bidi="ar-SA"/>
        </w:rPr>
        <w:t>在评审过程中</w:t>
      </w:r>
      <w:r>
        <w:rPr>
          <w:rFonts w:hint="eastAsia" w:cs="Times New Roman"/>
          <w:spacing w:val="-120"/>
          <w:sz w:val="24"/>
          <w:szCs w:val="24"/>
          <w:lang w:val="en-US" w:bidi="ar-SA"/>
        </w:rPr>
        <w:t>，</w:t>
      </w:r>
      <w:r>
        <w:rPr>
          <w:rFonts w:hint="eastAsia" w:cs="Times New Roman"/>
          <w:sz w:val="24"/>
          <w:szCs w:val="24"/>
          <w:lang w:val="en-US" w:bidi="ar-SA"/>
        </w:rPr>
        <w:t>磋商小组可以书面形式要求供应商就响应文件中含义不明确的内容进行书面说明并提供相关材料。</w:t>
      </w:r>
    </w:p>
    <w:p>
      <w:pPr>
        <w:kinsoku w:val="0"/>
        <w:overflowPunct w:val="0"/>
        <w:adjustRightInd w:val="0"/>
        <w:spacing w:before="57" w:line="440" w:lineRule="exact"/>
        <w:ind w:left="591"/>
        <w:rPr>
          <w:rFonts w:cs="Times New Roman"/>
          <w:spacing w:val="4"/>
          <w:sz w:val="24"/>
          <w:szCs w:val="24"/>
          <w:lang w:val="en-US" w:bidi="ar-SA"/>
        </w:rPr>
      </w:pPr>
      <w:r>
        <w:rPr>
          <w:rFonts w:cs="Times New Roman"/>
          <w:sz w:val="24"/>
          <w:szCs w:val="24"/>
          <w:lang w:val="en-US" w:bidi="ar-SA"/>
        </w:rPr>
        <w:t>35.3</w:t>
      </w:r>
      <w:r>
        <w:rPr>
          <w:rFonts w:hint="eastAsia" w:cs="Times New Roman"/>
          <w:sz w:val="24"/>
          <w:szCs w:val="24"/>
          <w:lang w:val="en-US" w:bidi="ar-SA"/>
        </w:rPr>
        <w:t>磋商开始，磋商小组成员与供应商磋商各项内容：</w:t>
      </w:r>
      <w:r>
        <w:rPr>
          <w:rFonts w:hint="eastAsia" w:cs="Times New Roman"/>
          <w:spacing w:val="4"/>
          <w:sz w:val="24"/>
          <w:szCs w:val="24"/>
          <w:lang w:val="en-US" w:bidi="ar-SA"/>
        </w:rPr>
        <w:t>磋商小组所有成员集中与单一</w:t>
      </w:r>
    </w:p>
    <w:p>
      <w:pPr>
        <w:kinsoku w:val="0"/>
        <w:overflowPunct w:val="0"/>
        <w:adjustRightInd w:val="0"/>
        <w:spacing w:before="57" w:line="440" w:lineRule="exact"/>
        <w:rPr>
          <w:rFonts w:eastAsia="Times New Roman" w:cs="Times New Roman"/>
          <w:sz w:val="24"/>
          <w:szCs w:val="24"/>
          <w:lang w:val="en-US" w:bidi="ar-SA"/>
        </w:rPr>
      </w:pPr>
      <w:r>
        <w:rPr>
          <w:rFonts w:hint="eastAsia" w:cs="Times New Roman"/>
          <w:spacing w:val="4"/>
          <w:sz w:val="24"/>
          <w:szCs w:val="24"/>
          <w:lang w:val="en-US" w:bidi="ar-SA"/>
        </w:rPr>
        <w:t>供应商分别进行磋商。磋商小组根据供应商的报</w:t>
      </w:r>
      <w:r>
        <w:rPr>
          <w:rFonts w:hint="eastAsia" w:cs="Times New Roman"/>
          <w:sz w:val="24"/>
          <w:szCs w:val="24"/>
          <w:lang w:val="en-US" w:bidi="ar-SA"/>
        </w:rPr>
        <w:t>价、响应内容及磋商的情况，给予每个正在参加磋商的供应商相同的机会。</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35.3.1 </w:t>
      </w:r>
      <w:r>
        <w:rPr>
          <w:rFonts w:hint="eastAsia" w:cs="Times New Roman"/>
          <w:spacing w:val="1"/>
          <w:sz w:val="24"/>
          <w:szCs w:val="24"/>
          <w:lang w:val="en-US" w:bidi="ar-SA"/>
        </w:rPr>
        <w:t>在磋商过程中，磋商小组可以根据磋商文件和磋商情况变动采购需求中</w:t>
      </w:r>
      <w:r>
        <w:rPr>
          <w:rFonts w:hint="eastAsia" w:cs="Times New Roman"/>
          <w:sz w:val="24"/>
          <w:szCs w:val="24"/>
          <w:lang w:val="en-US" w:bidi="ar-SA"/>
        </w:rPr>
        <w:t>的技术、商务要求以及合同草案条款，实质性变动的内容，须经采购人代表确认。</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35.3.2 </w:t>
      </w:r>
      <w:r>
        <w:rPr>
          <w:rFonts w:hint="eastAsia" w:cs="Times New Roman"/>
          <w:spacing w:val="1"/>
          <w:sz w:val="24"/>
          <w:szCs w:val="24"/>
          <w:lang w:val="en-US" w:bidi="ar-SA"/>
        </w:rPr>
        <w:t>对磋商文件作出的实质性变动是磋商文件的有效组成部分，磋商小组应</w:t>
      </w:r>
      <w:r>
        <w:rPr>
          <w:rFonts w:hint="eastAsia" w:cs="Times New Roman"/>
          <w:sz w:val="24"/>
          <w:szCs w:val="24"/>
          <w:lang w:val="en-US" w:bidi="ar-SA"/>
        </w:rPr>
        <w:t>当及时以书面形式同时通知所有参加磋商的供应商。</w:t>
      </w:r>
    </w:p>
    <w:p>
      <w:pPr>
        <w:pStyle w:val="11"/>
        <w:kinsoku w:val="0"/>
        <w:overflowPunct w:val="0"/>
        <w:spacing w:line="440" w:lineRule="exact"/>
        <w:ind w:left="111" w:right="110" w:firstLine="480"/>
        <w:rPr>
          <w:rFonts w:eastAsia="Times New Roman" w:cs="Times New Roman"/>
          <w:color w:val="FF0000"/>
          <w:lang w:val="en-US" w:bidi="ar-SA"/>
        </w:rPr>
      </w:pPr>
      <w:r>
        <w:rPr>
          <w:rFonts w:cs="Times New Roman"/>
          <w:lang w:val="en-US" w:bidi="ar-SA"/>
        </w:rPr>
        <w:t>35.3.3</w:t>
      </w:r>
      <w:r>
        <w:rPr>
          <w:rFonts w:cs="Times New Roman"/>
          <w:color w:val="FF0000"/>
          <w:lang w:val="en-US" w:bidi="ar-SA"/>
        </w:rPr>
        <w:t xml:space="preserve"> </w:t>
      </w:r>
      <w:r>
        <w:rPr>
          <w:rFonts w:hint="eastAsia"/>
        </w:rPr>
        <w:t>供应商按照磋商文件实质性变动情况和磋商小组的要求重新提交响应文件，并由其全权代表签章。</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35.3.4 </w:t>
      </w:r>
      <w:r>
        <w:rPr>
          <w:rFonts w:hint="eastAsia" w:cs="Times New Roman"/>
          <w:sz w:val="24"/>
          <w:szCs w:val="24"/>
          <w:lang w:val="en-US" w:bidi="ar-SA"/>
        </w:rPr>
        <w:t>磋商结束后，参加磋商的供应商应当对磋商达成的意向，以书面形式由全权代表签字确认后提交。</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35.4 </w:t>
      </w:r>
      <w:r>
        <w:rPr>
          <w:rFonts w:hint="eastAsia" w:cs="Times New Roman"/>
          <w:sz w:val="24"/>
          <w:szCs w:val="24"/>
          <w:lang w:val="en-US" w:bidi="ar-SA"/>
        </w:rPr>
        <w:t>磋商小组依据本须知</w:t>
      </w:r>
      <w:r>
        <w:rPr>
          <w:rFonts w:cs="Times New Roman"/>
          <w:sz w:val="24"/>
          <w:szCs w:val="24"/>
          <w:lang w:val="en-US" w:bidi="ar-SA"/>
        </w:rPr>
        <w:t>35.5</w:t>
      </w:r>
      <w:r>
        <w:rPr>
          <w:rFonts w:hint="eastAsia" w:cs="Times New Roman"/>
          <w:sz w:val="24"/>
          <w:szCs w:val="24"/>
          <w:lang w:val="en-US" w:bidi="ar-S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kinsoku w:val="0"/>
        <w:overflowPunct w:val="0"/>
        <w:adjustRightInd w:val="0"/>
        <w:spacing w:before="57" w:line="440" w:lineRule="exact"/>
        <w:ind w:left="591"/>
        <w:rPr>
          <w:rFonts w:eastAsia="Times New Roman" w:cs="Times New Roman"/>
          <w:b/>
          <w:sz w:val="24"/>
          <w:szCs w:val="24"/>
          <w:lang w:val="en-US" w:bidi="ar-SA"/>
        </w:rPr>
      </w:pPr>
      <w:r>
        <w:rPr>
          <w:rFonts w:cs="Times New Roman"/>
          <w:sz w:val="24"/>
          <w:szCs w:val="24"/>
          <w:lang w:val="en-US" w:bidi="ar-SA"/>
        </w:rPr>
        <w:t xml:space="preserve">35.5 </w:t>
      </w:r>
      <w:r>
        <w:rPr>
          <w:rFonts w:hint="eastAsia" w:cs="Times New Roman"/>
          <w:sz w:val="24"/>
          <w:szCs w:val="24"/>
          <w:lang w:val="en-US" w:bidi="ar-SA"/>
        </w:rPr>
        <w:t>评审方法及标准</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35.5.1</w:t>
      </w:r>
      <w:r>
        <w:rPr>
          <w:rFonts w:hint="eastAsia" w:cs="Times New Roman"/>
          <w:sz w:val="24"/>
          <w:szCs w:val="24"/>
          <w:lang w:val="en-US" w:bidi="ar-SA"/>
        </w:rPr>
        <w:t>本次评审采用综合评估法：具体详见“第八章评标方法及标准”。</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35.6</w:t>
      </w:r>
      <w:r>
        <w:rPr>
          <w:rFonts w:hint="eastAsia" w:cs="Times New Roman"/>
          <w:sz w:val="24"/>
          <w:szCs w:val="24"/>
          <w:lang w:val="en-US" w:bidi="ar-SA"/>
        </w:rPr>
        <w:t xml:space="preserve"> 磋商小组经评审</w:t>
      </w:r>
      <w:r>
        <w:rPr>
          <w:rFonts w:hint="eastAsia" w:cs="Times New Roman"/>
          <w:spacing w:val="-60"/>
          <w:sz w:val="24"/>
          <w:szCs w:val="24"/>
          <w:lang w:val="en-US" w:bidi="ar-SA"/>
        </w:rPr>
        <w:t>，</w:t>
      </w:r>
      <w:r>
        <w:rPr>
          <w:rFonts w:hint="eastAsia" w:cs="Times New Roman"/>
          <w:sz w:val="24"/>
          <w:szCs w:val="24"/>
          <w:lang w:val="en-US" w:bidi="ar-SA"/>
        </w:rPr>
        <w:t>认为所有磋商都不符合磋商文件要求的</w:t>
      </w:r>
      <w:r>
        <w:rPr>
          <w:rFonts w:hint="eastAsia" w:cs="Times New Roman"/>
          <w:spacing w:val="-60"/>
          <w:sz w:val="24"/>
          <w:szCs w:val="24"/>
          <w:lang w:val="en-US" w:bidi="ar-SA"/>
        </w:rPr>
        <w:t>，</w:t>
      </w:r>
      <w:r>
        <w:rPr>
          <w:rFonts w:hint="eastAsia" w:cs="Times New Roman"/>
          <w:sz w:val="24"/>
          <w:szCs w:val="24"/>
          <w:lang w:val="en-US" w:bidi="ar-SA"/>
        </w:rPr>
        <w:t>可以否决所有报价。所有报价被否决后，采购人应当依法重新磋商。</w:t>
      </w:r>
    </w:p>
    <w:p>
      <w:pPr>
        <w:kinsoku w:val="0"/>
        <w:overflowPunct w:val="0"/>
        <w:adjustRightInd w:val="0"/>
        <w:ind w:right="56"/>
        <w:jc w:val="center"/>
        <w:outlineLvl w:val="4"/>
        <w:rPr>
          <w:rFonts w:eastAsia="Times New Roman" w:cs="Times New Roman"/>
          <w:b/>
          <w:sz w:val="24"/>
          <w:szCs w:val="24"/>
          <w:lang w:val="en-US" w:bidi="ar-SA"/>
        </w:rPr>
      </w:pPr>
    </w:p>
    <w:p>
      <w:pPr>
        <w:kinsoku w:val="0"/>
        <w:overflowPunct w:val="0"/>
        <w:adjustRightInd w:val="0"/>
        <w:ind w:right="56"/>
        <w:outlineLvl w:val="4"/>
        <w:rPr>
          <w:rFonts w:cs="Times New Roman"/>
          <w:b/>
          <w:sz w:val="24"/>
          <w:szCs w:val="24"/>
          <w:lang w:val="en-US" w:bidi="ar-SA"/>
        </w:rPr>
      </w:pPr>
    </w:p>
    <w:p>
      <w:pPr>
        <w:kinsoku w:val="0"/>
        <w:overflowPunct w:val="0"/>
        <w:adjustRightInd w:val="0"/>
        <w:ind w:right="56"/>
        <w:outlineLvl w:val="4"/>
        <w:rPr>
          <w:rFonts w:cs="Times New Roman"/>
          <w:b/>
          <w:sz w:val="24"/>
          <w:szCs w:val="24"/>
          <w:lang w:val="en-US" w:bidi="ar-SA"/>
        </w:rPr>
      </w:pPr>
    </w:p>
    <w:p>
      <w:pPr>
        <w:kinsoku w:val="0"/>
        <w:overflowPunct w:val="0"/>
        <w:adjustRightInd w:val="0"/>
        <w:ind w:right="56"/>
        <w:jc w:val="center"/>
        <w:outlineLvl w:val="4"/>
        <w:rPr>
          <w:rFonts w:eastAsia="Times New Roman" w:cs="Times New Roman"/>
          <w:sz w:val="24"/>
          <w:szCs w:val="24"/>
          <w:lang w:val="en-US" w:bidi="ar-SA"/>
        </w:rPr>
      </w:pPr>
      <w:r>
        <w:rPr>
          <w:rFonts w:hint="eastAsia" w:cs="Times New Roman"/>
          <w:b/>
          <w:sz w:val="24"/>
          <w:szCs w:val="24"/>
          <w:lang w:val="en-US" w:bidi="ar-SA"/>
        </w:rPr>
        <w:t>（七）合同的授予</w:t>
      </w:r>
    </w:p>
    <w:p>
      <w:pPr>
        <w:kinsoku w:val="0"/>
        <w:overflowPunct w:val="0"/>
        <w:adjustRightInd w:val="0"/>
        <w:spacing w:before="10"/>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36</w:t>
      </w:r>
      <w:r>
        <w:rPr>
          <w:rFonts w:hint="eastAsia" w:cs="Times New Roman"/>
          <w:b/>
          <w:sz w:val="24"/>
          <w:szCs w:val="24"/>
          <w:lang w:val="en-US" w:bidi="ar-SA"/>
        </w:rPr>
        <w:t>、合同授予标准</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36.1</w:t>
      </w:r>
      <w:r>
        <w:rPr>
          <w:rFonts w:hint="eastAsia" w:cs="Times New Roman"/>
          <w:sz w:val="24"/>
          <w:szCs w:val="24"/>
          <w:lang w:val="en-US" w:bidi="ar-SA"/>
        </w:rPr>
        <w:t>本磋商工程的施工合同将授予按本须知第</w:t>
      </w:r>
      <w:r>
        <w:rPr>
          <w:rFonts w:cs="Times New Roman"/>
          <w:sz w:val="24"/>
          <w:szCs w:val="24"/>
          <w:lang w:val="en-US" w:bidi="ar-SA"/>
        </w:rPr>
        <w:t>35.5.1</w:t>
      </w:r>
      <w:r>
        <w:rPr>
          <w:rFonts w:hint="eastAsia" w:cs="Times New Roman"/>
          <w:sz w:val="24"/>
          <w:szCs w:val="24"/>
          <w:lang w:val="en-US" w:bidi="ar-SA"/>
        </w:rPr>
        <w:t>款所确定的中标人。</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37</w:t>
      </w:r>
      <w:r>
        <w:rPr>
          <w:rFonts w:hint="eastAsia" w:cs="Times New Roman"/>
          <w:b/>
          <w:sz w:val="24"/>
          <w:szCs w:val="24"/>
          <w:lang w:val="en-US" w:bidi="ar-SA"/>
        </w:rPr>
        <w:t>、采购人拒绝磋商的权力</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37.1</w:t>
      </w:r>
      <w:r>
        <w:rPr>
          <w:rFonts w:hint="eastAsia" w:cs="Times New Roman"/>
          <w:sz w:val="24"/>
          <w:szCs w:val="24"/>
          <w:lang w:val="en-US" w:bidi="ar-SA"/>
        </w:rPr>
        <w:t>采购人在发出成交通知书前</w:t>
      </w:r>
      <w:r>
        <w:rPr>
          <w:rFonts w:hint="eastAsia" w:cs="Times New Roman"/>
          <w:spacing w:val="-120"/>
          <w:sz w:val="24"/>
          <w:szCs w:val="24"/>
          <w:lang w:val="en-US" w:bidi="ar-SA"/>
        </w:rPr>
        <w:t>，</w:t>
      </w:r>
      <w:r>
        <w:rPr>
          <w:rFonts w:hint="eastAsia" w:cs="Times New Roman"/>
          <w:sz w:val="24"/>
          <w:szCs w:val="24"/>
          <w:lang w:val="en-US" w:bidi="ar-SA"/>
        </w:rPr>
        <w:t>有权依据磋商小组的评审报告拒绝不合格的报价。</w:t>
      </w:r>
    </w:p>
    <w:p>
      <w:pPr>
        <w:kinsoku w:val="0"/>
        <w:overflowPunct w:val="0"/>
        <w:adjustRightInd w:val="0"/>
        <w:spacing w:before="56" w:line="440" w:lineRule="exact"/>
        <w:ind w:left="591"/>
        <w:outlineLvl w:val="4"/>
        <w:rPr>
          <w:rFonts w:cs="Times New Roman"/>
          <w:b/>
          <w:sz w:val="24"/>
          <w:szCs w:val="24"/>
          <w:lang w:val="en-US" w:bidi="ar-SA"/>
        </w:rPr>
      </w:pPr>
      <w:r>
        <w:rPr>
          <w:rFonts w:cs="Times New Roman"/>
          <w:b/>
          <w:sz w:val="24"/>
          <w:szCs w:val="24"/>
          <w:lang w:val="en-US" w:bidi="ar-SA"/>
        </w:rPr>
        <w:t>38</w:t>
      </w:r>
      <w:r>
        <w:rPr>
          <w:rFonts w:hint="eastAsia" w:cs="Times New Roman"/>
          <w:b/>
          <w:sz w:val="24"/>
          <w:szCs w:val="24"/>
          <w:lang w:val="en-US" w:bidi="ar-SA"/>
        </w:rPr>
        <w:t>、成交信息的公布</w:t>
      </w:r>
    </w:p>
    <w:p>
      <w:pPr>
        <w:adjustRightInd w:val="0"/>
        <w:spacing w:line="440" w:lineRule="exact"/>
        <w:ind w:firstLine="480" w:firstLineChars="200"/>
        <w:outlineLvl w:val="0"/>
        <w:rPr>
          <w:rFonts w:ascii="Times New Roman" w:cs="Times New Roman"/>
          <w:sz w:val="24"/>
          <w:szCs w:val="24"/>
          <w:lang w:val="en-US" w:bidi="ar-SA"/>
        </w:rPr>
      </w:pPr>
      <w:r>
        <w:rPr>
          <w:rFonts w:cs="Times New Roman"/>
          <w:sz w:val="24"/>
          <w:szCs w:val="24"/>
          <w:lang w:val="en-US" w:bidi="ar-SA"/>
        </w:rPr>
        <w:t>38.1</w:t>
      </w:r>
      <w:r>
        <w:rPr>
          <w:rFonts w:hint="eastAsia" w:cs="Times New Roman"/>
          <w:sz w:val="24"/>
          <w:szCs w:val="24"/>
          <w:lang w:val="en-US" w:bidi="ar-SA"/>
        </w:rPr>
        <w:t xml:space="preserve"> </w:t>
      </w:r>
      <w:r>
        <w:rPr>
          <w:rFonts w:hint="eastAsia" w:ascii="Times New Roman" w:cs="Times New Roman"/>
          <w:sz w:val="24"/>
          <w:szCs w:val="24"/>
          <w:lang w:val="en-US" w:bidi="ar-SA"/>
        </w:rPr>
        <w:t>确定成交供应商后，由采购代理机构将中标结果在省级以上财政部门指定的信息发布媒体上公告</w:t>
      </w:r>
      <w:r>
        <w:rPr>
          <w:rFonts w:ascii="Times New Roman" w:cs="Times New Roman"/>
          <w:sz w:val="24"/>
          <w:szCs w:val="24"/>
          <w:lang w:val="en-US" w:bidi="ar-SA"/>
        </w:rPr>
        <w:t>1</w:t>
      </w:r>
      <w:r>
        <w:rPr>
          <w:rFonts w:hint="eastAsia" w:ascii="Times New Roman" w:cs="Times New Roman"/>
          <w:sz w:val="24"/>
          <w:szCs w:val="24"/>
          <w:lang w:val="en-US" w:bidi="ar-SA"/>
        </w:rPr>
        <w:t>个工作日，在公告中标结果的同时，采购代理机构向中标供应商发出《成交通知书》。成交通知书对采购人和成交供应商具有同等法律效力。</w:t>
      </w:r>
    </w:p>
    <w:p>
      <w:pPr>
        <w:adjustRightInd w:val="0"/>
        <w:spacing w:line="440" w:lineRule="exact"/>
        <w:ind w:firstLine="480" w:firstLineChars="200"/>
        <w:outlineLvl w:val="0"/>
        <w:rPr>
          <w:rFonts w:ascii="Times New Roman" w:hAnsi="Times New Roman" w:eastAsia="Times New Roman" w:cs="Times New Roman"/>
          <w:sz w:val="24"/>
          <w:szCs w:val="24"/>
          <w:lang w:bidi="ar-SA"/>
        </w:rPr>
      </w:pPr>
      <w:r>
        <w:rPr>
          <w:rFonts w:cs="Times New Roman"/>
          <w:sz w:val="24"/>
          <w:szCs w:val="24"/>
          <w:lang w:val="en-US" w:bidi="ar-SA"/>
        </w:rPr>
        <w:t xml:space="preserve">38.2 </w:t>
      </w:r>
      <w:r>
        <w:rPr>
          <w:rFonts w:hint="eastAsia" w:cs="Times New Roman"/>
          <w:sz w:val="24"/>
          <w:szCs w:val="24"/>
          <w:lang w:val="en-US" w:bidi="ar-SA"/>
        </w:rPr>
        <w:t>供应商对中标公告有异议的，应当在中标公告发布之日起</w:t>
      </w:r>
      <w:r>
        <w:rPr>
          <w:rFonts w:cs="Times New Roman"/>
          <w:sz w:val="24"/>
          <w:szCs w:val="24"/>
          <w:lang w:val="en-US" w:bidi="ar-SA"/>
        </w:rPr>
        <w:t>7</w:t>
      </w:r>
      <w:r>
        <w:rPr>
          <w:rFonts w:hint="eastAsia" w:cs="Times New Roman"/>
          <w:sz w:val="24"/>
          <w:szCs w:val="24"/>
          <w:lang w:val="en-US" w:bidi="ar-SA"/>
        </w:rPr>
        <w:t>个工作日内，以书面形式向采购人和采购代理机构提出质疑。质疑供应商对答复不满意或者采购人未在规定时间内答复的，可以在答复期满后十五个工作日内向同级政府采购监督管理部门投诉。</w:t>
      </w:r>
    </w:p>
    <w:p>
      <w:pPr>
        <w:adjustRightInd w:val="0"/>
        <w:spacing w:line="440" w:lineRule="exact"/>
        <w:ind w:firstLine="480" w:firstLineChars="200"/>
        <w:outlineLvl w:val="0"/>
        <w:rPr>
          <w:rFonts w:hAnsi="Times New Roman" w:eastAsia="Times New Roman" w:cs="Times New Roman"/>
          <w:sz w:val="24"/>
          <w:szCs w:val="24"/>
          <w:lang w:bidi="ar-SA"/>
        </w:rPr>
      </w:pPr>
      <w:r>
        <w:rPr>
          <w:rFonts w:cs="Times New Roman"/>
          <w:sz w:val="24"/>
          <w:szCs w:val="24"/>
          <w:lang w:val="en-US" w:bidi="ar-SA"/>
        </w:rPr>
        <w:t>38</w:t>
      </w:r>
      <w:r>
        <w:rPr>
          <w:rFonts w:hAnsi="Times New Roman" w:eastAsia="Times New Roman" w:cs="Times New Roman"/>
          <w:sz w:val="24"/>
          <w:szCs w:val="24"/>
          <w:lang w:bidi="ar-SA"/>
        </w:rPr>
        <w:t>.</w:t>
      </w:r>
      <w:r>
        <w:rPr>
          <w:rFonts w:cs="Times New Roman"/>
          <w:sz w:val="24"/>
          <w:szCs w:val="24"/>
          <w:lang w:val="en-US" w:bidi="ar-SA"/>
        </w:rPr>
        <w:t>3</w:t>
      </w:r>
      <w:r>
        <w:rPr>
          <w:rFonts w:hint="eastAsia" w:cs="Times New Roman"/>
          <w:sz w:val="24"/>
          <w:szCs w:val="24"/>
          <w:lang w:bidi="ar-SA"/>
        </w:rPr>
        <w:t>《中标通知书》要作为</w:t>
      </w:r>
      <w:r>
        <w:rPr>
          <w:rFonts w:hint="eastAsia" w:cs="Times New Roman"/>
          <w:sz w:val="24"/>
          <w:szCs w:val="24"/>
          <w:lang w:val="en-US" w:bidi="ar-SA"/>
        </w:rPr>
        <w:t>采购人、中标人</w:t>
      </w:r>
      <w:r>
        <w:rPr>
          <w:rFonts w:hint="eastAsia" w:cs="Times New Roman"/>
          <w:sz w:val="24"/>
          <w:szCs w:val="24"/>
          <w:lang w:bidi="ar-SA"/>
        </w:rPr>
        <w:t>签订政府采购合同的依据。</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39</w:t>
      </w:r>
      <w:r>
        <w:rPr>
          <w:rFonts w:hint="eastAsia" w:cs="Times New Roman"/>
          <w:b/>
          <w:sz w:val="24"/>
          <w:szCs w:val="24"/>
          <w:lang w:val="en-US" w:bidi="ar-SA"/>
        </w:rPr>
        <w:t>、合同协议书的签订</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39.1</w:t>
      </w:r>
      <w:r>
        <w:rPr>
          <w:rFonts w:hint="eastAsia" w:cs="Times New Roman"/>
          <w:sz w:val="24"/>
          <w:szCs w:val="24"/>
          <w:lang w:val="en-US" w:eastAsia="zh-CN" w:bidi="ar-SA"/>
        </w:rPr>
        <w:t xml:space="preserve"> </w:t>
      </w:r>
      <w:r>
        <w:rPr>
          <w:rFonts w:hint="eastAsia" w:cs="Times New Roman"/>
          <w:sz w:val="24"/>
          <w:szCs w:val="24"/>
          <w:lang w:val="en-US" w:bidi="ar-SA"/>
        </w:rPr>
        <w:t>采购人与中标人将于成交通知书发出之日起</w:t>
      </w:r>
      <w:r>
        <w:rPr>
          <w:rFonts w:cs="Times New Roman"/>
          <w:sz w:val="24"/>
          <w:szCs w:val="24"/>
          <w:lang w:val="en-US" w:bidi="ar-SA"/>
        </w:rPr>
        <w:t>30</w:t>
      </w:r>
      <w:r>
        <w:rPr>
          <w:rFonts w:hint="eastAsia" w:cs="Times New Roman"/>
          <w:sz w:val="24"/>
          <w:szCs w:val="24"/>
          <w:lang w:val="en-US" w:bidi="ar-SA"/>
        </w:rPr>
        <w:t>日内，按照磋商文件和中标人的响应文件订立书面工程施工合同</w:t>
      </w:r>
      <w:r>
        <w:rPr>
          <w:rFonts w:hint="eastAsia" w:cs="Times New Roman"/>
          <w:spacing w:val="-60"/>
          <w:sz w:val="24"/>
          <w:szCs w:val="24"/>
          <w:lang w:val="en-US" w:bidi="ar-SA"/>
        </w:rPr>
        <w:t>，</w:t>
      </w:r>
      <w:r>
        <w:rPr>
          <w:rFonts w:hint="eastAsia" w:cs="Times New Roman"/>
          <w:sz w:val="24"/>
          <w:szCs w:val="24"/>
          <w:lang w:val="en-US" w:bidi="ar-SA"/>
        </w:rPr>
        <w:t>采购人和中标人不得再行订立背离合同实质性内容的其他协议。</w:t>
      </w:r>
    </w:p>
    <w:p>
      <w:pPr>
        <w:kinsoku w:val="0"/>
        <w:overflowPunct w:val="0"/>
        <w:adjustRightInd w:val="0"/>
        <w:spacing w:before="60"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39.2</w:t>
      </w:r>
      <w:r>
        <w:rPr>
          <w:rFonts w:hint="eastAsia" w:cs="Times New Roman"/>
          <w:sz w:val="24"/>
          <w:szCs w:val="24"/>
          <w:lang w:val="en-US" w:eastAsia="zh-CN" w:bidi="ar-SA"/>
        </w:rPr>
        <w:t xml:space="preserve"> </w:t>
      </w:r>
      <w:r>
        <w:rPr>
          <w:rFonts w:hint="eastAsia" w:cs="Times New Roman"/>
          <w:sz w:val="24"/>
          <w:szCs w:val="24"/>
          <w:lang w:val="en-US" w:bidi="ar-SA"/>
        </w:rPr>
        <w:t>中标人如不按本磋商须知第</w:t>
      </w:r>
      <w:r>
        <w:rPr>
          <w:rFonts w:cs="Times New Roman"/>
          <w:sz w:val="24"/>
          <w:szCs w:val="24"/>
          <w:lang w:val="en-US" w:bidi="ar-SA"/>
        </w:rPr>
        <w:t>39.1</w:t>
      </w:r>
      <w:r>
        <w:rPr>
          <w:rFonts w:hint="eastAsia" w:cs="Times New Roman"/>
          <w:sz w:val="24"/>
          <w:szCs w:val="24"/>
          <w:lang w:val="en-US" w:bidi="ar-SA"/>
        </w:rPr>
        <w:t>款的规定与采购人订立合同，则采购人将废除授标，磋商保证金不予退还，给采购人造成的损失超过磋商保证金数额的，还应当对超过部分予以赔偿，同时依法承担相应法律责任。</w:t>
      </w:r>
    </w:p>
    <w:p>
      <w:pPr>
        <w:kinsoku w:val="0"/>
        <w:overflowPunct w:val="0"/>
        <w:adjustRightInd w:val="0"/>
        <w:spacing w:before="60"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39.3</w:t>
      </w:r>
      <w:r>
        <w:rPr>
          <w:rFonts w:hint="eastAsia" w:cs="Times New Roman"/>
          <w:sz w:val="24"/>
          <w:szCs w:val="24"/>
          <w:lang w:val="en-US" w:eastAsia="zh-CN" w:bidi="ar-SA"/>
        </w:rPr>
        <w:t xml:space="preserve"> </w:t>
      </w:r>
      <w:r>
        <w:rPr>
          <w:rFonts w:hint="eastAsia" w:cs="Times New Roman"/>
          <w:sz w:val="24"/>
          <w:szCs w:val="24"/>
          <w:lang w:val="en-US" w:bidi="ar-SA"/>
        </w:rPr>
        <w:t>中标人应当按照合同约定履行义务</w:t>
      </w:r>
      <w:r>
        <w:rPr>
          <w:rFonts w:hint="eastAsia" w:cs="Times New Roman"/>
          <w:spacing w:val="-60"/>
          <w:sz w:val="24"/>
          <w:szCs w:val="24"/>
          <w:lang w:val="en-US" w:bidi="ar-SA"/>
        </w:rPr>
        <w:t>，</w:t>
      </w:r>
      <w:r>
        <w:rPr>
          <w:rFonts w:hint="eastAsia" w:cs="Times New Roman"/>
          <w:sz w:val="24"/>
          <w:szCs w:val="24"/>
          <w:lang w:val="en-US" w:bidi="ar-SA"/>
        </w:rPr>
        <w:t>完成成交项目施工</w:t>
      </w:r>
      <w:r>
        <w:rPr>
          <w:rFonts w:hint="eastAsia" w:cs="Times New Roman"/>
          <w:spacing w:val="-60"/>
          <w:sz w:val="24"/>
          <w:szCs w:val="24"/>
          <w:lang w:val="en-US" w:bidi="ar-SA"/>
        </w:rPr>
        <w:t>，</w:t>
      </w:r>
      <w:r>
        <w:rPr>
          <w:rFonts w:hint="eastAsia" w:cs="Times New Roman"/>
          <w:sz w:val="24"/>
          <w:szCs w:val="24"/>
          <w:lang w:val="en-US" w:bidi="ar-SA"/>
        </w:rPr>
        <w:t>不得将成交项目转让（转包）给他人。</w:t>
      </w:r>
    </w:p>
    <w:p>
      <w:pPr>
        <w:kinsoku w:val="0"/>
        <w:overflowPunct w:val="0"/>
        <w:adjustRightInd w:val="0"/>
        <w:spacing w:line="440" w:lineRule="exact"/>
        <w:ind w:left="591" w:right="5091"/>
        <w:rPr>
          <w:rFonts w:cs="Times New Roman"/>
          <w:b/>
          <w:sz w:val="24"/>
          <w:szCs w:val="24"/>
          <w:lang w:val="en-US" w:bidi="ar-SA"/>
        </w:rPr>
      </w:pPr>
      <w:r>
        <w:rPr>
          <w:rFonts w:cs="Times New Roman"/>
          <w:b/>
          <w:sz w:val="24"/>
          <w:szCs w:val="24"/>
          <w:lang w:val="en-US" w:bidi="ar-SA"/>
        </w:rPr>
        <w:t>40</w:t>
      </w:r>
      <w:r>
        <w:rPr>
          <w:rFonts w:hint="eastAsia" w:cs="Times New Roman"/>
          <w:b/>
          <w:sz w:val="24"/>
          <w:szCs w:val="24"/>
          <w:lang w:val="en-US" w:bidi="ar-SA"/>
        </w:rPr>
        <w:t>、质疑与投诉</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40.1 质疑供应商是指直接参加本项目采购活动的供应商，未参加政府采购活动的供应商或在采购活动中自身权益未受到损害的供应商所提出的质疑不予受理。</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40.2 投标供应商认为磋商文件、采购过程、中标和成交结果使自己的合法权益受到损害的，可以在知道或应知道其权益受到损害之日起七个工作日内以书面形式向招采购人或采购代理机构提出质疑。</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（1）供应商的姓名或者名称、地址、邮编、联系人及联系电话（包括座机、手机、传真号码等）；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（2）质疑项目的名称、项目编号、包号、采购公告发布时间、递交投标文件或响应文件截止时间；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（3）具体、明确的质疑事项和与质疑事项相关的请求；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（4）事实依据（具体条款，认为自己合法权益受到损害或可能受到损害的相关证据材料。如涉及到产品功能或技术指标的，应出具相关制造商的证明文件）；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（5）必要的法律依据；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（6）提起质疑的日期；</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（7）质疑文件应当署名，质疑人为自然人的，应当由本人签字并附有效身份证明；质疑人为法人或其他组织的，应当由法定代表人签字并加盖单位公章；</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（8）供应商委托代理质疑的，应当提交授权委托书，并载明代理人的姓名或者名称、代理事项、 具体权限、期限和相关事项。</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40.5投诉人对质疑/投诉书的真实性负责，恶意投诉将承当相应的法律和民事责任。</w:t>
      </w:r>
    </w:p>
    <w:p>
      <w:pPr>
        <w:pStyle w:val="4"/>
        <w:tabs>
          <w:tab w:val="left" w:pos="2047"/>
        </w:tabs>
        <w:ind w:left="283"/>
      </w:pPr>
    </w:p>
    <w:p/>
    <w:p>
      <w:pPr>
        <w:pStyle w:val="18"/>
        <w:ind w:firstLine="440"/>
      </w:pPr>
    </w:p>
    <w:p>
      <w:pPr>
        <w:pStyle w:val="18"/>
        <w:ind w:firstLine="440"/>
      </w:pPr>
    </w:p>
    <w:p>
      <w:pPr>
        <w:pStyle w:val="18"/>
        <w:ind w:firstLine="440"/>
      </w:pPr>
    </w:p>
    <w:p>
      <w:pPr>
        <w:pStyle w:val="18"/>
        <w:ind w:firstLine="440"/>
      </w:pPr>
    </w:p>
    <w:p>
      <w:pPr>
        <w:pStyle w:val="18"/>
        <w:ind w:firstLine="440"/>
      </w:pPr>
    </w:p>
    <w:p>
      <w:pPr>
        <w:pStyle w:val="18"/>
        <w:ind w:firstLine="440"/>
      </w:pPr>
    </w:p>
    <w:p>
      <w:pPr>
        <w:pStyle w:val="18"/>
        <w:ind w:firstLine="440"/>
      </w:pPr>
    </w:p>
    <w:p>
      <w:pPr>
        <w:pStyle w:val="18"/>
        <w:ind w:firstLine="440"/>
      </w:pPr>
    </w:p>
    <w:p>
      <w:pPr>
        <w:pStyle w:val="18"/>
        <w:ind w:firstLine="440"/>
      </w:pPr>
    </w:p>
    <w:p>
      <w:pPr>
        <w:pStyle w:val="18"/>
        <w:ind w:firstLine="440"/>
      </w:pPr>
    </w:p>
    <w:p>
      <w:pPr>
        <w:pStyle w:val="4"/>
        <w:tabs>
          <w:tab w:val="left" w:pos="2047"/>
        </w:tabs>
        <w:ind w:left="283"/>
        <w:rPr>
          <w:sz w:val="32"/>
          <w:szCs w:val="32"/>
        </w:rPr>
      </w:pPr>
    </w:p>
    <w:p>
      <w:pPr>
        <w:rPr>
          <w:sz w:val="32"/>
          <w:szCs w:val="32"/>
        </w:rPr>
      </w:pPr>
    </w:p>
    <w:p>
      <w:pPr>
        <w:pStyle w:val="18"/>
        <w:ind w:firstLine="640"/>
        <w:rPr>
          <w:sz w:val="32"/>
          <w:szCs w:val="32"/>
        </w:rPr>
      </w:pPr>
    </w:p>
    <w:p>
      <w:pPr>
        <w:pStyle w:val="18"/>
        <w:ind w:firstLine="640"/>
        <w:rPr>
          <w:sz w:val="32"/>
          <w:szCs w:val="32"/>
        </w:rPr>
      </w:pPr>
    </w:p>
    <w:p>
      <w:pPr>
        <w:pStyle w:val="18"/>
        <w:ind w:firstLine="640"/>
        <w:rPr>
          <w:sz w:val="32"/>
          <w:szCs w:val="32"/>
        </w:rPr>
      </w:pPr>
    </w:p>
    <w:p>
      <w:pPr>
        <w:pStyle w:val="4"/>
        <w:tabs>
          <w:tab w:val="left" w:pos="2047"/>
        </w:tabs>
        <w:ind w:left="283"/>
        <w:rPr>
          <w:sz w:val="32"/>
          <w:szCs w:val="32"/>
        </w:rPr>
      </w:pPr>
    </w:p>
    <w:p>
      <w:pPr>
        <w:pStyle w:val="4"/>
        <w:tabs>
          <w:tab w:val="left" w:pos="2047"/>
        </w:tabs>
        <w:ind w:left="283"/>
        <w:rPr>
          <w:sz w:val="30"/>
          <w:szCs w:val="30"/>
        </w:rPr>
      </w:pPr>
      <w:r>
        <w:rPr>
          <w:rFonts w:hint="eastAsia"/>
          <w:sz w:val="30"/>
          <w:szCs w:val="30"/>
        </w:rPr>
        <w:t>第二章</w:t>
      </w:r>
      <w:r>
        <w:rPr>
          <w:rFonts w:hint="eastAsia"/>
          <w:sz w:val="30"/>
          <w:szCs w:val="30"/>
          <w:lang w:val="en-US"/>
        </w:rPr>
        <w:t xml:space="preserve">  </w:t>
      </w:r>
      <w:r>
        <w:rPr>
          <w:rFonts w:hint="eastAsia"/>
          <w:sz w:val="30"/>
          <w:szCs w:val="30"/>
        </w:rPr>
        <w:t>合同条款及格式</w:t>
      </w:r>
    </w:p>
    <w:p>
      <w:pPr>
        <w:rPr>
          <w:sz w:val="30"/>
          <w:szCs w:val="30"/>
        </w:rPr>
        <w:sectPr>
          <w:headerReference r:id="rId6" w:type="default"/>
          <w:footerReference r:id="rId7" w:type="default"/>
          <w:pgSz w:w="11910" w:h="16840"/>
          <w:pgMar w:top="1360" w:right="1120" w:bottom="1080" w:left="1260" w:header="882" w:footer="845" w:gutter="0"/>
          <w:cols w:space="720" w:num="1"/>
        </w:sect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5"/>
        <w:rPr>
          <w:b/>
          <w:sz w:val="29"/>
        </w:rPr>
      </w:pPr>
    </w:p>
    <w:p>
      <w:pPr>
        <w:pStyle w:val="7"/>
        <w:tabs>
          <w:tab w:val="left" w:pos="1952"/>
        </w:tabs>
        <w:rPr>
          <w:sz w:val="30"/>
          <w:szCs w:val="30"/>
        </w:rPr>
        <w:sectPr>
          <w:footerReference r:id="rId8" w:type="default"/>
          <w:pgSz w:w="11910" w:h="16840"/>
          <w:pgMar w:top="1360" w:right="1120" w:bottom="1080" w:left="1260" w:header="882" w:footer="880" w:gutter="0"/>
          <w:cols w:space="720" w:num="1"/>
        </w:sectPr>
      </w:pPr>
      <w:bookmarkStart w:id="72" w:name="_TOC_250027"/>
      <w:bookmarkEnd w:id="72"/>
      <w:r>
        <w:rPr>
          <w:rFonts w:hint="eastAsia"/>
          <w:sz w:val="30"/>
          <w:szCs w:val="30"/>
        </w:rPr>
        <w:t>第一节</w:t>
      </w:r>
      <w:r>
        <w:rPr>
          <w:rFonts w:hint="eastAsia"/>
          <w:sz w:val="30"/>
          <w:szCs w:val="30"/>
          <w:lang w:val="en-US"/>
        </w:rPr>
        <w:t xml:space="preserve">  </w:t>
      </w:r>
      <w:r>
        <w:rPr>
          <w:rFonts w:hint="eastAsia"/>
          <w:sz w:val="30"/>
          <w:szCs w:val="30"/>
        </w:rPr>
        <w:t>通用合同条款</w:t>
      </w:r>
    </w:p>
    <w:p>
      <w:pPr>
        <w:pStyle w:val="11"/>
        <w:spacing w:before="66"/>
        <w:ind w:left="583"/>
      </w:pPr>
      <w:r>
        <w:rPr>
          <w:rFonts w:hint="eastAsia"/>
        </w:rPr>
        <w:t>一、适用条件</w:t>
      </w:r>
    </w:p>
    <w:p>
      <w:pPr>
        <w:pStyle w:val="11"/>
        <w:spacing w:before="11"/>
        <w:rPr>
          <w:sz w:val="19"/>
        </w:rPr>
      </w:pPr>
    </w:p>
    <w:p>
      <w:pPr>
        <w:pStyle w:val="21"/>
        <w:numPr>
          <w:ilvl w:val="3"/>
          <w:numId w:val="5"/>
        </w:numPr>
        <w:tabs>
          <w:tab w:val="left" w:pos="1005"/>
        </w:tabs>
        <w:ind w:hanging="182"/>
        <w:jc w:val="left"/>
        <w:rPr>
          <w:sz w:val="24"/>
        </w:rPr>
      </w:pPr>
      <w:r>
        <w:rPr>
          <w:rFonts w:hint="eastAsia"/>
          <w:sz w:val="24"/>
        </w:rPr>
        <w:t>合同适用条件</w:t>
      </w:r>
    </w:p>
    <w:p>
      <w:pPr>
        <w:pStyle w:val="11"/>
        <w:spacing w:before="7"/>
        <w:rPr>
          <w:sz w:val="20"/>
        </w:rPr>
      </w:pPr>
    </w:p>
    <w:p>
      <w:pPr>
        <w:pStyle w:val="21"/>
        <w:numPr>
          <w:ilvl w:val="4"/>
          <w:numId w:val="5"/>
        </w:numPr>
        <w:tabs>
          <w:tab w:val="left" w:pos="1403"/>
          <w:tab w:val="left" w:pos="1404"/>
        </w:tabs>
        <w:spacing w:before="1"/>
        <w:rPr>
          <w:color w:val="auto"/>
          <w:sz w:val="24"/>
        </w:rPr>
      </w:pPr>
      <w:r>
        <w:rPr>
          <w:rFonts w:hint="eastAsia"/>
          <w:sz w:val="24"/>
        </w:rPr>
        <w:t>本合同适用于</w:t>
      </w:r>
      <w:r>
        <w:rPr>
          <w:rFonts w:hint="eastAsia" w:ascii="Times New Roman" w:hAnsi="Times New Roman" w:cs="Times New Roman"/>
          <w:color w:val="auto"/>
          <w:sz w:val="24"/>
          <w:szCs w:val="24"/>
          <w:lang w:val="en-US" w:eastAsia="zh-CN" w:bidi="ar-SA"/>
        </w:rPr>
        <w:t>伽师县英买里乡阿亚格英买里（11）村产业园道路建设项目</w:t>
      </w:r>
      <w:r>
        <w:rPr>
          <w:rFonts w:hint="eastAsia" w:ascii="Times New Roman" w:hAnsi="Times New Roman" w:cs="Times New Roman"/>
          <w:color w:val="auto"/>
          <w:sz w:val="24"/>
          <w:szCs w:val="24"/>
          <w:lang w:val="en-US" w:bidi="ar-SA"/>
        </w:rPr>
        <w:t xml:space="preserve"> </w:t>
      </w:r>
      <w:r>
        <w:rPr>
          <w:rFonts w:hint="eastAsia"/>
          <w:color w:val="auto"/>
          <w:sz w:val="24"/>
        </w:rPr>
        <w:t>。</w:t>
      </w:r>
    </w:p>
    <w:p>
      <w:pPr>
        <w:pStyle w:val="21"/>
        <w:numPr>
          <w:ilvl w:val="4"/>
          <w:numId w:val="5"/>
        </w:numPr>
        <w:tabs>
          <w:tab w:val="left" w:pos="1403"/>
          <w:tab w:val="left" w:pos="1404"/>
        </w:tabs>
        <w:spacing w:before="83" w:line="304" w:lineRule="auto"/>
        <w:ind w:left="384" w:right="466" w:firstLine="480"/>
        <w:rPr>
          <w:sz w:val="24"/>
        </w:rPr>
      </w:pPr>
      <w:r>
        <w:rPr>
          <w:rFonts w:hint="eastAsia"/>
          <w:spacing w:val="-4"/>
          <w:sz w:val="24"/>
        </w:rPr>
        <w:t>施工图设计文件经过审查批准，列入建设计划，资金落实到位，征地拆迁</w:t>
      </w:r>
      <w:r>
        <w:rPr>
          <w:rFonts w:hint="eastAsia"/>
          <w:sz w:val="24"/>
        </w:rPr>
        <w:t>工作已经完成。</w:t>
      </w:r>
    </w:p>
    <w:p>
      <w:pPr>
        <w:pStyle w:val="21"/>
        <w:numPr>
          <w:ilvl w:val="3"/>
          <w:numId w:val="5"/>
        </w:numPr>
        <w:tabs>
          <w:tab w:val="left" w:pos="1005"/>
        </w:tabs>
        <w:spacing w:before="174"/>
        <w:ind w:hanging="182"/>
        <w:jc w:val="left"/>
        <w:rPr>
          <w:sz w:val="24"/>
        </w:rPr>
      </w:pPr>
      <w:r>
        <w:rPr>
          <w:rFonts w:hint="eastAsia"/>
          <w:sz w:val="24"/>
        </w:rPr>
        <w:t>合同文件及优先顺序</w:t>
      </w:r>
    </w:p>
    <w:p>
      <w:pPr>
        <w:pStyle w:val="11"/>
        <w:spacing w:before="12"/>
        <w:rPr>
          <w:sz w:val="21"/>
        </w:rPr>
      </w:pPr>
    </w:p>
    <w:p>
      <w:pPr>
        <w:pStyle w:val="11"/>
        <w:spacing w:line="312" w:lineRule="auto"/>
        <w:ind w:left="384" w:right="266" w:firstLine="480"/>
      </w:pPr>
      <w:r>
        <w:rPr>
          <w:rFonts w:hint="eastAsia"/>
        </w:rPr>
        <w:t>组成合同的各项文件应互相解释，互为说明。除项目专用合同条款另有约定外， 解释合同文件的优先顺序如下：</w:t>
      </w:r>
    </w:p>
    <w:p>
      <w:pPr>
        <w:pStyle w:val="21"/>
        <w:numPr>
          <w:ilvl w:val="0"/>
          <w:numId w:val="6"/>
        </w:numPr>
        <w:tabs>
          <w:tab w:val="left" w:pos="1465"/>
        </w:tabs>
        <w:spacing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1"/>
        <w:numPr>
          <w:ilvl w:val="0"/>
          <w:numId w:val="6"/>
        </w:numPr>
        <w:tabs>
          <w:tab w:val="left" w:pos="1465"/>
        </w:tabs>
        <w:spacing w:before="2"/>
        <w:ind w:left="1465"/>
        <w:rPr>
          <w:sz w:val="24"/>
        </w:rPr>
      </w:pPr>
      <w:r>
        <w:rPr>
          <w:rFonts w:hint="eastAsia"/>
          <w:sz w:val="24"/>
        </w:rPr>
        <w:t>中标通知书；</w:t>
      </w:r>
    </w:p>
    <w:p>
      <w:pPr>
        <w:pStyle w:val="21"/>
        <w:numPr>
          <w:ilvl w:val="0"/>
          <w:numId w:val="6"/>
        </w:numPr>
        <w:tabs>
          <w:tab w:val="left" w:pos="1465"/>
        </w:tabs>
        <w:spacing w:before="90"/>
        <w:ind w:left="1465"/>
        <w:rPr>
          <w:sz w:val="24"/>
        </w:rPr>
      </w:pPr>
      <w:r>
        <w:rPr>
          <w:rFonts w:hint="eastAsia"/>
          <w:sz w:val="24"/>
        </w:rPr>
        <w:t>投标函及投标函附录；</w:t>
      </w:r>
    </w:p>
    <w:p>
      <w:pPr>
        <w:pStyle w:val="21"/>
        <w:numPr>
          <w:ilvl w:val="0"/>
          <w:numId w:val="6"/>
        </w:numPr>
        <w:tabs>
          <w:tab w:val="left" w:pos="1465"/>
        </w:tabs>
        <w:spacing w:before="94"/>
        <w:ind w:left="1465"/>
        <w:rPr>
          <w:sz w:val="24"/>
        </w:rPr>
      </w:pPr>
      <w:r>
        <w:rPr>
          <w:rFonts w:hint="eastAsia"/>
          <w:sz w:val="24"/>
        </w:rPr>
        <w:t>专用合同条款；</w:t>
      </w:r>
    </w:p>
    <w:p>
      <w:pPr>
        <w:pStyle w:val="21"/>
        <w:numPr>
          <w:ilvl w:val="0"/>
          <w:numId w:val="6"/>
        </w:numPr>
        <w:tabs>
          <w:tab w:val="left" w:pos="1465"/>
        </w:tabs>
        <w:spacing w:before="93"/>
        <w:ind w:left="1465"/>
        <w:rPr>
          <w:sz w:val="24"/>
        </w:rPr>
      </w:pPr>
      <w:r>
        <w:rPr>
          <w:rFonts w:hint="eastAsia"/>
          <w:sz w:val="24"/>
        </w:rPr>
        <w:t>通用合同条款；</w:t>
      </w:r>
    </w:p>
    <w:p>
      <w:pPr>
        <w:pStyle w:val="21"/>
        <w:numPr>
          <w:ilvl w:val="0"/>
          <w:numId w:val="6"/>
        </w:numPr>
        <w:tabs>
          <w:tab w:val="left" w:pos="1465"/>
        </w:tabs>
        <w:spacing w:before="91"/>
        <w:ind w:left="1465"/>
        <w:rPr>
          <w:sz w:val="24"/>
        </w:rPr>
      </w:pPr>
      <w:r>
        <w:rPr>
          <w:rFonts w:hint="eastAsia"/>
          <w:sz w:val="24"/>
        </w:rPr>
        <w:t>工程量清单计量规则；</w:t>
      </w:r>
    </w:p>
    <w:p>
      <w:pPr>
        <w:pStyle w:val="21"/>
        <w:numPr>
          <w:ilvl w:val="0"/>
          <w:numId w:val="6"/>
        </w:numPr>
        <w:tabs>
          <w:tab w:val="left" w:pos="1465"/>
        </w:tabs>
        <w:spacing w:before="93"/>
        <w:ind w:left="1465"/>
        <w:rPr>
          <w:sz w:val="24"/>
        </w:rPr>
      </w:pPr>
      <w:r>
        <w:rPr>
          <w:rFonts w:hint="eastAsia"/>
          <w:sz w:val="24"/>
        </w:rPr>
        <w:t>技术规范；</w:t>
      </w:r>
    </w:p>
    <w:p>
      <w:pPr>
        <w:pStyle w:val="21"/>
        <w:numPr>
          <w:ilvl w:val="0"/>
          <w:numId w:val="6"/>
        </w:numPr>
        <w:tabs>
          <w:tab w:val="left" w:pos="1465"/>
        </w:tabs>
        <w:spacing w:before="94"/>
        <w:ind w:left="1465"/>
        <w:rPr>
          <w:sz w:val="24"/>
        </w:rPr>
      </w:pPr>
      <w:r>
        <w:rPr>
          <w:rFonts w:hint="eastAsia"/>
          <w:sz w:val="24"/>
        </w:rPr>
        <w:t>图纸；</w:t>
      </w:r>
    </w:p>
    <w:p>
      <w:pPr>
        <w:pStyle w:val="21"/>
        <w:numPr>
          <w:ilvl w:val="0"/>
          <w:numId w:val="6"/>
        </w:numPr>
        <w:tabs>
          <w:tab w:val="left" w:pos="1465"/>
        </w:tabs>
        <w:spacing w:before="90"/>
        <w:ind w:left="1465"/>
        <w:rPr>
          <w:sz w:val="24"/>
        </w:rPr>
      </w:pPr>
      <w:r>
        <w:rPr>
          <w:rFonts w:hint="eastAsia"/>
          <w:sz w:val="24"/>
        </w:rPr>
        <w:t>已标价工程量清单；</w:t>
      </w:r>
    </w:p>
    <w:p>
      <w:pPr>
        <w:pStyle w:val="21"/>
        <w:numPr>
          <w:ilvl w:val="0"/>
          <w:numId w:val="6"/>
        </w:numPr>
        <w:tabs>
          <w:tab w:val="left" w:pos="1585"/>
        </w:tabs>
        <w:spacing w:before="94"/>
        <w:ind w:left="1585" w:hanging="721"/>
        <w:rPr>
          <w:sz w:val="24"/>
        </w:rPr>
      </w:pPr>
      <w:r>
        <w:rPr>
          <w:rFonts w:hint="eastAsia"/>
          <w:sz w:val="24"/>
        </w:rPr>
        <w:t>承包人有关人员、设备投入的承诺及投标文件中的施工组织设计；</w:t>
      </w:r>
    </w:p>
    <w:p>
      <w:pPr>
        <w:pStyle w:val="21"/>
        <w:numPr>
          <w:ilvl w:val="0"/>
          <w:numId w:val="6"/>
        </w:numPr>
        <w:tabs>
          <w:tab w:val="left" w:pos="1585"/>
        </w:tabs>
        <w:spacing w:before="93"/>
        <w:ind w:left="1585" w:hanging="721"/>
        <w:rPr>
          <w:sz w:val="24"/>
        </w:rPr>
      </w:pPr>
      <w:r>
        <w:rPr>
          <w:rFonts w:hint="eastAsia"/>
          <w:sz w:val="24"/>
        </w:rPr>
        <w:t>其他合同文件。</w:t>
      </w:r>
    </w:p>
    <w:p>
      <w:pPr>
        <w:pStyle w:val="11"/>
        <w:spacing w:before="3"/>
        <w:rPr>
          <w:sz w:val="19"/>
        </w:rPr>
      </w:pPr>
    </w:p>
    <w:p>
      <w:pPr>
        <w:pStyle w:val="21"/>
        <w:numPr>
          <w:ilvl w:val="3"/>
          <w:numId w:val="5"/>
        </w:numPr>
        <w:tabs>
          <w:tab w:val="left" w:pos="1005"/>
        </w:tabs>
        <w:spacing w:before="1"/>
        <w:ind w:hanging="182"/>
        <w:jc w:val="left"/>
        <w:rPr>
          <w:sz w:val="24"/>
        </w:rPr>
      </w:pPr>
      <w:r>
        <w:rPr>
          <w:rFonts w:hint="eastAsia"/>
          <w:sz w:val="24"/>
        </w:rPr>
        <w:t>适用法律及规范</w:t>
      </w:r>
    </w:p>
    <w:p>
      <w:pPr>
        <w:pStyle w:val="11"/>
        <w:spacing w:before="4"/>
        <w:rPr>
          <w:sz w:val="20"/>
        </w:rPr>
      </w:pPr>
    </w:p>
    <w:p>
      <w:pPr>
        <w:pStyle w:val="21"/>
        <w:numPr>
          <w:ilvl w:val="4"/>
          <w:numId w:val="5"/>
        </w:numPr>
        <w:tabs>
          <w:tab w:val="left" w:pos="1403"/>
          <w:tab w:val="left" w:pos="1404"/>
        </w:tabs>
        <w:spacing w:before="1"/>
        <w:rPr>
          <w:sz w:val="24"/>
        </w:rPr>
      </w:pPr>
      <w:r>
        <w:rPr>
          <w:rFonts w:hint="eastAsia"/>
          <w:sz w:val="24"/>
        </w:rPr>
        <w:t>适用法律和法规</w:t>
      </w:r>
    </w:p>
    <w:p>
      <w:pPr>
        <w:pStyle w:val="11"/>
        <w:spacing w:before="86" w:line="304" w:lineRule="auto"/>
        <w:ind w:left="384" w:right="467" w:firstLine="480"/>
      </w:pPr>
      <w:r>
        <w:rPr>
          <w:rFonts w:hint="eastAsia"/>
          <w:spacing w:val="-1"/>
        </w:rPr>
        <w:t>本合同服从国家法律和行政法规、部门规章以及新疆维吾尔自治区地方法规、</w:t>
      </w:r>
      <w:r>
        <w:rPr>
          <w:rFonts w:hint="eastAsia"/>
        </w:rPr>
        <w:t>自治条例、单行条例和地方政府规章。</w:t>
      </w:r>
    </w:p>
    <w:p>
      <w:pPr>
        <w:pStyle w:val="21"/>
        <w:numPr>
          <w:ilvl w:val="4"/>
          <w:numId w:val="5"/>
        </w:numPr>
        <w:tabs>
          <w:tab w:val="left" w:pos="1403"/>
          <w:tab w:val="left" w:pos="1404"/>
        </w:tabs>
        <w:spacing w:before="1"/>
        <w:rPr>
          <w:sz w:val="24"/>
        </w:rPr>
      </w:pPr>
      <w:r>
        <w:rPr>
          <w:rFonts w:hint="eastAsia"/>
          <w:sz w:val="24"/>
        </w:rPr>
        <w:t>适用标准、规范</w:t>
      </w:r>
    </w:p>
    <w:p>
      <w:pPr>
        <w:pStyle w:val="11"/>
        <w:spacing w:before="86" w:line="304" w:lineRule="auto"/>
        <w:ind w:left="384" w:right="465" w:firstLine="480"/>
        <w:jc w:val="both"/>
      </w:pPr>
      <w:r>
        <w:rPr>
          <w:rFonts w:hint="eastAsia"/>
        </w:rPr>
        <w:t>现行国家标准、规范；交通运输部行业标准、规范；地方标准、规范适用本合同。发包人及承包人应注意标准、规范及规程的变更，在招投标及项目实施期内出现应采用有效版本的标准、规范及规程，不发生由此引起的费用变更。</w:t>
      </w:r>
    </w:p>
    <w:p>
      <w:pPr>
        <w:pStyle w:val="21"/>
        <w:numPr>
          <w:ilvl w:val="3"/>
          <w:numId w:val="5"/>
        </w:numPr>
        <w:tabs>
          <w:tab w:val="left" w:pos="1005"/>
        </w:tabs>
        <w:spacing w:before="194"/>
        <w:ind w:hanging="182"/>
        <w:jc w:val="left"/>
        <w:rPr>
          <w:sz w:val="24"/>
        </w:rPr>
      </w:pPr>
      <w:r>
        <w:rPr>
          <w:rFonts w:hint="eastAsia"/>
          <w:sz w:val="24"/>
        </w:rPr>
        <w:t>图纸和技术资料</w:t>
      </w:r>
    </w:p>
    <w:p>
      <w:pPr>
        <w:rPr>
          <w:sz w:val="24"/>
        </w:rPr>
        <w:sectPr>
          <w:pgSz w:w="11910" w:h="16840"/>
          <w:pgMar w:top="1360" w:right="1120" w:bottom="1080" w:left="1260" w:header="882" w:footer="880" w:gutter="0"/>
          <w:cols w:space="720" w:num="1"/>
        </w:sectPr>
      </w:pPr>
    </w:p>
    <w:p>
      <w:pPr>
        <w:pStyle w:val="11"/>
        <w:spacing w:before="2"/>
        <w:rPr>
          <w:sz w:val="18"/>
        </w:rPr>
      </w:pPr>
    </w:p>
    <w:p>
      <w:pPr>
        <w:pStyle w:val="21"/>
        <w:numPr>
          <w:ilvl w:val="4"/>
          <w:numId w:val="5"/>
        </w:numPr>
        <w:tabs>
          <w:tab w:val="left" w:pos="1403"/>
          <w:tab w:val="left" w:pos="1404"/>
        </w:tabs>
        <w:spacing w:before="76" w:line="316" w:lineRule="auto"/>
        <w:ind w:left="384" w:right="346" w:firstLine="480"/>
        <w:rPr>
          <w:sz w:val="24"/>
        </w:rPr>
      </w:pPr>
      <w:r>
        <w:rPr>
          <w:rFonts w:hint="eastAsia"/>
          <w:spacing w:val="-11"/>
          <w:sz w:val="24"/>
        </w:rPr>
        <w:t>合同协议书签定之后，发包人免费向承包人提供施工图纸</w:t>
      </w:r>
      <w:r>
        <w:rPr>
          <w:rFonts w:hint="eastAsia"/>
          <w:sz w:val="24"/>
        </w:rPr>
        <w:t>（相关技术资料</w:t>
      </w:r>
      <w:r>
        <w:rPr>
          <w:rFonts w:hint="eastAsia"/>
          <w:spacing w:val="-18"/>
          <w:sz w:val="24"/>
        </w:rPr>
        <w:t xml:space="preserve">） </w:t>
      </w:r>
      <w:r>
        <w:rPr>
          <w:rFonts w:hint="eastAsia"/>
          <w:sz w:val="24"/>
        </w:rPr>
        <w:t>两份，向承包人进行技术交底。</w:t>
      </w:r>
    </w:p>
    <w:p>
      <w:pPr>
        <w:pStyle w:val="21"/>
        <w:numPr>
          <w:ilvl w:val="4"/>
          <w:numId w:val="5"/>
        </w:numPr>
        <w:tabs>
          <w:tab w:val="left" w:pos="1415"/>
          <w:tab w:val="left" w:pos="1416"/>
        </w:tabs>
        <w:spacing w:line="316" w:lineRule="auto"/>
        <w:ind w:left="384" w:right="467" w:firstLine="480"/>
        <w:rPr>
          <w:sz w:val="24"/>
        </w:rPr>
      </w:pPr>
      <w:r>
        <w:rPr>
          <w:rFonts w:hint="eastAsia"/>
          <w:spacing w:val="3"/>
          <w:sz w:val="24"/>
        </w:rPr>
        <w:t>发包人有权通过监理人向承包人发出为满足本合同工程的正确实施和完成及其缺陷修复所需的补充图纸和有关指示，承包人应予执行。</w:t>
      </w:r>
    </w:p>
    <w:p>
      <w:pPr>
        <w:pStyle w:val="11"/>
        <w:spacing w:before="179"/>
        <w:ind w:left="583"/>
      </w:pPr>
      <w:r>
        <w:rPr>
          <w:rFonts w:hint="eastAsia"/>
        </w:rPr>
        <w:t>二、双方一般义务和责任</w:t>
      </w:r>
    </w:p>
    <w:p>
      <w:pPr>
        <w:pStyle w:val="11"/>
        <w:spacing w:before="9"/>
        <w:rPr>
          <w:sz w:val="21"/>
        </w:rPr>
      </w:pPr>
    </w:p>
    <w:p>
      <w:pPr>
        <w:pStyle w:val="21"/>
        <w:numPr>
          <w:ilvl w:val="3"/>
          <w:numId w:val="5"/>
        </w:numPr>
        <w:tabs>
          <w:tab w:val="left" w:pos="1005"/>
        </w:tabs>
        <w:ind w:hanging="182"/>
        <w:jc w:val="left"/>
        <w:rPr>
          <w:sz w:val="24"/>
        </w:rPr>
      </w:pPr>
      <w:r>
        <w:rPr>
          <w:rFonts w:hint="eastAsia"/>
          <w:sz w:val="24"/>
        </w:rPr>
        <w:t>发包人一般义务和责任</w:t>
      </w:r>
    </w:p>
    <w:p>
      <w:pPr>
        <w:pStyle w:val="11"/>
        <w:spacing w:before="11"/>
        <w:rPr>
          <w:sz w:val="21"/>
        </w:rPr>
      </w:pPr>
    </w:p>
    <w:p>
      <w:pPr>
        <w:pStyle w:val="21"/>
        <w:numPr>
          <w:ilvl w:val="4"/>
          <w:numId w:val="5"/>
        </w:numPr>
        <w:tabs>
          <w:tab w:val="left" w:pos="1404"/>
        </w:tabs>
        <w:spacing w:line="316" w:lineRule="auto"/>
        <w:ind w:left="384" w:right="466" w:firstLine="480"/>
        <w:jc w:val="both"/>
        <w:rPr>
          <w:sz w:val="24"/>
        </w:rPr>
      </w:pPr>
      <w:r>
        <w:rPr>
          <w:rFonts w:hint="eastAsia"/>
          <w:spacing w:val="-2"/>
          <w:sz w:val="24"/>
        </w:rPr>
        <w:t>发包人应在其组织实施本合同的全部工作中遵守与本合同有关的法律、法</w:t>
      </w:r>
      <w:r>
        <w:rPr>
          <w:rFonts w:hint="eastAsia"/>
          <w:spacing w:val="-1"/>
          <w:sz w:val="24"/>
        </w:rPr>
        <w:t>规和规章，同时应承担合同条款中规定的一般义务和责任，并应承担由于自身违反</w:t>
      </w:r>
      <w:r>
        <w:rPr>
          <w:rFonts w:hint="eastAsia"/>
          <w:sz w:val="24"/>
        </w:rPr>
        <w:t>上述法律、法规和规章的责任。</w:t>
      </w:r>
    </w:p>
    <w:p>
      <w:pPr>
        <w:pStyle w:val="21"/>
        <w:numPr>
          <w:ilvl w:val="4"/>
          <w:numId w:val="5"/>
        </w:numPr>
        <w:tabs>
          <w:tab w:val="left" w:pos="1404"/>
        </w:tabs>
        <w:spacing w:line="316" w:lineRule="auto"/>
        <w:ind w:left="384" w:right="466" w:firstLine="480"/>
        <w:jc w:val="both"/>
        <w:rPr>
          <w:sz w:val="24"/>
        </w:rPr>
      </w:pPr>
      <w:r>
        <w:rPr>
          <w:rFonts w:hint="eastAsia"/>
          <w:spacing w:val="-3"/>
          <w:sz w:val="24"/>
        </w:rPr>
        <w:t>发包人应负责工程用地范围内的征地拆迁工作，并承担相关费用。发包人</w:t>
      </w:r>
      <w:r>
        <w:rPr>
          <w:rFonts w:hint="eastAsia"/>
          <w:sz w:val="24"/>
        </w:rPr>
        <w:t>应协助承包人办理法律规定的有关本项目的施工手续。</w:t>
      </w:r>
    </w:p>
    <w:p>
      <w:pPr>
        <w:pStyle w:val="11"/>
        <w:spacing w:line="316" w:lineRule="auto"/>
        <w:ind w:left="384" w:right="465" w:firstLine="480"/>
        <w:jc w:val="both"/>
      </w:pPr>
      <w:r>
        <w:rPr>
          <w:rFonts w:hint="eastAsia"/>
        </w:rPr>
        <w:t>按时向承包人提供施工用地，保证按时开工。由于发包人未能按照本项规定办妥永久占地征用手续及施工用地，影响承包人及时使用永久占地及施工用地造成的费用增加和(或)工期延误应由发包人承担。</w:t>
      </w:r>
    </w:p>
    <w:p>
      <w:pPr>
        <w:pStyle w:val="21"/>
        <w:numPr>
          <w:ilvl w:val="4"/>
          <w:numId w:val="5"/>
        </w:numPr>
        <w:tabs>
          <w:tab w:val="left" w:pos="1404"/>
        </w:tabs>
        <w:spacing w:line="316" w:lineRule="auto"/>
        <w:ind w:left="384" w:right="466" w:firstLine="480"/>
        <w:jc w:val="both"/>
        <w:rPr>
          <w:sz w:val="24"/>
        </w:rPr>
      </w:pPr>
      <w:r>
        <w:rPr>
          <w:rFonts w:hint="eastAsia"/>
          <w:spacing w:val="-4"/>
          <w:sz w:val="24"/>
        </w:rPr>
        <w:t>工程实行社会监理的，发包人将委托的监理人、监理内容及监理权限以书</w:t>
      </w:r>
      <w:r>
        <w:rPr>
          <w:rFonts w:hint="eastAsia"/>
          <w:sz w:val="24"/>
        </w:rPr>
        <w:t>面形式通知承包人。</w:t>
      </w:r>
    </w:p>
    <w:p>
      <w:pPr>
        <w:pStyle w:val="21"/>
        <w:numPr>
          <w:ilvl w:val="4"/>
          <w:numId w:val="5"/>
        </w:numPr>
        <w:tabs>
          <w:tab w:val="left" w:pos="1404"/>
        </w:tabs>
        <w:spacing w:line="307" w:lineRule="exact"/>
        <w:jc w:val="both"/>
        <w:rPr>
          <w:sz w:val="24"/>
        </w:rPr>
      </w:pPr>
      <w:r>
        <w:rPr>
          <w:rFonts w:hint="eastAsia"/>
          <w:sz w:val="24"/>
        </w:rPr>
        <w:t>监理人按合同规定向承包人发出开工通知（应征得发包人同意）。</w:t>
      </w:r>
    </w:p>
    <w:p>
      <w:pPr>
        <w:pStyle w:val="21"/>
        <w:numPr>
          <w:ilvl w:val="4"/>
          <w:numId w:val="5"/>
        </w:numPr>
        <w:tabs>
          <w:tab w:val="left" w:pos="1404"/>
        </w:tabs>
        <w:spacing w:before="99" w:line="316" w:lineRule="auto"/>
        <w:ind w:left="384" w:right="466" w:firstLine="480"/>
        <w:jc w:val="both"/>
        <w:rPr>
          <w:sz w:val="24"/>
        </w:rPr>
      </w:pPr>
      <w:r>
        <w:rPr>
          <w:rFonts w:hint="eastAsia"/>
          <w:spacing w:val="-1"/>
          <w:sz w:val="24"/>
        </w:rPr>
        <w:t>发包人应及时提供设计图纸及资料</w:t>
      </w:r>
      <w:r>
        <w:rPr>
          <w:rFonts w:hint="eastAsia"/>
          <w:sz w:val="24"/>
        </w:rPr>
        <w:t>（包括变更设计</w:t>
      </w:r>
      <w:r>
        <w:rPr>
          <w:rFonts w:hint="eastAsia"/>
          <w:spacing w:val="-9"/>
          <w:sz w:val="24"/>
        </w:rPr>
        <w:t>）</w:t>
      </w:r>
      <w:r>
        <w:rPr>
          <w:rFonts w:hint="eastAsia"/>
          <w:spacing w:val="-5"/>
          <w:sz w:val="24"/>
        </w:rPr>
        <w:t>，因发包人的原因造</w:t>
      </w:r>
      <w:r>
        <w:rPr>
          <w:rFonts w:hint="eastAsia"/>
          <w:spacing w:val="-1"/>
          <w:sz w:val="24"/>
        </w:rPr>
        <w:t>成的停工、窝工，除应允许承包人延长相应工期外，还应补偿由此对承包人造成的</w:t>
      </w:r>
      <w:r>
        <w:rPr>
          <w:rFonts w:hint="eastAsia"/>
          <w:sz w:val="24"/>
        </w:rPr>
        <w:t>损失。补偿额由监理人在现场核查后计算其数额，报发包人批准后支付。</w:t>
      </w:r>
    </w:p>
    <w:p>
      <w:pPr>
        <w:pStyle w:val="21"/>
        <w:numPr>
          <w:ilvl w:val="4"/>
          <w:numId w:val="5"/>
        </w:numPr>
        <w:tabs>
          <w:tab w:val="left" w:pos="1404"/>
        </w:tabs>
        <w:spacing w:before="1" w:line="316" w:lineRule="auto"/>
        <w:ind w:left="384" w:right="346" w:firstLine="480"/>
        <w:jc w:val="both"/>
        <w:rPr>
          <w:sz w:val="24"/>
        </w:rPr>
      </w:pPr>
      <w:r>
        <w:rPr>
          <w:rFonts w:hint="eastAsia"/>
          <w:spacing w:val="-1"/>
          <w:sz w:val="24"/>
        </w:rPr>
        <w:t>发包人向承包人支付的预付款金额见合同条款数据表。承包人提交的履约</w:t>
      </w:r>
      <w:r>
        <w:rPr>
          <w:rFonts w:hint="eastAsia"/>
          <w:spacing w:val="-7"/>
          <w:sz w:val="24"/>
        </w:rPr>
        <w:t>保证金对预付款的正常使用承担保证责任，承包人无再须向发包人提交预付款保函。</w:t>
      </w:r>
    </w:p>
    <w:p>
      <w:pPr>
        <w:pStyle w:val="21"/>
        <w:numPr>
          <w:ilvl w:val="4"/>
          <w:numId w:val="5"/>
        </w:numPr>
        <w:tabs>
          <w:tab w:val="left" w:pos="1409"/>
        </w:tabs>
        <w:spacing w:line="316" w:lineRule="auto"/>
        <w:ind w:left="384" w:right="466" w:firstLine="480"/>
        <w:jc w:val="both"/>
        <w:rPr>
          <w:sz w:val="24"/>
        </w:rPr>
      </w:pPr>
      <w:r>
        <w:rPr>
          <w:rFonts w:hint="eastAsia"/>
          <w:spacing w:val="-2"/>
          <w:sz w:val="24"/>
        </w:rPr>
        <w:t xml:space="preserve">发包人在接到监理人审定的中期支付报告后 </w:t>
      </w:r>
      <w:r>
        <w:rPr>
          <w:rFonts w:hint="eastAsia"/>
          <w:sz w:val="24"/>
        </w:rPr>
        <w:t>14</w:t>
      </w:r>
      <w:r>
        <w:rPr>
          <w:rFonts w:hint="eastAsia"/>
          <w:spacing w:val="20"/>
          <w:sz w:val="24"/>
        </w:rPr>
        <w:t xml:space="preserve"> </w:t>
      </w:r>
      <w:r>
        <w:rPr>
          <w:rFonts w:hint="eastAsia"/>
          <w:sz w:val="24"/>
        </w:rPr>
        <w:t>天内拨付工程进度款。在</w:t>
      </w:r>
      <w:r>
        <w:rPr>
          <w:rFonts w:hint="eastAsia"/>
          <w:spacing w:val="-4"/>
          <w:sz w:val="24"/>
        </w:rPr>
        <w:t xml:space="preserve">中期支付中应扣除预付款，预付款的扣回按合同条款 </w:t>
      </w:r>
      <w:r>
        <w:rPr>
          <w:rFonts w:hint="eastAsia"/>
          <w:sz w:val="24"/>
        </w:rPr>
        <w:t xml:space="preserve">17.3 </w:t>
      </w:r>
      <w:r>
        <w:rPr>
          <w:rFonts w:hint="eastAsia"/>
          <w:spacing w:val="-5"/>
          <w:sz w:val="24"/>
        </w:rPr>
        <w:t>款执行。监理人签发中期</w:t>
      </w:r>
      <w:r>
        <w:rPr>
          <w:rFonts w:hint="eastAsia"/>
          <w:spacing w:val="-7"/>
          <w:sz w:val="24"/>
        </w:rPr>
        <w:t xml:space="preserve">支付证书的时限为 </w:t>
      </w:r>
      <w:r>
        <w:rPr>
          <w:rFonts w:hint="eastAsia"/>
          <w:sz w:val="24"/>
        </w:rPr>
        <w:t>14 天。</w:t>
      </w:r>
    </w:p>
    <w:p>
      <w:pPr>
        <w:pStyle w:val="21"/>
        <w:numPr>
          <w:ilvl w:val="4"/>
          <w:numId w:val="5"/>
        </w:numPr>
        <w:tabs>
          <w:tab w:val="left" w:pos="1409"/>
        </w:tabs>
        <w:spacing w:before="1" w:line="316" w:lineRule="auto"/>
        <w:ind w:left="384" w:right="466" w:firstLine="480"/>
        <w:jc w:val="both"/>
        <w:rPr>
          <w:sz w:val="24"/>
        </w:rPr>
      </w:pPr>
      <w:r>
        <w:rPr>
          <w:rFonts w:hint="eastAsia"/>
          <w:spacing w:val="-2"/>
          <w:sz w:val="24"/>
        </w:rPr>
        <w:t xml:space="preserve">发包人在接到监理人交工验收报告后在符合交工验收条件的情况下 </w:t>
      </w:r>
      <w:r>
        <w:rPr>
          <w:rFonts w:hint="eastAsia"/>
          <w:sz w:val="24"/>
        </w:rPr>
        <w:t>14</w:t>
      </w:r>
      <w:r>
        <w:rPr>
          <w:rFonts w:hint="eastAsia"/>
          <w:spacing w:val="23"/>
          <w:sz w:val="24"/>
        </w:rPr>
        <w:t xml:space="preserve"> </w:t>
      </w:r>
      <w:r>
        <w:rPr>
          <w:rFonts w:hint="eastAsia"/>
          <w:sz w:val="24"/>
        </w:rPr>
        <w:t>天</w:t>
      </w:r>
      <w:r>
        <w:rPr>
          <w:rFonts w:hint="eastAsia"/>
          <w:spacing w:val="-11"/>
          <w:sz w:val="24"/>
        </w:rPr>
        <w:t xml:space="preserve">内组织交工验收，发包人应在收到承包人缴纳的质量保证金后 </w:t>
      </w:r>
      <w:r>
        <w:rPr>
          <w:rFonts w:hint="eastAsia"/>
          <w:sz w:val="24"/>
        </w:rPr>
        <w:t xml:space="preserve">28 </w:t>
      </w:r>
      <w:r>
        <w:rPr>
          <w:rFonts w:hint="eastAsia"/>
          <w:spacing w:val="-3"/>
          <w:sz w:val="24"/>
        </w:rPr>
        <w:t>天内将履约保证金</w:t>
      </w:r>
      <w:r>
        <w:rPr>
          <w:rFonts w:hint="eastAsia"/>
          <w:sz w:val="24"/>
        </w:rPr>
        <w:t>退还给承包人。</w:t>
      </w:r>
    </w:p>
    <w:p>
      <w:pPr>
        <w:pStyle w:val="11"/>
        <w:spacing w:line="316" w:lineRule="auto"/>
        <w:ind w:left="384" w:right="465" w:firstLine="480"/>
      </w:pPr>
      <w:r>
        <w:rPr>
          <w:rFonts w:hint="eastAsia"/>
        </w:rPr>
        <w:t>交工后进入缺陷责任期，缺陷责任期见合同条款数据表。发包人应按合同约定及时组织竣工验收，签发缺陷责任终止证书，退返质量保证金。</w:t>
      </w:r>
    </w:p>
    <w:p>
      <w:pPr>
        <w:pStyle w:val="21"/>
        <w:numPr>
          <w:ilvl w:val="3"/>
          <w:numId w:val="5"/>
        </w:numPr>
        <w:tabs>
          <w:tab w:val="left" w:pos="1005"/>
        </w:tabs>
        <w:spacing w:before="181"/>
        <w:ind w:hanging="182"/>
        <w:jc w:val="left"/>
        <w:rPr>
          <w:sz w:val="24"/>
        </w:rPr>
      </w:pPr>
      <w:r>
        <w:rPr>
          <w:rFonts w:hint="eastAsia"/>
          <w:sz w:val="24"/>
        </w:rPr>
        <w:t>承包人一般义务和责任</w:t>
      </w:r>
    </w:p>
    <w:p>
      <w:pPr>
        <w:rPr>
          <w:sz w:val="24"/>
        </w:rPr>
        <w:sectPr>
          <w:pgSz w:w="11910" w:h="16840"/>
          <w:pgMar w:top="1360" w:right="1120" w:bottom="1080" w:left="1260" w:header="882" w:footer="880" w:gutter="0"/>
          <w:cols w:space="720" w:num="1"/>
        </w:sectPr>
      </w:pPr>
    </w:p>
    <w:p>
      <w:pPr>
        <w:pStyle w:val="11"/>
        <w:spacing w:before="8"/>
        <w:rPr>
          <w:sz w:val="16"/>
        </w:rPr>
      </w:pPr>
    </w:p>
    <w:p>
      <w:pPr>
        <w:pStyle w:val="21"/>
        <w:numPr>
          <w:ilvl w:val="4"/>
          <w:numId w:val="5"/>
        </w:numPr>
        <w:tabs>
          <w:tab w:val="left" w:pos="1404"/>
        </w:tabs>
        <w:spacing w:before="77" w:line="297" w:lineRule="auto"/>
        <w:ind w:left="384" w:right="346" w:firstLine="480"/>
        <w:jc w:val="both"/>
        <w:rPr>
          <w:sz w:val="24"/>
        </w:rPr>
      </w:pPr>
      <w:r>
        <w:rPr>
          <w:rFonts w:hint="eastAsia"/>
          <w:spacing w:val="-1"/>
          <w:sz w:val="24"/>
        </w:rPr>
        <w:t>承包人在执行本工程合同全过程中应遵守与本合同有关的法律、法规和规章，并保证发包人免于承担因承包人违反法律而引起的任何责任。同时应承担合同</w:t>
      </w:r>
      <w:r>
        <w:rPr>
          <w:rFonts w:hint="eastAsia"/>
          <w:spacing w:val="-8"/>
          <w:sz w:val="24"/>
        </w:rPr>
        <w:t>条款中规定的义务和责任，并承担由于自身违反上述法律、法规和规章的任何责任。</w:t>
      </w:r>
    </w:p>
    <w:p>
      <w:pPr>
        <w:pStyle w:val="21"/>
        <w:numPr>
          <w:ilvl w:val="4"/>
          <w:numId w:val="5"/>
        </w:numPr>
        <w:tabs>
          <w:tab w:val="left" w:pos="1404"/>
        </w:tabs>
        <w:spacing w:line="297" w:lineRule="auto"/>
        <w:ind w:left="384" w:right="466" w:firstLine="480"/>
        <w:jc w:val="both"/>
        <w:rPr>
          <w:sz w:val="24"/>
        </w:rPr>
      </w:pPr>
      <w:r>
        <w:rPr>
          <w:rFonts w:hint="eastAsia"/>
          <w:spacing w:val="-3"/>
          <w:sz w:val="24"/>
        </w:rPr>
        <w:t>承包人应按合同约定以及监理人根据合同文件作出的指示，实施、完成全</w:t>
      </w:r>
      <w:r>
        <w:rPr>
          <w:rFonts w:hint="eastAsia"/>
          <w:spacing w:val="-1"/>
          <w:sz w:val="24"/>
        </w:rPr>
        <w:t>部工程，并修补工程中的任何缺陷。除专用合同条款另有约定外，承包人应提供为完成合同工作所需的劳务、材料、施工设备、工程设备和其他物品，并按合同约定</w:t>
      </w:r>
      <w:r>
        <w:rPr>
          <w:rFonts w:hint="eastAsia"/>
          <w:sz w:val="24"/>
        </w:rPr>
        <w:t>负责临时设施的设计、建造、运行、维护、管理和拆除。</w:t>
      </w:r>
    </w:p>
    <w:p>
      <w:pPr>
        <w:pStyle w:val="21"/>
        <w:numPr>
          <w:ilvl w:val="4"/>
          <w:numId w:val="5"/>
        </w:numPr>
        <w:tabs>
          <w:tab w:val="left" w:pos="1404"/>
        </w:tabs>
        <w:spacing w:before="4" w:line="297" w:lineRule="auto"/>
        <w:ind w:left="384" w:right="466" w:firstLine="480"/>
        <w:jc w:val="both"/>
        <w:rPr>
          <w:sz w:val="24"/>
        </w:rPr>
      </w:pPr>
      <w:r>
        <w:rPr>
          <w:rFonts w:hint="eastAsia"/>
          <w:spacing w:val="-3"/>
          <w:sz w:val="24"/>
        </w:rPr>
        <w:t>承包人应仔细核查发包人提供的设计文件，对于存在的错误或疏忽，应及</w:t>
      </w:r>
      <w:r>
        <w:rPr>
          <w:rFonts w:hint="eastAsia"/>
          <w:sz w:val="24"/>
        </w:rPr>
        <w:t>时通知监理人。</w:t>
      </w:r>
    </w:p>
    <w:p>
      <w:pPr>
        <w:pStyle w:val="21"/>
        <w:numPr>
          <w:ilvl w:val="4"/>
          <w:numId w:val="5"/>
        </w:numPr>
        <w:tabs>
          <w:tab w:val="left" w:pos="1416"/>
        </w:tabs>
        <w:spacing w:before="27" w:line="312" w:lineRule="auto"/>
        <w:ind w:left="384" w:right="467" w:firstLine="480"/>
        <w:jc w:val="both"/>
        <w:rPr>
          <w:sz w:val="24"/>
        </w:rPr>
      </w:pPr>
      <w:r>
        <w:rPr>
          <w:rFonts w:hint="eastAsia"/>
          <w:spacing w:val="3"/>
          <w:sz w:val="24"/>
        </w:rPr>
        <w:t>承包人应保证其履约保证金在发包人签发交工验收证书且承包人按照合同约定缴纳质量保证金前一直有效。</w:t>
      </w:r>
    </w:p>
    <w:p>
      <w:pPr>
        <w:pStyle w:val="21"/>
        <w:numPr>
          <w:ilvl w:val="4"/>
          <w:numId w:val="5"/>
        </w:numPr>
        <w:tabs>
          <w:tab w:val="left" w:pos="1404"/>
        </w:tabs>
        <w:spacing w:line="283" w:lineRule="exact"/>
        <w:jc w:val="both"/>
        <w:rPr>
          <w:sz w:val="24"/>
        </w:rPr>
      </w:pPr>
      <w:r>
        <w:rPr>
          <w:rFonts w:hint="eastAsia"/>
          <w:spacing w:val="-2"/>
          <w:sz w:val="24"/>
        </w:rPr>
        <w:t>承包人应设立针对该项目的独立银行账户，所有要求用于该项目的资金不</w:t>
      </w:r>
    </w:p>
    <w:p>
      <w:pPr>
        <w:pStyle w:val="11"/>
        <w:spacing w:before="74"/>
        <w:ind w:left="384"/>
      </w:pPr>
      <w:r>
        <w:rPr>
          <w:rFonts w:hint="eastAsia"/>
        </w:rPr>
        <w:t>得挪作他用，否则发包人有权终止合同，没收履约保证金。</w:t>
      </w:r>
    </w:p>
    <w:p>
      <w:pPr>
        <w:pStyle w:val="21"/>
        <w:numPr>
          <w:ilvl w:val="4"/>
          <w:numId w:val="5"/>
        </w:numPr>
        <w:tabs>
          <w:tab w:val="left" w:pos="1403"/>
          <w:tab w:val="left" w:pos="1404"/>
        </w:tabs>
        <w:spacing w:before="74"/>
        <w:rPr>
          <w:sz w:val="24"/>
        </w:rPr>
      </w:pPr>
      <w:r>
        <w:rPr>
          <w:rFonts w:hint="eastAsia"/>
          <w:sz w:val="24"/>
        </w:rPr>
        <w:t>承包人应按有关法律规定纳税，其费用包括在合同价格内。</w:t>
      </w:r>
    </w:p>
    <w:p>
      <w:pPr>
        <w:pStyle w:val="21"/>
        <w:numPr>
          <w:ilvl w:val="4"/>
          <w:numId w:val="5"/>
        </w:numPr>
        <w:tabs>
          <w:tab w:val="left" w:pos="1403"/>
          <w:tab w:val="left" w:pos="1404"/>
        </w:tabs>
        <w:spacing w:before="74" w:line="297" w:lineRule="auto"/>
        <w:ind w:left="384" w:right="442" w:firstLine="480"/>
        <w:rPr>
          <w:sz w:val="24"/>
        </w:rPr>
      </w:pPr>
      <w:r>
        <w:rPr>
          <w:rFonts w:hint="eastAsia"/>
          <w:spacing w:val="-1"/>
          <w:sz w:val="24"/>
        </w:rPr>
        <w:t xml:space="preserve">承包人应认真执行监理人发出的与合同有关的任何指令，及时进场施工， </w:t>
      </w:r>
      <w:r>
        <w:rPr>
          <w:rFonts w:hint="eastAsia"/>
          <w:sz w:val="24"/>
        </w:rPr>
        <w:t>按时完成合同规定的全部承包内容。</w:t>
      </w:r>
    </w:p>
    <w:p>
      <w:pPr>
        <w:pStyle w:val="21"/>
        <w:numPr>
          <w:ilvl w:val="4"/>
          <w:numId w:val="5"/>
        </w:numPr>
        <w:tabs>
          <w:tab w:val="left" w:pos="1403"/>
          <w:tab w:val="left" w:pos="1404"/>
        </w:tabs>
        <w:spacing w:before="1" w:line="297" w:lineRule="auto"/>
        <w:ind w:left="384" w:right="346" w:firstLine="480"/>
        <w:rPr>
          <w:sz w:val="24"/>
        </w:rPr>
      </w:pPr>
      <w:r>
        <w:rPr>
          <w:rFonts w:hint="eastAsia"/>
          <w:sz w:val="24"/>
        </w:rPr>
        <w:t>承包人应按合同约定指派项目经理、项目总工，并在约定的期限内到职。承包人更换项目经理、项目总工应事先征得发包人同意。进入现场的职工，应能胜任其本职工作。发包人和承包人在合同谈判阶段确定的其他管理和技术人员必须及时进场。承包人应按发包人和承包人在合同谈判阶段确定的主要机械设备和试验检</w:t>
      </w:r>
      <w:r>
        <w:rPr>
          <w:rFonts w:hint="eastAsia"/>
          <w:spacing w:val="-7"/>
          <w:sz w:val="24"/>
        </w:rPr>
        <w:t>测设备按时到达施工现场。人员、机械、试验仪器设备不得拖延、短缺或任意更换。</w:t>
      </w:r>
      <w:r>
        <w:rPr>
          <w:rFonts w:hint="eastAsia"/>
          <w:sz w:val="24"/>
        </w:rPr>
        <w:t>否则将视为承包人违约。承包人应按有关规定，确保工程及其人员、材料、设备和设施的安全，防止因工程施工造成的人员伤害和财产损失。</w:t>
      </w:r>
    </w:p>
    <w:p>
      <w:pPr>
        <w:pStyle w:val="21"/>
        <w:numPr>
          <w:ilvl w:val="4"/>
          <w:numId w:val="5"/>
        </w:numPr>
        <w:tabs>
          <w:tab w:val="left" w:pos="1404"/>
        </w:tabs>
        <w:spacing w:before="7" w:line="297" w:lineRule="auto"/>
        <w:ind w:left="384" w:right="466" w:firstLine="480"/>
        <w:jc w:val="both"/>
        <w:rPr>
          <w:sz w:val="24"/>
        </w:rPr>
      </w:pPr>
      <w:r>
        <w:rPr>
          <w:rFonts w:hint="eastAsia"/>
          <w:spacing w:val="-3"/>
          <w:sz w:val="24"/>
        </w:rPr>
        <w:t>承包人应按设计图纸及相关资料和规范要求，精心组织施工，并对现场文</w:t>
      </w:r>
      <w:r>
        <w:rPr>
          <w:rFonts w:hint="eastAsia"/>
          <w:spacing w:val="-1"/>
          <w:sz w:val="24"/>
        </w:rPr>
        <w:t>明施工、环境保护及作业和施工方法的完备性和可靠性负全部责任。不合格的材料</w:t>
      </w:r>
      <w:r>
        <w:rPr>
          <w:rFonts w:hint="eastAsia"/>
          <w:sz w:val="24"/>
        </w:rPr>
        <w:t>及机械设备不得运入现场。</w:t>
      </w:r>
    </w:p>
    <w:p>
      <w:pPr>
        <w:pStyle w:val="21"/>
        <w:numPr>
          <w:ilvl w:val="4"/>
          <w:numId w:val="5"/>
        </w:numPr>
        <w:tabs>
          <w:tab w:val="left" w:pos="1529"/>
        </w:tabs>
        <w:spacing w:before="1" w:line="297" w:lineRule="auto"/>
        <w:ind w:left="384" w:right="465" w:firstLine="480"/>
        <w:jc w:val="both"/>
        <w:rPr>
          <w:sz w:val="24"/>
        </w:rPr>
      </w:pPr>
      <w:r>
        <w:rPr>
          <w:rFonts w:hint="eastAsia"/>
          <w:sz w:val="24"/>
        </w:rPr>
        <w:t>承包人不得从为发包人、监理人服务的人员中招聘雇员或工人。雇用员</w:t>
      </w:r>
      <w:r>
        <w:rPr>
          <w:rFonts w:hint="eastAsia"/>
          <w:spacing w:val="-1"/>
          <w:sz w:val="24"/>
        </w:rPr>
        <w:t>工应订立劳务合同，执行国家有关劳动保障规定，不得无故克扣或拖欠劳务人员的</w:t>
      </w:r>
      <w:r>
        <w:rPr>
          <w:rFonts w:hint="eastAsia"/>
          <w:sz w:val="24"/>
        </w:rPr>
        <w:t>工资。</w:t>
      </w:r>
    </w:p>
    <w:p>
      <w:pPr>
        <w:pStyle w:val="21"/>
        <w:numPr>
          <w:ilvl w:val="4"/>
          <w:numId w:val="5"/>
        </w:numPr>
        <w:tabs>
          <w:tab w:val="left" w:pos="1524"/>
        </w:tabs>
        <w:spacing w:before="3" w:line="297" w:lineRule="auto"/>
        <w:ind w:left="384" w:right="455" w:firstLine="480"/>
        <w:jc w:val="both"/>
        <w:rPr>
          <w:sz w:val="24"/>
        </w:rPr>
      </w:pPr>
      <w:r>
        <w:rPr>
          <w:rFonts w:hint="eastAsia"/>
          <w:spacing w:val="-13"/>
          <w:sz w:val="24"/>
        </w:rPr>
        <w:t>承包人应为本合同的施工建立强有力的质量保证体系和质检体系，建立质量</w:t>
      </w:r>
      <w:r>
        <w:rPr>
          <w:rFonts w:hint="eastAsia"/>
          <w:spacing w:val="-12"/>
          <w:sz w:val="24"/>
        </w:rPr>
        <w:t>责任制、加强质量监控，完备检验手段，对现场施工的可靠性、安全性承担全部责任。</w:t>
      </w:r>
    </w:p>
    <w:p>
      <w:pPr>
        <w:pStyle w:val="21"/>
        <w:numPr>
          <w:ilvl w:val="4"/>
          <w:numId w:val="5"/>
        </w:numPr>
        <w:tabs>
          <w:tab w:val="left" w:pos="1524"/>
        </w:tabs>
        <w:spacing w:before="1" w:line="297" w:lineRule="auto"/>
        <w:ind w:left="384" w:right="346" w:firstLine="480"/>
        <w:jc w:val="both"/>
        <w:rPr>
          <w:sz w:val="24"/>
        </w:rPr>
      </w:pPr>
      <w:r>
        <w:rPr>
          <w:rFonts w:hint="eastAsia"/>
          <w:spacing w:val="-2"/>
          <w:sz w:val="24"/>
        </w:rPr>
        <w:t xml:space="preserve">批准的设计文件中要求的所有事项应视为合同条款所要求的，若有争议， </w:t>
      </w:r>
      <w:r>
        <w:rPr>
          <w:rFonts w:hint="eastAsia"/>
          <w:sz w:val="24"/>
        </w:rPr>
        <w:t>以监理人发出的指令为准。</w:t>
      </w:r>
    </w:p>
    <w:p>
      <w:pPr>
        <w:pStyle w:val="21"/>
        <w:numPr>
          <w:ilvl w:val="4"/>
          <w:numId w:val="5"/>
        </w:numPr>
        <w:tabs>
          <w:tab w:val="left" w:pos="1529"/>
        </w:tabs>
        <w:spacing w:line="297" w:lineRule="auto"/>
        <w:ind w:left="384" w:right="467" w:firstLine="480"/>
        <w:jc w:val="both"/>
        <w:rPr>
          <w:sz w:val="24"/>
        </w:rPr>
      </w:pPr>
      <w:r>
        <w:rPr>
          <w:rFonts w:hint="eastAsia"/>
          <w:sz w:val="24"/>
        </w:rPr>
        <w:t>承包人应负责工程移交前的照管和维护工作，确保工程正式移交时不受到损坏。</w:t>
      </w:r>
    </w:p>
    <w:p>
      <w:pPr>
        <w:spacing w:line="297" w:lineRule="auto"/>
        <w:jc w:val="both"/>
        <w:rPr>
          <w:sz w:val="24"/>
        </w:rPr>
        <w:sectPr>
          <w:pgSz w:w="11910" w:h="16840"/>
          <w:pgMar w:top="1360" w:right="1120" w:bottom="1080" w:left="1260" w:header="882" w:footer="880" w:gutter="0"/>
          <w:cols w:space="720" w:num="1"/>
        </w:sectPr>
      </w:pPr>
    </w:p>
    <w:p>
      <w:pPr>
        <w:pStyle w:val="11"/>
        <w:spacing w:before="8"/>
        <w:rPr>
          <w:sz w:val="16"/>
        </w:rPr>
      </w:pPr>
    </w:p>
    <w:p>
      <w:pPr>
        <w:pStyle w:val="21"/>
        <w:numPr>
          <w:ilvl w:val="4"/>
          <w:numId w:val="5"/>
        </w:numPr>
        <w:tabs>
          <w:tab w:val="left" w:pos="1524"/>
        </w:tabs>
        <w:spacing w:before="77" w:line="297" w:lineRule="auto"/>
        <w:ind w:left="384" w:right="466" w:firstLine="480"/>
        <w:jc w:val="both"/>
        <w:rPr>
          <w:sz w:val="24"/>
        </w:rPr>
      </w:pPr>
      <w:r>
        <w:rPr>
          <w:rFonts w:hint="eastAsia"/>
          <w:spacing w:val="-4"/>
          <w:sz w:val="24"/>
        </w:rPr>
        <w:t xml:space="preserve">承包人应在工程交工验收合格证书签发后 </w:t>
      </w:r>
      <w:r>
        <w:rPr>
          <w:rFonts w:hint="eastAsia"/>
          <w:sz w:val="24"/>
        </w:rPr>
        <w:t>14</w:t>
      </w:r>
      <w:r>
        <w:rPr>
          <w:rFonts w:hint="eastAsia"/>
          <w:spacing w:val="-12"/>
          <w:sz w:val="24"/>
        </w:rPr>
        <w:t xml:space="preserve"> </w:t>
      </w:r>
      <w:r>
        <w:rPr>
          <w:rFonts w:hint="eastAsia"/>
          <w:spacing w:val="-2"/>
          <w:sz w:val="24"/>
        </w:rPr>
        <w:t>天内完成工地清理并撤离人</w:t>
      </w:r>
      <w:r>
        <w:rPr>
          <w:rFonts w:hint="eastAsia"/>
          <w:sz w:val="24"/>
        </w:rPr>
        <w:t>员、设备和剩余材料。未完成缺陷责任而留置的人员、设备、材料除外。</w:t>
      </w:r>
    </w:p>
    <w:p>
      <w:pPr>
        <w:pStyle w:val="21"/>
        <w:numPr>
          <w:ilvl w:val="4"/>
          <w:numId w:val="5"/>
        </w:numPr>
        <w:tabs>
          <w:tab w:val="left" w:pos="1524"/>
        </w:tabs>
        <w:ind w:left="1524" w:hanging="660"/>
        <w:jc w:val="both"/>
        <w:rPr>
          <w:sz w:val="24"/>
        </w:rPr>
      </w:pPr>
      <w:r>
        <w:rPr>
          <w:rFonts w:hint="eastAsia"/>
          <w:sz w:val="24"/>
        </w:rPr>
        <w:t>承包人应按国家有关劳动保护的规定，保障其雇佣人员的合法权益。</w:t>
      </w:r>
    </w:p>
    <w:p>
      <w:pPr>
        <w:pStyle w:val="21"/>
        <w:numPr>
          <w:ilvl w:val="0"/>
          <w:numId w:val="7"/>
        </w:numPr>
        <w:tabs>
          <w:tab w:val="left" w:pos="1465"/>
        </w:tabs>
        <w:spacing w:before="74" w:line="297" w:lineRule="auto"/>
        <w:ind w:right="466" w:firstLine="480"/>
        <w:jc w:val="both"/>
        <w:rPr>
          <w:sz w:val="24"/>
        </w:rPr>
      </w:pPr>
      <w:r>
        <w:rPr>
          <w:rFonts w:hint="eastAsia"/>
          <w:sz w:val="24"/>
        </w:rPr>
        <w:t>承包人应严格遵守国家及地方政府有关解决拖欠工程款和农民工工资的</w:t>
      </w:r>
      <w:r>
        <w:rPr>
          <w:rFonts w:hint="eastAsia"/>
          <w:spacing w:val="-5"/>
          <w:sz w:val="24"/>
        </w:rPr>
        <w:t>法律、法规、规章及规范性文件，及时支付工程中的材料、设备货款及农民工工资</w:t>
      </w:r>
      <w:r>
        <w:rPr>
          <w:rFonts w:hint="eastAsia"/>
          <w:spacing w:val="-4"/>
          <w:sz w:val="24"/>
        </w:rPr>
        <w:t>等费用。对恶意拖欠和拒不按计划支付的，作为不良记录纳入公路建设市场信用信</w:t>
      </w:r>
      <w:r>
        <w:rPr>
          <w:rFonts w:hint="eastAsia"/>
          <w:spacing w:val="-3"/>
          <w:sz w:val="24"/>
        </w:rPr>
        <w:t>息管理系统；</w:t>
      </w:r>
    </w:p>
    <w:p>
      <w:pPr>
        <w:pStyle w:val="21"/>
        <w:numPr>
          <w:ilvl w:val="0"/>
          <w:numId w:val="7"/>
        </w:numPr>
        <w:tabs>
          <w:tab w:val="left" w:pos="1465"/>
        </w:tabs>
        <w:spacing w:before="11" w:line="307" w:lineRule="auto"/>
        <w:ind w:right="466" w:firstLine="480"/>
        <w:jc w:val="both"/>
        <w:rPr>
          <w:sz w:val="24"/>
        </w:rPr>
      </w:pPr>
      <w:r>
        <w:rPr>
          <w:rFonts w:hint="eastAsia"/>
          <w:spacing w:val="-2"/>
          <w:sz w:val="24"/>
        </w:rPr>
        <w:t xml:space="preserve">承包人应当依法与每一名农民工或具有劳务资质的劳务公司签订合同， </w:t>
      </w:r>
      <w:r>
        <w:rPr>
          <w:rFonts w:hint="eastAsia"/>
          <w:spacing w:val="-5"/>
          <w:sz w:val="24"/>
        </w:rPr>
        <w:t>合同中应当明确约定工作内容、工作要求、工作条件、工作地点、安全生产要求、</w:t>
      </w:r>
      <w:r>
        <w:rPr>
          <w:rFonts w:hint="eastAsia"/>
          <w:spacing w:val="-4"/>
          <w:sz w:val="24"/>
        </w:rPr>
        <w:t>劳动报酬</w:t>
      </w:r>
      <w:r>
        <w:rPr>
          <w:rFonts w:hint="eastAsia"/>
          <w:sz w:val="24"/>
        </w:rPr>
        <w:t>（包括工日单价或计量单价）、支付时间和支付方式等内容，在签订劳务</w:t>
      </w:r>
      <w:r>
        <w:rPr>
          <w:rFonts w:hint="eastAsia"/>
          <w:spacing w:val="-4"/>
          <w:sz w:val="24"/>
        </w:rPr>
        <w:t>或劳动合同后，农民工方可进场。承包人临时或短期聘用农民工的，应当签订短期</w:t>
      </w:r>
      <w:r>
        <w:rPr>
          <w:rFonts w:hint="eastAsia"/>
          <w:spacing w:val="-3"/>
          <w:sz w:val="24"/>
        </w:rPr>
        <w:t>临时合同。</w:t>
      </w:r>
    </w:p>
    <w:p>
      <w:pPr>
        <w:pStyle w:val="21"/>
        <w:numPr>
          <w:ilvl w:val="0"/>
          <w:numId w:val="7"/>
        </w:numPr>
        <w:tabs>
          <w:tab w:val="left" w:pos="1465"/>
        </w:tabs>
        <w:spacing w:line="304" w:lineRule="auto"/>
        <w:ind w:right="466" w:firstLine="480"/>
        <w:jc w:val="both"/>
        <w:rPr>
          <w:sz w:val="24"/>
        </w:rPr>
      </w:pPr>
      <w:r>
        <w:rPr>
          <w:rFonts w:hint="eastAsia"/>
          <w:spacing w:val="-3"/>
          <w:sz w:val="24"/>
        </w:rPr>
        <w:t>承包人项目部应当配备劳资专管员，对农民工实行实名制管理，记录施</w:t>
      </w:r>
      <w:r>
        <w:rPr>
          <w:rFonts w:hint="eastAsia"/>
          <w:spacing w:val="-5"/>
          <w:sz w:val="24"/>
        </w:rPr>
        <w:t>工人员进出场情况和施工现场作业农民工的身份信息、劳动考勤，建立工资结算与</w:t>
      </w:r>
      <w:r>
        <w:rPr>
          <w:rFonts w:hint="eastAsia"/>
          <w:spacing w:val="-4"/>
          <w:sz w:val="24"/>
        </w:rPr>
        <w:t>支付等管理台账，审核分包人编制的农民工工资支付表，实时掌握施工现场用工及其工资支付情况，不得以包代管。</w:t>
      </w:r>
    </w:p>
    <w:p>
      <w:pPr>
        <w:pStyle w:val="21"/>
        <w:numPr>
          <w:ilvl w:val="0"/>
          <w:numId w:val="7"/>
        </w:numPr>
        <w:tabs>
          <w:tab w:val="left" w:pos="1465"/>
        </w:tabs>
        <w:spacing w:line="307" w:lineRule="auto"/>
        <w:ind w:right="466" w:firstLine="480"/>
        <w:rPr>
          <w:sz w:val="24"/>
        </w:rPr>
      </w:pPr>
      <w:r>
        <w:rPr>
          <w:rFonts w:hint="eastAsia"/>
          <w:spacing w:val="-6"/>
          <w:sz w:val="24"/>
        </w:rPr>
        <w:t>农民工工资的发放，应严格按照国家及地方政府有关法律、法规、规章及</w:t>
      </w:r>
      <w:r>
        <w:rPr>
          <w:rFonts w:hint="eastAsia"/>
          <w:sz w:val="24"/>
        </w:rPr>
        <w:t>规范性文件的规定执行。</w:t>
      </w:r>
    </w:p>
    <w:p>
      <w:pPr>
        <w:pStyle w:val="11"/>
        <w:spacing w:before="3"/>
        <w:ind w:left="864"/>
      </w:pPr>
      <w:r>
        <w:rPr>
          <w:rFonts w:hint="eastAsia"/>
        </w:rPr>
        <w:t>承包人应分解工程价款中的人工费用，在工程项目所在地银行开设农民工工资</w:t>
      </w:r>
    </w:p>
    <w:p>
      <w:pPr>
        <w:pStyle w:val="11"/>
        <w:spacing w:before="91" w:line="312" w:lineRule="auto"/>
        <w:ind w:left="384" w:right="465"/>
        <w:jc w:val="both"/>
      </w:pPr>
      <w:r>
        <w:rPr>
          <w:rFonts w:hint="eastAsia"/>
        </w:rPr>
        <w:t>（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pPr>
        <w:pStyle w:val="11"/>
        <w:spacing w:line="304" w:lineRule="auto"/>
        <w:ind w:left="384" w:right="266" w:firstLine="480"/>
      </w:pPr>
      <w:r>
        <w:rPr>
          <w:rFonts w:hint="eastAsia"/>
        </w:rPr>
        <w:t>分包人应按月考核农民工工作量并编制工资支付表，经农民工本人签字确认后， 交承包人汇总核定并报发包人。发包人支付工程款中的人工费用后，承包人将核定的分包人工资支付表提交银行，由银行通过专用账户将工资代付到农民工个人银行账户，并向分包人提供代发工资凭证。</w:t>
      </w:r>
    </w:p>
    <w:p>
      <w:pPr>
        <w:pStyle w:val="21"/>
        <w:numPr>
          <w:ilvl w:val="0"/>
          <w:numId w:val="7"/>
        </w:numPr>
        <w:tabs>
          <w:tab w:val="left" w:pos="1465"/>
        </w:tabs>
        <w:spacing w:before="1" w:line="304" w:lineRule="auto"/>
        <w:ind w:right="466" w:firstLine="480"/>
        <w:rPr>
          <w:sz w:val="24"/>
        </w:rPr>
      </w:pPr>
      <w:r>
        <w:rPr>
          <w:rFonts w:hint="eastAsia"/>
          <w:spacing w:val="-4"/>
          <w:sz w:val="24"/>
        </w:rPr>
        <w:t>为确保施工过程中农民工工资实时、足额发放到位，承包人应按照项目</w:t>
      </w:r>
      <w:r>
        <w:rPr>
          <w:rFonts w:hint="eastAsia"/>
          <w:spacing w:val="-5"/>
          <w:sz w:val="24"/>
        </w:rPr>
        <w:t>合同条款约定的时间、金额、形式缴存农民工工资保证金。</w:t>
      </w:r>
    </w:p>
    <w:p>
      <w:pPr>
        <w:pStyle w:val="11"/>
        <w:spacing w:before="4"/>
        <w:ind w:left="864"/>
      </w:pPr>
      <w:r>
        <w:rPr>
          <w:rFonts w:hint="eastAsia"/>
        </w:rPr>
        <w:t>农民工工资保证金的缴存时间：承包项目开工前；</w:t>
      </w:r>
    </w:p>
    <w:p>
      <w:pPr>
        <w:pStyle w:val="11"/>
        <w:spacing w:before="84" w:line="304" w:lineRule="auto"/>
        <w:ind w:left="384" w:right="467" w:firstLine="480"/>
      </w:pPr>
      <w:r>
        <w:rPr>
          <w:rFonts w:hint="eastAsia"/>
          <w:spacing w:val="-1"/>
        </w:rPr>
        <w:t>农民工工资保证金的缴存金额：按《新疆维吾尔自治区农民工工资保证金管理</w:t>
      </w:r>
      <w:r>
        <w:rPr>
          <w:rFonts w:hint="eastAsia"/>
        </w:rPr>
        <w:t>暂行办法》（新政办发[2007]114</w:t>
      </w:r>
      <w:r>
        <w:rPr>
          <w:rFonts w:hint="eastAsia"/>
          <w:spacing w:val="-3"/>
        </w:rPr>
        <w:t xml:space="preserve"> </w:t>
      </w:r>
      <w:r>
        <w:rPr>
          <w:rFonts w:hint="eastAsia"/>
        </w:rPr>
        <w:t>号）的有关规定缴纳；</w:t>
      </w:r>
    </w:p>
    <w:p>
      <w:pPr>
        <w:spacing w:line="304" w:lineRule="auto"/>
        <w:sectPr>
          <w:pgSz w:w="11910" w:h="16840"/>
          <w:pgMar w:top="1360" w:right="1120" w:bottom="1080" w:left="1260" w:header="882" w:footer="880" w:gutter="0"/>
          <w:cols w:space="720" w:num="1"/>
        </w:sectPr>
      </w:pPr>
    </w:p>
    <w:p>
      <w:pPr>
        <w:pStyle w:val="11"/>
        <w:rPr>
          <w:sz w:val="18"/>
        </w:rPr>
      </w:pPr>
    </w:p>
    <w:p>
      <w:pPr>
        <w:pStyle w:val="11"/>
        <w:spacing w:before="66" w:line="307" w:lineRule="auto"/>
        <w:ind w:left="384" w:right="466" w:firstLine="480"/>
        <w:jc w:val="both"/>
      </w:pPr>
      <w:r>
        <w:rPr>
          <w:rFonts w:hint="eastAsia"/>
        </w:rPr>
        <w:t>农民工工资保证金的缴存形式：可采用银行保函或现金、支票形式。采用银行保函时，出具保函的银行须具有相应担保能力，且按照发包人批准的格式出具，所需费用由承包人承担。</w:t>
      </w:r>
    </w:p>
    <w:p>
      <w:pPr>
        <w:pStyle w:val="11"/>
        <w:spacing w:line="304" w:lineRule="auto"/>
        <w:ind w:left="384" w:right="465" w:firstLine="480"/>
        <w:jc w:val="both"/>
      </w:pPr>
      <w:r>
        <w:rPr>
          <w:rFonts w:hint="eastAsia"/>
        </w:rPr>
        <w:t>若发生拖欠农民工工资的情况，发包人有权动用此保证金支付被拖欠的农民工工资。此保证金不足以支付拖欠的农民工工资，不足金额在履约保证金金及质量保留金中支付。农民工工资保证金的扣留条件、返还时间按照项目合同条款的约定执行：</w:t>
      </w:r>
    </w:p>
    <w:p>
      <w:pPr>
        <w:pStyle w:val="11"/>
        <w:spacing w:before="8" w:line="312" w:lineRule="auto"/>
        <w:ind w:left="864" w:right="346"/>
      </w:pPr>
      <w:r>
        <w:rPr>
          <w:rFonts w:hint="eastAsia"/>
          <w:spacing w:val="-7"/>
        </w:rPr>
        <w:t xml:space="preserve">农民工工资保证金的扣留条件：承包人拖欠工资被责令限期支付逾期未支付时； </w:t>
      </w:r>
      <w:r>
        <w:rPr>
          <w:rFonts w:hint="eastAsia"/>
        </w:rPr>
        <w:t>农民工工资保证金的返还时间：交工证书签发后两个月内无农民工工资纠纷发</w:t>
      </w:r>
    </w:p>
    <w:p>
      <w:pPr>
        <w:pStyle w:val="11"/>
        <w:spacing w:before="2"/>
        <w:ind w:left="384"/>
      </w:pPr>
      <w:r>
        <w:rPr>
          <w:rFonts w:hint="eastAsia"/>
        </w:rPr>
        <w:t>生，发包人将保证金全额退还给承包人。</w:t>
      </w:r>
    </w:p>
    <w:p>
      <w:pPr>
        <w:pStyle w:val="21"/>
        <w:numPr>
          <w:ilvl w:val="0"/>
          <w:numId w:val="7"/>
        </w:numPr>
        <w:tabs>
          <w:tab w:val="left" w:pos="1465"/>
        </w:tabs>
        <w:spacing w:before="76" w:line="297" w:lineRule="auto"/>
        <w:ind w:right="466" w:firstLine="480"/>
        <w:jc w:val="both"/>
        <w:rPr>
          <w:sz w:val="24"/>
        </w:rPr>
      </w:pPr>
      <w:r>
        <w:rPr>
          <w:rFonts w:hint="eastAsia"/>
          <w:spacing w:val="-2"/>
          <w:sz w:val="24"/>
        </w:rPr>
        <w:t>承包人应当在施工现场醒目位置设立维权信息告示牌，按照行政监督部</w:t>
      </w:r>
      <w:r>
        <w:rPr>
          <w:rFonts w:hint="eastAsia"/>
          <w:spacing w:val="-5"/>
          <w:sz w:val="24"/>
        </w:rPr>
        <w:t>门和发包人的要求进行维权信息公示明示。工程通过交工验收后，承包人对无拖欠</w:t>
      </w:r>
      <w:r>
        <w:rPr>
          <w:rFonts w:hint="eastAsia"/>
          <w:spacing w:val="-9"/>
          <w:sz w:val="24"/>
        </w:rPr>
        <w:t>农民工工资情况进行不少于</w:t>
      </w:r>
      <w:r>
        <w:rPr>
          <w:rFonts w:hint="eastAsia"/>
          <w:sz w:val="24"/>
        </w:rPr>
        <w:t>30</w:t>
      </w:r>
      <w:r>
        <w:rPr>
          <w:rFonts w:hint="eastAsia"/>
          <w:spacing w:val="-10"/>
          <w:sz w:val="24"/>
        </w:rPr>
        <w:t>日的公示，公示期间无举报投诉的，持发包人审核确</w:t>
      </w:r>
      <w:r>
        <w:rPr>
          <w:rFonts w:hint="eastAsia"/>
          <w:spacing w:val="-5"/>
          <w:sz w:val="24"/>
        </w:rPr>
        <w:t>认意见到开户银行办理农民工工资专用账户撤销手续，账户内余额归承包人所有。</w:t>
      </w:r>
    </w:p>
    <w:p>
      <w:pPr>
        <w:pStyle w:val="21"/>
        <w:numPr>
          <w:ilvl w:val="0"/>
          <w:numId w:val="7"/>
        </w:numPr>
        <w:tabs>
          <w:tab w:val="left" w:pos="1465"/>
        </w:tabs>
        <w:spacing w:before="11" w:line="307" w:lineRule="auto"/>
        <w:ind w:right="346" w:firstLine="480"/>
        <w:rPr>
          <w:sz w:val="24"/>
        </w:rPr>
      </w:pPr>
      <w:r>
        <w:rPr>
          <w:rFonts w:hint="eastAsia"/>
          <w:spacing w:val="-4"/>
          <w:sz w:val="24"/>
        </w:rPr>
        <w:t>为认真贯彻落实自治区党委、人民政府关于使用农民工解决我区农村劳动力了过剩、增加农民收入有关问题的指示精神，承包人应严格按《关于印发自治区固定资产投资项目促进农村劳动力培训就业工作实施方案的通知</w:t>
      </w:r>
      <w:r>
        <w:rPr>
          <w:rFonts w:hint="eastAsia"/>
          <w:spacing w:val="-216"/>
          <w:sz w:val="24"/>
        </w:rPr>
        <w:t>》</w:t>
      </w:r>
      <w:r>
        <w:rPr>
          <w:rFonts w:hint="eastAsia"/>
          <w:sz w:val="24"/>
        </w:rPr>
        <w:t>（</w:t>
      </w:r>
      <w:r>
        <w:rPr>
          <w:rFonts w:hint="eastAsia"/>
          <w:spacing w:val="-22"/>
          <w:sz w:val="24"/>
        </w:rPr>
        <w:t>新政办发〔</w:t>
      </w:r>
      <w:r>
        <w:rPr>
          <w:rFonts w:hint="eastAsia"/>
          <w:sz w:val="24"/>
        </w:rPr>
        <w:t>2017</w:t>
      </w:r>
      <w:r>
        <w:rPr>
          <w:rFonts w:hint="eastAsia"/>
          <w:spacing w:val="-18"/>
          <w:sz w:val="24"/>
        </w:rPr>
        <w:t>〕</w:t>
      </w:r>
      <w:r>
        <w:rPr>
          <w:rFonts w:hint="eastAsia"/>
          <w:sz w:val="24"/>
        </w:rPr>
        <w:t>62 号</w:t>
      </w:r>
      <w:r>
        <w:rPr>
          <w:rFonts w:hint="eastAsia"/>
          <w:spacing w:val="-84"/>
          <w:sz w:val="24"/>
        </w:rPr>
        <w:t>）</w:t>
      </w:r>
      <w:r>
        <w:rPr>
          <w:rFonts w:hint="eastAsia"/>
          <w:spacing w:val="-14"/>
          <w:sz w:val="24"/>
        </w:rPr>
        <w:t>、《关于在公路基础设施建设中使用农民工有关意见的通知</w:t>
      </w:r>
      <w:r>
        <w:rPr>
          <w:rFonts w:hint="eastAsia"/>
          <w:spacing w:val="-168"/>
          <w:sz w:val="24"/>
        </w:rPr>
        <w:t>》</w:t>
      </w:r>
      <w:r>
        <w:rPr>
          <w:rFonts w:hint="eastAsia"/>
          <w:spacing w:val="-3"/>
          <w:sz w:val="24"/>
        </w:rPr>
        <w:t>（</w:t>
      </w:r>
      <w:r>
        <w:rPr>
          <w:rFonts w:hint="eastAsia"/>
          <w:sz w:val="24"/>
        </w:rPr>
        <w:t>新交综[2003]42 号文）、《新疆维吾尔自治区交通厅关于交通建设项目防止拖欠工程款和农民工工资管理暂行办法（试行）》、《新疆维吾尔自治区公路工程建设农民工用工管理办</w:t>
      </w:r>
      <w:r>
        <w:rPr>
          <w:rFonts w:hint="eastAsia"/>
          <w:spacing w:val="-3"/>
          <w:sz w:val="24"/>
        </w:rPr>
        <w:t>法</w:t>
      </w:r>
      <w:r>
        <w:rPr>
          <w:rFonts w:hint="eastAsia"/>
          <w:sz w:val="24"/>
        </w:rPr>
        <w:t>（试行</w:t>
      </w:r>
      <w:r>
        <w:rPr>
          <w:rFonts w:hint="eastAsia"/>
          <w:spacing w:val="-5"/>
          <w:sz w:val="24"/>
        </w:rPr>
        <w:t>）》</w:t>
      </w:r>
      <w:r>
        <w:rPr>
          <w:rFonts w:hint="eastAsia"/>
          <w:sz w:val="24"/>
        </w:rPr>
        <w:t>（</w:t>
      </w:r>
      <w:r>
        <w:rPr>
          <w:rFonts w:hint="eastAsia"/>
          <w:spacing w:val="-1"/>
          <w:sz w:val="24"/>
        </w:rPr>
        <w:t>新交工程〔</w:t>
      </w:r>
      <w:r>
        <w:rPr>
          <w:rFonts w:hint="eastAsia"/>
          <w:sz w:val="24"/>
        </w:rPr>
        <w:t>2017</w:t>
      </w:r>
      <w:r>
        <w:rPr>
          <w:rFonts w:hint="eastAsia"/>
          <w:spacing w:val="-5"/>
          <w:sz w:val="24"/>
        </w:rPr>
        <w:t>〕</w:t>
      </w:r>
      <w:r>
        <w:rPr>
          <w:rFonts w:hint="eastAsia"/>
          <w:sz w:val="24"/>
        </w:rPr>
        <w:t>16</w:t>
      </w:r>
      <w:r>
        <w:rPr>
          <w:rFonts w:hint="eastAsia"/>
          <w:spacing w:val="1"/>
          <w:sz w:val="24"/>
        </w:rPr>
        <w:t xml:space="preserve"> </w:t>
      </w:r>
      <w:r>
        <w:rPr>
          <w:rFonts w:hint="eastAsia"/>
          <w:sz w:val="24"/>
        </w:rPr>
        <w:t>号</w:t>
      </w:r>
      <w:r>
        <w:rPr>
          <w:rFonts w:hint="eastAsia"/>
          <w:spacing w:val="-3"/>
          <w:sz w:val="24"/>
        </w:rPr>
        <w:t>）</w:t>
      </w:r>
      <w:r>
        <w:rPr>
          <w:rFonts w:hint="eastAsia"/>
          <w:spacing w:val="-1"/>
          <w:sz w:val="24"/>
        </w:rPr>
        <w:t>等相关规定，在施工中选用除技术工以外</w:t>
      </w:r>
      <w:r>
        <w:rPr>
          <w:rFonts w:hint="eastAsia"/>
          <w:spacing w:val="-4"/>
          <w:sz w:val="24"/>
        </w:rPr>
        <w:t xml:space="preserve">的普工时要使用项目沿线或附近的农民工，且数量不得低于普工总数的 </w:t>
      </w:r>
      <w:r>
        <w:rPr>
          <w:rFonts w:hint="eastAsia"/>
          <w:spacing w:val="-3"/>
          <w:sz w:val="24"/>
        </w:rPr>
        <w:t>90</w:t>
      </w:r>
      <w:r>
        <w:rPr>
          <w:rFonts w:hint="eastAsia"/>
          <w:spacing w:val="-2"/>
          <w:sz w:val="24"/>
        </w:rPr>
        <w:t>％；要制定相应的计划和措施。</w:t>
      </w:r>
    </w:p>
    <w:p>
      <w:pPr>
        <w:pStyle w:val="21"/>
        <w:numPr>
          <w:ilvl w:val="4"/>
          <w:numId w:val="5"/>
        </w:numPr>
        <w:tabs>
          <w:tab w:val="left" w:pos="1523"/>
          <w:tab w:val="left" w:pos="1524"/>
        </w:tabs>
        <w:spacing w:line="293" w:lineRule="exact"/>
        <w:ind w:left="1524" w:hanging="660"/>
        <w:rPr>
          <w:sz w:val="24"/>
        </w:rPr>
      </w:pPr>
      <w:r>
        <w:rPr>
          <w:rFonts w:hint="eastAsia"/>
          <w:sz w:val="24"/>
        </w:rPr>
        <w:t>承包人应负责处理其雇佣人员因工伤亡事故的善后事宜。</w:t>
      </w:r>
    </w:p>
    <w:p>
      <w:pPr>
        <w:pStyle w:val="21"/>
        <w:numPr>
          <w:ilvl w:val="4"/>
          <w:numId w:val="5"/>
        </w:numPr>
        <w:tabs>
          <w:tab w:val="left" w:pos="1523"/>
          <w:tab w:val="left" w:pos="1524"/>
        </w:tabs>
        <w:spacing w:before="84" w:line="307" w:lineRule="auto"/>
        <w:ind w:left="384" w:right="346" w:firstLine="480"/>
        <w:rPr>
          <w:sz w:val="24"/>
        </w:rPr>
      </w:pPr>
      <w:r>
        <w:rPr>
          <w:rFonts w:hint="eastAsia"/>
          <w:spacing w:val="-3"/>
          <w:sz w:val="24"/>
        </w:rPr>
        <w:t>承包人应按国家有关劳动保护的规定，采取有效的防止粉尘、降低噪声、</w:t>
      </w:r>
      <w:r>
        <w:rPr>
          <w:rFonts w:hint="eastAsia"/>
          <w:sz w:val="24"/>
        </w:rPr>
        <w:t>控制有害气体和保障高温、高寒、高空作业安全等劳动保护措施。其雇佣人员在施工中受到伤害的，承包人应立即采取有效措施进行抢救和治疗。</w:t>
      </w:r>
    </w:p>
    <w:p>
      <w:pPr>
        <w:pStyle w:val="21"/>
        <w:numPr>
          <w:ilvl w:val="4"/>
          <w:numId w:val="5"/>
        </w:numPr>
        <w:tabs>
          <w:tab w:val="left" w:pos="1529"/>
        </w:tabs>
        <w:spacing w:line="307" w:lineRule="auto"/>
        <w:ind w:left="384" w:right="465" w:firstLine="480"/>
        <w:jc w:val="both"/>
        <w:rPr>
          <w:sz w:val="24"/>
        </w:rPr>
      </w:pPr>
      <w:r>
        <w:rPr>
          <w:rFonts w:hint="eastAsia"/>
          <w:sz w:val="24"/>
        </w:rPr>
        <w:t>承包人应为其雇佣人员提供必要的食宿条件，以及符合环境保护和卫生</w:t>
      </w:r>
      <w:r>
        <w:rPr>
          <w:rFonts w:hint="eastAsia"/>
          <w:spacing w:val="-1"/>
          <w:sz w:val="24"/>
        </w:rPr>
        <w:t>要求的生活环境，在远离城镇的施工场地，还应配备必要的伤病防治和急救的医务</w:t>
      </w:r>
      <w:r>
        <w:rPr>
          <w:rFonts w:hint="eastAsia"/>
          <w:sz w:val="24"/>
        </w:rPr>
        <w:t>人员与医疗设施。</w:t>
      </w:r>
    </w:p>
    <w:p>
      <w:pPr>
        <w:pStyle w:val="21"/>
        <w:numPr>
          <w:ilvl w:val="4"/>
          <w:numId w:val="5"/>
        </w:numPr>
        <w:tabs>
          <w:tab w:val="left" w:pos="1524"/>
        </w:tabs>
        <w:spacing w:line="303" w:lineRule="exact"/>
        <w:ind w:left="1524" w:hanging="660"/>
        <w:jc w:val="both"/>
        <w:rPr>
          <w:sz w:val="24"/>
        </w:rPr>
      </w:pPr>
      <w:r>
        <w:rPr>
          <w:rFonts w:hint="eastAsia"/>
          <w:sz w:val="24"/>
        </w:rPr>
        <w:t>承包人应履行的其他义务</w:t>
      </w:r>
    </w:p>
    <w:p>
      <w:pPr>
        <w:pStyle w:val="21"/>
        <w:numPr>
          <w:ilvl w:val="0"/>
          <w:numId w:val="8"/>
        </w:numPr>
        <w:tabs>
          <w:tab w:val="left" w:pos="1465"/>
        </w:tabs>
        <w:spacing w:before="81" w:line="304" w:lineRule="auto"/>
        <w:ind w:right="397" w:firstLine="480"/>
        <w:jc w:val="both"/>
        <w:rPr>
          <w:sz w:val="24"/>
        </w:rPr>
      </w:pPr>
      <w:r>
        <w:rPr>
          <w:rFonts w:hint="eastAsia"/>
          <w:spacing w:val="-10"/>
          <w:sz w:val="24"/>
        </w:rPr>
        <w:t>凡是与已建铁路、公路、堤防、通讯及电力缆线、供水、输油、输气管道、</w:t>
      </w:r>
      <w:r>
        <w:rPr>
          <w:rFonts w:hint="eastAsia"/>
          <w:spacing w:val="-8"/>
          <w:sz w:val="24"/>
        </w:rPr>
        <w:t>居民住宅区等有交叉、干扰的地段，承包人应在不干扰铁路、公路正常营运以及注意保护地下管线、不干扰附近居民的正常生活的前提下合理安排施工组织计划，采取有效措施保证施工安全，在现场设置施工和安全标志，并在必要时疏导现有交通流；凡</w:t>
      </w:r>
    </w:p>
    <w:p>
      <w:pPr>
        <w:spacing w:line="304" w:lineRule="auto"/>
        <w:jc w:val="both"/>
        <w:rPr>
          <w:sz w:val="24"/>
        </w:rPr>
        <w:sectPr>
          <w:pgSz w:w="11910" w:h="16840"/>
          <w:pgMar w:top="1360" w:right="1120" w:bottom="1080" w:left="1260" w:header="882" w:footer="880" w:gutter="0"/>
          <w:cols w:space="720" w:num="1"/>
        </w:sectPr>
      </w:pPr>
    </w:p>
    <w:p>
      <w:pPr>
        <w:pStyle w:val="11"/>
        <w:rPr>
          <w:sz w:val="18"/>
        </w:rPr>
      </w:pPr>
    </w:p>
    <w:p>
      <w:pPr>
        <w:pStyle w:val="11"/>
        <w:spacing w:before="66" w:line="307" w:lineRule="auto"/>
        <w:ind w:left="384" w:right="458"/>
        <w:jc w:val="both"/>
      </w:pPr>
      <w:r>
        <w:rPr>
          <w:rFonts w:hint="eastAsia"/>
          <w:spacing w:val="-8"/>
        </w:rPr>
        <w:t>是标段内与其他在建工程有互扰的地段，承包人应做好与其他施工单位的协调工作； 凡是标段内地形复杂、存在软土路基、场地狭窄的地段，承包人应按照施工要求制定完善的施工组织计划。承包人应对上述所有工作负责，发包人将根据承包人的要求给予适当协助。承包人应将其采取上述措施而可能发生的全部费用视为已包括在或计入在本合同工程已标价的工程量清单的各相关工程细目的单价或总额价中，发包人将不另行支付。</w:t>
      </w:r>
    </w:p>
    <w:p>
      <w:pPr>
        <w:pStyle w:val="11"/>
        <w:spacing w:line="304" w:lineRule="auto"/>
        <w:ind w:left="384" w:right="346" w:firstLine="480"/>
      </w:pPr>
      <w:r>
        <w:rPr>
          <w:rFonts w:hint="eastAsia"/>
          <w:spacing w:val="-7"/>
        </w:rPr>
        <w:t>如因承包人采取的措施不利，影响铁路、公路、通讯及电力缆线、供水、输油、</w:t>
      </w:r>
      <w:r>
        <w:rPr>
          <w:rFonts w:hint="eastAsia"/>
        </w:rPr>
        <w:t>输气管道等正常安全营运、居民的正常生活而给其它部门或个人造成的一切损失， 或由于上述原因造成本工程工期的拖延或施工费用的增加，均由承包人自行负责， 发包人不承担任何责任。</w:t>
      </w:r>
    </w:p>
    <w:p>
      <w:pPr>
        <w:pStyle w:val="21"/>
        <w:numPr>
          <w:ilvl w:val="0"/>
          <w:numId w:val="8"/>
        </w:numPr>
        <w:tabs>
          <w:tab w:val="left" w:pos="1465"/>
        </w:tabs>
        <w:spacing w:line="304" w:lineRule="auto"/>
        <w:ind w:right="466" w:firstLine="480"/>
        <w:jc w:val="both"/>
        <w:rPr>
          <w:sz w:val="24"/>
        </w:rPr>
      </w:pPr>
      <w:r>
        <w:rPr>
          <w:rFonts w:hint="eastAsia"/>
          <w:spacing w:val="-3"/>
          <w:sz w:val="24"/>
        </w:rPr>
        <w:t>承包人在进场前及进场施工后，应充分了解工程所在地的民族习惯、宗</w:t>
      </w:r>
      <w:r>
        <w:rPr>
          <w:rFonts w:hint="eastAsia"/>
          <w:spacing w:val="-5"/>
          <w:sz w:val="24"/>
        </w:rPr>
        <w:t>教信仰、饮食禁忌等情况，并尊重当地居民的各种习俗，在施工队伍中做好宣传教</w:t>
      </w:r>
      <w:r>
        <w:rPr>
          <w:rFonts w:hint="eastAsia"/>
          <w:spacing w:val="-4"/>
          <w:sz w:val="24"/>
        </w:rPr>
        <w:t>育工作，否则，因承包人的员工破坏当地风俗习惯造成的恶劣影响及给发包人带来</w:t>
      </w:r>
      <w:r>
        <w:rPr>
          <w:rFonts w:hint="eastAsia"/>
          <w:spacing w:val="-3"/>
          <w:sz w:val="24"/>
        </w:rPr>
        <w:t>的损失由承包人承担。</w:t>
      </w:r>
    </w:p>
    <w:p>
      <w:pPr>
        <w:pStyle w:val="11"/>
        <w:spacing w:before="190"/>
        <w:ind w:left="583"/>
      </w:pPr>
      <w:r>
        <w:rPr>
          <w:rFonts w:hint="eastAsia"/>
        </w:rPr>
        <w:t>三、施工组织计划和工期</w:t>
      </w:r>
    </w:p>
    <w:p>
      <w:pPr>
        <w:pStyle w:val="11"/>
        <w:spacing w:before="2"/>
        <w:rPr>
          <w:sz w:val="21"/>
        </w:rPr>
      </w:pPr>
    </w:p>
    <w:p>
      <w:pPr>
        <w:pStyle w:val="21"/>
        <w:numPr>
          <w:ilvl w:val="3"/>
          <w:numId w:val="5"/>
        </w:numPr>
        <w:tabs>
          <w:tab w:val="left" w:pos="1005"/>
        </w:tabs>
        <w:ind w:hanging="182"/>
        <w:jc w:val="left"/>
        <w:rPr>
          <w:sz w:val="24"/>
        </w:rPr>
      </w:pPr>
      <w:r>
        <w:rPr>
          <w:rFonts w:hint="eastAsia"/>
          <w:sz w:val="24"/>
        </w:rPr>
        <w:t>进度计划</w:t>
      </w:r>
    </w:p>
    <w:p>
      <w:pPr>
        <w:pStyle w:val="11"/>
        <w:spacing w:before="4"/>
        <w:rPr>
          <w:sz w:val="21"/>
        </w:rPr>
      </w:pPr>
    </w:p>
    <w:p>
      <w:pPr>
        <w:pStyle w:val="21"/>
        <w:numPr>
          <w:ilvl w:val="4"/>
          <w:numId w:val="5"/>
        </w:numPr>
        <w:tabs>
          <w:tab w:val="left" w:pos="1409"/>
        </w:tabs>
        <w:spacing w:line="312" w:lineRule="auto"/>
        <w:ind w:left="384" w:right="466" w:firstLine="480"/>
        <w:jc w:val="both"/>
        <w:rPr>
          <w:sz w:val="24"/>
        </w:rPr>
      </w:pPr>
      <w:r>
        <w:rPr>
          <w:rFonts w:hint="eastAsia"/>
          <w:spacing w:val="-3"/>
          <w:sz w:val="24"/>
        </w:rPr>
        <w:t>承包人应在签订合同协议书后</w:t>
      </w:r>
      <w:r>
        <w:rPr>
          <w:rFonts w:hint="eastAsia"/>
          <w:sz w:val="24"/>
        </w:rPr>
        <w:t>14天内，向监理人提交两份其格式和内容</w:t>
      </w:r>
      <w:r>
        <w:rPr>
          <w:rFonts w:hint="eastAsia"/>
          <w:spacing w:val="-1"/>
          <w:sz w:val="24"/>
        </w:rPr>
        <w:t>符合规定的施工计划，以及为完成该计划而建议采用的实施性施工安排和施工方案</w:t>
      </w:r>
      <w:r>
        <w:rPr>
          <w:rFonts w:hint="eastAsia"/>
          <w:spacing w:val="-16"/>
          <w:sz w:val="24"/>
        </w:rPr>
        <w:t>的说明。监理人应在</w:t>
      </w:r>
      <w:r>
        <w:rPr>
          <w:rFonts w:hint="eastAsia"/>
          <w:sz w:val="24"/>
        </w:rPr>
        <w:t>14</w:t>
      </w:r>
      <w:r>
        <w:rPr>
          <w:rFonts w:hint="eastAsia"/>
          <w:spacing w:val="-1"/>
          <w:sz w:val="24"/>
        </w:rPr>
        <w:t>天内对承包人施工进度计划和施工方案说明予以批复或提出修改意见；经监理人审查后报发包人批准。经批准的施工进度计划是控制合同工程</w:t>
      </w:r>
      <w:r>
        <w:rPr>
          <w:rFonts w:hint="eastAsia"/>
          <w:sz w:val="24"/>
        </w:rPr>
        <w:t>进度的依据。</w:t>
      </w:r>
    </w:p>
    <w:p>
      <w:pPr>
        <w:pStyle w:val="21"/>
        <w:numPr>
          <w:ilvl w:val="4"/>
          <w:numId w:val="5"/>
        </w:numPr>
        <w:tabs>
          <w:tab w:val="left" w:pos="1404"/>
        </w:tabs>
        <w:spacing w:before="1" w:line="312" w:lineRule="auto"/>
        <w:ind w:left="384" w:right="466" w:firstLine="480"/>
        <w:jc w:val="both"/>
        <w:rPr>
          <w:sz w:val="24"/>
        </w:rPr>
      </w:pPr>
      <w:r>
        <w:rPr>
          <w:rFonts w:hint="eastAsia"/>
          <w:spacing w:val="-3"/>
          <w:sz w:val="24"/>
        </w:rPr>
        <w:t>承包人应在确保合同工期的前提下，每月对进度计划修订一次，并应在每</w:t>
      </w:r>
      <w:r>
        <w:rPr>
          <w:rFonts w:hint="eastAsia"/>
          <w:spacing w:val="-20"/>
          <w:sz w:val="24"/>
        </w:rPr>
        <w:t xml:space="preserve">月的 </w:t>
      </w:r>
      <w:r>
        <w:rPr>
          <w:rFonts w:hint="eastAsia"/>
          <w:sz w:val="24"/>
        </w:rPr>
        <w:t xml:space="preserve">25 </w:t>
      </w:r>
      <w:r>
        <w:rPr>
          <w:rFonts w:hint="eastAsia"/>
          <w:spacing w:val="-7"/>
          <w:sz w:val="24"/>
        </w:rPr>
        <w:t>日前提交给监理人审查；监理人批复修订合同进度计划的期限：收到修订合</w:t>
      </w:r>
      <w:r>
        <w:rPr>
          <w:rFonts w:hint="eastAsia"/>
          <w:spacing w:val="-9"/>
          <w:sz w:val="24"/>
        </w:rPr>
        <w:t>同进度计划后</w:t>
      </w:r>
      <w:r>
        <w:rPr>
          <w:rFonts w:hint="eastAsia"/>
          <w:sz w:val="24"/>
        </w:rPr>
        <w:t>3天内。</w:t>
      </w:r>
    </w:p>
    <w:p>
      <w:pPr>
        <w:pStyle w:val="21"/>
        <w:numPr>
          <w:ilvl w:val="4"/>
          <w:numId w:val="5"/>
        </w:numPr>
        <w:tabs>
          <w:tab w:val="left" w:pos="1404"/>
        </w:tabs>
        <w:spacing w:before="1"/>
        <w:jc w:val="both"/>
        <w:rPr>
          <w:sz w:val="24"/>
        </w:rPr>
      </w:pPr>
      <w:r>
        <w:rPr>
          <w:rFonts w:hint="eastAsia"/>
          <w:sz w:val="24"/>
        </w:rPr>
        <w:t>承包人编制施工方案中要有确保工程顺利实施的保证措施。</w:t>
      </w:r>
    </w:p>
    <w:p>
      <w:pPr>
        <w:pStyle w:val="11"/>
        <w:spacing w:before="4"/>
        <w:rPr>
          <w:sz w:val="21"/>
        </w:rPr>
      </w:pPr>
    </w:p>
    <w:p>
      <w:pPr>
        <w:pStyle w:val="21"/>
        <w:numPr>
          <w:ilvl w:val="3"/>
          <w:numId w:val="5"/>
        </w:numPr>
        <w:tabs>
          <w:tab w:val="left" w:pos="1005"/>
        </w:tabs>
        <w:ind w:hanging="182"/>
        <w:jc w:val="left"/>
        <w:rPr>
          <w:sz w:val="24"/>
        </w:rPr>
      </w:pPr>
      <w:r>
        <w:rPr>
          <w:rFonts w:hint="eastAsia"/>
          <w:sz w:val="24"/>
        </w:rPr>
        <w:t>开工和延误</w:t>
      </w:r>
    </w:p>
    <w:p>
      <w:pPr>
        <w:pStyle w:val="11"/>
        <w:spacing w:before="4"/>
        <w:rPr>
          <w:sz w:val="21"/>
        </w:rPr>
      </w:pPr>
    </w:p>
    <w:p>
      <w:pPr>
        <w:pStyle w:val="21"/>
        <w:numPr>
          <w:ilvl w:val="4"/>
          <w:numId w:val="5"/>
        </w:numPr>
        <w:tabs>
          <w:tab w:val="left" w:pos="1404"/>
        </w:tabs>
        <w:jc w:val="both"/>
        <w:rPr>
          <w:sz w:val="24"/>
        </w:rPr>
      </w:pPr>
      <w:r>
        <w:rPr>
          <w:rFonts w:hint="eastAsia"/>
          <w:sz w:val="24"/>
        </w:rPr>
        <w:t>工程开工分项目开工和分部工程开工两种：</w:t>
      </w:r>
    </w:p>
    <w:p>
      <w:pPr>
        <w:pStyle w:val="21"/>
        <w:numPr>
          <w:ilvl w:val="0"/>
          <w:numId w:val="9"/>
        </w:numPr>
        <w:tabs>
          <w:tab w:val="left" w:pos="1468"/>
        </w:tabs>
        <w:spacing w:before="91" w:line="312" w:lineRule="auto"/>
        <w:ind w:right="465" w:firstLine="480"/>
        <w:jc w:val="both"/>
        <w:rPr>
          <w:sz w:val="24"/>
        </w:rPr>
      </w:pPr>
      <w:r>
        <w:rPr>
          <w:rFonts w:hint="eastAsia"/>
          <w:spacing w:val="-3"/>
          <w:sz w:val="24"/>
        </w:rPr>
        <w:t>项目开工：承包人应在签订合同协议后</w:t>
      </w:r>
      <w:r>
        <w:rPr>
          <w:rFonts w:hint="eastAsia"/>
          <w:sz w:val="24"/>
        </w:rPr>
        <w:t>14</w:t>
      </w:r>
      <w:r>
        <w:rPr>
          <w:rFonts w:hint="eastAsia"/>
          <w:spacing w:val="-1"/>
          <w:sz w:val="24"/>
        </w:rPr>
        <w:t>天内向监理人提交开工报告， 主要内容应包括：施工管理机构的建立，劳务、机械设备、材料的进场情况，临时</w:t>
      </w:r>
      <w:r>
        <w:rPr>
          <w:rFonts w:hint="eastAsia"/>
          <w:sz w:val="24"/>
        </w:rPr>
        <w:t>设施的修建及总体施工组织计划等；</w:t>
      </w:r>
    </w:p>
    <w:p>
      <w:pPr>
        <w:spacing w:line="312" w:lineRule="auto"/>
        <w:jc w:val="both"/>
        <w:rPr>
          <w:sz w:val="24"/>
        </w:rPr>
        <w:sectPr>
          <w:pgSz w:w="11910" w:h="16840"/>
          <w:pgMar w:top="1360" w:right="1120" w:bottom="1080" w:left="1260" w:header="882" w:footer="880" w:gutter="0"/>
          <w:cols w:space="720" w:num="1"/>
        </w:sectPr>
      </w:pPr>
    </w:p>
    <w:p>
      <w:pPr>
        <w:pStyle w:val="11"/>
        <w:spacing w:before="12"/>
        <w:rPr>
          <w:sz w:val="17"/>
        </w:rPr>
      </w:pPr>
    </w:p>
    <w:p>
      <w:pPr>
        <w:pStyle w:val="21"/>
        <w:numPr>
          <w:ilvl w:val="0"/>
          <w:numId w:val="9"/>
        </w:numPr>
        <w:tabs>
          <w:tab w:val="left" w:pos="1465"/>
        </w:tabs>
        <w:spacing w:before="74" w:line="312" w:lineRule="auto"/>
        <w:ind w:right="466" w:firstLine="480"/>
        <w:jc w:val="both"/>
        <w:rPr>
          <w:sz w:val="24"/>
        </w:rPr>
      </w:pPr>
      <w:r>
        <w:rPr>
          <w:rFonts w:hint="eastAsia"/>
          <w:spacing w:val="-9"/>
          <w:sz w:val="24"/>
        </w:rPr>
        <w:t>分部工程开工：承包人应在分部工程开工前</w:t>
      </w:r>
      <w:r>
        <w:rPr>
          <w:rFonts w:hint="eastAsia"/>
          <w:sz w:val="24"/>
        </w:rPr>
        <w:t>7天向监理人提交分部工程</w:t>
      </w:r>
      <w:r>
        <w:rPr>
          <w:rFonts w:hint="eastAsia"/>
          <w:spacing w:val="-5"/>
          <w:sz w:val="24"/>
        </w:rPr>
        <w:t>开工报告，若承包人的开工准备、工作计划和质量控制方法是可接受的，经监理人</w:t>
      </w:r>
      <w:r>
        <w:rPr>
          <w:rFonts w:hint="eastAsia"/>
          <w:spacing w:val="-4"/>
          <w:sz w:val="24"/>
        </w:rPr>
        <w:t>书面同意，分部工程才能开工。</w:t>
      </w:r>
    </w:p>
    <w:p>
      <w:pPr>
        <w:pStyle w:val="21"/>
        <w:numPr>
          <w:ilvl w:val="4"/>
          <w:numId w:val="5"/>
        </w:numPr>
        <w:tabs>
          <w:tab w:val="left" w:pos="1404"/>
        </w:tabs>
        <w:spacing w:before="1" w:line="312" w:lineRule="auto"/>
        <w:ind w:left="384" w:right="466" w:firstLine="480"/>
        <w:jc w:val="both"/>
        <w:rPr>
          <w:sz w:val="24"/>
        </w:rPr>
      </w:pPr>
      <w:r>
        <w:rPr>
          <w:rFonts w:hint="eastAsia"/>
          <w:spacing w:val="-2"/>
          <w:sz w:val="24"/>
        </w:rPr>
        <w:t>由于下述原因之一而影响施工进度，承包人有权要求延长工期和</w:t>
      </w:r>
      <w:r>
        <w:rPr>
          <w:rFonts w:hint="eastAsia"/>
          <w:sz w:val="24"/>
        </w:rPr>
        <w:t>（或</w:t>
      </w:r>
      <w:r>
        <w:rPr>
          <w:rFonts w:hint="eastAsia"/>
          <w:spacing w:val="-10"/>
          <w:sz w:val="24"/>
        </w:rPr>
        <w:t>）</w:t>
      </w:r>
      <w:r>
        <w:rPr>
          <w:rFonts w:hint="eastAsia"/>
          <w:spacing w:val="-17"/>
          <w:sz w:val="24"/>
        </w:rPr>
        <w:t>增</w:t>
      </w:r>
      <w:r>
        <w:rPr>
          <w:rFonts w:hint="eastAsia"/>
          <w:sz w:val="24"/>
        </w:rPr>
        <w:t>加费用。</w:t>
      </w:r>
    </w:p>
    <w:p>
      <w:pPr>
        <w:pStyle w:val="21"/>
        <w:numPr>
          <w:ilvl w:val="0"/>
          <w:numId w:val="10"/>
        </w:numPr>
        <w:tabs>
          <w:tab w:val="left" w:pos="1465"/>
        </w:tabs>
        <w:spacing w:line="307" w:lineRule="exact"/>
        <w:rPr>
          <w:sz w:val="24"/>
        </w:rPr>
      </w:pPr>
      <w:r>
        <w:rPr>
          <w:rFonts w:hint="eastAsia"/>
          <w:sz w:val="24"/>
        </w:rPr>
        <w:t>增加合同工作内容；</w:t>
      </w:r>
    </w:p>
    <w:p>
      <w:pPr>
        <w:pStyle w:val="21"/>
        <w:numPr>
          <w:ilvl w:val="0"/>
          <w:numId w:val="10"/>
        </w:numPr>
        <w:tabs>
          <w:tab w:val="left" w:pos="1465"/>
        </w:tabs>
        <w:spacing w:before="93"/>
        <w:rPr>
          <w:sz w:val="24"/>
        </w:rPr>
      </w:pPr>
      <w:r>
        <w:rPr>
          <w:rFonts w:hint="eastAsia"/>
          <w:sz w:val="24"/>
        </w:rPr>
        <w:t>改变合同中任何一项工作的质量要求或其他特性；</w:t>
      </w:r>
    </w:p>
    <w:p>
      <w:pPr>
        <w:pStyle w:val="21"/>
        <w:numPr>
          <w:ilvl w:val="0"/>
          <w:numId w:val="10"/>
        </w:numPr>
        <w:tabs>
          <w:tab w:val="left" w:pos="1465"/>
        </w:tabs>
        <w:spacing w:before="94"/>
        <w:rPr>
          <w:sz w:val="24"/>
        </w:rPr>
      </w:pPr>
      <w:r>
        <w:rPr>
          <w:rFonts w:hint="eastAsia"/>
          <w:spacing w:val="-10"/>
          <w:sz w:val="24"/>
        </w:rPr>
        <w:t>连续降大雨</w:t>
      </w:r>
      <w:r>
        <w:rPr>
          <w:rFonts w:hint="eastAsia"/>
          <w:sz w:val="24"/>
        </w:rPr>
        <w:t>3</w:t>
      </w:r>
      <w:r>
        <w:rPr>
          <w:rFonts w:hint="eastAsia"/>
          <w:spacing w:val="-9"/>
          <w:sz w:val="24"/>
        </w:rPr>
        <w:t>天以上或特大洪水；连续</w:t>
      </w:r>
      <w:r>
        <w:rPr>
          <w:rFonts w:hint="eastAsia"/>
          <w:sz w:val="24"/>
        </w:rPr>
        <w:t>7</w:t>
      </w:r>
      <w:r>
        <w:rPr>
          <w:rFonts w:hint="eastAsia"/>
          <w:spacing w:val="-30"/>
          <w:sz w:val="24"/>
        </w:rPr>
        <w:t>天</w:t>
      </w:r>
      <w:r>
        <w:rPr>
          <w:rFonts w:hint="eastAsia"/>
          <w:sz w:val="24"/>
        </w:rPr>
        <w:t>8</w:t>
      </w:r>
      <w:r>
        <w:rPr>
          <w:rFonts w:hint="eastAsia"/>
          <w:spacing w:val="-5"/>
          <w:sz w:val="24"/>
        </w:rPr>
        <w:t>级以上的大风；或出现其他</w:t>
      </w:r>
    </w:p>
    <w:p>
      <w:pPr>
        <w:pStyle w:val="11"/>
        <w:spacing w:before="90" w:line="312" w:lineRule="auto"/>
        <w:ind w:left="384" w:right="465"/>
      </w:pPr>
      <w:r>
        <w:rPr>
          <w:rFonts w:hint="eastAsia"/>
        </w:rPr>
        <w:t>异常恶劣的气候条件(是指项目所在地30年以上一遇的罕见气候现象，包括温度、降水、降雪、风等)；</w:t>
      </w:r>
    </w:p>
    <w:p>
      <w:pPr>
        <w:pStyle w:val="21"/>
        <w:numPr>
          <w:ilvl w:val="0"/>
          <w:numId w:val="10"/>
        </w:numPr>
        <w:tabs>
          <w:tab w:val="left" w:pos="1465"/>
        </w:tabs>
        <w:spacing w:before="3"/>
        <w:rPr>
          <w:sz w:val="24"/>
        </w:rPr>
      </w:pPr>
      <w:r>
        <w:rPr>
          <w:rFonts w:hint="eastAsia"/>
          <w:sz w:val="24"/>
        </w:rPr>
        <w:t>提供图纸延误；</w:t>
      </w:r>
    </w:p>
    <w:p>
      <w:pPr>
        <w:pStyle w:val="21"/>
        <w:numPr>
          <w:ilvl w:val="0"/>
          <w:numId w:val="10"/>
        </w:numPr>
        <w:tabs>
          <w:tab w:val="left" w:pos="1465"/>
        </w:tabs>
        <w:spacing w:before="90"/>
        <w:rPr>
          <w:sz w:val="24"/>
        </w:rPr>
      </w:pPr>
      <w:r>
        <w:rPr>
          <w:rFonts w:hint="eastAsia"/>
          <w:sz w:val="24"/>
        </w:rPr>
        <w:t>未按合同约定及时支付预付款、进度款；</w:t>
      </w:r>
    </w:p>
    <w:p>
      <w:pPr>
        <w:pStyle w:val="21"/>
        <w:numPr>
          <w:ilvl w:val="0"/>
          <w:numId w:val="10"/>
        </w:numPr>
        <w:tabs>
          <w:tab w:val="left" w:pos="1465"/>
        </w:tabs>
        <w:spacing w:before="94"/>
        <w:rPr>
          <w:sz w:val="24"/>
        </w:rPr>
      </w:pPr>
      <w:r>
        <w:rPr>
          <w:rFonts w:hint="eastAsia"/>
          <w:sz w:val="24"/>
        </w:rPr>
        <w:t>由于发包人原因导致的暂停施工；</w:t>
      </w:r>
    </w:p>
    <w:p>
      <w:pPr>
        <w:pStyle w:val="21"/>
        <w:numPr>
          <w:ilvl w:val="0"/>
          <w:numId w:val="10"/>
        </w:numPr>
        <w:tabs>
          <w:tab w:val="left" w:pos="1465"/>
        </w:tabs>
        <w:spacing w:before="93"/>
        <w:rPr>
          <w:sz w:val="24"/>
        </w:rPr>
      </w:pPr>
      <w:r>
        <w:rPr>
          <w:rFonts w:hint="eastAsia"/>
          <w:sz w:val="24"/>
        </w:rPr>
        <w:t>不是由于承包人的失误或违约而发生的其他特殊情况。</w:t>
      </w:r>
    </w:p>
    <w:p>
      <w:pPr>
        <w:pStyle w:val="21"/>
        <w:numPr>
          <w:ilvl w:val="4"/>
          <w:numId w:val="5"/>
        </w:numPr>
        <w:tabs>
          <w:tab w:val="left" w:pos="1404"/>
        </w:tabs>
        <w:spacing w:before="91" w:line="312" w:lineRule="auto"/>
        <w:ind w:left="384" w:right="466" w:firstLine="480"/>
        <w:jc w:val="both"/>
        <w:rPr>
          <w:sz w:val="24"/>
        </w:rPr>
      </w:pPr>
      <w:r>
        <w:rPr>
          <w:rFonts w:hint="eastAsia"/>
          <w:spacing w:val="-5"/>
          <w:sz w:val="24"/>
        </w:rPr>
        <w:t>承包人应在上述情况发生后</w:t>
      </w:r>
      <w:r>
        <w:rPr>
          <w:rFonts w:hint="eastAsia"/>
          <w:sz w:val="24"/>
        </w:rPr>
        <w:t>7</w:t>
      </w:r>
      <w:r>
        <w:rPr>
          <w:rFonts w:hint="eastAsia"/>
          <w:spacing w:val="-3"/>
          <w:sz w:val="24"/>
        </w:rPr>
        <w:t>天内向监理人发出要求延期的申请，并提交</w:t>
      </w:r>
      <w:r>
        <w:rPr>
          <w:rFonts w:hint="eastAsia"/>
          <w:spacing w:val="-2"/>
          <w:sz w:val="24"/>
        </w:rPr>
        <w:t>延期的详细情况与缘由，监理人在收到最后详细资料后</w:t>
      </w:r>
      <w:r>
        <w:rPr>
          <w:rFonts w:hint="eastAsia"/>
          <w:sz w:val="24"/>
        </w:rPr>
        <w:t>7</w:t>
      </w:r>
      <w:r>
        <w:rPr>
          <w:rFonts w:hint="eastAsia"/>
          <w:spacing w:val="-1"/>
          <w:sz w:val="24"/>
        </w:rPr>
        <w:t>天内调查核实并经发包人批准后予以答复，逾期不答复也不提出修改意见，则应视为承包人延期请求已获得</w:t>
      </w:r>
      <w:r>
        <w:rPr>
          <w:rFonts w:hint="eastAsia"/>
          <w:sz w:val="24"/>
        </w:rPr>
        <w:t>发包人批准。</w:t>
      </w:r>
    </w:p>
    <w:p>
      <w:pPr>
        <w:pStyle w:val="21"/>
        <w:numPr>
          <w:ilvl w:val="4"/>
          <w:numId w:val="5"/>
        </w:numPr>
        <w:tabs>
          <w:tab w:val="left" w:pos="1409"/>
        </w:tabs>
        <w:spacing w:before="2" w:line="312" w:lineRule="auto"/>
        <w:ind w:left="384" w:right="467" w:firstLine="480"/>
        <w:jc w:val="both"/>
        <w:rPr>
          <w:sz w:val="24"/>
        </w:rPr>
      </w:pPr>
      <w:r>
        <w:rPr>
          <w:rFonts w:hint="eastAsia"/>
          <w:spacing w:val="3"/>
          <w:sz w:val="24"/>
        </w:rPr>
        <w:t>由于承包人原因，未能按合同进度计划完成工作，或监理人认为承包人</w:t>
      </w:r>
      <w:r>
        <w:rPr>
          <w:rFonts w:hint="eastAsia"/>
          <w:spacing w:val="-6"/>
          <w:sz w:val="24"/>
        </w:rPr>
        <w:t>施工进度不能满足合同工期要求的，承包人应采取措施加快进度，并承担加快进度所增加的费用。由于承包人原因造成工期延误，承包人应支付逾期违约金。逾期交</w:t>
      </w:r>
      <w:r>
        <w:rPr>
          <w:rFonts w:hint="eastAsia"/>
          <w:spacing w:val="-5"/>
          <w:sz w:val="24"/>
        </w:rPr>
        <w:t>工违约金的计算方法在合同条款数据表中约定，时间自预定的交工日期起到交工验</w:t>
      </w:r>
      <w:r>
        <w:rPr>
          <w:rFonts w:hint="eastAsia"/>
          <w:spacing w:val="-2"/>
          <w:sz w:val="24"/>
        </w:rPr>
        <w:t>收证书中写明的实际交工日期止</w:t>
      </w:r>
      <w:r>
        <w:rPr>
          <w:rFonts w:hint="eastAsia"/>
          <w:spacing w:val="4"/>
          <w:sz w:val="24"/>
        </w:rPr>
        <w:t>（</w:t>
      </w:r>
      <w:r>
        <w:rPr>
          <w:rFonts w:hint="eastAsia"/>
          <w:sz w:val="24"/>
        </w:rPr>
        <w:t>扣除已批准的延长工期</w:t>
      </w:r>
      <w:r>
        <w:rPr>
          <w:rFonts w:hint="eastAsia"/>
          <w:spacing w:val="-23"/>
          <w:sz w:val="24"/>
        </w:rPr>
        <w:t>）</w:t>
      </w:r>
      <w:r>
        <w:rPr>
          <w:rFonts w:hint="eastAsia"/>
          <w:spacing w:val="-5"/>
          <w:sz w:val="24"/>
        </w:rPr>
        <w:t>，按天计算。逾期交工违约金累计金额最高不超过合同条款数据表中写明的限额。但不免除承包人完成工</w:t>
      </w:r>
      <w:r>
        <w:rPr>
          <w:rFonts w:hint="eastAsia"/>
          <w:sz w:val="24"/>
        </w:rPr>
        <w:t>程及修补缺陷的义务。</w:t>
      </w:r>
    </w:p>
    <w:p>
      <w:pPr>
        <w:pStyle w:val="21"/>
        <w:numPr>
          <w:ilvl w:val="3"/>
          <w:numId w:val="5"/>
        </w:numPr>
        <w:tabs>
          <w:tab w:val="left" w:pos="1005"/>
        </w:tabs>
        <w:spacing w:before="182"/>
        <w:ind w:hanging="182"/>
        <w:jc w:val="left"/>
        <w:rPr>
          <w:sz w:val="24"/>
        </w:rPr>
      </w:pPr>
      <w:r>
        <w:rPr>
          <w:rFonts w:hint="eastAsia"/>
          <w:sz w:val="24"/>
        </w:rPr>
        <w:t>工期提前</w:t>
      </w:r>
    </w:p>
    <w:p>
      <w:pPr>
        <w:pStyle w:val="11"/>
        <w:spacing w:before="2"/>
        <w:rPr>
          <w:sz w:val="21"/>
        </w:rPr>
      </w:pPr>
    </w:p>
    <w:p>
      <w:pPr>
        <w:pStyle w:val="11"/>
        <w:spacing w:line="312" w:lineRule="auto"/>
        <w:ind w:left="384" w:right="266" w:firstLine="480"/>
      </w:pPr>
      <w:r>
        <w:rPr>
          <w:rFonts w:hint="eastAsia"/>
        </w:rPr>
        <w:t>发包人不得随意要求承包人提前交工，承包人也不得随意提出提前交工的建议。如遇特殊情况，发包人确需将工期提前的，发生的费用由发包人承担，发包人和承包人必须采取有效措施，确保工程质量。</w:t>
      </w:r>
    </w:p>
    <w:p>
      <w:pPr>
        <w:pStyle w:val="21"/>
        <w:numPr>
          <w:ilvl w:val="3"/>
          <w:numId w:val="5"/>
        </w:numPr>
        <w:tabs>
          <w:tab w:val="left" w:pos="1125"/>
        </w:tabs>
        <w:spacing w:before="181"/>
        <w:ind w:left="1124" w:hanging="302"/>
        <w:jc w:val="left"/>
        <w:rPr>
          <w:sz w:val="24"/>
        </w:rPr>
      </w:pPr>
      <w:r>
        <w:rPr>
          <w:rFonts w:hint="eastAsia"/>
          <w:sz w:val="24"/>
        </w:rPr>
        <w:t>暂停施工及复工</w:t>
      </w:r>
    </w:p>
    <w:p>
      <w:pPr>
        <w:pStyle w:val="11"/>
        <w:spacing w:before="4"/>
        <w:rPr>
          <w:sz w:val="21"/>
        </w:rPr>
      </w:pPr>
    </w:p>
    <w:p>
      <w:pPr>
        <w:pStyle w:val="21"/>
        <w:numPr>
          <w:ilvl w:val="4"/>
          <w:numId w:val="5"/>
        </w:numPr>
        <w:tabs>
          <w:tab w:val="left" w:pos="1523"/>
          <w:tab w:val="left" w:pos="1524"/>
        </w:tabs>
        <w:ind w:left="1524" w:hanging="660"/>
        <w:rPr>
          <w:sz w:val="24"/>
        </w:rPr>
      </w:pPr>
      <w:r>
        <w:rPr>
          <w:rFonts w:hint="eastAsia"/>
          <w:sz w:val="24"/>
        </w:rPr>
        <w:t>承包人暂停施工增加的费用和（或）工期延误由承包人承担，包括：</w:t>
      </w:r>
    </w:p>
    <w:p>
      <w:pPr>
        <w:pStyle w:val="21"/>
        <w:numPr>
          <w:ilvl w:val="0"/>
          <w:numId w:val="11"/>
        </w:numPr>
        <w:tabs>
          <w:tab w:val="left" w:pos="1465"/>
        </w:tabs>
        <w:spacing w:before="93"/>
        <w:rPr>
          <w:sz w:val="24"/>
        </w:rPr>
      </w:pPr>
      <w:r>
        <w:rPr>
          <w:rFonts w:hint="eastAsia"/>
          <w:sz w:val="24"/>
        </w:rPr>
        <w:t>承包人违约引起的暂停施工；</w:t>
      </w:r>
    </w:p>
    <w:p>
      <w:pPr>
        <w:rPr>
          <w:sz w:val="24"/>
        </w:rPr>
        <w:sectPr>
          <w:pgSz w:w="11910" w:h="16840"/>
          <w:pgMar w:top="1360" w:right="1120" w:bottom="1080" w:left="1260" w:header="882" w:footer="880" w:gutter="0"/>
          <w:cols w:space="720" w:num="1"/>
        </w:sectPr>
      </w:pPr>
    </w:p>
    <w:p>
      <w:pPr>
        <w:pStyle w:val="11"/>
        <w:spacing w:before="12"/>
        <w:rPr>
          <w:sz w:val="17"/>
        </w:rPr>
      </w:pPr>
    </w:p>
    <w:p>
      <w:pPr>
        <w:pStyle w:val="21"/>
        <w:numPr>
          <w:ilvl w:val="0"/>
          <w:numId w:val="11"/>
        </w:numPr>
        <w:tabs>
          <w:tab w:val="left" w:pos="1465"/>
        </w:tabs>
        <w:spacing w:before="74"/>
        <w:rPr>
          <w:sz w:val="24"/>
        </w:rPr>
      </w:pPr>
      <w:r>
        <w:rPr>
          <w:rFonts w:hint="eastAsia"/>
          <w:sz w:val="24"/>
        </w:rPr>
        <w:t>由于承包人原因为工程合理施工和安全保障所必需的暂停施工；</w:t>
      </w:r>
    </w:p>
    <w:p>
      <w:pPr>
        <w:pStyle w:val="21"/>
        <w:numPr>
          <w:ilvl w:val="0"/>
          <w:numId w:val="11"/>
        </w:numPr>
        <w:tabs>
          <w:tab w:val="left" w:pos="1465"/>
        </w:tabs>
        <w:spacing w:before="93"/>
        <w:rPr>
          <w:sz w:val="24"/>
        </w:rPr>
      </w:pPr>
      <w:r>
        <w:rPr>
          <w:rFonts w:hint="eastAsia"/>
          <w:sz w:val="24"/>
        </w:rPr>
        <w:t>承包人擅自暂停施工；</w:t>
      </w:r>
    </w:p>
    <w:p>
      <w:pPr>
        <w:pStyle w:val="21"/>
        <w:numPr>
          <w:ilvl w:val="0"/>
          <w:numId w:val="11"/>
        </w:numPr>
        <w:tabs>
          <w:tab w:val="left" w:pos="1465"/>
        </w:tabs>
        <w:spacing w:before="91"/>
        <w:rPr>
          <w:sz w:val="24"/>
        </w:rPr>
      </w:pPr>
      <w:r>
        <w:rPr>
          <w:rFonts w:hint="eastAsia"/>
          <w:sz w:val="24"/>
        </w:rPr>
        <w:t>承包人其他原因引起的暂停施工；</w:t>
      </w:r>
    </w:p>
    <w:p>
      <w:pPr>
        <w:pStyle w:val="21"/>
        <w:numPr>
          <w:ilvl w:val="0"/>
          <w:numId w:val="11"/>
        </w:numPr>
        <w:tabs>
          <w:tab w:val="left" w:pos="1465"/>
        </w:tabs>
        <w:spacing w:before="94"/>
        <w:rPr>
          <w:sz w:val="24"/>
        </w:rPr>
      </w:pPr>
      <w:r>
        <w:rPr>
          <w:rFonts w:hint="eastAsia"/>
          <w:sz w:val="24"/>
        </w:rPr>
        <w:t>现场气候条件导致的必要停工（异常恶劣气候条件除外）。</w:t>
      </w:r>
    </w:p>
    <w:p>
      <w:pPr>
        <w:pStyle w:val="21"/>
        <w:numPr>
          <w:ilvl w:val="4"/>
          <w:numId w:val="5"/>
        </w:numPr>
        <w:tabs>
          <w:tab w:val="left" w:pos="1529"/>
        </w:tabs>
        <w:spacing w:before="93" w:line="312" w:lineRule="auto"/>
        <w:ind w:left="384" w:right="465" w:firstLine="480"/>
        <w:jc w:val="both"/>
        <w:rPr>
          <w:sz w:val="24"/>
        </w:rPr>
      </w:pPr>
      <w:r>
        <w:rPr>
          <w:rFonts w:hint="eastAsia"/>
          <w:sz w:val="24"/>
        </w:rPr>
        <w:t>监理人认为有必要时，可向承包人作出暂停施工的指示，承包人应按监</w:t>
      </w:r>
      <w:r>
        <w:rPr>
          <w:rFonts w:hint="eastAsia"/>
          <w:spacing w:val="-1"/>
          <w:sz w:val="24"/>
        </w:rPr>
        <w:t>理人指示暂停施工。不论由于何种原因引起的暂停施工，暂停施工期间承包人应负责妥善保护工程并提供安全保障。因发包人或监理人的行为或失误引起的停工，由发包人承担相应的费用补偿，相应工期顺延；由承包人原因造成的停工由承包人承</w:t>
      </w:r>
      <w:r>
        <w:rPr>
          <w:rFonts w:hint="eastAsia"/>
          <w:sz w:val="24"/>
        </w:rPr>
        <w:t>担发生的费用，工期不予顺延。</w:t>
      </w:r>
    </w:p>
    <w:p>
      <w:pPr>
        <w:pStyle w:val="21"/>
        <w:numPr>
          <w:ilvl w:val="4"/>
          <w:numId w:val="5"/>
        </w:numPr>
        <w:tabs>
          <w:tab w:val="left" w:pos="1529"/>
        </w:tabs>
        <w:spacing w:line="312" w:lineRule="auto"/>
        <w:ind w:left="384" w:right="466" w:firstLine="480"/>
        <w:jc w:val="both"/>
        <w:rPr>
          <w:sz w:val="24"/>
        </w:rPr>
      </w:pPr>
      <w:r>
        <w:rPr>
          <w:rFonts w:hint="eastAsia"/>
          <w:sz w:val="24"/>
        </w:rPr>
        <w:t>由于发包人原因引起的暂停施工造成工期延误的，承包人有权要求发包人延长工期和(或)</w:t>
      </w:r>
      <w:r>
        <w:rPr>
          <w:rFonts w:hint="eastAsia"/>
          <w:spacing w:val="-4"/>
          <w:sz w:val="24"/>
        </w:rPr>
        <w:t>增加费用，并支付合理利润。在自暂时停工之日起</w:t>
      </w:r>
      <w:r>
        <w:rPr>
          <w:rFonts w:hint="eastAsia"/>
          <w:sz w:val="24"/>
        </w:rPr>
        <w:t>28</w:t>
      </w:r>
      <w:r>
        <w:rPr>
          <w:rFonts w:hint="eastAsia"/>
          <w:spacing w:val="-5"/>
          <w:sz w:val="24"/>
        </w:rPr>
        <w:t>天内，监理</w:t>
      </w:r>
      <w:r>
        <w:rPr>
          <w:rFonts w:hint="eastAsia"/>
          <w:spacing w:val="-9"/>
          <w:sz w:val="24"/>
        </w:rPr>
        <w:t>人仍未发出复工通知，承包人可向监理人提交书面通知，要求自收到该通知后</w:t>
      </w:r>
      <w:r>
        <w:rPr>
          <w:rFonts w:hint="eastAsia"/>
          <w:sz w:val="24"/>
        </w:rPr>
        <w:t>14</w:t>
      </w:r>
      <w:r>
        <w:rPr>
          <w:rFonts w:hint="eastAsia"/>
          <w:spacing w:val="-18"/>
          <w:sz w:val="24"/>
        </w:rPr>
        <w:t>天</w:t>
      </w:r>
      <w:r>
        <w:rPr>
          <w:rFonts w:hint="eastAsia"/>
          <w:sz w:val="24"/>
        </w:rPr>
        <w:t>内准许已经暂停的工程（或其部分工程）</w:t>
      </w:r>
      <w:r>
        <w:rPr>
          <w:rFonts w:hint="eastAsia"/>
          <w:spacing w:val="-1"/>
          <w:sz w:val="24"/>
        </w:rPr>
        <w:t>继续施工。如果监理人逾期不予批准，则</w:t>
      </w:r>
      <w:r>
        <w:rPr>
          <w:rFonts w:hint="eastAsia"/>
          <w:sz w:val="24"/>
        </w:rPr>
        <w:t>承包人可以（但并非必须）作如下选择：</w:t>
      </w:r>
    </w:p>
    <w:p>
      <w:pPr>
        <w:pStyle w:val="21"/>
        <w:numPr>
          <w:ilvl w:val="0"/>
          <w:numId w:val="12"/>
        </w:numPr>
        <w:tabs>
          <w:tab w:val="left" w:pos="1465"/>
        </w:tabs>
        <w:spacing w:before="1" w:line="312" w:lineRule="auto"/>
        <w:ind w:right="466" w:firstLine="480"/>
        <w:rPr>
          <w:sz w:val="24"/>
        </w:rPr>
      </w:pPr>
      <w:r>
        <w:rPr>
          <w:rFonts w:hint="eastAsia"/>
          <w:spacing w:val="-3"/>
          <w:sz w:val="24"/>
        </w:rPr>
        <w:t>如果暂停施工仅涉及本工程的一部分时，则可将该部分工程从本合同中</w:t>
      </w:r>
      <w:r>
        <w:rPr>
          <w:rFonts w:hint="eastAsia"/>
          <w:spacing w:val="-5"/>
          <w:sz w:val="24"/>
        </w:rPr>
        <w:t>取消，同时将此事通知监理人；</w:t>
      </w:r>
    </w:p>
    <w:p>
      <w:pPr>
        <w:pStyle w:val="21"/>
        <w:numPr>
          <w:ilvl w:val="0"/>
          <w:numId w:val="12"/>
        </w:numPr>
        <w:tabs>
          <w:tab w:val="left" w:pos="1465"/>
        </w:tabs>
        <w:spacing w:before="2" w:line="312" w:lineRule="auto"/>
        <w:ind w:right="466" w:firstLine="480"/>
        <w:rPr>
          <w:sz w:val="24"/>
        </w:rPr>
      </w:pPr>
      <w:r>
        <w:rPr>
          <w:rFonts w:hint="eastAsia"/>
          <w:spacing w:val="-4"/>
          <w:sz w:val="24"/>
        </w:rPr>
        <w:t>如果暂停施工影响到整个合同工程时，可视为发包人违约，并由发包人</w:t>
      </w:r>
      <w:r>
        <w:rPr>
          <w:rFonts w:hint="eastAsia"/>
          <w:spacing w:val="-5"/>
          <w:sz w:val="24"/>
        </w:rPr>
        <w:t>承担违约责任。</w:t>
      </w:r>
    </w:p>
    <w:p>
      <w:pPr>
        <w:pStyle w:val="21"/>
        <w:numPr>
          <w:ilvl w:val="4"/>
          <w:numId w:val="5"/>
        </w:numPr>
        <w:tabs>
          <w:tab w:val="left" w:pos="1523"/>
          <w:tab w:val="left" w:pos="1524"/>
        </w:tabs>
        <w:spacing w:line="300" w:lineRule="exact"/>
        <w:ind w:left="1524" w:hanging="660"/>
        <w:rPr>
          <w:sz w:val="24"/>
        </w:rPr>
      </w:pPr>
      <w:r>
        <w:rPr>
          <w:rFonts w:hint="eastAsia"/>
          <w:sz w:val="24"/>
        </w:rPr>
        <w:t>复工</w:t>
      </w:r>
    </w:p>
    <w:p>
      <w:pPr>
        <w:pStyle w:val="21"/>
        <w:numPr>
          <w:ilvl w:val="0"/>
          <w:numId w:val="13"/>
        </w:numPr>
        <w:tabs>
          <w:tab w:val="left" w:pos="1465"/>
        </w:tabs>
        <w:spacing w:before="84" w:line="307" w:lineRule="auto"/>
        <w:ind w:right="346" w:firstLine="480"/>
        <w:rPr>
          <w:sz w:val="24"/>
        </w:rPr>
      </w:pPr>
      <w:r>
        <w:rPr>
          <w:rFonts w:hint="eastAsia"/>
          <w:spacing w:val="-7"/>
          <w:sz w:val="24"/>
        </w:rPr>
        <w:t>暂停施工后，发包人、监理人和承包人应积极协商，采取有效措施积极消</w:t>
      </w:r>
      <w:r>
        <w:rPr>
          <w:rFonts w:hint="eastAsia"/>
          <w:spacing w:val="-13"/>
          <w:sz w:val="24"/>
        </w:rPr>
        <w:t>除暂停施工的影响。当工程具备复工条件时，监理人应立即向承包人发出复工通知。</w:t>
      </w:r>
      <w:r>
        <w:rPr>
          <w:rFonts w:hint="eastAsia"/>
          <w:sz w:val="24"/>
        </w:rPr>
        <w:t>承包人收到复工通知后，应在监理人指定的期限内复工；</w:t>
      </w:r>
    </w:p>
    <w:p>
      <w:pPr>
        <w:pStyle w:val="21"/>
        <w:numPr>
          <w:ilvl w:val="0"/>
          <w:numId w:val="13"/>
        </w:numPr>
        <w:tabs>
          <w:tab w:val="left" w:pos="1465"/>
        </w:tabs>
        <w:spacing w:line="307" w:lineRule="auto"/>
        <w:ind w:right="346" w:firstLine="480"/>
        <w:rPr>
          <w:sz w:val="24"/>
        </w:rPr>
      </w:pPr>
      <w:r>
        <w:rPr>
          <w:rFonts w:hint="eastAsia"/>
          <w:spacing w:val="-8"/>
          <w:sz w:val="24"/>
        </w:rPr>
        <w:t>承包人无故拖延和拒绝复工的，由此增加的费用和工期延误由承包人承担</w:t>
      </w:r>
      <w:r>
        <w:rPr>
          <w:rFonts w:hint="eastAsia"/>
          <w:spacing w:val="-3"/>
          <w:sz w:val="24"/>
        </w:rPr>
        <w:t>；因发包人原因无法按时复工的，承包人有权要求发包人延长工期和</w:t>
      </w:r>
      <w:r>
        <w:rPr>
          <w:rFonts w:hint="eastAsia"/>
          <w:spacing w:val="4"/>
          <w:sz w:val="24"/>
        </w:rPr>
        <w:t>(</w:t>
      </w:r>
      <w:r>
        <w:rPr>
          <w:rFonts w:hint="eastAsia"/>
          <w:sz w:val="24"/>
        </w:rPr>
        <w:t>或</w:t>
      </w:r>
      <w:r>
        <w:rPr>
          <w:rFonts w:hint="eastAsia"/>
          <w:spacing w:val="4"/>
          <w:sz w:val="24"/>
        </w:rPr>
        <w:t>)</w:t>
      </w:r>
      <w:r>
        <w:rPr>
          <w:rFonts w:hint="eastAsia"/>
          <w:sz w:val="24"/>
        </w:rPr>
        <w:t>增加费用，并支付合理利润。</w:t>
      </w:r>
    </w:p>
    <w:p>
      <w:pPr>
        <w:pStyle w:val="21"/>
        <w:numPr>
          <w:ilvl w:val="3"/>
          <w:numId w:val="5"/>
        </w:numPr>
        <w:tabs>
          <w:tab w:val="left" w:pos="1125"/>
        </w:tabs>
        <w:spacing w:before="163"/>
        <w:ind w:left="1124" w:hanging="302"/>
        <w:jc w:val="left"/>
        <w:rPr>
          <w:sz w:val="24"/>
        </w:rPr>
      </w:pPr>
      <w:r>
        <w:rPr>
          <w:rFonts w:hint="eastAsia"/>
          <w:sz w:val="24"/>
        </w:rPr>
        <w:t>工程竣（交）工</w:t>
      </w:r>
    </w:p>
    <w:p>
      <w:pPr>
        <w:pStyle w:val="11"/>
        <w:spacing w:before="7"/>
        <w:rPr>
          <w:sz w:val="20"/>
        </w:rPr>
      </w:pPr>
    </w:p>
    <w:p>
      <w:pPr>
        <w:pStyle w:val="21"/>
        <w:numPr>
          <w:ilvl w:val="4"/>
          <w:numId w:val="5"/>
        </w:numPr>
        <w:tabs>
          <w:tab w:val="left" w:pos="1528"/>
          <w:tab w:val="left" w:pos="1529"/>
        </w:tabs>
        <w:spacing w:line="304" w:lineRule="auto"/>
        <w:ind w:left="384" w:right="346" w:firstLine="480"/>
        <w:rPr>
          <w:sz w:val="24"/>
        </w:rPr>
      </w:pPr>
      <w:r>
        <w:rPr>
          <w:rFonts w:hint="eastAsia"/>
          <w:sz w:val="24"/>
        </w:rPr>
        <w:t>工程完工，通过交工验收质量达到合格，并已按《新疆维吾尔自治区重要农村公路竣（交）工验收办法（试行）》的规定和地方交通主管部门的规定编制</w:t>
      </w:r>
      <w:r>
        <w:rPr>
          <w:rFonts w:hint="eastAsia"/>
          <w:spacing w:val="-7"/>
          <w:sz w:val="24"/>
        </w:rPr>
        <w:t>了竣工图表和竣工资料后，承包人可就此向监理人申请交工验收，同时抄送发包人。</w:t>
      </w:r>
      <w:r>
        <w:rPr>
          <w:rFonts w:hint="eastAsia"/>
          <w:spacing w:val="-8"/>
          <w:sz w:val="24"/>
        </w:rPr>
        <w:t>监理人在收到该申请后，应在</w:t>
      </w:r>
      <w:r>
        <w:rPr>
          <w:rFonts w:hint="eastAsia"/>
          <w:sz w:val="24"/>
        </w:rPr>
        <w:t>7</w:t>
      </w:r>
      <w:r>
        <w:rPr>
          <w:rFonts w:hint="eastAsia"/>
          <w:spacing w:val="-8"/>
          <w:sz w:val="24"/>
        </w:rPr>
        <w:t>天内审核并报发包人，发包人在收到申请后</w:t>
      </w:r>
      <w:r>
        <w:rPr>
          <w:rFonts w:hint="eastAsia"/>
          <w:sz w:val="24"/>
        </w:rPr>
        <w:t>14天内应组织交工验收，并写出交工验收报告报上级主管部门备案，同时发包人在交工验</w:t>
      </w:r>
      <w:r>
        <w:rPr>
          <w:rFonts w:hint="eastAsia"/>
          <w:spacing w:val="-12"/>
          <w:sz w:val="24"/>
        </w:rPr>
        <w:t>收合格后</w:t>
      </w:r>
      <w:r>
        <w:rPr>
          <w:rFonts w:hint="eastAsia"/>
          <w:sz w:val="24"/>
        </w:rPr>
        <w:t>14</w:t>
      </w:r>
      <w:r>
        <w:rPr>
          <w:rFonts w:hint="eastAsia"/>
          <w:spacing w:val="-10"/>
          <w:sz w:val="24"/>
        </w:rPr>
        <w:t>天内，向承包人签发交工证书，各合同段交工验收工作所需费用由承包人承担。并办理合同工程移交管养工作。工程进入缺陷责任期。</w:t>
      </w:r>
    </w:p>
    <w:p>
      <w:pPr>
        <w:spacing w:line="304" w:lineRule="auto"/>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4"/>
          <w:numId w:val="5"/>
        </w:numPr>
        <w:tabs>
          <w:tab w:val="left" w:pos="1529"/>
        </w:tabs>
        <w:spacing w:before="74" w:line="304" w:lineRule="auto"/>
        <w:ind w:left="384" w:right="465" w:firstLine="480"/>
        <w:jc w:val="both"/>
        <w:rPr>
          <w:sz w:val="24"/>
        </w:rPr>
      </w:pPr>
      <w:r>
        <w:rPr>
          <w:rFonts w:hint="eastAsia"/>
          <w:sz w:val="24"/>
        </w:rPr>
        <w:t>全部工程完工后，在全部工程交工证书签发之前，承包人须向发包人提</w:t>
      </w:r>
      <w:r>
        <w:rPr>
          <w:rFonts w:hint="eastAsia"/>
          <w:spacing w:val="-25"/>
          <w:sz w:val="24"/>
        </w:rPr>
        <w:t>交</w:t>
      </w:r>
      <w:r>
        <w:rPr>
          <w:rFonts w:hint="eastAsia"/>
          <w:sz w:val="24"/>
        </w:rPr>
        <w:t>3</w:t>
      </w:r>
      <w:r>
        <w:rPr>
          <w:rFonts w:hint="eastAsia"/>
          <w:spacing w:val="-1"/>
          <w:sz w:val="24"/>
        </w:rPr>
        <w:t>套完整、合格的竣工文件与施工文件。在缺陷责任期内应补充的竣工资料应在签发缺陷责任证书之前提交。在承包人实施和完成本合同工程及其缺陷修复的义务后，应由监理人根据合同规定核查缺陷责任修复完成后填写缺陷责任终止证书，报</w:t>
      </w:r>
      <w:r>
        <w:rPr>
          <w:rFonts w:hint="eastAsia"/>
          <w:spacing w:val="-3"/>
          <w:sz w:val="24"/>
        </w:rPr>
        <w:t>发包人同意后，由发包人在缺陷责任期终止后</w:t>
      </w:r>
      <w:r>
        <w:rPr>
          <w:rFonts w:hint="eastAsia"/>
          <w:sz w:val="24"/>
        </w:rPr>
        <w:t>21天之内发出。</w:t>
      </w:r>
    </w:p>
    <w:p>
      <w:pPr>
        <w:pStyle w:val="21"/>
        <w:numPr>
          <w:ilvl w:val="4"/>
          <w:numId w:val="5"/>
        </w:numPr>
        <w:tabs>
          <w:tab w:val="left" w:pos="1529"/>
        </w:tabs>
        <w:spacing w:before="8" w:line="304" w:lineRule="auto"/>
        <w:ind w:left="384" w:right="467" w:firstLine="480"/>
        <w:jc w:val="both"/>
        <w:rPr>
          <w:sz w:val="24"/>
        </w:rPr>
      </w:pPr>
      <w:r>
        <w:rPr>
          <w:rFonts w:hint="eastAsia"/>
          <w:sz w:val="24"/>
        </w:rPr>
        <w:t>工程全部完工并通过交工验收后，发包人应向上级主管部门申请进行竣工验收。组织办理竣工验收的费用，由发包人承担。</w:t>
      </w:r>
    </w:p>
    <w:p>
      <w:pPr>
        <w:pStyle w:val="21"/>
        <w:numPr>
          <w:ilvl w:val="4"/>
          <w:numId w:val="5"/>
        </w:numPr>
        <w:tabs>
          <w:tab w:val="left" w:pos="1529"/>
        </w:tabs>
        <w:spacing w:before="1" w:line="307" w:lineRule="auto"/>
        <w:ind w:left="384" w:right="467" w:firstLine="480"/>
        <w:jc w:val="both"/>
        <w:rPr>
          <w:sz w:val="24"/>
        </w:rPr>
      </w:pPr>
      <w:r>
        <w:rPr>
          <w:rFonts w:hint="eastAsia"/>
          <w:sz w:val="24"/>
        </w:rPr>
        <w:t>工程接收证书颁发后，承包人应按要求对施工场地进行清理，直至监理人检验合格为止。竣工清场费用由承包人承担。</w:t>
      </w:r>
    </w:p>
    <w:p>
      <w:pPr>
        <w:pStyle w:val="21"/>
        <w:numPr>
          <w:ilvl w:val="4"/>
          <w:numId w:val="5"/>
        </w:numPr>
        <w:tabs>
          <w:tab w:val="left" w:pos="1344"/>
        </w:tabs>
        <w:spacing w:line="305" w:lineRule="exact"/>
        <w:ind w:left="1344" w:hanging="480"/>
        <w:jc w:val="both"/>
        <w:rPr>
          <w:sz w:val="24"/>
        </w:rPr>
      </w:pPr>
      <w:r>
        <w:rPr>
          <w:rFonts w:hint="eastAsia"/>
          <w:sz w:val="24"/>
        </w:rPr>
        <w:t>施工期运行</w:t>
      </w:r>
    </w:p>
    <w:p>
      <w:pPr>
        <w:pStyle w:val="21"/>
        <w:numPr>
          <w:ilvl w:val="5"/>
          <w:numId w:val="5"/>
        </w:numPr>
        <w:tabs>
          <w:tab w:val="left" w:pos="1584"/>
        </w:tabs>
        <w:spacing w:before="84" w:line="307" w:lineRule="auto"/>
        <w:ind w:right="465" w:firstLine="480"/>
        <w:jc w:val="both"/>
        <w:rPr>
          <w:sz w:val="24"/>
        </w:rPr>
      </w:pPr>
      <w:r>
        <w:rPr>
          <w:rFonts w:hint="eastAsia"/>
          <w:spacing w:val="-1"/>
          <w:sz w:val="24"/>
        </w:rPr>
        <w:t>施工期运行是指合同工程尚未全部竣工，其中某项或某几项单位工程或工程设备安装已竣工，根据专用合同条款约定，需要投入施工期运行的，经发包人</w:t>
      </w:r>
      <w:r>
        <w:rPr>
          <w:rFonts w:hint="eastAsia"/>
          <w:spacing w:val="-20"/>
          <w:sz w:val="24"/>
        </w:rPr>
        <w:t xml:space="preserve">按第 </w:t>
      </w:r>
      <w:r>
        <w:rPr>
          <w:rFonts w:hint="eastAsia"/>
          <w:sz w:val="24"/>
        </w:rPr>
        <w:t>11.1 款的约定验收合格，证明能确保安全后，才能在施工期投入运行。</w:t>
      </w:r>
    </w:p>
    <w:p>
      <w:pPr>
        <w:pStyle w:val="21"/>
        <w:numPr>
          <w:ilvl w:val="5"/>
          <w:numId w:val="5"/>
        </w:numPr>
        <w:tabs>
          <w:tab w:val="left" w:pos="1584"/>
        </w:tabs>
        <w:spacing w:line="303" w:lineRule="exact"/>
        <w:ind w:left="1584"/>
        <w:jc w:val="both"/>
        <w:rPr>
          <w:sz w:val="24"/>
        </w:rPr>
      </w:pPr>
      <w:r>
        <w:rPr>
          <w:rFonts w:hint="eastAsia"/>
          <w:sz w:val="24"/>
        </w:rPr>
        <w:t>在施工期运行中发现工程或工程设备损坏或存在缺陷的，由承包人按第</w:t>
      </w:r>
    </w:p>
    <w:p>
      <w:pPr>
        <w:pStyle w:val="11"/>
        <w:spacing w:before="86"/>
        <w:ind w:left="384"/>
        <w:jc w:val="both"/>
      </w:pPr>
      <w:r>
        <w:rPr>
          <w:rFonts w:hint="eastAsia"/>
        </w:rPr>
        <w:t>21.2 款约定进行修复。</w:t>
      </w:r>
    </w:p>
    <w:p>
      <w:pPr>
        <w:pStyle w:val="21"/>
        <w:numPr>
          <w:ilvl w:val="1"/>
          <w:numId w:val="14"/>
        </w:numPr>
        <w:tabs>
          <w:tab w:val="left" w:pos="1404"/>
        </w:tabs>
        <w:spacing w:before="84"/>
        <w:jc w:val="both"/>
        <w:rPr>
          <w:sz w:val="24"/>
        </w:rPr>
      </w:pPr>
      <w:r>
        <w:rPr>
          <w:rFonts w:hint="eastAsia"/>
          <w:sz w:val="24"/>
        </w:rPr>
        <w:t>试运行</w:t>
      </w:r>
    </w:p>
    <w:p>
      <w:pPr>
        <w:pStyle w:val="21"/>
        <w:numPr>
          <w:ilvl w:val="2"/>
          <w:numId w:val="14"/>
        </w:numPr>
        <w:tabs>
          <w:tab w:val="left" w:pos="1584"/>
        </w:tabs>
        <w:spacing w:before="100" w:line="312" w:lineRule="auto"/>
        <w:ind w:right="502" w:firstLine="480"/>
        <w:jc w:val="both"/>
        <w:rPr>
          <w:sz w:val="24"/>
        </w:rPr>
      </w:pPr>
      <w:r>
        <w:rPr>
          <w:rFonts w:hint="eastAsia"/>
          <w:spacing w:val="-1"/>
          <w:sz w:val="24"/>
        </w:rPr>
        <w:t>除专用合同条款另有约定外，承包人应按专用合同条款约定进行工程及工程设备试运行，负责提供试运行所需的人员、器材和必要的条件，并承担全部试</w:t>
      </w:r>
      <w:r>
        <w:rPr>
          <w:rFonts w:hint="eastAsia"/>
          <w:sz w:val="24"/>
        </w:rPr>
        <w:t>运行费用。</w:t>
      </w:r>
    </w:p>
    <w:p>
      <w:pPr>
        <w:pStyle w:val="21"/>
        <w:numPr>
          <w:ilvl w:val="2"/>
          <w:numId w:val="14"/>
        </w:numPr>
        <w:tabs>
          <w:tab w:val="left" w:pos="1527"/>
        </w:tabs>
        <w:spacing w:line="291" w:lineRule="exact"/>
        <w:ind w:left="1526" w:hanging="663"/>
        <w:jc w:val="both"/>
        <w:rPr>
          <w:sz w:val="24"/>
        </w:rPr>
      </w:pPr>
      <w:r>
        <w:rPr>
          <w:rFonts w:hint="eastAsia"/>
          <w:sz w:val="24"/>
        </w:rPr>
        <w:t>由于承包人的原因导致试运行失败的，承包人应采取措施保证试运行合</w:t>
      </w:r>
    </w:p>
    <w:p>
      <w:pPr>
        <w:pStyle w:val="11"/>
        <w:spacing w:before="87" w:line="304" w:lineRule="auto"/>
        <w:ind w:left="384" w:right="465"/>
      </w:pPr>
      <w:r>
        <w:rPr>
          <w:rFonts w:hint="eastAsia"/>
        </w:rPr>
        <w:t>格，并承担相应费用。由于发包人的原因导致试运行失败的，承包人应当采取措施保证试运行合格，发包人应承担由此产生的费用，并支付承包人合理利润。</w:t>
      </w:r>
    </w:p>
    <w:p>
      <w:pPr>
        <w:pStyle w:val="11"/>
        <w:spacing w:before="174"/>
        <w:ind w:left="583"/>
      </w:pPr>
      <w:r>
        <w:rPr>
          <w:rFonts w:hint="eastAsia"/>
        </w:rPr>
        <w:t>四、质量与检验</w:t>
      </w:r>
    </w:p>
    <w:p>
      <w:pPr>
        <w:pStyle w:val="11"/>
        <w:spacing w:before="10"/>
        <w:rPr>
          <w:sz w:val="19"/>
        </w:rPr>
      </w:pPr>
    </w:p>
    <w:p>
      <w:pPr>
        <w:pStyle w:val="21"/>
        <w:numPr>
          <w:ilvl w:val="3"/>
          <w:numId w:val="5"/>
        </w:numPr>
        <w:tabs>
          <w:tab w:val="left" w:pos="1125"/>
        </w:tabs>
        <w:ind w:left="1124" w:hanging="302"/>
        <w:jc w:val="left"/>
        <w:rPr>
          <w:sz w:val="24"/>
        </w:rPr>
      </w:pPr>
      <w:r>
        <w:rPr>
          <w:rFonts w:hint="eastAsia"/>
          <w:sz w:val="24"/>
        </w:rPr>
        <w:t>工程质量与检验</w:t>
      </w:r>
    </w:p>
    <w:p>
      <w:pPr>
        <w:pStyle w:val="11"/>
        <w:spacing w:before="8"/>
        <w:rPr>
          <w:sz w:val="20"/>
        </w:rPr>
      </w:pPr>
    </w:p>
    <w:p>
      <w:pPr>
        <w:pStyle w:val="21"/>
        <w:numPr>
          <w:ilvl w:val="4"/>
          <w:numId w:val="5"/>
        </w:numPr>
        <w:tabs>
          <w:tab w:val="left" w:pos="1528"/>
          <w:tab w:val="left" w:pos="1529"/>
        </w:tabs>
        <w:spacing w:line="304" w:lineRule="auto"/>
        <w:ind w:left="384" w:right="346" w:firstLine="480"/>
        <w:rPr>
          <w:sz w:val="24"/>
        </w:rPr>
      </w:pPr>
      <w:r>
        <w:rPr>
          <w:rFonts w:hint="eastAsia"/>
          <w:sz w:val="24"/>
        </w:rPr>
        <w:t>承包人应保证其实施的工程质量达到约定的质量标准，质量标准的评定</w:t>
      </w:r>
      <w:r>
        <w:rPr>
          <w:rFonts w:hint="eastAsia"/>
          <w:spacing w:val="-4"/>
          <w:sz w:val="24"/>
        </w:rPr>
        <w:t xml:space="preserve">以交通运输部及新疆交通运输厅有关质量检验评定标准规定为依据。因承包人原因， </w:t>
      </w:r>
      <w:r>
        <w:rPr>
          <w:rFonts w:hint="eastAsia"/>
          <w:sz w:val="24"/>
        </w:rPr>
        <w:t>工程质量达不到合同约定验收标准的，监理人有权要求承包人返工直至符合合同要求为止，承包人承担由此造成的费用增加和（或）工期延误。</w:t>
      </w:r>
    </w:p>
    <w:p>
      <w:pPr>
        <w:pStyle w:val="11"/>
        <w:spacing w:before="5" w:line="304" w:lineRule="auto"/>
        <w:ind w:left="384" w:right="465" w:firstLine="480"/>
      </w:pPr>
      <w:r>
        <w:rPr>
          <w:rFonts w:hint="eastAsia"/>
        </w:rPr>
        <w:t>因发包人原因造成工程质量达不到合同约定验收标准的，发包人应承担由于承包人返工造成的费用增加和（或）工期延误，并支付承包人合理利润。</w:t>
      </w:r>
    </w:p>
    <w:p>
      <w:pPr>
        <w:pStyle w:val="21"/>
        <w:numPr>
          <w:ilvl w:val="4"/>
          <w:numId w:val="5"/>
        </w:numPr>
        <w:tabs>
          <w:tab w:val="left" w:pos="1523"/>
          <w:tab w:val="left" w:pos="1524"/>
        </w:tabs>
        <w:spacing w:before="4"/>
        <w:ind w:left="1524" w:hanging="660"/>
        <w:rPr>
          <w:sz w:val="24"/>
        </w:rPr>
      </w:pPr>
      <w:r>
        <w:rPr>
          <w:rFonts w:hint="eastAsia"/>
          <w:sz w:val="24"/>
        </w:rPr>
        <w:t>承包人的质量管理</w:t>
      </w:r>
    </w:p>
    <w:p>
      <w:pPr>
        <w:pStyle w:val="21"/>
        <w:numPr>
          <w:ilvl w:val="0"/>
          <w:numId w:val="15"/>
        </w:numPr>
        <w:tabs>
          <w:tab w:val="left" w:pos="1465"/>
        </w:tabs>
        <w:spacing w:before="83" w:line="304" w:lineRule="auto"/>
        <w:ind w:right="382" w:firstLine="480"/>
        <w:rPr>
          <w:sz w:val="24"/>
        </w:rPr>
      </w:pPr>
      <w:r>
        <w:rPr>
          <w:rFonts w:hint="eastAsia"/>
          <w:spacing w:val="-1"/>
          <w:sz w:val="24"/>
        </w:rPr>
        <w:t xml:space="preserve">承包人应在施工场地设置专门的质量检查机构，配备专职质量检查人员， </w:t>
      </w:r>
      <w:r>
        <w:rPr>
          <w:rFonts w:hint="eastAsia"/>
          <w:sz w:val="24"/>
        </w:rPr>
        <w:t>建立完善的质量检查制度。承包人应在合同约定的期限内，提交工程质量保证措施</w:t>
      </w:r>
    </w:p>
    <w:p>
      <w:pPr>
        <w:spacing w:line="304" w:lineRule="auto"/>
        <w:rPr>
          <w:sz w:val="24"/>
        </w:rPr>
        <w:sectPr>
          <w:pgSz w:w="11910" w:h="16840"/>
          <w:pgMar w:top="1360" w:right="1120" w:bottom="1080" w:left="1260" w:header="882" w:footer="880" w:gutter="0"/>
          <w:cols w:space="720" w:num="1"/>
        </w:sectPr>
      </w:pPr>
    </w:p>
    <w:p>
      <w:pPr>
        <w:pStyle w:val="11"/>
        <w:rPr>
          <w:sz w:val="18"/>
        </w:rPr>
      </w:pPr>
    </w:p>
    <w:p>
      <w:pPr>
        <w:pStyle w:val="11"/>
        <w:spacing w:before="66" w:line="304" w:lineRule="auto"/>
        <w:ind w:left="384" w:right="465"/>
      </w:pPr>
      <w:r>
        <w:rPr>
          <w:rFonts w:hint="eastAsia"/>
        </w:rPr>
        <w:t>文件，包括质量检查机构的组织和岗位责任、质检人员的组成、质量检查程序和实施细则等，报送监理人审批；</w:t>
      </w:r>
    </w:p>
    <w:p>
      <w:pPr>
        <w:pStyle w:val="21"/>
        <w:numPr>
          <w:ilvl w:val="0"/>
          <w:numId w:val="15"/>
        </w:numPr>
        <w:tabs>
          <w:tab w:val="left" w:pos="1465"/>
        </w:tabs>
        <w:spacing w:before="4" w:line="304" w:lineRule="auto"/>
        <w:ind w:right="466" w:firstLine="480"/>
        <w:jc w:val="both"/>
        <w:rPr>
          <w:sz w:val="24"/>
        </w:rPr>
      </w:pPr>
      <w:r>
        <w:rPr>
          <w:rFonts w:hint="eastAsia"/>
          <w:sz w:val="24"/>
        </w:rPr>
        <w:t>发包人和承包人应严格遵守交通运输部和新疆交通运输厅有关公路工程</w:t>
      </w:r>
      <w:r>
        <w:rPr>
          <w:rFonts w:hint="eastAsia"/>
          <w:spacing w:val="-5"/>
          <w:sz w:val="24"/>
        </w:rPr>
        <w:t>质量责任制和质量问题责任追究的相关规定，施行质量责任终身制，制定相关质量</w:t>
      </w:r>
      <w:r>
        <w:rPr>
          <w:rFonts w:hint="eastAsia"/>
          <w:spacing w:val="-3"/>
          <w:sz w:val="24"/>
        </w:rPr>
        <w:t>保证措施；</w:t>
      </w:r>
    </w:p>
    <w:p>
      <w:pPr>
        <w:pStyle w:val="21"/>
        <w:numPr>
          <w:ilvl w:val="0"/>
          <w:numId w:val="15"/>
        </w:numPr>
        <w:tabs>
          <w:tab w:val="left" w:pos="1465"/>
        </w:tabs>
        <w:spacing w:before="4" w:line="304" w:lineRule="auto"/>
        <w:ind w:right="466" w:firstLine="480"/>
        <w:jc w:val="both"/>
        <w:rPr>
          <w:sz w:val="24"/>
        </w:rPr>
      </w:pPr>
      <w:r>
        <w:rPr>
          <w:rFonts w:hint="eastAsia"/>
          <w:spacing w:val="-3"/>
          <w:sz w:val="24"/>
        </w:rPr>
        <w:t>用于本工程的材料和设备进场以前，承包人必须向监理人提交生产厂商</w:t>
      </w:r>
      <w:r>
        <w:rPr>
          <w:rFonts w:hint="eastAsia"/>
          <w:spacing w:val="-5"/>
          <w:sz w:val="24"/>
        </w:rPr>
        <w:t>出具的质量合格证书和承包人检验合格证书，证明材料、设备质量符合技术规范的规定；</w:t>
      </w:r>
    </w:p>
    <w:p>
      <w:pPr>
        <w:pStyle w:val="21"/>
        <w:numPr>
          <w:ilvl w:val="0"/>
          <w:numId w:val="15"/>
        </w:numPr>
        <w:tabs>
          <w:tab w:val="left" w:pos="1465"/>
        </w:tabs>
        <w:spacing w:before="5" w:line="304" w:lineRule="auto"/>
        <w:ind w:right="466" w:firstLine="480"/>
        <w:rPr>
          <w:sz w:val="24"/>
        </w:rPr>
      </w:pPr>
      <w:r>
        <w:rPr>
          <w:rFonts w:hint="eastAsia"/>
          <w:spacing w:val="-3"/>
          <w:sz w:val="24"/>
        </w:rPr>
        <w:t>承包人应随时按监理人的指令在制造、加工或施工现场对材料和设备进</w:t>
      </w:r>
      <w:r>
        <w:rPr>
          <w:rFonts w:hint="eastAsia"/>
          <w:spacing w:val="-6"/>
          <w:sz w:val="24"/>
        </w:rPr>
        <w:t>行检验；</w:t>
      </w:r>
    </w:p>
    <w:p>
      <w:pPr>
        <w:pStyle w:val="21"/>
        <w:numPr>
          <w:ilvl w:val="0"/>
          <w:numId w:val="15"/>
        </w:numPr>
        <w:tabs>
          <w:tab w:val="left" w:pos="1465"/>
        </w:tabs>
        <w:spacing w:before="1" w:line="307" w:lineRule="auto"/>
        <w:ind w:right="466" w:firstLine="480"/>
        <w:rPr>
          <w:sz w:val="24"/>
        </w:rPr>
      </w:pPr>
      <w:r>
        <w:rPr>
          <w:rFonts w:hint="eastAsia"/>
          <w:spacing w:val="-2"/>
          <w:sz w:val="24"/>
        </w:rPr>
        <w:t>承包人应为监理人对材料或设备的检验提供一切必要的协助，在材料用</w:t>
      </w:r>
      <w:r>
        <w:rPr>
          <w:rFonts w:hint="eastAsia"/>
          <w:spacing w:val="-5"/>
          <w:sz w:val="24"/>
        </w:rPr>
        <w:t>于工程之前，应按监理人的要求提供材料样品以供检验；</w:t>
      </w:r>
    </w:p>
    <w:p>
      <w:pPr>
        <w:pStyle w:val="21"/>
        <w:numPr>
          <w:ilvl w:val="0"/>
          <w:numId w:val="15"/>
        </w:numPr>
        <w:tabs>
          <w:tab w:val="left" w:pos="1465"/>
        </w:tabs>
        <w:spacing w:line="304" w:lineRule="auto"/>
        <w:ind w:right="466" w:firstLine="480"/>
        <w:rPr>
          <w:sz w:val="24"/>
        </w:rPr>
      </w:pPr>
      <w:r>
        <w:rPr>
          <w:rFonts w:hint="eastAsia"/>
          <w:spacing w:val="-5"/>
          <w:sz w:val="24"/>
        </w:rPr>
        <w:t>承包人应加强质量监控，确保规范规定的检验、抽检频率，现场质检的原</w:t>
      </w:r>
      <w:r>
        <w:rPr>
          <w:rFonts w:hint="eastAsia"/>
          <w:sz w:val="24"/>
        </w:rPr>
        <w:t>始资料必须真实、准确、可靠，不得追记，接受质量检查时必须出示原始资料；</w:t>
      </w:r>
    </w:p>
    <w:p>
      <w:pPr>
        <w:pStyle w:val="21"/>
        <w:numPr>
          <w:ilvl w:val="0"/>
          <w:numId w:val="15"/>
        </w:numPr>
        <w:tabs>
          <w:tab w:val="left" w:pos="1465"/>
        </w:tabs>
        <w:spacing w:before="1" w:line="304" w:lineRule="auto"/>
        <w:ind w:right="466" w:firstLine="480"/>
        <w:jc w:val="both"/>
        <w:rPr>
          <w:sz w:val="24"/>
        </w:rPr>
      </w:pPr>
      <w:r>
        <w:rPr>
          <w:rFonts w:hint="eastAsia"/>
          <w:spacing w:val="-4"/>
          <w:sz w:val="24"/>
        </w:rPr>
        <w:t>承包人必须完善检验手段，根据技术规范的规定配齐检测和试验仪器、</w:t>
      </w:r>
      <w:r>
        <w:rPr>
          <w:rFonts w:hint="eastAsia"/>
          <w:spacing w:val="-5"/>
          <w:sz w:val="24"/>
        </w:rPr>
        <w:t>仪表，并应及时校正确保其精度；根据合同要求加强工地试验室的管理；加强标准</w:t>
      </w:r>
      <w:r>
        <w:rPr>
          <w:rFonts w:hint="eastAsia"/>
          <w:spacing w:val="-4"/>
          <w:sz w:val="24"/>
        </w:rPr>
        <w:t>计量基础工作和材料检验工作，不得违规计量，不合格材料严禁用于本工程；</w:t>
      </w:r>
    </w:p>
    <w:p>
      <w:pPr>
        <w:pStyle w:val="21"/>
        <w:numPr>
          <w:ilvl w:val="0"/>
          <w:numId w:val="15"/>
        </w:numPr>
        <w:tabs>
          <w:tab w:val="left" w:pos="1465"/>
        </w:tabs>
        <w:spacing w:before="5"/>
        <w:ind w:left="1465"/>
        <w:rPr>
          <w:sz w:val="24"/>
        </w:rPr>
      </w:pPr>
      <w:r>
        <w:rPr>
          <w:rFonts w:hint="eastAsia"/>
          <w:sz w:val="24"/>
        </w:rPr>
        <w:t>所有施工操作工艺应符合本合同的规定以及监理人的指令；</w:t>
      </w:r>
    </w:p>
    <w:p>
      <w:pPr>
        <w:pStyle w:val="21"/>
        <w:numPr>
          <w:ilvl w:val="0"/>
          <w:numId w:val="15"/>
        </w:numPr>
        <w:tabs>
          <w:tab w:val="left" w:pos="1465"/>
        </w:tabs>
        <w:spacing w:before="84" w:line="307" w:lineRule="auto"/>
        <w:ind w:right="466" w:firstLine="480"/>
        <w:jc w:val="both"/>
        <w:rPr>
          <w:sz w:val="24"/>
        </w:rPr>
      </w:pPr>
      <w:r>
        <w:rPr>
          <w:rFonts w:hint="eastAsia"/>
          <w:spacing w:val="-5"/>
          <w:sz w:val="24"/>
        </w:rPr>
        <w:t>对工程质量有争议，监理人可委托独立的工程质量检测机构鉴定，所需费用及因此造成的损失，由责任方承担。双方均有责任的，由双方根据其责任大小</w:t>
      </w:r>
      <w:r>
        <w:rPr>
          <w:rFonts w:hint="eastAsia"/>
          <w:spacing w:val="-4"/>
          <w:sz w:val="24"/>
        </w:rPr>
        <w:t>分别承担；</w:t>
      </w:r>
    </w:p>
    <w:p>
      <w:pPr>
        <w:pStyle w:val="21"/>
        <w:numPr>
          <w:ilvl w:val="0"/>
          <w:numId w:val="15"/>
        </w:numPr>
        <w:tabs>
          <w:tab w:val="left" w:pos="1588"/>
        </w:tabs>
        <w:spacing w:line="307" w:lineRule="auto"/>
        <w:ind w:right="465" w:firstLine="480"/>
        <w:jc w:val="both"/>
        <w:rPr>
          <w:sz w:val="24"/>
        </w:rPr>
      </w:pPr>
      <w:r>
        <w:rPr>
          <w:rFonts w:hint="eastAsia"/>
          <w:spacing w:val="-1"/>
          <w:sz w:val="24"/>
        </w:rPr>
        <w:t>承包人应合理安排施工计划，合理安排工期，尽量避免工程越冬施工。如必须越冬，要采取必要的措施，保证工程质量；所发生的费用，承包人在报价中</w:t>
      </w:r>
      <w:r>
        <w:rPr>
          <w:rFonts w:hint="eastAsia"/>
          <w:sz w:val="24"/>
        </w:rPr>
        <w:t>要充分考虑，发包人不单独支付。</w:t>
      </w:r>
    </w:p>
    <w:p>
      <w:pPr>
        <w:pStyle w:val="21"/>
        <w:numPr>
          <w:ilvl w:val="4"/>
          <w:numId w:val="5"/>
        </w:numPr>
        <w:tabs>
          <w:tab w:val="left" w:pos="1529"/>
        </w:tabs>
        <w:spacing w:line="304" w:lineRule="auto"/>
        <w:ind w:left="384" w:right="465" w:firstLine="480"/>
        <w:jc w:val="both"/>
        <w:rPr>
          <w:sz w:val="24"/>
        </w:rPr>
      </w:pPr>
      <w:r>
        <w:rPr>
          <w:rFonts w:hint="eastAsia"/>
          <w:sz w:val="24"/>
        </w:rPr>
        <w:t>监理人根据检查或检验结果可以拒收有缺陷或不符合合同要求的材料或</w:t>
      </w:r>
      <w:r>
        <w:rPr>
          <w:rFonts w:hint="eastAsia"/>
          <w:spacing w:val="-1"/>
          <w:sz w:val="24"/>
        </w:rPr>
        <w:t>设备，并通知承包人说明拒收的理由；承包人应立即修复所述缺陷或替换被拒收材料或设备使其符合合同规定；如果监理人要求在相同条件下进行被拒收材料或设备</w:t>
      </w:r>
      <w:r>
        <w:rPr>
          <w:rFonts w:hint="eastAsia"/>
          <w:sz w:val="24"/>
        </w:rPr>
        <w:t>的检验，其检验所发生的费用由承包人承担。</w:t>
      </w:r>
    </w:p>
    <w:p>
      <w:pPr>
        <w:pStyle w:val="21"/>
        <w:numPr>
          <w:ilvl w:val="4"/>
          <w:numId w:val="5"/>
        </w:numPr>
        <w:tabs>
          <w:tab w:val="left" w:pos="1524"/>
        </w:tabs>
        <w:ind w:left="1524" w:hanging="660"/>
        <w:jc w:val="both"/>
        <w:rPr>
          <w:sz w:val="24"/>
        </w:rPr>
      </w:pPr>
      <w:r>
        <w:rPr>
          <w:rFonts w:hint="eastAsia"/>
          <w:sz w:val="24"/>
        </w:rPr>
        <w:t>监理人有权随时就下述事项发出指令：</w:t>
      </w:r>
    </w:p>
    <w:p>
      <w:pPr>
        <w:pStyle w:val="21"/>
        <w:numPr>
          <w:ilvl w:val="0"/>
          <w:numId w:val="16"/>
        </w:numPr>
        <w:tabs>
          <w:tab w:val="left" w:pos="1465"/>
        </w:tabs>
        <w:spacing w:before="81" w:line="304" w:lineRule="auto"/>
        <w:ind w:right="466" w:firstLine="480"/>
        <w:rPr>
          <w:sz w:val="24"/>
        </w:rPr>
      </w:pPr>
      <w:r>
        <w:rPr>
          <w:rFonts w:hint="eastAsia"/>
          <w:spacing w:val="-4"/>
          <w:sz w:val="24"/>
        </w:rPr>
        <w:t>责成承包人在规定的时间内，一次或分次将不符合合同规定的材料或设</w:t>
      </w:r>
      <w:r>
        <w:rPr>
          <w:rFonts w:hint="eastAsia"/>
          <w:spacing w:val="-5"/>
          <w:sz w:val="24"/>
        </w:rPr>
        <w:t>备从现场运走，并用合格适用的材料或设备取代；</w:t>
      </w:r>
    </w:p>
    <w:p>
      <w:pPr>
        <w:pStyle w:val="21"/>
        <w:numPr>
          <w:ilvl w:val="0"/>
          <w:numId w:val="16"/>
        </w:numPr>
        <w:tabs>
          <w:tab w:val="left" w:pos="1465"/>
        </w:tabs>
        <w:spacing w:before="2" w:line="307" w:lineRule="auto"/>
        <w:ind w:right="466" w:firstLine="480"/>
        <w:jc w:val="both"/>
        <w:rPr>
          <w:sz w:val="24"/>
        </w:rPr>
      </w:pPr>
      <w:r>
        <w:rPr>
          <w:rFonts w:hint="eastAsia"/>
          <w:spacing w:val="-3"/>
          <w:sz w:val="24"/>
        </w:rPr>
        <w:t>不管先前是否已经检验或中期付款，如果监理人认为工程的任何部分由</w:t>
      </w:r>
      <w:r>
        <w:rPr>
          <w:rFonts w:hint="eastAsia"/>
          <w:spacing w:val="-5"/>
          <w:sz w:val="24"/>
        </w:rPr>
        <w:t>于材料、设备或操作工艺或承包人设计的局部工程不符合合同规定时，由承包人将</w:t>
      </w:r>
      <w:r>
        <w:rPr>
          <w:rFonts w:hint="eastAsia"/>
          <w:spacing w:val="-4"/>
          <w:sz w:val="24"/>
        </w:rPr>
        <w:t>这些工程拆除并彻底重做；</w:t>
      </w:r>
    </w:p>
    <w:p>
      <w:pPr>
        <w:spacing w:line="307" w:lineRule="auto"/>
        <w:jc w:val="both"/>
        <w:rPr>
          <w:sz w:val="24"/>
        </w:rPr>
        <w:sectPr>
          <w:footerReference r:id="rId9" w:type="default"/>
          <w:pgSz w:w="11910" w:h="16840"/>
          <w:pgMar w:top="1360" w:right="1120" w:bottom="1080" w:left="1260" w:header="882" w:footer="880" w:gutter="0"/>
          <w:cols w:space="720" w:num="1"/>
        </w:sectPr>
      </w:pPr>
    </w:p>
    <w:p>
      <w:pPr>
        <w:pStyle w:val="11"/>
        <w:spacing w:before="5"/>
        <w:rPr>
          <w:sz w:val="17"/>
        </w:rPr>
      </w:pPr>
    </w:p>
    <w:p>
      <w:pPr>
        <w:pStyle w:val="21"/>
        <w:numPr>
          <w:ilvl w:val="0"/>
          <w:numId w:val="16"/>
        </w:numPr>
        <w:tabs>
          <w:tab w:val="left" w:pos="1465"/>
        </w:tabs>
        <w:spacing w:before="74" w:line="304" w:lineRule="auto"/>
        <w:ind w:right="466" w:firstLine="480"/>
        <w:jc w:val="both"/>
        <w:rPr>
          <w:sz w:val="24"/>
        </w:rPr>
      </w:pPr>
      <w:r>
        <w:rPr>
          <w:rFonts w:hint="eastAsia"/>
          <w:spacing w:val="-6"/>
          <w:sz w:val="24"/>
        </w:rPr>
        <w:t>承包人使用不合格材料、工程设备，或采用不适当的施工工艺，或施工不</w:t>
      </w:r>
      <w:r>
        <w:rPr>
          <w:rFonts w:hint="eastAsia"/>
          <w:spacing w:val="-1"/>
          <w:sz w:val="24"/>
        </w:rPr>
        <w:t>当，造成工程不合格的，监理人可以随时发出指示，要求承包人立即采取措施进行</w:t>
      </w:r>
      <w:r>
        <w:rPr>
          <w:rFonts w:hint="eastAsia"/>
          <w:sz w:val="24"/>
        </w:rPr>
        <w:t>替换、补救或拆除重建，直至达到合同要求的质量标准，由此增加的费用和(或</w:t>
      </w:r>
      <w:r>
        <w:rPr>
          <w:rFonts w:hint="eastAsia"/>
          <w:spacing w:val="4"/>
          <w:sz w:val="24"/>
        </w:rPr>
        <w:t>)</w:t>
      </w:r>
      <w:r>
        <w:rPr>
          <w:rFonts w:hint="eastAsia"/>
          <w:sz w:val="24"/>
        </w:rPr>
        <w:t>工期延误由承包人承担；</w:t>
      </w:r>
    </w:p>
    <w:p>
      <w:pPr>
        <w:pStyle w:val="21"/>
        <w:numPr>
          <w:ilvl w:val="0"/>
          <w:numId w:val="16"/>
        </w:numPr>
        <w:tabs>
          <w:tab w:val="left" w:pos="1465"/>
        </w:tabs>
        <w:spacing w:before="5" w:line="307" w:lineRule="auto"/>
        <w:ind w:right="346" w:firstLine="480"/>
        <w:rPr>
          <w:sz w:val="24"/>
        </w:rPr>
      </w:pPr>
      <w:r>
        <w:rPr>
          <w:rFonts w:hint="eastAsia"/>
          <w:spacing w:val="-5"/>
          <w:sz w:val="24"/>
        </w:rPr>
        <w:t>如果承包人未在规定时间内执行监理人的指示，发包人有权雇用他人执行，由此增加的费用和</w:t>
      </w:r>
      <w:r>
        <w:rPr>
          <w:rFonts w:hint="eastAsia"/>
          <w:sz w:val="24"/>
        </w:rPr>
        <w:t>(或)工期延误由承包人承担。</w:t>
      </w:r>
    </w:p>
    <w:p>
      <w:pPr>
        <w:pStyle w:val="21"/>
        <w:numPr>
          <w:ilvl w:val="4"/>
          <w:numId w:val="5"/>
        </w:numPr>
        <w:tabs>
          <w:tab w:val="left" w:pos="1523"/>
          <w:tab w:val="left" w:pos="1524"/>
        </w:tabs>
        <w:spacing w:line="305" w:lineRule="exact"/>
        <w:ind w:left="1524" w:hanging="660"/>
        <w:rPr>
          <w:sz w:val="24"/>
        </w:rPr>
      </w:pPr>
      <w:r>
        <w:rPr>
          <w:rFonts w:hint="eastAsia"/>
          <w:sz w:val="24"/>
        </w:rPr>
        <w:t>工程隐蔽部位覆盖前的检查</w:t>
      </w:r>
    </w:p>
    <w:p>
      <w:pPr>
        <w:pStyle w:val="21"/>
        <w:numPr>
          <w:ilvl w:val="0"/>
          <w:numId w:val="17"/>
        </w:numPr>
        <w:tabs>
          <w:tab w:val="left" w:pos="1465"/>
        </w:tabs>
        <w:spacing w:before="84" w:line="307" w:lineRule="auto"/>
        <w:ind w:right="466" w:firstLine="480"/>
        <w:jc w:val="both"/>
        <w:rPr>
          <w:sz w:val="24"/>
        </w:rPr>
      </w:pPr>
      <w:r>
        <w:rPr>
          <w:rFonts w:hint="eastAsia"/>
          <w:spacing w:val="-6"/>
          <w:sz w:val="24"/>
        </w:rPr>
        <w:t>没有监理人的批准，任何隐蔽工程均不得覆盖或掩蔽。当任何一部分工</w:t>
      </w:r>
      <w:r>
        <w:rPr>
          <w:rFonts w:hint="eastAsia"/>
          <w:spacing w:val="-5"/>
          <w:sz w:val="24"/>
        </w:rPr>
        <w:t>程或基础已经或即将为检查做好准备时，承包人应事先通知监理人，并约定检查的</w:t>
      </w:r>
      <w:r>
        <w:rPr>
          <w:rFonts w:hint="eastAsia"/>
          <w:spacing w:val="-4"/>
          <w:sz w:val="24"/>
        </w:rPr>
        <w:t>时间，监理人则应按时派员参加上述工程或基础的检查和量测；如果监理人认为没</w:t>
      </w:r>
      <w:r>
        <w:rPr>
          <w:rFonts w:hint="eastAsia"/>
          <w:spacing w:val="-6"/>
          <w:sz w:val="24"/>
        </w:rPr>
        <w:t>有必要参与检查，应就此通知承包人；如果上述约定时间后的</w:t>
      </w:r>
      <w:r>
        <w:rPr>
          <w:rFonts w:hint="eastAsia"/>
          <w:sz w:val="24"/>
        </w:rPr>
        <w:t>6小时内，监理人或</w:t>
      </w:r>
      <w:r>
        <w:rPr>
          <w:rFonts w:hint="eastAsia"/>
          <w:spacing w:val="-3"/>
          <w:sz w:val="24"/>
        </w:rPr>
        <w:t>其代表未能到场对上述工程或基础进行检查和量测，承包人即可自行检查，并如实</w:t>
      </w:r>
      <w:r>
        <w:rPr>
          <w:rFonts w:hint="eastAsia"/>
          <w:spacing w:val="-4"/>
          <w:sz w:val="24"/>
        </w:rPr>
        <w:t>作出自检报告后覆盖或掩蔽，监理人事后应予以认可；</w:t>
      </w:r>
    </w:p>
    <w:p>
      <w:pPr>
        <w:pStyle w:val="21"/>
        <w:numPr>
          <w:ilvl w:val="0"/>
          <w:numId w:val="17"/>
        </w:numPr>
        <w:tabs>
          <w:tab w:val="left" w:pos="1465"/>
        </w:tabs>
        <w:spacing w:line="298" w:lineRule="exact"/>
        <w:ind w:left="1465"/>
        <w:rPr>
          <w:sz w:val="24"/>
        </w:rPr>
      </w:pPr>
      <w:r>
        <w:rPr>
          <w:rFonts w:hint="eastAsia"/>
          <w:sz w:val="24"/>
        </w:rPr>
        <w:t>重新检验</w:t>
      </w:r>
    </w:p>
    <w:p>
      <w:pPr>
        <w:pStyle w:val="11"/>
        <w:spacing w:before="86" w:line="304" w:lineRule="auto"/>
        <w:ind w:left="384" w:right="465" w:firstLine="480"/>
        <w:jc w:val="both"/>
      </w:pPr>
      <w:r>
        <w:rPr>
          <w:rFonts w:hint="eastAsia"/>
        </w:rPr>
        <w:t>承包人应按监理人发出的指示，剥开工程的任何一部分或开孔，并负责使该部分恢复原状。检验符合合同规定，监理人在同发包人和承包人适当协商后，应确定剥开或开孔及恢复原状的费用，由发包人承担由此增加的费用和(或)工期延误，并支付承包人合理利润。如检验不符合合同规定，所发生的相关费用由承包人承担；</w:t>
      </w:r>
    </w:p>
    <w:p>
      <w:pPr>
        <w:pStyle w:val="21"/>
        <w:numPr>
          <w:ilvl w:val="0"/>
          <w:numId w:val="17"/>
        </w:numPr>
        <w:tabs>
          <w:tab w:val="left" w:pos="1465"/>
        </w:tabs>
        <w:spacing w:before="5" w:line="304" w:lineRule="auto"/>
        <w:ind w:right="466" w:firstLine="480"/>
        <w:rPr>
          <w:sz w:val="24"/>
        </w:rPr>
      </w:pPr>
      <w:r>
        <w:rPr>
          <w:rFonts w:hint="eastAsia"/>
          <w:spacing w:val="-3"/>
          <w:sz w:val="24"/>
        </w:rPr>
        <w:t>承包人未通知监理人到场检查，私自将工程隐蔽部位覆盖的，监理人有</w:t>
      </w:r>
      <w:r>
        <w:rPr>
          <w:rFonts w:hint="eastAsia"/>
          <w:spacing w:val="-5"/>
          <w:sz w:val="24"/>
        </w:rPr>
        <w:t>权指示承包人钻孔探测或揭开检查，由此增加的费用和</w:t>
      </w:r>
      <w:r>
        <w:rPr>
          <w:rFonts w:hint="eastAsia"/>
          <w:sz w:val="24"/>
        </w:rPr>
        <w:t>(或)工期延误由承包人承担。</w:t>
      </w:r>
    </w:p>
    <w:p>
      <w:pPr>
        <w:pStyle w:val="11"/>
        <w:spacing w:before="174"/>
        <w:ind w:left="583"/>
      </w:pPr>
      <w:r>
        <w:rPr>
          <w:rFonts w:hint="eastAsia"/>
        </w:rPr>
        <w:t>五、施工安全、治安保卫与环境保护</w:t>
      </w:r>
    </w:p>
    <w:p>
      <w:pPr>
        <w:pStyle w:val="11"/>
        <w:rPr>
          <w:sz w:val="20"/>
        </w:rPr>
      </w:pPr>
    </w:p>
    <w:p>
      <w:pPr>
        <w:pStyle w:val="21"/>
        <w:numPr>
          <w:ilvl w:val="3"/>
          <w:numId w:val="5"/>
        </w:numPr>
        <w:tabs>
          <w:tab w:val="left" w:pos="1125"/>
        </w:tabs>
        <w:ind w:left="1124" w:hanging="302"/>
        <w:jc w:val="left"/>
        <w:rPr>
          <w:sz w:val="24"/>
        </w:rPr>
      </w:pPr>
      <w:r>
        <w:rPr>
          <w:rFonts w:hint="eastAsia"/>
          <w:sz w:val="24"/>
        </w:rPr>
        <w:t>施工安全、治安保卫</w:t>
      </w:r>
    </w:p>
    <w:p>
      <w:pPr>
        <w:pStyle w:val="11"/>
        <w:spacing w:before="5"/>
        <w:rPr>
          <w:sz w:val="20"/>
        </w:rPr>
      </w:pPr>
    </w:p>
    <w:p>
      <w:pPr>
        <w:pStyle w:val="21"/>
        <w:numPr>
          <w:ilvl w:val="4"/>
          <w:numId w:val="5"/>
        </w:numPr>
        <w:tabs>
          <w:tab w:val="left" w:pos="1404"/>
        </w:tabs>
        <w:rPr>
          <w:sz w:val="24"/>
        </w:rPr>
      </w:pPr>
      <w:r>
        <w:rPr>
          <w:rFonts w:hint="eastAsia"/>
          <w:sz w:val="24"/>
        </w:rPr>
        <w:t>发包人的施工安全责任</w:t>
      </w:r>
    </w:p>
    <w:p>
      <w:pPr>
        <w:pStyle w:val="21"/>
        <w:numPr>
          <w:ilvl w:val="0"/>
          <w:numId w:val="18"/>
        </w:numPr>
        <w:tabs>
          <w:tab w:val="left" w:pos="1465"/>
        </w:tabs>
        <w:spacing w:before="84" w:line="307" w:lineRule="auto"/>
        <w:ind w:right="466" w:firstLine="480"/>
        <w:rPr>
          <w:sz w:val="24"/>
        </w:rPr>
      </w:pPr>
      <w:r>
        <w:rPr>
          <w:rFonts w:hint="eastAsia"/>
          <w:spacing w:val="-3"/>
          <w:sz w:val="24"/>
        </w:rPr>
        <w:t>发包人应按合同约定履行安全职责，授权监理人按合同约定的安全工作</w:t>
      </w:r>
      <w:r>
        <w:rPr>
          <w:rFonts w:hint="eastAsia"/>
          <w:spacing w:val="-5"/>
          <w:sz w:val="24"/>
        </w:rPr>
        <w:t>内容监督、检查承包人安全工作的实施，组织承包人和有关单位进行安全检查；</w:t>
      </w:r>
    </w:p>
    <w:p>
      <w:pPr>
        <w:pStyle w:val="21"/>
        <w:numPr>
          <w:ilvl w:val="0"/>
          <w:numId w:val="18"/>
        </w:numPr>
        <w:tabs>
          <w:tab w:val="left" w:pos="1465"/>
        </w:tabs>
        <w:spacing w:line="304" w:lineRule="auto"/>
        <w:ind w:right="466" w:firstLine="480"/>
        <w:rPr>
          <w:sz w:val="24"/>
        </w:rPr>
      </w:pPr>
      <w:r>
        <w:rPr>
          <w:rFonts w:hint="eastAsia"/>
          <w:spacing w:val="-2"/>
          <w:sz w:val="24"/>
        </w:rPr>
        <w:t>发包人应对其现场机构雇佣的全部人员的工伤事故承担责任，但由于承</w:t>
      </w:r>
      <w:r>
        <w:rPr>
          <w:rFonts w:hint="eastAsia"/>
          <w:spacing w:val="-5"/>
          <w:sz w:val="24"/>
        </w:rPr>
        <w:t>包人原因造成发包人人员工伤的，应由承包人承担责任；</w:t>
      </w:r>
    </w:p>
    <w:p>
      <w:pPr>
        <w:pStyle w:val="21"/>
        <w:numPr>
          <w:ilvl w:val="0"/>
          <w:numId w:val="18"/>
        </w:numPr>
        <w:tabs>
          <w:tab w:val="left" w:pos="1465"/>
        </w:tabs>
        <w:spacing w:before="1" w:line="304" w:lineRule="auto"/>
        <w:ind w:left="864" w:right="862" w:firstLine="0"/>
        <w:rPr>
          <w:sz w:val="24"/>
        </w:rPr>
      </w:pPr>
      <w:r>
        <w:rPr>
          <w:rFonts w:hint="eastAsia"/>
          <w:spacing w:val="-1"/>
          <w:sz w:val="24"/>
        </w:rPr>
        <w:t xml:space="preserve">发包人应负责赔偿以下各种情况造成的第三者人身伤亡和财产损失： </w:t>
      </w:r>
      <w:r>
        <w:rPr>
          <w:rFonts w:hint="eastAsia"/>
          <w:sz w:val="24"/>
        </w:rPr>
        <w:t>工程或工程的任何部分对土地的占用所造成的第三者财产损失；</w:t>
      </w:r>
    </w:p>
    <w:p>
      <w:pPr>
        <w:pStyle w:val="11"/>
        <w:spacing w:before="2"/>
        <w:ind w:left="864"/>
      </w:pPr>
      <w:r>
        <w:rPr>
          <w:rFonts w:hint="eastAsia"/>
        </w:rPr>
        <w:t>由于发包人原因在施工场地及其毗邻地带造成的第三者人身伤亡和财产损失。</w:t>
      </w:r>
    </w:p>
    <w:p>
      <w:pPr>
        <w:pStyle w:val="21"/>
        <w:numPr>
          <w:ilvl w:val="4"/>
          <w:numId w:val="5"/>
        </w:numPr>
        <w:tabs>
          <w:tab w:val="left" w:pos="1529"/>
        </w:tabs>
        <w:spacing w:before="86" w:line="304" w:lineRule="auto"/>
        <w:ind w:left="384" w:right="465" w:firstLine="480"/>
        <w:jc w:val="both"/>
        <w:rPr>
          <w:sz w:val="24"/>
        </w:rPr>
      </w:pPr>
      <w:r>
        <w:rPr>
          <w:rFonts w:hint="eastAsia"/>
          <w:sz w:val="24"/>
        </w:rPr>
        <w:t xml:space="preserve">承包人应遵守工程建设安全生产有关规定，采取有效的安全防护措施， </w:t>
      </w:r>
      <w:r>
        <w:rPr>
          <w:rFonts w:hint="eastAsia"/>
          <w:spacing w:val="-1"/>
          <w:sz w:val="24"/>
        </w:rPr>
        <w:t>消除事故隐患，确保所有在现场工作人员及机械设备的安全。由于承包人安全措施</w:t>
      </w:r>
      <w:r>
        <w:rPr>
          <w:rFonts w:hint="eastAsia"/>
          <w:sz w:val="24"/>
        </w:rPr>
        <w:t>不力造成事故的责任和由此发生的费用，由承包人承担。承包人还应该：</w:t>
      </w:r>
    </w:p>
    <w:p>
      <w:pPr>
        <w:spacing w:line="304" w:lineRule="auto"/>
        <w:jc w:val="both"/>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19"/>
        </w:numPr>
        <w:tabs>
          <w:tab w:val="left" w:pos="1465"/>
        </w:tabs>
        <w:spacing w:before="74" w:line="304" w:lineRule="auto"/>
        <w:ind w:right="466" w:firstLine="480"/>
        <w:rPr>
          <w:sz w:val="24"/>
        </w:rPr>
      </w:pPr>
      <w:r>
        <w:rPr>
          <w:rFonts w:hint="eastAsia"/>
          <w:spacing w:val="-5"/>
          <w:sz w:val="24"/>
        </w:rPr>
        <w:t>专职安全员的配备按《公路水运工程安全生产监督管理办法》</w:t>
      </w:r>
      <w:r>
        <w:rPr>
          <w:rFonts w:hint="eastAsia"/>
          <w:sz w:val="24"/>
        </w:rPr>
        <w:t>（</w:t>
      </w:r>
      <w:r>
        <w:rPr>
          <w:rFonts w:hint="eastAsia"/>
          <w:spacing w:val="-4"/>
          <w:sz w:val="24"/>
        </w:rPr>
        <w:t>交通运输</w:t>
      </w:r>
      <w:r>
        <w:rPr>
          <w:rFonts w:hint="eastAsia"/>
          <w:spacing w:val="-20"/>
          <w:sz w:val="24"/>
        </w:rPr>
        <w:t xml:space="preserve">部令 </w:t>
      </w:r>
      <w:r>
        <w:rPr>
          <w:rFonts w:hint="eastAsia"/>
          <w:sz w:val="24"/>
        </w:rPr>
        <w:t xml:space="preserve">2017 </w:t>
      </w:r>
      <w:r>
        <w:rPr>
          <w:rFonts w:hint="eastAsia"/>
          <w:spacing w:val="-20"/>
          <w:sz w:val="24"/>
        </w:rPr>
        <w:t xml:space="preserve">年第 </w:t>
      </w:r>
      <w:r>
        <w:rPr>
          <w:rFonts w:hint="eastAsia"/>
          <w:sz w:val="24"/>
        </w:rPr>
        <w:t>25 号）的规定执行；</w:t>
      </w:r>
    </w:p>
    <w:p>
      <w:pPr>
        <w:pStyle w:val="21"/>
        <w:numPr>
          <w:ilvl w:val="0"/>
          <w:numId w:val="19"/>
        </w:numPr>
        <w:tabs>
          <w:tab w:val="left" w:pos="1465"/>
        </w:tabs>
        <w:spacing w:before="4" w:line="304" w:lineRule="auto"/>
        <w:ind w:right="466" w:firstLine="480"/>
        <w:rPr>
          <w:sz w:val="24"/>
        </w:rPr>
      </w:pPr>
      <w:r>
        <w:rPr>
          <w:rFonts w:hint="eastAsia"/>
          <w:sz w:val="24"/>
        </w:rPr>
        <w:t>特殊工种(</w:t>
      </w:r>
      <w:r>
        <w:rPr>
          <w:rFonts w:hint="eastAsia"/>
          <w:spacing w:val="-2"/>
          <w:sz w:val="24"/>
        </w:rPr>
        <w:t>电工、电梯工、起重工、电焊工、车船驾驶员、爆破工等</w:t>
      </w:r>
      <w:r>
        <w:rPr>
          <w:rFonts w:hint="eastAsia"/>
          <w:sz w:val="24"/>
        </w:rPr>
        <w:t>)</w:t>
      </w:r>
      <w:r>
        <w:rPr>
          <w:rFonts w:hint="eastAsia"/>
          <w:spacing w:val="-9"/>
          <w:sz w:val="24"/>
        </w:rPr>
        <w:t>要经</w:t>
      </w:r>
      <w:r>
        <w:rPr>
          <w:rFonts w:hint="eastAsia"/>
          <w:sz w:val="24"/>
        </w:rPr>
        <w:t>专业培训，并持有专业主管部门签发的合格证上岗；</w:t>
      </w:r>
    </w:p>
    <w:p>
      <w:pPr>
        <w:pStyle w:val="21"/>
        <w:numPr>
          <w:ilvl w:val="0"/>
          <w:numId w:val="19"/>
        </w:numPr>
        <w:tabs>
          <w:tab w:val="left" w:pos="1465"/>
        </w:tabs>
        <w:spacing w:line="297" w:lineRule="auto"/>
        <w:ind w:right="466" w:firstLine="480"/>
        <w:jc w:val="both"/>
        <w:rPr>
          <w:sz w:val="24"/>
        </w:rPr>
      </w:pPr>
      <w:r>
        <w:rPr>
          <w:rFonts w:hint="eastAsia"/>
          <w:spacing w:val="-4"/>
          <w:sz w:val="24"/>
        </w:rPr>
        <w:t>对于易燃易爆材料的运输、保管必须符合当地安全部门的有关规定，除</w:t>
      </w:r>
      <w:r>
        <w:rPr>
          <w:rFonts w:hint="eastAsia"/>
          <w:spacing w:val="-5"/>
          <w:sz w:val="24"/>
        </w:rPr>
        <w:t>应专门妥善保管外，并应配有足够的消防设备，所有施工人员都应熟悉消防设备的</w:t>
      </w:r>
      <w:r>
        <w:rPr>
          <w:rFonts w:hint="eastAsia"/>
          <w:spacing w:val="-4"/>
          <w:sz w:val="24"/>
        </w:rPr>
        <w:t>性能和使用方法；</w:t>
      </w:r>
    </w:p>
    <w:p>
      <w:pPr>
        <w:pStyle w:val="21"/>
        <w:numPr>
          <w:ilvl w:val="0"/>
          <w:numId w:val="19"/>
        </w:numPr>
        <w:tabs>
          <w:tab w:val="left" w:pos="1465"/>
        </w:tabs>
        <w:spacing w:line="297" w:lineRule="auto"/>
        <w:ind w:right="466" w:firstLine="480"/>
        <w:jc w:val="both"/>
        <w:rPr>
          <w:sz w:val="24"/>
        </w:rPr>
      </w:pPr>
      <w:r>
        <w:rPr>
          <w:rFonts w:hint="eastAsia"/>
          <w:sz w:val="24"/>
        </w:rPr>
        <w:t>承包人应严格按照国家安全标准关于公路工程施工安全技术规范制定的</w:t>
      </w:r>
      <w:r>
        <w:rPr>
          <w:rFonts w:hint="eastAsia"/>
          <w:spacing w:val="-5"/>
          <w:sz w:val="24"/>
        </w:rPr>
        <w:t>施工安全操作规程，配备必要的安全生产和劳动保护设施，加强对承包人人员的安</w:t>
      </w:r>
      <w:r>
        <w:rPr>
          <w:rFonts w:hint="eastAsia"/>
          <w:spacing w:val="-4"/>
          <w:sz w:val="24"/>
        </w:rPr>
        <w:t>全教育，并发放安全工作手册和劳动保护用具。由于承包人原因在施工场地内及其毗邻地带造成的第三者人员伤亡和财产损失，由承包人负责赔偿；</w:t>
      </w:r>
    </w:p>
    <w:p>
      <w:pPr>
        <w:pStyle w:val="21"/>
        <w:numPr>
          <w:ilvl w:val="0"/>
          <w:numId w:val="19"/>
        </w:numPr>
        <w:tabs>
          <w:tab w:val="left" w:pos="1465"/>
        </w:tabs>
        <w:spacing w:line="297" w:lineRule="auto"/>
        <w:ind w:right="466" w:firstLine="480"/>
        <w:rPr>
          <w:sz w:val="24"/>
        </w:rPr>
      </w:pPr>
      <w:r>
        <w:rPr>
          <w:rFonts w:hint="eastAsia"/>
          <w:spacing w:val="-2"/>
          <w:sz w:val="24"/>
        </w:rPr>
        <w:t>所有施工机具设备和高空作业的设备均应定期检查，并有安全员的签字</w:t>
      </w:r>
      <w:r>
        <w:rPr>
          <w:rFonts w:hint="eastAsia"/>
          <w:spacing w:val="-7"/>
          <w:sz w:val="24"/>
        </w:rPr>
        <w:t>记录。</w:t>
      </w:r>
    </w:p>
    <w:p>
      <w:pPr>
        <w:pStyle w:val="21"/>
        <w:numPr>
          <w:ilvl w:val="0"/>
          <w:numId w:val="19"/>
        </w:numPr>
        <w:tabs>
          <w:tab w:val="left" w:pos="1465"/>
        </w:tabs>
        <w:spacing w:before="1" w:line="297" w:lineRule="auto"/>
        <w:ind w:right="346" w:firstLine="480"/>
        <w:rPr>
          <w:sz w:val="24"/>
        </w:rPr>
      </w:pPr>
      <w:r>
        <w:rPr>
          <w:rFonts w:hint="eastAsia"/>
          <w:spacing w:val="-4"/>
          <w:sz w:val="24"/>
        </w:rPr>
        <w:t>除项目专用合同条款另有约定外，安全生产费用应为投标价</w:t>
      </w:r>
      <w:r>
        <w:rPr>
          <w:rFonts w:hint="eastAsia"/>
          <w:sz w:val="24"/>
        </w:rPr>
        <w:t>（不含安全生</w:t>
      </w:r>
      <w:r>
        <w:rPr>
          <w:rFonts w:hint="eastAsia"/>
          <w:spacing w:val="2"/>
          <w:sz w:val="24"/>
        </w:rPr>
        <w:t>产费</w:t>
      </w:r>
      <w:r>
        <w:rPr>
          <w:rFonts w:hint="eastAsia"/>
          <w:spacing w:val="4"/>
          <w:sz w:val="24"/>
        </w:rPr>
        <w:t>）</w:t>
      </w:r>
      <w:r>
        <w:rPr>
          <w:rFonts w:hint="eastAsia"/>
          <w:spacing w:val="-25"/>
          <w:sz w:val="24"/>
        </w:rPr>
        <w:t>的</w:t>
      </w:r>
      <w:r>
        <w:rPr>
          <w:rFonts w:hint="eastAsia"/>
          <w:sz w:val="24"/>
        </w:rPr>
        <w:t>1.5%（</w:t>
      </w:r>
      <w:r>
        <w:rPr>
          <w:rFonts w:hint="eastAsia"/>
          <w:spacing w:val="-3"/>
          <w:sz w:val="24"/>
        </w:rPr>
        <w:t>若发包人公布了最高投标限价时，按最高投标限价的</w:t>
      </w:r>
      <w:r>
        <w:rPr>
          <w:rFonts w:hint="eastAsia"/>
          <w:sz w:val="24"/>
        </w:rPr>
        <w:t>1.5%</w:t>
      </w:r>
      <w:r>
        <w:rPr>
          <w:rFonts w:hint="eastAsia"/>
          <w:spacing w:val="4"/>
          <w:sz w:val="24"/>
        </w:rPr>
        <w:t>计</w:t>
      </w:r>
      <w:r>
        <w:rPr>
          <w:rFonts w:hint="eastAsia"/>
          <w:sz w:val="24"/>
        </w:rPr>
        <w:t>）。</w:t>
      </w:r>
      <w:r>
        <w:rPr>
          <w:rFonts w:hint="eastAsia"/>
          <w:spacing w:val="-5"/>
          <w:sz w:val="24"/>
        </w:rPr>
        <w:t>安全生产费用应用于施工安全防护用具及设施的采购和更新、安全施工措施的落实、</w:t>
      </w:r>
      <w:r>
        <w:rPr>
          <w:rFonts w:hint="eastAsia"/>
          <w:sz w:val="24"/>
        </w:rPr>
        <w:t>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商定或确定。</w:t>
      </w:r>
    </w:p>
    <w:p>
      <w:pPr>
        <w:pStyle w:val="21"/>
        <w:numPr>
          <w:ilvl w:val="4"/>
          <w:numId w:val="5"/>
        </w:numPr>
        <w:tabs>
          <w:tab w:val="left" w:pos="1529"/>
        </w:tabs>
        <w:spacing w:before="5" w:line="297" w:lineRule="auto"/>
        <w:ind w:left="384" w:right="465" w:firstLine="480"/>
        <w:jc w:val="both"/>
        <w:rPr>
          <w:sz w:val="24"/>
        </w:rPr>
      </w:pPr>
      <w:r>
        <w:rPr>
          <w:rFonts w:hint="eastAsia"/>
          <w:sz w:val="24"/>
        </w:rPr>
        <w:t xml:space="preserve">为了保护本合同工程免遭破坏或为了现场附近过往人群的安全、方便， </w:t>
      </w:r>
      <w:r>
        <w:rPr>
          <w:rFonts w:hint="eastAsia"/>
          <w:spacing w:val="-1"/>
          <w:sz w:val="24"/>
        </w:rPr>
        <w:t>在确有必要的时间和地方，当监理人或有关主管部门要求时，应自费提供照明、警卫、护栅、警告标志等安全防护措施。发包人或监理人不得以任何理由要求承包人违反安全管理的规定进行施工，由此导致的安全事故，由发包人承担相应责任及发</w:t>
      </w:r>
      <w:r>
        <w:rPr>
          <w:rFonts w:hint="eastAsia"/>
          <w:sz w:val="24"/>
        </w:rPr>
        <w:t>生的费用。</w:t>
      </w:r>
    </w:p>
    <w:p>
      <w:pPr>
        <w:pStyle w:val="21"/>
        <w:numPr>
          <w:ilvl w:val="4"/>
          <w:numId w:val="5"/>
        </w:numPr>
        <w:tabs>
          <w:tab w:val="left" w:pos="1529"/>
        </w:tabs>
        <w:spacing w:before="4" w:line="297" w:lineRule="auto"/>
        <w:ind w:left="384" w:right="465" w:firstLine="480"/>
        <w:jc w:val="both"/>
        <w:rPr>
          <w:sz w:val="24"/>
        </w:rPr>
      </w:pPr>
      <w:r>
        <w:rPr>
          <w:rFonts w:hint="eastAsia"/>
          <w:sz w:val="24"/>
        </w:rPr>
        <w:t>承包人应按监理人的指示制定应对灾害的紧急预案，报送监理人审批。</w:t>
      </w:r>
      <w:r>
        <w:rPr>
          <w:rFonts w:hint="eastAsia"/>
          <w:spacing w:val="-1"/>
          <w:sz w:val="24"/>
        </w:rPr>
        <w:t>承包人还应按预案做好安全检查，配置必要的救助物资和器材，切实保护好有关人</w:t>
      </w:r>
      <w:r>
        <w:rPr>
          <w:rFonts w:hint="eastAsia"/>
          <w:sz w:val="24"/>
        </w:rPr>
        <w:t>员的人身和财产安全。</w:t>
      </w:r>
    </w:p>
    <w:p>
      <w:pPr>
        <w:pStyle w:val="21"/>
        <w:numPr>
          <w:ilvl w:val="4"/>
          <w:numId w:val="5"/>
        </w:numPr>
        <w:tabs>
          <w:tab w:val="left" w:pos="1529"/>
        </w:tabs>
        <w:spacing w:before="1" w:line="297" w:lineRule="auto"/>
        <w:ind w:left="384" w:right="467" w:firstLine="480"/>
        <w:jc w:val="both"/>
        <w:rPr>
          <w:sz w:val="24"/>
        </w:rPr>
      </w:pPr>
      <w:r>
        <w:rPr>
          <w:rFonts w:hint="eastAsia"/>
          <w:sz w:val="24"/>
        </w:rPr>
        <w:t>合同约定的安全作业环境及安全施工措施所需费用应遵守有关规定，并包括在相关工作的合同价格中。</w:t>
      </w:r>
    </w:p>
    <w:p>
      <w:pPr>
        <w:pStyle w:val="21"/>
        <w:numPr>
          <w:ilvl w:val="4"/>
          <w:numId w:val="5"/>
        </w:numPr>
        <w:tabs>
          <w:tab w:val="left" w:pos="1529"/>
        </w:tabs>
        <w:spacing w:line="300" w:lineRule="auto"/>
        <w:ind w:left="384" w:right="467" w:firstLine="480"/>
        <w:jc w:val="both"/>
        <w:rPr>
          <w:sz w:val="24"/>
        </w:rPr>
      </w:pPr>
      <w:r>
        <w:rPr>
          <w:rFonts w:hint="eastAsia"/>
          <w:sz w:val="24"/>
        </w:rPr>
        <w:t>承包人应充分关注和保障所有在现场工作的人员安全，采取有效措施， 使现场和本合同工程的实施保持有条不紊，以免使上述人员的安全受到威胁。</w:t>
      </w:r>
    </w:p>
    <w:p>
      <w:pPr>
        <w:pStyle w:val="21"/>
        <w:numPr>
          <w:ilvl w:val="4"/>
          <w:numId w:val="5"/>
        </w:numPr>
        <w:tabs>
          <w:tab w:val="left" w:pos="1529"/>
        </w:tabs>
        <w:spacing w:line="297" w:lineRule="auto"/>
        <w:ind w:left="384" w:right="465" w:firstLine="480"/>
        <w:jc w:val="both"/>
        <w:rPr>
          <w:sz w:val="24"/>
        </w:rPr>
      </w:pPr>
      <w:r>
        <w:rPr>
          <w:rFonts w:hint="eastAsia"/>
          <w:sz w:val="24"/>
        </w:rPr>
        <w:t>在整个施工过程中对承包人采取的施工安全措施，发包人和监理人有权</w:t>
      </w:r>
      <w:r>
        <w:rPr>
          <w:rFonts w:hint="eastAsia"/>
          <w:spacing w:val="-1"/>
          <w:sz w:val="24"/>
        </w:rPr>
        <w:t>监督，并向承包人提出整改要求。如果由于承包人未能对其负责的上述事项采取各</w:t>
      </w:r>
    </w:p>
    <w:p>
      <w:pPr>
        <w:spacing w:line="297" w:lineRule="auto"/>
        <w:jc w:val="both"/>
        <w:rPr>
          <w:sz w:val="24"/>
        </w:rPr>
        <w:sectPr>
          <w:pgSz w:w="11910" w:h="16840"/>
          <w:pgMar w:top="1360" w:right="1120" w:bottom="1080" w:left="1260" w:header="882" w:footer="880" w:gutter="0"/>
          <w:cols w:space="720" w:num="1"/>
        </w:sectPr>
      </w:pPr>
    </w:p>
    <w:p>
      <w:pPr>
        <w:pStyle w:val="11"/>
        <w:spacing w:before="5"/>
        <w:rPr>
          <w:sz w:val="17"/>
        </w:rPr>
      </w:pPr>
    </w:p>
    <w:p>
      <w:pPr>
        <w:pStyle w:val="11"/>
        <w:spacing w:before="67" w:line="297" w:lineRule="auto"/>
        <w:ind w:left="384" w:right="465"/>
      </w:pPr>
      <w:r>
        <w:rPr>
          <w:rFonts w:hint="eastAsia"/>
        </w:rPr>
        <w:t>种必要的措施而导致或发生与此有关的人身伤亡、罚款、索赔、损失补偿、诉讼费用及其他一切责任应由承包人负责。</w:t>
      </w:r>
    </w:p>
    <w:p>
      <w:pPr>
        <w:pStyle w:val="21"/>
        <w:numPr>
          <w:ilvl w:val="4"/>
          <w:numId w:val="5"/>
        </w:numPr>
        <w:tabs>
          <w:tab w:val="left" w:pos="1523"/>
          <w:tab w:val="left" w:pos="1524"/>
        </w:tabs>
        <w:ind w:left="1524" w:hanging="660"/>
        <w:rPr>
          <w:sz w:val="24"/>
        </w:rPr>
      </w:pPr>
      <w:r>
        <w:rPr>
          <w:rFonts w:hint="eastAsia"/>
          <w:sz w:val="24"/>
        </w:rPr>
        <w:t>治安保卫</w:t>
      </w:r>
    </w:p>
    <w:p>
      <w:pPr>
        <w:pStyle w:val="21"/>
        <w:numPr>
          <w:ilvl w:val="0"/>
          <w:numId w:val="20"/>
        </w:numPr>
        <w:tabs>
          <w:tab w:val="left" w:pos="1465"/>
        </w:tabs>
        <w:spacing w:before="74" w:line="297" w:lineRule="auto"/>
        <w:ind w:right="466" w:firstLine="480"/>
        <w:rPr>
          <w:sz w:val="24"/>
        </w:rPr>
      </w:pPr>
      <w:r>
        <w:rPr>
          <w:rFonts w:hint="eastAsia"/>
          <w:spacing w:val="-3"/>
          <w:sz w:val="24"/>
        </w:rPr>
        <w:t xml:space="preserve">发包人应与当地公安部门协商，在现场建立治安管理机构或联防组织， </w:t>
      </w:r>
      <w:r>
        <w:rPr>
          <w:rFonts w:hint="eastAsia"/>
          <w:spacing w:val="-5"/>
          <w:sz w:val="24"/>
        </w:rPr>
        <w:t>统一管理施工场地的治安保卫事项，履行合同工程的治安保卫职责；</w:t>
      </w:r>
    </w:p>
    <w:p>
      <w:pPr>
        <w:pStyle w:val="21"/>
        <w:numPr>
          <w:ilvl w:val="0"/>
          <w:numId w:val="20"/>
        </w:numPr>
        <w:tabs>
          <w:tab w:val="left" w:pos="1465"/>
        </w:tabs>
        <w:spacing w:before="3" w:line="297" w:lineRule="auto"/>
        <w:ind w:right="466" w:firstLine="480"/>
        <w:rPr>
          <w:sz w:val="24"/>
        </w:rPr>
      </w:pPr>
      <w:r>
        <w:rPr>
          <w:rFonts w:hint="eastAsia"/>
          <w:sz w:val="24"/>
        </w:rPr>
        <w:t>发包人和承包人除应协助现场治安管理机构或联防组织维护施工场地的</w:t>
      </w:r>
      <w:r>
        <w:rPr>
          <w:rFonts w:hint="eastAsia"/>
          <w:spacing w:val="-5"/>
          <w:sz w:val="24"/>
        </w:rPr>
        <w:t>社会治安外，还应做好包括生活区在内的各自管辖区的治安保卫工作；</w:t>
      </w:r>
    </w:p>
    <w:p>
      <w:pPr>
        <w:pStyle w:val="21"/>
        <w:numPr>
          <w:ilvl w:val="0"/>
          <w:numId w:val="20"/>
        </w:numPr>
        <w:tabs>
          <w:tab w:val="left" w:pos="1465"/>
        </w:tabs>
        <w:spacing w:before="1" w:line="297" w:lineRule="auto"/>
        <w:ind w:right="346" w:firstLine="480"/>
        <w:rPr>
          <w:sz w:val="24"/>
        </w:rPr>
      </w:pPr>
      <w:r>
        <w:rPr>
          <w:rFonts w:hint="eastAsia"/>
          <w:spacing w:val="-3"/>
          <w:sz w:val="24"/>
        </w:rPr>
        <w:t>发包人和承包人应在工程开工后，共同编制施工场地治安管理计划，并制</w:t>
      </w:r>
      <w:r>
        <w:rPr>
          <w:rFonts w:hint="eastAsia"/>
          <w:spacing w:val="-8"/>
          <w:sz w:val="24"/>
        </w:rPr>
        <w:t xml:space="preserve">定应对突发治安事件的紧急预案。在工程施工过程中，发生暴乱、爆炸等恐怖事件， </w:t>
      </w:r>
      <w:r>
        <w:rPr>
          <w:rFonts w:hint="eastAsia"/>
          <w:spacing w:val="-10"/>
          <w:sz w:val="24"/>
        </w:rPr>
        <w:t>以及群殴、械斗等群体性突发治安事件的，发包人和承包人应立即向当地政府报告。</w:t>
      </w:r>
      <w:r>
        <w:rPr>
          <w:rFonts w:hint="eastAsia"/>
          <w:sz w:val="24"/>
        </w:rPr>
        <w:t>发包人和承包人应积极协助当地有关部门采取措施平息事态，防止事态扩大，尽量减少财产损失和避免人员伤亡。</w:t>
      </w:r>
    </w:p>
    <w:p>
      <w:pPr>
        <w:pStyle w:val="21"/>
        <w:numPr>
          <w:ilvl w:val="3"/>
          <w:numId w:val="5"/>
        </w:numPr>
        <w:tabs>
          <w:tab w:val="left" w:pos="1125"/>
        </w:tabs>
        <w:spacing w:before="184"/>
        <w:ind w:left="1124" w:hanging="302"/>
        <w:jc w:val="left"/>
        <w:rPr>
          <w:sz w:val="24"/>
        </w:rPr>
      </w:pPr>
      <w:r>
        <w:rPr>
          <w:rFonts w:hint="eastAsia"/>
          <w:sz w:val="24"/>
        </w:rPr>
        <w:t>环境保护</w:t>
      </w:r>
    </w:p>
    <w:p>
      <w:pPr>
        <w:pStyle w:val="11"/>
        <w:spacing w:before="5"/>
        <w:rPr>
          <w:sz w:val="20"/>
        </w:rPr>
      </w:pPr>
    </w:p>
    <w:p>
      <w:pPr>
        <w:pStyle w:val="21"/>
        <w:numPr>
          <w:ilvl w:val="4"/>
          <w:numId w:val="5"/>
        </w:numPr>
        <w:tabs>
          <w:tab w:val="left" w:pos="1529"/>
        </w:tabs>
        <w:spacing w:line="307" w:lineRule="auto"/>
        <w:ind w:left="384" w:right="465" w:firstLine="480"/>
        <w:jc w:val="both"/>
        <w:rPr>
          <w:sz w:val="24"/>
        </w:rPr>
      </w:pPr>
      <w:r>
        <w:rPr>
          <w:rFonts w:hint="eastAsia"/>
          <w:sz w:val="24"/>
        </w:rPr>
        <w:t>承包人在施工过程中，应遵守有关环境保护的法律，并切实执行环境保</w:t>
      </w:r>
      <w:r>
        <w:rPr>
          <w:rFonts w:hint="eastAsia"/>
          <w:spacing w:val="-1"/>
          <w:sz w:val="24"/>
        </w:rPr>
        <w:t>护方面的要求和规定，并对违反法律和合同约定的义务所造成的环境破坏、人为伤</w:t>
      </w:r>
      <w:r>
        <w:rPr>
          <w:rFonts w:hint="eastAsia"/>
          <w:sz w:val="24"/>
        </w:rPr>
        <w:t>害和财产损失负责。</w:t>
      </w:r>
    </w:p>
    <w:p>
      <w:pPr>
        <w:pStyle w:val="21"/>
        <w:numPr>
          <w:ilvl w:val="0"/>
          <w:numId w:val="21"/>
        </w:numPr>
        <w:tabs>
          <w:tab w:val="left" w:pos="1465"/>
        </w:tabs>
        <w:spacing w:line="304" w:lineRule="auto"/>
        <w:ind w:right="466" w:firstLine="480"/>
        <w:jc w:val="both"/>
        <w:rPr>
          <w:sz w:val="24"/>
        </w:rPr>
      </w:pPr>
      <w:r>
        <w:rPr>
          <w:rFonts w:hint="eastAsia"/>
          <w:spacing w:val="-4"/>
          <w:sz w:val="24"/>
        </w:rPr>
        <w:t>对于来自施工机械和运输车辆的施工噪声，应遵守《中华人民共和国环</w:t>
      </w:r>
      <w:r>
        <w:rPr>
          <w:rFonts w:hint="eastAsia"/>
          <w:spacing w:val="-5"/>
          <w:sz w:val="24"/>
        </w:rPr>
        <w:t>境噪声污染防治法》并依据《工业企业噪声卫生标准》合理安排工作人员轮流操作</w:t>
      </w:r>
      <w:r>
        <w:rPr>
          <w:rFonts w:hint="eastAsia"/>
          <w:spacing w:val="-4"/>
          <w:sz w:val="24"/>
        </w:rPr>
        <w:t>筑路机械，减少接触高噪声的时间或穿插安排高噪声的工作。对距噪声源较近的施工人员，除取得防护罩或头盔等有效措施外并应当缩短其劳动时间保护施工人员的</w:t>
      </w:r>
      <w:r>
        <w:rPr>
          <w:rFonts w:hint="eastAsia"/>
          <w:spacing w:val="-5"/>
          <w:sz w:val="24"/>
        </w:rPr>
        <w:t>健康。为保护施工现场附近的居民的夜间休息，对居民区</w:t>
      </w:r>
      <w:r>
        <w:rPr>
          <w:rFonts w:hint="eastAsia"/>
          <w:sz w:val="24"/>
        </w:rPr>
        <w:t>150m以内的施工现场、施工时间应加以控制。同时，要注意对机械的经常性保养，尽量使其噪声降低到最</w:t>
      </w:r>
      <w:r>
        <w:rPr>
          <w:rFonts w:hint="eastAsia"/>
          <w:spacing w:val="-4"/>
          <w:sz w:val="24"/>
        </w:rPr>
        <w:t>低水平；</w:t>
      </w:r>
    </w:p>
    <w:p>
      <w:pPr>
        <w:pStyle w:val="21"/>
        <w:numPr>
          <w:ilvl w:val="0"/>
          <w:numId w:val="21"/>
        </w:numPr>
        <w:tabs>
          <w:tab w:val="left" w:pos="1465"/>
        </w:tabs>
        <w:spacing w:before="7" w:line="304" w:lineRule="auto"/>
        <w:ind w:right="466" w:firstLine="480"/>
        <w:rPr>
          <w:sz w:val="24"/>
        </w:rPr>
      </w:pPr>
      <w:r>
        <w:rPr>
          <w:rFonts w:hint="eastAsia"/>
          <w:spacing w:val="-3"/>
          <w:sz w:val="24"/>
        </w:rPr>
        <w:t>应采取有效措施减轻施工现场的灰土拌合、施工车辆和筑路机械运转和</w:t>
      </w:r>
      <w:r>
        <w:rPr>
          <w:rFonts w:hint="eastAsia"/>
          <w:spacing w:val="-5"/>
          <w:sz w:val="24"/>
        </w:rPr>
        <w:t>运输产生的扬尘污染，保护人民健康，如：</w:t>
      </w:r>
    </w:p>
    <w:p>
      <w:pPr>
        <w:pStyle w:val="11"/>
        <w:spacing w:before="1"/>
        <w:ind w:left="864"/>
      </w:pPr>
      <w:r>
        <w:rPr>
          <w:rFonts w:hint="eastAsia"/>
        </w:rPr>
        <w:t>—拌合设备应有较好密封或有防尘设备。</w:t>
      </w:r>
    </w:p>
    <w:p>
      <w:pPr>
        <w:pStyle w:val="11"/>
        <w:spacing w:before="87"/>
        <w:ind w:left="864"/>
      </w:pPr>
      <w:r>
        <w:rPr>
          <w:rFonts w:hint="eastAsia"/>
        </w:rPr>
        <w:t>—施工道路、沥青混凝土拌合站及稳定灰土拌合站应经常进行洒水处理。</w:t>
      </w:r>
    </w:p>
    <w:p>
      <w:pPr>
        <w:pStyle w:val="11"/>
        <w:spacing w:before="83"/>
        <w:ind w:left="864"/>
      </w:pPr>
      <w:r>
        <w:rPr>
          <w:rFonts w:hint="eastAsia"/>
        </w:rPr>
        <w:t>—路面施工应注意保持水分，以免扬尘。</w:t>
      </w:r>
    </w:p>
    <w:p>
      <w:pPr>
        <w:pStyle w:val="11"/>
        <w:spacing w:before="84"/>
        <w:ind w:left="864"/>
      </w:pPr>
      <w:r>
        <w:rPr>
          <w:rFonts w:hint="eastAsia"/>
        </w:rPr>
        <w:t>—桥梁钻孔灌注桩施工时排除的泥浆要作妥善处理，严禁向河流或农田排放；</w:t>
      </w:r>
    </w:p>
    <w:p>
      <w:pPr>
        <w:pStyle w:val="21"/>
        <w:numPr>
          <w:ilvl w:val="0"/>
          <w:numId w:val="21"/>
        </w:numPr>
        <w:tabs>
          <w:tab w:val="left" w:pos="1465"/>
        </w:tabs>
        <w:spacing w:before="86" w:line="304" w:lineRule="auto"/>
        <w:ind w:right="466" w:firstLine="480"/>
        <w:rPr>
          <w:sz w:val="24"/>
        </w:rPr>
      </w:pPr>
      <w:r>
        <w:rPr>
          <w:rFonts w:hint="eastAsia"/>
          <w:spacing w:val="-2"/>
          <w:sz w:val="24"/>
        </w:rPr>
        <w:t>采取可靠措施保证原有交通的正常通行和维护沿线村镇的居民饮水、农</w:t>
      </w:r>
      <w:r>
        <w:rPr>
          <w:rFonts w:hint="eastAsia"/>
          <w:spacing w:val="-5"/>
          <w:sz w:val="24"/>
        </w:rPr>
        <w:t>田灌溉、生产生活用电及通讯等管线的正常使用。</w:t>
      </w:r>
    </w:p>
    <w:p>
      <w:pPr>
        <w:pStyle w:val="21"/>
        <w:numPr>
          <w:ilvl w:val="4"/>
          <w:numId w:val="5"/>
        </w:numPr>
        <w:tabs>
          <w:tab w:val="left" w:pos="1528"/>
          <w:tab w:val="left" w:pos="1529"/>
        </w:tabs>
        <w:spacing w:before="1" w:line="307" w:lineRule="auto"/>
        <w:ind w:left="384" w:right="467" w:firstLine="480"/>
        <w:rPr>
          <w:sz w:val="24"/>
        </w:rPr>
      </w:pPr>
      <w:r>
        <w:rPr>
          <w:rFonts w:hint="eastAsia"/>
          <w:sz w:val="24"/>
        </w:rPr>
        <w:t>承包人应按合同约定的环保工作内容，编制施工环保措施计划，报送监理人审批。</w:t>
      </w:r>
    </w:p>
    <w:p>
      <w:pPr>
        <w:spacing w:line="307" w:lineRule="auto"/>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4"/>
          <w:numId w:val="5"/>
        </w:numPr>
        <w:tabs>
          <w:tab w:val="left" w:pos="1529"/>
        </w:tabs>
        <w:spacing w:before="74" w:line="307" w:lineRule="auto"/>
        <w:ind w:left="384" w:right="465" w:firstLine="480"/>
        <w:jc w:val="both"/>
        <w:rPr>
          <w:sz w:val="24"/>
        </w:rPr>
      </w:pPr>
      <w:r>
        <w:rPr>
          <w:rFonts w:hint="eastAsia"/>
          <w:sz w:val="24"/>
        </w:rPr>
        <w:t xml:space="preserve">在施工期间，承包人应合理设置取土场和弃土场，做好施工防护措施， </w:t>
      </w:r>
      <w:r>
        <w:rPr>
          <w:rFonts w:hint="eastAsia"/>
          <w:spacing w:val="-1"/>
          <w:sz w:val="24"/>
        </w:rPr>
        <w:t>防止水土流失。施工过程中要采取有效措施防止污染农田，项目完工后承包人应将</w:t>
      </w:r>
      <w:r>
        <w:rPr>
          <w:rFonts w:hint="eastAsia"/>
          <w:sz w:val="24"/>
        </w:rPr>
        <w:t>临时占地自费恢复到临时占地使用前的状况。</w:t>
      </w:r>
    </w:p>
    <w:p>
      <w:pPr>
        <w:pStyle w:val="21"/>
        <w:numPr>
          <w:ilvl w:val="4"/>
          <w:numId w:val="5"/>
        </w:numPr>
        <w:tabs>
          <w:tab w:val="left" w:pos="1528"/>
          <w:tab w:val="left" w:pos="1529"/>
        </w:tabs>
        <w:spacing w:line="304" w:lineRule="auto"/>
        <w:ind w:left="384" w:right="346" w:firstLine="480"/>
        <w:rPr>
          <w:sz w:val="24"/>
        </w:rPr>
      </w:pPr>
      <w:r>
        <w:rPr>
          <w:rFonts w:hint="eastAsia"/>
          <w:sz w:val="24"/>
        </w:rPr>
        <w:t>承包人应严格按照国家有关法规要求，做好施工过程中的生态保护和水土保持工作。施工中要尽可能减少对原地面的扰动，减少对地面草木的破坏，需要</w:t>
      </w:r>
      <w:r>
        <w:rPr>
          <w:rFonts w:hint="eastAsia"/>
          <w:spacing w:val="-8"/>
          <w:sz w:val="24"/>
        </w:rPr>
        <w:t>爆破作业的，应按规定进行控爆设计。加强施工便道的管理，严禁在指定的取</w:t>
      </w:r>
      <w:r>
        <w:rPr>
          <w:rFonts w:hint="eastAsia"/>
          <w:spacing w:val="-3"/>
          <w:sz w:val="24"/>
        </w:rPr>
        <w:t>（</w:t>
      </w:r>
      <w:r>
        <w:rPr>
          <w:rFonts w:hint="eastAsia"/>
          <w:sz w:val="24"/>
        </w:rPr>
        <w:t>弃</w:t>
      </w:r>
      <w:r>
        <w:rPr>
          <w:rFonts w:hint="eastAsia"/>
          <w:spacing w:val="-16"/>
          <w:sz w:val="24"/>
        </w:rPr>
        <w:t xml:space="preserve">） </w:t>
      </w:r>
      <w:r>
        <w:rPr>
          <w:rFonts w:hint="eastAsia"/>
          <w:sz w:val="24"/>
        </w:rPr>
        <w:t>土场以外的地方乱挖乱弃。</w:t>
      </w:r>
    </w:p>
    <w:p>
      <w:pPr>
        <w:pStyle w:val="21"/>
        <w:numPr>
          <w:ilvl w:val="4"/>
          <w:numId w:val="5"/>
        </w:numPr>
        <w:tabs>
          <w:tab w:val="left" w:pos="1529"/>
        </w:tabs>
        <w:spacing w:line="304" w:lineRule="auto"/>
        <w:ind w:left="384" w:right="465" w:firstLine="480"/>
        <w:jc w:val="both"/>
        <w:rPr>
          <w:sz w:val="24"/>
        </w:rPr>
      </w:pPr>
      <w:r>
        <w:rPr>
          <w:rFonts w:hint="eastAsia"/>
          <w:sz w:val="24"/>
        </w:rPr>
        <w:t>在整个施工过程中对承包人采取的环境保护措施，发包人和监理人有权</w:t>
      </w:r>
      <w:r>
        <w:rPr>
          <w:rFonts w:hint="eastAsia"/>
          <w:spacing w:val="-1"/>
          <w:sz w:val="24"/>
        </w:rPr>
        <w:t>监督，并向承包人提出整改要求。如果由于承包人未能对其负责的上述事项采取各种必要的措施而导致或发生与此有关的人身伤亡、罚款、索赔、损失补偿、诉讼费</w:t>
      </w:r>
      <w:r>
        <w:rPr>
          <w:rFonts w:hint="eastAsia"/>
          <w:sz w:val="24"/>
        </w:rPr>
        <w:t>用及其他一切责任应由承包人负责。</w:t>
      </w:r>
    </w:p>
    <w:p>
      <w:pPr>
        <w:pStyle w:val="21"/>
        <w:numPr>
          <w:ilvl w:val="3"/>
          <w:numId w:val="5"/>
        </w:numPr>
        <w:tabs>
          <w:tab w:val="left" w:pos="1125"/>
        </w:tabs>
        <w:spacing w:before="178"/>
        <w:ind w:left="1124" w:hanging="302"/>
        <w:jc w:val="left"/>
        <w:rPr>
          <w:sz w:val="24"/>
        </w:rPr>
      </w:pPr>
      <w:r>
        <w:rPr>
          <w:rFonts w:hint="eastAsia"/>
          <w:sz w:val="24"/>
        </w:rPr>
        <w:t>事故处理</w:t>
      </w:r>
    </w:p>
    <w:p>
      <w:pPr>
        <w:pStyle w:val="11"/>
        <w:spacing w:before="10"/>
        <w:rPr>
          <w:sz w:val="20"/>
        </w:rPr>
      </w:pPr>
    </w:p>
    <w:p>
      <w:pPr>
        <w:pStyle w:val="11"/>
        <w:spacing w:line="307" w:lineRule="auto"/>
        <w:ind w:left="384" w:right="466" w:firstLine="480"/>
        <w:jc w:val="both"/>
      </w:pPr>
      <w:r>
        <w:rPr>
          <w:rFonts w:hint="eastAsia"/>
          <w:spacing w:val="-2"/>
        </w:rPr>
        <w:t>如果工程施工过程中，发生重大安全事故、质量事故，承包人必须在</w:t>
      </w:r>
      <w:r>
        <w:rPr>
          <w:rFonts w:hint="eastAsia"/>
        </w:rPr>
        <w:t>2</w:t>
      </w:r>
      <w:r>
        <w:rPr>
          <w:rFonts w:hint="eastAsia"/>
          <w:spacing w:val="-4"/>
        </w:rPr>
        <w:t>小时内</w:t>
      </w:r>
      <w:r>
        <w:rPr>
          <w:rFonts w:hint="eastAsia"/>
          <w:spacing w:val="-1"/>
        </w:rPr>
        <w:t>口头报告，</w:t>
      </w:r>
      <w:r>
        <w:rPr>
          <w:rFonts w:hint="eastAsia"/>
          <w:spacing w:val="-4"/>
        </w:rPr>
        <w:t>24</w:t>
      </w:r>
      <w:r>
        <w:rPr>
          <w:rFonts w:hint="eastAsia"/>
          <w:spacing w:val="-2"/>
        </w:rPr>
        <w:t>小时内将事故详细情况书面报监理人和发包人。如果现场发生一般安</w:t>
      </w:r>
      <w:r>
        <w:rPr>
          <w:rFonts w:hint="eastAsia"/>
          <w:spacing w:val="-3"/>
        </w:rPr>
        <w:t>全事故，或质量事故，承包人必须在</w:t>
      </w:r>
      <w:r>
        <w:rPr>
          <w:rFonts w:hint="eastAsia"/>
        </w:rPr>
        <w:t>3</w:t>
      </w:r>
      <w:r>
        <w:rPr>
          <w:rFonts w:hint="eastAsia"/>
          <w:spacing w:val="-1"/>
        </w:rPr>
        <w:t>天内将事故详细情况书面报告监理人和发包</w:t>
      </w:r>
      <w:r>
        <w:rPr>
          <w:rFonts w:hint="eastAsia"/>
        </w:rPr>
        <w:t>人。如果现场(包括临时道路)发生重大交通事故，承包人应尽快报告监理人，同时</w:t>
      </w:r>
      <w:r>
        <w:rPr>
          <w:rFonts w:hint="eastAsia"/>
          <w:spacing w:val="-1"/>
        </w:rPr>
        <w:t>应迅速报告当地交通安全管理部门。质量事故等级划分遵照交通运输部公路工程质</w:t>
      </w:r>
      <w:r>
        <w:rPr>
          <w:rFonts w:hint="eastAsia"/>
        </w:rPr>
        <w:t>量管理办法的规定。</w:t>
      </w:r>
    </w:p>
    <w:p>
      <w:pPr>
        <w:pStyle w:val="11"/>
        <w:spacing w:before="182"/>
        <w:ind w:right="7021"/>
        <w:jc w:val="right"/>
      </w:pPr>
      <w:r>
        <w:rPr>
          <w:rFonts w:hint="eastAsia"/>
        </w:rPr>
        <w:t>六、合同价款支付</w:t>
      </w:r>
    </w:p>
    <w:p>
      <w:pPr>
        <w:pStyle w:val="11"/>
        <w:spacing w:before="10"/>
        <w:rPr>
          <w:sz w:val="20"/>
        </w:rPr>
      </w:pPr>
    </w:p>
    <w:p>
      <w:pPr>
        <w:pStyle w:val="21"/>
        <w:numPr>
          <w:ilvl w:val="3"/>
          <w:numId w:val="5"/>
        </w:numPr>
        <w:tabs>
          <w:tab w:val="left" w:pos="301"/>
        </w:tabs>
        <w:ind w:left="1124" w:right="6961" w:hanging="1125"/>
        <w:rPr>
          <w:sz w:val="24"/>
        </w:rPr>
      </w:pPr>
      <w:r>
        <w:rPr>
          <w:rFonts w:hint="eastAsia"/>
          <w:sz w:val="24"/>
          <w:lang w:val="en-US"/>
        </w:rPr>
        <w:t xml:space="preserve"> </w:t>
      </w:r>
      <w:r>
        <w:rPr>
          <w:rFonts w:hint="eastAsia"/>
          <w:sz w:val="24"/>
        </w:rPr>
        <w:t>合同价款支付</w:t>
      </w:r>
    </w:p>
    <w:p>
      <w:pPr>
        <w:pStyle w:val="11"/>
        <w:spacing w:before="10"/>
        <w:rPr>
          <w:sz w:val="20"/>
        </w:rPr>
      </w:pPr>
    </w:p>
    <w:p>
      <w:pPr>
        <w:pStyle w:val="21"/>
        <w:numPr>
          <w:ilvl w:val="4"/>
          <w:numId w:val="5"/>
        </w:numPr>
        <w:tabs>
          <w:tab w:val="left" w:pos="1524"/>
        </w:tabs>
        <w:ind w:left="1524" w:hanging="660"/>
        <w:jc w:val="both"/>
        <w:rPr>
          <w:sz w:val="24"/>
        </w:rPr>
      </w:pPr>
      <w:r>
        <w:rPr>
          <w:rFonts w:hint="eastAsia"/>
          <w:sz w:val="24"/>
        </w:rPr>
        <w:t>发包人与承包人依据中标价在合同协议书内约定合同价款。</w:t>
      </w:r>
    </w:p>
    <w:p>
      <w:pPr>
        <w:pStyle w:val="21"/>
        <w:numPr>
          <w:ilvl w:val="4"/>
          <w:numId w:val="5"/>
        </w:numPr>
        <w:tabs>
          <w:tab w:val="left" w:pos="1524"/>
        </w:tabs>
        <w:spacing w:before="86" w:line="307" w:lineRule="auto"/>
        <w:ind w:left="384" w:right="442" w:firstLine="480"/>
        <w:jc w:val="both"/>
        <w:rPr>
          <w:sz w:val="24"/>
        </w:rPr>
      </w:pPr>
      <w:r>
        <w:rPr>
          <w:rFonts w:hint="eastAsia"/>
          <w:spacing w:val="-7"/>
          <w:sz w:val="24"/>
        </w:rPr>
        <w:t>承包人应在每月的</w:t>
      </w:r>
      <w:r>
        <w:rPr>
          <w:rFonts w:hint="eastAsia"/>
          <w:sz w:val="24"/>
        </w:rPr>
        <w:t>25</w:t>
      </w:r>
      <w:r>
        <w:rPr>
          <w:rFonts w:hint="eastAsia"/>
          <w:spacing w:val="-1"/>
          <w:sz w:val="24"/>
        </w:rPr>
        <w:t>日前，按监理人审定的《工程进度中期支付报表》</w:t>
      </w:r>
      <w:r>
        <w:rPr>
          <w:rFonts w:hint="eastAsia"/>
          <w:sz w:val="24"/>
        </w:rPr>
        <w:t>的工程数量及相关的支付额报发包人，发包人据以支付工程进度款。除不可抗拒的自然灾害、特殊社会风险及发包人批准的设计变更外，工程总支付金额不应超过合同价（不包括暂列金额）。</w:t>
      </w:r>
    </w:p>
    <w:p>
      <w:pPr>
        <w:pStyle w:val="21"/>
        <w:numPr>
          <w:ilvl w:val="3"/>
          <w:numId w:val="5"/>
        </w:numPr>
        <w:tabs>
          <w:tab w:val="left" w:pos="1125"/>
        </w:tabs>
        <w:spacing w:before="183"/>
        <w:ind w:left="1124" w:hanging="302"/>
        <w:jc w:val="left"/>
        <w:rPr>
          <w:sz w:val="24"/>
        </w:rPr>
      </w:pPr>
      <w:r>
        <w:rPr>
          <w:rFonts w:hint="eastAsia"/>
          <w:sz w:val="24"/>
        </w:rPr>
        <w:t>预付款</w:t>
      </w:r>
    </w:p>
    <w:p>
      <w:pPr>
        <w:pStyle w:val="11"/>
        <w:spacing w:before="9"/>
        <w:rPr>
          <w:sz w:val="20"/>
        </w:rPr>
      </w:pPr>
    </w:p>
    <w:p>
      <w:pPr>
        <w:pStyle w:val="21"/>
        <w:numPr>
          <w:ilvl w:val="4"/>
          <w:numId w:val="5"/>
        </w:numPr>
        <w:tabs>
          <w:tab w:val="left" w:pos="1529"/>
        </w:tabs>
        <w:spacing w:line="307" w:lineRule="auto"/>
        <w:ind w:left="384" w:right="467" w:firstLine="480"/>
        <w:jc w:val="both"/>
        <w:rPr>
          <w:sz w:val="24"/>
        </w:rPr>
      </w:pPr>
      <w:r>
        <w:rPr>
          <w:rFonts w:hint="eastAsia"/>
          <w:sz w:val="24"/>
        </w:rPr>
        <w:t>承包人在合同文件载明的人员、主要设备进场后，可得到预付款支付， 预付款必须专用于合同工程。</w:t>
      </w:r>
    </w:p>
    <w:p>
      <w:pPr>
        <w:pStyle w:val="21"/>
        <w:numPr>
          <w:ilvl w:val="4"/>
          <w:numId w:val="5"/>
        </w:numPr>
        <w:tabs>
          <w:tab w:val="left" w:pos="1529"/>
        </w:tabs>
        <w:spacing w:line="307" w:lineRule="auto"/>
        <w:ind w:left="384" w:right="465" w:firstLine="480"/>
        <w:jc w:val="both"/>
        <w:rPr>
          <w:sz w:val="24"/>
        </w:rPr>
      </w:pPr>
      <w:r>
        <w:rPr>
          <w:rFonts w:hint="eastAsia"/>
          <w:sz w:val="24"/>
        </w:rPr>
        <w:t>预付款在进度付款中扣回，在颁发工程接收证书前，由于不可抗力或其</w:t>
      </w:r>
      <w:r>
        <w:rPr>
          <w:rFonts w:hint="eastAsia"/>
          <w:spacing w:val="-1"/>
          <w:sz w:val="24"/>
        </w:rPr>
        <w:t>他原因解除合同时，预付款尚未扣清的，尚未扣清的预付款余额应作为承包人的到</w:t>
      </w:r>
      <w:r>
        <w:rPr>
          <w:rFonts w:hint="eastAsia"/>
          <w:sz w:val="24"/>
        </w:rPr>
        <w:t>期应付款。</w:t>
      </w:r>
    </w:p>
    <w:p>
      <w:pPr>
        <w:spacing w:line="307" w:lineRule="auto"/>
        <w:jc w:val="both"/>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4"/>
          <w:numId w:val="5"/>
        </w:numPr>
        <w:tabs>
          <w:tab w:val="left" w:pos="1409"/>
        </w:tabs>
        <w:spacing w:before="76" w:line="307" w:lineRule="auto"/>
        <w:ind w:left="384" w:right="462" w:firstLine="480"/>
        <w:jc w:val="both"/>
        <w:rPr>
          <w:sz w:val="24"/>
        </w:rPr>
      </w:pPr>
      <w:r>
        <w:rPr>
          <w:rFonts w:hint="eastAsia"/>
          <w:spacing w:val="1"/>
          <w:sz w:val="24"/>
        </w:rPr>
        <w:t>开工预付款在进度付款证书的累计金额未达到签约合同价的</w:t>
      </w:r>
      <w:r>
        <w:rPr>
          <w:rFonts w:hint="eastAsia"/>
          <w:sz w:val="24"/>
        </w:rPr>
        <w:t>30%</w:t>
      </w:r>
      <w:r>
        <w:rPr>
          <w:rFonts w:hint="eastAsia"/>
          <w:spacing w:val="3"/>
          <w:sz w:val="24"/>
        </w:rPr>
        <w:t>之前不</w:t>
      </w:r>
      <w:r>
        <w:rPr>
          <w:rFonts w:hint="eastAsia"/>
          <w:spacing w:val="-10"/>
          <w:sz w:val="24"/>
        </w:rPr>
        <w:t>予扣回，在达到签约合同价</w:t>
      </w:r>
      <w:r>
        <w:rPr>
          <w:rFonts w:hint="eastAsia"/>
          <w:sz w:val="24"/>
        </w:rPr>
        <w:t>30%</w:t>
      </w:r>
      <w:r>
        <w:rPr>
          <w:rFonts w:hint="eastAsia"/>
          <w:spacing w:val="-6"/>
          <w:sz w:val="24"/>
        </w:rPr>
        <w:t>之后，开始按工程进度以固定比例</w:t>
      </w:r>
      <w:r>
        <w:rPr>
          <w:rFonts w:hint="eastAsia"/>
          <w:sz w:val="24"/>
        </w:rPr>
        <w:t>(</w:t>
      </w:r>
      <w:r>
        <w:rPr>
          <w:rFonts w:hint="eastAsia"/>
          <w:spacing w:val="-2"/>
          <w:sz w:val="24"/>
        </w:rPr>
        <w:t>即每完成签约合</w:t>
      </w:r>
      <w:r>
        <w:rPr>
          <w:rFonts w:hint="eastAsia"/>
          <w:spacing w:val="-15"/>
          <w:sz w:val="24"/>
        </w:rPr>
        <w:t>同价的</w:t>
      </w:r>
      <w:r>
        <w:rPr>
          <w:rFonts w:hint="eastAsia"/>
          <w:spacing w:val="-14"/>
          <w:sz w:val="24"/>
        </w:rPr>
        <w:t>1%</w:t>
      </w:r>
      <w:r>
        <w:rPr>
          <w:rFonts w:hint="eastAsia"/>
          <w:spacing w:val="-10"/>
          <w:sz w:val="24"/>
        </w:rPr>
        <w:t>，扣回开工预付款的</w:t>
      </w:r>
      <w:r>
        <w:rPr>
          <w:rFonts w:hint="eastAsia"/>
          <w:sz w:val="24"/>
        </w:rPr>
        <w:t>2%)</w:t>
      </w:r>
      <w:r>
        <w:rPr>
          <w:rFonts w:hint="eastAsia"/>
          <w:spacing w:val="-5"/>
          <w:sz w:val="24"/>
        </w:rPr>
        <w:t>分期从各月的进度付款证书中扣回，全部金额在</w:t>
      </w:r>
      <w:r>
        <w:rPr>
          <w:rFonts w:hint="eastAsia"/>
          <w:spacing w:val="-4"/>
          <w:sz w:val="24"/>
        </w:rPr>
        <w:t>进度付款证书的累计金额达到签约合同价的</w:t>
      </w:r>
      <w:r>
        <w:rPr>
          <w:rFonts w:hint="eastAsia"/>
          <w:sz w:val="24"/>
        </w:rPr>
        <w:t>80%时扣完。</w:t>
      </w:r>
    </w:p>
    <w:p>
      <w:pPr>
        <w:pStyle w:val="21"/>
        <w:numPr>
          <w:ilvl w:val="4"/>
          <w:numId w:val="5"/>
        </w:numPr>
        <w:tabs>
          <w:tab w:val="left" w:pos="1528"/>
          <w:tab w:val="left" w:pos="1529"/>
        </w:tabs>
        <w:spacing w:before="3" w:line="307" w:lineRule="auto"/>
        <w:ind w:left="384" w:right="346" w:firstLine="480"/>
        <w:rPr>
          <w:sz w:val="24"/>
        </w:rPr>
      </w:pPr>
      <w:r>
        <w:rPr>
          <w:rFonts w:hint="eastAsia"/>
          <w:sz w:val="24"/>
        </w:rPr>
        <w:t>材料预付款按合同条款数据表中所列主要材料单据费用（进口的材料、</w:t>
      </w:r>
      <w:r>
        <w:rPr>
          <w:rFonts w:hint="eastAsia"/>
          <w:spacing w:val="-11"/>
          <w:sz w:val="24"/>
        </w:rPr>
        <w:t>设备为到岸价，国内采购的为出厂价或销售价，地方材料为堆场价</w:t>
      </w:r>
      <w:r>
        <w:fldChar w:fldCharType="begin"/>
      </w:r>
      <w:r>
        <w:instrText xml:space="preserve"> HYPERLINK \l "_bookmark43" </w:instrText>
      </w:r>
      <w:r>
        <w:fldChar w:fldCharType="separate"/>
      </w:r>
      <w:r>
        <w:rPr>
          <w:rFonts w:hint="eastAsia"/>
          <w:spacing w:val="-1"/>
          <w:w w:val="98"/>
          <w:position w:val="9"/>
          <w:sz w:val="9"/>
        </w:rPr>
        <w:t>①</w:t>
      </w:r>
      <w:r>
        <w:rPr>
          <w:rFonts w:hint="eastAsia"/>
          <w:spacing w:val="-1"/>
          <w:w w:val="98"/>
          <w:position w:val="9"/>
          <w:sz w:val="9"/>
        </w:rPr>
        <w:fldChar w:fldCharType="end"/>
      </w:r>
      <w:r>
        <w:rPr>
          <w:rFonts w:hint="eastAsia"/>
          <w:spacing w:val="-58"/>
          <w:sz w:val="24"/>
        </w:rPr>
        <w:t>）</w:t>
      </w:r>
      <w:r>
        <w:rPr>
          <w:rFonts w:hint="eastAsia"/>
          <w:spacing w:val="-3"/>
          <w:sz w:val="24"/>
        </w:rPr>
        <w:t>的百分比支付，</w:t>
      </w:r>
      <w:r>
        <w:rPr>
          <w:rFonts w:hint="eastAsia"/>
          <w:sz w:val="24"/>
        </w:rPr>
        <w:t>预付款比例按照项目专用合同条款数据表的规定计算。其余附加条件为：</w:t>
      </w:r>
    </w:p>
    <w:p>
      <w:pPr>
        <w:pStyle w:val="21"/>
        <w:numPr>
          <w:ilvl w:val="0"/>
          <w:numId w:val="22"/>
        </w:numPr>
        <w:tabs>
          <w:tab w:val="left" w:pos="1465"/>
        </w:tabs>
        <w:rPr>
          <w:sz w:val="24"/>
        </w:rPr>
      </w:pPr>
      <w:r>
        <w:rPr>
          <w:rFonts w:hint="eastAsia"/>
          <w:sz w:val="24"/>
        </w:rPr>
        <w:t>材料符合规范要求并经监理人认可；</w:t>
      </w:r>
    </w:p>
    <w:p>
      <w:pPr>
        <w:pStyle w:val="21"/>
        <w:numPr>
          <w:ilvl w:val="0"/>
          <w:numId w:val="22"/>
        </w:numPr>
        <w:tabs>
          <w:tab w:val="left" w:pos="1465"/>
        </w:tabs>
        <w:spacing w:before="86"/>
        <w:rPr>
          <w:sz w:val="24"/>
        </w:rPr>
      </w:pPr>
      <w:r>
        <w:rPr>
          <w:rFonts w:hint="eastAsia"/>
          <w:sz w:val="24"/>
        </w:rPr>
        <w:t>承包人已出具材料费用凭证或支付单据；</w:t>
      </w:r>
    </w:p>
    <w:p>
      <w:pPr>
        <w:pStyle w:val="21"/>
        <w:numPr>
          <w:ilvl w:val="0"/>
          <w:numId w:val="22"/>
        </w:numPr>
        <w:tabs>
          <w:tab w:val="left" w:pos="1465"/>
        </w:tabs>
        <w:spacing w:before="86" w:line="309" w:lineRule="auto"/>
        <w:ind w:left="864" w:right="382" w:firstLine="0"/>
        <w:rPr>
          <w:sz w:val="24"/>
        </w:rPr>
      </w:pPr>
      <w:r>
        <w:rPr>
          <w:rFonts w:hint="eastAsia"/>
          <w:spacing w:val="-1"/>
          <w:sz w:val="24"/>
        </w:rPr>
        <w:t>材料已在现场交货，且存储良好，监理人认为材料的存储方法符合要求。</w:t>
      </w:r>
      <w:r>
        <w:rPr>
          <w:rFonts w:hint="eastAsia"/>
          <w:sz w:val="24"/>
        </w:rPr>
        <w:t>则监理人应将此项金额作为材料预付款计入下一次的进度付款证书中，在预计</w:t>
      </w:r>
    </w:p>
    <w:p>
      <w:pPr>
        <w:pStyle w:val="11"/>
        <w:spacing w:line="304" w:lineRule="exact"/>
        <w:ind w:left="384"/>
      </w:pPr>
      <w:r>
        <w:rPr>
          <w:rFonts w:hint="eastAsia"/>
        </w:rPr>
        <w:t>交工前3个月，将不再支付材料预付款。</w:t>
      </w:r>
    </w:p>
    <w:p>
      <w:pPr>
        <w:pStyle w:val="11"/>
        <w:spacing w:before="10"/>
        <w:rPr>
          <w:sz w:val="20"/>
        </w:rPr>
      </w:pPr>
    </w:p>
    <w:p>
      <w:pPr>
        <w:pStyle w:val="21"/>
        <w:numPr>
          <w:ilvl w:val="3"/>
          <w:numId w:val="5"/>
        </w:numPr>
        <w:tabs>
          <w:tab w:val="left" w:pos="1125"/>
        </w:tabs>
        <w:ind w:left="1124" w:hanging="302"/>
        <w:jc w:val="left"/>
        <w:rPr>
          <w:sz w:val="24"/>
        </w:rPr>
      </w:pPr>
      <w:r>
        <w:rPr>
          <w:rFonts w:hint="eastAsia"/>
          <w:sz w:val="24"/>
        </w:rPr>
        <w:t>计量与支付</w:t>
      </w:r>
    </w:p>
    <w:p>
      <w:pPr>
        <w:pStyle w:val="11"/>
        <w:spacing w:before="9"/>
        <w:rPr>
          <w:sz w:val="20"/>
        </w:rPr>
      </w:pPr>
    </w:p>
    <w:p>
      <w:pPr>
        <w:pStyle w:val="21"/>
        <w:numPr>
          <w:ilvl w:val="4"/>
          <w:numId w:val="5"/>
        </w:numPr>
        <w:tabs>
          <w:tab w:val="left" w:pos="1523"/>
          <w:tab w:val="left" w:pos="1524"/>
        </w:tabs>
        <w:spacing w:before="1" w:line="307" w:lineRule="auto"/>
        <w:ind w:left="384" w:right="466" w:firstLine="480"/>
        <w:rPr>
          <w:sz w:val="24"/>
        </w:rPr>
      </w:pPr>
      <w:r>
        <w:rPr>
          <w:rFonts w:hint="eastAsia"/>
          <w:spacing w:val="-8"/>
          <w:sz w:val="24"/>
        </w:rPr>
        <w:t>承包人应在每月</w:t>
      </w:r>
      <w:r>
        <w:rPr>
          <w:rFonts w:hint="eastAsia"/>
          <w:sz w:val="24"/>
        </w:rPr>
        <w:t>25</w:t>
      </w:r>
      <w:r>
        <w:rPr>
          <w:rFonts w:hint="eastAsia"/>
          <w:spacing w:val="-5"/>
          <w:sz w:val="24"/>
        </w:rPr>
        <w:t>日前，经监理人现场核实已完成的合格工程数量，确</w:t>
      </w:r>
      <w:r>
        <w:rPr>
          <w:rFonts w:hint="eastAsia"/>
          <w:sz w:val="24"/>
        </w:rPr>
        <w:t>定其价款，监理人签字后作为工程价款支付的依据。</w:t>
      </w:r>
    </w:p>
    <w:p>
      <w:pPr>
        <w:pStyle w:val="11"/>
        <w:spacing w:line="309" w:lineRule="auto"/>
        <w:ind w:left="384" w:right="465" w:firstLine="480"/>
      </w:pPr>
      <w:r>
        <w:rPr>
          <w:rFonts w:hint="eastAsia"/>
        </w:rPr>
        <w:t>本项目工程量清单中总额价子目的支付原则和支付进度按实际完成工程量及时限计量支付，并执行以下原则：</w:t>
      </w:r>
    </w:p>
    <w:p>
      <w:pPr>
        <w:pStyle w:val="21"/>
        <w:numPr>
          <w:ilvl w:val="1"/>
          <w:numId w:val="23"/>
        </w:numPr>
        <w:tabs>
          <w:tab w:val="left" w:pos="1484"/>
        </w:tabs>
        <w:spacing w:line="304" w:lineRule="exact"/>
        <w:rPr>
          <w:sz w:val="24"/>
        </w:rPr>
      </w:pPr>
      <w:r>
        <w:rPr>
          <w:rFonts w:hint="eastAsia"/>
          <w:spacing w:val="-11"/>
          <w:sz w:val="24"/>
        </w:rPr>
        <w:t>竣工文件：按交通运输部及新疆交通运输厅规定的竣工文件和施工文件编</w:t>
      </w:r>
    </w:p>
    <w:p>
      <w:pPr>
        <w:pStyle w:val="11"/>
        <w:spacing w:before="86" w:line="307" w:lineRule="auto"/>
        <w:ind w:left="384" w:right="465"/>
        <w:jc w:val="both"/>
      </w:pPr>
      <w:r>
        <w:rPr>
          <w:rFonts w:hint="eastAsia"/>
          <w:spacing w:val="-5"/>
        </w:rPr>
        <w:t>制的有关规定，编制出</w:t>
      </w:r>
      <w:r>
        <w:rPr>
          <w:rFonts w:hint="eastAsia"/>
        </w:rPr>
        <w:t>3</w:t>
      </w:r>
      <w:r>
        <w:rPr>
          <w:rFonts w:hint="eastAsia"/>
          <w:spacing w:val="-1"/>
        </w:rPr>
        <w:t>套完整合格的竣工文件；装订尺寸及方法符合档案管理的</w:t>
      </w:r>
      <w:r>
        <w:rPr>
          <w:rFonts w:hint="eastAsia"/>
          <w:spacing w:val="-3"/>
        </w:rPr>
        <w:t>有关规定。竣工验收后支付此项费用的</w:t>
      </w:r>
      <w:r>
        <w:rPr>
          <w:rFonts w:hint="eastAsia"/>
        </w:rPr>
        <w:t>90%</w:t>
      </w:r>
      <w:r>
        <w:rPr>
          <w:rFonts w:hint="eastAsia"/>
          <w:spacing w:val="-1"/>
        </w:rPr>
        <w:t>，剩余部分在缺陷责任期满、应补齐的</w:t>
      </w:r>
      <w:r>
        <w:rPr>
          <w:rFonts w:hint="eastAsia"/>
        </w:rPr>
        <w:t>资料补齐后支付。</w:t>
      </w:r>
    </w:p>
    <w:p>
      <w:pPr>
        <w:pStyle w:val="21"/>
        <w:numPr>
          <w:ilvl w:val="1"/>
          <w:numId w:val="23"/>
        </w:numPr>
        <w:tabs>
          <w:tab w:val="left" w:pos="1484"/>
        </w:tabs>
        <w:spacing w:line="307" w:lineRule="auto"/>
        <w:ind w:left="384" w:right="361" w:firstLine="480"/>
        <w:rPr>
          <w:sz w:val="24"/>
        </w:rPr>
      </w:pPr>
      <w:r>
        <w:rPr>
          <w:rFonts w:hint="eastAsia"/>
          <w:spacing w:val="-1"/>
          <w:sz w:val="24"/>
        </w:rPr>
        <w:t>施工环保费：施工过程中注意保护工程范围以外的土地植被、当地水源、</w:t>
      </w:r>
      <w:r>
        <w:rPr>
          <w:rFonts w:hint="eastAsia"/>
          <w:sz w:val="24"/>
        </w:rPr>
        <w:t>灌溉渠道，污水排放达到国家规定标准；沥青混合料拌合场必须设置在离居民区、</w:t>
      </w:r>
      <w:r>
        <w:rPr>
          <w:rFonts w:hint="eastAsia"/>
          <w:spacing w:val="-8"/>
          <w:sz w:val="24"/>
        </w:rPr>
        <w:t>学校、医院</w:t>
      </w:r>
      <w:r>
        <w:rPr>
          <w:rFonts w:hint="eastAsia"/>
          <w:sz w:val="24"/>
        </w:rPr>
        <w:t>300m以外的下风处；将扬尘、噪音控制在最低水平。工程开工后，监</w:t>
      </w:r>
      <w:r>
        <w:rPr>
          <w:rFonts w:hint="eastAsia"/>
          <w:spacing w:val="-3"/>
          <w:sz w:val="24"/>
        </w:rPr>
        <w:t>理人对承包人实施环保措施满意，支付此项费用的</w:t>
      </w:r>
      <w:r>
        <w:rPr>
          <w:rFonts w:hint="eastAsia"/>
          <w:sz w:val="24"/>
        </w:rPr>
        <w:t>30%，工程交工验收时没有被投</w:t>
      </w:r>
      <w:r>
        <w:rPr>
          <w:rFonts w:hint="eastAsia"/>
          <w:spacing w:val="-8"/>
          <w:sz w:val="24"/>
        </w:rPr>
        <w:t>诉，支付剩余的</w:t>
      </w:r>
      <w:r>
        <w:rPr>
          <w:rFonts w:hint="eastAsia"/>
          <w:sz w:val="24"/>
        </w:rPr>
        <w:t>70%。如被罚款费用自负。</w:t>
      </w:r>
    </w:p>
    <w:p>
      <w:pPr>
        <w:pStyle w:val="21"/>
        <w:numPr>
          <w:ilvl w:val="1"/>
          <w:numId w:val="24"/>
        </w:numPr>
        <w:tabs>
          <w:tab w:val="left" w:pos="1484"/>
        </w:tabs>
        <w:spacing w:before="2" w:line="307" w:lineRule="auto"/>
        <w:ind w:right="462" w:firstLine="480"/>
        <w:rPr>
          <w:sz w:val="24"/>
        </w:rPr>
      </w:pPr>
      <w:r>
        <w:rPr>
          <w:rFonts w:hint="eastAsia"/>
          <w:spacing w:val="-6"/>
          <w:sz w:val="24"/>
        </w:rPr>
        <w:t>临时道路修建、养护与拆除</w:t>
      </w:r>
      <w:r>
        <w:rPr>
          <w:rFonts w:hint="eastAsia"/>
          <w:sz w:val="24"/>
        </w:rPr>
        <w:t>（包括原道路的养护</w:t>
      </w:r>
      <w:r>
        <w:rPr>
          <w:rFonts w:hint="eastAsia"/>
          <w:spacing w:val="-26"/>
          <w:sz w:val="24"/>
        </w:rPr>
        <w:t>）</w:t>
      </w:r>
      <w:r>
        <w:rPr>
          <w:rFonts w:hint="eastAsia"/>
          <w:spacing w:val="-7"/>
          <w:sz w:val="24"/>
        </w:rPr>
        <w:t>：承包人根据需求和需</w:t>
      </w:r>
      <w:r>
        <w:rPr>
          <w:rFonts w:hint="eastAsia"/>
          <w:sz w:val="24"/>
        </w:rPr>
        <w:t>要修建的社会交通便道和施工现场的临时道路，并设置必要的交通标志，临时道路</w:t>
      </w:r>
    </w:p>
    <w:p>
      <w:pPr>
        <w:pStyle w:val="11"/>
        <w:spacing w:before="3" w:line="307" w:lineRule="auto"/>
        <w:ind w:left="384" w:right="465"/>
      </w:pPr>
      <w:r>
        <w:rPr>
          <w:rFonts w:hint="eastAsia"/>
        </w:rPr>
        <w:t>（包括原有道路）应加强养护、降低扬尘。临时道路修建后经监理人签认后支付此项费用的80%，交工后拆除恢复原地貌，工程交工验收后支付剩余的20%。</w:t>
      </w:r>
    </w:p>
    <w:p>
      <w:pPr>
        <w:pStyle w:val="21"/>
        <w:numPr>
          <w:ilvl w:val="1"/>
          <w:numId w:val="24"/>
        </w:numPr>
        <w:tabs>
          <w:tab w:val="left" w:pos="1484"/>
        </w:tabs>
        <w:spacing w:line="307" w:lineRule="auto"/>
        <w:ind w:right="466" w:firstLine="480"/>
        <w:rPr>
          <w:sz w:val="24"/>
        </w:rPr>
      </w:pPr>
      <w:r>
        <w:rPr>
          <w:rFonts w:hint="eastAsia"/>
          <w:spacing w:val="-12"/>
          <w:sz w:val="24"/>
        </w:rPr>
        <w:t>临时工程用地：承包人根据现场考察和施工组织计划确定临时工程用地及</w:t>
      </w:r>
      <w:r>
        <w:rPr>
          <w:rFonts w:hint="eastAsia"/>
          <w:spacing w:val="-1"/>
          <w:sz w:val="24"/>
        </w:rPr>
        <w:t>费用。该项费用包含承包人生产、生活用地，施工中取土场、料场用地，临时工程</w:t>
      </w:r>
    </w:p>
    <w:p>
      <w:pPr>
        <w:pStyle w:val="11"/>
        <w:rPr>
          <w:sz w:val="26"/>
        </w:rPr>
      </w:pPr>
      <w:r>
        <mc:AlternateContent>
          <mc:Choice Requires="wps">
            <w:drawing>
              <wp:anchor distT="0" distB="0" distL="114300" distR="114300" simplePos="0" relativeHeight="251662336" behindDoc="1" locked="0" layoutInCell="1" allowOverlap="1">
                <wp:simplePos x="0" y="0"/>
                <wp:positionH relativeFrom="page">
                  <wp:posOffset>1043305</wp:posOffset>
                </wp:positionH>
                <wp:positionV relativeFrom="paragraph">
                  <wp:posOffset>236220</wp:posOffset>
                </wp:positionV>
                <wp:extent cx="1828800" cy="0"/>
                <wp:effectExtent l="0" t="0" r="0" b="0"/>
                <wp:wrapTopAndBottom/>
                <wp:docPr id="12" name="直线 29"/>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82.15pt;margin-top:18.6pt;height:0pt;width:144pt;mso-position-horizontal-relative:page;mso-wrap-distance-bottom:0pt;mso-wrap-distance-top:0pt;z-index:-251654144;mso-width-relative:page;mso-height-relative:page;" filled="f" stroked="t" coordsize="21600,21600" o:gfxdata="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gALcfXAAAACQEAAA8AAAAA&#10;AAAAAQAgAAAAIgAAAGRycy9kb3ducmV2LnhtbFBLAQIUABQAAAAIAIdO4kC7qjxt3AEAAM4DAAAO&#10;AAAAAAAAAAEAIAAAACYBAABkcnMvZTJvRG9jLnhtbFBLBQYAAAAABgAGAFkBAAB0BQAAAAA=&#10;">
                <v:fill on="f" focussize="0,0"/>
                <v:stroke weight="0pt" color="#000000" joinstyle="round"/>
                <v:imagedata o:title=""/>
                <o:lock v:ext="edit" aspectratio="f"/>
                <w10:wrap type="topAndBottom"/>
              </v:line>
            </w:pict>
          </mc:Fallback>
        </mc:AlternateContent>
      </w:r>
    </w:p>
    <w:p>
      <w:pPr>
        <w:spacing w:before="100"/>
        <w:ind w:left="384"/>
        <w:rPr>
          <w:sz w:val="18"/>
        </w:rPr>
      </w:pPr>
      <w:r>
        <w:rPr>
          <w:rFonts w:hint="eastAsia"/>
          <w:position w:val="9"/>
          <w:sz w:val="9"/>
        </w:rPr>
        <w:t xml:space="preserve">① </w:t>
      </w:r>
      <w:r>
        <w:rPr>
          <w:rFonts w:hint="eastAsia"/>
          <w:sz w:val="18"/>
        </w:rPr>
        <w:t>堆场价为材料（或设备）的出厂价或销售价。</w:t>
      </w:r>
    </w:p>
    <w:p>
      <w:pPr>
        <w:rPr>
          <w:sz w:val="18"/>
        </w:rPr>
        <w:sectPr>
          <w:pgSz w:w="11910" w:h="16840"/>
          <w:pgMar w:top="1360" w:right="1120" w:bottom="1080" w:left="1260" w:header="882" w:footer="880" w:gutter="0"/>
          <w:cols w:space="720" w:num="1"/>
        </w:sectPr>
      </w:pPr>
    </w:p>
    <w:p>
      <w:pPr>
        <w:pStyle w:val="11"/>
        <w:spacing w:before="5"/>
        <w:rPr>
          <w:sz w:val="17"/>
        </w:rPr>
      </w:pPr>
    </w:p>
    <w:p>
      <w:pPr>
        <w:pStyle w:val="11"/>
        <w:spacing w:before="76" w:line="307" w:lineRule="auto"/>
        <w:ind w:left="384" w:right="465"/>
        <w:jc w:val="both"/>
      </w:pPr>
      <w:r>
        <w:rPr>
          <w:rFonts w:hint="eastAsia"/>
          <w:spacing w:val="-3"/>
        </w:rPr>
        <w:t>及附属工作临时用地。经监理人签认后支付此项费用的</w:t>
      </w:r>
      <w:r>
        <w:rPr>
          <w:rFonts w:hint="eastAsia"/>
        </w:rPr>
        <w:t>80%</w:t>
      </w:r>
      <w:r>
        <w:rPr>
          <w:rFonts w:hint="eastAsia"/>
          <w:spacing w:val="-2"/>
        </w:rPr>
        <w:t>，交工后拆除恢复原地</w:t>
      </w:r>
      <w:r>
        <w:rPr>
          <w:rFonts w:hint="eastAsia"/>
          <w:spacing w:val="-4"/>
        </w:rPr>
        <w:t>貌后，工程交工验收后支付剩余的</w:t>
      </w:r>
      <w:r>
        <w:rPr>
          <w:rFonts w:hint="eastAsia"/>
        </w:rPr>
        <w:t>20%。</w:t>
      </w:r>
    </w:p>
    <w:p>
      <w:pPr>
        <w:pStyle w:val="21"/>
        <w:numPr>
          <w:ilvl w:val="1"/>
          <w:numId w:val="24"/>
        </w:numPr>
        <w:tabs>
          <w:tab w:val="left" w:pos="1484"/>
        </w:tabs>
        <w:spacing w:line="307" w:lineRule="auto"/>
        <w:ind w:right="466" w:firstLine="480"/>
        <w:jc w:val="both"/>
        <w:rPr>
          <w:sz w:val="24"/>
        </w:rPr>
      </w:pPr>
      <w:r>
        <w:rPr>
          <w:rFonts w:hint="eastAsia"/>
          <w:spacing w:val="-11"/>
          <w:sz w:val="24"/>
        </w:rPr>
        <w:t>临时供电设施架设、维护与拆除：开工报告批准的临时供电设施安装后支</w:t>
      </w:r>
      <w:r>
        <w:rPr>
          <w:rFonts w:hint="eastAsia"/>
          <w:spacing w:val="-8"/>
          <w:sz w:val="24"/>
        </w:rPr>
        <w:t>付此项费用的</w:t>
      </w:r>
      <w:r>
        <w:rPr>
          <w:rFonts w:hint="eastAsia"/>
          <w:sz w:val="24"/>
        </w:rPr>
        <w:t>80%</w:t>
      </w:r>
      <w:r>
        <w:rPr>
          <w:rFonts w:hint="eastAsia"/>
          <w:spacing w:val="-1"/>
          <w:sz w:val="24"/>
        </w:rPr>
        <w:t>，交工后拆除所安装设备及系统恢复到工程实施前的状态，工程</w:t>
      </w:r>
      <w:r>
        <w:rPr>
          <w:rFonts w:hint="eastAsia"/>
          <w:spacing w:val="-6"/>
          <w:sz w:val="24"/>
        </w:rPr>
        <w:t>交工验收后支付剩余的</w:t>
      </w:r>
      <w:r>
        <w:rPr>
          <w:rFonts w:hint="eastAsia"/>
          <w:sz w:val="24"/>
        </w:rPr>
        <w:t>20%。</w:t>
      </w:r>
    </w:p>
    <w:p>
      <w:pPr>
        <w:pStyle w:val="21"/>
        <w:numPr>
          <w:ilvl w:val="1"/>
          <w:numId w:val="24"/>
        </w:numPr>
        <w:tabs>
          <w:tab w:val="left" w:pos="1484"/>
        </w:tabs>
        <w:spacing w:before="3" w:line="307" w:lineRule="auto"/>
        <w:ind w:right="466" w:firstLine="480"/>
        <w:jc w:val="both"/>
        <w:rPr>
          <w:sz w:val="24"/>
        </w:rPr>
      </w:pPr>
      <w:r>
        <w:rPr>
          <w:rFonts w:hint="eastAsia"/>
          <w:spacing w:val="-12"/>
          <w:sz w:val="24"/>
        </w:rPr>
        <w:t>电信设施的提供、维护与拆除：开工报告批准的临时电信设施安装后支付</w:t>
      </w:r>
      <w:r>
        <w:rPr>
          <w:rFonts w:hint="eastAsia"/>
          <w:spacing w:val="-9"/>
          <w:sz w:val="24"/>
        </w:rPr>
        <w:t>此项费用的</w:t>
      </w:r>
      <w:r>
        <w:rPr>
          <w:rFonts w:hint="eastAsia"/>
          <w:sz w:val="24"/>
        </w:rPr>
        <w:t>80%</w:t>
      </w:r>
      <w:r>
        <w:rPr>
          <w:rFonts w:hint="eastAsia"/>
          <w:spacing w:val="-1"/>
          <w:sz w:val="24"/>
        </w:rPr>
        <w:t>，交工后拆除所安装设备及系统恢复到工程实施前的状态，工程交</w:t>
      </w:r>
      <w:r>
        <w:rPr>
          <w:rFonts w:hint="eastAsia"/>
          <w:spacing w:val="-7"/>
          <w:sz w:val="24"/>
        </w:rPr>
        <w:t>工验收后支付剩余的</w:t>
      </w:r>
      <w:r>
        <w:rPr>
          <w:rFonts w:hint="eastAsia"/>
          <w:sz w:val="24"/>
        </w:rPr>
        <w:t>20%。</w:t>
      </w:r>
    </w:p>
    <w:p>
      <w:pPr>
        <w:pStyle w:val="21"/>
        <w:numPr>
          <w:ilvl w:val="1"/>
          <w:numId w:val="24"/>
        </w:numPr>
        <w:tabs>
          <w:tab w:val="left" w:pos="1484"/>
        </w:tabs>
        <w:spacing w:line="307" w:lineRule="auto"/>
        <w:ind w:right="466" w:firstLine="480"/>
        <w:jc w:val="both"/>
        <w:rPr>
          <w:sz w:val="24"/>
        </w:rPr>
      </w:pPr>
      <w:r>
        <w:rPr>
          <w:rFonts w:hint="eastAsia"/>
          <w:spacing w:val="-11"/>
          <w:sz w:val="24"/>
        </w:rPr>
        <w:t>临时供水与排污设施：供水与排污设施实施经监理人签认后支付此项费用</w:t>
      </w:r>
      <w:r>
        <w:rPr>
          <w:rFonts w:hint="eastAsia"/>
          <w:spacing w:val="-26"/>
          <w:sz w:val="24"/>
        </w:rPr>
        <w:t xml:space="preserve">的 </w:t>
      </w:r>
      <w:r>
        <w:rPr>
          <w:rFonts w:hint="eastAsia"/>
          <w:sz w:val="24"/>
        </w:rPr>
        <w:t>90%</w:t>
      </w:r>
      <w:r>
        <w:rPr>
          <w:rFonts w:hint="eastAsia"/>
          <w:spacing w:val="-1"/>
          <w:sz w:val="24"/>
        </w:rPr>
        <w:t>，交工后拆除其全部临时排污设施恢复到工程实施前的状态，工程交工验收</w:t>
      </w:r>
      <w:r>
        <w:rPr>
          <w:rFonts w:hint="eastAsia"/>
          <w:spacing w:val="-9"/>
          <w:sz w:val="24"/>
        </w:rPr>
        <w:t>后支付剩余的</w:t>
      </w:r>
      <w:r>
        <w:rPr>
          <w:rFonts w:hint="eastAsia"/>
          <w:sz w:val="24"/>
        </w:rPr>
        <w:t>10%。</w:t>
      </w:r>
    </w:p>
    <w:p>
      <w:pPr>
        <w:pStyle w:val="11"/>
        <w:spacing w:before="2" w:line="307" w:lineRule="auto"/>
        <w:ind w:left="384" w:right="466" w:firstLine="480"/>
        <w:jc w:val="both"/>
      </w:pPr>
      <w:r>
        <w:rPr>
          <w:rFonts w:hint="eastAsia"/>
        </w:rPr>
        <w:t xml:space="preserve">104-1 </w:t>
      </w:r>
      <w:r>
        <w:rPr>
          <w:rFonts w:hint="eastAsia"/>
          <w:spacing w:val="-11"/>
        </w:rPr>
        <w:t>承包人驻地建设：驻地建设完成、开工报告批准、工地试验室制备齐全后</w:t>
      </w:r>
      <w:r>
        <w:rPr>
          <w:rFonts w:hint="eastAsia"/>
          <w:spacing w:val="-7"/>
        </w:rPr>
        <w:t>支付此项费用的</w:t>
      </w:r>
      <w:r>
        <w:rPr>
          <w:rFonts w:hint="eastAsia"/>
        </w:rPr>
        <w:t>90%</w:t>
      </w:r>
      <w:r>
        <w:rPr>
          <w:rFonts w:hint="eastAsia"/>
          <w:spacing w:val="-1"/>
        </w:rPr>
        <w:t>，按照合同或协议将驻地移走、清除、恢复原貌后，工程交工</w:t>
      </w:r>
      <w:r>
        <w:rPr>
          <w:rFonts w:hint="eastAsia"/>
          <w:spacing w:val="-7"/>
        </w:rPr>
        <w:t>验收后支付剩余的</w:t>
      </w:r>
      <w:r>
        <w:rPr>
          <w:rFonts w:hint="eastAsia"/>
        </w:rPr>
        <w:t>10%。</w:t>
      </w:r>
    </w:p>
    <w:p>
      <w:pPr>
        <w:pStyle w:val="11"/>
        <w:spacing w:line="307" w:lineRule="auto"/>
        <w:ind w:left="384" w:right="466" w:firstLine="480"/>
        <w:jc w:val="both"/>
      </w:pPr>
      <w:r>
        <w:rPr>
          <w:rFonts w:hint="eastAsia"/>
        </w:rPr>
        <w:t xml:space="preserve">105-1 </w:t>
      </w:r>
      <w:r>
        <w:rPr>
          <w:rFonts w:hint="eastAsia"/>
          <w:spacing w:val="-12"/>
        </w:rPr>
        <w:t>安全生产费：施工安全设施费用及与此有关的一切作业经监理人对工程安</w:t>
      </w:r>
      <w:r>
        <w:rPr>
          <w:rFonts w:hint="eastAsia"/>
          <w:spacing w:val="-3"/>
        </w:rPr>
        <w:t>全生产情况检查达到安全合格标准后，以总额的</w:t>
      </w:r>
      <w:r>
        <w:rPr>
          <w:rFonts w:hint="eastAsia"/>
        </w:rPr>
        <w:t>90%按月（合同工期）</w:t>
      </w:r>
      <w:r>
        <w:rPr>
          <w:rFonts w:hint="eastAsia"/>
          <w:spacing w:val="-3"/>
        </w:rPr>
        <w:t>平均分次支付。交工验收后经监理人同意后支付剩余的</w:t>
      </w:r>
      <w:r>
        <w:rPr>
          <w:rFonts w:hint="eastAsia"/>
        </w:rPr>
        <w:t>10%</w:t>
      </w:r>
      <w:r>
        <w:rPr>
          <w:rFonts w:hint="eastAsia"/>
          <w:spacing w:val="-1"/>
        </w:rPr>
        <w:t>。如承包人在此基础上增加安全生产费用以满足项目施工需要，则承包人应在本项目工程量清单其他相关子目的单价</w:t>
      </w:r>
      <w:r>
        <w:rPr>
          <w:rFonts w:hint="eastAsia"/>
        </w:rPr>
        <w:t>或总额价中予以考虑，发包人不再另行支付。</w:t>
      </w:r>
    </w:p>
    <w:p>
      <w:pPr>
        <w:pStyle w:val="21"/>
        <w:numPr>
          <w:ilvl w:val="4"/>
          <w:numId w:val="5"/>
        </w:numPr>
        <w:tabs>
          <w:tab w:val="left" w:pos="1529"/>
        </w:tabs>
        <w:spacing w:line="307" w:lineRule="auto"/>
        <w:ind w:left="384" w:right="467" w:firstLine="480"/>
        <w:jc w:val="both"/>
        <w:rPr>
          <w:sz w:val="24"/>
        </w:rPr>
      </w:pPr>
      <w:r>
        <w:rPr>
          <w:rFonts w:hint="eastAsia"/>
          <w:sz w:val="24"/>
        </w:rPr>
        <w:t>对承包人超出设计图纸范围和因承包人原因造成返工的工程量，不予计量。</w:t>
      </w:r>
    </w:p>
    <w:p>
      <w:pPr>
        <w:pStyle w:val="21"/>
        <w:numPr>
          <w:ilvl w:val="4"/>
          <w:numId w:val="5"/>
        </w:numPr>
        <w:tabs>
          <w:tab w:val="left" w:pos="1523"/>
          <w:tab w:val="left" w:pos="1524"/>
        </w:tabs>
        <w:spacing w:line="305" w:lineRule="exact"/>
        <w:ind w:left="1524" w:hanging="660"/>
        <w:rPr>
          <w:sz w:val="24"/>
        </w:rPr>
      </w:pPr>
      <w:r>
        <w:rPr>
          <w:rFonts w:hint="eastAsia"/>
          <w:sz w:val="24"/>
        </w:rPr>
        <w:t>月支付：</w:t>
      </w:r>
    </w:p>
    <w:p>
      <w:pPr>
        <w:pStyle w:val="21"/>
        <w:numPr>
          <w:ilvl w:val="0"/>
          <w:numId w:val="25"/>
        </w:numPr>
        <w:tabs>
          <w:tab w:val="left" w:pos="1468"/>
        </w:tabs>
        <w:spacing w:before="84"/>
        <w:rPr>
          <w:sz w:val="24"/>
        </w:rPr>
      </w:pPr>
      <w:r>
        <w:rPr>
          <w:rFonts w:hint="eastAsia"/>
          <w:spacing w:val="-8"/>
          <w:sz w:val="24"/>
        </w:rPr>
        <w:t>承包人应在每月</w:t>
      </w:r>
      <w:r>
        <w:rPr>
          <w:rFonts w:hint="eastAsia"/>
          <w:sz w:val="24"/>
        </w:rPr>
        <w:t>25日前向监理人提交由其项目经理签署的按《工程进度</w:t>
      </w:r>
    </w:p>
    <w:p>
      <w:pPr>
        <w:pStyle w:val="11"/>
        <w:spacing w:before="86"/>
        <w:ind w:left="384"/>
      </w:pPr>
      <w:r>
        <w:rPr>
          <w:rFonts w:hint="eastAsia"/>
        </w:rPr>
        <w:t>计量报表》格式填写月结账单一式6份；</w:t>
      </w:r>
    </w:p>
    <w:p>
      <w:pPr>
        <w:pStyle w:val="21"/>
        <w:numPr>
          <w:ilvl w:val="0"/>
          <w:numId w:val="25"/>
        </w:numPr>
        <w:tabs>
          <w:tab w:val="left" w:pos="1465"/>
        </w:tabs>
        <w:spacing w:before="84" w:line="304" w:lineRule="auto"/>
        <w:ind w:left="384" w:right="466" w:firstLine="480"/>
        <w:rPr>
          <w:sz w:val="24"/>
        </w:rPr>
      </w:pPr>
      <w:r>
        <w:rPr>
          <w:rFonts w:hint="eastAsia"/>
          <w:spacing w:val="-5"/>
          <w:sz w:val="24"/>
        </w:rPr>
        <w:t>监理人在收到月结账单后</w:t>
      </w:r>
      <w:r>
        <w:rPr>
          <w:rFonts w:hint="eastAsia"/>
          <w:sz w:val="24"/>
        </w:rPr>
        <w:t>7</w:t>
      </w:r>
      <w:r>
        <w:rPr>
          <w:rFonts w:hint="eastAsia"/>
          <w:spacing w:val="-4"/>
          <w:sz w:val="24"/>
        </w:rPr>
        <w:t>天内签发中期支付证书，签发时应写明其认</w:t>
      </w:r>
      <w:r>
        <w:rPr>
          <w:rFonts w:hint="eastAsia"/>
          <w:spacing w:val="-5"/>
          <w:sz w:val="24"/>
        </w:rPr>
        <w:t>为应该到期结算的价款及需要扣留和扣回的款额并报发包人审批；</w:t>
      </w:r>
    </w:p>
    <w:p>
      <w:pPr>
        <w:pStyle w:val="21"/>
        <w:numPr>
          <w:ilvl w:val="0"/>
          <w:numId w:val="25"/>
        </w:numPr>
        <w:tabs>
          <w:tab w:val="left" w:pos="1468"/>
        </w:tabs>
        <w:spacing w:before="3"/>
        <w:rPr>
          <w:sz w:val="24"/>
        </w:rPr>
      </w:pPr>
      <w:r>
        <w:rPr>
          <w:rFonts w:hint="eastAsia"/>
          <w:spacing w:val="-4"/>
          <w:sz w:val="24"/>
        </w:rPr>
        <w:t>发包人应在收到该中期支付证书后</w:t>
      </w:r>
      <w:r>
        <w:rPr>
          <w:rFonts w:hint="eastAsia"/>
          <w:sz w:val="24"/>
        </w:rPr>
        <w:t>14天内支付给承包人。如果发包人在</w:t>
      </w:r>
    </w:p>
    <w:p>
      <w:pPr>
        <w:pStyle w:val="11"/>
        <w:spacing w:before="84" w:line="304" w:lineRule="auto"/>
        <w:ind w:left="384" w:right="416"/>
      </w:pPr>
      <w:r>
        <w:rPr>
          <w:rFonts w:hint="eastAsia"/>
        </w:rPr>
        <w:t>上述期限内未能付款，发包人应按全国银行间同业拆借中心公布的1年期贷款市场报价利率向承包人支付未付款额的利息，付息时间从应付而未付该款额之日算起。</w:t>
      </w:r>
    </w:p>
    <w:p>
      <w:pPr>
        <w:pStyle w:val="21"/>
        <w:numPr>
          <w:ilvl w:val="4"/>
          <w:numId w:val="5"/>
        </w:numPr>
        <w:tabs>
          <w:tab w:val="left" w:pos="1523"/>
          <w:tab w:val="left" w:pos="1524"/>
        </w:tabs>
        <w:spacing w:before="4" w:line="304" w:lineRule="auto"/>
        <w:ind w:left="384" w:right="466" w:firstLine="480"/>
        <w:rPr>
          <w:sz w:val="24"/>
        </w:rPr>
      </w:pPr>
      <w:r>
        <w:rPr>
          <w:rFonts w:hint="eastAsia"/>
          <w:spacing w:val="-5"/>
          <w:sz w:val="24"/>
        </w:rPr>
        <w:t>在合同工程交工证书签发后</w:t>
      </w:r>
      <w:r>
        <w:rPr>
          <w:rFonts w:hint="eastAsia"/>
          <w:sz w:val="24"/>
        </w:rPr>
        <w:t>42</w:t>
      </w:r>
      <w:r>
        <w:rPr>
          <w:rFonts w:hint="eastAsia"/>
          <w:spacing w:val="-6"/>
          <w:sz w:val="24"/>
        </w:rPr>
        <w:t>天之内，承包人应向监理人提交一份交工</w:t>
      </w:r>
      <w:r>
        <w:rPr>
          <w:rFonts w:hint="eastAsia"/>
          <w:sz w:val="24"/>
        </w:rPr>
        <w:t>结算单，并附上详细文件，表明：</w:t>
      </w:r>
    </w:p>
    <w:p>
      <w:pPr>
        <w:pStyle w:val="21"/>
        <w:numPr>
          <w:ilvl w:val="0"/>
          <w:numId w:val="26"/>
        </w:numPr>
        <w:tabs>
          <w:tab w:val="left" w:pos="1465"/>
        </w:tabs>
        <w:spacing w:before="1"/>
        <w:rPr>
          <w:sz w:val="24"/>
        </w:rPr>
      </w:pPr>
      <w:r>
        <w:rPr>
          <w:rFonts w:hint="eastAsia"/>
          <w:sz w:val="24"/>
        </w:rPr>
        <w:t>按交工证书中写明的交工日期，完成的合同全部工程的最终价值；</w:t>
      </w:r>
    </w:p>
    <w:p>
      <w:pPr>
        <w:pStyle w:val="21"/>
        <w:numPr>
          <w:ilvl w:val="0"/>
          <w:numId w:val="26"/>
        </w:numPr>
        <w:tabs>
          <w:tab w:val="left" w:pos="1465"/>
        </w:tabs>
        <w:spacing w:before="86"/>
        <w:rPr>
          <w:sz w:val="24"/>
        </w:rPr>
      </w:pPr>
      <w:r>
        <w:rPr>
          <w:rFonts w:hint="eastAsia"/>
          <w:sz w:val="24"/>
        </w:rPr>
        <w:t>承包人认为应支付的其他款项。</w:t>
      </w:r>
    </w:p>
    <w:p>
      <w:pPr>
        <w:pStyle w:val="21"/>
        <w:numPr>
          <w:ilvl w:val="4"/>
          <w:numId w:val="5"/>
        </w:numPr>
        <w:tabs>
          <w:tab w:val="left" w:pos="1523"/>
          <w:tab w:val="left" w:pos="1524"/>
        </w:tabs>
        <w:spacing w:before="84" w:line="304" w:lineRule="auto"/>
        <w:ind w:left="384" w:right="346" w:firstLine="480"/>
        <w:rPr>
          <w:sz w:val="24"/>
        </w:rPr>
      </w:pPr>
      <w:r>
        <w:rPr>
          <w:rFonts w:hint="eastAsia"/>
          <w:spacing w:val="-8"/>
          <w:sz w:val="24"/>
        </w:rPr>
        <w:t>在缺陷责任期满的</w:t>
      </w:r>
      <w:r>
        <w:rPr>
          <w:rFonts w:hint="eastAsia"/>
          <w:sz w:val="24"/>
        </w:rPr>
        <w:t>14</w:t>
      </w:r>
      <w:r>
        <w:rPr>
          <w:rFonts w:hint="eastAsia"/>
          <w:spacing w:val="-13"/>
          <w:sz w:val="24"/>
        </w:rPr>
        <w:t xml:space="preserve">天内，承包人应向监理人提交一份最后结账单草案， </w:t>
      </w:r>
      <w:r>
        <w:rPr>
          <w:rFonts w:hint="eastAsia"/>
          <w:sz w:val="24"/>
        </w:rPr>
        <w:t>并附上详细的证明文件，供监理人考虑，表明：</w:t>
      </w:r>
    </w:p>
    <w:p>
      <w:pPr>
        <w:pStyle w:val="21"/>
        <w:numPr>
          <w:ilvl w:val="0"/>
          <w:numId w:val="27"/>
        </w:numPr>
        <w:tabs>
          <w:tab w:val="left" w:pos="1465"/>
        </w:tabs>
        <w:spacing w:before="74"/>
        <w:rPr>
          <w:sz w:val="24"/>
        </w:rPr>
      </w:pPr>
      <w:r>
        <w:rPr>
          <w:rFonts w:hint="eastAsia"/>
          <w:sz w:val="24"/>
        </w:rPr>
        <w:t>根据合同规定已经完成的全部工程价值；</w:t>
      </w:r>
    </w:p>
    <w:p>
      <w:pPr>
        <w:pStyle w:val="21"/>
        <w:numPr>
          <w:ilvl w:val="0"/>
          <w:numId w:val="27"/>
        </w:numPr>
        <w:tabs>
          <w:tab w:val="left" w:pos="1465"/>
        </w:tabs>
        <w:spacing w:before="84"/>
        <w:rPr>
          <w:sz w:val="24"/>
        </w:rPr>
      </w:pPr>
      <w:r>
        <w:rPr>
          <w:rFonts w:hint="eastAsia"/>
          <w:sz w:val="24"/>
        </w:rPr>
        <w:t>承包人根据合同规定认为应该支付的任何其他的款项。</w:t>
      </w:r>
    </w:p>
    <w:p>
      <w:pPr>
        <w:pStyle w:val="21"/>
        <w:numPr>
          <w:ilvl w:val="4"/>
          <w:numId w:val="5"/>
        </w:numPr>
        <w:tabs>
          <w:tab w:val="left" w:pos="1528"/>
          <w:tab w:val="left" w:pos="1529"/>
        </w:tabs>
        <w:spacing w:before="86" w:line="304" w:lineRule="auto"/>
        <w:ind w:left="384" w:right="467" w:firstLine="480"/>
        <w:rPr>
          <w:sz w:val="24"/>
        </w:rPr>
      </w:pPr>
      <w:r>
        <w:rPr>
          <w:rFonts w:hint="eastAsia"/>
          <w:sz w:val="24"/>
        </w:rPr>
        <w:t>在提交最后结账单的同时，承包人应给发包人一份书面清账书并抄送监理人，确认最后结账单中的总额作为应付给承包人的全部款项的最后结算。</w:t>
      </w:r>
    </w:p>
    <w:p>
      <w:pPr>
        <w:pStyle w:val="11"/>
        <w:spacing w:before="1" w:line="307" w:lineRule="auto"/>
        <w:ind w:left="384" w:right="415" w:firstLine="480"/>
      </w:pPr>
      <w:r>
        <w:rPr>
          <w:rFonts w:hint="eastAsia"/>
        </w:rPr>
        <w:t>在最后结账单收到7天内，监理人应该签发一份最后支付证书报发包人批准， 并抄送承包人，说明：</w:t>
      </w:r>
    </w:p>
    <w:p>
      <w:pPr>
        <w:pStyle w:val="21"/>
        <w:numPr>
          <w:ilvl w:val="0"/>
          <w:numId w:val="28"/>
        </w:numPr>
        <w:tabs>
          <w:tab w:val="left" w:pos="1465"/>
        </w:tabs>
        <w:spacing w:line="305" w:lineRule="exact"/>
        <w:rPr>
          <w:sz w:val="24"/>
        </w:rPr>
      </w:pPr>
      <w:r>
        <w:rPr>
          <w:rFonts w:hint="eastAsia"/>
          <w:sz w:val="24"/>
        </w:rPr>
        <w:t>根据合同规定的最后应付的款额；</w:t>
      </w:r>
    </w:p>
    <w:p>
      <w:pPr>
        <w:pStyle w:val="21"/>
        <w:numPr>
          <w:ilvl w:val="0"/>
          <w:numId w:val="28"/>
        </w:numPr>
        <w:tabs>
          <w:tab w:val="left" w:pos="1465"/>
        </w:tabs>
        <w:spacing w:before="84" w:line="307" w:lineRule="auto"/>
        <w:ind w:left="384" w:right="466" w:firstLine="480"/>
        <w:rPr>
          <w:sz w:val="24"/>
        </w:rPr>
      </w:pPr>
      <w:r>
        <w:rPr>
          <w:rFonts w:hint="eastAsia"/>
          <w:sz w:val="24"/>
        </w:rPr>
        <w:t>在对发包人以前所付的全部款额和发包人根据合同规定应得的全部款项</w:t>
      </w:r>
      <w:r>
        <w:rPr>
          <w:rFonts w:hint="eastAsia"/>
          <w:spacing w:val="-5"/>
          <w:sz w:val="24"/>
        </w:rPr>
        <w:t>予以确认后，发包人欠承包人或承包人欠发包人的差额；</w:t>
      </w:r>
    </w:p>
    <w:p>
      <w:pPr>
        <w:pStyle w:val="21"/>
        <w:numPr>
          <w:ilvl w:val="0"/>
          <w:numId w:val="28"/>
        </w:numPr>
        <w:tabs>
          <w:tab w:val="left" w:pos="1465"/>
        </w:tabs>
        <w:spacing w:line="307" w:lineRule="auto"/>
        <w:ind w:left="384" w:right="466" w:firstLine="480"/>
        <w:jc w:val="both"/>
        <w:rPr>
          <w:sz w:val="24"/>
        </w:rPr>
      </w:pPr>
      <w:r>
        <w:rPr>
          <w:rFonts w:hint="eastAsia"/>
          <w:spacing w:val="-5"/>
          <w:sz w:val="24"/>
        </w:rPr>
        <w:t>工程进度付款的修正，在对以往历次已签发的进度付款证书进行汇总和审核中发现错、漏或重复的，监理人有权修正，承包人也有权提出修正申请。经双</w:t>
      </w:r>
      <w:r>
        <w:rPr>
          <w:rFonts w:hint="eastAsia"/>
          <w:spacing w:val="-4"/>
          <w:sz w:val="24"/>
        </w:rPr>
        <w:t>方复核同意的修正，应在本次进度付款中支付或扣除。</w:t>
      </w:r>
    </w:p>
    <w:p>
      <w:pPr>
        <w:pStyle w:val="21"/>
        <w:numPr>
          <w:ilvl w:val="4"/>
          <w:numId w:val="5"/>
        </w:numPr>
        <w:tabs>
          <w:tab w:val="left" w:pos="1524"/>
        </w:tabs>
        <w:spacing w:line="303" w:lineRule="exact"/>
        <w:ind w:left="1524" w:hanging="660"/>
        <w:jc w:val="both"/>
        <w:rPr>
          <w:sz w:val="24"/>
        </w:rPr>
      </w:pPr>
      <w:r>
        <w:rPr>
          <w:rFonts w:hint="eastAsia"/>
          <w:sz w:val="24"/>
        </w:rPr>
        <w:t>质量保证金</w:t>
      </w:r>
    </w:p>
    <w:p>
      <w:pPr>
        <w:pStyle w:val="21"/>
        <w:numPr>
          <w:ilvl w:val="0"/>
          <w:numId w:val="29"/>
        </w:numPr>
        <w:tabs>
          <w:tab w:val="left" w:pos="1468"/>
        </w:tabs>
        <w:spacing w:before="81" w:line="304" w:lineRule="auto"/>
        <w:ind w:right="465" w:firstLine="480"/>
        <w:jc w:val="both"/>
        <w:rPr>
          <w:sz w:val="24"/>
        </w:rPr>
      </w:pPr>
      <w:r>
        <w:rPr>
          <w:rFonts w:hint="eastAsia"/>
          <w:spacing w:val="-5"/>
          <w:sz w:val="24"/>
        </w:rPr>
        <w:t xml:space="preserve">交工验收证书签发后 </w:t>
      </w:r>
      <w:r>
        <w:rPr>
          <w:rFonts w:hint="eastAsia"/>
          <w:sz w:val="24"/>
        </w:rPr>
        <w:t>14</w:t>
      </w:r>
      <w:r>
        <w:rPr>
          <w:rFonts w:hint="eastAsia"/>
          <w:spacing w:val="11"/>
          <w:sz w:val="24"/>
        </w:rPr>
        <w:t xml:space="preserve"> </w:t>
      </w:r>
      <w:r>
        <w:rPr>
          <w:rFonts w:hint="eastAsia"/>
          <w:spacing w:val="-1"/>
          <w:sz w:val="24"/>
        </w:rPr>
        <w:t>天内，承包人应向发包人缴纳质量保证金。质量保证金可采用银行保函或现金、支票形式，金额应符合项目专用合同条款数据表的规定。采用银行保函时，出具保函的银行须具有相应担保能力，且按照发包人批准</w:t>
      </w:r>
      <w:r>
        <w:rPr>
          <w:rFonts w:hint="eastAsia"/>
          <w:sz w:val="24"/>
        </w:rPr>
        <w:t>的格式出具，所需费用由承包人承担。</w:t>
      </w:r>
    </w:p>
    <w:p>
      <w:pPr>
        <w:pStyle w:val="11"/>
        <w:spacing w:before="8" w:line="304" w:lineRule="auto"/>
        <w:ind w:left="384" w:right="465" w:firstLine="480"/>
      </w:pPr>
      <w:r>
        <w:rPr>
          <w:rFonts w:hint="eastAsia"/>
        </w:rPr>
        <w:t>质量保证金采用现金、支票形式提交的，发包人应在项目专用合同条款数据表中明确是否计付利息以及利息的计算方式。</w:t>
      </w:r>
    </w:p>
    <w:p>
      <w:pPr>
        <w:pStyle w:val="21"/>
        <w:numPr>
          <w:ilvl w:val="0"/>
          <w:numId w:val="29"/>
        </w:numPr>
        <w:tabs>
          <w:tab w:val="left" w:pos="1465"/>
        </w:tabs>
        <w:spacing w:before="1" w:line="304" w:lineRule="auto"/>
        <w:ind w:right="466" w:firstLine="480"/>
        <w:jc w:val="both"/>
        <w:rPr>
          <w:sz w:val="24"/>
        </w:rPr>
      </w:pPr>
      <w:r>
        <w:rPr>
          <w:rFonts w:hint="eastAsia"/>
          <w:spacing w:val="-5"/>
          <w:sz w:val="24"/>
        </w:rPr>
        <w:t xml:space="preserve">在缺陷责任期满，且质量监督机构已按规定对工程质量检测鉴定合格， </w:t>
      </w:r>
      <w:r>
        <w:rPr>
          <w:rFonts w:hint="eastAsia"/>
          <w:spacing w:val="-10"/>
          <w:sz w:val="24"/>
        </w:rPr>
        <w:t xml:space="preserve">承包人向发包人申请到期应返还承包人剩余的质量保证金金额，发包人应在 </w:t>
      </w:r>
      <w:r>
        <w:rPr>
          <w:rFonts w:hint="eastAsia"/>
          <w:sz w:val="24"/>
        </w:rPr>
        <w:t>14 天内</w:t>
      </w:r>
      <w:r>
        <w:rPr>
          <w:rFonts w:hint="eastAsia"/>
          <w:spacing w:val="-5"/>
          <w:sz w:val="24"/>
        </w:rPr>
        <w:t>会同承包人按照合同约定的内容核实承包人是否完成缺陷责任。如无异议，发包人</w:t>
      </w:r>
      <w:r>
        <w:rPr>
          <w:rFonts w:hint="eastAsia"/>
          <w:spacing w:val="-4"/>
          <w:sz w:val="24"/>
        </w:rPr>
        <w:t>应当在核实后将剩余的质量保证金返还承包人。</w:t>
      </w:r>
    </w:p>
    <w:p>
      <w:pPr>
        <w:pStyle w:val="21"/>
        <w:numPr>
          <w:ilvl w:val="0"/>
          <w:numId w:val="29"/>
        </w:numPr>
        <w:tabs>
          <w:tab w:val="left" w:pos="1465"/>
        </w:tabs>
        <w:spacing w:before="7" w:line="304" w:lineRule="auto"/>
        <w:ind w:right="466" w:firstLine="480"/>
        <w:jc w:val="both"/>
        <w:rPr>
          <w:sz w:val="24"/>
        </w:rPr>
      </w:pPr>
      <w:r>
        <w:rPr>
          <w:rFonts w:hint="eastAsia"/>
          <w:spacing w:val="-6"/>
          <w:sz w:val="24"/>
        </w:rPr>
        <w:t>在缺陷责任期满时，承包人没有完成缺陷责任的，发包人有权扣留与未</w:t>
      </w:r>
      <w:r>
        <w:rPr>
          <w:rFonts w:hint="eastAsia"/>
          <w:spacing w:val="-8"/>
          <w:sz w:val="24"/>
        </w:rPr>
        <w:t xml:space="preserve">履行责任剩余工作所需金额相应的质量保证金余额，并有权根据第 </w:t>
      </w:r>
      <w:r>
        <w:rPr>
          <w:rFonts w:hint="eastAsia"/>
          <w:sz w:val="24"/>
        </w:rPr>
        <w:t>21.4 款约定要求</w:t>
      </w:r>
      <w:r>
        <w:rPr>
          <w:rFonts w:hint="eastAsia"/>
          <w:spacing w:val="-5"/>
          <w:sz w:val="24"/>
        </w:rPr>
        <w:t>延长缺陷责任期，直至完成剩余工作为止。</w:t>
      </w:r>
    </w:p>
    <w:p>
      <w:pPr>
        <w:pStyle w:val="11"/>
        <w:spacing w:before="175"/>
        <w:ind w:left="703"/>
      </w:pPr>
      <w:r>
        <w:rPr>
          <w:rFonts w:hint="eastAsia"/>
        </w:rPr>
        <w:t>七、试验和检验</w:t>
      </w:r>
    </w:p>
    <w:p>
      <w:pPr>
        <w:pStyle w:val="11"/>
        <w:rPr>
          <w:sz w:val="20"/>
        </w:rPr>
      </w:pPr>
    </w:p>
    <w:p>
      <w:pPr>
        <w:pStyle w:val="21"/>
        <w:numPr>
          <w:ilvl w:val="3"/>
          <w:numId w:val="5"/>
        </w:numPr>
        <w:tabs>
          <w:tab w:val="left" w:pos="1244"/>
        </w:tabs>
        <w:spacing w:before="1"/>
        <w:ind w:left="1243" w:hanging="421"/>
        <w:jc w:val="both"/>
        <w:rPr>
          <w:sz w:val="24"/>
        </w:rPr>
      </w:pPr>
      <w:r>
        <w:rPr>
          <w:rFonts w:hint="eastAsia"/>
          <w:sz w:val="24"/>
        </w:rPr>
        <w:t>试验和检验</w:t>
      </w:r>
    </w:p>
    <w:p>
      <w:pPr>
        <w:pStyle w:val="11"/>
        <w:spacing w:before="4"/>
        <w:rPr>
          <w:sz w:val="20"/>
        </w:rPr>
      </w:pPr>
    </w:p>
    <w:p>
      <w:pPr>
        <w:pStyle w:val="21"/>
        <w:numPr>
          <w:ilvl w:val="4"/>
          <w:numId w:val="5"/>
        </w:numPr>
        <w:tabs>
          <w:tab w:val="left" w:pos="1524"/>
        </w:tabs>
        <w:spacing w:before="1"/>
        <w:ind w:left="1524" w:hanging="660"/>
        <w:jc w:val="both"/>
        <w:rPr>
          <w:sz w:val="24"/>
        </w:rPr>
      </w:pPr>
      <w:r>
        <w:rPr>
          <w:rFonts w:hint="eastAsia"/>
          <w:sz w:val="24"/>
        </w:rPr>
        <w:t>材料、工程设备和工程的试验和检验</w:t>
      </w:r>
    </w:p>
    <w:p>
      <w:pPr>
        <w:pStyle w:val="21"/>
        <w:numPr>
          <w:ilvl w:val="0"/>
          <w:numId w:val="30"/>
        </w:numPr>
        <w:tabs>
          <w:tab w:val="left" w:pos="1465"/>
        </w:tabs>
        <w:spacing w:before="83" w:line="304" w:lineRule="auto"/>
        <w:ind w:right="466" w:firstLine="480"/>
        <w:jc w:val="both"/>
        <w:rPr>
          <w:sz w:val="24"/>
        </w:rPr>
      </w:pPr>
      <w:r>
        <w:rPr>
          <w:rFonts w:hint="eastAsia"/>
          <w:spacing w:val="-3"/>
          <w:sz w:val="24"/>
        </w:rPr>
        <w:t>承包人应按合同约定进行材料、工程设备和工程的试验和检验，并为监</w:t>
      </w:r>
      <w:r>
        <w:rPr>
          <w:rFonts w:hint="eastAsia"/>
          <w:spacing w:val="-5"/>
          <w:sz w:val="24"/>
        </w:rPr>
        <w:t>理人对上述材料、工程设备和工程的质量检查提供必要的试验资料和原始记录。按</w:t>
      </w:r>
      <w:r>
        <w:rPr>
          <w:rFonts w:hint="eastAsia"/>
          <w:spacing w:val="-4"/>
          <w:sz w:val="24"/>
        </w:rPr>
        <w:t>合同约定应由监理人与承包人共同进行试验和检验的，由承包人负责提供必要的试验资料和原始记录；</w:t>
      </w:r>
    </w:p>
    <w:p>
      <w:pPr>
        <w:spacing w:line="304" w:lineRule="auto"/>
        <w:jc w:val="both"/>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30"/>
        </w:numPr>
        <w:tabs>
          <w:tab w:val="left" w:pos="1465"/>
        </w:tabs>
        <w:spacing w:before="74" w:line="304" w:lineRule="auto"/>
        <w:ind w:right="346" w:firstLine="480"/>
        <w:rPr>
          <w:sz w:val="24"/>
        </w:rPr>
      </w:pPr>
      <w:r>
        <w:rPr>
          <w:rFonts w:hint="eastAsia"/>
          <w:spacing w:val="-3"/>
          <w:sz w:val="24"/>
        </w:rPr>
        <w:t>监理人未按合同约定派员参加试验和检验的，除监理人另有指示外，承包</w:t>
      </w:r>
      <w:r>
        <w:rPr>
          <w:rFonts w:hint="eastAsia"/>
          <w:spacing w:val="-11"/>
          <w:sz w:val="24"/>
        </w:rPr>
        <w:t>人可自行试验和检验，并应立即将试验和检验结果报送监理人，监理人应签字确认；</w:t>
      </w:r>
    </w:p>
    <w:p>
      <w:pPr>
        <w:pStyle w:val="21"/>
        <w:numPr>
          <w:ilvl w:val="0"/>
          <w:numId w:val="30"/>
        </w:numPr>
        <w:tabs>
          <w:tab w:val="left" w:pos="1465"/>
        </w:tabs>
        <w:spacing w:before="4" w:line="304" w:lineRule="auto"/>
        <w:ind w:right="466" w:firstLine="480"/>
        <w:jc w:val="both"/>
        <w:rPr>
          <w:sz w:val="24"/>
        </w:rPr>
      </w:pPr>
      <w:r>
        <w:rPr>
          <w:rFonts w:hint="eastAsia"/>
          <w:spacing w:val="-3"/>
          <w:sz w:val="24"/>
        </w:rPr>
        <w:t>监理人对承包人的试验和检验结果有疑问的，或为查清承包人试验和检</w:t>
      </w:r>
      <w:r>
        <w:rPr>
          <w:rFonts w:hint="eastAsia"/>
          <w:spacing w:val="-5"/>
          <w:sz w:val="24"/>
        </w:rPr>
        <w:t>验成果的可靠性要求承包人重新试验和检验的，可按合同约定由监理人与承包人共</w:t>
      </w:r>
      <w:r>
        <w:rPr>
          <w:rFonts w:hint="eastAsia"/>
          <w:spacing w:val="-4"/>
          <w:sz w:val="24"/>
        </w:rPr>
        <w:t>同进行。重新试验和检验的结果证明该项材料、工程设备或工程的质量不符合合同</w:t>
      </w:r>
      <w:r>
        <w:rPr>
          <w:rFonts w:hint="eastAsia"/>
          <w:spacing w:val="-2"/>
          <w:sz w:val="24"/>
        </w:rPr>
        <w:t>要求的，由此增加的费用和</w:t>
      </w:r>
      <w:r>
        <w:rPr>
          <w:rFonts w:hint="eastAsia"/>
          <w:sz w:val="24"/>
        </w:rPr>
        <w:t>(</w:t>
      </w:r>
      <w:r>
        <w:rPr>
          <w:rFonts w:hint="eastAsia"/>
          <w:spacing w:val="4"/>
          <w:sz w:val="24"/>
        </w:rPr>
        <w:t>或</w:t>
      </w:r>
      <w:r>
        <w:rPr>
          <w:rFonts w:hint="eastAsia"/>
          <w:sz w:val="24"/>
        </w:rPr>
        <w:t>)工期延误由承包人承担；重新试验和检验结果证明该项材料、工程设备和工程符合合同要求，由发包人承担由此增加的费用和</w:t>
      </w:r>
      <w:r>
        <w:rPr>
          <w:rFonts w:hint="eastAsia"/>
          <w:spacing w:val="4"/>
          <w:sz w:val="24"/>
        </w:rPr>
        <w:t>(</w:t>
      </w:r>
      <w:r>
        <w:rPr>
          <w:rFonts w:hint="eastAsia"/>
          <w:sz w:val="24"/>
        </w:rPr>
        <w:t>或</w:t>
      </w:r>
      <w:r>
        <w:rPr>
          <w:rFonts w:hint="eastAsia"/>
          <w:spacing w:val="4"/>
          <w:sz w:val="24"/>
        </w:rPr>
        <w:t>)</w:t>
      </w:r>
      <w:r>
        <w:rPr>
          <w:rFonts w:hint="eastAsia"/>
          <w:sz w:val="24"/>
        </w:rPr>
        <w:t>工期延误，并支付承包人合理利润。</w:t>
      </w:r>
    </w:p>
    <w:p>
      <w:pPr>
        <w:pStyle w:val="21"/>
        <w:numPr>
          <w:ilvl w:val="4"/>
          <w:numId w:val="5"/>
        </w:numPr>
        <w:tabs>
          <w:tab w:val="left" w:pos="1524"/>
        </w:tabs>
        <w:spacing w:before="9"/>
        <w:ind w:left="1524" w:hanging="660"/>
        <w:jc w:val="both"/>
        <w:rPr>
          <w:sz w:val="24"/>
        </w:rPr>
      </w:pPr>
      <w:r>
        <w:rPr>
          <w:rFonts w:hint="eastAsia"/>
          <w:sz w:val="24"/>
        </w:rPr>
        <w:t>现场材料试验</w:t>
      </w:r>
    </w:p>
    <w:p>
      <w:pPr>
        <w:pStyle w:val="21"/>
        <w:numPr>
          <w:ilvl w:val="0"/>
          <w:numId w:val="31"/>
        </w:numPr>
        <w:tabs>
          <w:tab w:val="left" w:pos="1465"/>
        </w:tabs>
        <w:spacing w:before="83" w:line="304" w:lineRule="auto"/>
        <w:ind w:right="466" w:firstLine="480"/>
        <w:rPr>
          <w:sz w:val="24"/>
        </w:rPr>
      </w:pPr>
      <w:r>
        <w:rPr>
          <w:rFonts w:hint="eastAsia"/>
          <w:spacing w:val="-2"/>
          <w:sz w:val="24"/>
        </w:rPr>
        <w:t>承包人根据合同约定或监理人指示进行的现场材料试验，应由承包人提</w:t>
      </w:r>
      <w:r>
        <w:rPr>
          <w:rFonts w:hint="eastAsia"/>
          <w:spacing w:val="-5"/>
          <w:sz w:val="24"/>
        </w:rPr>
        <w:t>供试验场所、试验人员、试验设备器材以及其他必要的试验条件；</w:t>
      </w:r>
    </w:p>
    <w:p>
      <w:pPr>
        <w:pStyle w:val="21"/>
        <w:numPr>
          <w:ilvl w:val="0"/>
          <w:numId w:val="31"/>
        </w:numPr>
        <w:tabs>
          <w:tab w:val="left" w:pos="1465"/>
        </w:tabs>
        <w:spacing w:before="4" w:line="304" w:lineRule="auto"/>
        <w:ind w:right="466" w:firstLine="480"/>
        <w:rPr>
          <w:sz w:val="24"/>
        </w:rPr>
      </w:pPr>
      <w:r>
        <w:rPr>
          <w:rFonts w:hint="eastAsia"/>
          <w:spacing w:val="-3"/>
          <w:sz w:val="24"/>
        </w:rPr>
        <w:t>监理人在必要时可以使用承包人的试验场所、试验设备器材以及其他试</w:t>
      </w:r>
      <w:r>
        <w:rPr>
          <w:rFonts w:hint="eastAsia"/>
          <w:spacing w:val="-5"/>
          <w:sz w:val="24"/>
        </w:rPr>
        <w:t>验条件，进行以工程质量检查为目的的复核性材料试验，承包人应予以协助。</w:t>
      </w:r>
    </w:p>
    <w:p>
      <w:pPr>
        <w:pStyle w:val="21"/>
        <w:numPr>
          <w:ilvl w:val="4"/>
          <w:numId w:val="5"/>
        </w:numPr>
        <w:tabs>
          <w:tab w:val="left" w:pos="1344"/>
        </w:tabs>
        <w:spacing w:before="1"/>
        <w:ind w:left="1344" w:hanging="480"/>
        <w:rPr>
          <w:sz w:val="24"/>
        </w:rPr>
      </w:pPr>
      <w:r>
        <w:rPr>
          <w:rFonts w:hint="eastAsia"/>
          <w:sz w:val="24"/>
        </w:rPr>
        <w:t>承包人采购材料设备</w:t>
      </w:r>
    </w:p>
    <w:p>
      <w:pPr>
        <w:pStyle w:val="21"/>
        <w:numPr>
          <w:ilvl w:val="0"/>
          <w:numId w:val="32"/>
        </w:numPr>
        <w:tabs>
          <w:tab w:val="left" w:pos="1465"/>
        </w:tabs>
        <w:spacing w:before="86" w:line="304" w:lineRule="auto"/>
        <w:ind w:right="466" w:firstLine="480"/>
        <w:rPr>
          <w:sz w:val="24"/>
        </w:rPr>
      </w:pPr>
      <w:r>
        <w:rPr>
          <w:rFonts w:hint="eastAsia"/>
          <w:spacing w:val="-5"/>
          <w:sz w:val="24"/>
        </w:rPr>
        <w:t>除合同另有规定外，为完成本合同各项工作所需的材料和工程设备，均由承包人负责采购、验收、运输和保管；</w:t>
      </w:r>
    </w:p>
    <w:p>
      <w:pPr>
        <w:pStyle w:val="21"/>
        <w:numPr>
          <w:ilvl w:val="0"/>
          <w:numId w:val="32"/>
        </w:numPr>
        <w:tabs>
          <w:tab w:val="left" w:pos="1465"/>
        </w:tabs>
        <w:spacing w:before="2"/>
        <w:ind w:left="1465"/>
        <w:rPr>
          <w:sz w:val="24"/>
        </w:rPr>
      </w:pPr>
      <w:r>
        <w:rPr>
          <w:rFonts w:hint="eastAsia"/>
          <w:sz w:val="24"/>
        </w:rPr>
        <w:t>承包人与供货厂家的供货协议一经签订，应将一份副本提交监理人。</w:t>
      </w:r>
    </w:p>
    <w:p>
      <w:pPr>
        <w:pStyle w:val="21"/>
        <w:numPr>
          <w:ilvl w:val="4"/>
          <w:numId w:val="5"/>
        </w:numPr>
        <w:tabs>
          <w:tab w:val="left" w:pos="1528"/>
          <w:tab w:val="left" w:pos="1529"/>
        </w:tabs>
        <w:spacing w:before="86" w:line="304" w:lineRule="auto"/>
        <w:ind w:left="384" w:right="466" w:firstLine="480"/>
        <w:rPr>
          <w:sz w:val="24"/>
        </w:rPr>
      </w:pPr>
      <w:r>
        <w:rPr>
          <w:rFonts w:hint="eastAsia"/>
          <w:sz w:val="24"/>
        </w:rPr>
        <w:t>进场材料、设备必须符合合同规定，并经监理人认可。不合格的材料、设备应立即搬运出施工场地，不得用于本合同工程。</w:t>
      </w:r>
    </w:p>
    <w:p>
      <w:pPr>
        <w:pStyle w:val="11"/>
        <w:spacing w:before="174"/>
        <w:ind w:left="583"/>
      </w:pPr>
      <w:r>
        <w:rPr>
          <w:rFonts w:hint="eastAsia"/>
        </w:rPr>
        <w:t>八、工程变更</w:t>
      </w:r>
    </w:p>
    <w:p>
      <w:pPr>
        <w:pStyle w:val="11"/>
        <w:spacing w:before="11"/>
        <w:rPr>
          <w:sz w:val="19"/>
        </w:rPr>
      </w:pPr>
    </w:p>
    <w:p>
      <w:pPr>
        <w:pStyle w:val="21"/>
        <w:numPr>
          <w:ilvl w:val="3"/>
          <w:numId w:val="5"/>
        </w:numPr>
        <w:tabs>
          <w:tab w:val="left" w:pos="925"/>
        </w:tabs>
        <w:ind w:left="925" w:hanging="301"/>
        <w:jc w:val="left"/>
        <w:rPr>
          <w:sz w:val="24"/>
        </w:rPr>
      </w:pPr>
      <w:r>
        <w:rPr>
          <w:rFonts w:hint="eastAsia"/>
          <w:sz w:val="24"/>
        </w:rPr>
        <w:t>工程数量及价格的变更</w:t>
      </w:r>
    </w:p>
    <w:p>
      <w:pPr>
        <w:pStyle w:val="11"/>
        <w:spacing w:before="7"/>
        <w:rPr>
          <w:sz w:val="20"/>
        </w:rPr>
      </w:pPr>
    </w:p>
    <w:p>
      <w:pPr>
        <w:pStyle w:val="21"/>
        <w:numPr>
          <w:ilvl w:val="4"/>
          <w:numId w:val="5"/>
        </w:numPr>
        <w:tabs>
          <w:tab w:val="left" w:pos="1528"/>
          <w:tab w:val="left" w:pos="1529"/>
        </w:tabs>
        <w:spacing w:line="304" w:lineRule="auto"/>
        <w:ind w:left="384" w:right="467" w:firstLine="480"/>
        <w:rPr>
          <w:sz w:val="24"/>
        </w:rPr>
      </w:pPr>
      <w:r>
        <w:rPr>
          <w:rFonts w:hint="eastAsia"/>
          <w:sz w:val="24"/>
        </w:rPr>
        <w:t>发包人或监理人如认为有必要时，可根据规定对本合同工程中任何部分的结构形式、质量、等级或数量作出变更，包括：</w:t>
      </w:r>
    </w:p>
    <w:p>
      <w:pPr>
        <w:pStyle w:val="21"/>
        <w:numPr>
          <w:ilvl w:val="0"/>
          <w:numId w:val="33"/>
        </w:numPr>
        <w:tabs>
          <w:tab w:val="left" w:pos="1465"/>
        </w:tabs>
        <w:spacing w:before="2"/>
        <w:rPr>
          <w:sz w:val="24"/>
        </w:rPr>
      </w:pPr>
      <w:r>
        <w:rPr>
          <w:rFonts w:hint="eastAsia"/>
          <w:sz w:val="24"/>
        </w:rPr>
        <w:t>增加或减少本合同中的任何工程的数量；</w:t>
      </w:r>
    </w:p>
    <w:p>
      <w:pPr>
        <w:pStyle w:val="21"/>
        <w:numPr>
          <w:ilvl w:val="0"/>
          <w:numId w:val="33"/>
        </w:numPr>
        <w:tabs>
          <w:tab w:val="left" w:pos="1465"/>
        </w:tabs>
        <w:spacing w:before="86" w:line="304" w:lineRule="auto"/>
        <w:ind w:left="384" w:right="466" w:firstLine="480"/>
        <w:rPr>
          <w:sz w:val="24"/>
        </w:rPr>
      </w:pPr>
      <w:r>
        <w:rPr>
          <w:rFonts w:hint="eastAsia"/>
          <w:spacing w:val="-4"/>
          <w:sz w:val="24"/>
        </w:rPr>
        <w:t>取消合同中的任何单项工程，但被取消的工程不能转由发包人或其他人</w:t>
      </w:r>
      <w:r>
        <w:rPr>
          <w:rFonts w:hint="eastAsia"/>
          <w:spacing w:val="-5"/>
          <w:sz w:val="24"/>
        </w:rPr>
        <w:t>实施，由于承包人违约造成的情况除外；</w:t>
      </w:r>
    </w:p>
    <w:p>
      <w:pPr>
        <w:pStyle w:val="21"/>
        <w:numPr>
          <w:ilvl w:val="0"/>
          <w:numId w:val="33"/>
        </w:numPr>
        <w:tabs>
          <w:tab w:val="left" w:pos="1465"/>
        </w:tabs>
        <w:spacing w:before="1"/>
        <w:rPr>
          <w:sz w:val="24"/>
        </w:rPr>
      </w:pPr>
      <w:r>
        <w:rPr>
          <w:rFonts w:hint="eastAsia"/>
          <w:sz w:val="24"/>
        </w:rPr>
        <w:t>改变合同中的任何一项工作的质量或其他特性；</w:t>
      </w:r>
    </w:p>
    <w:p>
      <w:pPr>
        <w:pStyle w:val="21"/>
        <w:numPr>
          <w:ilvl w:val="0"/>
          <w:numId w:val="33"/>
        </w:numPr>
        <w:tabs>
          <w:tab w:val="left" w:pos="1465"/>
        </w:tabs>
        <w:spacing w:before="86"/>
        <w:rPr>
          <w:sz w:val="24"/>
        </w:rPr>
      </w:pPr>
      <w:r>
        <w:rPr>
          <w:rFonts w:hint="eastAsia"/>
          <w:sz w:val="24"/>
        </w:rPr>
        <w:t>改变本工程任何部分的标高、基线、位置或尺寸；</w:t>
      </w:r>
    </w:p>
    <w:p>
      <w:pPr>
        <w:pStyle w:val="21"/>
        <w:numPr>
          <w:ilvl w:val="0"/>
          <w:numId w:val="33"/>
        </w:numPr>
        <w:tabs>
          <w:tab w:val="left" w:pos="1465"/>
        </w:tabs>
        <w:spacing w:before="84"/>
        <w:rPr>
          <w:sz w:val="24"/>
        </w:rPr>
      </w:pPr>
      <w:r>
        <w:rPr>
          <w:rFonts w:hint="eastAsia"/>
          <w:sz w:val="24"/>
        </w:rPr>
        <w:t>改变合同中任何一项工作的施工时间或改变已批准的施工工艺或顺序；</w:t>
      </w:r>
    </w:p>
    <w:p>
      <w:pPr>
        <w:pStyle w:val="21"/>
        <w:numPr>
          <w:ilvl w:val="0"/>
          <w:numId w:val="33"/>
        </w:numPr>
        <w:tabs>
          <w:tab w:val="left" w:pos="1465"/>
        </w:tabs>
        <w:spacing w:before="83"/>
        <w:rPr>
          <w:sz w:val="24"/>
        </w:rPr>
      </w:pPr>
      <w:r>
        <w:rPr>
          <w:rFonts w:hint="eastAsia"/>
          <w:sz w:val="24"/>
        </w:rPr>
        <w:t>完成本工程需要追加的额外工作。</w:t>
      </w:r>
    </w:p>
    <w:p>
      <w:pPr>
        <w:pStyle w:val="21"/>
        <w:numPr>
          <w:ilvl w:val="4"/>
          <w:numId w:val="5"/>
        </w:numPr>
        <w:tabs>
          <w:tab w:val="left" w:pos="1523"/>
          <w:tab w:val="left" w:pos="1524"/>
        </w:tabs>
        <w:spacing w:before="87"/>
        <w:ind w:left="1524" w:hanging="660"/>
        <w:rPr>
          <w:sz w:val="24"/>
        </w:rPr>
      </w:pPr>
      <w:r>
        <w:rPr>
          <w:rFonts w:hint="eastAsia"/>
          <w:sz w:val="24"/>
        </w:rPr>
        <w:t>价格调整</w:t>
      </w:r>
    </w:p>
    <w:p>
      <w:pPr>
        <w:rPr>
          <w:sz w:val="24"/>
        </w:rPr>
        <w:sectPr>
          <w:pgSz w:w="11910" w:h="16840"/>
          <w:pgMar w:top="1360" w:right="1120" w:bottom="1080" w:left="1260" w:header="882" w:footer="880" w:gutter="0"/>
          <w:cols w:space="720" w:num="1"/>
        </w:sectPr>
      </w:pPr>
    </w:p>
    <w:p>
      <w:pPr>
        <w:pStyle w:val="11"/>
        <w:rPr>
          <w:sz w:val="18"/>
        </w:rPr>
      </w:pPr>
    </w:p>
    <w:p>
      <w:pPr>
        <w:pStyle w:val="11"/>
        <w:spacing w:before="66" w:line="307" w:lineRule="auto"/>
        <w:ind w:left="384" w:right="465" w:firstLine="480"/>
        <w:jc w:val="both"/>
      </w:pPr>
      <w:r>
        <w:rPr>
          <w:rFonts w:hint="eastAsia"/>
        </w:rPr>
        <w:t>在合同实施期间，投标人填写的单价、合价和总额价不会由于物价波动进行价格调整；由于法律变化引起的价格调整，监理人应根据法律、国家或自治区有关部门的规定，商定确定需调整的合同价款。</w:t>
      </w:r>
    </w:p>
    <w:p>
      <w:pPr>
        <w:pStyle w:val="21"/>
        <w:numPr>
          <w:ilvl w:val="4"/>
          <w:numId w:val="5"/>
        </w:numPr>
        <w:tabs>
          <w:tab w:val="left" w:pos="1529"/>
        </w:tabs>
        <w:spacing w:line="304" w:lineRule="auto"/>
        <w:ind w:left="384" w:right="467" w:firstLine="480"/>
        <w:jc w:val="both"/>
        <w:rPr>
          <w:sz w:val="24"/>
        </w:rPr>
      </w:pPr>
      <w:r>
        <w:rPr>
          <w:rFonts w:hint="eastAsia"/>
          <w:sz w:val="24"/>
        </w:rPr>
        <w:t>如果发出本工程的变更指令是因承包人过错，承包人违反合同或因承包人责任造成的，则这种违约引起的任何额外费用应由承包人承担。</w:t>
      </w:r>
    </w:p>
    <w:p>
      <w:pPr>
        <w:pStyle w:val="21"/>
        <w:numPr>
          <w:ilvl w:val="4"/>
          <w:numId w:val="5"/>
        </w:numPr>
        <w:tabs>
          <w:tab w:val="left" w:pos="1529"/>
        </w:tabs>
        <w:spacing w:line="304" w:lineRule="auto"/>
        <w:ind w:left="384" w:right="465" w:firstLine="480"/>
        <w:jc w:val="both"/>
        <w:rPr>
          <w:sz w:val="24"/>
        </w:rPr>
      </w:pPr>
      <w:r>
        <w:rPr>
          <w:rFonts w:hint="eastAsia"/>
          <w:sz w:val="24"/>
        </w:rPr>
        <w:t>没有监理人指令，承包人不得擅自变更。变更指令应说明变更的目的、</w:t>
      </w:r>
      <w:r>
        <w:rPr>
          <w:rFonts w:hint="eastAsia"/>
          <w:spacing w:val="-1"/>
          <w:sz w:val="24"/>
        </w:rPr>
        <w:t>范围、变更内容以及变更的工程量及其进度和技术要求，并附有关图纸和文件。承</w:t>
      </w:r>
      <w:r>
        <w:rPr>
          <w:rFonts w:hint="eastAsia"/>
          <w:sz w:val="24"/>
        </w:rPr>
        <w:t>包人收到变更指令后，应按变更指令进行变更工作。</w:t>
      </w:r>
    </w:p>
    <w:p>
      <w:pPr>
        <w:pStyle w:val="21"/>
        <w:numPr>
          <w:ilvl w:val="4"/>
          <w:numId w:val="5"/>
        </w:numPr>
        <w:tabs>
          <w:tab w:val="left" w:pos="1529"/>
        </w:tabs>
        <w:spacing w:before="4" w:line="304" w:lineRule="auto"/>
        <w:ind w:left="384" w:right="465" w:firstLine="480"/>
        <w:jc w:val="both"/>
        <w:rPr>
          <w:sz w:val="24"/>
        </w:rPr>
      </w:pPr>
      <w:r>
        <w:rPr>
          <w:rFonts w:hint="eastAsia"/>
          <w:sz w:val="24"/>
        </w:rPr>
        <w:t>变更工程的价格增加或减少额，应以已标价工程量清单中的单价或合计为依据。除专用合同条款另有约定外，因变更引起的价格调整按照以下约定处理。</w:t>
      </w:r>
    </w:p>
    <w:p>
      <w:pPr>
        <w:pStyle w:val="21"/>
        <w:numPr>
          <w:ilvl w:val="0"/>
          <w:numId w:val="34"/>
        </w:numPr>
        <w:tabs>
          <w:tab w:val="left" w:pos="1465"/>
        </w:tabs>
        <w:spacing w:before="18"/>
        <w:rPr>
          <w:sz w:val="24"/>
        </w:rPr>
      </w:pPr>
      <w:r>
        <w:rPr>
          <w:rFonts w:hint="eastAsia"/>
          <w:sz w:val="24"/>
        </w:rPr>
        <w:t>已标价工程量清单中有适用于变更工作的子目的，采用该子目的单价。</w:t>
      </w:r>
    </w:p>
    <w:p>
      <w:pPr>
        <w:pStyle w:val="21"/>
        <w:numPr>
          <w:ilvl w:val="0"/>
          <w:numId w:val="34"/>
        </w:numPr>
        <w:tabs>
          <w:tab w:val="left" w:pos="1465"/>
        </w:tabs>
        <w:spacing w:before="93" w:line="312" w:lineRule="auto"/>
        <w:ind w:left="384" w:right="466" w:firstLine="480"/>
        <w:rPr>
          <w:sz w:val="24"/>
        </w:rPr>
      </w:pPr>
      <w:r>
        <w:rPr>
          <w:rFonts w:hint="eastAsia"/>
          <w:spacing w:val="-3"/>
          <w:sz w:val="24"/>
        </w:rPr>
        <w:t>已标价工程量清单中无适用于变更工作的子目，但有类似子目的，可在</w:t>
      </w:r>
      <w:r>
        <w:rPr>
          <w:rFonts w:hint="eastAsia"/>
          <w:spacing w:val="-4"/>
          <w:sz w:val="24"/>
        </w:rPr>
        <w:t>合理范围内参照类似子目的单价，由监理人按商定或确定原则变更工作的单价。</w:t>
      </w:r>
    </w:p>
    <w:p>
      <w:pPr>
        <w:pStyle w:val="21"/>
        <w:numPr>
          <w:ilvl w:val="0"/>
          <w:numId w:val="34"/>
        </w:numPr>
        <w:tabs>
          <w:tab w:val="left" w:pos="1465"/>
        </w:tabs>
        <w:spacing w:line="290" w:lineRule="exact"/>
        <w:rPr>
          <w:sz w:val="24"/>
        </w:rPr>
      </w:pPr>
      <w:r>
        <w:rPr>
          <w:rFonts w:hint="eastAsia"/>
          <w:spacing w:val="-5"/>
          <w:sz w:val="24"/>
        </w:rPr>
        <w:t>已标价工程量清单中无适用或类似子目的单价，可按照成本加利润的原则，</w:t>
      </w:r>
    </w:p>
    <w:p>
      <w:pPr>
        <w:pStyle w:val="11"/>
        <w:spacing w:before="86" w:line="304" w:lineRule="auto"/>
        <w:ind w:left="384" w:right="465"/>
      </w:pPr>
      <w:r>
        <w:rPr>
          <w:rFonts w:hint="eastAsia"/>
        </w:rPr>
        <w:t>由监理人依据交通运输部或新疆交通运输厅的相关概算预算编制办法及定额编制编制单价，按商定或确定原则变更工作的单价。</w:t>
      </w:r>
    </w:p>
    <w:p>
      <w:pPr>
        <w:pStyle w:val="21"/>
        <w:numPr>
          <w:ilvl w:val="4"/>
          <w:numId w:val="5"/>
        </w:numPr>
        <w:tabs>
          <w:tab w:val="left" w:pos="1523"/>
          <w:tab w:val="left" w:pos="1524"/>
        </w:tabs>
        <w:spacing w:before="1"/>
        <w:ind w:left="1524" w:hanging="660"/>
        <w:rPr>
          <w:sz w:val="24"/>
        </w:rPr>
      </w:pPr>
      <w:r>
        <w:rPr>
          <w:rFonts w:hint="eastAsia"/>
          <w:sz w:val="24"/>
        </w:rPr>
        <w:t>暂列金额只能按监理人的批示使用，并对合同价款进行相应调整。</w:t>
      </w:r>
    </w:p>
    <w:p>
      <w:pPr>
        <w:pStyle w:val="21"/>
        <w:numPr>
          <w:ilvl w:val="4"/>
          <w:numId w:val="5"/>
        </w:numPr>
        <w:tabs>
          <w:tab w:val="left" w:pos="1523"/>
          <w:tab w:val="left" w:pos="1524"/>
        </w:tabs>
        <w:spacing w:before="87"/>
        <w:ind w:left="1524" w:hanging="660"/>
        <w:rPr>
          <w:sz w:val="24"/>
        </w:rPr>
      </w:pPr>
      <w:r>
        <w:rPr>
          <w:rFonts w:hint="eastAsia"/>
          <w:sz w:val="24"/>
        </w:rPr>
        <w:t>未经批准的设计变更，其费用不得进入决算。</w:t>
      </w:r>
    </w:p>
    <w:p>
      <w:pPr>
        <w:pStyle w:val="21"/>
        <w:numPr>
          <w:ilvl w:val="4"/>
          <w:numId w:val="5"/>
        </w:numPr>
        <w:tabs>
          <w:tab w:val="left" w:pos="1528"/>
          <w:tab w:val="left" w:pos="1529"/>
        </w:tabs>
        <w:spacing w:before="83" w:line="304" w:lineRule="auto"/>
        <w:ind w:left="384" w:right="467" w:firstLine="480"/>
        <w:rPr>
          <w:sz w:val="24"/>
        </w:rPr>
      </w:pPr>
      <w:r>
        <w:rPr>
          <w:rFonts w:hint="eastAsia"/>
          <w:sz w:val="24"/>
        </w:rPr>
        <w:t>变更类型及程序依照《新疆维吾尔自治区农村公路工程设计变更管理办法（试行）》的规定施行。</w:t>
      </w:r>
    </w:p>
    <w:p>
      <w:pPr>
        <w:pStyle w:val="11"/>
        <w:spacing w:before="174"/>
        <w:ind w:left="583"/>
      </w:pPr>
      <w:r>
        <w:rPr>
          <w:rFonts w:hint="eastAsia"/>
        </w:rPr>
        <w:t>九、缺陷责任</w:t>
      </w:r>
    </w:p>
    <w:p>
      <w:pPr>
        <w:pStyle w:val="11"/>
        <w:rPr>
          <w:sz w:val="20"/>
        </w:rPr>
      </w:pPr>
    </w:p>
    <w:p>
      <w:pPr>
        <w:pStyle w:val="21"/>
        <w:numPr>
          <w:ilvl w:val="3"/>
          <w:numId w:val="5"/>
        </w:numPr>
        <w:tabs>
          <w:tab w:val="left" w:pos="1244"/>
        </w:tabs>
        <w:spacing w:before="1"/>
        <w:ind w:left="1243" w:hanging="421"/>
        <w:jc w:val="left"/>
        <w:rPr>
          <w:sz w:val="24"/>
        </w:rPr>
      </w:pPr>
      <w:r>
        <w:rPr>
          <w:rFonts w:hint="eastAsia"/>
          <w:sz w:val="24"/>
        </w:rPr>
        <w:t>缺陷责任及修复</w:t>
      </w:r>
    </w:p>
    <w:p>
      <w:pPr>
        <w:pStyle w:val="11"/>
        <w:spacing w:before="4"/>
        <w:rPr>
          <w:sz w:val="20"/>
        </w:rPr>
      </w:pPr>
    </w:p>
    <w:p>
      <w:pPr>
        <w:pStyle w:val="21"/>
        <w:numPr>
          <w:ilvl w:val="4"/>
          <w:numId w:val="5"/>
        </w:numPr>
        <w:tabs>
          <w:tab w:val="left" w:pos="1529"/>
        </w:tabs>
        <w:spacing w:before="1" w:line="304" w:lineRule="auto"/>
        <w:ind w:left="384" w:right="467" w:firstLine="480"/>
        <w:jc w:val="both"/>
        <w:rPr>
          <w:sz w:val="24"/>
        </w:rPr>
      </w:pPr>
      <w:r>
        <w:rPr>
          <w:rFonts w:hint="eastAsia"/>
          <w:sz w:val="24"/>
        </w:rPr>
        <w:t>缺陷责任期从本合同工程交工证书签发之日起计算。承包人应在缺陷责任期内对已交付使用的工程承担缺陷责任。</w:t>
      </w:r>
    </w:p>
    <w:p>
      <w:pPr>
        <w:pStyle w:val="21"/>
        <w:numPr>
          <w:ilvl w:val="4"/>
          <w:numId w:val="5"/>
        </w:numPr>
        <w:tabs>
          <w:tab w:val="left" w:pos="1529"/>
        </w:tabs>
        <w:spacing w:before="3" w:line="304" w:lineRule="auto"/>
        <w:ind w:left="384" w:right="465" w:firstLine="480"/>
        <w:jc w:val="both"/>
        <w:rPr>
          <w:sz w:val="24"/>
        </w:rPr>
      </w:pPr>
      <w:r>
        <w:rPr>
          <w:rFonts w:hint="eastAsia"/>
          <w:sz w:val="24"/>
        </w:rPr>
        <w:t>在缺陷责任期满前，由发包人会同监理人在有关部门参加下，对工程进</w:t>
      </w:r>
      <w:r>
        <w:rPr>
          <w:rFonts w:hint="eastAsia"/>
          <w:spacing w:val="-1"/>
          <w:sz w:val="24"/>
        </w:rPr>
        <w:t>行一次全面核查，使本工程按合同所要求的条件，达到发包人和监理人认为合格的</w:t>
      </w:r>
      <w:r>
        <w:rPr>
          <w:rFonts w:hint="eastAsia"/>
          <w:sz w:val="24"/>
        </w:rPr>
        <w:t>程度。要求承包人：</w:t>
      </w:r>
    </w:p>
    <w:p>
      <w:pPr>
        <w:pStyle w:val="21"/>
        <w:numPr>
          <w:ilvl w:val="0"/>
          <w:numId w:val="35"/>
        </w:numPr>
        <w:tabs>
          <w:tab w:val="left" w:pos="1465"/>
        </w:tabs>
        <w:spacing w:before="5" w:line="304" w:lineRule="auto"/>
        <w:ind w:right="466" w:firstLine="480"/>
        <w:rPr>
          <w:sz w:val="24"/>
        </w:rPr>
      </w:pPr>
      <w:r>
        <w:rPr>
          <w:rFonts w:hint="eastAsia"/>
          <w:spacing w:val="-5"/>
          <w:sz w:val="24"/>
        </w:rPr>
        <w:t>在缺陷责任期内，尽快完成在交工证书中写明的未完工作，并完成对本工程缺陷的修复或监理人指令的修补工作；</w:t>
      </w:r>
    </w:p>
    <w:p>
      <w:pPr>
        <w:pStyle w:val="21"/>
        <w:numPr>
          <w:ilvl w:val="0"/>
          <w:numId w:val="35"/>
        </w:numPr>
        <w:tabs>
          <w:tab w:val="left" w:pos="1468"/>
        </w:tabs>
        <w:spacing w:before="1" w:line="304" w:lineRule="auto"/>
        <w:ind w:right="465" w:firstLine="480"/>
        <w:jc w:val="both"/>
        <w:rPr>
          <w:sz w:val="24"/>
        </w:rPr>
      </w:pPr>
      <w:r>
        <w:rPr>
          <w:rFonts w:hint="eastAsia"/>
          <w:spacing w:val="-5"/>
          <w:sz w:val="24"/>
        </w:rPr>
        <w:t xml:space="preserve">在缺陷责任期满后的 </w:t>
      </w:r>
      <w:r>
        <w:rPr>
          <w:rFonts w:hint="eastAsia"/>
          <w:sz w:val="24"/>
        </w:rPr>
        <w:t>14</w:t>
      </w:r>
      <w:r>
        <w:rPr>
          <w:rFonts w:hint="eastAsia"/>
          <w:spacing w:val="11"/>
          <w:sz w:val="24"/>
        </w:rPr>
        <w:t xml:space="preserve"> </w:t>
      </w:r>
      <w:r>
        <w:rPr>
          <w:rFonts w:hint="eastAsia"/>
          <w:spacing w:val="-1"/>
          <w:sz w:val="24"/>
        </w:rPr>
        <w:t>天内，按照发包人和监理人在缺陷责任期满前检查结果而发出的指令，对存在的缺陷或其他不合格之处进行修补、重建及修复。承包人不能在合理时间内修复缺陷的，发包人可自行修复或委托其他人修复，所需费</w:t>
      </w:r>
      <w:r>
        <w:rPr>
          <w:rFonts w:hint="eastAsia"/>
          <w:sz w:val="24"/>
        </w:rPr>
        <w:t>用和利润由承包人承担。</w:t>
      </w:r>
    </w:p>
    <w:p>
      <w:pPr>
        <w:spacing w:line="304" w:lineRule="auto"/>
        <w:jc w:val="both"/>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4"/>
          <w:numId w:val="5"/>
        </w:numPr>
        <w:tabs>
          <w:tab w:val="left" w:pos="1529"/>
        </w:tabs>
        <w:spacing w:before="74" w:line="307" w:lineRule="auto"/>
        <w:ind w:left="384" w:right="465" w:firstLine="480"/>
        <w:jc w:val="both"/>
        <w:rPr>
          <w:sz w:val="24"/>
        </w:rPr>
      </w:pPr>
      <w:r>
        <w:rPr>
          <w:rFonts w:hint="eastAsia"/>
          <w:sz w:val="24"/>
        </w:rPr>
        <w:t>在缺陷责任期内，因承包人原因造成的缺陷修复费用和复验费用应由承</w:t>
      </w:r>
      <w:r>
        <w:rPr>
          <w:rFonts w:hint="eastAsia"/>
          <w:spacing w:val="-1"/>
          <w:sz w:val="24"/>
        </w:rPr>
        <w:t>包人自行负责；不属于承包人原因造成的缺陷修复费用由监理人同承包人协商并报</w:t>
      </w:r>
      <w:r>
        <w:rPr>
          <w:rFonts w:hint="eastAsia"/>
          <w:sz w:val="24"/>
        </w:rPr>
        <w:t>发包人批准。</w:t>
      </w:r>
    </w:p>
    <w:p>
      <w:pPr>
        <w:pStyle w:val="21"/>
        <w:numPr>
          <w:ilvl w:val="4"/>
          <w:numId w:val="5"/>
        </w:numPr>
        <w:tabs>
          <w:tab w:val="left" w:pos="1529"/>
        </w:tabs>
        <w:spacing w:line="307" w:lineRule="auto"/>
        <w:ind w:left="384" w:right="465" w:firstLine="480"/>
        <w:jc w:val="both"/>
        <w:rPr>
          <w:sz w:val="24"/>
        </w:rPr>
      </w:pPr>
      <w:r>
        <w:rPr>
          <w:rFonts w:hint="eastAsia"/>
          <w:sz w:val="24"/>
        </w:rPr>
        <w:t>由于承包人原因造成某项缺陷或损坏使某项工程不能按原定目标使用而</w:t>
      </w:r>
      <w:r>
        <w:rPr>
          <w:rFonts w:hint="eastAsia"/>
          <w:spacing w:val="-1"/>
          <w:sz w:val="24"/>
        </w:rPr>
        <w:t>需要再次检查、检验和修复的，发包人有权要求承包人相应延长缺陷责任期，但缺</w:t>
      </w:r>
      <w:r>
        <w:rPr>
          <w:rFonts w:hint="eastAsia"/>
          <w:spacing w:val="-6"/>
          <w:sz w:val="24"/>
        </w:rPr>
        <w:t xml:space="preserve">陷责任期最长不超过 </w:t>
      </w:r>
      <w:r>
        <w:rPr>
          <w:rFonts w:hint="eastAsia"/>
          <w:sz w:val="24"/>
        </w:rPr>
        <w:t>2 年，自该项工程或设备修复之日算起。</w:t>
      </w:r>
    </w:p>
    <w:p>
      <w:pPr>
        <w:pStyle w:val="21"/>
        <w:numPr>
          <w:ilvl w:val="4"/>
          <w:numId w:val="5"/>
        </w:numPr>
        <w:tabs>
          <w:tab w:val="left" w:pos="1529"/>
        </w:tabs>
        <w:spacing w:line="304" w:lineRule="auto"/>
        <w:ind w:left="384" w:right="467" w:firstLine="480"/>
        <w:jc w:val="both"/>
        <w:rPr>
          <w:sz w:val="24"/>
        </w:rPr>
      </w:pPr>
      <w:r>
        <w:rPr>
          <w:rFonts w:hint="eastAsia"/>
          <w:sz w:val="24"/>
        </w:rPr>
        <w:t>保修期自实际交工日期起计算，具体期限在合同条款数据表中约定。在保修期内承包人应对由于施工质量原因造成的损坏自费进行修复。</w:t>
      </w:r>
    </w:p>
    <w:p>
      <w:pPr>
        <w:pStyle w:val="21"/>
        <w:numPr>
          <w:ilvl w:val="4"/>
          <w:numId w:val="5"/>
        </w:numPr>
        <w:tabs>
          <w:tab w:val="left" w:pos="1524"/>
        </w:tabs>
        <w:ind w:left="1524" w:hanging="660"/>
        <w:jc w:val="both"/>
        <w:rPr>
          <w:sz w:val="24"/>
        </w:rPr>
      </w:pPr>
      <w:r>
        <w:rPr>
          <w:rFonts w:hint="eastAsia"/>
          <w:spacing w:val="-7"/>
          <w:sz w:val="24"/>
        </w:rPr>
        <w:t xml:space="preserve">工程保修期终止后 </w:t>
      </w:r>
      <w:r>
        <w:rPr>
          <w:rFonts w:hint="eastAsia"/>
          <w:sz w:val="24"/>
        </w:rPr>
        <w:t>28 天内，监理人签发保修期终止证书。</w:t>
      </w:r>
    </w:p>
    <w:p>
      <w:pPr>
        <w:pStyle w:val="21"/>
        <w:numPr>
          <w:ilvl w:val="4"/>
          <w:numId w:val="5"/>
        </w:numPr>
        <w:tabs>
          <w:tab w:val="left" w:pos="1529"/>
        </w:tabs>
        <w:spacing w:before="78" w:line="307" w:lineRule="auto"/>
        <w:ind w:left="384" w:right="465" w:firstLine="480"/>
        <w:jc w:val="both"/>
        <w:rPr>
          <w:sz w:val="24"/>
        </w:rPr>
      </w:pPr>
      <w:r>
        <w:rPr>
          <w:rFonts w:hint="eastAsia"/>
          <w:sz w:val="24"/>
        </w:rPr>
        <w:t>若承包人不履行保修义务和责任，则承包人应承担由于违约造成的法律</w:t>
      </w:r>
      <w:r>
        <w:rPr>
          <w:rFonts w:hint="eastAsia"/>
          <w:spacing w:val="-1"/>
          <w:sz w:val="24"/>
        </w:rPr>
        <w:t>后果，并由发包人将其违约行为上报交通运输主管部门，并作为不良记录纳入公路</w:t>
      </w:r>
      <w:r>
        <w:rPr>
          <w:rFonts w:hint="eastAsia"/>
          <w:sz w:val="24"/>
        </w:rPr>
        <w:t>建设市场信用信息管理系统。</w:t>
      </w:r>
    </w:p>
    <w:p>
      <w:pPr>
        <w:pStyle w:val="21"/>
        <w:numPr>
          <w:ilvl w:val="4"/>
          <w:numId w:val="5"/>
        </w:numPr>
        <w:tabs>
          <w:tab w:val="left" w:pos="1534"/>
        </w:tabs>
        <w:spacing w:line="304" w:lineRule="auto"/>
        <w:ind w:left="384" w:right="467" w:firstLine="480"/>
        <w:jc w:val="both"/>
        <w:rPr>
          <w:sz w:val="24"/>
        </w:rPr>
      </w:pPr>
      <w:r>
        <w:rPr>
          <w:rFonts w:hint="eastAsia"/>
          <w:spacing w:val="-5"/>
          <w:sz w:val="24"/>
        </w:rPr>
        <w:t xml:space="preserve">缺陷责任期满后 </w:t>
      </w:r>
      <w:r>
        <w:rPr>
          <w:rFonts w:hint="eastAsia"/>
          <w:sz w:val="24"/>
        </w:rPr>
        <w:t>14</w:t>
      </w:r>
      <w:r>
        <w:rPr>
          <w:rFonts w:hint="eastAsia"/>
          <w:spacing w:val="4"/>
          <w:sz w:val="24"/>
        </w:rPr>
        <w:t xml:space="preserve"> 天内,</w:t>
      </w:r>
      <w:r>
        <w:rPr>
          <w:rFonts w:hint="eastAsia"/>
          <w:spacing w:val="3"/>
          <w:sz w:val="24"/>
        </w:rPr>
        <w:t>由监理人向承包人出具经发包人签认的缺陷责任终止证书，并退还剩余的质量保证金。</w:t>
      </w:r>
    </w:p>
    <w:p>
      <w:pPr>
        <w:pStyle w:val="11"/>
        <w:spacing w:before="169"/>
        <w:ind w:left="583"/>
      </w:pPr>
      <w:r>
        <w:rPr>
          <w:rFonts w:hint="eastAsia"/>
        </w:rPr>
        <w:t>十、违约、索赔和争议</w:t>
      </w:r>
    </w:p>
    <w:p>
      <w:pPr>
        <w:pStyle w:val="11"/>
        <w:rPr>
          <w:sz w:val="20"/>
        </w:rPr>
      </w:pPr>
    </w:p>
    <w:p>
      <w:pPr>
        <w:pStyle w:val="21"/>
        <w:numPr>
          <w:ilvl w:val="3"/>
          <w:numId w:val="5"/>
        </w:numPr>
        <w:tabs>
          <w:tab w:val="left" w:pos="1125"/>
        </w:tabs>
        <w:ind w:left="1124" w:hanging="302"/>
        <w:jc w:val="left"/>
        <w:rPr>
          <w:sz w:val="24"/>
        </w:rPr>
      </w:pPr>
      <w:r>
        <w:rPr>
          <w:rFonts w:hint="eastAsia"/>
          <w:sz w:val="24"/>
        </w:rPr>
        <w:t>违约</w:t>
      </w:r>
    </w:p>
    <w:p>
      <w:pPr>
        <w:pStyle w:val="11"/>
        <w:spacing w:before="5"/>
        <w:rPr>
          <w:sz w:val="20"/>
        </w:rPr>
      </w:pPr>
    </w:p>
    <w:p>
      <w:pPr>
        <w:pStyle w:val="21"/>
        <w:numPr>
          <w:ilvl w:val="4"/>
          <w:numId w:val="5"/>
        </w:numPr>
        <w:tabs>
          <w:tab w:val="left" w:pos="1523"/>
          <w:tab w:val="left" w:pos="1524"/>
        </w:tabs>
        <w:ind w:left="1524" w:hanging="660"/>
        <w:rPr>
          <w:sz w:val="24"/>
        </w:rPr>
      </w:pPr>
      <w:r>
        <w:rPr>
          <w:rFonts w:hint="eastAsia"/>
          <w:sz w:val="24"/>
        </w:rPr>
        <w:t>发包人违约</w:t>
      </w:r>
    </w:p>
    <w:p>
      <w:pPr>
        <w:pStyle w:val="21"/>
        <w:numPr>
          <w:ilvl w:val="5"/>
          <w:numId w:val="5"/>
        </w:numPr>
        <w:tabs>
          <w:tab w:val="left" w:pos="1703"/>
          <w:tab w:val="left" w:pos="1704"/>
        </w:tabs>
        <w:spacing w:before="84"/>
        <w:ind w:left="1704" w:hanging="840"/>
        <w:rPr>
          <w:sz w:val="24"/>
        </w:rPr>
      </w:pPr>
      <w:r>
        <w:rPr>
          <w:rFonts w:hint="eastAsia"/>
          <w:sz w:val="24"/>
        </w:rPr>
        <w:t>下列情况属发包人违约：</w:t>
      </w:r>
    </w:p>
    <w:p>
      <w:pPr>
        <w:pStyle w:val="21"/>
        <w:numPr>
          <w:ilvl w:val="0"/>
          <w:numId w:val="36"/>
        </w:numPr>
        <w:tabs>
          <w:tab w:val="left" w:pos="1465"/>
        </w:tabs>
        <w:spacing w:before="86" w:line="304" w:lineRule="auto"/>
        <w:ind w:right="346" w:firstLine="480"/>
        <w:rPr>
          <w:sz w:val="24"/>
        </w:rPr>
      </w:pPr>
      <w:r>
        <w:rPr>
          <w:rFonts w:hint="eastAsia"/>
          <w:spacing w:val="-11"/>
          <w:sz w:val="24"/>
        </w:rPr>
        <w:t>按合同约定，未向承包人支付根据监理人签发的支付证书项下的应付款额</w:t>
      </w:r>
      <w:r>
        <w:rPr>
          <w:rFonts w:hint="eastAsia"/>
          <w:spacing w:val="-5"/>
          <w:sz w:val="24"/>
        </w:rPr>
        <w:t>，或拖延、拒绝批准付款申请和支付凭证，导致付款延误的；</w:t>
      </w:r>
    </w:p>
    <w:p>
      <w:pPr>
        <w:pStyle w:val="21"/>
        <w:numPr>
          <w:ilvl w:val="0"/>
          <w:numId w:val="36"/>
        </w:numPr>
        <w:tabs>
          <w:tab w:val="left" w:pos="1465"/>
        </w:tabs>
        <w:spacing w:before="2"/>
        <w:ind w:left="1465"/>
        <w:rPr>
          <w:sz w:val="24"/>
        </w:rPr>
      </w:pPr>
      <w:r>
        <w:rPr>
          <w:rFonts w:hint="eastAsia"/>
          <w:sz w:val="24"/>
        </w:rPr>
        <w:t>发包人原因造成停工的；</w:t>
      </w:r>
    </w:p>
    <w:p>
      <w:pPr>
        <w:pStyle w:val="21"/>
        <w:numPr>
          <w:ilvl w:val="0"/>
          <w:numId w:val="36"/>
        </w:numPr>
        <w:tabs>
          <w:tab w:val="left" w:pos="1465"/>
        </w:tabs>
        <w:spacing w:before="86" w:line="304" w:lineRule="auto"/>
        <w:ind w:right="466" w:firstLine="480"/>
        <w:rPr>
          <w:sz w:val="24"/>
        </w:rPr>
      </w:pPr>
      <w:r>
        <w:rPr>
          <w:rFonts w:hint="eastAsia"/>
          <w:spacing w:val="-4"/>
          <w:sz w:val="24"/>
        </w:rPr>
        <w:t>监理人无正当理由没有在约定期限内，发出复工指示，导致承包人无法</w:t>
      </w:r>
      <w:r>
        <w:rPr>
          <w:rFonts w:hint="eastAsia"/>
          <w:spacing w:val="-6"/>
          <w:sz w:val="24"/>
        </w:rPr>
        <w:t>复工的；</w:t>
      </w:r>
    </w:p>
    <w:p>
      <w:pPr>
        <w:pStyle w:val="21"/>
        <w:numPr>
          <w:ilvl w:val="0"/>
          <w:numId w:val="36"/>
        </w:numPr>
        <w:tabs>
          <w:tab w:val="left" w:pos="1479"/>
        </w:tabs>
        <w:spacing w:before="1" w:line="304" w:lineRule="auto"/>
        <w:ind w:right="466" w:firstLine="480"/>
        <w:jc w:val="both"/>
        <w:rPr>
          <w:sz w:val="24"/>
        </w:rPr>
      </w:pPr>
      <w:r>
        <w:rPr>
          <w:rFonts w:hint="eastAsia"/>
          <w:spacing w:val="2"/>
          <w:sz w:val="24"/>
        </w:rPr>
        <w:t>未根据本合同任何条款而无理阻碍或拒绝对任何上述证书颁发的所需批</w:t>
      </w:r>
      <w:r>
        <w:rPr>
          <w:rFonts w:hint="eastAsia"/>
          <w:spacing w:val="1"/>
          <w:sz w:val="24"/>
        </w:rPr>
        <w:t>准，则承包人有权终止对本合同项下的承包，并通知发包人，抄送监理人，该终止</w:t>
      </w:r>
      <w:r>
        <w:rPr>
          <w:rFonts w:hint="eastAsia"/>
          <w:spacing w:val="-10"/>
          <w:sz w:val="24"/>
        </w:rPr>
        <w:t xml:space="preserve">在发出通知 </w:t>
      </w:r>
      <w:r>
        <w:rPr>
          <w:rFonts w:hint="eastAsia"/>
          <w:sz w:val="24"/>
        </w:rPr>
        <w:t xml:space="preserve">14 </w:t>
      </w:r>
      <w:r>
        <w:rPr>
          <w:rFonts w:hint="eastAsia"/>
          <w:spacing w:val="-11"/>
          <w:sz w:val="24"/>
        </w:rPr>
        <w:t>天后生效，发包人应承担违约责任，赔偿因其违约给承包人造成的损</w:t>
      </w:r>
      <w:r>
        <w:rPr>
          <w:rFonts w:hint="eastAsia"/>
          <w:sz w:val="24"/>
        </w:rPr>
        <w:t>失，顺延延误的工期。</w:t>
      </w:r>
    </w:p>
    <w:p>
      <w:pPr>
        <w:pStyle w:val="21"/>
        <w:numPr>
          <w:ilvl w:val="5"/>
          <w:numId w:val="5"/>
        </w:numPr>
        <w:tabs>
          <w:tab w:val="left" w:pos="1703"/>
          <w:tab w:val="left" w:pos="1704"/>
        </w:tabs>
        <w:spacing w:before="8" w:line="304" w:lineRule="auto"/>
        <w:ind w:right="346" w:firstLine="480"/>
        <w:rPr>
          <w:sz w:val="24"/>
        </w:rPr>
      </w:pPr>
      <w:r>
        <w:rPr>
          <w:rFonts w:hint="eastAsia"/>
          <w:spacing w:val="-6"/>
          <w:sz w:val="24"/>
        </w:rPr>
        <w:t>发包人发生违约情况时，承包人可向发包人发出通知，要求发包人采取</w:t>
      </w:r>
      <w:r>
        <w:rPr>
          <w:rFonts w:hint="eastAsia"/>
          <w:spacing w:val="-13"/>
          <w:sz w:val="24"/>
        </w:rPr>
        <w:t xml:space="preserve">有效措施纠正违约行为。发包人收到承包人通知后的 </w:t>
      </w:r>
      <w:r>
        <w:rPr>
          <w:rFonts w:hint="eastAsia"/>
          <w:sz w:val="24"/>
        </w:rPr>
        <w:t xml:space="preserve">28 </w:t>
      </w:r>
      <w:r>
        <w:rPr>
          <w:rFonts w:hint="eastAsia"/>
          <w:spacing w:val="-4"/>
          <w:sz w:val="24"/>
        </w:rPr>
        <w:t>天内仍不履行合同义务，承包人有权暂停施工，并通知监理人，发包人应承担由此增加的费用和</w:t>
      </w:r>
      <w:r>
        <w:rPr>
          <w:rFonts w:hint="eastAsia"/>
          <w:sz w:val="24"/>
        </w:rPr>
        <w:t>(或)</w:t>
      </w:r>
      <w:r>
        <w:rPr>
          <w:rFonts w:hint="eastAsia"/>
          <w:spacing w:val="-4"/>
          <w:sz w:val="24"/>
        </w:rPr>
        <w:t xml:space="preserve">工期延误， </w:t>
      </w:r>
      <w:r>
        <w:rPr>
          <w:rFonts w:hint="eastAsia"/>
          <w:sz w:val="24"/>
        </w:rPr>
        <w:t>并支付承包人合理利润。</w:t>
      </w:r>
    </w:p>
    <w:p>
      <w:pPr>
        <w:pStyle w:val="21"/>
        <w:numPr>
          <w:ilvl w:val="4"/>
          <w:numId w:val="5"/>
        </w:numPr>
        <w:tabs>
          <w:tab w:val="left" w:pos="1523"/>
          <w:tab w:val="left" w:pos="1524"/>
        </w:tabs>
        <w:spacing w:before="5"/>
        <w:ind w:left="1524" w:hanging="660"/>
        <w:rPr>
          <w:sz w:val="24"/>
        </w:rPr>
      </w:pPr>
      <w:r>
        <w:rPr>
          <w:rFonts w:hint="eastAsia"/>
          <w:sz w:val="24"/>
        </w:rPr>
        <w:t>承包人违约</w:t>
      </w:r>
    </w:p>
    <w:p>
      <w:pPr>
        <w:pStyle w:val="21"/>
        <w:numPr>
          <w:ilvl w:val="5"/>
          <w:numId w:val="5"/>
        </w:numPr>
        <w:tabs>
          <w:tab w:val="left" w:pos="1703"/>
          <w:tab w:val="left" w:pos="1704"/>
        </w:tabs>
        <w:spacing w:before="83"/>
        <w:ind w:left="1704" w:hanging="840"/>
        <w:rPr>
          <w:sz w:val="24"/>
        </w:rPr>
      </w:pPr>
      <w:r>
        <w:rPr>
          <w:rFonts w:hint="eastAsia"/>
          <w:sz w:val="24"/>
        </w:rPr>
        <w:t>下列情况属承包人违约：</w:t>
      </w:r>
    </w:p>
    <w:p>
      <w:pPr>
        <w:rPr>
          <w:sz w:val="24"/>
        </w:rPr>
        <w:sectPr>
          <w:footerReference r:id="rId10" w:type="default"/>
          <w:pgSz w:w="11910" w:h="16840"/>
          <w:pgMar w:top="1360" w:right="1120" w:bottom="1080" w:left="1260" w:header="882" w:footer="880" w:gutter="0"/>
          <w:cols w:space="720" w:num="1"/>
        </w:sectPr>
      </w:pPr>
    </w:p>
    <w:p>
      <w:pPr>
        <w:pStyle w:val="11"/>
        <w:spacing w:before="5"/>
        <w:rPr>
          <w:sz w:val="17"/>
        </w:rPr>
      </w:pPr>
    </w:p>
    <w:p>
      <w:pPr>
        <w:pStyle w:val="21"/>
        <w:numPr>
          <w:ilvl w:val="0"/>
          <w:numId w:val="37"/>
        </w:numPr>
        <w:tabs>
          <w:tab w:val="left" w:pos="1465"/>
        </w:tabs>
        <w:spacing w:before="74"/>
        <w:rPr>
          <w:sz w:val="24"/>
        </w:rPr>
      </w:pPr>
      <w:r>
        <w:rPr>
          <w:rFonts w:hint="eastAsia"/>
          <w:sz w:val="24"/>
        </w:rPr>
        <w:t>无视监理人事先的书面警告，不履行其合同规定的义务；</w:t>
      </w:r>
    </w:p>
    <w:p>
      <w:pPr>
        <w:pStyle w:val="21"/>
        <w:numPr>
          <w:ilvl w:val="0"/>
          <w:numId w:val="37"/>
        </w:numPr>
        <w:tabs>
          <w:tab w:val="left" w:pos="1465"/>
        </w:tabs>
        <w:spacing w:before="84" w:line="307" w:lineRule="auto"/>
        <w:ind w:left="384" w:right="466" w:firstLine="480"/>
        <w:rPr>
          <w:sz w:val="24"/>
        </w:rPr>
      </w:pPr>
      <w:r>
        <w:rPr>
          <w:rFonts w:hint="eastAsia"/>
          <w:spacing w:val="-6"/>
          <w:sz w:val="24"/>
        </w:rPr>
        <w:t>违反合同规定，私自将合同的全部或部分权利转让给其他人，或私自将</w:t>
      </w:r>
      <w:r>
        <w:rPr>
          <w:rFonts w:hint="eastAsia"/>
          <w:spacing w:val="-5"/>
          <w:sz w:val="24"/>
        </w:rPr>
        <w:t>合同的全部或部分义务转让给其他人；</w:t>
      </w:r>
    </w:p>
    <w:p>
      <w:pPr>
        <w:pStyle w:val="21"/>
        <w:numPr>
          <w:ilvl w:val="0"/>
          <w:numId w:val="37"/>
        </w:numPr>
        <w:tabs>
          <w:tab w:val="left" w:pos="1465"/>
        </w:tabs>
        <w:spacing w:line="307" w:lineRule="auto"/>
        <w:ind w:left="384" w:right="466" w:firstLine="480"/>
        <w:jc w:val="both"/>
        <w:rPr>
          <w:sz w:val="24"/>
        </w:rPr>
      </w:pPr>
      <w:r>
        <w:rPr>
          <w:rFonts w:hint="eastAsia"/>
          <w:spacing w:val="-2"/>
          <w:sz w:val="24"/>
        </w:rPr>
        <w:t>未按在合同谈判阶段确定的内容配备其他管理和技术人员、主要机械设</w:t>
      </w:r>
      <w:r>
        <w:rPr>
          <w:rFonts w:hint="eastAsia"/>
          <w:spacing w:val="-5"/>
          <w:sz w:val="24"/>
        </w:rPr>
        <w:t>备和试验检测设备、未按期提交施工组织计划；私自将已按合同约定进入场地的施</w:t>
      </w:r>
      <w:r>
        <w:rPr>
          <w:rFonts w:hint="eastAsia"/>
          <w:spacing w:val="-4"/>
          <w:sz w:val="24"/>
        </w:rPr>
        <w:t>工设备、临时设备或材料撤离施工场地；</w:t>
      </w:r>
    </w:p>
    <w:p>
      <w:pPr>
        <w:pStyle w:val="21"/>
        <w:numPr>
          <w:ilvl w:val="0"/>
          <w:numId w:val="37"/>
        </w:numPr>
        <w:tabs>
          <w:tab w:val="left" w:pos="1468"/>
        </w:tabs>
        <w:spacing w:line="304" w:lineRule="auto"/>
        <w:ind w:left="384" w:right="467" w:firstLine="480"/>
        <w:jc w:val="both"/>
        <w:rPr>
          <w:sz w:val="24"/>
        </w:rPr>
      </w:pPr>
      <w:r>
        <w:rPr>
          <w:rFonts w:hint="eastAsia"/>
          <w:spacing w:val="-4"/>
          <w:sz w:val="24"/>
        </w:rPr>
        <w:t xml:space="preserve">在监理人通知或指令发出 </w:t>
      </w:r>
      <w:r>
        <w:rPr>
          <w:rFonts w:hint="eastAsia"/>
          <w:sz w:val="24"/>
        </w:rPr>
        <w:t>28</w:t>
      </w:r>
      <w:r>
        <w:rPr>
          <w:rFonts w:hint="eastAsia"/>
          <w:spacing w:val="10"/>
          <w:sz w:val="24"/>
        </w:rPr>
        <w:t xml:space="preserve"> </w:t>
      </w:r>
      <w:r>
        <w:rPr>
          <w:rFonts w:hint="eastAsia"/>
          <w:spacing w:val="-1"/>
          <w:sz w:val="24"/>
        </w:rPr>
        <w:t>天内不遵守该通知或指令修复或运走、替换</w:t>
      </w:r>
      <w:r>
        <w:rPr>
          <w:rFonts w:hint="eastAsia"/>
          <w:sz w:val="24"/>
        </w:rPr>
        <w:t>不合格材料、设备的；</w:t>
      </w:r>
    </w:p>
    <w:p>
      <w:pPr>
        <w:pStyle w:val="21"/>
        <w:numPr>
          <w:ilvl w:val="0"/>
          <w:numId w:val="37"/>
        </w:numPr>
        <w:tabs>
          <w:tab w:val="left" w:pos="1468"/>
        </w:tabs>
        <w:spacing w:line="304" w:lineRule="auto"/>
        <w:ind w:left="384" w:right="467" w:firstLine="480"/>
        <w:jc w:val="both"/>
        <w:rPr>
          <w:sz w:val="24"/>
        </w:rPr>
      </w:pPr>
      <w:r>
        <w:rPr>
          <w:rFonts w:hint="eastAsia"/>
          <w:spacing w:val="-2"/>
          <w:sz w:val="24"/>
        </w:rPr>
        <w:t xml:space="preserve">无正当理由延期开工或因进度滞后，在接到监理人加快进度通知 </w:t>
      </w:r>
      <w:r>
        <w:rPr>
          <w:rFonts w:hint="eastAsia"/>
          <w:sz w:val="24"/>
        </w:rPr>
        <w:t>28</w:t>
      </w:r>
      <w:r>
        <w:rPr>
          <w:rFonts w:hint="eastAsia"/>
          <w:spacing w:val="12"/>
          <w:sz w:val="24"/>
        </w:rPr>
        <w:t xml:space="preserve"> </w:t>
      </w:r>
      <w:r>
        <w:rPr>
          <w:rFonts w:hint="eastAsia"/>
          <w:spacing w:val="-6"/>
          <w:sz w:val="24"/>
        </w:rPr>
        <w:t>天内</w:t>
      </w:r>
      <w:r>
        <w:rPr>
          <w:rFonts w:hint="eastAsia"/>
          <w:sz w:val="24"/>
        </w:rPr>
        <w:t>无正当理由、未能采取措施加快进行本工程或其关键部分的施工；</w:t>
      </w:r>
    </w:p>
    <w:p>
      <w:pPr>
        <w:pStyle w:val="21"/>
        <w:numPr>
          <w:ilvl w:val="0"/>
          <w:numId w:val="37"/>
        </w:numPr>
        <w:tabs>
          <w:tab w:val="left" w:pos="1465"/>
        </w:tabs>
        <w:rPr>
          <w:sz w:val="24"/>
        </w:rPr>
      </w:pPr>
      <w:r>
        <w:rPr>
          <w:rFonts w:hint="eastAsia"/>
          <w:sz w:val="24"/>
        </w:rPr>
        <w:t>未达到规定质量目标的；</w:t>
      </w:r>
    </w:p>
    <w:p>
      <w:pPr>
        <w:pStyle w:val="21"/>
        <w:numPr>
          <w:ilvl w:val="0"/>
          <w:numId w:val="37"/>
        </w:numPr>
        <w:tabs>
          <w:tab w:val="left" w:pos="1465"/>
        </w:tabs>
        <w:spacing w:before="84"/>
        <w:rPr>
          <w:sz w:val="24"/>
        </w:rPr>
      </w:pPr>
      <w:r>
        <w:rPr>
          <w:rFonts w:hint="eastAsia"/>
          <w:sz w:val="24"/>
        </w:rPr>
        <w:t>出现三级一般质量事故以上的；</w:t>
      </w:r>
    </w:p>
    <w:p>
      <w:pPr>
        <w:pStyle w:val="21"/>
        <w:numPr>
          <w:ilvl w:val="0"/>
          <w:numId w:val="37"/>
        </w:numPr>
        <w:tabs>
          <w:tab w:val="left" w:pos="1465"/>
        </w:tabs>
        <w:spacing w:before="83"/>
        <w:rPr>
          <w:sz w:val="24"/>
        </w:rPr>
      </w:pPr>
      <w:r>
        <w:rPr>
          <w:rFonts w:hint="eastAsia"/>
          <w:sz w:val="24"/>
        </w:rPr>
        <w:t>发生野蛮施工，造成环保事件或损坏原有建筑物的；</w:t>
      </w:r>
    </w:p>
    <w:p>
      <w:pPr>
        <w:pStyle w:val="21"/>
        <w:numPr>
          <w:ilvl w:val="0"/>
          <w:numId w:val="37"/>
        </w:numPr>
        <w:tabs>
          <w:tab w:val="left" w:pos="1465"/>
        </w:tabs>
        <w:spacing w:before="84"/>
        <w:rPr>
          <w:sz w:val="24"/>
        </w:rPr>
      </w:pPr>
      <w:r>
        <w:rPr>
          <w:rFonts w:hint="eastAsia"/>
          <w:sz w:val="24"/>
        </w:rPr>
        <w:t>因通行便道维护不力，造成社会恶劣影响的；</w:t>
      </w:r>
    </w:p>
    <w:p>
      <w:pPr>
        <w:pStyle w:val="21"/>
        <w:numPr>
          <w:ilvl w:val="0"/>
          <w:numId w:val="37"/>
        </w:numPr>
        <w:tabs>
          <w:tab w:val="left" w:pos="1585"/>
        </w:tabs>
        <w:spacing w:before="86"/>
        <w:ind w:left="1585" w:hanging="721"/>
        <w:rPr>
          <w:sz w:val="24"/>
        </w:rPr>
      </w:pPr>
      <w:r>
        <w:rPr>
          <w:rFonts w:hint="eastAsia"/>
          <w:sz w:val="24"/>
        </w:rPr>
        <w:t>拖欠劳务工资、设备、材料款，造成恶劣影响的；</w:t>
      </w:r>
    </w:p>
    <w:p>
      <w:pPr>
        <w:pStyle w:val="21"/>
        <w:numPr>
          <w:ilvl w:val="0"/>
          <w:numId w:val="37"/>
        </w:numPr>
        <w:tabs>
          <w:tab w:val="left" w:pos="1585"/>
        </w:tabs>
        <w:spacing w:before="84"/>
        <w:ind w:left="1585" w:hanging="721"/>
        <w:rPr>
          <w:sz w:val="24"/>
        </w:rPr>
      </w:pPr>
      <w:r>
        <w:rPr>
          <w:rFonts w:hint="eastAsia"/>
          <w:sz w:val="24"/>
        </w:rPr>
        <w:t>违反分包、转包规定的；</w:t>
      </w:r>
    </w:p>
    <w:p>
      <w:pPr>
        <w:pStyle w:val="21"/>
        <w:numPr>
          <w:ilvl w:val="0"/>
          <w:numId w:val="37"/>
        </w:numPr>
        <w:tabs>
          <w:tab w:val="left" w:pos="1588"/>
        </w:tabs>
        <w:spacing w:before="84" w:line="307" w:lineRule="auto"/>
        <w:ind w:left="384" w:right="467" w:firstLine="480"/>
        <w:rPr>
          <w:sz w:val="24"/>
        </w:rPr>
      </w:pPr>
      <w:r>
        <w:rPr>
          <w:rFonts w:hint="eastAsia"/>
          <w:spacing w:val="-1"/>
          <w:sz w:val="24"/>
        </w:rPr>
        <w:t>承包人在缺陷责任期内，未能对工程接收证书所列的缺陷清单的内容或</w:t>
      </w:r>
      <w:r>
        <w:rPr>
          <w:rFonts w:hint="eastAsia"/>
          <w:sz w:val="24"/>
        </w:rPr>
        <w:t>缺陷责任期内发生的缺陷进行修复，而又拒绝按监理人指示再进行修补的；</w:t>
      </w:r>
    </w:p>
    <w:p>
      <w:pPr>
        <w:pStyle w:val="21"/>
        <w:numPr>
          <w:ilvl w:val="0"/>
          <w:numId w:val="37"/>
        </w:numPr>
        <w:tabs>
          <w:tab w:val="left" w:pos="1585"/>
        </w:tabs>
        <w:spacing w:line="305" w:lineRule="exact"/>
        <w:ind w:left="1585" w:hanging="721"/>
        <w:rPr>
          <w:sz w:val="24"/>
        </w:rPr>
      </w:pPr>
      <w:r>
        <w:rPr>
          <w:rFonts w:hint="eastAsia"/>
          <w:sz w:val="24"/>
        </w:rPr>
        <w:t>违反其他合同规定履约义务的。</w:t>
      </w:r>
    </w:p>
    <w:p>
      <w:pPr>
        <w:pStyle w:val="21"/>
        <w:numPr>
          <w:ilvl w:val="5"/>
          <w:numId w:val="5"/>
        </w:numPr>
        <w:tabs>
          <w:tab w:val="left" w:pos="1704"/>
        </w:tabs>
        <w:spacing w:before="83"/>
        <w:ind w:left="1704" w:hanging="840"/>
        <w:jc w:val="both"/>
        <w:rPr>
          <w:sz w:val="24"/>
        </w:rPr>
      </w:pPr>
      <w:r>
        <w:rPr>
          <w:rFonts w:hint="eastAsia"/>
          <w:sz w:val="24"/>
        </w:rPr>
        <w:t>承包人承担违约责任，赔偿因其违约给发包人造成的损失。</w:t>
      </w:r>
    </w:p>
    <w:p>
      <w:pPr>
        <w:pStyle w:val="21"/>
        <w:numPr>
          <w:ilvl w:val="5"/>
          <w:numId w:val="5"/>
        </w:numPr>
        <w:tabs>
          <w:tab w:val="left" w:pos="1707"/>
        </w:tabs>
        <w:spacing w:before="86" w:line="304" w:lineRule="auto"/>
        <w:ind w:right="465" w:firstLine="480"/>
        <w:jc w:val="both"/>
        <w:rPr>
          <w:sz w:val="24"/>
        </w:rPr>
      </w:pPr>
      <w:r>
        <w:rPr>
          <w:rFonts w:hint="eastAsia"/>
          <w:spacing w:val="-5"/>
          <w:sz w:val="24"/>
        </w:rPr>
        <w:t xml:space="preserve">监理人发出整改通知 </w:t>
      </w:r>
      <w:r>
        <w:rPr>
          <w:rFonts w:hint="eastAsia"/>
          <w:sz w:val="24"/>
        </w:rPr>
        <w:t>28</w:t>
      </w:r>
      <w:r>
        <w:rPr>
          <w:rFonts w:hint="eastAsia"/>
          <w:spacing w:val="11"/>
          <w:sz w:val="24"/>
        </w:rPr>
        <w:t xml:space="preserve"> </w:t>
      </w:r>
      <w:r>
        <w:rPr>
          <w:rFonts w:hint="eastAsia"/>
          <w:spacing w:val="-1"/>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w:t>
      </w:r>
      <w:r>
        <w:rPr>
          <w:rFonts w:hint="eastAsia"/>
          <w:sz w:val="24"/>
        </w:rPr>
        <w:t>约责任，也不影响发包人根据合同约定享有的索赔权利。</w:t>
      </w:r>
    </w:p>
    <w:p>
      <w:pPr>
        <w:pStyle w:val="21"/>
        <w:numPr>
          <w:ilvl w:val="4"/>
          <w:numId w:val="5"/>
        </w:numPr>
        <w:tabs>
          <w:tab w:val="left" w:pos="1529"/>
        </w:tabs>
        <w:spacing w:before="6" w:line="307" w:lineRule="auto"/>
        <w:ind w:left="384" w:right="465" w:firstLine="480"/>
        <w:jc w:val="both"/>
        <w:rPr>
          <w:sz w:val="24"/>
        </w:rPr>
      </w:pPr>
      <w:r>
        <w:rPr>
          <w:rFonts w:hint="eastAsia"/>
          <w:sz w:val="24"/>
        </w:rPr>
        <w:t>在履行合同过程中，一方当事人因第三人的原因造成违约的，应当向对</w:t>
      </w:r>
      <w:r>
        <w:rPr>
          <w:rFonts w:hint="eastAsia"/>
          <w:spacing w:val="-1"/>
          <w:sz w:val="24"/>
        </w:rPr>
        <w:t>方当事人承担违约责任。一方当事人和第三人之间的纠纷，依照法律规定或者按照</w:t>
      </w:r>
      <w:r>
        <w:rPr>
          <w:rFonts w:hint="eastAsia"/>
          <w:sz w:val="24"/>
        </w:rPr>
        <w:t>约定解决。</w:t>
      </w:r>
    </w:p>
    <w:p>
      <w:pPr>
        <w:pStyle w:val="21"/>
        <w:numPr>
          <w:ilvl w:val="4"/>
          <w:numId w:val="5"/>
        </w:numPr>
        <w:tabs>
          <w:tab w:val="left" w:pos="1524"/>
        </w:tabs>
        <w:spacing w:line="303" w:lineRule="exact"/>
        <w:ind w:left="1524" w:hanging="660"/>
        <w:jc w:val="both"/>
        <w:rPr>
          <w:sz w:val="24"/>
        </w:rPr>
      </w:pPr>
      <w:r>
        <w:rPr>
          <w:rFonts w:hint="eastAsia"/>
          <w:sz w:val="24"/>
        </w:rPr>
        <w:t>合同解除后的估价、付款和结清</w:t>
      </w:r>
    </w:p>
    <w:p>
      <w:pPr>
        <w:pStyle w:val="21"/>
        <w:numPr>
          <w:ilvl w:val="0"/>
          <w:numId w:val="38"/>
        </w:numPr>
        <w:tabs>
          <w:tab w:val="left" w:pos="1465"/>
        </w:tabs>
        <w:spacing w:before="86" w:line="304" w:lineRule="auto"/>
        <w:ind w:right="466" w:firstLine="480"/>
        <w:rPr>
          <w:sz w:val="24"/>
        </w:rPr>
      </w:pPr>
      <w:r>
        <w:rPr>
          <w:rFonts w:hint="eastAsia"/>
          <w:spacing w:val="-6"/>
          <w:sz w:val="24"/>
        </w:rPr>
        <w:t>合同解除后，监理人商定或确定承包人实际完成工作的价值，以及承包</w:t>
      </w:r>
      <w:r>
        <w:rPr>
          <w:rFonts w:hint="eastAsia"/>
          <w:spacing w:val="-5"/>
          <w:sz w:val="24"/>
        </w:rPr>
        <w:t>人已提供的材料、施工设备、工程设备和临时工程等的价值；</w:t>
      </w:r>
    </w:p>
    <w:p>
      <w:pPr>
        <w:pStyle w:val="21"/>
        <w:numPr>
          <w:ilvl w:val="0"/>
          <w:numId w:val="38"/>
        </w:numPr>
        <w:tabs>
          <w:tab w:val="left" w:pos="1465"/>
        </w:tabs>
        <w:spacing w:before="2" w:line="307" w:lineRule="auto"/>
        <w:ind w:right="466" w:firstLine="480"/>
        <w:rPr>
          <w:sz w:val="24"/>
        </w:rPr>
      </w:pPr>
      <w:r>
        <w:rPr>
          <w:rFonts w:hint="eastAsia"/>
          <w:spacing w:val="-7"/>
          <w:sz w:val="24"/>
        </w:rPr>
        <w:t>合同解除后，发包人应暂停对承包人的一切付款，查清各项付款和已扣</w:t>
      </w:r>
      <w:r>
        <w:rPr>
          <w:rFonts w:hint="eastAsia"/>
          <w:spacing w:val="-5"/>
          <w:sz w:val="24"/>
        </w:rPr>
        <w:t>款金额，包括承包人应支付的违约金；</w:t>
      </w:r>
    </w:p>
    <w:p>
      <w:pPr>
        <w:pStyle w:val="21"/>
        <w:numPr>
          <w:ilvl w:val="0"/>
          <w:numId w:val="38"/>
        </w:numPr>
        <w:tabs>
          <w:tab w:val="left" w:pos="1465"/>
        </w:tabs>
        <w:spacing w:line="304" w:lineRule="auto"/>
        <w:ind w:right="466" w:firstLine="480"/>
        <w:rPr>
          <w:sz w:val="24"/>
        </w:rPr>
      </w:pPr>
      <w:r>
        <w:rPr>
          <w:rFonts w:hint="eastAsia"/>
          <w:spacing w:val="-6"/>
          <w:sz w:val="24"/>
        </w:rPr>
        <w:t>合同解除后，发包人应约定向承包人索赔由于解除合同给发包人造成的</w:t>
      </w:r>
      <w:r>
        <w:rPr>
          <w:rFonts w:hint="eastAsia"/>
          <w:spacing w:val="-7"/>
          <w:sz w:val="24"/>
        </w:rPr>
        <w:t>损失；</w:t>
      </w:r>
    </w:p>
    <w:p>
      <w:pPr>
        <w:spacing w:line="304" w:lineRule="auto"/>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38"/>
        </w:numPr>
        <w:tabs>
          <w:tab w:val="left" w:pos="1465"/>
        </w:tabs>
        <w:spacing w:before="74" w:line="304" w:lineRule="auto"/>
        <w:ind w:right="466" w:firstLine="480"/>
        <w:rPr>
          <w:sz w:val="24"/>
        </w:rPr>
      </w:pPr>
      <w:r>
        <w:rPr>
          <w:rFonts w:hint="eastAsia"/>
          <w:spacing w:val="-4"/>
          <w:sz w:val="24"/>
        </w:rPr>
        <w:t>合同双方确认上述往来款项后，出具最终结清付款证书，结清全部合同</w:t>
      </w:r>
      <w:r>
        <w:rPr>
          <w:rFonts w:hint="eastAsia"/>
          <w:spacing w:val="-7"/>
          <w:sz w:val="24"/>
        </w:rPr>
        <w:t>款项；</w:t>
      </w:r>
    </w:p>
    <w:p>
      <w:pPr>
        <w:pStyle w:val="21"/>
        <w:numPr>
          <w:ilvl w:val="0"/>
          <w:numId w:val="38"/>
        </w:numPr>
        <w:tabs>
          <w:tab w:val="left" w:pos="1470"/>
        </w:tabs>
        <w:spacing w:before="4"/>
        <w:ind w:left="1469" w:hanging="606"/>
        <w:rPr>
          <w:sz w:val="24"/>
        </w:rPr>
      </w:pPr>
      <w:r>
        <w:rPr>
          <w:rFonts w:hint="eastAsia"/>
          <w:spacing w:val="-12"/>
          <w:sz w:val="24"/>
        </w:rPr>
        <w:t>发包人和承包人未能就解除合同后的结清达成一致而形成争议的，按约定办</w:t>
      </w:r>
    </w:p>
    <w:p>
      <w:pPr>
        <w:pStyle w:val="11"/>
        <w:spacing w:before="83"/>
        <w:ind w:left="384"/>
      </w:pPr>
      <w:r>
        <w:rPr>
          <w:rFonts w:hint="eastAsia"/>
        </w:rPr>
        <w:t>理。</w:t>
      </w:r>
    </w:p>
    <w:p>
      <w:pPr>
        <w:pStyle w:val="11"/>
        <w:rPr>
          <w:sz w:val="20"/>
        </w:rPr>
      </w:pPr>
    </w:p>
    <w:p>
      <w:pPr>
        <w:pStyle w:val="21"/>
        <w:numPr>
          <w:ilvl w:val="3"/>
          <w:numId w:val="5"/>
        </w:numPr>
        <w:tabs>
          <w:tab w:val="left" w:pos="1125"/>
        </w:tabs>
        <w:spacing w:before="1"/>
        <w:ind w:left="1124" w:hanging="302"/>
        <w:jc w:val="left"/>
        <w:rPr>
          <w:sz w:val="24"/>
        </w:rPr>
      </w:pPr>
      <w:r>
        <w:rPr>
          <w:rFonts w:hint="eastAsia"/>
          <w:sz w:val="24"/>
        </w:rPr>
        <w:t>索赔</w:t>
      </w:r>
    </w:p>
    <w:p>
      <w:pPr>
        <w:pStyle w:val="11"/>
        <w:spacing w:before="7"/>
        <w:rPr>
          <w:sz w:val="20"/>
        </w:rPr>
      </w:pPr>
    </w:p>
    <w:p>
      <w:pPr>
        <w:pStyle w:val="21"/>
        <w:numPr>
          <w:ilvl w:val="4"/>
          <w:numId w:val="5"/>
        </w:numPr>
        <w:tabs>
          <w:tab w:val="left" w:pos="1529"/>
        </w:tabs>
        <w:spacing w:line="304" w:lineRule="auto"/>
        <w:ind w:left="384" w:right="467" w:firstLine="480"/>
        <w:jc w:val="both"/>
        <w:rPr>
          <w:sz w:val="24"/>
        </w:rPr>
      </w:pPr>
      <w:r>
        <w:rPr>
          <w:rFonts w:hint="eastAsia"/>
          <w:sz w:val="24"/>
        </w:rPr>
        <w:t>当一方向另一方提出索赔时，要有正当索赔理由，并向监理人提交索赔事件发生时的有效证据。</w:t>
      </w:r>
    </w:p>
    <w:p>
      <w:pPr>
        <w:pStyle w:val="21"/>
        <w:numPr>
          <w:ilvl w:val="4"/>
          <w:numId w:val="5"/>
        </w:numPr>
        <w:tabs>
          <w:tab w:val="left" w:pos="1529"/>
        </w:tabs>
        <w:spacing w:before="1" w:line="307" w:lineRule="auto"/>
        <w:ind w:left="384" w:right="467" w:firstLine="480"/>
        <w:jc w:val="both"/>
        <w:rPr>
          <w:sz w:val="24"/>
        </w:rPr>
      </w:pPr>
      <w:r>
        <w:rPr>
          <w:rFonts w:hint="eastAsia"/>
          <w:sz w:val="24"/>
        </w:rPr>
        <w:t>发包人未能按合同约定履行自己的各项义务或发生错误，造成工期延误和承包人经济损失，承包人可按下列程序以书面形式申请索赔：</w:t>
      </w:r>
    </w:p>
    <w:p>
      <w:pPr>
        <w:pStyle w:val="21"/>
        <w:numPr>
          <w:ilvl w:val="0"/>
          <w:numId w:val="39"/>
        </w:numPr>
        <w:tabs>
          <w:tab w:val="left" w:pos="1468"/>
        </w:tabs>
        <w:spacing w:line="304" w:lineRule="auto"/>
        <w:ind w:right="467" w:firstLine="480"/>
        <w:jc w:val="both"/>
        <w:rPr>
          <w:sz w:val="24"/>
        </w:rPr>
      </w:pPr>
      <w:r>
        <w:rPr>
          <w:rFonts w:hint="eastAsia"/>
          <w:spacing w:val="-5"/>
          <w:sz w:val="24"/>
        </w:rPr>
        <w:t xml:space="preserve">索赔事件首次发生的 </w:t>
      </w:r>
      <w:r>
        <w:rPr>
          <w:rFonts w:hint="eastAsia"/>
          <w:sz w:val="24"/>
        </w:rPr>
        <w:t>21</w:t>
      </w:r>
      <w:r>
        <w:rPr>
          <w:rFonts w:hint="eastAsia"/>
          <w:spacing w:val="11"/>
          <w:sz w:val="24"/>
        </w:rPr>
        <w:t xml:space="preserve"> </w:t>
      </w:r>
      <w:r>
        <w:rPr>
          <w:rFonts w:hint="eastAsia"/>
          <w:spacing w:val="-1"/>
          <w:sz w:val="24"/>
        </w:rPr>
        <w:t>天之内，向监理人提出索赔意向书，并抄送发包</w:t>
      </w:r>
      <w:r>
        <w:rPr>
          <w:rFonts w:hint="eastAsia"/>
          <w:sz w:val="24"/>
        </w:rPr>
        <w:t>人；</w:t>
      </w:r>
    </w:p>
    <w:p>
      <w:pPr>
        <w:pStyle w:val="21"/>
        <w:numPr>
          <w:ilvl w:val="0"/>
          <w:numId w:val="39"/>
        </w:numPr>
        <w:tabs>
          <w:tab w:val="left" w:pos="1468"/>
        </w:tabs>
        <w:spacing w:before="2" w:line="304" w:lineRule="auto"/>
        <w:ind w:right="467" w:firstLine="480"/>
        <w:jc w:val="both"/>
        <w:rPr>
          <w:sz w:val="24"/>
        </w:rPr>
      </w:pPr>
      <w:r>
        <w:rPr>
          <w:rFonts w:hint="eastAsia"/>
          <w:spacing w:val="-5"/>
          <w:sz w:val="24"/>
        </w:rPr>
        <w:t xml:space="preserve">发出索赔意向通知后 </w:t>
      </w:r>
      <w:r>
        <w:rPr>
          <w:rFonts w:hint="eastAsia"/>
          <w:sz w:val="24"/>
        </w:rPr>
        <w:t>21</w:t>
      </w:r>
      <w:r>
        <w:rPr>
          <w:rFonts w:hint="eastAsia"/>
          <w:spacing w:val="11"/>
          <w:sz w:val="24"/>
        </w:rPr>
        <w:t xml:space="preserve"> </w:t>
      </w:r>
      <w:r>
        <w:rPr>
          <w:rFonts w:hint="eastAsia"/>
          <w:spacing w:val="-1"/>
          <w:sz w:val="24"/>
        </w:rPr>
        <w:t>天内或监理人同意的另一期限内，承包人应送交</w:t>
      </w:r>
      <w:r>
        <w:rPr>
          <w:rFonts w:hint="eastAsia"/>
          <w:sz w:val="24"/>
        </w:rPr>
        <w:t>监理人一份拟索赔款额的详细账目，并说明索赔所依据的理由；</w:t>
      </w:r>
    </w:p>
    <w:p>
      <w:pPr>
        <w:pStyle w:val="21"/>
        <w:numPr>
          <w:ilvl w:val="0"/>
          <w:numId w:val="39"/>
        </w:numPr>
        <w:tabs>
          <w:tab w:val="left" w:pos="1468"/>
        </w:tabs>
        <w:spacing w:before="1" w:line="307" w:lineRule="auto"/>
        <w:ind w:right="346" w:firstLine="480"/>
        <w:jc w:val="both"/>
        <w:rPr>
          <w:sz w:val="24"/>
        </w:rPr>
      </w:pPr>
      <w:r>
        <w:rPr>
          <w:rFonts w:hint="eastAsia"/>
          <w:spacing w:val="-5"/>
          <w:sz w:val="24"/>
        </w:rPr>
        <w:t xml:space="preserve">在索赔事件影响结束后的 </w:t>
      </w:r>
      <w:r>
        <w:rPr>
          <w:rFonts w:hint="eastAsia"/>
          <w:sz w:val="24"/>
        </w:rPr>
        <w:t>28</w:t>
      </w:r>
      <w:r>
        <w:rPr>
          <w:rFonts w:hint="eastAsia"/>
          <w:spacing w:val="6"/>
          <w:sz w:val="24"/>
        </w:rPr>
        <w:t xml:space="preserve"> </w:t>
      </w:r>
      <w:r>
        <w:rPr>
          <w:rFonts w:hint="eastAsia"/>
          <w:sz w:val="24"/>
        </w:rPr>
        <w:t>天内，承包人应向监理人递交最终索赔通知</w:t>
      </w:r>
      <w:r>
        <w:rPr>
          <w:rFonts w:hint="eastAsia"/>
          <w:spacing w:val="-10"/>
          <w:sz w:val="24"/>
        </w:rPr>
        <w:t>书，说明最终要求索赔的追加付款金额和延长的工期，并附必要的记录和证明材料；</w:t>
      </w:r>
    </w:p>
    <w:p>
      <w:pPr>
        <w:pStyle w:val="21"/>
        <w:numPr>
          <w:ilvl w:val="0"/>
          <w:numId w:val="39"/>
        </w:numPr>
        <w:tabs>
          <w:tab w:val="left" w:pos="1465"/>
        </w:tabs>
        <w:spacing w:line="304" w:lineRule="auto"/>
        <w:ind w:right="466" w:firstLine="480"/>
        <w:jc w:val="both"/>
        <w:rPr>
          <w:sz w:val="24"/>
        </w:rPr>
      </w:pPr>
      <w:r>
        <w:rPr>
          <w:rFonts w:hint="eastAsia"/>
          <w:spacing w:val="-2"/>
          <w:sz w:val="24"/>
        </w:rPr>
        <w:t>监理人应对承包人按规定提供的索赔证据和详细账目进行审查核实，查</w:t>
      </w:r>
      <w:r>
        <w:rPr>
          <w:rFonts w:hint="eastAsia"/>
          <w:spacing w:val="-5"/>
          <w:sz w:val="24"/>
        </w:rPr>
        <w:t xml:space="preserve">验承包人的记录和证明材料，必要时监理人可要求承包人提交全部原始记录副本； </w:t>
      </w:r>
      <w:r>
        <w:rPr>
          <w:rFonts w:hint="eastAsia"/>
          <w:spacing w:val="-4"/>
          <w:sz w:val="24"/>
        </w:rPr>
        <w:t>在与承包人协商并报发包人批准后，确定承包人有权得到的全部的索赔款额，并按规定列入中期支付证书或最后支付证书内予以支付。监理人将此决定通知承包人， 并抄送发包人。</w:t>
      </w:r>
    </w:p>
    <w:p>
      <w:pPr>
        <w:pStyle w:val="21"/>
        <w:numPr>
          <w:ilvl w:val="4"/>
          <w:numId w:val="5"/>
        </w:numPr>
        <w:tabs>
          <w:tab w:val="left" w:pos="1524"/>
        </w:tabs>
        <w:spacing w:before="6"/>
        <w:ind w:left="1524" w:hanging="660"/>
        <w:jc w:val="both"/>
        <w:rPr>
          <w:sz w:val="24"/>
        </w:rPr>
      </w:pPr>
      <w:r>
        <w:rPr>
          <w:rFonts w:hint="eastAsia"/>
          <w:sz w:val="24"/>
        </w:rPr>
        <w:t>承包人提出索赔的期限</w:t>
      </w:r>
    </w:p>
    <w:p>
      <w:pPr>
        <w:pStyle w:val="21"/>
        <w:numPr>
          <w:ilvl w:val="0"/>
          <w:numId w:val="40"/>
        </w:numPr>
        <w:tabs>
          <w:tab w:val="left" w:pos="1465"/>
        </w:tabs>
        <w:spacing w:before="84" w:line="304" w:lineRule="auto"/>
        <w:ind w:right="466" w:firstLine="480"/>
        <w:rPr>
          <w:sz w:val="24"/>
        </w:rPr>
      </w:pPr>
      <w:r>
        <w:rPr>
          <w:rFonts w:hint="eastAsia"/>
          <w:spacing w:val="-3"/>
          <w:sz w:val="24"/>
        </w:rPr>
        <w:t>承包人按约定接受了竣工付款证书后，应被认为已无权再提出在合同工</w:t>
      </w:r>
      <w:r>
        <w:rPr>
          <w:rFonts w:hint="eastAsia"/>
          <w:spacing w:val="-5"/>
          <w:sz w:val="24"/>
        </w:rPr>
        <w:t>程接收证书颁发前所发生的任何索赔；</w:t>
      </w:r>
    </w:p>
    <w:p>
      <w:pPr>
        <w:pStyle w:val="21"/>
        <w:numPr>
          <w:ilvl w:val="0"/>
          <w:numId w:val="40"/>
        </w:numPr>
        <w:tabs>
          <w:tab w:val="left" w:pos="1465"/>
        </w:tabs>
        <w:spacing w:before="3" w:line="304" w:lineRule="auto"/>
        <w:ind w:right="466" w:firstLine="480"/>
        <w:rPr>
          <w:sz w:val="24"/>
        </w:rPr>
      </w:pPr>
      <w:r>
        <w:rPr>
          <w:rFonts w:hint="eastAsia"/>
          <w:spacing w:val="-3"/>
          <w:sz w:val="24"/>
        </w:rPr>
        <w:t>承包人按约定提交的最终结清申请单中，只限于提出工程接收证书颁发</w:t>
      </w:r>
      <w:r>
        <w:rPr>
          <w:rFonts w:hint="eastAsia"/>
          <w:spacing w:val="-5"/>
          <w:sz w:val="24"/>
        </w:rPr>
        <w:t>后发生的索赔。提出索赔的期限自接受最终结清证书时终止。</w:t>
      </w:r>
    </w:p>
    <w:p>
      <w:pPr>
        <w:pStyle w:val="21"/>
        <w:numPr>
          <w:ilvl w:val="4"/>
          <w:numId w:val="5"/>
        </w:numPr>
        <w:tabs>
          <w:tab w:val="left" w:pos="1523"/>
          <w:tab w:val="left" w:pos="1524"/>
        </w:tabs>
        <w:spacing w:before="2"/>
        <w:ind w:left="1524" w:hanging="660"/>
        <w:rPr>
          <w:sz w:val="24"/>
        </w:rPr>
      </w:pPr>
      <w:r>
        <w:rPr>
          <w:rFonts w:hint="eastAsia"/>
          <w:sz w:val="24"/>
        </w:rPr>
        <w:t>发包人的索赔</w:t>
      </w:r>
    </w:p>
    <w:p>
      <w:pPr>
        <w:pStyle w:val="21"/>
        <w:numPr>
          <w:ilvl w:val="0"/>
          <w:numId w:val="41"/>
        </w:numPr>
        <w:tabs>
          <w:tab w:val="left" w:pos="1465"/>
        </w:tabs>
        <w:spacing w:before="86" w:line="304" w:lineRule="auto"/>
        <w:ind w:right="466" w:firstLine="480"/>
        <w:jc w:val="both"/>
        <w:rPr>
          <w:sz w:val="24"/>
        </w:rPr>
      </w:pPr>
      <w:r>
        <w:rPr>
          <w:rFonts w:hint="eastAsia"/>
          <w:spacing w:val="-6"/>
          <w:sz w:val="24"/>
        </w:rPr>
        <w:t>发生索赔事件后，监理人应及时书面通知承包人，详细说明发包人有权</w:t>
      </w:r>
      <w:r>
        <w:rPr>
          <w:rFonts w:hint="eastAsia"/>
          <w:spacing w:val="-3"/>
          <w:sz w:val="24"/>
        </w:rPr>
        <w:t>得到的索赔金额和</w:t>
      </w:r>
      <w:r>
        <w:rPr>
          <w:rFonts w:hint="eastAsia"/>
          <w:spacing w:val="4"/>
          <w:sz w:val="24"/>
        </w:rPr>
        <w:t>(</w:t>
      </w:r>
      <w:r>
        <w:rPr>
          <w:rFonts w:hint="eastAsia"/>
          <w:sz w:val="24"/>
        </w:rPr>
        <w:t>或</w:t>
      </w:r>
      <w:r>
        <w:rPr>
          <w:rFonts w:hint="eastAsia"/>
          <w:spacing w:val="4"/>
          <w:sz w:val="24"/>
        </w:rPr>
        <w:t>)</w:t>
      </w:r>
      <w:r>
        <w:rPr>
          <w:rFonts w:hint="eastAsia"/>
          <w:sz w:val="24"/>
        </w:rPr>
        <w:t>延长缺陷责任期的细节和依据。发包人提出索赔的期限和要求与承包人提出索赔期限和要求约定相同，延长缺陷责任期的通知应在缺陷责任期</w:t>
      </w:r>
      <w:r>
        <w:rPr>
          <w:rFonts w:hint="eastAsia"/>
          <w:spacing w:val="-4"/>
          <w:sz w:val="24"/>
        </w:rPr>
        <w:t>届满前发出；</w:t>
      </w:r>
    </w:p>
    <w:p>
      <w:pPr>
        <w:pStyle w:val="21"/>
        <w:numPr>
          <w:ilvl w:val="0"/>
          <w:numId w:val="41"/>
        </w:numPr>
        <w:tabs>
          <w:tab w:val="left" w:pos="1465"/>
        </w:tabs>
        <w:spacing w:before="5" w:line="307" w:lineRule="auto"/>
        <w:ind w:right="466" w:firstLine="480"/>
        <w:jc w:val="both"/>
        <w:rPr>
          <w:sz w:val="24"/>
        </w:rPr>
      </w:pPr>
      <w:r>
        <w:rPr>
          <w:rFonts w:hint="eastAsia"/>
          <w:spacing w:val="-1"/>
          <w:sz w:val="24"/>
        </w:rPr>
        <w:t>监理人按商定或确定发包人从承包人处得到赔付的金额和</w:t>
      </w:r>
      <w:r>
        <w:rPr>
          <w:rFonts w:hint="eastAsia"/>
          <w:sz w:val="24"/>
        </w:rPr>
        <w:t>(或)</w:t>
      </w:r>
      <w:r>
        <w:rPr>
          <w:rFonts w:hint="eastAsia"/>
          <w:spacing w:val="-4"/>
          <w:sz w:val="24"/>
        </w:rPr>
        <w:t>缺陷责任期</w:t>
      </w:r>
      <w:r>
        <w:rPr>
          <w:rFonts w:hint="eastAsia"/>
          <w:spacing w:val="-1"/>
          <w:sz w:val="24"/>
        </w:rPr>
        <w:t>的延长期。承包人应付给发包人的金额可从拟支付给承包人的合同价款中扣除，或</w:t>
      </w:r>
      <w:r>
        <w:rPr>
          <w:rFonts w:hint="eastAsia"/>
          <w:sz w:val="24"/>
        </w:rPr>
        <w:t>由承包人以其他方式支付给发包人。</w:t>
      </w:r>
    </w:p>
    <w:p>
      <w:pPr>
        <w:spacing w:line="307" w:lineRule="auto"/>
        <w:jc w:val="both"/>
        <w:rPr>
          <w:sz w:val="24"/>
        </w:rPr>
        <w:sectPr>
          <w:pgSz w:w="11910" w:h="16840"/>
          <w:pgMar w:top="1360" w:right="1120" w:bottom="1080" w:left="1260" w:header="882" w:footer="880" w:gutter="0"/>
          <w:cols w:space="720" w:num="1"/>
        </w:sectPr>
      </w:pPr>
    </w:p>
    <w:p>
      <w:pPr>
        <w:pStyle w:val="11"/>
        <w:spacing w:before="8"/>
        <w:rPr>
          <w:sz w:val="16"/>
        </w:rPr>
      </w:pPr>
    </w:p>
    <w:p>
      <w:pPr>
        <w:pStyle w:val="21"/>
        <w:numPr>
          <w:ilvl w:val="3"/>
          <w:numId w:val="5"/>
        </w:numPr>
        <w:tabs>
          <w:tab w:val="left" w:pos="1125"/>
        </w:tabs>
        <w:spacing w:before="77"/>
        <w:ind w:left="1124" w:right="7098" w:hanging="1125"/>
        <w:jc w:val="left"/>
        <w:rPr>
          <w:sz w:val="24"/>
        </w:rPr>
      </w:pPr>
      <w:r>
        <w:rPr>
          <w:rFonts w:hint="eastAsia"/>
          <w:sz w:val="24"/>
        </w:rPr>
        <w:t>争议</w:t>
      </w:r>
    </w:p>
    <w:p>
      <w:pPr>
        <w:pStyle w:val="11"/>
        <w:spacing w:before="4"/>
        <w:rPr>
          <w:sz w:val="20"/>
        </w:rPr>
      </w:pPr>
    </w:p>
    <w:p>
      <w:pPr>
        <w:pStyle w:val="21"/>
        <w:numPr>
          <w:ilvl w:val="4"/>
          <w:numId w:val="5"/>
        </w:numPr>
        <w:tabs>
          <w:tab w:val="left" w:pos="1529"/>
        </w:tabs>
        <w:spacing w:before="1" w:line="307" w:lineRule="auto"/>
        <w:ind w:left="384" w:right="465" w:firstLine="480"/>
        <w:jc w:val="both"/>
        <w:rPr>
          <w:sz w:val="24"/>
        </w:rPr>
      </w:pPr>
      <w:r>
        <w:rPr>
          <w:rFonts w:hint="eastAsia"/>
          <w:sz w:val="24"/>
        </w:rPr>
        <w:t>无论在施工过程中或在工程竣工之后，无论在本合同的失效或终止之前</w:t>
      </w:r>
      <w:r>
        <w:rPr>
          <w:rFonts w:hint="eastAsia"/>
          <w:spacing w:val="-1"/>
          <w:sz w:val="24"/>
        </w:rPr>
        <w:t>或之后，如果发包人和承包人之间就本合同文件的条款、规定、规范、图纸、质量与进度要求，支付与扣除，延期与索赔发生任何法律上、经济上或技术上的纠纷， 包括对监理人作出指示、指令、决定、评定、认证和价格发生的纠纷，纠纷中的问题，首先应根据本条款规定书面提交给监理人解决，并抄送另一方。监理人在收到</w:t>
      </w:r>
      <w:r>
        <w:rPr>
          <w:rFonts w:hint="eastAsia"/>
          <w:spacing w:val="-9"/>
          <w:sz w:val="24"/>
        </w:rPr>
        <w:t xml:space="preserve">此提交文件后 </w:t>
      </w:r>
      <w:r>
        <w:rPr>
          <w:rFonts w:hint="eastAsia"/>
          <w:sz w:val="24"/>
        </w:rPr>
        <w:t>42 天之内应将自己的裁定通知发包人和承包人。</w:t>
      </w:r>
    </w:p>
    <w:p>
      <w:pPr>
        <w:pStyle w:val="21"/>
        <w:numPr>
          <w:ilvl w:val="4"/>
          <w:numId w:val="5"/>
        </w:numPr>
        <w:tabs>
          <w:tab w:val="left" w:pos="1529"/>
        </w:tabs>
        <w:spacing w:line="307" w:lineRule="auto"/>
        <w:ind w:left="384" w:right="382" w:firstLine="480"/>
        <w:jc w:val="both"/>
        <w:rPr>
          <w:sz w:val="24"/>
        </w:rPr>
      </w:pPr>
      <w:r>
        <w:rPr>
          <w:rFonts w:hint="eastAsia"/>
          <w:sz w:val="24"/>
        </w:rPr>
        <w:t>如果发包人或承包人有一方对监理人的裁定有异议，或如果监理人在收</w:t>
      </w:r>
      <w:r>
        <w:rPr>
          <w:rFonts w:hint="eastAsia"/>
          <w:spacing w:val="-9"/>
          <w:sz w:val="24"/>
        </w:rPr>
        <w:t xml:space="preserve">到提交文件后 </w:t>
      </w:r>
      <w:r>
        <w:rPr>
          <w:rFonts w:hint="eastAsia"/>
          <w:sz w:val="24"/>
        </w:rPr>
        <w:t xml:space="preserve">42 </w:t>
      </w:r>
      <w:r>
        <w:rPr>
          <w:rFonts w:hint="eastAsia"/>
          <w:spacing w:val="-1"/>
          <w:sz w:val="24"/>
        </w:rPr>
        <w:t>天内，没有发出自己裁定通知，则双方可采取下列程序解决争议：</w:t>
      </w:r>
    </w:p>
    <w:p>
      <w:pPr>
        <w:pStyle w:val="21"/>
        <w:numPr>
          <w:ilvl w:val="0"/>
          <w:numId w:val="42"/>
        </w:numPr>
        <w:tabs>
          <w:tab w:val="left" w:pos="1465"/>
        </w:tabs>
        <w:spacing w:line="304" w:lineRule="auto"/>
        <w:ind w:right="466" w:firstLine="480"/>
        <w:rPr>
          <w:sz w:val="24"/>
        </w:rPr>
      </w:pPr>
      <w:r>
        <w:rPr>
          <w:rFonts w:hint="eastAsia"/>
          <w:sz w:val="24"/>
        </w:rPr>
        <w:t>双方就纠纷事项进行友好协商解决或通过双方上级主管部门进行调解或</w:t>
      </w:r>
      <w:r>
        <w:rPr>
          <w:rFonts w:hint="eastAsia"/>
          <w:spacing w:val="-5"/>
          <w:sz w:val="24"/>
        </w:rPr>
        <w:t>争议评审解决；</w:t>
      </w:r>
    </w:p>
    <w:p>
      <w:pPr>
        <w:pStyle w:val="21"/>
        <w:numPr>
          <w:ilvl w:val="0"/>
          <w:numId w:val="42"/>
        </w:numPr>
        <w:tabs>
          <w:tab w:val="left" w:pos="1465"/>
        </w:tabs>
        <w:spacing w:before="6" w:line="319" w:lineRule="auto"/>
        <w:ind w:right="382" w:firstLine="480"/>
        <w:rPr>
          <w:sz w:val="24"/>
        </w:rPr>
      </w:pPr>
      <w:r>
        <w:rPr>
          <w:rFonts w:hint="eastAsia"/>
          <w:spacing w:val="-1"/>
          <w:sz w:val="24"/>
        </w:rPr>
        <w:t xml:space="preserve">发包人和承包人接受评审意见的，由监理人根据评审意见拟定执行协议， </w:t>
      </w:r>
      <w:r>
        <w:rPr>
          <w:rFonts w:hint="eastAsia"/>
          <w:sz w:val="24"/>
        </w:rPr>
        <w:t>经争议双方签字后作为合同的补充文件，并遵照执行；</w:t>
      </w:r>
    </w:p>
    <w:p>
      <w:pPr>
        <w:pStyle w:val="21"/>
        <w:numPr>
          <w:ilvl w:val="0"/>
          <w:numId w:val="42"/>
        </w:numPr>
        <w:tabs>
          <w:tab w:val="left" w:pos="1465"/>
        </w:tabs>
        <w:spacing w:line="319" w:lineRule="auto"/>
        <w:ind w:right="466" w:firstLine="480"/>
        <w:jc w:val="both"/>
        <w:rPr>
          <w:sz w:val="24"/>
        </w:rPr>
      </w:pPr>
      <w:r>
        <w:rPr>
          <w:rFonts w:hint="eastAsia"/>
          <w:spacing w:val="-3"/>
          <w:sz w:val="24"/>
        </w:rPr>
        <w:t>发包人或承包人不接受评审意见，并要求提交仲裁或提起诉讼的，应在</w:t>
      </w:r>
      <w:r>
        <w:rPr>
          <w:rFonts w:hint="eastAsia"/>
          <w:spacing w:val="-12"/>
          <w:sz w:val="24"/>
        </w:rPr>
        <w:t xml:space="preserve">收到评审意见后的 </w:t>
      </w:r>
      <w:r>
        <w:rPr>
          <w:rFonts w:hint="eastAsia"/>
          <w:sz w:val="24"/>
        </w:rPr>
        <w:t xml:space="preserve">14 </w:t>
      </w:r>
      <w:r>
        <w:rPr>
          <w:rFonts w:hint="eastAsia"/>
          <w:spacing w:val="-5"/>
          <w:sz w:val="24"/>
        </w:rPr>
        <w:t>天内将仲裁或起诉意向书面通知另一方，并抄送监理人，但在仲裁或诉讼结束前应暂按监理人的确定执行。</w:t>
      </w:r>
    </w:p>
    <w:p>
      <w:pPr>
        <w:pStyle w:val="21"/>
        <w:numPr>
          <w:ilvl w:val="4"/>
          <w:numId w:val="5"/>
        </w:numPr>
        <w:tabs>
          <w:tab w:val="left" w:pos="1529"/>
        </w:tabs>
        <w:spacing w:before="4" w:line="319" w:lineRule="auto"/>
        <w:ind w:left="384" w:right="465" w:firstLine="480"/>
        <w:jc w:val="both"/>
        <w:rPr>
          <w:sz w:val="24"/>
        </w:rPr>
      </w:pPr>
      <w:r>
        <w:rPr>
          <w:rFonts w:hint="eastAsia"/>
          <w:sz w:val="24"/>
        </w:rPr>
        <w:t>除非本合同已被终止，承包人无论在什么情况下都应尽一切努力继续完</w:t>
      </w:r>
      <w:r>
        <w:rPr>
          <w:rFonts w:hint="eastAsia"/>
          <w:spacing w:val="-1"/>
          <w:sz w:val="24"/>
        </w:rPr>
        <w:t>成本工程，承包人和发包人应使监理人的裁定付诸实施，除非监理人对裁定作出新</w:t>
      </w:r>
      <w:r>
        <w:rPr>
          <w:rFonts w:hint="eastAsia"/>
          <w:sz w:val="24"/>
        </w:rPr>
        <w:t>的更改。</w:t>
      </w:r>
    </w:p>
    <w:p>
      <w:pPr>
        <w:pStyle w:val="11"/>
        <w:spacing w:before="182"/>
        <w:ind w:left="372" w:right="7530"/>
        <w:jc w:val="center"/>
      </w:pPr>
      <w:r>
        <w:rPr>
          <w:rFonts w:hint="eastAsia"/>
        </w:rPr>
        <w:t>十一、其他</w:t>
      </w:r>
    </w:p>
    <w:p>
      <w:pPr>
        <w:pStyle w:val="11"/>
        <w:spacing w:before="1"/>
        <w:rPr>
          <w:sz w:val="22"/>
        </w:rPr>
      </w:pPr>
    </w:p>
    <w:p>
      <w:pPr>
        <w:pStyle w:val="21"/>
        <w:numPr>
          <w:ilvl w:val="3"/>
          <w:numId w:val="5"/>
        </w:numPr>
        <w:tabs>
          <w:tab w:val="left" w:pos="1125"/>
        </w:tabs>
        <w:ind w:left="1124" w:hanging="302"/>
        <w:jc w:val="left"/>
        <w:rPr>
          <w:sz w:val="24"/>
        </w:rPr>
      </w:pPr>
      <w:r>
        <w:rPr>
          <w:rFonts w:hint="eastAsia"/>
          <w:sz w:val="24"/>
        </w:rPr>
        <w:t>转让与分包</w:t>
      </w:r>
    </w:p>
    <w:p>
      <w:pPr>
        <w:pStyle w:val="11"/>
        <w:spacing w:before="4"/>
        <w:rPr>
          <w:sz w:val="22"/>
        </w:rPr>
      </w:pPr>
    </w:p>
    <w:p>
      <w:pPr>
        <w:pStyle w:val="21"/>
        <w:numPr>
          <w:ilvl w:val="4"/>
          <w:numId w:val="5"/>
        </w:numPr>
        <w:tabs>
          <w:tab w:val="left" w:pos="1523"/>
          <w:tab w:val="left" w:pos="1524"/>
        </w:tabs>
        <w:spacing w:line="312" w:lineRule="auto"/>
        <w:ind w:left="384" w:right="562" w:firstLine="480"/>
        <w:rPr>
          <w:sz w:val="24"/>
        </w:rPr>
      </w:pPr>
      <w:r>
        <w:rPr>
          <w:rFonts w:hint="eastAsia"/>
          <w:spacing w:val="-1"/>
          <w:sz w:val="24"/>
        </w:rPr>
        <w:t>除合同另有约定外，未经对方当事人同意，一方当事人不得将合同权利</w:t>
      </w:r>
      <w:r>
        <w:rPr>
          <w:rFonts w:hint="eastAsia"/>
          <w:sz w:val="24"/>
        </w:rPr>
        <w:t>全部或部分转让给第三人，也不得全部或部分转移合同义务。</w:t>
      </w:r>
    </w:p>
    <w:p>
      <w:pPr>
        <w:pStyle w:val="21"/>
        <w:numPr>
          <w:ilvl w:val="4"/>
          <w:numId w:val="5"/>
        </w:numPr>
        <w:tabs>
          <w:tab w:val="left" w:pos="1523"/>
          <w:tab w:val="left" w:pos="1524"/>
        </w:tabs>
        <w:spacing w:line="312" w:lineRule="auto"/>
        <w:ind w:left="384" w:right="346" w:firstLine="480"/>
        <w:rPr>
          <w:sz w:val="24"/>
        </w:rPr>
      </w:pPr>
      <w:r>
        <w:rPr>
          <w:rFonts w:hint="eastAsia"/>
          <w:sz w:val="24"/>
        </w:rPr>
        <w:t>承包人不得将其承包的全部工程转包给第三人，或将其承包的全部工程</w:t>
      </w:r>
      <w:r>
        <w:rPr>
          <w:rFonts w:hint="eastAsia"/>
          <w:spacing w:val="-6"/>
          <w:sz w:val="24"/>
        </w:rPr>
        <w:t>肢解后以分包的名义转包给第三人。本工程严禁转包和违规分包，且不得再次分包。</w:t>
      </w:r>
    </w:p>
    <w:p>
      <w:pPr>
        <w:pStyle w:val="21"/>
        <w:numPr>
          <w:ilvl w:val="4"/>
          <w:numId w:val="5"/>
        </w:numPr>
        <w:tabs>
          <w:tab w:val="left" w:pos="1523"/>
          <w:tab w:val="left" w:pos="1524"/>
        </w:tabs>
        <w:spacing w:before="2" w:line="312" w:lineRule="auto"/>
        <w:ind w:left="384" w:right="562" w:firstLine="480"/>
        <w:rPr>
          <w:sz w:val="24"/>
        </w:rPr>
      </w:pPr>
      <w:r>
        <w:rPr>
          <w:rFonts w:hint="eastAsia"/>
          <w:spacing w:val="-1"/>
          <w:sz w:val="24"/>
        </w:rPr>
        <w:t xml:space="preserve">承包人不得将工程主体、关键性工作分包给第三人。未经发包人同意， </w:t>
      </w:r>
      <w:r>
        <w:rPr>
          <w:rFonts w:hint="eastAsia"/>
          <w:sz w:val="24"/>
        </w:rPr>
        <w:t>承包人不得将工程的其他部分或工作分包给第三人。</w:t>
      </w:r>
    </w:p>
    <w:p>
      <w:pPr>
        <w:pStyle w:val="21"/>
        <w:numPr>
          <w:ilvl w:val="4"/>
          <w:numId w:val="5"/>
        </w:numPr>
        <w:tabs>
          <w:tab w:val="left" w:pos="1523"/>
          <w:tab w:val="left" w:pos="1524"/>
        </w:tabs>
        <w:spacing w:line="307" w:lineRule="exact"/>
        <w:ind w:left="1524" w:hanging="660"/>
        <w:rPr>
          <w:sz w:val="24"/>
        </w:rPr>
      </w:pPr>
      <w:r>
        <w:rPr>
          <w:rFonts w:hint="eastAsia"/>
          <w:sz w:val="24"/>
        </w:rPr>
        <w:t>分包人的资格能力应与其分包工程的标准和规模相适应。</w:t>
      </w:r>
    </w:p>
    <w:p>
      <w:pPr>
        <w:pStyle w:val="21"/>
        <w:numPr>
          <w:ilvl w:val="4"/>
          <w:numId w:val="5"/>
        </w:numPr>
        <w:tabs>
          <w:tab w:val="left" w:pos="1523"/>
          <w:tab w:val="left" w:pos="1524"/>
        </w:tabs>
        <w:spacing w:before="93"/>
        <w:ind w:left="1524" w:hanging="660"/>
        <w:rPr>
          <w:sz w:val="24"/>
        </w:rPr>
      </w:pPr>
      <w:r>
        <w:rPr>
          <w:rFonts w:hint="eastAsia"/>
          <w:sz w:val="24"/>
        </w:rPr>
        <w:t>承包人应与分包人就分包工程向发包人承担连带责任。</w:t>
      </w:r>
    </w:p>
    <w:p>
      <w:pPr>
        <w:pStyle w:val="21"/>
        <w:numPr>
          <w:ilvl w:val="4"/>
          <w:numId w:val="5"/>
        </w:numPr>
        <w:tabs>
          <w:tab w:val="left" w:pos="1545"/>
          <w:tab w:val="left" w:pos="1546"/>
        </w:tabs>
        <w:spacing w:before="91" w:line="312" w:lineRule="auto"/>
        <w:ind w:left="384" w:right="465" w:firstLine="480"/>
        <w:rPr>
          <w:sz w:val="24"/>
        </w:rPr>
      </w:pPr>
      <w:r>
        <w:rPr>
          <w:rFonts w:hint="eastAsia"/>
          <w:spacing w:val="8"/>
          <w:sz w:val="24"/>
        </w:rPr>
        <w:t>发包人对承包人与分包人之间的法律与经济纠纷不承担任何责任和义务。</w:t>
      </w:r>
    </w:p>
    <w:p>
      <w:pPr>
        <w:pStyle w:val="21"/>
        <w:numPr>
          <w:ilvl w:val="4"/>
          <w:numId w:val="5"/>
        </w:numPr>
        <w:tabs>
          <w:tab w:val="left" w:pos="1523"/>
          <w:tab w:val="left" w:pos="1524"/>
        </w:tabs>
        <w:spacing w:before="2"/>
        <w:ind w:left="1524" w:hanging="660"/>
        <w:rPr>
          <w:sz w:val="24"/>
        </w:rPr>
      </w:pPr>
      <w:r>
        <w:rPr>
          <w:rFonts w:hint="eastAsia"/>
          <w:sz w:val="24"/>
        </w:rPr>
        <w:t>各项分包工作均应遵守《公路工程施工分包管理办法》的有关规定。</w:t>
      </w:r>
    </w:p>
    <w:p>
      <w:pPr>
        <w:rPr>
          <w:sz w:val="24"/>
        </w:rPr>
        <w:sectPr>
          <w:pgSz w:w="11910" w:h="16840"/>
          <w:pgMar w:top="1360" w:right="1120" w:bottom="1080" w:left="1260" w:header="882" w:footer="880" w:gutter="0"/>
          <w:cols w:space="720" w:num="1"/>
        </w:sectPr>
      </w:pPr>
    </w:p>
    <w:p>
      <w:pPr>
        <w:pStyle w:val="11"/>
        <w:spacing w:before="6"/>
        <w:rPr>
          <w:sz w:val="18"/>
        </w:rPr>
      </w:pPr>
    </w:p>
    <w:p>
      <w:pPr>
        <w:pStyle w:val="21"/>
        <w:numPr>
          <w:ilvl w:val="3"/>
          <w:numId w:val="5"/>
        </w:numPr>
        <w:tabs>
          <w:tab w:val="left" w:pos="1125"/>
        </w:tabs>
        <w:spacing w:before="75"/>
        <w:ind w:left="1124" w:hanging="302"/>
        <w:jc w:val="left"/>
        <w:rPr>
          <w:sz w:val="24"/>
        </w:rPr>
      </w:pPr>
      <w:r>
        <w:rPr>
          <w:rFonts w:hint="eastAsia"/>
          <w:sz w:val="24"/>
        </w:rPr>
        <w:t>保险</w:t>
      </w:r>
    </w:p>
    <w:p>
      <w:pPr>
        <w:pStyle w:val="11"/>
        <w:rPr>
          <w:sz w:val="22"/>
        </w:rPr>
      </w:pPr>
    </w:p>
    <w:p>
      <w:pPr>
        <w:pStyle w:val="21"/>
        <w:numPr>
          <w:ilvl w:val="4"/>
          <w:numId w:val="5"/>
        </w:numPr>
        <w:tabs>
          <w:tab w:val="left" w:pos="1528"/>
          <w:tab w:val="left" w:pos="1529"/>
        </w:tabs>
        <w:spacing w:before="1" w:line="319" w:lineRule="auto"/>
        <w:ind w:left="384" w:right="346" w:firstLine="480"/>
        <w:rPr>
          <w:sz w:val="24"/>
        </w:rPr>
      </w:pPr>
      <w:r>
        <w:rPr>
          <w:rFonts w:hint="eastAsia"/>
          <w:sz w:val="24"/>
        </w:rPr>
        <w:t>承包人应为承包工程投保建筑工程一切险、安装工程一切险等工程保险</w:t>
      </w:r>
      <w:r>
        <w:rPr>
          <w:rFonts w:hint="eastAsia"/>
          <w:spacing w:val="-10"/>
          <w:sz w:val="24"/>
        </w:rPr>
        <w:t>及第三者责任险，保险期限为开工日起直至本合同工程签发缺陷责任期终止证书止。</w:t>
      </w:r>
      <w:r>
        <w:rPr>
          <w:rFonts w:hint="eastAsia"/>
          <w:sz w:val="24"/>
        </w:rPr>
        <w:t>相关费用均包含在工程量清单的单价及总额价中，发包人不单独支付。</w:t>
      </w:r>
    </w:p>
    <w:p>
      <w:pPr>
        <w:pStyle w:val="21"/>
        <w:numPr>
          <w:ilvl w:val="4"/>
          <w:numId w:val="5"/>
        </w:numPr>
        <w:tabs>
          <w:tab w:val="left" w:pos="1529"/>
        </w:tabs>
        <w:spacing w:before="4" w:line="319" w:lineRule="auto"/>
        <w:ind w:left="384" w:right="465" w:firstLine="480"/>
        <w:jc w:val="both"/>
        <w:rPr>
          <w:sz w:val="24"/>
        </w:rPr>
      </w:pPr>
      <w:r>
        <w:rPr>
          <w:rFonts w:hint="eastAsia"/>
          <w:sz w:val="24"/>
        </w:rPr>
        <w:t>承包人应依照有关法律规定参加工伤保险，为其履行合同所雇用的全部</w:t>
      </w:r>
      <w:r>
        <w:rPr>
          <w:rFonts w:hint="eastAsia"/>
          <w:spacing w:val="-1"/>
          <w:sz w:val="24"/>
        </w:rPr>
        <w:t>人员缴纳工伤保险费，并要求其分包人也进行此项保险。保险的一切费用应由承包</w:t>
      </w:r>
      <w:r>
        <w:rPr>
          <w:rFonts w:hint="eastAsia"/>
          <w:sz w:val="24"/>
        </w:rPr>
        <w:t>人承担并支付。</w:t>
      </w:r>
    </w:p>
    <w:p>
      <w:pPr>
        <w:pStyle w:val="21"/>
        <w:numPr>
          <w:ilvl w:val="4"/>
          <w:numId w:val="5"/>
        </w:numPr>
        <w:tabs>
          <w:tab w:val="left" w:pos="1529"/>
        </w:tabs>
        <w:spacing w:before="2" w:line="319" w:lineRule="auto"/>
        <w:ind w:left="384" w:right="467" w:firstLine="480"/>
        <w:jc w:val="both"/>
        <w:rPr>
          <w:sz w:val="24"/>
        </w:rPr>
      </w:pPr>
      <w:r>
        <w:rPr>
          <w:rFonts w:hint="eastAsia"/>
          <w:sz w:val="24"/>
        </w:rPr>
        <w:t>承包人应在整个施工期间为其现场机构雇用的全部人员，投保人身意外</w:t>
      </w:r>
      <w:r>
        <w:rPr>
          <w:rFonts w:hint="eastAsia"/>
          <w:spacing w:val="-1"/>
          <w:sz w:val="24"/>
        </w:rPr>
        <w:t>伤害险，缴纳保险费，并要求其分包人也进行此项保险。保险的一切费用应由承包</w:t>
      </w:r>
      <w:r>
        <w:rPr>
          <w:rFonts w:hint="eastAsia"/>
          <w:sz w:val="24"/>
        </w:rPr>
        <w:t>人承担并支付。</w:t>
      </w:r>
    </w:p>
    <w:p>
      <w:pPr>
        <w:pStyle w:val="21"/>
        <w:numPr>
          <w:ilvl w:val="4"/>
          <w:numId w:val="5"/>
        </w:numPr>
        <w:tabs>
          <w:tab w:val="left" w:pos="1529"/>
        </w:tabs>
        <w:spacing w:before="4" w:line="319" w:lineRule="auto"/>
        <w:ind w:left="384" w:right="465" w:firstLine="480"/>
        <w:jc w:val="both"/>
        <w:rPr>
          <w:sz w:val="24"/>
        </w:rPr>
      </w:pPr>
      <w:r>
        <w:rPr>
          <w:rFonts w:hint="eastAsia"/>
          <w:sz w:val="24"/>
        </w:rPr>
        <w:t>承包人应为其施工设备等办理保险，其投保金额应足以现场重置。办理</w:t>
      </w:r>
      <w:r>
        <w:rPr>
          <w:rFonts w:hint="eastAsia"/>
          <w:spacing w:val="-1"/>
          <w:sz w:val="24"/>
        </w:rPr>
        <w:t>本款保险的一切费用均由承包人承担，并包括在工程量清单的单价及总额价中，发</w:t>
      </w:r>
      <w:r>
        <w:rPr>
          <w:rFonts w:hint="eastAsia"/>
          <w:sz w:val="24"/>
        </w:rPr>
        <w:t>包人不单独支付。</w:t>
      </w:r>
    </w:p>
    <w:p>
      <w:pPr>
        <w:pStyle w:val="21"/>
        <w:numPr>
          <w:ilvl w:val="4"/>
          <w:numId w:val="5"/>
        </w:numPr>
        <w:tabs>
          <w:tab w:val="left" w:pos="1529"/>
        </w:tabs>
        <w:spacing w:before="2" w:line="319" w:lineRule="auto"/>
        <w:ind w:left="384" w:right="467" w:firstLine="480"/>
        <w:jc w:val="both"/>
        <w:rPr>
          <w:sz w:val="24"/>
        </w:rPr>
      </w:pPr>
      <w:r>
        <w:rPr>
          <w:rFonts w:hint="eastAsia"/>
          <w:sz w:val="24"/>
        </w:rPr>
        <w:t>承包人应在办理有关保险后，尽快向发包人提供按合同要求所报各种保</w:t>
      </w:r>
      <w:r>
        <w:rPr>
          <w:rFonts w:hint="eastAsia"/>
          <w:spacing w:val="-5"/>
          <w:sz w:val="24"/>
        </w:rPr>
        <w:t xml:space="preserve">险的生效证明，并在开工后 </w:t>
      </w:r>
      <w:r>
        <w:rPr>
          <w:rFonts w:hint="eastAsia"/>
          <w:sz w:val="24"/>
        </w:rPr>
        <w:t>56 天内提交保险单，同时向监理人提交副本。</w:t>
      </w:r>
    </w:p>
    <w:p>
      <w:pPr>
        <w:pStyle w:val="21"/>
        <w:numPr>
          <w:ilvl w:val="4"/>
          <w:numId w:val="5"/>
        </w:numPr>
        <w:tabs>
          <w:tab w:val="left" w:pos="1524"/>
        </w:tabs>
        <w:spacing w:before="3"/>
        <w:ind w:left="1524" w:hanging="660"/>
        <w:jc w:val="both"/>
        <w:rPr>
          <w:sz w:val="24"/>
        </w:rPr>
      </w:pPr>
      <w:r>
        <w:rPr>
          <w:rFonts w:hint="eastAsia"/>
          <w:spacing w:val="-3"/>
          <w:sz w:val="24"/>
        </w:rPr>
        <w:t>保险事故发生时，承包人有责任尽力采取必要措施，防止或者减少损失。</w:t>
      </w:r>
    </w:p>
    <w:p>
      <w:pPr>
        <w:pStyle w:val="11"/>
        <w:spacing w:before="1"/>
        <w:rPr>
          <w:sz w:val="22"/>
        </w:rPr>
      </w:pPr>
    </w:p>
    <w:p>
      <w:pPr>
        <w:pStyle w:val="21"/>
        <w:numPr>
          <w:ilvl w:val="3"/>
          <w:numId w:val="5"/>
        </w:numPr>
        <w:tabs>
          <w:tab w:val="left" w:pos="1125"/>
        </w:tabs>
        <w:ind w:left="1124" w:hanging="302"/>
        <w:jc w:val="left"/>
        <w:rPr>
          <w:sz w:val="24"/>
        </w:rPr>
      </w:pPr>
      <w:r>
        <w:rPr>
          <w:rFonts w:hint="eastAsia"/>
          <w:sz w:val="24"/>
        </w:rPr>
        <w:t>不利物质条件</w:t>
      </w:r>
    </w:p>
    <w:p>
      <w:pPr>
        <w:pStyle w:val="11"/>
        <w:spacing w:before="11"/>
        <w:rPr>
          <w:sz w:val="21"/>
        </w:rPr>
      </w:pPr>
    </w:p>
    <w:p>
      <w:pPr>
        <w:pStyle w:val="21"/>
        <w:numPr>
          <w:ilvl w:val="4"/>
          <w:numId w:val="5"/>
        </w:numPr>
        <w:tabs>
          <w:tab w:val="left" w:pos="1523"/>
          <w:tab w:val="left" w:pos="1524"/>
        </w:tabs>
        <w:spacing w:line="319" w:lineRule="auto"/>
        <w:ind w:left="384" w:right="346" w:firstLine="480"/>
        <w:rPr>
          <w:sz w:val="24"/>
        </w:rPr>
      </w:pPr>
      <w:r>
        <w:rPr>
          <w:rFonts w:hint="eastAsia"/>
          <w:spacing w:val="-5"/>
          <w:sz w:val="24"/>
        </w:rPr>
        <w:t>不利物质条件，是指承包人在施工场地遇到的不可预见的自然物质条件、</w:t>
      </w:r>
      <w:r>
        <w:rPr>
          <w:rFonts w:hint="eastAsia"/>
          <w:sz w:val="24"/>
        </w:rPr>
        <w:t>非自然的物质障碍和污染物，包括地下和水文条件，但不包括气候条件。</w:t>
      </w:r>
    </w:p>
    <w:p>
      <w:pPr>
        <w:pStyle w:val="21"/>
        <w:numPr>
          <w:ilvl w:val="4"/>
          <w:numId w:val="5"/>
        </w:numPr>
        <w:tabs>
          <w:tab w:val="left" w:pos="1528"/>
          <w:tab w:val="left" w:pos="1529"/>
        </w:tabs>
        <w:spacing w:before="3" w:line="319" w:lineRule="auto"/>
        <w:ind w:left="384" w:right="346" w:firstLine="480"/>
        <w:rPr>
          <w:sz w:val="24"/>
        </w:rPr>
      </w:pPr>
      <w:r>
        <w:rPr>
          <w:rFonts w:hint="eastAsia"/>
          <w:sz w:val="24"/>
        </w:rPr>
        <w:t>承包人遇到不利物质条件时，应采取适应不利物质条件的合理措施继续施工，并及时通知监理人。监理人应当及时发出指示，指示构成变更的，按约定办</w:t>
      </w:r>
      <w:r>
        <w:rPr>
          <w:rFonts w:hint="eastAsia"/>
          <w:spacing w:val="-3"/>
          <w:sz w:val="24"/>
        </w:rPr>
        <w:t>理。监理人没有发出指示的，承包人因采取合理措施而增加的费用和</w:t>
      </w:r>
      <w:r>
        <w:rPr>
          <w:rFonts w:hint="eastAsia"/>
          <w:sz w:val="24"/>
        </w:rPr>
        <w:t>(或)</w:t>
      </w:r>
      <w:r>
        <w:rPr>
          <w:rFonts w:hint="eastAsia"/>
          <w:spacing w:val="-4"/>
          <w:sz w:val="24"/>
        </w:rPr>
        <w:t xml:space="preserve">工期延误， </w:t>
      </w:r>
      <w:r>
        <w:rPr>
          <w:rFonts w:hint="eastAsia"/>
          <w:sz w:val="24"/>
        </w:rPr>
        <w:t>由发包人承担。</w:t>
      </w:r>
    </w:p>
    <w:p>
      <w:pPr>
        <w:pStyle w:val="21"/>
        <w:numPr>
          <w:ilvl w:val="3"/>
          <w:numId w:val="5"/>
        </w:numPr>
        <w:tabs>
          <w:tab w:val="left" w:pos="1125"/>
        </w:tabs>
        <w:spacing w:before="162"/>
        <w:ind w:left="1124" w:hanging="302"/>
        <w:jc w:val="left"/>
        <w:rPr>
          <w:sz w:val="24"/>
        </w:rPr>
      </w:pPr>
      <w:r>
        <w:rPr>
          <w:rFonts w:hint="eastAsia"/>
          <w:sz w:val="24"/>
        </w:rPr>
        <w:t>不可抗力后果及其处理</w:t>
      </w:r>
    </w:p>
    <w:p>
      <w:pPr>
        <w:pStyle w:val="11"/>
        <w:spacing w:before="5"/>
        <w:rPr>
          <w:sz w:val="20"/>
        </w:rPr>
      </w:pPr>
    </w:p>
    <w:p>
      <w:pPr>
        <w:pStyle w:val="21"/>
        <w:numPr>
          <w:ilvl w:val="4"/>
          <w:numId w:val="5"/>
        </w:numPr>
        <w:tabs>
          <w:tab w:val="left" w:pos="1528"/>
          <w:tab w:val="left" w:pos="1529"/>
        </w:tabs>
        <w:spacing w:line="307" w:lineRule="auto"/>
        <w:ind w:left="384" w:right="467" w:firstLine="480"/>
        <w:rPr>
          <w:sz w:val="24"/>
        </w:rPr>
      </w:pPr>
      <w:r>
        <w:rPr>
          <w:rFonts w:hint="eastAsia"/>
          <w:sz w:val="24"/>
        </w:rPr>
        <w:t>不可抗力是指承包人和发包人在订立合同时不可预见，在工程施工过程中不可避免发生并不能克服的自然灾害和社会性突发事件。包括但不限于：</w:t>
      </w:r>
    </w:p>
    <w:p>
      <w:pPr>
        <w:pStyle w:val="21"/>
        <w:numPr>
          <w:ilvl w:val="0"/>
          <w:numId w:val="43"/>
        </w:numPr>
        <w:tabs>
          <w:tab w:val="left" w:pos="1465"/>
        </w:tabs>
        <w:spacing w:line="304" w:lineRule="auto"/>
        <w:ind w:right="462" w:firstLine="480"/>
        <w:rPr>
          <w:sz w:val="24"/>
        </w:rPr>
      </w:pPr>
      <w:r>
        <w:rPr>
          <w:rFonts w:hint="eastAsia"/>
          <w:sz w:val="24"/>
        </w:rPr>
        <w:t>地震、海啸、火山爆发、泥石流、暴雨(雪)</w:t>
      </w:r>
      <w:r>
        <w:rPr>
          <w:rFonts w:hint="eastAsia"/>
          <w:spacing w:val="-4"/>
          <w:sz w:val="24"/>
        </w:rPr>
        <w:t>、台风、龙卷风、水灾等自然</w:t>
      </w:r>
      <w:r>
        <w:rPr>
          <w:rFonts w:hint="eastAsia"/>
          <w:sz w:val="24"/>
        </w:rPr>
        <w:t>灾害；</w:t>
      </w:r>
    </w:p>
    <w:p>
      <w:pPr>
        <w:pStyle w:val="21"/>
        <w:numPr>
          <w:ilvl w:val="0"/>
          <w:numId w:val="43"/>
        </w:numPr>
        <w:tabs>
          <w:tab w:val="left" w:pos="1465"/>
        </w:tabs>
        <w:spacing w:before="1" w:line="304" w:lineRule="auto"/>
        <w:ind w:right="462" w:firstLine="480"/>
        <w:rPr>
          <w:sz w:val="24"/>
        </w:rPr>
      </w:pPr>
      <w:r>
        <w:rPr>
          <w:rFonts w:hint="eastAsia"/>
          <w:spacing w:val="-9"/>
          <w:sz w:val="24"/>
        </w:rPr>
        <w:t xml:space="preserve">战争、骚乱、暴动，但纯属承包人或其分包人派遣与雇用的人员由于本 </w:t>
      </w:r>
      <w:r>
        <w:rPr>
          <w:rFonts w:hint="eastAsia"/>
          <w:spacing w:val="-4"/>
          <w:sz w:val="24"/>
        </w:rPr>
        <w:t>合同工程施工原因引起者除外；</w:t>
      </w:r>
    </w:p>
    <w:p>
      <w:pPr>
        <w:pStyle w:val="21"/>
        <w:numPr>
          <w:ilvl w:val="0"/>
          <w:numId w:val="43"/>
        </w:numPr>
        <w:tabs>
          <w:tab w:val="left" w:pos="1465"/>
        </w:tabs>
        <w:spacing w:before="1"/>
        <w:ind w:left="1465"/>
        <w:rPr>
          <w:sz w:val="24"/>
        </w:rPr>
      </w:pPr>
      <w:r>
        <w:rPr>
          <w:rFonts w:hint="eastAsia"/>
          <w:sz w:val="24"/>
        </w:rPr>
        <w:t>核反应、辐射或放射性污染；</w:t>
      </w:r>
    </w:p>
    <w:p>
      <w:pPr>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43"/>
        </w:numPr>
        <w:tabs>
          <w:tab w:val="left" w:pos="1465"/>
        </w:tabs>
        <w:spacing w:before="74"/>
        <w:ind w:left="1465"/>
        <w:rPr>
          <w:sz w:val="24"/>
        </w:rPr>
      </w:pPr>
      <w:r>
        <w:rPr>
          <w:rFonts w:hint="eastAsia"/>
          <w:sz w:val="24"/>
        </w:rPr>
        <w:t>空中飞行物体坠落或非发包人或承包人责任造成的爆炸、火灾；</w:t>
      </w:r>
    </w:p>
    <w:p>
      <w:pPr>
        <w:pStyle w:val="21"/>
        <w:numPr>
          <w:ilvl w:val="0"/>
          <w:numId w:val="43"/>
        </w:numPr>
        <w:tabs>
          <w:tab w:val="left" w:pos="1465"/>
        </w:tabs>
        <w:spacing w:before="84"/>
        <w:ind w:left="1465"/>
        <w:rPr>
          <w:sz w:val="24"/>
        </w:rPr>
      </w:pPr>
      <w:r>
        <w:rPr>
          <w:rFonts w:hint="eastAsia"/>
          <w:sz w:val="24"/>
        </w:rPr>
        <w:t>瘟疫；</w:t>
      </w:r>
    </w:p>
    <w:p>
      <w:pPr>
        <w:pStyle w:val="21"/>
        <w:numPr>
          <w:ilvl w:val="0"/>
          <w:numId w:val="43"/>
        </w:numPr>
        <w:tabs>
          <w:tab w:val="left" w:pos="1465"/>
        </w:tabs>
        <w:spacing w:before="86"/>
        <w:ind w:left="1465"/>
        <w:rPr>
          <w:sz w:val="24"/>
        </w:rPr>
      </w:pPr>
      <w:r>
        <w:rPr>
          <w:rFonts w:hint="eastAsia"/>
          <w:sz w:val="24"/>
        </w:rPr>
        <w:t>合同条款约定的其他情形。</w:t>
      </w:r>
    </w:p>
    <w:p>
      <w:pPr>
        <w:pStyle w:val="21"/>
        <w:numPr>
          <w:ilvl w:val="4"/>
          <w:numId w:val="5"/>
        </w:numPr>
        <w:tabs>
          <w:tab w:val="left" w:pos="1523"/>
          <w:tab w:val="left" w:pos="1524"/>
        </w:tabs>
        <w:spacing w:before="83"/>
        <w:ind w:left="1524" w:hanging="660"/>
        <w:rPr>
          <w:sz w:val="24"/>
        </w:rPr>
      </w:pPr>
      <w:r>
        <w:rPr>
          <w:rFonts w:hint="eastAsia"/>
          <w:sz w:val="24"/>
        </w:rPr>
        <w:t>不可抗力造成损害的责任</w:t>
      </w:r>
    </w:p>
    <w:p>
      <w:pPr>
        <w:pStyle w:val="11"/>
        <w:spacing w:before="84" w:line="307" w:lineRule="auto"/>
        <w:ind w:left="384" w:right="465" w:firstLine="480"/>
      </w:pPr>
      <w:r>
        <w:rPr>
          <w:rFonts w:hint="eastAsia"/>
        </w:rPr>
        <w:t>不可抗力导致的人员伤亡、财产损失、费用增加和(或)工期延误等后果，由合同双方按以下原则承担：</w:t>
      </w:r>
    </w:p>
    <w:p>
      <w:pPr>
        <w:pStyle w:val="21"/>
        <w:numPr>
          <w:ilvl w:val="0"/>
          <w:numId w:val="44"/>
        </w:numPr>
        <w:tabs>
          <w:tab w:val="left" w:pos="1465"/>
        </w:tabs>
        <w:spacing w:line="304" w:lineRule="auto"/>
        <w:ind w:right="466" w:firstLine="480"/>
        <w:rPr>
          <w:sz w:val="24"/>
        </w:rPr>
      </w:pPr>
      <w:r>
        <w:rPr>
          <w:rFonts w:hint="eastAsia"/>
          <w:spacing w:val="-6"/>
          <w:sz w:val="24"/>
        </w:rPr>
        <w:t>永久工程，包括已运至施工场地的材料和工程设备的损害，以及因工程</w:t>
      </w:r>
      <w:r>
        <w:rPr>
          <w:rFonts w:hint="eastAsia"/>
          <w:spacing w:val="-5"/>
          <w:sz w:val="24"/>
        </w:rPr>
        <w:t>损害造成的第三者人员伤亡和财产损失由发包人承担；</w:t>
      </w:r>
    </w:p>
    <w:p>
      <w:pPr>
        <w:pStyle w:val="21"/>
        <w:numPr>
          <w:ilvl w:val="0"/>
          <w:numId w:val="44"/>
        </w:numPr>
        <w:tabs>
          <w:tab w:val="left" w:pos="1465"/>
        </w:tabs>
        <w:spacing w:before="2"/>
        <w:ind w:left="1465"/>
        <w:rPr>
          <w:sz w:val="24"/>
        </w:rPr>
      </w:pPr>
      <w:r>
        <w:rPr>
          <w:rFonts w:hint="eastAsia"/>
          <w:sz w:val="24"/>
        </w:rPr>
        <w:t>承包人设备的损坏由承包人承担；</w:t>
      </w:r>
    </w:p>
    <w:p>
      <w:pPr>
        <w:pStyle w:val="21"/>
        <w:numPr>
          <w:ilvl w:val="0"/>
          <w:numId w:val="44"/>
        </w:numPr>
        <w:tabs>
          <w:tab w:val="left" w:pos="1465"/>
        </w:tabs>
        <w:spacing w:before="83"/>
        <w:ind w:left="1465"/>
        <w:rPr>
          <w:sz w:val="24"/>
        </w:rPr>
      </w:pPr>
      <w:r>
        <w:rPr>
          <w:rFonts w:hint="eastAsia"/>
          <w:sz w:val="24"/>
        </w:rPr>
        <w:t>发包人和承包人各自承担其人员伤亡和其他财产损失及其相关费用；</w:t>
      </w:r>
    </w:p>
    <w:p>
      <w:pPr>
        <w:pStyle w:val="21"/>
        <w:numPr>
          <w:ilvl w:val="0"/>
          <w:numId w:val="44"/>
        </w:numPr>
        <w:tabs>
          <w:tab w:val="left" w:pos="1465"/>
        </w:tabs>
        <w:spacing w:before="84" w:line="307" w:lineRule="auto"/>
        <w:ind w:right="466" w:firstLine="480"/>
        <w:rPr>
          <w:sz w:val="24"/>
        </w:rPr>
      </w:pPr>
      <w:r>
        <w:rPr>
          <w:rFonts w:hint="eastAsia"/>
          <w:spacing w:val="-3"/>
          <w:sz w:val="24"/>
        </w:rPr>
        <w:t>承包人的停工损失由承包人承担，但停工期间应监理人要求照管工程和</w:t>
      </w:r>
      <w:r>
        <w:rPr>
          <w:rFonts w:hint="eastAsia"/>
          <w:spacing w:val="-5"/>
          <w:sz w:val="24"/>
        </w:rPr>
        <w:t>清理、修复工程的金额由发包人承担；</w:t>
      </w:r>
    </w:p>
    <w:p>
      <w:pPr>
        <w:pStyle w:val="21"/>
        <w:numPr>
          <w:ilvl w:val="0"/>
          <w:numId w:val="44"/>
        </w:numPr>
        <w:tabs>
          <w:tab w:val="left" w:pos="1465"/>
        </w:tabs>
        <w:spacing w:line="304" w:lineRule="auto"/>
        <w:ind w:right="466" w:firstLine="480"/>
        <w:rPr>
          <w:sz w:val="24"/>
        </w:rPr>
      </w:pPr>
      <w:r>
        <w:rPr>
          <w:rFonts w:hint="eastAsia"/>
          <w:spacing w:val="-7"/>
          <w:sz w:val="24"/>
        </w:rPr>
        <w:t>不能按期竣工的，应合理延长工期，承包人不需支付逾期竣工违约金。发</w:t>
      </w:r>
      <w:r>
        <w:rPr>
          <w:rFonts w:hint="eastAsia"/>
          <w:sz w:val="24"/>
        </w:rPr>
        <w:t>包人要求赶工的，承包人应采取赶工措施，赶工费用由发包人承担。</w:t>
      </w:r>
    </w:p>
    <w:p>
      <w:pPr>
        <w:pStyle w:val="21"/>
        <w:numPr>
          <w:ilvl w:val="4"/>
          <w:numId w:val="5"/>
        </w:numPr>
        <w:tabs>
          <w:tab w:val="left" w:pos="1523"/>
          <w:tab w:val="left" w:pos="1524"/>
        </w:tabs>
        <w:spacing w:before="1"/>
        <w:ind w:left="1524" w:hanging="660"/>
        <w:rPr>
          <w:sz w:val="24"/>
        </w:rPr>
      </w:pPr>
      <w:r>
        <w:rPr>
          <w:rFonts w:hint="eastAsia"/>
          <w:sz w:val="24"/>
        </w:rPr>
        <w:t>延迟履行期间发生的不可抗力</w:t>
      </w:r>
    </w:p>
    <w:p>
      <w:pPr>
        <w:pStyle w:val="11"/>
        <w:spacing w:before="84"/>
        <w:ind w:left="864"/>
      </w:pPr>
      <w:r>
        <w:rPr>
          <w:rFonts w:hint="eastAsia"/>
        </w:rPr>
        <w:t>合同一方当事人延迟履行，在延迟履行期间发生不可抗力的，不免除其责任。</w:t>
      </w:r>
    </w:p>
    <w:p>
      <w:pPr>
        <w:pStyle w:val="21"/>
        <w:numPr>
          <w:ilvl w:val="4"/>
          <w:numId w:val="5"/>
        </w:numPr>
        <w:tabs>
          <w:tab w:val="left" w:pos="1523"/>
          <w:tab w:val="left" w:pos="1524"/>
        </w:tabs>
        <w:spacing w:before="84"/>
        <w:ind w:left="1524" w:hanging="660"/>
        <w:rPr>
          <w:sz w:val="24"/>
        </w:rPr>
      </w:pPr>
      <w:r>
        <w:rPr>
          <w:rFonts w:hint="eastAsia"/>
          <w:sz w:val="24"/>
        </w:rPr>
        <w:t>避免和减少不可抗力损失</w:t>
      </w:r>
    </w:p>
    <w:p>
      <w:pPr>
        <w:pStyle w:val="11"/>
        <w:spacing w:before="86" w:line="304" w:lineRule="auto"/>
        <w:ind w:left="384" w:right="465" w:firstLine="480"/>
      </w:pPr>
      <w:r>
        <w:rPr>
          <w:rFonts w:hint="eastAsia"/>
        </w:rPr>
        <w:t>不可抗力发生后，发包人和承包人均应采取措施尽量避免和减少损失的扩大， 任何一方没有采取有效措施导致损失扩大的，应对扩大的损失承担责任。</w:t>
      </w:r>
    </w:p>
    <w:p>
      <w:pPr>
        <w:pStyle w:val="21"/>
        <w:numPr>
          <w:ilvl w:val="4"/>
          <w:numId w:val="5"/>
        </w:numPr>
        <w:tabs>
          <w:tab w:val="left" w:pos="1523"/>
          <w:tab w:val="left" w:pos="1524"/>
        </w:tabs>
        <w:spacing w:before="1"/>
        <w:ind w:left="1524" w:hanging="660"/>
        <w:rPr>
          <w:sz w:val="24"/>
        </w:rPr>
      </w:pPr>
      <w:r>
        <w:rPr>
          <w:rFonts w:hint="eastAsia"/>
          <w:sz w:val="24"/>
        </w:rPr>
        <w:t>因不可抗力解除合同</w:t>
      </w:r>
    </w:p>
    <w:p>
      <w:pPr>
        <w:pStyle w:val="11"/>
        <w:spacing w:before="86" w:line="304" w:lineRule="auto"/>
        <w:ind w:left="384" w:right="465" w:firstLine="480"/>
        <w:jc w:val="both"/>
      </w:pPr>
      <w:r>
        <w:rPr>
          <w:rFonts w:hint="eastAsia"/>
          <w:spacing w:val="-1"/>
        </w:rPr>
        <w:t xml:space="preserve">合同一方当事人因不可抗力不能履行合同的，应当及时通知对方解除合同。合同解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 </w:t>
      </w:r>
      <w:r>
        <w:rPr>
          <w:rFonts w:hint="eastAsia"/>
        </w:rPr>
        <w:t>由监理人按商定确定。</w:t>
      </w:r>
    </w:p>
    <w:p>
      <w:pPr>
        <w:pStyle w:val="21"/>
        <w:numPr>
          <w:ilvl w:val="3"/>
          <w:numId w:val="5"/>
        </w:numPr>
        <w:tabs>
          <w:tab w:val="left" w:pos="1125"/>
        </w:tabs>
        <w:spacing w:before="179"/>
        <w:ind w:left="1124" w:hanging="302"/>
        <w:jc w:val="left"/>
        <w:rPr>
          <w:sz w:val="24"/>
        </w:rPr>
      </w:pPr>
      <w:r>
        <w:rPr>
          <w:rFonts w:hint="eastAsia"/>
          <w:sz w:val="24"/>
        </w:rPr>
        <w:t>文物</w:t>
      </w:r>
    </w:p>
    <w:p>
      <w:pPr>
        <w:pStyle w:val="11"/>
        <w:spacing w:before="7"/>
        <w:rPr>
          <w:sz w:val="20"/>
        </w:rPr>
      </w:pPr>
    </w:p>
    <w:p>
      <w:pPr>
        <w:pStyle w:val="11"/>
        <w:spacing w:line="304" w:lineRule="auto"/>
        <w:ind w:left="384" w:right="346" w:firstLine="480"/>
      </w:pPr>
      <w:r>
        <w:rPr>
          <w:rFonts w:hint="eastAsia"/>
          <w:spacing w:val="-7"/>
        </w:rPr>
        <w:t>在施工场地发掘出的所有文物、古迹以及具有地质研究或考古价值的其他遗迹、</w:t>
      </w:r>
      <w:r>
        <w:rPr>
          <w:rFonts w:hint="eastAsia"/>
        </w:rPr>
        <w:t>化石、钱币或物品属于国家财产。承包人一旦发现上述文物时，应采取一切必要的措施保护现场，防止任何人员移动或损坏任何该类物品，并立即将此发现通知监理人，并执行监理人关于此事的指令。如果由于这样的指令使承包人工期受到拖延和</w:t>
      </w:r>
    </w:p>
    <w:p>
      <w:pPr>
        <w:pStyle w:val="11"/>
        <w:spacing w:before="5" w:line="307" w:lineRule="auto"/>
        <w:ind w:left="384" w:right="465"/>
        <w:jc w:val="both"/>
      </w:pPr>
      <w:r>
        <w:rPr>
          <w:rFonts w:hint="eastAsia"/>
        </w:rPr>
        <w:t>（或）增加了费用，则监理人在与承包人和发包人协商后应确定延长工期和（或） 增加费用，通知承包人并抄送发包人。承包人发现文物不及时报告或隐瞒不报致使文物丢失或损坏的，应赔偿损失并承担相应的法律责任。</w:t>
      </w:r>
    </w:p>
    <w:p>
      <w:pPr>
        <w:spacing w:line="307" w:lineRule="auto"/>
        <w:jc w:val="both"/>
        <w:sectPr>
          <w:pgSz w:w="11910" w:h="16840"/>
          <w:pgMar w:top="1360" w:right="1120" w:bottom="1080" w:left="1260" w:header="882" w:footer="880" w:gutter="0"/>
          <w:cols w:space="720" w:num="1"/>
        </w:sectPr>
      </w:pPr>
    </w:p>
    <w:p>
      <w:pPr>
        <w:pStyle w:val="11"/>
        <w:spacing w:before="8"/>
        <w:rPr>
          <w:sz w:val="16"/>
        </w:rPr>
      </w:pPr>
    </w:p>
    <w:p>
      <w:pPr>
        <w:pStyle w:val="21"/>
        <w:numPr>
          <w:ilvl w:val="3"/>
          <w:numId w:val="5"/>
        </w:numPr>
        <w:tabs>
          <w:tab w:val="left" w:pos="1125"/>
        </w:tabs>
        <w:spacing w:before="77"/>
        <w:ind w:left="1124" w:hanging="302"/>
        <w:jc w:val="left"/>
        <w:rPr>
          <w:sz w:val="24"/>
        </w:rPr>
      </w:pPr>
      <w:r>
        <w:rPr>
          <w:rFonts w:hint="eastAsia"/>
          <w:sz w:val="24"/>
        </w:rPr>
        <w:t>违约赔偿</w:t>
      </w:r>
    </w:p>
    <w:p>
      <w:pPr>
        <w:pStyle w:val="11"/>
        <w:spacing w:before="4"/>
        <w:rPr>
          <w:sz w:val="20"/>
        </w:rPr>
      </w:pPr>
    </w:p>
    <w:p>
      <w:pPr>
        <w:pStyle w:val="21"/>
        <w:numPr>
          <w:ilvl w:val="4"/>
          <w:numId w:val="5"/>
        </w:numPr>
        <w:tabs>
          <w:tab w:val="left" w:pos="1524"/>
        </w:tabs>
        <w:spacing w:before="1" w:line="307" w:lineRule="auto"/>
        <w:ind w:left="384" w:right="346" w:firstLine="480"/>
        <w:jc w:val="both"/>
        <w:rPr>
          <w:sz w:val="24"/>
        </w:rPr>
      </w:pPr>
      <w:r>
        <w:rPr>
          <w:rFonts w:hint="eastAsia"/>
          <w:spacing w:val="-5"/>
          <w:sz w:val="24"/>
        </w:rPr>
        <w:t xml:space="preserve">施工过程中发包人或监理人、质监机构抽检连续 </w:t>
      </w:r>
      <w:r>
        <w:rPr>
          <w:rFonts w:hint="eastAsia"/>
          <w:sz w:val="24"/>
        </w:rPr>
        <w:t xml:space="preserve">2 </w:t>
      </w:r>
      <w:r>
        <w:rPr>
          <w:rFonts w:hint="eastAsia"/>
          <w:spacing w:val="-2"/>
          <w:sz w:val="24"/>
        </w:rPr>
        <w:t xml:space="preserve">个分项工程不合格者， </w:t>
      </w:r>
      <w:r>
        <w:rPr>
          <w:rFonts w:hint="eastAsia"/>
          <w:spacing w:val="-7"/>
          <w:sz w:val="24"/>
        </w:rPr>
        <w:t xml:space="preserve">按合同条款的有关要求，承包人对不合格分项工程补做或返工，使其达到合格标准， </w:t>
      </w:r>
      <w:r>
        <w:rPr>
          <w:rFonts w:hint="eastAsia"/>
          <w:spacing w:val="-6"/>
          <w:sz w:val="24"/>
        </w:rPr>
        <w:t xml:space="preserve">并赔偿每个分项工程 </w:t>
      </w:r>
      <w:r>
        <w:rPr>
          <w:rFonts w:hint="eastAsia"/>
          <w:sz w:val="24"/>
        </w:rPr>
        <w:t>10000 元的违约金。</w:t>
      </w:r>
    </w:p>
    <w:p>
      <w:pPr>
        <w:pStyle w:val="21"/>
        <w:numPr>
          <w:ilvl w:val="4"/>
          <w:numId w:val="5"/>
        </w:numPr>
        <w:tabs>
          <w:tab w:val="left" w:pos="1523"/>
          <w:tab w:val="left" w:pos="1524"/>
        </w:tabs>
        <w:spacing w:line="307" w:lineRule="auto"/>
        <w:ind w:left="384" w:right="346" w:firstLine="480"/>
        <w:rPr>
          <w:sz w:val="24"/>
        </w:rPr>
      </w:pPr>
      <w:r>
        <w:rPr>
          <w:rFonts w:hint="eastAsia"/>
          <w:spacing w:val="-3"/>
          <w:sz w:val="24"/>
        </w:rPr>
        <w:t>承包人未按规定工期完成本合同工程，拖期损失赔偿见合同条款数据表。</w:t>
      </w:r>
      <w:r>
        <w:rPr>
          <w:rFonts w:hint="eastAsia"/>
          <w:sz w:val="24"/>
        </w:rPr>
        <w:t>工程进度严重滞后，承包人即使采取措施也不能保证工程按期完工，发包人有权指定分包并没收履约保证金。</w:t>
      </w:r>
    </w:p>
    <w:p>
      <w:pPr>
        <w:pStyle w:val="21"/>
        <w:numPr>
          <w:ilvl w:val="4"/>
          <w:numId w:val="5"/>
        </w:numPr>
        <w:tabs>
          <w:tab w:val="left" w:pos="1524"/>
        </w:tabs>
        <w:spacing w:line="307" w:lineRule="auto"/>
        <w:ind w:left="384" w:right="466" w:firstLine="480"/>
        <w:jc w:val="both"/>
        <w:rPr>
          <w:sz w:val="24"/>
        </w:rPr>
      </w:pPr>
      <w:r>
        <w:rPr>
          <w:rFonts w:hint="eastAsia"/>
          <w:spacing w:val="-9"/>
          <w:sz w:val="24"/>
        </w:rPr>
        <w:t xml:space="preserve">承包人主要管理人员、机械设备未按投标文件约定时间进场，人员按 </w:t>
      </w:r>
      <w:r>
        <w:rPr>
          <w:rFonts w:hint="eastAsia"/>
          <w:spacing w:val="-6"/>
          <w:sz w:val="24"/>
        </w:rPr>
        <w:t xml:space="preserve">200 </w:t>
      </w:r>
      <w:r>
        <w:rPr>
          <w:rFonts w:hint="eastAsia"/>
          <w:sz w:val="24"/>
        </w:rPr>
        <w:t>元/人·</w:t>
      </w:r>
      <w:r>
        <w:rPr>
          <w:rFonts w:hint="eastAsia"/>
          <w:spacing w:val="-12"/>
          <w:sz w:val="24"/>
        </w:rPr>
        <w:t>天，机械设备每天按《公路工程机械台班费用定额》台班基价两倍支付违约赔</w:t>
      </w:r>
      <w:r>
        <w:rPr>
          <w:rFonts w:hint="eastAsia"/>
          <w:sz w:val="24"/>
        </w:rPr>
        <w:t>偿。</w:t>
      </w:r>
    </w:p>
    <w:p>
      <w:pPr>
        <w:pStyle w:val="21"/>
        <w:numPr>
          <w:ilvl w:val="4"/>
          <w:numId w:val="5"/>
        </w:numPr>
        <w:tabs>
          <w:tab w:val="left" w:pos="1529"/>
        </w:tabs>
        <w:spacing w:line="307" w:lineRule="auto"/>
        <w:ind w:left="384" w:right="467" w:firstLine="480"/>
        <w:jc w:val="both"/>
        <w:rPr>
          <w:sz w:val="24"/>
        </w:rPr>
      </w:pPr>
      <w:r>
        <w:rPr>
          <w:rFonts w:hint="eastAsia"/>
          <w:sz w:val="24"/>
        </w:rPr>
        <w:t>发生克扣、拖欠劳务工资、设备材料款，造成恶劣影响的，承包人在限期内不予支付时，发包人将从其履约保证金中支付。</w:t>
      </w:r>
    </w:p>
    <w:p>
      <w:pPr>
        <w:pStyle w:val="21"/>
        <w:numPr>
          <w:ilvl w:val="4"/>
          <w:numId w:val="5"/>
        </w:numPr>
        <w:tabs>
          <w:tab w:val="left" w:pos="1529"/>
        </w:tabs>
        <w:spacing w:line="304" w:lineRule="auto"/>
        <w:ind w:left="384" w:right="467" w:firstLine="480"/>
        <w:jc w:val="both"/>
        <w:rPr>
          <w:sz w:val="24"/>
        </w:rPr>
      </w:pPr>
      <w:r>
        <w:rPr>
          <w:rFonts w:hint="eastAsia"/>
          <w:sz w:val="24"/>
        </w:rPr>
        <w:t>便道未按合同管养，影响社会车辆通行，造成恶劣影响的，承包人在限期内不予整改的，发包人可另行实施，其发生的费用从承包人工程款中扣回。</w:t>
      </w:r>
    </w:p>
    <w:p>
      <w:pPr>
        <w:pStyle w:val="21"/>
        <w:numPr>
          <w:ilvl w:val="4"/>
          <w:numId w:val="5"/>
        </w:numPr>
        <w:tabs>
          <w:tab w:val="left" w:pos="1529"/>
        </w:tabs>
        <w:spacing w:line="304" w:lineRule="auto"/>
        <w:ind w:left="384" w:right="467" w:firstLine="480"/>
        <w:jc w:val="both"/>
        <w:rPr>
          <w:sz w:val="24"/>
        </w:rPr>
      </w:pPr>
      <w:r>
        <w:rPr>
          <w:rFonts w:hint="eastAsia"/>
          <w:sz w:val="24"/>
        </w:rPr>
        <w:t>承包人违约转让或变相转让合同，发包人将没收履约保证金，并将其清除出场。</w:t>
      </w:r>
    </w:p>
    <w:p>
      <w:pPr>
        <w:pStyle w:val="21"/>
        <w:numPr>
          <w:ilvl w:val="4"/>
          <w:numId w:val="5"/>
        </w:numPr>
        <w:tabs>
          <w:tab w:val="left" w:pos="1528"/>
          <w:tab w:val="left" w:pos="1529"/>
        </w:tabs>
        <w:spacing w:line="304" w:lineRule="auto"/>
        <w:ind w:left="384" w:right="346" w:firstLine="480"/>
        <w:rPr>
          <w:sz w:val="24"/>
        </w:rPr>
      </w:pPr>
      <w:r>
        <w:rPr>
          <w:rFonts w:hint="eastAsia"/>
          <w:sz w:val="24"/>
        </w:rPr>
        <w:t>在工程施工过程中，如监理人或发包人认为承包人主要管理人员及技术人员不能胜任工作，提出更换人员要求，承包人必须执行，且更换人员资格不低于所换人员资格，无论是否征得发包人同意，均按下述规定扣除其违约金：项目经理</w:t>
      </w:r>
      <w:r>
        <w:rPr>
          <w:rFonts w:hint="eastAsia"/>
          <w:spacing w:val="-10"/>
          <w:sz w:val="24"/>
        </w:rPr>
        <w:t xml:space="preserve">每人次扣除 </w:t>
      </w:r>
      <w:r>
        <w:rPr>
          <w:rFonts w:hint="eastAsia"/>
          <w:sz w:val="24"/>
        </w:rPr>
        <w:t>6</w:t>
      </w:r>
      <w:r>
        <w:rPr>
          <w:rFonts w:hint="eastAsia"/>
          <w:spacing w:val="5"/>
          <w:sz w:val="24"/>
        </w:rPr>
        <w:t xml:space="preserve"> </w:t>
      </w:r>
      <w:r>
        <w:rPr>
          <w:rFonts w:hint="eastAsia"/>
          <w:spacing w:val="-5"/>
          <w:sz w:val="24"/>
        </w:rPr>
        <w:t xml:space="preserve">万元，项目总工每人次扣除 </w:t>
      </w:r>
      <w:r>
        <w:rPr>
          <w:rFonts w:hint="eastAsia"/>
          <w:sz w:val="24"/>
        </w:rPr>
        <w:t>5</w:t>
      </w:r>
      <w:r>
        <w:rPr>
          <w:rFonts w:hint="eastAsia"/>
          <w:spacing w:val="7"/>
          <w:sz w:val="24"/>
        </w:rPr>
        <w:t xml:space="preserve"> </w:t>
      </w:r>
      <w:r>
        <w:rPr>
          <w:rFonts w:hint="eastAsia"/>
          <w:sz w:val="24"/>
        </w:rPr>
        <w:t>万元，路基工程师、路面工程师、结构</w:t>
      </w:r>
      <w:r>
        <w:rPr>
          <w:rFonts w:hint="eastAsia"/>
          <w:spacing w:val="-11"/>
          <w:sz w:val="24"/>
        </w:rPr>
        <w:t xml:space="preserve">工程师、计量计划负责人、试验检测工程师每人次扣除 </w:t>
      </w:r>
      <w:r>
        <w:rPr>
          <w:rFonts w:hint="eastAsia"/>
          <w:sz w:val="24"/>
        </w:rPr>
        <w:t xml:space="preserve">3 </w:t>
      </w:r>
      <w:r>
        <w:rPr>
          <w:rFonts w:hint="eastAsia"/>
          <w:spacing w:val="-7"/>
          <w:sz w:val="24"/>
        </w:rPr>
        <w:t xml:space="preserve">万元。即使交纳了违约金， </w:t>
      </w:r>
      <w:r>
        <w:rPr>
          <w:rFonts w:hint="eastAsia"/>
          <w:spacing w:val="-3"/>
          <w:sz w:val="24"/>
        </w:rPr>
        <w:t xml:space="preserve">承包人仍有义务按合同规定纠正其违约行为；更换率达到 </w:t>
      </w:r>
      <w:r>
        <w:rPr>
          <w:rFonts w:hint="eastAsia"/>
          <w:sz w:val="24"/>
        </w:rPr>
        <w:t>50%的按照《新疆维吾尔自治区农村公路建设从业单位信用评价实施细则》的规定评价。</w:t>
      </w:r>
    </w:p>
    <w:p>
      <w:pPr>
        <w:pStyle w:val="21"/>
        <w:numPr>
          <w:ilvl w:val="3"/>
          <w:numId w:val="5"/>
        </w:numPr>
        <w:tabs>
          <w:tab w:val="left" w:pos="1125"/>
        </w:tabs>
        <w:spacing w:before="170"/>
        <w:ind w:left="1124" w:hanging="302"/>
        <w:jc w:val="left"/>
        <w:rPr>
          <w:sz w:val="24"/>
        </w:rPr>
      </w:pPr>
      <w:r>
        <w:rPr>
          <w:rFonts w:hint="eastAsia"/>
          <w:sz w:val="24"/>
        </w:rPr>
        <w:t>承包人需遵循的其他规定和要求</w:t>
      </w:r>
    </w:p>
    <w:p>
      <w:pPr>
        <w:pStyle w:val="11"/>
        <w:spacing w:before="8"/>
        <w:rPr>
          <w:sz w:val="20"/>
        </w:rPr>
      </w:pPr>
    </w:p>
    <w:p>
      <w:pPr>
        <w:pStyle w:val="21"/>
        <w:numPr>
          <w:ilvl w:val="4"/>
          <w:numId w:val="5"/>
        </w:numPr>
        <w:tabs>
          <w:tab w:val="left" w:pos="1523"/>
          <w:tab w:val="left" w:pos="1524"/>
        </w:tabs>
        <w:ind w:left="1524" w:hanging="660"/>
        <w:rPr>
          <w:sz w:val="24"/>
        </w:rPr>
      </w:pPr>
      <w:r>
        <w:rPr>
          <w:rFonts w:hint="eastAsia"/>
          <w:sz w:val="24"/>
        </w:rPr>
        <w:t>新疆公路工程现行通知、办法详见附件。</w:t>
      </w:r>
    </w:p>
    <w:p>
      <w:pPr>
        <w:pStyle w:val="21"/>
        <w:numPr>
          <w:ilvl w:val="4"/>
          <w:numId w:val="5"/>
        </w:numPr>
        <w:tabs>
          <w:tab w:val="left" w:pos="1523"/>
          <w:tab w:val="left" w:pos="1524"/>
        </w:tabs>
        <w:spacing w:before="83"/>
        <w:ind w:left="1524" w:hanging="660"/>
        <w:rPr>
          <w:sz w:val="24"/>
        </w:rPr>
      </w:pPr>
      <w:r>
        <w:rPr>
          <w:rFonts w:hint="eastAsia"/>
          <w:sz w:val="24"/>
        </w:rPr>
        <w:t>临时排水设施</w:t>
      </w:r>
    </w:p>
    <w:p>
      <w:pPr>
        <w:pStyle w:val="11"/>
        <w:spacing w:before="84" w:line="307" w:lineRule="auto"/>
        <w:ind w:left="384" w:right="465" w:firstLine="480"/>
      </w:pPr>
      <w:r>
        <w:rPr>
          <w:rFonts w:hint="eastAsia"/>
        </w:rPr>
        <w:t>承包人在施工中，道路的临时排水设施要与路基的施工同步，所需费用报价中要充分考虑。如因承包人排水设施不当，造成的工程损失由承包人承担。</w:t>
      </w:r>
    </w:p>
    <w:p>
      <w:pPr>
        <w:pStyle w:val="21"/>
        <w:numPr>
          <w:ilvl w:val="4"/>
          <w:numId w:val="5"/>
        </w:numPr>
        <w:tabs>
          <w:tab w:val="left" w:pos="1523"/>
          <w:tab w:val="left" w:pos="1524"/>
        </w:tabs>
        <w:spacing w:line="305" w:lineRule="exact"/>
        <w:ind w:left="1524" w:hanging="660"/>
        <w:rPr>
          <w:sz w:val="24"/>
        </w:rPr>
      </w:pPr>
      <w:r>
        <w:rPr>
          <w:rFonts w:hint="eastAsia"/>
          <w:sz w:val="24"/>
        </w:rPr>
        <w:t>突发公共卫生事件</w:t>
      </w:r>
    </w:p>
    <w:p>
      <w:pPr>
        <w:pStyle w:val="11"/>
        <w:spacing w:before="84" w:line="307" w:lineRule="auto"/>
        <w:ind w:left="384" w:right="465" w:firstLine="480"/>
        <w:jc w:val="both"/>
      </w:pPr>
      <w:r>
        <w:rPr>
          <w:rFonts w:hint="eastAsia"/>
        </w:rPr>
        <w:t>为了有效预防、及时控制和消除公共卫生事件的危害，保障全体施工人员（</w:t>
      </w:r>
      <w:r>
        <w:rPr>
          <w:rFonts w:hint="eastAsia"/>
          <w:spacing w:val="-12"/>
        </w:rPr>
        <w:t>包</w:t>
      </w:r>
      <w:r>
        <w:rPr>
          <w:rFonts w:hint="eastAsia"/>
        </w:rPr>
        <w:t>括雇用劳务人员）</w:t>
      </w:r>
      <w:r>
        <w:rPr>
          <w:rFonts w:hint="eastAsia"/>
          <w:spacing w:val="-1"/>
        </w:rPr>
        <w:t>及周围群众身体健康和生命安全，维持正常社会秩序，承包人应</w:t>
      </w:r>
      <w:r>
        <w:rPr>
          <w:rFonts w:hint="eastAsia"/>
          <w:spacing w:val="-6"/>
        </w:rPr>
        <w:t xml:space="preserve">全面贯彻国务院第 </w:t>
      </w:r>
      <w:r>
        <w:rPr>
          <w:rFonts w:hint="eastAsia"/>
        </w:rPr>
        <w:t xml:space="preserve">376 </w:t>
      </w:r>
      <w:r>
        <w:rPr>
          <w:rFonts w:hint="eastAsia"/>
          <w:spacing w:val="-1"/>
        </w:rPr>
        <w:t>号令《突发公共卫生事件应急条例》，其涉及内容均不单独</w:t>
      </w:r>
    </w:p>
    <w:p>
      <w:pPr>
        <w:spacing w:line="307" w:lineRule="auto"/>
        <w:jc w:val="both"/>
        <w:sectPr>
          <w:pgSz w:w="11910" w:h="16840"/>
          <w:pgMar w:top="1360" w:right="1120" w:bottom="1080" w:left="1260" w:header="882" w:footer="880" w:gutter="0"/>
          <w:cols w:space="720" w:num="1"/>
        </w:sectPr>
      </w:pPr>
    </w:p>
    <w:p>
      <w:pPr>
        <w:pStyle w:val="11"/>
        <w:rPr>
          <w:sz w:val="18"/>
        </w:rPr>
      </w:pPr>
    </w:p>
    <w:p>
      <w:pPr>
        <w:pStyle w:val="11"/>
        <w:spacing w:before="66" w:line="304" w:lineRule="auto"/>
        <w:ind w:left="384" w:right="465"/>
      </w:pPr>
      <w:r>
        <w:rPr>
          <w:rFonts w:hint="eastAsia"/>
        </w:rPr>
        <w:t>计量与支付，投标人报价时综合考虑其费用，所涉及的费用均包括在与之相关的工程细目的单价之中，发包人不单独支付。</w:t>
      </w:r>
    </w:p>
    <w:p>
      <w:pPr>
        <w:pStyle w:val="21"/>
        <w:numPr>
          <w:ilvl w:val="4"/>
          <w:numId w:val="5"/>
        </w:numPr>
        <w:tabs>
          <w:tab w:val="left" w:pos="1523"/>
          <w:tab w:val="left" w:pos="1524"/>
        </w:tabs>
        <w:spacing w:before="4"/>
        <w:ind w:left="1524" w:hanging="660"/>
        <w:rPr>
          <w:sz w:val="24"/>
        </w:rPr>
      </w:pPr>
      <w:r>
        <w:rPr>
          <w:rFonts w:hint="eastAsia"/>
          <w:sz w:val="24"/>
        </w:rPr>
        <w:t>反商业贿赂</w:t>
      </w:r>
    </w:p>
    <w:p>
      <w:pPr>
        <w:pStyle w:val="11"/>
        <w:spacing w:before="84" w:line="304" w:lineRule="auto"/>
        <w:ind w:left="384" w:right="467" w:firstLine="480"/>
      </w:pPr>
      <w:r>
        <w:rPr>
          <w:rFonts w:hint="eastAsia"/>
        </w:rPr>
        <w:t>严格执行国家、自治区、交通运输厅关于反商业贿赂的有关规定。承包人应严格按照廉政建设责任制度执行，并将廉政合同落到实处，制定相应的计划和措施。</w:t>
      </w:r>
    </w:p>
    <w:p>
      <w:pPr>
        <w:pStyle w:val="11"/>
        <w:spacing w:before="10"/>
        <w:rPr>
          <w:sz w:val="30"/>
        </w:rPr>
      </w:pPr>
    </w:p>
    <w:p>
      <w:pPr>
        <w:pStyle w:val="11"/>
        <w:ind w:left="864"/>
      </w:pPr>
      <w:r>
        <w:rPr>
          <w:rFonts w:hint="eastAsia"/>
        </w:rPr>
        <w:t>附件：</w:t>
      </w:r>
    </w:p>
    <w:p>
      <w:pPr>
        <w:pStyle w:val="21"/>
        <w:numPr>
          <w:ilvl w:val="0"/>
          <w:numId w:val="45"/>
        </w:numPr>
        <w:tabs>
          <w:tab w:val="left" w:pos="1145"/>
        </w:tabs>
        <w:spacing w:before="84"/>
        <w:rPr>
          <w:sz w:val="24"/>
        </w:rPr>
      </w:pPr>
      <w:r>
        <w:rPr>
          <w:rFonts w:hint="eastAsia"/>
          <w:sz w:val="24"/>
        </w:rPr>
        <w:t>《新疆维吾尔自治区农村公路建设管理办法》</w:t>
      </w:r>
    </w:p>
    <w:p>
      <w:pPr>
        <w:pStyle w:val="21"/>
        <w:numPr>
          <w:ilvl w:val="0"/>
          <w:numId w:val="45"/>
        </w:numPr>
        <w:tabs>
          <w:tab w:val="left" w:pos="1145"/>
        </w:tabs>
        <w:spacing w:before="86" w:line="304" w:lineRule="auto"/>
        <w:ind w:left="864" w:right="942" w:firstLine="0"/>
        <w:rPr>
          <w:sz w:val="24"/>
        </w:rPr>
      </w:pPr>
      <w:r>
        <w:rPr>
          <w:rFonts w:hint="eastAsia"/>
          <w:spacing w:val="-1"/>
          <w:sz w:val="24"/>
        </w:rPr>
        <w:t>《新疆维吾尔自治区农村公路建设工程质量监督机构和人员考核办法》</w:t>
      </w:r>
      <w:r>
        <w:rPr>
          <w:rFonts w:hint="eastAsia"/>
          <w:sz w:val="24"/>
        </w:rPr>
        <w:t>(3)《新疆维吾尔自治区农村公路工程质量监督管理细则》</w:t>
      </w:r>
    </w:p>
    <w:p>
      <w:pPr>
        <w:pStyle w:val="11"/>
        <w:spacing w:before="1" w:line="308" w:lineRule="auto"/>
        <w:ind w:left="862"/>
      </w:pPr>
      <w:r>
        <w:rPr>
          <w:rFonts w:hint="eastAsia"/>
        </w:rPr>
        <w:t>(4)《新疆维吾尔自治区农村公路工程设计变更管理办法（试行）》</w:t>
      </w:r>
    </w:p>
    <w:p>
      <w:pPr>
        <w:pStyle w:val="11"/>
        <w:spacing w:before="1" w:line="308" w:lineRule="auto"/>
        <w:ind w:left="862"/>
      </w:pPr>
      <w:r>
        <w:rPr>
          <w:rFonts w:hint="eastAsia"/>
        </w:rPr>
        <w:t>(5)《新疆维吾尔自治区农村公路工程施工监理工作规定》</w:t>
      </w:r>
    </w:p>
    <w:p>
      <w:pPr>
        <w:pStyle w:val="11"/>
        <w:spacing w:line="305" w:lineRule="auto"/>
        <w:ind w:left="862"/>
      </w:pPr>
      <w:r>
        <w:rPr>
          <w:rFonts w:hint="eastAsia"/>
        </w:rPr>
        <w:t>(6)《新疆维吾尔自治区农村公路工程试验检测工作规定》</w:t>
      </w:r>
    </w:p>
    <w:p>
      <w:pPr>
        <w:pStyle w:val="11"/>
        <w:spacing w:line="305" w:lineRule="auto"/>
        <w:ind w:left="862"/>
      </w:pPr>
      <w:r>
        <w:rPr>
          <w:rFonts w:hint="eastAsia"/>
        </w:rPr>
        <w:t>(7)《新疆小交通量农村公路工程技术指南》</w:t>
      </w:r>
    </w:p>
    <w:p>
      <w:pPr>
        <w:pStyle w:val="21"/>
        <w:numPr>
          <w:ilvl w:val="0"/>
          <w:numId w:val="46"/>
        </w:numPr>
        <w:tabs>
          <w:tab w:val="left" w:pos="1145"/>
        </w:tabs>
        <w:spacing w:before="2"/>
        <w:rPr>
          <w:sz w:val="24"/>
        </w:rPr>
      </w:pPr>
      <w:r>
        <w:rPr>
          <w:rFonts w:hint="eastAsia"/>
          <w:sz w:val="24"/>
        </w:rPr>
        <w:t>《新疆农村公路施工图设计外业勘察验收指南》</w:t>
      </w:r>
    </w:p>
    <w:p>
      <w:pPr>
        <w:pStyle w:val="21"/>
        <w:numPr>
          <w:ilvl w:val="0"/>
          <w:numId w:val="46"/>
        </w:numPr>
        <w:tabs>
          <w:tab w:val="left" w:pos="1152"/>
        </w:tabs>
        <w:spacing w:before="83"/>
        <w:ind w:left="1152" w:hanging="288"/>
        <w:rPr>
          <w:sz w:val="24"/>
        </w:rPr>
      </w:pPr>
      <w:r>
        <w:rPr>
          <w:rFonts w:hint="eastAsia"/>
          <w:spacing w:val="7"/>
          <w:sz w:val="24"/>
        </w:rPr>
        <w:t>《关于在公路改建改造工程中加强便道管理保障通行的通知》（</w:t>
      </w:r>
      <w:r>
        <w:rPr>
          <w:rFonts w:hint="eastAsia"/>
          <w:spacing w:val="5"/>
          <w:sz w:val="24"/>
        </w:rPr>
        <w:t>新交监察</w:t>
      </w:r>
    </w:p>
    <w:p>
      <w:pPr>
        <w:pStyle w:val="11"/>
        <w:spacing w:before="84"/>
        <w:ind w:left="384"/>
      </w:pPr>
      <w:r>
        <w:rPr>
          <w:rFonts w:hint="eastAsia"/>
        </w:rPr>
        <w:t>〔2001〕5 号文）；</w:t>
      </w:r>
    </w:p>
    <w:p>
      <w:pPr>
        <w:pStyle w:val="21"/>
        <w:numPr>
          <w:ilvl w:val="0"/>
          <w:numId w:val="46"/>
        </w:numPr>
        <w:tabs>
          <w:tab w:val="left" w:pos="1265"/>
        </w:tabs>
        <w:spacing w:before="86" w:line="304" w:lineRule="auto"/>
        <w:ind w:left="864" w:right="3702" w:firstLine="0"/>
        <w:rPr>
          <w:sz w:val="24"/>
        </w:rPr>
      </w:pPr>
      <w:r>
        <w:rPr>
          <w:rFonts w:hint="eastAsia"/>
          <w:sz w:val="24"/>
        </w:rPr>
        <w:t xml:space="preserve">《新疆公路工程台背回填管理办法》； </w:t>
      </w:r>
    </w:p>
    <w:p>
      <w:pPr>
        <w:pStyle w:val="21"/>
        <w:numPr>
          <w:ilvl w:val="0"/>
          <w:numId w:val="46"/>
        </w:numPr>
        <w:tabs>
          <w:tab w:val="left" w:pos="1265"/>
        </w:tabs>
        <w:spacing w:before="86" w:line="304" w:lineRule="auto"/>
        <w:ind w:left="864" w:right="3702" w:firstLine="0"/>
        <w:rPr>
          <w:sz w:val="24"/>
        </w:rPr>
      </w:pPr>
      <w:r>
        <w:rPr>
          <w:rFonts w:hint="eastAsia"/>
          <w:spacing w:val="-1"/>
          <w:sz w:val="24"/>
        </w:rPr>
        <w:t>《新疆公路工程建设项目便道管理办法》；</w:t>
      </w:r>
    </w:p>
    <w:p>
      <w:pPr>
        <w:pStyle w:val="21"/>
        <w:numPr>
          <w:ilvl w:val="0"/>
          <w:numId w:val="47"/>
        </w:numPr>
        <w:tabs>
          <w:tab w:val="left" w:pos="1268"/>
        </w:tabs>
        <w:spacing w:before="2" w:line="307" w:lineRule="auto"/>
        <w:ind w:right="465" w:firstLine="480"/>
        <w:rPr>
          <w:sz w:val="24"/>
        </w:rPr>
      </w:pPr>
      <w:r>
        <w:rPr>
          <w:rFonts w:hint="eastAsia"/>
          <w:sz w:val="24"/>
        </w:rPr>
        <w:t>《新疆维吾尔自治区公路工程路基下沉、路面破损、桥涵处跳车等质量问题责任追究》（新交政法〔2001〕20 号）；</w:t>
      </w:r>
    </w:p>
    <w:p>
      <w:pPr>
        <w:pStyle w:val="21"/>
        <w:numPr>
          <w:ilvl w:val="0"/>
          <w:numId w:val="47"/>
        </w:numPr>
        <w:tabs>
          <w:tab w:val="left" w:pos="1265"/>
        </w:tabs>
        <w:spacing w:line="304" w:lineRule="auto"/>
        <w:ind w:right="346" w:firstLine="480"/>
        <w:rPr>
          <w:sz w:val="24"/>
        </w:rPr>
      </w:pPr>
      <w:r>
        <w:rPr>
          <w:rFonts w:hint="eastAsia"/>
          <w:spacing w:val="-8"/>
          <w:sz w:val="24"/>
        </w:rPr>
        <w:t>《关于提高新疆公路工程路基、路面压实度指标的通知》</w:t>
      </w:r>
      <w:r>
        <w:rPr>
          <w:rFonts w:hint="eastAsia"/>
          <w:spacing w:val="-3"/>
          <w:sz w:val="24"/>
        </w:rPr>
        <w:t>（</w:t>
      </w:r>
      <w:r>
        <w:rPr>
          <w:rFonts w:hint="eastAsia"/>
          <w:spacing w:val="-10"/>
          <w:sz w:val="24"/>
        </w:rPr>
        <w:t>新交质监〔</w:t>
      </w:r>
      <w:r>
        <w:rPr>
          <w:rFonts w:hint="eastAsia"/>
          <w:sz w:val="24"/>
        </w:rPr>
        <w:t>2002</w:t>
      </w:r>
      <w:r>
        <w:rPr>
          <w:rFonts w:hint="eastAsia"/>
          <w:spacing w:val="-9"/>
          <w:sz w:val="24"/>
        </w:rPr>
        <w:t xml:space="preserve">〕 </w:t>
      </w:r>
      <w:r>
        <w:rPr>
          <w:rFonts w:hint="eastAsia"/>
          <w:sz w:val="24"/>
        </w:rPr>
        <w:t>2号）；</w:t>
      </w:r>
    </w:p>
    <w:p>
      <w:pPr>
        <w:pStyle w:val="21"/>
        <w:numPr>
          <w:ilvl w:val="0"/>
          <w:numId w:val="47"/>
        </w:numPr>
        <w:tabs>
          <w:tab w:val="left" w:pos="1268"/>
        </w:tabs>
        <w:spacing w:before="1" w:line="304" w:lineRule="auto"/>
        <w:ind w:right="465" w:firstLine="480"/>
        <w:rPr>
          <w:sz w:val="24"/>
        </w:rPr>
      </w:pPr>
      <w:r>
        <w:rPr>
          <w:rFonts w:hint="eastAsia"/>
          <w:sz w:val="24"/>
        </w:rPr>
        <w:t>《新疆维吾尔自治区公路路面透层油和下封层质量控制施工机械配套指导意见》（新交质监〔2008〕22 号）；</w:t>
      </w:r>
    </w:p>
    <w:p>
      <w:pPr>
        <w:pStyle w:val="21"/>
        <w:numPr>
          <w:ilvl w:val="0"/>
          <w:numId w:val="47"/>
        </w:numPr>
        <w:tabs>
          <w:tab w:val="left" w:pos="1268"/>
        </w:tabs>
        <w:spacing w:before="1"/>
        <w:ind w:left="1267"/>
        <w:rPr>
          <w:sz w:val="24"/>
        </w:rPr>
      </w:pPr>
      <w:r>
        <w:rPr>
          <w:rFonts w:hint="eastAsia"/>
          <w:sz w:val="24"/>
        </w:rPr>
        <w:t>《新疆维吾尔自治区农村公路建设廉政工作实施办法</w:t>
      </w:r>
      <w:r>
        <w:rPr>
          <w:rFonts w:hint="eastAsia"/>
          <w:spacing w:val="4"/>
          <w:sz w:val="24"/>
        </w:rPr>
        <w:t>（</w:t>
      </w:r>
      <w:r>
        <w:rPr>
          <w:rFonts w:hint="eastAsia"/>
          <w:spacing w:val="2"/>
          <w:sz w:val="24"/>
        </w:rPr>
        <w:t>试行</w:t>
      </w:r>
      <w:r>
        <w:rPr>
          <w:rFonts w:hint="eastAsia"/>
          <w:sz w:val="24"/>
        </w:rPr>
        <w:t>）</w:t>
      </w:r>
      <w:r>
        <w:rPr>
          <w:rFonts w:hint="eastAsia"/>
          <w:spacing w:val="4"/>
          <w:sz w:val="24"/>
        </w:rPr>
        <w:t>》</w:t>
      </w:r>
      <w:r>
        <w:rPr>
          <w:rFonts w:hint="eastAsia"/>
          <w:sz w:val="24"/>
        </w:rPr>
        <w:t>（</w:t>
      </w:r>
      <w:r>
        <w:rPr>
          <w:rFonts w:hint="eastAsia"/>
          <w:spacing w:val="1"/>
          <w:sz w:val="24"/>
        </w:rPr>
        <w:t>新交办</w:t>
      </w:r>
    </w:p>
    <w:p>
      <w:pPr>
        <w:pStyle w:val="11"/>
        <w:spacing w:before="86"/>
        <w:ind w:left="384"/>
      </w:pPr>
      <w:r>
        <w:rPr>
          <w:rFonts w:hint="eastAsia"/>
        </w:rPr>
        <w:t>〔2008〕80 号）；</w:t>
      </w:r>
    </w:p>
    <w:p>
      <w:pPr>
        <w:pStyle w:val="21"/>
        <w:numPr>
          <w:ilvl w:val="0"/>
          <w:numId w:val="47"/>
        </w:numPr>
        <w:tabs>
          <w:tab w:val="left" w:pos="1268"/>
        </w:tabs>
        <w:spacing w:before="84" w:line="304" w:lineRule="auto"/>
        <w:ind w:right="465" w:firstLine="480"/>
        <w:rPr>
          <w:sz w:val="24"/>
        </w:rPr>
      </w:pPr>
      <w:r>
        <w:rPr>
          <w:rFonts w:hint="eastAsia"/>
          <w:sz w:val="24"/>
        </w:rPr>
        <w:t>关于印发《新疆维吾尔自治区公路工程施工质量责任和责任追究制度》的通知（新交工程〔2016〕28 号）；</w:t>
      </w:r>
    </w:p>
    <w:p>
      <w:pPr>
        <w:pStyle w:val="21"/>
        <w:numPr>
          <w:ilvl w:val="0"/>
          <w:numId w:val="47"/>
        </w:numPr>
        <w:tabs>
          <w:tab w:val="left" w:pos="1265"/>
        </w:tabs>
        <w:spacing w:before="4" w:line="304" w:lineRule="auto"/>
        <w:ind w:right="342" w:firstLine="480"/>
        <w:rPr>
          <w:sz w:val="24"/>
        </w:rPr>
      </w:pPr>
      <w:r>
        <w:rPr>
          <w:rFonts w:hint="eastAsia"/>
          <w:spacing w:val="-5"/>
          <w:sz w:val="24"/>
        </w:rPr>
        <w:t>《关于在公路基础设施建设中使用农民工有关意见的通知》</w:t>
      </w:r>
      <w:r>
        <w:rPr>
          <w:rFonts w:hint="eastAsia"/>
          <w:sz w:val="24"/>
        </w:rPr>
        <w:t>（</w:t>
      </w:r>
      <w:r>
        <w:rPr>
          <w:rFonts w:hint="eastAsia"/>
          <w:spacing w:val="-16"/>
          <w:sz w:val="24"/>
        </w:rPr>
        <w:t>新交综〔</w:t>
      </w:r>
      <w:r>
        <w:rPr>
          <w:rFonts w:hint="eastAsia"/>
          <w:sz w:val="24"/>
        </w:rPr>
        <w:t>2003</w:t>
      </w:r>
      <w:r>
        <w:rPr>
          <w:rFonts w:hint="eastAsia"/>
          <w:spacing w:val="-8"/>
          <w:sz w:val="24"/>
        </w:rPr>
        <w:t>〕</w:t>
      </w:r>
      <w:r>
        <w:rPr>
          <w:rFonts w:hint="eastAsia"/>
          <w:sz w:val="24"/>
        </w:rPr>
        <w:t>42号）；</w:t>
      </w:r>
    </w:p>
    <w:p>
      <w:pPr>
        <w:pStyle w:val="21"/>
        <w:numPr>
          <w:ilvl w:val="0"/>
          <w:numId w:val="47"/>
        </w:numPr>
        <w:tabs>
          <w:tab w:val="left" w:pos="1268"/>
        </w:tabs>
        <w:spacing w:before="1" w:line="307" w:lineRule="auto"/>
        <w:ind w:right="465" w:firstLine="480"/>
        <w:rPr>
          <w:sz w:val="24"/>
        </w:rPr>
      </w:pPr>
      <w:r>
        <w:rPr>
          <w:rFonts w:hint="eastAsia"/>
          <w:sz w:val="24"/>
        </w:rPr>
        <w:t>关于印发《新疆维吾尔自治区交通厅关于交通建设项目防止拖欠工程款和农民工工资管理暂行办法（试行）》（新交综〔2005〕42 号）；</w:t>
      </w:r>
    </w:p>
    <w:p>
      <w:pPr>
        <w:pStyle w:val="21"/>
        <w:numPr>
          <w:ilvl w:val="0"/>
          <w:numId w:val="47"/>
        </w:numPr>
        <w:tabs>
          <w:tab w:val="left" w:pos="1265"/>
        </w:tabs>
        <w:spacing w:line="304" w:lineRule="auto"/>
        <w:ind w:right="342" w:firstLine="480"/>
        <w:rPr>
          <w:sz w:val="24"/>
        </w:rPr>
      </w:pPr>
      <w:r>
        <w:rPr>
          <w:rFonts w:hint="eastAsia"/>
          <w:spacing w:val="-5"/>
          <w:sz w:val="24"/>
        </w:rPr>
        <w:t>《关于在公路基础设施建设中使用农民工有关事宜的通知》</w:t>
      </w:r>
      <w:r>
        <w:rPr>
          <w:rFonts w:hint="eastAsia"/>
          <w:sz w:val="24"/>
        </w:rPr>
        <w:t>（</w:t>
      </w:r>
      <w:r>
        <w:rPr>
          <w:rFonts w:hint="eastAsia"/>
          <w:spacing w:val="-16"/>
          <w:sz w:val="24"/>
        </w:rPr>
        <w:t>新交综〔</w:t>
      </w:r>
      <w:r>
        <w:rPr>
          <w:rFonts w:hint="eastAsia"/>
          <w:sz w:val="24"/>
        </w:rPr>
        <w:t>2006</w:t>
      </w:r>
      <w:r>
        <w:rPr>
          <w:rFonts w:hint="eastAsia"/>
          <w:spacing w:val="-8"/>
          <w:sz w:val="24"/>
        </w:rPr>
        <w:t>〕</w:t>
      </w:r>
      <w:r>
        <w:rPr>
          <w:rFonts w:hint="eastAsia"/>
          <w:sz w:val="24"/>
        </w:rPr>
        <w:t>139号）；</w:t>
      </w:r>
    </w:p>
    <w:p>
      <w:pPr>
        <w:spacing w:line="304" w:lineRule="auto"/>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47"/>
        </w:numPr>
        <w:tabs>
          <w:tab w:val="left" w:pos="1265"/>
        </w:tabs>
        <w:spacing w:before="74"/>
        <w:ind w:left="1264" w:hanging="401"/>
        <w:rPr>
          <w:sz w:val="24"/>
        </w:rPr>
      </w:pPr>
      <w:r>
        <w:rPr>
          <w:rFonts w:hint="eastAsia"/>
          <w:spacing w:val="-5"/>
          <w:sz w:val="24"/>
        </w:rPr>
        <w:t>《新疆维吾尔自治区农民工工资保证金管理暂行办法》</w:t>
      </w:r>
      <w:r>
        <w:rPr>
          <w:rFonts w:hint="eastAsia"/>
          <w:spacing w:val="-3"/>
          <w:sz w:val="24"/>
        </w:rPr>
        <w:t>（</w:t>
      </w:r>
      <w:r>
        <w:rPr>
          <w:rFonts w:hint="eastAsia"/>
          <w:sz w:val="24"/>
        </w:rPr>
        <w:t>新政办发[2007]114</w:t>
      </w:r>
    </w:p>
    <w:p>
      <w:pPr>
        <w:pStyle w:val="11"/>
        <w:spacing w:before="84"/>
        <w:ind w:left="384"/>
      </w:pPr>
      <w:r>
        <w:rPr>
          <w:rFonts w:hint="eastAsia"/>
        </w:rPr>
        <w:t>号）</w:t>
      </w:r>
    </w:p>
    <w:p>
      <w:pPr>
        <w:pStyle w:val="21"/>
        <w:numPr>
          <w:ilvl w:val="0"/>
          <w:numId w:val="47"/>
        </w:numPr>
        <w:tabs>
          <w:tab w:val="left" w:pos="1275"/>
        </w:tabs>
        <w:spacing w:before="86"/>
        <w:ind w:left="1274" w:hanging="411"/>
        <w:rPr>
          <w:sz w:val="24"/>
        </w:rPr>
      </w:pPr>
      <w:r>
        <w:rPr>
          <w:rFonts w:hint="eastAsia"/>
          <w:spacing w:val="9"/>
          <w:sz w:val="24"/>
        </w:rPr>
        <w:t>《关于做好农村公路建设项目农民工使用有关事宜的通知》</w:t>
      </w:r>
      <w:r>
        <w:rPr>
          <w:rFonts w:hint="eastAsia"/>
          <w:spacing w:val="12"/>
          <w:sz w:val="24"/>
        </w:rPr>
        <w:t>（</w:t>
      </w:r>
      <w:r>
        <w:rPr>
          <w:rFonts w:hint="eastAsia"/>
          <w:spacing w:val="7"/>
          <w:sz w:val="24"/>
        </w:rPr>
        <w:t>新交农路</w:t>
      </w:r>
    </w:p>
    <w:p>
      <w:pPr>
        <w:pStyle w:val="11"/>
        <w:spacing w:before="83"/>
        <w:ind w:left="384"/>
      </w:pPr>
      <w:r>
        <w:rPr>
          <w:rFonts w:hint="eastAsia"/>
        </w:rPr>
        <w:t>〔2016〕16 号）；</w:t>
      </w:r>
    </w:p>
    <w:p>
      <w:pPr>
        <w:pStyle w:val="21"/>
        <w:numPr>
          <w:ilvl w:val="0"/>
          <w:numId w:val="47"/>
        </w:numPr>
        <w:tabs>
          <w:tab w:val="left" w:pos="1268"/>
        </w:tabs>
        <w:spacing w:before="84" w:line="307" w:lineRule="auto"/>
        <w:ind w:right="465" w:firstLine="480"/>
        <w:rPr>
          <w:sz w:val="24"/>
        </w:rPr>
      </w:pPr>
      <w:r>
        <w:rPr>
          <w:rFonts w:hint="eastAsia"/>
          <w:sz w:val="24"/>
        </w:rPr>
        <w:t>新疆维吾尔自治区人社、住建、交通、水利四部门联合印发的《关于在工程建设领域实行农民工工资专用账户管理和银行代发工资制度的通知》（</w:t>
      </w:r>
      <w:r>
        <w:rPr>
          <w:rFonts w:hint="eastAsia"/>
          <w:spacing w:val="-3"/>
          <w:sz w:val="24"/>
        </w:rPr>
        <w:t>新人社发</w:t>
      </w:r>
    </w:p>
    <w:p>
      <w:pPr>
        <w:pStyle w:val="11"/>
        <w:spacing w:line="305" w:lineRule="exact"/>
        <w:ind w:left="384"/>
      </w:pPr>
      <w:r>
        <w:rPr>
          <w:rFonts w:hint="eastAsia"/>
        </w:rPr>
        <w:t>〔2018〕4 号）</w:t>
      </w:r>
    </w:p>
    <w:p>
      <w:pPr>
        <w:pStyle w:val="11"/>
        <w:spacing w:before="84" w:line="307" w:lineRule="auto"/>
        <w:ind w:left="384" w:right="346" w:firstLine="480"/>
      </w:pPr>
      <w:r>
        <w:rPr>
          <w:rFonts w:hint="eastAsia"/>
        </w:rPr>
        <w:t>承包人在施工中应严格执行国家、交通运输部、新疆维吾尔自治区、新疆交通</w:t>
      </w:r>
      <w:r>
        <w:rPr>
          <w:rFonts w:hint="eastAsia"/>
          <w:spacing w:val="-10"/>
        </w:rPr>
        <w:t xml:space="preserve">运输厅现行通知、办法的相关规定，涉及报价因素的应在投标报价中充分予以考虑， </w:t>
      </w:r>
      <w:r>
        <w:rPr>
          <w:rFonts w:hint="eastAsia"/>
        </w:rPr>
        <w:t>发包人将不另行支付。</w:t>
      </w:r>
    </w:p>
    <w:p>
      <w:pPr>
        <w:spacing w:line="307" w:lineRule="auto"/>
        <w:sectPr>
          <w:pgSz w:w="11910" w:h="16840"/>
          <w:pgMar w:top="1360" w:right="1120" w:bottom="1080" w:left="1260" w:header="882" w:footer="880"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5"/>
        <w:rPr>
          <w:sz w:val="29"/>
        </w:rPr>
      </w:pPr>
    </w:p>
    <w:p>
      <w:pPr>
        <w:pStyle w:val="7"/>
        <w:tabs>
          <w:tab w:val="left" w:pos="1952"/>
        </w:tabs>
        <w:rPr>
          <w:sz w:val="30"/>
          <w:szCs w:val="30"/>
        </w:rPr>
      </w:pPr>
      <w:bookmarkStart w:id="73" w:name="_TOC_250026"/>
      <w:bookmarkEnd w:id="73"/>
      <w:r>
        <w:rPr>
          <w:rFonts w:hint="eastAsia"/>
          <w:sz w:val="30"/>
          <w:szCs w:val="30"/>
        </w:rPr>
        <w:t>第二节</w:t>
      </w:r>
      <w:r>
        <w:rPr>
          <w:rFonts w:hint="eastAsia"/>
          <w:sz w:val="30"/>
          <w:szCs w:val="30"/>
          <w:lang w:val="en-US"/>
        </w:rPr>
        <w:t xml:space="preserve">  </w:t>
      </w:r>
      <w:r>
        <w:rPr>
          <w:rFonts w:hint="eastAsia"/>
          <w:sz w:val="30"/>
          <w:szCs w:val="30"/>
        </w:rPr>
        <w:t>专用合同条款</w:t>
      </w:r>
    </w:p>
    <w:p>
      <w:pPr>
        <w:rPr>
          <w:sz w:val="30"/>
          <w:szCs w:val="30"/>
        </w:rPr>
        <w:sectPr>
          <w:pgSz w:w="11910" w:h="16840"/>
          <w:pgMar w:top="1360" w:right="1120" w:bottom="1080" w:left="1260" w:header="882" w:footer="880" w:gutter="0"/>
          <w:cols w:space="720" w:num="1"/>
        </w:sectPr>
      </w:pPr>
    </w:p>
    <w:p>
      <w:pPr>
        <w:pStyle w:val="11"/>
        <w:rPr>
          <w:b/>
          <w:sz w:val="18"/>
        </w:rPr>
      </w:pPr>
    </w:p>
    <w:p>
      <w:pPr>
        <w:pStyle w:val="11"/>
        <w:spacing w:before="66"/>
        <w:ind w:left="864"/>
      </w:pPr>
      <w:r>
        <w:rPr>
          <w:rFonts w:hint="eastAsia"/>
        </w:rPr>
        <w:t>说明：</w:t>
      </w:r>
    </w:p>
    <w:p>
      <w:pPr>
        <w:pStyle w:val="11"/>
        <w:spacing w:before="84" w:line="304" w:lineRule="auto"/>
        <w:ind w:left="384" w:right="465" w:firstLine="480"/>
        <w:jc w:val="both"/>
      </w:pPr>
      <w:r>
        <w:rPr>
          <w:rFonts w:hint="eastAsia"/>
        </w:rPr>
        <w:t>发包人可根据招标项目的具体特点和实际需要，对“通用合同条款”进行补充和细化，补充和细化的内容不得与“通用合同条款”强制性规定相抵触。同时，细化、补充或约定的不同内容，不得违反法律、行政法规的强制性规定和平等、自愿、公平和诚实信用原则。</w:t>
      </w:r>
    </w:p>
    <w:p>
      <w:pPr>
        <w:pStyle w:val="11"/>
        <w:spacing w:before="7"/>
        <w:ind w:left="864"/>
      </w:pPr>
      <w:r>
        <w:rPr>
          <w:rFonts w:hint="eastAsia"/>
        </w:rPr>
        <w:t>专用合同条款的编号应与通用合同条款号一致。</w:t>
      </w:r>
    </w:p>
    <w:p>
      <w:pPr>
        <w:sectPr>
          <w:footerReference r:id="rId11" w:type="default"/>
          <w:pgSz w:w="11910" w:h="16840"/>
          <w:pgMar w:top="1360" w:right="1120" w:bottom="1080" w:left="1260" w:header="882" w:footer="880" w:gutter="0"/>
          <w:cols w:space="720" w:num="1"/>
        </w:sectPr>
      </w:pPr>
    </w:p>
    <w:p>
      <w:pPr>
        <w:pStyle w:val="11"/>
        <w:rPr>
          <w:sz w:val="18"/>
        </w:rPr>
      </w:pPr>
    </w:p>
    <w:p>
      <w:pPr>
        <w:pStyle w:val="11"/>
        <w:spacing w:before="66"/>
        <w:ind w:left="3880"/>
        <w:rPr>
          <w:b/>
          <w:bCs/>
        </w:rPr>
      </w:pPr>
      <w:r>
        <w:rPr>
          <w:rFonts w:hint="eastAsia"/>
          <w:b/>
          <w:bCs/>
        </w:rPr>
        <w:t>合同条款数据表</w:t>
      </w:r>
    </w:p>
    <w:p>
      <w:pPr>
        <w:pStyle w:val="11"/>
        <w:spacing w:before="84" w:line="307" w:lineRule="auto"/>
        <w:ind w:left="384" w:right="382" w:firstLine="480"/>
      </w:pPr>
      <w:r>
        <mc:AlternateContent>
          <mc:Choice Requires="wps">
            <w:drawing>
              <wp:anchor distT="0" distB="0" distL="114300" distR="114300" simplePos="0" relativeHeight="251683840" behindDoc="0" locked="0" layoutInCell="1" allowOverlap="1">
                <wp:simplePos x="0" y="0"/>
                <wp:positionH relativeFrom="page">
                  <wp:posOffset>972185</wp:posOffset>
                </wp:positionH>
                <wp:positionV relativeFrom="paragraph">
                  <wp:posOffset>504190</wp:posOffset>
                </wp:positionV>
                <wp:extent cx="5655310" cy="6381750"/>
                <wp:effectExtent l="0" t="0" r="0" b="0"/>
                <wp:wrapNone/>
                <wp:docPr id="14" name="文本框 30"/>
                <wp:cNvGraphicFramePr/>
                <a:graphic xmlns:a="http://schemas.openxmlformats.org/drawingml/2006/main">
                  <a:graphicData uri="http://schemas.microsoft.com/office/word/2010/wordprocessingShape">
                    <wps:wsp>
                      <wps:cNvSpPr txBox="1"/>
                      <wps:spPr>
                        <a:xfrm>
                          <a:off x="0" y="0"/>
                          <a:ext cx="5655310" cy="6381750"/>
                        </a:xfrm>
                        <a:prstGeom prst="rect">
                          <a:avLst/>
                        </a:prstGeom>
                        <a:noFill/>
                        <a:ln>
                          <a:noFill/>
                        </a:ln>
                      </wps:spPr>
                      <wps:txbx>
                        <w:txbxContent>
                          <w:tbl>
                            <w:tblPr>
                              <w:tblStyle w:val="19"/>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pPr>
                                    <w:pStyle w:val="22"/>
                                    <w:keepNext w:val="0"/>
                                    <w:keepLines w:val="0"/>
                                    <w:suppressLineNumbers w:val="0"/>
                                    <w:spacing w:before="12"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6"/>
                                    <w:jc w:val="center"/>
                                    <w:rPr>
                                      <w:rFonts w:hint="default"/>
                                      <w:color w:val="auto"/>
                                      <w:sz w:val="20"/>
                                    </w:rPr>
                                  </w:pPr>
                                  <w:r>
                                    <w:rPr>
                                      <w:rFonts w:hint="default"/>
                                      <w:color w:val="auto"/>
                                      <w:sz w:val="20"/>
                                    </w:rPr>
                                    <w:t>条款号</w:t>
                                  </w:r>
                                </w:p>
                              </w:tc>
                              <w:tc>
                                <w:tcPr>
                                  <w:tcW w:w="7512" w:type="dxa"/>
                                </w:tcPr>
                                <w:p>
                                  <w:pPr>
                                    <w:pStyle w:val="22"/>
                                    <w:keepNext w:val="0"/>
                                    <w:keepLines w:val="0"/>
                                    <w:suppressLineNumbers w:val="0"/>
                                    <w:spacing w:before="12"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246" w:right="3242"/>
                                    <w:jc w:val="center"/>
                                    <w:rPr>
                                      <w:rFonts w:hint="default"/>
                                      <w:color w:val="auto"/>
                                      <w:sz w:val="20"/>
                                    </w:rPr>
                                  </w:pPr>
                                  <w:r>
                                    <w:rPr>
                                      <w:rFonts w:hint="default"/>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highlight w:val="none"/>
                                    </w:rPr>
                                  </w:pPr>
                                </w:p>
                              </w:tc>
                              <w:tc>
                                <w:tcPr>
                                  <w:tcW w:w="7512" w:type="dxa"/>
                                </w:tcPr>
                                <w:p>
                                  <w:pPr>
                                    <w:pStyle w:val="22"/>
                                    <w:keepNext w:val="0"/>
                                    <w:keepLines w:val="0"/>
                                    <w:suppressLineNumbers w:val="0"/>
                                    <w:spacing w:before="76"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发包人：</w:t>
                                  </w:r>
                                  <w:r>
                                    <w:rPr>
                                      <w:rFonts w:hint="eastAsia"/>
                                      <w:color w:val="auto"/>
                                      <w:sz w:val="21"/>
                                      <w:highlight w:val="none"/>
                                      <w:lang w:val="en-US" w:eastAsia="zh-CN"/>
                                    </w:rPr>
                                    <w:t>伽师县交通运输局</w:t>
                                  </w:r>
                                </w:p>
                                <w:p>
                                  <w:pPr>
                                    <w:pStyle w:val="22"/>
                                    <w:keepNext w:val="0"/>
                                    <w:keepLines w:val="0"/>
                                    <w:suppressLineNumbers w:val="0"/>
                                    <w:tabs>
                                      <w:tab w:val="left" w:pos="3116"/>
                                    </w:tabs>
                                    <w:spacing w:before="50"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地址：</w:t>
                                  </w:r>
                                  <w:r>
                                    <w:rPr>
                                      <w:rFonts w:hint="eastAsia"/>
                                      <w:color w:val="auto"/>
                                      <w:sz w:val="21"/>
                                      <w:highlight w:val="none"/>
                                      <w:lang w:val="en-US" w:eastAsia="zh-CN"/>
                                    </w:rPr>
                                    <w:t>伽师县</w:t>
                                  </w:r>
                                  <w:r>
                                    <w:rPr>
                                      <w:rFonts w:hint="default"/>
                                      <w:color w:val="auto"/>
                                      <w:sz w:val="21"/>
                                      <w:highlight w:val="none"/>
                                    </w:rPr>
                                    <w:tab/>
                                  </w:r>
                                  <w:r>
                                    <w:rPr>
                                      <w:rFonts w:hint="default"/>
                                      <w:color w:val="auto"/>
                                      <w:sz w:val="21"/>
                                      <w:highlight w:val="none"/>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75" w:beforeAutospacing="0" w:after="0" w:afterAutospacing="0"/>
                                    <w:ind w:left="282" w:right="0"/>
                                    <w:rPr>
                                      <w:rFonts w:hint="eastAsia" w:eastAsia="宋体"/>
                                      <w:color w:val="auto"/>
                                      <w:sz w:val="21"/>
                                      <w:lang w:val="en-US" w:eastAsia="zh-CN"/>
                                    </w:rPr>
                                  </w:pPr>
                                  <w:r>
                                    <w:rPr>
                                      <w:rFonts w:hint="default"/>
                                      <w:color w:val="auto"/>
                                      <w:sz w:val="21"/>
                                    </w:rPr>
                                    <w:t>监理人：</w:t>
                                  </w:r>
                                  <w:r>
                                    <w:rPr>
                                      <w:rFonts w:hint="eastAsia"/>
                                      <w:color w:val="auto"/>
                                      <w:sz w:val="21"/>
                                      <w:lang w:val="en-US" w:eastAsia="zh-CN"/>
                                    </w:rPr>
                                    <w:t>/</w:t>
                                  </w:r>
                                </w:p>
                                <w:p>
                                  <w:pPr>
                                    <w:pStyle w:val="22"/>
                                    <w:keepNext w:val="0"/>
                                    <w:keepLines w:val="0"/>
                                    <w:suppressLineNumbers w:val="0"/>
                                    <w:tabs>
                                      <w:tab w:val="left" w:pos="3116"/>
                                    </w:tabs>
                                    <w:spacing w:before="50" w:beforeAutospacing="0" w:after="0" w:afterAutospacing="0"/>
                                    <w:ind w:left="282" w:right="0"/>
                                    <w:rPr>
                                      <w:rFonts w:hint="default"/>
                                      <w:color w:val="auto"/>
                                      <w:sz w:val="21"/>
                                    </w:rPr>
                                  </w:pPr>
                                  <w:r>
                                    <w:rPr>
                                      <w:rFonts w:hint="default"/>
                                      <w:color w:val="auto"/>
                                      <w:sz w:val="21"/>
                                    </w:rPr>
                                    <w:t>地址：</w:t>
                                  </w:r>
                                  <w:r>
                                    <w:rPr>
                                      <w:rFonts w:hint="default"/>
                                      <w:color w:val="auto"/>
                                      <w:sz w:val="21"/>
                                    </w:rPr>
                                    <w:tab/>
                                  </w:r>
                                  <w:r>
                                    <w:rPr>
                                      <w:rFonts w:hint="default"/>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pPr>
                                    <w:pStyle w:val="22"/>
                                    <w:keepNext w:val="0"/>
                                    <w:keepLines w:val="0"/>
                                    <w:suppressLineNumbers w:val="0"/>
                                    <w:spacing w:before="6" w:beforeAutospacing="0" w:after="0" w:afterAutospacing="0"/>
                                    <w:ind w:left="0" w:right="0"/>
                                    <w:rPr>
                                      <w:rFonts w:hint="default"/>
                                      <w:color w:val="auto"/>
                                      <w:sz w:val="17"/>
                                    </w:rPr>
                                  </w:pPr>
                                </w:p>
                                <w:p>
                                  <w:pPr>
                                    <w:pStyle w:val="22"/>
                                    <w:keepNext w:val="0"/>
                                    <w:keepLines w:val="0"/>
                                    <w:suppressLineNumbers w:val="0"/>
                                    <w:spacing w:before="1" w:beforeAutospacing="0" w:after="0" w:afterAutospacing="0"/>
                                    <w:ind w:left="355" w:right="346"/>
                                    <w:jc w:val="center"/>
                                    <w:rPr>
                                      <w:rFonts w:hint="default" w:ascii="Times New Roman"/>
                                      <w:color w:val="auto"/>
                                      <w:sz w:val="20"/>
                                    </w:rPr>
                                  </w:pPr>
                                  <w:r>
                                    <w:rPr>
                                      <w:rFonts w:hint="default" w:ascii="Times New Roman"/>
                                      <w:color w:val="auto"/>
                                      <w:sz w:val="20"/>
                                    </w:rPr>
                                    <w:t>21.1</w:t>
                                  </w:r>
                                </w:p>
                              </w:tc>
                              <w:tc>
                                <w:tcPr>
                                  <w:tcW w:w="7512" w:type="dxa"/>
                                </w:tcPr>
                                <w:p>
                                  <w:pPr>
                                    <w:pStyle w:val="22"/>
                                    <w:keepNext w:val="0"/>
                                    <w:keepLines w:val="0"/>
                                    <w:suppressLineNumbers w:val="0"/>
                                    <w:spacing w:before="12" w:beforeAutospacing="0" w:after="0" w:afterAutospacing="0"/>
                                    <w:ind w:left="0" w:right="0"/>
                                    <w:rPr>
                                      <w:rFonts w:hint="default"/>
                                      <w:color w:val="auto"/>
                                      <w:sz w:val="9"/>
                                    </w:rPr>
                                  </w:pPr>
                                </w:p>
                                <w:p>
                                  <w:pPr>
                                    <w:pStyle w:val="22"/>
                                    <w:keepNext w:val="0"/>
                                    <w:keepLines w:val="0"/>
                                    <w:suppressLineNumbers w:val="0"/>
                                    <w:spacing w:before="0" w:beforeAutospacing="0" w:after="0" w:afterAutospacing="0" w:line="132" w:lineRule="exact"/>
                                    <w:ind w:left="1273" w:right="0"/>
                                    <w:rPr>
                                      <w:rFonts w:hint="default"/>
                                      <w:color w:val="auto"/>
                                      <w:sz w:val="14"/>
                                    </w:rPr>
                                  </w:pPr>
                                </w:p>
                                <w:p>
                                  <w:pPr>
                                    <w:pStyle w:val="22"/>
                                    <w:keepNext w:val="0"/>
                                    <w:keepLines w:val="0"/>
                                    <w:suppressLineNumbers w:val="0"/>
                                    <w:tabs>
                                      <w:tab w:val="left" w:pos="4014"/>
                                    </w:tabs>
                                    <w:spacing w:before="0" w:beforeAutospacing="0" w:after="0" w:afterAutospacing="0" w:line="360" w:lineRule="auto"/>
                                    <w:ind w:left="272" w:right="0"/>
                                    <w:rPr>
                                      <w:rFonts w:hint="default"/>
                                      <w:color w:val="auto"/>
                                      <w:sz w:val="20"/>
                                    </w:rPr>
                                  </w:pPr>
                                  <w:r>
                                    <w:rPr>
                                      <w:rFonts w:hint="default" w:ascii="宋体" w:hAnsi="宋体" w:eastAsia="宋体" w:cs="宋体"/>
                                      <w:color w:val="auto"/>
                                      <w:sz w:val="21"/>
                                    </w:rPr>
                                    <w:t>缺陷责任期 ：自实际交工日期起计算</w:t>
                                  </w:r>
                                  <w:r>
                                    <w:rPr>
                                      <w:rFonts w:hint="default" w:ascii="宋体" w:hAnsi="宋体" w:eastAsia="宋体" w:cs="宋体"/>
                                      <w:color w:val="auto"/>
                                      <w:sz w:val="21"/>
                                      <w:u w:val="single"/>
                                    </w:rPr>
                                    <w:t xml:space="preserve"> </w:t>
                                  </w:r>
                                  <w:r>
                                    <w:rPr>
                                      <w:rFonts w:hint="eastAsia" w:ascii="宋体" w:hAnsi="宋体" w:eastAsia="宋体" w:cs="宋体"/>
                                      <w:color w:val="auto"/>
                                      <w:sz w:val="21"/>
                                      <w:u w:val="single"/>
                                      <w:lang w:val="en-US"/>
                                    </w:rPr>
                                    <w:t xml:space="preserve">1 </w:t>
                                  </w:r>
                                  <w:r>
                                    <w:rPr>
                                      <w:rFonts w:hint="default" w:ascii="宋体" w:hAnsi="宋体" w:eastAsia="宋体" w:cs="宋体"/>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14" w:beforeAutospacing="0" w:after="0" w:afterAutospacing="0" w:line="320" w:lineRule="atLeast"/>
                                    <w:ind w:left="106" w:right="107" w:firstLine="175"/>
                                    <w:rPr>
                                      <w:rFonts w:hint="default"/>
                                      <w:color w:val="auto"/>
                                      <w:sz w:val="21"/>
                                    </w:rPr>
                                  </w:pPr>
                                  <w:r>
                                    <w:rPr>
                                      <w:rFonts w:hint="default" w:ascii="宋体" w:hAnsi="宋体" w:eastAsia="宋体" w:cs="宋体"/>
                                      <w:color w:val="auto"/>
                                      <w:sz w:val="21"/>
                                    </w:rPr>
                                    <w:t xml:space="preserve">图纸需要修改和补充的，应由监理人取得发包人同意后，在该工程或工程相应 </w:t>
                                  </w:r>
                                  <w:r>
                                    <w:rPr>
                                      <w:rFonts w:hint="default"/>
                                      <w:color w:val="auto"/>
                                      <w:w w:val="95"/>
                                      <w:sz w:val="21"/>
                                    </w:rPr>
                                    <w:t xml:space="preserve"> </w:t>
                                  </w:r>
                                  <w:r>
                                    <w:rPr>
                                      <w:rFonts w:hint="default"/>
                                      <w:color w:val="auto"/>
                                      <w:sz w:val="21"/>
                                    </w:rPr>
                                    <w:t>部位施工前</w:t>
                                  </w:r>
                                  <w:r>
                                    <w:rPr>
                                      <w:rFonts w:hint="default"/>
                                      <w:color w:val="auto"/>
                                      <w:sz w:val="21"/>
                                      <w:u w:val="single"/>
                                    </w:rPr>
                                    <w:t xml:space="preserve"> </w:t>
                                  </w:r>
                                  <w:r>
                                    <w:rPr>
                                      <w:rFonts w:hint="default" w:ascii="Times New Roman" w:eastAsia="Times New Roman"/>
                                      <w:color w:val="auto"/>
                                      <w:sz w:val="21"/>
                                      <w:u w:val="single"/>
                                    </w:rPr>
                                    <w:t>7</w:t>
                                  </w:r>
                                  <w:r>
                                    <w:rPr>
                                      <w:rFonts w:hint="default" w:ascii="Times New Roman" w:eastAsia="Times New Roman"/>
                                      <w:color w:val="auto"/>
                                      <w:spacing w:val="51"/>
                                      <w:sz w:val="21"/>
                                    </w:rPr>
                                    <w:t xml:space="preserve"> </w:t>
                                  </w:r>
                                  <w:r>
                                    <w:rPr>
                                      <w:rFonts w:hint="default"/>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178" w:beforeAutospacing="0" w:after="0" w:afterAutospacing="0"/>
                                    <w:ind w:left="282" w:right="0"/>
                                    <w:rPr>
                                      <w:rFonts w:hint="default"/>
                                      <w:color w:val="auto"/>
                                      <w:sz w:val="21"/>
                                    </w:rPr>
                                  </w:pPr>
                                  <w:r>
                                    <w:rPr>
                                      <w:rFonts w:hint="default"/>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2"/>
                                    <w:keepNext w:val="0"/>
                                    <w:keepLines w:val="0"/>
                                    <w:suppressLineNumbers w:val="0"/>
                                    <w:spacing w:before="177" w:beforeAutospacing="0" w:after="0" w:afterAutospacing="0"/>
                                    <w:ind w:left="282" w:right="0"/>
                                    <w:rPr>
                                      <w:rFonts w:hint="default"/>
                                      <w:color w:val="auto"/>
                                      <w:sz w:val="21"/>
                                    </w:rPr>
                                  </w:pPr>
                                  <w:r>
                                    <w:rPr>
                                      <w:rFonts w:hint="default"/>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2"/>
                                    <w:keepNext w:val="0"/>
                                    <w:keepLines w:val="0"/>
                                    <w:suppressLineNumbers w:val="0"/>
                                    <w:tabs>
                                      <w:tab w:val="left" w:pos="4219"/>
                                    </w:tabs>
                                    <w:spacing w:before="178" w:beforeAutospacing="0" w:after="0" w:afterAutospacing="0"/>
                                    <w:ind w:left="282" w:right="0"/>
                                    <w:rPr>
                                      <w:rFonts w:hint="default" w:ascii="Times New Roman"/>
                                      <w:color w:val="auto"/>
                                      <w:sz w:val="21"/>
                                    </w:rPr>
                                  </w:pPr>
                                  <w:r>
                                    <w:rPr>
                                      <w:rFonts w:hint="default" w:ascii="宋体" w:hAnsi="宋体" w:eastAsia="宋体" w:cs="宋体"/>
                                      <w:color w:val="auto"/>
                                      <w:sz w:val="21"/>
                                    </w:rPr>
                                    <w:t>发包人是否提供施工设备和临时设施：</w:t>
                                  </w:r>
                                  <w:r>
                                    <w:rPr>
                                      <w:rFonts w:hint="default"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pPr>
                                    <w:pStyle w:val="22"/>
                                    <w:keepNext w:val="0"/>
                                    <w:keepLines w:val="0"/>
                                    <w:suppressLineNumbers w:val="0"/>
                                    <w:spacing w:before="1" w:beforeAutospacing="0" w:after="0" w:afterAutospacing="0"/>
                                    <w:ind w:left="0" w:right="0"/>
                                    <w:rPr>
                                      <w:rFonts w:hint="default"/>
                                      <w:color w:val="auto"/>
                                      <w:sz w:val="26"/>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2"/>
                                    <w:keepNext w:val="0"/>
                                    <w:keepLines w:val="0"/>
                                    <w:suppressLineNumbers w:val="0"/>
                                    <w:tabs>
                                      <w:tab w:val="left" w:pos="2276"/>
                                    </w:tabs>
                                    <w:spacing w:before="114" w:beforeAutospacing="0" w:after="0" w:afterAutospacing="0" w:line="285" w:lineRule="auto"/>
                                    <w:ind w:left="106" w:right="188" w:firstLine="175"/>
                                    <w:rPr>
                                      <w:rFonts w:hint="default"/>
                                      <w:color w:val="auto"/>
                                      <w:sz w:val="21"/>
                                    </w:rPr>
                                  </w:pPr>
                                  <w:r>
                                    <w:rPr>
                                      <w:rFonts w:hint="default"/>
                                      <w:color w:val="auto"/>
                                      <w:sz w:val="21"/>
                                    </w:rPr>
                                    <w:t>逾期交工违约金：</w:t>
                                  </w:r>
                                  <w:r>
                                    <w:rPr>
                                      <w:rFonts w:hint="default"/>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3</w:t>
                                  </w:r>
                                  <w:r>
                                    <w:rPr>
                                      <w:rFonts w:hint="default" w:ascii="Times New Roman" w:eastAsia="Times New Roman"/>
                                      <w:color w:val="auto"/>
                                      <w:w w:val="95"/>
                                      <w:sz w:val="21"/>
                                    </w:rPr>
                                    <w:t>%</w:t>
                                  </w:r>
                                  <w:r>
                                    <w:rPr>
                                      <w:rFonts w:hint="default" w:ascii="宋体" w:hAnsi="宋体" w:eastAsia="宋体" w:cs="宋体"/>
                                      <w:color w:val="auto"/>
                                      <w:sz w:val="21"/>
                                    </w:rPr>
                                    <w:t>合同价元/天（如由于承包人的原因造成逾期交工，其</w:t>
                                  </w:r>
                                  <w:r>
                                    <w:rPr>
                                      <w:rFonts w:hint="default"/>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2"/>
                                    <w:keepNext w:val="0"/>
                                    <w:keepLines w:val="0"/>
                                    <w:suppressLineNumbers w:val="0"/>
                                    <w:spacing w:before="106" w:beforeAutospacing="0" w:after="0" w:afterAutospacing="0" w:line="125" w:lineRule="exact"/>
                                    <w:ind w:left="662" w:right="0"/>
                                    <w:jc w:val="center"/>
                                    <w:rPr>
                                      <w:rFonts w:hint="default"/>
                                      <w:color w:val="auto"/>
                                      <w:sz w:val="14"/>
                                    </w:rPr>
                                  </w:pPr>
                                </w:p>
                                <w:p>
                                  <w:pPr>
                                    <w:pStyle w:val="22"/>
                                    <w:keepNext w:val="0"/>
                                    <w:keepLines w:val="0"/>
                                    <w:pageBreakBefore w:val="0"/>
                                    <w:widowControl w:val="0"/>
                                    <w:suppressLineNumbers w:val="0"/>
                                    <w:tabs>
                                      <w:tab w:val="left" w:pos="2802"/>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逾期交工违约金限额：</w:t>
                                  </w:r>
                                  <w:r>
                                    <w:rPr>
                                      <w:rFonts w:hint="default"/>
                                      <w:color w:val="auto"/>
                                      <w:sz w:val="21"/>
                                      <w:u w:val="single"/>
                                    </w:rPr>
                                    <w:t xml:space="preserve"> </w:t>
                                  </w:r>
                                  <w:r>
                                    <w:rPr>
                                      <w:rFonts w:hint="eastAsia"/>
                                      <w:color w:val="auto"/>
                                      <w:sz w:val="21"/>
                                      <w:u w:val="single"/>
                                      <w:lang w:val="en-US"/>
                                    </w:rPr>
                                    <w:t xml:space="preserve">10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5.6</w:t>
                                  </w:r>
                                </w:p>
                              </w:tc>
                              <w:tc>
                                <w:tcPr>
                                  <w:tcW w:w="7512" w:type="dxa"/>
                                </w:tcPr>
                                <w:p>
                                  <w:pPr>
                                    <w:pStyle w:val="22"/>
                                    <w:keepNext w:val="0"/>
                                    <w:keepLines w:val="0"/>
                                    <w:suppressLineNumbers w:val="0"/>
                                    <w:spacing w:before="105" w:beforeAutospacing="0" w:after="0" w:afterAutospacing="0" w:line="125" w:lineRule="exact"/>
                                    <w:ind w:left="33" w:right="0"/>
                                    <w:jc w:val="center"/>
                                    <w:rPr>
                                      <w:rFonts w:hint="default"/>
                                      <w:color w:val="auto"/>
                                      <w:sz w:val="14"/>
                                    </w:rPr>
                                  </w:pPr>
                                </w:p>
                                <w:p>
                                  <w:pPr>
                                    <w:pStyle w:val="22"/>
                                    <w:keepNext w:val="0"/>
                                    <w:keepLines w:val="0"/>
                                    <w:pageBreakBefore w:val="0"/>
                                    <w:widowControl w:val="0"/>
                                    <w:suppressLineNumbers w:val="0"/>
                                    <w:tabs>
                                      <w:tab w:val="left" w:pos="2487"/>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开工预付款金额：</w:t>
                                  </w:r>
                                  <w:r>
                                    <w:rPr>
                                      <w:rFonts w:hint="eastAsia"/>
                                      <w:color w:val="auto"/>
                                      <w:sz w:val="21"/>
                                      <w:u w:val="single"/>
                                      <w:lang w:val="en-US" w:eastAsia="zh-CN"/>
                                    </w:rPr>
                                    <w:t>30</w:t>
                                  </w:r>
                                  <w:r>
                                    <w:rPr>
                                      <w:rFonts w:hint="eastAsia"/>
                                      <w:color w:val="auto"/>
                                      <w:sz w:val="21"/>
                                      <w:u w:val="single"/>
                                      <w:lang w:val="en-US"/>
                                    </w:rPr>
                                    <w:t xml:space="preserve">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17.5</w:t>
                                  </w:r>
                                </w:p>
                              </w:tc>
                              <w:tc>
                                <w:tcPr>
                                  <w:tcW w:w="7512" w:type="dxa"/>
                                </w:tcPr>
                                <w:p>
                                  <w:pPr>
                                    <w:pStyle w:val="22"/>
                                    <w:keepNext w:val="0"/>
                                    <w:keepLines w:val="0"/>
                                    <w:suppressLineNumbers w:val="0"/>
                                    <w:spacing w:before="106" w:beforeAutospacing="0" w:after="0" w:afterAutospacing="0" w:line="125" w:lineRule="exact"/>
                                    <w:ind w:left="0" w:right="426"/>
                                    <w:jc w:val="right"/>
                                    <w:rPr>
                                      <w:rFonts w:hint="default"/>
                                      <w:color w:val="auto"/>
                                      <w:sz w:val="14"/>
                                    </w:rPr>
                                  </w:pPr>
                                </w:p>
                                <w:p>
                                  <w:pPr>
                                    <w:pStyle w:val="22"/>
                                    <w:keepNext w:val="0"/>
                                    <w:keepLines w:val="0"/>
                                    <w:suppressLineNumbers w:val="0"/>
                                    <w:tabs>
                                      <w:tab w:val="left" w:pos="6687"/>
                                    </w:tabs>
                                    <w:spacing w:before="0" w:beforeAutospacing="0" w:after="0" w:afterAutospacing="0" w:line="215" w:lineRule="exact"/>
                                    <w:ind w:left="282" w:right="0"/>
                                    <w:rPr>
                                      <w:rFonts w:hint="default" w:ascii="Times New Roman" w:eastAsia="Times New Roman"/>
                                      <w:color w:val="auto"/>
                                      <w:sz w:val="21"/>
                                    </w:rPr>
                                  </w:pPr>
                                  <w:r>
                                    <w:rPr>
                                      <w:rFonts w:hint="default"/>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w:t>
                                  </w:r>
                                  <w:r>
                                    <w:rPr>
                                      <w:rFonts w:hint="eastAsia"/>
                                      <w:color w:val="auto"/>
                                      <w:sz w:val="21"/>
                                      <w:highlight w:val="none"/>
                                      <w:u w:val="single"/>
                                      <w:lang w:val="en-US"/>
                                    </w:rPr>
                                    <w:t xml:space="preserve"> </w:t>
                                  </w:r>
                                  <w:r>
                                    <w:rPr>
                                      <w:rFonts w:hint="default"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18.3</w:t>
                                  </w:r>
                                </w:p>
                              </w:tc>
                              <w:tc>
                                <w:tcPr>
                                  <w:tcW w:w="7512" w:type="dxa"/>
                                </w:tcPr>
                                <w:p>
                                  <w:pPr>
                                    <w:pStyle w:val="22"/>
                                    <w:keepNext w:val="0"/>
                                    <w:keepLines w:val="0"/>
                                    <w:suppressLineNumbers w:val="0"/>
                                    <w:spacing w:before="177" w:beforeAutospacing="0" w:after="0" w:afterAutospacing="0"/>
                                    <w:ind w:left="282" w:right="0"/>
                                    <w:rPr>
                                      <w:rFonts w:hint="default"/>
                                      <w:color w:val="auto"/>
                                      <w:sz w:val="21"/>
                                    </w:rPr>
                                  </w:pPr>
                                  <w:r>
                                    <w:rPr>
                                      <w:rFonts w:hint="default"/>
                                      <w:color w:val="auto"/>
                                      <w:sz w:val="21"/>
                                    </w:rPr>
                                    <w:t>承包人在每个付款周期末向监理人提交进度付款申请单的份数：</w:t>
                                  </w:r>
                                  <w:r>
                                    <w:rPr>
                                      <w:rFonts w:hint="default"/>
                                      <w:color w:val="auto"/>
                                      <w:sz w:val="21"/>
                                      <w:u w:val="single"/>
                                    </w:rPr>
                                    <w:t xml:space="preserve"> </w:t>
                                  </w:r>
                                  <w:r>
                                    <w:rPr>
                                      <w:rFonts w:hint="default" w:ascii="Times New Roman" w:eastAsia="Times New Roman"/>
                                      <w:color w:val="auto"/>
                                      <w:sz w:val="21"/>
                                      <w:u w:val="single"/>
                                    </w:rPr>
                                    <w:t>6</w:t>
                                  </w:r>
                                  <w:r>
                                    <w:rPr>
                                      <w:rFonts w:hint="default" w:ascii="Times New Roman" w:eastAsia="Times New Roman"/>
                                      <w:color w:val="auto"/>
                                      <w:sz w:val="21"/>
                                    </w:rPr>
                                    <w:t xml:space="preserve"> </w:t>
                                  </w:r>
                                  <w:r>
                                    <w:rPr>
                                      <w:rFonts w:hint="default"/>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pPr>
                                    <w:pStyle w:val="22"/>
                                    <w:keepNext w:val="0"/>
                                    <w:keepLines w:val="0"/>
                                    <w:suppressLineNumbers w:val="0"/>
                                    <w:spacing w:before="10" w:beforeAutospacing="0" w:after="0" w:afterAutospacing="0"/>
                                    <w:ind w:left="0" w:right="0"/>
                                    <w:rPr>
                                      <w:rFonts w:hint="default"/>
                                      <w:color w:val="auto"/>
                                      <w:sz w:val="20"/>
                                    </w:rPr>
                                  </w:pPr>
                                </w:p>
                                <w:p>
                                  <w:pPr>
                                    <w:pStyle w:val="22"/>
                                    <w:keepNext w:val="0"/>
                                    <w:keepLines w:val="0"/>
                                    <w:suppressLineNumbers w:val="0"/>
                                    <w:spacing w:before="0" w:beforeAutospacing="0" w:after="0" w:afterAutospacing="0"/>
                                    <w:ind w:left="356" w:right="346"/>
                                    <w:jc w:val="center"/>
                                    <w:rPr>
                                      <w:rFonts w:hint="default" w:ascii="Times New Roman"/>
                                      <w:color w:val="auto"/>
                                      <w:sz w:val="20"/>
                                    </w:rPr>
                                  </w:pPr>
                                  <w:r>
                                    <w:rPr>
                                      <w:rFonts w:hint="default" w:ascii="Times New Roman"/>
                                      <w:color w:val="auto"/>
                                      <w:sz w:val="20"/>
                                    </w:rPr>
                                    <w:t>18.3(3)</w:t>
                                  </w:r>
                                </w:p>
                              </w:tc>
                              <w:tc>
                                <w:tcPr>
                                  <w:tcW w:w="7512" w:type="dxa"/>
                                </w:tcPr>
                                <w:p>
                                  <w:pPr>
                                    <w:pStyle w:val="22"/>
                                    <w:keepNext w:val="0"/>
                                    <w:keepLines w:val="0"/>
                                    <w:suppressLineNumbers w:val="0"/>
                                    <w:spacing w:before="0" w:beforeAutospacing="0" w:after="0" w:afterAutospacing="0" w:line="320" w:lineRule="exact"/>
                                    <w:ind w:left="106" w:right="41" w:firstLine="175"/>
                                    <w:rPr>
                                      <w:rFonts w:hint="default"/>
                                      <w:color w:val="auto"/>
                                      <w:sz w:val="21"/>
                                    </w:rPr>
                                  </w:pPr>
                                  <w:r>
                                    <w:rPr>
                                      <w:rFonts w:hint="default"/>
                                      <w:color w:val="auto"/>
                                      <w:sz w:val="21"/>
                                    </w:rPr>
                                    <w:t xml:space="preserve">逾期付款违约金的利率：全国银行间同业拆借中心公布的 </w:t>
                                  </w:r>
                                  <w:r>
                                    <w:rPr>
                                      <w:rFonts w:hint="default" w:ascii="Times New Roman" w:eastAsia="Times New Roman"/>
                                      <w:color w:val="auto"/>
                                      <w:sz w:val="21"/>
                                    </w:rPr>
                                    <w:t xml:space="preserve">1 </w:t>
                                  </w:r>
                                  <w:r>
                                    <w:rPr>
                                      <w:rFonts w:hint="default"/>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347" w:type="dxa"/>
                                </w:tcPr>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183" w:beforeAutospacing="0" w:after="0" w:afterAutospacing="0"/>
                                    <w:ind w:left="356" w:right="346"/>
                                    <w:jc w:val="center"/>
                                    <w:rPr>
                                      <w:rFonts w:hint="default" w:ascii="Times New Roman"/>
                                      <w:color w:val="auto"/>
                                      <w:sz w:val="20"/>
                                    </w:rPr>
                                  </w:pPr>
                                  <w:r>
                                    <w:rPr>
                                      <w:rFonts w:hint="default" w:ascii="Times New Roman"/>
                                      <w:color w:val="auto"/>
                                      <w:sz w:val="20"/>
                                    </w:rPr>
                                    <w:t>18.7(1)</w:t>
                                  </w:r>
                                </w:p>
                              </w:tc>
                              <w:tc>
                                <w:tcPr>
                                  <w:tcW w:w="7512" w:type="dxa"/>
                                </w:tcPr>
                                <w:p>
                                  <w:pPr>
                                    <w:pStyle w:val="22"/>
                                    <w:keepNext w:val="0"/>
                                    <w:keepLines w:val="0"/>
                                    <w:suppressLineNumbers w:val="0"/>
                                    <w:spacing w:before="0" w:beforeAutospacing="0" w:after="0" w:afterAutospacing="0" w:line="100" w:lineRule="exact"/>
                                    <w:ind w:left="1750" w:right="0"/>
                                    <w:rPr>
                                      <w:rFonts w:hint="default"/>
                                      <w:color w:val="auto"/>
                                      <w:sz w:val="14"/>
                                    </w:rPr>
                                  </w:pPr>
                                </w:p>
                                <w:p>
                                  <w:pPr>
                                    <w:pStyle w:val="2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106" w:right="41" w:firstLine="175"/>
                                    <w:textAlignment w:val="auto"/>
                                    <w:rPr>
                                      <w:rFonts w:hint="default" w:ascii="宋体" w:hAnsi="宋体" w:eastAsia="宋体" w:cs="宋体"/>
                                      <w:color w:val="auto"/>
                                      <w:sz w:val="21"/>
                                    </w:rPr>
                                  </w:pPr>
                                  <w:r>
                                    <w:rPr>
                                      <w:rFonts w:hint="default" w:ascii="宋体" w:hAnsi="宋体" w:eastAsia="宋体" w:cs="宋体"/>
                                      <w:color w:val="auto"/>
                                      <w:sz w:val="21"/>
                                    </w:rPr>
                                    <w:t>质量保证金限额 ：</w:t>
                                  </w:r>
                                  <w:r>
                                    <w:rPr>
                                      <w:rFonts w:hint="eastAsia" w:ascii="宋体" w:hAnsi="宋体" w:eastAsia="宋体" w:cs="宋体"/>
                                      <w:color w:val="auto"/>
                                      <w:sz w:val="21"/>
                                      <w:u w:val="none"/>
                                      <w:lang w:val="en-US"/>
                                    </w:rPr>
                                    <w:t>3</w:t>
                                  </w:r>
                                  <w:r>
                                    <w:rPr>
                                      <w:rFonts w:hint="default" w:ascii="宋体" w:hAnsi="宋体" w:eastAsia="宋体" w:cs="宋体"/>
                                      <w:color w:val="auto"/>
                                      <w:sz w:val="21"/>
                                      <w:u w:val="none"/>
                                    </w:rPr>
                                    <w:t>%</w:t>
                                  </w:r>
                                  <w:r>
                                    <w:rPr>
                                      <w:rFonts w:hint="eastAsia" w:cs="宋体"/>
                                      <w:color w:val="auto"/>
                                      <w:sz w:val="21"/>
                                      <w:u w:val="none"/>
                                      <w:lang w:val="en-US" w:eastAsia="zh-CN"/>
                                    </w:rPr>
                                    <w:t xml:space="preserve"> </w:t>
                                  </w:r>
                                  <w:r>
                                    <w:rPr>
                                      <w:rFonts w:hint="default" w:ascii="宋体" w:hAnsi="宋体" w:eastAsia="宋体" w:cs="宋体"/>
                                      <w:color w:val="auto"/>
                                      <w:sz w:val="21"/>
                                    </w:rPr>
                                    <w:t>合同价格，若交工验收时承包人具备交通运输厅农村</w:t>
                                  </w:r>
                                </w:p>
                                <w:p>
                                  <w:pPr>
                                    <w:pStyle w:val="22"/>
                                    <w:keepNext w:val="0"/>
                                    <w:keepLines w:val="0"/>
                                    <w:pageBreakBefore w:val="0"/>
                                    <w:widowControl w:val="0"/>
                                    <w:suppressLineNumbers w:val="0"/>
                                    <w:tabs>
                                      <w:tab w:val="left" w:pos="7149"/>
                                    </w:tabs>
                                    <w:kinsoku/>
                                    <w:wordWrap/>
                                    <w:overflowPunct/>
                                    <w:topLinePunct w:val="0"/>
                                    <w:autoSpaceDE w:val="0"/>
                                    <w:autoSpaceDN w:val="0"/>
                                    <w:bidi w:val="0"/>
                                    <w:adjustRightInd/>
                                    <w:snapToGrid/>
                                    <w:spacing w:before="50" w:beforeAutospacing="0" w:after="0" w:afterAutospacing="0" w:line="260" w:lineRule="exact"/>
                                    <w:ind w:left="0" w:right="96"/>
                                    <w:jc w:val="right"/>
                                    <w:textAlignment w:val="auto"/>
                                    <w:rPr>
                                      <w:rFonts w:hint="default" w:ascii="Times New Roman" w:eastAsia="Times New Roman"/>
                                      <w:color w:val="auto"/>
                                      <w:sz w:val="21"/>
                                    </w:rPr>
                                  </w:pPr>
                                  <w:r>
                                    <w:rPr>
                                      <w:rFonts w:hint="default"/>
                                      <w:color w:val="auto"/>
                                      <w:sz w:val="21"/>
                                    </w:rPr>
                                    <w:t>公路建设从业单位信用信息评价体系评定的最高信用等级</w:t>
                                  </w:r>
                                  <w:r>
                                    <w:rPr>
                                      <w:rFonts w:hint="default"/>
                                      <w:color w:val="auto"/>
                                      <w:spacing w:val="-97"/>
                                      <w:sz w:val="21"/>
                                    </w:rPr>
                                    <w:t>，</w:t>
                                  </w:r>
                                  <w:r>
                                    <w:rPr>
                                      <w:rFonts w:hint="default"/>
                                      <w:color w:val="auto"/>
                                      <w:sz w:val="21"/>
                                    </w:rPr>
                                    <w:t>发包人可以给予</w:t>
                                  </w:r>
                                  <w:r>
                                    <w:rPr>
                                      <w:rFonts w:hint="default"/>
                                      <w:color w:val="auto"/>
                                      <w:sz w:val="21"/>
                                      <w:u w:val="single"/>
                                    </w:rPr>
                                    <w:t xml:space="preserve"> </w:t>
                                  </w:r>
                                  <w:r>
                                    <w:rPr>
                                      <w:rFonts w:hint="eastAsia"/>
                                      <w:color w:val="auto"/>
                                      <w:sz w:val="21"/>
                                      <w:u w:val="single"/>
                                    </w:rPr>
                                    <w:t>/</w:t>
                                  </w:r>
                                  <w:r>
                                    <w:rPr>
                                      <w:rFonts w:hint="default"/>
                                      <w:color w:val="auto"/>
                                      <w:sz w:val="21"/>
                                      <w:u w:val="single"/>
                                    </w:rPr>
                                    <w:tab/>
                                  </w:r>
                                  <w:r>
                                    <w:rPr>
                                      <w:rFonts w:hint="default" w:ascii="Times New Roman" w:eastAsia="Times New Roman"/>
                                      <w:color w:val="auto"/>
                                      <w:spacing w:val="-1"/>
                                      <w:sz w:val="21"/>
                                    </w:rPr>
                                    <w:t>%</w:t>
                                  </w:r>
                                </w:p>
                                <w:p>
                                  <w:pPr>
                                    <w:pStyle w:val="2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0" w:right="0"/>
                                    <w:textAlignment w:val="auto"/>
                                    <w:rPr>
                                      <w:rFonts w:hint="default"/>
                                      <w:color w:val="auto"/>
                                      <w:sz w:val="21"/>
                                    </w:rPr>
                                  </w:pPr>
                                  <w:r>
                                    <w:rPr>
                                      <w:rFonts w:hint="default" w:ascii="宋体" w:hAnsi="宋体" w:eastAsia="宋体" w:cs="宋体"/>
                                      <w:color w:val="auto"/>
                                      <w:sz w:val="21"/>
                                    </w:rPr>
                                    <w:t>合同价格质量保证金的优惠</w:t>
                                  </w:r>
                                  <w:r>
                                    <w:rPr>
                                      <w:rFonts w:hint="default"/>
                                      <w:color w:val="auto"/>
                                      <w:sz w:val="21"/>
                                    </w:rPr>
                                    <w:t xml:space="preserve"> ：</w:t>
                                  </w:r>
                                </w:p>
                                <w:p>
                                  <w:pPr>
                                    <w:pStyle w:val="22"/>
                                    <w:keepNext w:val="0"/>
                                    <w:keepLines w:val="0"/>
                                    <w:suppressLineNumbers w:val="0"/>
                                    <w:tabs>
                                      <w:tab w:val="left" w:pos="3595"/>
                                    </w:tabs>
                                    <w:spacing w:before="0" w:beforeAutospacing="0" w:after="0" w:afterAutospacing="0" w:line="327" w:lineRule="exact"/>
                                    <w:ind w:left="306" w:right="0"/>
                                    <w:rPr>
                                      <w:rFonts w:hint="default" w:ascii="Times New Roman" w:hAnsi="Times New Roman" w:eastAsia="Times New Roman"/>
                                      <w:color w:val="auto"/>
                                      <w:sz w:val="21"/>
                                    </w:rPr>
                                  </w:pPr>
                                  <w:r>
                                    <w:rPr>
                                      <w:rFonts w:hint="default" w:ascii="Times New Roman" w:hAnsi="Times New Roman" w:eastAsia="Times New Roman"/>
                                      <w:color w:val="auto"/>
                                      <w:w w:val="95"/>
                                      <w:sz w:val="32"/>
                                    </w:rPr>
                                    <w:t>□</w:t>
                                  </w:r>
                                  <w:r>
                                    <w:rPr>
                                      <w:rFonts w:hint="default" w:ascii="宋体" w:hAnsi="宋体" w:eastAsia="宋体" w:cs="宋体"/>
                                      <w:color w:val="auto"/>
                                      <w:sz w:val="21"/>
                                    </w:rPr>
                                    <w:t>是，利息的计算方式：</w:t>
                                  </w:r>
                                  <w:r>
                                    <w:rPr>
                                      <w:rFonts w:hint="default" w:ascii="Times New Roman" w:hAnsi="Times New Roman" w:eastAsia="Times New Roman"/>
                                      <w:color w:val="auto"/>
                                      <w:w w:val="95"/>
                                      <w:sz w:val="21"/>
                                      <w:u w:val="single"/>
                                    </w:rPr>
                                    <w:t xml:space="preserve"> </w:t>
                                  </w:r>
                                  <w:r>
                                    <w:rPr>
                                      <w:rFonts w:hint="default" w:ascii="Times New Roman" w:hAnsi="Times New Roman" w:eastAsia="Times New Roman"/>
                                      <w:color w:val="auto"/>
                                      <w:sz w:val="21"/>
                                      <w:u w:val="single"/>
                                    </w:rPr>
                                    <w:tab/>
                                  </w:r>
                                </w:p>
                                <w:p>
                                  <w:pPr>
                                    <w:pStyle w:val="22"/>
                                    <w:keepNext w:val="0"/>
                                    <w:keepLines w:val="0"/>
                                    <w:suppressLineNumbers w:val="0"/>
                                    <w:spacing w:before="0" w:beforeAutospacing="0" w:after="0" w:afterAutospacing="0" w:line="315" w:lineRule="exact"/>
                                    <w:ind w:left="306" w:right="0"/>
                                    <w:rPr>
                                      <w:rFonts w:hint="default"/>
                                      <w:color w:val="auto"/>
                                      <w:sz w:val="21"/>
                                    </w:rPr>
                                  </w:pPr>
                                  <w:r>
                                    <w:rPr>
                                      <w:rFonts w:hint="eastAsia" w:ascii="Times New Roman" w:hAnsi="Times New Roman"/>
                                      <w:color w:val="auto"/>
                                      <w:sz w:val="32"/>
                                    </w:rPr>
                                    <w:t>☑</w:t>
                                  </w:r>
                                  <w:r>
                                    <w:rPr>
                                      <w:rFonts w:hint="default" w:ascii="宋体" w:hAnsi="宋体" w:eastAsia="宋体" w:cs="宋体"/>
                                      <w:color w:val="auto"/>
                                      <w:sz w:val="21"/>
                                    </w:rPr>
                                    <w:t>否</w:t>
                                  </w:r>
                                </w:p>
                              </w:tc>
                            </w:tr>
                          </w:tbl>
                          <w:p>
                            <w:pPr>
                              <w:pStyle w:val="11"/>
                            </w:pPr>
                          </w:p>
                        </w:txbxContent>
                      </wps:txbx>
                      <wps:bodyPr lIns="0" tIns="0" rIns="0" bIns="0" upright="1"/>
                    </wps:wsp>
                  </a:graphicData>
                </a:graphic>
              </wp:anchor>
            </w:drawing>
          </mc:Choice>
          <mc:Fallback>
            <w:pict>
              <v:shape id="文本框 30" o:spid="_x0000_s1026" o:spt="202" type="#_x0000_t202" style="position:absolute;left:0pt;margin-left:76.55pt;margin-top:39.7pt;height:502.5pt;width:445.3pt;mso-position-horizontal-relative:page;z-index:251683840;mso-width-relative:page;mso-height-relative:page;" filled="f" stroked="f" coordsize="21600,21600" o:gfxdata="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zWda2gAAAAwBAAAPAAAAAAAAAAEAIAAAACIAAABkcnMvZG93bnJldi54bWxQ&#10;SwECFAAUAAAACACHTuJAWn5BIrwBAAB1AwAADgAAAAAAAAABACAAAAApAQAAZHJzL2Uyb0RvYy54&#10;bWxQSwUGAAAAAAYABgBZAQAAVwUAAAAA&#10;">
                <v:fill on="f" focussize="0,0"/>
                <v:stroke on="f"/>
                <v:imagedata o:title=""/>
                <o:lock v:ext="edit" aspectratio="f"/>
                <v:textbox inset="0mm,0mm,0mm,0mm">
                  <w:txbxContent>
                    <w:tbl>
                      <w:tblPr>
                        <w:tblStyle w:val="19"/>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pPr>
                              <w:pStyle w:val="22"/>
                              <w:keepNext w:val="0"/>
                              <w:keepLines w:val="0"/>
                              <w:suppressLineNumbers w:val="0"/>
                              <w:spacing w:before="12"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6"/>
                              <w:jc w:val="center"/>
                              <w:rPr>
                                <w:rFonts w:hint="default"/>
                                <w:color w:val="auto"/>
                                <w:sz w:val="20"/>
                              </w:rPr>
                            </w:pPr>
                            <w:r>
                              <w:rPr>
                                <w:rFonts w:hint="default"/>
                                <w:color w:val="auto"/>
                                <w:sz w:val="20"/>
                              </w:rPr>
                              <w:t>条款号</w:t>
                            </w:r>
                          </w:p>
                        </w:tc>
                        <w:tc>
                          <w:tcPr>
                            <w:tcW w:w="7512" w:type="dxa"/>
                          </w:tcPr>
                          <w:p>
                            <w:pPr>
                              <w:pStyle w:val="22"/>
                              <w:keepNext w:val="0"/>
                              <w:keepLines w:val="0"/>
                              <w:suppressLineNumbers w:val="0"/>
                              <w:spacing w:before="12"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246" w:right="3242"/>
                              <w:jc w:val="center"/>
                              <w:rPr>
                                <w:rFonts w:hint="default"/>
                                <w:color w:val="auto"/>
                                <w:sz w:val="20"/>
                              </w:rPr>
                            </w:pPr>
                            <w:r>
                              <w:rPr>
                                <w:rFonts w:hint="default"/>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highlight w:val="none"/>
                              </w:rPr>
                            </w:pPr>
                          </w:p>
                        </w:tc>
                        <w:tc>
                          <w:tcPr>
                            <w:tcW w:w="7512" w:type="dxa"/>
                          </w:tcPr>
                          <w:p>
                            <w:pPr>
                              <w:pStyle w:val="22"/>
                              <w:keepNext w:val="0"/>
                              <w:keepLines w:val="0"/>
                              <w:suppressLineNumbers w:val="0"/>
                              <w:spacing w:before="76"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发包人：</w:t>
                            </w:r>
                            <w:r>
                              <w:rPr>
                                <w:rFonts w:hint="eastAsia"/>
                                <w:color w:val="auto"/>
                                <w:sz w:val="21"/>
                                <w:highlight w:val="none"/>
                                <w:lang w:val="en-US" w:eastAsia="zh-CN"/>
                              </w:rPr>
                              <w:t>伽师县交通运输局</w:t>
                            </w:r>
                          </w:p>
                          <w:p>
                            <w:pPr>
                              <w:pStyle w:val="22"/>
                              <w:keepNext w:val="0"/>
                              <w:keepLines w:val="0"/>
                              <w:suppressLineNumbers w:val="0"/>
                              <w:tabs>
                                <w:tab w:val="left" w:pos="3116"/>
                              </w:tabs>
                              <w:spacing w:before="50"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地址：</w:t>
                            </w:r>
                            <w:r>
                              <w:rPr>
                                <w:rFonts w:hint="eastAsia"/>
                                <w:color w:val="auto"/>
                                <w:sz w:val="21"/>
                                <w:highlight w:val="none"/>
                                <w:lang w:val="en-US" w:eastAsia="zh-CN"/>
                              </w:rPr>
                              <w:t>伽师县</w:t>
                            </w:r>
                            <w:r>
                              <w:rPr>
                                <w:rFonts w:hint="default"/>
                                <w:color w:val="auto"/>
                                <w:sz w:val="21"/>
                                <w:highlight w:val="none"/>
                              </w:rPr>
                              <w:tab/>
                            </w:r>
                            <w:r>
                              <w:rPr>
                                <w:rFonts w:hint="default"/>
                                <w:color w:val="auto"/>
                                <w:sz w:val="21"/>
                                <w:highlight w:val="none"/>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75" w:beforeAutospacing="0" w:after="0" w:afterAutospacing="0"/>
                              <w:ind w:left="282" w:right="0"/>
                              <w:rPr>
                                <w:rFonts w:hint="eastAsia" w:eastAsia="宋体"/>
                                <w:color w:val="auto"/>
                                <w:sz w:val="21"/>
                                <w:lang w:val="en-US" w:eastAsia="zh-CN"/>
                              </w:rPr>
                            </w:pPr>
                            <w:r>
                              <w:rPr>
                                <w:rFonts w:hint="default"/>
                                <w:color w:val="auto"/>
                                <w:sz w:val="21"/>
                              </w:rPr>
                              <w:t>监理人：</w:t>
                            </w:r>
                            <w:r>
                              <w:rPr>
                                <w:rFonts w:hint="eastAsia"/>
                                <w:color w:val="auto"/>
                                <w:sz w:val="21"/>
                                <w:lang w:val="en-US" w:eastAsia="zh-CN"/>
                              </w:rPr>
                              <w:t>/</w:t>
                            </w:r>
                          </w:p>
                          <w:p>
                            <w:pPr>
                              <w:pStyle w:val="22"/>
                              <w:keepNext w:val="0"/>
                              <w:keepLines w:val="0"/>
                              <w:suppressLineNumbers w:val="0"/>
                              <w:tabs>
                                <w:tab w:val="left" w:pos="3116"/>
                              </w:tabs>
                              <w:spacing w:before="50" w:beforeAutospacing="0" w:after="0" w:afterAutospacing="0"/>
                              <w:ind w:left="282" w:right="0"/>
                              <w:rPr>
                                <w:rFonts w:hint="default"/>
                                <w:color w:val="auto"/>
                                <w:sz w:val="21"/>
                              </w:rPr>
                            </w:pPr>
                            <w:r>
                              <w:rPr>
                                <w:rFonts w:hint="default"/>
                                <w:color w:val="auto"/>
                                <w:sz w:val="21"/>
                              </w:rPr>
                              <w:t>地址：</w:t>
                            </w:r>
                            <w:r>
                              <w:rPr>
                                <w:rFonts w:hint="default"/>
                                <w:color w:val="auto"/>
                                <w:sz w:val="21"/>
                              </w:rPr>
                              <w:tab/>
                            </w:r>
                            <w:r>
                              <w:rPr>
                                <w:rFonts w:hint="default"/>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pPr>
                              <w:pStyle w:val="22"/>
                              <w:keepNext w:val="0"/>
                              <w:keepLines w:val="0"/>
                              <w:suppressLineNumbers w:val="0"/>
                              <w:spacing w:before="6" w:beforeAutospacing="0" w:after="0" w:afterAutospacing="0"/>
                              <w:ind w:left="0" w:right="0"/>
                              <w:rPr>
                                <w:rFonts w:hint="default"/>
                                <w:color w:val="auto"/>
                                <w:sz w:val="17"/>
                              </w:rPr>
                            </w:pPr>
                          </w:p>
                          <w:p>
                            <w:pPr>
                              <w:pStyle w:val="22"/>
                              <w:keepNext w:val="0"/>
                              <w:keepLines w:val="0"/>
                              <w:suppressLineNumbers w:val="0"/>
                              <w:spacing w:before="1" w:beforeAutospacing="0" w:after="0" w:afterAutospacing="0"/>
                              <w:ind w:left="355" w:right="346"/>
                              <w:jc w:val="center"/>
                              <w:rPr>
                                <w:rFonts w:hint="default" w:ascii="Times New Roman"/>
                                <w:color w:val="auto"/>
                                <w:sz w:val="20"/>
                              </w:rPr>
                            </w:pPr>
                            <w:r>
                              <w:rPr>
                                <w:rFonts w:hint="default" w:ascii="Times New Roman"/>
                                <w:color w:val="auto"/>
                                <w:sz w:val="20"/>
                              </w:rPr>
                              <w:t>21.1</w:t>
                            </w:r>
                          </w:p>
                        </w:tc>
                        <w:tc>
                          <w:tcPr>
                            <w:tcW w:w="7512" w:type="dxa"/>
                          </w:tcPr>
                          <w:p>
                            <w:pPr>
                              <w:pStyle w:val="22"/>
                              <w:keepNext w:val="0"/>
                              <w:keepLines w:val="0"/>
                              <w:suppressLineNumbers w:val="0"/>
                              <w:spacing w:before="12" w:beforeAutospacing="0" w:after="0" w:afterAutospacing="0"/>
                              <w:ind w:left="0" w:right="0"/>
                              <w:rPr>
                                <w:rFonts w:hint="default"/>
                                <w:color w:val="auto"/>
                                <w:sz w:val="9"/>
                              </w:rPr>
                            </w:pPr>
                          </w:p>
                          <w:p>
                            <w:pPr>
                              <w:pStyle w:val="22"/>
                              <w:keepNext w:val="0"/>
                              <w:keepLines w:val="0"/>
                              <w:suppressLineNumbers w:val="0"/>
                              <w:spacing w:before="0" w:beforeAutospacing="0" w:after="0" w:afterAutospacing="0" w:line="132" w:lineRule="exact"/>
                              <w:ind w:left="1273" w:right="0"/>
                              <w:rPr>
                                <w:rFonts w:hint="default"/>
                                <w:color w:val="auto"/>
                                <w:sz w:val="14"/>
                              </w:rPr>
                            </w:pPr>
                          </w:p>
                          <w:p>
                            <w:pPr>
                              <w:pStyle w:val="22"/>
                              <w:keepNext w:val="0"/>
                              <w:keepLines w:val="0"/>
                              <w:suppressLineNumbers w:val="0"/>
                              <w:tabs>
                                <w:tab w:val="left" w:pos="4014"/>
                              </w:tabs>
                              <w:spacing w:before="0" w:beforeAutospacing="0" w:after="0" w:afterAutospacing="0" w:line="360" w:lineRule="auto"/>
                              <w:ind w:left="272" w:right="0"/>
                              <w:rPr>
                                <w:rFonts w:hint="default"/>
                                <w:color w:val="auto"/>
                                <w:sz w:val="20"/>
                              </w:rPr>
                            </w:pPr>
                            <w:r>
                              <w:rPr>
                                <w:rFonts w:hint="default" w:ascii="宋体" w:hAnsi="宋体" w:eastAsia="宋体" w:cs="宋体"/>
                                <w:color w:val="auto"/>
                                <w:sz w:val="21"/>
                              </w:rPr>
                              <w:t>缺陷责任期 ：自实际交工日期起计算</w:t>
                            </w:r>
                            <w:r>
                              <w:rPr>
                                <w:rFonts w:hint="default" w:ascii="宋体" w:hAnsi="宋体" w:eastAsia="宋体" w:cs="宋体"/>
                                <w:color w:val="auto"/>
                                <w:sz w:val="21"/>
                                <w:u w:val="single"/>
                              </w:rPr>
                              <w:t xml:space="preserve"> </w:t>
                            </w:r>
                            <w:r>
                              <w:rPr>
                                <w:rFonts w:hint="eastAsia" w:ascii="宋体" w:hAnsi="宋体" w:eastAsia="宋体" w:cs="宋体"/>
                                <w:color w:val="auto"/>
                                <w:sz w:val="21"/>
                                <w:u w:val="single"/>
                                <w:lang w:val="en-US"/>
                              </w:rPr>
                              <w:t xml:space="preserve">1 </w:t>
                            </w:r>
                            <w:r>
                              <w:rPr>
                                <w:rFonts w:hint="default" w:ascii="宋体" w:hAnsi="宋体" w:eastAsia="宋体" w:cs="宋体"/>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14" w:beforeAutospacing="0" w:after="0" w:afterAutospacing="0" w:line="320" w:lineRule="atLeast"/>
                              <w:ind w:left="106" w:right="107" w:firstLine="175"/>
                              <w:rPr>
                                <w:rFonts w:hint="default"/>
                                <w:color w:val="auto"/>
                                <w:sz w:val="21"/>
                              </w:rPr>
                            </w:pPr>
                            <w:r>
                              <w:rPr>
                                <w:rFonts w:hint="default" w:ascii="宋体" w:hAnsi="宋体" w:eastAsia="宋体" w:cs="宋体"/>
                                <w:color w:val="auto"/>
                                <w:sz w:val="21"/>
                              </w:rPr>
                              <w:t xml:space="preserve">图纸需要修改和补充的，应由监理人取得发包人同意后，在该工程或工程相应 </w:t>
                            </w:r>
                            <w:r>
                              <w:rPr>
                                <w:rFonts w:hint="default"/>
                                <w:color w:val="auto"/>
                                <w:w w:val="95"/>
                                <w:sz w:val="21"/>
                              </w:rPr>
                              <w:t xml:space="preserve"> </w:t>
                            </w:r>
                            <w:r>
                              <w:rPr>
                                <w:rFonts w:hint="default"/>
                                <w:color w:val="auto"/>
                                <w:sz w:val="21"/>
                              </w:rPr>
                              <w:t>部位施工前</w:t>
                            </w:r>
                            <w:r>
                              <w:rPr>
                                <w:rFonts w:hint="default"/>
                                <w:color w:val="auto"/>
                                <w:sz w:val="21"/>
                                <w:u w:val="single"/>
                              </w:rPr>
                              <w:t xml:space="preserve"> </w:t>
                            </w:r>
                            <w:r>
                              <w:rPr>
                                <w:rFonts w:hint="default" w:ascii="Times New Roman" w:eastAsia="Times New Roman"/>
                                <w:color w:val="auto"/>
                                <w:sz w:val="21"/>
                                <w:u w:val="single"/>
                              </w:rPr>
                              <w:t>7</w:t>
                            </w:r>
                            <w:r>
                              <w:rPr>
                                <w:rFonts w:hint="default" w:ascii="Times New Roman" w:eastAsia="Times New Roman"/>
                                <w:color w:val="auto"/>
                                <w:spacing w:val="51"/>
                                <w:sz w:val="21"/>
                              </w:rPr>
                              <w:t xml:space="preserve"> </w:t>
                            </w:r>
                            <w:r>
                              <w:rPr>
                                <w:rFonts w:hint="default"/>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2"/>
                              <w:keepNext w:val="0"/>
                              <w:keepLines w:val="0"/>
                              <w:suppressLineNumbers w:val="0"/>
                              <w:spacing w:before="178" w:beforeAutospacing="0" w:after="0" w:afterAutospacing="0"/>
                              <w:ind w:left="282" w:right="0"/>
                              <w:rPr>
                                <w:rFonts w:hint="default"/>
                                <w:color w:val="auto"/>
                                <w:sz w:val="21"/>
                              </w:rPr>
                            </w:pPr>
                            <w:r>
                              <w:rPr>
                                <w:rFonts w:hint="default"/>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2"/>
                              <w:keepNext w:val="0"/>
                              <w:keepLines w:val="0"/>
                              <w:suppressLineNumbers w:val="0"/>
                              <w:spacing w:before="177" w:beforeAutospacing="0" w:after="0" w:afterAutospacing="0"/>
                              <w:ind w:left="282" w:right="0"/>
                              <w:rPr>
                                <w:rFonts w:hint="default"/>
                                <w:color w:val="auto"/>
                                <w:sz w:val="21"/>
                              </w:rPr>
                            </w:pPr>
                            <w:r>
                              <w:rPr>
                                <w:rFonts w:hint="default"/>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2"/>
                              <w:keepNext w:val="0"/>
                              <w:keepLines w:val="0"/>
                              <w:suppressLineNumbers w:val="0"/>
                              <w:tabs>
                                <w:tab w:val="left" w:pos="4219"/>
                              </w:tabs>
                              <w:spacing w:before="178" w:beforeAutospacing="0" w:after="0" w:afterAutospacing="0"/>
                              <w:ind w:left="282" w:right="0"/>
                              <w:rPr>
                                <w:rFonts w:hint="default" w:ascii="Times New Roman"/>
                                <w:color w:val="auto"/>
                                <w:sz w:val="21"/>
                              </w:rPr>
                            </w:pPr>
                            <w:r>
                              <w:rPr>
                                <w:rFonts w:hint="default" w:ascii="宋体" w:hAnsi="宋体" w:eastAsia="宋体" w:cs="宋体"/>
                                <w:color w:val="auto"/>
                                <w:sz w:val="21"/>
                              </w:rPr>
                              <w:t>发包人是否提供施工设备和临时设施：</w:t>
                            </w:r>
                            <w:r>
                              <w:rPr>
                                <w:rFonts w:hint="default"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pPr>
                              <w:pStyle w:val="22"/>
                              <w:keepNext w:val="0"/>
                              <w:keepLines w:val="0"/>
                              <w:suppressLineNumbers w:val="0"/>
                              <w:spacing w:before="1" w:beforeAutospacing="0" w:after="0" w:afterAutospacing="0"/>
                              <w:ind w:left="0" w:right="0"/>
                              <w:rPr>
                                <w:rFonts w:hint="default"/>
                                <w:color w:val="auto"/>
                                <w:sz w:val="26"/>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2"/>
                              <w:keepNext w:val="0"/>
                              <w:keepLines w:val="0"/>
                              <w:suppressLineNumbers w:val="0"/>
                              <w:tabs>
                                <w:tab w:val="left" w:pos="2276"/>
                              </w:tabs>
                              <w:spacing w:before="114" w:beforeAutospacing="0" w:after="0" w:afterAutospacing="0" w:line="285" w:lineRule="auto"/>
                              <w:ind w:left="106" w:right="188" w:firstLine="175"/>
                              <w:rPr>
                                <w:rFonts w:hint="default"/>
                                <w:color w:val="auto"/>
                                <w:sz w:val="21"/>
                              </w:rPr>
                            </w:pPr>
                            <w:r>
                              <w:rPr>
                                <w:rFonts w:hint="default"/>
                                <w:color w:val="auto"/>
                                <w:sz w:val="21"/>
                              </w:rPr>
                              <w:t>逾期交工违约金：</w:t>
                            </w:r>
                            <w:r>
                              <w:rPr>
                                <w:rFonts w:hint="default"/>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3</w:t>
                            </w:r>
                            <w:r>
                              <w:rPr>
                                <w:rFonts w:hint="default" w:ascii="Times New Roman" w:eastAsia="Times New Roman"/>
                                <w:color w:val="auto"/>
                                <w:w w:val="95"/>
                                <w:sz w:val="21"/>
                              </w:rPr>
                              <w:t>%</w:t>
                            </w:r>
                            <w:r>
                              <w:rPr>
                                <w:rFonts w:hint="default" w:ascii="宋体" w:hAnsi="宋体" w:eastAsia="宋体" w:cs="宋体"/>
                                <w:color w:val="auto"/>
                                <w:sz w:val="21"/>
                              </w:rPr>
                              <w:t>合同价元/天（如由于承包人的原因造成逾期交工，其</w:t>
                            </w:r>
                            <w:r>
                              <w:rPr>
                                <w:rFonts w:hint="default"/>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2"/>
                              <w:keepNext w:val="0"/>
                              <w:keepLines w:val="0"/>
                              <w:suppressLineNumbers w:val="0"/>
                              <w:spacing w:before="106" w:beforeAutospacing="0" w:after="0" w:afterAutospacing="0" w:line="125" w:lineRule="exact"/>
                              <w:ind w:left="662" w:right="0"/>
                              <w:jc w:val="center"/>
                              <w:rPr>
                                <w:rFonts w:hint="default"/>
                                <w:color w:val="auto"/>
                                <w:sz w:val="14"/>
                              </w:rPr>
                            </w:pPr>
                          </w:p>
                          <w:p>
                            <w:pPr>
                              <w:pStyle w:val="22"/>
                              <w:keepNext w:val="0"/>
                              <w:keepLines w:val="0"/>
                              <w:pageBreakBefore w:val="0"/>
                              <w:widowControl w:val="0"/>
                              <w:suppressLineNumbers w:val="0"/>
                              <w:tabs>
                                <w:tab w:val="left" w:pos="2802"/>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逾期交工违约金限额：</w:t>
                            </w:r>
                            <w:r>
                              <w:rPr>
                                <w:rFonts w:hint="default"/>
                                <w:color w:val="auto"/>
                                <w:sz w:val="21"/>
                                <w:u w:val="single"/>
                              </w:rPr>
                              <w:t xml:space="preserve"> </w:t>
                            </w:r>
                            <w:r>
                              <w:rPr>
                                <w:rFonts w:hint="eastAsia"/>
                                <w:color w:val="auto"/>
                                <w:sz w:val="21"/>
                                <w:u w:val="single"/>
                                <w:lang w:val="en-US"/>
                              </w:rPr>
                              <w:t xml:space="preserve">10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5.6</w:t>
                            </w:r>
                          </w:p>
                        </w:tc>
                        <w:tc>
                          <w:tcPr>
                            <w:tcW w:w="7512" w:type="dxa"/>
                          </w:tcPr>
                          <w:p>
                            <w:pPr>
                              <w:pStyle w:val="22"/>
                              <w:keepNext w:val="0"/>
                              <w:keepLines w:val="0"/>
                              <w:suppressLineNumbers w:val="0"/>
                              <w:spacing w:before="105" w:beforeAutospacing="0" w:after="0" w:afterAutospacing="0" w:line="125" w:lineRule="exact"/>
                              <w:ind w:left="33" w:right="0"/>
                              <w:jc w:val="center"/>
                              <w:rPr>
                                <w:rFonts w:hint="default"/>
                                <w:color w:val="auto"/>
                                <w:sz w:val="14"/>
                              </w:rPr>
                            </w:pPr>
                          </w:p>
                          <w:p>
                            <w:pPr>
                              <w:pStyle w:val="22"/>
                              <w:keepNext w:val="0"/>
                              <w:keepLines w:val="0"/>
                              <w:pageBreakBefore w:val="0"/>
                              <w:widowControl w:val="0"/>
                              <w:suppressLineNumbers w:val="0"/>
                              <w:tabs>
                                <w:tab w:val="left" w:pos="2487"/>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开工预付款金额：</w:t>
                            </w:r>
                            <w:r>
                              <w:rPr>
                                <w:rFonts w:hint="eastAsia"/>
                                <w:color w:val="auto"/>
                                <w:sz w:val="21"/>
                                <w:u w:val="single"/>
                                <w:lang w:val="en-US" w:eastAsia="zh-CN"/>
                              </w:rPr>
                              <w:t>30</w:t>
                            </w:r>
                            <w:r>
                              <w:rPr>
                                <w:rFonts w:hint="eastAsia"/>
                                <w:color w:val="auto"/>
                                <w:sz w:val="21"/>
                                <w:u w:val="single"/>
                                <w:lang w:val="en-US"/>
                              </w:rPr>
                              <w:t xml:space="preserve">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9"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17.5</w:t>
                            </w:r>
                          </w:p>
                        </w:tc>
                        <w:tc>
                          <w:tcPr>
                            <w:tcW w:w="7512" w:type="dxa"/>
                          </w:tcPr>
                          <w:p>
                            <w:pPr>
                              <w:pStyle w:val="22"/>
                              <w:keepNext w:val="0"/>
                              <w:keepLines w:val="0"/>
                              <w:suppressLineNumbers w:val="0"/>
                              <w:spacing w:before="106" w:beforeAutospacing="0" w:after="0" w:afterAutospacing="0" w:line="125" w:lineRule="exact"/>
                              <w:ind w:left="0" w:right="426"/>
                              <w:jc w:val="right"/>
                              <w:rPr>
                                <w:rFonts w:hint="default"/>
                                <w:color w:val="auto"/>
                                <w:sz w:val="14"/>
                              </w:rPr>
                            </w:pPr>
                          </w:p>
                          <w:p>
                            <w:pPr>
                              <w:pStyle w:val="22"/>
                              <w:keepNext w:val="0"/>
                              <w:keepLines w:val="0"/>
                              <w:suppressLineNumbers w:val="0"/>
                              <w:tabs>
                                <w:tab w:val="left" w:pos="6687"/>
                              </w:tabs>
                              <w:spacing w:before="0" w:beforeAutospacing="0" w:after="0" w:afterAutospacing="0" w:line="215" w:lineRule="exact"/>
                              <w:ind w:left="282" w:right="0"/>
                              <w:rPr>
                                <w:rFonts w:hint="default" w:ascii="Times New Roman" w:eastAsia="Times New Roman"/>
                                <w:color w:val="auto"/>
                                <w:sz w:val="21"/>
                              </w:rPr>
                            </w:pPr>
                            <w:r>
                              <w:rPr>
                                <w:rFonts w:hint="default"/>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w:t>
                            </w:r>
                            <w:r>
                              <w:rPr>
                                <w:rFonts w:hint="eastAsia"/>
                                <w:color w:val="auto"/>
                                <w:sz w:val="21"/>
                                <w:highlight w:val="none"/>
                                <w:u w:val="single"/>
                                <w:lang w:val="en-US"/>
                              </w:rPr>
                              <w:t xml:space="preserve"> </w:t>
                            </w:r>
                            <w:r>
                              <w:rPr>
                                <w:rFonts w:hint="default"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2"/>
                              <w:keepNext w:val="0"/>
                              <w:keepLines w:val="0"/>
                              <w:suppressLineNumbers w:val="0"/>
                              <w:spacing w:before="10"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18.3</w:t>
                            </w:r>
                          </w:p>
                        </w:tc>
                        <w:tc>
                          <w:tcPr>
                            <w:tcW w:w="7512" w:type="dxa"/>
                          </w:tcPr>
                          <w:p>
                            <w:pPr>
                              <w:pStyle w:val="22"/>
                              <w:keepNext w:val="0"/>
                              <w:keepLines w:val="0"/>
                              <w:suppressLineNumbers w:val="0"/>
                              <w:spacing w:before="177" w:beforeAutospacing="0" w:after="0" w:afterAutospacing="0"/>
                              <w:ind w:left="282" w:right="0"/>
                              <w:rPr>
                                <w:rFonts w:hint="default"/>
                                <w:color w:val="auto"/>
                                <w:sz w:val="21"/>
                              </w:rPr>
                            </w:pPr>
                            <w:r>
                              <w:rPr>
                                <w:rFonts w:hint="default"/>
                                <w:color w:val="auto"/>
                                <w:sz w:val="21"/>
                              </w:rPr>
                              <w:t>承包人在每个付款周期末向监理人提交进度付款申请单的份数：</w:t>
                            </w:r>
                            <w:r>
                              <w:rPr>
                                <w:rFonts w:hint="default"/>
                                <w:color w:val="auto"/>
                                <w:sz w:val="21"/>
                                <w:u w:val="single"/>
                              </w:rPr>
                              <w:t xml:space="preserve"> </w:t>
                            </w:r>
                            <w:r>
                              <w:rPr>
                                <w:rFonts w:hint="default" w:ascii="Times New Roman" w:eastAsia="Times New Roman"/>
                                <w:color w:val="auto"/>
                                <w:sz w:val="21"/>
                                <w:u w:val="single"/>
                              </w:rPr>
                              <w:t>6</w:t>
                            </w:r>
                            <w:r>
                              <w:rPr>
                                <w:rFonts w:hint="default" w:ascii="Times New Roman" w:eastAsia="Times New Roman"/>
                                <w:color w:val="auto"/>
                                <w:sz w:val="21"/>
                              </w:rPr>
                              <w:t xml:space="preserve"> </w:t>
                            </w:r>
                            <w:r>
                              <w:rPr>
                                <w:rFonts w:hint="default"/>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pPr>
                              <w:pStyle w:val="22"/>
                              <w:keepNext w:val="0"/>
                              <w:keepLines w:val="0"/>
                              <w:suppressLineNumbers w:val="0"/>
                              <w:spacing w:before="10" w:beforeAutospacing="0" w:after="0" w:afterAutospacing="0"/>
                              <w:ind w:left="0" w:right="0"/>
                              <w:rPr>
                                <w:rFonts w:hint="default"/>
                                <w:color w:val="auto"/>
                                <w:sz w:val="20"/>
                              </w:rPr>
                            </w:pPr>
                          </w:p>
                          <w:p>
                            <w:pPr>
                              <w:pStyle w:val="22"/>
                              <w:keepNext w:val="0"/>
                              <w:keepLines w:val="0"/>
                              <w:suppressLineNumbers w:val="0"/>
                              <w:spacing w:before="0" w:beforeAutospacing="0" w:after="0" w:afterAutospacing="0"/>
                              <w:ind w:left="356" w:right="346"/>
                              <w:jc w:val="center"/>
                              <w:rPr>
                                <w:rFonts w:hint="default" w:ascii="Times New Roman"/>
                                <w:color w:val="auto"/>
                                <w:sz w:val="20"/>
                              </w:rPr>
                            </w:pPr>
                            <w:r>
                              <w:rPr>
                                <w:rFonts w:hint="default" w:ascii="Times New Roman"/>
                                <w:color w:val="auto"/>
                                <w:sz w:val="20"/>
                              </w:rPr>
                              <w:t>18.3(3)</w:t>
                            </w:r>
                          </w:p>
                        </w:tc>
                        <w:tc>
                          <w:tcPr>
                            <w:tcW w:w="7512" w:type="dxa"/>
                          </w:tcPr>
                          <w:p>
                            <w:pPr>
                              <w:pStyle w:val="22"/>
                              <w:keepNext w:val="0"/>
                              <w:keepLines w:val="0"/>
                              <w:suppressLineNumbers w:val="0"/>
                              <w:spacing w:before="0" w:beforeAutospacing="0" w:after="0" w:afterAutospacing="0" w:line="320" w:lineRule="exact"/>
                              <w:ind w:left="106" w:right="41" w:firstLine="175"/>
                              <w:rPr>
                                <w:rFonts w:hint="default"/>
                                <w:color w:val="auto"/>
                                <w:sz w:val="21"/>
                              </w:rPr>
                            </w:pPr>
                            <w:r>
                              <w:rPr>
                                <w:rFonts w:hint="default"/>
                                <w:color w:val="auto"/>
                                <w:sz w:val="21"/>
                              </w:rPr>
                              <w:t xml:space="preserve">逾期付款违约金的利率：全国银行间同业拆借中心公布的 </w:t>
                            </w:r>
                            <w:r>
                              <w:rPr>
                                <w:rFonts w:hint="default" w:ascii="Times New Roman" w:eastAsia="Times New Roman"/>
                                <w:color w:val="auto"/>
                                <w:sz w:val="21"/>
                              </w:rPr>
                              <w:t xml:space="preserve">1 </w:t>
                            </w:r>
                            <w:r>
                              <w:rPr>
                                <w:rFonts w:hint="default"/>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347" w:type="dxa"/>
                          </w:tcPr>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183" w:beforeAutospacing="0" w:after="0" w:afterAutospacing="0"/>
                              <w:ind w:left="356" w:right="346"/>
                              <w:jc w:val="center"/>
                              <w:rPr>
                                <w:rFonts w:hint="default" w:ascii="Times New Roman"/>
                                <w:color w:val="auto"/>
                                <w:sz w:val="20"/>
                              </w:rPr>
                            </w:pPr>
                            <w:r>
                              <w:rPr>
                                <w:rFonts w:hint="default" w:ascii="Times New Roman"/>
                                <w:color w:val="auto"/>
                                <w:sz w:val="20"/>
                              </w:rPr>
                              <w:t>18.7(1)</w:t>
                            </w:r>
                          </w:p>
                        </w:tc>
                        <w:tc>
                          <w:tcPr>
                            <w:tcW w:w="7512" w:type="dxa"/>
                          </w:tcPr>
                          <w:p>
                            <w:pPr>
                              <w:pStyle w:val="22"/>
                              <w:keepNext w:val="0"/>
                              <w:keepLines w:val="0"/>
                              <w:suppressLineNumbers w:val="0"/>
                              <w:spacing w:before="0" w:beforeAutospacing="0" w:after="0" w:afterAutospacing="0" w:line="100" w:lineRule="exact"/>
                              <w:ind w:left="1750" w:right="0"/>
                              <w:rPr>
                                <w:rFonts w:hint="default"/>
                                <w:color w:val="auto"/>
                                <w:sz w:val="14"/>
                              </w:rPr>
                            </w:pPr>
                          </w:p>
                          <w:p>
                            <w:pPr>
                              <w:pStyle w:val="2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106" w:right="41" w:firstLine="175"/>
                              <w:textAlignment w:val="auto"/>
                              <w:rPr>
                                <w:rFonts w:hint="default" w:ascii="宋体" w:hAnsi="宋体" w:eastAsia="宋体" w:cs="宋体"/>
                                <w:color w:val="auto"/>
                                <w:sz w:val="21"/>
                              </w:rPr>
                            </w:pPr>
                            <w:r>
                              <w:rPr>
                                <w:rFonts w:hint="default" w:ascii="宋体" w:hAnsi="宋体" w:eastAsia="宋体" w:cs="宋体"/>
                                <w:color w:val="auto"/>
                                <w:sz w:val="21"/>
                              </w:rPr>
                              <w:t>质量保证金限额 ：</w:t>
                            </w:r>
                            <w:r>
                              <w:rPr>
                                <w:rFonts w:hint="eastAsia" w:ascii="宋体" w:hAnsi="宋体" w:eastAsia="宋体" w:cs="宋体"/>
                                <w:color w:val="auto"/>
                                <w:sz w:val="21"/>
                                <w:u w:val="none"/>
                                <w:lang w:val="en-US"/>
                              </w:rPr>
                              <w:t>3</w:t>
                            </w:r>
                            <w:r>
                              <w:rPr>
                                <w:rFonts w:hint="default" w:ascii="宋体" w:hAnsi="宋体" w:eastAsia="宋体" w:cs="宋体"/>
                                <w:color w:val="auto"/>
                                <w:sz w:val="21"/>
                                <w:u w:val="none"/>
                              </w:rPr>
                              <w:t>%</w:t>
                            </w:r>
                            <w:r>
                              <w:rPr>
                                <w:rFonts w:hint="eastAsia" w:cs="宋体"/>
                                <w:color w:val="auto"/>
                                <w:sz w:val="21"/>
                                <w:u w:val="none"/>
                                <w:lang w:val="en-US" w:eastAsia="zh-CN"/>
                              </w:rPr>
                              <w:t xml:space="preserve"> </w:t>
                            </w:r>
                            <w:r>
                              <w:rPr>
                                <w:rFonts w:hint="default" w:ascii="宋体" w:hAnsi="宋体" w:eastAsia="宋体" w:cs="宋体"/>
                                <w:color w:val="auto"/>
                                <w:sz w:val="21"/>
                              </w:rPr>
                              <w:t>合同价格，若交工验收时承包人具备交通运输厅农村</w:t>
                            </w:r>
                          </w:p>
                          <w:p>
                            <w:pPr>
                              <w:pStyle w:val="22"/>
                              <w:keepNext w:val="0"/>
                              <w:keepLines w:val="0"/>
                              <w:pageBreakBefore w:val="0"/>
                              <w:widowControl w:val="0"/>
                              <w:suppressLineNumbers w:val="0"/>
                              <w:tabs>
                                <w:tab w:val="left" w:pos="7149"/>
                              </w:tabs>
                              <w:kinsoku/>
                              <w:wordWrap/>
                              <w:overflowPunct/>
                              <w:topLinePunct w:val="0"/>
                              <w:autoSpaceDE w:val="0"/>
                              <w:autoSpaceDN w:val="0"/>
                              <w:bidi w:val="0"/>
                              <w:adjustRightInd/>
                              <w:snapToGrid/>
                              <w:spacing w:before="50" w:beforeAutospacing="0" w:after="0" w:afterAutospacing="0" w:line="260" w:lineRule="exact"/>
                              <w:ind w:left="0" w:right="96"/>
                              <w:jc w:val="right"/>
                              <w:textAlignment w:val="auto"/>
                              <w:rPr>
                                <w:rFonts w:hint="default" w:ascii="Times New Roman" w:eastAsia="Times New Roman"/>
                                <w:color w:val="auto"/>
                                <w:sz w:val="21"/>
                              </w:rPr>
                            </w:pPr>
                            <w:r>
                              <w:rPr>
                                <w:rFonts w:hint="default"/>
                                <w:color w:val="auto"/>
                                <w:sz w:val="21"/>
                              </w:rPr>
                              <w:t>公路建设从业单位信用信息评价体系评定的最高信用等级</w:t>
                            </w:r>
                            <w:r>
                              <w:rPr>
                                <w:rFonts w:hint="default"/>
                                <w:color w:val="auto"/>
                                <w:spacing w:val="-97"/>
                                <w:sz w:val="21"/>
                              </w:rPr>
                              <w:t>，</w:t>
                            </w:r>
                            <w:r>
                              <w:rPr>
                                <w:rFonts w:hint="default"/>
                                <w:color w:val="auto"/>
                                <w:sz w:val="21"/>
                              </w:rPr>
                              <w:t>发包人可以给予</w:t>
                            </w:r>
                            <w:r>
                              <w:rPr>
                                <w:rFonts w:hint="default"/>
                                <w:color w:val="auto"/>
                                <w:sz w:val="21"/>
                                <w:u w:val="single"/>
                              </w:rPr>
                              <w:t xml:space="preserve"> </w:t>
                            </w:r>
                            <w:r>
                              <w:rPr>
                                <w:rFonts w:hint="eastAsia"/>
                                <w:color w:val="auto"/>
                                <w:sz w:val="21"/>
                                <w:u w:val="single"/>
                              </w:rPr>
                              <w:t>/</w:t>
                            </w:r>
                            <w:r>
                              <w:rPr>
                                <w:rFonts w:hint="default"/>
                                <w:color w:val="auto"/>
                                <w:sz w:val="21"/>
                                <w:u w:val="single"/>
                              </w:rPr>
                              <w:tab/>
                            </w:r>
                            <w:r>
                              <w:rPr>
                                <w:rFonts w:hint="default" w:ascii="Times New Roman" w:eastAsia="Times New Roman"/>
                                <w:color w:val="auto"/>
                                <w:spacing w:val="-1"/>
                                <w:sz w:val="21"/>
                              </w:rPr>
                              <w:t>%</w:t>
                            </w:r>
                          </w:p>
                          <w:p>
                            <w:pPr>
                              <w:pStyle w:val="2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0" w:right="0"/>
                              <w:textAlignment w:val="auto"/>
                              <w:rPr>
                                <w:rFonts w:hint="default"/>
                                <w:color w:val="auto"/>
                                <w:sz w:val="21"/>
                              </w:rPr>
                            </w:pPr>
                            <w:r>
                              <w:rPr>
                                <w:rFonts w:hint="default" w:ascii="宋体" w:hAnsi="宋体" w:eastAsia="宋体" w:cs="宋体"/>
                                <w:color w:val="auto"/>
                                <w:sz w:val="21"/>
                              </w:rPr>
                              <w:t>合同价格质量保证金的优惠</w:t>
                            </w:r>
                            <w:r>
                              <w:rPr>
                                <w:rFonts w:hint="default"/>
                                <w:color w:val="auto"/>
                                <w:sz w:val="21"/>
                              </w:rPr>
                              <w:t xml:space="preserve"> ：</w:t>
                            </w:r>
                          </w:p>
                          <w:p>
                            <w:pPr>
                              <w:pStyle w:val="22"/>
                              <w:keepNext w:val="0"/>
                              <w:keepLines w:val="0"/>
                              <w:suppressLineNumbers w:val="0"/>
                              <w:tabs>
                                <w:tab w:val="left" w:pos="3595"/>
                              </w:tabs>
                              <w:spacing w:before="0" w:beforeAutospacing="0" w:after="0" w:afterAutospacing="0" w:line="327" w:lineRule="exact"/>
                              <w:ind w:left="306" w:right="0"/>
                              <w:rPr>
                                <w:rFonts w:hint="default" w:ascii="Times New Roman" w:hAnsi="Times New Roman" w:eastAsia="Times New Roman"/>
                                <w:color w:val="auto"/>
                                <w:sz w:val="21"/>
                              </w:rPr>
                            </w:pPr>
                            <w:r>
                              <w:rPr>
                                <w:rFonts w:hint="default" w:ascii="Times New Roman" w:hAnsi="Times New Roman" w:eastAsia="Times New Roman"/>
                                <w:color w:val="auto"/>
                                <w:w w:val="95"/>
                                <w:sz w:val="32"/>
                              </w:rPr>
                              <w:t>□</w:t>
                            </w:r>
                            <w:r>
                              <w:rPr>
                                <w:rFonts w:hint="default" w:ascii="宋体" w:hAnsi="宋体" w:eastAsia="宋体" w:cs="宋体"/>
                                <w:color w:val="auto"/>
                                <w:sz w:val="21"/>
                              </w:rPr>
                              <w:t>是，利息的计算方式：</w:t>
                            </w:r>
                            <w:r>
                              <w:rPr>
                                <w:rFonts w:hint="default" w:ascii="Times New Roman" w:hAnsi="Times New Roman" w:eastAsia="Times New Roman"/>
                                <w:color w:val="auto"/>
                                <w:w w:val="95"/>
                                <w:sz w:val="21"/>
                                <w:u w:val="single"/>
                              </w:rPr>
                              <w:t xml:space="preserve"> </w:t>
                            </w:r>
                            <w:r>
                              <w:rPr>
                                <w:rFonts w:hint="default" w:ascii="Times New Roman" w:hAnsi="Times New Roman" w:eastAsia="Times New Roman"/>
                                <w:color w:val="auto"/>
                                <w:sz w:val="21"/>
                                <w:u w:val="single"/>
                              </w:rPr>
                              <w:tab/>
                            </w:r>
                          </w:p>
                          <w:p>
                            <w:pPr>
                              <w:pStyle w:val="22"/>
                              <w:keepNext w:val="0"/>
                              <w:keepLines w:val="0"/>
                              <w:suppressLineNumbers w:val="0"/>
                              <w:spacing w:before="0" w:beforeAutospacing="0" w:after="0" w:afterAutospacing="0" w:line="315" w:lineRule="exact"/>
                              <w:ind w:left="306" w:right="0"/>
                              <w:rPr>
                                <w:rFonts w:hint="default"/>
                                <w:color w:val="auto"/>
                                <w:sz w:val="21"/>
                              </w:rPr>
                            </w:pPr>
                            <w:r>
                              <w:rPr>
                                <w:rFonts w:hint="eastAsia" w:ascii="Times New Roman" w:hAnsi="Times New Roman"/>
                                <w:color w:val="auto"/>
                                <w:sz w:val="32"/>
                              </w:rPr>
                              <w:t>☑</w:t>
                            </w:r>
                            <w:r>
                              <w:rPr>
                                <w:rFonts w:hint="default" w:ascii="宋体" w:hAnsi="宋体" w:eastAsia="宋体" w:cs="宋体"/>
                                <w:color w:val="auto"/>
                                <w:sz w:val="21"/>
                              </w:rPr>
                              <w:t>否</w:t>
                            </w:r>
                          </w:p>
                        </w:tc>
                      </w:tr>
                    </w:tbl>
                    <w:p>
                      <w:pPr>
                        <w:pStyle w:val="11"/>
                      </w:pPr>
                    </w:p>
                  </w:txbxContent>
                </v:textbox>
              </v:shape>
            </w:pict>
          </mc:Fallback>
        </mc:AlternateContent>
      </w:r>
      <w:r>
        <w:rPr>
          <w:rFonts w:hint="eastAsia"/>
        </w:rPr>
        <w:t>说明： 本数据表是项目合同条款中适用于本项目的信息和数据的归纳与提示， 是项目合同条款的组成部分。</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9"/>
      </w:pPr>
      <w:r>
        <mc:AlternateContent>
          <mc:Choice Requires="wps">
            <w:drawing>
              <wp:anchor distT="0" distB="0" distL="114300" distR="114300" simplePos="0" relativeHeight="251682816" behindDoc="1" locked="0" layoutInCell="1" allowOverlap="1">
                <wp:simplePos x="0" y="0"/>
                <wp:positionH relativeFrom="page">
                  <wp:posOffset>1043305</wp:posOffset>
                </wp:positionH>
                <wp:positionV relativeFrom="paragraph">
                  <wp:posOffset>168910</wp:posOffset>
                </wp:positionV>
                <wp:extent cx="1828800" cy="0"/>
                <wp:effectExtent l="0" t="0" r="0" b="0"/>
                <wp:wrapTopAndBottom/>
                <wp:docPr id="13" name="直线 31"/>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82.15pt;margin-top:13.3pt;height:0pt;width:144pt;mso-position-horizontal-relative:page;mso-wrap-distance-bottom:0pt;mso-wrap-distance-top:0pt;z-index:-251633664;mso-width-relative:page;mso-height-relative:page;" filled="f" stroked="t" coordsize="21600,21600" o:gfxdata="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B9Dh1gAAAAkB&#10;AAAPAAAAAAAAAAEAIAAAACIAAABkcnMvZG93bnJldi54bWxQSwECFAAUAAAACACHTuJAIFHmoeQB&#10;AADaAwAADgAAAAAAAAABACAAAAAlAQAAZHJzL2Uyb0RvYy54bWxQSwUGAAAAAAYABgBZAQAAewUA&#10;AAAA&#10;">
                <v:fill on="f" focussize="0,0"/>
                <v:stroke weight="0pt" color="#000000" joinstyle="round"/>
                <v:imagedata o:title=""/>
                <o:lock v:ext="edit" aspectratio="f"/>
                <w10:wrap type="topAndBottom"/>
              </v:line>
            </w:pict>
          </mc:Fallback>
        </mc:AlternateContent>
      </w:r>
    </w:p>
    <w:tbl>
      <w:tblPr>
        <w:tblStyle w:val="19"/>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2"/>
              <w:keepNext w:val="0"/>
              <w:keepLines w:val="0"/>
              <w:suppressLineNumbers w:val="0"/>
              <w:spacing w:before="0" w:beforeAutospacing="0" w:after="0" w:afterAutospacing="0"/>
              <w:ind w:left="0" w:right="0"/>
              <w:rPr>
                <w:rFonts w:hint="default"/>
                <w:color w:val="auto"/>
                <w:sz w:val="20"/>
              </w:rPr>
            </w:pPr>
          </w:p>
        </w:tc>
        <w:tc>
          <w:tcPr>
            <w:tcW w:w="7539" w:type="dxa"/>
          </w:tcPr>
          <w:p>
            <w:pPr>
              <w:pStyle w:val="22"/>
              <w:keepNext w:val="0"/>
              <w:keepLines w:val="0"/>
              <w:suppressLineNumbers w:val="0"/>
              <w:spacing w:before="142" w:beforeAutospacing="0" w:after="0" w:afterAutospacing="0"/>
              <w:ind w:left="282" w:right="0"/>
              <w:rPr>
                <w:rFonts w:hint="default"/>
                <w:color w:val="auto"/>
                <w:sz w:val="21"/>
              </w:rPr>
            </w:pPr>
            <w:r>
              <w:rPr>
                <w:rFonts w:hint="eastAsia"/>
                <w:color w:val="auto"/>
                <w:sz w:val="21"/>
              </w:rPr>
              <w:t>承包人向监理人提交交工付款申请单(包括相关证明材料)的份数：</w:t>
            </w:r>
            <w:r>
              <w:rPr>
                <w:rFonts w:hint="eastAsia"/>
                <w:color w:val="auto"/>
                <w:sz w:val="21"/>
                <w:u w:val="single"/>
              </w:rPr>
              <w:t xml:space="preserve"> 1</w:t>
            </w:r>
            <w:r>
              <w:rPr>
                <w:rFonts w:hint="eastAsia"/>
                <w:color w:val="auto"/>
                <w:spacing w:val="52"/>
                <w:sz w:val="21"/>
                <w:u w:val="single"/>
              </w:rPr>
              <w:t xml:space="preserve">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52" w:type="dxa"/>
          </w:tcPr>
          <w:p>
            <w:pPr>
              <w:pStyle w:val="22"/>
              <w:keepNext w:val="0"/>
              <w:keepLines w:val="0"/>
              <w:suppressLineNumbers w:val="0"/>
              <w:spacing w:before="0" w:beforeAutospacing="0" w:after="0" w:afterAutospacing="0"/>
              <w:ind w:left="0" w:right="0"/>
              <w:rPr>
                <w:rFonts w:hint="default"/>
                <w:color w:val="auto"/>
                <w:sz w:val="20"/>
              </w:rPr>
            </w:pPr>
          </w:p>
        </w:tc>
        <w:tc>
          <w:tcPr>
            <w:tcW w:w="7539" w:type="dxa"/>
          </w:tcPr>
          <w:p>
            <w:pPr>
              <w:pStyle w:val="22"/>
              <w:keepNext w:val="0"/>
              <w:keepLines w:val="0"/>
              <w:suppressLineNumbers w:val="0"/>
              <w:spacing w:before="141" w:beforeAutospacing="0" w:after="0" w:afterAutospacing="0"/>
              <w:ind w:left="282" w:right="0"/>
              <w:rPr>
                <w:rFonts w:hint="default"/>
                <w:color w:val="auto"/>
                <w:sz w:val="21"/>
              </w:rPr>
            </w:pPr>
            <w:r>
              <w:rPr>
                <w:rFonts w:hint="eastAsia"/>
                <w:color w:val="auto"/>
                <w:sz w:val="21"/>
              </w:rPr>
              <w:t>承包人向监理人提交最终结清申请单(包括相关证明材料)的份数：</w:t>
            </w:r>
            <w:r>
              <w:rPr>
                <w:rFonts w:hint="eastAsia"/>
                <w:color w:val="auto"/>
                <w:sz w:val="21"/>
                <w:u w:val="single"/>
              </w:rPr>
              <w:t xml:space="preserve"> 1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2"/>
              <w:keepNext w:val="0"/>
              <w:keepLines w:val="0"/>
              <w:suppressLineNumbers w:val="0"/>
              <w:spacing w:before="0" w:beforeAutospacing="0" w:after="0" w:afterAutospacing="0"/>
              <w:ind w:left="0" w:right="0"/>
              <w:rPr>
                <w:rFonts w:hint="default"/>
                <w:color w:val="auto"/>
                <w:sz w:val="17"/>
              </w:rPr>
            </w:pPr>
          </w:p>
          <w:p>
            <w:pPr>
              <w:pStyle w:val="22"/>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11.2</w:t>
            </w:r>
          </w:p>
        </w:tc>
        <w:tc>
          <w:tcPr>
            <w:tcW w:w="7539" w:type="dxa"/>
          </w:tcPr>
          <w:p>
            <w:pPr>
              <w:pStyle w:val="22"/>
              <w:keepNext w:val="0"/>
              <w:keepLines w:val="0"/>
              <w:suppressLineNumbers w:val="0"/>
              <w:spacing w:before="142" w:beforeAutospacing="0" w:after="0" w:afterAutospacing="0"/>
              <w:ind w:left="282" w:right="0"/>
              <w:rPr>
                <w:rFonts w:hint="default"/>
                <w:color w:val="auto"/>
                <w:sz w:val="21"/>
              </w:rPr>
            </w:pPr>
            <w:r>
              <w:rPr>
                <w:rFonts w:hint="eastAsia"/>
                <w:color w:val="auto"/>
                <w:spacing w:val="-8"/>
                <w:sz w:val="21"/>
              </w:rPr>
              <w:t xml:space="preserve">竣工资料的份数：原始资料 </w:t>
            </w:r>
            <w:r>
              <w:rPr>
                <w:rFonts w:hint="eastAsia"/>
                <w:color w:val="auto"/>
                <w:sz w:val="21"/>
              </w:rPr>
              <w:t xml:space="preserve">1 </w:t>
            </w:r>
            <w:r>
              <w:rPr>
                <w:rFonts w:hint="eastAsia"/>
                <w:color w:val="auto"/>
                <w:spacing w:val="-15"/>
                <w:sz w:val="21"/>
              </w:rPr>
              <w:t xml:space="preserve">份，复印件 </w:t>
            </w:r>
            <w:r>
              <w:rPr>
                <w:rFonts w:hint="eastAsia"/>
                <w:color w:val="auto"/>
                <w:sz w:val="21"/>
              </w:rPr>
              <w:t xml:space="preserve">2 </w:t>
            </w:r>
            <w:r>
              <w:rPr>
                <w:rFonts w:hint="eastAsia"/>
                <w:color w:val="auto"/>
                <w:spacing w:val="-10"/>
                <w:sz w:val="21"/>
              </w:rPr>
              <w:t>份，电子文件</w:t>
            </w:r>
            <w:r>
              <w:rPr>
                <w:rFonts w:hint="eastAsia"/>
                <w:color w:val="auto"/>
                <w:sz w:val="21"/>
              </w:rPr>
              <w:t>（</w:t>
            </w:r>
            <w:r>
              <w:rPr>
                <w:rFonts w:hint="eastAsia"/>
                <w:color w:val="auto"/>
                <w:spacing w:val="-14"/>
                <w:sz w:val="21"/>
              </w:rPr>
              <w:t xml:space="preserve">光盘或 </w:t>
            </w:r>
            <w:r>
              <w:rPr>
                <w:rFonts w:hint="eastAsia"/>
                <w:color w:val="auto"/>
                <w:sz w:val="21"/>
              </w:rPr>
              <w:t>U 盘</w:t>
            </w:r>
            <w:r>
              <w:rPr>
                <w:rFonts w:hint="eastAsia"/>
                <w:color w:val="auto"/>
                <w:spacing w:val="-29"/>
                <w:sz w:val="21"/>
              </w:rPr>
              <w:t>）</w:t>
            </w:r>
            <w:r>
              <w:rPr>
                <w:rFonts w:hint="eastAsia"/>
                <w:color w:val="auto"/>
                <w:spacing w:val="-29"/>
                <w:sz w:val="21"/>
                <w:u w:val="single"/>
              </w:rPr>
              <w:t xml:space="preserve"> </w:t>
            </w:r>
            <w:r>
              <w:rPr>
                <w:rFonts w:hint="eastAsia"/>
                <w:color w:val="auto"/>
                <w:sz w:val="21"/>
                <w:u w:val="single"/>
              </w:rPr>
              <w:t xml:space="preserve">2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52" w:type="dxa"/>
          </w:tcPr>
          <w:p>
            <w:pPr>
              <w:pStyle w:val="22"/>
              <w:keepNext w:val="0"/>
              <w:keepLines w:val="0"/>
              <w:suppressLineNumbers w:val="0"/>
              <w:spacing w:before="9" w:beforeAutospacing="0" w:after="0" w:afterAutospacing="0"/>
              <w:ind w:left="0" w:right="0"/>
              <w:rPr>
                <w:rFonts w:hint="default"/>
                <w:color w:val="auto"/>
                <w:sz w:val="23"/>
              </w:rPr>
            </w:pPr>
          </w:p>
          <w:p>
            <w:pPr>
              <w:pStyle w:val="22"/>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11.5</w:t>
            </w:r>
          </w:p>
        </w:tc>
        <w:tc>
          <w:tcPr>
            <w:tcW w:w="7539" w:type="dxa"/>
          </w:tcPr>
          <w:p>
            <w:pPr>
              <w:pStyle w:val="22"/>
              <w:keepNext w:val="0"/>
              <w:keepLines w:val="0"/>
              <w:suppressLineNumbers w:val="0"/>
              <w:spacing w:before="142" w:beforeAutospacing="0" w:after="0" w:afterAutospacing="0"/>
              <w:ind w:left="282" w:right="0"/>
              <w:rPr>
                <w:rFonts w:hint="eastAsia"/>
                <w:color w:val="auto"/>
                <w:spacing w:val="-8"/>
                <w:sz w:val="21"/>
                <w:u w:val="single"/>
              </w:rPr>
            </w:pPr>
            <w:r>
              <w:rPr>
                <w:rFonts w:hint="eastAsia"/>
                <w:color w:val="auto"/>
                <w:spacing w:val="-8"/>
                <w:sz w:val="21"/>
              </w:rPr>
              <w:t>单位工程是否需投入施工期运行：</w:t>
            </w:r>
            <w:r>
              <w:rPr>
                <w:rFonts w:hint="eastAsia"/>
                <w:color w:val="auto"/>
                <w:spacing w:val="-8"/>
                <w:sz w:val="21"/>
                <w:u w:val="single"/>
              </w:rPr>
              <w:t xml:space="preserve"> </w:t>
            </w:r>
            <w:r>
              <w:rPr>
                <w:rFonts w:hint="eastAsia"/>
                <w:color w:val="auto"/>
                <w:spacing w:val="-8"/>
                <w:sz w:val="21"/>
                <w:u w:val="single"/>
                <w:lang w:val="en-US"/>
              </w:rPr>
              <w:t>否</w:t>
            </w:r>
          </w:p>
          <w:p>
            <w:pPr>
              <w:pStyle w:val="22"/>
              <w:keepNext w:val="0"/>
              <w:keepLines w:val="0"/>
              <w:suppressLineNumbers w:val="0"/>
              <w:spacing w:before="142" w:beforeAutospacing="0" w:after="0" w:afterAutospacing="0"/>
              <w:ind w:left="282" w:right="0"/>
              <w:rPr>
                <w:rFonts w:hint="eastAsia"/>
                <w:color w:val="auto"/>
                <w:spacing w:val="-8"/>
                <w:sz w:val="21"/>
                <w:lang w:val="en-US"/>
              </w:rPr>
            </w:pPr>
            <w:r>
              <w:rPr>
                <w:rFonts w:hint="eastAsia"/>
                <w:color w:val="auto"/>
                <w:spacing w:val="-8"/>
                <w:sz w:val="21"/>
              </w:rPr>
              <w:t>如单位工程需要进行施工期运行，需要施工期运行的单位工程规定如下：</w:t>
            </w:r>
            <w:r>
              <w:rPr>
                <w:rFonts w:hint="eastAsia"/>
                <w:color w:val="auto"/>
                <w:spacing w:val="-8"/>
                <w:sz w:val="21"/>
                <w:u w:val="single"/>
              </w:rPr>
              <w:t xml:space="preserve"> </w:t>
            </w:r>
            <w:r>
              <w:rPr>
                <w:rFonts w:hint="eastAsia"/>
                <w:color w:val="auto"/>
                <w:spacing w:val="-8"/>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52" w:type="dxa"/>
          </w:tcPr>
          <w:p>
            <w:pPr>
              <w:pStyle w:val="22"/>
              <w:keepNext w:val="0"/>
              <w:keepLines w:val="0"/>
              <w:suppressLineNumbers w:val="0"/>
              <w:spacing w:before="5" w:beforeAutospacing="0" w:after="0" w:afterAutospacing="0"/>
              <w:ind w:left="0" w:right="0"/>
              <w:rPr>
                <w:rFonts w:hint="default"/>
                <w:color w:val="auto"/>
                <w:sz w:val="23"/>
              </w:rPr>
            </w:pPr>
          </w:p>
          <w:p>
            <w:pPr>
              <w:pStyle w:val="22"/>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11.6</w:t>
            </w:r>
          </w:p>
        </w:tc>
        <w:tc>
          <w:tcPr>
            <w:tcW w:w="7539" w:type="dxa"/>
          </w:tcPr>
          <w:p>
            <w:pPr>
              <w:pStyle w:val="22"/>
              <w:keepNext w:val="0"/>
              <w:keepLines w:val="0"/>
              <w:suppressLineNumbers w:val="0"/>
              <w:spacing w:before="142" w:beforeAutospacing="0" w:after="0" w:afterAutospacing="0"/>
              <w:ind w:left="282" w:right="0"/>
              <w:rPr>
                <w:rFonts w:hint="eastAsia"/>
                <w:color w:val="auto"/>
                <w:spacing w:val="-8"/>
                <w:sz w:val="21"/>
                <w:u w:val="single"/>
              </w:rPr>
            </w:pPr>
            <w:r>
              <w:rPr>
                <w:rFonts w:hint="eastAsia"/>
                <w:color w:val="auto"/>
                <w:spacing w:val="-8"/>
                <w:sz w:val="21"/>
              </w:rPr>
              <w:t>本工程是否进行试运行：</w:t>
            </w:r>
            <w:r>
              <w:rPr>
                <w:rFonts w:hint="eastAsia"/>
                <w:color w:val="auto"/>
                <w:spacing w:val="-8"/>
                <w:sz w:val="21"/>
                <w:u w:val="single"/>
              </w:rPr>
              <w:t xml:space="preserve"> </w:t>
            </w:r>
            <w:r>
              <w:rPr>
                <w:rFonts w:hint="eastAsia"/>
                <w:color w:val="auto"/>
                <w:spacing w:val="-8"/>
                <w:sz w:val="21"/>
                <w:u w:val="single"/>
                <w:lang w:val="en-US"/>
              </w:rPr>
              <w:t>否</w:t>
            </w:r>
          </w:p>
          <w:p>
            <w:pPr>
              <w:pStyle w:val="22"/>
              <w:keepNext w:val="0"/>
              <w:keepLines w:val="0"/>
              <w:suppressLineNumbers w:val="0"/>
              <w:spacing w:before="142" w:beforeAutospacing="0" w:after="0" w:afterAutospacing="0"/>
              <w:ind w:left="282" w:right="0"/>
              <w:rPr>
                <w:rFonts w:hint="eastAsia"/>
                <w:color w:val="auto"/>
                <w:spacing w:val="-8"/>
                <w:sz w:val="21"/>
                <w:lang w:val="en-US"/>
              </w:rPr>
            </w:pPr>
            <w:r>
              <w:rPr>
                <w:rFonts w:hint="eastAsia"/>
                <w:color w:val="auto"/>
                <w:spacing w:val="-8"/>
                <w:sz w:val="21"/>
              </w:rPr>
              <w:t>如本工程需要进行试运行，试运行的具体规定如下：</w:t>
            </w:r>
            <w:r>
              <w:rPr>
                <w:rFonts w:hint="eastAsia"/>
                <w:color w:val="auto"/>
                <w:spacing w:val="-8"/>
                <w:sz w:val="21"/>
                <w:u w:val="single"/>
              </w:rPr>
              <w:t xml:space="preserve"> </w:t>
            </w:r>
            <w:r>
              <w:rPr>
                <w:rFonts w:hint="eastAsia"/>
                <w:color w:val="auto"/>
                <w:spacing w:val="-8"/>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52" w:type="dxa"/>
          </w:tcPr>
          <w:p>
            <w:pPr>
              <w:pStyle w:val="22"/>
              <w:keepNext w:val="0"/>
              <w:keepLines w:val="0"/>
              <w:suppressLineNumbers w:val="0"/>
              <w:spacing w:before="1" w:beforeAutospacing="0" w:after="0" w:afterAutospacing="0"/>
              <w:ind w:left="0" w:right="0"/>
              <w:rPr>
                <w:rFonts w:hint="default"/>
                <w:color w:val="auto"/>
                <w:sz w:val="17"/>
              </w:rPr>
            </w:pPr>
          </w:p>
          <w:p>
            <w:pPr>
              <w:pStyle w:val="22"/>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21.5</w:t>
            </w:r>
          </w:p>
        </w:tc>
        <w:tc>
          <w:tcPr>
            <w:tcW w:w="7539" w:type="dxa"/>
          </w:tcPr>
          <w:p>
            <w:pPr>
              <w:pStyle w:val="22"/>
              <w:keepNext w:val="0"/>
              <w:keepLines w:val="0"/>
              <w:suppressLineNumbers w:val="0"/>
              <w:spacing w:before="69" w:beforeAutospacing="0" w:after="0" w:afterAutospacing="0" w:line="127" w:lineRule="exact"/>
              <w:ind w:left="105" w:right="0"/>
              <w:jc w:val="both"/>
              <w:rPr>
                <w:rFonts w:hint="default"/>
                <w:color w:val="auto"/>
                <w:sz w:val="14"/>
              </w:rPr>
            </w:pPr>
          </w:p>
          <w:p>
            <w:pPr>
              <w:pStyle w:val="22"/>
              <w:keepNext w:val="0"/>
              <w:keepLines w:val="0"/>
              <w:suppressLineNumbers w:val="0"/>
              <w:tabs>
                <w:tab w:val="left" w:pos="3536"/>
              </w:tabs>
              <w:spacing w:before="0" w:beforeAutospacing="0" w:after="0" w:afterAutospacing="0" w:line="360" w:lineRule="auto"/>
              <w:ind w:left="282" w:right="0"/>
              <w:rPr>
                <w:rFonts w:hint="default"/>
                <w:color w:val="auto"/>
                <w:sz w:val="21"/>
              </w:rPr>
            </w:pPr>
            <w:r>
              <w:rPr>
                <w:rFonts w:hint="eastAsia"/>
                <w:color w:val="auto"/>
                <w:sz w:val="21"/>
              </w:rPr>
              <w:t>保修期：自实际交工日期起计算</w:t>
            </w:r>
            <w:r>
              <w:rPr>
                <w:rFonts w:hint="eastAsia"/>
                <w:color w:val="auto"/>
                <w:sz w:val="21"/>
                <w:u w:val="single"/>
              </w:rPr>
              <w:t xml:space="preserve"> </w:t>
            </w:r>
            <w:r>
              <w:rPr>
                <w:rFonts w:hint="eastAsia"/>
                <w:color w:val="auto"/>
                <w:sz w:val="21"/>
                <w:u w:val="single"/>
                <w:lang w:val="en-US"/>
              </w:rPr>
              <w:t xml:space="preserve">1 </w:t>
            </w:r>
            <w:r>
              <w:rPr>
                <w:rFonts w:hint="eastAsia"/>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pPr>
              <w:pStyle w:val="22"/>
              <w:keepNext w:val="0"/>
              <w:keepLines w:val="0"/>
              <w:suppressLineNumbers w:val="0"/>
              <w:spacing w:before="11" w:beforeAutospacing="0" w:after="0" w:afterAutospacing="0"/>
              <w:ind w:left="0" w:right="0"/>
              <w:rPr>
                <w:rFonts w:hint="default"/>
                <w:color w:val="auto"/>
                <w:sz w:val="20"/>
              </w:rPr>
            </w:pPr>
          </w:p>
          <w:p>
            <w:pPr>
              <w:pStyle w:val="22"/>
              <w:keepNext w:val="0"/>
              <w:keepLines w:val="0"/>
              <w:suppressLineNumbers w:val="0"/>
              <w:spacing w:before="0" w:beforeAutospacing="0" w:after="0" w:afterAutospacing="0"/>
              <w:ind w:left="0" w:right="346"/>
              <w:jc w:val="center"/>
              <w:rPr>
                <w:rFonts w:hint="default"/>
                <w:color w:val="auto"/>
                <w:sz w:val="20"/>
              </w:rPr>
            </w:pPr>
            <w:r>
              <w:rPr>
                <w:rFonts w:hint="eastAsia"/>
                <w:color w:val="auto"/>
                <w:sz w:val="20"/>
                <w:lang w:val="en-US"/>
              </w:rPr>
              <w:t xml:space="preserve">  </w:t>
            </w:r>
            <w:r>
              <w:rPr>
                <w:rFonts w:hint="eastAsia"/>
                <w:color w:val="auto"/>
                <w:sz w:val="20"/>
              </w:rPr>
              <w:t>24.2(3)</w:t>
            </w:r>
          </w:p>
        </w:tc>
        <w:tc>
          <w:tcPr>
            <w:tcW w:w="7539" w:type="dxa"/>
          </w:tcPr>
          <w:p>
            <w:pPr>
              <w:pStyle w:val="22"/>
              <w:keepNext w:val="0"/>
              <w:keepLines w:val="0"/>
              <w:suppressLineNumbers w:val="0"/>
              <w:spacing w:before="45" w:beforeAutospacing="0" w:after="0" w:afterAutospacing="0"/>
              <w:ind w:left="282" w:right="0"/>
              <w:rPr>
                <w:rFonts w:hint="default"/>
                <w:color w:val="auto"/>
                <w:sz w:val="21"/>
              </w:rPr>
            </w:pPr>
            <w:r>
              <w:rPr>
                <w:rFonts w:hint="eastAsia"/>
                <w:color w:val="auto"/>
                <w:sz w:val="21"/>
              </w:rPr>
              <w:t>争议的最终解决方式：诉讼</w:t>
            </w:r>
          </w:p>
          <w:p>
            <w:pPr>
              <w:pStyle w:val="22"/>
              <w:keepNext w:val="0"/>
              <w:keepLines w:val="0"/>
              <w:suppressLineNumbers w:val="0"/>
              <w:tabs>
                <w:tab w:val="left" w:pos="3699"/>
              </w:tabs>
              <w:spacing w:before="52" w:beforeAutospacing="0" w:after="0" w:afterAutospacing="0" w:line="253" w:lineRule="exact"/>
              <w:ind w:left="282" w:right="0"/>
              <w:rPr>
                <w:rFonts w:hint="default"/>
                <w:color w:val="auto"/>
                <w:sz w:val="21"/>
              </w:rPr>
            </w:pPr>
            <w:r>
              <w:rPr>
                <w:rFonts w:hint="eastAsia"/>
                <w:color w:val="auto"/>
                <w:sz w:val="21"/>
              </w:rPr>
              <w:t>如采用仲裁，仲裁委员会名称：</w:t>
            </w:r>
            <w:r>
              <w:rPr>
                <w:rFonts w:hint="eastAsia"/>
                <w:color w:val="auto"/>
                <w:spacing w:val="95"/>
                <w:sz w:val="21"/>
                <w:u w:val="single"/>
              </w:rPr>
              <w:t xml:space="preserve"> </w:t>
            </w:r>
            <w:r>
              <w:rPr>
                <w:rFonts w:hint="eastAsia"/>
                <w:color w:val="auto"/>
                <w:spacing w:val="95"/>
                <w:sz w:val="21"/>
                <w:u w:val="single"/>
                <w:lang w:val="en-US"/>
              </w:rPr>
              <w:t>/</w:t>
            </w:r>
            <w:r>
              <w:rPr>
                <w:rFonts w:hint="eastAsia"/>
                <w:color w:val="auto"/>
                <w:sz w:val="21"/>
                <w:u w:val="single"/>
              </w:rPr>
              <w:tab/>
            </w:r>
          </w:p>
        </w:tc>
      </w:tr>
    </w:tbl>
    <w:p>
      <w:pPr>
        <w:spacing w:before="103"/>
        <w:ind w:left="384"/>
        <w:rPr>
          <w:sz w:val="21"/>
        </w:rPr>
      </w:pPr>
      <w:r>
        <w:rPr>
          <w:rFonts w:hint="eastAsia"/>
          <w:sz w:val="21"/>
        </w:rPr>
        <w:t>说明：招标人编制的“项目合同条款”不限于本部分所列内容。</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
        <w:rPr>
          <w:sz w:val="13"/>
        </w:rPr>
      </w:pPr>
    </w:p>
    <w:p>
      <w:pPr>
        <w:pStyle w:val="11"/>
        <w:spacing w:before="8"/>
        <w:rPr>
          <w:sz w:val="5"/>
        </w:rPr>
      </w:pPr>
    </w:p>
    <w:p>
      <w:pPr>
        <w:rPr>
          <w:sz w:val="18"/>
        </w:rPr>
        <w:sectPr>
          <w:pgSz w:w="11910" w:h="16840"/>
          <w:pgMar w:top="1360" w:right="1120" w:bottom="1080" w:left="1260" w:header="882" w:footer="880" w:gutter="0"/>
          <w:cols w:space="720" w:num="1"/>
        </w:sectPr>
      </w:pPr>
    </w:p>
    <w:p>
      <w:pPr>
        <w:pStyle w:val="11"/>
        <w:rPr>
          <w:sz w:val="20"/>
        </w:rPr>
      </w:pPr>
    </w:p>
    <w:p>
      <w:pPr>
        <w:pStyle w:val="11"/>
        <w:spacing w:before="9"/>
        <w:rPr>
          <w:sz w:val="17"/>
        </w:rPr>
      </w:pPr>
    </w:p>
    <w:p>
      <w:pPr>
        <w:pStyle w:val="7"/>
        <w:tabs>
          <w:tab w:val="left" w:pos="1952"/>
        </w:tabs>
        <w:rPr>
          <w:rFonts w:hint="eastAsia"/>
          <w:sz w:val="30"/>
          <w:szCs w:val="30"/>
        </w:rPr>
      </w:pPr>
      <w:bookmarkStart w:id="74" w:name="_TOC_250025"/>
      <w:bookmarkEnd w:id="74"/>
    </w:p>
    <w:p>
      <w:pPr>
        <w:pStyle w:val="7"/>
        <w:tabs>
          <w:tab w:val="left" w:pos="1952"/>
        </w:tabs>
        <w:rPr>
          <w:rFonts w:hint="eastAsia"/>
          <w:sz w:val="30"/>
          <w:szCs w:val="30"/>
        </w:rPr>
      </w:pPr>
    </w:p>
    <w:p>
      <w:pPr>
        <w:pStyle w:val="7"/>
        <w:tabs>
          <w:tab w:val="left" w:pos="1952"/>
        </w:tabs>
        <w:rPr>
          <w:rFonts w:hint="eastAsia"/>
          <w:sz w:val="30"/>
          <w:szCs w:val="30"/>
        </w:rPr>
      </w:pPr>
    </w:p>
    <w:p>
      <w:pPr>
        <w:pStyle w:val="7"/>
        <w:tabs>
          <w:tab w:val="left" w:pos="1952"/>
        </w:tabs>
        <w:rPr>
          <w:sz w:val="30"/>
          <w:szCs w:val="30"/>
        </w:rPr>
      </w:pPr>
      <w:r>
        <w:rPr>
          <w:rFonts w:hint="eastAsia"/>
          <w:sz w:val="30"/>
          <w:szCs w:val="30"/>
        </w:rPr>
        <w:t>第三节</w:t>
      </w:r>
      <w:r>
        <w:rPr>
          <w:rFonts w:hint="eastAsia"/>
          <w:sz w:val="30"/>
          <w:szCs w:val="30"/>
          <w:lang w:val="en-US"/>
        </w:rPr>
        <w:t xml:space="preserve">  </w:t>
      </w:r>
      <w:r>
        <w:rPr>
          <w:rFonts w:hint="eastAsia"/>
          <w:sz w:val="30"/>
          <w:szCs w:val="30"/>
        </w:rPr>
        <w:t>合同附件格式</w:t>
      </w:r>
    </w:p>
    <w:p>
      <w:pPr>
        <w:rPr>
          <w:sz w:val="30"/>
          <w:szCs w:val="30"/>
        </w:rPr>
        <w:sectPr>
          <w:pgSz w:w="11910" w:h="16840"/>
          <w:pgMar w:top="1360" w:right="1120" w:bottom="1080" w:left="1260" w:header="882" w:footer="880" w:gutter="0"/>
          <w:cols w:space="720" w:num="1"/>
        </w:sectPr>
      </w:pPr>
    </w:p>
    <w:p>
      <w:pPr>
        <w:pStyle w:val="11"/>
        <w:rPr>
          <w:b/>
          <w:sz w:val="20"/>
        </w:rPr>
      </w:pPr>
    </w:p>
    <w:p>
      <w:pPr>
        <w:pStyle w:val="11"/>
        <w:tabs>
          <w:tab w:val="left" w:pos="1343"/>
        </w:tabs>
        <w:spacing w:before="66"/>
        <w:ind w:left="384"/>
      </w:pPr>
      <w:r>
        <w:rPr>
          <w:rFonts w:hint="eastAsia"/>
        </w:rPr>
        <w:t>附件一</w:t>
      </w:r>
      <w:r>
        <w:rPr>
          <w:rFonts w:hint="eastAsia"/>
        </w:rPr>
        <w:tab/>
      </w:r>
      <w:r>
        <w:rPr>
          <w:rFonts w:hint="eastAsia"/>
        </w:rPr>
        <w:t>合同协议书</w:t>
      </w:r>
    </w:p>
    <w:p>
      <w:pPr>
        <w:pStyle w:val="11"/>
        <w:rPr>
          <w:sz w:val="20"/>
        </w:rPr>
      </w:pPr>
    </w:p>
    <w:p>
      <w:pPr>
        <w:pStyle w:val="11"/>
        <w:spacing w:before="3"/>
        <w:rPr>
          <w:sz w:val="17"/>
        </w:rPr>
      </w:pPr>
    </w:p>
    <w:p>
      <w:pPr>
        <w:pStyle w:val="11"/>
        <w:ind w:left="372" w:right="455"/>
        <w:jc w:val="center"/>
      </w:pPr>
      <w:r>
        <w:rPr>
          <w:rFonts w:hint="eastAsia"/>
        </w:rPr>
        <w:t>合同协议书</w:t>
      </w:r>
    </w:p>
    <w:p>
      <w:pPr>
        <w:pStyle w:val="11"/>
        <w:rPr>
          <w:sz w:val="20"/>
        </w:rPr>
      </w:pPr>
    </w:p>
    <w:p>
      <w:pPr>
        <w:pStyle w:val="11"/>
        <w:tabs>
          <w:tab w:val="left" w:pos="3203"/>
          <w:tab w:val="left" w:pos="8975"/>
        </w:tabs>
        <w:spacing w:before="221"/>
        <w:ind w:left="864"/>
      </w:pPr>
      <w:r>
        <w:rPr>
          <w:rFonts w:hint="eastAsia"/>
          <w:u w:val="single"/>
        </w:rPr>
        <w:t xml:space="preserve"> </w:t>
      </w:r>
      <w:r>
        <w:rPr>
          <w:rFonts w:hint="eastAsia"/>
          <w:u w:val="single"/>
          <w:lang w:val="en-US"/>
        </w:rPr>
        <w:t xml:space="preserve">    </w:t>
      </w:r>
      <w:r>
        <w:rPr>
          <w:rFonts w:hint="eastAsia"/>
          <w:u w:val="single"/>
        </w:rPr>
        <w:tab/>
      </w:r>
      <w:r>
        <w:rPr>
          <w:rFonts w:hint="eastAsia"/>
        </w:rPr>
        <w:t xml:space="preserve"> </w:t>
      </w:r>
      <w:r>
        <w:rPr>
          <w:rFonts w:hint="eastAsia"/>
          <w:spacing w:val="-1"/>
        </w:rPr>
        <w:t>(发</w:t>
      </w:r>
      <w:r>
        <w:rPr>
          <w:rFonts w:hint="eastAsia"/>
        </w:rPr>
        <w:t>包人名称，以下简称“发包人”)为实施</w:t>
      </w:r>
      <w:r>
        <w:rPr>
          <w:rFonts w:hint="eastAsia"/>
          <w:u w:val="single"/>
        </w:rPr>
        <w:t xml:space="preserve"> </w:t>
      </w:r>
      <w:r>
        <w:rPr>
          <w:rFonts w:hint="eastAsia"/>
          <w:u w:val="single"/>
        </w:rPr>
        <w:tab/>
      </w:r>
    </w:p>
    <w:p>
      <w:pPr>
        <w:pStyle w:val="11"/>
        <w:tabs>
          <w:tab w:val="left" w:pos="1523"/>
          <w:tab w:val="left" w:pos="4382"/>
          <w:tab w:val="left" w:pos="9119"/>
        </w:tabs>
        <w:spacing w:before="84"/>
        <w:ind w:left="384"/>
      </w:pPr>
      <w:r>
        <w:rPr>
          <w:rFonts w:hint="eastAsia"/>
          <w:u w:val="single"/>
        </w:rPr>
        <w:t xml:space="preserve"> </w:t>
      </w:r>
      <w:r>
        <w:rPr>
          <w:rFonts w:hint="eastAsia"/>
          <w:u w:val="single"/>
        </w:rPr>
        <w:tab/>
      </w:r>
      <w:r>
        <w:rPr>
          <w:rFonts w:hint="eastAsia"/>
        </w:rPr>
        <w:t xml:space="preserve"> (项目名称)，已接受</w:t>
      </w:r>
      <w:r>
        <w:rPr>
          <w:rFonts w:hint="eastAsia"/>
          <w:u w:val="single"/>
        </w:rPr>
        <w:t xml:space="preserve"> </w:t>
      </w:r>
      <w:r>
        <w:rPr>
          <w:rFonts w:hint="eastAsia"/>
          <w:u w:val="single"/>
        </w:rPr>
        <w:tab/>
      </w:r>
      <w:r>
        <w:rPr>
          <w:rFonts w:hint="eastAsia"/>
          <w:spacing w:val="-1"/>
        </w:rPr>
        <w:t>(</w:t>
      </w:r>
      <w:r>
        <w:rPr>
          <w:rFonts w:hint="eastAsia"/>
        </w:rPr>
        <w:t>承包人名称，以下简称“承包人”)对该项目</w:t>
      </w:r>
      <w:r>
        <w:rPr>
          <w:rFonts w:hint="eastAsia"/>
          <w:u w:val="single"/>
        </w:rPr>
        <w:t xml:space="preserve"> </w:t>
      </w:r>
      <w:r>
        <w:rPr>
          <w:rFonts w:hint="eastAsia"/>
          <w:u w:val="single"/>
        </w:rPr>
        <w:tab/>
      </w:r>
    </w:p>
    <w:p>
      <w:pPr>
        <w:pStyle w:val="11"/>
        <w:tabs>
          <w:tab w:val="left" w:pos="2303"/>
        </w:tabs>
        <w:spacing w:before="84"/>
        <w:ind w:left="384"/>
      </w:pPr>
      <w:r>
        <w:rPr>
          <w:rFonts w:hint="eastAsia"/>
          <w:u w:val="single"/>
        </w:rPr>
        <w:t xml:space="preserve"> </w:t>
      </w:r>
      <w:r>
        <w:rPr>
          <w:rFonts w:hint="eastAsia"/>
          <w:u w:val="single"/>
        </w:rPr>
        <w:tab/>
      </w:r>
      <w:r>
        <w:rPr>
          <w:rFonts w:hint="eastAsia"/>
        </w:rPr>
        <w:t>标段施工的投标。发包人和承包人共同达成如下协议：</w:t>
      </w:r>
    </w:p>
    <w:p>
      <w:pPr>
        <w:pStyle w:val="21"/>
        <w:numPr>
          <w:ilvl w:val="0"/>
          <w:numId w:val="48"/>
        </w:numPr>
        <w:tabs>
          <w:tab w:val="left" w:pos="1045"/>
          <w:tab w:val="left" w:pos="1343"/>
          <w:tab w:val="left" w:pos="1763"/>
          <w:tab w:val="left" w:pos="2063"/>
          <w:tab w:val="left" w:pos="2776"/>
          <w:tab w:val="left" w:pos="2843"/>
          <w:tab w:val="left" w:pos="3196"/>
          <w:tab w:val="left" w:pos="3916"/>
          <w:tab w:val="left" w:pos="4211"/>
          <w:tab w:val="left" w:pos="4288"/>
          <w:tab w:val="left" w:pos="4871"/>
          <w:tab w:val="left" w:pos="5171"/>
          <w:tab w:val="left" w:pos="5591"/>
          <w:tab w:val="left" w:pos="5787"/>
          <w:tab w:val="left" w:pos="6752"/>
          <w:tab w:val="left" w:pos="6847"/>
          <w:tab w:val="left" w:pos="8341"/>
          <w:tab w:val="left" w:pos="8939"/>
        </w:tabs>
        <w:spacing w:before="86" w:line="304" w:lineRule="auto"/>
        <w:ind w:right="346" w:firstLine="480"/>
        <w:rPr>
          <w:sz w:val="24"/>
        </w:rPr>
      </w:pPr>
      <w:r>
        <w:rPr>
          <w:rFonts w:hint="eastAsia"/>
          <w:sz w:val="24"/>
        </w:rPr>
        <w:t>第</w:t>
      </w:r>
      <w:r>
        <w:rPr>
          <w:rFonts w:hint="eastAsia"/>
          <w:sz w:val="24"/>
          <w:u w:val="single"/>
        </w:rPr>
        <w:t xml:space="preserve"> </w:t>
      </w:r>
      <w:r>
        <w:rPr>
          <w:rFonts w:hint="eastAsia"/>
          <w:sz w:val="24"/>
          <w:u w:val="single"/>
        </w:rPr>
        <w:tab/>
      </w:r>
      <w:r>
        <w:rPr>
          <w:rFonts w:hint="eastAsia"/>
          <w:sz w:val="24"/>
        </w:rPr>
        <w:t>标段由</w:t>
      </w:r>
      <w:r>
        <w:rPr>
          <w:rFonts w:hint="eastAsia"/>
          <w:spacing w:val="-60"/>
          <w:sz w:val="24"/>
        </w:rPr>
        <w:t xml:space="preserve"> </w:t>
      </w:r>
      <w:r>
        <w:rPr>
          <w:rFonts w:hint="eastAsia"/>
          <w:spacing w:val="-2"/>
          <w:sz w:val="24"/>
        </w:rPr>
        <w:t>K</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pacing w:val="-1"/>
          <w:sz w:val="24"/>
        </w:rPr>
        <w:t>＋</w:t>
      </w:r>
      <w:r>
        <w:rPr>
          <w:rFonts w:hint="eastAsia"/>
          <w:sz w:val="24"/>
          <w:u w:val="single"/>
        </w:rPr>
        <w:t xml:space="preserve"> </w:t>
      </w:r>
      <w:r>
        <w:rPr>
          <w:rFonts w:hint="eastAsia"/>
          <w:sz w:val="24"/>
          <w:u w:val="single"/>
        </w:rPr>
        <w:tab/>
      </w:r>
      <w:r>
        <w:rPr>
          <w:rFonts w:hint="eastAsia"/>
          <w:sz w:val="24"/>
        </w:rPr>
        <w:t>至</w:t>
      </w:r>
      <w:r>
        <w:rPr>
          <w:rFonts w:hint="eastAsia"/>
          <w:spacing w:val="-60"/>
          <w:sz w:val="24"/>
        </w:rPr>
        <w:t xml:space="preserve"> </w:t>
      </w:r>
      <w:r>
        <w:rPr>
          <w:rFonts w:hint="eastAsia"/>
          <w:spacing w:val="1"/>
          <w:sz w:val="24"/>
        </w:rPr>
        <w:t>K</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pacing w:val="-99"/>
          <w:sz w:val="24"/>
        </w:rPr>
        <w:t>，</w:t>
      </w:r>
      <w:r>
        <w:rPr>
          <w:rFonts w:hint="eastAsia"/>
          <w:sz w:val="24"/>
        </w:rPr>
        <w:t>长</w:t>
      </w:r>
      <w:r>
        <w:rPr>
          <w:rFonts w:hint="eastAsia"/>
          <w:spacing w:val="-1"/>
          <w:sz w:val="24"/>
        </w:rPr>
        <w:t>约</w:t>
      </w:r>
      <w:r>
        <w:rPr>
          <w:rFonts w:hint="eastAsia"/>
          <w:sz w:val="24"/>
          <w:u w:val="single"/>
        </w:rPr>
        <w:t xml:space="preserve"> </w:t>
      </w:r>
      <w:r>
        <w:rPr>
          <w:rFonts w:hint="eastAsia"/>
          <w:sz w:val="24"/>
          <w:u w:val="single"/>
        </w:rPr>
        <w:tab/>
      </w:r>
      <w:r>
        <w:rPr>
          <w:rFonts w:hint="eastAsia"/>
          <w:sz w:val="24"/>
        </w:rPr>
        <w:t xml:space="preserve"> km</w:t>
      </w:r>
      <w:r>
        <w:rPr>
          <w:rFonts w:hint="eastAsia"/>
          <w:spacing w:val="-101"/>
          <w:sz w:val="24"/>
        </w:rPr>
        <w:t>，</w:t>
      </w:r>
      <w:r>
        <w:rPr>
          <w:rFonts w:hint="eastAsia"/>
          <w:sz w:val="24"/>
        </w:rPr>
        <w:t>公路等级为</w:t>
      </w:r>
      <w:r>
        <w:rPr>
          <w:rFonts w:hint="eastAsia"/>
          <w:sz w:val="24"/>
          <w:u w:val="single"/>
        </w:rPr>
        <w:t xml:space="preserve"> </w:t>
      </w:r>
      <w:r>
        <w:rPr>
          <w:rFonts w:hint="eastAsia"/>
          <w:sz w:val="24"/>
          <w:u w:val="single"/>
        </w:rPr>
        <w:tab/>
      </w:r>
      <w:r>
        <w:rPr>
          <w:rFonts w:hint="eastAsia"/>
          <w:spacing w:val="-18"/>
          <w:sz w:val="24"/>
        </w:rPr>
        <w:t>，</w:t>
      </w:r>
      <w:r>
        <w:rPr>
          <w:rFonts w:hint="eastAsia"/>
          <w:sz w:val="24"/>
        </w:rPr>
        <w:t>设计时速为</w:t>
      </w:r>
      <w:r>
        <w:rPr>
          <w:rFonts w:hint="eastAsia"/>
          <w:sz w:val="24"/>
          <w:u w:val="single"/>
        </w:rPr>
        <w:t xml:space="preserve"> </w:t>
      </w:r>
      <w:r>
        <w:rPr>
          <w:rFonts w:hint="eastAsia"/>
          <w:sz w:val="24"/>
          <w:u w:val="single"/>
        </w:rPr>
        <w:tab/>
      </w:r>
      <w:r>
        <w:rPr>
          <w:rFonts w:hint="eastAsia"/>
          <w:sz w:val="24"/>
          <w:u w:val="single"/>
        </w:rPr>
        <w:tab/>
      </w:r>
      <w:r>
        <w:rPr>
          <w:rFonts w:hint="eastAsia"/>
          <w:spacing w:val="-8"/>
          <w:sz w:val="24"/>
        </w:rPr>
        <w:t>，</w:t>
      </w:r>
      <w:r>
        <w:rPr>
          <w:rFonts w:hint="eastAsia"/>
          <w:spacing w:val="-8"/>
          <w:sz w:val="24"/>
          <w:u w:val="single"/>
        </w:rPr>
        <w:t xml:space="preserve"> </w:t>
      </w:r>
      <w:r>
        <w:rPr>
          <w:rFonts w:hint="eastAsia"/>
          <w:spacing w:val="-8"/>
          <w:sz w:val="24"/>
          <w:u w:val="single"/>
        </w:rPr>
        <w:tab/>
      </w:r>
      <w:r>
        <w:rPr>
          <w:rFonts w:hint="eastAsia"/>
          <w:sz w:val="24"/>
        </w:rPr>
        <w:t>路面</w:t>
      </w:r>
      <w:r>
        <w:rPr>
          <w:rFonts w:hint="eastAsia"/>
          <w:spacing w:val="-5"/>
          <w:sz w:val="24"/>
        </w:rPr>
        <w:t>，</w:t>
      </w:r>
      <w:r>
        <w:rPr>
          <w:rFonts w:hint="eastAsia"/>
          <w:sz w:val="24"/>
        </w:rPr>
        <w:t>有</w:t>
      </w:r>
      <w:r>
        <w:rPr>
          <w:rFonts w:hint="eastAsia"/>
          <w:sz w:val="24"/>
          <w:u w:val="single"/>
        </w:rPr>
        <w:t xml:space="preserve"> </w:t>
      </w:r>
      <w:r>
        <w:rPr>
          <w:rFonts w:hint="eastAsia"/>
          <w:sz w:val="24"/>
          <w:u w:val="single"/>
        </w:rPr>
        <w:tab/>
      </w:r>
      <w:r>
        <w:rPr>
          <w:rFonts w:hint="eastAsia"/>
          <w:sz w:val="24"/>
          <w:u w:val="single"/>
        </w:rPr>
        <w:tab/>
      </w:r>
      <w:r>
        <w:rPr>
          <w:rFonts w:hint="eastAsia"/>
          <w:sz w:val="24"/>
        </w:rPr>
        <w:t>立交</w:t>
      </w:r>
      <w:r>
        <w:rPr>
          <w:rFonts w:hint="eastAsia"/>
          <w:sz w:val="24"/>
          <w:u w:val="single"/>
        </w:rPr>
        <w:t xml:space="preserve"> </w:t>
      </w:r>
      <w:r>
        <w:rPr>
          <w:rFonts w:hint="eastAsia"/>
          <w:sz w:val="24"/>
          <w:u w:val="single"/>
        </w:rPr>
        <w:tab/>
      </w:r>
      <w:r>
        <w:rPr>
          <w:rFonts w:hint="eastAsia"/>
          <w:sz w:val="24"/>
          <w:u w:val="single"/>
        </w:rPr>
        <w:tab/>
      </w:r>
      <w:r>
        <w:rPr>
          <w:rFonts w:hint="eastAsia"/>
          <w:sz w:val="24"/>
        </w:rPr>
        <w:t>处</w:t>
      </w:r>
      <w:r>
        <w:rPr>
          <w:rFonts w:hint="eastAsia"/>
          <w:spacing w:val="-5"/>
          <w:sz w:val="24"/>
        </w:rPr>
        <w:t>；</w:t>
      </w:r>
      <w:r>
        <w:rPr>
          <w:rFonts w:hint="eastAsia"/>
          <w:sz w:val="24"/>
        </w:rPr>
        <w:t>特大桥</w:t>
      </w:r>
      <w:r>
        <w:rPr>
          <w:rFonts w:hint="eastAsia"/>
          <w:sz w:val="24"/>
          <w:u w:val="single"/>
        </w:rPr>
        <w:t xml:space="preserve"> </w:t>
      </w:r>
      <w:r>
        <w:rPr>
          <w:rFonts w:hint="eastAsia"/>
          <w:sz w:val="24"/>
          <w:u w:val="single"/>
        </w:rPr>
        <w:tab/>
      </w:r>
      <w:r>
        <w:rPr>
          <w:rFonts w:hint="eastAsia"/>
          <w:sz w:val="24"/>
          <w:u w:val="single"/>
        </w:rPr>
        <w:tab/>
      </w:r>
      <w:r>
        <w:rPr>
          <w:rFonts w:hint="eastAsia"/>
          <w:sz w:val="24"/>
        </w:rPr>
        <w:t>座</w:t>
      </w:r>
      <w:r>
        <w:rPr>
          <w:rFonts w:hint="eastAsia"/>
          <w:spacing w:val="-8"/>
          <w:sz w:val="24"/>
        </w:rPr>
        <w:t>，</w:t>
      </w:r>
      <w:r>
        <w:rPr>
          <w:rFonts w:hint="eastAsia"/>
          <w:sz w:val="24"/>
        </w:rPr>
        <w:t>计长</w:t>
      </w:r>
      <w:r>
        <w:rPr>
          <w:rFonts w:hint="eastAsia"/>
          <w:sz w:val="24"/>
          <w:u w:val="single"/>
        </w:rPr>
        <w:t xml:space="preserve"> </w:t>
      </w:r>
      <w:r>
        <w:rPr>
          <w:rFonts w:hint="eastAsia"/>
          <w:sz w:val="24"/>
          <w:u w:val="single"/>
        </w:rPr>
        <w:tab/>
      </w:r>
      <w:r>
        <w:rPr>
          <w:rFonts w:hint="eastAsia"/>
          <w:spacing w:val="-4"/>
          <w:sz w:val="24"/>
        </w:rPr>
        <w:t>m；</w:t>
      </w:r>
      <w:r>
        <w:rPr>
          <w:rFonts w:hint="eastAsia"/>
          <w:sz w:val="24"/>
        </w:rPr>
        <w:t>大中桥</w:t>
      </w:r>
      <w:r>
        <w:rPr>
          <w:rFonts w:hint="eastAsia"/>
          <w:sz w:val="24"/>
          <w:u w:val="single"/>
        </w:rPr>
        <w:t xml:space="preserve"> </w:t>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m；隧道</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 以及其他构造物工程等。</w:t>
      </w:r>
    </w:p>
    <w:p>
      <w:pPr>
        <w:pStyle w:val="21"/>
        <w:numPr>
          <w:ilvl w:val="0"/>
          <w:numId w:val="48"/>
        </w:numPr>
        <w:tabs>
          <w:tab w:val="left" w:pos="1164"/>
        </w:tabs>
        <w:spacing w:before="4"/>
        <w:ind w:left="1164" w:hanging="300"/>
        <w:rPr>
          <w:sz w:val="24"/>
        </w:rPr>
      </w:pPr>
      <w:r>
        <w:rPr>
          <w:rFonts w:hint="eastAsia"/>
          <w:sz w:val="24"/>
        </w:rPr>
        <w:t>下列文件应视为构成合同文件的组成部分：</w:t>
      </w:r>
    </w:p>
    <w:p>
      <w:pPr>
        <w:pStyle w:val="21"/>
        <w:numPr>
          <w:ilvl w:val="0"/>
          <w:numId w:val="49"/>
        </w:numPr>
        <w:tabs>
          <w:tab w:val="left" w:pos="1465"/>
        </w:tabs>
        <w:spacing w:before="101"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1"/>
        <w:numPr>
          <w:ilvl w:val="0"/>
          <w:numId w:val="49"/>
        </w:numPr>
        <w:tabs>
          <w:tab w:val="left" w:pos="1465"/>
        </w:tabs>
        <w:spacing w:line="307" w:lineRule="exact"/>
        <w:ind w:left="1465"/>
        <w:rPr>
          <w:sz w:val="24"/>
        </w:rPr>
      </w:pPr>
      <w:r>
        <w:rPr>
          <w:rFonts w:hint="eastAsia"/>
          <w:sz w:val="24"/>
        </w:rPr>
        <w:t>中标通知书；</w:t>
      </w:r>
    </w:p>
    <w:p>
      <w:pPr>
        <w:pStyle w:val="21"/>
        <w:numPr>
          <w:ilvl w:val="0"/>
          <w:numId w:val="49"/>
        </w:numPr>
        <w:tabs>
          <w:tab w:val="left" w:pos="1465"/>
        </w:tabs>
        <w:spacing w:before="93"/>
        <w:ind w:left="1465"/>
        <w:rPr>
          <w:sz w:val="24"/>
        </w:rPr>
      </w:pPr>
      <w:r>
        <w:rPr>
          <w:rFonts w:hint="eastAsia"/>
          <w:sz w:val="24"/>
        </w:rPr>
        <w:t>投标函及投标函附录；</w:t>
      </w:r>
    </w:p>
    <w:p>
      <w:pPr>
        <w:pStyle w:val="21"/>
        <w:numPr>
          <w:ilvl w:val="0"/>
          <w:numId w:val="49"/>
        </w:numPr>
        <w:tabs>
          <w:tab w:val="left" w:pos="1465"/>
        </w:tabs>
        <w:spacing w:before="93"/>
        <w:ind w:left="1465"/>
        <w:rPr>
          <w:sz w:val="24"/>
        </w:rPr>
      </w:pPr>
      <w:r>
        <w:rPr>
          <w:rFonts w:hint="eastAsia"/>
          <w:sz w:val="24"/>
        </w:rPr>
        <w:t>专用合同条款；</w:t>
      </w:r>
    </w:p>
    <w:p>
      <w:pPr>
        <w:pStyle w:val="21"/>
        <w:numPr>
          <w:ilvl w:val="0"/>
          <w:numId w:val="49"/>
        </w:numPr>
        <w:tabs>
          <w:tab w:val="left" w:pos="1465"/>
        </w:tabs>
        <w:spacing w:before="91"/>
        <w:ind w:left="1465"/>
        <w:rPr>
          <w:sz w:val="24"/>
        </w:rPr>
      </w:pPr>
      <w:r>
        <w:rPr>
          <w:rFonts w:hint="eastAsia"/>
          <w:sz w:val="24"/>
        </w:rPr>
        <w:t>通用合同条款；</w:t>
      </w:r>
    </w:p>
    <w:p>
      <w:pPr>
        <w:pStyle w:val="21"/>
        <w:numPr>
          <w:ilvl w:val="0"/>
          <w:numId w:val="49"/>
        </w:numPr>
        <w:tabs>
          <w:tab w:val="left" w:pos="1465"/>
        </w:tabs>
        <w:spacing w:before="93"/>
        <w:ind w:left="1465"/>
        <w:rPr>
          <w:sz w:val="24"/>
        </w:rPr>
      </w:pPr>
      <w:r>
        <w:rPr>
          <w:rFonts w:hint="eastAsia"/>
          <w:sz w:val="24"/>
        </w:rPr>
        <w:t>工程量清单计量规则；</w:t>
      </w:r>
    </w:p>
    <w:p>
      <w:pPr>
        <w:pStyle w:val="21"/>
        <w:numPr>
          <w:ilvl w:val="0"/>
          <w:numId w:val="49"/>
        </w:numPr>
        <w:tabs>
          <w:tab w:val="left" w:pos="1465"/>
        </w:tabs>
        <w:spacing w:before="94"/>
        <w:ind w:left="1465"/>
        <w:rPr>
          <w:sz w:val="24"/>
        </w:rPr>
      </w:pPr>
      <w:r>
        <w:rPr>
          <w:rFonts w:hint="eastAsia"/>
          <w:sz w:val="24"/>
        </w:rPr>
        <w:t>技术规范；</w:t>
      </w:r>
    </w:p>
    <w:p>
      <w:pPr>
        <w:pStyle w:val="21"/>
        <w:numPr>
          <w:ilvl w:val="0"/>
          <w:numId w:val="49"/>
        </w:numPr>
        <w:tabs>
          <w:tab w:val="left" w:pos="1465"/>
        </w:tabs>
        <w:spacing w:before="91"/>
        <w:ind w:left="1465"/>
        <w:rPr>
          <w:sz w:val="24"/>
        </w:rPr>
      </w:pPr>
      <w:r>
        <w:rPr>
          <w:rFonts w:hint="eastAsia"/>
          <w:sz w:val="24"/>
        </w:rPr>
        <w:t>图纸；</w:t>
      </w:r>
    </w:p>
    <w:p>
      <w:pPr>
        <w:pStyle w:val="21"/>
        <w:numPr>
          <w:ilvl w:val="0"/>
          <w:numId w:val="49"/>
        </w:numPr>
        <w:tabs>
          <w:tab w:val="left" w:pos="1465"/>
        </w:tabs>
        <w:spacing w:before="93"/>
        <w:ind w:left="1465"/>
        <w:rPr>
          <w:sz w:val="24"/>
        </w:rPr>
      </w:pPr>
      <w:r>
        <w:rPr>
          <w:rFonts w:hint="eastAsia"/>
          <w:sz w:val="24"/>
        </w:rPr>
        <w:t>已标价工程量清单；</w:t>
      </w:r>
    </w:p>
    <w:p>
      <w:pPr>
        <w:pStyle w:val="21"/>
        <w:numPr>
          <w:ilvl w:val="0"/>
          <w:numId w:val="49"/>
        </w:numPr>
        <w:tabs>
          <w:tab w:val="left" w:pos="1585"/>
        </w:tabs>
        <w:spacing w:before="93"/>
        <w:ind w:left="1585" w:hanging="721"/>
        <w:rPr>
          <w:sz w:val="24"/>
        </w:rPr>
      </w:pPr>
      <w:r>
        <w:rPr>
          <w:rFonts w:hint="eastAsia"/>
          <w:sz w:val="24"/>
        </w:rPr>
        <w:t>承包人有关人员、设备投入的承诺及投标文件中的施工组织设计；</w:t>
      </w:r>
    </w:p>
    <w:p>
      <w:pPr>
        <w:pStyle w:val="21"/>
        <w:numPr>
          <w:ilvl w:val="0"/>
          <w:numId w:val="49"/>
        </w:numPr>
        <w:tabs>
          <w:tab w:val="left" w:pos="1585"/>
        </w:tabs>
        <w:spacing w:before="91"/>
        <w:ind w:left="1585" w:hanging="721"/>
        <w:rPr>
          <w:sz w:val="24"/>
        </w:rPr>
      </w:pPr>
      <w:r>
        <w:rPr>
          <w:rFonts w:hint="eastAsia"/>
          <w:sz w:val="24"/>
        </w:rPr>
        <w:t>其他合同文件。</w:t>
      </w:r>
    </w:p>
    <w:p>
      <w:pPr>
        <w:pStyle w:val="11"/>
        <w:spacing w:before="3"/>
        <w:rPr>
          <w:sz w:val="37"/>
        </w:rPr>
      </w:pPr>
    </w:p>
    <w:p>
      <w:pPr>
        <w:pStyle w:val="21"/>
        <w:numPr>
          <w:ilvl w:val="0"/>
          <w:numId w:val="48"/>
        </w:numPr>
        <w:tabs>
          <w:tab w:val="left" w:pos="1164"/>
        </w:tabs>
        <w:spacing w:line="304" w:lineRule="auto"/>
        <w:ind w:right="466" w:firstLine="480"/>
        <w:rPr>
          <w:sz w:val="24"/>
        </w:rPr>
      </w:pPr>
      <w:r>
        <w:rPr>
          <w:rFonts w:hint="eastAsia"/>
          <w:spacing w:val="-3"/>
          <w:sz w:val="24"/>
        </w:rPr>
        <w:t>上述文件互相补充和解释，如有不明确或不一致之处，以合同约定次序在先</w:t>
      </w:r>
      <w:r>
        <w:rPr>
          <w:rFonts w:hint="eastAsia"/>
          <w:sz w:val="24"/>
        </w:rPr>
        <w:t>者为准。</w:t>
      </w:r>
    </w:p>
    <w:p>
      <w:pPr>
        <w:pStyle w:val="21"/>
        <w:numPr>
          <w:ilvl w:val="0"/>
          <w:numId w:val="48"/>
        </w:numPr>
        <w:tabs>
          <w:tab w:val="left" w:pos="1164"/>
        </w:tabs>
        <w:spacing w:before="2"/>
        <w:ind w:left="1164" w:hanging="300"/>
        <w:rPr>
          <w:sz w:val="24"/>
        </w:rPr>
      </w:pPr>
      <w:r>
        <w:rPr>
          <w:rFonts w:hint="eastAsia"/>
          <w:spacing w:val="-1"/>
          <w:sz w:val="24"/>
        </w:rPr>
        <w:t>根据工程量清单所列的预计数量和单价或总额价计算的签约合同价：人民币</w:t>
      </w:r>
    </w:p>
    <w:p>
      <w:pPr>
        <w:pStyle w:val="11"/>
        <w:tabs>
          <w:tab w:val="left" w:pos="2462"/>
          <w:tab w:val="left" w:pos="4463"/>
        </w:tabs>
        <w:spacing w:before="86"/>
        <w:ind w:left="384"/>
      </w:pPr>
      <w:r>
        <w:rPr>
          <w:rFonts w:hint="eastAsia"/>
        </w:rPr>
        <w:t>(大写)</w:t>
      </w:r>
      <w:r>
        <w:rPr>
          <w:rFonts w:hint="eastAsia"/>
          <w:u w:val="single"/>
        </w:rPr>
        <w:t xml:space="preserve"> </w:t>
      </w:r>
      <w:r>
        <w:rPr>
          <w:rFonts w:hint="eastAsia"/>
          <w:u w:val="single"/>
        </w:rPr>
        <w:tab/>
      </w:r>
      <w:r>
        <w:rPr>
          <w:rFonts w:hint="eastAsia"/>
        </w:rPr>
        <w:t>元(￥</w:t>
      </w:r>
      <w:r>
        <w:rPr>
          <w:rFonts w:hint="eastAsia"/>
          <w:u w:val="single"/>
        </w:rPr>
        <w:t xml:space="preserve"> </w:t>
      </w:r>
      <w:r>
        <w:rPr>
          <w:rFonts w:hint="eastAsia"/>
          <w:u w:val="single"/>
        </w:rPr>
        <w:tab/>
      </w:r>
      <w:r>
        <w:rPr>
          <w:rFonts w:hint="eastAsia"/>
        </w:rPr>
        <w:t>)。</w:t>
      </w:r>
    </w:p>
    <w:p>
      <w:pPr>
        <w:pStyle w:val="21"/>
        <w:numPr>
          <w:ilvl w:val="0"/>
          <w:numId w:val="48"/>
        </w:numPr>
        <w:tabs>
          <w:tab w:val="left" w:pos="1164"/>
          <w:tab w:val="left" w:pos="4523"/>
          <w:tab w:val="left" w:pos="8123"/>
        </w:tabs>
        <w:spacing w:before="84"/>
        <w:ind w:left="1164" w:hanging="300"/>
        <w:rPr>
          <w:sz w:val="24"/>
        </w:rPr>
      </w:pPr>
      <w:r>
        <w:rPr>
          <w:rFonts w:hint="eastAsia"/>
          <w:sz w:val="24"/>
        </w:rPr>
        <w:t>承包人项目经理：</w:t>
      </w:r>
      <w:r>
        <w:rPr>
          <w:rFonts w:hint="eastAsia"/>
          <w:sz w:val="24"/>
          <w:u w:val="single"/>
        </w:rPr>
        <w:t xml:space="preserve"> </w:t>
      </w:r>
      <w:r>
        <w:rPr>
          <w:rFonts w:hint="eastAsia"/>
          <w:sz w:val="24"/>
          <w:u w:val="single"/>
        </w:rPr>
        <w:tab/>
      </w:r>
      <w:r>
        <w:rPr>
          <w:rFonts w:hint="eastAsia"/>
          <w:sz w:val="24"/>
        </w:rPr>
        <w:t>。承包人项目总工：</w:t>
      </w:r>
      <w:r>
        <w:rPr>
          <w:rFonts w:hint="eastAsia"/>
          <w:sz w:val="24"/>
          <w:u w:val="single"/>
        </w:rPr>
        <w:t xml:space="preserve"> </w:t>
      </w:r>
      <w:r>
        <w:rPr>
          <w:rFonts w:hint="eastAsia"/>
          <w:sz w:val="24"/>
          <w:u w:val="single"/>
        </w:rPr>
        <w:tab/>
      </w:r>
      <w:r>
        <w:rPr>
          <w:rFonts w:hint="eastAsia"/>
          <w:sz w:val="24"/>
        </w:rPr>
        <w:t>。</w:t>
      </w:r>
    </w:p>
    <w:p>
      <w:pPr>
        <w:pStyle w:val="21"/>
        <w:numPr>
          <w:ilvl w:val="0"/>
          <w:numId w:val="48"/>
        </w:numPr>
        <w:tabs>
          <w:tab w:val="left" w:pos="1045"/>
          <w:tab w:val="left" w:pos="4403"/>
          <w:tab w:val="left" w:pos="8723"/>
        </w:tabs>
        <w:spacing w:before="83"/>
        <w:ind w:left="1045"/>
        <w:rPr>
          <w:sz w:val="24"/>
        </w:rPr>
      </w:pPr>
      <w:r>
        <w:rPr>
          <w:rFonts w:hint="eastAsia"/>
          <w:sz w:val="24"/>
        </w:rPr>
        <w:t>工程质量符合</w:t>
      </w:r>
      <w:r>
        <w:rPr>
          <w:rFonts w:hint="eastAsia"/>
          <w:sz w:val="24"/>
          <w:u w:val="single"/>
        </w:rPr>
        <w:t xml:space="preserve"> </w:t>
      </w:r>
      <w:r>
        <w:rPr>
          <w:rFonts w:hint="eastAsia"/>
          <w:sz w:val="24"/>
          <w:u w:val="single"/>
        </w:rPr>
        <w:tab/>
      </w:r>
      <w:r>
        <w:rPr>
          <w:rFonts w:hint="eastAsia"/>
          <w:sz w:val="24"/>
        </w:rPr>
        <w:t>标准。工程安全目标：</w:t>
      </w:r>
      <w:r>
        <w:rPr>
          <w:rFonts w:hint="eastAsia"/>
          <w:sz w:val="24"/>
          <w:u w:val="single"/>
        </w:rPr>
        <w:t xml:space="preserve"> </w:t>
      </w:r>
      <w:r>
        <w:rPr>
          <w:rFonts w:hint="eastAsia"/>
          <w:sz w:val="24"/>
          <w:u w:val="single"/>
        </w:rPr>
        <w:tab/>
      </w:r>
      <w:r>
        <w:rPr>
          <w:rFonts w:hint="eastAsia"/>
          <w:sz w:val="24"/>
        </w:rPr>
        <w:t>。</w:t>
      </w:r>
    </w:p>
    <w:p>
      <w:pPr>
        <w:pStyle w:val="21"/>
        <w:numPr>
          <w:ilvl w:val="0"/>
          <w:numId w:val="48"/>
        </w:numPr>
        <w:tabs>
          <w:tab w:val="left" w:pos="1045"/>
        </w:tabs>
        <w:spacing w:before="86"/>
        <w:ind w:left="1045"/>
        <w:rPr>
          <w:sz w:val="24"/>
        </w:rPr>
      </w:pPr>
      <w:r>
        <w:rPr>
          <w:rFonts w:hint="eastAsia"/>
          <w:sz w:val="24"/>
        </w:rPr>
        <w:t>承包人承诺按合同约定承担工程的实施、完成及缺陷修复。</w:t>
      </w:r>
    </w:p>
    <w:p>
      <w:pPr>
        <w:pStyle w:val="21"/>
        <w:numPr>
          <w:ilvl w:val="0"/>
          <w:numId w:val="48"/>
        </w:numPr>
        <w:tabs>
          <w:tab w:val="left" w:pos="1045"/>
        </w:tabs>
        <w:spacing w:before="84"/>
        <w:ind w:left="1045"/>
        <w:rPr>
          <w:sz w:val="24"/>
        </w:rPr>
      </w:pPr>
      <w:r>
        <w:rPr>
          <w:rFonts w:hint="eastAsia"/>
          <w:sz w:val="24"/>
        </w:rPr>
        <w:t>发包人承诺按合同约定的条件、时间和方式向承包人支付合同价款。</w:t>
      </w:r>
    </w:p>
    <w:p>
      <w:pPr>
        <w:pStyle w:val="21"/>
        <w:numPr>
          <w:ilvl w:val="0"/>
          <w:numId w:val="48"/>
        </w:numPr>
        <w:tabs>
          <w:tab w:val="left" w:pos="1045"/>
          <w:tab w:val="left" w:pos="5603"/>
        </w:tabs>
        <w:spacing w:before="84"/>
        <w:ind w:left="1045"/>
        <w:rPr>
          <w:sz w:val="24"/>
        </w:rPr>
      </w:pPr>
      <w:r>
        <w:rPr>
          <w:rFonts w:hint="eastAsia"/>
          <w:sz w:val="24"/>
        </w:rPr>
        <w:t>承包人应按照监理人指示开工，工期为</w:t>
      </w:r>
      <w:r>
        <w:rPr>
          <w:rFonts w:hint="eastAsia"/>
          <w:sz w:val="24"/>
          <w:u w:val="single"/>
        </w:rPr>
        <w:t xml:space="preserve"> </w:t>
      </w:r>
      <w:r>
        <w:rPr>
          <w:rFonts w:hint="eastAsia"/>
          <w:sz w:val="24"/>
          <w:u w:val="single"/>
        </w:rPr>
        <w:tab/>
      </w:r>
      <w:r>
        <w:rPr>
          <w:rFonts w:hint="eastAsia"/>
          <w:sz w:val="24"/>
        </w:rPr>
        <w:t>日历天。</w:t>
      </w:r>
    </w:p>
    <w:p>
      <w:pPr>
        <w:rPr>
          <w:sz w:val="24"/>
        </w:rPr>
        <w:sectPr>
          <w:pgSz w:w="11910" w:h="16840"/>
          <w:pgMar w:top="1360" w:right="1120" w:bottom="1080" w:left="1260" w:header="882" w:footer="880" w:gutter="0"/>
          <w:cols w:space="720" w:num="1"/>
        </w:sectPr>
      </w:pPr>
    </w:p>
    <w:p>
      <w:pPr>
        <w:pStyle w:val="11"/>
        <w:spacing w:before="5"/>
        <w:rPr>
          <w:sz w:val="17"/>
        </w:rPr>
      </w:pPr>
    </w:p>
    <w:p>
      <w:pPr>
        <w:pStyle w:val="21"/>
        <w:numPr>
          <w:ilvl w:val="0"/>
          <w:numId w:val="48"/>
        </w:numPr>
        <w:tabs>
          <w:tab w:val="left" w:pos="1165"/>
        </w:tabs>
        <w:spacing w:before="74" w:line="307" w:lineRule="auto"/>
        <w:ind w:right="466" w:firstLine="480"/>
        <w:jc w:val="both"/>
        <w:rPr>
          <w:sz w:val="24"/>
        </w:rPr>
      </w:pPr>
      <w:r>
        <w:rPr>
          <w:rFonts w:hint="eastAsia"/>
          <w:spacing w:val="-3"/>
          <w:sz w:val="24"/>
        </w:rPr>
        <w:t>本协议书在承包人提供履约保证金后，由双方法定代表人或其委托代理人签</w:t>
      </w:r>
      <w:r>
        <w:rPr>
          <w:rFonts w:hint="eastAsia"/>
          <w:spacing w:val="-1"/>
          <w:sz w:val="24"/>
        </w:rPr>
        <w:t>署并加盖单位章后生效。全部工程完工后经交工验收合格、缺陷责任期满签发缺陷</w:t>
      </w:r>
      <w:r>
        <w:rPr>
          <w:rFonts w:hint="eastAsia"/>
          <w:sz w:val="24"/>
        </w:rPr>
        <w:t>责任终止证书后失效。</w:t>
      </w:r>
    </w:p>
    <w:p>
      <w:pPr>
        <w:pStyle w:val="21"/>
        <w:numPr>
          <w:ilvl w:val="0"/>
          <w:numId w:val="48"/>
        </w:numPr>
        <w:tabs>
          <w:tab w:val="left" w:pos="1165"/>
        </w:tabs>
        <w:spacing w:line="304" w:lineRule="auto"/>
        <w:ind w:right="466" w:firstLine="480"/>
        <w:jc w:val="both"/>
        <w:rPr>
          <w:sz w:val="24"/>
        </w:rPr>
      </w:pPr>
      <w:r>
        <w:rPr>
          <w:rFonts w:hint="eastAsia"/>
          <w:spacing w:val="-1"/>
          <w:sz w:val="24"/>
        </w:rPr>
        <w:t>本协议书正本二份、副本</w:t>
      </w:r>
      <w:r>
        <w:rPr>
          <w:rFonts w:hint="eastAsia"/>
          <w:sz w:val="24"/>
          <w:u w:val="single"/>
        </w:rPr>
        <w:t xml:space="preserve">  </w:t>
      </w:r>
      <w:r>
        <w:rPr>
          <w:rFonts w:hint="eastAsia"/>
          <w:spacing w:val="-3"/>
          <w:sz w:val="24"/>
        </w:rPr>
        <w:t xml:space="preserve"> 份，合同双方各执正本一份，副本</w:t>
      </w:r>
      <w:r>
        <w:rPr>
          <w:rFonts w:hint="eastAsia"/>
          <w:sz w:val="24"/>
          <w:u w:val="single"/>
        </w:rPr>
        <w:t xml:space="preserve">  </w:t>
      </w:r>
      <w:r>
        <w:rPr>
          <w:rFonts w:hint="eastAsia"/>
          <w:spacing w:val="23"/>
          <w:sz w:val="24"/>
        </w:rPr>
        <w:t xml:space="preserve"> 份，当</w:t>
      </w:r>
      <w:r>
        <w:rPr>
          <w:rFonts w:hint="eastAsia"/>
          <w:sz w:val="24"/>
        </w:rPr>
        <w:t>正本与副本的内容不一致时，以正本为准。</w:t>
      </w:r>
    </w:p>
    <w:p>
      <w:pPr>
        <w:pStyle w:val="21"/>
        <w:numPr>
          <w:ilvl w:val="0"/>
          <w:numId w:val="48"/>
        </w:numPr>
        <w:tabs>
          <w:tab w:val="left" w:pos="1165"/>
        </w:tabs>
        <w:ind w:left="1165" w:hanging="301"/>
        <w:rPr>
          <w:sz w:val="24"/>
        </w:rPr>
      </w:pPr>
      <w:r>
        <w:rPr>
          <w:rFonts w:hint="eastAsia"/>
          <w:sz w:val="24"/>
        </w:rPr>
        <w:t>合同未尽事宜，双方另行签订补充协议。补充协议是合同的组成部分。</w:t>
      </w:r>
    </w:p>
    <w:p>
      <w:pPr>
        <w:pStyle w:val="11"/>
        <w:rPr>
          <w:sz w:val="37"/>
        </w:rPr>
      </w:pPr>
    </w:p>
    <w:p>
      <w:pPr>
        <w:pStyle w:val="11"/>
        <w:tabs>
          <w:tab w:val="left" w:pos="3503"/>
          <w:tab w:val="left" w:pos="5063"/>
          <w:tab w:val="left" w:pos="5102"/>
          <w:tab w:val="left" w:pos="7742"/>
        </w:tabs>
        <w:spacing w:line="307" w:lineRule="auto"/>
        <w:ind w:left="864" w:right="661"/>
      </w:pPr>
      <w:r>
        <w:rPr>
          <w:rFonts w:hint="eastAsia"/>
        </w:rPr>
        <w:t>发包人：</w:t>
      </w:r>
      <w:r>
        <w:rPr>
          <w:rFonts w:hint="eastAsia"/>
          <w:u w:val="single"/>
        </w:rPr>
        <w:t xml:space="preserve"> </w:t>
      </w:r>
      <w:r>
        <w:rPr>
          <w:rFonts w:hint="eastAsia"/>
          <w:u w:val="single"/>
        </w:rPr>
        <w:tab/>
      </w:r>
      <w:r>
        <w:rPr>
          <w:rFonts w:hint="eastAsia"/>
        </w:rPr>
        <w:t>(盖单位章)</w:t>
      </w:r>
      <w:r>
        <w:rPr>
          <w:rFonts w:hint="eastAsia"/>
        </w:rPr>
        <w:tab/>
      </w:r>
      <w:r>
        <w:rPr>
          <w:rFonts w:hint="eastAsia"/>
        </w:rPr>
        <w:tab/>
      </w: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w:t>
      </w:r>
      <w:r>
        <w:rPr>
          <w:rFonts w:hint="eastAsia"/>
        </w:rPr>
        <w:tab/>
      </w:r>
      <w:r>
        <w:rPr>
          <w:rFonts w:hint="eastAsia"/>
        </w:rPr>
        <w:tab/>
      </w:r>
      <w:r>
        <w:rPr>
          <w:rFonts w:hint="eastAsia"/>
        </w:rPr>
        <w:t>法定代表人</w:t>
      </w:r>
    </w:p>
    <w:p>
      <w:pPr>
        <w:pStyle w:val="11"/>
        <w:tabs>
          <w:tab w:val="left" w:pos="3503"/>
          <w:tab w:val="left" w:pos="5102"/>
          <w:tab w:val="left" w:pos="7742"/>
        </w:tabs>
        <w:spacing w:line="305" w:lineRule="exact"/>
        <w:ind w:left="864"/>
      </w:pPr>
      <w:r>
        <w:rPr>
          <w:rFonts w:hint="eastAsia"/>
        </w:rPr>
        <w:t>或其委托代理人：</w:t>
      </w:r>
      <w:r>
        <w:rPr>
          <w:rFonts w:hint="eastAsia"/>
          <w:u w:val="single"/>
        </w:rPr>
        <w:t xml:space="preserve"> </w:t>
      </w:r>
      <w:r>
        <w:rPr>
          <w:rFonts w:hint="eastAsia"/>
          <w:u w:val="single"/>
        </w:rPr>
        <w:tab/>
      </w:r>
      <w:r>
        <w:rPr>
          <w:rFonts w:hint="eastAsia"/>
        </w:rPr>
        <w:t>(签字)</w:t>
      </w:r>
      <w:r>
        <w:rPr>
          <w:rFonts w:hint="eastAsia"/>
        </w:rPr>
        <w:tab/>
      </w:r>
      <w:r>
        <w:rPr>
          <w:rFonts w:hint="eastAsia"/>
        </w:rPr>
        <w:t>或其委托代理人：</w:t>
      </w:r>
      <w:r>
        <w:rPr>
          <w:rFonts w:hint="eastAsia"/>
          <w:u w:val="single"/>
        </w:rPr>
        <w:t xml:space="preserve"> </w:t>
      </w:r>
      <w:r>
        <w:rPr>
          <w:rFonts w:hint="eastAsia"/>
          <w:u w:val="single"/>
        </w:rPr>
        <w:tab/>
      </w:r>
      <w:r>
        <w:rPr>
          <w:rFonts w:hint="eastAsia"/>
        </w:rPr>
        <w:t>(签字)</w:t>
      </w:r>
    </w:p>
    <w:p>
      <w:pPr>
        <w:pStyle w:val="11"/>
        <w:rPr>
          <w:sz w:val="20"/>
        </w:rPr>
      </w:pPr>
    </w:p>
    <w:p>
      <w:pPr>
        <w:pStyle w:val="11"/>
        <w:spacing w:before="8"/>
        <w:rPr>
          <w:sz w:val="15"/>
        </w:rPr>
      </w:pPr>
    </w:p>
    <w:p>
      <w:pPr>
        <w:pStyle w:val="11"/>
        <w:tabs>
          <w:tab w:val="left" w:pos="2543"/>
          <w:tab w:val="left" w:pos="3263"/>
          <w:tab w:val="left" w:pos="3983"/>
          <w:tab w:val="left" w:pos="6143"/>
          <w:tab w:val="left" w:pos="7103"/>
          <w:tab w:val="left" w:pos="7823"/>
          <w:tab w:val="left" w:pos="8543"/>
        </w:tabs>
        <w:spacing w:before="67"/>
        <w:ind w:left="158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1"/>
        <w:spacing w:before="10"/>
        <w:rPr>
          <w:sz w:val="17"/>
        </w:rPr>
      </w:pPr>
    </w:p>
    <w:p>
      <w:pPr>
        <w:pStyle w:val="11"/>
        <w:spacing w:before="67"/>
        <w:ind w:left="583"/>
      </w:pPr>
      <w:bookmarkStart w:id="75" w:name="附件二_廉政合同"/>
      <w:bookmarkEnd w:id="75"/>
    </w:p>
    <w:p>
      <w:pPr>
        <w:pStyle w:val="11"/>
        <w:spacing w:before="67"/>
        <w:ind w:left="583"/>
      </w:pPr>
    </w:p>
    <w:p>
      <w:pPr>
        <w:pStyle w:val="11"/>
        <w:spacing w:before="67"/>
        <w:ind w:left="583"/>
      </w:pPr>
    </w:p>
    <w:p>
      <w:pPr>
        <w:pStyle w:val="12"/>
      </w:pPr>
    </w:p>
    <w:p/>
    <w:p>
      <w:pPr>
        <w:pStyle w:val="6"/>
      </w:pPr>
    </w:p>
    <w:p/>
    <w:p>
      <w:pPr>
        <w:pStyle w:val="6"/>
      </w:pPr>
    </w:p>
    <w:p>
      <w:pPr>
        <w:pStyle w:val="11"/>
        <w:spacing w:before="67"/>
        <w:ind w:left="583"/>
      </w:pPr>
    </w:p>
    <w:p>
      <w:pPr>
        <w:pStyle w:val="11"/>
      </w:pPr>
      <w:r>
        <w:rPr>
          <w:rFonts w:hint="eastAsia"/>
        </w:rPr>
        <w:br w:type="column"/>
      </w:r>
    </w:p>
    <w:p>
      <w:pPr>
        <w:pStyle w:val="12"/>
      </w:pPr>
    </w:p>
    <w:p/>
    <w:p>
      <w:pPr>
        <w:pStyle w:val="6"/>
      </w:pPr>
    </w:p>
    <w:p/>
    <w:p>
      <w:pPr>
        <w:pStyle w:val="6"/>
      </w:pPr>
    </w:p>
    <w:p>
      <w:pPr>
        <w:spacing w:before="1"/>
        <w:ind w:left="583"/>
        <w:rPr>
          <w:sz w:val="28"/>
        </w:rPr>
      </w:pPr>
    </w:p>
    <w:p>
      <w:pPr>
        <w:rPr>
          <w:sz w:val="28"/>
        </w:rPr>
        <w:sectPr>
          <w:type w:val="continuous"/>
          <w:pgSz w:w="11910" w:h="16840"/>
          <w:pgMar w:top="1580" w:right="1120" w:bottom="280" w:left="1260" w:header="720" w:footer="720" w:gutter="0"/>
          <w:cols w:equalWidth="0" w:num="2">
            <w:col w:w="2424" w:space="1061"/>
            <w:col w:w="6045"/>
          </w:cols>
        </w:sectPr>
      </w:pPr>
    </w:p>
    <w:p>
      <w:pPr>
        <w:pStyle w:val="11"/>
        <w:tabs>
          <w:tab w:val="left" w:pos="2443"/>
          <w:tab w:val="left" w:pos="2783"/>
          <w:tab w:val="left" w:pos="7132"/>
          <w:tab w:val="left" w:pos="8095"/>
        </w:tabs>
        <w:spacing w:line="312" w:lineRule="auto"/>
        <w:ind w:left="384" w:right="346" w:firstLine="480"/>
      </w:pPr>
      <w:r>
        <w:rPr>
          <w:rFonts w:hint="eastAsia"/>
        </w:rPr>
        <w:t>附件二</w:t>
      </w:r>
      <w:r>
        <w:t xml:space="preserve"> 廉政合同</w:t>
      </w:r>
    </w:p>
    <w:p>
      <w:pPr>
        <w:pStyle w:val="12"/>
        <w:jc w:val="center"/>
      </w:pPr>
      <w:r>
        <w:rPr>
          <w:rFonts w:hint="eastAsia"/>
          <w:sz w:val="28"/>
        </w:rPr>
        <w:t>廉 政 合 同</w:t>
      </w:r>
    </w:p>
    <w:p>
      <w:pPr>
        <w:pStyle w:val="11"/>
        <w:tabs>
          <w:tab w:val="left" w:pos="2443"/>
          <w:tab w:val="left" w:pos="2783"/>
          <w:tab w:val="left" w:pos="7132"/>
          <w:tab w:val="left" w:pos="8095"/>
        </w:tabs>
        <w:spacing w:line="312" w:lineRule="auto"/>
        <w:ind w:left="384" w:right="346" w:firstLine="480"/>
      </w:pPr>
      <w:r>
        <w:rPr>
          <w:rFonts w:hint="eastAsia"/>
        </w:rPr>
        <w:t>根据《关于在交通基础设施建设中加强廉政建设的若干意见》以及有关工程建设</w:t>
      </w:r>
      <w:r>
        <w:rPr>
          <w:rFonts w:hint="eastAsia"/>
          <w:spacing w:val="-29"/>
        </w:rPr>
        <w:t>、</w:t>
      </w:r>
      <w:r>
        <w:rPr>
          <w:rFonts w:hint="eastAsia"/>
        </w:rPr>
        <w:t>廉政建设的规定</w:t>
      </w:r>
      <w:r>
        <w:rPr>
          <w:rFonts w:hint="eastAsia"/>
          <w:spacing w:val="-29"/>
        </w:rPr>
        <w:t>，</w:t>
      </w:r>
      <w:r>
        <w:rPr>
          <w:rFonts w:hint="eastAsia"/>
        </w:rPr>
        <w:t>为做好工程建设中的党风廉政建设</w:t>
      </w:r>
      <w:r>
        <w:rPr>
          <w:rFonts w:hint="eastAsia"/>
          <w:spacing w:val="-29"/>
        </w:rPr>
        <w:t>，</w:t>
      </w:r>
      <w:r>
        <w:rPr>
          <w:rFonts w:hint="eastAsia"/>
        </w:rPr>
        <w:t>保证工程建设高效优质</w:t>
      </w:r>
      <w:r>
        <w:rPr>
          <w:rFonts w:hint="eastAsia"/>
          <w:spacing w:val="-18"/>
        </w:rPr>
        <w:t xml:space="preserve">， </w:t>
      </w:r>
      <w:r>
        <w:rPr>
          <w:rFonts w:hint="eastAsia"/>
        </w:rPr>
        <w:t>保证建设资金的安全和有效使用以及投资效益，</w:t>
      </w:r>
      <w:r>
        <w:rPr>
          <w:rFonts w:hint="eastAsia"/>
          <w:u w:val="single"/>
        </w:rPr>
        <w:t xml:space="preserve"> </w:t>
      </w:r>
      <w:r>
        <w:rPr>
          <w:rFonts w:hint="eastAsia"/>
          <w:u w:val="single"/>
        </w:rPr>
        <w:tab/>
      </w:r>
      <w:r>
        <w:rPr>
          <w:rFonts w:hint="eastAsia"/>
        </w:rPr>
        <w:t>（项目名称）的项目法人</w:t>
      </w:r>
      <w:r>
        <w:rPr>
          <w:rFonts w:hint="eastAsia"/>
          <w:u w:val="single"/>
        </w:rPr>
        <w:t xml:space="preserve"> </w:t>
      </w:r>
      <w:r>
        <w:rPr>
          <w:rFonts w:hint="eastAsia"/>
          <w:u w:val="single"/>
        </w:rPr>
        <w:tab/>
      </w:r>
      <w:r>
        <w:rPr>
          <w:rFonts w:hint="eastAsia"/>
        </w:rPr>
        <w:t>（项目法人名称，以下简称“发包人”）与该项目</w:t>
      </w:r>
      <w:r>
        <w:rPr>
          <w:rFonts w:hint="eastAsia"/>
          <w:u w:val="single"/>
        </w:rPr>
        <w:t xml:space="preserve"> </w:t>
      </w:r>
      <w:r>
        <w:rPr>
          <w:rFonts w:hint="eastAsia"/>
          <w:u w:val="single"/>
        </w:rPr>
        <w:tab/>
      </w:r>
      <w:r>
        <w:rPr>
          <w:rFonts w:hint="eastAsia"/>
        </w:rPr>
        <w:t>标段的施工单位</w:t>
      </w:r>
      <w:r>
        <w:rPr>
          <w:rFonts w:hint="eastAsia"/>
          <w:u w:val="single"/>
        </w:rPr>
        <w:t xml:space="preserve"> </w:t>
      </w:r>
      <w:r>
        <w:rPr>
          <w:rFonts w:hint="eastAsia"/>
          <w:u w:val="single"/>
        </w:rPr>
        <w:tab/>
      </w:r>
      <w:r>
        <w:rPr>
          <w:rFonts w:hint="eastAsia"/>
          <w:u w:val="single"/>
        </w:rPr>
        <w:tab/>
      </w:r>
      <w:r>
        <w:rPr>
          <w:rFonts w:hint="eastAsia"/>
        </w:rPr>
        <w:t>（施工单位名称，以下简称“承包人”），特订立如下合同。</w:t>
      </w:r>
    </w:p>
    <w:p>
      <w:pPr>
        <w:pStyle w:val="21"/>
        <w:numPr>
          <w:ilvl w:val="0"/>
          <w:numId w:val="50"/>
        </w:numPr>
        <w:tabs>
          <w:tab w:val="left" w:pos="1164"/>
        </w:tabs>
        <w:spacing w:before="3"/>
        <w:rPr>
          <w:sz w:val="24"/>
        </w:rPr>
      </w:pPr>
      <w:r>
        <w:rPr>
          <w:rFonts w:hint="eastAsia"/>
          <w:sz w:val="24"/>
        </w:rPr>
        <w:t>发包人和承包人双方的权利和义务</w:t>
      </w:r>
    </w:p>
    <w:p>
      <w:pPr>
        <w:pStyle w:val="21"/>
        <w:numPr>
          <w:ilvl w:val="0"/>
          <w:numId w:val="51"/>
        </w:numPr>
        <w:tabs>
          <w:tab w:val="left" w:pos="1465"/>
        </w:tabs>
        <w:spacing w:before="91"/>
        <w:rPr>
          <w:sz w:val="24"/>
        </w:rPr>
      </w:pPr>
      <w:r>
        <w:rPr>
          <w:rFonts w:hint="eastAsia"/>
          <w:sz w:val="24"/>
        </w:rPr>
        <w:t>严格遵守党的政策规定和国家有关法律法规及交通运输部的有关规定。</w:t>
      </w:r>
    </w:p>
    <w:p>
      <w:pPr>
        <w:pStyle w:val="21"/>
        <w:numPr>
          <w:ilvl w:val="0"/>
          <w:numId w:val="51"/>
        </w:numPr>
        <w:tabs>
          <w:tab w:val="left" w:pos="1465"/>
          <w:tab w:val="left" w:pos="3460"/>
          <w:tab w:val="left" w:pos="5481"/>
        </w:tabs>
        <w:spacing w:before="93" w:line="312" w:lineRule="auto"/>
        <w:ind w:left="384" w:right="466" w:firstLine="480"/>
        <w:rPr>
          <w:sz w:val="24"/>
        </w:rPr>
      </w:pPr>
      <w:r>
        <w:rPr>
          <w:rFonts w:hint="eastAsia"/>
          <w:sz w:val="24"/>
        </w:rPr>
        <w:t>严格执行</w:t>
      </w:r>
      <w:r>
        <w:rPr>
          <w:rFonts w:hint="eastAsia"/>
          <w:sz w:val="24"/>
          <w:u w:val="single"/>
        </w:rPr>
        <w:t xml:space="preserve"> </w:t>
      </w:r>
      <w:r>
        <w:rPr>
          <w:rFonts w:hint="eastAsia"/>
          <w:sz w:val="24"/>
          <w:u w:val="single"/>
        </w:rPr>
        <w:tab/>
      </w:r>
      <w:r>
        <w:rPr>
          <w:rFonts w:hint="eastAsia"/>
          <w:sz w:val="24"/>
        </w:rPr>
        <w:t>（项目名称</w:t>
      </w:r>
      <w:r>
        <w:rPr>
          <w:rFonts w:hint="eastAsia"/>
          <w:spacing w:val="-23"/>
          <w:sz w:val="24"/>
        </w:rPr>
        <w:t>）</w:t>
      </w:r>
      <w:r>
        <w:rPr>
          <w:rFonts w:hint="eastAsia"/>
          <w:spacing w:val="-23"/>
          <w:sz w:val="24"/>
          <w:u w:val="single"/>
        </w:rPr>
        <w:t xml:space="preserve"> </w:t>
      </w:r>
      <w:r>
        <w:rPr>
          <w:rFonts w:hint="eastAsia"/>
          <w:spacing w:val="-23"/>
          <w:sz w:val="24"/>
          <w:u w:val="single"/>
        </w:rPr>
        <w:tab/>
      </w:r>
      <w:r>
        <w:rPr>
          <w:rFonts w:hint="eastAsia"/>
          <w:sz w:val="24"/>
        </w:rPr>
        <w:t>标段施工合同文件</w:t>
      </w:r>
      <w:r>
        <w:rPr>
          <w:rFonts w:hint="eastAsia"/>
          <w:spacing w:val="-22"/>
          <w:sz w:val="24"/>
        </w:rPr>
        <w:t>，</w:t>
      </w:r>
      <w:r>
        <w:rPr>
          <w:rFonts w:hint="eastAsia"/>
          <w:sz w:val="24"/>
        </w:rPr>
        <w:t>自觉按合同</w:t>
      </w:r>
      <w:r>
        <w:rPr>
          <w:rFonts w:hint="eastAsia"/>
          <w:spacing w:val="-18"/>
          <w:sz w:val="24"/>
        </w:rPr>
        <w:t>办</w:t>
      </w:r>
      <w:r>
        <w:rPr>
          <w:rFonts w:hint="eastAsia"/>
          <w:sz w:val="24"/>
        </w:rPr>
        <w:t>事。</w:t>
      </w:r>
    </w:p>
    <w:p>
      <w:pPr>
        <w:pStyle w:val="21"/>
        <w:numPr>
          <w:ilvl w:val="0"/>
          <w:numId w:val="51"/>
        </w:numPr>
        <w:tabs>
          <w:tab w:val="left" w:pos="1465"/>
        </w:tabs>
        <w:spacing w:line="312" w:lineRule="auto"/>
        <w:ind w:left="384" w:right="466" w:firstLine="480"/>
        <w:jc w:val="both"/>
        <w:rPr>
          <w:sz w:val="24"/>
        </w:rPr>
      </w:pPr>
      <w:r>
        <w:rPr>
          <w:rFonts w:hint="eastAsia"/>
          <w:spacing w:val="-5"/>
          <w:sz w:val="24"/>
        </w:rPr>
        <w:t>双方的业务活动坚持公开、公正、诚信、透明的原则</w:t>
      </w:r>
      <w:r>
        <w:rPr>
          <w:rFonts w:hint="eastAsia"/>
          <w:sz w:val="24"/>
        </w:rPr>
        <w:t>（</w:t>
      </w:r>
      <w:r>
        <w:rPr>
          <w:rFonts w:hint="eastAsia"/>
          <w:spacing w:val="-3"/>
          <w:sz w:val="24"/>
        </w:rPr>
        <w:t>法律认定的商业秘</w:t>
      </w:r>
      <w:r>
        <w:rPr>
          <w:rFonts w:hint="eastAsia"/>
          <w:sz w:val="24"/>
        </w:rPr>
        <w:t>密和合同文件另有规定除外）</w:t>
      </w:r>
      <w:r>
        <w:rPr>
          <w:rFonts w:hint="eastAsia"/>
          <w:spacing w:val="-1"/>
          <w:sz w:val="24"/>
        </w:rPr>
        <w:t>，不得损害国家和集体利益，不得违反工程建设管理</w:t>
      </w:r>
      <w:r>
        <w:rPr>
          <w:rFonts w:hint="eastAsia"/>
          <w:sz w:val="24"/>
        </w:rPr>
        <w:t>规章制度。</w:t>
      </w:r>
    </w:p>
    <w:p>
      <w:pPr>
        <w:pStyle w:val="21"/>
        <w:numPr>
          <w:ilvl w:val="0"/>
          <w:numId w:val="51"/>
        </w:numPr>
        <w:tabs>
          <w:tab w:val="left" w:pos="1465"/>
        </w:tabs>
        <w:spacing w:line="312" w:lineRule="auto"/>
        <w:ind w:left="384" w:right="466" w:firstLine="480"/>
        <w:rPr>
          <w:sz w:val="24"/>
        </w:rPr>
      </w:pPr>
      <w:r>
        <w:rPr>
          <w:rFonts w:hint="eastAsia"/>
          <w:spacing w:val="-6"/>
          <w:sz w:val="24"/>
        </w:rPr>
        <w:t>建立健全廉政制度，开展廉政教育，设立廉政告示牌，公布举报电话，监</w:t>
      </w:r>
      <w:r>
        <w:rPr>
          <w:rFonts w:hint="eastAsia"/>
          <w:sz w:val="24"/>
        </w:rPr>
        <w:t>督并认真查处违法违纪行为。</w:t>
      </w:r>
    </w:p>
    <w:p>
      <w:pPr>
        <w:pStyle w:val="21"/>
        <w:numPr>
          <w:ilvl w:val="0"/>
          <w:numId w:val="51"/>
        </w:numPr>
        <w:tabs>
          <w:tab w:val="left" w:pos="1465"/>
        </w:tabs>
        <w:spacing w:before="2" w:line="312" w:lineRule="auto"/>
        <w:ind w:left="384" w:right="466" w:firstLine="480"/>
        <w:rPr>
          <w:sz w:val="24"/>
        </w:rPr>
      </w:pPr>
      <w:r>
        <w:rPr>
          <w:rFonts w:hint="eastAsia"/>
          <w:spacing w:val="-2"/>
          <w:sz w:val="24"/>
        </w:rPr>
        <w:t>发现对方在业务活动中有违反廉政规定的行为，有及时提醒对方纠正的</w:t>
      </w:r>
      <w:r>
        <w:rPr>
          <w:rFonts w:hint="eastAsia"/>
          <w:spacing w:val="-5"/>
          <w:sz w:val="24"/>
        </w:rPr>
        <w:t>权利和义务。</w:t>
      </w:r>
    </w:p>
    <w:p>
      <w:pPr>
        <w:pStyle w:val="21"/>
        <w:numPr>
          <w:ilvl w:val="0"/>
          <w:numId w:val="51"/>
        </w:numPr>
        <w:tabs>
          <w:tab w:val="left" w:pos="1465"/>
        </w:tabs>
        <w:spacing w:line="312" w:lineRule="auto"/>
        <w:ind w:left="384" w:right="466" w:firstLine="480"/>
        <w:rPr>
          <w:sz w:val="24"/>
        </w:rPr>
      </w:pPr>
      <w:r>
        <w:rPr>
          <w:rFonts w:hint="eastAsia"/>
          <w:spacing w:val="-3"/>
          <w:sz w:val="24"/>
        </w:rPr>
        <w:t>发现对方严重违反本合同义务条款的行为，有向其上级有关部门举报、</w:t>
      </w:r>
      <w:r>
        <w:rPr>
          <w:rFonts w:hint="eastAsia"/>
          <w:spacing w:val="-5"/>
          <w:sz w:val="24"/>
        </w:rPr>
        <w:t>建议给予处理并要求告知处理结果的权利。</w:t>
      </w:r>
    </w:p>
    <w:p>
      <w:pPr>
        <w:pStyle w:val="21"/>
        <w:numPr>
          <w:ilvl w:val="0"/>
          <w:numId w:val="50"/>
        </w:numPr>
        <w:tabs>
          <w:tab w:val="left" w:pos="1164"/>
        </w:tabs>
        <w:spacing w:line="307" w:lineRule="exact"/>
        <w:rPr>
          <w:sz w:val="24"/>
        </w:rPr>
      </w:pPr>
      <w:r>
        <w:rPr>
          <w:rFonts w:hint="eastAsia"/>
          <w:sz w:val="24"/>
        </w:rPr>
        <w:t>发包人的义务</w:t>
      </w:r>
    </w:p>
    <w:p>
      <w:pPr>
        <w:pStyle w:val="21"/>
        <w:numPr>
          <w:ilvl w:val="0"/>
          <w:numId w:val="52"/>
        </w:numPr>
        <w:tabs>
          <w:tab w:val="left" w:pos="1465"/>
        </w:tabs>
        <w:spacing w:before="93" w:line="312" w:lineRule="auto"/>
        <w:ind w:right="346" w:firstLine="480"/>
        <w:rPr>
          <w:sz w:val="24"/>
        </w:rPr>
      </w:pPr>
      <w:r>
        <w:rPr>
          <w:rFonts w:hint="eastAsia"/>
          <w:spacing w:val="-5"/>
          <w:sz w:val="24"/>
        </w:rPr>
        <w:t>发包人及其工作人员不得索要或接受承包人的礼金、有价证券和贵重物品，不得让承包人报销任何应由发包人或发包人工作人员个人支付的费用等。</w:t>
      </w:r>
    </w:p>
    <w:p>
      <w:pPr>
        <w:pStyle w:val="21"/>
        <w:numPr>
          <w:ilvl w:val="0"/>
          <w:numId w:val="52"/>
        </w:numPr>
        <w:tabs>
          <w:tab w:val="left" w:pos="1465"/>
        </w:tabs>
        <w:spacing w:line="312" w:lineRule="auto"/>
        <w:ind w:right="466" w:firstLine="480"/>
        <w:rPr>
          <w:sz w:val="24"/>
        </w:rPr>
      </w:pPr>
      <w:r>
        <w:rPr>
          <w:rFonts w:hint="eastAsia"/>
          <w:spacing w:val="-2"/>
          <w:sz w:val="24"/>
        </w:rPr>
        <w:t>发包人工作人员不得参加承包人安排的超标准宴请和娱乐活动；不得接</w:t>
      </w:r>
      <w:r>
        <w:rPr>
          <w:rFonts w:hint="eastAsia"/>
          <w:spacing w:val="-5"/>
          <w:sz w:val="24"/>
        </w:rPr>
        <w:t>受承包人提供的通信工具、交通工具和高档办公用品等。</w:t>
      </w:r>
    </w:p>
    <w:p>
      <w:pPr>
        <w:pStyle w:val="21"/>
        <w:numPr>
          <w:ilvl w:val="0"/>
          <w:numId w:val="52"/>
        </w:numPr>
        <w:tabs>
          <w:tab w:val="left" w:pos="1465"/>
        </w:tabs>
        <w:spacing w:before="2" w:line="312" w:lineRule="auto"/>
        <w:ind w:right="466" w:firstLine="480"/>
        <w:rPr>
          <w:sz w:val="24"/>
        </w:rPr>
      </w:pPr>
      <w:r>
        <w:rPr>
          <w:rFonts w:hint="eastAsia"/>
          <w:spacing w:val="-2"/>
          <w:sz w:val="24"/>
        </w:rPr>
        <w:t>发包人及其工作人员不得要求或者接受承包人为其住房装修、婚丧嫁娶</w:t>
      </w:r>
      <w:r>
        <w:rPr>
          <w:rFonts w:hint="eastAsia"/>
          <w:spacing w:val="-5"/>
          <w:sz w:val="24"/>
        </w:rPr>
        <w:t>活动、配偶子女的工作安排以及出国出境、旅游等提供方便等。</w:t>
      </w:r>
    </w:p>
    <w:p>
      <w:pPr>
        <w:pStyle w:val="21"/>
        <w:numPr>
          <w:ilvl w:val="0"/>
          <w:numId w:val="52"/>
        </w:numPr>
        <w:tabs>
          <w:tab w:val="left" w:pos="1465"/>
        </w:tabs>
        <w:spacing w:line="312" w:lineRule="auto"/>
        <w:ind w:right="466" w:firstLine="480"/>
        <w:rPr>
          <w:sz w:val="24"/>
        </w:rPr>
      </w:pPr>
      <w:r>
        <w:rPr>
          <w:rFonts w:hint="eastAsia"/>
          <w:spacing w:val="-4"/>
          <w:sz w:val="24"/>
        </w:rPr>
        <w:t>发包人工作人员及其配偶、子女不得从事与发包人工程有关的材料设备</w:t>
      </w:r>
      <w:r>
        <w:rPr>
          <w:rFonts w:hint="eastAsia"/>
          <w:spacing w:val="-5"/>
          <w:sz w:val="24"/>
        </w:rPr>
        <w:t>供应、工程分包、劳务等经济活动等。</w:t>
      </w:r>
    </w:p>
    <w:p>
      <w:pPr>
        <w:pStyle w:val="21"/>
        <w:numPr>
          <w:ilvl w:val="0"/>
          <w:numId w:val="52"/>
        </w:numPr>
        <w:tabs>
          <w:tab w:val="left" w:pos="1465"/>
        </w:tabs>
        <w:spacing w:line="312" w:lineRule="auto"/>
        <w:ind w:right="382" w:firstLine="480"/>
        <w:rPr>
          <w:sz w:val="24"/>
        </w:rPr>
      </w:pPr>
      <w:r>
        <w:rPr>
          <w:rFonts w:hint="eastAsia"/>
          <w:spacing w:val="-1"/>
          <w:sz w:val="24"/>
        </w:rPr>
        <w:t xml:space="preserve">发包人及其工作人员不得以任何理由向承包人推荐分包单位或推销材料， </w:t>
      </w:r>
      <w:r>
        <w:rPr>
          <w:rFonts w:hint="eastAsia"/>
          <w:sz w:val="24"/>
        </w:rPr>
        <w:t>不得要求承包人购买合同规定外的材料和设备。</w:t>
      </w:r>
    </w:p>
    <w:p>
      <w:pPr>
        <w:pStyle w:val="21"/>
        <w:numPr>
          <w:ilvl w:val="0"/>
          <w:numId w:val="52"/>
        </w:numPr>
        <w:tabs>
          <w:tab w:val="left" w:pos="1465"/>
        </w:tabs>
        <w:spacing w:before="2" w:line="312" w:lineRule="auto"/>
        <w:ind w:right="466" w:firstLine="480"/>
        <w:rPr>
          <w:sz w:val="24"/>
        </w:rPr>
      </w:pPr>
      <w:r>
        <w:rPr>
          <w:rFonts w:hint="eastAsia"/>
          <w:spacing w:val="-5"/>
          <w:sz w:val="24"/>
        </w:rPr>
        <w:t>发包人工作人员要秉公办事，不准营私舞弊，不准利用职权从事各种个人有偿中介活动和安排个人施工队伍。</w:t>
      </w:r>
    </w:p>
    <w:p>
      <w:pPr>
        <w:pStyle w:val="21"/>
        <w:numPr>
          <w:ilvl w:val="0"/>
          <w:numId w:val="50"/>
        </w:numPr>
        <w:tabs>
          <w:tab w:val="left" w:pos="1164"/>
        </w:tabs>
        <w:spacing w:before="74"/>
        <w:rPr>
          <w:sz w:val="24"/>
        </w:rPr>
      </w:pPr>
      <w:r>
        <w:rPr>
          <w:rFonts w:hint="eastAsia"/>
          <w:sz w:val="24"/>
        </w:rPr>
        <w:t>承包人的义务</w:t>
      </w:r>
    </w:p>
    <w:p>
      <w:pPr>
        <w:pStyle w:val="21"/>
        <w:numPr>
          <w:ilvl w:val="0"/>
          <w:numId w:val="53"/>
        </w:numPr>
        <w:tabs>
          <w:tab w:val="left" w:pos="1465"/>
        </w:tabs>
        <w:spacing w:before="93" w:line="312" w:lineRule="auto"/>
        <w:ind w:right="346" w:firstLine="480"/>
        <w:rPr>
          <w:sz w:val="24"/>
        </w:rPr>
      </w:pPr>
      <w:r>
        <w:rPr>
          <w:rFonts w:hint="eastAsia"/>
          <w:spacing w:val="-4"/>
          <w:sz w:val="24"/>
        </w:rPr>
        <w:t>承包人不得以任何理由向发包人及其工作人员行贿或馈赠礼金、有价证券</w:t>
      </w:r>
      <w:r>
        <w:rPr>
          <w:rFonts w:hint="eastAsia"/>
          <w:spacing w:val="-5"/>
          <w:sz w:val="24"/>
        </w:rPr>
        <w:t>、贵重礼品。</w:t>
      </w:r>
    </w:p>
    <w:p>
      <w:pPr>
        <w:pStyle w:val="21"/>
        <w:numPr>
          <w:ilvl w:val="0"/>
          <w:numId w:val="53"/>
        </w:numPr>
        <w:tabs>
          <w:tab w:val="left" w:pos="1465"/>
        </w:tabs>
        <w:spacing w:line="312" w:lineRule="auto"/>
        <w:ind w:right="466" w:firstLine="480"/>
        <w:rPr>
          <w:sz w:val="24"/>
        </w:rPr>
      </w:pPr>
      <w:r>
        <w:rPr>
          <w:rFonts w:hint="eastAsia"/>
          <w:sz w:val="24"/>
        </w:rPr>
        <w:t>承包人不得以任何名义为发包人及其工作人员报销应由发包人单位或个</w:t>
      </w:r>
      <w:r>
        <w:rPr>
          <w:rFonts w:hint="eastAsia"/>
          <w:spacing w:val="-5"/>
          <w:sz w:val="24"/>
        </w:rPr>
        <w:t>人支付的任何费用。</w:t>
      </w:r>
    </w:p>
    <w:p>
      <w:pPr>
        <w:pStyle w:val="21"/>
        <w:numPr>
          <w:ilvl w:val="0"/>
          <w:numId w:val="53"/>
        </w:numPr>
        <w:tabs>
          <w:tab w:val="left" w:pos="1465"/>
        </w:tabs>
        <w:spacing w:line="307" w:lineRule="exact"/>
        <w:ind w:left="1465"/>
        <w:rPr>
          <w:sz w:val="24"/>
        </w:rPr>
      </w:pPr>
      <w:r>
        <w:rPr>
          <w:rFonts w:hint="eastAsia"/>
          <w:sz w:val="24"/>
        </w:rPr>
        <w:t>承包人不得以任何理由安排发包人工作人员参加超标准宴请及娱乐活动。</w:t>
      </w:r>
    </w:p>
    <w:p>
      <w:pPr>
        <w:pStyle w:val="21"/>
        <w:numPr>
          <w:ilvl w:val="0"/>
          <w:numId w:val="53"/>
        </w:numPr>
        <w:tabs>
          <w:tab w:val="left" w:pos="1465"/>
        </w:tabs>
        <w:spacing w:before="93" w:line="312" w:lineRule="auto"/>
        <w:ind w:right="466" w:firstLine="480"/>
        <w:rPr>
          <w:sz w:val="24"/>
        </w:rPr>
      </w:pPr>
      <w:r>
        <w:rPr>
          <w:rFonts w:hint="eastAsia"/>
          <w:spacing w:val="-2"/>
          <w:sz w:val="24"/>
        </w:rPr>
        <w:t>承包人不得为发包人单位和个人购置或提供通信工具、交通工具和高档</w:t>
      </w:r>
      <w:r>
        <w:rPr>
          <w:rFonts w:hint="eastAsia"/>
          <w:spacing w:val="-5"/>
          <w:sz w:val="24"/>
        </w:rPr>
        <w:t>办公用品等。</w:t>
      </w:r>
    </w:p>
    <w:p>
      <w:pPr>
        <w:pStyle w:val="21"/>
        <w:numPr>
          <w:ilvl w:val="0"/>
          <w:numId w:val="50"/>
        </w:numPr>
        <w:tabs>
          <w:tab w:val="left" w:pos="1164"/>
        </w:tabs>
        <w:spacing w:line="307" w:lineRule="exact"/>
        <w:rPr>
          <w:sz w:val="24"/>
        </w:rPr>
      </w:pPr>
      <w:r>
        <w:rPr>
          <w:rFonts w:hint="eastAsia"/>
          <w:sz w:val="24"/>
        </w:rPr>
        <w:t>违约责任</w:t>
      </w:r>
    </w:p>
    <w:p>
      <w:pPr>
        <w:pStyle w:val="21"/>
        <w:numPr>
          <w:ilvl w:val="0"/>
          <w:numId w:val="54"/>
        </w:numPr>
        <w:tabs>
          <w:tab w:val="left" w:pos="1468"/>
        </w:tabs>
        <w:spacing w:before="94" w:line="312" w:lineRule="auto"/>
        <w:ind w:right="465" w:firstLine="480"/>
        <w:jc w:val="both"/>
        <w:rPr>
          <w:sz w:val="24"/>
        </w:rPr>
      </w:pPr>
      <w:r>
        <w:rPr>
          <w:rFonts w:hint="eastAsia"/>
          <w:spacing w:val="-4"/>
          <w:sz w:val="24"/>
        </w:rPr>
        <w:t xml:space="preserve">发包人及其工作人员违反本合同第 </w:t>
      </w:r>
      <w:r>
        <w:rPr>
          <w:rFonts w:hint="eastAsia"/>
          <w:sz w:val="24"/>
        </w:rPr>
        <w:t>1、2</w:t>
      </w:r>
      <w:r>
        <w:rPr>
          <w:rFonts w:hint="eastAsia"/>
          <w:spacing w:val="14"/>
          <w:sz w:val="24"/>
        </w:rPr>
        <w:t xml:space="preserve"> </w:t>
      </w:r>
      <w:r>
        <w:rPr>
          <w:rFonts w:hint="eastAsia"/>
          <w:spacing w:val="-1"/>
          <w:sz w:val="24"/>
        </w:rPr>
        <w:t>条，按管理权限，依据有关规定给予党纪、政纪或组织处理；涉嫌犯罪的，移交司法机关追究刑事责任；给承包人</w:t>
      </w:r>
      <w:r>
        <w:rPr>
          <w:rFonts w:hint="eastAsia"/>
          <w:sz w:val="24"/>
        </w:rPr>
        <w:t>单位造成经济损失的，应予以赔偿。</w:t>
      </w:r>
    </w:p>
    <w:p>
      <w:pPr>
        <w:pStyle w:val="21"/>
        <w:numPr>
          <w:ilvl w:val="0"/>
          <w:numId w:val="54"/>
        </w:numPr>
        <w:tabs>
          <w:tab w:val="left" w:pos="1468"/>
        </w:tabs>
        <w:spacing w:line="312" w:lineRule="auto"/>
        <w:ind w:right="465" w:firstLine="480"/>
        <w:jc w:val="both"/>
        <w:rPr>
          <w:sz w:val="24"/>
        </w:rPr>
      </w:pPr>
      <w:r>
        <w:rPr>
          <w:rFonts w:hint="eastAsia"/>
          <w:spacing w:val="-4"/>
          <w:sz w:val="24"/>
        </w:rPr>
        <w:t xml:space="preserve">承包人及其工作人员违反本合同第 </w:t>
      </w:r>
      <w:r>
        <w:rPr>
          <w:rFonts w:hint="eastAsia"/>
          <w:sz w:val="24"/>
        </w:rPr>
        <w:t>1、3</w:t>
      </w:r>
      <w:r>
        <w:rPr>
          <w:rFonts w:hint="eastAsia"/>
          <w:spacing w:val="14"/>
          <w:sz w:val="24"/>
        </w:rPr>
        <w:t xml:space="preserve"> </w:t>
      </w:r>
      <w:r>
        <w:rPr>
          <w:rFonts w:hint="eastAsia"/>
          <w:spacing w:val="-1"/>
          <w:sz w:val="24"/>
        </w:rPr>
        <w:t>条，按管理权限，依据有关规定给予党纪、政纪或组织处理；给发包人单位造成经济损失的，应予以赔偿；情节严重的，发包人建议交通运输主管部门给予承包人一至三年内不得进入其主管的公路</w:t>
      </w:r>
      <w:r>
        <w:rPr>
          <w:rFonts w:hint="eastAsia"/>
          <w:sz w:val="24"/>
        </w:rPr>
        <w:t>建设市场的处罚。</w:t>
      </w:r>
    </w:p>
    <w:p>
      <w:pPr>
        <w:pStyle w:val="21"/>
        <w:numPr>
          <w:ilvl w:val="0"/>
          <w:numId w:val="50"/>
        </w:numPr>
        <w:tabs>
          <w:tab w:val="left" w:pos="1164"/>
        </w:tabs>
        <w:spacing w:before="2" w:line="312" w:lineRule="auto"/>
        <w:ind w:left="384" w:right="466" w:firstLine="480"/>
        <w:jc w:val="both"/>
        <w:rPr>
          <w:sz w:val="24"/>
        </w:rPr>
      </w:pPr>
      <w:r>
        <w:rPr>
          <w:rFonts w:hint="eastAsia"/>
          <w:spacing w:val="-5"/>
          <w:sz w:val="24"/>
        </w:rPr>
        <w:t>双方约定：本合同由双方或双方上级单位的纪检监察部门负责监督执行。由</w:t>
      </w:r>
      <w:r>
        <w:rPr>
          <w:rFonts w:hint="eastAsia"/>
          <w:spacing w:val="-1"/>
          <w:sz w:val="24"/>
        </w:rPr>
        <w:t>发包人或发包人上级单位的纪检监察部门约请承包人或承包人上级单位纪检监察部</w:t>
      </w:r>
      <w:r>
        <w:rPr>
          <w:rFonts w:hint="eastAsia"/>
          <w:sz w:val="24"/>
        </w:rPr>
        <w:t>门对本合同执行情况进行检查，提出在本合同规定范围内的裁定意见。</w:t>
      </w:r>
    </w:p>
    <w:p>
      <w:pPr>
        <w:pStyle w:val="21"/>
        <w:numPr>
          <w:ilvl w:val="0"/>
          <w:numId w:val="50"/>
        </w:numPr>
        <w:tabs>
          <w:tab w:val="left" w:pos="1164"/>
        </w:tabs>
        <w:spacing w:before="1"/>
        <w:jc w:val="both"/>
        <w:rPr>
          <w:sz w:val="24"/>
        </w:rPr>
      </w:pPr>
      <w:r>
        <w:rPr>
          <w:rFonts w:hint="eastAsia"/>
          <w:sz w:val="24"/>
        </w:rPr>
        <w:t>本合同有效期为发包人和承包人签署之日起至该工程项目竣工验收后止。</w:t>
      </w:r>
    </w:p>
    <w:p>
      <w:pPr>
        <w:pStyle w:val="21"/>
        <w:numPr>
          <w:ilvl w:val="0"/>
          <w:numId w:val="50"/>
        </w:numPr>
        <w:tabs>
          <w:tab w:val="left" w:pos="1164"/>
          <w:tab w:val="left" w:pos="3436"/>
        </w:tabs>
        <w:spacing w:before="91" w:line="312" w:lineRule="auto"/>
        <w:ind w:left="384" w:right="466" w:firstLine="480"/>
        <w:jc w:val="both"/>
        <w:rPr>
          <w:sz w:val="24"/>
        </w:rPr>
      </w:pPr>
      <w:r>
        <w:rPr>
          <w:rFonts w:hint="eastAsia"/>
          <w:sz w:val="24"/>
        </w:rPr>
        <w:t>本合同作为</w:t>
      </w:r>
      <w:r>
        <w:rPr>
          <w:rFonts w:hint="eastAsia"/>
          <w:sz w:val="24"/>
          <w:u w:val="single"/>
        </w:rPr>
        <w:t xml:space="preserve"> </w:t>
      </w:r>
      <w:r>
        <w:rPr>
          <w:rFonts w:hint="eastAsia"/>
          <w:sz w:val="24"/>
          <w:u w:val="single"/>
        </w:rPr>
        <w:tab/>
      </w:r>
      <w:r>
        <w:rPr>
          <w:rFonts w:hint="eastAsia"/>
          <w:sz w:val="24"/>
        </w:rPr>
        <w:t>（项目名称</w:t>
      </w:r>
      <w:r>
        <w:rPr>
          <w:rFonts w:hint="eastAsia"/>
          <w:spacing w:val="-10"/>
          <w:sz w:val="24"/>
        </w:rPr>
        <w:t>）</w:t>
      </w:r>
      <w:r>
        <w:rPr>
          <w:rFonts w:hint="eastAsia"/>
          <w:spacing w:val="-10"/>
          <w:sz w:val="24"/>
          <w:u w:val="single"/>
        </w:rPr>
        <w:t xml:space="preserve">   </w:t>
      </w:r>
      <w:r>
        <w:rPr>
          <w:rFonts w:hint="eastAsia"/>
          <w:spacing w:val="41"/>
          <w:sz w:val="24"/>
        </w:rPr>
        <w:t xml:space="preserve"> </w:t>
      </w:r>
      <w:r>
        <w:rPr>
          <w:rFonts w:hint="eastAsia"/>
          <w:sz w:val="24"/>
        </w:rPr>
        <w:t>标段施工合同的附件</w:t>
      </w:r>
      <w:r>
        <w:rPr>
          <w:rFonts w:hint="eastAsia"/>
          <w:spacing w:val="-10"/>
          <w:sz w:val="24"/>
        </w:rPr>
        <w:t>，</w:t>
      </w:r>
      <w:r>
        <w:rPr>
          <w:rFonts w:hint="eastAsia"/>
          <w:sz w:val="24"/>
        </w:rPr>
        <w:t>与工程施</w:t>
      </w:r>
      <w:r>
        <w:rPr>
          <w:rFonts w:hint="eastAsia"/>
          <w:spacing w:val="-17"/>
          <w:sz w:val="24"/>
        </w:rPr>
        <w:t>工</w:t>
      </w:r>
      <w:r>
        <w:rPr>
          <w:rFonts w:hint="eastAsia"/>
          <w:sz w:val="24"/>
        </w:rPr>
        <w:t>合同具有同等的法律效力，经合同双方签署后立即生效。</w:t>
      </w:r>
    </w:p>
    <w:p>
      <w:pPr>
        <w:pStyle w:val="21"/>
        <w:numPr>
          <w:ilvl w:val="0"/>
          <w:numId w:val="50"/>
        </w:numPr>
        <w:tabs>
          <w:tab w:val="left" w:pos="1164"/>
        </w:tabs>
        <w:spacing w:before="2" w:line="312" w:lineRule="auto"/>
        <w:ind w:left="384" w:right="466" w:firstLine="480"/>
        <w:jc w:val="both"/>
        <w:rPr>
          <w:sz w:val="24"/>
        </w:rPr>
      </w:pPr>
      <w:r>
        <w:rPr>
          <w:rFonts w:hint="eastAsia"/>
          <w:spacing w:val="-4"/>
          <w:sz w:val="24"/>
        </w:rPr>
        <w:t>本合同一式四份，由发包人和承包人各执一份，送交发包人和承包人的监督</w:t>
      </w:r>
      <w:r>
        <w:rPr>
          <w:rFonts w:hint="eastAsia"/>
          <w:sz w:val="24"/>
        </w:rPr>
        <w:t>单位各一份。</w:t>
      </w:r>
    </w:p>
    <w:p>
      <w:pPr>
        <w:pStyle w:val="11"/>
        <w:spacing w:before="12"/>
        <w:rPr>
          <w:sz w:val="32"/>
        </w:rPr>
      </w:pPr>
    </w:p>
    <w:p>
      <w:pPr>
        <w:pStyle w:val="11"/>
        <w:tabs>
          <w:tab w:val="left" w:pos="3110"/>
          <w:tab w:val="left" w:pos="5133"/>
          <w:tab w:val="left" w:pos="7739"/>
          <w:tab w:val="left" w:pos="8219"/>
        </w:tabs>
        <w:spacing w:line="343" w:lineRule="auto"/>
        <w:ind w:left="384" w:right="346"/>
      </w:pPr>
      <w:r>
        <w:rPr>
          <w:rFonts w:hint="eastAsia"/>
        </w:rPr>
        <w:t>发包人</w:t>
      </w:r>
      <w:r>
        <w:rPr>
          <w:rFonts w:hint="eastAsia"/>
          <w:spacing w:val="-17"/>
        </w:rPr>
        <w:t>：</w:t>
      </w:r>
      <w:r>
        <w:rPr>
          <w:rFonts w:hint="eastAsia"/>
          <w:spacing w:val="-17"/>
          <w:u w:val="single"/>
        </w:rPr>
        <w:t xml:space="preserve"> </w:t>
      </w:r>
      <w:r>
        <w:rPr>
          <w:rFonts w:hint="eastAsia"/>
          <w:spacing w:val="-17"/>
          <w:u w:val="single"/>
        </w:rPr>
        <w:tab/>
      </w:r>
      <w:r>
        <w:rPr>
          <w:rFonts w:hint="eastAsia"/>
        </w:rPr>
        <w:t>（盖单位章）</w:t>
      </w:r>
      <w:r>
        <w:rPr>
          <w:rFonts w:hint="eastAsia"/>
        </w:rPr>
        <w:tab/>
      </w:r>
      <w:r>
        <w:rPr>
          <w:rFonts w:hint="eastAsia"/>
        </w:rPr>
        <w:t>承包人</w:t>
      </w:r>
      <w:r>
        <w:rPr>
          <w:rFonts w:hint="eastAsia"/>
          <w:spacing w:val="-18"/>
        </w:rPr>
        <w:t>：</w:t>
      </w:r>
      <w:r>
        <w:rPr>
          <w:rFonts w:hint="eastAsia"/>
          <w:spacing w:val="-18"/>
          <w:u w:val="single"/>
        </w:rPr>
        <w:t xml:space="preserve"> </w:t>
      </w:r>
      <w:r>
        <w:rPr>
          <w:rFonts w:hint="eastAsia"/>
          <w:spacing w:val="-18"/>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38"/>
        </w:rPr>
        <w:t xml:space="preserve"> </w:t>
      </w:r>
      <w:r>
        <w:rPr>
          <w:rFonts w:hint="eastAsia"/>
          <w:u w:val="single"/>
        </w:rPr>
        <w:t>（</w:t>
      </w:r>
      <w:r>
        <w:rPr>
          <w:rFonts w:hint="eastAsia"/>
        </w:rPr>
        <w:t>签字）</w:t>
      </w:r>
      <w:r>
        <w:rPr>
          <w:rFonts w:hint="eastAsia"/>
          <w:spacing w:val="79"/>
        </w:rPr>
        <w:t xml:space="preserve"> </w:t>
      </w:r>
      <w:r>
        <w:rPr>
          <w:rFonts w:hint="eastAsia"/>
        </w:rPr>
        <w:t>法定代表人或其委托代理人：</w:t>
      </w:r>
      <w:r>
        <w:rPr>
          <w:rFonts w:hint="eastAsia"/>
        </w:rPr>
        <w:tab/>
      </w:r>
      <w:r>
        <w:rPr>
          <w:rFonts w:hint="eastAsia"/>
        </w:rPr>
        <w:t>（签字</w:t>
      </w:r>
      <w:r>
        <w:rPr>
          <w:rFonts w:hint="eastAsia"/>
          <w:spacing w:val="-18"/>
        </w:rPr>
        <w:t>）</w:t>
      </w:r>
    </w:p>
    <w:p>
      <w:pPr>
        <w:pStyle w:val="11"/>
        <w:tabs>
          <w:tab w:val="left" w:pos="2303"/>
          <w:tab w:val="left" w:pos="3143"/>
          <w:tab w:val="left" w:pos="3983"/>
          <w:tab w:val="left" w:pos="4948"/>
          <w:tab w:val="left" w:pos="5903"/>
          <w:tab w:val="left" w:pos="6983"/>
          <w:tab w:val="left" w:pos="7823"/>
          <w:tab w:val="left" w:pos="8663"/>
        </w:tabs>
        <w:spacing w:before="1" w:line="669" w:lineRule="auto"/>
        <w:ind w:left="384" w:right="346" w:firstLine="840"/>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 发包人监督单位</w:t>
      </w:r>
      <w:r>
        <w:rPr>
          <w:rFonts w:hint="eastAsia"/>
          <w:spacing w:val="-23"/>
        </w:rPr>
        <w:t>：</w:t>
      </w:r>
      <w:r>
        <w:rPr>
          <w:rFonts w:hint="eastAsia"/>
          <w:spacing w:val="-23"/>
          <w:u w:val="single"/>
        </w:rPr>
        <w:t>（</w:t>
      </w:r>
      <w:r>
        <w:rPr>
          <w:rFonts w:hint="eastAsia"/>
          <w:u w:val="single"/>
        </w:rPr>
        <w:t>全称</w:t>
      </w:r>
      <w:r>
        <w:rPr>
          <w:rFonts w:hint="eastAsia"/>
          <w:spacing w:val="-23"/>
          <w:u w:val="single"/>
        </w:rPr>
        <w:t>）（</w:t>
      </w:r>
      <w:r>
        <w:rPr>
          <w:rFonts w:hint="eastAsia"/>
          <w:u w:val="single"/>
        </w:rPr>
        <w:t>盖单位章）</w:t>
      </w:r>
      <w:r>
        <w:rPr>
          <w:rFonts w:hint="eastAsia"/>
        </w:rPr>
        <w:tab/>
      </w:r>
      <w:r>
        <w:rPr>
          <w:rFonts w:hint="eastAsia"/>
        </w:rPr>
        <w:t>承包人监督单位</w:t>
      </w:r>
      <w:r>
        <w:rPr>
          <w:rFonts w:hint="eastAsia"/>
          <w:spacing w:val="-24"/>
        </w:rPr>
        <w:t>：</w:t>
      </w:r>
      <w:r>
        <w:rPr>
          <w:rFonts w:hint="eastAsia"/>
          <w:spacing w:val="-24"/>
          <w:u w:val="single"/>
        </w:rPr>
        <w:t>（</w:t>
      </w:r>
      <w:r>
        <w:rPr>
          <w:rFonts w:hint="eastAsia"/>
          <w:u w:val="single"/>
        </w:rPr>
        <w:t>全称</w:t>
      </w:r>
      <w:r>
        <w:rPr>
          <w:rFonts w:hint="eastAsia"/>
          <w:spacing w:val="-22"/>
          <w:u w:val="single"/>
        </w:rPr>
        <w:t>）（</w:t>
      </w:r>
      <w:r>
        <w:rPr>
          <w:rFonts w:hint="eastAsia"/>
          <w:u w:val="single"/>
        </w:rPr>
        <w:t>盖单位章</w:t>
      </w:r>
      <w:r>
        <w:rPr>
          <w:rFonts w:hint="eastAsia"/>
          <w:spacing w:val="-16"/>
          <w:u w:val="single"/>
        </w:rPr>
        <w:t>）</w:t>
      </w:r>
    </w:p>
    <w:p>
      <w:pPr>
        <w:spacing w:line="669" w:lineRule="auto"/>
        <w:sectPr>
          <w:pgSz w:w="11910" w:h="16840"/>
          <w:pgMar w:top="1360" w:right="1120" w:bottom="1080" w:left="1260" w:header="882" w:footer="880" w:gutter="0"/>
          <w:cols w:space="720" w:num="1"/>
        </w:sectPr>
      </w:pPr>
    </w:p>
    <w:p>
      <w:pPr>
        <w:pStyle w:val="11"/>
        <w:spacing w:before="10"/>
        <w:rPr>
          <w:sz w:val="17"/>
        </w:rPr>
      </w:pPr>
    </w:p>
    <w:p>
      <w:pPr>
        <w:rPr>
          <w:sz w:val="17"/>
        </w:rPr>
        <w:sectPr>
          <w:pgSz w:w="11910" w:h="16840"/>
          <w:pgMar w:top="1360" w:right="1120" w:bottom="1080" w:left="1260" w:header="882" w:footer="880" w:gutter="0"/>
          <w:cols w:space="720" w:num="1"/>
        </w:sectPr>
      </w:pPr>
    </w:p>
    <w:p>
      <w:pPr>
        <w:pStyle w:val="11"/>
        <w:spacing w:before="67"/>
        <w:ind w:left="583"/>
      </w:pPr>
      <w:bookmarkStart w:id="76" w:name="附件三_安全生产合同"/>
      <w:bookmarkEnd w:id="76"/>
      <w:r>
        <w:rPr>
          <w:rFonts w:hint="eastAsia"/>
        </w:rPr>
        <w:t>附件三 安全生产合同</w:t>
      </w:r>
    </w:p>
    <w:p>
      <w:pPr>
        <w:pStyle w:val="11"/>
        <w:spacing w:before="8"/>
        <w:rPr>
          <w:sz w:val="31"/>
        </w:rPr>
      </w:pPr>
      <w:r>
        <w:rPr>
          <w:rFonts w:hint="eastAsia"/>
        </w:rPr>
        <w:br w:type="column"/>
      </w:r>
    </w:p>
    <w:p>
      <w:pPr>
        <w:spacing w:before="1"/>
        <w:ind w:left="583"/>
        <w:rPr>
          <w:sz w:val="28"/>
        </w:rPr>
      </w:pPr>
      <w:r>
        <w:rPr>
          <w:rFonts w:hint="eastAsia"/>
          <w:sz w:val="28"/>
        </w:rPr>
        <w:t>安全生产合同</w:t>
      </w:r>
    </w:p>
    <w:p>
      <w:pPr>
        <w:rPr>
          <w:sz w:val="28"/>
        </w:rPr>
        <w:sectPr>
          <w:type w:val="continuous"/>
          <w:pgSz w:w="11910" w:h="16840"/>
          <w:pgMar w:top="1580" w:right="1120" w:bottom="280" w:left="1260" w:header="720" w:footer="720" w:gutter="0"/>
          <w:cols w:equalWidth="0" w:num="2">
            <w:col w:w="2904" w:space="509"/>
            <w:col w:w="6117"/>
          </w:cols>
        </w:sectPr>
      </w:pPr>
    </w:p>
    <w:p>
      <w:pPr>
        <w:pStyle w:val="11"/>
        <w:rPr>
          <w:sz w:val="20"/>
        </w:rPr>
      </w:pPr>
    </w:p>
    <w:p>
      <w:pPr>
        <w:pStyle w:val="11"/>
        <w:tabs>
          <w:tab w:val="left" w:pos="2915"/>
          <w:tab w:val="left" w:pos="6086"/>
          <w:tab w:val="left" w:pos="8579"/>
        </w:tabs>
        <w:spacing w:before="214" w:line="304" w:lineRule="auto"/>
        <w:ind w:left="384" w:right="462" w:firstLine="480"/>
        <w:jc w:val="both"/>
      </w:pPr>
      <w:r>
        <w:rPr>
          <w:rFonts w:hint="eastAsia"/>
        </w:rPr>
        <w:t>为在</w:t>
      </w:r>
      <w:r>
        <w:rPr>
          <w:rFonts w:hint="eastAsia"/>
          <w:u w:val="single"/>
        </w:rPr>
        <w:t xml:space="preserve"> </w:t>
      </w:r>
      <w:r>
        <w:rPr>
          <w:rFonts w:hint="eastAsia"/>
          <w:u w:val="single"/>
        </w:rPr>
        <w:tab/>
      </w:r>
      <w:r>
        <w:rPr>
          <w:rFonts w:hint="eastAsia"/>
        </w:rPr>
        <w:t>（项目名称）</w:t>
      </w:r>
      <w:r>
        <w:rPr>
          <w:rFonts w:hint="eastAsia"/>
          <w:u w:val="single"/>
        </w:rPr>
        <w:t xml:space="preserve">   </w:t>
      </w:r>
      <w:r>
        <w:rPr>
          <w:rFonts w:hint="eastAsia"/>
          <w:spacing w:val="19"/>
          <w:u w:val="single"/>
        </w:rPr>
        <w:t xml:space="preserve"> </w:t>
      </w:r>
      <w:r>
        <w:rPr>
          <w:rFonts w:hint="eastAsia"/>
        </w:rPr>
        <w:t>标段施工合同的实施过程中创造安全</w:t>
      </w:r>
      <w:r>
        <w:rPr>
          <w:rFonts w:hint="eastAsia"/>
          <w:spacing w:val="-10"/>
        </w:rPr>
        <w:t>、</w:t>
      </w:r>
      <w:r>
        <w:rPr>
          <w:rFonts w:hint="eastAsia"/>
        </w:rPr>
        <w:t>高效的施工环境</w:t>
      </w:r>
      <w:r>
        <w:rPr>
          <w:rFonts w:hint="eastAsia"/>
          <w:spacing w:val="-29"/>
        </w:rPr>
        <w:t>，</w:t>
      </w:r>
      <w:r>
        <w:rPr>
          <w:rFonts w:hint="eastAsia"/>
        </w:rPr>
        <w:t>切实搞好本项目的安全管理工作</w:t>
      </w:r>
      <w:r>
        <w:rPr>
          <w:rFonts w:hint="eastAsia"/>
          <w:spacing w:val="-27"/>
        </w:rPr>
        <w:t>，</w:t>
      </w:r>
      <w:r>
        <w:rPr>
          <w:rFonts w:hint="eastAsia"/>
        </w:rPr>
        <w:t>本项目发包人</w:t>
      </w:r>
      <w:r>
        <w:rPr>
          <w:rFonts w:hint="eastAsia"/>
          <w:u w:val="single"/>
        </w:rPr>
        <w:t xml:space="preserve"> </w:t>
      </w:r>
      <w:r>
        <w:rPr>
          <w:rFonts w:hint="eastAsia"/>
          <w:u w:val="single"/>
        </w:rPr>
        <w:tab/>
      </w:r>
      <w:r>
        <w:rPr>
          <w:rFonts w:hint="eastAsia"/>
        </w:rPr>
        <w:t>（</w:t>
      </w:r>
      <w:r>
        <w:rPr>
          <w:rFonts w:hint="eastAsia"/>
          <w:spacing w:val="-14"/>
        </w:rPr>
        <w:t>发</w:t>
      </w:r>
      <w:r>
        <w:rPr>
          <w:rFonts w:hint="eastAsia"/>
        </w:rPr>
        <w:t>包人名称</w:t>
      </w:r>
      <w:r>
        <w:rPr>
          <w:rFonts w:hint="eastAsia"/>
          <w:spacing w:val="-12"/>
        </w:rPr>
        <w:t>，</w:t>
      </w:r>
      <w:r>
        <w:rPr>
          <w:rFonts w:hint="eastAsia"/>
        </w:rPr>
        <w:t>以下简称“发包人</w:t>
      </w:r>
      <w:r>
        <w:rPr>
          <w:rFonts w:hint="eastAsia"/>
          <w:spacing w:val="-6"/>
        </w:rPr>
        <w:t>”）</w:t>
      </w:r>
      <w:r>
        <w:rPr>
          <w:rFonts w:hint="eastAsia"/>
        </w:rPr>
        <w:t>与承包人</w:t>
      </w:r>
      <w:r>
        <w:rPr>
          <w:rFonts w:hint="eastAsia"/>
          <w:u w:val="single"/>
        </w:rPr>
        <w:t xml:space="preserve"> </w:t>
      </w:r>
      <w:r>
        <w:rPr>
          <w:rFonts w:hint="eastAsia"/>
          <w:u w:val="single"/>
        </w:rPr>
        <w:tab/>
      </w:r>
      <w:r>
        <w:rPr>
          <w:rFonts w:hint="eastAsia"/>
        </w:rPr>
        <w:t>（承包人名称</w:t>
      </w:r>
      <w:r>
        <w:rPr>
          <w:rFonts w:hint="eastAsia"/>
          <w:spacing w:val="-10"/>
        </w:rPr>
        <w:t>，</w:t>
      </w:r>
      <w:r>
        <w:rPr>
          <w:rFonts w:hint="eastAsia"/>
        </w:rPr>
        <w:t>以下简称“</w:t>
      </w:r>
      <w:r>
        <w:rPr>
          <w:rFonts w:hint="eastAsia"/>
          <w:spacing w:val="-17"/>
        </w:rPr>
        <w:t>承</w:t>
      </w:r>
      <w:r>
        <w:rPr>
          <w:rFonts w:hint="eastAsia"/>
        </w:rPr>
        <w:t>包人”）特此签订安全生产合同。</w:t>
      </w:r>
    </w:p>
    <w:p>
      <w:pPr>
        <w:pStyle w:val="21"/>
        <w:numPr>
          <w:ilvl w:val="0"/>
          <w:numId w:val="55"/>
        </w:numPr>
        <w:tabs>
          <w:tab w:val="left" w:pos="1045"/>
        </w:tabs>
        <w:spacing w:line="305" w:lineRule="exact"/>
        <w:rPr>
          <w:sz w:val="24"/>
        </w:rPr>
      </w:pPr>
      <w:r>
        <w:rPr>
          <w:rFonts w:hint="eastAsia"/>
          <w:sz w:val="24"/>
        </w:rPr>
        <w:t>发包人职责</w:t>
      </w:r>
    </w:p>
    <w:p>
      <w:pPr>
        <w:pStyle w:val="21"/>
        <w:numPr>
          <w:ilvl w:val="0"/>
          <w:numId w:val="56"/>
        </w:numPr>
        <w:tabs>
          <w:tab w:val="left" w:pos="1465"/>
        </w:tabs>
        <w:spacing w:before="84" w:line="302" w:lineRule="auto"/>
        <w:ind w:right="466" w:firstLine="480"/>
        <w:rPr>
          <w:sz w:val="24"/>
        </w:rPr>
      </w:pPr>
      <w:r>
        <w:rPr>
          <w:rFonts w:hint="eastAsia"/>
          <w:spacing w:val="-3"/>
          <w:sz w:val="24"/>
        </w:rPr>
        <w:t>严格遵守国家有关安全生产的法律法规，认真执行工程承包合同中的有</w:t>
      </w:r>
      <w:r>
        <w:rPr>
          <w:rFonts w:hint="eastAsia"/>
          <w:spacing w:val="-5"/>
          <w:sz w:val="24"/>
        </w:rPr>
        <w:t>关安全要求。</w:t>
      </w:r>
    </w:p>
    <w:p>
      <w:pPr>
        <w:pStyle w:val="21"/>
        <w:numPr>
          <w:ilvl w:val="0"/>
          <w:numId w:val="56"/>
        </w:numPr>
        <w:tabs>
          <w:tab w:val="left" w:pos="1465"/>
        </w:tabs>
        <w:spacing w:before="5" w:line="302" w:lineRule="auto"/>
        <w:ind w:right="462" w:firstLine="480"/>
        <w:rPr>
          <w:sz w:val="24"/>
        </w:rPr>
      </w:pPr>
      <w:r>
        <w:rPr>
          <w:rFonts w:hint="eastAsia"/>
          <w:sz w:val="24"/>
        </w:rPr>
        <w:t>按照“</w:t>
      </w:r>
      <w:r>
        <w:rPr>
          <w:rFonts w:hint="eastAsia"/>
          <w:spacing w:val="-3"/>
          <w:sz w:val="24"/>
        </w:rPr>
        <w:t>安全第一、预防为主、综合治理</w:t>
      </w:r>
      <w:r>
        <w:rPr>
          <w:rFonts w:hint="eastAsia"/>
          <w:sz w:val="24"/>
        </w:rPr>
        <w:t>”和坚持“管生产必须管安全”</w:t>
      </w:r>
      <w:r>
        <w:rPr>
          <w:rFonts w:hint="eastAsia"/>
          <w:spacing w:val="-6"/>
          <w:sz w:val="24"/>
        </w:rPr>
        <w:t>的原则</w:t>
      </w:r>
      <w:r>
        <w:rPr>
          <w:rFonts w:hint="eastAsia"/>
          <w:sz w:val="24"/>
        </w:rPr>
        <w:t>进行安全生产管理，做到生产与安全工作同时计划、布置、检查、总结和评比。</w:t>
      </w:r>
    </w:p>
    <w:p>
      <w:pPr>
        <w:pStyle w:val="21"/>
        <w:numPr>
          <w:ilvl w:val="0"/>
          <w:numId w:val="56"/>
        </w:numPr>
        <w:tabs>
          <w:tab w:val="left" w:pos="1465"/>
        </w:tabs>
        <w:spacing w:before="5" w:line="302" w:lineRule="auto"/>
        <w:ind w:right="462" w:firstLine="480"/>
        <w:rPr>
          <w:sz w:val="24"/>
        </w:rPr>
      </w:pPr>
      <w:r>
        <w:rPr>
          <w:rFonts w:hint="eastAsia"/>
          <w:sz w:val="24"/>
        </w:rPr>
        <w:t>重要的安全设施必须坚持与主体工程“三同时”</w:t>
      </w:r>
      <w:r>
        <w:rPr>
          <w:rFonts w:hint="eastAsia"/>
          <w:spacing w:val="-8"/>
          <w:sz w:val="24"/>
        </w:rPr>
        <w:t>的原则，即：同时设计、审</w:t>
      </w:r>
      <w:r>
        <w:rPr>
          <w:rFonts w:hint="eastAsia"/>
          <w:sz w:val="24"/>
        </w:rPr>
        <w:t>批，同时施工，同时验收，投入使用。</w:t>
      </w:r>
    </w:p>
    <w:p>
      <w:pPr>
        <w:pStyle w:val="21"/>
        <w:numPr>
          <w:ilvl w:val="0"/>
          <w:numId w:val="56"/>
        </w:numPr>
        <w:tabs>
          <w:tab w:val="left" w:pos="1465"/>
        </w:tabs>
        <w:spacing w:before="5"/>
        <w:ind w:left="1465"/>
        <w:rPr>
          <w:sz w:val="24"/>
        </w:rPr>
      </w:pPr>
      <w:r>
        <w:rPr>
          <w:rFonts w:hint="eastAsia"/>
          <w:sz w:val="24"/>
        </w:rPr>
        <w:t>定期召开安全生产调度会，及时传达中央及地方有关安全生产的精神。</w:t>
      </w:r>
    </w:p>
    <w:p>
      <w:pPr>
        <w:pStyle w:val="21"/>
        <w:numPr>
          <w:ilvl w:val="0"/>
          <w:numId w:val="56"/>
        </w:numPr>
        <w:tabs>
          <w:tab w:val="left" w:pos="1465"/>
        </w:tabs>
        <w:spacing w:before="81" w:line="304" w:lineRule="auto"/>
        <w:ind w:right="466" w:firstLine="480"/>
        <w:rPr>
          <w:sz w:val="24"/>
        </w:rPr>
      </w:pPr>
      <w:r>
        <w:rPr>
          <w:rFonts w:hint="eastAsia"/>
          <w:spacing w:val="-3"/>
          <w:sz w:val="24"/>
        </w:rPr>
        <w:t>组织对承包人施工现场进行安全生产检查，监督承包人及时处理发现的</w:t>
      </w:r>
      <w:r>
        <w:rPr>
          <w:rFonts w:hint="eastAsia"/>
          <w:spacing w:val="-5"/>
          <w:sz w:val="24"/>
        </w:rPr>
        <w:t>各种安全隐患。</w:t>
      </w:r>
    </w:p>
    <w:p>
      <w:pPr>
        <w:pStyle w:val="21"/>
        <w:numPr>
          <w:ilvl w:val="0"/>
          <w:numId w:val="55"/>
        </w:numPr>
        <w:tabs>
          <w:tab w:val="left" w:pos="1045"/>
        </w:tabs>
        <w:spacing w:line="306" w:lineRule="exact"/>
        <w:rPr>
          <w:sz w:val="24"/>
        </w:rPr>
      </w:pPr>
      <w:r>
        <w:rPr>
          <w:rFonts w:hint="eastAsia"/>
          <w:sz w:val="24"/>
        </w:rPr>
        <w:t>承包人职责</w:t>
      </w:r>
    </w:p>
    <w:p>
      <w:pPr>
        <w:pStyle w:val="21"/>
        <w:numPr>
          <w:ilvl w:val="0"/>
          <w:numId w:val="57"/>
        </w:numPr>
        <w:tabs>
          <w:tab w:val="left" w:pos="1465"/>
        </w:tabs>
        <w:spacing w:before="84" w:line="304" w:lineRule="auto"/>
        <w:ind w:right="382" w:firstLine="480"/>
        <w:rPr>
          <w:sz w:val="24"/>
        </w:rPr>
      </w:pPr>
      <w:r>
        <w:rPr>
          <w:rFonts w:hint="eastAsia"/>
          <w:spacing w:val="-1"/>
          <w:sz w:val="24"/>
        </w:rPr>
        <w:t>严格遵守《中华人民共和国安全生产法》《建设工程安全生产管理条例》</w:t>
      </w:r>
      <w:r>
        <w:rPr>
          <w:rFonts w:hint="eastAsia"/>
          <w:sz w:val="24"/>
        </w:rPr>
        <w:t>等国家有关安全生产的法律法规、《公路水运工程安全生产监督管理办法》和《公路工程施工安全技术规范》等有关安全生产的规定。认真执行工程承包合同中的有关安全要求。</w:t>
      </w:r>
    </w:p>
    <w:p>
      <w:pPr>
        <w:pStyle w:val="21"/>
        <w:numPr>
          <w:ilvl w:val="0"/>
          <w:numId w:val="57"/>
        </w:numPr>
        <w:tabs>
          <w:tab w:val="left" w:pos="1465"/>
        </w:tabs>
        <w:spacing w:line="304" w:lineRule="auto"/>
        <w:ind w:right="466" w:firstLine="480"/>
        <w:jc w:val="both"/>
        <w:rPr>
          <w:sz w:val="24"/>
        </w:rPr>
      </w:pPr>
      <w:r>
        <w:rPr>
          <w:rFonts w:hint="eastAsia"/>
          <w:sz w:val="24"/>
        </w:rPr>
        <w:t>坚持“</w:t>
      </w:r>
      <w:r>
        <w:rPr>
          <w:rFonts w:hint="eastAsia"/>
          <w:spacing w:val="-3"/>
          <w:sz w:val="24"/>
        </w:rPr>
        <w:t>安全第一、预防为主、综合治理</w:t>
      </w:r>
      <w:r>
        <w:rPr>
          <w:rFonts w:hint="eastAsia"/>
          <w:sz w:val="24"/>
        </w:rPr>
        <w:t>”和“管生产必须管安全”</w:t>
      </w:r>
      <w:r>
        <w:rPr>
          <w:rFonts w:hint="eastAsia"/>
          <w:spacing w:val="-6"/>
          <w:sz w:val="24"/>
        </w:rPr>
        <w:t>的原则，加</w:t>
      </w:r>
      <w:r>
        <w:rPr>
          <w:rFonts w:hint="eastAsia"/>
          <w:spacing w:val="-1"/>
          <w:sz w:val="24"/>
        </w:rPr>
        <w:t>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w:t>
      </w:r>
      <w:r>
        <w:rPr>
          <w:rFonts w:hint="eastAsia"/>
          <w:sz w:val="24"/>
        </w:rPr>
        <w:t>守本合同的各项规定，做到生产与安全工作同时计划、布置、检查、总结和评比。</w:t>
      </w:r>
    </w:p>
    <w:p>
      <w:pPr>
        <w:pStyle w:val="21"/>
        <w:numPr>
          <w:ilvl w:val="0"/>
          <w:numId w:val="57"/>
        </w:numPr>
        <w:tabs>
          <w:tab w:val="left" w:pos="1465"/>
        </w:tabs>
        <w:spacing w:line="304" w:lineRule="auto"/>
        <w:ind w:right="346" w:firstLine="480"/>
        <w:rPr>
          <w:sz w:val="24"/>
        </w:rPr>
      </w:pPr>
      <w:r>
        <w:rPr>
          <w:rFonts w:hint="eastAsia"/>
          <w:spacing w:val="-4"/>
          <w:sz w:val="24"/>
        </w:rPr>
        <w:t>建立健全安全生产责任制。从派往项目实施的项目经理到生产工人</w:t>
      </w:r>
      <w:r>
        <w:rPr>
          <w:rFonts w:hint="eastAsia"/>
          <w:sz w:val="24"/>
        </w:rPr>
        <w:t>（包括临时雇请的民工</w:t>
      </w:r>
      <w:r>
        <w:rPr>
          <w:rFonts w:hint="eastAsia"/>
          <w:spacing w:val="-29"/>
          <w:sz w:val="24"/>
        </w:rPr>
        <w:t>）</w:t>
      </w:r>
      <w:r>
        <w:rPr>
          <w:rFonts w:hint="eastAsia"/>
          <w:spacing w:val="-5"/>
          <w:sz w:val="24"/>
        </w:rPr>
        <w:t>的安全生产管理系统必须做到纵向到底，一环不漏；各职能部门、</w:t>
      </w:r>
      <w:r>
        <w:rPr>
          <w:rFonts w:hint="eastAsia"/>
          <w:sz w:val="24"/>
        </w:rPr>
        <w:t>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04" w:lineRule="auto"/>
        <w:rPr>
          <w:sz w:val="24"/>
        </w:rPr>
        <w:sectPr>
          <w:type w:val="continuous"/>
          <w:pgSz w:w="11910" w:h="16840"/>
          <w:pgMar w:top="1580" w:right="1120" w:bottom="280" w:left="1260" w:header="720" w:footer="720" w:gutter="0"/>
          <w:cols w:space="720" w:num="1"/>
        </w:sectPr>
      </w:pPr>
    </w:p>
    <w:p>
      <w:pPr>
        <w:pStyle w:val="11"/>
        <w:spacing w:before="12"/>
        <w:rPr>
          <w:sz w:val="17"/>
        </w:rPr>
      </w:pPr>
    </w:p>
    <w:p>
      <w:pPr>
        <w:pStyle w:val="21"/>
        <w:numPr>
          <w:ilvl w:val="0"/>
          <w:numId w:val="57"/>
        </w:numPr>
        <w:tabs>
          <w:tab w:val="left" w:pos="1465"/>
        </w:tabs>
        <w:spacing w:before="74" w:line="302" w:lineRule="auto"/>
        <w:ind w:right="466" w:firstLine="480"/>
        <w:rPr>
          <w:sz w:val="24"/>
        </w:rPr>
      </w:pPr>
      <w:bookmarkStart w:id="77" w:name="附件四_其他管理和技术人员最低要求__"/>
      <w:bookmarkEnd w:id="77"/>
      <w:r>
        <w:rPr>
          <w:rFonts w:hint="eastAsia"/>
          <w:spacing w:val="-2"/>
          <w:sz w:val="24"/>
        </w:rPr>
        <w:t>承包人在任何时候都应采取各种合理的预防措施，防止其员工发生任何</w:t>
      </w:r>
      <w:r>
        <w:rPr>
          <w:rFonts w:hint="eastAsia"/>
          <w:spacing w:val="-5"/>
          <w:sz w:val="24"/>
        </w:rPr>
        <w:t>违法、违禁、暴力或妨碍治安的行为。</w:t>
      </w:r>
    </w:p>
    <w:p>
      <w:pPr>
        <w:pStyle w:val="21"/>
        <w:numPr>
          <w:ilvl w:val="0"/>
          <w:numId w:val="57"/>
        </w:numPr>
        <w:tabs>
          <w:tab w:val="left" w:pos="1465"/>
        </w:tabs>
        <w:spacing w:before="5" w:line="304" w:lineRule="auto"/>
        <w:ind w:right="466" w:firstLine="480"/>
        <w:jc w:val="both"/>
        <w:rPr>
          <w:sz w:val="24"/>
        </w:rPr>
      </w:pPr>
      <w:r>
        <w:rPr>
          <w:rFonts w:hint="eastAsia"/>
          <w:spacing w:val="-2"/>
          <w:sz w:val="24"/>
        </w:rPr>
        <w:t>承包人必须具有劳动安全管理部门颁发的安全生产考核合格证书，参加</w:t>
      </w:r>
      <w:r>
        <w:rPr>
          <w:rFonts w:hint="eastAsia"/>
          <w:spacing w:val="-5"/>
          <w:sz w:val="24"/>
        </w:rPr>
        <w:t>施工的人员，必须接受安全技术教育，熟知和遵守本工种的各项安全技术操作规程</w:t>
      </w:r>
      <w:r>
        <w:rPr>
          <w:rFonts w:hint="eastAsia"/>
          <w:spacing w:val="-4"/>
          <w:sz w:val="24"/>
        </w:rPr>
        <w:t>，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21"/>
        <w:numPr>
          <w:ilvl w:val="0"/>
          <w:numId w:val="57"/>
        </w:numPr>
        <w:tabs>
          <w:tab w:val="left" w:pos="1465"/>
        </w:tabs>
        <w:spacing w:line="304" w:lineRule="auto"/>
        <w:ind w:right="346" w:firstLine="480"/>
        <w:rPr>
          <w:sz w:val="24"/>
        </w:rPr>
      </w:pPr>
      <w:r>
        <w:rPr>
          <w:rFonts w:hint="eastAsia"/>
          <w:spacing w:val="-6"/>
          <w:sz w:val="24"/>
        </w:rPr>
        <w:t>对于易燃易爆的材料除应专门妥善保管之外，还应配备有足够的消防设施</w:t>
      </w:r>
      <w:r>
        <w:rPr>
          <w:rFonts w:hint="eastAsia"/>
          <w:spacing w:val="-5"/>
          <w:sz w:val="24"/>
        </w:rPr>
        <w:t>，所有施工人员都应熟悉消防设备的性能和使用方法；承包人不得将任何种类的爆炸物给予、易货或以其他方式转让给任何其他人，或允许、容忍上述同样行为。</w:t>
      </w:r>
    </w:p>
    <w:p>
      <w:pPr>
        <w:pStyle w:val="21"/>
        <w:numPr>
          <w:ilvl w:val="0"/>
          <w:numId w:val="57"/>
        </w:numPr>
        <w:tabs>
          <w:tab w:val="left" w:pos="1465"/>
        </w:tabs>
        <w:spacing w:line="304" w:lineRule="auto"/>
        <w:ind w:right="466" w:firstLine="480"/>
        <w:rPr>
          <w:sz w:val="24"/>
        </w:rPr>
      </w:pPr>
      <w:r>
        <w:rPr>
          <w:rFonts w:hint="eastAsia"/>
          <w:spacing w:val="-7"/>
          <w:sz w:val="24"/>
        </w:rPr>
        <w:t>操作人员上岗，必须按规定穿戴防护用品。施工负责人和安全检查员应</w:t>
      </w:r>
      <w:r>
        <w:rPr>
          <w:rFonts w:hint="eastAsia"/>
          <w:spacing w:val="-5"/>
          <w:sz w:val="24"/>
        </w:rPr>
        <w:t>随时检查劳动防护用品的穿戴情况，不按规定穿戴防护用品的人员不得上岗。</w:t>
      </w:r>
    </w:p>
    <w:p>
      <w:pPr>
        <w:pStyle w:val="21"/>
        <w:numPr>
          <w:ilvl w:val="0"/>
          <w:numId w:val="57"/>
        </w:numPr>
        <w:tabs>
          <w:tab w:val="left" w:pos="1465"/>
        </w:tabs>
        <w:spacing w:line="304" w:lineRule="auto"/>
        <w:ind w:right="466" w:firstLine="480"/>
        <w:rPr>
          <w:sz w:val="24"/>
        </w:rPr>
      </w:pPr>
      <w:r>
        <w:rPr>
          <w:rFonts w:hint="eastAsia"/>
          <w:spacing w:val="-2"/>
          <w:sz w:val="24"/>
        </w:rPr>
        <w:t>所有施工机具设备和高空作业的设备均应定期检查，并有安全员的签字</w:t>
      </w:r>
      <w:r>
        <w:rPr>
          <w:rFonts w:hint="eastAsia"/>
          <w:spacing w:val="-5"/>
          <w:sz w:val="24"/>
        </w:rPr>
        <w:t>记录，保证其经常处于完好状态；不合格的机具、设备和劳动保护用品严禁使用。</w:t>
      </w:r>
    </w:p>
    <w:p>
      <w:pPr>
        <w:pStyle w:val="21"/>
        <w:numPr>
          <w:ilvl w:val="0"/>
          <w:numId w:val="57"/>
        </w:numPr>
        <w:tabs>
          <w:tab w:val="left" w:pos="1465"/>
        </w:tabs>
        <w:spacing w:line="304" w:lineRule="auto"/>
        <w:ind w:right="466" w:firstLine="480"/>
        <w:rPr>
          <w:sz w:val="24"/>
        </w:rPr>
      </w:pPr>
      <w:r>
        <w:rPr>
          <w:rFonts w:hint="eastAsia"/>
          <w:spacing w:val="-7"/>
          <w:sz w:val="24"/>
        </w:rPr>
        <w:t>施工中采用新技术、新工艺、新设备、新材料时，必须制定相应的安全技</w:t>
      </w:r>
      <w:r>
        <w:rPr>
          <w:rFonts w:hint="eastAsia"/>
          <w:sz w:val="24"/>
        </w:rPr>
        <w:t>术措施，施工现场必须具有相关的安全标志牌。</w:t>
      </w:r>
    </w:p>
    <w:p>
      <w:pPr>
        <w:pStyle w:val="21"/>
        <w:numPr>
          <w:ilvl w:val="0"/>
          <w:numId w:val="57"/>
        </w:numPr>
        <w:tabs>
          <w:tab w:val="left" w:pos="1588"/>
        </w:tabs>
        <w:spacing w:line="304" w:lineRule="auto"/>
        <w:ind w:right="465" w:firstLine="480"/>
        <w:jc w:val="both"/>
        <w:rPr>
          <w:sz w:val="24"/>
        </w:rPr>
      </w:pPr>
      <w:r>
        <w:rPr>
          <w:rFonts w:hint="eastAsia"/>
          <w:spacing w:val="-1"/>
          <w:sz w:val="24"/>
        </w:rPr>
        <w:t>承包人必须按照本工程项目特点，组织制定本工程实施中的生产安全事故应急救援预案；如果发生安全事故，应按照《国务院关于特大安全事故行政责任</w:t>
      </w:r>
      <w:r>
        <w:rPr>
          <w:rFonts w:hint="eastAsia"/>
          <w:sz w:val="24"/>
        </w:rPr>
        <w:t>追究的规定》以及其他有关规定，及时上报有关部门，并坚持“四不放过”的原则， 严肃处理相关责任人。</w:t>
      </w:r>
    </w:p>
    <w:p>
      <w:pPr>
        <w:pStyle w:val="21"/>
        <w:numPr>
          <w:ilvl w:val="0"/>
          <w:numId w:val="57"/>
        </w:numPr>
        <w:tabs>
          <w:tab w:val="left" w:pos="1588"/>
        </w:tabs>
        <w:spacing w:line="304" w:lineRule="auto"/>
        <w:ind w:right="465" w:firstLine="480"/>
        <w:rPr>
          <w:sz w:val="24"/>
        </w:rPr>
      </w:pPr>
      <w:r>
        <w:rPr>
          <w:rFonts w:hint="eastAsia"/>
          <w:spacing w:val="-1"/>
          <w:sz w:val="24"/>
        </w:rPr>
        <w:t>安全生产费用按照《公路水运工程安全生产监督管理办法》的相关规定</w:t>
      </w:r>
      <w:r>
        <w:rPr>
          <w:rFonts w:hint="eastAsia"/>
          <w:sz w:val="24"/>
        </w:rPr>
        <w:t>使用和管理。</w:t>
      </w:r>
    </w:p>
    <w:p>
      <w:pPr>
        <w:pStyle w:val="21"/>
        <w:numPr>
          <w:ilvl w:val="0"/>
          <w:numId w:val="55"/>
        </w:numPr>
        <w:tabs>
          <w:tab w:val="left" w:pos="1045"/>
        </w:tabs>
        <w:spacing w:line="306" w:lineRule="exact"/>
        <w:rPr>
          <w:sz w:val="24"/>
        </w:rPr>
      </w:pPr>
      <w:r>
        <w:rPr>
          <w:rFonts w:hint="eastAsia"/>
          <w:sz w:val="24"/>
        </w:rPr>
        <w:t>违约责任</w:t>
      </w:r>
    </w:p>
    <w:p>
      <w:pPr>
        <w:pStyle w:val="11"/>
        <w:spacing w:before="73"/>
        <w:ind w:left="864"/>
      </w:pPr>
      <w:r>
        <w:rPr>
          <w:rFonts w:hint="eastAsia"/>
        </w:rPr>
        <w:t>如因发包人或承包人违约造成安全事故，将依法追究责任。</w:t>
      </w:r>
    </w:p>
    <w:p>
      <w:pPr>
        <w:pStyle w:val="21"/>
        <w:numPr>
          <w:ilvl w:val="0"/>
          <w:numId w:val="55"/>
        </w:numPr>
        <w:tabs>
          <w:tab w:val="left" w:pos="1164"/>
        </w:tabs>
        <w:spacing w:before="81" w:line="304" w:lineRule="auto"/>
        <w:ind w:left="384" w:right="466" w:firstLine="480"/>
        <w:rPr>
          <w:sz w:val="24"/>
        </w:rPr>
      </w:pPr>
      <w:r>
        <w:rPr>
          <w:rFonts w:hint="eastAsia"/>
          <w:spacing w:val="-2"/>
          <w:sz w:val="24"/>
        </w:rPr>
        <w:t>本合同由双方法定代表人或其授权的代理人签署并加盖单位章后生效，全部</w:t>
      </w:r>
      <w:r>
        <w:rPr>
          <w:rFonts w:hint="eastAsia"/>
          <w:sz w:val="24"/>
        </w:rPr>
        <w:t>工程竣工验收后失效。</w:t>
      </w:r>
    </w:p>
    <w:p>
      <w:pPr>
        <w:pStyle w:val="21"/>
        <w:numPr>
          <w:ilvl w:val="0"/>
          <w:numId w:val="55"/>
        </w:numPr>
        <w:tabs>
          <w:tab w:val="left" w:pos="1164"/>
          <w:tab w:val="left" w:pos="4036"/>
          <w:tab w:val="left" w:pos="8107"/>
        </w:tabs>
        <w:spacing w:line="304" w:lineRule="auto"/>
        <w:ind w:left="384" w:right="466" w:firstLine="480"/>
        <w:rPr>
          <w:sz w:val="24"/>
        </w:rPr>
      </w:pPr>
      <w:r>
        <w:rPr>
          <w:rFonts w:hint="eastAsia"/>
          <w:sz w:val="24"/>
        </w:rPr>
        <w:t>本合同正本二份</w:t>
      </w:r>
      <w:r>
        <w:rPr>
          <w:rFonts w:hint="eastAsia"/>
          <w:spacing w:val="-8"/>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合同双方各执正本一份</w:t>
      </w:r>
      <w:r>
        <w:rPr>
          <w:rFonts w:hint="eastAsia"/>
          <w:spacing w:val="-5"/>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当</w:t>
      </w:r>
      <w:r>
        <w:rPr>
          <w:rFonts w:hint="eastAsia"/>
          <w:spacing w:val="-18"/>
          <w:sz w:val="24"/>
        </w:rPr>
        <w:t>正</w:t>
      </w:r>
      <w:r>
        <w:rPr>
          <w:rFonts w:hint="eastAsia"/>
          <w:sz w:val="24"/>
        </w:rPr>
        <w:t>本与副本的内容不一致时，以正本为准。</w:t>
      </w:r>
    </w:p>
    <w:p>
      <w:pPr>
        <w:pStyle w:val="11"/>
      </w:pPr>
    </w:p>
    <w:p>
      <w:pPr>
        <w:pStyle w:val="11"/>
      </w:pPr>
    </w:p>
    <w:p>
      <w:pPr>
        <w:pStyle w:val="11"/>
        <w:spacing w:before="11"/>
        <w:rPr>
          <w:sz w:val="16"/>
        </w:rPr>
      </w:pPr>
    </w:p>
    <w:p>
      <w:pPr>
        <w:pStyle w:val="11"/>
        <w:tabs>
          <w:tab w:val="left" w:pos="3206"/>
          <w:tab w:val="left" w:pos="5236"/>
          <w:tab w:val="left" w:pos="7739"/>
        </w:tabs>
        <w:spacing w:line="343" w:lineRule="auto"/>
        <w:ind w:left="583" w:right="346"/>
      </w:pPr>
      <w:r>
        <w:rPr>
          <w:rFonts w:hint="eastAsia"/>
        </w:rPr>
        <w:t>发包人</w:t>
      </w:r>
      <w:r>
        <w:rPr>
          <w:rFonts w:hint="eastAsia"/>
          <w:spacing w:val="-11"/>
        </w:rPr>
        <w:t>：</w:t>
      </w:r>
      <w:r>
        <w:rPr>
          <w:rFonts w:hint="eastAsia"/>
          <w:spacing w:val="-11"/>
          <w:u w:val="single"/>
        </w:rPr>
        <w:t xml:space="preserve"> </w:t>
      </w:r>
      <w:r>
        <w:rPr>
          <w:rFonts w:hint="eastAsia"/>
          <w:spacing w:val="-11"/>
          <w:u w:val="single"/>
        </w:rPr>
        <w:tab/>
      </w:r>
      <w:r>
        <w:rPr>
          <w:rFonts w:hint="eastAsia"/>
          <w:spacing w:val="-3"/>
        </w:rPr>
        <w:t>（</w:t>
      </w:r>
      <w:r>
        <w:rPr>
          <w:rFonts w:hint="eastAsia"/>
        </w:rPr>
        <w:t>盖单位章）</w:t>
      </w:r>
      <w:r>
        <w:rPr>
          <w:rFonts w:hint="eastAsia"/>
        </w:rPr>
        <w:tab/>
      </w:r>
      <w:r>
        <w:rPr>
          <w:rFonts w:hint="eastAsia"/>
        </w:rPr>
        <w:t>承包人</w:t>
      </w:r>
      <w:r>
        <w:rPr>
          <w:rFonts w:hint="eastAsia"/>
          <w:spacing w:val="-10"/>
        </w:rPr>
        <w:t>：</w:t>
      </w:r>
      <w:r>
        <w:rPr>
          <w:rFonts w:hint="eastAsia"/>
          <w:spacing w:val="-10"/>
          <w:u w:val="single"/>
        </w:rPr>
        <w:t xml:space="preserve"> </w:t>
      </w:r>
      <w:r>
        <w:rPr>
          <w:rFonts w:hint="eastAsia"/>
          <w:spacing w:val="-10"/>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28"/>
        </w:rPr>
        <w:t>：</w:t>
      </w:r>
      <w:r>
        <w:rPr>
          <w:rFonts w:hint="eastAsia"/>
          <w:spacing w:val="-10"/>
          <w:u w:val="single"/>
        </w:rPr>
        <w:t xml:space="preserve"> </w:t>
      </w:r>
      <w:r>
        <w:rPr>
          <w:rFonts w:hint="eastAsia"/>
          <w:spacing w:val="-3"/>
        </w:rPr>
        <w:t>（</w:t>
      </w:r>
      <w:r>
        <w:rPr>
          <w:rFonts w:hint="eastAsia"/>
        </w:rPr>
        <w:t>签字）</w:t>
      </w:r>
      <w:r>
        <w:rPr>
          <w:rFonts w:hint="eastAsia"/>
          <w:spacing w:val="-32"/>
        </w:rPr>
        <w:t xml:space="preserve"> </w:t>
      </w:r>
      <w:r>
        <w:rPr>
          <w:rFonts w:hint="eastAsia"/>
        </w:rPr>
        <w:t>法定代表人或其委托代理人</w:t>
      </w:r>
      <w:r>
        <w:rPr>
          <w:rFonts w:hint="eastAsia"/>
          <w:spacing w:val="-29"/>
        </w:rPr>
        <w:t>：</w:t>
      </w:r>
      <w:r>
        <w:rPr>
          <w:rFonts w:hint="eastAsia"/>
          <w:spacing w:val="-7"/>
          <w:u w:val="single"/>
        </w:rPr>
        <w:t xml:space="preserve"> </w:t>
      </w:r>
      <w:r>
        <w:rPr>
          <w:rFonts w:hint="eastAsia"/>
        </w:rPr>
        <w:t>（签字</w:t>
      </w:r>
      <w:r>
        <w:rPr>
          <w:rFonts w:hint="eastAsia"/>
          <w:spacing w:val="-16"/>
        </w:rPr>
        <w:t>）</w:t>
      </w:r>
    </w:p>
    <w:p>
      <w:pPr>
        <w:pStyle w:val="11"/>
        <w:tabs>
          <w:tab w:val="left" w:pos="2303"/>
          <w:tab w:val="left" w:pos="3143"/>
          <w:tab w:val="left" w:pos="3983"/>
          <w:tab w:val="left" w:pos="5903"/>
          <w:tab w:val="left" w:pos="6983"/>
          <w:tab w:val="left" w:pos="7823"/>
          <w:tab w:val="left" w:pos="8663"/>
        </w:tabs>
        <w:spacing w:before="1"/>
        <w:ind w:left="122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1"/>
        <w:spacing w:before="4"/>
        <w:rPr>
          <w:sz w:val="16"/>
        </w:rPr>
      </w:pPr>
    </w:p>
    <w:p>
      <w:pPr>
        <w:pStyle w:val="11"/>
        <w:spacing w:before="85"/>
        <w:ind w:left="583"/>
        <w:rPr>
          <w:sz w:val="12"/>
        </w:rPr>
      </w:pPr>
      <w:r>
        <w:rPr>
          <w:rFonts w:hint="eastAsia"/>
        </w:rPr>
        <w:t xml:space="preserve">附件四 其他管理和技术人员最低要求 </w:t>
      </w:r>
    </w:p>
    <w:p>
      <w:pPr>
        <w:pStyle w:val="11"/>
        <w:rPr>
          <w:sz w:val="20"/>
        </w:rPr>
      </w:pPr>
    </w:p>
    <w:p>
      <w:pPr>
        <w:pStyle w:val="11"/>
        <w:spacing w:before="4"/>
        <w:rPr>
          <w:sz w:val="11"/>
        </w:rPr>
      </w:pPr>
    </w:p>
    <w:tbl>
      <w:tblPr>
        <w:tblStyle w:val="19"/>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61"/>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448" w:type="dxa"/>
          </w:tcPr>
          <w:p>
            <w:pPr>
              <w:pStyle w:val="22"/>
              <w:keepNext w:val="0"/>
              <w:keepLines w:val="0"/>
              <w:suppressLineNumbers w:val="0"/>
              <w:spacing w:before="8" w:beforeAutospacing="0" w:after="0" w:afterAutospacing="0"/>
              <w:ind w:left="0" w:right="0"/>
              <w:rPr>
                <w:rFonts w:hint="default"/>
                <w:sz w:val="24"/>
              </w:rPr>
            </w:pPr>
          </w:p>
          <w:p>
            <w:pPr>
              <w:pStyle w:val="22"/>
              <w:keepNext w:val="0"/>
              <w:keepLines w:val="0"/>
              <w:suppressLineNumbers w:val="0"/>
              <w:tabs>
                <w:tab w:val="left" w:pos="489"/>
              </w:tabs>
              <w:spacing w:before="0" w:beforeAutospacing="0" w:after="0" w:afterAutospacing="0"/>
              <w:ind w:left="9" w:right="0"/>
              <w:jc w:val="center"/>
              <w:rPr>
                <w:rFonts w:hint="default"/>
                <w:sz w:val="24"/>
              </w:rPr>
            </w:pPr>
            <w:r>
              <w:rPr>
                <w:rFonts w:hint="eastAsia"/>
                <w:sz w:val="24"/>
              </w:rPr>
              <w:t>人</w:t>
            </w:r>
            <w:r>
              <w:rPr>
                <w:rFonts w:hint="eastAsia"/>
                <w:sz w:val="24"/>
              </w:rPr>
              <w:tab/>
            </w:r>
            <w:r>
              <w:rPr>
                <w:rFonts w:hint="eastAsia"/>
                <w:sz w:val="24"/>
              </w:rPr>
              <w:t>员</w:t>
            </w:r>
          </w:p>
        </w:tc>
        <w:tc>
          <w:tcPr>
            <w:tcW w:w="2161" w:type="dxa"/>
          </w:tcPr>
          <w:p>
            <w:pPr>
              <w:pStyle w:val="22"/>
              <w:keepNext w:val="0"/>
              <w:keepLines w:val="0"/>
              <w:suppressLineNumbers w:val="0"/>
              <w:spacing w:before="8" w:beforeAutospacing="0" w:after="0" w:afterAutospacing="0"/>
              <w:ind w:left="0" w:right="0"/>
              <w:rPr>
                <w:rFonts w:hint="default"/>
                <w:sz w:val="24"/>
              </w:rPr>
            </w:pPr>
          </w:p>
          <w:p>
            <w:pPr>
              <w:pStyle w:val="22"/>
              <w:keepNext w:val="0"/>
              <w:keepLines w:val="0"/>
              <w:suppressLineNumbers w:val="0"/>
              <w:tabs>
                <w:tab w:val="left" w:pos="1199"/>
              </w:tabs>
              <w:spacing w:before="0" w:beforeAutospacing="0" w:after="0" w:afterAutospacing="0"/>
              <w:ind w:left="719" w:right="0"/>
              <w:rPr>
                <w:rFonts w:hint="default"/>
                <w:sz w:val="24"/>
              </w:rPr>
            </w:pPr>
            <w:r>
              <w:rPr>
                <w:rFonts w:hint="eastAsia"/>
                <w:sz w:val="24"/>
              </w:rPr>
              <w:t>数</w:t>
            </w:r>
            <w:r>
              <w:rPr>
                <w:rFonts w:hint="eastAsia"/>
                <w:sz w:val="24"/>
              </w:rPr>
              <w:tab/>
            </w:r>
            <w:r>
              <w:rPr>
                <w:rFonts w:hint="eastAsia"/>
                <w:sz w:val="24"/>
              </w:rPr>
              <w:t>量</w:t>
            </w:r>
          </w:p>
        </w:tc>
        <w:tc>
          <w:tcPr>
            <w:tcW w:w="4282" w:type="dxa"/>
          </w:tcPr>
          <w:p>
            <w:pPr>
              <w:pStyle w:val="22"/>
              <w:keepNext w:val="0"/>
              <w:keepLines w:val="0"/>
              <w:suppressLineNumbers w:val="0"/>
              <w:spacing w:before="8" w:beforeAutospacing="0" w:after="0" w:afterAutospacing="0"/>
              <w:ind w:left="0" w:right="0"/>
              <w:rPr>
                <w:rFonts w:hint="default"/>
                <w:sz w:val="24"/>
              </w:rPr>
            </w:pPr>
          </w:p>
          <w:p>
            <w:pPr>
              <w:pStyle w:val="22"/>
              <w:keepNext w:val="0"/>
              <w:keepLines w:val="0"/>
              <w:suppressLineNumbers w:val="0"/>
              <w:spacing w:before="0" w:beforeAutospacing="0" w:after="0" w:afterAutospacing="0"/>
              <w:ind w:left="1459" w:right="1452"/>
              <w:jc w:val="center"/>
              <w:rPr>
                <w:rFonts w:hint="default"/>
                <w:sz w:val="24"/>
              </w:rPr>
            </w:pPr>
            <w:r>
              <w:rPr>
                <w:rFonts w:hint="eastAsia"/>
                <w:sz w:val="24"/>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48" w:type="dxa"/>
            <w:vAlign w:val="center"/>
          </w:tcPr>
          <w:p>
            <w:pPr>
              <w:pStyle w:val="22"/>
              <w:keepNext w:val="0"/>
              <w:keepLines w:val="0"/>
              <w:suppressLineNumbers w:val="0"/>
              <w:spacing w:before="8" w:beforeAutospacing="0" w:after="0" w:afterAutospacing="0"/>
              <w:ind w:left="0" w:right="0"/>
              <w:jc w:val="center"/>
              <w:rPr>
                <w:rFonts w:hint="default"/>
                <w:sz w:val="24"/>
                <w:szCs w:val="24"/>
                <w:lang w:val="en-US"/>
              </w:rPr>
            </w:pPr>
            <w:r>
              <w:rPr>
                <w:rFonts w:hint="eastAsia"/>
                <w:sz w:val="24"/>
                <w:szCs w:val="24"/>
              </w:rPr>
              <w:t>项目总工（技术负责人）</w:t>
            </w:r>
          </w:p>
        </w:tc>
        <w:tc>
          <w:tcPr>
            <w:tcW w:w="2161" w:type="dxa"/>
            <w:vAlign w:val="center"/>
          </w:tcPr>
          <w:p>
            <w:pPr>
              <w:pStyle w:val="22"/>
              <w:keepNext w:val="0"/>
              <w:keepLines w:val="0"/>
              <w:suppressLineNumbers w:val="0"/>
              <w:spacing w:before="8" w:beforeAutospacing="0" w:after="0" w:afterAutospacing="0"/>
              <w:ind w:left="0" w:right="0"/>
              <w:jc w:val="center"/>
              <w:rPr>
                <w:rFonts w:hint="default"/>
                <w:sz w:val="24"/>
                <w:szCs w:val="24"/>
                <w:lang w:val="en-US"/>
              </w:rPr>
            </w:pPr>
            <w:r>
              <w:rPr>
                <w:rFonts w:hint="eastAsia"/>
                <w:sz w:val="24"/>
                <w:szCs w:val="24"/>
                <w:lang w:val="en-US"/>
              </w:rPr>
              <w:t>1</w:t>
            </w:r>
          </w:p>
        </w:tc>
        <w:tc>
          <w:tcPr>
            <w:tcW w:w="4282" w:type="dxa"/>
            <w:vAlign w:val="center"/>
          </w:tcPr>
          <w:p>
            <w:pPr>
              <w:pStyle w:val="22"/>
              <w:keepNext w:val="0"/>
              <w:keepLines w:val="0"/>
              <w:suppressLineNumbers w:val="0"/>
              <w:tabs>
                <w:tab w:val="left" w:pos="537"/>
              </w:tabs>
              <w:spacing w:before="88" w:beforeAutospacing="0" w:after="0" w:afterAutospacing="0" w:line="300" w:lineRule="exact"/>
              <w:ind w:left="0" w:right="99"/>
              <w:jc w:val="both"/>
              <w:rPr>
                <w:rFonts w:hint="default"/>
                <w:sz w:val="24"/>
                <w:szCs w:val="24"/>
              </w:rPr>
            </w:pPr>
            <w:r>
              <w:rPr>
                <w:rFonts w:hint="eastAsia"/>
                <w:sz w:val="24"/>
                <w:szCs w:val="24"/>
              </w:rPr>
              <w:t>公路工程相关专业工程师及以上职称；持有有效的安全生产考核合格证书(B 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道路工程师</w:t>
            </w:r>
          </w:p>
        </w:tc>
        <w:tc>
          <w:tcPr>
            <w:tcW w:w="2161"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default"/>
                <w:sz w:val="24"/>
                <w:szCs w:val="24"/>
              </w:rPr>
              <w:t>1</w:t>
            </w:r>
          </w:p>
        </w:tc>
        <w:tc>
          <w:tcPr>
            <w:tcW w:w="4282" w:type="dxa"/>
            <w:vAlign w:val="center"/>
          </w:tcPr>
          <w:p>
            <w:pPr>
              <w:pStyle w:val="22"/>
              <w:keepNext w:val="0"/>
              <w:keepLines w:val="0"/>
              <w:suppressLineNumbers w:val="0"/>
              <w:tabs>
                <w:tab w:val="left" w:pos="537"/>
              </w:tabs>
              <w:spacing w:before="88" w:beforeAutospacing="0" w:after="0" w:afterAutospacing="0" w:line="300" w:lineRule="exact"/>
              <w:ind w:left="0" w:right="99"/>
              <w:jc w:val="both"/>
              <w:rPr>
                <w:rFonts w:hint="default"/>
                <w:sz w:val="24"/>
                <w:szCs w:val="24"/>
              </w:rPr>
            </w:pPr>
            <w:r>
              <w:rPr>
                <w:rFonts w:hint="eastAsia"/>
                <w:sz w:val="24"/>
                <w:szCs w:val="24"/>
              </w:rPr>
              <w:t>公路工程相关专业工程师及以上职称；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448"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试验工程师</w:t>
            </w:r>
          </w:p>
        </w:tc>
        <w:tc>
          <w:tcPr>
            <w:tcW w:w="2161"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default"/>
                <w:sz w:val="24"/>
                <w:szCs w:val="24"/>
              </w:rPr>
              <w:t>1</w:t>
            </w:r>
          </w:p>
        </w:tc>
        <w:tc>
          <w:tcPr>
            <w:tcW w:w="4282" w:type="dxa"/>
            <w:vAlign w:val="center"/>
          </w:tcPr>
          <w:p>
            <w:pPr>
              <w:pStyle w:val="22"/>
              <w:keepNext w:val="0"/>
              <w:keepLines w:val="0"/>
              <w:suppressLineNumbers w:val="0"/>
              <w:spacing w:before="8" w:beforeAutospacing="0" w:after="0" w:afterAutospacing="0"/>
              <w:ind w:left="0" w:right="0"/>
              <w:jc w:val="both"/>
              <w:rPr>
                <w:rFonts w:hint="default"/>
                <w:sz w:val="24"/>
                <w:szCs w:val="24"/>
              </w:rPr>
            </w:pPr>
            <w:r>
              <w:rPr>
                <w:rFonts w:hint="default"/>
                <w:sz w:val="24"/>
                <w:szCs w:val="24"/>
              </w:rPr>
              <w:t>公路工程及公路相关专业初级及以上职称，持有路桥工程专业试验员资格证书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安全员</w:t>
            </w:r>
          </w:p>
        </w:tc>
        <w:tc>
          <w:tcPr>
            <w:tcW w:w="2161" w:type="dxa"/>
            <w:vAlign w:val="center"/>
          </w:tcPr>
          <w:p>
            <w:pPr>
              <w:pStyle w:val="22"/>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1</w:t>
            </w:r>
          </w:p>
        </w:tc>
        <w:tc>
          <w:tcPr>
            <w:tcW w:w="4282" w:type="dxa"/>
            <w:vAlign w:val="center"/>
          </w:tcPr>
          <w:p>
            <w:pPr>
              <w:pStyle w:val="22"/>
              <w:keepNext w:val="0"/>
              <w:keepLines w:val="0"/>
              <w:suppressLineNumbers w:val="0"/>
              <w:spacing w:before="8" w:beforeAutospacing="0" w:after="0" w:afterAutospacing="0"/>
              <w:ind w:left="0" w:right="0"/>
              <w:jc w:val="both"/>
              <w:rPr>
                <w:rFonts w:hint="default"/>
                <w:sz w:val="24"/>
                <w:szCs w:val="24"/>
              </w:rPr>
            </w:pPr>
            <w:r>
              <w:rPr>
                <w:rFonts w:hint="default"/>
                <w:sz w:val="24"/>
                <w:szCs w:val="24"/>
              </w:rPr>
              <w:t>安全员C证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pPr>
              <w:pStyle w:val="22"/>
              <w:keepNext w:val="0"/>
              <w:keepLines w:val="0"/>
              <w:suppressLineNumbers w:val="0"/>
              <w:spacing w:before="0" w:beforeAutospacing="0" w:after="0" w:afterAutospacing="0"/>
              <w:ind w:left="0" w:right="0"/>
              <w:rPr>
                <w:rFonts w:hint="default"/>
                <w:sz w:val="18"/>
              </w:rPr>
            </w:pPr>
          </w:p>
        </w:tc>
        <w:tc>
          <w:tcPr>
            <w:tcW w:w="2161" w:type="dxa"/>
          </w:tcPr>
          <w:p>
            <w:pPr>
              <w:pStyle w:val="22"/>
              <w:keepNext w:val="0"/>
              <w:keepLines w:val="0"/>
              <w:suppressLineNumbers w:val="0"/>
              <w:spacing w:before="0" w:beforeAutospacing="0" w:after="0" w:afterAutospacing="0"/>
              <w:ind w:left="0" w:right="0"/>
              <w:rPr>
                <w:rFonts w:hint="default"/>
                <w:sz w:val="18"/>
              </w:rPr>
            </w:pPr>
          </w:p>
        </w:tc>
        <w:tc>
          <w:tcPr>
            <w:tcW w:w="4282" w:type="dxa"/>
          </w:tcPr>
          <w:p>
            <w:pPr>
              <w:pStyle w:val="22"/>
              <w:keepNext w:val="0"/>
              <w:keepLines w:val="0"/>
              <w:suppressLineNumbers w:val="0"/>
              <w:spacing w:before="0" w:beforeAutospacing="0" w:after="0" w:afterAutospacing="0"/>
              <w:ind w:left="0" w:right="0"/>
              <w:rPr>
                <w:rFonts w:hint="default"/>
                <w:sz w:val="18"/>
              </w:rPr>
            </w:pPr>
          </w:p>
        </w:tc>
      </w:tr>
    </w:tbl>
    <w:p>
      <w:pPr>
        <w:pStyle w:val="23"/>
        <w:ind w:firstLine="0" w:firstLineChars="0"/>
        <w:rPr>
          <w:rFonts w:ascii="宋体" w:hAnsi="宋体"/>
        </w:rPr>
      </w:pPr>
    </w:p>
    <w:p>
      <w:pPr>
        <w:pStyle w:val="23"/>
        <w:ind w:firstLine="0" w:firstLineChars="0"/>
        <w:rPr>
          <w:rFonts w:ascii="宋体" w:hAnsi="宋体"/>
        </w:rPr>
      </w:pPr>
      <w:r>
        <w:rPr>
          <w:rFonts w:hint="eastAsia" w:ascii="宋体" w:hAnsi="宋体"/>
        </w:rPr>
        <w:t>注：1、以上所列人员须为投标人的本单位人员，需提供人员职称证书、相关专业毕业证书的扫描件。</w:t>
      </w:r>
    </w:p>
    <w:p>
      <w:pPr>
        <w:pStyle w:val="23"/>
        <w:rPr>
          <w:rFonts w:ascii="宋体" w:hAnsi="宋体"/>
        </w:rPr>
      </w:pPr>
      <w:r>
        <w:rPr>
          <w:rFonts w:hint="eastAsia" w:ascii="宋体" w:hAnsi="宋体"/>
        </w:rPr>
        <w:t>2、试验工程师需提供毕业证书、职称证书、路桥工程专业试业员资格证书扫描件。</w:t>
      </w:r>
    </w:p>
    <w:p>
      <w:pPr>
        <w:pStyle w:val="23"/>
        <w:rPr>
          <w:rFonts w:ascii="宋体" w:hAnsi="宋体"/>
        </w:rPr>
      </w:pPr>
      <w:r>
        <w:rPr>
          <w:rFonts w:hint="eastAsia" w:ascii="宋体" w:hAnsi="宋体"/>
        </w:rPr>
        <w:t>3、安全员须提供安全员C类及以上证书扫描件，且在有效期内。</w:t>
      </w:r>
    </w:p>
    <w:p>
      <w:pPr>
        <w:pStyle w:val="11"/>
        <w:spacing w:before="3"/>
        <w:rPr>
          <w:sz w:val="5"/>
        </w:rPr>
      </w:pPr>
    </w:p>
    <w:p>
      <w:pPr>
        <w:pStyle w:val="11"/>
        <w:spacing w:before="4"/>
        <w:rPr>
          <w:sz w:val="16"/>
        </w:rPr>
      </w:pPr>
      <w:bookmarkStart w:id="78" w:name="附件五_主要机械设备和试验检测设备最低要求_"/>
      <w:bookmarkEnd w:id="78"/>
    </w:p>
    <w:p>
      <w:pPr>
        <w:pStyle w:val="12"/>
      </w:pPr>
    </w:p>
    <w:p>
      <w:pPr>
        <w:pStyle w:val="12"/>
        <w:rPr>
          <w:sz w:val="16"/>
        </w:rPr>
      </w:pPr>
    </w:p>
    <w:p>
      <w:pPr>
        <w:rPr>
          <w:sz w:val="16"/>
        </w:rPr>
      </w:pPr>
    </w:p>
    <w:p>
      <w:pPr>
        <w:pStyle w:val="18"/>
        <w:ind w:firstLine="320"/>
        <w:rPr>
          <w:sz w:val="16"/>
        </w:rPr>
      </w:pPr>
    </w:p>
    <w:p>
      <w:pPr>
        <w:pStyle w:val="18"/>
        <w:ind w:firstLine="320"/>
        <w:rPr>
          <w:sz w:val="16"/>
        </w:rPr>
      </w:pPr>
    </w:p>
    <w:p>
      <w:pPr>
        <w:pStyle w:val="18"/>
        <w:ind w:firstLine="320"/>
        <w:rPr>
          <w:sz w:val="16"/>
        </w:rPr>
      </w:pPr>
    </w:p>
    <w:p>
      <w:pPr>
        <w:pStyle w:val="18"/>
        <w:ind w:firstLine="320"/>
        <w:rPr>
          <w:sz w:val="16"/>
        </w:rPr>
      </w:pPr>
    </w:p>
    <w:p>
      <w:pPr>
        <w:pStyle w:val="18"/>
        <w:ind w:firstLine="320"/>
        <w:rPr>
          <w:sz w:val="16"/>
        </w:rPr>
      </w:pPr>
    </w:p>
    <w:p>
      <w:pPr>
        <w:pStyle w:val="18"/>
        <w:ind w:firstLine="320"/>
        <w:rPr>
          <w:sz w:val="16"/>
        </w:rPr>
      </w:pPr>
    </w:p>
    <w:p>
      <w:pPr>
        <w:pStyle w:val="11"/>
        <w:spacing w:before="85"/>
        <w:ind w:left="583"/>
      </w:pPr>
    </w:p>
    <w:p>
      <w:pPr>
        <w:pStyle w:val="11"/>
        <w:spacing w:before="85"/>
        <w:ind w:left="583"/>
        <w:rPr>
          <w:sz w:val="12"/>
        </w:rPr>
      </w:pPr>
      <w:r>
        <w:rPr>
          <w:rFonts w:hint="eastAsia"/>
        </w:rPr>
        <w:t>附件五 主要机械设备和试验检测设备最低要求</w:t>
      </w:r>
    </w:p>
    <w:p>
      <w:pPr>
        <w:pStyle w:val="11"/>
        <w:rPr>
          <w:sz w:val="20"/>
        </w:rPr>
      </w:pPr>
    </w:p>
    <w:p>
      <w:pPr>
        <w:pStyle w:val="11"/>
        <w:spacing w:before="4"/>
        <w:rPr>
          <w:sz w:val="11"/>
        </w:rPr>
      </w:pPr>
    </w:p>
    <w:tbl>
      <w:tblPr>
        <w:tblStyle w:val="19"/>
        <w:tblW w:w="855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745"/>
        <w:gridCol w:w="1386"/>
        <w:gridCol w:w="2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203" w:beforeAutospacing="0" w:after="0" w:afterAutospacing="0"/>
              <w:ind w:left="636" w:right="0"/>
              <w:rPr>
                <w:rFonts w:hint="default"/>
                <w:sz w:val="24"/>
              </w:rPr>
            </w:pPr>
            <w:r>
              <w:rPr>
                <w:rFonts w:hint="eastAsia"/>
                <w:sz w:val="24"/>
              </w:rPr>
              <w:t>设备名称</w:t>
            </w:r>
          </w:p>
        </w:tc>
        <w:tc>
          <w:tcPr>
            <w:tcW w:w="2745" w:type="dxa"/>
          </w:tcPr>
          <w:p>
            <w:pPr>
              <w:pStyle w:val="22"/>
              <w:keepNext w:val="0"/>
              <w:keepLines w:val="0"/>
              <w:suppressLineNumbers w:val="0"/>
              <w:spacing w:before="203" w:beforeAutospacing="0" w:after="0" w:afterAutospacing="0"/>
              <w:ind w:left="411" w:right="0"/>
              <w:rPr>
                <w:rFonts w:hint="default"/>
                <w:sz w:val="24"/>
              </w:rPr>
            </w:pPr>
            <w:r>
              <w:rPr>
                <w:rFonts w:hint="eastAsia"/>
                <w:sz w:val="24"/>
              </w:rPr>
              <w:t>规格、功率及容量</w:t>
            </w:r>
          </w:p>
        </w:tc>
        <w:tc>
          <w:tcPr>
            <w:tcW w:w="1386" w:type="dxa"/>
          </w:tcPr>
          <w:p>
            <w:pPr>
              <w:pStyle w:val="22"/>
              <w:keepNext w:val="0"/>
              <w:keepLines w:val="0"/>
              <w:suppressLineNumbers w:val="0"/>
              <w:spacing w:before="203" w:beforeAutospacing="0" w:after="0" w:afterAutospacing="0"/>
              <w:ind w:left="452" w:right="0"/>
              <w:rPr>
                <w:rFonts w:hint="default"/>
                <w:sz w:val="24"/>
              </w:rPr>
            </w:pPr>
            <w:r>
              <w:rPr>
                <w:rFonts w:hint="eastAsia"/>
                <w:sz w:val="24"/>
              </w:rPr>
              <w:t>单位</w:t>
            </w:r>
          </w:p>
        </w:tc>
        <w:tc>
          <w:tcPr>
            <w:tcW w:w="2194" w:type="dxa"/>
          </w:tcPr>
          <w:p>
            <w:pPr>
              <w:pStyle w:val="22"/>
              <w:keepNext w:val="0"/>
              <w:keepLines w:val="0"/>
              <w:suppressLineNumbers w:val="0"/>
              <w:spacing w:before="203" w:beforeAutospacing="0" w:after="0" w:afterAutospacing="0"/>
              <w:ind w:left="376" w:right="0"/>
              <w:rPr>
                <w:rFonts w:hint="default"/>
                <w:sz w:val="24"/>
              </w:rPr>
            </w:pPr>
            <w:r>
              <w:rPr>
                <w:rFonts w:hint="eastAsia"/>
                <w:sz w:val="24"/>
              </w:rPr>
              <w:t>最低数量要求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2"/>
              <w:keepNext w:val="0"/>
              <w:keepLines w:val="0"/>
              <w:suppressLineNumbers w:val="0"/>
              <w:spacing w:before="0" w:beforeAutospacing="0" w:after="0" w:afterAutospacing="0"/>
              <w:ind w:left="0" w:right="0"/>
              <w:rPr>
                <w:rFonts w:hint="default"/>
                <w:sz w:val="18"/>
              </w:rPr>
            </w:pPr>
          </w:p>
        </w:tc>
        <w:tc>
          <w:tcPr>
            <w:tcW w:w="2745" w:type="dxa"/>
          </w:tcPr>
          <w:p>
            <w:pPr>
              <w:pStyle w:val="22"/>
              <w:keepNext w:val="0"/>
              <w:keepLines w:val="0"/>
              <w:suppressLineNumbers w:val="0"/>
              <w:spacing w:before="0" w:beforeAutospacing="0" w:after="0" w:afterAutospacing="0"/>
              <w:ind w:left="0" w:right="0"/>
              <w:rPr>
                <w:rFonts w:hint="default"/>
                <w:sz w:val="18"/>
              </w:rPr>
            </w:pPr>
          </w:p>
        </w:tc>
        <w:tc>
          <w:tcPr>
            <w:tcW w:w="1386" w:type="dxa"/>
          </w:tcPr>
          <w:p>
            <w:pPr>
              <w:pStyle w:val="22"/>
              <w:keepNext w:val="0"/>
              <w:keepLines w:val="0"/>
              <w:suppressLineNumbers w:val="0"/>
              <w:spacing w:before="0" w:beforeAutospacing="0" w:after="0" w:afterAutospacing="0"/>
              <w:ind w:left="0" w:right="0"/>
              <w:rPr>
                <w:rFonts w:hint="default"/>
                <w:sz w:val="18"/>
              </w:rPr>
            </w:pPr>
          </w:p>
        </w:tc>
        <w:tc>
          <w:tcPr>
            <w:tcW w:w="2194" w:type="dxa"/>
          </w:tcPr>
          <w:p>
            <w:pPr>
              <w:pStyle w:val="22"/>
              <w:keepNext w:val="0"/>
              <w:keepLines w:val="0"/>
              <w:suppressLineNumbers w:val="0"/>
              <w:spacing w:before="0" w:beforeAutospacing="0" w:after="0" w:afterAutospacing="0"/>
              <w:ind w:left="0" w:right="0"/>
              <w:rPr>
                <w:rFonts w:hint="default"/>
                <w:sz w:val="18"/>
              </w:rPr>
            </w:pPr>
          </w:p>
        </w:tc>
      </w:tr>
    </w:tbl>
    <w:p>
      <w:pPr>
        <w:pStyle w:val="11"/>
        <w:rPr>
          <w:sz w:val="20"/>
        </w:rPr>
      </w:pPr>
    </w:p>
    <w:p>
      <w:pPr>
        <w:pStyle w:val="11"/>
        <w:rPr>
          <w:sz w:val="20"/>
        </w:rPr>
      </w:pPr>
    </w:p>
    <w:p>
      <w:pPr>
        <w:pStyle w:val="11"/>
        <w:rPr>
          <w:sz w:val="20"/>
        </w:rPr>
      </w:pPr>
    </w:p>
    <w:p>
      <w:pPr>
        <w:pStyle w:val="11"/>
        <w:spacing w:before="12"/>
        <w:rPr>
          <w:sz w:val="22"/>
        </w:rPr>
      </w:pPr>
    </w:p>
    <w:p>
      <w:pPr>
        <w:pStyle w:val="11"/>
        <w:spacing w:before="10"/>
        <w:rPr>
          <w:sz w:val="17"/>
        </w:rPr>
      </w:pPr>
    </w:p>
    <w:p>
      <w:pPr>
        <w:rPr>
          <w:sz w:val="17"/>
        </w:rPr>
        <w:sectPr>
          <w:footerReference r:id="rId12" w:type="default"/>
          <w:pgSz w:w="11910" w:h="16840"/>
          <w:pgMar w:top="1360" w:right="1120" w:bottom="1080" w:left="1260" w:header="882" w:footer="845" w:gutter="0"/>
          <w:cols w:space="720" w:num="1"/>
        </w:sectPr>
      </w:pPr>
    </w:p>
    <w:p>
      <w:pPr>
        <w:pStyle w:val="11"/>
        <w:spacing w:before="67"/>
        <w:ind w:left="583"/>
      </w:pPr>
      <w:bookmarkStart w:id="79" w:name="附件六_项目经理委任书"/>
      <w:bookmarkEnd w:id="79"/>
    </w:p>
    <w:p>
      <w:pPr>
        <w:pStyle w:val="11"/>
        <w:spacing w:before="67"/>
        <w:ind w:left="583"/>
      </w:pPr>
    </w:p>
    <w:p>
      <w:pPr>
        <w:pStyle w:val="11"/>
        <w:spacing w:before="67"/>
        <w:ind w:left="583"/>
      </w:pPr>
    </w:p>
    <w:p>
      <w:pPr>
        <w:pStyle w:val="11"/>
        <w:spacing w:before="67"/>
        <w:ind w:left="583"/>
      </w:pPr>
    </w:p>
    <w:p>
      <w:pPr>
        <w:pStyle w:val="11"/>
        <w:spacing w:before="67"/>
        <w:ind w:left="583"/>
      </w:pPr>
    </w:p>
    <w:p>
      <w:pPr>
        <w:pStyle w:val="11"/>
        <w:spacing w:before="67"/>
        <w:ind w:left="583"/>
      </w:pPr>
    </w:p>
    <w:p>
      <w:pPr>
        <w:pStyle w:val="11"/>
        <w:spacing w:before="67"/>
        <w:ind w:left="583"/>
      </w:pPr>
    </w:p>
    <w:p>
      <w:pPr>
        <w:pStyle w:val="11"/>
        <w:spacing w:before="67"/>
        <w:ind w:left="583"/>
      </w:pPr>
    </w:p>
    <w:p>
      <w:pPr>
        <w:pStyle w:val="11"/>
        <w:spacing w:before="67"/>
        <w:ind w:left="583"/>
      </w:pPr>
    </w:p>
    <w:p>
      <w:pPr>
        <w:pStyle w:val="12"/>
      </w:pPr>
    </w:p>
    <w:p>
      <w:pPr>
        <w:pStyle w:val="11"/>
        <w:spacing w:before="67"/>
        <w:ind w:left="583"/>
      </w:pPr>
    </w:p>
    <w:p>
      <w:pPr>
        <w:pStyle w:val="11"/>
        <w:spacing w:before="67"/>
        <w:ind w:left="583"/>
      </w:pPr>
      <w:r>
        <w:rPr>
          <w:rFonts w:hint="eastAsia"/>
        </w:rPr>
        <w:t>附件六 项目经理委任书</w:t>
      </w:r>
    </w:p>
    <w:p>
      <w:pPr>
        <w:pStyle w:val="11"/>
        <w:spacing w:before="5"/>
        <w:rPr>
          <w:sz w:val="32"/>
        </w:rPr>
      </w:pPr>
      <w:r>
        <w:rPr>
          <w:rFonts w:hint="eastAsia"/>
        </w:rPr>
        <w:br w:type="column"/>
      </w:r>
    </w:p>
    <w:p>
      <w:pPr>
        <w:ind w:left="583"/>
        <w:rPr>
          <w:sz w:val="28"/>
          <w:u w:val="single"/>
        </w:rPr>
      </w:pPr>
    </w:p>
    <w:p>
      <w:pPr>
        <w:ind w:left="583"/>
        <w:rPr>
          <w:sz w:val="28"/>
        </w:rPr>
      </w:pPr>
      <w:r>
        <w:rPr>
          <w:rFonts w:hint="eastAsia"/>
          <w:sz w:val="28"/>
          <w:u w:val="single"/>
        </w:rPr>
        <w:t>（承包人全称）</w:t>
      </w:r>
    </w:p>
    <w:p>
      <w:pPr>
        <w:rPr>
          <w:sz w:val="28"/>
        </w:rPr>
        <w:sectPr>
          <w:type w:val="continuous"/>
          <w:pgSz w:w="11910" w:h="16840"/>
          <w:pgMar w:top="1580" w:right="1120" w:bottom="280" w:left="1260" w:header="720" w:footer="720" w:gutter="0"/>
          <w:cols w:equalWidth="0" w:num="2">
            <w:col w:w="3144" w:space="130"/>
            <w:col w:w="6256"/>
          </w:cols>
        </w:sectPr>
      </w:pPr>
    </w:p>
    <w:p>
      <w:pPr>
        <w:spacing w:before="42"/>
        <w:ind w:left="147"/>
        <w:jc w:val="center"/>
        <w:rPr>
          <w:sz w:val="28"/>
        </w:rPr>
      </w:pPr>
      <w:r>
        <w:rPr>
          <w:rFonts w:hint="eastAsia"/>
          <w:sz w:val="28"/>
          <w:u w:val="single"/>
        </w:rPr>
        <w:t xml:space="preserve">（合同工程名称） </w:t>
      </w:r>
      <w:r>
        <w:rPr>
          <w:rFonts w:hint="eastAsia"/>
          <w:sz w:val="28"/>
        </w:rPr>
        <w:t>项目经理委任书</w:t>
      </w:r>
    </w:p>
    <w:p>
      <w:pPr>
        <w:pStyle w:val="11"/>
        <w:rPr>
          <w:sz w:val="28"/>
        </w:rPr>
      </w:pPr>
    </w:p>
    <w:p>
      <w:pPr>
        <w:pStyle w:val="11"/>
        <w:spacing w:before="7"/>
        <w:rPr>
          <w:sz w:val="41"/>
        </w:rPr>
      </w:pPr>
    </w:p>
    <w:p>
      <w:pPr>
        <w:pStyle w:val="11"/>
        <w:ind w:left="583"/>
      </w:pPr>
      <w:r>
        <w:rPr>
          <w:rFonts w:hint="eastAsia"/>
        </w:rPr>
        <w:t>致：</w:t>
      </w:r>
      <w:r>
        <w:rPr>
          <w:rFonts w:hint="eastAsia"/>
          <w:u w:val="single"/>
        </w:rPr>
        <w:t>（发包人全称）</w:t>
      </w:r>
    </w:p>
    <w:p>
      <w:pPr>
        <w:pStyle w:val="11"/>
        <w:spacing w:before="93" w:line="312" w:lineRule="auto"/>
        <w:ind w:left="384" w:right="382" w:firstLine="616"/>
        <w:jc w:val="both"/>
      </w:pPr>
      <w:r>
        <w:rPr>
          <w:rFonts w:hint="eastAsia"/>
          <w:u w:val="single"/>
        </w:rPr>
        <w:t xml:space="preserve">    （承包人全称）</w:t>
      </w:r>
      <w:r>
        <w:rPr>
          <w:rFonts w:hint="eastAsia"/>
          <w:spacing w:val="-5"/>
        </w:rPr>
        <w:t xml:space="preserve"> 法定代表人</w:t>
      </w:r>
      <w:r>
        <w:rPr>
          <w:rFonts w:hint="eastAsia"/>
          <w:spacing w:val="-5"/>
          <w:u w:val="single"/>
        </w:rPr>
        <w:t xml:space="preserve"> </w:t>
      </w:r>
      <w:r>
        <w:rPr>
          <w:rFonts w:hint="eastAsia"/>
          <w:u w:val="single"/>
        </w:rPr>
        <w:t>（</w:t>
      </w:r>
      <w:r>
        <w:rPr>
          <w:rFonts w:hint="eastAsia"/>
          <w:spacing w:val="-4"/>
          <w:u w:val="single"/>
        </w:rPr>
        <w:t>职务、姓名</w:t>
      </w:r>
      <w:r>
        <w:rPr>
          <w:rFonts w:hint="eastAsia"/>
          <w:u w:val="single"/>
        </w:rPr>
        <w:t>）</w:t>
      </w:r>
      <w:r>
        <w:rPr>
          <w:rFonts w:hint="eastAsia"/>
          <w:spacing w:val="-4"/>
        </w:rPr>
        <w:t xml:space="preserve"> 代表本单位委任</w:t>
      </w:r>
      <w:r>
        <w:rPr>
          <w:rFonts w:hint="eastAsia"/>
          <w:spacing w:val="-4"/>
          <w:u w:val="single"/>
        </w:rPr>
        <w:t xml:space="preserve"> </w:t>
      </w:r>
      <w:r>
        <w:rPr>
          <w:rFonts w:hint="eastAsia"/>
          <w:u w:val="single"/>
        </w:rPr>
        <w:t>（</w:t>
      </w:r>
      <w:r>
        <w:rPr>
          <w:rFonts w:hint="eastAsia"/>
          <w:spacing w:val="-5"/>
          <w:u w:val="single"/>
        </w:rPr>
        <w:t>职务、姓</w:t>
      </w:r>
      <w:r>
        <w:rPr>
          <w:rFonts w:hint="eastAsia"/>
          <w:spacing w:val="-172"/>
          <w:u w:val="single"/>
        </w:rPr>
        <w:t>名</w:t>
      </w:r>
      <w:r>
        <w:rPr>
          <w:rFonts w:hint="eastAsia"/>
          <w:spacing w:val="-220"/>
          <w:u w:val="single"/>
        </w:rPr>
        <w:t>）</w:t>
      </w:r>
      <w:r>
        <w:rPr>
          <w:rFonts w:hint="eastAsia"/>
          <w:spacing w:val="-118"/>
        </w:rPr>
        <w:t xml:space="preserve"> </w:t>
      </w:r>
      <w:r>
        <w:rPr>
          <w:rFonts w:hint="eastAsia"/>
          <w:spacing w:val="-15"/>
        </w:rPr>
        <w:t>为</w:t>
      </w:r>
      <w:r>
        <w:rPr>
          <w:rFonts w:hint="eastAsia"/>
          <w:u w:val="single"/>
        </w:rPr>
        <w:t>（合同工程名称</w:t>
      </w:r>
      <w:r>
        <w:rPr>
          <w:rFonts w:hint="eastAsia"/>
          <w:spacing w:val="-15"/>
          <w:u w:val="single"/>
        </w:rPr>
        <w:t>）</w:t>
      </w:r>
      <w:r>
        <w:rPr>
          <w:rFonts w:hint="eastAsia"/>
          <w:spacing w:val="-5"/>
        </w:rPr>
        <w:t>的项目经理。凡本合同执行中的有关技术、工程进度、现场管理、质量检验、结算与支付等方面工作，由</w:t>
      </w:r>
      <w:r>
        <w:rPr>
          <w:rFonts w:hint="eastAsia"/>
          <w:spacing w:val="-5"/>
          <w:u w:val="single"/>
        </w:rPr>
        <w:t xml:space="preserve"> （姓名） </w:t>
      </w:r>
      <w:r>
        <w:rPr>
          <w:rFonts w:hint="eastAsia"/>
          <w:spacing w:val="-5"/>
        </w:rPr>
        <w:t>代表本单位全面负责。</w:t>
      </w:r>
    </w:p>
    <w:p>
      <w:pPr>
        <w:pStyle w:val="11"/>
        <w:spacing w:before="2"/>
        <w:rPr>
          <w:sz w:val="31"/>
        </w:rPr>
      </w:pPr>
    </w:p>
    <w:p>
      <w:pPr>
        <w:pStyle w:val="11"/>
        <w:tabs>
          <w:tab w:val="left" w:pos="7267"/>
          <w:tab w:val="left" w:pos="7739"/>
          <w:tab w:val="left" w:pos="9059"/>
        </w:tabs>
        <w:spacing w:line="312" w:lineRule="auto"/>
        <w:ind w:left="4987" w:right="346" w:hanging="564"/>
      </w:pPr>
      <w:r>
        <w:rPr>
          <w:rFonts w:hint="eastAsia"/>
        </w:rPr>
        <w:t>承包人：</w:t>
      </w:r>
      <w:r>
        <w:rPr>
          <w:rFonts w:hint="eastAsia"/>
        </w:rPr>
        <w:tab/>
      </w:r>
      <w:r>
        <w:rPr>
          <w:rFonts w:hint="eastAsia"/>
        </w:rPr>
        <w:tab/>
      </w:r>
      <w:r>
        <w:rPr>
          <w:rFonts w:hint="eastAsia"/>
          <w:u w:val="single"/>
        </w:rPr>
        <w:t>（</w:t>
      </w:r>
      <w:r>
        <w:rPr>
          <w:rFonts w:hint="eastAsia"/>
        </w:rPr>
        <w:t>盖单位章</w:t>
      </w:r>
      <w:r>
        <w:rPr>
          <w:rFonts w:hint="eastAsia"/>
          <w:spacing w:val="-18"/>
        </w:rPr>
        <w:t xml:space="preserve">） </w:t>
      </w:r>
      <w:r>
        <w:rPr>
          <w:rFonts w:hint="eastAsia"/>
        </w:rPr>
        <w:t>法定代表人：</w:t>
      </w:r>
      <w:r>
        <w:rPr>
          <w:rFonts w:hint="eastAsia"/>
          <w:u w:val="single"/>
        </w:rPr>
        <w:t xml:space="preserve"> </w:t>
      </w:r>
      <w:r>
        <w:rPr>
          <w:rFonts w:hint="eastAsia"/>
          <w:u w:val="single"/>
        </w:rPr>
        <w:tab/>
      </w:r>
      <w:r>
        <w:rPr>
          <w:rFonts w:hint="eastAsia"/>
          <w:u w:val="single"/>
        </w:rPr>
        <w:t>（职务）</w:t>
      </w:r>
      <w:r>
        <w:rPr>
          <w:rFonts w:hint="eastAsia"/>
          <w:u w:val="single"/>
        </w:rPr>
        <w:tab/>
      </w:r>
    </w:p>
    <w:p>
      <w:pPr>
        <w:pStyle w:val="11"/>
        <w:tabs>
          <w:tab w:val="left" w:pos="7543"/>
          <w:tab w:val="left" w:pos="9059"/>
        </w:tabs>
        <w:spacing w:before="3"/>
        <w:ind w:left="6703"/>
      </w:pPr>
      <w:r>
        <w:rPr>
          <w:rFonts w:hint="eastAsia"/>
          <w:u w:val="single"/>
        </w:rPr>
        <w:t xml:space="preserve"> </w:t>
      </w:r>
      <w:r>
        <w:rPr>
          <w:rFonts w:hint="eastAsia"/>
          <w:u w:val="single"/>
        </w:rPr>
        <w:tab/>
      </w:r>
      <w:r>
        <w:rPr>
          <w:rFonts w:hint="eastAsia"/>
          <w:u w:val="single"/>
        </w:rPr>
        <w:t>（姓名）</w:t>
      </w:r>
      <w:r>
        <w:rPr>
          <w:rFonts w:hint="eastAsia"/>
          <w:u w:val="single"/>
        </w:rPr>
        <w:tab/>
      </w:r>
    </w:p>
    <w:p>
      <w:pPr>
        <w:pStyle w:val="11"/>
        <w:tabs>
          <w:tab w:val="left" w:pos="7543"/>
          <w:tab w:val="left" w:pos="9059"/>
        </w:tabs>
        <w:spacing w:before="90"/>
        <w:ind w:left="6703"/>
      </w:pPr>
      <w:r>
        <w:rPr>
          <w:rFonts w:hint="eastAsia"/>
          <w:u w:val="single"/>
        </w:rPr>
        <w:t xml:space="preserve"> </w:t>
      </w:r>
      <w:r>
        <w:rPr>
          <w:rFonts w:hint="eastAsia"/>
          <w:u w:val="single"/>
        </w:rPr>
        <w:tab/>
      </w:r>
      <w:r>
        <w:rPr>
          <w:rFonts w:hint="eastAsia"/>
          <w:u w:val="single"/>
        </w:rPr>
        <w:t>（签字）</w:t>
      </w:r>
      <w:r>
        <w:rPr>
          <w:rFonts w:hint="eastAsia"/>
          <w:u w:val="single"/>
        </w:rPr>
        <w:tab/>
      </w:r>
    </w:p>
    <w:p>
      <w:pPr>
        <w:pStyle w:val="11"/>
        <w:tabs>
          <w:tab w:val="left" w:pos="7063"/>
          <w:tab w:val="left" w:pos="7903"/>
          <w:tab w:val="left" w:pos="8743"/>
        </w:tabs>
        <w:spacing w:before="94"/>
        <w:ind w:left="622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0"/>
        </w:rPr>
      </w:pPr>
    </w:p>
    <w:p>
      <w:pPr>
        <w:pStyle w:val="11"/>
        <w:rPr>
          <w:sz w:val="20"/>
        </w:rPr>
      </w:pPr>
    </w:p>
    <w:p>
      <w:pPr>
        <w:pStyle w:val="11"/>
        <w:rPr>
          <w:sz w:val="21"/>
        </w:rPr>
      </w:pPr>
      <w:r>
        <mc:AlternateContent>
          <mc:Choice Requires="wps">
            <w:drawing>
              <wp:anchor distT="0" distB="0" distL="114300" distR="114300" simplePos="0" relativeHeight="251667456" behindDoc="1" locked="0" layoutInCell="1" allowOverlap="1">
                <wp:simplePos x="0" y="0"/>
                <wp:positionH relativeFrom="page">
                  <wp:posOffset>1043305</wp:posOffset>
                </wp:positionH>
                <wp:positionV relativeFrom="paragraph">
                  <wp:posOffset>200660</wp:posOffset>
                </wp:positionV>
                <wp:extent cx="5508625" cy="0"/>
                <wp:effectExtent l="0" t="0" r="0" b="0"/>
                <wp:wrapTopAndBottom/>
                <wp:docPr id="18" name="直线 35"/>
                <wp:cNvGraphicFramePr/>
                <a:graphic xmlns:a="http://schemas.openxmlformats.org/drawingml/2006/main">
                  <a:graphicData uri="http://schemas.microsoft.com/office/word/2010/wordprocessingShape">
                    <wps:wsp>
                      <wps:cNvCnPr/>
                      <wps:spPr>
                        <a:xfrm>
                          <a:off x="0" y="0"/>
                          <a:ext cx="550862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5" o:spid="_x0000_s1026" o:spt="20" style="position:absolute;left:0pt;margin-left:82.15pt;margin-top:15.8pt;height:0pt;width:433.75pt;mso-position-horizontal-relative:page;mso-wrap-distance-bottom:0pt;mso-wrap-distance-top:0pt;z-index:-251649024;mso-width-relative:page;mso-height-relative:page;" filled="f" stroked="t" coordsize="21600,21600" o:gfxdata="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oRKd1QAAAAoBAAAP&#10;AAAAAAAAAAEAIAAAACIAAABkcnMvZG93bnJldi54bWxQSwECFAAUAAAACACHTuJAKAG2buIBAADR&#10;AwAADgAAAAAAAAABACAAAAAkAQAAZHJzL2Uyb0RvYy54bWxQSwUGAAAAAAYABgBZAQAAeAUAAAAA&#10;">
                <v:fill on="f" focussize="0,0"/>
                <v:stroke weight="0.72pt" color="#000000" joinstyle="round"/>
                <v:imagedata o:title=""/>
                <o:lock v:ext="edit" aspectratio="f"/>
                <w10:wrap type="topAndBottom"/>
              </v:line>
            </w:pict>
          </mc:Fallback>
        </mc:AlternateContent>
      </w:r>
    </w:p>
    <w:p>
      <w:pPr>
        <w:pStyle w:val="11"/>
        <w:rPr>
          <w:sz w:val="20"/>
        </w:rPr>
      </w:pPr>
    </w:p>
    <w:p>
      <w:pPr>
        <w:pStyle w:val="11"/>
        <w:tabs>
          <w:tab w:val="left" w:pos="2982"/>
        </w:tabs>
        <w:spacing w:before="204"/>
        <w:ind w:left="583"/>
      </w:pPr>
      <w:r>
        <w:rPr>
          <w:rFonts w:hint="eastAsia"/>
        </w:rPr>
        <w:t>抄送：</w:t>
      </w:r>
      <w:r>
        <w:rPr>
          <w:rFonts w:hint="eastAsia"/>
          <w:spacing w:val="119"/>
          <w:u w:val="single"/>
        </w:rPr>
        <w:t xml:space="preserve"> </w:t>
      </w:r>
      <w:r>
        <w:rPr>
          <w:rFonts w:hint="eastAsia"/>
          <w:u w:val="single"/>
        </w:rPr>
        <w:t>（监理人）</w:t>
      </w:r>
      <w:r>
        <w:rPr>
          <w:rFonts w:hint="eastAsia"/>
          <w:u w:val="single"/>
        </w:rPr>
        <w:tab/>
      </w:r>
    </w:p>
    <w:p>
      <w:pPr>
        <w:sectPr>
          <w:type w:val="continuous"/>
          <w:pgSz w:w="11910" w:h="16840"/>
          <w:pgMar w:top="1580" w:right="1120" w:bottom="280" w:left="1260" w:header="720" w:footer="720" w:gutter="0"/>
          <w:cols w:space="720" w:num="1"/>
        </w:sectPr>
      </w:pPr>
    </w:p>
    <w:p>
      <w:pPr>
        <w:pStyle w:val="11"/>
        <w:spacing w:before="4"/>
        <w:rPr>
          <w:sz w:val="19"/>
        </w:rPr>
      </w:pPr>
    </w:p>
    <w:p>
      <w:pPr>
        <w:pStyle w:val="11"/>
        <w:spacing w:before="66"/>
        <w:ind w:left="384"/>
      </w:pPr>
      <w:r>
        <w:rPr>
          <w:rFonts w:hint="eastAsia"/>
        </w:rPr>
        <w:t>附件七 履约保证金格式</w:t>
      </w:r>
    </w:p>
    <w:p>
      <w:pPr>
        <w:pStyle w:val="11"/>
        <w:spacing w:before="93"/>
        <w:ind w:left="583"/>
      </w:pPr>
      <w:r>
        <w:rPr>
          <w:rFonts w:hint="eastAsia"/>
        </w:rPr>
        <w:t>如采用银行保函，格式如下。</w:t>
      </w:r>
    </w:p>
    <w:p>
      <w:pPr>
        <w:pStyle w:val="11"/>
        <w:spacing w:before="9"/>
        <w:rPr>
          <w:sz w:val="29"/>
        </w:rPr>
      </w:pPr>
    </w:p>
    <w:p>
      <w:pPr>
        <w:spacing w:before="62"/>
        <w:ind w:left="149"/>
        <w:jc w:val="center"/>
        <w:rPr>
          <w:sz w:val="28"/>
        </w:rPr>
      </w:pPr>
      <w:r>
        <w:rPr>
          <w:rFonts w:hint="eastAsia"/>
          <w:sz w:val="28"/>
        </w:rPr>
        <w:t>履约保证金</w:t>
      </w:r>
    </w:p>
    <w:p>
      <w:pPr>
        <w:pStyle w:val="11"/>
        <w:rPr>
          <w:sz w:val="20"/>
        </w:rPr>
      </w:pPr>
    </w:p>
    <w:p>
      <w:pPr>
        <w:pStyle w:val="11"/>
        <w:spacing w:before="3"/>
        <w:rPr>
          <w:sz w:val="18"/>
        </w:rPr>
      </w:pPr>
    </w:p>
    <w:p>
      <w:pPr>
        <w:pStyle w:val="11"/>
        <w:tabs>
          <w:tab w:val="left" w:pos="3143"/>
        </w:tabs>
        <w:ind w:left="703"/>
      </w:pPr>
      <w:r>
        <w:rPr>
          <w:rFonts w:hint="eastAsia"/>
          <w:u w:val="single"/>
        </w:rPr>
        <w:t xml:space="preserve"> </w:t>
      </w:r>
      <w:r>
        <w:rPr>
          <w:rFonts w:hint="eastAsia"/>
          <w:u w:val="single"/>
        </w:rPr>
        <w:tab/>
      </w:r>
      <w:r>
        <w:rPr>
          <w:rFonts w:hint="eastAsia"/>
        </w:rPr>
        <w:t>（发包人名称）：</w:t>
      </w:r>
    </w:p>
    <w:p>
      <w:pPr>
        <w:pStyle w:val="11"/>
        <w:spacing w:before="7"/>
        <w:rPr>
          <w:sz w:val="38"/>
        </w:rPr>
      </w:pPr>
    </w:p>
    <w:p>
      <w:pPr>
        <w:pStyle w:val="11"/>
        <w:tabs>
          <w:tab w:val="left" w:pos="2073"/>
          <w:tab w:val="left" w:pos="3371"/>
          <w:tab w:val="left" w:pos="8095"/>
          <w:tab w:val="left" w:pos="8582"/>
        </w:tabs>
        <w:spacing w:line="312" w:lineRule="auto"/>
        <w:ind w:left="384" w:right="462" w:firstLine="600"/>
        <w:jc w:val="both"/>
      </w:pPr>
      <w:r>
        <w:rPr>
          <w:rFonts w:hint="eastAsia"/>
        </w:rPr>
        <w:t>鉴于</w:t>
      </w:r>
      <w:r>
        <w:rPr>
          <w:rFonts w:hint="eastAsia"/>
          <w:u w:val="single"/>
        </w:rPr>
        <w:t xml:space="preserve"> </w:t>
      </w:r>
      <w:r>
        <w:rPr>
          <w:rFonts w:hint="eastAsia"/>
          <w:u w:val="single"/>
        </w:rPr>
        <w:tab/>
      </w:r>
      <w:r>
        <w:rPr>
          <w:rFonts w:hint="eastAsia"/>
          <w:u w:val="single"/>
        </w:rPr>
        <w:tab/>
      </w:r>
      <w:r>
        <w:rPr>
          <w:rFonts w:hint="eastAsia"/>
          <w:spacing w:val="-3"/>
        </w:rPr>
        <w:t>（</w:t>
      </w:r>
      <w:r>
        <w:rPr>
          <w:rFonts w:hint="eastAsia"/>
        </w:rPr>
        <w:t>发包人名称</w:t>
      </w:r>
      <w:r>
        <w:rPr>
          <w:rFonts w:hint="eastAsia"/>
          <w:spacing w:val="-17"/>
        </w:rPr>
        <w:t>，</w:t>
      </w:r>
      <w:r>
        <w:rPr>
          <w:rFonts w:hint="eastAsia"/>
        </w:rPr>
        <w:t>以下简称“发包人</w:t>
      </w:r>
      <w:r>
        <w:rPr>
          <w:rFonts w:hint="eastAsia"/>
          <w:spacing w:val="-8"/>
        </w:rPr>
        <w:t>”）</w:t>
      </w:r>
      <w:r>
        <w:rPr>
          <w:rFonts w:hint="eastAsia"/>
        </w:rPr>
        <w:t>接受</w:t>
      </w:r>
      <w:r>
        <w:rPr>
          <w:rFonts w:hint="eastAsia"/>
          <w:u w:val="single"/>
        </w:rPr>
        <w:t xml:space="preserve"> </w:t>
      </w:r>
      <w:r>
        <w:rPr>
          <w:rFonts w:hint="eastAsia"/>
          <w:u w:val="single"/>
        </w:rPr>
        <w:tab/>
      </w:r>
      <w:r>
        <w:rPr>
          <w:rFonts w:hint="eastAsia"/>
          <w:u w:val="single"/>
        </w:rPr>
        <w:tab/>
      </w:r>
      <w:r>
        <w:rPr>
          <w:rFonts w:hint="eastAsia"/>
        </w:rPr>
        <w:t>（</w:t>
      </w:r>
      <w:r>
        <w:rPr>
          <w:rFonts w:hint="eastAsia"/>
          <w:spacing w:val="-17"/>
        </w:rPr>
        <w:t>承</w:t>
      </w:r>
      <w:r>
        <w:rPr>
          <w:rFonts w:hint="eastAsia"/>
        </w:rPr>
        <w:t>包人名称，以下简称“承包人”）于</w:t>
      </w:r>
      <w:r>
        <w:rPr>
          <w:rFonts w:hint="eastAsia"/>
          <w:u w:val="single"/>
        </w:rPr>
        <w:t xml:space="preserve">    </w:t>
      </w:r>
      <w:r>
        <w:rPr>
          <w:rFonts w:hint="eastAsia"/>
          <w:spacing w:val="14"/>
          <w:u w:val="single"/>
        </w:rPr>
        <w:t xml:space="preserve"> </w:t>
      </w:r>
      <w:r>
        <w:rPr>
          <w:rFonts w:hint="eastAsia"/>
        </w:rPr>
        <w:t>年</w:t>
      </w:r>
      <w:r>
        <w:rPr>
          <w:rFonts w:hint="eastAsia"/>
          <w:u w:val="single"/>
        </w:rPr>
        <w:t xml:space="preserve">   </w:t>
      </w:r>
      <w:r>
        <w:rPr>
          <w:rFonts w:hint="eastAsia"/>
          <w:spacing w:val="12"/>
          <w:u w:val="single"/>
        </w:rPr>
        <w:t xml:space="preserve"> </w:t>
      </w:r>
      <w:r>
        <w:rPr>
          <w:rFonts w:hint="eastAsia"/>
        </w:rPr>
        <w:t>月</w:t>
      </w:r>
      <w:r>
        <w:rPr>
          <w:rFonts w:hint="eastAsia"/>
          <w:u w:val="single"/>
        </w:rPr>
        <w:t xml:space="preserve">   </w:t>
      </w:r>
      <w:r>
        <w:rPr>
          <w:rFonts w:hint="eastAsia"/>
          <w:spacing w:val="10"/>
          <w:u w:val="single"/>
        </w:rPr>
        <w:t xml:space="preserve"> </w:t>
      </w:r>
      <w:r>
        <w:rPr>
          <w:rFonts w:hint="eastAsia"/>
        </w:rPr>
        <w:t>日参加</w:t>
      </w:r>
      <w:r>
        <w:rPr>
          <w:rFonts w:hint="eastAsia"/>
          <w:u w:val="single"/>
        </w:rPr>
        <w:t xml:space="preserve"> </w:t>
      </w:r>
      <w:r>
        <w:rPr>
          <w:rFonts w:hint="eastAsia"/>
          <w:u w:val="single"/>
        </w:rPr>
        <w:tab/>
      </w:r>
      <w:r>
        <w:rPr>
          <w:rFonts w:hint="eastAsia"/>
        </w:rPr>
        <w:t>（项目</w:t>
      </w:r>
      <w:r>
        <w:rPr>
          <w:rFonts w:hint="eastAsia"/>
          <w:spacing w:val="-14"/>
        </w:rPr>
        <w:t>名</w:t>
      </w:r>
      <w:r>
        <w:rPr>
          <w:rFonts w:hint="eastAsia"/>
        </w:rPr>
        <w:t>称）</w:t>
      </w:r>
      <w:r>
        <w:rPr>
          <w:rFonts w:hint="eastAsia"/>
          <w:u w:val="single"/>
        </w:rPr>
        <w:t xml:space="preserve"> </w:t>
      </w:r>
      <w:r>
        <w:rPr>
          <w:rFonts w:hint="eastAsia"/>
          <w:u w:val="single"/>
        </w:rPr>
        <w:tab/>
      </w:r>
      <w:r>
        <w:rPr>
          <w:rFonts w:hint="eastAsia"/>
        </w:rPr>
        <w:t>标段施工的投标。我方愿意无条件地、不可撤销地就承包人履行与你方订立的合同，向你方提供担保。</w:t>
      </w:r>
    </w:p>
    <w:p>
      <w:pPr>
        <w:pStyle w:val="21"/>
        <w:numPr>
          <w:ilvl w:val="0"/>
          <w:numId w:val="58"/>
        </w:numPr>
        <w:tabs>
          <w:tab w:val="left" w:pos="1164"/>
          <w:tab w:val="left" w:pos="5783"/>
          <w:tab w:val="left" w:pos="8003"/>
        </w:tabs>
        <w:spacing w:line="307" w:lineRule="exact"/>
        <w:jc w:val="both"/>
        <w:rPr>
          <w:sz w:val="24"/>
        </w:rPr>
      </w:pPr>
      <w:r>
        <w:rPr>
          <w:rFonts w:hint="eastAsia"/>
          <w:sz w:val="24"/>
        </w:rPr>
        <w:t>担保金额人民币（大写）</w:t>
      </w:r>
      <w:r>
        <w:rPr>
          <w:rFonts w:hint="eastAsia"/>
          <w:sz w:val="24"/>
          <w:u w:val="single"/>
        </w:rPr>
        <w:t xml:space="preserve"> </w:t>
      </w:r>
      <w:r>
        <w:rPr>
          <w:rFonts w:hint="eastAsia"/>
          <w:sz w:val="24"/>
          <w:u w:val="single"/>
        </w:rPr>
        <w:tab/>
      </w:r>
      <w:r>
        <w:rPr>
          <w:rFonts w:hint="eastAsia"/>
          <w:sz w:val="24"/>
        </w:rPr>
        <w:t>元（¥</w:t>
      </w:r>
      <w:r>
        <w:rPr>
          <w:rFonts w:hint="eastAsia"/>
          <w:sz w:val="24"/>
          <w:u w:val="single"/>
        </w:rPr>
        <w:t xml:space="preserve"> </w:t>
      </w:r>
      <w:r>
        <w:rPr>
          <w:rFonts w:hint="eastAsia"/>
          <w:sz w:val="24"/>
          <w:u w:val="single"/>
        </w:rPr>
        <w:tab/>
      </w:r>
      <w:r>
        <w:rPr>
          <w:rFonts w:hint="eastAsia"/>
          <w:sz w:val="24"/>
        </w:rPr>
        <w:t>）。</w:t>
      </w:r>
    </w:p>
    <w:p>
      <w:pPr>
        <w:pStyle w:val="21"/>
        <w:numPr>
          <w:ilvl w:val="0"/>
          <w:numId w:val="58"/>
        </w:numPr>
        <w:tabs>
          <w:tab w:val="left" w:pos="1169"/>
        </w:tabs>
        <w:spacing w:before="94" w:line="312" w:lineRule="auto"/>
        <w:ind w:left="384" w:right="467" w:firstLine="480"/>
        <w:jc w:val="both"/>
        <w:rPr>
          <w:sz w:val="10"/>
        </w:rPr>
      </w:pPr>
      <w:r>
        <w:rPr>
          <w:rFonts w:hint="eastAsia"/>
          <w:spacing w:val="3"/>
          <w:sz w:val="24"/>
        </w:rPr>
        <w:t>担保有效期自发包人与承包人签订的合同生效之日起至发包人签发交工验收证书且承包人按照合同约定缴纳质量保证金之日止。</w:t>
      </w:r>
    </w:p>
    <w:p>
      <w:pPr>
        <w:pStyle w:val="21"/>
        <w:numPr>
          <w:ilvl w:val="0"/>
          <w:numId w:val="58"/>
        </w:numPr>
        <w:tabs>
          <w:tab w:val="left" w:pos="1164"/>
        </w:tabs>
        <w:spacing w:line="312" w:lineRule="auto"/>
        <w:ind w:left="384" w:right="442" w:firstLine="480"/>
        <w:jc w:val="both"/>
        <w:rPr>
          <w:sz w:val="24"/>
        </w:rPr>
      </w:pPr>
      <w:r>
        <w:rPr>
          <w:rFonts w:hint="eastAsia"/>
          <w:spacing w:val="-1"/>
          <w:sz w:val="24"/>
        </w:rPr>
        <w:t xml:space="preserve">在本担保有效期内，因承包人违反合同约定的义务给你方造成经济损失时， </w:t>
      </w:r>
      <w:r>
        <w:rPr>
          <w:rFonts w:hint="eastAsia"/>
          <w:spacing w:val="-2"/>
          <w:sz w:val="24"/>
        </w:rPr>
        <w:t xml:space="preserve">我方在收到你方以书面形式提出的在担保金额内的赔偿要求后，在 </w:t>
      </w:r>
      <w:r>
        <w:rPr>
          <w:rFonts w:hint="eastAsia"/>
          <w:sz w:val="24"/>
        </w:rPr>
        <w:t>7</w:t>
      </w:r>
      <w:r>
        <w:rPr>
          <w:rFonts w:hint="eastAsia"/>
          <w:spacing w:val="11"/>
          <w:sz w:val="24"/>
        </w:rPr>
        <w:t xml:space="preserve"> </w:t>
      </w:r>
      <w:r>
        <w:rPr>
          <w:rFonts w:hint="eastAsia"/>
          <w:sz w:val="24"/>
        </w:rPr>
        <w:t>日内无条件支付，无须你方出具证明或陈述理由。</w:t>
      </w:r>
    </w:p>
    <w:p>
      <w:pPr>
        <w:pStyle w:val="21"/>
        <w:numPr>
          <w:ilvl w:val="0"/>
          <w:numId w:val="58"/>
        </w:numPr>
        <w:tabs>
          <w:tab w:val="left" w:pos="1164"/>
        </w:tabs>
        <w:spacing w:line="312" w:lineRule="auto"/>
        <w:ind w:left="384" w:right="346" w:firstLine="480"/>
        <w:jc w:val="both"/>
        <w:rPr>
          <w:sz w:val="24"/>
        </w:rPr>
      </w:pPr>
      <w:r>
        <w:rPr>
          <w:rFonts w:hint="eastAsia"/>
          <w:spacing w:val="-5"/>
          <w:sz w:val="24"/>
        </w:rPr>
        <w:t xml:space="preserve">发包人和承包人按合同条款第 </w:t>
      </w:r>
      <w:r>
        <w:rPr>
          <w:rFonts w:hint="eastAsia"/>
          <w:sz w:val="24"/>
        </w:rPr>
        <w:t xml:space="preserve">20 </w:t>
      </w:r>
      <w:r>
        <w:rPr>
          <w:rFonts w:hint="eastAsia"/>
          <w:spacing w:val="-5"/>
          <w:sz w:val="24"/>
        </w:rPr>
        <w:t xml:space="preserve">条变更合同时，无论我方是否收到该变更， </w:t>
      </w:r>
      <w:r>
        <w:rPr>
          <w:rFonts w:hint="eastAsia"/>
          <w:sz w:val="24"/>
        </w:rPr>
        <w:t>我方承担本担保规定的义务不变。</w:t>
      </w:r>
    </w:p>
    <w:p>
      <w:pPr>
        <w:pStyle w:val="11"/>
      </w:pPr>
    </w:p>
    <w:p>
      <w:pPr>
        <w:pStyle w:val="11"/>
      </w:pPr>
    </w:p>
    <w:p>
      <w:pPr>
        <w:pStyle w:val="11"/>
        <w:tabs>
          <w:tab w:val="left" w:pos="7739"/>
          <w:tab w:val="left" w:pos="8843"/>
        </w:tabs>
        <w:spacing w:before="186" w:line="312" w:lineRule="auto"/>
        <w:ind w:left="3880" w:right="346"/>
        <w:jc w:val="both"/>
      </w:pPr>
      <w:r>
        <w:rPr>
          <w:rFonts w:hint="eastAsia"/>
        </w:rPr>
        <w:t>担保人名称：</w:t>
      </w:r>
      <w:r>
        <w:rPr>
          <w:rFonts w:hint="eastAsia"/>
        </w:rPr>
        <w:tab/>
      </w:r>
      <w:r>
        <w:rPr>
          <w:rFonts w:hint="eastAsia"/>
          <w:u w:val="single"/>
        </w:rPr>
        <w:t>（</w:t>
      </w:r>
      <w:r>
        <w:rPr>
          <w:rFonts w:hint="eastAsia"/>
        </w:rPr>
        <w:t>盖单位章</w:t>
      </w:r>
      <w:r>
        <w:rPr>
          <w:rFonts w:hint="eastAsia"/>
          <w:spacing w:val="-18"/>
        </w:rPr>
        <w:t xml:space="preserve">） </w:t>
      </w:r>
      <w:r>
        <w:rPr>
          <w:rFonts w:hint="eastAsia"/>
        </w:rPr>
        <w:t xml:space="preserve">法定代表人或其委托代理人：       </w:t>
      </w:r>
      <w:r>
        <w:rPr>
          <w:rFonts w:hint="eastAsia"/>
          <w:spacing w:val="19"/>
        </w:rPr>
        <w:t xml:space="preserve"> </w:t>
      </w:r>
      <w:r>
        <w:rPr>
          <w:rFonts w:hint="eastAsia"/>
          <w:u w:val="single"/>
        </w:rPr>
        <w:t>（</w:t>
      </w:r>
      <w:r>
        <w:rPr>
          <w:rFonts w:hint="eastAsia"/>
        </w:rPr>
        <w:t>签字</w:t>
      </w:r>
      <w:r>
        <w:rPr>
          <w:rFonts w:hint="eastAsia"/>
          <w:spacing w:val="-18"/>
        </w:rPr>
        <w:t xml:space="preserve">） </w:t>
      </w:r>
      <w:r>
        <w:rPr>
          <w:rFonts w:hint="eastAsia"/>
        </w:rPr>
        <w:t xml:space="preserve">地 </w:t>
      </w:r>
      <w:r>
        <w:rPr>
          <w:rFonts w:hint="eastAsia"/>
          <w:spacing w:val="119"/>
        </w:rPr>
        <w:t xml:space="preserve"> </w:t>
      </w:r>
      <w:r>
        <w:rPr>
          <w:rFonts w:hint="eastAsia"/>
        </w:rPr>
        <w:t>址 ：</w:t>
      </w:r>
      <w:r>
        <w:rPr>
          <w:rFonts w:hint="eastAsia"/>
          <w:u w:val="single"/>
        </w:rPr>
        <w:t xml:space="preserve"> </w:t>
      </w:r>
      <w:r>
        <w:rPr>
          <w:rFonts w:hint="eastAsia"/>
          <w:u w:val="single"/>
        </w:rPr>
        <w:tab/>
      </w:r>
      <w:r>
        <w:rPr>
          <w:rFonts w:hint="eastAsia"/>
          <w:u w:val="single"/>
        </w:rPr>
        <w:tab/>
      </w:r>
    </w:p>
    <w:p>
      <w:pPr>
        <w:pStyle w:val="11"/>
        <w:tabs>
          <w:tab w:val="left" w:pos="4600"/>
          <w:tab w:val="left" w:pos="8843"/>
          <w:tab w:val="left" w:pos="8979"/>
        </w:tabs>
        <w:spacing w:before="1" w:line="312" w:lineRule="auto"/>
        <w:ind w:left="3880" w:right="545"/>
      </w:pPr>
      <w:r>
        <w:rPr>
          <w:rFonts w:hint="eastAsia"/>
          <w:spacing w:val="-1"/>
        </w:rPr>
        <w:t>邮</w:t>
      </w:r>
      <w:r>
        <w:rPr>
          <w:rFonts w:hint="eastAsia"/>
        </w:rPr>
        <w:t>政编码：</w:t>
      </w:r>
      <w:r>
        <w:rPr>
          <w:rFonts w:hint="eastAsia"/>
          <w:u w:val="single"/>
        </w:rPr>
        <w:t xml:space="preserve"> </w:t>
      </w:r>
      <w:r>
        <w:rPr>
          <w:rFonts w:hint="eastAsia"/>
          <w:u w:val="single"/>
        </w:rPr>
        <w:tab/>
      </w:r>
      <w:r>
        <w:rPr>
          <w:rFonts w:hint="eastAsia"/>
          <w:u w:val="single"/>
        </w:rPr>
        <w:t xml:space="preserve"> </w:t>
      </w:r>
      <w:r>
        <w:rPr>
          <w:rFonts w:hint="eastAsia"/>
        </w:rPr>
        <w:t>电</w:t>
      </w:r>
      <w:r>
        <w:rPr>
          <w:rFonts w:hint="eastAsia"/>
        </w:rPr>
        <w:tab/>
      </w:r>
      <w:r>
        <w:rPr>
          <w:rFonts w:hint="eastAsia"/>
          <w:spacing w:val="-1"/>
        </w:rPr>
        <w:t>话</w:t>
      </w:r>
      <w:r>
        <w:rPr>
          <w:rFonts w:hint="eastAsia"/>
        </w:rPr>
        <w:t>：</w:t>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rPr>
        <w:t>传</w:t>
      </w:r>
      <w:r>
        <w:rPr>
          <w:rFonts w:hint="eastAsia"/>
        </w:rPr>
        <w:tab/>
      </w:r>
      <w:r>
        <w:rPr>
          <w:rFonts w:hint="eastAsia"/>
          <w:spacing w:val="-1"/>
        </w:rPr>
        <w:t>真</w:t>
      </w:r>
      <w:r>
        <w:rPr>
          <w:rFonts w:hint="eastAsia"/>
        </w:rPr>
        <w:t>：</w:t>
      </w:r>
      <w:r>
        <w:rPr>
          <w:rFonts w:hint="eastAsia"/>
          <w:u w:val="single"/>
        </w:rPr>
        <w:t xml:space="preserve"> </w:t>
      </w:r>
      <w:r>
        <w:rPr>
          <w:rFonts w:hint="eastAsia"/>
          <w:u w:val="single"/>
        </w:rPr>
        <w:tab/>
      </w:r>
      <w:r>
        <w:rPr>
          <w:rFonts w:hint="eastAsia"/>
          <w:u w:val="single"/>
        </w:rPr>
        <w:tab/>
      </w:r>
    </w:p>
    <w:p>
      <w:pPr>
        <w:pStyle w:val="11"/>
        <w:tabs>
          <w:tab w:val="left" w:pos="5499"/>
          <w:tab w:val="left" w:pos="6520"/>
          <w:tab w:val="left" w:pos="7480"/>
        </w:tabs>
        <w:spacing w:before="1"/>
        <w:ind w:left="4600"/>
      </w:pPr>
      <w:r>
        <w:rPr>
          <w:rFonts w:hint="eastAsia"/>
          <w:u w:val="single"/>
        </w:rPr>
        <w:t xml:space="preserve"> </w:t>
      </w:r>
      <w:r>
        <w:rPr>
          <w:rFonts w:hint="eastAsia"/>
          <w:u w:val="single"/>
        </w:rPr>
        <w:tab/>
      </w:r>
      <w:r>
        <w:rPr>
          <w:rFonts w:hint="eastAsia"/>
          <w:spacing w:val="1"/>
        </w:rPr>
        <w:t xml:space="preserve"> </w:t>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0"/>
        </w:rPr>
      </w:pPr>
    </w:p>
    <w:p>
      <w:pPr>
        <w:pStyle w:val="11"/>
        <w:rPr>
          <w:sz w:val="20"/>
        </w:rPr>
      </w:pPr>
    </w:p>
    <w:p>
      <w:pPr>
        <w:pStyle w:val="11"/>
        <w:rPr>
          <w:sz w:val="20"/>
        </w:rPr>
      </w:pPr>
    </w:p>
    <w:p>
      <w:pPr>
        <w:pStyle w:val="11"/>
        <w:spacing w:before="8"/>
        <w:rPr>
          <w:sz w:val="22"/>
        </w:rPr>
      </w:pPr>
    </w:p>
    <w:p>
      <w:pPr>
        <w:pStyle w:val="11"/>
        <w:spacing w:before="9"/>
        <w:rPr>
          <w:sz w:val="8"/>
        </w:rPr>
      </w:pPr>
    </w:p>
    <w:p>
      <w:pPr>
        <w:pStyle w:val="11"/>
        <w:spacing w:before="10"/>
        <w:rPr>
          <w:sz w:val="17"/>
        </w:rPr>
      </w:pPr>
      <w:bookmarkStart w:id="80" w:name="附件八_工程资金监管协议格式"/>
      <w:bookmarkEnd w:id="80"/>
    </w:p>
    <w:p>
      <w:pPr>
        <w:pStyle w:val="12"/>
        <w:rPr>
          <w:sz w:val="17"/>
        </w:rPr>
      </w:pPr>
    </w:p>
    <w:p>
      <w:pPr>
        <w:rPr>
          <w:sz w:val="17"/>
        </w:rPr>
      </w:pPr>
    </w:p>
    <w:p>
      <w:pPr>
        <w:pStyle w:val="18"/>
        <w:ind w:firstLine="340"/>
        <w:rPr>
          <w:sz w:val="17"/>
        </w:rPr>
      </w:pPr>
    </w:p>
    <w:p>
      <w:pPr>
        <w:pStyle w:val="18"/>
        <w:ind w:firstLine="340"/>
        <w:rPr>
          <w:sz w:val="17"/>
        </w:rPr>
      </w:pPr>
    </w:p>
    <w:p>
      <w:pPr>
        <w:pStyle w:val="11"/>
        <w:spacing w:before="67"/>
        <w:ind w:left="583"/>
      </w:pPr>
      <w:r>
        <w:rPr>
          <w:rFonts w:hint="eastAsia"/>
        </w:rPr>
        <w:t>附件八 工程资金监管协议格式</w:t>
      </w:r>
    </w:p>
    <w:p>
      <w:pPr>
        <w:pStyle w:val="11"/>
        <w:spacing w:before="71" w:line="295" w:lineRule="auto"/>
        <w:ind w:left="384" w:right="346" w:firstLine="480"/>
      </w:pPr>
      <w:r>
        <w:rPr>
          <w:rFonts w:hint="eastAsia"/>
        </w:rPr>
        <w:t>（发包人与承包人签订合同协议书时应与发包人指定的银行签署工程资金监管</w:t>
      </w:r>
      <w:r>
        <w:rPr>
          <w:rFonts w:hint="eastAsia"/>
          <w:spacing w:val="-10"/>
        </w:rPr>
        <w:t>协议，工程资金监管协议内容在保证本项目资金有效监管的前提下由三方共同商定</w:t>
      </w:r>
      <w:r>
        <w:rPr>
          <w:rFonts w:hint="eastAsia"/>
          <w:spacing w:val="-19"/>
        </w:rPr>
        <w:t>）</w:t>
      </w:r>
    </w:p>
    <w:p>
      <w:pPr>
        <w:pStyle w:val="11"/>
        <w:spacing w:before="1"/>
        <w:rPr>
          <w:sz w:val="26"/>
        </w:rPr>
      </w:pPr>
    </w:p>
    <w:p>
      <w:pPr>
        <w:ind w:left="149"/>
        <w:jc w:val="center"/>
        <w:rPr>
          <w:sz w:val="28"/>
        </w:rPr>
      </w:pPr>
      <w:r>
        <w:rPr>
          <w:rFonts w:hint="eastAsia"/>
          <w:sz w:val="28"/>
        </w:rPr>
        <w:t>工程资金监管协议</w:t>
      </w:r>
    </w:p>
    <w:p>
      <w:pPr>
        <w:pStyle w:val="11"/>
        <w:spacing w:before="3"/>
        <w:rPr>
          <w:sz w:val="35"/>
        </w:rPr>
      </w:pPr>
    </w:p>
    <w:p>
      <w:pPr>
        <w:pStyle w:val="11"/>
        <w:tabs>
          <w:tab w:val="left" w:pos="3463"/>
        </w:tabs>
        <w:spacing w:line="296" w:lineRule="auto"/>
        <w:ind w:left="584"/>
        <w:jc w:val="both"/>
        <w:rPr>
          <w:spacing w:val="-9"/>
        </w:rPr>
      </w:pPr>
      <w:r>
        <w:rPr>
          <w:rFonts w:hint="eastAsia"/>
        </w:rPr>
        <w:t>发包人：</w:t>
      </w:r>
      <w:r>
        <w:rPr>
          <w:rFonts w:hint="eastAsia"/>
          <w:u w:val="single"/>
        </w:rPr>
        <w:t xml:space="preserve"> </w:t>
      </w:r>
      <w:r>
        <w:rPr>
          <w:rFonts w:hint="eastAsia"/>
          <w:u w:val="single"/>
        </w:rPr>
        <w:tab/>
      </w:r>
      <w:r>
        <w:rPr>
          <w:rFonts w:hint="eastAsia"/>
        </w:rPr>
        <w:t>（以下简称“甲方</w:t>
      </w:r>
      <w:r>
        <w:rPr>
          <w:rFonts w:hint="eastAsia"/>
          <w:spacing w:val="-9"/>
        </w:rPr>
        <w:t>”）</w:t>
      </w:r>
    </w:p>
    <w:p>
      <w:pPr>
        <w:pStyle w:val="11"/>
        <w:tabs>
          <w:tab w:val="left" w:pos="3463"/>
        </w:tabs>
        <w:spacing w:line="296" w:lineRule="auto"/>
        <w:ind w:left="584"/>
        <w:jc w:val="both"/>
        <w:rPr>
          <w:spacing w:val="-9"/>
        </w:rPr>
      </w:pPr>
      <w:r>
        <w:rPr>
          <w:rFonts w:hint="eastAsia"/>
        </w:rPr>
        <w:t>承包人：</w:t>
      </w:r>
      <w:r>
        <w:rPr>
          <w:rFonts w:hint="eastAsia"/>
          <w:u w:val="single"/>
        </w:rPr>
        <w:t xml:space="preserve"> </w:t>
      </w:r>
      <w:r>
        <w:rPr>
          <w:rFonts w:hint="eastAsia"/>
          <w:u w:val="single"/>
        </w:rPr>
        <w:tab/>
      </w:r>
      <w:r>
        <w:rPr>
          <w:rFonts w:hint="eastAsia"/>
        </w:rPr>
        <w:t>（以下简称“乙方</w:t>
      </w:r>
      <w:r>
        <w:rPr>
          <w:rFonts w:hint="eastAsia"/>
          <w:spacing w:val="-9"/>
        </w:rPr>
        <w:t xml:space="preserve">”） </w:t>
      </w:r>
    </w:p>
    <w:p>
      <w:pPr>
        <w:pStyle w:val="11"/>
        <w:tabs>
          <w:tab w:val="left" w:pos="3463"/>
        </w:tabs>
        <w:spacing w:line="296" w:lineRule="auto"/>
        <w:ind w:left="584"/>
        <w:jc w:val="both"/>
      </w:pPr>
      <w:r>
        <w:rPr>
          <w:rFonts w:hint="eastAsia"/>
        </w:rPr>
        <w:t>经办银行：</w:t>
      </w:r>
      <w:r>
        <w:rPr>
          <w:rFonts w:hint="eastAsia"/>
          <w:u w:val="single"/>
        </w:rPr>
        <w:t xml:space="preserve"> </w:t>
      </w:r>
      <w:r>
        <w:rPr>
          <w:rFonts w:hint="eastAsia"/>
          <w:u w:val="single"/>
        </w:rPr>
        <w:tab/>
      </w:r>
      <w:r>
        <w:rPr>
          <w:rFonts w:hint="eastAsia"/>
        </w:rPr>
        <w:t>（以下简称“丙方</w:t>
      </w:r>
      <w:r>
        <w:rPr>
          <w:rFonts w:hint="eastAsia"/>
          <w:spacing w:val="-9"/>
        </w:rPr>
        <w:t>”）</w:t>
      </w:r>
    </w:p>
    <w:p>
      <w:pPr>
        <w:pStyle w:val="11"/>
        <w:rPr>
          <w:sz w:val="30"/>
        </w:rPr>
      </w:pPr>
    </w:p>
    <w:p>
      <w:pPr>
        <w:pStyle w:val="11"/>
        <w:tabs>
          <w:tab w:val="left" w:pos="2795"/>
          <w:tab w:val="left" w:pos="7739"/>
        </w:tabs>
        <w:spacing w:line="297" w:lineRule="auto"/>
        <w:ind w:left="384" w:right="346" w:firstLine="480"/>
      </w:pPr>
      <w:r>
        <w:rPr>
          <w:rFonts w:hint="eastAsia"/>
        </w:rPr>
        <w:t>为了促进</w:t>
      </w:r>
      <w:r>
        <w:rPr>
          <w:rFonts w:hint="eastAsia"/>
          <w:u w:val="single"/>
        </w:rPr>
        <w:t xml:space="preserve"> </w:t>
      </w:r>
      <w:r>
        <w:rPr>
          <w:rFonts w:hint="eastAsia"/>
          <w:u w:val="single"/>
        </w:rPr>
        <w:tab/>
      </w:r>
      <w:r>
        <w:rPr>
          <w:rFonts w:hint="eastAsia"/>
        </w:rPr>
        <w:t>（项目名称）的顺利实施，管好用好建设资金，确保工程资金专款专用</w:t>
      </w:r>
      <w:r>
        <w:rPr>
          <w:rFonts w:hint="eastAsia"/>
          <w:spacing w:val="-70"/>
        </w:rPr>
        <w:t>，</w:t>
      </w:r>
      <w:r>
        <w:rPr>
          <w:rFonts w:hint="eastAsia"/>
        </w:rPr>
        <w:t>同时为承包人提供便捷有效的银行业务服务</w:t>
      </w:r>
      <w:r>
        <w:rPr>
          <w:rFonts w:hint="eastAsia"/>
          <w:spacing w:val="-70"/>
        </w:rPr>
        <w:t>，</w:t>
      </w:r>
      <w:r>
        <w:rPr>
          <w:rFonts w:hint="eastAsia"/>
        </w:rPr>
        <w:t>根据</w:t>
      </w:r>
      <w:r>
        <w:rPr>
          <w:rFonts w:hint="eastAsia"/>
          <w:u w:val="single"/>
        </w:rPr>
        <w:t xml:space="preserve"> </w:t>
      </w:r>
      <w:r>
        <w:rPr>
          <w:rFonts w:hint="eastAsia"/>
          <w:u w:val="single"/>
        </w:rPr>
        <w:tab/>
      </w:r>
      <w:r>
        <w:rPr>
          <w:rFonts w:hint="eastAsia"/>
          <w:u w:val="single"/>
        </w:rPr>
        <w:t>（</w:t>
      </w:r>
      <w:r>
        <w:rPr>
          <w:rFonts w:hint="eastAsia"/>
        </w:rPr>
        <w:t>项目名称</w:t>
      </w:r>
      <w:r>
        <w:rPr>
          <w:rFonts w:hint="eastAsia"/>
          <w:spacing w:val="-18"/>
        </w:rPr>
        <w:t xml:space="preserve">） </w:t>
      </w:r>
      <w:r>
        <w:rPr>
          <w:rFonts w:hint="eastAsia"/>
        </w:rPr>
        <w:t>合同条款有关规定，经甲、乙、丙三方协商，达成协议如下：</w:t>
      </w:r>
    </w:p>
    <w:p>
      <w:pPr>
        <w:pStyle w:val="21"/>
        <w:numPr>
          <w:ilvl w:val="0"/>
          <w:numId w:val="59"/>
        </w:numPr>
        <w:tabs>
          <w:tab w:val="left" w:pos="1164"/>
        </w:tabs>
        <w:spacing w:line="304" w:lineRule="exact"/>
        <w:rPr>
          <w:sz w:val="24"/>
        </w:rPr>
      </w:pPr>
      <w:r>
        <w:rPr>
          <w:rFonts w:hint="eastAsia"/>
          <w:sz w:val="24"/>
        </w:rPr>
        <w:t>资金管理的内容</w:t>
      </w:r>
    </w:p>
    <w:p>
      <w:pPr>
        <w:pStyle w:val="21"/>
        <w:numPr>
          <w:ilvl w:val="0"/>
          <w:numId w:val="60"/>
        </w:numPr>
        <w:tabs>
          <w:tab w:val="left" w:pos="1465"/>
          <w:tab w:val="left" w:pos="3568"/>
        </w:tabs>
        <w:spacing w:before="72" w:line="297" w:lineRule="auto"/>
        <w:ind w:right="466" w:firstLine="480"/>
        <w:rPr>
          <w:sz w:val="24"/>
        </w:rPr>
      </w:pPr>
      <w:r>
        <w:rPr>
          <w:rFonts w:hint="eastAsia"/>
          <w:sz w:val="24"/>
        </w:rPr>
        <w:t>乙方为完成</w:t>
      </w:r>
      <w:r>
        <w:rPr>
          <w:rFonts w:hint="eastAsia"/>
          <w:sz w:val="24"/>
          <w:u w:val="single"/>
        </w:rPr>
        <w:t xml:space="preserve"> </w:t>
      </w:r>
      <w:r>
        <w:rPr>
          <w:rFonts w:hint="eastAsia"/>
          <w:sz w:val="24"/>
          <w:u w:val="single"/>
        </w:rPr>
        <w:tab/>
      </w:r>
      <w:r>
        <w:rPr>
          <w:rFonts w:hint="eastAsia"/>
          <w:sz w:val="24"/>
        </w:rPr>
        <w:t>（项目名称</w:t>
      </w:r>
      <w:r>
        <w:rPr>
          <w:rFonts w:hint="eastAsia"/>
          <w:spacing w:val="-29"/>
          <w:sz w:val="24"/>
        </w:rPr>
        <w:t>）</w:t>
      </w:r>
      <w:r>
        <w:rPr>
          <w:rFonts w:hint="eastAsia"/>
          <w:sz w:val="24"/>
        </w:rPr>
        <w:t>工程成立的项目经理部在丙方开设基</w:t>
      </w:r>
      <w:r>
        <w:rPr>
          <w:rFonts w:hint="eastAsia"/>
          <w:spacing w:val="-18"/>
          <w:sz w:val="24"/>
        </w:rPr>
        <w:t>本</w:t>
      </w:r>
      <w:r>
        <w:rPr>
          <w:rFonts w:hint="eastAsia"/>
          <w:sz w:val="24"/>
        </w:rPr>
        <w:t>结算户；</w:t>
      </w:r>
    </w:p>
    <w:p>
      <w:pPr>
        <w:pStyle w:val="21"/>
        <w:numPr>
          <w:ilvl w:val="0"/>
          <w:numId w:val="60"/>
        </w:numPr>
        <w:tabs>
          <w:tab w:val="left" w:pos="1465"/>
        </w:tabs>
        <w:spacing w:line="306" w:lineRule="exact"/>
        <w:ind w:left="1465"/>
        <w:rPr>
          <w:sz w:val="24"/>
        </w:rPr>
      </w:pPr>
      <w:r>
        <w:rPr>
          <w:rFonts w:hint="eastAsia"/>
          <w:sz w:val="24"/>
        </w:rPr>
        <w:t>甲方应按合同规定将工程款汇入乙方在丙方开设的账户；</w:t>
      </w:r>
    </w:p>
    <w:p>
      <w:pPr>
        <w:pStyle w:val="21"/>
        <w:numPr>
          <w:ilvl w:val="0"/>
          <w:numId w:val="60"/>
        </w:numPr>
        <w:tabs>
          <w:tab w:val="left" w:pos="1465"/>
          <w:tab w:val="left" w:pos="7223"/>
        </w:tabs>
        <w:spacing w:before="72"/>
        <w:ind w:left="1465"/>
        <w:rPr>
          <w:sz w:val="24"/>
        </w:rPr>
      </w:pPr>
      <w:r>
        <w:rPr>
          <w:rFonts w:hint="eastAsia"/>
          <w:sz w:val="24"/>
        </w:rPr>
        <w:t>乙方应将流动资金及甲方所拨付资金专项用于</w:t>
      </w:r>
      <w:r>
        <w:rPr>
          <w:rFonts w:hint="eastAsia"/>
          <w:sz w:val="24"/>
          <w:u w:val="single"/>
        </w:rPr>
        <w:t xml:space="preserve"> </w:t>
      </w:r>
      <w:r>
        <w:rPr>
          <w:rFonts w:hint="eastAsia"/>
          <w:sz w:val="24"/>
          <w:u w:val="single"/>
        </w:rPr>
        <w:tab/>
      </w:r>
      <w:r>
        <w:rPr>
          <w:rFonts w:hint="eastAsia"/>
          <w:sz w:val="24"/>
        </w:rPr>
        <w:t>（项目名称）；</w:t>
      </w:r>
    </w:p>
    <w:p>
      <w:pPr>
        <w:pStyle w:val="21"/>
        <w:numPr>
          <w:ilvl w:val="0"/>
          <w:numId w:val="60"/>
        </w:numPr>
        <w:tabs>
          <w:tab w:val="left" w:pos="1465"/>
        </w:tabs>
        <w:spacing w:before="74" w:line="295" w:lineRule="auto"/>
        <w:ind w:right="466" w:firstLine="480"/>
        <w:rPr>
          <w:sz w:val="24"/>
        </w:rPr>
      </w:pPr>
      <w:r>
        <w:rPr>
          <w:rFonts w:hint="eastAsia"/>
          <w:spacing w:val="-3"/>
          <w:sz w:val="24"/>
        </w:rPr>
        <w:t>丙方应为乙方提供便捷有效的银行业务服务，并接受甲方委托对乙方在</w:t>
      </w:r>
      <w:r>
        <w:rPr>
          <w:rFonts w:hint="eastAsia"/>
          <w:spacing w:val="-5"/>
          <w:sz w:val="24"/>
        </w:rPr>
        <w:t>丙方开设的基本结算户资金使用情况进行监督。</w:t>
      </w:r>
    </w:p>
    <w:p>
      <w:pPr>
        <w:pStyle w:val="21"/>
        <w:numPr>
          <w:ilvl w:val="0"/>
          <w:numId w:val="59"/>
        </w:numPr>
        <w:tabs>
          <w:tab w:val="left" w:pos="1164"/>
        </w:tabs>
        <w:spacing w:before="2"/>
        <w:rPr>
          <w:sz w:val="24"/>
        </w:rPr>
      </w:pPr>
      <w:r>
        <w:rPr>
          <w:rFonts w:hint="eastAsia"/>
          <w:sz w:val="24"/>
        </w:rPr>
        <w:t>甲方的权责</w:t>
      </w:r>
    </w:p>
    <w:p>
      <w:pPr>
        <w:pStyle w:val="21"/>
        <w:numPr>
          <w:ilvl w:val="0"/>
          <w:numId w:val="61"/>
        </w:numPr>
        <w:tabs>
          <w:tab w:val="left" w:pos="1465"/>
          <w:tab w:val="left" w:pos="2860"/>
        </w:tabs>
        <w:spacing w:before="74" w:line="295" w:lineRule="auto"/>
        <w:ind w:right="466" w:firstLine="480"/>
        <w:rPr>
          <w:sz w:val="24"/>
        </w:rPr>
      </w:pPr>
      <w:r>
        <w:rPr>
          <w:rFonts w:hint="eastAsia"/>
          <w:sz w:val="24"/>
        </w:rPr>
        <w:t>按照</w:t>
      </w:r>
      <w:r>
        <w:rPr>
          <w:rFonts w:hint="eastAsia"/>
          <w:sz w:val="24"/>
          <w:u w:val="single"/>
        </w:rPr>
        <w:t xml:space="preserve"> </w:t>
      </w:r>
      <w:r>
        <w:rPr>
          <w:rFonts w:hint="eastAsia"/>
          <w:sz w:val="24"/>
          <w:u w:val="single"/>
        </w:rPr>
        <w:tab/>
      </w:r>
      <w:r>
        <w:rPr>
          <w:rFonts w:hint="eastAsia"/>
          <w:sz w:val="24"/>
        </w:rPr>
        <w:t>（项目名称</w:t>
      </w:r>
      <w:r>
        <w:rPr>
          <w:rFonts w:hint="eastAsia"/>
          <w:spacing w:val="-20"/>
          <w:sz w:val="24"/>
        </w:rPr>
        <w:t>）</w:t>
      </w:r>
      <w:r>
        <w:rPr>
          <w:rFonts w:hint="eastAsia"/>
          <w:sz w:val="24"/>
        </w:rPr>
        <w:t>合同有关条款规定的时间和方式</w:t>
      </w:r>
      <w:r>
        <w:rPr>
          <w:rFonts w:hint="eastAsia"/>
          <w:spacing w:val="-22"/>
          <w:sz w:val="24"/>
        </w:rPr>
        <w:t>，</w:t>
      </w:r>
      <w:r>
        <w:rPr>
          <w:rFonts w:hint="eastAsia"/>
          <w:sz w:val="24"/>
        </w:rPr>
        <w:t>向乙方支</w:t>
      </w:r>
      <w:r>
        <w:rPr>
          <w:rFonts w:hint="eastAsia"/>
          <w:spacing w:val="-17"/>
          <w:sz w:val="24"/>
        </w:rPr>
        <w:t>付</w:t>
      </w:r>
      <w:r>
        <w:rPr>
          <w:rFonts w:hint="eastAsia"/>
          <w:sz w:val="24"/>
        </w:rPr>
        <w:t>工程款；</w:t>
      </w:r>
    </w:p>
    <w:p>
      <w:pPr>
        <w:pStyle w:val="21"/>
        <w:numPr>
          <w:ilvl w:val="0"/>
          <w:numId w:val="61"/>
        </w:numPr>
        <w:tabs>
          <w:tab w:val="left" w:pos="1465"/>
        </w:tabs>
        <w:spacing w:before="2" w:line="297" w:lineRule="auto"/>
        <w:ind w:right="466" w:firstLine="480"/>
        <w:rPr>
          <w:sz w:val="24"/>
        </w:rPr>
      </w:pPr>
      <w:r>
        <w:rPr>
          <w:rFonts w:hint="eastAsia"/>
          <w:spacing w:val="-6"/>
          <w:sz w:val="24"/>
        </w:rPr>
        <w:t>在发现乙方将本项目资金挪用、转移时，甲方有权中止工程支付，直至乙</w:t>
      </w:r>
      <w:r>
        <w:rPr>
          <w:rFonts w:hint="eastAsia"/>
          <w:sz w:val="24"/>
        </w:rPr>
        <w:t>方改正为止；</w:t>
      </w:r>
    </w:p>
    <w:p>
      <w:pPr>
        <w:pStyle w:val="21"/>
        <w:numPr>
          <w:ilvl w:val="0"/>
          <w:numId w:val="61"/>
        </w:numPr>
        <w:tabs>
          <w:tab w:val="left" w:pos="1465"/>
        </w:tabs>
        <w:spacing w:line="295" w:lineRule="auto"/>
        <w:ind w:right="466" w:firstLine="480"/>
        <w:rPr>
          <w:sz w:val="24"/>
        </w:rPr>
      </w:pPr>
      <w:r>
        <w:rPr>
          <w:rFonts w:hint="eastAsia"/>
          <w:spacing w:val="-3"/>
          <w:sz w:val="24"/>
        </w:rPr>
        <w:t xml:space="preserve">不定期审查丙方对乙方的资金使用监督情况，如丙方不能履行其责任， </w:t>
      </w:r>
      <w:r>
        <w:rPr>
          <w:rFonts w:hint="eastAsia"/>
          <w:spacing w:val="-5"/>
          <w:sz w:val="24"/>
        </w:rPr>
        <w:t>甲方有权随时终止本协议；</w:t>
      </w:r>
    </w:p>
    <w:p>
      <w:pPr>
        <w:pStyle w:val="21"/>
        <w:numPr>
          <w:ilvl w:val="0"/>
          <w:numId w:val="61"/>
        </w:numPr>
        <w:tabs>
          <w:tab w:val="left" w:pos="1465"/>
        </w:tabs>
        <w:spacing w:before="2"/>
        <w:ind w:left="1465"/>
        <w:rPr>
          <w:sz w:val="24"/>
        </w:rPr>
      </w:pPr>
      <w:r>
        <w:rPr>
          <w:rFonts w:hint="eastAsia"/>
          <w:sz w:val="24"/>
        </w:rPr>
        <w:t>在乙、丙双方发生争议时，甲方应负责协调、解决。</w:t>
      </w:r>
    </w:p>
    <w:p>
      <w:pPr>
        <w:pStyle w:val="21"/>
        <w:numPr>
          <w:ilvl w:val="0"/>
          <w:numId w:val="59"/>
        </w:numPr>
        <w:tabs>
          <w:tab w:val="left" w:pos="1164"/>
        </w:tabs>
        <w:spacing w:before="72"/>
        <w:rPr>
          <w:sz w:val="24"/>
        </w:rPr>
      </w:pPr>
      <w:r>
        <w:rPr>
          <w:rFonts w:hint="eastAsia"/>
          <w:sz w:val="24"/>
        </w:rPr>
        <w:t>乙方的权责</w:t>
      </w:r>
    </w:p>
    <w:p>
      <w:pPr>
        <w:pStyle w:val="21"/>
        <w:numPr>
          <w:ilvl w:val="0"/>
          <w:numId w:val="62"/>
        </w:numPr>
        <w:tabs>
          <w:tab w:val="left" w:pos="1465"/>
        </w:tabs>
        <w:spacing w:before="72"/>
        <w:rPr>
          <w:sz w:val="24"/>
        </w:rPr>
      </w:pPr>
      <w:r>
        <w:rPr>
          <w:rFonts w:hint="eastAsia"/>
          <w:sz w:val="24"/>
        </w:rPr>
        <w:t>项目经理部成立以后，乙方应尽快在丙方开设基本结算户；</w:t>
      </w:r>
    </w:p>
    <w:p>
      <w:pPr>
        <w:pStyle w:val="21"/>
        <w:numPr>
          <w:ilvl w:val="0"/>
          <w:numId w:val="62"/>
        </w:numPr>
        <w:tabs>
          <w:tab w:val="left" w:pos="1465"/>
        </w:tabs>
        <w:spacing w:before="74" w:line="295" w:lineRule="auto"/>
        <w:ind w:left="384" w:right="466" w:firstLine="480"/>
        <w:rPr>
          <w:sz w:val="24"/>
        </w:rPr>
      </w:pPr>
      <w:r>
        <w:rPr>
          <w:rFonts w:hint="eastAsia"/>
          <w:spacing w:val="-6"/>
          <w:sz w:val="24"/>
        </w:rPr>
        <w:t>确保本项目资金专款专用，不发生挪用、转移资金的现象；保证不通过权</w:t>
      </w:r>
      <w:r>
        <w:rPr>
          <w:rFonts w:hint="eastAsia"/>
          <w:sz w:val="24"/>
        </w:rPr>
        <w:t>益转让、抵押、担保承担债务等任何其他方式使用基本结算户的资金；</w:t>
      </w:r>
    </w:p>
    <w:p>
      <w:pPr>
        <w:pStyle w:val="21"/>
        <w:numPr>
          <w:ilvl w:val="0"/>
          <w:numId w:val="62"/>
        </w:numPr>
        <w:tabs>
          <w:tab w:val="left" w:pos="1465"/>
        </w:tabs>
        <w:spacing w:before="2" w:line="297" w:lineRule="auto"/>
        <w:ind w:left="384" w:right="346" w:firstLine="480"/>
        <w:jc w:val="both"/>
        <w:rPr>
          <w:sz w:val="24"/>
        </w:rPr>
      </w:pPr>
      <w:r>
        <w:rPr>
          <w:rFonts w:hint="eastAsia"/>
          <w:spacing w:val="-5"/>
          <w:sz w:val="24"/>
        </w:rPr>
        <w:t>办理材料、设备等采购业务金额在</w:t>
      </w:r>
      <w:r>
        <w:rPr>
          <w:rFonts w:hint="eastAsia"/>
          <w:spacing w:val="-6"/>
          <w:sz w:val="24"/>
        </w:rPr>
        <w:t xml:space="preserve"> 万元以上的，应出示购货合同、协议和发票；在办理总额超过</w:t>
      </w:r>
      <w:r>
        <w:rPr>
          <w:rFonts w:hint="eastAsia"/>
          <w:spacing w:val="-6"/>
          <w:sz w:val="24"/>
          <w:u w:val="single"/>
        </w:rPr>
        <w:t xml:space="preserve"> </w:t>
      </w:r>
      <w:r>
        <w:rPr>
          <w:rFonts w:hint="eastAsia"/>
          <w:sz w:val="24"/>
        </w:rPr>
        <w:t xml:space="preserve"> 万元以上的采购业务时，应将合同、协议和发票复印件</w:t>
      </w:r>
      <w:r>
        <w:rPr>
          <w:rFonts w:hint="eastAsia"/>
          <w:spacing w:val="-9"/>
          <w:sz w:val="24"/>
        </w:rPr>
        <w:t>送丙方备案；购买应急材料、设备时可先办理支付手续，但事后必须补备有关资料；</w:t>
      </w:r>
    </w:p>
    <w:p>
      <w:pPr>
        <w:spacing w:line="297" w:lineRule="auto"/>
        <w:jc w:val="both"/>
        <w:rPr>
          <w:sz w:val="24"/>
        </w:rPr>
        <w:sectPr>
          <w:pgSz w:w="11910" w:h="16840"/>
          <w:pgMar w:top="1360" w:right="1120" w:bottom="1080" w:left="1260" w:header="882" w:footer="845" w:gutter="0"/>
          <w:cols w:space="720" w:num="1"/>
        </w:sectPr>
      </w:pPr>
    </w:p>
    <w:p>
      <w:pPr>
        <w:pStyle w:val="11"/>
        <w:rPr>
          <w:sz w:val="17"/>
        </w:rPr>
      </w:pPr>
    </w:p>
    <w:p>
      <w:pPr>
        <w:pStyle w:val="21"/>
        <w:numPr>
          <w:ilvl w:val="0"/>
          <w:numId w:val="62"/>
        </w:numPr>
        <w:tabs>
          <w:tab w:val="left" w:pos="1465"/>
        </w:tabs>
        <w:spacing w:before="77" w:line="295" w:lineRule="auto"/>
        <w:ind w:left="384" w:right="466" w:firstLine="480"/>
        <w:rPr>
          <w:sz w:val="24"/>
        </w:rPr>
      </w:pPr>
      <w:r>
        <w:rPr>
          <w:rFonts w:hint="eastAsia"/>
          <w:spacing w:val="-3"/>
          <w:sz w:val="24"/>
        </w:rPr>
        <w:t>用银行转账支票办理支付款项时，必须将转账支票送交丙方，由丙方负</w:t>
      </w:r>
      <w:r>
        <w:rPr>
          <w:rFonts w:hint="eastAsia"/>
          <w:spacing w:val="-5"/>
          <w:sz w:val="24"/>
        </w:rPr>
        <w:t>责办理支票转付手续；</w:t>
      </w:r>
    </w:p>
    <w:p>
      <w:pPr>
        <w:pStyle w:val="21"/>
        <w:numPr>
          <w:ilvl w:val="0"/>
          <w:numId w:val="62"/>
        </w:numPr>
        <w:tabs>
          <w:tab w:val="left" w:pos="1465"/>
        </w:tabs>
        <w:spacing w:before="2"/>
        <w:rPr>
          <w:sz w:val="24"/>
        </w:rPr>
      </w:pPr>
      <w:r>
        <w:rPr>
          <w:rFonts w:hint="eastAsia"/>
          <w:sz w:val="24"/>
        </w:rPr>
        <w:t>向分包单位支付工程进度款时，应附甲方批准分包的文件；</w:t>
      </w:r>
    </w:p>
    <w:p>
      <w:pPr>
        <w:pStyle w:val="21"/>
        <w:numPr>
          <w:ilvl w:val="0"/>
          <w:numId w:val="62"/>
        </w:numPr>
        <w:tabs>
          <w:tab w:val="left" w:pos="1465"/>
        </w:tabs>
        <w:spacing w:before="74" w:line="295" w:lineRule="auto"/>
        <w:ind w:left="384" w:right="466" w:firstLine="480"/>
        <w:rPr>
          <w:sz w:val="24"/>
        </w:rPr>
      </w:pPr>
      <w:r>
        <w:rPr>
          <w:rFonts w:hint="eastAsia"/>
          <w:spacing w:val="-4"/>
          <w:sz w:val="24"/>
        </w:rPr>
        <w:t>向上级单位缴纳管理费、机械设备及周转材料租赁摊销费等款项时，应</w:t>
      </w:r>
      <w:r>
        <w:rPr>
          <w:rFonts w:hint="eastAsia"/>
          <w:spacing w:val="-5"/>
          <w:sz w:val="24"/>
        </w:rPr>
        <w:t>附上级单位出具的转账通知等有关资料，以确保资金专款专用。</w:t>
      </w:r>
    </w:p>
    <w:p>
      <w:pPr>
        <w:pStyle w:val="21"/>
        <w:numPr>
          <w:ilvl w:val="0"/>
          <w:numId w:val="59"/>
        </w:numPr>
        <w:tabs>
          <w:tab w:val="left" w:pos="1164"/>
        </w:tabs>
        <w:spacing w:before="2"/>
        <w:rPr>
          <w:sz w:val="24"/>
        </w:rPr>
      </w:pPr>
      <w:r>
        <w:rPr>
          <w:rFonts w:hint="eastAsia"/>
          <w:sz w:val="24"/>
        </w:rPr>
        <w:t>丙方的权责</w:t>
      </w:r>
    </w:p>
    <w:p>
      <w:pPr>
        <w:pStyle w:val="21"/>
        <w:numPr>
          <w:ilvl w:val="0"/>
          <w:numId w:val="63"/>
        </w:numPr>
        <w:tabs>
          <w:tab w:val="left" w:pos="1465"/>
          <w:tab w:val="left" w:pos="2870"/>
        </w:tabs>
        <w:spacing w:before="74" w:line="295" w:lineRule="auto"/>
        <w:ind w:right="466" w:firstLine="480"/>
        <w:rPr>
          <w:sz w:val="24"/>
        </w:rPr>
      </w:pPr>
      <w:r>
        <w:rPr>
          <w:rFonts w:hint="eastAsia"/>
          <w:sz w:val="24"/>
        </w:rPr>
        <w:t>成立</w:t>
      </w:r>
      <w:r>
        <w:rPr>
          <w:rFonts w:hint="eastAsia"/>
          <w:sz w:val="24"/>
          <w:u w:val="single"/>
        </w:rPr>
        <w:t xml:space="preserve"> </w:t>
      </w:r>
      <w:r>
        <w:rPr>
          <w:rFonts w:hint="eastAsia"/>
          <w:sz w:val="24"/>
          <w:u w:val="single"/>
        </w:rPr>
        <w:tab/>
      </w:r>
      <w:r>
        <w:rPr>
          <w:rFonts w:hint="eastAsia"/>
          <w:sz w:val="24"/>
        </w:rPr>
        <w:t>（项目名称</w:t>
      </w:r>
      <w:r>
        <w:rPr>
          <w:rFonts w:hint="eastAsia"/>
          <w:spacing w:val="-17"/>
          <w:sz w:val="24"/>
        </w:rPr>
        <w:t>）</w:t>
      </w:r>
      <w:r>
        <w:rPr>
          <w:rFonts w:hint="eastAsia"/>
          <w:sz w:val="24"/>
        </w:rPr>
        <w:t>工程资金管理服务小组</w:t>
      </w:r>
      <w:r>
        <w:rPr>
          <w:rFonts w:hint="eastAsia"/>
          <w:spacing w:val="-17"/>
          <w:sz w:val="24"/>
        </w:rPr>
        <w:t>，</w:t>
      </w:r>
      <w:r>
        <w:rPr>
          <w:rFonts w:hint="eastAsia"/>
          <w:sz w:val="24"/>
        </w:rPr>
        <w:t>明确业务流程</w:t>
      </w:r>
      <w:r>
        <w:rPr>
          <w:rFonts w:hint="eastAsia"/>
          <w:spacing w:val="-17"/>
          <w:sz w:val="24"/>
        </w:rPr>
        <w:t>，</w:t>
      </w:r>
      <w:r>
        <w:rPr>
          <w:rFonts w:hint="eastAsia"/>
          <w:sz w:val="24"/>
        </w:rPr>
        <w:t>提</w:t>
      </w:r>
      <w:r>
        <w:rPr>
          <w:rFonts w:hint="eastAsia"/>
          <w:spacing w:val="-18"/>
          <w:sz w:val="24"/>
        </w:rPr>
        <w:t>高</w:t>
      </w:r>
      <w:r>
        <w:rPr>
          <w:rFonts w:hint="eastAsia"/>
          <w:sz w:val="24"/>
        </w:rPr>
        <w:t>工作效率，杜绝“压票”现象；</w:t>
      </w:r>
    </w:p>
    <w:p>
      <w:pPr>
        <w:pStyle w:val="21"/>
        <w:numPr>
          <w:ilvl w:val="0"/>
          <w:numId w:val="63"/>
        </w:numPr>
        <w:tabs>
          <w:tab w:val="left" w:pos="1465"/>
        </w:tabs>
        <w:spacing w:before="2" w:line="297" w:lineRule="auto"/>
        <w:ind w:right="462" w:firstLine="480"/>
        <w:rPr>
          <w:sz w:val="24"/>
        </w:rPr>
      </w:pPr>
      <w:r>
        <w:rPr>
          <w:rFonts w:hint="eastAsia"/>
          <w:spacing w:val="-31"/>
          <w:sz w:val="24"/>
        </w:rPr>
        <w:t>根据乙方提供的购货合同、协议和发票，检查其所购材料、设备是否用于</w:t>
      </w:r>
      <w:r>
        <w:rPr>
          <w:rFonts w:hint="eastAsia"/>
          <w:spacing w:val="8"/>
          <w:sz w:val="24"/>
          <w:u w:val="single"/>
        </w:rPr>
        <w:t xml:space="preserve"> </w:t>
      </w:r>
      <w:r>
        <w:rPr>
          <w:rFonts w:hint="eastAsia"/>
          <w:sz w:val="24"/>
          <w:u w:val="single"/>
        </w:rPr>
        <w:t xml:space="preserve">（ </w:t>
      </w:r>
      <w:r>
        <w:rPr>
          <w:rFonts w:hint="eastAsia"/>
          <w:spacing w:val="-4"/>
          <w:sz w:val="24"/>
        </w:rPr>
        <w:t>项目名称</w:t>
      </w:r>
      <w:r>
        <w:rPr>
          <w:rFonts w:hint="eastAsia"/>
          <w:sz w:val="24"/>
        </w:rPr>
        <w:t>）工程建设，对本标段以外的购货款项，有权拒绝办理，并及时报告甲方；</w:t>
      </w:r>
    </w:p>
    <w:p>
      <w:pPr>
        <w:pStyle w:val="21"/>
        <w:numPr>
          <w:ilvl w:val="0"/>
          <w:numId w:val="63"/>
        </w:numPr>
        <w:tabs>
          <w:tab w:val="left" w:pos="1465"/>
        </w:tabs>
        <w:spacing w:line="295" w:lineRule="auto"/>
        <w:ind w:right="466" w:firstLine="480"/>
        <w:rPr>
          <w:sz w:val="24"/>
        </w:rPr>
      </w:pPr>
      <w:r>
        <w:rPr>
          <w:rFonts w:hint="eastAsia"/>
          <w:spacing w:val="-3"/>
          <w:sz w:val="24"/>
        </w:rPr>
        <w:t>根据乙方与分包单位签订的合同及支付文件，检查其支付款项是否符合</w:t>
      </w:r>
      <w:r>
        <w:rPr>
          <w:rFonts w:hint="eastAsia"/>
          <w:spacing w:val="-5"/>
          <w:sz w:val="24"/>
        </w:rPr>
        <w:t>有关条件，向分包单位以外单位的支付有权拒绝办理，并及时报告甲方；</w:t>
      </w:r>
    </w:p>
    <w:p>
      <w:pPr>
        <w:pStyle w:val="21"/>
        <w:numPr>
          <w:ilvl w:val="0"/>
          <w:numId w:val="63"/>
        </w:numPr>
        <w:tabs>
          <w:tab w:val="left" w:pos="1465"/>
        </w:tabs>
        <w:spacing w:before="2" w:line="295" w:lineRule="auto"/>
        <w:ind w:right="346" w:firstLine="480"/>
        <w:rPr>
          <w:sz w:val="24"/>
        </w:rPr>
      </w:pPr>
      <w:r>
        <w:rPr>
          <w:rFonts w:hint="eastAsia"/>
          <w:spacing w:val="-3"/>
          <w:sz w:val="24"/>
        </w:rPr>
        <w:t>根据乙方提供的上级单位出具的转账通知等有关资料，办理管理费、机械</w:t>
      </w:r>
      <w:r>
        <w:rPr>
          <w:rFonts w:hint="eastAsia"/>
          <w:spacing w:val="-9"/>
          <w:sz w:val="24"/>
        </w:rPr>
        <w:t xml:space="preserve">设备及周转材料租赁摊销费等款项的支付；对超出转账通知等有关资料以外的支付， </w:t>
      </w:r>
      <w:r>
        <w:rPr>
          <w:rFonts w:hint="eastAsia"/>
          <w:sz w:val="24"/>
        </w:rPr>
        <w:t>有权拒绝办理，并及时报告甲方；</w:t>
      </w:r>
    </w:p>
    <w:p>
      <w:pPr>
        <w:pStyle w:val="21"/>
        <w:numPr>
          <w:ilvl w:val="0"/>
          <w:numId w:val="63"/>
        </w:numPr>
        <w:tabs>
          <w:tab w:val="left" w:pos="1465"/>
        </w:tabs>
        <w:spacing w:before="5" w:line="295" w:lineRule="auto"/>
        <w:ind w:right="466" w:firstLine="480"/>
        <w:rPr>
          <w:sz w:val="24"/>
        </w:rPr>
      </w:pPr>
      <w:r>
        <w:rPr>
          <w:rFonts w:hint="eastAsia"/>
          <w:spacing w:val="-4"/>
          <w:sz w:val="24"/>
        </w:rPr>
        <w:t>定期将乙方前一个周期的支付情况，整理后书面报送甲方；乙方复印备</w:t>
      </w:r>
      <w:r>
        <w:rPr>
          <w:rFonts w:hint="eastAsia"/>
          <w:spacing w:val="-5"/>
          <w:sz w:val="24"/>
        </w:rPr>
        <w:t>案的材料一并送甲方。</w:t>
      </w:r>
    </w:p>
    <w:p>
      <w:pPr>
        <w:pStyle w:val="21"/>
        <w:numPr>
          <w:ilvl w:val="0"/>
          <w:numId w:val="59"/>
        </w:numPr>
        <w:tabs>
          <w:tab w:val="left" w:pos="1164"/>
        </w:tabs>
        <w:spacing w:before="2" w:line="297" w:lineRule="auto"/>
        <w:ind w:left="384" w:right="466" w:firstLine="480"/>
        <w:rPr>
          <w:sz w:val="24"/>
        </w:rPr>
      </w:pPr>
      <w:r>
        <w:rPr>
          <w:rFonts w:hint="eastAsia"/>
          <w:spacing w:val="-6"/>
          <w:sz w:val="24"/>
        </w:rPr>
        <w:t>甲、乙、丙三方都应履行保密责任，不得将其他两方的业务情况透露给三方</w:t>
      </w:r>
      <w:r>
        <w:rPr>
          <w:rFonts w:hint="eastAsia"/>
          <w:sz w:val="24"/>
        </w:rPr>
        <w:t>以外的其他单位或个人。</w:t>
      </w:r>
    </w:p>
    <w:p>
      <w:pPr>
        <w:pStyle w:val="21"/>
        <w:numPr>
          <w:ilvl w:val="0"/>
          <w:numId w:val="59"/>
        </w:numPr>
        <w:tabs>
          <w:tab w:val="left" w:pos="1164"/>
        </w:tabs>
        <w:spacing w:line="295" w:lineRule="auto"/>
        <w:ind w:left="384" w:right="466" w:firstLine="480"/>
        <w:rPr>
          <w:sz w:val="24"/>
        </w:rPr>
      </w:pPr>
      <w:r>
        <w:rPr>
          <w:rFonts w:hint="eastAsia"/>
          <w:spacing w:val="-3"/>
          <w:sz w:val="24"/>
        </w:rPr>
        <w:t>本协议有效期自乙方在丙方开户起，至工程交工验收甲方向乙方颁发交工验</w:t>
      </w:r>
      <w:r>
        <w:rPr>
          <w:rFonts w:hint="eastAsia"/>
          <w:sz w:val="24"/>
        </w:rPr>
        <w:t>收证书后结束。</w:t>
      </w:r>
    </w:p>
    <w:p>
      <w:pPr>
        <w:pStyle w:val="21"/>
        <w:numPr>
          <w:ilvl w:val="0"/>
          <w:numId w:val="59"/>
        </w:numPr>
        <w:tabs>
          <w:tab w:val="left" w:pos="1164"/>
        </w:tabs>
        <w:spacing w:before="3"/>
        <w:rPr>
          <w:sz w:val="24"/>
        </w:rPr>
      </w:pPr>
      <w:r>
        <w:rPr>
          <w:rFonts w:hint="eastAsia"/>
          <w:sz w:val="24"/>
        </w:rPr>
        <w:t>本协议未尽事宜，由甲方牵头，三方协商解决。</w:t>
      </w:r>
    </w:p>
    <w:p>
      <w:pPr>
        <w:pStyle w:val="21"/>
        <w:numPr>
          <w:ilvl w:val="0"/>
          <w:numId w:val="59"/>
        </w:numPr>
        <w:tabs>
          <w:tab w:val="left" w:pos="1164"/>
        </w:tabs>
        <w:spacing w:before="72" w:line="295" w:lineRule="auto"/>
        <w:ind w:left="384" w:right="466" w:firstLine="480"/>
        <w:rPr>
          <w:sz w:val="24"/>
        </w:rPr>
      </w:pPr>
      <w:r>
        <w:rPr>
          <w:rFonts w:hint="eastAsia"/>
          <w:spacing w:val="-1"/>
          <w:sz w:val="24"/>
        </w:rPr>
        <w:t>本协议正本三份、副本</w:t>
      </w:r>
      <w:r>
        <w:rPr>
          <w:rFonts w:hint="eastAsia"/>
          <w:spacing w:val="3"/>
          <w:sz w:val="24"/>
        </w:rPr>
        <w:t xml:space="preserve"> 份。合同三方各执正本一份、副本</w:t>
      </w:r>
      <w:r>
        <w:rPr>
          <w:rFonts w:hint="eastAsia"/>
          <w:spacing w:val="12"/>
          <w:sz w:val="24"/>
        </w:rPr>
        <w:t xml:space="preserve"> 份，当正本与</w:t>
      </w:r>
      <w:r>
        <w:rPr>
          <w:rFonts w:hint="eastAsia"/>
          <w:sz w:val="24"/>
        </w:rPr>
        <w:t>副本内容不一致时，以正本为准。</w:t>
      </w:r>
    </w:p>
    <w:p>
      <w:pPr>
        <w:pStyle w:val="11"/>
        <w:spacing w:before="9"/>
        <w:rPr>
          <w:sz w:val="23"/>
        </w:rPr>
      </w:pPr>
    </w:p>
    <w:p>
      <w:pPr>
        <w:pStyle w:val="11"/>
        <w:tabs>
          <w:tab w:val="left" w:pos="4663"/>
          <w:tab w:val="left" w:pos="5143"/>
        </w:tabs>
        <w:spacing w:line="264" w:lineRule="auto"/>
        <w:ind w:left="583" w:right="3421"/>
      </w:pPr>
      <w:r>
        <w:rPr>
          <w:rFonts w:hint="eastAsia"/>
        </w:rPr>
        <w:t>发包人：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1"/>
        <w:tabs>
          <w:tab w:val="left" w:pos="3623"/>
          <w:tab w:val="left" w:pos="4703"/>
          <w:tab w:val="left" w:pos="5603"/>
        </w:tabs>
        <w:spacing w:before="3"/>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9"/>
        </w:rPr>
      </w:pPr>
    </w:p>
    <w:p>
      <w:pPr>
        <w:pStyle w:val="11"/>
        <w:tabs>
          <w:tab w:val="left" w:pos="4663"/>
          <w:tab w:val="left" w:pos="5143"/>
        </w:tabs>
        <w:spacing w:line="266" w:lineRule="auto"/>
        <w:ind w:left="583" w:right="3421"/>
      </w:pP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1"/>
        <w:tabs>
          <w:tab w:val="left" w:pos="3623"/>
          <w:tab w:val="left" w:pos="4703"/>
          <w:tab w:val="left" w:pos="5603"/>
        </w:tabs>
        <w:spacing w:line="306" w:lineRule="exact"/>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9"/>
        </w:rPr>
      </w:pPr>
    </w:p>
    <w:p>
      <w:pPr>
        <w:pStyle w:val="11"/>
        <w:tabs>
          <w:tab w:val="left" w:pos="4663"/>
          <w:tab w:val="left" w:pos="5143"/>
        </w:tabs>
        <w:spacing w:line="266" w:lineRule="auto"/>
        <w:ind w:left="583" w:right="3421"/>
      </w:pPr>
      <w:r>
        <w:rPr>
          <w:rFonts w:hint="eastAsia"/>
        </w:rPr>
        <w:t>经办银行：</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1"/>
        <w:tabs>
          <w:tab w:val="left" w:pos="3623"/>
          <w:tab w:val="left" w:pos="4703"/>
          <w:tab w:val="left" w:pos="5603"/>
        </w:tabs>
        <w:spacing w:line="304" w:lineRule="exact"/>
        <w:ind w:left="2543"/>
        <w:sectPr>
          <w:pgSz w:w="11910" w:h="16840"/>
          <w:pgMar w:top="1360" w:right="1120" w:bottom="1080" w:left="1260" w:header="882" w:footer="845" w:gutter="0"/>
          <w:cols w:space="720" w:num="1"/>
        </w:sectPr>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0"/>
        </w:rPr>
      </w:pPr>
      <w:bookmarkStart w:id="81" w:name="_TOC_250024"/>
      <w:bookmarkEnd w:id="81"/>
    </w:p>
    <w:p>
      <w:pPr>
        <w:pStyle w:val="11"/>
        <w:spacing w:before="7"/>
        <w:rPr>
          <w:sz w:val="18"/>
        </w:rPr>
      </w:pPr>
    </w:p>
    <w:p>
      <w:pPr>
        <w:pStyle w:val="9"/>
        <w:tabs>
          <w:tab w:val="left" w:pos="1594"/>
        </w:tabs>
        <w:spacing w:before="50"/>
        <w:ind w:left="154"/>
        <w:rPr>
          <w:b/>
          <w:bCs/>
          <w:sz w:val="30"/>
          <w:szCs w:val="30"/>
        </w:rPr>
      </w:pPr>
      <w:bookmarkStart w:id="82" w:name="第五章__工程量清单"/>
      <w:bookmarkEnd w:id="82"/>
      <w:r>
        <w:rPr>
          <w:rFonts w:hint="eastAsia"/>
          <w:b/>
          <w:bCs/>
          <w:sz w:val="30"/>
          <w:szCs w:val="30"/>
        </w:rPr>
        <w:t>第三章</w:t>
      </w:r>
      <w:r>
        <w:rPr>
          <w:rFonts w:hint="eastAsia"/>
          <w:b/>
          <w:bCs/>
          <w:sz w:val="30"/>
          <w:szCs w:val="30"/>
          <w:lang w:val="en-US"/>
        </w:rPr>
        <w:t xml:space="preserve">  </w:t>
      </w:r>
      <w:r>
        <w:rPr>
          <w:rFonts w:hint="eastAsia"/>
          <w:b/>
          <w:bCs/>
          <w:sz w:val="30"/>
          <w:szCs w:val="30"/>
        </w:rPr>
        <w:t>工程量清单</w:t>
      </w:r>
    </w:p>
    <w:p>
      <w:pPr>
        <w:pStyle w:val="11"/>
        <w:rPr>
          <w:sz w:val="20"/>
        </w:rPr>
      </w:pPr>
    </w:p>
    <w:p>
      <w:pPr>
        <w:pStyle w:val="11"/>
        <w:spacing w:before="11"/>
        <w:rPr>
          <w:sz w:val="22"/>
        </w:rPr>
      </w:pPr>
    </w:p>
    <w:p>
      <w:pPr>
        <w:pStyle w:val="21"/>
        <w:numPr>
          <w:ilvl w:val="0"/>
          <w:numId w:val="64"/>
        </w:numPr>
        <w:tabs>
          <w:tab w:val="left" w:pos="995"/>
        </w:tabs>
        <w:spacing w:before="74"/>
        <w:ind w:hanging="182"/>
        <w:jc w:val="left"/>
        <w:rPr>
          <w:sz w:val="24"/>
        </w:rPr>
      </w:pPr>
      <w:r>
        <w:rPr>
          <w:rFonts w:hint="eastAsia"/>
          <w:sz w:val="24"/>
        </w:rPr>
        <w:t>工程量清单说明</w:t>
      </w:r>
    </w:p>
    <w:p>
      <w:pPr>
        <w:pStyle w:val="11"/>
        <w:spacing w:before="7"/>
        <w:rPr>
          <w:sz w:val="20"/>
        </w:rPr>
      </w:pPr>
    </w:p>
    <w:p>
      <w:pPr>
        <w:pStyle w:val="21"/>
        <w:numPr>
          <w:ilvl w:val="1"/>
          <w:numId w:val="65"/>
        </w:numPr>
        <w:tabs>
          <w:tab w:val="left" w:pos="1114"/>
        </w:tabs>
        <w:spacing w:before="1" w:line="304" w:lineRule="auto"/>
        <w:ind w:right="251" w:firstLine="480"/>
        <w:rPr>
          <w:sz w:val="24"/>
        </w:rPr>
      </w:pPr>
      <w:r>
        <w:rPr>
          <w:rFonts w:hint="eastAsia"/>
          <w:spacing w:val="-1"/>
          <w:sz w:val="24"/>
        </w:rPr>
        <w:t>本工程量清单是根据磋商文件中包括的有合同约束力的工程量清单计量规则、</w:t>
      </w:r>
      <w:r>
        <w:rPr>
          <w:rFonts w:hint="eastAsia"/>
          <w:sz w:val="24"/>
        </w:rPr>
        <w:t>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pStyle w:val="21"/>
        <w:numPr>
          <w:ilvl w:val="1"/>
          <w:numId w:val="65"/>
        </w:numPr>
        <w:tabs>
          <w:tab w:val="left" w:pos="1114"/>
        </w:tabs>
        <w:spacing w:before="5" w:line="304" w:lineRule="auto"/>
        <w:ind w:right="232" w:firstLine="480"/>
        <w:rPr>
          <w:sz w:val="24"/>
        </w:rPr>
      </w:pPr>
      <w:r>
        <w:rPr>
          <w:rFonts w:hint="eastAsia"/>
          <w:spacing w:val="-12"/>
          <w:sz w:val="24"/>
        </w:rPr>
        <w:t>本工程量清单应与磋商文件中的磋商须知、合同条款、工程量清单计量规则、</w:t>
      </w:r>
      <w:r>
        <w:rPr>
          <w:rFonts w:hint="eastAsia"/>
          <w:sz w:val="24"/>
        </w:rPr>
        <w:t>技术规范及图纸等一起阅读和理解。</w:t>
      </w:r>
    </w:p>
    <w:p>
      <w:pPr>
        <w:pStyle w:val="21"/>
        <w:numPr>
          <w:ilvl w:val="1"/>
          <w:numId w:val="65"/>
        </w:numPr>
        <w:tabs>
          <w:tab w:val="left" w:pos="1114"/>
        </w:tabs>
        <w:spacing w:before="3" w:line="304" w:lineRule="auto"/>
        <w:ind w:right="352" w:firstLine="480"/>
        <w:rPr>
          <w:sz w:val="24"/>
        </w:rPr>
      </w:pPr>
      <w:r>
        <w:rPr>
          <w:rFonts w:hint="eastAsia"/>
          <w:spacing w:val="-5"/>
          <w:sz w:val="24"/>
        </w:rPr>
        <w:t>本工程量清单中所列工程数量是估算的或设计的预计数量，仅作为投标报价的</w:t>
      </w:r>
      <w:r>
        <w:rPr>
          <w:rFonts w:hint="eastAsia"/>
          <w:sz w:val="24"/>
        </w:rPr>
        <w:t>共同基础，不能作为最终结算与支付的依据。实际支付应按实际完成的工程量，由承包人按工程量清单计量规则规定的计量方法，以监理人认可的尺寸、断面计量，按本工程量清单的单价和总额价计算支付金额；或者根据具体情况，按合同条款的规定， 由监理人确定的单价或总额价计算支付额。</w:t>
      </w:r>
    </w:p>
    <w:p>
      <w:pPr>
        <w:pStyle w:val="21"/>
        <w:numPr>
          <w:ilvl w:val="1"/>
          <w:numId w:val="65"/>
        </w:numPr>
        <w:tabs>
          <w:tab w:val="left" w:pos="1114"/>
        </w:tabs>
        <w:spacing w:before="6" w:line="307" w:lineRule="auto"/>
        <w:ind w:right="457" w:firstLine="480"/>
        <w:jc w:val="both"/>
        <w:rPr>
          <w:sz w:val="24"/>
        </w:rPr>
      </w:pPr>
      <w:r>
        <w:rPr>
          <w:rFonts w:hint="eastAsia"/>
          <w:sz w:val="24"/>
        </w:rPr>
        <w:t>工程量清单各章是与第六章“工程量清单计量规则”的章次编号相对应的，因此，工程量清单中各章的工程子目的范围与计量等应与“工程量清单计量规则”</w:t>
      </w:r>
      <w:r>
        <w:rPr>
          <w:rFonts w:hint="eastAsia"/>
          <w:spacing w:val="-6"/>
          <w:sz w:val="24"/>
        </w:rPr>
        <w:t>相应章</w:t>
      </w:r>
      <w:r>
        <w:rPr>
          <w:rFonts w:hint="eastAsia"/>
          <w:sz w:val="24"/>
        </w:rPr>
        <w:t>节的范围、计量与支付条款结合起来理解或解释。</w:t>
      </w:r>
    </w:p>
    <w:p>
      <w:pPr>
        <w:pStyle w:val="21"/>
        <w:numPr>
          <w:ilvl w:val="1"/>
          <w:numId w:val="65"/>
        </w:numPr>
        <w:tabs>
          <w:tab w:val="left" w:pos="1114"/>
        </w:tabs>
        <w:spacing w:line="307" w:lineRule="auto"/>
        <w:ind w:right="352" w:firstLine="480"/>
        <w:jc w:val="both"/>
        <w:rPr>
          <w:sz w:val="24"/>
        </w:rPr>
      </w:pPr>
      <w:r>
        <w:rPr>
          <w:rFonts w:hint="eastAsia"/>
          <w:spacing w:val="-7"/>
          <w:sz w:val="24"/>
        </w:rPr>
        <w:t>对作业和材料的一般说明或规定，未重复写入工程量清单内，在给工程量清单</w:t>
      </w:r>
      <w:r>
        <w:rPr>
          <w:rFonts w:hint="eastAsia"/>
          <w:sz w:val="24"/>
        </w:rPr>
        <w:t>各子目标价前，应参阅第五章“技术规范”的有关内容。</w:t>
      </w:r>
    </w:p>
    <w:p>
      <w:pPr>
        <w:pStyle w:val="21"/>
        <w:numPr>
          <w:ilvl w:val="1"/>
          <w:numId w:val="65"/>
        </w:numPr>
        <w:tabs>
          <w:tab w:val="left" w:pos="1114"/>
        </w:tabs>
        <w:spacing w:line="304" w:lineRule="auto"/>
        <w:ind w:right="352" w:firstLine="480"/>
        <w:jc w:val="both"/>
        <w:rPr>
          <w:sz w:val="24"/>
        </w:rPr>
      </w:pPr>
      <w:r>
        <w:rPr>
          <w:rFonts w:hint="eastAsia"/>
          <w:spacing w:val="-7"/>
          <w:sz w:val="24"/>
        </w:rPr>
        <w:t>工程量清单中所列工程量的变动，丝毫不会降低或影响合同条款的效力，也不</w:t>
      </w:r>
      <w:r>
        <w:rPr>
          <w:rFonts w:hint="eastAsia"/>
          <w:sz w:val="24"/>
        </w:rPr>
        <w:t>免除承包人按规定的标准进行施工和修复缺陷的责任。</w:t>
      </w:r>
    </w:p>
    <w:p>
      <w:pPr>
        <w:pStyle w:val="21"/>
        <w:numPr>
          <w:ilvl w:val="1"/>
          <w:numId w:val="65"/>
        </w:numPr>
        <w:tabs>
          <w:tab w:val="left" w:pos="1114"/>
        </w:tabs>
        <w:spacing w:line="304" w:lineRule="auto"/>
        <w:ind w:right="232" w:firstLine="480"/>
        <w:jc w:val="both"/>
        <w:rPr>
          <w:sz w:val="24"/>
        </w:rPr>
      </w:pPr>
      <w:r>
        <w:rPr>
          <w:rFonts w:hint="eastAsia"/>
          <w:sz w:val="24"/>
        </w:rPr>
        <w:t>图纸中所列的工程数量表及数量汇总表仅是提供资料，不是工程量清单的外</w:t>
      </w:r>
      <w:r>
        <w:rPr>
          <w:rFonts w:hint="eastAsia"/>
          <w:spacing w:val="-7"/>
          <w:sz w:val="24"/>
        </w:rPr>
        <w:t>延。当图纸与工程量清单所列数量不一致时，以工程量清单所列数量作为报价的依据。</w:t>
      </w:r>
    </w:p>
    <w:p>
      <w:pPr>
        <w:pStyle w:val="21"/>
        <w:numPr>
          <w:ilvl w:val="0"/>
          <w:numId w:val="64"/>
        </w:numPr>
        <w:tabs>
          <w:tab w:val="left" w:pos="875"/>
        </w:tabs>
        <w:spacing w:before="171"/>
        <w:ind w:left="874" w:hanging="182"/>
        <w:jc w:val="left"/>
        <w:rPr>
          <w:sz w:val="24"/>
        </w:rPr>
      </w:pPr>
      <w:r>
        <w:rPr>
          <w:rFonts w:hint="eastAsia"/>
          <w:sz w:val="24"/>
        </w:rPr>
        <w:t>投标报价说明</w:t>
      </w:r>
    </w:p>
    <w:p>
      <w:pPr>
        <w:pStyle w:val="11"/>
        <w:spacing w:before="7"/>
        <w:rPr>
          <w:sz w:val="20"/>
        </w:rPr>
      </w:pPr>
    </w:p>
    <w:p>
      <w:pPr>
        <w:pStyle w:val="21"/>
        <w:numPr>
          <w:ilvl w:val="1"/>
          <w:numId w:val="64"/>
        </w:numPr>
        <w:tabs>
          <w:tab w:val="left" w:pos="1114"/>
        </w:tabs>
        <w:ind w:hanging="421"/>
        <w:rPr>
          <w:sz w:val="24"/>
        </w:rPr>
      </w:pPr>
      <w:r>
        <w:rPr>
          <w:rFonts w:hint="eastAsia"/>
          <w:sz w:val="24"/>
        </w:rPr>
        <w:t>工程量清单中的每一子目须填入单价或价格，且只允许有一个报价。</w:t>
      </w:r>
    </w:p>
    <w:p>
      <w:pPr>
        <w:pStyle w:val="21"/>
        <w:numPr>
          <w:ilvl w:val="1"/>
          <w:numId w:val="64"/>
        </w:numPr>
        <w:tabs>
          <w:tab w:val="left" w:pos="1114"/>
        </w:tabs>
        <w:spacing w:before="84" w:line="304" w:lineRule="auto"/>
        <w:ind w:left="213" w:right="274" w:firstLine="480"/>
        <w:rPr>
          <w:sz w:val="24"/>
        </w:rPr>
      </w:pPr>
      <w:r>
        <w:rPr>
          <w:rFonts w:hint="eastAsia"/>
          <w:spacing w:val="-10"/>
          <w:sz w:val="24"/>
        </w:rPr>
        <w:t>除非合同另有规定，工程量清单中有标价的单价和总额价均已包括了为实施和完成合同工程所需的劳务、材料、机械、质检(自检)</w:t>
      </w:r>
      <w:r>
        <w:rPr>
          <w:rFonts w:hint="eastAsia"/>
          <w:spacing w:val="-11"/>
          <w:sz w:val="24"/>
        </w:rPr>
        <w:t>、安装、缺陷修复、管理、保险、</w:t>
      </w:r>
      <w:r>
        <w:rPr>
          <w:rFonts w:hint="eastAsia"/>
          <w:sz w:val="24"/>
        </w:rPr>
        <w:t>税费、利润等费用，以及合同明示或暗示的所有责任、义务和一般风险；还包括现场考察时对工程的理解与认识，以及材料采集供应、运输情况、地理环境、水文地质、工程地质、自然条件、社会情况等的影响与风险。</w:t>
      </w:r>
    </w:p>
    <w:p>
      <w:pPr>
        <w:pStyle w:val="21"/>
        <w:numPr>
          <w:ilvl w:val="1"/>
          <w:numId w:val="64"/>
        </w:numPr>
        <w:tabs>
          <w:tab w:val="left" w:pos="1114"/>
        </w:tabs>
        <w:spacing w:before="8"/>
        <w:ind w:hanging="421"/>
        <w:rPr>
          <w:sz w:val="24"/>
        </w:rPr>
      </w:pPr>
      <w:r>
        <w:rPr>
          <w:rFonts w:hint="eastAsia"/>
          <w:sz w:val="24"/>
        </w:rPr>
        <w:t>所有保险及保险费，均隐含在其他工程报价中，不在报价中单列。</w:t>
      </w:r>
    </w:p>
    <w:p>
      <w:pPr>
        <w:rPr>
          <w:sz w:val="24"/>
        </w:rPr>
        <w:sectPr>
          <w:headerReference r:id="rId13" w:type="default"/>
          <w:pgSz w:w="11910" w:h="16840"/>
          <w:pgMar w:top="1360" w:right="1119" w:bottom="1040" w:left="1260" w:header="882" w:footer="845" w:gutter="0"/>
          <w:cols w:space="720" w:num="1"/>
        </w:sectPr>
      </w:pPr>
    </w:p>
    <w:p>
      <w:pPr>
        <w:pStyle w:val="11"/>
        <w:spacing w:before="7"/>
        <w:rPr>
          <w:sz w:val="8"/>
        </w:rPr>
      </w:pPr>
    </w:p>
    <w:p>
      <w:pPr>
        <w:pStyle w:val="21"/>
        <w:numPr>
          <w:ilvl w:val="1"/>
          <w:numId w:val="64"/>
        </w:numPr>
        <w:tabs>
          <w:tab w:val="left" w:pos="1114"/>
        </w:tabs>
        <w:spacing w:before="76" w:line="304" w:lineRule="auto"/>
        <w:ind w:left="213" w:right="352" w:firstLine="480"/>
        <w:rPr>
          <w:sz w:val="24"/>
        </w:rPr>
      </w:pPr>
      <w:r>
        <w:rPr>
          <w:rFonts w:hint="eastAsia"/>
          <w:spacing w:val="-6"/>
          <w:sz w:val="24"/>
        </w:rPr>
        <w:t>工程量清单中投标供应商没有填入单价或价格的子目，其费用视为已分摊在工程量</w:t>
      </w:r>
      <w:r>
        <w:rPr>
          <w:rFonts w:hint="eastAsia"/>
          <w:sz w:val="24"/>
        </w:rPr>
        <w:t>清单中其他相关子目的单价或价格之中。承包人必须按监理人指令完成工程量清单中未填入单价或价格的子目，但不能得到结算与支付。</w:t>
      </w:r>
    </w:p>
    <w:p>
      <w:pPr>
        <w:pStyle w:val="21"/>
        <w:numPr>
          <w:ilvl w:val="1"/>
          <w:numId w:val="64"/>
        </w:numPr>
        <w:tabs>
          <w:tab w:val="left" w:pos="1114"/>
        </w:tabs>
        <w:spacing w:line="297" w:lineRule="auto"/>
        <w:ind w:left="213" w:right="407" w:firstLine="480"/>
        <w:jc w:val="both"/>
        <w:rPr>
          <w:sz w:val="24"/>
        </w:rPr>
      </w:pPr>
      <w:r>
        <w:rPr>
          <w:rFonts w:hint="eastAsia"/>
          <w:spacing w:val="-13"/>
          <w:sz w:val="24"/>
        </w:rPr>
        <w:t>工程量清单中本合同工程的每一个细目，凡有工程数量者，都应填入单价，投标供应商亦应按要求填入总额价。符合合同条款规定的全部费用应认为已被计入有标价的工程量清单所列各子目之中，未列子目不予计量的工作，其费用应视为已分摊在本合同工程的有</w:t>
      </w:r>
      <w:r>
        <w:rPr>
          <w:rFonts w:hint="eastAsia"/>
          <w:spacing w:val="-12"/>
          <w:sz w:val="24"/>
        </w:rPr>
        <w:t>关子目的单价或总额价之中。</w:t>
      </w:r>
    </w:p>
    <w:p>
      <w:pPr>
        <w:pStyle w:val="21"/>
        <w:numPr>
          <w:ilvl w:val="1"/>
          <w:numId w:val="64"/>
        </w:numPr>
        <w:tabs>
          <w:tab w:val="left" w:pos="1114"/>
        </w:tabs>
        <w:spacing w:line="297" w:lineRule="auto"/>
        <w:ind w:left="213" w:right="352" w:firstLine="480"/>
        <w:jc w:val="both"/>
        <w:rPr>
          <w:sz w:val="24"/>
        </w:rPr>
      </w:pPr>
      <w:r>
        <w:rPr>
          <w:rFonts w:hint="eastAsia"/>
          <w:spacing w:val="-6"/>
          <w:sz w:val="24"/>
        </w:rPr>
        <w:t>承包人用于本合同工程的各类装备的提供、运输、维护、拆卸、拼装等支付的</w:t>
      </w:r>
      <w:r>
        <w:rPr>
          <w:rFonts w:hint="eastAsia"/>
          <w:sz w:val="24"/>
        </w:rPr>
        <w:t>费用，已包括在工程量清单的单价与总额价之中。</w:t>
      </w:r>
    </w:p>
    <w:p>
      <w:pPr>
        <w:pStyle w:val="21"/>
        <w:numPr>
          <w:ilvl w:val="1"/>
          <w:numId w:val="64"/>
        </w:numPr>
        <w:tabs>
          <w:tab w:val="left" w:pos="1114"/>
          <w:tab w:val="left" w:pos="7233"/>
        </w:tabs>
        <w:spacing w:line="297" w:lineRule="auto"/>
        <w:ind w:left="213" w:right="352" w:firstLine="480"/>
        <w:rPr>
          <w:sz w:val="24"/>
        </w:rPr>
      </w:pPr>
      <w:r>
        <w:rPr>
          <w:rFonts w:hint="eastAsia"/>
          <w:sz w:val="24"/>
        </w:rPr>
        <w:t>工程量清单中标明的暂列金额以</w:t>
      </w:r>
      <w:r>
        <w:rPr>
          <w:rFonts w:hint="eastAsia"/>
          <w:spacing w:val="-61"/>
          <w:sz w:val="24"/>
        </w:rPr>
        <w:t xml:space="preserve"> </w:t>
      </w:r>
      <w:r>
        <w:rPr>
          <w:rFonts w:hint="eastAsia"/>
          <w:sz w:val="24"/>
        </w:rPr>
        <w:t>100 章至</w:t>
      </w:r>
      <w:r>
        <w:rPr>
          <w:rFonts w:hint="eastAsia"/>
          <w:spacing w:val="-60"/>
          <w:sz w:val="24"/>
        </w:rPr>
        <w:t xml:space="preserve"> </w:t>
      </w:r>
      <w:r>
        <w:rPr>
          <w:rFonts w:hint="eastAsia"/>
          <w:sz w:val="24"/>
        </w:rPr>
        <w:t>700 章合计的</w:t>
      </w:r>
      <w:r>
        <w:rPr>
          <w:rFonts w:hint="eastAsia"/>
          <w:sz w:val="24"/>
          <w:u w:val="single"/>
        </w:rPr>
        <w:t xml:space="preserve"> </w:t>
      </w:r>
      <w:r>
        <w:rPr>
          <w:rFonts w:hint="eastAsia"/>
          <w:sz w:val="24"/>
          <w:u w:val="single"/>
          <w:lang w:val="en-US"/>
        </w:rPr>
        <w:t>3</w:t>
      </w:r>
      <w:r>
        <w:rPr>
          <w:rFonts w:hint="eastAsia"/>
          <w:sz w:val="24"/>
          <w:u w:val="single"/>
        </w:rPr>
        <w:t xml:space="preserve"> </w:t>
      </w:r>
      <w:r>
        <w:rPr>
          <w:rFonts w:hint="eastAsia"/>
          <w:sz w:val="24"/>
        </w:rPr>
        <w:t>%</w:t>
      </w:r>
      <w:r>
        <w:fldChar w:fldCharType="begin"/>
      </w:r>
      <w:r>
        <w:instrText xml:space="preserve"> HYPERLINK \l "_bookmark54" </w:instrText>
      </w:r>
      <w:r>
        <w:fldChar w:fldCharType="separate"/>
      </w:r>
      <w:r>
        <w:rPr>
          <w:rFonts w:hint="eastAsia"/>
          <w:position w:val="12"/>
          <w:sz w:val="12"/>
        </w:rPr>
        <w:t>①</w:t>
      </w:r>
      <w:r>
        <w:rPr>
          <w:rFonts w:hint="eastAsia"/>
          <w:position w:val="12"/>
          <w:sz w:val="12"/>
        </w:rPr>
        <w:fldChar w:fldCharType="end"/>
      </w:r>
      <w:r>
        <w:rPr>
          <w:rFonts w:hint="eastAsia"/>
          <w:sz w:val="24"/>
        </w:rPr>
        <w:t>计列</w:t>
      </w:r>
      <w:r>
        <w:rPr>
          <w:rFonts w:hint="eastAsia"/>
          <w:spacing w:val="-60"/>
          <w:sz w:val="24"/>
        </w:rPr>
        <w:t>，</w:t>
      </w:r>
      <w:r>
        <w:rPr>
          <w:rFonts w:hint="eastAsia"/>
          <w:sz w:val="24"/>
        </w:rPr>
        <w:t>用于工</w:t>
      </w:r>
      <w:r>
        <w:rPr>
          <w:rFonts w:hint="eastAsia"/>
          <w:spacing w:val="-17"/>
          <w:sz w:val="24"/>
        </w:rPr>
        <w:t>程</w:t>
      </w:r>
      <w:r>
        <w:rPr>
          <w:rFonts w:hint="eastAsia"/>
          <w:sz w:val="24"/>
        </w:rPr>
        <w:t>变更费，应由监理人按合同规定，结合工程具体情况，报经发包人批准后全部或部分的使用，或者不予动用。</w:t>
      </w:r>
    </w:p>
    <w:p>
      <w:pPr>
        <w:pStyle w:val="21"/>
        <w:numPr>
          <w:ilvl w:val="1"/>
          <w:numId w:val="64"/>
        </w:numPr>
        <w:tabs>
          <w:tab w:val="left" w:pos="1114"/>
        </w:tabs>
        <w:spacing w:before="3"/>
        <w:ind w:hanging="421"/>
        <w:rPr>
          <w:sz w:val="24"/>
        </w:rPr>
      </w:pPr>
      <w:r>
        <w:rPr>
          <w:rFonts w:hint="eastAsia"/>
          <w:sz w:val="24"/>
        </w:rPr>
        <w:t>工程量清单中各项金额均以人民币（元） 结算。</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11"/>
        </w:rPr>
      </w:pPr>
    </w:p>
    <w:p>
      <w:pPr>
        <w:pStyle w:val="11"/>
        <w:spacing w:before="12"/>
        <w:rPr>
          <w:sz w:val="14"/>
        </w:rPr>
      </w:pPr>
    </w:p>
    <w:p>
      <w:pPr>
        <w:pStyle w:val="11"/>
        <w:spacing w:before="7"/>
        <w:rPr>
          <w:sz w:val="8"/>
        </w:rPr>
      </w:pPr>
    </w:p>
    <w:p>
      <w:pPr>
        <w:pStyle w:val="11"/>
        <w:spacing w:before="7"/>
        <w:rPr>
          <w:sz w:val="8"/>
        </w:rPr>
      </w:pPr>
    </w:p>
    <w:p>
      <w:pPr>
        <w:pStyle w:val="21"/>
        <w:numPr>
          <w:ilvl w:val="0"/>
          <w:numId w:val="64"/>
        </w:numPr>
        <w:tabs>
          <w:tab w:val="left" w:pos="875"/>
        </w:tabs>
        <w:spacing w:before="76"/>
        <w:ind w:left="874" w:hanging="182"/>
        <w:jc w:val="left"/>
        <w:rPr>
          <w:color w:val="auto"/>
          <w:sz w:val="24"/>
        </w:rPr>
      </w:pPr>
      <w:r>
        <w:rPr>
          <w:rFonts w:hint="eastAsia"/>
          <w:color w:val="auto"/>
          <w:sz w:val="24"/>
        </w:rPr>
        <w:t>工程量清单</w:t>
      </w:r>
    </w:p>
    <w:p>
      <w:pPr>
        <w:pStyle w:val="21"/>
        <w:tabs>
          <w:tab w:val="left" w:pos="1114"/>
        </w:tabs>
        <w:spacing w:before="84"/>
        <w:ind w:left="692" w:firstLine="0"/>
        <w:rPr>
          <w:sz w:val="24"/>
        </w:rPr>
      </w:pPr>
      <w:r>
        <w:rPr>
          <w:rFonts w:hint="eastAsia"/>
          <w:sz w:val="24"/>
          <w:lang w:val="en-US"/>
        </w:rPr>
        <w:t xml:space="preserve">3.1 </w:t>
      </w:r>
      <w:r>
        <w:rPr>
          <w:rFonts w:hint="eastAsia"/>
          <w:sz w:val="24"/>
        </w:rPr>
        <w:t>工程量清单表</w:t>
      </w:r>
    </w:p>
    <w:p>
      <w:pPr>
        <w:pStyle w:val="11"/>
        <w:rPr>
          <w:sz w:val="20"/>
        </w:rPr>
      </w:pPr>
    </w:p>
    <w:p>
      <w:pPr>
        <w:pStyle w:val="18"/>
        <w:ind w:firstLine="360"/>
        <w:rPr>
          <w:sz w:val="18"/>
        </w:rPr>
        <w:sectPr>
          <w:footerReference r:id="rId14" w:type="default"/>
          <w:pgSz w:w="11910" w:h="16840"/>
          <w:pgMar w:top="1360" w:right="1119" w:bottom="1040" w:left="1260" w:header="882" w:footer="845" w:gutter="0"/>
          <w:cols w:space="720" w:num="1"/>
        </w:sectPr>
      </w:pPr>
    </w:p>
    <w:p/>
    <w:p>
      <w:pPr>
        <w:pStyle w:val="11"/>
        <w:rPr>
          <w:sz w:val="20"/>
        </w:rPr>
      </w:pPr>
    </w:p>
    <w:p>
      <w:pPr>
        <w:pStyle w:val="11"/>
        <w:rPr>
          <w:sz w:val="20"/>
        </w:rPr>
      </w:pPr>
    </w:p>
    <w:p>
      <w:pPr>
        <w:pStyle w:val="9"/>
        <w:tabs>
          <w:tab w:val="left" w:pos="1439"/>
          <w:tab w:val="left" w:pos="2159"/>
        </w:tabs>
        <w:ind w:right="43" w:firstLine="3000" w:firstLineChars="1000"/>
        <w:jc w:val="both"/>
        <w:rPr>
          <w:sz w:val="30"/>
          <w:szCs w:val="30"/>
        </w:rPr>
      </w:pPr>
    </w:p>
    <w:p>
      <w:pPr>
        <w:pStyle w:val="9"/>
        <w:tabs>
          <w:tab w:val="left" w:pos="1439"/>
          <w:tab w:val="left" w:pos="2159"/>
        </w:tabs>
        <w:ind w:right="43" w:firstLine="3012" w:firstLineChars="1000"/>
        <w:jc w:val="both"/>
        <w:rPr>
          <w:b/>
          <w:bCs/>
          <w:sz w:val="20"/>
        </w:rPr>
        <w:sectPr>
          <w:headerReference r:id="rId15" w:type="default"/>
          <w:footerReference r:id="rId16" w:type="default"/>
          <w:pgSz w:w="11910" w:h="16840"/>
          <w:pgMar w:top="1440" w:right="1079" w:bottom="1040" w:left="1420" w:header="882" w:footer="845" w:gutter="0"/>
          <w:cols w:space="720" w:num="1"/>
        </w:sectPr>
      </w:pPr>
      <w:r>
        <w:rPr>
          <w:rFonts w:hint="eastAsia"/>
          <w:b/>
          <w:bCs/>
          <w:sz w:val="30"/>
          <w:szCs w:val="30"/>
        </w:rPr>
        <w:t>第四章</w:t>
      </w:r>
      <w:r>
        <w:rPr>
          <w:rFonts w:hint="eastAsia"/>
          <w:b/>
          <w:bCs/>
          <w:sz w:val="30"/>
          <w:szCs w:val="30"/>
        </w:rPr>
        <w:tab/>
      </w:r>
      <w:r>
        <w:rPr>
          <w:rFonts w:hint="eastAsia"/>
          <w:b/>
          <w:bCs/>
          <w:sz w:val="30"/>
          <w:szCs w:val="30"/>
        </w:rPr>
        <w:t>图</w:t>
      </w:r>
      <w:r>
        <w:rPr>
          <w:rFonts w:hint="eastAsia"/>
          <w:b/>
          <w:bCs/>
          <w:sz w:val="30"/>
          <w:szCs w:val="30"/>
        </w:rPr>
        <w:tab/>
      </w:r>
      <w:r>
        <w:rPr>
          <w:rFonts w:hint="eastAsia"/>
          <w:b/>
          <w:bCs/>
          <w:sz w:val="30"/>
          <w:szCs w:val="30"/>
        </w:rPr>
        <w:t>纸（另册）</w:t>
      </w:r>
    </w:p>
    <w:p>
      <w:pPr>
        <w:tabs>
          <w:tab w:val="left" w:pos="1442"/>
        </w:tabs>
        <w:spacing w:before="50"/>
        <w:ind w:right="338" w:firstLine="3614" w:firstLineChars="1200"/>
        <w:jc w:val="both"/>
        <w:rPr>
          <w:sz w:val="30"/>
          <w:szCs w:val="30"/>
        </w:rPr>
      </w:pPr>
      <w:bookmarkStart w:id="83" w:name="_TOC_250023"/>
      <w:bookmarkEnd w:id="83"/>
      <w:r>
        <w:rPr>
          <w:rFonts w:hint="eastAsia"/>
          <w:b/>
          <w:sz w:val="30"/>
          <w:szCs w:val="30"/>
        </w:rPr>
        <w:t>第五章</w:t>
      </w:r>
      <w:r>
        <w:rPr>
          <w:rFonts w:hint="eastAsia"/>
          <w:b/>
          <w:sz w:val="30"/>
          <w:szCs w:val="30"/>
          <w:lang w:val="en-US"/>
        </w:rPr>
        <w:t xml:space="preserve">  </w:t>
      </w:r>
      <w:r>
        <w:rPr>
          <w:rFonts w:hint="eastAsia"/>
          <w:b/>
          <w:sz w:val="30"/>
          <w:szCs w:val="30"/>
        </w:rPr>
        <w:t>技术规范</w:t>
      </w:r>
    </w:p>
    <w:p>
      <w:pPr>
        <w:pStyle w:val="11"/>
        <w:spacing w:before="313" w:line="300" w:lineRule="exact"/>
        <w:ind w:firstLine="480" w:firstLineChars="200"/>
      </w:pPr>
      <w:r>
        <w:rPr>
          <w:rFonts w:hint="eastAsia"/>
        </w:rPr>
        <w:t>一、交通运输部行业标准</w:t>
      </w:r>
    </w:p>
    <w:p>
      <w:pPr>
        <w:pStyle w:val="21"/>
        <w:numPr>
          <w:ilvl w:val="1"/>
          <w:numId w:val="66"/>
        </w:numPr>
        <w:tabs>
          <w:tab w:val="left" w:pos="1041"/>
        </w:tabs>
        <w:spacing w:line="300" w:lineRule="exact"/>
        <w:rPr>
          <w:sz w:val="24"/>
        </w:rPr>
      </w:pPr>
      <w:r>
        <w:rPr>
          <w:rFonts w:hint="eastAsia"/>
          <w:sz w:val="24"/>
        </w:rPr>
        <w:t>《公路工程技术标准》（JTG</w:t>
      </w:r>
      <w:r>
        <w:rPr>
          <w:rFonts w:hint="eastAsia"/>
          <w:spacing w:val="-2"/>
          <w:sz w:val="24"/>
        </w:rPr>
        <w:t xml:space="preserve"> </w:t>
      </w:r>
      <w:r>
        <w:rPr>
          <w:rFonts w:hint="eastAsia"/>
          <w:sz w:val="24"/>
        </w:rPr>
        <w:t>B01-2014）</w:t>
      </w:r>
    </w:p>
    <w:p>
      <w:pPr>
        <w:pStyle w:val="21"/>
        <w:numPr>
          <w:ilvl w:val="1"/>
          <w:numId w:val="66"/>
        </w:numPr>
        <w:tabs>
          <w:tab w:val="left" w:pos="1041"/>
          <w:tab w:val="left" w:pos="5369"/>
        </w:tabs>
        <w:spacing w:before="84" w:line="300" w:lineRule="exact"/>
        <w:rPr>
          <w:sz w:val="24"/>
        </w:rPr>
      </w:pPr>
      <w:r>
        <w:rPr>
          <w:rFonts w:hint="eastAsia"/>
          <w:spacing w:val="-3"/>
          <w:sz w:val="24"/>
        </w:rPr>
        <w:t>《</w:t>
      </w:r>
      <w:r>
        <w:rPr>
          <w:rFonts w:hint="eastAsia"/>
          <w:sz w:val="24"/>
        </w:rPr>
        <w:t>公路工程质量检验评定标准》</w:t>
      </w:r>
      <w:r>
        <w:rPr>
          <w:rFonts w:hint="eastAsia"/>
          <w:spacing w:val="-36"/>
          <w:sz w:val="24"/>
        </w:rPr>
        <w:t xml:space="preserve"> </w:t>
      </w:r>
      <w:r>
        <w:rPr>
          <w:rFonts w:hint="eastAsia"/>
          <w:sz w:val="24"/>
        </w:rPr>
        <w:t>第一册</w:t>
      </w:r>
      <w:r>
        <w:rPr>
          <w:rFonts w:hint="eastAsia"/>
          <w:sz w:val="24"/>
        </w:rPr>
        <w:tab/>
      </w:r>
      <w:r>
        <w:rPr>
          <w:rFonts w:hint="eastAsia"/>
          <w:spacing w:val="-3"/>
          <w:sz w:val="24"/>
        </w:rPr>
        <w:t>（</w:t>
      </w:r>
      <w:r>
        <w:rPr>
          <w:rFonts w:hint="eastAsia"/>
          <w:sz w:val="24"/>
        </w:rPr>
        <w:t>土建工程</w:t>
      </w:r>
      <w:r>
        <w:rPr>
          <w:rFonts w:hint="eastAsia"/>
          <w:spacing w:val="-16"/>
          <w:sz w:val="24"/>
        </w:rPr>
        <w:t>）（JTG</w:t>
      </w:r>
      <w:r>
        <w:rPr>
          <w:rFonts w:hint="eastAsia"/>
          <w:spacing w:val="-1"/>
          <w:sz w:val="24"/>
        </w:rPr>
        <w:t xml:space="preserve"> </w:t>
      </w:r>
      <w:r>
        <w:rPr>
          <w:rFonts w:hint="eastAsia"/>
          <w:sz w:val="24"/>
        </w:rPr>
        <w:t>F80/1-2017）</w:t>
      </w:r>
    </w:p>
    <w:p>
      <w:pPr>
        <w:pStyle w:val="21"/>
        <w:numPr>
          <w:ilvl w:val="1"/>
          <w:numId w:val="66"/>
        </w:numPr>
        <w:tabs>
          <w:tab w:val="left" w:pos="1041"/>
        </w:tabs>
        <w:spacing w:before="86" w:line="300" w:lineRule="exact"/>
        <w:rPr>
          <w:sz w:val="24"/>
        </w:rPr>
      </w:pPr>
      <w:r>
        <w:rPr>
          <w:rFonts w:hint="eastAsia"/>
          <w:sz w:val="24"/>
        </w:rPr>
        <w:t>《公路沥青路面施工技术规范》（JTG</w:t>
      </w:r>
      <w:r>
        <w:rPr>
          <w:rFonts w:hint="eastAsia"/>
          <w:spacing w:val="-2"/>
          <w:sz w:val="24"/>
        </w:rPr>
        <w:t xml:space="preserve"> </w:t>
      </w:r>
      <w:r>
        <w:rPr>
          <w:rFonts w:hint="eastAsia"/>
          <w:sz w:val="24"/>
        </w:rPr>
        <w:t>F40-2004）</w:t>
      </w:r>
    </w:p>
    <w:p>
      <w:pPr>
        <w:pStyle w:val="21"/>
        <w:numPr>
          <w:ilvl w:val="1"/>
          <w:numId w:val="66"/>
        </w:numPr>
        <w:tabs>
          <w:tab w:val="left" w:pos="1041"/>
        </w:tabs>
        <w:spacing w:before="84" w:line="300" w:lineRule="exact"/>
        <w:rPr>
          <w:sz w:val="24"/>
        </w:rPr>
      </w:pPr>
      <w:r>
        <w:rPr>
          <w:rFonts w:hint="eastAsia"/>
          <w:sz w:val="24"/>
        </w:rPr>
        <w:t>《公路路基施工技术规范》（JTG/T</w:t>
      </w:r>
      <w:r>
        <w:rPr>
          <w:rFonts w:hint="eastAsia"/>
          <w:spacing w:val="-2"/>
          <w:sz w:val="24"/>
        </w:rPr>
        <w:t xml:space="preserve"> </w:t>
      </w:r>
      <w:r>
        <w:rPr>
          <w:rFonts w:hint="eastAsia"/>
          <w:sz w:val="24"/>
        </w:rPr>
        <w:t>3610-2019）</w:t>
      </w:r>
    </w:p>
    <w:p>
      <w:pPr>
        <w:pStyle w:val="21"/>
        <w:numPr>
          <w:ilvl w:val="1"/>
          <w:numId w:val="66"/>
        </w:numPr>
        <w:tabs>
          <w:tab w:val="left" w:pos="1041"/>
        </w:tabs>
        <w:spacing w:before="83" w:line="300" w:lineRule="exact"/>
        <w:rPr>
          <w:sz w:val="24"/>
        </w:rPr>
      </w:pPr>
      <w:r>
        <w:rPr>
          <w:rFonts w:hint="eastAsia"/>
          <w:sz w:val="24"/>
        </w:rPr>
        <w:t>《公路土工合成材料应用技术规范》（JTG/T</w:t>
      </w:r>
      <w:r>
        <w:rPr>
          <w:rFonts w:hint="eastAsia"/>
          <w:spacing w:val="-2"/>
          <w:sz w:val="24"/>
        </w:rPr>
        <w:t xml:space="preserve"> </w:t>
      </w:r>
      <w:r>
        <w:rPr>
          <w:rFonts w:hint="eastAsia"/>
          <w:sz w:val="24"/>
        </w:rPr>
        <w:t>D32-2012）</w:t>
      </w:r>
    </w:p>
    <w:p>
      <w:pPr>
        <w:pStyle w:val="21"/>
        <w:numPr>
          <w:ilvl w:val="1"/>
          <w:numId w:val="66"/>
        </w:numPr>
        <w:tabs>
          <w:tab w:val="left" w:pos="1041"/>
        </w:tabs>
        <w:spacing w:before="87" w:line="300" w:lineRule="exact"/>
        <w:rPr>
          <w:sz w:val="24"/>
        </w:rPr>
      </w:pPr>
      <w:r>
        <w:rPr>
          <w:rFonts w:hint="eastAsia"/>
          <w:sz w:val="24"/>
        </w:rPr>
        <w:t>《公路路面基层施工技术细则》（JTG</w:t>
      </w:r>
      <w:r>
        <w:rPr>
          <w:rFonts w:hint="eastAsia"/>
          <w:spacing w:val="-2"/>
          <w:sz w:val="24"/>
        </w:rPr>
        <w:t xml:space="preserve"> </w:t>
      </w:r>
      <w:r>
        <w:rPr>
          <w:rFonts w:hint="eastAsia"/>
          <w:sz w:val="24"/>
        </w:rPr>
        <w:t>F20-2015）</w:t>
      </w:r>
    </w:p>
    <w:p>
      <w:pPr>
        <w:pStyle w:val="21"/>
        <w:numPr>
          <w:ilvl w:val="1"/>
          <w:numId w:val="66"/>
        </w:numPr>
        <w:tabs>
          <w:tab w:val="left" w:pos="1041"/>
        </w:tabs>
        <w:spacing w:before="83" w:line="300" w:lineRule="exact"/>
        <w:rPr>
          <w:sz w:val="24"/>
        </w:rPr>
      </w:pPr>
      <w:r>
        <w:rPr>
          <w:rFonts w:hint="eastAsia"/>
          <w:sz w:val="24"/>
        </w:rPr>
        <w:t>《公路桥涵施工技术规范》（JTG/T</w:t>
      </w:r>
      <w:r>
        <w:rPr>
          <w:rFonts w:hint="eastAsia"/>
          <w:spacing w:val="-2"/>
          <w:sz w:val="24"/>
        </w:rPr>
        <w:t xml:space="preserve"> </w:t>
      </w:r>
      <w:r>
        <w:rPr>
          <w:rFonts w:hint="eastAsia"/>
          <w:sz w:val="24"/>
        </w:rPr>
        <w:t>F50-2011）</w:t>
      </w:r>
    </w:p>
    <w:p>
      <w:pPr>
        <w:pStyle w:val="21"/>
        <w:numPr>
          <w:ilvl w:val="1"/>
          <w:numId w:val="66"/>
        </w:numPr>
        <w:tabs>
          <w:tab w:val="left" w:pos="1041"/>
        </w:tabs>
        <w:spacing w:before="84" w:line="300" w:lineRule="exact"/>
        <w:rPr>
          <w:sz w:val="24"/>
        </w:rPr>
      </w:pPr>
      <w:r>
        <w:rPr>
          <w:rFonts w:hint="eastAsia"/>
          <w:sz w:val="24"/>
        </w:rPr>
        <w:t>《公路土工试验规程》（JTG</w:t>
      </w:r>
      <w:r>
        <w:rPr>
          <w:rFonts w:hint="eastAsia"/>
          <w:spacing w:val="-2"/>
          <w:sz w:val="24"/>
        </w:rPr>
        <w:t xml:space="preserve"> </w:t>
      </w:r>
      <w:r>
        <w:rPr>
          <w:rFonts w:hint="eastAsia"/>
          <w:sz w:val="24"/>
        </w:rPr>
        <w:t>E40-2007）</w:t>
      </w:r>
    </w:p>
    <w:p>
      <w:pPr>
        <w:pStyle w:val="21"/>
        <w:numPr>
          <w:ilvl w:val="1"/>
          <w:numId w:val="66"/>
        </w:numPr>
        <w:tabs>
          <w:tab w:val="left" w:pos="1041"/>
        </w:tabs>
        <w:spacing w:before="86" w:line="300" w:lineRule="exact"/>
        <w:rPr>
          <w:sz w:val="24"/>
        </w:rPr>
      </w:pPr>
      <w:r>
        <w:rPr>
          <w:rFonts w:hint="eastAsia"/>
          <w:sz w:val="24"/>
        </w:rPr>
        <w:t>《公路工程沥青及沥青混合料试验规程》（JTG</w:t>
      </w:r>
      <w:r>
        <w:rPr>
          <w:rFonts w:hint="eastAsia"/>
          <w:spacing w:val="-2"/>
          <w:sz w:val="24"/>
        </w:rPr>
        <w:t xml:space="preserve"> </w:t>
      </w:r>
      <w:r>
        <w:rPr>
          <w:rFonts w:hint="eastAsia"/>
          <w:sz w:val="24"/>
        </w:rPr>
        <w:t>E20-2011）</w:t>
      </w:r>
    </w:p>
    <w:p>
      <w:pPr>
        <w:pStyle w:val="21"/>
        <w:numPr>
          <w:ilvl w:val="1"/>
          <w:numId w:val="66"/>
        </w:numPr>
        <w:tabs>
          <w:tab w:val="left" w:pos="1161"/>
        </w:tabs>
        <w:spacing w:before="84" w:line="300" w:lineRule="exact"/>
        <w:ind w:left="1161" w:hanging="301"/>
        <w:rPr>
          <w:sz w:val="24"/>
        </w:rPr>
      </w:pPr>
      <w:r>
        <w:rPr>
          <w:rFonts w:hint="eastAsia"/>
          <w:sz w:val="24"/>
        </w:rPr>
        <w:t>《公路工程水泥混凝土试验规程》（JTGE30-2005）</w:t>
      </w:r>
    </w:p>
    <w:p>
      <w:pPr>
        <w:pStyle w:val="21"/>
        <w:numPr>
          <w:ilvl w:val="1"/>
          <w:numId w:val="66"/>
        </w:numPr>
        <w:tabs>
          <w:tab w:val="left" w:pos="1161"/>
        </w:tabs>
        <w:spacing w:before="83" w:line="300" w:lineRule="exact"/>
        <w:ind w:left="1161" w:hanging="301"/>
        <w:rPr>
          <w:sz w:val="24"/>
        </w:rPr>
      </w:pPr>
      <w:r>
        <w:rPr>
          <w:rFonts w:hint="eastAsia"/>
          <w:sz w:val="24"/>
        </w:rPr>
        <w:t>《公路工程岩石试验规程》（JTG</w:t>
      </w:r>
      <w:r>
        <w:rPr>
          <w:rFonts w:hint="eastAsia"/>
          <w:spacing w:val="-2"/>
          <w:sz w:val="24"/>
        </w:rPr>
        <w:t xml:space="preserve"> </w:t>
      </w:r>
      <w:r>
        <w:rPr>
          <w:rFonts w:hint="eastAsia"/>
          <w:sz w:val="24"/>
        </w:rPr>
        <w:t>E41-2005）</w:t>
      </w:r>
    </w:p>
    <w:p>
      <w:pPr>
        <w:pStyle w:val="21"/>
        <w:numPr>
          <w:ilvl w:val="1"/>
          <w:numId w:val="66"/>
        </w:numPr>
        <w:tabs>
          <w:tab w:val="left" w:pos="1161"/>
        </w:tabs>
        <w:spacing w:before="87" w:line="300" w:lineRule="exact"/>
        <w:ind w:left="1161" w:hanging="301"/>
        <w:rPr>
          <w:sz w:val="24"/>
        </w:rPr>
      </w:pPr>
      <w:r>
        <w:rPr>
          <w:rFonts w:hint="eastAsia"/>
          <w:sz w:val="24"/>
        </w:rPr>
        <w:t>《公路工程无机结合料稳定材料试验规程》（JTG</w:t>
      </w:r>
      <w:r>
        <w:rPr>
          <w:rFonts w:hint="eastAsia"/>
          <w:spacing w:val="-2"/>
          <w:sz w:val="24"/>
        </w:rPr>
        <w:t xml:space="preserve"> </w:t>
      </w:r>
      <w:r>
        <w:rPr>
          <w:rFonts w:hint="eastAsia"/>
          <w:sz w:val="24"/>
        </w:rPr>
        <w:t>E51-2009）</w:t>
      </w:r>
    </w:p>
    <w:p>
      <w:pPr>
        <w:pStyle w:val="21"/>
        <w:numPr>
          <w:ilvl w:val="1"/>
          <w:numId w:val="66"/>
        </w:numPr>
        <w:tabs>
          <w:tab w:val="left" w:pos="1161"/>
        </w:tabs>
        <w:spacing w:before="83" w:line="300" w:lineRule="exact"/>
        <w:ind w:left="1161" w:hanging="301"/>
        <w:rPr>
          <w:sz w:val="24"/>
        </w:rPr>
      </w:pPr>
      <w:r>
        <w:rPr>
          <w:rFonts w:hint="eastAsia"/>
          <w:sz w:val="24"/>
        </w:rPr>
        <w:t>《公路工程集料试验规程》（JTG</w:t>
      </w:r>
      <w:r>
        <w:rPr>
          <w:rFonts w:hint="eastAsia"/>
          <w:spacing w:val="-2"/>
          <w:sz w:val="24"/>
        </w:rPr>
        <w:t xml:space="preserve"> </w:t>
      </w:r>
      <w:r>
        <w:rPr>
          <w:rFonts w:hint="eastAsia"/>
          <w:sz w:val="24"/>
        </w:rPr>
        <w:t>E42-2005）</w:t>
      </w:r>
    </w:p>
    <w:p>
      <w:pPr>
        <w:pStyle w:val="21"/>
        <w:numPr>
          <w:ilvl w:val="1"/>
          <w:numId w:val="66"/>
        </w:numPr>
        <w:tabs>
          <w:tab w:val="left" w:pos="1161"/>
        </w:tabs>
        <w:spacing w:before="84" w:line="300" w:lineRule="exact"/>
        <w:ind w:left="1161" w:hanging="301"/>
        <w:rPr>
          <w:sz w:val="24"/>
        </w:rPr>
      </w:pPr>
      <w:r>
        <w:rPr>
          <w:rFonts w:hint="eastAsia"/>
          <w:sz w:val="24"/>
        </w:rPr>
        <w:t>《公路路基路面现场测试规程》（JTG</w:t>
      </w:r>
      <w:r>
        <w:rPr>
          <w:rFonts w:hint="eastAsia"/>
          <w:spacing w:val="-2"/>
          <w:sz w:val="24"/>
        </w:rPr>
        <w:t xml:space="preserve"> </w:t>
      </w:r>
      <w:r>
        <w:rPr>
          <w:rFonts w:hint="eastAsia"/>
          <w:sz w:val="24"/>
        </w:rPr>
        <w:t>3450-2019）</w:t>
      </w:r>
    </w:p>
    <w:p>
      <w:pPr>
        <w:pStyle w:val="21"/>
        <w:numPr>
          <w:ilvl w:val="1"/>
          <w:numId w:val="66"/>
        </w:numPr>
        <w:tabs>
          <w:tab w:val="left" w:pos="1161"/>
        </w:tabs>
        <w:spacing w:before="86" w:line="300" w:lineRule="exact"/>
        <w:ind w:left="1161" w:hanging="301"/>
        <w:rPr>
          <w:sz w:val="24"/>
        </w:rPr>
      </w:pPr>
      <w:r>
        <w:rPr>
          <w:rFonts w:hint="eastAsia"/>
          <w:sz w:val="24"/>
        </w:rPr>
        <w:t>《公路土工合成材料试验规程》（JTG</w:t>
      </w:r>
      <w:r>
        <w:rPr>
          <w:rFonts w:hint="eastAsia"/>
          <w:spacing w:val="-2"/>
          <w:sz w:val="24"/>
        </w:rPr>
        <w:t xml:space="preserve"> </w:t>
      </w:r>
      <w:r>
        <w:rPr>
          <w:rFonts w:hint="eastAsia"/>
          <w:sz w:val="24"/>
        </w:rPr>
        <w:t>E50-2006）</w:t>
      </w:r>
    </w:p>
    <w:p>
      <w:pPr>
        <w:pStyle w:val="21"/>
        <w:numPr>
          <w:ilvl w:val="1"/>
          <w:numId w:val="66"/>
        </w:numPr>
        <w:tabs>
          <w:tab w:val="left" w:pos="1161"/>
        </w:tabs>
        <w:spacing w:before="84" w:line="300" w:lineRule="exact"/>
        <w:ind w:left="1161" w:hanging="301"/>
        <w:rPr>
          <w:sz w:val="24"/>
        </w:rPr>
      </w:pPr>
      <w:r>
        <w:rPr>
          <w:rFonts w:hint="eastAsia"/>
          <w:sz w:val="24"/>
        </w:rPr>
        <w:t>《公路交通安全设施施工技术规范》（JTG</w:t>
      </w:r>
      <w:r>
        <w:rPr>
          <w:rFonts w:hint="eastAsia"/>
          <w:spacing w:val="-2"/>
          <w:sz w:val="24"/>
        </w:rPr>
        <w:t xml:space="preserve"> </w:t>
      </w:r>
      <w:r>
        <w:rPr>
          <w:rFonts w:hint="eastAsia"/>
          <w:sz w:val="24"/>
        </w:rPr>
        <w:t>F71-2006）</w:t>
      </w:r>
    </w:p>
    <w:p>
      <w:pPr>
        <w:pStyle w:val="21"/>
        <w:numPr>
          <w:ilvl w:val="1"/>
          <w:numId w:val="66"/>
        </w:numPr>
        <w:tabs>
          <w:tab w:val="left" w:pos="1161"/>
        </w:tabs>
        <w:spacing w:before="83" w:line="300" w:lineRule="exact"/>
        <w:ind w:left="1161" w:hanging="301"/>
        <w:rPr>
          <w:sz w:val="24"/>
        </w:rPr>
      </w:pPr>
      <w:r>
        <w:rPr>
          <w:rFonts w:hint="eastAsia"/>
          <w:sz w:val="24"/>
        </w:rPr>
        <w:t>《公路工程施工监理规范》（JTG</w:t>
      </w:r>
      <w:r>
        <w:rPr>
          <w:rFonts w:hint="eastAsia"/>
          <w:spacing w:val="-2"/>
          <w:sz w:val="24"/>
        </w:rPr>
        <w:t xml:space="preserve"> </w:t>
      </w:r>
      <w:r>
        <w:rPr>
          <w:rFonts w:hint="eastAsia"/>
          <w:sz w:val="24"/>
        </w:rPr>
        <w:t>G10-2016）</w:t>
      </w:r>
    </w:p>
    <w:p>
      <w:pPr>
        <w:pStyle w:val="21"/>
        <w:numPr>
          <w:ilvl w:val="1"/>
          <w:numId w:val="66"/>
        </w:numPr>
        <w:tabs>
          <w:tab w:val="left" w:pos="1161"/>
        </w:tabs>
        <w:spacing w:before="87" w:line="300" w:lineRule="exact"/>
        <w:ind w:left="1161" w:hanging="301"/>
        <w:rPr>
          <w:sz w:val="24"/>
        </w:rPr>
      </w:pPr>
      <w:r>
        <w:rPr>
          <w:rFonts w:hint="eastAsia"/>
          <w:sz w:val="24"/>
        </w:rPr>
        <w:t>《小交通量农村公路工程技术标准》（JTG</w:t>
      </w:r>
      <w:r>
        <w:rPr>
          <w:rFonts w:hint="eastAsia"/>
          <w:spacing w:val="-2"/>
          <w:sz w:val="24"/>
        </w:rPr>
        <w:t xml:space="preserve"> </w:t>
      </w:r>
      <w:r>
        <w:rPr>
          <w:rFonts w:hint="eastAsia"/>
          <w:sz w:val="24"/>
        </w:rPr>
        <w:t>2111-2019）</w:t>
      </w:r>
    </w:p>
    <w:p>
      <w:pPr>
        <w:pStyle w:val="21"/>
        <w:numPr>
          <w:ilvl w:val="1"/>
          <w:numId w:val="66"/>
        </w:numPr>
        <w:tabs>
          <w:tab w:val="left" w:pos="1161"/>
        </w:tabs>
        <w:spacing w:before="83" w:line="300" w:lineRule="exact"/>
        <w:ind w:left="1161" w:hanging="301"/>
        <w:rPr>
          <w:sz w:val="24"/>
        </w:rPr>
      </w:pPr>
      <w:r>
        <w:rPr>
          <w:rFonts w:hint="eastAsia"/>
          <w:sz w:val="24"/>
        </w:rPr>
        <w:t>《公路工程无结合机料稳定材料试验规程》（JTG</w:t>
      </w:r>
      <w:r>
        <w:rPr>
          <w:rFonts w:hint="eastAsia"/>
          <w:spacing w:val="-2"/>
          <w:sz w:val="24"/>
        </w:rPr>
        <w:t xml:space="preserve"> </w:t>
      </w:r>
      <w:r>
        <w:rPr>
          <w:rFonts w:hint="eastAsia"/>
          <w:sz w:val="24"/>
        </w:rPr>
        <w:t>E51-2009）</w:t>
      </w:r>
    </w:p>
    <w:p>
      <w:pPr>
        <w:pStyle w:val="21"/>
        <w:numPr>
          <w:ilvl w:val="1"/>
          <w:numId w:val="66"/>
        </w:numPr>
        <w:tabs>
          <w:tab w:val="left" w:pos="1161"/>
        </w:tabs>
        <w:spacing w:before="84" w:line="300" w:lineRule="exact"/>
        <w:ind w:left="1161" w:hanging="301"/>
        <w:rPr>
          <w:sz w:val="24"/>
        </w:rPr>
      </w:pPr>
      <w:r>
        <w:rPr>
          <w:rFonts w:hint="eastAsia"/>
          <w:sz w:val="24"/>
        </w:rPr>
        <w:t>《公路水泥混凝土路面施工技术细则》（JTG</w:t>
      </w:r>
      <w:r>
        <w:rPr>
          <w:rFonts w:hint="eastAsia"/>
          <w:spacing w:val="-2"/>
          <w:sz w:val="24"/>
        </w:rPr>
        <w:t xml:space="preserve"> </w:t>
      </w:r>
      <w:r>
        <w:rPr>
          <w:rFonts w:hint="eastAsia"/>
          <w:sz w:val="24"/>
        </w:rPr>
        <w:t>F30-2014）</w:t>
      </w:r>
    </w:p>
    <w:p>
      <w:pPr>
        <w:pStyle w:val="21"/>
        <w:numPr>
          <w:ilvl w:val="1"/>
          <w:numId w:val="66"/>
        </w:numPr>
        <w:tabs>
          <w:tab w:val="left" w:pos="1161"/>
        </w:tabs>
        <w:spacing w:before="86" w:line="300" w:lineRule="exact"/>
        <w:ind w:left="579" w:right="2998" w:firstLine="280"/>
        <w:rPr>
          <w:sz w:val="24"/>
        </w:rPr>
      </w:pPr>
      <w:r>
        <w:rPr>
          <w:rFonts w:hint="eastAsia"/>
          <w:sz w:val="24"/>
        </w:rPr>
        <w:t>《公路工程施工安全技术规范》（JTG</w:t>
      </w:r>
      <w:r>
        <w:rPr>
          <w:rFonts w:hint="eastAsia"/>
          <w:spacing w:val="7"/>
          <w:sz w:val="24"/>
        </w:rPr>
        <w:t xml:space="preserve"> </w:t>
      </w:r>
      <w:r>
        <w:rPr>
          <w:rFonts w:hint="eastAsia"/>
          <w:spacing w:val="-3"/>
          <w:sz w:val="24"/>
        </w:rPr>
        <w:t xml:space="preserve">F902015） </w:t>
      </w:r>
    </w:p>
    <w:p>
      <w:pPr>
        <w:pStyle w:val="21"/>
        <w:tabs>
          <w:tab w:val="left" w:pos="1161"/>
        </w:tabs>
        <w:spacing w:before="86" w:line="300" w:lineRule="exact"/>
        <w:ind w:left="0" w:right="2998" w:firstLineChars="200"/>
        <w:rPr>
          <w:sz w:val="24"/>
        </w:rPr>
      </w:pPr>
      <w:r>
        <w:rPr>
          <w:rFonts w:hint="eastAsia"/>
          <w:sz w:val="24"/>
        </w:rPr>
        <w:t>二、相关国标</w:t>
      </w:r>
    </w:p>
    <w:p>
      <w:pPr>
        <w:pStyle w:val="21"/>
        <w:numPr>
          <w:ilvl w:val="0"/>
          <w:numId w:val="67"/>
        </w:numPr>
        <w:tabs>
          <w:tab w:val="left" w:pos="1041"/>
        </w:tabs>
        <w:spacing w:before="5" w:line="300" w:lineRule="exact"/>
        <w:rPr>
          <w:sz w:val="24"/>
        </w:rPr>
      </w:pPr>
      <w:r>
        <w:rPr>
          <w:rFonts w:hint="eastAsia"/>
          <w:spacing w:val="-7"/>
          <w:sz w:val="24"/>
        </w:rPr>
        <w:t xml:space="preserve">《钢筋混凝土用钢 第 </w:t>
      </w:r>
      <w:r>
        <w:rPr>
          <w:rFonts w:hint="eastAsia"/>
          <w:sz w:val="24"/>
        </w:rPr>
        <w:t>1 部分：热轧光圆钢筋》（GB/T</w:t>
      </w:r>
      <w:r>
        <w:rPr>
          <w:rFonts w:hint="eastAsia"/>
          <w:spacing w:val="-1"/>
          <w:sz w:val="24"/>
        </w:rPr>
        <w:t xml:space="preserve"> </w:t>
      </w:r>
      <w:r>
        <w:rPr>
          <w:rFonts w:hint="eastAsia"/>
          <w:sz w:val="24"/>
        </w:rPr>
        <w:t>1499.1-2017）</w:t>
      </w:r>
    </w:p>
    <w:p>
      <w:pPr>
        <w:pStyle w:val="21"/>
        <w:numPr>
          <w:ilvl w:val="0"/>
          <w:numId w:val="67"/>
        </w:numPr>
        <w:tabs>
          <w:tab w:val="left" w:pos="1041"/>
        </w:tabs>
        <w:spacing w:before="83" w:line="300" w:lineRule="exact"/>
        <w:rPr>
          <w:sz w:val="24"/>
        </w:rPr>
      </w:pPr>
      <w:r>
        <w:rPr>
          <w:rFonts w:hint="eastAsia"/>
          <w:spacing w:val="-7"/>
          <w:sz w:val="24"/>
        </w:rPr>
        <w:t xml:space="preserve">《钢筋混凝土用钢 第 </w:t>
      </w:r>
      <w:r>
        <w:rPr>
          <w:rFonts w:hint="eastAsia"/>
          <w:sz w:val="24"/>
        </w:rPr>
        <w:t>2 部分：热轧带肋钢筋》（GB/T</w:t>
      </w:r>
      <w:r>
        <w:rPr>
          <w:rFonts w:hint="eastAsia"/>
          <w:spacing w:val="-1"/>
          <w:sz w:val="24"/>
        </w:rPr>
        <w:t xml:space="preserve"> </w:t>
      </w:r>
      <w:r>
        <w:rPr>
          <w:rFonts w:hint="eastAsia"/>
          <w:sz w:val="24"/>
        </w:rPr>
        <w:t>1499.2-2018）</w:t>
      </w:r>
    </w:p>
    <w:p>
      <w:pPr>
        <w:pStyle w:val="21"/>
        <w:numPr>
          <w:ilvl w:val="0"/>
          <w:numId w:val="67"/>
        </w:numPr>
        <w:tabs>
          <w:tab w:val="left" w:pos="1041"/>
        </w:tabs>
        <w:spacing w:before="87" w:line="300" w:lineRule="exact"/>
        <w:rPr>
          <w:sz w:val="24"/>
        </w:rPr>
      </w:pPr>
      <w:r>
        <w:rPr>
          <w:rFonts w:hint="eastAsia"/>
          <w:sz w:val="24"/>
        </w:rPr>
        <w:t>《道路工程制图标准》（GB50162-92）</w:t>
      </w:r>
    </w:p>
    <w:p>
      <w:pPr>
        <w:pStyle w:val="21"/>
        <w:numPr>
          <w:ilvl w:val="0"/>
          <w:numId w:val="67"/>
        </w:numPr>
        <w:tabs>
          <w:tab w:val="left" w:pos="1041"/>
        </w:tabs>
        <w:spacing w:before="83" w:line="300" w:lineRule="exact"/>
        <w:ind w:left="579" w:right="4479" w:firstLine="280"/>
        <w:rPr>
          <w:sz w:val="24"/>
        </w:rPr>
      </w:pPr>
      <w:r>
        <w:rPr>
          <w:rFonts w:hint="eastAsia"/>
          <w:sz w:val="24"/>
        </w:rPr>
        <w:t>《普通螺纹公差》(GB/T</w:t>
      </w:r>
      <w:r>
        <w:rPr>
          <w:rFonts w:hint="eastAsia"/>
          <w:spacing w:val="2"/>
          <w:sz w:val="24"/>
        </w:rPr>
        <w:t xml:space="preserve"> </w:t>
      </w:r>
      <w:r>
        <w:rPr>
          <w:rFonts w:hint="eastAsia"/>
          <w:spacing w:val="-3"/>
          <w:sz w:val="24"/>
        </w:rPr>
        <w:t>197</w:t>
      </w:r>
      <w:r>
        <w:rPr>
          <w:rFonts w:hint="eastAsia"/>
          <w:spacing w:val="-3"/>
          <w:sz w:val="24"/>
          <w:lang w:val="en-US"/>
        </w:rPr>
        <w:t>-</w:t>
      </w:r>
      <w:r>
        <w:rPr>
          <w:rFonts w:hint="eastAsia"/>
          <w:spacing w:val="-3"/>
          <w:sz w:val="24"/>
        </w:rPr>
        <w:t>2018）</w:t>
      </w:r>
    </w:p>
    <w:p>
      <w:pPr>
        <w:pStyle w:val="21"/>
        <w:tabs>
          <w:tab w:val="left" w:pos="1041"/>
        </w:tabs>
        <w:spacing w:before="83" w:line="300" w:lineRule="exact"/>
        <w:ind w:left="0" w:right="4479" w:firstLine="468" w:firstLineChars="200"/>
        <w:rPr>
          <w:sz w:val="24"/>
        </w:rPr>
      </w:pPr>
      <w:r>
        <w:rPr>
          <w:rFonts w:hint="eastAsia"/>
          <w:spacing w:val="-3"/>
          <w:sz w:val="24"/>
        </w:rPr>
        <w:t xml:space="preserve"> </w:t>
      </w:r>
      <w:r>
        <w:rPr>
          <w:rFonts w:hint="eastAsia"/>
          <w:sz w:val="24"/>
        </w:rPr>
        <w:t>三、相关地方行业标准规范、</w:t>
      </w:r>
      <w:r>
        <w:rPr>
          <w:rFonts w:hint="eastAsia"/>
          <w:sz w:val="24"/>
          <w:lang w:val="en-US"/>
        </w:rPr>
        <w:t>规</w:t>
      </w:r>
      <w:r>
        <w:rPr>
          <w:rFonts w:hint="eastAsia"/>
          <w:sz w:val="24"/>
        </w:rPr>
        <w:t>定</w:t>
      </w:r>
    </w:p>
    <w:p>
      <w:pPr>
        <w:pStyle w:val="21"/>
        <w:numPr>
          <w:ilvl w:val="0"/>
          <w:numId w:val="68"/>
        </w:numPr>
        <w:tabs>
          <w:tab w:val="left" w:pos="1041"/>
        </w:tabs>
        <w:spacing w:before="7" w:line="300" w:lineRule="exact"/>
        <w:rPr>
          <w:sz w:val="24"/>
        </w:rPr>
      </w:pPr>
      <w:r>
        <w:rPr>
          <w:rFonts w:hint="eastAsia"/>
          <w:sz w:val="24"/>
        </w:rPr>
        <w:t>《交通建设项目竣工档案编制办法》（新交办〔2009〕83 号）</w:t>
      </w:r>
    </w:p>
    <w:p>
      <w:pPr>
        <w:pStyle w:val="21"/>
        <w:numPr>
          <w:ilvl w:val="0"/>
          <w:numId w:val="68"/>
        </w:numPr>
        <w:tabs>
          <w:tab w:val="left" w:pos="1041"/>
        </w:tabs>
        <w:spacing w:before="64" w:line="300" w:lineRule="exact"/>
        <w:jc w:val="both"/>
        <w:rPr>
          <w:sz w:val="24"/>
        </w:rPr>
      </w:pPr>
      <w:r>
        <w:rPr>
          <w:rFonts w:hint="eastAsia"/>
          <w:sz w:val="24"/>
        </w:rPr>
        <w:t>新疆盐渍土地区公路路基路面设计与施工规范（XJT</w:t>
      </w:r>
      <w:r>
        <w:rPr>
          <w:rFonts w:hint="eastAsia"/>
          <w:spacing w:val="-3"/>
          <w:sz w:val="24"/>
        </w:rPr>
        <w:t xml:space="preserve"> </w:t>
      </w:r>
      <w:r>
        <w:rPr>
          <w:rFonts w:hint="eastAsia"/>
          <w:sz w:val="24"/>
        </w:rPr>
        <w:t>J01-2001）</w:t>
      </w:r>
    </w:p>
    <w:p>
      <w:pPr>
        <w:pStyle w:val="11"/>
        <w:spacing w:before="124" w:line="300" w:lineRule="exact"/>
        <w:ind w:left="380" w:right="718" w:firstLine="199"/>
        <w:jc w:val="both"/>
      </w:pPr>
      <w:bookmarkStart w:id="84" w:name="注：技术规范包括但不限于上述标准、规范。在投标文件递交截止时间前与本工程相关的标"/>
      <w:bookmarkEnd w:id="84"/>
      <w:r>
        <w:rPr>
          <w:rFonts w:hint="eastAsia"/>
          <w:spacing w:val="-8"/>
        </w:rPr>
        <w:t>注：技术规范包括但不限于上述标准、规范。在投标文件递交截止时间前与本</w:t>
      </w:r>
      <w:r>
        <w:rPr>
          <w:rFonts w:hint="eastAsia"/>
          <w:spacing w:val="-2"/>
        </w:rPr>
        <w:t>工程相关的标准或规范如果有修改或新颁</w:t>
      </w:r>
      <w:r>
        <w:rPr>
          <w:rFonts w:hint="eastAsia"/>
        </w:rPr>
        <w:t>（无论招标文件中是否引用</w:t>
      </w:r>
      <w:r>
        <w:rPr>
          <w:rFonts w:hint="eastAsia"/>
          <w:spacing w:val="-32"/>
        </w:rPr>
        <w:t>）</w:t>
      </w:r>
      <w:r>
        <w:rPr>
          <w:rFonts w:hint="eastAsia"/>
          <w:spacing w:val="-13"/>
        </w:rPr>
        <w:t>，则按新</w:t>
      </w:r>
      <w:r>
        <w:rPr>
          <w:rFonts w:hint="eastAsia"/>
          <w:spacing w:val="-9"/>
        </w:rPr>
        <w:t>标准或规范执行，相关费用视为已包含在相关工程子目的单价或总额价中，不另</w:t>
      </w:r>
      <w:r>
        <w:rPr>
          <w:rFonts w:hint="eastAsia"/>
        </w:rPr>
        <w:t>行计量与支付。</w:t>
      </w:r>
    </w:p>
    <w:p>
      <w:pPr>
        <w:spacing w:line="343" w:lineRule="auto"/>
        <w:jc w:val="both"/>
        <w:sectPr>
          <w:headerReference r:id="rId17" w:type="default"/>
          <w:pgSz w:w="11910" w:h="16840"/>
          <w:pgMar w:top="1440" w:right="1079" w:bottom="1040" w:left="1420" w:header="882" w:footer="845" w:gutter="0"/>
          <w:cols w:space="720" w:num="1"/>
        </w:sectPr>
      </w:pPr>
    </w:p>
    <w:p>
      <w:pPr>
        <w:pStyle w:val="4"/>
        <w:numPr>
          <w:ilvl w:val="0"/>
          <w:numId w:val="69"/>
        </w:numPr>
        <w:tabs>
          <w:tab w:val="left" w:pos="1852"/>
        </w:tabs>
        <w:spacing w:before="183"/>
        <w:rPr>
          <w:sz w:val="30"/>
          <w:szCs w:val="30"/>
        </w:rPr>
      </w:pPr>
      <w:r>
        <w:rPr>
          <w:rFonts w:hint="eastAsia"/>
          <w:sz w:val="30"/>
          <w:szCs w:val="30"/>
          <w:lang w:val="en-US"/>
        </w:rPr>
        <w:t xml:space="preserve"> </w:t>
      </w:r>
      <w:r>
        <w:rPr>
          <w:rFonts w:hint="eastAsia"/>
          <w:sz w:val="30"/>
          <w:szCs w:val="30"/>
        </w:rPr>
        <w:t>工程量清单计量规则</w:t>
      </w:r>
    </w:p>
    <w:p/>
    <w:p>
      <w:pPr>
        <w:spacing w:line="347" w:lineRule="exact"/>
        <w:jc w:val="center"/>
        <w:rPr>
          <w:b/>
          <w:bCs/>
          <w:sz w:val="28"/>
          <w:szCs w:val="28"/>
        </w:rPr>
      </w:pPr>
      <w:r>
        <w:rPr>
          <w:b/>
          <w:bCs/>
          <w:sz w:val="28"/>
          <w:szCs w:val="28"/>
        </w:rPr>
        <w:t>一、说明</w:t>
      </w:r>
    </w:p>
    <w:p>
      <w:pPr>
        <w:pStyle w:val="11"/>
        <w:spacing w:before="12" w:line="360" w:lineRule="auto"/>
      </w:pPr>
      <w:r>
        <w:t>1.  一般要求</w:t>
      </w:r>
    </w:p>
    <w:p>
      <w:pPr>
        <w:pStyle w:val="11"/>
        <w:spacing w:before="12" w:line="360" w:lineRule="auto"/>
      </w:pPr>
      <w:r>
        <w:t>(1)本计量规则各章节是按第五章“工程量清单”的相应章节编号的，因此，各章</w:t>
      </w:r>
    </w:p>
    <w:p>
      <w:pPr>
        <w:pStyle w:val="11"/>
        <w:spacing w:before="12" w:line="360" w:lineRule="auto"/>
      </w:pPr>
      <w:r>
        <w:t>节工程子目的工程量计量规则与工程量清单中相对应的工程子目的“子目号”、“子目</w:t>
      </w:r>
    </w:p>
    <w:p>
      <w:pPr>
        <w:pStyle w:val="11"/>
        <w:spacing w:before="12" w:line="360" w:lineRule="auto"/>
      </w:pPr>
      <w:r>
        <w:t>名称”、“单位”一致，“工程量计量”、“工程内容”是相应的工程子目的计量依据。</w:t>
      </w:r>
    </w:p>
    <w:p>
      <w:pPr>
        <w:pStyle w:val="11"/>
        <w:spacing w:before="12" w:line="360" w:lineRule="auto"/>
      </w:pPr>
      <w:r>
        <w:t>(2)本规则所有工程项目，除个别注明者外，均采用我国法定的计量单位，即</w:t>
      </w:r>
    </w:p>
    <w:p>
      <w:pPr>
        <w:pStyle w:val="11"/>
        <w:spacing w:before="12" w:line="360" w:lineRule="auto"/>
      </w:pPr>
      <w:r>
        <w:t>国际单位及国际单位制导出的辅助单位进行计量。</w:t>
      </w:r>
    </w:p>
    <w:p>
      <w:pPr>
        <w:pStyle w:val="11"/>
        <w:spacing w:before="12" w:line="360" w:lineRule="auto"/>
      </w:pPr>
      <w:r>
        <w:t>(3)本规则的计量与支付，应与合同条款、工程量清单以及图纸同时阅读，工</w:t>
      </w:r>
    </w:p>
    <w:p>
      <w:pPr>
        <w:pStyle w:val="11"/>
        <w:spacing w:before="12" w:line="360" w:lineRule="auto"/>
      </w:pPr>
      <w:r>
        <w:t>程量清单中的支付项目号和本规则的章节编号是一致的。</w:t>
      </w:r>
    </w:p>
    <w:p>
      <w:pPr>
        <w:pStyle w:val="11"/>
        <w:spacing w:before="12" w:line="360" w:lineRule="auto"/>
      </w:pPr>
      <w:r>
        <w:t>(4)任何工程项目的计量，均应按本规则规定或监理人书面指示进行。</w:t>
      </w:r>
    </w:p>
    <w:p>
      <w:pPr>
        <w:pStyle w:val="11"/>
        <w:spacing w:before="12" w:line="360" w:lineRule="auto"/>
      </w:pPr>
      <w:r>
        <w:t>(5)按合同提供的材料数量和完成的工程数量所采用的测量与计算方法，应符</w:t>
      </w:r>
    </w:p>
    <w:p>
      <w:pPr>
        <w:pStyle w:val="11"/>
        <w:spacing w:before="12" w:line="360" w:lineRule="auto"/>
      </w:pPr>
      <w:r>
        <w:t>合本规则规定。所有这些方法，应经监理人批准或指示。承包人应提供一切计量设</w:t>
      </w:r>
    </w:p>
    <w:p>
      <w:pPr>
        <w:pStyle w:val="11"/>
        <w:spacing w:before="12" w:line="360" w:lineRule="auto"/>
      </w:pPr>
      <w:r>
        <w:t>备和条件，并保证其设备精度符合要求。</w:t>
      </w:r>
    </w:p>
    <w:p>
      <w:pPr>
        <w:pStyle w:val="11"/>
        <w:spacing w:before="12" w:line="360" w:lineRule="auto"/>
      </w:pPr>
      <w:r>
        <w:t>(6)除非监理人另有准许，一切计量工作都应在监理人在场情况下，由承包人</w:t>
      </w:r>
    </w:p>
    <w:p>
      <w:pPr>
        <w:pStyle w:val="11"/>
        <w:spacing w:before="12" w:line="360" w:lineRule="auto"/>
      </w:pPr>
      <w:r>
        <w:t>测量、记录。有承包人签名的计量记录原本，应提交给监理人审查和保存。</w:t>
      </w:r>
    </w:p>
    <w:p>
      <w:pPr>
        <w:pStyle w:val="11"/>
        <w:spacing w:before="12" w:line="360" w:lineRule="auto"/>
      </w:pPr>
      <w:r>
        <w:t>(7)工程量应由承包人计算，由监理人审核。工程量计算的副本应提交给监理</w:t>
      </w:r>
    </w:p>
    <w:p>
      <w:pPr>
        <w:pStyle w:val="11"/>
        <w:spacing w:before="12" w:line="360" w:lineRule="auto"/>
      </w:pPr>
      <w:r>
        <w:t>人并由监理人保存。</w:t>
      </w:r>
    </w:p>
    <w:p>
      <w:pPr>
        <w:pStyle w:val="11"/>
        <w:spacing w:before="12" w:line="360" w:lineRule="auto"/>
      </w:pPr>
      <w:r>
        <w:t>(8)除合同特殊约定单独计量之外，全部必需的模板、脚手架、装备、机具、</w:t>
      </w:r>
    </w:p>
    <w:p>
      <w:pPr>
        <w:pStyle w:val="11"/>
        <w:spacing w:before="12" w:line="360" w:lineRule="auto"/>
      </w:pPr>
      <w:r>
        <w:t>螺栓、垫圈和钢制件等其他材料，应包括在工程量清单中所列的有关支付项目中，均不单独计量。</w:t>
      </w:r>
    </w:p>
    <w:p>
      <w:pPr>
        <w:pStyle w:val="11"/>
        <w:spacing w:before="12" w:line="360" w:lineRule="auto"/>
      </w:pPr>
      <w:r>
        <w:t>(9)除监理人另有批准外，凡超过图纸所示的面积或体积，都不予计量与支付。</w:t>
      </w:r>
    </w:p>
    <w:p>
      <w:pPr>
        <w:pStyle w:val="11"/>
        <w:spacing w:before="12" w:line="360" w:lineRule="auto"/>
      </w:pPr>
      <w:r>
        <w:t>(10)承包人应严格标准计量基础工作和材料采购检验工作。沥青混凝土、沥青</w:t>
      </w:r>
    </w:p>
    <w:p>
      <w:pPr>
        <w:pStyle w:val="11"/>
        <w:spacing w:before="12" w:line="360" w:lineRule="auto"/>
      </w:pPr>
      <w:r>
        <w:t>碎石、水泥混凝土、高强度等级水泥砂浆的施工现场必须使用电子计量设备称重。</w:t>
      </w:r>
    </w:p>
    <w:p>
      <w:pPr>
        <w:pStyle w:val="11"/>
        <w:spacing w:before="12" w:line="360" w:lineRule="auto"/>
      </w:pPr>
      <w:r>
        <w:t>因不符合计量规定引发质量问题，所发生的费用由承包人承担。</w:t>
      </w:r>
    </w:p>
    <w:p>
      <w:pPr>
        <w:pStyle w:val="11"/>
        <w:spacing w:before="12" w:line="360" w:lineRule="auto"/>
      </w:pPr>
      <w:r>
        <w:t>2.  质量</w:t>
      </w:r>
    </w:p>
    <w:p>
      <w:pPr>
        <w:pStyle w:val="11"/>
        <w:spacing w:before="12" w:line="360" w:lineRule="auto"/>
      </w:pPr>
      <w:r>
        <w:t>(1)凡以质量计量或以质量作为配合比设计的材料，都应在精确与批准的磅秤</w:t>
      </w:r>
    </w:p>
    <w:p>
      <w:pPr>
        <w:pStyle w:val="11"/>
        <w:spacing w:before="12" w:line="360" w:lineRule="auto"/>
      </w:pPr>
      <w:r>
        <w:t>上，由称职合格的人员在监理人指定或批准的地点进行称重。</w:t>
      </w:r>
    </w:p>
    <w:p>
      <w:pPr>
        <w:pStyle w:val="11"/>
        <w:spacing w:before="12" w:line="360" w:lineRule="auto"/>
      </w:pPr>
      <w:r>
        <w:t>(2)称重计量时应满足以下条件：监理人在场；称重记录；载明包装材料、支撑装置、垫块、捆束物等质量的说明书在称重前提交给监理人作为依据。</w:t>
      </w:r>
    </w:p>
    <w:p>
      <w:pPr>
        <w:pStyle w:val="11"/>
        <w:spacing w:before="12" w:line="360" w:lineRule="auto"/>
      </w:pPr>
      <w:r>
        <w:t>(3)钢筋、钢板或型钢计量时，应按图纸或其他资料标示的尺寸和净长计算。搭接、接头套筒、焊接材料、下脚料和固定、定位架立钢筋等，则不予另行计量。钢筋、钢板或型钢应以千克计量，四舍五入，不计小数。钢筋、钢板或型钢由于理论单位质量与实际单位质量的差异而引起材料质量与数量不相匹配的情况，计量时不予考虑。</w:t>
      </w:r>
    </w:p>
    <w:p>
      <w:pPr>
        <w:pStyle w:val="11"/>
        <w:spacing w:before="12" w:line="360" w:lineRule="auto"/>
      </w:pPr>
      <w:r>
        <w:t>(4)金属材料的质量不得包括施工需要加放或使用的灰浆、楔块、填缝料、垫衬物、油料、接缝料、焊条、涂敷料等质量。</w:t>
      </w:r>
    </w:p>
    <w:p>
      <w:pPr>
        <w:pStyle w:val="11"/>
        <w:spacing w:before="12" w:line="360" w:lineRule="auto"/>
      </w:pPr>
      <w:r>
        <w:t>(5)承运按质量计量的材料的货车，应每天在监理人指定的时间和地点称出空</w:t>
      </w:r>
    </w:p>
    <w:p>
      <w:pPr>
        <w:pStyle w:val="11"/>
        <w:spacing w:before="12" w:line="360" w:lineRule="auto"/>
      </w:pPr>
      <w:r>
        <w:t>车质量，每辆货车还应标示清晰易辨的标记。</w:t>
      </w:r>
    </w:p>
    <w:p>
      <w:pPr>
        <w:pStyle w:val="11"/>
        <w:spacing w:before="12" w:line="360" w:lineRule="auto"/>
      </w:pPr>
      <w:r>
        <w:t>(6)对有规定标准的项目，例如钢筋、金属线、钢板、型钢、管材等，均有规定的规格、质量、截面尺寸等指标，这类指标应视为通常的质量或尺寸；除非引用规范中的允许偏差值加以控制，否则可用制造商的允许偏差。</w:t>
      </w:r>
    </w:p>
    <w:p>
      <w:pPr>
        <w:pStyle w:val="11"/>
        <w:spacing w:before="12" w:line="360" w:lineRule="auto"/>
      </w:pPr>
      <w:r>
        <w:t>3.  面积</w:t>
      </w:r>
    </w:p>
    <w:p>
      <w:pPr>
        <w:pStyle w:val="11"/>
        <w:spacing w:before="12" w:line="360" w:lineRule="auto"/>
      </w:pPr>
      <w:r>
        <w:t>除非另有规定，计算面积时，其长、宽应按图纸所示尺寸线或按监理人指示计量。对于面积在1m2以下的固定物(如检查井等)不予扣除。</w:t>
      </w:r>
    </w:p>
    <w:p>
      <w:pPr>
        <w:pStyle w:val="11"/>
        <w:spacing w:before="12" w:line="360" w:lineRule="auto"/>
      </w:pPr>
      <w:r>
        <w:t>4.  结构物</w:t>
      </w:r>
    </w:p>
    <w:p>
      <w:pPr>
        <w:pStyle w:val="11"/>
        <w:spacing w:before="12" w:line="360" w:lineRule="auto"/>
      </w:pPr>
      <w:r>
        <w:t>(1)结构物应按图纸所示净尺寸线，或根据监理人指示修改的尺寸线计量。</w:t>
      </w:r>
    </w:p>
    <w:p>
      <w:pPr>
        <w:pStyle w:val="11"/>
        <w:spacing w:before="12" w:line="360" w:lineRule="auto"/>
      </w:pPr>
      <w:r>
        <w:t>(2)水泥混凝土的计量应按监理人认可的并已完工工程的净尺寸计算，钢筋的体积不扣除，倒角不超过0.15m×0.15m时不扣除，体积不超过0.03m3的开孔及开口不扣除，面积不超过0.15m×0.15m的填角部分也不增加。</w:t>
      </w:r>
    </w:p>
    <w:p>
      <w:pPr>
        <w:pStyle w:val="11"/>
        <w:spacing w:before="12" w:line="360" w:lineRule="auto"/>
      </w:pPr>
      <w:r>
        <w:t>(3)所有以米计量的结构物(如管涵等)，除非图纸另有表示，应按平行于该结构</w:t>
      </w:r>
    </w:p>
    <w:p>
      <w:pPr>
        <w:pStyle w:val="11"/>
        <w:spacing w:before="12" w:line="360" w:lineRule="auto"/>
      </w:pPr>
      <w:r>
        <w:t>物位置的基面或基础的中心方向计量。</w:t>
      </w:r>
    </w:p>
    <w:p>
      <w:pPr>
        <w:pStyle w:val="11"/>
        <w:spacing w:before="12" w:line="360" w:lineRule="auto"/>
      </w:pPr>
      <w:r>
        <w:t>5.  土方</w:t>
      </w:r>
    </w:p>
    <w:p>
      <w:pPr>
        <w:pStyle w:val="11"/>
        <w:spacing w:before="12" w:line="360" w:lineRule="auto"/>
      </w:pPr>
      <w:r>
        <w:t>(1)土方体积可采用平均断面积法计算，但与似棱体公式(prismoidal formula)计算结果比较，如果误差超过±5%时，监理人可指示采用似棱体公式。</w:t>
      </w:r>
    </w:p>
    <w:p>
      <w:pPr>
        <w:pStyle w:val="11"/>
        <w:spacing w:before="12" w:line="360" w:lineRule="auto"/>
      </w:pPr>
      <w:r>
        <w:t>(2)各种不同类别的挖方与填方计量，应以图纸所示界线为限，而且应在批准的横断面图上标明。</w:t>
      </w:r>
    </w:p>
    <w:p>
      <w:pPr>
        <w:pStyle w:val="11"/>
        <w:spacing w:before="12" w:line="360" w:lineRule="auto"/>
      </w:pPr>
      <w:r>
        <w:t>(3)用于填方的土方量，应按压实后的纵断面高程和路床面为准来计量。承包人报价时，应考虑在挖方或运输过程中引起的体积差。</w:t>
      </w:r>
    </w:p>
    <w:p>
      <w:pPr>
        <w:pStyle w:val="11"/>
        <w:spacing w:before="12" w:line="360" w:lineRule="auto"/>
      </w:pPr>
      <w:r>
        <w:t>(4)在现场钉桩后56d内，承包人应将设计和进场复测的土方横断面图连同土方的面积与体积计算表一并提交监理人批准。所有横断面图都应标有图题框，其大小由监理人指定。一旦横断面图得到最后批准，承包人应交给监理人原版图及三份复制图。</w:t>
      </w:r>
    </w:p>
    <w:p>
      <w:pPr>
        <w:pStyle w:val="11"/>
        <w:spacing w:before="12" w:line="360" w:lineRule="auto"/>
      </w:pPr>
      <w:r>
        <w:t>6.  运输车辆体积</w:t>
      </w:r>
    </w:p>
    <w:p>
      <w:pPr>
        <w:pStyle w:val="11"/>
        <w:spacing w:before="12" w:line="360" w:lineRule="auto"/>
      </w:pPr>
      <w:r>
        <w:t>(1)用体积计量的材料，应以经监理人批准的车辆装运，并在运到地点进行计量。</w:t>
      </w:r>
    </w:p>
    <w:p>
      <w:pPr>
        <w:pStyle w:val="12"/>
        <w:spacing w:line="360" w:lineRule="auto"/>
        <w:ind w:left="0"/>
        <w:rPr>
          <w:rFonts w:ascii="宋体"/>
          <w:sz w:val="24"/>
          <w:szCs w:val="24"/>
        </w:rPr>
      </w:pPr>
      <w:r>
        <w:rPr>
          <w:rFonts w:ascii="宋体"/>
          <w:sz w:val="24"/>
          <w:szCs w:val="24"/>
        </w:rPr>
        <w:t>(2)用于体积运输的车辆，其车厢的形状和尺寸应使其容量能够容易而准确地测定并应保证精确度。每辆车都应有明显标记。每车所运材料的体积应于事前由监理人与承包人相互达成书面协议。</w:t>
      </w:r>
    </w:p>
    <w:p>
      <w:pPr>
        <w:pStyle w:val="12"/>
        <w:spacing w:line="360" w:lineRule="auto"/>
        <w:ind w:left="0"/>
        <w:rPr>
          <w:rFonts w:ascii="宋体"/>
          <w:sz w:val="24"/>
          <w:szCs w:val="24"/>
        </w:rPr>
      </w:pPr>
      <w:r>
        <w:rPr>
          <w:rFonts w:ascii="宋体"/>
          <w:sz w:val="24"/>
          <w:szCs w:val="24"/>
        </w:rPr>
        <w:t>(3)所有车辆都应装载成水平容积高度，车辆到达送货点时，监理人可以要求将其装载物重新整平，对超过定量运送的材料将不支付。运量达不到定量的车辆，应被拒绝或按监理人确定减少的体积接收。根据监理人的指示，承包人应在货物交付点，随机将一车材料刮平，在刮平后如发现货车运送的材料少于定量时，从前一车起所有运到的材料的计量都按同样比率减为目前的车载量。</w:t>
      </w:r>
    </w:p>
    <w:p>
      <w:pPr>
        <w:pStyle w:val="12"/>
        <w:spacing w:line="360" w:lineRule="auto"/>
        <w:ind w:left="0"/>
        <w:rPr>
          <w:rFonts w:ascii="宋体"/>
          <w:sz w:val="24"/>
          <w:szCs w:val="24"/>
        </w:rPr>
      </w:pPr>
      <w:r>
        <w:rPr>
          <w:rFonts w:ascii="宋体"/>
          <w:sz w:val="24"/>
          <w:szCs w:val="24"/>
        </w:rPr>
        <w:t>7.  质量与体积换算</w:t>
      </w:r>
    </w:p>
    <w:p>
      <w:pPr>
        <w:pStyle w:val="12"/>
        <w:spacing w:line="360" w:lineRule="auto"/>
        <w:ind w:left="0"/>
        <w:rPr>
          <w:rFonts w:ascii="宋体"/>
          <w:sz w:val="24"/>
          <w:szCs w:val="24"/>
        </w:rPr>
      </w:pPr>
      <w:r>
        <w:rPr>
          <w:rFonts w:ascii="宋体"/>
          <w:sz w:val="24"/>
          <w:szCs w:val="24"/>
        </w:rPr>
        <w:t>(1)如承包人提出要求并得到监理人的书面批准，已规定要用立方米计量的材料可以称重，并将此质量换算为立方米计量。</w:t>
      </w:r>
    </w:p>
    <w:p>
      <w:pPr>
        <w:pStyle w:val="12"/>
        <w:spacing w:line="360" w:lineRule="auto"/>
        <w:ind w:left="0"/>
        <w:rPr>
          <w:rFonts w:ascii="宋体"/>
          <w:sz w:val="24"/>
          <w:szCs w:val="24"/>
        </w:rPr>
      </w:pPr>
      <w:r>
        <w:rPr>
          <w:rFonts w:ascii="宋体"/>
          <w:sz w:val="24"/>
          <w:szCs w:val="24"/>
        </w:rPr>
        <w:t>(2)将质量计量换算为体积计量的换算系数应由监理人确定，并应在此种计量方法使用之前征得承包人的同意。</w:t>
      </w:r>
    </w:p>
    <w:p>
      <w:pPr>
        <w:pStyle w:val="12"/>
        <w:spacing w:line="360" w:lineRule="auto"/>
        <w:ind w:left="0"/>
        <w:rPr>
          <w:rFonts w:ascii="宋体"/>
          <w:sz w:val="24"/>
          <w:szCs w:val="24"/>
        </w:rPr>
      </w:pPr>
      <w:r>
        <w:rPr>
          <w:rFonts w:ascii="宋体"/>
          <w:sz w:val="24"/>
          <w:szCs w:val="24"/>
        </w:rPr>
        <w:t>8.  沥青和水泥</w:t>
      </w:r>
    </w:p>
    <w:p>
      <w:pPr>
        <w:pStyle w:val="12"/>
        <w:spacing w:line="360" w:lineRule="auto"/>
        <w:ind w:left="0"/>
        <w:rPr>
          <w:rFonts w:ascii="宋体"/>
          <w:sz w:val="24"/>
          <w:szCs w:val="24"/>
        </w:rPr>
      </w:pPr>
      <w:r>
        <w:rPr>
          <w:rFonts w:ascii="宋体"/>
          <w:sz w:val="24"/>
          <w:szCs w:val="24"/>
        </w:rPr>
        <w:t>(1)沥青和水泥应以千克为单位计量。</w:t>
      </w:r>
    </w:p>
    <w:p>
      <w:pPr>
        <w:pStyle w:val="12"/>
        <w:spacing w:line="360" w:lineRule="auto"/>
        <w:ind w:left="0"/>
        <w:rPr>
          <w:rFonts w:ascii="宋体"/>
          <w:sz w:val="24"/>
          <w:szCs w:val="24"/>
        </w:rPr>
      </w:pPr>
      <w:r>
        <w:rPr>
          <w:rFonts w:ascii="宋体"/>
          <w:sz w:val="24"/>
          <w:szCs w:val="24"/>
        </w:rPr>
        <w:t>(2)如用货车或其他运输工具装运沥青材料，可以按经过检定的质量或体积计算沥青材料的数量，但要对漏失量或泡沫进行校正。</w:t>
      </w:r>
    </w:p>
    <w:p>
      <w:pPr>
        <w:pStyle w:val="12"/>
        <w:spacing w:line="360" w:lineRule="auto"/>
        <w:ind w:left="0"/>
        <w:rPr>
          <w:rFonts w:ascii="宋体"/>
          <w:sz w:val="24"/>
          <w:szCs w:val="24"/>
        </w:rPr>
      </w:pPr>
      <w:r>
        <w:rPr>
          <w:rFonts w:ascii="宋体"/>
          <w:sz w:val="24"/>
          <w:szCs w:val="24"/>
        </w:rPr>
        <w:t>(3)水泥可以以袋作为计量的依据，但一袋的标准应为50kg。散装水泥应称重</w:t>
      </w:r>
    </w:p>
    <w:p>
      <w:pPr>
        <w:pStyle w:val="12"/>
        <w:spacing w:line="360" w:lineRule="auto"/>
        <w:ind w:left="0"/>
        <w:rPr>
          <w:rFonts w:ascii="宋体"/>
          <w:sz w:val="24"/>
          <w:szCs w:val="24"/>
        </w:rPr>
      </w:pPr>
      <w:r>
        <w:rPr>
          <w:rFonts w:ascii="宋体"/>
          <w:sz w:val="24"/>
          <w:szCs w:val="24"/>
        </w:rPr>
        <w:t>计量。</w:t>
      </w:r>
    </w:p>
    <w:p>
      <w:pPr>
        <w:pStyle w:val="12"/>
        <w:spacing w:line="360" w:lineRule="auto"/>
        <w:ind w:left="0"/>
        <w:rPr>
          <w:rFonts w:ascii="宋体"/>
          <w:sz w:val="24"/>
          <w:szCs w:val="24"/>
        </w:rPr>
      </w:pPr>
      <w:r>
        <w:rPr>
          <w:rFonts w:ascii="宋体"/>
          <w:sz w:val="24"/>
          <w:szCs w:val="24"/>
        </w:rPr>
        <w:t>9. </w:t>
      </w:r>
      <w:r>
        <w:rPr>
          <w:rFonts w:hint="eastAsia" w:ascii="宋体"/>
          <w:sz w:val="24"/>
          <w:szCs w:val="24"/>
          <w:lang w:val="en-US"/>
        </w:rPr>
        <w:t xml:space="preserve"> </w:t>
      </w:r>
      <w:r>
        <w:rPr>
          <w:rFonts w:ascii="宋体"/>
          <w:sz w:val="24"/>
          <w:szCs w:val="24"/>
        </w:rPr>
        <w:t>成套的结构单元</w:t>
      </w:r>
    </w:p>
    <w:p>
      <w:pPr>
        <w:pStyle w:val="12"/>
        <w:spacing w:line="360" w:lineRule="auto"/>
        <w:ind w:left="0"/>
        <w:rPr>
          <w:rFonts w:ascii="宋体"/>
          <w:sz w:val="24"/>
          <w:szCs w:val="24"/>
        </w:rPr>
      </w:pPr>
      <w:r>
        <w:rPr>
          <w:rFonts w:ascii="宋体"/>
          <w:sz w:val="24"/>
          <w:szCs w:val="24"/>
        </w:rPr>
        <w:t>如规定的计量单位是一成套的结构物或结构单元（实际上就是按“总额”或称“一次支付”计的工程子目），该单元应包括了所有必需的设备、配件和附属物及相关作业。</w:t>
      </w:r>
    </w:p>
    <w:p>
      <w:pPr>
        <w:pStyle w:val="12"/>
        <w:spacing w:line="360" w:lineRule="auto"/>
        <w:ind w:left="0"/>
        <w:rPr>
          <w:rFonts w:ascii="宋体"/>
          <w:sz w:val="24"/>
          <w:szCs w:val="24"/>
        </w:rPr>
      </w:pPr>
      <w:r>
        <w:rPr>
          <w:rFonts w:ascii="宋体"/>
          <w:sz w:val="24"/>
          <w:szCs w:val="24"/>
        </w:rPr>
        <w:t>10.  标准制品项目</w:t>
      </w:r>
    </w:p>
    <w:p>
      <w:pPr>
        <w:pStyle w:val="12"/>
        <w:spacing w:line="360" w:lineRule="auto"/>
        <w:ind w:left="0"/>
        <w:rPr>
          <w:rFonts w:ascii="宋体"/>
          <w:sz w:val="24"/>
          <w:szCs w:val="24"/>
        </w:rPr>
      </w:pPr>
      <w:r>
        <w:rPr>
          <w:rFonts w:ascii="宋体"/>
          <w:sz w:val="24"/>
          <w:szCs w:val="24"/>
        </w:rPr>
        <w:t>(1)如规定采用标准制品(如护栏、钢丝、钢板、轧制型材、管子等)，而这类项目又是以标准规格(单位重、截面尺寸等)标识的，则这种标识可以作为计量的标准。</w:t>
      </w:r>
    </w:p>
    <w:p>
      <w:pPr>
        <w:pStyle w:val="12"/>
        <w:spacing w:line="360" w:lineRule="auto"/>
        <w:ind w:left="0"/>
        <w:rPr>
          <w:rFonts w:ascii="宋体"/>
          <w:sz w:val="24"/>
          <w:szCs w:val="24"/>
        </w:rPr>
      </w:pPr>
      <w:r>
        <w:rPr>
          <w:rFonts w:ascii="宋体"/>
          <w:sz w:val="24"/>
          <w:szCs w:val="24"/>
        </w:rPr>
        <w:t>(2)  除非所采用标准制品的允许误差比规范的允许误差要求更严格，否则，生产厂确立的制造允许误差不予认可。</w:t>
      </w:r>
    </w:p>
    <w:p>
      <w:pPr>
        <w:pStyle w:val="10"/>
        <w:ind w:left="31" w:right="50"/>
        <w:rPr>
          <w:b/>
          <w:bCs/>
          <w:sz w:val="28"/>
          <w:szCs w:val="28"/>
        </w:rPr>
      </w:pPr>
      <w:bookmarkStart w:id="85" w:name="_TOC_250019"/>
      <w:bookmarkEnd w:id="85"/>
      <w:r>
        <w:rPr>
          <w:rFonts w:hint="eastAsia"/>
          <w:b/>
          <w:bCs/>
          <w:w w:val="95"/>
          <w:sz w:val="28"/>
          <w:szCs w:val="28"/>
        </w:rPr>
        <w:t>二、计量规则</w:t>
      </w:r>
    </w:p>
    <w:p>
      <w:pPr>
        <w:pStyle w:val="11"/>
        <w:spacing w:before="6"/>
        <w:rPr>
          <w:sz w:val="34"/>
        </w:rPr>
      </w:pPr>
    </w:p>
    <w:p>
      <w:pPr>
        <w:tabs>
          <w:tab w:val="left" w:pos="1399"/>
        </w:tabs>
        <w:ind w:right="50"/>
        <w:jc w:val="center"/>
        <w:rPr>
          <w:sz w:val="28"/>
        </w:rPr>
      </w:pPr>
      <w:r>
        <w:rPr>
          <w:rFonts w:hint="eastAsia"/>
          <w:sz w:val="28"/>
        </w:rPr>
        <w:t>第</w:t>
      </w:r>
      <w:r>
        <w:rPr>
          <w:rFonts w:hint="eastAsia"/>
          <w:spacing w:val="-71"/>
          <w:sz w:val="28"/>
        </w:rPr>
        <w:t xml:space="preserve"> </w:t>
      </w:r>
      <w:r>
        <w:rPr>
          <w:rFonts w:hint="eastAsia"/>
          <w:sz w:val="28"/>
        </w:rPr>
        <w:t>100</w:t>
      </w:r>
      <w:r>
        <w:rPr>
          <w:rFonts w:hint="eastAsia"/>
          <w:spacing w:val="-1"/>
          <w:sz w:val="28"/>
        </w:rPr>
        <w:t xml:space="preserve"> </w:t>
      </w:r>
      <w:r>
        <w:rPr>
          <w:rFonts w:hint="eastAsia"/>
          <w:sz w:val="28"/>
        </w:rPr>
        <w:t>章</w:t>
      </w:r>
      <w:r>
        <w:rPr>
          <w:rFonts w:hint="eastAsia"/>
          <w:sz w:val="28"/>
        </w:rPr>
        <w:tab/>
      </w:r>
      <w:r>
        <w:rPr>
          <w:rFonts w:hint="eastAsia"/>
          <w:spacing w:val="-1"/>
          <w:sz w:val="28"/>
        </w:rPr>
        <w:t>总</w:t>
      </w:r>
      <w:r>
        <w:rPr>
          <w:rFonts w:hint="eastAsia"/>
          <w:sz w:val="28"/>
        </w:rPr>
        <w:t>则</w:t>
      </w:r>
    </w:p>
    <w:p>
      <w:pPr>
        <w:pStyle w:val="11"/>
        <w:rPr>
          <w:sz w:val="18"/>
        </w:rPr>
      </w:pPr>
    </w:p>
    <w:tbl>
      <w:tblPr>
        <w:tblStyle w:val="19"/>
        <w:tblW w:w="9015" w:type="dxa"/>
        <w:tblInd w:w="0" w:type="dxa"/>
        <w:tblLayout w:type="fixed"/>
        <w:tblCellMar>
          <w:top w:w="0" w:type="dxa"/>
          <w:left w:w="108" w:type="dxa"/>
          <w:bottom w:w="0" w:type="dxa"/>
          <w:right w:w="108" w:type="dxa"/>
        </w:tblCellMar>
      </w:tblPr>
      <w:tblGrid>
        <w:gridCol w:w="1161"/>
        <w:gridCol w:w="1769"/>
        <w:gridCol w:w="934"/>
        <w:gridCol w:w="2091"/>
        <w:gridCol w:w="3060"/>
      </w:tblGrid>
      <w:tr>
        <w:tblPrEx>
          <w:tblCellMar>
            <w:top w:w="0" w:type="dxa"/>
            <w:left w:w="108" w:type="dxa"/>
            <w:bottom w:w="0" w:type="dxa"/>
            <w:right w:w="108" w:type="dxa"/>
          </w:tblCellMar>
        </w:tblPrEx>
        <w:trPr>
          <w:trHeight w:val="59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464" w:right="0"/>
              <w:rPr>
                <w:rFonts w:hint="default"/>
              </w:rPr>
            </w:pPr>
            <w:r>
              <w:rPr>
                <w:rFonts w:hint="default"/>
                <w:spacing w:val="-1"/>
                <w:sz w:val="20"/>
              </w:rPr>
              <w:t>子目名称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330" w:right="0"/>
              <w:rPr>
                <w:rFonts w:hint="default"/>
              </w:rPr>
            </w:pPr>
            <w:r>
              <w:rPr>
                <w:rFonts w:hint="default"/>
                <w:spacing w:val="-1"/>
                <w:sz w:val="20"/>
              </w:rPr>
              <w:t>单位</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447" w:right="0"/>
              <w:rPr>
                <w:rFonts w:hint="default"/>
              </w:rPr>
            </w:pPr>
            <w:r>
              <w:rPr>
                <w:rFonts w:hint="default"/>
                <w:spacing w:val="-1"/>
                <w:sz w:val="20"/>
              </w:rPr>
              <w:t>工程量计量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1109"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337" w:right="0"/>
              <w:rPr>
                <w:rFonts w:hint="default"/>
              </w:rPr>
            </w:pPr>
            <w:r>
              <w:rPr>
                <w:rFonts w:hint="default" w:ascii="Times New Roman" w:hAnsi="Times New Roman" w:cs="Times New Roman"/>
                <w:spacing w:val="-1"/>
                <w:sz w:val="20"/>
              </w:rPr>
              <w:t>102-1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282" w:right="0"/>
              <w:rPr>
                <w:rFonts w:hint="default"/>
              </w:rPr>
            </w:pPr>
            <w:r>
              <w:rPr>
                <w:rFonts w:hint="default"/>
                <w:spacing w:val="-1"/>
                <w:sz w:val="20"/>
              </w:rPr>
              <w:t>竣工文件</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按《公路工程竣（交）工验收</w:t>
            </w:r>
          </w:p>
          <w:p>
            <w:pPr>
              <w:keepNext w:val="0"/>
              <w:keepLines w:val="0"/>
              <w:suppressLineNumbers w:val="0"/>
              <w:spacing w:before="0" w:beforeAutospacing="0" w:after="0" w:afterAutospacing="0" w:line="306" w:lineRule="exact"/>
              <w:ind w:left="108" w:right="0"/>
              <w:rPr>
                <w:rFonts w:hint="default"/>
              </w:rPr>
            </w:pPr>
            <w:r>
              <w:rPr>
                <w:rFonts w:hint="default"/>
                <w:spacing w:val="-1"/>
                <w:position w:val="1"/>
                <w:sz w:val="20"/>
              </w:rPr>
              <w:t>办法》、《公路工程竣</w:t>
            </w:r>
            <w:r>
              <w:rPr>
                <w:rFonts w:hint="default" w:ascii="Times New Roman" w:hAnsi="Times New Roman" w:cs="Times New Roman"/>
                <w:spacing w:val="-1"/>
                <w:sz w:val="20"/>
              </w:rPr>
              <w:t>(</w:t>
            </w:r>
            <w:r>
              <w:rPr>
                <w:rFonts w:hint="default"/>
                <w:spacing w:val="-1"/>
                <w:position w:val="1"/>
                <w:sz w:val="20"/>
              </w:rPr>
              <w:t>交</w:t>
            </w:r>
            <w:r>
              <w:rPr>
                <w:rFonts w:hint="default" w:ascii="Times New Roman" w:hAnsi="Times New Roman" w:cs="Times New Roman"/>
                <w:spacing w:val="-1"/>
                <w:sz w:val="20"/>
              </w:rPr>
              <w:t>)</w:t>
            </w:r>
            <w:r>
              <w:rPr>
                <w:rFonts w:hint="default"/>
                <w:spacing w:val="-1"/>
                <w:position w:val="1"/>
                <w:sz w:val="20"/>
              </w:rPr>
              <w:t>工验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收办法实施细则》及合同条款规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定进行编制</w:t>
            </w:r>
          </w:p>
        </w:tc>
      </w:tr>
      <w:tr>
        <w:tblPrEx>
          <w:tblCellMar>
            <w:top w:w="0" w:type="dxa"/>
            <w:left w:w="108" w:type="dxa"/>
            <w:bottom w:w="0" w:type="dxa"/>
            <w:right w:w="108" w:type="dxa"/>
          </w:tblCellMar>
        </w:tblPrEx>
        <w:trPr>
          <w:trHeight w:val="110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337" w:right="0"/>
              <w:rPr>
                <w:rFonts w:hint="default"/>
              </w:rPr>
            </w:pPr>
            <w:r>
              <w:rPr>
                <w:rFonts w:hint="default" w:ascii="Times New Roman" w:hAnsi="Times New Roman" w:cs="Times New Roman"/>
                <w:spacing w:val="-1"/>
                <w:sz w:val="20"/>
              </w:rPr>
              <w:t>102-2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282" w:right="0"/>
              <w:rPr>
                <w:rFonts w:hint="default"/>
              </w:rPr>
            </w:pPr>
            <w:r>
              <w:rPr>
                <w:rFonts w:hint="default"/>
                <w:spacing w:val="-1"/>
                <w:sz w:val="20"/>
              </w:rPr>
              <w:t>施工环保费</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严格遵守国家环境保护部门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及合同条款的相关规定，落实环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境保护。包括实施过程中直接的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或间接的费用</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337" w:right="0"/>
              <w:rPr>
                <w:rFonts w:hint="default"/>
              </w:rPr>
            </w:pPr>
            <w:r>
              <w:rPr>
                <w:rFonts w:hint="default" w:ascii="Times New Roman" w:hAnsi="Times New Roman" w:cs="Times New Roman"/>
                <w:spacing w:val="-1"/>
                <w:sz w:val="20"/>
              </w:rPr>
              <w:t>103-1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8" w:lineRule="exact"/>
              <w:ind w:left="282" w:right="0"/>
              <w:rPr>
                <w:rFonts w:hint="default"/>
              </w:rPr>
            </w:pPr>
            <w:r>
              <w:rPr>
                <w:rFonts w:hint="default"/>
                <w:spacing w:val="-1"/>
                <w:sz w:val="20"/>
              </w:rPr>
              <w:t>临时道路修建、</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养护与拆除（包</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括原道路的养</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承包人根据要求和需要修建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的社会交通便道和施工现场的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便道、便桥（涵），并设置必要</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的交通标志，便道应加强养护、</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降低扬尘。施工结束时，原有道</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路应做一次全面维修保养，临时</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增加的道路应拆除，并经检验合</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格</w:t>
            </w:r>
          </w:p>
        </w:tc>
      </w:tr>
      <w:tr>
        <w:tblPrEx>
          <w:tblCellMar>
            <w:top w:w="0" w:type="dxa"/>
            <w:left w:w="108" w:type="dxa"/>
            <w:bottom w:w="0" w:type="dxa"/>
            <w:right w:w="108" w:type="dxa"/>
          </w:tblCellMar>
        </w:tblPrEx>
        <w:trPr>
          <w:trHeight w:val="463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7" w:lineRule="exact"/>
              <w:ind w:left="337" w:right="0"/>
              <w:rPr>
                <w:rFonts w:hint="default"/>
              </w:rPr>
            </w:pPr>
            <w:r>
              <w:rPr>
                <w:rFonts w:hint="default" w:ascii="Times New Roman" w:hAnsi="Times New Roman" w:cs="Times New Roman"/>
                <w:spacing w:val="-1"/>
                <w:sz w:val="20"/>
              </w:rPr>
              <w:t>103-2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2" w:lineRule="exact"/>
              <w:ind w:left="282" w:right="0"/>
              <w:rPr>
                <w:rFonts w:hint="default"/>
              </w:rPr>
            </w:pPr>
            <w:r>
              <w:rPr>
                <w:rFonts w:hint="default"/>
                <w:spacing w:val="-1"/>
                <w:sz w:val="20"/>
              </w:rPr>
              <w:t>临时工程用地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2"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28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临时占地包含承包人生产、</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生活用地，施工中的取、弃土场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及料场用地，临时工程及附属工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作临时用地等。</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临时占地由承包人向当地</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政府土地管理部门申请，并办理</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租用手续，承包人按有关规定直</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接支付其费用，发包人对此将予</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以协调。</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临时占地退还前，承包人应</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自费恢复到临时占地使用前的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状态。如因承包人撤离后未按要</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求对临时占地进行恢复或虽进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行了恢复但未达到使用标准的，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将由发包人委托第三方对其恢</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复，所发生的费用将从应付给承</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包人的任何款项内扣除。</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337" w:right="0"/>
              <w:rPr>
                <w:rFonts w:hint="default"/>
              </w:rPr>
            </w:pPr>
            <w:r>
              <w:rPr>
                <w:rFonts w:hint="default" w:ascii="Times New Roman" w:hAnsi="Times New Roman" w:cs="Times New Roman"/>
                <w:spacing w:val="-1"/>
                <w:sz w:val="20"/>
              </w:rPr>
              <w:t>103-3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临时供电设施</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架设、维护与拆</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承包人应当在发包人的协助</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下，与当地电力部门联系，建立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临时电力系统，并配备发电设备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作为备用电源，并承担安装、操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作、维修、燃料等相关工作及费</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用。工程交工后，承包人应负责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拆除所安装设备及系统，恢复到</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工程实施前的状态。</w:t>
            </w:r>
          </w:p>
        </w:tc>
      </w:tr>
      <w:tr>
        <w:tblPrEx>
          <w:tblCellMar>
            <w:top w:w="0" w:type="dxa"/>
            <w:left w:w="108" w:type="dxa"/>
            <w:bottom w:w="0" w:type="dxa"/>
            <w:right w:w="108" w:type="dxa"/>
          </w:tblCellMar>
        </w:tblPrEx>
        <w:trPr>
          <w:trHeight w:val="28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337" w:right="0"/>
              <w:rPr>
                <w:rFonts w:hint="default"/>
              </w:rPr>
            </w:pPr>
            <w:r>
              <w:rPr>
                <w:rFonts w:hint="default" w:ascii="Times New Roman" w:hAnsi="Times New Roman" w:cs="Times New Roman"/>
                <w:spacing w:val="-1"/>
                <w:sz w:val="20"/>
              </w:rPr>
              <w:t>103-4</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电信设施的提</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承包人应当在发包人的协助</w:t>
            </w:r>
          </w:p>
        </w:tc>
      </w:tr>
    </w:tbl>
    <w:p>
      <w:pPr>
        <w:spacing w:line="250" w:lineRule="exact"/>
        <w:jc w:val="center"/>
        <w:rPr>
          <w:sz w:val="21"/>
        </w:rPr>
        <w:sectPr>
          <w:pgSz w:w="11910" w:h="16840"/>
          <w:pgMar w:top="1440" w:right="1080" w:bottom="1040" w:left="1420" w:header="882" w:footer="845"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1945"/>
        <w:gridCol w:w="3060"/>
      </w:tblGrid>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7" w:right="0"/>
              <w:rPr>
                <w:rFonts w:hint="default"/>
              </w:rPr>
            </w:pPr>
            <w:r>
              <w:rPr>
                <w:rFonts w:hint="default"/>
                <w:spacing w:val="-1"/>
                <w:sz w:val="20"/>
              </w:rPr>
              <w:t>供、维修与拆除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下，与当地电信部门联系，建立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临时电信系统，并承担安装、操</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作、维修等相关工作及费用。工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程交工后，承包人应负责拆除所</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安装设备及系统，恢复到工程实</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施前的状态。</w:t>
            </w:r>
          </w:p>
        </w:tc>
      </w:tr>
      <w:tr>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7" w:lineRule="exact"/>
              <w:ind w:left="337" w:right="0"/>
              <w:rPr>
                <w:rFonts w:hint="default"/>
              </w:rPr>
            </w:pPr>
            <w:r>
              <w:rPr>
                <w:rFonts w:hint="default" w:ascii="Times New Roman" w:hAnsi="Times New Roman" w:cs="Times New Roman"/>
                <w:spacing w:val="-1"/>
                <w:sz w:val="20"/>
              </w:rPr>
              <w:t>103-5</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80" w:lineRule="auto"/>
              <w:ind w:left="0" w:right="0"/>
              <w:jc w:val="center"/>
              <w:rPr>
                <w:rFonts w:hint="default"/>
                <w:spacing w:val="-1"/>
                <w:sz w:val="20"/>
              </w:rPr>
            </w:pPr>
          </w:p>
          <w:p>
            <w:pPr>
              <w:keepNext w:val="0"/>
              <w:keepLines w:val="0"/>
              <w:suppressLineNumbers w:val="0"/>
              <w:spacing w:before="0" w:beforeAutospacing="0" w:after="0" w:afterAutospacing="0" w:line="480" w:lineRule="auto"/>
              <w:ind w:left="0" w:right="0"/>
              <w:jc w:val="center"/>
              <w:rPr>
                <w:rFonts w:hint="default"/>
                <w:spacing w:val="-1"/>
                <w:sz w:val="20"/>
              </w:rPr>
            </w:pPr>
          </w:p>
          <w:p>
            <w:pPr>
              <w:keepNext w:val="0"/>
              <w:keepLines w:val="0"/>
              <w:suppressLineNumbers w:val="0"/>
              <w:spacing w:before="0" w:beforeAutospacing="0" w:after="0" w:afterAutospacing="0" w:line="480" w:lineRule="auto"/>
              <w:ind w:left="0" w:right="0"/>
              <w:jc w:val="center"/>
              <w:rPr>
                <w:rFonts w:hint="default"/>
              </w:rPr>
            </w:pPr>
            <w:r>
              <w:rPr>
                <w:rFonts w:hint="default"/>
                <w:spacing w:val="-1"/>
                <w:sz w:val="20"/>
              </w:rPr>
              <w:t>临时供水与排污设施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2"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承包人应负责提供、安装和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保养全部施工和生活用水设施，</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保证按施工和生活用水标准供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水，并承担相关费用；工程交工</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后，承包人应拆除全部临时供水</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设施；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承包人应负责安装、维修和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管理临时排污系统，并按国家相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关标准实施排放施工和生活的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污水、废水，并承担相关费用；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工程交工后，承包人应拆除全部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临时排污设施</w:t>
            </w:r>
          </w:p>
        </w:tc>
      </w:tr>
      <w:tr>
        <w:tblPrEx>
          <w:tblCellMar>
            <w:top w:w="0" w:type="dxa"/>
            <w:left w:w="108" w:type="dxa"/>
            <w:bottom w:w="0" w:type="dxa"/>
            <w:right w:w="108" w:type="dxa"/>
          </w:tblCellMar>
        </w:tblPrEx>
        <w:trPr>
          <w:trHeight w:val="246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9" w:lineRule="exact"/>
              <w:ind w:left="337" w:right="0"/>
              <w:rPr>
                <w:rFonts w:hint="default"/>
              </w:rPr>
            </w:pPr>
            <w:r>
              <w:rPr>
                <w:rFonts w:hint="default" w:ascii="Times New Roman" w:hAnsi="Times New Roman" w:cs="Times New Roman"/>
                <w:spacing w:val="-1"/>
                <w:sz w:val="20"/>
              </w:rPr>
              <w:t>104-1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0" w:right="0"/>
              <w:jc w:val="center"/>
              <w:rPr>
                <w:rFonts w:hint="default"/>
              </w:rPr>
            </w:pPr>
            <w:r>
              <w:rPr>
                <w:rFonts w:hint="default"/>
                <w:spacing w:val="-1"/>
                <w:sz w:val="20"/>
              </w:rPr>
              <w:t>承包人驻地建设</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5"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承包人驻地建设包括：施工</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与管理所需的办公室、住房、工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地试验室、车间、工作场地、预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制场地、仓库与储料场、拌和场、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医疗卫生与消防设施等；</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驻地的建设、管理与维护；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工程交工后，按照合同或协</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议要求将驻地移走、清除、恢复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原貌</w:t>
            </w:r>
          </w:p>
        </w:tc>
      </w:tr>
      <w:tr>
        <w:tblPrEx>
          <w:tblCellMar>
            <w:top w:w="0" w:type="dxa"/>
            <w:left w:w="108" w:type="dxa"/>
            <w:bottom w:w="0" w:type="dxa"/>
            <w:right w:w="108" w:type="dxa"/>
          </w:tblCellMar>
        </w:tblPrEx>
        <w:trPr>
          <w:trHeight w:val="191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7" w:lineRule="exact"/>
              <w:ind w:left="337" w:right="0"/>
              <w:rPr>
                <w:rFonts w:hint="default"/>
              </w:rPr>
            </w:pPr>
            <w:r>
              <w:rPr>
                <w:rFonts w:hint="default" w:ascii="Times New Roman" w:hAnsi="Times New Roman" w:cs="Times New Roman"/>
                <w:spacing w:val="-1"/>
                <w:sz w:val="20"/>
              </w:rPr>
              <w:t>105-1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安全生产费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2" w:right="0"/>
              <w:rPr>
                <w:rFonts w:hint="default"/>
              </w:rPr>
            </w:pPr>
            <w:r>
              <w:rPr>
                <w:rFonts w:hint="default"/>
                <w:spacing w:val="-1"/>
                <w:sz w:val="20"/>
              </w:rPr>
              <w:t>按投标价（不含</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安全生产费）的</w:t>
            </w:r>
          </w:p>
          <w:p>
            <w:pPr>
              <w:keepNext w:val="0"/>
              <w:keepLines w:val="0"/>
              <w:suppressLineNumbers w:val="0"/>
              <w:spacing w:before="0" w:beforeAutospacing="0" w:after="0" w:afterAutospacing="0" w:line="306" w:lineRule="exact"/>
              <w:ind w:left="109" w:right="0"/>
              <w:rPr>
                <w:rFonts w:hint="default"/>
              </w:rPr>
            </w:pPr>
            <w:r>
              <w:rPr>
                <w:rFonts w:hint="default" w:ascii="Times New Roman" w:hAnsi="Times New Roman" w:cs="Times New Roman"/>
                <w:spacing w:val="-1"/>
                <w:sz w:val="20"/>
              </w:rPr>
              <w:t>1.5%</w:t>
            </w:r>
            <w:r>
              <w:rPr>
                <w:rFonts w:hint="default"/>
                <w:spacing w:val="-1"/>
                <w:position w:val="1"/>
                <w:sz w:val="20"/>
              </w:rPr>
              <w:t>（若招标人公</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布了最高投标限价</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时，按最高投标限</w:t>
            </w:r>
          </w:p>
          <w:p>
            <w:pPr>
              <w:keepNext w:val="0"/>
              <w:keepLines w:val="0"/>
              <w:suppressLineNumbers w:val="0"/>
              <w:spacing w:before="0" w:beforeAutospacing="0" w:after="0" w:afterAutospacing="0" w:line="308" w:lineRule="exact"/>
              <w:ind w:left="109" w:right="0"/>
              <w:rPr>
                <w:rFonts w:hint="default"/>
              </w:rPr>
            </w:pPr>
            <w:r>
              <w:rPr>
                <w:rFonts w:hint="default"/>
                <w:spacing w:val="-1"/>
                <w:position w:val="1"/>
                <w:sz w:val="20"/>
              </w:rPr>
              <w:t>价的</w:t>
            </w:r>
            <w:r>
              <w:rPr>
                <w:rFonts w:hint="default" w:ascii="Calibri" w:hAnsi="Calibri" w:cs="Calibri"/>
                <w:sz w:val="20"/>
              </w:rPr>
              <w:t> </w:t>
            </w:r>
            <w:r>
              <w:rPr>
                <w:rFonts w:hint="default" w:ascii="Times New Roman" w:hAnsi="Times New Roman" w:cs="Times New Roman"/>
                <w:spacing w:val="-1"/>
                <w:sz w:val="20"/>
              </w:rPr>
              <w:t>1.5%</w:t>
            </w:r>
            <w:r>
              <w:rPr>
                <w:rFonts w:hint="default"/>
                <w:spacing w:val="-1"/>
                <w:position w:val="1"/>
                <w:sz w:val="20"/>
              </w:rPr>
              <w:t>）以总额</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按《中华人民共和国安全生产</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法》、《建设工程安全生产管理</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条例》、《公路水运工程安全生</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产监督管理办法》、《公路工程</w:t>
            </w:r>
          </w:p>
          <w:p>
            <w:pPr>
              <w:keepNext w:val="0"/>
              <w:keepLines w:val="0"/>
              <w:suppressLineNumbers w:val="0"/>
              <w:spacing w:before="0" w:beforeAutospacing="0" w:after="0" w:afterAutospacing="0" w:line="306" w:lineRule="exact"/>
              <w:ind w:left="108" w:right="0"/>
              <w:rPr>
                <w:rFonts w:hint="default"/>
              </w:rPr>
            </w:pPr>
            <w:r>
              <w:rPr>
                <w:rFonts w:hint="default"/>
                <w:spacing w:val="-1"/>
                <w:position w:val="1"/>
                <w:sz w:val="20"/>
              </w:rPr>
              <w:t>施工安全技术规范》（</w:t>
            </w:r>
            <w:r>
              <w:rPr>
                <w:rFonts w:hint="default" w:ascii="Times New Roman" w:hAnsi="Times New Roman" w:cs="Times New Roman"/>
                <w:sz w:val="20"/>
              </w:rPr>
              <w:t>JTG</w:t>
            </w:r>
          </w:p>
          <w:p>
            <w:pPr>
              <w:keepNext w:val="0"/>
              <w:keepLines w:val="0"/>
              <w:suppressLineNumbers w:val="0"/>
              <w:spacing w:before="0" w:beforeAutospacing="0" w:after="0" w:afterAutospacing="0" w:line="274" w:lineRule="exact"/>
              <w:ind w:left="108" w:right="0"/>
              <w:rPr>
                <w:rFonts w:hint="default"/>
              </w:rPr>
            </w:pPr>
            <w:r>
              <w:rPr>
                <w:rFonts w:hint="default" w:ascii="Times New Roman" w:hAnsi="Times New Roman" w:cs="Times New Roman"/>
                <w:spacing w:val="-1"/>
                <w:sz w:val="20"/>
              </w:rPr>
              <w:t>F90-2015</w:t>
            </w:r>
            <w:r>
              <w:rPr>
                <w:rFonts w:hint="default"/>
                <w:position w:val="1"/>
                <w:sz w:val="20"/>
              </w:rPr>
              <w:t>）及合同条款规定落实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安全生产</w:t>
            </w:r>
          </w:p>
        </w:tc>
      </w:tr>
    </w:tbl>
    <w:p>
      <w:pPr>
        <w:spacing w:line="270" w:lineRule="atLeast"/>
        <w:rPr>
          <w:sz w:val="21"/>
        </w:rPr>
        <w:sectPr>
          <w:pgSz w:w="11910" w:h="16840"/>
          <w:pgMar w:top="1440" w:right="1080" w:bottom="1040" w:left="1420" w:header="882" w:footer="845" w:gutter="0"/>
          <w:cols w:space="720" w:num="1"/>
        </w:sectPr>
      </w:pPr>
    </w:p>
    <w:p>
      <w:pPr>
        <w:spacing w:before="139"/>
        <w:ind w:left="86" w:right="194"/>
        <w:jc w:val="center"/>
        <w:rPr>
          <w:sz w:val="28"/>
        </w:rPr>
      </w:pPr>
      <w:r>
        <w:rPr>
          <w:rFonts w:hint="eastAsia"/>
          <w:sz w:val="28"/>
        </w:rPr>
        <w:t>第 200 章 路基</w:t>
      </w:r>
    </w:p>
    <w:p>
      <w:pPr>
        <w:pStyle w:val="11"/>
        <w:spacing w:before="1"/>
        <w:rPr>
          <w:sz w:val="18"/>
        </w:rPr>
      </w:pPr>
    </w:p>
    <w:tbl>
      <w:tblPr>
        <w:tblStyle w:val="19"/>
        <w:tblW w:w="9015" w:type="dxa"/>
        <w:tblInd w:w="0" w:type="dxa"/>
        <w:tblLayout w:type="fixed"/>
        <w:tblCellMar>
          <w:top w:w="0" w:type="dxa"/>
          <w:left w:w="108" w:type="dxa"/>
          <w:bottom w:w="0" w:type="dxa"/>
          <w:right w:w="108" w:type="dxa"/>
        </w:tblCellMar>
      </w:tblPr>
      <w:tblGrid>
        <w:gridCol w:w="1008"/>
        <w:gridCol w:w="1422"/>
        <w:gridCol w:w="720"/>
        <w:gridCol w:w="3110"/>
        <w:gridCol w:w="2755"/>
      </w:tblGrid>
      <w:tr>
        <w:tblPrEx>
          <w:tblCellMar>
            <w:top w:w="0" w:type="dxa"/>
            <w:left w:w="108" w:type="dxa"/>
            <w:bottom w:w="0" w:type="dxa"/>
            <w:right w:w="108" w:type="dxa"/>
          </w:tblCellMar>
        </w:tblPrEx>
        <w:trPr>
          <w:trHeight w:val="4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188" w:right="0"/>
              <w:rPr>
                <w:rFonts w:hint="default"/>
              </w:rPr>
            </w:pPr>
            <w:r>
              <w:rPr>
                <w:rFonts w:hint="default"/>
                <w:spacing w:val="-1"/>
                <w:sz w:val="20"/>
              </w:rPr>
              <w:t>子目号</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430" w:right="0"/>
              <w:rPr>
                <w:rFonts w:hint="default"/>
              </w:rPr>
            </w:pPr>
            <w:r>
              <w:rPr>
                <w:rFonts w:hint="default"/>
                <w:spacing w:val="-1"/>
                <w:sz w:val="20"/>
              </w:rPr>
              <w:t>子目名称</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215" w:right="0"/>
              <w:rPr>
                <w:rFonts w:hint="default"/>
              </w:rPr>
            </w:pPr>
            <w:r>
              <w:rPr>
                <w:rFonts w:hint="default"/>
                <w:spacing w:val="-1"/>
                <w:sz w:val="20"/>
              </w:rPr>
              <w:t>单位</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944" w:right="0"/>
              <w:rPr>
                <w:rFonts w:hint="default"/>
              </w:rPr>
            </w:pPr>
            <w:r>
              <w:rPr>
                <w:rFonts w:hint="default"/>
                <w:spacing w:val="-1"/>
                <w:sz w:val="20"/>
              </w:rPr>
              <w:t>工程量计量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44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1" w:lineRule="exact"/>
              <w:ind w:left="260" w:right="0"/>
              <w:rPr>
                <w:rFonts w:hint="default"/>
              </w:rPr>
            </w:pPr>
            <w:r>
              <w:rPr>
                <w:rFonts w:hint="default" w:ascii="Times New Roman" w:hAnsi="Times New Roman" w:cs="Times New Roman"/>
                <w:spacing w:val="-1"/>
                <w:sz w:val="20"/>
              </w:rPr>
              <w:t>202-1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281" w:right="0"/>
              <w:rPr>
                <w:rFonts w:hint="default"/>
              </w:rPr>
            </w:pPr>
            <w:r>
              <w:rPr>
                <w:rFonts w:hint="default"/>
                <w:spacing w:val="-1"/>
                <w:sz w:val="20"/>
              </w:rPr>
              <w:t>清理与掘除</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r>
      <w:tr>
        <w:tblPrEx>
          <w:tblCellMar>
            <w:top w:w="0" w:type="dxa"/>
            <w:left w:w="108" w:type="dxa"/>
            <w:bottom w:w="0" w:type="dxa"/>
            <w:right w:w="108" w:type="dxa"/>
          </w:tblCellMar>
        </w:tblPrEx>
        <w:trPr>
          <w:trHeight w:val="287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6" w:lineRule="exact"/>
              <w:ind w:left="423" w:right="0"/>
              <w:rPr>
                <w:rFonts w:hint="default"/>
              </w:rPr>
            </w:pPr>
            <w:r>
              <w:rPr>
                <w:rFonts w:hint="default"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1" w:lineRule="exact"/>
              <w:ind w:left="281" w:right="0"/>
              <w:rPr>
                <w:rFonts w:hint="default"/>
              </w:rPr>
            </w:pPr>
            <w:r>
              <w:rPr>
                <w:rFonts w:hint="default"/>
                <w:spacing w:val="-1"/>
                <w:sz w:val="20"/>
              </w:rPr>
              <w:t>清理现场</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9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依据图纸所示位置及范围</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（路基范围以外临时工程用</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地清场等除外），按路基开挖</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线或填筑边线之间的水平投</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影面积以平方米为单位计量；</w:t>
            </w:r>
          </w:p>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2.</w:t>
            </w:r>
            <w:r>
              <w:rPr>
                <w:rFonts w:hint="default"/>
                <w:spacing w:val="-1"/>
                <w:position w:val="1"/>
                <w:sz w:val="20"/>
              </w:rPr>
              <w:t>因压实而产生的下沉量，</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220" w:rightChars="-100"/>
              <w:rPr>
                <w:rFonts w:hint="default"/>
              </w:rPr>
            </w:pPr>
            <w:r>
              <w:rPr>
                <w:rFonts w:hint="default" w:ascii="Times New Roman" w:hAnsi="Times New Roman" w:cs="Times New Roman"/>
                <w:sz w:val="20"/>
              </w:rPr>
              <w:t>1.</w:t>
            </w:r>
            <w:r>
              <w:rPr>
                <w:rFonts w:hint="default"/>
                <w:spacing w:val="-1"/>
                <w:position w:val="1"/>
                <w:sz w:val="20"/>
              </w:rPr>
              <w:t>灌木、竹林、胸径小于</w:t>
            </w:r>
            <w:r>
              <w:rPr>
                <w:rFonts w:hint="default" w:ascii="Calibri" w:hAnsi="Calibri" w:cs="Calibri"/>
                <w:sz w:val="20"/>
              </w:rPr>
              <w:t> </w:t>
            </w:r>
            <w:r>
              <w:rPr>
                <w:rFonts w:hint="default" w:ascii="Times New Roman" w:hAnsi="Times New Roman" w:cs="Times New Roman"/>
                <w:spacing w:val="-1"/>
                <w:sz w:val="20"/>
              </w:rPr>
              <w:t>10cm</w:t>
            </w:r>
            <w:r>
              <w:rPr>
                <w:rFonts w:hint="default" w:ascii="Calibri" w:hAnsi="Calibri" w:cs="Calibri"/>
                <w:sz w:val="20"/>
              </w:rPr>
              <w:t> </w:t>
            </w:r>
            <w:r>
              <w:rPr>
                <w:rFonts w:hint="default"/>
                <w:spacing w:val="-1"/>
                <w:position w:val="1"/>
                <w:sz w:val="20"/>
              </w:rPr>
              <w:t>树木的砍伐及挖</w:t>
            </w:r>
            <w:r>
              <w:rPr>
                <w:rFonts w:hint="default"/>
                <w:spacing w:val="-1"/>
                <w:sz w:val="20"/>
              </w:rPr>
              <w:t>根；</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清除场地表面</w:t>
            </w:r>
            <w:r>
              <w:rPr>
                <w:rFonts w:hint="default" w:ascii="Calibri" w:hAnsi="Calibri" w:cs="Calibri"/>
                <w:spacing w:val="-10"/>
                <w:sz w:val="20"/>
              </w:rPr>
              <w:t> </w:t>
            </w:r>
            <w:r>
              <w:rPr>
                <w:rFonts w:hint="default" w:ascii="Times New Roman" w:hAnsi="Times New Roman" w:cs="Times New Roman"/>
                <w:spacing w:val="-1"/>
                <w:sz w:val="20"/>
              </w:rPr>
              <w:t>0~30cm</w:t>
            </w:r>
            <w:r>
              <w:rPr>
                <w:rFonts w:hint="default"/>
                <w:spacing w:val="-1"/>
                <w:sz w:val="20"/>
              </w:rPr>
              <w:t>范围内的垃圾、废料、表土（腐殖土）、石头、草皮；</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与清理现场有关的一</w:t>
            </w:r>
            <w:r>
              <w:rPr>
                <w:rFonts w:hint="default"/>
                <w:spacing w:val="-1"/>
                <w:sz w:val="20"/>
              </w:rPr>
              <w:t>切挖方、坑穴的回填、清理现场后回填至原地面、整平、压实；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适用材料的装卸、移</w:t>
            </w:r>
            <w:r>
              <w:rPr>
                <w:rFonts w:hint="default"/>
                <w:spacing w:val="-1"/>
                <w:sz w:val="20"/>
              </w:rPr>
              <w:t>运、堆放及非适用材料的移运处理；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5.</w:t>
            </w:r>
            <w:r>
              <w:rPr>
                <w:rFonts w:hint="default"/>
                <w:spacing w:val="-1"/>
                <w:position w:val="1"/>
                <w:sz w:val="20"/>
              </w:rPr>
              <w:t>现场清理</w:t>
            </w:r>
          </w:p>
        </w:tc>
      </w:tr>
      <w:tr>
        <w:tblPrEx>
          <w:tblCellMar>
            <w:top w:w="0" w:type="dxa"/>
            <w:left w:w="108" w:type="dxa"/>
            <w:bottom w:w="0" w:type="dxa"/>
            <w:right w:w="108" w:type="dxa"/>
          </w:tblCellMar>
        </w:tblPrEx>
        <w:trPr>
          <w:trHeight w:val="16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6" w:lineRule="exact"/>
              <w:ind w:left="416" w:right="0"/>
              <w:rPr>
                <w:rFonts w:hint="default"/>
              </w:rPr>
            </w:pPr>
            <w:r>
              <w:rPr>
                <w:rFonts w:hint="default" w:ascii="Times New Roman" w:hAnsi="Times New Roman" w:cs="Times New Roman"/>
                <w:spacing w:val="-1"/>
                <w:sz w:val="20"/>
              </w:rPr>
              <w:t>-b</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0" w:right="0"/>
              <w:rPr>
                <w:rFonts w:hint="default"/>
              </w:rPr>
            </w:pPr>
            <w:r>
              <w:rPr>
                <w:rFonts w:hint="default"/>
                <w:spacing w:val="-1"/>
                <w:sz w:val="20"/>
              </w:rPr>
              <w:t>砍伐树木、挖</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除树根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320" w:right="0"/>
              <w:rPr>
                <w:rFonts w:hint="default"/>
              </w:rPr>
            </w:pPr>
            <w:r>
              <w:rPr>
                <w:rFonts w:hint="default"/>
                <w:spacing w:val="-1"/>
                <w:sz w:val="20"/>
              </w:rPr>
              <w:t>棵</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spacing w:val="-1"/>
                <w:sz w:val="20"/>
              </w:rPr>
              <w:t>依据图纸所示路基范围内胸</w:t>
            </w:r>
          </w:p>
          <w:p>
            <w:pPr>
              <w:keepNext w:val="0"/>
              <w:keepLines w:val="0"/>
              <w:suppressLineNumbers w:val="0"/>
              <w:spacing w:before="0" w:beforeAutospacing="0" w:after="0" w:afterAutospacing="0" w:line="260" w:lineRule="exact"/>
              <w:ind w:left="109" w:right="0"/>
              <w:rPr>
                <w:rFonts w:hint="default"/>
              </w:rPr>
            </w:pPr>
            <w:r>
              <w:rPr>
                <w:rFonts w:hint="default"/>
                <w:spacing w:val="-1"/>
                <w:position w:val="1"/>
                <w:sz w:val="20"/>
              </w:rPr>
              <w:t>径</w:t>
            </w:r>
            <w:r>
              <w:rPr>
                <w:rFonts w:hint="default" w:ascii="Calibri" w:hAnsi="Calibri" w:cs="Calibri"/>
                <w:sz w:val="20"/>
              </w:rPr>
              <w:t> </w:t>
            </w:r>
            <w:r>
              <w:rPr>
                <w:rFonts w:hint="default" w:ascii="Times New Roman" w:hAnsi="Times New Roman" w:cs="Times New Roman"/>
                <w:spacing w:val="-1"/>
                <w:sz w:val="20"/>
              </w:rPr>
              <w:t>10cm</w:t>
            </w:r>
            <w:r>
              <w:rPr>
                <w:rFonts w:hint="default" w:ascii="Calibri" w:hAnsi="Calibri" w:cs="Calibri"/>
                <w:sz w:val="20"/>
              </w:rPr>
              <w:t> </w:t>
            </w:r>
            <w:r>
              <w:rPr>
                <w:rFonts w:hint="default"/>
                <w:spacing w:val="-1"/>
                <w:position w:val="1"/>
                <w:sz w:val="20"/>
              </w:rPr>
              <w:t>以上（含</w:t>
            </w:r>
            <w:r>
              <w:rPr>
                <w:rFonts w:hint="default" w:ascii="Calibri" w:hAnsi="Calibri" w:cs="Calibri"/>
                <w:sz w:val="20"/>
              </w:rPr>
              <w:t> </w:t>
            </w:r>
            <w:r>
              <w:rPr>
                <w:rFonts w:hint="default" w:ascii="Times New Roman" w:hAnsi="Times New Roman" w:cs="Times New Roman"/>
                <w:spacing w:val="-1"/>
                <w:sz w:val="20"/>
              </w:rPr>
              <w:t>10cm</w:t>
            </w:r>
            <w:r>
              <w:rPr>
                <w:rFonts w:hint="default"/>
                <w:position w:val="1"/>
                <w:sz w:val="20"/>
              </w:rPr>
              <w:t>）的树</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木及树根，按实际砍伐及挖除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数量以棵为单位计量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砍伐；</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截锯；</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挖除树根；</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装卸、移运至指定地</w:t>
            </w:r>
            <w:r>
              <w:rPr>
                <w:rFonts w:hint="default"/>
                <w:spacing w:val="-1"/>
                <w:sz w:val="20"/>
              </w:rPr>
              <w:t>点堆放；</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5.</w:t>
            </w:r>
            <w:r>
              <w:rPr>
                <w:rFonts w:hint="default"/>
                <w:spacing w:val="-1"/>
                <w:position w:val="1"/>
                <w:sz w:val="20"/>
              </w:rPr>
              <w:t>树坑回填、夯实；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6.</w:t>
            </w:r>
            <w:r>
              <w:rPr>
                <w:rFonts w:hint="default"/>
                <w:spacing w:val="-1"/>
                <w:position w:val="1"/>
                <w:sz w:val="20"/>
              </w:rPr>
              <w:t>现场清理</w:t>
            </w:r>
          </w:p>
        </w:tc>
      </w:tr>
      <w:tr>
        <w:tblPrEx>
          <w:tblCellMar>
            <w:top w:w="0" w:type="dxa"/>
            <w:left w:w="108" w:type="dxa"/>
            <w:bottom w:w="0" w:type="dxa"/>
            <w:right w:w="108" w:type="dxa"/>
          </w:tblCellMar>
        </w:tblPrEx>
        <w:trPr>
          <w:trHeight w:val="2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260" w:right="0"/>
              <w:rPr>
                <w:rFonts w:hint="default"/>
              </w:rPr>
            </w:pPr>
            <w:r>
              <w:rPr>
                <w:rFonts w:hint="default" w:ascii="Times New Roman" w:hAnsi="Times New Roman" w:cs="Times New Roman"/>
                <w:spacing w:val="-1"/>
                <w:sz w:val="20"/>
              </w:rPr>
              <w:t>202-2</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1" w:right="0"/>
              <w:rPr>
                <w:rFonts w:hint="default"/>
              </w:rPr>
            </w:pPr>
            <w:r>
              <w:rPr>
                <w:rFonts w:hint="default"/>
                <w:spacing w:val="-1"/>
                <w:sz w:val="20"/>
              </w:rPr>
              <w:t>挖除旧路面</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路基范围内原有的旧路面，按</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不同的路面结构类型以立方</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米为单位计量；</w:t>
            </w:r>
          </w:p>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2.</w:t>
            </w:r>
            <w:r>
              <w:rPr>
                <w:rFonts w:hint="default"/>
                <w:spacing w:val="-1"/>
                <w:position w:val="1"/>
                <w:sz w:val="20"/>
              </w:rPr>
              <w:t>挖除旧路面后的借方或利</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用方回填至原路面标高并压</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实、面层以下各结构层的挖除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费用应列入挖除旧路面单价</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之内，不另行计量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挖除；</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装卸、移运、掩埋处</w:t>
            </w:r>
            <w:r>
              <w:rPr>
                <w:rFonts w:hint="default"/>
                <w:spacing w:val="-1"/>
                <w:sz w:val="20"/>
              </w:rPr>
              <w:t>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路床碾压、回填至原</w:t>
            </w:r>
            <w:r>
              <w:rPr>
                <w:rFonts w:hint="default"/>
                <w:spacing w:val="-1"/>
                <w:sz w:val="20"/>
              </w:rPr>
              <w:t>地面标高；</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场地清理、平整、压</w:t>
            </w:r>
            <w:r>
              <w:rPr>
                <w:rFonts w:hint="default"/>
                <w:spacing w:val="-1"/>
                <w:sz w:val="20"/>
              </w:rPr>
              <w:t>实</w:t>
            </w:r>
          </w:p>
        </w:tc>
      </w:tr>
      <w:tr>
        <w:tblPrEx>
          <w:tblCellMar>
            <w:top w:w="0" w:type="dxa"/>
            <w:left w:w="108" w:type="dxa"/>
            <w:bottom w:w="0" w:type="dxa"/>
            <w:right w:w="108" w:type="dxa"/>
          </w:tblCellMar>
        </w:tblPrEx>
        <w:trPr>
          <w:trHeight w:val="15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2" w:lineRule="exact"/>
              <w:ind w:left="260" w:right="0"/>
              <w:rPr>
                <w:rFonts w:hint="default"/>
              </w:rPr>
            </w:pPr>
            <w:r>
              <w:rPr>
                <w:rFonts w:hint="default" w:ascii="Times New Roman" w:hAnsi="Times New Roman" w:cs="Times New Roman"/>
                <w:spacing w:val="-1"/>
                <w:sz w:val="20"/>
              </w:rPr>
              <w:t>202-3</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3" w:lineRule="exact"/>
              <w:ind w:left="281" w:right="0"/>
              <w:rPr>
                <w:rFonts w:hint="default"/>
              </w:rPr>
            </w:pPr>
            <w:r>
              <w:rPr>
                <w:rFonts w:hint="default"/>
                <w:spacing w:val="-1"/>
                <w:sz w:val="20"/>
              </w:rPr>
              <w:t>拆除结构物</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spacing w:val="-1"/>
                <w:sz w:val="20"/>
              </w:rPr>
              <w:t>依据图纸所示位置，拆除路</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基范围内原有的结构物，分不</w:t>
            </w:r>
          </w:p>
          <w:p>
            <w:pPr>
              <w:keepNext w:val="0"/>
              <w:keepLines w:val="0"/>
              <w:suppressLineNumbers w:val="0"/>
              <w:spacing w:before="0" w:beforeAutospacing="0" w:after="0" w:afterAutospacing="0" w:line="260" w:lineRule="exact"/>
              <w:ind w:left="109" w:right="0"/>
              <w:rPr>
                <w:rFonts w:hint="default"/>
              </w:rPr>
            </w:pPr>
            <w:r>
              <w:rPr>
                <w:rFonts w:hint="default"/>
                <w:sz w:val="20"/>
              </w:rPr>
              <w:t>同类型（钢筋混凝土、混凝土、</w:t>
            </w:r>
            <w:r>
              <w:rPr>
                <w:rFonts w:hint="default"/>
                <w:spacing w:val="-1"/>
                <w:sz w:val="20"/>
              </w:rPr>
              <w:t>砖石及其他砌体），以立方米</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挖除；</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装卸、移运、废料处</w:t>
            </w:r>
            <w:r>
              <w:rPr>
                <w:rFonts w:hint="default"/>
                <w:spacing w:val="-1"/>
                <w:sz w:val="20"/>
              </w:rPr>
              <w:t>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坑穴回填、压实；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场地清理、平整</w:t>
            </w:r>
          </w:p>
        </w:tc>
      </w:tr>
      <w:tr>
        <w:tblPrEx>
          <w:tblCellMar>
            <w:top w:w="0" w:type="dxa"/>
            <w:left w:w="108" w:type="dxa"/>
            <w:bottom w:w="0" w:type="dxa"/>
            <w:right w:w="108" w:type="dxa"/>
          </w:tblCellMar>
        </w:tblPrEx>
        <w:trPr>
          <w:trHeight w:val="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5" w:lineRule="exact"/>
              <w:ind w:left="260" w:right="0"/>
              <w:rPr>
                <w:rFonts w:hint="default"/>
              </w:rPr>
            </w:pPr>
            <w:r>
              <w:rPr>
                <w:rFonts w:hint="default" w:ascii="Times New Roman" w:hAnsi="Times New Roman" w:cs="Times New Roman"/>
                <w:spacing w:val="-1"/>
                <w:sz w:val="20"/>
              </w:rPr>
              <w:t>203-1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281" w:right="0"/>
              <w:rPr>
                <w:rFonts w:hint="default"/>
              </w:rPr>
            </w:pPr>
            <w:r>
              <w:rPr>
                <w:rFonts w:hint="default"/>
                <w:spacing w:val="-1"/>
                <w:sz w:val="20"/>
              </w:rPr>
              <w:t>路基挖方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r>
      <w:tr>
        <w:tblPrEx>
          <w:tblCellMar>
            <w:top w:w="0" w:type="dxa"/>
            <w:left w:w="108" w:type="dxa"/>
            <w:bottom w:w="0" w:type="dxa"/>
            <w:right w:w="108" w:type="dxa"/>
          </w:tblCellMar>
        </w:tblPrEx>
        <w:trPr>
          <w:trHeight w:val="23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7" w:lineRule="exact"/>
              <w:ind w:left="423" w:right="0"/>
              <w:rPr>
                <w:rFonts w:hint="default"/>
              </w:rPr>
            </w:pPr>
            <w:r>
              <w:rPr>
                <w:rFonts w:hint="default"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5" w:lineRule="exact"/>
              <w:ind w:left="281" w:right="0"/>
              <w:rPr>
                <w:rFonts w:hint="default"/>
              </w:rPr>
            </w:pPr>
            <w:r>
              <w:rPr>
                <w:rFonts w:hint="default"/>
                <w:spacing w:val="-1"/>
                <w:sz w:val="20"/>
              </w:rPr>
              <w:t>挖土方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例，采用平均断面面积法计</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算，包括边沟、排水沟、截水</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沟的土方，按照天然密实体积</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在挖土方路段、零填挖路</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挖、装、运输、卸车；</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填料分理、弃土整形、</w:t>
            </w:r>
            <w:r>
              <w:rPr>
                <w:rFonts w:hint="default"/>
                <w:spacing w:val="-1"/>
                <w:sz w:val="20"/>
              </w:rPr>
              <w:t>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施工排水处理；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边坡整修、路床顶面以下挖松深</w:t>
            </w:r>
            <w:r>
              <w:rPr>
                <w:rFonts w:hint="default" w:ascii="Calibri" w:hAnsi="Calibri" w:cs="Calibri"/>
                <w:sz w:val="20"/>
              </w:rPr>
              <w:t> </w:t>
            </w:r>
            <w:r>
              <w:rPr>
                <w:rFonts w:hint="default" w:ascii="Times New Roman" w:hAnsi="Times New Roman" w:cs="Times New Roman"/>
                <w:spacing w:val="-1"/>
                <w:sz w:val="20"/>
              </w:rPr>
              <w:t>300mm</w:t>
            </w:r>
            <w:r>
              <w:rPr>
                <w:rFonts w:hint="default" w:ascii="Calibri" w:hAnsi="Calibri" w:cs="Calibri"/>
                <w:sz w:val="20"/>
              </w:rPr>
              <w:t> </w:t>
            </w:r>
            <w:r>
              <w:rPr>
                <w:rFonts w:hint="default"/>
                <w:spacing w:val="-1"/>
                <w:position w:val="1"/>
                <w:sz w:val="20"/>
              </w:rPr>
              <w:t>再压</w:t>
            </w:r>
            <w:r>
              <w:rPr>
                <w:rFonts w:hint="default"/>
                <w:spacing w:val="-1"/>
                <w:sz w:val="20"/>
              </w:rPr>
              <w:t>实、路床清理</w:t>
            </w:r>
          </w:p>
        </w:tc>
      </w:tr>
    </w:tbl>
    <w:p>
      <w:pPr>
        <w:spacing w:line="242" w:lineRule="auto"/>
        <w:jc w:val="both"/>
        <w:rPr>
          <w:sz w:val="21"/>
        </w:rPr>
        <w:sectPr>
          <w:footerReference r:id="rId18" w:type="default"/>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段、低填路段的路床顶面以下</w:t>
            </w:r>
          </w:p>
          <w:p>
            <w:pPr>
              <w:keepNext w:val="0"/>
              <w:keepLines w:val="0"/>
              <w:suppressLineNumbers w:val="0"/>
              <w:spacing w:before="0" w:beforeAutospacing="0" w:after="0" w:afterAutospacing="0" w:line="308" w:lineRule="exact"/>
              <w:ind w:left="109" w:right="0"/>
              <w:rPr>
                <w:rFonts w:hint="default"/>
              </w:rPr>
            </w:pPr>
            <w:r>
              <w:rPr>
                <w:rFonts w:hint="default" w:ascii="Times New Roman" w:hAnsi="Times New Roman" w:cs="Times New Roman"/>
                <w:spacing w:val="-1"/>
                <w:sz w:val="20"/>
              </w:rPr>
              <w:t>0</w:t>
            </w:r>
            <w:r>
              <w:rPr>
                <w:rFonts w:hint="default"/>
                <w:spacing w:val="-1"/>
                <w:position w:val="1"/>
                <w:sz w:val="20"/>
              </w:rPr>
              <w:t>～</w:t>
            </w:r>
            <w:r>
              <w:rPr>
                <w:rFonts w:hint="default" w:ascii="Times New Roman" w:hAnsi="Times New Roman" w:cs="Times New Roman"/>
                <w:spacing w:val="-1"/>
                <w:sz w:val="20"/>
              </w:rPr>
              <w:t>800mm</w:t>
            </w:r>
            <w:r>
              <w:rPr>
                <w:rFonts w:hint="default" w:ascii="Calibri" w:hAnsi="Calibri" w:cs="Calibri"/>
                <w:sz w:val="20"/>
              </w:rPr>
              <w:t> </w:t>
            </w:r>
            <w:r>
              <w:rPr>
                <w:rFonts w:hint="default"/>
                <w:spacing w:val="-1"/>
                <w:position w:val="1"/>
                <w:sz w:val="20"/>
              </w:rPr>
              <w:t>范围内的压实度不</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满足技术规范要求时，按规范</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要求所采取的翻松、压实，作</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为挖土方的附属工作，不另行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结构物台背回填的挖运土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方不另行计量，桥梁及明涵的</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搭板、埋板下的路面结构层在</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相应章节内计量；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挖台阶的土方作为附属工</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5"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94" w:lineRule="exact"/>
              <w:ind w:left="281" w:right="0"/>
              <w:rPr>
                <w:rFonts w:hint="default"/>
              </w:rPr>
            </w:pPr>
            <w:r>
              <w:rPr>
                <w:rFonts w:hint="default"/>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例，按平均断面积法计算，包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括边沟、排水沟、截水沟的石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方，按照天然体积以立方米为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爆破安全措施、运输</w:t>
            </w:r>
            <w:r>
              <w:rPr>
                <w:rFonts w:hint="default" w:ascii="Times New Roman" w:hAnsi="Times New Roman" w:cs="Times New Roman"/>
                <w:spacing w:val="-1"/>
                <w:sz w:val="20"/>
              </w:rPr>
              <w:t>(</w:t>
            </w:r>
            <w:r>
              <w:rPr>
                <w:rFonts w:hint="default"/>
                <w:spacing w:val="-1"/>
                <w:position w:val="1"/>
                <w:sz w:val="20"/>
              </w:rPr>
              <w:t>不论</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运距远近</w:t>
            </w:r>
            <w:r>
              <w:rPr>
                <w:rFonts w:hint="default" w:ascii="Times New Roman" w:hAnsi="Times New Roman" w:cs="Times New Roman"/>
                <w:spacing w:val="-1"/>
                <w:sz w:val="20"/>
              </w:rPr>
              <w:t>)</w:t>
            </w:r>
            <w:r>
              <w:rPr>
                <w:rFonts w:hint="default"/>
                <w:spacing w:val="-1"/>
                <w:position w:val="1"/>
                <w:sz w:val="20"/>
              </w:rPr>
              <w:t>和堆放、质量检验、</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临时道路和临时排水均属于</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附属工作，不另行计量与支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付；</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挖台阶的土方作为附属工</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281" w:right="0"/>
              <w:rPr>
                <w:rFonts w:hint="default"/>
              </w:rPr>
            </w:pPr>
            <w:r>
              <w:rPr>
                <w:rFonts w:hint="default" w:ascii="Times New Roman" w:hAnsi="Times New Roman" w:cs="Times New Roman"/>
                <w:sz w:val="20"/>
              </w:rPr>
              <w:t>1.</w:t>
            </w:r>
            <w:r>
              <w:rPr>
                <w:rFonts w:hint="default"/>
                <w:spacing w:val="-1"/>
                <w:position w:val="1"/>
                <w:sz w:val="20"/>
              </w:rPr>
              <w:t>石方爆破；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填料分理、弃土整形、</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边坡整修、路床顶面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凿平或填平压实、路床清</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7"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5" w:lineRule="exact"/>
              <w:ind w:left="281" w:right="0"/>
              <w:rPr>
                <w:rFonts w:hint="default"/>
              </w:rPr>
            </w:pPr>
            <w:r>
              <w:rPr>
                <w:rFonts w:hint="default"/>
                <w:spacing w:val="-1"/>
                <w:sz w:val="20"/>
              </w:rPr>
              <w:t>挖除非适用材</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9"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基范围内非适用材料（不含淤</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7"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1" w:right="0"/>
              <w:rPr>
                <w:rFonts w:hint="default"/>
              </w:rPr>
            </w:pPr>
            <w:r>
              <w:rPr>
                <w:rFonts w:hint="default"/>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基范围内淤泥以立方米为单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73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04" w:lineRule="exact"/>
              <w:ind w:left="260" w:right="0"/>
              <w:rPr>
                <w:rFonts w:hint="default"/>
              </w:rPr>
            </w:pPr>
            <w:r>
              <w:rPr>
                <w:rFonts w:hint="default" w:ascii="Times New Roman" w:hAnsi="Times New Roman" w:cs="Times New Roman"/>
                <w:spacing w:val="-1"/>
                <w:sz w:val="20"/>
              </w:rPr>
              <w:t>203-2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2" w:lineRule="exact"/>
              <w:ind w:left="281" w:right="0"/>
              <w:rPr>
                <w:rFonts w:hint="default"/>
              </w:rPr>
            </w:pPr>
            <w:r>
              <w:rPr>
                <w:rFonts w:hint="default"/>
                <w:spacing w:val="-1"/>
                <w:sz w:val="20"/>
              </w:rPr>
              <w:t>改河、改渠、</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改路挖方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3" w:lineRule="exact"/>
              <w:ind w:left="281" w:right="0"/>
              <w:rPr>
                <w:rFonts w:hint="default"/>
              </w:rPr>
            </w:pPr>
            <w:r>
              <w:rPr>
                <w:rFonts w:hint="default"/>
                <w:spacing w:val="-1"/>
                <w:sz w:val="20"/>
              </w:rPr>
              <w:t>挖土方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例，采用平均断面面积法计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算，包括边沟、排水沟、截水</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沟的土方，按照天然密实体积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在挖土方路段、零填挖路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段、低填路段的路床顶面以下</w:t>
            </w:r>
          </w:p>
          <w:p>
            <w:pPr>
              <w:keepNext w:val="0"/>
              <w:keepLines w:val="0"/>
              <w:suppressLineNumbers w:val="0"/>
              <w:spacing w:before="0" w:beforeAutospacing="0" w:after="0" w:afterAutospacing="0" w:line="306" w:lineRule="exact"/>
              <w:ind w:left="109" w:right="0"/>
              <w:rPr>
                <w:rFonts w:hint="default"/>
              </w:rPr>
            </w:pPr>
            <w:r>
              <w:rPr>
                <w:rFonts w:hint="default" w:ascii="Times New Roman" w:hAnsi="Times New Roman" w:cs="Times New Roman"/>
                <w:spacing w:val="-1"/>
                <w:sz w:val="20"/>
              </w:rPr>
              <w:t>0</w:t>
            </w:r>
            <w:r>
              <w:rPr>
                <w:rFonts w:hint="default"/>
                <w:spacing w:val="-1"/>
                <w:position w:val="1"/>
                <w:sz w:val="20"/>
              </w:rPr>
              <w:t>～</w:t>
            </w:r>
            <w:r>
              <w:rPr>
                <w:rFonts w:hint="default" w:ascii="Times New Roman" w:hAnsi="Times New Roman" w:cs="Times New Roman"/>
                <w:spacing w:val="-1"/>
                <w:sz w:val="20"/>
              </w:rPr>
              <w:t>800mm</w:t>
            </w:r>
            <w:r>
              <w:rPr>
                <w:rFonts w:hint="default" w:ascii="Calibri" w:hAnsi="Calibri" w:cs="Calibri"/>
                <w:sz w:val="20"/>
              </w:rPr>
              <w:t> </w:t>
            </w:r>
            <w:r>
              <w:rPr>
                <w:rFonts w:hint="default"/>
                <w:spacing w:val="-1"/>
                <w:position w:val="1"/>
                <w:sz w:val="20"/>
              </w:rPr>
              <w:t>范围内的压实度不</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满足技术规范要求时，按规范</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填料分理、弃土整形、</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边坡整修、路床顶面</w:t>
            </w:r>
          </w:p>
          <w:p>
            <w:pPr>
              <w:keepNext w:val="0"/>
              <w:keepLines w:val="0"/>
              <w:suppressLineNumbers w:val="0"/>
              <w:spacing w:before="0" w:beforeAutospacing="0" w:after="0" w:afterAutospacing="0" w:line="274" w:lineRule="exact"/>
              <w:ind w:left="108" w:right="0"/>
              <w:rPr>
                <w:rFonts w:hint="default"/>
              </w:rPr>
            </w:pPr>
            <w:r>
              <w:rPr>
                <w:rFonts w:hint="default"/>
                <w:spacing w:val="-1"/>
                <w:position w:val="1"/>
                <w:sz w:val="20"/>
              </w:rPr>
              <w:t>以下挖松深</w:t>
            </w:r>
            <w:r>
              <w:rPr>
                <w:rFonts w:hint="default" w:ascii="Calibri" w:hAnsi="Calibri" w:cs="Calibri"/>
                <w:sz w:val="20"/>
              </w:rPr>
              <w:t> </w:t>
            </w:r>
            <w:r>
              <w:rPr>
                <w:rFonts w:hint="default" w:ascii="Times New Roman" w:hAnsi="Times New Roman" w:cs="Times New Roman"/>
                <w:spacing w:val="-1"/>
                <w:sz w:val="20"/>
              </w:rPr>
              <w:t>300mm</w:t>
            </w:r>
            <w:r>
              <w:rPr>
                <w:rFonts w:hint="default" w:ascii="Calibri" w:hAnsi="Calibri" w:cs="Calibri"/>
                <w:sz w:val="20"/>
              </w:rPr>
              <w:t> </w:t>
            </w:r>
            <w:r>
              <w:rPr>
                <w:rFonts w:hint="default"/>
                <w:spacing w:val="-1"/>
                <w:position w:val="1"/>
                <w:sz w:val="20"/>
              </w:rPr>
              <w:t>再压</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实、路床清理</w:t>
            </w:r>
          </w:p>
        </w:tc>
      </w:tr>
    </w:tbl>
    <w:p>
      <w:pPr>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要求所采取的翻松、压实，作</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为挖土方的附属工作，不另行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结构物台背回填的挖运土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方不另行计量，桥梁及明涵的</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搭板、埋板下的路面结构层在</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相应章节内计量；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挖台阶的土方作为附属工</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6"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95" w:lineRule="exact"/>
              <w:ind w:left="281" w:right="0"/>
              <w:rPr>
                <w:rFonts w:hint="default"/>
              </w:rPr>
            </w:pPr>
            <w:r>
              <w:rPr>
                <w:rFonts w:hint="default"/>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例，按平均断面积法计算，包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括边沟、排水沟、截水沟的石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方，按照天然体积以立方米为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凡超过图纸或监理人规定</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爆破安全措施、运输</w:t>
            </w:r>
            <w:r>
              <w:rPr>
                <w:rFonts w:hint="default" w:ascii="Times New Roman" w:hAnsi="Times New Roman" w:cs="Times New Roman"/>
                <w:spacing w:val="-1"/>
                <w:sz w:val="20"/>
              </w:rPr>
              <w:t>(</w:t>
            </w:r>
            <w:r>
              <w:rPr>
                <w:rFonts w:hint="default"/>
                <w:spacing w:val="-1"/>
                <w:position w:val="1"/>
                <w:sz w:val="20"/>
              </w:rPr>
              <w:t>不论</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运距远近</w:t>
            </w:r>
            <w:r>
              <w:rPr>
                <w:rFonts w:hint="default" w:ascii="Times New Roman" w:hAnsi="Times New Roman" w:cs="Times New Roman"/>
                <w:spacing w:val="-1"/>
                <w:sz w:val="20"/>
              </w:rPr>
              <w:t>)</w:t>
            </w:r>
            <w:r>
              <w:rPr>
                <w:rFonts w:hint="default"/>
                <w:spacing w:val="-1"/>
                <w:position w:val="1"/>
                <w:sz w:val="20"/>
              </w:rPr>
              <w:t>和堆放、质量检验、</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临时道路和临时排水均属于</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附属工作，不另行计量与支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付；</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挖台阶的土方作为附属工</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1" w:lineRule="exact"/>
              <w:ind w:left="281" w:right="0"/>
              <w:rPr>
                <w:rFonts w:hint="default"/>
              </w:rPr>
            </w:pPr>
            <w:r>
              <w:rPr>
                <w:rFonts w:hint="default" w:ascii="Times New Roman" w:hAnsi="Times New Roman" w:cs="Times New Roman"/>
                <w:sz w:val="20"/>
              </w:rPr>
              <w:t>1.</w:t>
            </w:r>
            <w:r>
              <w:rPr>
                <w:rFonts w:hint="default"/>
                <w:spacing w:val="-1"/>
                <w:position w:val="1"/>
                <w:sz w:val="20"/>
              </w:rPr>
              <w:t>石方爆破；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填料分理、弃土整形、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边坡整修、路床顶面</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凿平或填平压实、路床清</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8"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1" w:right="0"/>
              <w:rPr>
                <w:rFonts w:hint="default"/>
              </w:rPr>
            </w:pPr>
            <w:r>
              <w:rPr>
                <w:rFonts w:hint="default"/>
                <w:spacing w:val="-1"/>
                <w:sz w:val="20"/>
              </w:rPr>
              <w:t>挖除非适用材</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基范围内非适用材料（不含淤</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8"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7" w:lineRule="exact"/>
              <w:ind w:left="281" w:right="0"/>
              <w:rPr>
                <w:rFonts w:hint="default"/>
              </w:rPr>
            </w:pPr>
            <w:r>
              <w:rPr>
                <w:rFonts w:hint="default"/>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基范围内淤泥以立方米为单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260" w:right="0"/>
              <w:rPr>
                <w:rFonts w:hint="default"/>
              </w:rPr>
            </w:pPr>
            <w:r>
              <w:rPr>
                <w:rFonts w:hint="default" w:ascii="Times New Roman" w:hAnsi="Times New Roman" w:cs="Times New Roman"/>
                <w:spacing w:val="-1"/>
                <w:sz w:val="20"/>
              </w:rPr>
              <w:t>204-1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路基填筑（包</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括填前压实）</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382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1" w:right="0"/>
              <w:rPr>
                <w:rFonts w:hint="default"/>
              </w:rPr>
            </w:pPr>
            <w:r>
              <w:rPr>
                <w:rFonts w:hint="default"/>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当填料中石料含量小于</w:t>
            </w:r>
          </w:p>
          <w:p>
            <w:pPr>
              <w:keepNext w:val="0"/>
              <w:keepLines w:val="0"/>
              <w:suppressLineNumbers w:val="0"/>
              <w:spacing w:before="0" w:beforeAutospacing="0" w:after="0" w:afterAutospacing="0" w:line="271" w:lineRule="exact"/>
              <w:ind w:left="109" w:right="0"/>
              <w:rPr>
                <w:rFonts w:hint="default"/>
              </w:rPr>
            </w:pPr>
            <w:r>
              <w:rPr>
                <w:rFonts w:hint="default" w:ascii="Times New Roman" w:hAnsi="Times New Roman" w:cs="Times New Roman"/>
                <w:spacing w:val="-1"/>
                <w:sz w:val="20"/>
              </w:rPr>
              <w:t>30%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料、摊平、压实、整形以及台</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洒水、压实、刷坡；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bl>
    <w:p>
      <w:pPr>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已包含在相关子目中，均不另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行计量，但桥梁及明涵的搭</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板、埋板下的路面结构层在相</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1" w:right="0"/>
              <w:rPr>
                <w:rFonts w:hint="default"/>
              </w:rPr>
            </w:pPr>
            <w:r>
              <w:rPr>
                <w:rFonts w:hint="default"/>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当填料中石料含量大于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70%</w:t>
            </w:r>
            <w:r>
              <w:rPr>
                <w:rFonts w:hint="default"/>
                <w:spacing w:val="-1"/>
                <w:position w:val="1"/>
                <w:sz w:val="20"/>
              </w:rPr>
              <w:t>时，适用于本条；</w:t>
            </w:r>
          </w:p>
          <w:p>
            <w:pPr>
              <w:keepNext w:val="0"/>
              <w:keepLines w:val="0"/>
              <w:suppressLineNumbers w:val="0"/>
              <w:spacing w:before="0" w:beforeAutospacing="0" w:after="0" w:afterAutospacing="0" w:line="271" w:lineRule="exact"/>
              <w:ind w:left="282" w:right="0"/>
              <w:rPr>
                <w:rFonts w:hint="default"/>
              </w:rPr>
            </w:pPr>
            <w:r>
              <w:rPr>
                <w:rFonts w:hint="default" w:ascii="Times New Roman" w:hAnsi="Times New Roman" w:cs="Times New Roman"/>
                <w:sz w:val="20"/>
              </w:rPr>
              <w:t>3.</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装、卸、运输、边坡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码砌；</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小石块（或石屑）填</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缝、找补。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洒水、压实、；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r>
        <w:tblPrEx>
          <w:tblCellMar>
            <w:top w:w="0" w:type="dxa"/>
            <w:left w:w="108" w:type="dxa"/>
            <w:bottom w:w="0" w:type="dxa"/>
            <w:right w:w="108" w:type="dxa"/>
          </w:tblCellMar>
        </w:tblPrEx>
        <w:trPr>
          <w:trHeight w:val="545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5"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30" w:lineRule="exact"/>
              <w:ind w:left="281" w:right="0"/>
              <w:rPr>
                <w:rFonts w:hint="default"/>
              </w:rPr>
            </w:pPr>
            <w:r>
              <w:rPr>
                <w:rFonts w:hint="default"/>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6"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洒水、压实、刷坡；</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整形</w:t>
            </w:r>
          </w:p>
        </w:tc>
      </w:tr>
      <w:tr>
        <w:tblPrEx>
          <w:tblCellMar>
            <w:top w:w="0" w:type="dxa"/>
            <w:left w:w="108" w:type="dxa"/>
            <w:bottom w:w="0" w:type="dxa"/>
            <w:right w:w="108" w:type="dxa"/>
          </w:tblCellMar>
        </w:tblPrEx>
        <w:trPr>
          <w:trHeight w:val="316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0"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6" w:lineRule="exact"/>
              <w:ind w:left="281" w:right="0"/>
              <w:rPr>
                <w:rFonts w:hint="default"/>
              </w:rPr>
            </w:pPr>
            <w:r>
              <w:rPr>
                <w:rFonts w:hint="default"/>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ascii="Calibri" w:hAnsi="Calibri" w:cs="Calibri"/>
                <w:sz w:val="20"/>
              </w:rPr>
              <w:t>  </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ascii="Calibri" w:hAnsi="Calibri" w:cs="Calibri"/>
                <w:sz w:val="20"/>
              </w:rPr>
              <w:t>  </w:t>
            </w:r>
            <w:r>
              <w:rPr>
                <w:rFonts w:hint="default"/>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洒水、压实、土质护</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坡；</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bl>
    <w:p>
      <w:pPr>
        <w:spacing w:line="250"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blPrEx>
          <w:tblCellMar>
            <w:top w:w="0" w:type="dxa"/>
            <w:left w:w="108" w:type="dxa"/>
            <w:bottom w:w="0" w:type="dxa"/>
            <w:right w:w="108" w:type="dxa"/>
          </w:tblCellMar>
        </w:tblPrEx>
        <w:trPr>
          <w:trHeight w:val="273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423" w:right="0"/>
              <w:rPr>
                <w:rFonts w:hint="default"/>
              </w:rPr>
            </w:pPr>
            <w:r>
              <w:rPr>
                <w:rFonts w:hint="default"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1" w:right="0"/>
              <w:rPr>
                <w:rFonts w:hint="default"/>
              </w:rPr>
            </w:pPr>
            <w:r>
              <w:rPr>
                <w:rFonts w:hint="default"/>
                <w:spacing w:val="-1"/>
                <w:sz w:val="20"/>
              </w:rPr>
              <w:t>反压护坡道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依据图纸所示路基设计横</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断面图，按平均断面面积法计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算压实的体积，以立方米为单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60" w:right="0"/>
              <w:rPr>
                <w:rFonts w:hint="default"/>
              </w:rPr>
            </w:pPr>
            <w:r>
              <w:rPr>
                <w:rFonts w:hint="default" w:ascii="Times New Roman" w:hAnsi="Times New Roman" w:cs="Times New Roman"/>
                <w:spacing w:val="-1"/>
                <w:sz w:val="20"/>
              </w:rPr>
              <w:t>204-2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3" w:lineRule="exact"/>
              <w:ind w:left="281" w:right="0"/>
              <w:rPr>
                <w:rFonts w:hint="default"/>
              </w:rPr>
            </w:pPr>
            <w:r>
              <w:rPr>
                <w:rFonts w:hint="default"/>
                <w:spacing w:val="-1"/>
                <w:sz w:val="20"/>
              </w:rPr>
              <w:t>改河、改渠、</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改路填筑</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rPr>
          <w:trHeight w:val="518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3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96" w:lineRule="exact"/>
              <w:ind w:left="281" w:right="0"/>
              <w:rPr>
                <w:rFonts w:hint="default"/>
              </w:rPr>
            </w:pPr>
            <w:r>
              <w:rPr>
                <w:rFonts w:hint="default"/>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4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当填料中石料含量小于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30%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已包含在相关子目中，均不另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行计量，但桥梁及明涵的搭</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板、埋板下的路面结构层在相</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1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洒水、压实、刷坡；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69" w:lineRule="exact"/>
              <w:ind w:left="281" w:right="0"/>
              <w:rPr>
                <w:rFonts w:hint="default"/>
              </w:rPr>
            </w:pPr>
            <w:r>
              <w:rPr>
                <w:rFonts w:hint="default"/>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当填料中石料含量大于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70%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装、卸、运输、边坡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码砌；</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小石块（或石屑）填</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缝、找补。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洒水、压实、；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bl>
    <w:p>
      <w:pPr>
        <w:rPr>
          <w:sz w:val="20"/>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6"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29" w:lineRule="exact"/>
              <w:ind w:left="281" w:right="0"/>
              <w:rPr>
                <w:rFonts w:hint="default"/>
              </w:rPr>
            </w:pPr>
            <w:r>
              <w:rPr>
                <w:rFonts w:hint="default"/>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7"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洒水、压实、刷坡；</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整形</w:t>
            </w: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7"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30" w:lineRule="exact"/>
              <w:ind w:left="281" w:right="0"/>
              <w:rPr>
                <w:rFonts w:hint="default"/>
              </w:rPr>
            </w:pPr>
            <w:r>
              <w:rPr>
                <w:rFonts w:hint="default"/>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ascii="Calibri" w:hAnsi="Calibri" w:cs="Calibri"/>
                <w:sz w:val="20"/>
              </w:rPr>
              <w:t>  </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ascii="Calibri" w:hAnsi="Calibri" w:cs="Calibri"/>
                <w:sz w:val="20"/>
              </w:rPr>
              <w:t>  </w:t>
            </w:r>
            <w:r>
              <w:rPr>
                <w:rFonts w:hint="default"/>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洒水、压实、土质护</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坡；</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r>
        <w:tblPrEx>
          <w:tblCellMar>
            <w:top w:w="0" w:type="dxa"/>
            <w:left w:w="108" w:type="dxa"/>
            <w:bottom w:w="0" w:type="dxa"/>
            <w:right w:w="108" w:type="dxa"/>
          </w:tblCellMar>
        </w:tblPrEx>
        <w:trPr>
          <w:trHeight w:val="5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60" w:right="0"/>
              <w:rPr>
                <w:rFonts w:hint="default"/>
              </w:rPr>
            </w:pPr>
            <w:r>
              <w:rPr>
                <w:rFonts w:hint="default" w:ascii="Times New Roman" w:hAnsi="Times New Roman" w:cs="Times New Roman"/>
                <w:spacing w:val="-1"/>
                <w:sz w:val="20"/>
              </w:rPr>
              <w:t>205-1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281" w:right="0"/>
              <w:rPr>
                <w:rFonts w:hint="default"/>
              </w:rPr>
            </w:pPr>
            <w:r>
              <w:rPr>
                <w:rFonts w:hint="default"/>
                <w:spacing w:val="-1"/>
                <w:sz w:val="20"/>
              </w:rPr>
              <w:t>软土路基处理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r>
    </w:tbl>
    <w:p>
      <w:pPr>
        <w:rPr>
          <w:sz w:val="20"/>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4"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抛石挤淤</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2" w:right="0"/>
              <w:rPr>
                <w:rFonts w:hint="default"/>
              </w:rPr>
            </w:pPr>
            <w:r>
              <w:rPr>
                <w:rFonts w:hint="default"/>
                <w:spacing w:val="-1"/>
                <w:sz w:val="20"/>
              </w:rPr>
              <w:t>依据图纸所示位置和范围，</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按照抛石体积的片石数量，以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抛填片石；</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小石块、石屑填塞垫</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平；</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重型压路机压实</w:t>
            </w:r>
          </w:p>
        </w:tc>
      </w:tr>
      <w:tr>
        <w:tblPrEx>
          <w:tblCellMar>
            <w:top w:w="0" w:type="dxa"/>
            <w:left w:w="108" w:type="dxa"/>
            <w:bottom w:w="0" w:type="dxa"/>
            <w:right w:w="108" w:type="dxa"/>
          </w:tblCellMar>
        </w:tblPrEx>
        <w:trPr>
          <w:trHeight w:val="46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1"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281" w:right="0"/>
              <w:rPr>
                <w:rFonts w:hint="default"/>
              </w:rPr>
            </w:pPr>
            <w:r>
              <w:rPr>
                <w:rFonts w:hint="default"/>
                <w:spacing w:val="-1"/>
                <w:sz w:val="20"/>
              </w:rPr>
              <w:t>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r>
      <w:tr>
        <w:tblPrEx>
          <w:tblCellMar>
            <w:top w:w="0" w:type="dxa"/>
            <w:left w:w="108" w:type="dxa"/>
            <w:bottom w:w="0" w:type="dxa"/>
            <w:right w:w="108" w:type="dxa"/>
          </w:tblCellMar>
        </w:tblPrEx>
        <w:trPr>
          <w:trHeight w:val="137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4" w:lineRule="exact"/>
              <w:ind w:left="329" w:right="0"/>
              <w:rPr>
                <w:rFonts w:hint="default"/>
              </w:rPr>
            </w:pPr>
            <w:r>
              <w:rPr>
                <w:rFonts w:hint="default"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砂垫层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尺寸，按图示砂垫层密实体积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3" w:lineRule="exact"/>
              <w:ind w:left="329" w:right="0"/>
              <w:rPr>
                <w:rFonts w:hint="default"/>
              </w:rPr>
            </w:pPr>
            <w:r>
              <w:rPr>
                <w:rFonts w:hint="default"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砂砾垫层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尺寸，按图示砂砾垫层密实体</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积以立方米为单位计量；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151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碎石（砂砾）</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342" w:right="0"/>
              <w:rPr>
                <w:rFonts w:hint="default"/>
              </w:rPr>
            </w:pPr>
            <w:r>
              <w:rPr>
                <w:rFonts w:hint="default"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2" w:right="0"/>
              <w:rPr>
                <w:rFonts w:hint="default"/>
              </w:rPr>
            </w:pPr>
            <w:r>
              <w:rPr>
                <w:rFonts w:hint="default"/>
                <w:spacing w:val="-1"/>
                <w:sz w:val="20"/>
              </w:rPr>
              <w:t>依据图纸所示位置和断面尺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寸，按图示不同桩径的碎石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（砂砾）桩长度以米为单位计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成桩设备安装与就</w:t>
            </w:r>
            <w:r>
              <w:rPr>
                <w:rFonts w:hint="default"/>
                <w:spacing w:val="-1"/>
                <w:sz w:val="20"/>
              </w:rPr>
              <w:t>位；</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成孔；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灌碎石（砂砾）；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桩机移位</w:t>
            </w:r>
          </w:p>
        </w:tc>
      </w:tr>
      <w:tr>
        <w:tblPrEx>
          <w:tblCellMar>
            <w:top w:w="0" w:type="dxa"/>
            <w:left w:w="108" w:type="dxa"/>
            <w:bottom w:w="0" w:type="dxa"/>
            <w:right w:w="108" w:type="dxa"/>
          </w:tblCellMar>
        </w:tblPrEx>
        <w:trPr>
          <w:trHeight w:val="142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1" w:right="0"/>
              <w:rPr>
                <w:rFonts w:hint="default"/>
              </w:rPr>
            </w:pPr>
            <w:r>
              <w:rPr>
                <w:rFonts w:hint="default"/>
                <w:spacing w:val="-1"/>
                <w:sz w:val="20"/>
              </w:rPr>
              <w:t>砂桩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342" w:right="0"/>
              <w:rPr>
                <w:rFonts w:hint="default"/>
              </w:rPr>
            </w:pPr>
            <w:r>
              <w:rPr>
                <w:rFonts w:hint="default"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依据图纸所示位置和断面尺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寸，按图示不同桩径的砂桩长</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成桩设备安装与就</w:t>
            </w:r>
            <w:r>
              <w:rPr>
                <w:rFonts w:hint="default"/>
                <w:spacing w:val="-1"/>
                <w:sz w:val="20"/>
              </w:rPr>
              <w:t>位；</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成孔；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灌砂；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桩机移位</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423" w:right="0"/>
              <w:rPr>
                <w:rFonts w:hint="default"/>
              </w:rPr>
            </w:pPr>
            <w:r>
              <w:rPr>
                <w:rFonts w:hint="default"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1" w:right="0"/>
              <w:rPr>
                <w:rFonts w:hint="default"/>
              </w:rPr>
            </w:pPr>
            <w:r>
              <w:rPr>
                <w:rFonts w:hint="default"/>
                <w:spacing w:val="-1"/>
                <w:sz w:val="20"/>
              </w:rPr>
              <w:t>土工合成材料</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反滤土工布</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格，按土层中分层铺设反滤土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工布的累计净面积以平方米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格，按土层中分层铺设防渗土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工膜的累计净面积以平方米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格、型号，按土层中分层铺设</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土工格栅的累计净面积以平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28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435" w:right="0"/>
              <w:rPr>
                <w:rFonts w:hint="default"/>
              </w:rPr>
            </w:pPr>
            <w:r>
              <w:rPr>
                <w:rFonts w:hint="default" w:ascii="Times New Roman" w:hAnsi="Times New Roman" w:cs="Times New Roman"/>
                <w:spacing w:val="-1"/>
                <w:sz w:val="20"/>
              </w:rPr>
              <w:t>-f</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r>
              <w:rPr>
                <w:rFonts w:hint="default"/>
                <w:spacing w:val="-1"/>
                <w:sz w:val="20"/>
              </w:rPr>
              <w:t>强夯及强夯置换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r>
    </w:tbl>
    <w:p>
      <w:pPr>
        <w:spacing w:line="249"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349" w:right="0"/>
              <w:rPr>
                <w:rFonts w:hint="default"/>
              </w:rPr>
            </w:pPr>
            <w:r>
              <w:rPr>
                <w:rFonts w:hint="default" w:ascii="Times New Roman" w:hAnsi="Times New Roman" w:cs="Times New Roman"/>
                <w:spacing w:val="-1"/>
                <w:sz w:val="20"/>
              </w:rPr>
              <w:t>-f-1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7" w:lineRule="exact"/>
              <w:ind w:left="281" w:right="0"/>
              <w:rPr>
                <w:rFonts w:hint="default"/>
              </w:rPr>
            </w:pPr>
            <w:r>
              <w:rPr>
                <w:rFonts w:hint="default"/>
                <w:spacing w:val="-1"/>
                <w:sz w:val="20"/>
              </w:rPr>
              <w:t>强夯</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依据图纸所示位置和处理</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面积，按图示路堤底面积以平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施工前的地表处理、拦截</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地表和地下水、强夯和强夯后</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的标准贯入、静力触探测试等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为附属工作，不另行计量；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强夯后沉降部分回填至原</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标高的借方或利用方挖运、整</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平、压实等相关作业为附属工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拦截、排除地表水；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防止地表水下渗等防</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渗措施；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强夯处理；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路基整型；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沉降观测</w:t>
            </w: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1" w:lineRule="exact"/>
              <w:ind w:left="349" w:right="0"/>
              <w:rPr>
                <w:rFonts w:hint="default"/>
              </w:rPr>
            </w:pPr>
            <w:r>
              <w:rPr>
                <w:rFonts w:hint="default" w:ascii="Times New Roman" w:hAnsi="Times New Roman" w:cs="Times New Roman"/>
                <w:spacing w:val="-1"/>
                <w:sz w:val="20"/>
              </w:rPr>
              <w:t>-f-2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3" w:lineRule="exact"/>
              <w:ind w:left="281" w:right="0"/>
              <w:rPr>
                <w:rFonts w:hint="default"/>
              </w:rPr>
            </w:pPr>
            <w:r>
              <w:rPr>
                <w:rFonts w:hint="default"/>
                <w:spacing w:val="-1"/>
                <w:sz w:val="20"/>
              </w:rPr>
              <w:t>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依据图纸所示位置，按图</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示置换的体积以立方米为单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与强夯置换有关的试夯、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试验、观测、检测等为附属工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作，不另行计量；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position w:val="1"/>
                <w:sz w:val="20"/>
              </w:rPr>
              <w:t>场地整平、开挖隔震沟（包</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括竣工后回填）和因强夯置换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对周围构造物的影响（包括恢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复或赔付）及因强夯置换而引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起的原地表的下沉和隆起发</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生的土方等所涉及费用已包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含在相关工程子目的单价中，</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拦截、排除地表水；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防止地表水下渗等防</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渗措施；</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挖除材料；</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铺设置换材料；</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强夯；</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路基整型；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承载力检测</w:t>
            </w:r>
          </w:p>
        </w:tc>
      </w:tr>
      <w:tr>
        <w:tblPrEx>
          <w:tblCellMar>
            <w:top w:w="0" w:type="dxa"/>
            <w:left w:w="108" w:type="dxa"/>
            <w:bottom w:w="0" w:type="dxa"/>
            <w:right w:w="108" w:type="dxa"/>
          </w:tblCellMar>
        </w:tblPrEx>
        <w:trPr>
          <w:trHeight w:val="117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9" w:lineRule="exact"/>
              <w:ind w:left="0" w:right="0"/>
              <w:jc w:val="center"/>
              <w:rPr>
                <w:rFonts w:hint="default"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-g</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377" w:lineRule="exact"/>
              <w:ind w:left="281" w:right="0"/>
              <w:jc w:val="both"/>
              <w:rPr>
                <w:rFonts w:hint="default"/>
                <w:spacing w:val="-1"/>
                <w:sz w:val="20"/>
              </w:rPr>
            </w:pPr>
            <w:r>
              <w:rPr>
                <w:rFonts w:hint="eastAsia"/>
                <w:spacing w:val="-1"/>
                <w:sz w:val="20"/>
              </w:rPr>
              <w:t>路基平整碾压</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792" w:lineRule="exact"/>
              <w:ind w:left="0" w:right="0"/>
              <w:jc w:val="center"/>
              <w:rPr>
                <w:rFonts w:hint="default" w:ascii="Times New Roman" w:hAnsi="Times New Roman" w:cs="Times New Roman" w:eastAsiaTheme="minorEastAsia"/>
                <w:position w:val="-4"/>
                <w:sz w:val="20"/>
                <w:lang w:val="en-US"/>
              </w:rPr>
            </w:pPr>
            <w:r>
              <w:rPr>
                <w:rFonts w:hint="default" w:ascii="Times New Roman" w:hAnsi="Times New Roman" w:cs="Times New Roman"/>
                <w:position w:val="-4"/>
                <w:sz w:val="20"/>
              </w:rPr>
              <w:t>m</w:t>
            </w:r>
            <w:r>
              <w:rPr>
                <w:rFonts w:hint="eastAsia" w:ascii="Times New Roman" w:hAnsi="Times New Roman" w:cs="Times New Roman"/>
                <w:spacing w:val="-4"/>
                <w:sz w:val="13"/>
                <w:lang w:val="en-US"/>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381" w:lineRule="exact"/>
              <w:ind w:left="0" w:right="0"/>
              <w:jc w:val="both"/>
              <w:rPr>
                <w:rFonts w:hint="default" w:ascii="Times New Roman" w:hAnsi="Times New Roman" w:cs="Times New Roman"/>
                <w:sz w:val="20"/>
              </w:rPr>
            </w:pPr>
            <w:r>
              <w:rPr>
                <w:rFonts w:hint="default"/>
                <w:spacing w:val="-1"/>
                <w:sz w:val="20"/>
              </w:rPr>
              <w:t>依据图纸所示压实厚度，按照铺筑的顶面面积以平方米为单位计量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9" w:lineRule="exact"/>
              <w:ind w:left="0" w:right="0"/>
              <w:jc w:val="both"/>
              <w:rPr>
                <w:rFonts w:hint="default"/>
              </w:rPr>
            </w:pPr>
            <w:r>
              <w:rPr>
                <w:rFonts w:hint="default" w:ascii="Times New Roman" w:hAnsi="Times New Roman" w:cs="Times New Roman"/>
                <w:sz w:val="20"/>
              </w:rPr>
              <w:t>1.</w:t>
            </w:r>
            <w:r>
              <w:rPr>
                <w:rFonts w:hint="default"/>
                <w:spacing w:val="-1"/>
                <w:position w:val="1"/>
                <w:sz w:val="20"/>
              </w:rPr>
              <w:t>检查、清除路基上的浮土、</w:t>
            </w:r>
          </w:p>
          <w:p>
            <w:pPr>
              <w:keepNext w:val="0"/>
              <w:keepLines w:val="0"/>
              <w:suppressLineNumbers w:val="0"/>
              <w:spacing w:before="0" w:beforeAutospacing="0" w:after="0" w:afterAutospacing="0" w:line="239" w:lineRule="exact"/>
              <w:ind w:left="108" w:right="0"/>
              <w:jc w:val="center"/>
              <w:rPr>
                <w:rFonts w:hint="default"/>
              </w:rPr>
            </w:pPr>
            <w:r>
              <w:rPr>
                <w:rFonts w:hint="default"/>
                <w:spacing w:val="-1"/>
                <w:sz w:val="20"/>
              </w:rPr>
              <w:t>杂物，并洒水湿润；</w:t>
            </w:r>
          </w:p>
          <w:p>
            <w:pPr>
              <w:keepNext w:val="0"/>
              <w:keepLines w:val="0"/>
              <w:suppressLineNumbers w:val="0"/>
              <w:spacing w:before="0" w:beforeAutospacing="0" w:after="0" w:afterAutospacing="0" w:line="306" w:lineRule="exact"/>
              <w:ind w:left="0" w:right="0"/>
              <w:jc w:val="both"/>
              <w:rPr>
                <w:rFonts w:hint="default" w:ascii="Times New Roman" w:hAnsi="Times New Roman" w:cs="Times New Roman"/>
                <w:sz w:val="20"/>
              </w:rPr>
            </w:pPr>
            <w:r>
              <w:rPr>
                <w:rFonts w:hint="default" w:ascii="Times New Roman" w:hAnsi="Times New Roman" w:cs="Times New Roman"/>
                <w:sz w:val="20"/>
              </w:rPr>
              <w:t>2.</w:t>
            </w:r>
            <w:r>
              <w:rPr>
                <w:rFonts w:hint="eastAsia" w:ascii="Times New Roman" w:hAnsi="Times New Roman" w:cs="Times New Roman"/>
                <w:sz w:val="20"/>
                <w:lang w:val="en-US"/>
              </w:rPr>
              <w:t>对路基进行翻松、</w:t>
            </w:r>
            <w:r>
              <w:rPr>
                <w:rFonts w:hint="default"/>
                <w:spacing w:val="-1"/>
                <w:position w:val="1"/>
                <w:sz w:val="20"/>
              </w:rPr>
              <w:t>整平、整型</w:t>
            </w:r>
            <w:r>
              <w:rPr>
                <w:rFonts w:hint="eastAsia"/>
                <w:spacing w:val="-1"/>
                <w:position w:val="1"/>
                <w:sz w:val="20"/>
              </w:rPr>
              <w:t>、</w:t>
            </w:r>
            <w:r>
              <w:rPr>
                <w:rFonts w:hint="default"/>
                <w:spacing w:val="-1"/>
                <w:position w:val="1"/>
                <w:sz w:val="20"/>
              </w:rPr>
              <w:t>洒水、碾压、整修</w:t>
            </w:r>
          </w:p>
        </w:tc>
      </w:tr>
      <w:tr>
        <w:tblPrEx>
          <w:tblCellMar>
            <w:top w:w="0" w:type="dxa"/>
            <w:left w:w="108" w:type="dxa"/>
            <w:bottom w:w="0" w:type="dxa"/>
            <w:right w:w="108" w:type="dxa"/>
          </w:tblCellMar>
        </w:tblPrEx>
        <w:trPr>
          <w:trHeight w:val="5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2" w:lineRule="exact"/>
              <w:ind w:left="260" w:right="0"/>
              <w:rPr>
                <w:rFonts w:hint="default"/>
              </w:rPr>
            </w:pPr>
            <w:r>
              <w:rPr>
                <w:rFonts w:hint="default" w:ascii="Times New Roman" w:hAnsi="Times New Roman" w:cs="Times New Roman"/>
                <w:spacing w:val="-1"/>
                <w:sz w:val="20"/>
              </w:rPr>
              <w:t>205-2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281" w:right="0"/>
              <w:rPr>
                <w:rFonts w:hint="default"/>
              </w:rPr>
            </w:pPr>
            <w:r>
              <w:rPr>
                <w:rFonts w:hint="default"/>
                <w:spacing w:val="-1"/>
                <w:sz w:val="20"/>
              </w:rPr>
              <w:t>滑坡处理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r>
      <w:tr>
        <w:tblPrEx>
          <w:tblCellMar>
            <w:top w:w="0" w:type="dxa"/>
            <w:left w:w="108" w:type="dxa"/>
            <w:bottom w:w="0" w:type="dxa"/>
            <w:right w:w="108" w:type="dxa"/>
          </w:tblCellMar>
        </w:tblPrEx>
        <w:trPr>
          <w:trHeight w:val="144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9"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0" w:lineRule="exact"/>
              <w:ind w:left="281" w:right="0"/>
              <w:rPr>
                <w:rFonts w:hint="default"/>
              </w:rPr>
            </w:pPr>
            <w:r>
              <w:rPr>
                <w:rFonts w:hint="default"/>
                <w:spacing w:val="-1"/>
                <w:sz w:val="20"/>
              </w:rPr>
              <w:t>清除滑坡体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2" w:right="0"/>
              <w:rPr>
                <w:rFonts w:hint="default"/>
              </w:rPr>
            </w:pPr>
            <w:r>
              <w:rPr>
                <w:rFonts w:hint="default"/>
                <w:spacing w:val="-1"/>
                <w:sz w:val="20"/>
              </w:rPr>
              <w:t>依据图纸所示位置，按照清</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除滑坡体土方与石方的天然</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体积分别以立方米为单位计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地表水引排、防渗、</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地下水疏导引离；</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运输到指定地点堆</w:t>
            </w:r>
            <w:r>
              <w:rPr>
                <w:rFonts w:hint="default"/>
                <w:spacing w:val="-1"/>
                <w:sz w:val="20"/>
              </w:rPr>
              <w:t>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现场清理</w:t>
            </w:r>
          </w:p>
        </w:tc>
      </w:tr>
      <w:tr>
        <w:tblPrEx>
          <w:tblCellMar>
            <w:top w:w="0" w:type="dxa"/>
            <w:left w:w="108" w:type="dxa"/>
            <w:bottom w:w="0" w:type="dxa"/>
            <w:right w:w="108" w:type="dxa"/>
          </w:tblCellMar>
        </w:tblPrEx>
        <w:trPr>
          <w:trHeight w:val="48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bottom"/>
          </w:tcPr>
          <w:p>
            <w:pPr>
              <w:keepNext w:val="0"/>
              <w:keepLines w:val="0"/>
              <w:suppressLineNumbers w:val="0"/>
              <w:spacing w:before="0" w:beforeAutospacing="0" w:after="0" w:afterAutospacing="0" w:line="503" w:lineRule="exact"/>
              <w:ind w:left="0" w:right="0"/>
              <w:jc w:val="center"/>
              <w:rPr>
                <w:rFonts w:hint="default"/>
              </w:rPr>
            </w:pPr>
            <w:r>
              <w:rPr>
                <w:rFonts w:hint="default" w:ascii="Times New Roman" w:hAnsi="Times New Roman" w:cs="Times New Roman"/>
                <w:spacing w:val="-1"/>
                <w:sz w:val="20"/>
              </w:rPr>
              <w:t>205-3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4" w:lineRule="exact"/>
              <w:ind w:left="0" w:right="0"/>
              <w:rPr>
                <w:rFonts w:hint="default"/>
              </w:rPr>
            </w:pPr>
            <w:r>
              <w:rPr>
                <w:rFonts w:hint="default"/>
                <w:spacing w:val="-1"/>
                <w:sz w:val="20"/>
              </w:rPr>
              <w:t>盐渍土路基处理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1" w:right="0"/>
              <w:rPr>
                <w:rFonts w:hint="default"/>
              </w:rPr>
            </w:pPr>
            <w:r>
              <w:rPr>
                <w:rFonts w:hint="default"/>
                <w:spacing w:val="-1"/>
                <w:sz w:val="20"/>
              </w:rPr>
              <w:t>卵砾石隔断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尺寸，按图示设置卵砾石隔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断，密实体积以立方米为单位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3"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1"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281" w:right="0"/>
              <w:rPr>
                <w:rFonts w:hint="default"/>
              </w:rPr>
            </w:pPr>
            <w:r>
              <w:rPr>
                <w:rFonts w:hint="default"/>
                <w:spacing w:val="-1"/>
                <w:sz w:val="20"/>
              </w:rPr>
              <w:t>土工织物隔断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r>
      <w:tr>
        <w:tblPrEx>
          <w:tblCellMar>
            <w:top w:w="0" w:type="dxa"/>
            <w:left w:w="108" w:type="dxa"/>
            <w:bottom w:w="0" w:type="dxa"/>
            <w:right w:w="108" w:type="dxa"/>
          </w:tblCellMar>
        </w:tblPrEx>
        <w:trPr>
          <w:trHeight w:val="1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5" w:lineRule="exact"/>
              <w:ind w:left="329" w:right="0"/>
              <w:rPr>
                <w:rFonts w:hint="default"/>
              </w:rPr>
            </w:pPr>
            <w:r>
              <w:rPr>
                <w:rFonts w:hint="default"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1" w:right="0"/>
              <w:rPr>
                <w:rFonts w:hint="default"/>
              </w:rPr>
            </w:pPr>
            <w:r>
              <w:rPr>
                <w:rFonts w:hint="default"/>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格，按土层中分层铺设防渗土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工膜的累计净面积以平方米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bl>
    <w:p>
      <w:pPr>
        <w:spacing w:line="250" w:lineRule="exact"/>
        <w:rPr>
          <w:sz w:val="21"/>
        </w:rPr>
        <w:sectPr>
          <w:pgSz w:w="11910" w:h="16840"/>
          <w:pgMar w:top="1440" w:right="1080" w:bottom="1040" w:left="1420" w:header="882" w:footer="847" w:gutter="0"/>
          <w:cols w:space="720" w:num="1"/>
        </w:sectPr>
      </w:pPr>
    </w:p>
    <w:tbl>
      <w:tblPr>
        <w:tblStyle w:val="19"/>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2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2" w:lineRule="exact"/>
              <w:ind w:left="329" w:right="0"/>
              <w:rPr>
                <w:rFonts w:hint="default"/>
              </w:rPr>
            </w:pPr>
            <w:r>
              <w:rPr>
                <w:rFonts w:hint="default"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1" w:right="0"/>
              <w:rPr>
                <w:rFonts w:hint="default"/>
              </w:rPr>
            </w:pPr>
            <w:r>
              <w:rPr>
                <w:rFonts w:hint="default"/>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格、型号，按土层中分层铺设</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土工格栅的累计净面积以平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2" w:lineRule="exact"/>
              <w:ind w:left="260" w:right="0"/>
              <w:rPr>
                <w:rFonts w:hint="default"/>
              </w:rPr>
            </w:pPr>
            <w:r>
              <w:rPr>
                <w:rFonts w:hint="default" w:ascii="Times New Roman" w:hAnsi="Times New Roman" w:cs="Times New Roman"/>
                <w:spacing w:val="-1"/>
                <w:sz w:val="20"/>
              </w:rPr>
              <w:t>205-4</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1" w:lineRule="exact"/>
              <w:ind w:left="281" w:right="0"/>
              <w:rPr>
                <w:rFonts w:hint="default"/>
              </w:rPr>
            </w:pPr>
            <w:r>
              <w:rPr>
                <w:rFonts w:hint="default"/>
                <w:spacing w:val="-1"/>
                <w:sz w:val="20"/>
              </w:rPr>
              <w:t>风积沙填筑路</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8"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依据图纸所示地面线、路基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设计横断面图，按平均断面面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积法计算压实体积，以立方米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55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60" w:right="0"/>
              <w:rPr>
                <w:rFonts w:hint="default"/>
              </w:rPr>
            </w:pPr>
            <w:r>
              <w:rPr>
                <w:rFonts w:hint="default" w:ascii="Times New Roman" w:hAnsi="Times New Roman" w:cs="Times New Roman"/>
                <w:spacing w:val="-1"/>
                <w:sz w:val="20"/>
              </w:rPr>
              <w:t>206-1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涵洞上下游改</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沟、改渠铺砌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浆砌片石铺砌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寸，按照不同强度等级水泥砂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浆铺砌的片石体积，以立方米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浆砌片石、勾缝、抹</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回填、压实</w:t>
            </w:r>
          </w:p>
        </w:tc>
      </w:tr>
      <w:tr>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7"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现浇混凝土铺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8"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寸，按照不同强度等级混凝土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浇筑的沟、渠铺砌体积，以立</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混凝土拌合、运输、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回填、压实</w:t>
            </w:r>
          </w:p>
        </w:tc>
      </w:tr>
      <w:tr>
        <w:tblPrEx>
          <w:tblCellMar>
            <w:top w:w="0" w:type="dxa"/>
            <w:left w:w="108" w:type="dxa"/>
            <w:bottom w:w="0" w:type="dxa"/>
            <w:right w:w="108" w:type="dxa"/>
          </w:tblCellMar>
        </w:tblPrEx>
        <w:trPr>
          <w:trHeight w:val="273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281" w:right="0"/>
              <w:rPr>
                <w:rFonts w:hint="default"/>
              </w:rPr>
            </w:pPr>
            <w:r>
              <w:rPr>
                <w:rFonts w:hint="default"/>
                <w:spacing w:val="-1"/>
                <w:sz w:val="20"/>
              </w:rPr>
              <w:t>预制混凝土铺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寸，按照不同强度等级混凝土</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预制的沟、渠铺砌体积，以立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预制件预制、运输、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回填、压实</w:t>
            </w:r>
          </w:p>
        </w:tc>
      </w:tr>
    </w:tbl>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right="194"/>
        <w:jc w:val="both"/>
        <w:rPr>
          <w:sz w:val="28"/>
        </w:rPr>
      </w:pPr>
    </w:p>
    <w:p>
      <w:pPr>
        <w:spacing w:before="139"/>
        <w:ind w:left="86" w:right="194"/>
        <w:jc w:val="center"/>
        <w:rPr>
          <w:sz w:val="28"/>
        </w:rPr>
      </w:pPr>
      <w:r>
        <w:rPr>
          <w:rFonts w:hint="eastAsia"/>
          <w:sz w:val="28"/>
        </w:rPr>
        <w:t>第 300 章 路面</w:t>
      </w:r>
    </w:p>
    <w:p>
      <w:pPr>
        <w:pStyle w:val="11"/>
        <w:spacing w:before="1"/>
        <w:rPr>
          <w:sz w:val="18"/>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125"/>
        <w:gridCol w:w="2880"/>
      </w:tblGrid>
      <w:tr>
        <w:trPr>
          <w:trHeight w:val="62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330" w:right="0"/>
              <w:rPr>
                <w:rFonts w:hint="default"/>
              </w:rPr>
            </w:pPr>
            <w:r>
              <w:rPr>
                <w:rFonts w:hint="default"/>
                <w:spacing w:val="-1"/>
                <w:sz w:val="20"/>
              </w:rPr>
              <w:t>单位</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536" w:right="0"/>
              <w:rPr>
                <w:rFonts w:hint="default"/>
              </w:rPr>
            </w:pPr>
            <w:r>
              <w:rPr>
                <w:rFonts w:hint="default"/>
                <w:spacing w:val="-1"/>
                <w:sz w:val="20"/>
              </w:rPr>
              <w:t>工程量计量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102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134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4" w:lineRule="exact"/>
              <w:ind w:left="337" w:right="0"/>
              <w:rPr>
                <w:rFonts w:hint="default"/>
              </w:rPr>
            </w:pPr>
            <w:r>
              <w:rPr>
                <w:rFonts w:hint="default" w:ascii="Times New Roman" w:hAnsi="Times New Roman" w:cs="Times New Roman"/>
                <w:spacing w:val="-1"/>
                <w:sz w:val="20"/>
              </w:rPr>
              <w:t>302-1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砂砾垫层（底基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检查、清除路基上的浮土、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杂物，并洒水湿润；</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洒水、碾压、整修</w:t>
            </w:r>
          </w:p>
        </w:tc>
      </w:tr>
      <w:tr>
        <w:tblPrEx>
          <w:tblCellMar>
            <w:top w:w="0" w:type="dxa"/>
            <w:left w:w="108" w:type="dxa"/>
            <w:bottom w:w="0" w:type="dxa"/>
            <w:right w:w="108" w:type="dxa"/>
          </w:tblCellMar>
        </w:tblPrEx>
        <w:trPr>
          <w:trHeight w:val="13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2" w:lineRule="exact"/>
              <w:ind w:left="337" w:right="0"/>
              <w:rPr>
                <w:rFonts w:hint="default"/>
              </w:rPr>
            </w:pPr>
            <w:r>
              <w:rPr>
                <w:rFonts w:hint="default" w:ascii="Times New Roman" w:hAnsi="Times New Roman" w:cs="Times New Roman"/>
                <w:spacing w:val="-1"/>
                <w:sz w:val="20"/>
              </w:rPr>
              <w:t>303-1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级配碎石（砂</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砾）基层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检查、清理下承层、洒水；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铺筑材料拌和、运输、摊</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铺；</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w:t>
            </w:r>
          </w:p>
        </w:tc>
      </w:tr>
      <w:tr>
        <w:tblPrEx>
          <w:tblCellMar>
            <w:top w:w="0" w:type="dxa"/>
            <w:left w:w="108" w:type="dxa"/>
            <w:bottom w:w="0" w:type="dxa"/>
            <w:right w:w="108" w:type="dxa"/>
          </w:tblCellMar>
        </w:tblPrEx>
        <w:trPr>
          <w:trHeight w:val="105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6" w:lineRule="exact"/>
              <w:ind w:left="337" w:right="0"/>
              <w:rPr>
                <w:rFonts w:hint="default"/>
              </w:rPr>
            </w:pPr>
            <w:r>
              <w:rPr>
                <w:rFonts w:hint="default" w:ascii="Times New Roman" w:hAnsi="Times New Roman" w:cs="Times New Roman"/>
                <w:spacing w:val="-1"/>
                <w:sz w:val="20"/>
              </w:rPr>
              <w:t>304-1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水泥稳定砂砾</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5"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检查、清理下承层、洒水；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拌和、运输、摊铺；</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洒水、碾压、初期养护</w:t>
            </w:r>
          </w:p>
        </w:tc>
      </w:tr>
      <w:tr>
        <w:tblPrEx>
          <w:tblCellMar>
            <w:top w:w="0" w:type="dxa"/>
            <w:left w:w="108" w:type="dxa"/>
            <w:bottom w:w="0" w:type="dxa"/>
            <w:right w:w="108" w:type="dxa"/>
          </w:tblCellMar>
        </w:tblPrEx>
        <w:trPr>
          <w:trHeight w:val="162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z w:val="20"/>
              </w:rPr>
              <w:t>品种、规格、喷油量，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按照洒布面积以平方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材料制备、运输；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试洒；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沥青洒布车均匀喷洒并检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测洒布用量；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0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z w:val="20"/>
              </w:rPr>
              <w:t>品种、规格、喷油量，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按照洒布面积以平方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材料制备、运输；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试洒；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沥青洒布车均匀喷洒并检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测洒布用量；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封层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种类、厚度，按照封</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层面积以平方米为单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试验段施工；</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专用设备洒布或施工封</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层；</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整型、碾压、找补；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7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337" w:right="0"/>
              <w:rPr>
                <w:rFonts w:hint="default"/>
              </w:rPr>
            </w:pPr>
            <w:r>
              <w:rPr>
                <w:rFonts w:hint="default" w:ascii="Times New Roman" w:hAnsi="Times New Roman" w:cs="Times New Roman"/>
                <w:spacing w:val="-1"/>
                <w:sz w:val="20"/>
              </w:rPr>
              <w:t>306-1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沥青表面处治</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4" w:lineRule="exact"/>
              <w:ind w:left="109" w:right="0"/>
              <w:rPr>
                <w:rFonts w:hint="default"/>
              </w:rPr>
            </w:pPr>
            <w:r>
              <w:rPr>
                <w:rFonts w:hint="default"/>
                <w:sz w:val="20"/>
              </w:rPr>
              <w:t>种类、厚度、喷油量，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按照沥青表面处治面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积以平方米为单位计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安拆除熬油设备；</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熬油、运油；</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沥青洒布车洒油；</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整型、碾压、找补；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1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337" w:right="0"/>
              <w:rPr>
                <w:rFonts w:hint="default"/>
              </w:rPr>
            </w:pPr>
            <w:r>
              <w:rPr>
                <w:rFonts w:hint="default" w:ascii="Times New Roman" w:hAnsi="Times New Roman" w:cs="Times New Roman"/>
                <w:spacing w:val="-1"/>
                <w:sz w:val="20"/>
              </w:rPr>
              <w:t>307-1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细粒式沥青混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5" w:lineRule="exact"/>
              <w:ind w:left="510"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1.检查和清理下承层；</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2.拌和设备安装、调试、拆除；</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3.沥青加热、保温、输送，配运料，矿料加热烘干，拌和、出料；</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4.运输、摊铺、碾压、成型；</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5.接缝处理；</w:t>
            </w:r>
          </w:p>
          <w:p>
            <w:pPr>
              <w:keepNext w:val="0"/>
              <w:keepLines w:val="0"/>
              <w:suppressLineNumbers w:val="0"/>
              <w:spacing w:before="0" w:beforeAutospacing="0" w:after="0" w:afterAutospacing="0" w:line="271" w:lineRule="exact"/>
              <w:ind w:left="0" w:right="0"/>
              <w:rPr>
                <w:rFonts w:hint="default"/>
              </w:rPr>
            </w:pPr>
            <w:r>
              <w:rPr>
                <w:rFonts w:hint="default"/>
                <w:spacing w:val="-1"/>
                <w:position w:val="1"/>
                <w:sz w:val="20"/>
              </w:rPr>
              <w:t>6.初期养护</w:t>
            </w:r>
          </w:p>
        </w:tc>
      </w:tr>
    </w:tbl>
    <w:p>
      <w:pPr>
        <w:spacing w:line="251"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26" w:type="dxa"/>
        <w:tblInd w:w="0" w:type="dxa"/>
        <w:tblLayout w:type="fixed"/>
        <w:tblCellMar>
          <w:top w:w="0" w:type="dxa"/>
          <w:left w:w="108" w:type="dxa"/>
          <w:bottom w:w="0" w:type="dxa"/>
          <w:right w:w="108" w:type="dxa"/>
        </w:tblCellMar>
      </w:tblPr>
      <w:tblGrid>
        <w:gridCol w:w="1166"/>
        <w:gridCol w:w="1769"/>
        <w:gridCol w:w="1071"/>
        <w:gridCol w:w="9"/>
        <w:gridCol w:w="2125"/>
        <w:gridCol w:w="2886"/>
      </w:tblGrid>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6" w:lineRule="exact"/>
              <w:ind w:left="337" w:right="0"/>
              <w:rPr>
                <w:rFonts w:hint="default"/>
              </w:rPr>
            </w:pPr>
            <w:r>
              <w:rPr>
                <w:rFonts w:hint="default" w:ascii="Times New Roman" w:hAnsi="Times New Roman" w:cs="Times New Roman"/>
                <w:spacing w:val="-1"/>
                <w:sz w:val="20"/>
              </w:rPr>
              <w:t>307-2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7" w:lineRule="exact"/>
              <w:ind w:left="282" w:right="0"/>
              <w:rPr>
                <w:rFonts w:hint="default"/>
              </w:rPr>
            </w:pPr>
            <w:r>
              <w:rPr>
                <w:rFonts w:hint="default"/>
                <w:spacing w:val="-1"/>
                <w:sz w:val="20"/>
              </w:rPr>
              <w:t>中粒式沥青混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7"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拌和设备安装、调试、拆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沥青加热、保温、输送，</w:t>
            </w:r>
          </w:p>
          <w:p>
            <w:pPr>
              <w:keepNext w:val="0"/>
              <w:keepLines w:val="0"/>
              <w:suppressLineNumbers w:val="0"/>
              <w:spacing w:before="0" w:beforeAutospacing="0" w:after="0" w:afterAutospacing="0" w:line="236" w:lineRule="exact"/>
              <w:ind w:left="108" w:right="0"/>
              <w:rPr>
                <w:rFonts w:hint="default"/>
              </w:rPr>
            </w:pPr>
            <w:r>
              <w:rPr>
                <w:rFonts w:hint="default"/>
                <w:sz w:val="20"/>
              </w:rPr>
              <w:t>配运料，矿料加热烘干，拌和、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出料；</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运输、摊铺、碾压、成型；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接缝处理；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337" w:right="0"/>
              <w:rPr>
                <w:rFonts w:hint="default"/>
              </w:rPr>
            </w:pPr>
            <w:r>
              <w:rPr>
                <w:rFonts w:hint="default" w:ascii="Times New Roman" w:hAnsi="Times New Roman" w:cs="Times New Roman"/>
                <w:spacing w:val="-1"/>
                <w:sz w:val="20"/>
              </w:rPr>
              <w:t>307-3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粗粒式沥青混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8"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拌和设备安装、调试、拆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沥青加热、保温、输送，</w:t>
            </w:r>
          </w:p>
          <w:p>
            <w:pPr>
              <w:keepNext w:val="0"/>
              <w:keepLines w:val="0"/>
              <w:suppressLineNumbers w:val="0"/>
              <w:spacing w:before="0" w:beforeAutospacing="0" w:after="0" w:afterAutospacing="0" w:line="236" w:lineRule="exact"/>
              <w:ind w:left="108" w:right="0"/>
              <w:rPr>
                <w:rFonts w:hint="default"/>
              </w:rPr>
            </w:pPr>
            <w:r>
              <w:rPr>
                <w:rFonts w:hint="default"/>
                <w:sz w:val="20"/>
              </w:rPr>
              <w:t>配运料，矿料加热烘干，拌和、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出料；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运输、摊铺、碾压、成型；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接缝处理；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919"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37" w:lineRule="exact"/>
              <w:ind w:left="337" w:right="0"/>
              <w:rPr>
                <w:rFonts w:hint="default"/>
              </w:rPr>
            </w:pPr>
            <w:r>
              <w:rPr>
                <w:rFonts w:hint="default" w:ascii="Times New Roman" w:hAnsi="Times New Roman" w:cs="Times New Roman"/>
                <w:spacing w:val="-1"/>
                <w:sz w:val="20"/>
              </w:rPr>
              <w:t>308-1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水泥混凝土路</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面</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5"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282" w:right="0"/>
              <w:rPr>
                <w:rFonts w:hint="default"/>
              </w:rPr>
            </w:pPr>
            <w:r>
              <w:rPr>
                <w:rFonts w:hint="default"/>
                <w:spacing w:val="-1"/>
                <w:sz w:val="20"/>
              </w:rPr>
              <w:t>依据图纸所示厚度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和混凝土强度等级，</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按照铺筑体积以立方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检查和清理下承层、洒水</w:t>
            </w:r>
            <w:r>
              <w:rPr>
                <w:rFonts w:hint="default"/>
                <w:spacing w:val="-1"/>
                <w:sz w:val="20"/>
              </w:rPr>
              <w:t>湿润；</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模板制作、架设、安装、</w:t>
            </w:r>
            <w:r>
              <w:rPr>
                <w:rFonts w:hint="default"/>
                <w:spacing w:val="-1"/>
                <w:sz w:val="20"/>
              </w:rPr>
              <w:t>修理、拆除；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钢筋截断、弯曲、安设、</w:t>
            </w:r>
            <w:r>
              <w:rPr>
                <w:rFonts w:hint="default"/>
                <w:spacing w:val="-1"/>
                <w:sz w:val="20"/>
              </w:rPr>
              <w:t>支承及固定</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混凝土拌和物配合比设</w:t>
            </w:r>
            <w:r>
              <w:rPr>
                <w:rFonts w:hint="default"/>
                <w:sz w:val="20"/>
              </w:rPr>
              <w:t>计、配料、拌和、运输、浇筑、</w:t>
            </w:r>
            <w:r>
              <w:rPr>
                <w:rFonts w:hint="default"/>
                <w:spacing w:val="-6"/>
                <w:sz w:val="20"/>
              </w:rPr>
              <w:t>振捣、真空吸水、抹平、压（刻）</w:t>
            </w:r>
            <w:r>
              <w:rPr>
                <w:rFonts w:hint="default"/>
                <w:spacing w:val="-1"/>
                <w:sz w:val="20"/>
              </w:rPr>
              <w:t>纹，养护；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切缝、灌缝；</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189" w:hRule="exact"/>
        </w:trPr>
        <w:tc>
          <w:tcPr>
            <w:tcW w:w="1166" w:type="dxa"/>
            <w:tcBorders>
              <w:top w:val="single" w:color="000000" w:sz="6" w:space="0"/>
              <w:left w:val="single" w:color="000000" w:sz="6" w:space="0"/>
              <w:bottom w:val="single" w:color="auto" w:sz="8" w:space="0"/>
              <w:right w:val="single" w:color="auto" w:sz="4"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37" w:right="0"/>
              <w:rPr>
                <w:rFonts w:hint="default"/>
              </w:rPr>
            </w:pPr>
            <w:r>
              <w:rPr>
                <w:rFonts w:hint="default" w:ascii="Times New Roman" w:hAnsi="Times New Roman" w:cs="Times New Roman"/>
                <w:spacing w:val="-1"/>
                <w:sz w:val="20"/>
              </w:rPr>
              <w:t>309-1</w:t>
            </w:r>
          </w:p>
        </w:tc>
        <w:tc>
          <w:tcPr>
            <w:tcW w:w="1769"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3" w:lineRule="exact"/>
              <w:ind w:left="282" w:right="0"/>
              <w:rPr>
                <w:rFonts w:hint="default"/>
              </w:rPr>
            </w:pPr>
            <w:r>
              <w:rPr>
                <w:rFonts w:hint="default"/>
                <w:spacing w:val="-1"/>
                <w:sz w:val="20"/>
              </w:rPr>
              <w:t>混凝土预制块</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路缘（牙）石</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auto" w:sz="4"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依据图纸所示断面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尺寸和混凝土强度等</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级，按照预制安装体</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积以立方米为单位计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886"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预制场地平整，硬化处理；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路缘（牙）石预制、装运；</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路基整修、基槽开挖与回</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填，废方弃运；</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基槽夯实；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路缘石铺砌、勾缝；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路缘（牙）石后背回填夯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166" w:type="dxa"/>
            <w:tcBorders>
              <w:top w:val="single" w:color="auto" w:sz="8" w:space="0"/>
              <w:left w:val="single" w:color="auto" w:sz="8" w:space="0"/>
            </w:tcBorders>
          </w:tcPr>
          <w:p>
            <w:pPr>
              <w:keepNext w:val="0"/>
              <w:keepLines w:val="0"/>
              <w:suppressLineNumbers w:val="0"/>
              <w:spacing w:before="0" w:beforeAutospacing="0" w:after="0" w:afterAutospacing="0" w:line="1292" w:lineRule="exact"/>
              <w:ind w:left="0" w:right="0"/>
              <w:jc w:val="center"/>
              <w:rPr>
                <w:rFonts w:hint="default"/>
              </w:rPr>
            </w:pPr>
            <w:r>
              <w:rPr>
                <w:rFonts w:hint="default" w:ascii="Times New Roman" w:hAnsi="Times New Roman" w:cs="Times New Roman"/>
                <w:spacing w:val="-1"/>
                <w:sz w:val="20"/>
              </w:rPr>
              <w:t>3</w:t>
            </w:r>
            <w:r>
              <w:rPr>
                <w:rFonts w:hint="eastAsia" w:ascii="Times New Roman" w:hAnsi="Times New Roman" w:cs="Times New Roman"/>
                <w:spacing w:val="-1"/>
                <w:sz w:val="20"/>
              </w:rPr>
              <w:t>10</w:t>
            </w:r>
            <w:r>
              <w:rPr>
                <w:rFonts w:hint="default" w:ascii="Times New Roman" w:hAnsi="Times New Roman" w:cs="Times New Roman"/>
                <w:spacing w:val="-1"/>
                <w:sz w:val="20"/>
              </w:rPr>
              <w:t>-1</w:t>
            </w:r>
          </w:p>
        </w:tc>
        <w:tc>
          <w:tcPr>
            <w:tcW w:w="1769" w:type="dxa"/>
            <w:tcBorders>
              <w:right w:val="single" w:color="auto" w:sz="8" w:space="0"/>
            </w:tcBorders>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default"/>
              </w:rPr>
              <w:t>培路肩</w:t>
            </w:r>
            <w:r>
              <w:rPr>
                <w:rFonts w:hint="eastAsia"/>
              </w:rPr>
              <w:t xml:space="preserve"> </w:t>
            </w:r>
          </w:p>
        </w:tc>
        <w:tc>
          <w:tcPr>
            <w:tcW w:w="1071" w:type="dxa"/>
            <w:tcBorders>
              <w:left w:val="single" w:color="auto" w:sz="8" w:space="0"/>
              <w:right w:val="single" w:color="auto" w:sz="8" w:space="0"/>
            </w:tcBorders>
          </w:tcPr>
          <w:p>
            <w:pPr>
              <w:keepNext w:val="0"/>
              <w:keepLines w:val="0"/>
              <w:suppressLineNumbers w:val="0"/>
              <w:spacing w:before="0" w:beforeAutospacing="0" w:after="0" w:afterAutospacing="0"/>
              <w:ind w:left="0" w:right="0"/>
              <w:jc w:val="center"/>
              <w:rPr>
                <w:rFonts w:hint="default" w:ascii="Times New Roman" w:hAnsi="Times New Roman" w:cs="Times New Roman"/>
                <w:position w:val="-4"/>
                <w:sz w:val="20"/>
              </w:rPr>
            </w:pPr>
          </w:p>
          <w:p>
            <w:pPr>
              <w:keepNext w:val="0"/>
              <w:keepLines w:val="0"/>
              <w:suppressLineNumbers w:val="0"/>
              <w:spacing w:before="0" w:beforeAutospacing="0" w:after="0" w:afterAutospacing="0"/>
              <w:ind w:left="0" w:right="0"/>
              <w:jc w:val="center"/>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34" w:type="dxa"/>
            <w:gridSpan w:val="2"/>
            <w:tcBorders>
              <w:left w:val="single" w:color="auto" w:sz="8" w:space="0"/>
              <w:right w:val="single" w:color="auto" w:sz="8" w:space="0"/>
            </w:tcBorders>
          </w:tcPr>
          <w:p>
            <w:pPr>
              <w:keepNext w:val="0"/>
              <w:keepLines w:val="0"/>
              <w:suppressLineNumbers w:val="0"/>
              <w:spacing w:before="0" w:beforeAutospacing="0" w:after="0" w:afterAutospacing="0"/>
              <w:ind w:left="0" w:right="0"/>
              <w:rPr>
                <w:rFonts w:hint="default"/>
              </w:rPr>
            </w:pPr>
            <w:r>
              <w:rPr>
                <w:rFonts w:hint="default"/>
                <w:spacing w:val="-1"/>
                <w:sz w:val="20"/>
              </w:rPr>
              <w:t>依据图纸所示断面尺寸，按照设计厚度以平方米为单位计量</w:t>
            </w:r>
          </w:p>
        </w:tc>
        <w:tc>
          <w:tcPr>
            <w:tcW w:w="2886" w:type="dxa"/>
            <w:tcBorders>
              <w:left w:val="single" w:color="auto" w:sz="8" w:space="0"/>
              <w:right w:val="single" w:color="auto" w:sz="8" w:space="0"/>
            </w:tcBorders>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eastAsia"/>
                <w:spacing w:val="-1"/>
                <w:position w:val="1"/>
                <w:sz w:val="20"/>
              </w:rPr>
              <w:t>路</w:t>
            </w:r>
            <w:r>
              <w:rPr>
                <w:rFonts w:hint="default"/>
                <w:spacing w:val="-1"/>
                <w:position w:val="1"/>
                <w:sz w:val="20"/>
              </w:rPr>
              <w:t>肩材料的装运</w:t>
            </w:r>
            <w:r>
              <w:rPr>
                <w:rFonts w:hint="eastAsia"/>
                <w:spacing w:val="-1"/>
                <w:position w:val="1"/>
                <w:sz w:val="20"/>
              </w:rPr>
              <w:t>、</w:t>
            </w:r>
            <w:r>
              <w:rPr>
                <w:rFonts w:hint="eastAsia"/>
                <w:spacing w:val="-1"/>
                <w:position w:val="1"/>
                <w:sz w:val="20"/>
                <w:lang w:val="en-US"/>
              </w:rPr>
              <w:t>卸料</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eastAsia"/>
                <w:spacing w:val="-1"/>
                <w:position w:val="1"/>
                <w:sz w:val="20"/>
              </w:rPr>
              <w:t>路</w:t>
            </w:r>
            <w:r>
              <w:rPr>
                <w:rFonts w:hint="default"/>
                <w:spacing w:val="-1"/>
                <w:position w:val="1"/>
                <w:sz w:val="20"/>
              </w:rPr>
              <w:t>肩</w:t>
            </w:r>
            <w:r>
              <w:rPr>
                <w:rFonts w:hint="eastAsia"/>
                <w:spacing w:val="-1"/>
                <w:position w:val="1"/>
                <w:sz w:val="20"/>
              </w:rPr>
              <w:t>材料</w:t>
            </w:r>
            <w:r>
              <w:rPr>
                <w:rFonts w:hint="default"/>
                <w:spacing w:val="-1"/>
                <w:position w:val="1"/>
                <w:sz w:val="20"/>
              </w:rPr>
              <w:t>的摊铺、洒水、压实；</w:t>
            </w:r>
          </w:p>
          <w:p>
            <w:pPr>
              <w:keepNext w:val="0"/>
              <w:keepLines w:val="0"/>
              <w:suppressLineNumbers w:val="0"/>
              <w:spacing w:before="0" w:beforeAutospacing="0" w:after="0" w:afterAutospacing="0" w:line="239" w:lineRule="exact"/>
              <w:ind w:left="112" w:leftChars="51" w:right="0" w:firstLine="200" w:firstLineChars="100"/>
              <w:rPr>
                <w:rFonts w:hint="default"/>
              </w:rPr>
            </w:pPr>
            <w:r>
              <w:rPr>
                <w:rFonts w:hint="default" w:ascii="Times New Roman" w:hAnsi="Times New Roman" w:cs="Times New Roman"/>
                <w:sz w:val="20"/>
              </w:rPr>
              <w:t>3.</w:t>
            </w:r>
            <w:r>
              <w:rPr>
                <w:rFonts w:hint="eastAsia"/>
                <w:spacing w:val="-1"/>
                <w:position w:val="1"/>
                <w:sz w:val="20"/>
              </w:rPr>
              <w:t>路</w:t>
            </w:r>
            <w:r>
              <w:rPr>
                <w:rFonts w:hint="default"/>
                <w:spacing w:val="-1"/>
                <w:position w:val="1"/>
                <w:sz w:val="20"/>
              </w:rPr>
              <w:t>肩</w:t>
            </w:r>
            <w:r>
              <w:rPr>
                <w:rFonts w:hint="eastAsia"/>
                <w:spacing w:val="-1"/>
                <w:position w:val="1"/>
                <w:sz w:val="20"/>
              </w:rPr>
              <w:t>的整修</w:t>
            </w:r>
            <w:r>
              <w:rPr>
                <w:rFonts w:hint="default"/>
                <w:spacing w:val="-1"/>
                <w:sz w:val="20"/>
              </w:rPr>
              <w:t>；</w:t>
            </w:r>
          </w:p>
          <w:p>
            <w:pPr>
              <w:keepNext w:val="0"/>
              <w:keepLines w:val="0"/>
              <w:suppressLineNumbers w:val="0"/>
              <w:spacing w:before="0" w:beforeAutospacing="0" w:after="0" w:afterAutospacing="0"/>
              <w:ind w:left="0" w:right="0"/>
              <w:rPr>
                <w:rFonts w:hint="default"/>
              </w:rPr>
            </w:pPr>
          </w:p>
        </w:tc>
      </w:tr>
    </w:tbl>
    <w:p>
      <w:pPr>
        <w:spacing w:line="270" w:lineRule="atLeast"/>
        <w:rPr>
          <w:sz w:val="21"/>
        </w:rPr>
        <w:sectPr>
          <w:footerReference r:id="rId19" w:type="default"/>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400 章 桥梁通道</w:t>
      </w:r>
    </w:p>
    <w:p>
      <w:pPr>
        <w:pStyle w:val="11"/>
        <w:spacing w:before="1"/>
        <w:rPr>
          <w:sz w:val="18"/>
        </w:rPr>
      </w:pPr>
    </w:p>
    <w:tbl>
      <w:tblPr>
        <w:tblStyle w:val="19"/>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45" w:right="0"/>
              <w:rPr>
                <w:rFonts w:hint="default"/>
              </w:rPr>
            </w:pPr>
            <w:r>
              <w:rPr>
                <w:rFonts w:hint="default"/>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467"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329" w:right="0"/>
              <w:rPr>
                <w:rFonts w:hint="default"/>
              </w:rPr>
            </w:pPr>
            <w:r>
              <w:rPr>
                <w:rFonts w:hint="default"/>
                <w:spacing w:val="-1"/>
                <w:sz w:val="20"/>
              </w:rPr>
              <w:t>单位</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914" w:right="0"/>
              <w:rPr>
                <w:rFonts w:hint="default"/>
              </w:rPr>
            </w:pPr>
            <w:r>
              <w:rPr>
                <w:rFonts w:hint="default"/>
                <w:spacing w:val="-1"/>
                <w:sz w:val="20"/>
              </w:rPr>
              <w:t>工程量计量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66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5" w:lineRule="exact"/>
              <w:ind w:left="401" w:right="0"/>
              <w:rPr>
                <w:rFonts w:hint="default"/>
              </w:rPr>
            </w:pPr>
            <w:r>
              <w:rPr>
                <w:rFonts w:hint="default" w:ascii="Times New Roman" w:hAnsi="Times New Roman" w:cs="Times New Roman"/>
                <w:spacing w:val="-1"/>
                <w:sz w:val="20"/>
              </w:rPr>
              <w:t>401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82" w:right="0"/>
              <w:rPr>
                <w:rFonts w:hint="default"/>
              </w:rPr>
            </w:pPr>
            <w:r>
              <w:rPr>
                <w:rFonts w:hint="default"/>
                <w:spacing w:val="-1"/>
                <w:sz w:val="20"/>
              </w:rPr>
              <w:t>基础部分</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5" w:lineRule="exact"/>
              <w:ind w:left="315" w:right="0"/>
              <w:rPr>
                <w:rFonts w:hint="default"/>
              </w:rPr>
            </w:pPr>
            <w:r>
              <w:rPr>
                <w:rFonts w:hint="default" w:ascii="Times New Roman" w:hAnsi="Times New Roman" w:cs="Times New Roman"/>
                <w:spacing w:val="-1"/>
                <w:sz w:val="20"/>
              </w:rPr>
              <w:t>401-1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82" w:right="0"/>
              <w:rPr>
                <w:rFonts w:hint="default"/>
              </w:rPr>
            </w:pPr>
            <w:r>
              <w:rPr>
                <w:rFonts w:hint="default"/>
                <w:sz w:val="20"/>
              </w:rPr>
              <w:t>挖基土（石）方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r>
      <w:tr>
        <w:tblPrEx>
          <w:tblCellMar>
            <w:top w:w="0" w:type="dxa"/>
            <w:left w:w="108" w:type="dxa"/>
            <w:bottom w:w="0" w:type="dxa"/>
            <w:right w:w="108" w:type="dxa"/>
          </w:tblCellMar>
        </w:tblPrEx>
        <w:trPr>
          <w:trHeight w:val="11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78"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9" w:lineRule="exact"/>
              <w:ind w:left="282" w:right="0"/>
              <w:rPr>
                <w:rFonts w:hint="default"/>
              </w:rPr>
            </w:pPr>
            <w:r>
              <w:rPr>
                <w:rFonts w:hint="default"/>
                <w:spacing w:val="-1"/>
                <w:sz w:val="20"/>
              </w:rPr>
              <w:t>干处挖土方</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7"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根据图示，取用底、顶面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间平均高度的棱柱体体积，分</w:t>
            </w:r>
          </w:p>
          <w:p>
            <w:pPr>
              <w:keepNext w:val="0"/>
              <w:keepLines w:val="0"/>
              <w:suppressLineNumbers w:val="0"/>
              <w:spacing w:before="0" w:beforeAutospacing="0" w:after="0" w:afterAutospacing="0" w:line="271" w:lineRule="exact"/>
              <w:ind w:left="108" w:right="0"/>
              <w:rPr>
                <w:rFonts w:hint="default"/>
              </w:rPr>
            </w:pPr>
            <w:r>
              <w:rPr>
                <w:rFonts w:hint="default"/>
                <w:sz w:val="20"/>
              </w:rPr>
              <w:t>干处、水下及土、石不同类型，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在地下水位以上开挖的为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干处挖方，在地下水位以下开</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挖的为水下挖方；</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基坑底面、顶面及侧面的</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确定应符合下列规定：</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pacing w:val="-1"/>
                <w:sz w:val="20"/>
              </w:rPr>
              <w:t>a.</w:t>
            </w:r>
            <w:r>
              <w:rPr>
                <w:rFonts w:hint="default"/>
                <w:spacing w:val="-1"/>
                <w:position w:val="1"/>
                <w:sz w:val="20"/>
              </w:rPr>
              <w:t>基坑开挖底面：按图纸所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示的基底高程线计算。</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b.</w:t>
            </w:r>
            <w:r>
              <w:rPr>
                <w:rFonts w:hint="default"/>
                <w:spacing w:val="-1"/>
                <w:position w:val="1"/>
                <w:sz w:val="20"/>
              </w:rPr>
              <w:t>基坑开挖顶面：按设计图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纸横断面上所标示的原地面</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线计算。</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pacing w:val="-1"/>
                <w:sz w:val="20"/>
              </w:rPr>
              <w:t>c.</w:t>
            </w:r>
            <w:r>
              <w:rPr>
                <w:rFonts w:hint="default"/>
                <w:spacing w:val="-1"/>
                <w:position w:val="1"/>
                <w:sz w:val="20"/>
              </w:rPr>
              <w:t>基坑开挖侧面：按顶面到</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底面，以超出基底周边</w:t>
            </w:r>
            <w:r>
              <w:rPr>
                <w:rFonts w:hint="default" w:ascii="Calibri" w:hAnsi="Calibri" w:cs="Calibri"/>
                <w:sz w:val="20"/>
              </w:rPr>
              <w:t> </w:t>
            </w:r>
            <w:r>
              <w:rPr>
                <w:rFonts w:hint="default" w:ascii="Times New Roman" w:hAnsi="Times New Roman" w:cs="Times New Roman"/>
                <w:sz w:val="20"/>
              </w:rPr>
              <w:t>0.5m</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的竖直面为界</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4"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基坑开挖；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基坑支护；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基坑检查、修整；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弃方清运</w:t>
            </w:r>
          </w:p>
        </w:tc>
      </w:tr>
      <w:tr>
        <w:tblPrEx>
          <w:tblCellMar>
            <w:top w:w="0" w:type="dxa"/>
            <w:left w:w="108" w:type="dxa"/>
            <w:bottom w:w="0" w:type="dxa"/>
            <w:right w:w="108" w:type="dxa"/>
          </w:tblCellMar>
        </w:tblPrEx>
        <w:trPr>
          <w:trHeight w:val="110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50"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282" w:right="0"/>
              <w:rPr>
                <w:rFonts w:hint="default"/>
              </w:rPr>
            </w:pPr>
            <w:r>
              <w:rPr>
                <w:rFonts w:hint="default"/>
                <w:spacing w:val="-1"/>
                <w:sz w:val="20"/>
              </w:rPr>
              <w:t>水下挖土方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r>
      <w:tr>
        <w:tblPrEx>
          <w:tblCellMar>
            <w:top w:w="0" w:type="dxa"/>
            <w:left w:w="108" w:type="dxa"/>
            <w:bottom w:w="0" w:type="dxa"/>
            <w:right w:w="108" w:type="dxa"/>
          </w:tblCellMar>
        </w:tblPrEx>
        <w:trPr>
          <w:trHeight w:val="114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73"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282" w:right="0"/>
              <w:rPr>
                <w:rFonts w:hint="default"/>
              </w:rPr>
            </w:pPr>
            <w:r>
              <w:rPr>
                <w:rFonts w:hint="default"/>
                <w:spacing w:val="-1"/>
                <w:sz w:val="20"/>
              </w:rPr>
              <w:t>干处挖石方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0" w:right="0"/>
              <w:rPr>
                <w:rFonts w:hint="default"/>
              </w:rPr>
            </w:pP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0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钻爆、出渣；</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基坑支护；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基坑检查、修整；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弃方清运</w:t>
            </w:r>
          </w:p>
        </w:tc>
      </w:tr>
      <w:tr>
        <w:tblPrEx>
          <w:tblCellMar>
            <w:top w:w="0" w:type="dxa"/>
            <w:left w:w="108" w:type="dxa"/>
            <w:bottom w:w="0" w:type="dxa"/>
            <w:right w:w="108" w:type="dxa"/>
          </w:tblCellMar>
        </w:tblPrEx>
        <w:trPr>
          <w:trHeight w:val="122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10" w:lineRule="exact"/>
              <w:ind w:left="473" w:right="0"/>
              <w:rPr>
                <w:rFonts w:hint="default"/>
              </w:rPr>
            </w:pPr>
            <w:r>
              <w:rPr>
                <w:rFonts w:hint="default" w:ascii="Times New Roman" w:hAnsi="Times New Roman" w:cs="Times New Roman"/>
                <w:spacing w:val="-1"/>
                <w:sz w:val="20"/>
              </w:rPr>
              <w:t>-d</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282" w:right="0"/>
              <w:rPr>
                <w:rFonts w:hint="default"/>
              </w:rPr>
            </w:pPr>
            <w:r>
              <w:rPr>
                <w:rFonts w:hint="default"/>
                <w:spacing w:val="-1"/>
                <w:sz w:val="20"/>
              </w:rPr>
              <w:t>水下挖石方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r>
      <w:tr>
        <w:tblPrEx>
          <w:tblCellMar>
            <w:top w:w="0" w:type="dxa"/>
            <w:left w:w="108" w:type="dxa"/>
            <w:bottom w:w="0" w:type="dxa"/>
            <w:right w:w="108" w:type="dxa"/>
          </w:tblCellMar>
        </w:tblPrEx>
        <w:trPr>
          <w:trHeight w:val="416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244" w:lineRule="exact"/>
              <w:ind w:left="315" w:right="0"/>
              <w:rPr>
                <w:rFonts w:hint="default"/>
              </w:rPr>
            </w:pPr>
            <w:r>
              <w:rPr>
                <w:rFonts w:hint="default" w:ascii="Times New Roman" w:hAnsi="Times New Roman" w:cs="Times New Roman"/>
                <w:spacing w:val="-1"/>
                <w:sz w:val="20"/>
              </w:rPr>
              <w:t>401-2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5" w:lineRule="exact"/>
              <w:ind w:left="282" w:right="0"/>
              <w:rPr>
                <w:rFonts w:hint="default"/>
              </w:rPr>
            </w:pPr>
            <w:r>
              <w:rPr>
                <w:rFonts w:hint="default"/>
                <w:sz w:val="20"/>
              </w:rPr>
              <w:t>混凝土基础（包</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括支撑梁、桩基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承台、桩系梁，</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但不包括桩基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2"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78" w:lineRule="exact"/>
              <w:ind w:left="281" w:right="0"/>
              <w:rPr>
                <w:rFonts w:hint="default"/>
              </w:rPr>
            </w:pPr>
            <w:r>
              <w:rPr>
                <w:rFonts w:hint="default"/>
                <w:spacing w:val="-1"/>
                <w:sz w:val="20"/>
              </w:rPr>
              <w:t>依据图纸所示体积，分不同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安拆套箱或模板；</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安设预埋件；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捣、养护、试验测试；</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position w:val="1"/>
                <w:sz w:val="20"/>
              </w:rPr>
              <w:t>施工缝、沉降缝设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混凝土的冷却管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制作安装，通水、降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温；</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6"/>
                <w:position w:val="1"/>
                <w:sz w:val="20"/>
              </w:rPr>
              <w:t>排水、防水、防冻、</w:t>
            </w:r>
            <w:r>
              <w:rPr>
                <w:rFonts w:hint="default"/>
                <w:spacing w:val="-1"/>
                <w:sz w:val="20"/>
              </w:rPr>
              <w:t>防腐措施</w:t>
            </w:r>
          </w:p>
        </w:tc>
      </w:tr>
      <w:tr>
        <w:tblPrEx>
          <w:tblCellMar>
            <w:top w:w="0" w:type="dxa"/>
            <w:left w:w="108" w:type="dxa"/>
            <w:bottom w:w="0" w:type="dxa"/>
            <w:right w:w="108" w:type="dxa"/>
          </w:tblCellMar>
        </w:tblPrEx>
        <w:trPr>
          <w:trHeight w:val="276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315" w:right="0"/>
              <w:rPr>
                <w:rFonts w:hint="default"/>
              </w:rPr>
            </w:pPr>
            <w:r>
              <w:rPr>
                <w:rFonts w:hint="default" w:ascii="Times New Roman" w:hAnsi="Times New Roman" w:cs="Times New Roman"/>
                <w:spacing w:val="-1"/>
                <w:sz w:val="20"/>
              </w:rPr>
              <w:t>401-3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5" w:lineRule="exact"/>
              <w:ind w:left="282" w:right="0"/>
              <w:rPr>
                <w:rFonts w:hint="default"/>
              </w:rPr>
            </w:pPr>
            <w:r>
              <w:rPr>
                <w:rFonts w:hint="default"/>
                <w:spacing w:val="-1"/>
                <w:sz w:val="20"/>
              </w:rPr>
              <w:t>桩基础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458" w:right="0"/>
              <w:rPr>
                <w:rFonts w:hint="default"/>
              </w:rPr>
            </w:pPr>
            <w:r>
              <w:rPr>
                <w:rFonts w:hint="default"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依据图纸所示桩长及混凝</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土强度等级，按照不同桩径的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桩长以米为单位计量；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施工图设计水深小于</w:t>
            </w:r>
            <w:r>
              <w:rPr>
                <w:rFonts w:hint="default" w:ascii="Calibri" w:hAnsi="Calibri" w:cs="Calibri"/>
                <w:sz w:val="20"/>
              </w:rPr>
              <w:t> </w:t>
            </w:r>
            <w:r>
              <w:rPr>
                <w:rFonts w:hint="default" w:ascii="Times New Roman" w:hAnsi="Times New Roman" w:cs="Times New Roman"/>
                <w:spacing w:val="-1"/>
                <w:sz w:val="20"/>
              </w:rPr>
              <w:t>2</w:t>
            </w:r>
            <w:r>
              <w:rPr>
                <w:rFonts w:hint="default" w:ascii="Calibri" w:hAnsi="Calibri" w:cs="Calibri"/>
                <w:sz w:val="20"/>
              </w:rPr>
              <w:t> </w:t>
            </w:r>
            <w:r>
              <w:rPr>
                <w:rFonts w:hint="default"/>
                <w:spacing w:val="-1"/>
                <w:position w:val="1"/>
                <w:sz w:val="20"/>
              </w:rPr>
              <w:t>米</w:t>
            </w:r>
          </w:p>
          <w:p>
            <w:pPr>
              <w:keepNext w:val="0"/>
              <w:keepLines w:val="0"/>
              <w:suppressLineNumbers w:val="0"/>
              <w:spacing w:before="0" w:beforeAutospacing="0" w:after="0" w:afterAutospacing="0" w:line="274" w:lineRule="exact"/>
              <w:ind w:left="108" w:right="0"/>
              <w:rPr>
                <w:rFonts w:hint="default"/>
              </w:rPr>
            </w:pPr>
            <w:r>
              <w:rPr>
                <w:rFonts w:hint="default"/>
                <w:spacing w:val="-1"/>
                <w:position w:val="1"/>
                <w:sz w:val="20"/>
              </w:rPr>
              <w:t>（含</w:t>
            </w:r>
            <w:r>
              <w:rPr>
                <w:rFonts w:hint="default" w:ascii="Calibri" w:hAnsi="Calibri" w:cs="Calibri"/>
                <w:sz w:val="20"/>
              </w:rPr>
              <w:t> </w:t>
            </w:r>
            <w:r>
              <w:rPr>
                <w:rFonts w:hint="default" w:ascii="Times New Roman" w:hAnsi="Times New Roman" w:cs="Times New Roman"/>
                <w:spacing w:val="-1"/>
                <w:sz w:val="20"/>
              </w:rPr>
              <w:t>2</w:t>
            </w:r>
            <w:r>
              <w:rPr>
                <w:rFonts w:hint="default" w:ascii="Calibri" w:hAnsi="Calibri" w:cs="Calibri"/>
                <w:sz w:val="20"/>
              </w:rPr>
              <w:t> </w:t>
            </w:r>
            <w:r>
              <w:rPr>
                <w:rFonts w:hint="default"/>
                <w:spacing w:val="-1"/>
                <w:position w:val="1"/>
                <w:sz w:val="20"/>
              </w:rPr>
              <w:t>米）的为陆上钻孔灌注</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桩；</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桩长为桩底高程至承台底</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面或系梁底面。对于与桩连为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一体的柱式墩台，如无承台或</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系梁时，则以桩位处原始地面</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安设护筒及设置</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钻孔平台；</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钻机安拆，就位；</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position w:val="1"/>
                <w:sz w:val="20"/>
              </w:rPr>
              <w:t>钻孔、成孔、成孔</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检查；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安装声测管；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混凝土制拌、运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输、浇筑；</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破桩头；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按相关规定进行</w:t>
            </w:r>
          </w:p>
        </w:tc>
      </w:tr>
    </w:tbl>
    <w:p>
      <w:pPr>
        <w:spacing w:line="250"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线为分界线，地面线以下部分</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为灌注桩桩长。若图纸有标示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的，按图纸标示为准；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由于超钻深于所需桩长部</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分，不予计量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桩基检测</w:t>
            </w:r>
          </w:p>
        </w:tc>
      </w:tr>
      <w:tr>
        <w:tblPrEx>
          <w:tblCellMar>
            <w:top w:w="0" w:type="dxa"/>
            <w:left w:w="108" w:type="dxa"/>
            <w:bottom w:w="0" w:type="dxa"/>
            <w:right w:w="108" w:type="dxa"/>
          </w:tblCellMar>
        </w:tblPrEx>
        <w:trPr>
          <w:trHeight w:val="188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315" w:right="0"/>
              <w:rPr>
                <w:rFonts w:hint="default"/>
              </w:rPr>
            </w:pPr>
            <w:r>
              <w:rPr>
                <w:rFonts w:hint="default" w:ascii="Times New Roman" w:hAnsi="Times New Roman" w:cs="Times New Roman"/>
                <w:spacing w:val="-1"/>
                <w:sz w:val="20"/>
              </w:rPr>
              <w:t>401-4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5" w:lineRule="exact"/>
              <w:ind w:left="282" w:right="0"/>
              <w:rPr>
                <w:rFonts w:hint="default"/>
              </w:rPr>
            </w:pPr>
            <w:r>
              <w:rPr>
                <w:rFonts w:hint="default"/>
                <w:sz w:val="20"/>
              </w:rPr>
              <w:t>钢筋（包括灌注</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桩、承台、桩系</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梁、支撑梁等）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6"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109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3" w:lineRule="exact"/>
              <w:ind w:left="401" w:right="0"/>
              <w:rPr>
                <w:rFonts w:hint="default"/>
              </w:rPr>
            </w:pPr>
            <w:r>
              <w:rPr>
                <w:rFonts w:hint="default" w:ascii="Times New Roman" w:hAnsi="Times New Roman" w:cs="Times New Roman"/>
                <w:spacing w:val="-1"/>
                <w:sz w:val="20"/>
              </w:rPr>
              <w:t>402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282" w:right="0"/>
              <w:rPr>
                <w:rFonts w:hint="default"/>
              </w:rPr>
            </w:pPr>
            <w:r>
              <w:rPr>
                <w:rFonts w:hint="default"/>
                <w:sz w:val="20"/>
              </w:rPr>
              <w:t>下部结构（包含</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桥台、桥墩、盖</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梁、台帽等）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38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10" w:lineRule="exact"/>
              <w:ind w:left="315" w:right="0"/>
              <w:rPr>
                <w:rFonts w:hint="default"/>
              </w:rPr>
            </w:pPr>
            <w:r>
              <w:rPr>
                <w:rFonts w:hint="default" w:ascii="Times New Roman" w:hAnsi="Times New Roman" w:cs="Times New Roman"/>
                <w:spacing w:val="-1"/>
                <w:sz w:val="20"/>
              </w:rPr>
              <w:t>402-1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9" w:lineRule="exact"/>
              <w:ind w:left="282" w:right="0"/>
              <w:rPr>
                <w:rFonts w:hint="default"/>
              </w:rPr>
            </w:pPr>
            <w:r>
              <w:rPr>
                <w:rFonts w:hint="default"/>
                <w:spacing w:val="-1"/>
                <w:sz w:val="20"/>
              </w:rPr>
              <w:t>下部混凝土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9"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搭拆作业平台、支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position w:val="1"/>
                <w:sz w:val="20"/>
              </w:rPr>
              <w:t>安拆模板；安设预</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埋件</w:t>
            </w:r>
            <w:r>
              <w:rPr>
                <w:rFonts w:hint="default" w:ascii="Times New Roman" w:hAnsi="Times New Roman" w:cs="Times New Roman"/>
                <w:spacing w:val="-1"/>
                <w:sz w:val="20"/>
              </w:rPr>
              <w:t>(</w:t>
            </w:r>
            <w:r>
              <w:rPr>
                <w:rFonts w:hint="default"/>
                <w:spacing w:val="-1"/>
                <w:position w:val="1"/>
                <w:sz w:val="20"/>
              </w:rPr>
              <w:t>包括支座预埋</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件、防震锚栓及套筒</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捣、养护；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施工缝、沉降缝设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position w:val="1"/>
                <w:sz w:val="20"/>
              </w:rPr>
              <w:t>防水、防冻、防腐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措施</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6" w:lineRule="exact"/>
              <w:ind w:left="315" w:right="0"/>
              <w:rPr>
                <w:rFonts w:hint="default"/>
              </w:rPr>
            </w:pPr>
            <w:r>
              <w:rPr>
                <w:rFonts w:hint="default" w:ascii="Times New Roman" w:hAnsi="Times New Roman" w:cs="Times New Roman"/>
                <w:spacing w:val="-1"/>
                <w:sz w:val="20"/>
              </w:rPr>
              <w:t>402-2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7" w:lineRule="exact"/>
              <w:ind w:left="282" w:right="0"/>
              <w:rPr>
                <w:rFonts w:hint="default"/>
              </w:rPr>
            </w:pPr>
            <w:r>
              <w:rPr>
                <w:rFonts w:hint="default"/>
                <w:sz w:val="20"/>
              </w:rPr>
              <w:t>浆砌片（块）石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7"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砌筑体积分不同砂浆强度等</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级以立方米为单位计量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基础清理；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基底检查；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选修石料；</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铺筑垫层；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搭、拆脚手架；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配、拌、运砂浆；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6"/>
                <w:position w:val="1"/>
                <w:sz w:val="20"/>
              </w:rPr>
              <w:t>砌筑、勾缝、抹面、</w:t>
            </w:r>
            <w:r>
              <w:rPr>
                <w:rFonts w:hint="default"/>
                <w:spacing w:val="-1"/>
                <w:sz w:val="20"/>
              </w:rPr>
              <w:t>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1"/>
                <w:position w:val="1"/>
                <w:sz w:val="20"/>
              </w:rPr>
              <w:t>沉降缝设置</w:t>
            </w:r>
          </w:p>
        </w:tc>
      </w:tr>
      <w:tr>
        <w:tblPrEx>
          <w:tblCellMar>
            <w:top w:w="0" w:type="dxa"/>
            <w:left w:w="108" w:type="dxa"/>
            <w:bottom w:w="0" w:type="dxa"/>
            <w:right w:w="108" w:type="dxa"/>
          </w:tblCellMar>
        </w:tblPrEx>
        <w:trPr>
          <w:trHeight w:val="186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315" w:right="0"/>
              <w:rPr>
                <w:rFonts w:hint="default"/>
              </w:rPr>
            </w:pPr>
            <w:r>
              <w:rPr>
                <w:rFonts w:hint="default" w:ascii="Times New Roman" w:hAnsi="Times New Roman" w:cs="Times New Roman"/>
                <w:spacing w:val="-1"/>
                <w:sz w:val="20"/>
              </w:rPr>
              <w:t>402-3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7"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9"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52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7" w:lineRule="exact"/>
              <w:ind w:left="401" w:right="0"/>
              <w:rPr>
                <w:rFonts w:hint="default"/>
              </w:rPr>
            </w:pPr>
            <w:r>
              <w:rPr>
                <w:rFonts w:hint="default" w:ascii="Times New Roman" w:hAnsi="Times New Roman" w:cs="Times New Roman"/>
                <w:spacing w:val="-1"/>
                <w:sz w:val="20"/>
              </w:rPr>
              <w:t>403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282" w:right="0"/>
              <w:rPr>
                <w:rFonts w:hint="default"/>
              </w:rPr>
            </w:pPr>
            <w:r>
              <w:rPr>
                <w:rFonts w:hint="default"/>
                <w:spacing w:val="-1"/>
                <w:sz w:val="20"/>
              </w:rPr>
              <w:t>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5" w:lineRule="exact"/>
              <w:ind w:left="315" w:right="0"/>
              <w:rPr>
                <w:rFonts w:hint="default"/>
              </w:rPr>
            </w:pPr>
            <w:r>
              <w:rPr>
                <w:rFonts w:hint="default" w:ascii="Times New Roman" w:hAnsi="Times New Roman" w:cs="Times New Roman"/>
                <w:spacing w:val="-1"/>
                <w:sz w:val="20"/>
              </w:rPr>
              <w:t>403-1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现浇混凝土上</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3"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搭拆工作平台；</w:t>
            </w:r>
          </w:p>
        </w:tc>
      </w:tr>
    </w:tbl>
    <w:p>
      <w:pPr>
        <w:spacing w:line="250"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107" w:right="0"/>
              <w:rPr>
                <w:rFonts w:hint="default"/>
              </w:rPr>
            </w:pPr>
            <w:r>
              <w:rPr>
                <w:rFonts w:hint="default"/>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position w:val="1"/>
                <w:sz w:val="20"/>
              </w:rPr>
              <w:t>支架搭设、预压与</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拆除；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position w:val="1"/>
                <w:sz w:val="20"/>
              </w:rPr>
              <w:t>安拆模板；安设预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埋件；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position w:val="1"/>
                <w:sz w:val="20"/>
              </w:rPr>
              <w:t>施工缝、伸缩缝设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403-2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9" w:lineRule="exact"/>
              <w:ind w:left="282" w:right="0"/>
              <w:rPr>
                <w:rFonts w:hint="default"/>
              </w:rPr>
            </w:pPr>
            <w:r>
              <w:rPr>
                <w:rFonts w:hint="default"/>
                <w:spacing w:val="-1"/>
                <w:sz w:val="20"/>
              </w:rPr>
              <w:t>预制混凝土上</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搭拆工作平台；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position w:val="1"/>
                <w:sz w:val="20"/>
              </w:rPr>
              <w:t>安拆模板；安设预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埋件（吊环、预埋连</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接件）；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构件预制、运输、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安装</w:t>
            </w:r>
          </w:p>
        </w:tc>
      </w:tr>
      <w:tr>
        <w:tblPrEx>
          <w:tblCellMar>
            <w:top w:w="0" w:type="dxa"/>
            <w:left w:w="108" w:type="dxa"/>
            <w:bottom w:w="0" w:type="dxa"/>
            <w:right w:w="108" w:type="dxa"/>
          </w:tblCellMar>
        </w:tblPrEx>
        <w:trPr>
          <w:trHeight w:val="22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315" w:right="0"/>
              <w:rPr>
                <w:rFonts w:hint="default"/>
              </w:rPr>
            </w:pPr>
            <w:r>
              <w:rPr>
                <w:rFonts w:hint="default" w:ascii="Times New Roman" w:hAnsi="Times New Roman" w:cs="Times New Roman"/>
                <w:spacing w:val="-1"/>
                <w:sz w:val="20"/>
              </w:rPr>
              <w:t>403-3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7"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6"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242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403-4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现浇预应力混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强度等级以立方米为单位计</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量；</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2.钢筋、钢材所占体积及单</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个面积在0.</w:t>
            </w:r>
            <w:r>
              <w:rPr>
                <w:rFonts w:hint="default"/>
                <w:spacing w:val="-1"/>
                <w:position w:val="1"/>
                <w:sz w:val="20"/>
              </w:rPr>
              <w:t>03m以内的孔洞不予扣除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搭拆工作平台；支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架搭设、预压与拆除；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安、拆模板；</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合、运输、浇筑、养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position w:val="1"/>
                <w:sz w:val="20"/>
              </w:rPr>
              <w:t>施工缝、伸缩缝设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03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15" w:right="0"/>
              <w:rPr>
                <w:rFonts w:hint="default"/>
              </w:rPr>
            </w:pPr>
            <w:r>
              <w:rPr>
                <w:rFonts w:hint="default" w:ascii="Times New Roman" w:hAnsi="Times New Roman" w:cs="Times New Roman"/>
                <w:spacing w:val="-1"/>
                <w:sz w:val="20"/>
              </w:rPr>
              <w:t>403-5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预制预应力混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2.钢筋、钢材所占体积及单</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个面积在0.03m以内的孔洞</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不予扣除；</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3.后张法预应力混凝土梁封</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端混凝土工程量列入本子目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搭拆工作平台；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安、拆模板；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合、运输、浇筑、养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position w:val="1"/>
                <w:sz w:val="20"/>
              </w:rPr>
              <w:t>预制件运输、安装</w:t>
            </w:r>
          </w:p>
        </w:tc>
      </w:tr>
      <w:tr>
        <w:tblPrEx>
          <w:tblCellMar>
            <w:top w:w="0" w:type="dxa"/>
            <w:left w:w="108" w:type="dxa"/>
            <w:bottom w:w="0" w:type="dxa"/>
            <w:right w:w="108" w:type="dxa"/>
          </w:tblCellMar>
        </w:tblPrEx>
        <w:trPr>
          <w:trHeight w:val="110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rPr>
            </w:pPr>
            <w:r>
              <w:rPr>
                <w:rFonts w:hint="default" w:ascii="Times New Roman" w:hAnsi="Times New Roman" w:cs="Times New Roman"/>
                <w:spacing w:val="-1"/>
                <w:sz w:val="20"/>
              </w:rPr>
              <w:t>403-6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9" w:lineRule="exact"/>
              <w:ind w:left="282" w:right="0"/>
              <w:rPr>
                <w:rFonts w:hint="default"/>
              </w:rPr>
            </w:pPr>
            <w:r>
              <w:rPr>
                <w:rFonts w:hint="default"/>
                <w:spacing w:val="-1"/>
                <w:sz w:val="20"/>
              </w:rPr>
              <w:t>先张法预应力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00" w:lineRule="exact"/>
              <w:ind w:left="434" w:right="0"/>
              <w:rPr>
                <w:rFonts w:hint="default"/>
              </w:rPr>
            </w:pPr>
            <w:r>
              <w:rPr>
                <w:rFonts w:hint="default"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2"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依据图纸所示构件长度计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算的预应力钢材质量，分不同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材质以千克为单位计量。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除上述计算长度以外的锚</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固长度及工作长度的预应力</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钢材含入相应预应力钢材报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2" w:lineRule="exact"/>
              <w:ind w:left="281" w:right="0"/>
              <w:rPr>
                <w:rFonts w:hint="default"/>
              </w:rPr>
            </w:pPr>
            <w:r>
              <w:rPr>
                <w:rFonts w:hint="default" w:ascii="Times New Roman" w:hAnsi="Times New Roman" w:cs="Times New Roman"/>
                <w:sz w:val="20"/>
              </w:rPr>
              <w:t>1.</w:t>
            </w:r>
            <w:r>
              <w:rPr>
                <w:rFonts w:hint="default"/>
                <w:spacing w:val="-1"/>
                <w:position w:val="1"/>
                <w:sz w:val="20"/>
              </w:rPr>
              <w:t>制作安装预应力</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制作安装管道；</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安装锚具、锚板；</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张拉；</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放张；</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封锚头</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9" w:lineRule="exact"/>
              <w:ind w:left="315" w:right="0"/>
              <w:rPr>
                <w:rFonts w:hint="default"/>
              </w:rPr>
            </w:pPr>
            <w:r>
              <w:rPr>
                <w:rFonts w:hint="default" w:ascii="Times New Roman" w:hAnsi="Times New Roman" w:cs="Times New Roman"/>
                <w:spacing w:val="-1"/>
                <w:sz w:val="20"/>
              </w:rPr>
              <w:t>403-7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先张法预应力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bl>
    <w:p>
      <w:pPr>
        <w:rPr>
          <w:sz w:val="2"/>
          <w:szCs w:val="2"/>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7" w:lineRule="exact"/>
              <w:ind w:left="315" w:right="0"/>
              <w:rPr>
                <w:rFonts w:hint="default"/>
              </w:rPr>
            </w:pPr>
            <w:r>
              <w:rPr>
                <w:rFonts w:hint="default" w:ascii="Times New Roman" w:hAnsi="Times New Roman" w:cs="Times New Roman"/>
                <w:spacing w:val="-1"/>
                <w:sz w:val="20"/>
              </w:rPr>
              <w:t>403-8</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97" w:lineRule="exact"/>
              <w:ind w:left="282" w:right="0"/>
              <w:rPr>
                <w:rFonts w:hint="default"/>
              </w:rPr>
            </w:pPr>
            <w:r>
              <w:rPr>
                <w:rFonts w:hint="default"/>
                <w:spacing w:val="-1"/>
                <w:sz w:val="20"/>
              </w:rPr>
              <w:t>后张法预应力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53" w:lineRule="exact"/>
              <w:ind w:left="434" w:right="0"/>
              <w:rPr>
                <w:rFonts w:hint="default"/>
              </w:rPr>
            </w:pPr>
            <w:r>
              <w:rPr>
                <w:rFonts w:hint="default"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0" w:lineRule="exact"/>
              <w:ind w:left="281" w:right="0"/>
              <w:rPr>
                <w:rFonts w:hint="default"/>
              </w:rPr>
            </w:pPr>
            <w:r>
              <w:rPr>
                <w:rFonts w:hint="default" w:ascii="Times New Roman" w:hAnsi="Times New Roman" w:cs="Times New Roman"/>
                <w:sz w:val="20"/>
              </w:rPr>
              <w:t>1.</w:t>
            </w:r>
            <w:r>
              <w:rPr>
                <w:rFonts w:hint="default"/>
                <w:spacing w:val="-1"/>
                <w:position w:val="1"/>
                <w:sz w:val="20"/>
              </w:rPr>
              <w:t>按图示两端锚具间的理论</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长度计算的预应力钢材质量，</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分不同材质以千克为单位计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除上述计算长度以外的锚</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固长度及工作长度的预应力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钢材含入相应预应力钢材报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77" w:lineRule="exact"/>
              <w:ind w:left="281" w:right="0"/>
              <w:rPr>
                <w:rFonts w:hint="default"/>
              </w:rPr>
            </w:pPr>
            <w:r>
              <w:rPr>
                <w:rFonts w:hint="default" w:ascii="Times New Roman" w:hAnsi="Times New Roman" w:cs="Times New Roman"/>
                <w:sz w:val="20"/>
              </w:rPr>
              <w:t>1.</w:t>
            </w:r>
            <w:r>
              <w:rPr>
                <w:rFonts w:hint="default"/>
                <w:spacing w:val="-1"/>
                <w:position w:val="1"/>
                <w:sz w:val="20"/>
              </w:rPr>
              <w:t>制作安装预应力</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制作安装管道；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安装锚具、锚板；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张拉；</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压浆；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封锚头</w:t>
            </w:r>
          </w:p>
        </w:tc>
      </w:tr>
      <w:tr>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6" w:lineRule="exact"/>
              <w:ind w:left="315" w:right="0"/>
              <w:rPr>
                <w:rFonts w:hint="default"/>
              </w:rPr>
            </w:pPr>
            <w:r>
              <w:rPr>
                <w:rFonts w:hint="default" w:ascii="Times New Roman" w:hAnsi="Times New Roman" w:cs="Times New Roman"/>
                <w:spacing w:val="-1"/>
                <w:sz w:val="20"/>
              </w:rPr>
              <w:t>403-9</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97" w:lineRule="exact"/>
              <w:ind w:left="282" w:right="0"/>
              <w:rPr>
                <w:rFonts w:hint="default"/>
              </w:rPr>
            </w:pPr>
            <w:r>
              <w:rPr>
                <w:rFonts w:hint="default"/>
                <w:spacing w:val="-1"/>
                <w:sz w:val="20"/>
              </w:rPr>
              <w:t>后张法预应力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5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01" w:right="0"/>
              <w:rPr>
                <w:rFonts w:hint="default"/>
              </w:rPr>
            </w:pPr>
            <w:r>
              <w:rPr>
                <w:rFonts w:hint="default" w:ascii="Times New Roman" w:hAnsi="Times New Roman" w:cs="Times New Roman"/>
                <w:spacing w:val="-1"/>
                <w:sz w:val="20"/>
              </w:rPr>
              <w:t>404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282" w:right="0"/>
              <w:rPr>
                <w:rFonts w:hint="default"/>
              </w:rPr>
            </w:pPr>
            <w:r>
              <w:rPr>
                <w:rFonts w:hint="default"/>
                <w:spacing w:val="-1"/>
                <w:sz w:val="20"/>
              </w:rPr>
              <w:t>附属结构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1" w:lineRule="exact"/>
              <w:ind w:left="315" w:right="0"/>
              <w:rPr>
                <w:rFonts w:hint="default"/>
              </w:rPr>
            </w:pPr>
            <w:r>
              <w:rPr>
                <w:rFonts w:hint="default" w:ascii="Times New Roman" w:hAnsi="Times New Roman" w:cs="Times New Roman"/>
                <w:spacing w:val="-1"/>
                <w:sz w:val="20"/>
              </w:rPr>
              <w:t>404-1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现浇混凝土附</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10"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现浇缘石、人行道、防撞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墙、栏杆、护栏、桥头搭板、</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枕梁、抗震挡块、支座垫石、</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281" w:right="0"/>
              <w:rPr>
                <w:rFonts w:hint="default"/>
              </w:rPr>
            </w:pPr>
            <w:r>
              <w:rPr>
                <w:rFonts w:hint="default" w:ascii="Times New Roman" w:hAnsi="Times New Roman" w:cs="Times New Roman"/>
                <w:sz w:val="20"/>
              </w:rPr>
              <w:t>1.</w:t>
            </w:r>
            <w:r>
              <w:rPr>
                <w:rFonts w:hint="default"/>
                <w:spacing w:val="-1"/>
                <w:position w:val="1"/>
                <w:sz w:val="20"/>
              </w:rPr>
              <w:t>工作面清理；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安拆支架、模板；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0" w:lineRule="exact"/>
              <w:ind w:left="315" w:right="0"/>
              <w:rPr>
                <w:rFonts w:hint="default"/>
              </w:rPr>
            </w:pPr>
            <w:r>
              <w:rPr>
                <w:rFonts w:hint="default" w:ascii="Times New Roman" w:hAnsi="Times New Roman" w:cs="Times New Roman"/>
                <w:spacing w:val="-1"/>
                <w:sz w:val="20"/>
              </w:rPr>
              <w:t>404-2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68" w:lineRule="exact"/>
              <w:ind w:left="282" w:right="0"/>
              <w:rPr>
                <w:rFonts w:hint="default"/>
              </w:rPr>
            </w:pPr>
            <w:r>
              <w:rPr>
                <w:rFonts w:hint="default"/>
                <w:spacing w:val="-1"/>
                <w:sz w:val="20"/>
              </w:rPr>
              <w:t>预制混凝土附</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8"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现浇缘石、人行道、防撞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墙、栏杆、护栏、桥头搭板、</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枕梁、抗震挡块、支座垫石、</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8" w:lineRule="exact"/>
              <w:ind w:left="281" w:right="0"/>
              <w:rPr>
                <w:rFonts w:hint="default"/>
              </w:rPr>
            </w:pPr>
            <w:r>
              <w:rPr>
                <w:rFonts w:hint="default" w:ascii="Times New Roman" w:hAnsi="Times New Roman" w:cs="Times New Roman"/>
                <w:sz w:val="20"/>
              </w:rPr>
              <w:t>1.</w:t>
            </w:r>
            <w:r>
              <w:rPr>
                <w:rFonts w:hint="default"/>
                <w:spacing w:val="-1"/>
                <w:position w:val="1"/>
                <w:sz w:val="20"/>
              </w:rPr>
              <w:t>工作面清理；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安拆支架、模板；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r>
        <w:tblPrEx>
          <w:tblCellMar>
            <w:top w:w="0" w:type="dxa"/>
            <w:left w:w="108" w:type="dxa"/>
            <w:bottom w:w="0" w:type="dxa"/>
            <w:right w:w="108" w:type="dxa"/>
          </w:tblCellMar>
        </w:tblPrEx>
        <w:trPr>
          <w:trHeight w:val="27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404-3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7"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属工作，不另行计量；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钢管作为附属工作，不另</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53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4" w:lineRule="exact"/>
              <w:ind w:left="401" w:right="0"/>
              <w:rPr>
                <w:rFonts w:hint="default"/>
              </w:rPr>
            </w:pPr>
            <w:r>
              <w:rPr>
                <w:rFonts w:hint="default" w:ascii="Times New Roman" w:hAnsi="Times New Roman" w:cs="Times New Roman"/>
                <w:spacing w:val="-1"/>
                <w:sz w:val="20"/>
              </w:rPr>
              <w:t>405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2" w:right="0"/>
              <w:rPr>
                <w:rFonts w:hint="default"/>
              </w:rPr>
            </w:pPr>
            <w:r>
              <w:rPr>
                <w:rFonts w:hint="default"/>
                <w:spacing w:val="-1"/>
                <w:sz w:val="20"/>
              </w:rPr>
              <w:t>桥面铺装</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r>
      <w:tr>
        <w:tblPrEx>
          <w:tblCellMar>
            <w:top w:w="0" w:type="dxa"/>
            <w:left w:w="108" w:type="dxa"/>
            <w:bottom w:w="0" w:type="dxa"/>
            <w:right w:w="108" w:type="dxa"/>
          </w:tblCellMar>
        </w:tblPrEx>
        <w:trPr>
          <w:trHeight w:val="164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315" w:right="0"/>
              <w:rPr>
                <w:rFonts w:hint="default"/>
              </w:rPr>
            </w:pPr>
            <w:r>
              <w:rPr>
                <w:rFonts w:hint="default" w:ascii="Times New Roman" w:hAnsi="Times New Roman" w:cs="Times New Roman"/>
                <w:spacing w:val="-1"/>
                <w:sz w:val="20"/>
              </w:rPr>
              <w:t>405-1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08" w:lineRule="exact"/>
              <w:ind w:left="282" w:right="0"/>
              <w:rPr>
                <w:rFonts w:hint="default"/>
              </w:rPr>
            </w:pPr>
            <w:r>
              <w:rPr>
                <w:rFonts w:hint="default"/>
                <w:spacing w:val="-1"/>
                <w:sz w:val="20"/>
              </w:rPr>
              <w:t>沥青混凝土桥</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面铺装</w:t>
            </w:r>
          </w:p>
          <w:p>
            <w:pPr>
              <w:keepNext w:val="0"/>
              <w:keepLines w:val="0"/>
              <w:suppressLineNumbers w:val="0"/>
              <w:spacing w:before="0" w:beforeAutospacing="0" w:after="0" w:afterAutospacing="0" w:line="395" w:lineRule="exact"/>
              <w:ind w:left="107" w:right="0"/>
              <w:rPr>
                <w:rFonts w:hint="default"/>
              </w:rPr>
            </w:pPr>
            <w:r>
              <w:rPr>
                <w:rFonts w:hint="default"/>
                <w:spacing w:val="-1"/>
                <w:position w:val="1"/>
                <w:sz w:val="20"/>
              </w:rPr>
              <w:t>（厚</w:t>
            </w:r>
            <w:r>
              <w:rPr>
                <w:rFonts w:hint="default" w:ascii="Times New Roman" w:hAnsi="Times New Roman" w:cs="Times New Roman"/>
                <w:spacing w:val="-1"/>
                <w:sz w:val="20"/>
              </w:rPr>
              <w:t>…mm</w:t>
            </w:r>
            <w:r>
              <w:rPr>
                <w:rFonts w:hint="default"/>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8"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按图纸所示的位置、尺寸，</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分别按不同材料类型，按铺筑</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厚度以平方米计量；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防水层、桥面排水管作为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桥面铺装的附属工作，不另行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拌和设备安装、调</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试、拆除；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沥青混合料拌和、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运输、摊铺、压实、</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成型；</w:t>
            </w:r>
          </w:p>
        </w:tc>
      </w:tr>
    </w:tbl>
    <w:p>
      <w:pPr>
        <w:spacing w:line="270" w:lineRule="atLeas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55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spacing w:val="-1"/>
                <w:position w:val="1"/>
                <w:sz w:val="20"/>
              </w:rPr>
              <w:t>由于施工原因而超铺的不</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4.</w:t>
            </w:r>
            <w:r>
              <w:rPr>
                <w:rFonts w:hint="default"/>
                <w:spacing w:val="-1"/>
                <w:position w:val="1"/>
                <w:sz w:val="20"/>
              </w:rPr>
              <w:t>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2188"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15" w:right="0"/>
              <w:rPr>
                <w:rFonts w:hint="default"/>
              </w:rPr>
            </w:pPr>
            <w:r>
              <w:rPr>
                <w:rFonts w:hint="default" w:ascii="Times New Roman" w:hAnsi="Times New Roman" w:cs="Times New Roman"/>
                <w:spacing w:val="-1"/>
                <w:sz w:val="20"/>
              </w:rPr>
              <w:t>405-2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水泥混凝土桥</w:t>
            </w:r>
          </w:p>
          <w:p>
            <w:pPr>
              <w:keepNext w:val="0"/>
              <w:keepLines w:val="0"/>
              <w:suppressLineNumbers w:val="0"/>
              <w:spacing w:before="0" w:beforeAutospacing="0" w:after="0" w:afterAutospacing="0" w:line="395" w:lineRule="exact"/>
              <w:ind w:left="107" w:right="0"/>
              <w:rPr>
                <w:rFonts w:hint="default"/>
              </w:rPr>
            </w:pPr>
            <w:r>
              <w:rPr>
                <w:rFonts w:hint="default"/>
                <w:spacing w:val="-1"/>
                <w:position w:val="1"/>
                <w:sz w:val="20"/>
              </w:rPr>
              <w:t>面铺装（</w:t>
            </w:r>
            <w:r>
              <w:rPr>
                <w:rFonts w:hint="default" w:ascii="Times New Roman" w:hAnsi="Times New Roman" w:cs="Times New Roman"/>
                <w:spacing w:val="-1"/>
                <w:sz w:val="20"/>
              </w:rPr>
              <w:t>C…</w:t>
            </w:r>
            <w:r>
              <w:rPr>
                <w:rFonts w:hint="default"/>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0"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依据图纸所示位置、尺寸，</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分不同混凝土强度等级，按铺</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筑厚度以平方米为单位计量；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防水层、桥面排水管作为</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桥面铺装的附属工作，不另行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由于施工原因而超铺的不</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捣、养护；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position w:val="1"/>
                <w:sz w:val="20"/>
              </w:rPr>
              <w:t>施工缝、沉降缝设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01" w:right="0"/>
              <w:rPr>
                <w:rFonts w:hint="default"/>
              </w:rPr>
            </w:pPr>
            <w:r>
              <w:rPr>
                <w:rFonts w:hint="default" w:ascii="Times New Roman" w:hAnsi="Times New Roman" w:cs="Times New Roman"/>
                <w:spacing w:val="-1"/>
                <w:sz w:val="20"/>
              </w:rPr>
              <w:t>406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282" w:right="0"/>
              <w:rPr>
                <w:rFonts w:hint="default"/>
              </w:rPr>
            </w:pPr>
            <w:r>
              <w:rPr>
                <w:rFonts w:hint="default"/>
                <w:spacing w:val="-1"/>
                <w:sz w:val="20"/>
              </w:rPr>
              <w:t>桥梁支座</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434" w:right="0"/>
              <w:rPr>
                <w:rFonts w:hint="default"/>
              </w:rPr>
            </w:pPr>
            <w:r>
              <w:rPr>
                <w:rFonts w:hint="default"/>
                <w:spacing w:val="-1"/>
                <w:sz w:val="20"/>
              </w:rPr>
              <w:t>个</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安装图纸所示类型及规格支</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座就位，按图示数量分不同型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号、支座反力以个为单位计量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清洁整平混凝土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表面；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砂浆配运料、拌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和，接触面抹平；</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钢板制作与安装；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吊装设备安拆；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支座定位安装；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支座焊接固定</w:t>
            </w:r>
          </w:p>
        </w:tc>
      </w:tr>
      <w:tr>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01" w:right="0"/>
              <w:rPr>
                <w:rFonts w:hint="default"/>
              </w:rPr>
            </w:pPr>
            <w:r>
              <w:rPr>
                <w:rFonts w:hint="default" w:ascii="Times New Roman" w:hAnsi="Times New Roman" w:cs="Times New Roman"/>
                <w:spacing w:val="-1"/>
                <w:sz w:val="20"/>
              </w:rPr>
              <w:t>407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282" w:right="0"/>
              <w:rPr>
                <w:rFonts w:hint="default"/>
              </w:rPr>
            </w:pPr>
            <w:r>
              <w:rPr>
                <w:rFonts w:hint="default"/>
                <w:spacing w:val="-1"/>
                <w:sz w:val="20"/>
              </w:rPr>
              <w:t>桥梁伸缩装置</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58" w:right="0"/>
              <w:rPr>
                <w:rFonts w:hint="default"/>
              </w:rPr>
            </w:pPr>
            <w:r>
              <w:rPr>
                <w:rFonts w:hint="default"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安装图示类型和规格的伸缩</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装置，按图示长度（包括人行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道、缘石、护栏底座与行车道</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等全部长度），分不同伸缩量</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以米为单位计量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切割清理伸缩装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置范围内混凝土；设</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置预埋件；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position w:val="1"/>
                <w:sz w:val="20"/>
              </w:rPr>
              <w:t>伸缩装置定位、安</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混凝土拌和、运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输、浇筑、压纹、养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bl>
    <w:p>
      <w:pPr>
        <w:spacing w:line="270" w:lineRule="atLeast"/>
        <w:rPr>
          <w:sz w:val="21"/>
        </w:rPr>
        <w:sectPr>
          <w:pgSz w:w="11910" w:h="16840"/>
          <w:pgMar w:top="1440" w:right="1080" w:bottom="1040" w:left="1420" w:header="882" w:footer="847" w:gutter="0"/>
          <w:cols w:space="720" w:num="1"/>
        </w:sectPr>
      </w:pPr>
    </w:p>
    <w:p>
      <w:pPr>
        <w:spacing w:before="139"/>
        <w:ind w:left="86" w:right="203"/>
        <w:jc w:val="center"/>
        <w:rPr>
          <w:sz w:val="28"/>
        </w:rPr>
      </w:pPr>
      <w:r>
        <w:rPr>
          <w:rFonts w:hint="eastAsia"/>
          <w:sz w:val="28"/>
        </w:rPr>
        <w:t>第 500 章 排水与涵洞</w:t>
      </w:r>
    </w:p>
    <w:p>
      <w:pPr>
        <w:pStyle w:val="11"/>
        <w:spacing w:before="1"/>
        <w:rPr>
          <w:sz w:val="18"/>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48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330" w:right="0"/>
              <w:rPr>
                <w:rFonts w:hint="default"/>
              </w:rPr>
            </w:pPr>
            <w:r>
              <w:rPr>
                <w:rFonts w:hint="default"/>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716" w:right="0"/>
              <w:rPr>
                <w:rFonts w:hint="default"/>
              </w:rPr>
            </w:pPr>
            <w:r>
              <w:rPr>
                <w:rFonts w:hint="default"/>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337" w:right="0"/>
              <w:rPr>
                <w:rFonts w:hint="default"/>
              </w:rPr>
            </w:pPr>
            <w:r>
              <w:rPr>
                <w:rFonts w:hint="default" w:ascii="Times New Roman" w:hAnsi="Times New Roman" w:cs="Times New Roman"/>
                <w:spacing w:val="-1"/>
                <w:sz w:val="20"/>
              </w:rPr>
              <w:t>501-1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边沟、排水沟、</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截水沟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0" w:lineRule="exact"/>
              <w:ind w:left="282" w:right="0"/>
              <w:rPr>
                <w:rFonts w:hint="default"/>
              </w:rPr>
            </w:pPr>
            <w:r>
              <w:rPr>
                <w:rFonts w:hint="default"/>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z w:val="20"/>
              </w:rPr>
              <w:t>断面尺寸，按浆砌片（卵）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石的体积，以立方米为单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浆砌片石、勾缝、抹</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w:t>
            </w:r>
          </w:p>
        </w:tc>
      </w:tr>
      <w:tr>
        <w:tblPrEx>
          <w:tblCellMar>
            <w:top w:w="0" w:type="dxa"/>
            <w:left w:w="108" w:type="dxa"/>
            <w:bottom w:w="0" w:type="dxa"/>
            <w:right w:w="108" w:type="dxa"/>
          </w:tblCellMar>
        </w:tblPrEx>
        <w:trPr>
          <w:trHeight w:val="282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6"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7" w:lineRule="exact"/>
              <w:ind w:left="282" w:right="0"/>
              <w:rPr>
                <w:rFonts w:hint="default"/>
              </w:rPr>
            </w:pPr>
            <w:r>
              <w:rPr>
                <w:rFonts w:hint="default"/>
                <w:spacing w:val="-1"/>
                <w:sz w:val="20"/>
              </w:rPr>
              <w:t>现浇混凝土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7"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等级混凝土浇筑的边沟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97" w:lineRule="exact"/>
              <w:ind w:left="281" w:right="0"/>
              <w:rPr>
                <w:rFonts w:hint="default"/>
              </w:rPr>
            </w:pPr>
            <w:r>
              <w:rPr>
                <w:rFonts w:hint="default" w:ascii="Times New Roman" w:hAnsi="Times New Roman" w:cs="Times New Roman"/>
                <w:sz w:val="20"/>
              </w:rPr>
              <w:t>5.</w:t>
            </w:r>
            <w:r>
              <w:rPr>
                <w:rFonts w:hint="default"/>
                <w:spacing w:val="-1"/>
                <w:position w:val="1"/>
                <w:sz w:val="20"/>
              </w:rPr>
              <w:t>钢筋制作与安装；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混凝土拌和、运输、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tc>
      </w:tr>
      <w:tr>
        <w:tblPrEx>
          <w:tblCellMar>
            <w:top w:w="0" w:type="dxa"/>
            <w:left w:w="108" w:type="dxa"/>
            <w:bottom w:w="0" w:type="dxa"/>
            <w:right w:w="108" w:type="dxa"/>
          </w:tblCellMar>
        </w:tblPrEx>
        <w:trPr>
          <w:trHeight w:val="27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3" w:lineRule="exact"/>
              <w:ind w:left="282" w:right="0"/>
              <w:rPr>
                <w:rFonts w:hint="default"/>
              </w:rPr>
            </w:pPr>
            <w:r>
              <w:rPr>
                <w:rFonts w:hint="default"/>
                <w:spacing w:val="-1"/>
                <w:sz w:val="20"/>
              </w:rPr>
              <w:t>预制混凝土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等级混凝土预制的边沟</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预制件预制、运输、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tc>
      </w:tr>
      <w:tr>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36" w:lineRule="exact"/>
              <w:ind w:left="337" w:right="0"/>
              <w:rPr>
                <w:rFonts w:hint="default"/>
              </w:rPr>
            </w:pPr>
            <w:r>
              <w:rPr>
                <w:rFonts w:hint="default" w:ascii="Times New Roman" w:hAnsi="Times New Roman" w:cs="Times New Roman"/>
                <w:spacing w:val="-1"/>
                <w:sz w:val="20"/>
              </w:rPr>
              <w:t>502-1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87" w:lineRule="exact"/>
              <w:ind w:left="282" w:right="0"/>
              <w:rPr>
                <w:rFonts w:hint="default"/>
              </w:rPr>
            </w:pPr>
            <w:r>
              <w:rPr>
                <w:rFonts w:hint="default"/>
                <w:spacing w:val="-1"/>
                <w:sz w:val="20"/>
              </w:rPr>
              <w:t>埋设排水管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8"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2" w:right="0"/>
              <w:rPr>
                <w:rFonts w:hint="default"/>
              </w:rPr>
            </w:pPr>
            <w:r>
              <w:rPr>
                <w:rFonts w:hint="default"/>
                <w:spacing w:val="-1"/>
                <w:sz w:val="20"/>
              </w:rPr>
              <w:t>依据图纸所示位置，按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不同材质、不同孔径的排</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水管长度计算，以米为单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垫层材料铺筑；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基座砌筑或浇筑；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排水管制作或购买、</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运输、保存；</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排水管安装、接缝处</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防水、防冻、防腐等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分层回填、压实；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现场清理、废方弃运</w:t>
            </w:r>
          </w:p>
        </w:tc>
      </w:tr>
      <w:tr>
        <w:tblPrEx>
          <w:tblCellMar>
            <w:top w:w="0" w:type="dxa"/>
            <w:left w:w="108" w:type="dxa"/>
            <w:bottom w:w="0" w:type="dxa"/>
            <w:right w:w="108" w:type="dxa"/>
          </w:tblCellMar>
        </w:tblPrEx>
        <w:trPr>
          <w:trHeight w:val="5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2" w:lineRule="exact"/>
              <w:ind w:left="337" w:right="0"/>
              <w:rPr>
                <w:rFonts w:hint="default"/>
              </w:rPr>
            </w:pPr>
            <w:r>
              <w:rPr>
                <w:rFonts w:hint="default" w:ascii="Times New Roman" w:hAnsi="Times New Roman" w:cs="Times New Roman"/>
                <w:spacing w:val="-1"/>
                <w:sz w:val="20"/>
              </w:rPr>
              <w:t>503-1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282" w:right="0"/>
              <w:rPr>
                <w:rFonts w:hint="default"/>
              </w:rPr>
            </w:pPr>
            <w:r>
              <w:rPr>
                <w:rFonts w:hint="default"/>
                <w:spacing w:val="-1"/>
                <w:sz w:val="20"/>
              </w:rPr>
              <w:t>过水路面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r>
      <w:tr>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4" w:lineRule="exact"/>
              <w:ind w:left="282" w:right="0"/>
              <w:rPr>
                <w:rFonts w:hint="default"/>
              </w:rPr>
            </w:pPr>
            <w:r>
              <w:rPr>
                <w:rFonts w:hint="default"/>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4"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z w:val="20"/>
              </w:rPr>
              <w:t>断面尺寸，按浆砌片（卵）</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场地清理、开挖基坑；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w:t>
            </w:r>
          </w:p>
        </w:tc>
      </w:tr>
    </w:tbl>
    <w:p>
      <w:pPr>
        <w:spacing w:line="249"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石的体积，以立方米为单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浆砌片（卵）石、勾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缝、抹面、养护；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清理现场，废方弃运</w:t>
            </w:r>
          </w:p>
        </w:tc>
      </w:tr>
      <w:tr>
        <w:tblPrEx>
          <w:tblCellMar>
            <w:top w:w="0" w:type="dxa"/>
            <w:left w:w="108" w:type="dxa"/>
            <w:bottom w:w="0" w:type="dxa"/>
            <w:right w:w="108" w:type="dxa"/>
          </w:tblCellMar>
        </w:tblPrEx>
        <w:trPr>
          <w:trHeight w:val="26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8"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断面尺寸，按混凝土不同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强度等级的铺筑体积，以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洒水湿润；</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模板制作、架设、安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装、拆除；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混凝土拌合、运输、</w:t>
            </w:r>
          </w:p>
          <w:p>
            <w:pPr>
              <w:keepNext w:val="0"/>
              <w:keepLines w:val="0"/>
              <w:suppressLineNumbers w:val="0"/>
              <w:spacing w:before="0" w:beforeAutospacing="0" w:after="0" w:afterAutospacing="0" w:line="239" w:lineRule="exact"/>
              <w:ind w:left="108" w:right="0"/>
              <w:rPr>
                <w:rFonts w:hint="default"/>
              </w:rPr>
            </w:pPr>
            <w:r>
              <w:rPr>
                <w:rFonts w:hint="default"/>
                <w:sz w:val="20"/>
              </w:rPr>
              <w:t>浇筑、振捣、抹平、养护；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切缝、灌缝处理；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4" w:lineRule="exact"/>
              <w:ind w:left="337" w:right="0"/>
              <w:rPr>
                <w:rFonts w:hint="default"/>
              </w:rPr>
            </w:pPr>
            <w:r>
              <w:rPr>
                <w:rFonts w:hint="default" w:ascii="Times New Roman" w:hAnsi="Times New Roman" w:cs="Times New Roman"/>
                <w:spacing w:val="-1"/>
                <w:sz w:val="20"/>
              </w:rPr>
              <w:t>504-1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钢筋混凝土圆</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234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74" w:lineRule="exact"/>
              <w:ind w:left="282" w:right="0"/>
              <w:rPr>
                <w:rFonts w:hint="default"/>
              </w:rPr>
            </w:pPr>
            <w:r>
              <w:rPr>
                <w:rFonts w:hint="default" w:ascii="Times New Roman" w:hAnsi="Times New Roman" w:cs="Times New Roman"/>
                <w:spacing w:val="-1"/>
                <w:sz w:val="20"/>
              </w:rPr>
              <w:t>…m</w:t>
            </w:r>
            <w:r>
              <w:rPr>
                <w:rFonts w:hint="default" w:ascii="Calibri" w:hAnsi="Calibri" w:cs="Calibri"/>
                <w:sz w:val="20"/>
              </w:rPr>
              <w:t> </w:t>
            </w:r>
            <w:r>
              <w:rPr>
                <w:rFonts w:hint="default"/>
                <w:spacing w:val="-1"/>
                <w:position w:val="1"/>
                <w:sz w:val="20"/>
              </w:rPr>
              <w:t>单孔钢筋</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1"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39"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306" w:lineRule="exact"/>
              <w:ind w:left="109" w:right="0"/>
              <w:rPr>
                <w:rFonts w:hint="default"/>
              </w:rPr>
            </w:pPr>
            <w:r>
              <w:rPr>
                <w:rFonts w:hint="default"/>
                <w:spacing w:val="-1"/>
                <w:position w:val="1"/>
                <w:sz w:val="20"/>
              </w:rPr>
              <w:t>孔径的涵身长度</w:t>
            </w:r>
            <w:r>
              <w:rPr>
                <w:rFonts w:hint="default" w:ascii="Times New Roman" w:hAnsi="Times New Roman" w:cs="Times New Roman"/>
                <w:spacing w:val="-1"/>
                <w:sz w:val="20"/>
              </w:rPr>
              <w:t>(</w:t>
            </w:r>
            <w:r>
              <w:rPr>
                <w:rFonts w:hint="default"/>
                <w:spacing w:val="-1"/>
                <w:position w:val="1"/>
                <w:sz w:val="20"/>
              </w:rPr>
              <w:t>进出口</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端墙外侧间距离</w:t>
            </w:r>
            <w:r>
              <w:rPr>
                <w:rFonts w:hint="default" w:ascii="Times New Roman" w:hAnsi="Times New Roman" w:cs="Times New Roman"/>
                <w:spacing w:val="-1"/>
                <w:sz w:val="20"/>
              </w:rPr>
              <w:t>)</w:t>
            </w:r>
            <w:r>
              <w:rPr>
                <w:rFonts w:hint="default"/>
                <w:spacing w:val="-1"/>
                <w:position w:val="1"/>
                <w:sz w:val="20"/>
              </w:rPr>
              <w:t>计算，</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以米为单位计量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13"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底清理、地基处理；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预制或现浇钢筋混凝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土管；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10.</w:t>
            </w:r>
            <w:r>
              <w:rPr>
                <w:rFonts w:hint="default"/>
                <w:spacing w:val="-1"/>
                <w:position w:val="1"/>
                <w:sz w:val="20"/>
              </w:rPr>
              <w:t>回填</w:t>
            </w:r>
          </w:p>
        </w:tc>
      </w:tr>
      <w:tr>
        <w:tblPrEx>
          <w:tblCellMar>
            <w:top w:w="0" w:type="dxa"/>
            <w:left w:w="108" w:type="dxa"/>
            <w:bottom w:w="0" w:type="dxa"/>
            <w:right w:w="108" w:type="dxa"/>
          </w:tblCellMar>
        </w:tblPrEx>
        <w:trPr>
          <w:trHeight w:val="19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74" w:lineRule="exact"/>
              <w:ind w:left="282" w:right="0"/>
              <w:rPr>
                <w:rFonts w:hint="default"/>
              </w:rPr>
            </w:pPr>
            <w:r>
              <w:rPr>
                <w:rFonts w:hint="default" w:ascii="Times New Roman" w:hAnsi="Times New Roman" w:cs="Times New Roman"/>
                <w:spacing w:val="-1"/>
                <w:sz w:val="20"/>
              </w:rPr>
              <w:t>…m</w:t>
            </w:r>
            <w:r>
              <w:rPr>
                <w:rFonts w:hint="default" w:ascii="Calibri" w:hAnsi="Calibri" w:cs="Calibri"/>
                <w:sz w:val="20"/>
              </w:rPr>
              <w:t> </w:t>
            </w:r>
            <w:r>
              <w:rPr>
                <w:rFonts w:hint="default"/>
                <w:spacing w:val="-1"/>
                <w:position w:val="1"/>
                <w:sz w:val="20"/>
              </w:rPr>
              <w:t>双孔钢筋</w:t>
            </w:r>
          </w:p>
          <w:p>
            <w:pPr>
              <w:keepNext w:val="0"/>
              <w:keepLines w:val="0"/>
              <w:suppressLineNumbers w:val="0"/>
              <w:spacing w:before="0" w:beforeAutospacing="0" w:after="0" w:afterAutospacing="0" w:line="239" w:lineRule="exact"/>
              <w:ind w:left="107" w:right="0"/>
              <w:rPr>
                <w:rFonts w:hint="default"/>
              </w:rPr>
            </w:pPr>
            <w:r>
              <w:rPr>
                <w:rFonts w:hint="default"/>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0" w:right="0"/>
              <w:rPr>
                <w:rFonts w:hint="default"/>
              </w:rPr>
            </w:pPr>
          </w:p>
        </w:tc>
      </w:tr>
      <w:tr>
        <w:tblPrEx>
          <w:tblCellMar>
            <w:top w:w="0" w:type="dxa"/>
            <w:left w:w="108" w:type="dxa"/>
            <w:bottom w:w="0" w:type="dxa"/>
            <w:right w:w="108" w:type="dxa"/>
          </w:tblCellMar>
        </w:tblPrEx>
        <w:trPr>
          <w:trHeight w:val="382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07" w:lineRule="exact"/>
              <w:ind w:left="337" w:right="0"/>
              <w:rPr>
                <w:rFonts w:hint="default"/>
              </w:rPr>
            </w:pPr>
            <w:r>
              <w:rPr>
                <w:rFonts w:hint="default" w:ascii="Times New Roman" w:hAnsi="Times New Roman" w:cs="Times New Roman"/>
                <w:spacing w:val="-1"/>
                <w:sz w:val="20"/>
              </w:rPr>
              <w:t>505-1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78" w:lineRule="exact"/>
              <w:ind w:left="282" w:right="0"/>
              <w:rPr>
                <w:rFonts w:hint="default"/>
              </w:rPr>
            </w:pPr>
            <w:r>
              <w:rPr>
                <w:rFonts w:hint="default"/>
                <w:spacing w:val="-1"/>
                <w:sz w:val="20"/>
              </w:rPr>
              <w:t>倒虹吸（不分孔</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4" w:lineRule="exact"/>
              <w:ind w:left="282" w:right="0"/>
              <w:rPr>
                <w:rFonts w:hint="default"/>
              </w:rPr>
            </w:pPr>
            <w:r>
              <w:rPr>
                <w:rFonts w:hint="default"/>
                <w:spacing w:val="-1"/>
                <w:sz w:val="20"/>
              </w:rPr>
              <w:t>依据图纸所示，不分孔</w:t>
            </w:r>
          </w:p>
          <w:p>
            <w:pPr>
              <w:keepNext w:val="0"/>
              <w:keepLines w:val="0"/>
              <w:suppressLineNumbers w:val="0"/>
              <w:spacing w:before="0" w:beforeAutospacing="0" w:after="0" w:afterAutospacing="0" w:line="308" w:lineRule="exact"/>
              <w:ind w:left="109" w:right="0"/>
              <w:rPr>
                <w:rFonts w:hint="default"/>
              </w:rPr>
            </w:pPr>
            <w:r>
              <w:rPr>
                <w:rFonts w:hint="default"/>
                <w:spacing w:val="-1"/>
                <w:position w:val="1"/>
                <w:sz w:val="20"/>
              </w:rPr>
              <w:t>径按涵身长度</w:t>
            </w:r>
            <w:r>
              <w:rPr>
                <w:rFonts w:hint="default" w:ascii="Times New Roman" w:hAnsi="Times New Roman" w:cs="Times New Roman"/>
                <w:spacing w:val="-1"/>
                <w:sz w:val="20"/>
              </w:rPr>
              <w:t>(</w:t>
            </w:r>
            <w:r>
              <w:rPr>
                <w:rFonts w:hint="default"/>
                <w:spacing w:val="-1"/>
                <w:position w:val="1"/>
                <w:sz w:val="20"/>
              </w:rPr>
              <w:t>进出口端</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墙外侧间距离</w:t>
            </w:r>
            <w:r>
              <w:rPr>
                <w:rFonts w:hint="default" w:ascii="Times New Roman" w:hAnsi="Times New Roman" w:cs="Times New Roman"/>
                <w:spacing w:val="-1"/>
                <w:sz w:val="20"/>
              </w:rPr>
              <w:t>)</w:t>
            </w:r>
            <w:r>
              <w:rPr>
                <w:rFonts w:hint="default"/>
                <w:spacing w:val="-1"/>
                <w:position w:val="1"/>
                <w:sz w:val="20"/>
              </w:rPr>
              <w:t>计算，以</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底清理；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预制或现浇钢筋混凝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土管；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10.</w:t>
            </w:r>
            <w:r>
              <w:rPr>
                <w:rFonts w:hint="default"/>
                <w:spacing w:val="-1"/>
                <w:position w:val="1"/>
                <w:sz w:val="20"/>
              </w:rPr>
              <w:t>回填</w:t>
            </w:r>
          </w:p>
        </w:tc>
      </w:tr>
      <w:tr>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337" w:right="0"/>
              <w:rPr>
                <w:rFonts w:hint="default"/>
              </w:rPr>
            </w:pPr>
            <w:r>
              <w:rPr>
                <w:rFonts w:hint="default" w:ascii="Times New Roman" w:hAnsi="Times New Roman" w:cs="Times New Roman"/>
                <w:spacing w:val="-1"/>
                <w:sz w:val="20"/>
              </w:rPr>
              <w:t>506-1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钢筋混凝土盖</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bl>
    <w:p>
      <w:pPr>
        <w:rPr>
          <w:sz w:val="20"/>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162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09"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15" w:lineRule="exact"/>
              <w:ind w:left="282" w:right="0"/>
              <w:rPr>
                <w:rFonts w:hint="default"/>
              </w:rPr>
            </w:pPr>
            <w:r>
              <w:rPr>
                <w:rFonts w:hint="default" w:ascii="Times New Roman" w:hAnsi="Times New Roman" w:cs="Times New Roman"/>
                <w:spacing w:val="-1"/>
                <w:sz w:val="20"/>
              </w:rPr>
              <w:t>1-…m×…m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9" w:lineRule="exact"/>
              <w:ind w:left="107" w:right="0"/>
              <w:rPr>
                <w:rFonts w:hint="default"/>
              </w:rPr>
            </w:pPr>
            <w:r>
              <w:rPr>
                <w:rFonts w:hint="default"/>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1"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跨径的盖板涵长度以米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围堰、排水，基坑开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挖，基坑支护；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基础、地基处理、涵</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施工缝设置、处理；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盖板预制，运输，安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砂浆制作、填缝；</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防水、防冻、防腐措</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8.</w:t>
            </w:r>
            <w:r>
              <w:rPr>
                <w:rFonts w:hint="default"/>
                <w:spacing w:val="-1"/>
                <w:position w:val="1"/>
                <w:sz w:val="20"/>
              </w:rPr>
              <w:t>回填</w:t>
            </w:r>
          </w:p>
        </w:tc>
      </w:tr>
      <w:tr>
        <w:tblPrEx>
          <w:tblCellMar>
            <w:top w:w="0" w:type="dxa"/>
            <w:left w:w="108" w:type="dxa"/>
            <w:bottom w:w="0" w:type="dxa"/>
            <w:right w:w="108" w:type="dxa"/>
          </w:tblCellMar>
        </w:tblPrEx>
        <w:trPr>
          <w:trHeight w:val="162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60"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6" w:lineRule="exact"/>
              <w:ind w:left="282" w:right="0"/>
              <w:rPr>
                <w:rFonts w:hint="default"/>
              </w:rPr>
            </w:pPr>
            <w:r>
              <w:rPr>
                <w:rFonts w:hint="default" w:ascii="Times New Roman" w:hAnsi="Times New Roman" w:cs="Times New Roman"/>
                <w:spacing w:val="-1"/>
                <w:sz w:val="20"/>
              </w:rPr>
              <w:t>2-…m×…m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0" w:right="0"/>
              <w:rPr>
                <w:rFonts w:hint="default"/>
              </w:rPr>
            </w:pP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337" w:right="0"/>
              <w:rPr>
                <w:rFonts w:hint="default"/>
              </w:rPr>
            </w:pPr>
            <w:r>
              <w:rPr>
                <w:rFonts w:hint="default" w:ascii="Times New Roman" w:hAnsi="Times New Roman" w:cs="Times New Roman"/>
                <w:spacing w:val="-1"/>
                <w:sz w:val="20"/>
              </w:rPr>
              <w:t>507-1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44" w:lineRule="exact"/>
              <w:ind w:left="0" w:right="0"/>
              <w:jc w:val="center"/>
              <w:rPr>
                <w:rFonts w:hint="default"/>
              </w:rPr>
            </w:pPr>
            <w:r>
              <w:rPr>
                <w:rFonts w:hint="default"/>
                <w:spacing w:val="-1"/>
                <w:sz w:val="20"/>
              </w:rPr>
              <w:t>钢筋混凝土箱涵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blPrEx>
          <w:tblCellMar>
            <w:top w:w="0" w:type="dxa"/>
            <w:left w:w="108" w:type="dxa"/>
            <w:bottom w:w="0" w:type="dxa"/>
            <w:right w:w="108" w:type="dxa"/>
          </w:tblCellMar>
        </w:tblPrEx>
        <w:trPr>
          <w:trHeight w:val="182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11"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17" w:lineRule="exact"/>
              <w:ind w:left="282" w:right="0"/>
              <w:rPr>
                <w:rFonts w:hint="default"/>
              </w:rPr>
            </w:pPr>
            <w:r>
              <w:rPr>
                <w:rFonts w:hint="default" w:ascii="Times New Roman" w:hAnsi="Times New Roman" w:cs="Times New Roman"/>
                <w:spacing w:val="-1"/>
                <w:sz w:val="20"/>
              </w:rPr>
              <w:t>1-…m×…m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54"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1"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跨径的箱涵长度以米为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0" w:right="0"/>
              <w:rPr>
                <w:rFonts w:hint="default"/>
              </w:rPr>
            </w:pPr>
            <w:r>
              <w:rPr>
                <w:rFonts w:hint="default" w:ascii="Times New Roman" w:hAnsi="Times New Roman" w:cs="Times New Roman"/>
                <w:sz w:val="20"/>
              </w:rPr>
              <w:t>1.</w:t>
            </w:r>
            <w:r>
              <w:rPr>
                <w:rFonts w:hint="default"/>
                <w:spacing w:val="-1"/>
                <w:position w:val="1"/>
                <w:sz w:val="20"/>
              </w:rPr>
              <w:t>围堰、排水，基坑开</w:t>
            </w:r>
            <w:r>
              <w:rPr>
                <w:rFonts w:hint="default"/>
                <w:spacing w:val="-1"/>
                <w:sz w:val="20"/>
              </w:rPr>
              <w:t>挖；</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2.</w:t>
            </w:r>
            <w:r>
              <w:rPr>
                <w:rFonts w:hint="default"/>
                <w:spacing w:val="-1"/>
                <w:position w:val="1"/>
                <w:sz w:val="20"/>
              </w:rPr>
              <w:t>垫层、基础施工；</w:t>
            </w:r>
          </w:p>
          <w:p>
            <w:pPr>
              <w:keepNext w:val="0"/>
              <w:keepLines w:val="0"/>
              <w:suppressLineNumbers w:val="0"/>
              <w:spacing w:before="0" w:beforeAutospacing="0" w:after="0" w:afterAutospacing="0" w:line="274" w:lineRule="exact"/>
              <w:ind w:left="0" w:right="0"/>
              <w:rPr>
                <w:rFonts w:hint="default"/>
              </w:rPr>
            </w:pPr>
            <w:r>
              <w:rPr>
                <w:rFonts w:hint="default" w:ascii="Times New Roman" w:hAnsi="Times New Roman" w:cs="Times New Roman"/>
                <w:sz w:val="20"/>
              </w:rPr>
              <w:t>3.</w:t>
            </w:r>
            <w:r>
              <w:rPr>
                <w:rFonts w:hint="default"/>
                <w:spacing w:val="-1"/>
                <w:position w:val="1"/>
                <w:sz w:val="20"/>
              </w:rPr>
              <w:t>搭拆作业平台；</w:t>
            </w:r>
          </w:p>
          <w:p>
            <w:pPr>
              <w:keepNext w:val="0"/>
              <w:keepLines w:val="0"/>
              <w:suppressLineNumbers w:val="0"/>
              <w:spacing w:before="0" w:beforeAutospacing="0" w:after="0" w:afterAutospacing="0" w:line="271" w:lineRule="exact"/>
              <w:ind w:left="0" w:right="0"/>
              <w:rPr>
                <w:rFonts w:hint="default"/>
              </w:rPr>
            </w:pPr>
            <w:r>
              <w:rPr>
                <w:rFonts w:hint="default" w:ascii="Times New Roman" w:hAnsi="Times New Roman" w:cs="Times New Roman"/>
                <w:sz w:val="20"/>
              </w:rPr>
              <w:t>4.</w:t>
            </w:r>
            <w:r>
              <w:rPr>
                <w:rFonts w:hint="default"/>
                <w:spacing w:val="-1"/>
                <w:position w:val="1"/>
                <w:sz w:val="20"/>
              </w:rPr>
              <w:t>模板安设、加固、检</w:t>
            </w:r>
            <w:r>
              <w:rPr>
                <w:rFonts w:hint="default"/>
                <w:spacing w:val="-1"/>
                <w:sz w:val="20"/>
              </w:rPr>
              <w:t>查；</w:t>
            </w:r>
          </w:p>
          <w:p>
            <w:pPr>
              <w:keepNext w:val="0"/>
              <w:keepLines w:val="0"/>
              <w:suppressLineNumbers w:val="0"/>
              <w:spacing w:before="0" w:beforeAutospacing="0" w:after="0" w:afterAutospacing="0" w:line="308" w:lineRule="exact"/>
              <w:ind w:left="0" w:right="0"/>
              <w:rPr>
                <w:rFonts w:hint="default"/>
              </w:rPr>
            </w:pPr>
            <w:r>
              <w:rPr>
                <w:rFonts w:hint="default" w:ascii="Times New Roman" w:hAnsi="Times New Roman" w:cs="Times New Roman"/>
                <w:sz w:val="20"/>
              </w:rPr>
              <w:t>5.</w:t>
            </w:r>
            <w:r>
              <w:rPr>
                <w:rFonts w:hint="default"/>
                <w:spacing w:val="-1"/>
                <w:position w:val="1"/>
                <w:sz w:val="20"/>
              </w:rPr>
              <w:t>钢筋安设、支承及固</w:t>
            </w:r>
            <w:r>
              <w:rPr>
                <w:rFonts w:hint="default"/>
                <w:spacing w:val="-1"/>
                <w:sz w:val="20"/>
              </w:rPr>
              <w:t>定；</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6.</w:t>
            </w:r>
            <w:r>
              <w:rPr>
                <w:rFonts w:hint="default"/>
                <w:spacing w:val="-1"/>
                <w:position w:val="1"/>
                <w:sz w:val="20"/>
              </w:rPr>
              <w:t>混凝土配运料、拌和、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运输、浇筑、养护；</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7.</w:t>
            </w:r>
            <w:r>
              <w:rPr>
                <w:rFonts w:hint="default"/>
                <w:spacing w:val="-1"/>
                <w:position w:val="1"/>
                <w:sz w:val="20"/>
              </w:rPr>
              <w:t>施工缝设置、处理；</w:t>
            </w:r>
          </w:p>
          <w:p>
            <w:pPr>
              <w:keepNext w:val="0"/>
              <w:keepLines w:val="0"/>
              <w:suppressLineNumbers w:val="0"/>
              <w:spacing w:before="0" w:beforeAutospacing="0" w:after="0" w:afterAutospacing="0" w:line="274" w:lineRule="exact"/>
              <w:ind w:left="0" w:right="0"/>
              <w:rPr>
                <w:rFonts w:hint="default"/>
              </w:rPr>
            </w:pPr>
            <w:r>
              <w:rPr>
                <w:rFonts w:hint="default" w:ascii="Times New Roman" w:hAnsi="Times New Roman" w:cs="Times New Roman"/>
                <w:sz w:val="20"/>
              </w:rPr>
              <w:t>8.</w:t>
            </w:r>
            <w:r>
              <w:rPr>
                <w:rFonts w:hint="default"/>
                <w:spacing w:val="-1"/>
                <w:position w:val="1"/>
                <w:sz w:val="20"/>
              </w:rPr>
              <w:t>防水、防冻、防腐措</w:t>
            </w:r>
            <w:r>
              <w:rPr>
                <w:rFonts w:hint="default"/>
                <w:spacing w:val="-1"/>
                <w:sz w:val="20"/>
              </w:rPr>
              <w:t>施；</w:t>
            </w:r>
          </w:p>
          <w:p>
            <w:pPr>
              <w:keepNext w:val="0"/>
              <w:keepLines w:val="0"/>
              <w:suppressLineNumbers w:val="0"/>
              <w:spacing w:before="0" w:beforeAutospacing="0" w:after="0" w:afterAutospacing="0" w:line="308" w:lineRule="exact"/>
              <w:ind w:left="0" w:right="0"/>
              <w:rPr>
                <w:rFonts w:hint="default"/>
              </w:rPr>
            </w:pPr>
            <w:r>
              <w:rPr>
                <w:rFonts w:hint="default" w:ascii="Times New Roman" w:hAnsi="Times New Roman" w:cs="Times New Roman"/>
                <w:sz w:val="20"/>
              </w:rPr>
              <w:t>9.</w:t>
            </w:r>
            <w:r>
              <w:rPr>
                <w:rFonts w:hint="default"/>
                <w:spacing w:val="-1"/>
                <w:position w:val="1"/>
                <w:sz w:val="20"/>
              </w:rPr>
              <w:t>回填</w:t>
            </w:r>
          </w:p>
        </w:tc>
      </w:tr>
      <w:tr>
        <w:tblPrEx>
          <w:tblCellMar>
            <w:top w:w="0" w:type="dxa"/>
            <w:left w:w="108" w:type="dxa"/>
            <w:bottom w:w="0" w:type="dxa"/>
            <w:right w:w="108" w:type="dxa"/>
          </w:tblCellMar>
        </w:tblPrEx>
        <w:trPr>
          <w:trHeight w:val="12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99" w:lineRule="exact"/>
              <w:ind w:left="282" w:right="0"/>
              <w:rPr>
                <w:rFonts w:hint="default"/>
              </w:rPr>
            </w:pPr>
            <w:r>
              <w:rPr>
                <w:rFonts w:hint="default" w:ascii="Times New Roman" w:hAnsi="Times New Roman" w:cs="Times New Roman"/>
                <w:spacing w:val="-1"/>
                <w:sz w:val="20"/>
              </w:rPr>
              <w:t>2-…m×…m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6" w:lineRule="exact"/>
              <w:ind w:left="107" w:right="0"/>
              <w:rPr>
                <w:rFonts w:hint="default"/>
              </w:rPr>
            </w:pPr>
            <w:r>
              <w:rPr>
                <w:rFonts w:hint="default"/>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0" w:right="0"/>
              <w:rPr>
                <w:rFonts w:hint="default"/>
              </w:rPr>
            </w:pPr>
          </w:p>
        </w:tc>
      </w:tr>
      <w:tr>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99" w:lineRule="exact"/>
              <w:ind w:left="337" w:right="0"/>
              <w:rPr>
                <w:rFonts w:hint="default"/>
              </w:rPr>
            </w:pPr>
            <w:r>
              <w:rPr>
                <w:rFonts w:hint="default" w:ascii="Times New Roman" w:hAnsi="Times New Roman" w:cs="Times New Roman"/>
                <w:spacing w:val="-1"/>
                <w:sz w:val="20"/>
              </w:rPr>
              <w:t>508-1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39"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跨径的混凝土拱涵长度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围堰、排水，基坑开</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挖，</w:t>
            </w:r>
          </w:p>
          <w:p>
            <w:pPr>
              <w:keepNext w:val="0"/>
              <w:keepLines w:val="0"/>
              <w:suppressLineNumbers w:val="0"/>
              <w:spacing w:before="0" w:beforeAutospacing="0" w:after="0" w:afterAutospacing="0" w:line="274" w:lineRule="exact"/>
              <w:ind w:left="281" w:right="0"/>
              <w:rPr>
                <w:rFonts w:hint="default"/>
              </w:rPr>
            </w:pPr>
            <w:r>
              <w:rPr>
                <w:rFonts w:hint="default"/>
                <w:spacing w:val="-1"/>
                <w:sz w:val="20"/>
              </w:rPr>
              <w:t>基坑支护；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基础及涵台施工；</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搭拆作业平台；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安拆支架、拱盔；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配、拌、运混凝土、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防水、防冻、防腐措</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施</w:t>
            </w:r>
          </w:p>
        </w:tc>
      </w:tr>
      <w:tr>
        <w:tblPrEx>
          <w:tblCellMar>
            <w:top w:w="0" w:type="dxa"/>
            <w:left w:w="108" w:type="dxa"/>
            <w:bottom w:w="0" w:type="dxa"/>
            <w:right w:w="108" w:type="dxa"/>
          </w:tblCellMar>
        </w:tblPrEx>
        <w:trPr>
          <w:trHeight w:val="3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476" w:lineRule="exact"/>
              <w:ind w:left="337" w:right="0"/>
              <w:jc w:val="center"/>
              <w:rPr>
                <w:rFonts w:hint="default" w:ascii="Times New Roman" w:hAnsi="Times New Roman" w:cs="Times New Roman" w:eastAsiaTheme="minorEastAsia"/>
                <w:spacing w:val="-1"/>
                <w:sz w:val="20"/>
                <w:lang w:val="en-US"/>
              </w:rPr>
            </w:pPr>
            <w:r>
              <w:rPr>
                <w:rFonts w:hint="default" w:ascii="Times New Roman" w:hAnsi="Times New Roman" w:cs="Times New Roman"/>
                <w:spacing w:val="-1"/>
                <w:sz w:val="20"/>
              </w:rPr>
              <w:t>50</w:t>
            </w:r>
            <w:r>
              <w:rPr>
                <w:rFonts w:hint="eastAsia" w:ascii="Times New Roman" w:hAnsi="Times New Roman" w:cs="Times New Roman"/>
                <w:spacing w:val="-1"/>
                <w:sz w:val="20"/>
                <w:lang w:val="en-US"/>
              </w:rPr>
              <w:t>9</w:t>
            </w:r>
            <w:r>
              <w:rPr>
                <w:rFonts w:hint="default" w:ascii="Times New Roman" w:hAnsi="Times New Roman" w:cs="Times New Roman"/>
                <w:spacing w:val="-1"/>
                <w:sz w:val="20"/>
              </w:rPr>
              <w:t>-1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44" w:lineRule="exact"/>
              <w:ind w:left="0" w:right="0"/>
              <w:jc w:val="center"/>
              <w:rPr>
                <w:rFonts w:hint="default" w:eastAsiaTheme="minorEastAsia"/>
                <w:spacing w:val="-1"/>
                <w:sz w:val="20"/>
                <w:lang w:val="en-US"/>
              </w:rPr>
            </w:pPr>
            <w:r>
              <w:rPr>
                <w:rFonts w:hint="eastAsia"/>
                <w:spacing w:val="-1"/>
                <w:sz w:val="20"/>
                <w:lang w:val="en-US"/>
              </w:rPr>
              <w:t>钢管涵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0" w:right="0"/>
              <w:jc w:val="center"/>
              <w:rPr>
                <w:rFonts w:hint="default" w:ascii="Times New Roman" w:hAnsi="Times New Roman" w:cs="Times New Roman"/>
                <w:sz w:val="20"/>
              </w:rPr>
            </w:pPr>
            <w:r>
              <w:rPr>
                <w:rFonts w:hint="eastAsia" w:ascii="Times New Roman" w:hAnsi="Times New Roman" w:cs="Times New Roman"/>
                <w:position w:val="-4"/>
                <w:sz w:val="20"/>
                <w:lang w:val="en-US"/>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autoSpaceDE/>
              <w:autoSpaceDN/>
              <w:spacing w:before="0" w:beforeAutospacing="0" w:after="0" w:afterAutospacing="0"/>
              <w:ind w:left="0"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306" w:lineRule="exact"/>
              <w:ind w:left="109" w:right="0"/>
              <w:rPr>
                <w:rFonts w:hint="default"/>
              </w:rPr>
            </w:pPr>
            <w:r>
              <w:rPr>
                <w:rFonts w:hint="default"/>
                <w:spacing w:val="-1"/>
                <w:position w:val="1"/>
                <w:sz w:val="20"/>
              </w:rPr>
              <w:t>孔径的涵身长度</w:t>
            </w:r>
            <w:r>
              <w:rPr>
                <w:rFonts w:hint="default" w:ascii="Times New Roman" w:hAnsi="Times New Roman" w:cs="Times New Roman"/>
                <w:spacing w:val="-1"/>
                <w:sz w:val="20"/>
              </w:rPr>
              <w:t>(</w:t>
            </w:r>
            <w:r>
              <w:rPr>
                <w:rFonts w:hint="default"/>
                <w:spacing w:val="-1"/>
                <w:position w:val="1"/>
                <w:sz w:val="20"/>
              </w:rPr>
              <w:t>进出口</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端墙外侧间距离</w:t>
            </w:r>
            <w:r>
              <w:rPr>
                <w:rFonts w:hint="default" w:ascii="Times New Roman" w:hAnsi="Times New Roman" w:cs="Times New Roman"/>
                <w:spacing w:val="-1"/>
                <w:sz w:val="20"/>
              </w:rPr>
              <w:t>)</w:t>
            </w:r>
            <w:r>
              <w:rPr>
                <w:rFonts w:hint="default"/>
                <w:spacing w:val="-1"/>
                <w:position w:val="1"/>
                <w:sz w:val="20"/>
              </w:rPr>
              <w:t>计算，</w:t>
            </w:r>
          </w:p>
          <w:p>
            <w:pPr>
              <w:keepNext w:val="0"/>
              <w:keepLines w:val="0"/>
              <w:suppressLineNumbers w:val="0"/>
              <w:spacing w:before="0" w:beforeAutospacing="0" w:after="0" w:afterAutospacing="0" w:line="274" w:lineRule="exact"/>
              <w:ind w:left="0" w:right="0"/>
              <w:rPr>
                <w:rFonts w:hint="default"/>
                <w:spacing w:val="-1"/>
                <w:sz w:val="20"/>
              </w:rPr>
            </w:pPr>
            <w:r>
              <w:rPr>
                <w:rFonts w:hint="default"/>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autoSpaceDE/>
              <w:autoSpaceDN/>
              <w:spacing w:before="0" w:beforeAutospacing="0" w:after="0" w:afterAutospacing="0" w:line="240" w:lineRule="atLeast"/>
              <w:ind w:left="283"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底清理、地基处理；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37" w:lineRule="exact"/>
              <w:ind w:left="108" w:right="0" w:firstLine="200" w:firstLineChars="100"/>
              <w:rPr>
                <w:rFonts w:hint="default"/>
              </w:rPr>
            </w:pPr>
            <w:r>
              <w:rPr>
                <w:rFonts w:hint="default" w:ascii="Times New Roman" w:hAnsi="Times New Roman" w:cs="Times New Roman"/>
                <w:sz w:val="20"/>
              </w:rPr>
              <w:t>5.</w:t>
            </w:r>
            <w:r>
              <w:rPr>
                <w:rFonts w:hint="eastAsia" w:ascii="Times New Roman" w:hAnsi="Times New Roman" w:cs="Times New Roman"/>
                <w:sz w:val="20"/>
                <w:lang w:val="en-US"/>
              </w:rPr>
              <w:t>制作钢管涵</w:t>
            </w:r>
            <w:r>
              <w:rPr>
                <w:rFonts w:hint="default"/>
                <w:spacing w:val="-1"/>
                <w:sz w:val="20"/>
              </w:rPr>
              <w:t>；</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274" w:lineRule="exact"/>
              <w:ind w:left="0" w:right="0" w:firstLine="200" w:firstLineChars="100"/>
              <w:rPr>
                <w:rFonts w:hint="default"/>
                <w:spacing w:val="-1"/>
                <w:sz w:val="20"/>
              </w:rPr>
            </w:pPr>
            <w:r>
              <w:rPr>
                <w:rFonts w:hint="default" w:ascii="Times New Roman" w:hAnsi="Times New Roman" w:cs="Times New Roman"/>
                <w:sz w:val="20"/>
              </w:rPr>
              <w:t>10.</w:t>
            </w:r>
            <w:r>
              <w:rPr>
                <w:rFonts w:hint="default"/>
                <w:spacing w:val="-1"/>
                <w:position w:val="1"/>
                <w:sz w:val="20"/>
              </w:rPr>
              <w:t>回填</w:t>
            </w:r>
          </w:p>
        </w:tc>
      </w:tr>
    </w:tbl>
    <w:p>
      <w:pPr>
        <w:spacing w:line="252" w:lineRule="exact"/>
        <w:rPr>
          <w:sz w:val="21"/>
        </w:rPr>
        <w:sectPr>
          <w:pgSz w:w="11910" w:h="16840"/>
          <w:pgMar w:top="1440" w:right="1080" w:bottom="1040" w:left="1420" w:header="882" w:footer="847" w:gutter="0"/>
          <w:cols w:space="720" w:num="1"/>
        </w:sectPr>
      </w:pPr>
    </w:p>
    <w:p>
      <w:pPr>
        <w:spacing w:before="139"/>
        <w:ind w:left="86" w:right="194"/>
        <w:jc w:val="center"/>
        <w:rPr>
          <w:sz w:val="28"/>
        </w:rPr>
      </w:pPr>
      <w:r>
        <w:rPr>
          <w:rFonts w:hint="eastAsia"/>
          <w:sz w:val="28"/>
        </w:rPr>
        <w:t>第 600 章 防护</w:t>
      </w:r>
    </w:p>
    <w:p>
      <w:pPr>
        <w:pStyle w:val="11"/>
        <w:spacing w:before="1"/>
        <w:rPr>
          <w:sz w:val="18"/>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330" w:right="0"/>
              <w:rPr>
                <w:rFonts w:hint="default"/>
              </w:rPr>
            </w:pPr>
            <w:r>
              <w:rPr>
                <w:rFonts w:hint="default"/>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716" w:right="0"/>
              <w:rPr>
                <w:rFonts w:hint="default"/>
              </w:rPr>
            </w:pPr>
            <w:r>
              <w:rPr>
                <w:rFonts w:hint="default"/>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3" w:lineRule="exact"/>
              <w:ind w:left="337" w:right="0"/>
              <w:rPr>
                <w:rFonts w:hint="default"/>
              </w:rPr>
            </w:pPr>
            <w:r>
              <w:rPr>
                <w:rFonts w:hint="default" w:ascii="Times New Roman" w:hAnsi="Times New Roman" w:cs="Times New Roman"/>
                <w:spacing w:val="-1"/>
                <w:sz w:val="20"/>
              </w:rPr>
              <w:t>601-1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282" w:right="0"/>
              <w:rPr>
                <w:rFonts w:hint="default"/>
              </w:rPr>
            </w:pPr>
            <w:r>
              <w:rPr>
                <w:rFonts w:hint="default"/>
                <w:spacing w:val="-1"/>
                <w:sz w:val="20"/>
              </w:rPr>
              <w:t>喷锚护面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r>
      <w:tr>
        <w:tblPrEx>
          <w:tblCellMar>
            <w:top w:w="0" w:type="dxa"/>
            <w:left w:w="108" w:type="dxa"/>
            <w:bottom w:w="0" w:type="dxa"/>
            <w:right w:w="108" w:type="dxa"/>
          </w:tblCellMar>
        </w:tblPrEx>
        <w:trPr>
          <w:trHeight w:val="273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挂网喷锚</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4"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混凝土或砂浆强度等级，</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按照不同厚度喷射混凝</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土或砂浆防护面积，以平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坡面清理、修整；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钻孔，制作、安放、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固定锚杆；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挂网、支承及固定；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混凝土或砂浆拌制；</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喷射；</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沉降缝设置；</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设备安装与拆除；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养护；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现场清理</w:t>
            </w:r>
          </w:p>
        </w:tc>
      </w:tr>
      <w:tr>
        <w:tblPrEx>
          <w:tblCellMar>
            <w:top w:w="0" w:type="dxa"/>
            <w:left w:w="108" w:type="dxa"/>
            <w:bottom w:w="0" w:type="dxa"/>
            <w:right w:w="108" w:type="dxa"/>
          </w:tblCellMar>
        </w:tblPrEx>
        <w:trPr>
          <w:trHeight w:val="21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1"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282" w:right="0"/>
              <w:rPr>
                <w:rFonts w:hint="default"/>
              </w:rPr>
            </w:pPr>
            <w:r>
              <w:rPr>
                <w:rFonts w:hint="default"/>
                <w:spacing w:val="-1"/>
                <w:sz w:val="20"/>
              </w:rPr>
              <w:t>素喷（不挂网）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混凝土或砂浆强度等级，</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按照不同厚度喷射混凝</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土或砂浆防护面积，以平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坡面清理、修整；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ascii="Calibri" w:hAnsi="Calibri" w:cs="Calibri"/>
                <w:sz w:val="20"/>
              </w:rPr>
              <w:t>  </w:t>
            </w:r>
            <w:r>
              <w:rPr>
                <w:rFonts w:hint="default"/>
                <w:spacing w:val="-1"/>
                <w:position w:val="1"/>
                <w:sz w:val="20"/>
              </w:rPr>
              <w:t>混凝土或水泥砂浆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拌制；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喷射；</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沉降缝设置；</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设备安装与拆除；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现场清理</w:t>
            </w:r>
          </w:p>
        </w:tc>
      </w:tr>
      <w:tr>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4" w:lineRule="exact"/>
              <w:ind w:left="337" w:right="0"/>
              <w:rPr>
                <w:rFonts w:hint="default"/>
              </w:rPr>
            </w:pPr>
            <w:r>
              <w:rPr>
                <w:rFonts w:hint="default" w:ascii="Times New Roman" w:hAnsi="Times New Roman" w:cs="Times New Roman"/>
                <w:spacing w:val="-1"/>
                <w:sz w:val="20"/>
              </w:rPr>
              <w:t>602-1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282"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5"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282" w:right="0"/>
              <w:rPr>
                <w:rFonts w:hint="default"/>
              </w:rPr>
            </w:pPr>
            <w:r>
              <w:rPr>
                <w:rFonts w:hint="default"/>
                <w:spacing w:val="-1"/>
                <w:sz w:val="20"/>
              </w:rPr>
              <w:t>混凝土护坡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411" w:right="0"/>
              <w:rPr>
                <w:rFonts w:hint="default"/>
              </w:rPr>
            </w:pPr>
            <w:r>
              <w:rPr>
                <w:rFonts w:hint="default"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现浇混凝土护</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1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等级混凝土浇筑的实体</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体积以立方米为单位计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清理边坡，坡面夯实，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基坑开挖；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混凝土拌和、运输、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勾缝、填缝、沉降缝、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泄水管；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回填；</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清理现场</w:t>
            </w:r>
          </w:p>
        </w:tc>
      </w:tr>
      <w:tr>
        <w:tblPrEx>
          <w:tblCellMar>
            <w:top w:w="0" w:type="dxa"/>
            <w:left w:w="108" w:type="dxa"/>
            <w:bottom w:w="0" w:type="dxa"/>
            <w:right w:w="108" w:type="dxa"/>
          </w:tblCellMar>
        </w:tblPrEx>
        <w:trPr>
          <w:trHeight w:val="300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0" w:lineRule="exact"/>
              <w:ind w:left="411" w:right="0"/>
              <w:rPr>
                <w:rFonts w:hint="default"/>
              </w:rPr>
            </w:pPr>
            <w:r>
              <w:rPr>
                <w:rFonts w:hint="default"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1" w:lineRule="exact"/>
              <w:ind w:left="282" w:right="0"/>
              <w:rPr>
                <w:rFonts w:hint="default"/>
              </w:rPr>
            </w:pPr>
            <w:r>
              <w:rPr>
                <w:rFonts w:hint="default"/>
                <w:spacing w:val="-1"/>
                <w:sz w:val="20"/>
              </w:rPr>
              <w:t>混凝土预制件</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构造尺寸，按照不同强度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等级混凝土预制件铺砌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坡面的实体体积以立方</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清理边坡，坡面夯实，</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基坑开挖；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预制场建设；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预制件预制、运输、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勾缝、填缝、沉降缝、</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泄水管；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清理现场</w:t>
            </w:r>
          </w:p>
        </w:tc>
      </w:tr>
    </w:tbl>
    <w:p>
      <w:pPr>
        <w:spacing w:line="250"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130"/>
        <w:gridCol w:w="2875"/>
      </w:tblGrid>
      <w:tr>
        <w:tblPrEx>
          <w:tblCellMar>
            <w:top w:w="0" w:type="dxa"/>
            <w:left w:w="108" w:type="dxa"/>
            <w:bottom w:w="0" w:type="dxa"/>
            <w:right w:w="108" w:type="dxa"/>
          </w:tblCellMar>
        </w:tblPrEx>
        <w:trPr>
          <w:trHeight w:val="170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浆砌片（卵）石</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铺砌厚度、水泥砂浆强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清理边坡，坡面夯实，</w:t>
            </w:r>
            <w:r>
              <w:rPr>
                <w:rFonts w:hint="default"/>
                <w:spacing w:val="-1"/>
                <w:sz w:val="20"/>
              </w:rPr>
              <w:t>基础开挖；</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浆砌片石；</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勾缝、抹面、泄水管、</w:t>
            </w:r>
            <w:r>
              <w:rPr>
                <w:rFonts w:hint="default"/>
                <w:spacing w:val="-1"/>
                <w:sz w:val="20"/>
              </w:rPr>
              <w:t>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回填；</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170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107" w:right="0"/>
              <w:jc w:val="center"/>
              <w:rPr>
                <w:rFonts w:hint="default"/>
                <w:spacing w:val="-1"/>
                <w:sz w:val="20"/>
                <w:lang w:val="en-US"/>
              </w:rPr>
            </w:pPr>
            <w:r>
              <w:rPr>
                <w:rFonts w:hint="eastAsia"/>
                <w:spacing w:val="-1"/>
                <w:sz w:val="20"/>
                <w:lang w:val="en-US"/>
              </w:rPr>
              <w:t>铅丝石笼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ascii="Times New Roman" w:hAnsi="Times New Roman" w:cs="Times New Roman"/>
                <w:position w:val="-4"/>
                <w:sz w:val="20"/>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铺砌厚度、水泥砂浆强</w:t>
            </w:r>
          </w:p>
          <w:p>
            <w:pPr>
              <w:keepNext w:val="0"/>
              <w:keepLines w:val="0"/>
              <w:suppressLineNumbers w:val="0"/>
              <w:spacing w:before="0" w:beforeAutospacing="0" w:after="0" w:afterAutospacing="0" w:line="274" w:lineRule="exact"/>
              <w:ind w:left="109" w:right="0"/>
              <w:rPr>
                <w:rFonts w:hint="default"/>
                <w:spacing w:val="-1"/>
                <w:sz w:val="20"/>
              </w:rPr>
            </w:pPr>
            <w:r>
              <w:rPr>
                <w:rFonts w:hint="default"/>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清理边坡，坡面夯实，</w:t>
            </w:r>
            <w:r>
              <w:rPr>
                <w:rFonts w:hint="default"/>
                <w:spacing w:val="-1"/>
                <w:sz w:val="20"/>
              </w:rPr>
              <w:t>基础开挖；</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lang w:val="en-US"/>
              </w:rPr>
            </w:pPr>
            <w:r>
              <w:rPr>
                <w:rFonts w:hint="eastAsia" w:ascii="Times New Roman" w:hAnsi="Times New Roman" w:cs="Times New Roman"/>
                <w:sz w:val="20"/>
                <w:lang w:val="en-US"/>
              </w:rPr>
              <w:t>2.铺设钢筋镀锌铁丝网；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eastAsia"/>
                <w:spacing w:val="-1"/>
                <w:position w:val="1"/>
                <w:sz w:val="20"/>
                <w:lang w:val="en-US"/>
              </w:rPr>
              <w:t>填装卵石</w:t>
            </w:r>
            <w:r>
              <w:rPr>
                <w:rFonts w:hint="default"/>
                <w:spacing w:val="-1"/>
                <w:position w:val="1"/>
                <w:sz w:val="20"/>
              </w:rPr>
              <w:t>；</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eastAsia"/>
                <w:spacing w:val="-1"/>
                <w:position w:val="1"/>
                <w:sz w:val="20"/>
                <w:lang w:val="en-US"/>
              </w:rPr>
              <w:t>铅丝笼捆扎及连接</w:t>
            </w:r>
            <w:r>
              <w:rPr>
                <w:rFonts w:hint="default"/>
                <w:spacing w:val="-1"/>
                <w:sz w:val="20"/>
              </w:rPr>
              <w:t>；</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eastAsia" w:ascii="Times New Roman" w:hAnsi="Times New Roman" w:cs="Times New Roman"/>
                <w:sz w:val="20"/>
                <w:lang w:val="en-US"/>
              </w:rPr>
              <w:t>石笼四周</w:t>
            </w:r>
            <w:r>
              <w:rPr>
                <w:rFonts w:hint="default"/>
                <w:spacing w:val="-1"/>
                <w:position w:val="1"/>
                <w:sz w:val="20"/>
              </w:rPr>
              <w:t>回填；</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lang w:val="en-US"/>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17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-d</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107" w:right="0"/>
              <w:jc w:val="center"/>
              <w:rPr>
                <w:rFonts w:hint="default"/>
                <w:spacing w:val="-1"/>
                <w:sz w:val="20"/>
                <w:lang w:val="en-US"/>
              </w:rPr>
            </w:pPr>
            <w:r>
              <w:rPr>
                <w:rFonts w:hint="eastAsia"/>
                <w:spacing w:val="-1"/>
                <w:sz w:val="20"/>
                <w:lang w:val="en-US"/>
              </w:rPr>
              <w:t>干砌卵石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ascii="Times New Roman" w:hAnsi="Times New Roman" w:cs="Times New Roman"/>
                <w:position w:val="-4"/>
                <w:sz w:val="20"/>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spacing w:val="-1"/>
                <w:sz w:val="20"/>
              </w:rPr>
            </w:pPr>
            <w:r>
              <w:rPr>
                <w:rFonts w:hint="eastAsia"/>
                <w:spacing w:val="-1"/>
                <w:sz w:val="20"/>
                <w:lang w:val="en-US"/>
              </w:rPr>
              <w:t>断面尺度</w:t>
            </w:r>
            <w:r>
              <w:rPr>
                <w:rFonts w:hint="default"/>
                <w:spacing w:val="-1"/>
                <w:sz w:val="20"/>
              </w:rPr>
              <w:t>，按</w:t>
            </w:r>
            <w:r>
              <w:rPr>
                <w:rFonts w:hint="eastAsia"/>
                <w:spacing w:val="-1"/>
                <w:sz w:val="20"/>
                <w:lang w:val="en-US"/>
              </w:rPr>
              <w:t>图示</w:t>
            </w:r>
            <w:r>
              <w:rPr>
                <w:rFonts w:hint="default"/>
                <w:spacing w:val="-1"/>
                <w:sz w:val="20"/>
              </w:rPr>
              <w:t>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eastAsia"/>
                <w:spacing w:val="-1"/>
                <w:sz w:val="20"/>
                <w:lang w:val="en-US"/>
              </w:rPr>
              <w:t>干</w:t>
            </w:r>
            <w:r>
              <w:rPr>
                <w:rFonts w:hint="default"/>
                <w:spacing w:val="-1"/>
                <w:position w:val="1"/>
                <w:sz w:val="20"/>
              </w:rPr>
              <w:t>砌片（块）石，设</w:t>
            </w:r>
            <w:r>
              <w:rPr>
                <w:rFonts w:hint="default"/>
                <w:spacing w:val="-1"/>
                <w:sz w:val="20"/>
              </w:rPr>
              <w:t>泄水孔及其滤水层；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sz w:val="20"/>
              </w:rPr>
              <w:t>墙背填料分层填筑；</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rPr>
            </w:pPr>
            <w:r>
              <w:rPr>
                <w:rFonts w:hint="default" w:ascii="Times New Roman" w:hAnsi="Times New Roman" w:cs="Times New Roman"/>
                <w:sz w:val="20"/>
              </w:rPr>
              <w:t>6.</w:t>
            </w:r>
            <w:r>
              <w:rPr>
                <w:rFonts w:hint="default"/>
                <w:spacing w:val="-1"/>
                <w:position w:val="1"/>
                <w:sz w:val="20"/>
              </w:rPr>
              <w:t>清理场地、废方弃运</w:t>
            </w:r>
          </w:p>
        </w:tc>
      </w:tr>
      <w:tr>
        <w:tblPrEx>
          <w:tblCellMar>
            <w:top w:w="0" w:type="dxa"/>
            <w:left w:w="108" w:type="dxa"/>
            <w:bottom w:w="0" w:type="dxa"/>
            <w:right w:w="108" w:type="dxa"/>
          </w:tblCellMar>
        </w:tblPrEx>
        <w:trPr>
          <w:trHeight w:val="34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7" w:lineRule="exact"/>
              <w:ind w:left="337" w:right="0"/>
              <w:rPr>
                <w:rFonts w:hint="default"/>
              </w:rPr>
            </w:pPr>
            <w:r>
              <w:rPr>
                <w:rFonts w:hint="default" w:ascii="Times New Roman" w:hAnsi="Times New Roman" w:cs="Times New Roman"/>
                <w:spacing w:val="-1"/>
                <w:sz w:val="20"/>
              </w:rPr>
              <w:t>603-1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282" w:right="0"/>
              <w:rPr>
                <w:rFonts w:hint="default"/>
              </w:rPr>
            </w:pPr>
            <w:r>
              <w:rPr>
                <w:rFonts w:hint="default"/>
                <w:spacing w:val="-1"/>
                <w:sz w:val="20"/>
              </w:rPr>
              <w:t>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r>
      <w:tr>
        <w:tblPrEx>
          <w:tblCellMar>
            <w:top w:w="0" w:type="dxa"/>
            <w:left w:w="108" w:type="dxa"/>
            <w:bottom w:w="0" w:type="dxa"/>
            <w:right w:w="108" w:type="dxa"/>
          </w:tblCellMar>
        </w:tblPrEx>
        <w:trPr>
          <w:trHeight w:val="21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2" w:lineRule="exact"/>
              <w:ind w:left="282" w:right="0"/>
              <w:rPr>
                <w:rFonts w:hint="default"/>
              </w:rPr>
            </w:pPr>
            <w:r>
              <w:rPr>
                <w:rFonts w:hint="default"/>
                <w:spacing w:val="-1"/>
                <w:sz w:val="20"/>
              </w:rPr>
              <w:t>砌片（块、卵）</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1.依据图纸所示位置和</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断面尺寸，按图示不同强度等级水泥砂浆砌石体积以立方米为单位计量；</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2.不扣除沉降缝、泄水</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孔、预埋件所占体</w:t>
            </w:r>
            <w:r>
              <w:rPr>
                <w:rFonts w:hint="eastAsia"/>
              </w:rPr>
              <w:t>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浆砌片（块）石，设</w:t>
            </w:r>
            <w:r>
              <w:rPr>
                <w:rFonts w:hint="default"/>
                <w:spacing w:val="-1"/>
                <w:sz w:val="20"/>
              </w:rPr>
              <w:t>泄水孔及其滤水层；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接缝处理；</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勾缝、抹面、墙背排</w:t>
            </w:r>
            <w:r>
              <w:rPr>
                <w:rFonts w:hint="default"/>
                <w:spacing w:val="-1"/>
                <w:sz w:val="20"/>
              </w:rPr>
              <w:t>水设施设置、墙背填料分层填筑；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清理场地、废方弃运</w:t>
            </w:r>
          </w:p>
        </w:tc>
      </w:tr>
      <w:tr>
        <w:tblPrEx>
          <w:tblCellMar>
            <w:top w:w="0" w:type="dxa"/>
            <w:left w:w="108" w:type="dxa"/>
            <w:bottom w:w="0" w:type="dxa"/>
            <w:right w:w="108" w:type="dxa"/>
          </w:tblCellMar>
        </w:tblPrEx>
        <w:trPr>
          <w:trHeight w:val="29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2" w:right="0"/>
              <w:rPr>
                <w:rFonts w:hint="default"/>
              </w:rPr>
            </w:pPr>
            <w:r>
              <w:rPr>
                <w:rFonts w:hint="default"/>
                <w:spacing w:val="-1"/>
                <w:sz w:val="20"/>
              </w:rPr>
              <w:t>混凝土挡土墙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6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1.依据图纸所示位置和</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断面尺寸，按图示不同强度等级混凝土体积以立方米为单位计量；</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2.不扣除沉降缝、泄水</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孔、预埋件所占体积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钢筋的运输、保护、</w:t>
            </w:r>
            <w:r>
              <w:rPr>
                <w:rFonts w:hint="default"/>
                <w:sz w:val="20"/>
              </w:rPr>
              <w:t>存储、加工及安设、支承、</w:t>
            </w:r>
            <w:r>
              <w:rPr>
                <w:rFonts w:hint="default"/>
                <w:spacing w:val="-1"/>
                <w:sz w:val="20"/>
              </w:rPr>
              <w:t>固定；</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模板制作、安装、拆</w:t>
            </w:r>
            <w:r>
              <w:rPr>
                <w:rFonts w:hint="default"/>
                <w:spacing w:val="-1"/>
                <w:sz w:val="20"/>
              </w:rPr>
              <w:t>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混凝土拌和、运输、</w:t>
            </w:r>
            <w:r>
              <w:rPr>
                <w:rFonts w:hint="default"/>
                <w:spacing w:val="-1"/>
                <w:sz w:val="20"/>
              </w:rPr>
              <w:t>浇筑、养护；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泄水孔及其滤水层、</w:t>
            </w:r>
            <w:r>
              <w:rPr>
                <w:rFonts w:hint="default"/>
                <w:spacing w:val="-1"/>
                <w:sz w:val="20"/>
              </w:rPr>
              <w:t>沉降缝设置；</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7.</w:t>
            </w:r>
            <w:r>
              <w:rPr>
                <w:rFonts w:hint="default"/>
                <w:spacing w:val="-1"/>
                <w:position w:val="1"/>
                <w:sz w:val="20"/>
              </w:rPr>
              <w:t>墙背填料分层填筑；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8.</w:t>
            </w:r>
            <w:r>
              <w:rPr>
                <w:rFonts w:hint="default"/>
                <w:spacing w:val="-1"/>
                <w:position w:val="1"/>
                <w:sz w:val="20"/>
              </w:rPr>
              <w:t>清理场地，废方弃运</w:t>
            </w:r>
          </w:p>
        </w:tc>
      </w:tr>
      <w:tr>
        <w:tblPrEx>
          <w:tblCellMar>
            <w:top w:w="0" w:type="dxa"/>
            <w:left w:w="108" w:type="dxa"/>
            <w:bottom w:w="0" w:type="dxa"/>
            <w:right w:w="108" w:type="dxa"/>
          </w:tblCellMar>
        </w:tblPrEx>
        <w:trPr>
          <w:trHeight w:val="3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1"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282" w:right="0"/>
              <w:rPr>
                <w:rFonts w:hint="default"/>
              </w:rPr>
            </w:pPr>
            <w:r>
              <w:rPr>
                <w:rFonts w:hint="default"/>
                <w:spacing w:val="-1"/>
                <w:sz w:val="20"/>
              </w:rPr>
              <w:t>加筋土挡土墙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r>
      <w:tr>
        <w:tblPrEx>
          <w:tblCellMar>
            <w:top w:w="0" w:type="dxa"/>
            <w:left w:w="108" w:type="dxa"/>
            <w:bottom w:w="0" w:type="dxa"/>
            <w:right w:w="108" w:type="dxa"/>
          </w:tblCellMar>
        </w:tblPrEx>
        <w:trPr>
          <w:trHeight w:val="195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2" w:lineRule="exact"/>
              <w:ind w:left="411" w:right="0"/>
              <w:rPr>
                <w:rFonts w:hint="default"/>
              </w:rPr>
            </w:pPr>
            <w:r>
              <w:rPr>
                <w:rFonts w:hint="default" w:ascii="Times New Roman" w:hAnsi="Times New Roman" w:cs="Times New Roman"/>
                <w:spacing w:val="-1"/>
                <w:sz w:val="20"/>
              </w:rPr>
              <w:t>-c-1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7" w:lineRule="exact"/>
              <w:ind w:left="282" w:right="0"/>
              <w:rPr>
                <w:rFonts w:hint="default"/>
              </w:rPr>
            </w:pPr>
            <w:r>
              <w:rPr>
                <w:rFonts w:hint="default"/>
                <w:spacing w:val="-1"/>
                <w:sz w:val="20"/>
              </w:rPr>
              <w:t>基础及帽石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根据图纸所示位置和</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断面尺寸，按图示不同强度等级水泥砂浆砌体或混凝土体积，以立方米为单位计量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整、夯实，废方弃运；</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混凝土或砂浆制作、</w:t>
            </w:r>
            <w:r>
              <w:rPr>
                <w:rFonts w:hint="default"/>
                <w:spacing w:val="-1"/>
                <w:sz w:val="20"/>
              </w:rPr>
              <w:t>运输；</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模板制作、安装、拆</w:t>
            </w:r>
            <w:r>
              <w:rPr>
                <w:rFonts w:hint="default"/>
                <w:spacing w:val="-1"/>
                <w:sz w:val="20"/>
              </w:rPr>
              <w:t>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砌筑片石或振捣浇筑</w:t>
            </w:r>
            <w:r>
              <w:rPr>
                <w:rFonts w:hint="default"/>
                <w:spacing w:val="-1"/>
                <w:sz w:val="20"/>
              </w:rPr>
              <w:t>混凝土；</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回填、夯实；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7.</w:t>
            </w:r>
            <w:r>
              <w:rPr>
                <w:rFonts w:hint="default"/>
                <w:spacing w:val="-1"/>
                <w:position w:val="1"/>
                <w:sz w:val="20"/>
              </w:rPr>
              <w:t>清理现场，废方弃运</w:t>
            </w:r>
          </w:p>
        </w:tc>
      </w:tr>
      <w:tr>
        <w:tblPrEx>
          <w:tblCellMar>
            <w:top w:w="0" w:type="dxa"/>
            <w:left w:w="108" w:type="dxa"/>
            <w:bottom w:w="0" w:type="dxa"/>
            <w:right w:w="108" w:type="dxa"/>
          </w:tblCellMar>
        </w:tblPrEx>
        <w:trPr>
          <w:trHeight w:val="103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1" w:lineRule="exact"/>
              <w:ind w:left="411" w:right="0"/>
              <w:rPr>
                <w:rFonts w:hint="default"/>
              </w:rPr>
            </w:pPr>
            <w:r>
              <w:rPr>
                <w:rFonts w:hint="default" w:ascii="Times New Roman" w:hAnsi="Times New Roman" w:cs="Times New Roman"/>
                <w:spacing w:val="-1"/>
                <w:sz w:val="20"/>
              </w:rPr>
              <w:t>-c-2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预制安装混凝</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土墙面板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0" w:right="0"/>
              <w:rPr>
                <w:rFonts w:hint="default"/>
              </w:rPr>
            </w:pPr>
            <w:r>
              <w:rPr>
                <w:rFonts w:hint="default" w:ascii="Times New Roman" w:hAnsi="Times New Roman" w:cs="Times New Roman"/>
                <w:sz w:val="20"/>
              </w:rPr>
              <w:t>1.</w:t>
            </w:r>
            <w:r>
              <w:rPr>
                <w:rFonts w:hint="default"/>
                <w:spacing w:val="-1"/>
                <w:position w:val="1"/>
                <w:sz w:val="20"/>
              </w:rPr>
              <w:t>根据图纸所示位置及</w:t>
            </w:r>
          </w:p>
          <w:p>
            <w:pPr>
              <w:keepNext w:val="0"/>
              <w:keepLines w:val="0"/>
              <w:suppressLineNumbers w:val="0"/>
              <w:spacing w:before="0" w:beforeAutospacing="0" w:after="0" w:afterAutospacing="0" w:line="237" w:lineRule="exact"/>
              <w:ind w:left="109" w:right="0"/>
              <w:rPr>
                <w:rFonts w:hint="default"/>
                <w:lang w:val="en-US"/>
              </w:rPr>
            </w:pPr>
            <w:r>
              <w:rPr>
                <w:rFonts w:hint="default"/>
                <w:spacing w:val="-1"/>
                <w:sz w:val="20"/>
              </w:rPr>
              <w:t>断面尺寸，按照不同强度等级混凝土体积，以立方</w:t>
            </w:r>
            <w:r>
              <w:rPr>
                <w:rFonts w:hint="eastAsia"/>
                <w:spacing w:val="-1"/>
                <w:sz w:val="20"/>
                <w:lang w:val="en-US"/>
              </w:rPr>
              <w:t>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沟槽开挖；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预制场建设；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预制件预制、运输、</w:t>
            </w:r>
          </w:p>
        </w:tc>
      </w:tr>
    </w:tbl>
    <w:p>
      <w:pPr>
        <w:spacing w:line="252" w:lineRule="exact"/>
        <w:rPr>
          <w:sz w:val="21"/>
        </w:rPr>
        <w:sectPr>
          <w:footerReference r:id="rId20" w:type="default"/>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323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加筋挡土墙的路堤填</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料在</w:t>
            </w:r>
            <w:r>
              <w:rPr>
                <w:rFonts w:hint="default" w:ascii="Calibri" w:hAnsi="Calibri" w:cs="Calibri"/>
                <w:sz w:val="20"/>
              </w:rPr>
              <w:t> </w:t>
            </w:r>
            <w:r>
              <w:rPr>
                <w:rFonts w:hint="default" w:ascii="Times New Roman" w:hAnsi="Times New Roman" w:cs="Times New Roman"/>
                <w:spacing w:val="-1"/>
                <w:sz w:val="20"/>
              </w:rPr>
              <w:t>204-1</w:t>
            </w:r>
            <w:r>
              <w:rPr>
                <w:rFonts w:hint="default" w:ascii="Calibri" w:hAnsi="Calibri" w:cs="Calibri"/>
                <w:sz w:val="20"/>
              </w:rPr>
              <w:t> </w:t>
            </w:r>
            <w:r>
              <w:rPr>
                <w:rFonts w:hint="default"/>
                <w:spacing w:val="-1"/>
                <w:position w:val="1"/>
                <w:sz w:val="20"/>
              </w:rPr>
              <w:t>中计量；</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钢筋、加筋带等不单</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独计量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预制件安装；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钢筋的运输、保护、</w:t>
            </w:r>
          </w:p>
          <w:p>
            <w:pPr>
              <w:keepNext w:val="0"/>
              <w:keepLines w:val="0"/>
              <w:suppressLineNumbers w:val="0"/>
              <w:spacing w:before="0" w:beforeAutospacing="0" w:after="0" w:afterAutospacing="0" w:line="239" w:lineRule="exact"/>
              <w:ind w:left="108" w:right="0"/>
              <w:rPr>
                <w:rFonts w:hint="default"/>
              </w:rPr>
            </w:pPr>
            <w:r>
              <w:rPr>
                <w:rFonts w:hint="default"/>
                <w:sz w:val="20"/>
              </w:rPr>
              <w:t>存储、加工及安设、支承、</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固定；</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铺设加筋带、填料摊</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平及分层压实；</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墙背回填（不含路堤</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填料回填）及排水系统施</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1"/>
                <w:position w:val="1"/>
                <w:sz w:val="20"/>
              </w:rPr>
              <w:t>清理现场、废方弃运</w:t>
            </w: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8" w:lineRule="exact"/>
              <w:ind w:left="337" w:right="0"/>
              <w:rPr>
                <w:rFonts w:hint="default"/>
              </w:rPr>
            </w:pPr>
            <w:r>
              <w:rPr>
                <w:rFonts w:hint="default" w:ascii="Times New Roman" w:hAnsi="Times New Roman" w:cs="Times New Roman"/>
                <w:spacing w:val="-1"/>
                <w:sz w:val="20"/>
              </w:rPr>
              <w:t>604-1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282" w:right="0"/>
              <w:rPr>
                <w:rFonts w:hint="default"/>
              </w:rPr>
            </w:pPr>
            <w:r>
              <w:rPr>
                <w:rFonts w:hint="default"/>
                <w:spacing w:val="-1"/>
                <w:sz w:val="20"/>
              </w:rPr>
              <w:t>河道防护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8"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282" w:right="0"/>
              <w:rPr>
                <w:rFonts w:hint="default"/>
              </w:rPr>
            </w:pPr>
            <w:r>
              <w:rPr>
                <w:rFonts w:hint="default"/>
                <w:spacing w:val="-1"/>
                <w:sz w:val="20"/>
              </w:rPr>
              <w:t>河床铺砌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r>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18" w:lineRule="exact"/>
              <w:ind w:left="411" w:right="0"/>
              <w:rPr>
                <w:rFonts w:hint="default"/>
              </w:rPr>
            </w:pPr>
            <w:r>
              <w:rPr>
                <w:rFonts w:hint="default"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浆砌片石铺砌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5"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断面尺寸，按图示不同强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度等级水泥砂浆铺砌体</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基坑开挖；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拌、运砂浆；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砌筑；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191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5" w:lineRule="exact"/>
              <w:ind w:left="411" w:right="0"/>
              <w:rPr>
                <w:rFonts w:hint="default"/>
              </w:rPr>
            </w:pPr>
            <w:r>
              <w:rPr>
                <w:rFonts w:hint="default"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6" w:lineRule="exact"/>
              <w:ind w:left="282" w:right="0"/>
              <w:rPr>
                <w:rFonts w:hint="default"/>
              </w:rPr>
            </w:pPr>
            <w:r>
              <w:rPr>
                <w:rFonts w:hint="default"/>
                <w:spacing w:val="-1"/>
                <w:sz w:val="20"/>
              </w:rPr>
              <w:t>混凝土铺砌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等级混凝土铺筑体积以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基坑开挖；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混凝土拌和、运输、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清理现场</w:t>
            </w:r>
          </w:p>
        </w:tc>
      </w:tr>
      <w:tr>
        <w:tblPrEx>
          <w:tblCellMar>
            <w:top w:w="0" w:type="dxa"/>
            <w:left w:w="108" w:type="dxa"/>
            <w:bottom w:w="0" w:type="dxa"/>
            <w:right w:w="108" w:type="dxa"/>
          </w:tblCellMar>
        </w:tblPrEx>
        <w:trPr>
          <w:trHeight w:val="109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4"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2" w:lineRule="exact"/>
              <w:ind w:left="282" w:right="0"/>
              <w:rPr>
                <w:rFonts w:hint="default"/>
              </w:rPr>
            </w:pPr>
            <w:r>
              <w:rPr>
                <w:rFonts w:hint="default"/>
                <w:spacing w:val="-1"/>
                <w:sz w:val="20"/>
              </w:rPr>
              <w:t>导流设施（护岸</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墙、顺坝、丁坝、</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调水坝、锥坡）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3" w:lineRule="exact"/>
              <w:ind w:left="406" w:right="0"/>
              <w:rPr>
                <w:rFonts w:hint="default"/>
              </w:rPr>
            </w:pPr>
            <w:r>
              <w:rPr>
                <w:rFonts w:hint="default" w:ascii="Times New Roman" w:hAnsi="Times New Roman" w:cs="Times New Roman"/>
                <w:spacing w:val="-1"/>
                <w:sz w:val="20"/>
              </w:rPr>
              <w:t>-b-1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1" w:lineRule="exact"/>
              <w:ind w:left="282" w:right="0"/>
              <w:rPr>
                <w:rFonts w:hint="default"/>
              </w:rPr>
            </w:pPr>
            <w:r>
              <w:rPr>
                <w:rFonts w:hint="default"/>
                <w:spacing w:val="-1"/>
                <w:sz w:val="20"/>
              </w:rPr>
              <w:t>浆砌片石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2" w:right="0"/>
              <w:rPr>
                <w:rFonts w:hint="default"/>
              </w:rPr>
            </w:pPr>
            <w:r>
              <w:rPr>
                <w:rFonts w:hint="default"/>
                <w:spacing w:val="-1"/>
                <w:sz w:val="20"/>
              </w:rPr>
              <w:t>图纸所示位置和断面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尺寸，按图示不同强度等</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级水泥砂浆砌石体积以</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围堰、临时排水工程</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基坑修整、清理夯实，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废方弃运；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拌、运砂浆；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砌筑、勾缝、抹面、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墙背回填、夯实</w:t>
            </w:r>
          </w:p>
        </w:tc>
      </w:tr>
      <w:tr>
        <w:tblPrEx>
          <w:tblCellMar>
            <w:top w:w="0" w:type="dxa"/>
            <w:left w:w="108" w:type="dxa"/>
            <w:bottom w:w="0" w:type="dxa"/>
            <w:right w:w="108" w:type="dxa"/>
          </w:tblCellMar>
        </w:tblPrEx>
        <w:trPr>
          <w:trHeight w:val="245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406" w:right="0"/>
              <w:rPr>
                <w:rFonts w:hint="default"/>
              </w:rPr>
            </w:pPr>
            <w:r>
              <w:rPr>
                <w:rFonts w:hint="default" w:ascii="Times New Roman" w:hAnsi="Times New Roman" w:cs="Times New Roman"/>
                <w:spacing w:val="-1"/>
                <w:sz w:val="20"/>
              </w:rPr>
              <w:t>-b-2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8"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等级混凝土浇筑体积以</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围堰、临时排水工程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基坑修整、清理夯实，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废方弃运；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除、修理及保养；</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混凝土制作、运输、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浇筑、振捣、养护；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墙背回填、夯实</w:t>
            </w:r>
          </w:p>
        </w:tc>
      </w:tr>
    </w:tbl>
    <w:p>
      <w:pPr>
        <w:spacing w:line="249"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46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3" w:lineRule="exact"/>
              <w:ind w:left="337" w:right="0"/>
              <w:rPr>
                <w:rFonts w:hint="default"/>
              </w:rPr>
            </w:pPr>
            <w:r>
              <w:rPr>
                <w:rFonts w:hint="default" w:ascii="Times New Roman" w:hAnsi="Times New Roman" w:cs="Times New Roman"/>
                <w:spacing w:val="-1"/>
                <w:sz w:val="20"/>
              </w:rPr>
              <w:t>605-1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防风固沙设施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r>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芦苇栅栏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尺寸，设置芦苇栅栏，按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单排长度以米为单位计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放样、挖沟槽、准备</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芦苇；</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设置木桩；</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埋设芦苇；</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夯实、整平、固定；</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清理现场</w:t>
            </w:r>
          </w:p>
        </w:tc>
      </w:tr>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3"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282" w:right="0"/>
              <w:rPr>
                <w:rFonts w:hint="default"/>
              </w:rPr>
            </w:pPr>
            <w:r>
              <w:rPr>
                <w:rFonts w:hint="default"/>
                <w:spacing w:val="-1"/>
                <w:sz w:val="20"/>
              </w:rPr>
              <w:t>芦苇草方格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尺寸，设置芦苇草方格，</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放样、挖沟槽、准备</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芦苇；</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埋设芦苇；</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整形、封砂、夯实；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清理现场</w:t>
            </w:r>
          </w:p>
        </w:tc>
      </w:tr>
      <w:tr>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7"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6" w:lineRule="exact"/>
              <w:ind w:left="282" w:right="0"/>
              <w:rPr>
                <w:rFonts w:hint="default"/>
              </w:rPr>
            </w:pPr>
            <w:r>
              <w:rPr>
                <w:rFonts w:hint="default"/>
                <w:spacing w:val="-1"/>
                <w:sz w:val="20"/>
              </w:rPr>
              <w:t>边坡覆盖</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6"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根据图纸所示位置及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断面尺寸，按照边坡覆盖</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的面积，以平方米为单位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修整路基表层；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覆盖砂砾、片石等并</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进行整形；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清理现场</w:t>
            </w:r>
          </w:p>
        </w:tc>
      </w:tr>
    </w:tbl>
    <w:p>
      <w:pPr>
        <w:spacing w:line="249" w:lineRule="exact"/>
        <w:rPr>
          <w:sz w:val="21"/>
        </w:rPr>
        <w:sectPr>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700 章 安全设施</w:t>
      </w:r>
    </w:p>
    <w:p>
      <w:pPr>
        <w:pStyle w:val="11"/>
        <w:spacing w:before="1"/>
        <w:rPr>
          <w:sz w:val="18"/>
        </w:rPr>
      </w:pPr>
    </w:p>
    <w:tbl>
      <w:tblPr>
        <w:tblStyle w:val="19"/>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blPrEx>
          <w:tblCellMar>
            <w:top w:w="0" w:type="dxa"/>
            <w:left w:w="108" w:type="dxa"/>
            <w:bottom w:w="0" w:type="dxa"/>
            <w:right w:w="108" w:type="dxa"/>
          </w:tblCellMar>
        </w:tblPrEx>
        <w:trPr>
          <w:trHeight w:val="62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45" w:right="0"/>
              <w:rPr>
                <w:rFonts w:hint="default"/>
              </w:rPr>
            </w:pPr>
            <w:r>
              <w:rPr>
                <w:rFonts w:hint="default"/>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467"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329" w:right="0"/>
              <w:rPr>
                <w:rFonts w:hint="default"/>
              </w:rPr>
            </w:pPr>
            <w:r>
              <w:rPr>
                <w:rFonts w:hint="default"/>
                <w:spacing w:val="-1"/>
                <w:sz w:val="20"/>
              </w:rPr>
              <w:t>单位</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734" w:right="0"/>
              <w:rPr>
                <w:rFonts w:hint="default"/>
              </w:rPr>
            </w:pPr>
            <w:r>
              <w:rPr>
                <w:rFonts w:hint="default"/>
                <w:spacing w:val="-1"/>
                <w:sz w:val="20"/>
              </w:rPr>
              <w:t>工程量计量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876"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9" w:lineRule="exact"/>
              <w:ind w:left="315" w:right="0"/>
              <w:rPr>
                <w:rFonts w:hint="default"/>
              </w:rPr>
            </w:pPr>
            <w:r>
              <w:rPr>
                <w:rFonts w:hint="default" w:ascii="Times New Roman" w:hAnsi="Times New Roman" w:cs="Times New Roman"/>
                <w:spacing w:val="-1"/>
                <w:sz w:val="20"/>
              </w:rPr>
              <w:t>701-1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7" w:lineRule="exact"/>
              <w:ind w:left="282" w:right="0"/>
              <w:rPr>
                <w:rFonts w:hint="default"/>
              </w:rPr>
            </w:pPr>
            <w:r>
              <w:rPr>
                <w:rFonts w:hint="default"/>
                <w:spacing w:val="-1"/>
                <w:sz w:val="20"/>
              </w:rPr>
              <w:t>钢筋混凝土柱</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434" w:right="0"/>
              <w:rPr>
                <w:rFonts w:hint="default"/>
              </w:rPr>
            </w:pPr>
            <w:r>
              <w:rPr>
                <w:rFonts w:hint="default"/>
                <w:spacing w:val="-1"/>
                <w:sz w:val="20"/>
              </w:rPr>
              <w:t>根</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1" w:right="0"/>
              <w:rPr>
                <w:rFonts w:hint="default"/>
              </w:rPr>
            </w:pPr>
            <w:r>
              <w:rPr>
                <w:rFonts w:hint="default"/>
                <w:spacing w:val="-1"/>
                <w:sz w:val="20"/>
              </w:rPr>
              <w:t>按图示预制并依据图纸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所示位置施工，以根为单</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钢筋的运输、存储、加</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工、安设；</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钢筋混凝土护栏的预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制、运输；</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钢筋混凝土护栏安装；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基坑回填，夯实；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油漆保护处理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702-1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9" w:lineRule="exact"/>
              <w:ind w:left="282" w:right="0"/>
              <w:rPr>
                <w:rFonts w:hint="default"/>
              </w:rPr>
            </w:pPr>
            <w:r>
              <w:rPr>
                <w:rFonts w:hint="default"/>
                <w:spacing w:val="-1"/>
                <w:sz w:val="20"/>
              </w:rPr>
              <w:t>墙式护栏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面尺寸，按图示浇筑的不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同强度的混凝土体积，以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立方米为单位计量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铺筑碎（砾）石垫层；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模板架立，钢筋的运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输、存储、加工、安设；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混凝土浇筑、养护；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灌缝处理，勾缝抹面；</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油漆保护处理</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0" w:lineRule="exact"/>
              <w:ind w:left="315" w:right="0"/>
              <w:rPr>
                <w:rFonts w:hint="default"/>
              </w:rPr>
            </w:pPr>
            <w:r>
              <w:rPr>
                <w:rFonts w:hint="default" w:ascii="Times New Roman" w:hAnsi="Times New Roman" w:cs="Times New Roman"/>
                <w:spacing w:val="-1"/>
                <w:sz w:val="20"/>
              </w:rPr>
              <w:t>703-1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1" w:lineRule="exact"/>
              <w:ind w:left="282" w:right="0"/>
              <w:rPr>
                <w:rFonts w:hint="default"/>
              </w:rPr>
            </w:pPr>
            <w:r>
              <w:rPr>
                <w:rFonts w:hint="default"/>
                <w:spacing w:val="-1"/>
                <w:sz w:val="20"/>
              </w:rPr>
              <w:t>钢筋混凝土标</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5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钢筋的运输、存储、加</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工、安设；</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钢筋混凝土立柱、板面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的预制、运输；</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钢筋混凝土立柱、板面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基坑回填，夯实；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标志板面涂漆、印字处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55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5" w:lineRule="exact"/>
              <w:ind w:left="315" w:right="0"/>
              <w:rPr>
                <w:rFonts w:hint="default"/>
              </w:rPr>
            </w:pPr>
            <w:r>
              <w:rPr>
                <w:rFonts w:hint="default" w:ascii="Times New Roman" w:hAnsi="Times New Roman" w:cs="Times New Roman"/>
                <w:spacing w:val="-1"/>
                <w:sz w:val="20"/>
              </w:rPr>
              <w:t>704-1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钢板标志牌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tc>
      </w:tr>
    </w:tbl>
    <w:p>
      <w:pPr>
        <w:spacing w:line="250" w:lineRule="exact"/>
        <w:rPr>
          <w:sz w:val="21"/>
        </w:rPr>
        <w:sectPr>
          <w:pgSz w:w="11910" w:h="16840"/>
          <w:pgMar w:top="1440" w:right="1080" w:bottom="1040" w:left="1420" w:header="882" w:footer="847" w:gutter="0"/>
          <w:cols w:space="720" w:num="1"/>
        </w:sectPr>
      </w:pPr>
    </w:p>
    <w:p>
      <w:pPr>
        <w:pStyle w:val="11"/>
        <w:spacing w:before="10"/>
        <w:rPr>
          <w:sz w:val="11"/>
        </w:rPr>
      </w:pPr>
    </w:p>
    <w:tbl>
      <w:tblPr>
        <w:tblStyle w:val="19"/>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门架构件、标志板及各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种匹配件制作与安装；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47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3" w:lineRule="exact"/>
              <w:ind w:left="315" w:right="0"/>
              <w:rPr>
                <w:rFonts w:hint="default"/>
              </w:rPr>
            </w:pPr>
            <w:r>
              <w:rPr>
                <w:rFonts w:hint="default" w:ascii="Times New Roman" w:hAnsi="Times New Roman" w:cs="Times New Roman"/>
                <w:spacing w:val="-1"/>
                <w:sz w:val="20"/>
              </w:rPr>
              <w:t>705-1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282" w:right="0"/>
              <w:rPr>
                <w:rFonts w:hint="default"/>
              </w:rPr>
            </w:pPr>
            <w:r>
              <w:rPr>
                <w:rFonts w:hint="default"/>
                <w:spacing w:val="-1"/>
                <w:sz w:val="20"/>
              </w:rPr>
              <w:t>铝合金标志牌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64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8" w:lineRule="exact"/>
              <w:ind w:left="282" w:right="0"/>
              <w:rPr>
                <w:rFonts w:hint="default"/>
              </w:rPr>
            </w:pPr>
            <w:r>
              <w:rPr>
                <w:rFonts w:hint="default"/>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8"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门架构件、标志板及各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种匹配件制作与安装；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37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3" w:lineRule="exact"/>
              <w:ind w:left="315" w:right="0"/>
              <w:rPr>
                <w:rFonts w:hint="default"/>
              </w:rPr>
            </w:pPr>
            <w:r>
              <w:rPr>
                <w:rFonts w:hint="default" w:ascii="Times New Roman" w:hAnsi="Times New Roman" w:cs="Times New Roman"/>
                <w:spacing w:val="-1"/>
                <w:sz w:val="20"/>
              </w:rPr>
              <w:t>706-1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2" w:lineRule="exact"/>
              <w:ind w:left="282" w:right="0"/>
              <w:rPr>
                <w:rFonts w:hint="default"/>
              </w:rPr>
            </w:pPr>
            <w:r>
              <w:rPr>
                <w:rFonts w:hint="default"/>
                <w:spacing w:val="-1"/>
                <w:sz w:val="20"/>
              </w:rPr>
              <w:t>路面标线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面尺寸，分不同类型，按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图示标线面积以平方米</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路面清扫；</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刮涂底油，涂料加热溶</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解，喷（刮）标线，撒布</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玻璃珠（反光标线），初</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期养护</w:t>
            </w:r>
          </w:p>
        </w:tc>
      </w:tr>
      <w:tr>
        <w:tblPrEx>
          <w:tblCellMar>
            <w:top w:w="0" w:type="dxa"/>
            <w:left w:w="108" w:type="dxa"/>
            <w:bottom w:w="0" w:type="dxa"/>
            <w:right w:w="108" w:type="dxa"/>
          </w:tblCellMar>
        </w:tblPrEx>
        <w:trPr>
          <w:trHeight w:val="827"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11" w:lineRule="exact"/>
              <w:ind w:left="315" w:right="0"/>
              <w:rPr>
                <w:rFonts w:hint="default"/>
              </w:rPr>
            </w:pPr>
            <w:r>
              <w:rPr>
                <w:rFonts w:hint="default" w:ascii="Times New Roman" w:hAnsi="Times New Roman" w:cs="Times New Roman"/>
                <w:spacing w:val="-1"/>
                <w:sz w:val="20"/>
              </w:rPr>
              <w:t>707-1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62" w:lineRule="exact"/>
              <w:ind w:left="282" w:right="0"/>
              <w:rPr>
                <w:rFonts w:hint="default"/>
              </w:rPr>
            </w:pPr>
            <w:r>
              <w:rPr>
                <w:rFonts w:hint="default"/>
                <w:spacing w:val="-1"/>
                <w:sz w:val="20"/>
              </w:rPr>
              <w:t>里程碑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62"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面尺寸，按图示里程碑数</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0" w:right="0"/>
              <w:rPr>
                <w:rFonts w:hint="default"/>
              </w:rPr>
            </w:pPr>
            <w:r>
              <w:rPr>
                <w:rFonts w:hint="default" w:ascii="Times New Roman" w:hAnsi="Times New Roman" w:cs="Times New Roman"/>
                <w:sz w:val="20"/>
              </w:rPr>
              <w:t>1.</w:t>
            </w:r>
            <w:r>
              <w:rPr>
                <w:rFonts w:hint="default"/>
                <w:spacing w:val="-1"/>
                <w:position w:val="1"/>
                <w:sz w:val="20"/>
              </w:rPr>
              <w:t>基础施工或设置连接</w:t>
            </w:r>
            <w:r>
              <w:rPr>
                <w:rFonts w:hint="default"/>
                <w:spacing w:val="-1"/>
                <w:sz w:val="20"/>
              </w:rPr>
              <w:t>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里程碑制作与安装</w:t>
            </w:r>
          </w:p>
        </w:tc>
      </w:tr>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4" w:lineRule="exact"/>
              <w:ind w:left="315" w:right="0"/>
              <w:rPr>
                <w:rFonts w:hint="default"/>
              </w:rPr>
            </w:pPr>
            <w:r>
              <w:rPr>
                <w:rFonts w:hint="default" w:ascii="Times New Roman" w:hAnsi="Times New Roman" w:cs="Times New Roman"/>
                <w:spacing w:val="-1"/>
                <w:sz w:val="20"/>
              </w:rPr>
              <w:t>708-1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282" w:right="0"/>
              <w:rPr>
                <w:rFonts w:hint="default"/>
              </w:rPr>
            </w:pPr>
            <w:r>
              <w:rPr>
                <w:rFonts w:hint="default"/>
                <w:spacing w:val="-1"/>
                <w:sz w:val="20"/>
              </w:rPr>
              <w:t>公路界碑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面尺寸，按图示公路界碑</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界碑制作；</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基槽开挖、基槽混凝土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浇筑、界碑埋设；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基坑回填、夯实；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rPr>
            </w:pPr>
            <w:r>
              <w:rPr>
                <w:rFonts w:hint="default" w:ascii="Times New Roman" w:hAnsi="Times New Roman" w:cs="Times New Roman"/>
                <w:spacing w:val="-1"/>
                <w:sz w:val="20"/>
              </w:rPr>
              <w:t>709-1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2" w:right="0"/>
              <w:rPr>
                <w:rFonts w:hint="default"/>
              </w:rPr>
            </w:pPr>
            <w:r>
              <w:rPr>
                <w:rFonts w:hint="default"/>
                <w:spacing w:val="-1"/>
                <w:sz w:val="20"/>
              </w:rPr>
              <w:t>百米桩</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面尺寸，分不同类型，按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图示百米桩数量以个为</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百米桩制作、运输、安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装</w:t>
            </w:r>
          </w:p>
        </w:tc>
      </w:tr>
      <w:tr>
        <w:tblPrEx>
          <w:tblCellMar>
            <w:top w:w="0" w:type="dxa"/>
            <w:left w:w="108" w:type="dxa"/>
            <w:bottom w:w="0" w:type="dxa"/>
            <w:right w:w="108" w:type="dxa"/>
          </w:tblCellMar>
        </w:tblPrEx>
        <w:trPr>
          <w:trHeight w:val="87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710-1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2" w:right="0"/>
              <w:rPr>
                <w:rFonts w:hint="default"/>
                <w:spacing w:val="-1"/>
                <w:sz w:val="20"/>
              </w:rPr>
            </w:pPr>
            <w:r>
              <w:rPr>
                <w:rFonts w:hint="eastAsia"/>
                <w:spacing w:val="-1"/>
                <w:sz w:val="20"/>
              </w:rPr>
              <w:t>减速垄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eastAsiaTheme="minorEastAsia"/>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eastAsiaTheme="minorEastAsia"/>
                <w:spacing w:val="-1"/>
                <w:sz w:val="20"/>
                <w:lang w:val="en-US"/>
              </w:rPr>
            </w:pPr>
            <w:r>
              <w:rPr>
                <w:rFonts w:hint="eastAsia"/>
                <w:spacing w:val="-1"/>
                <w:sz w:val="20"/>
                <w:lang w:val="en-US"/>
              </w:rPr>
              <w:t>依据图纸所示位置和断面尺寸，按图示以长度为单位计量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8" w:right="0"/>
              <w:rPr>
                <w:rFonts w:hint="default" w:eastAsiaTheme="minorEastAsia"/>
                <w:spacing w:val="-1"/>
                <w:sz w:val="20"/>
                <w:lang w:val="en-US"/>
              </w:rPr>
            </w:pPr>
            <w:r>
              <w:rPr>
                <w:rFonts w:hint="eastAsia"/>
                <w:spacing w:val="-1"/>
                <w:sz w:val="20"/>
                <w:lang w:val="en-US"/>
              </w:rPr>
              <w:t>减速垄的制作，运输、安装</w:t>
            </w:r>
          </w:p>
        </w:tc>
      </w:tr>
      <w:tr>
        <w:tblPrEx>
          <w:tblCellMar>
            <w:top w:w="0" w:type="dxa"/>
            <w:left w:w="108" w:type="dxa"/>
            <w:bottom w:w="0" w:type="dxa"/>
            <w:right w:w="108" w:type="dxa"/>
          </w:tblCellMar>
        </w:tblPrEx>
        <w:trPr>
          <w:trHeight w:val="164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711-1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kern w:val="2"/>
                <w:sz w:val="20"/>
                <w:szCs w:val="20"/>
                <w:lang w:val="en-US" w:bidi="ar-SA"/>
              </w:rPr>
            </w:pPr>
            <w:r>
              <w:rPr>
                <w:rFonts w:hint="eastAsia"/>
                <w:sz w:val="20"/>
                <w:szCs w:val="20"/>
                <w:lang w:val="en-US" w:bidi="ar"/>
              </w:rPr>
              <w:t>波形梁护栏（含端头）</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依据图纸所示位置、防撞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等级、构造形式代号，按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图示长度以米为单位计量 </w:t>
            </w:r>
          </w:p>
          <w:p>
            <w:pPr>
              <w:keepNext w:val="0"/>
              <w:keepLines w:val="0"/>
              <w:suppressLineNumbers w:val="0"/>
              <w:spacing w:before="0" w:beforeAutospacing="0" w:after="0" w:afterAutospacing="0" w:line="274" w:lineRule="exact"/>
              <w:ind w:left="0" w:right="0"/>
              <w:rPr>
                <w:rFonts w:hint="default"/>
                <w:spacing w:val="-1"/>
                <w:sz w:val="20"/>
                <w:lang w:val="en-US"/>
              </w:rPr>
            </w:pPr>
          </w:p>
          <w:p>
            <w:pPr>
              <w:keepNext w:val="0"/>
              <w:keepLines w:val="0"/>
              <w:suppressLineNumbers w:val="0"/>
              <w:spacing w:before="0" w:beforeAutospacing="0" w:after="0" w:afterAutospacing="0" w:line="274" w:lineRule="exact"/>
              <w:ind w:left="108" w:right="0"/>
              <w:rPr>
                <w:rFonts w:hint="default"/>
                <w:spacing w:val="-1"/>
                <w:sz w:val="20"/>
                <w:lang w:val="en-US"/>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1.</w:t>
            </w:r>
            <w:r>
              <w:rPr>
                <w:rFonts w:hint="eastAsia"/>
                <w:spacing w:val="-1"/>
                <w:sz w:val="20"/>
                <w:lang w:val="en-US"/>
              </w:rPr>
              <w:t xml:space="preserve">基础施工（成孔、埋入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或预埋套筒或预埋地脚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螺栓等）；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2.</w:t>
            </w:r>
            <w:r>
              <w:rPr>
                <w:rFonts w:hint="eastAsia"/>
                <w:spacing w:val="-1"/>
                <w:sz w:val="20"/>
                <w:lang w:val="en-US"/>
              </w:rPr>
              <w:t xml:space="preserve">波形梁及其匹配件安装；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3.</w:t>
            </w:r>
            <w:r>
              <w:rPr>
                <w:rFonts w:hint="eastAsia"/>
                <w:spacing w:val="-1"/>
                <w:sz w:val="20"/>
                <w:lang w:val="en-US"/>
              </w:rPr>
              <w:t xml:space="preserve">场地清理，弃方处理；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4.</w:t>
            </w:r>
            <w:r>
              <w:rPr>
                <w:rFonts w:hint="eastAsia"/>
                <w:spacing w:val="-1"/>
                <w:sz w:val="20"/>
                <w:lang w:val="en-US"/>
              </w:rPr>
              <w:t>补涂防腐涂装</w:t>
            </w:r>
          </w:p>
          <w:p>
            <w:pPr>
              <w:keepNext w:val="0"/>
              <w:keepLines w:val="0"/>
              <w:suppressLineNumbers w:val="0"/>
              <w:spacing w:before="0" w:beforeAutospacing="0" w:after="0" w:afterAutospacing="0" w:line="274" w:lineRule="exact"/>
              <w:ind w:left="108" w:right="0"/>
              <w:rPr>
                <w:rFonts w:hint="default"/>
                <w:spacing w:val="-1"/>
                <w:sz w:val="20"/>
                <w:lang w:val="en-US"/>
              </w:rPr>
            </w:pPr>
          </w:p>
        </w:tc>
      </w:tr>
    </w:tbl>
    <w:p>
      <w:pPr>
        <w:pStyle w:val="18"/>
        <w:ind w:firstLine="600"/>
        <w:rPr>
          <w:sz w:val="30"/>
          <w:szCs w:val="30"/>
        </w:rPr>
        <w:sectPr>
          <w:headerReference r:id="rId21" w:type="default"/>
          <w:pgSz w:w="11910" w:h="16840"/>
          <w:pgMar w:top="1440" w:right="1079" w:bottom="1040" w:left="1420" w:header="882" w:footer="845" w:gutter="0"/>
          <w:cols w:space="720" w:num="1"/>
        </w:sectPr>
      </w:pPr>
    </w:p>
    <w:p>
      <w:pPr>
        <w:tabs>
          <w:tab w:val="left" w:pos="1840"/>
        </w:tabs>
        <w:spacing w:before="38"/>
        <w:ind w:left="81"/>
        <w:jc w:val="center"/>
        <w:rPr>
          <w:b/>
          <w:bCs/>
          <w:sz w:val="32"/>
          <w:szCs w:val="32"/>
        </w:rPr>
      </w:pPr>
    </w:p>
    <w:p>
      <w:pPr>
        <w:tabs>
          <w:tab w:val="left" w:pos="1840"/>
        </w:tabs>
        <w:spacing w:before="38"/>
        <w:ind w:left="81"/>
        <w:jc w:val="center"/>
        <w:rPr>
          <w:b/>
          <w:bCs/>
          <w:sz w:val="32"/>
          <w:szCs w:val="32"/>
        </w:rPr>
      </w:pPr>
    </w:p>
    <w:p>
      <w:pPr>
        <w:tabs>
          <w:tab w:val="left" w:pos="1840"/>
        </w:tabs>
        <w:spacing w:before="38"/>
        <w:ind w:left="81"/>
        <w:jc w:val="center"/>
        <w:rPr>
          <w:b/>
          <w:bCs/>
          <w:sz w:val="32"/>
          <w:szCs w:val="32"/>
        </w:rPr>
      </w:pPr>
      <w:r>
        <w:rPr>
          <w:rFonts w:hint="eastAsia"/>
          <w:b/>
          <w:bCs/>
          <w:sz w:val="32"/>
          <w:szCs w:val="32"/>
        </w:rPr>
        <w:t>第七章</w:t>
      </w:r>
      <w:r>
        <w:rPr>
          <w:rFonts w:hint="eastAsia"/>
          <w:b/>
          <w:bCs/>
          <w:sz w:val="32"/>
          <w:szCs w:val="32"/>
          <w:lang w:val="en-US"/>
        </w:rPr>
        <w:t xml:space="preserve">  </w:t>
      </w:r>
      <w:r>
        <w:rPr>
          <w:rFonts w:hint="eastAsia"/>
          <w:b/>
          <w:bCs/>
          <w:sz w:val="32"/>
          <w:szCs w:val="32"/>
        </w:rPr>
        <w:t>响应文件格式</w:t>
      </w:r>
    </w:p>
    <w:p>
      <w:pPr>
        <w:jc w:val="center"/>
        <w:rPr>
          <w:b/>
          <w:bCs/>
          <w:sz w:val="32"/>
          <w:szCs w:val="32"/>
        </w:rPr>
        <w:sectPr>
          <w:headerReference r:id="rId22" w:type="default"/>
          <w:pgSz w:w="11910" w:h="16840"/>
          <w:pgMar w:top="1440" w:right="1080" w:bottom="1040" w:left="1420" w:header="882" w:footer="847"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tabs>
          <w:tab w:val="left" w:pos="3821"/>
          <w:tab w:val="left" w:pos="5981"/>
        </w:tabs>
        <w:spacing w:before="74"/>
        <w:ind w:firstLine="2880" w:firstLineChars="900"/>
        <w:rPr>
          <w:sz w:val="32"/>
          <w:szCs w:val="32"/>
        </w:rPr>
      </w:pP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（项目名称）</w:t>
      </w:r>
    </w:p>
    <w:p>
      <w:pPr>
        <w:pStyle w:val="11"/>
        <w:rPr>
          <w:sz w:val="32"/>
          <w:szCs w:val="32"/>
        </w:rPr>
      </w:pPr>
    </w:p>
    <w:p>
      <w:pPr>
        <w:pStyle w:val="11"/>
        <w:rPr>
          <w:sz w:val="26"/>
        </w:rPr>
      </w:pPr>
    </w:p>
    <w:p>
      <w:pPr>
        <w:pStyle w:val="11"/>
        <w:rPr>
          <w:sz w:val="26"/>
        </w:rPr>
      </w:pPr>
    </w:p>
    <w:p>
      <w:pPr>
        <w:pStyle w:val="11"/>
        <w:rPr>
          <w:sz w:val="26"/>
        </w:rPr>
      </w:pPr>
    </w:p>
    <w:p>
      <w:pPr>
        <w:pStyle w:val="11"/>
        <w:rPr>
          <w:sz w:val="26"/>
        </w:rPr>
      </w:pPr>
    </w:p>
    <w:p>
      <w:pPr>
        <w:pStyle w:val="11"/>
        <w:spacing w:before="3"/>
        <w:rPr>
          <w:sz w:val="20"/>
        </w:rPr>
      </w:pPr>
    </w:p>
    <w:p>
      <w:pPr>
        <w:tabs>
          <w:tab w:val="left" w:pos="3648"/>
          <w:tab w:val="left" w:pos="5328"/>
          <w:tab w:val="left" w:pos="7008"/>
        </w:tabs>
        <w:ind w:firstLine="2520" w:firstLineChars="300"/>
        <w:rPr>
          <w:sz w:val="84"/>
        </w:rPr>
      </w:pPr>
      <w:r>
        <w:rPr>
          <w:rFonts w:hint="eastAsia"/>
          <w:sz w:val="84"/>
        </w:rPr>
        <w:t>响</w:t>
      </w:r>
      <w:r>
        <w:rPr>
          <w:rFonts w:hint="eastAsia"/>
          <w:sz w:val="84"/>
          <w:lang w:val="en-US"/>
        </w:rPr>
        <w:t xml:space="preserve"> </w:t>
      </w:r>
      <w:r>
        <w:rPr>
          <w:rFonts w:hint="eastAsia"/>
          <w:sz w:val="84"/>
        </w:rPr>
        <w:t>应</w:t>
      </w:r>
      <w:r>
        <w:rPr>
          <w:rFonts w:hint="eastAsia"/>
          <w:sz w:val="84"/>
          <w:lang w:val="en-US"/>
        </w:rPr>
        <w:t xml:space="preserve"> </w:t>
      </w:r>
      <w:r>
        <w:rPr>
          <w:rFonts w:hint="eastAsia"/>
          <w:sz w:val="84"/>
        </w:rPr>
        <w:t>文</w:t>
      </w:r>
      <w:r>
        <w:rPr>
          <w:rFonts w:hint="eastAsia"/>
          <w:sz w:val="84"/>
          <w:lang w:val="en-US"/>
        </w:rPr>
        <w:t xml:space="preserve"> </w:t>
      </w:r>
      <w:r>
        <w:rPr>
          <w:rFonts w:hint="eastAsia"/>
          <w:sz w:val="84"/>
        </w:rPr>
        <w:t>件</w:t>
      </w:r>
    </w:p>
    <w:p>
      <w:pPr>
        <w:spacing w:before="332"/>
        <w:ind w:left="36" w:right="50"/>
        <w:jc w:val="center"/>
        <w:rPr>
          <w:b/>
          <w:sz w:val="44"/>
          <w:szCs w:val="44"/>
        </w:rPr>
      </w:pPr>
      <w:bookmarkStart w:id="86" w:name="_TOC_250017"/>
      <w:bookmarkEnd w:id="86"/>
      <w:r>
        <w:rPr>
          <w:rFonts w:hint="eastAsia"/>
          <w:b/>
          <w:sz w:val="44"/>
          <w:szCs w:val="44"/>
        </w:rPr>
        <w:t>（商务及技术文件）</w:t>
      </w:r>
    </w:p>
    <w:p>
      <w:pPr>
        <w:pStyle w:val="11"/>
        <w:rPr>
          <w:b/>
          <w:sz w:val="44"/>
          <w:szCs w:val="44"/>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pStyle w:val="11"/>
        <w:rPr>
          <w:b/>
          <w:sz w:val="32"/>
        </w:rPr>
      </w:pPr>
    </w:p>
    <w:p>
      <w:pPr>
        <w:spacing w:line="480" w:lineRule="auto"/>
        <w:ind w:firstLine="2380" w:firstLineChars="850"/>
        <w:rPr>
          <w:rFonts w:eastAsia="Times New Roman"/>
          <w:sz w:val="28"/>
          <w:u w:val="single"/>
        </w:rPr>
      </w:pPr>
      <w:r>
        <w:rPr>
          <w:rFonts w:hint="eastAsia"/>
          <w:sz w:val="28"/>
        </w:rPr>
        <w:t>供应商名称：（盖章）</w:t>
      </w:r>
    </w:p>
    <w:p>
      <w:pPr>
        <w:spacing w:line="480" w:lineRule="auto"/>
        <w:jc w:val="center"/>
        <w:rPr>
          <w:rFonts w:eastAsiaTheme="minorEastAsia"/>
          <w:sz w:val="28"/>
        </w:rPr>
      </w:pPr>
      <w:r>
        <w:rPr>
          <w:rFonts w:hint="eastAsia"/>
          <w:sz w:val="28"/>
        </w:rPr>
        <w:t xml:space="preserve">    </w:t>
      </w:r>
      <w:r>
        <w:rPr>
          <w:rFonts w:hint="eastAsia"/>
          <w:sz w:val="28"/>
          <w:lang w:val="en-US"/>
        </w:rPr>
        <w:t xml:space="preserve">  </w:t>
      </w:r>
      <w:r>
        <w:rPr>
          <w:rFonts w:hint="eastAsia"/>
          <w:sz w:val="28"/>
        </w:rPr>
        <w:t>法定代表人或其委托代理人：（签字或盖章）</w:t>
      </w:r>
    </w:p>
    <w:p>
      <w:pPr>
        <w:spacing w:line="480" w:lineRule="auto"/>
        <w:ind w:firstLine="2380" w:firstLineChars="850"/>
        <w:rPr>
          <w:sz w:val="28"/>
        </w:rPr>
      </w:pPr>
      <w:r>
        <w:rPr>
          <w:rFonts w:hint="eastAsia"/>
          <w:sz w:val="28"/>
        </w:rPr>
        <w:t>日期：年</w:t>
      </w:r>
      <w:r>
        <w:rPr>
          <w:rFonts w:hint="eastAsia"/>
          <w:sz w:val="28"/>
          <w:lang w:val="en-US"/>
        </w:rPr>
        <w:t xml:space="preserve">  </w:t>
      </w:r>
      <w:r>
        <w:rPr>
          <w:rFonts w:hint="eastAsia"/>
          <w:sz w:val="28"/>
        </w:rPr>
        <w:t>月</w:t>
      </w:r>
      <w:r>
        <w:rPr>
          <w:rFonts w:hint="eastAsia"/>
          <w:sz w:val="28"/>
          <w:lang w:val="en-US"/>
        </w:rPr>
        <w:t xml:space="preserve">  </w:t>
      </w:r>
      <w:r>
        <w:rPr>
          <w:rFonts w:hint="eastAsia"/>
          <w:sz w:val="28"/>
        </w:rPr>
        <w:t>日</w:t>
      </w:r>
    </w:p>
    <w:p>
      <w:pPr>
        <w:pStyle w:val="11"/>
        <w:rPr>
          <w:sz w:val="20"/>
        </w:rPr>
      </w:pPr>
    </w:p>
    <w:p>
      <w:pPr>
        <w:pStyle w:val="12"/>
        <w:rPr>
          <w:sz w:val="20"/>
        </w:rPr>
      </w:pPr>
    </w:p>
    <w:p>
      <w:pPr>
        <w:rPr>
          <w:sz w:val="20"/>
        </w:rPr>
      </w:pPr>
    </w:p>
    <w:p>
      <w:pPr>
        <w:pStyle w:val="18"/>
        <w:ind w:firstLine="440"/>
      </w:pPr>
    </w:p>
    <w:p>
      <w:pPr>
        <w:pStyle w:val="11"/>
        <w:rPr>
          <w:sz w:val="20"/>
        </w:rPr>
      </w:pPr>
    </w:p>
    <w:p>
      <w:pPr>
        <w:pStyle w:val="11"/>
        <w:spacing w:before="10"/>
        <w:rPr>
          <w:sz w:val="15"/>
        </w:rPr>
      </w:pPr>
    </w:p>
    <w:p>
      <w:pPr>
        <w:tabs>
          <w:tab w:val="left" w:pos="1048"/>
        </w:tabs>
        <w:spacing w:before="58"/>
        <w:ind w:right="33"/>
        <w:jc w:val="center"/>
        <w:rPr>
          <w:sz w:val="30"/>
        </w:rPr>
      </w:pPr>
      <w:bookmarkStart w:id="87" w:name="_TOC_250016"/>
      <w:bookmarkEnd w:id="87"/>
      <w:r>
        <w:rPr>
          <w:rFonts w:hint="eastAsia"/>
          <w:sz w:val="30"/>
        </w:rPr>
        <w:t>目</w:t>
      </w:r>
      <w:r>
        <w:rPr>
          <w:rFonts w:hint="eastAsia"/>
          <w:sz w:val="30"/>
        </w:rPr>
        <w:tab/>
      </w:r>
      <w:r>
        <w:rPr>
          <w:rFonts w:hint="eastAsia"/>
          <w:sz w:val="30"/>
        </w:rPr>
        <w:t>录</w:t>
      </w:r>
    </w:p>
    <w:p>
      <w:pPr>
        <w:pStyle w:val="11"/>
        <w:rPr>
          <w:sz w:val="30"/>
        </w:rPr>
      </w:pPr>
    </w:p>
    <w:p>
      <w:pPr>
        <w:pStyle w:val="11"/>
        <w:spacing w:before="3"/>
        <w:rPr>
          <w:sz w:val="31"/>
        </w:rPr>
      </w:pPr>
    </w:p>
    <w:p>
      <w:pPr>
        <w:pStyle w:val="11"/>
        <w:ind w:left="1963"/>
      </w:pPr>
      <w:r>
        <w:rPr>
          <w:rFonts w:hint="eastAsia"/>
        </w:rPr>
        <w:t>一、投标函及投标函附录</w:t>
      </w:r>
    </w:p>
    <w:p>
      <w:pPr>
        <w:pStyle w:val="11"/>
        <w:spacing w:before="132" w:line="343" w:lineRule="auto"/>
        <w:ind w:left="1963" w:right="3362"/>
      </w:pPr>
      <w:r>
        <w:rPr>
          <w:rFonts w:hint="eastAsia"/>
        </w:rPr>
        <w:t>二、授权委托书或法定代表人身份证明三、投标保证金</w:t>
      </w:r>
    </w:p>
    <w:p>
      <w:pPr>
        <w:pStyle w:val="11"/>
        <w:spacing w:before="1" w:line="343" w:lineRule="auto"/>
        <w:ind w:left="1963" w:right="5522"/>
      </w:pPr>
      <w:r>
        <w:rPr>
          <w:rFonts w:hint="eastAsia"/>
          <w:spacing w:val="-3"/>
        </w:rPr>
        <w:t>四、施工组织设计五、项目管理机构</w:t>
      </w:r>
    </w:p>
    <w:p>
      <w:pPr>
        <w:pStyle w:val="11"/>
        <w:spacing w:line="345" w:lineRule="auto"/>
        <w:ind w:left="1963" w:right="5042"/>
      </w:pPr>
      <w:r>
        <w:rPr>
          <w:rFonts w:hint="eastAsia"/>
          <w:spacing w:val="-2"/>
        </w:rPr>
        <w:t>六、拟分包项目情况表</w:t>
      </w:r>
      <w:r>
        <w:rPr>
          <w:rFonts w:hint="eastAsia"/>
        </w:rPr>
        <w:t>七、资格审查资料</w:t>
      </w:r>
    </w:p>
    <w:p>
      <w:pPr>
        <w:pStyle w:val="11"/>
        <w:spacing w:line="303" w:lineRule="exact"/>
        <w:ind w:left="1963"/>
      </w:pPr>
      <w:r>
        <w:rPr>
          <w:rFonts w:hint="eastAsia"/>
        </w:rPr>
        <w:t>八、其他资料</w:t>
      </w:r>
    </w:p>
    <w:p>
      <w:pPr>
        <w:spacing w:line="303" w:lineRule="exact"/>
        <w:sectPr>
          <w:pgSz w:w="11910" w:h="16840"/>
          <w:pgMar w:top="1440" w:right="1080" w:bottom="1040" w:left="1420" w:header="882" w:footer="847" w:gutter="0"/>
          <w:cols w:space="720" w:num="1"/>
        </w:sectPr>
      </w:pPr>
    </w:p>
    <w:p>
      <w:pPr>
        <w:spacing w:before="130"/>
        <w:ind w:left="86" w:right="369"/>
        <w:jc w:val="center"/>
        <w:rPr>
          <w:sz w:val="32"/>
        </w:rPr>
      </w:pPr>
      <w:r>
        <w:rPr>
          <w:rFonts w:hint="eastAsia"/>
          <w:sz w:val="32"/>
        </w:rPr>
        <w:t>一、投标函及投标函附录</w:t>
      </w:r>
    </w:p>
    <w:p>
      <w:pPr>
        <w:pStyle w:val="11"/>
        <w:spacing w:before="3"/>
        <w:rPr>
          <w:sz w:val="29"/>
        </w:rPr>
      </w:pPr>
    </w:p>
    <w:p>
      <w:pPr>
        <w:ind w:left="86" w:right="138"/>
        <w:jc w:val="center"/>
        <w:rPr>
          <w:sz w:val="28"/>
        </w:rPr>
      </w:pPr>
      <w:bookmarkStart w:id="88" w:name="_TOC_250015"/>
      <w:bookmarkEnd w:id="88"/>
      <w:r>
        <w:rPr>
          <w:rFonts w:hint="eastAsia"/>
          <w:sz w:val="28"/>
        </w:rPr>
        <w:t>（一）投标函</w:t>
      </w:r>
    </w:p>
    <w:p>
      <w:pPr>
        <w:pStyle w:val="11"/>
        <w:spacing w:before="7"/>
        <w:rPr>
          <w:sz w:val="16"/>
        </w:rPr>
      </w:pPr>
    </w:p>
    <w:p>
      <w:pPr>
        <w:pStyle w:val="11"/>
        <w:tabs>
          <w:tab w:val="left" w:pos="3303"/>
        </w:tabs>
        <w:spacing w:before="74"/>
        <w:ind w:left="423"/>
      </w:pPr>
      <w:r>
        <w:rPr>
          <w:rFonts w:hint="eastAsia"/>
          <w:u w:val="single"/>
        </w:rPr>
        <w:t xml:space="preserve"> </w:t>
      </w:r>
      <w:r>
        <w:rPr>
          <w:rFonts w:hint="eastAsia"/>
          <w:u w:val="single"/>
        </w:rPr>
        <w:tab/>
      </w:r>
      <w:r>
        <w:rPr>
          <w:rFonts w:hint="eastAsia"/>
        </w:rPr>
        <w:t>（招标人名称）：</w:t>
      </w:r>
    </w:p>
    <w:p>
      <w:pPr>
        <w:pStyle w:val="21"/>
        <w:numPr>
          <w:ilvl w:val="0"/>
          <w:numId w:val="70"/>
        </w:numPr>
        <w:tabs>
          <w:tab w:val="left" w:pos="1065"/>
          <w:tab w:val="left" w:pos="4903"/>
          <w:tab w:val="left" w:pos="7423"/>
        </w:tabs>
        <w:spacing w:before="172" w:line="280" w:lineRule="auto"/>
        <w:ind w:right="542" w:firstLine="480"/>
        <w:jc w:val="both"/>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rPr>
        <w:t>（项目名称）施工招</w:t>
      </w:r>
      <w:r>
        <w:rPr>
          <w:rFonts w:hint="eastAsia"/>
          <w:spacing w:val="-18"/>
          <w:sz w:val="24"/>
        </w:rPr>
        <w:t>标竞争性磋商</w:t>
      </w:r>
      <w:r>
        <w:rPr>
          <w:rFonts w:hint="eastAsia"/>
          <w:sz w:val="24"/>
        </w:rPr>
        <w:t>文件的全部内容（含补遗书），在考察工程现场后，愿意以报价文件中的投标总报价，按合同约定实施和完成承包工程，修补工</w:t>
      </w:r>
      <w:r>
        <w:rPr>
          <w:rFonts w:hint="eastAsia"/>
          <w:spacing w:val="-19"/>
          <w:sz w:val="24"/>
        </w:rPr>
        <w:t>程</w:t>
      </w:r>
      <w:r>
        <w:rPr>
          <w:rFonts w:hint="eastAsia"/>
          <w:sz w:val="24"/>
        </w:rPr>
        <w:t>中的任何缺陷。</w:t>
      </w:r>
    </w:p>
    <w:p>
      <w:pPr>
        <w:pStyle w:val="21"/>
        <w:numPr>
          <w:ilvl w:val="0"/>
          <w:numId w:val="70"/>
        </w:numPr>
        <w:tabs>
          <w:tab w:val="left" w:pos="1065"/>
        </w:tabs>
        <w:spacing w:before="1"/>
        <w:ind w:left="1065"/>
        <w:rPr>
          <w:sz w:val="24"/>
        </w:rPr>
      </w:pPr>
      <w:r>
        <w:rPr>
          <w:rFonts w:hint="eastAsia"/>
          <w:sz w:val="24"/>
        </w:rPr>
        <w:t>我方承诺在磋商文件规定的投标有效期内不撤销响应文件。</w:t>
      </w:r>
    </w:p>
    <w:p>
      <w:pPr>
        <w:pStyle w:val="21"/>
        <w:numPr>
          <w:ilvl w:val="0"/>
          <w:numId w:val="70"/>
        </w:numPr>
        <w:tabs>
          <w:tab w:val="left" w:pos="1065"/>
          <w:tab w:val="left" w:pos="3583"/>
          <w:tab w:val="left" w:pos="6343"/>
          <w:tab w:val="left" w:pos="7783"/>
        </w:tabs>
        <w:spacing w:before="53"/>
        <w:ind w:left="1065"/>
        <w:rPr>
          <w:sz w:val="24"/>
        </w:rPr>
      </w:pPr>
      <w:r>
        <w:rPr>
          <w:rFonts w:hint="eastAsia"/>
          <w:sz w:val="24"/>
        </w:rPr>
        <w:t>工程质量：</w:t>
      </w:r>
      <w:r>
        <w:rPr>
          <w:rFonts w:hint="eastAsia"/>
          <w:sz w:val="24"/>
          <w:u w:val="single"/>
        </w:rPr>
        <w:t xml:space="preserve"> </w:t>
      </w:r>
      <w:r>
        <w:rPr>
          <w:rFonts w:hint="eastAsia"/>
          <w:sz w:val="24"/>
          <w:u w:val="single"/>
        </w:rPr>
        <w:tab/>
      </w:r>
      <w:r>
        <w:rPr>
          <w:rFonts w:hint="eastAsia"/>
          <w:sz w:val="24"/>
        </w:rPr>
        <w:t>，安全目标：</w:t>
      </w:r>
      <w:r>
        <w:rPr>
          <w:rFonts w:hint="eastAsia"/>
          <w:sz w:val="24"/>
          <w:u w:val="single"/>
        </w:rPr>
        <w:t xml:space="preserve"> </w:t>
      </w:r>
      <w:r>
        <w:rPr>
          <w:rFonts w:hint="eastAsia"/>
          <w:sz w:val="24"/>
          <w:u w:val="single"/>
        </w:rPr>
        <w:tab/>
      </w:r>
      <w:r>
        <w:rPr>
          <w:rFonts w:hint="eastAsia"/>
          <w:sz w:val="24"/>
        </w:rPr>
        <w:t>，工期：</w:t>
      </w:r>
      <w:r>
        <w:rPr>
          <w:rFonts w:hint="eastAsia"/>
          <w:sz w:val="24"/>
          <w:u w:val="single"/>
        </w:rPr>
        <w:t xml:space="preserve"> </w:t>
      </w:r>
      <w:r>
        <w:rPr>
          <w:rFonts w:hint="eastAsia"/>
          <w:sz w:val="24"/>
          <w:u w:val="single"/>
        </w:rPr>
        <w:tab/>
      </w:r>
      <w:r>
        <w:rPr>
          <w:rFonts w:hint="eastAsia"/>
          <w:sz w:val="24"/>
        </w:rPr>
        <w:t>日历天。</w:t>
      </w:r>
    </w:p>
    <w:p>
      <w:pPr>
        <w:pStyle w:val="21"/>
        <w:numPr>
          <w:ilvl w:val="0"/>
          <w:numId w:val="70"/>
        </w:numPr>
        <w:tabs>
          <w:tab w:val="left" w:pos="1065"/>
        </w:tabs>
        <w:spacing w:before="52"/>
        <w:ind w:left="1065"/>
        <w:rPr>
          <w:sz w:val="24"/>
        </w:rPr>
      </w:pPr>
      <w:r>
        <w:rPr>
          <w:rFonts w:hint="eastAsia"/>
          <w:sz w:val="24"/>
        </w:rPr>
        <w:t>如我方中标，我方承诺：</w:t>
      </w:r>
    </w:p>
    <w:p>
      <w:pPr>
        <w:pStyle w:val="21"/>
        <w:numPr>
          <w:ilvl w:val="0"/>
          <w:numId w:val="71"/>
        </w:numPr>
        <w:tabs>
          <w:tab w:val="left" w:pos="1305"/>
        </w:tabs>
        <w:spacing w:before="53"/>
        <w:rPr>
          <w:sz w:val="24"/>
        </w:rPr>
      </w:pPr>
      <w:r>
        <w:rPr>
          <w:rFonts w:hint="eastAsia"/>
          <w:sz w:val="24"/>
        </w:rPr>
        <w:t>在收到中标通知书后，在中标通知书规定的期限内与你方签订合同；</w:t>
      </w:r>
    </w:p>
    <w:p>
      <w:pPr>
        <w:pStyle w:val="21"/>
        <w:numPr>
          <w:ilvl w:val="0"/>
          <w:numId w:val="71"/>
        </w:numPr>
        <w:tabs>
          <w:tab w:val="left" w:pos="1305"/>
        </w:tabs>
        <w:spacing w:before="52"/>
        <w:rPr>
          <w:sz w:val="24"/>
        </w:rPr>
      </w:pPr>
      <w:r>
        <w:rPr>
          <w:rFonts w:hint="eastAsia"/>
          <w:sz w:val="24"/>
        </w:rPr>
        <w:t>在签订合同时不向你方提出附加条件；</w:t>
      </w:r>
    </w:p>
    <w:p>
      <w:pPr>
        <w:pStyle w:val="21"/>
        <w:numPr>
          <w:ilvl w:val="0"/>
          <w:numId w:val="71"/>
        </w:numPr>
        <w:tabs>
          <w:tab w:val="left" w:pos="1305"/>
        </w:tabs>
        <w:spacing w:before="53"/>
        <w:rPr>
          <w:sz w:val="24"/>
        </w:rPr>
      </w:pPr>
      <w:r>
        <w:rPr>
          <w:rFonts w:hint="eastAsia"/>
          <w:sz w:val="24"/>
        </w:rPr>
        <w:t>按照</w:t>
      </w:r>
      <w:r>
        <w:rPr>
          <w:rFonts w:hint="eastAsia"/>
          <w:sz w:val="24"/>
          <w:lang w:val="en-US"/>
        </w:rPr>
        <w:t>磋商</w:t>
      </w:r>
      <w:r>
        <w:rPr>
          <w:rFonts w:hint="eastAsia"/>
          <w:sz w:val="24"/>
        </w:rPr>
        <w:t>文件要求提交履约保证金</w:t>
      </w:r>
      <w:r>
        <w:rPr>
          <w:rFonts w:hint="eastAsia"/>
          <w:sz w:val="24"/>
          <w:lang w:val="en-US"/>
        </w:rPr>
        <w:t>和农民工工资保证金</w:t>
      </w:r>
      <w:r>
        <w:rPr>
          <w:rFonts w:hint="eastAsia"/>
          <w:sz w:val="24"/>
        </w:rPr>
        <w:t>；</w:t>
      </w:r>
    </w:p>
    <w:p>
      <w:pPr>
        <w:pStyle w:val="21"/>
        <w:numPr>
          <w:ilvl w:val="0"/>
          <w:numId w:val="71"/>
        </w:numPr>
        <w:tabs>
          <w:tab w:val="left" w:pos="1305"/>
        </w:tabs>
        <w:spacing w:before="52"/>
        <w:rPr>
          <w:sz w:val="24"/>
        </w:rPr>
      </w:pPr>
      <w:r>
        <w:rPr>
          <w:rFonts w:hint="eastAsia"/>
          <w:sz w:val="24"/>
        </w:rPr>
        <w:t>在合同约定的期限内完成合同规定的全部义务；</w:t>
      </w:r>
    </w:p>
    <w:p>
      <w:pPr>
        <w:pStyle w:val="21"/>
        <w:numPr>
          <w:ilvl w:val="0"/>
          <w:numId w:val="71"/>
        </w:numPr>
        <w:tabs>
          <w:tab w:val="left" w:pos="1305"/>
        </w:tabs>
        <w:spacing w:before="53" w:line="280" w:lineRule="auto"/>
        <w:ind w:left="224" w:right="506" w:firstLine="480"/>
        <w:jc w:val="both"/>
        <w:rPr>
          <w:sz w:val="24"/>
        </w:rPr>
      </w:pPr>
      <w:r>
        <w:rPr>
          <w:rFonts w:hint="eastAsia"/>
          <w:spacing w:val="-3"/>
          <w:sz w:val="24"/>
        </w:rPr>
        <w:t>在你方和我方进行合同谈判之前，我方将按照合同附件提出的最低要求</w:t>
      </w:r>
      <w:r>
        <w:rPr>
          <w:rFonts w:hint="eastAsia"/>
          <w:spacing w:val="-5"/>
          <w:sz w:val="24"/>
        </w:rPr>
        <w:t>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pPr>
        <w:pStyle w:val="21"/>
        <w:numPr>
          <w:ilvl w:val="0"/>
          <w:numId w:val="70"/>
        </w:numPr>
        <w:tabs>
          <w:tab w:val="left" w:pos="1065"/>
        </w:tabs>
        <w:spacing w:before="1" w:line="280" w:lineRule="auto"/>
        <w:ind w:right="506" w:firstLine="480"/>
        <w:jc w:val="both"/>
        <w:rPr>
          <w:sz w:val="24"/>
        </w:rPr>
      </w:pPr>
      <w:r>
        <w:rPr>
          <w:rFonts w:hint="eastAsia"/>
          <w:spacing w:val="-7"/>
          <w:sz w:val="24"/>
        </w:rPr>
        <w:t>我方在此声明，所递交的响应文件及有关资料内容完整、真实和准确</w:t>
      </w:r>
      <w:r>
        <w:rPr>
          <w:rFonts w:hint="eastAsia"/>
          <w:sz w:val="24"/>
        </w:rPr>
        <w:t>。</w:t>
      </w:r>
    </w:p>
    <w:p>
      <w:pPr>
        <w:pStyle w:val="21"/>
        <w:numPr>
          <w:ilvl w:val="0"/>
          <w:numId w:val="70"/>
        </w:numPr>
        <w:tabs>
          <w:tab w:val="left" w:pos="1065"/>
        </w:tabs>
        <w:spacing w:line="280" w:lineRule="auto"/>
        <w:ind w:right="506" w:firstLine="480"/>
        <w:rPr>
          <w:sz w:val="24"/>
        </w:rPr>
      </w:pPr>
      <w:r>
        <w:rPr>
          <w:rFonts w:hint="eastAsia"/>
          <w:spacing w:val="-3"/>
          <w:sz w:val="24"/>
        </w:rPr>
        <w:t>在合同协议书正式签署生效之前，本投标函连同你方的中标通知书将构成</w:t>
      </w:r>
      <w:r>
        <w:rPr>
          <w:rFonts w:hint="eastAsia"/>
          <w:spacing w:val="-5"/>
          <w:sz w:val="24"/>
        </w:rPr>
        <w:t>我们双方之间共同遵守的文件，对双方具有约束力。</w:t>
      </w:r>
    </w:p>
    <w:p>
      <w:pPr>
        <w:pStyle w:val="21"/>
        <w:numPr>
          <w:ilvl w:val="0"/>
          <w:numId w:val="70"/>
        </w:numPr>
        <w:tabs>
          <w:tab w:val="left" w:pos="1065"/>
          <w:tab w:val="left" w:pos="5743"/>
        </w:tabs>
        <w:spacing w:before="1"/>
        <w:ind w:left="1065"/>
        <w:rPr>
          <w:sz w:val="24"/>
        </w:rPr>
      </w:pPr>
      <w:r>
        <w:rPr>
          <w:rFonts w:hint="eastAsia"/>
          <w:sz w:val="24"/>
          <w:u w:val="single"/>
        </w:rPr>
        <w:t xml:space="preserve"> </w:t>
      </w:r>
      <w:r>
        <w:rPr>
          <w:rFonts w:hint="eastAsia"/>
          <w:sz w:val="24"/>
          <w:u w:val="single"/>
        </w:rPr>
        <w:tab/>
      </w:r>
      <w:r>
        <w:rPr>
          <w:rFonts w:hint="eastAsia"/>
          <w:sz w:val="24"/>
        </w:rPr>
        <w:t>（其他补充说明）。</w:t>
      </w:r>
    </w:p>
    <w:p>
      <w:pPr>
        <w:pStyle w:val="11"/>
        <w:spacing w:before="2"/>
        <w:rPr>
          <w:sz w:val="32"/>
        </w:rPr>
      </w:pPr>
    </w:p>
    <w:p>
      <w:pPr>
        <w:pStyle w:val="30"/>
        <w:spacing w:after="0" w:line="500" w:lineRule="exact"/>
        <w:rPr>
          <w:rFonts w:hint="eastAsia" w:hAnsi="宋体" w:eastAsia="宋体"/>
          <w:lang w:eastAsia="zh-CN"/>
        </w:rPr>
      </w:pPr>
      <w:r>
        <w:rPr>
          <w:rFonts w:hint="eastAsia" w:ascii="PQPMNW+ËÎÌå" w:hAnsi="PQPMNW+ËÎÌå" w:cs="PQPMNW+ËÎÌå"/>
          <w:spacing w:val="-1"/>
        </w:rPr>
        <w:t>竞争性磋商响应人</w:t>
      </w:r>
      <w:r>
        <w:rPr>
          <w:rFonts w:hint="eastAsia" w:hAnsi="宋体"/>
        </w:rPr>
        <w:t>：</w:t>
      </w:r>
      <w:r>
        <w:rPr>
          <w:rFonts w:hint="eastAsia" w:hAnsi="宋体"/>
          <w:u w:val="single"/>
        </w:rPr>
        <w:t xml:space="preserve">                           </w:t>
      </w:r>
      <w:r>
        <w:rPr>
          <w:rFonts w:hint="eastAsia" w:hAnsi="宋体"/>
        </w:rPr>
        <w:t>（盖单位章）</w:t>
      </w:r>
    </w:p>
    <w:p>
      <w:pPr>
        <w:pStyle w:val="30"/>
        <w:spacing w:after="0" w:line="500" w:lineRule="exact"/>
        <w:rPr>
          <w:rFonts w:hint="eastAsia" w:hAnsi="宋体" w:eastAsia="宋体"/>
          <w:lang w:eastAsia="zh-CN"/>
        </w:rPr>
      </w:pPr>
      <w:r>
        <w:rPr>
          <w:rFonts w:hint="eastAsia" w:hAnsi="宋体"/>
        </w:rPr>
        <w:t>法定代表人或其委托代理人：</w:t>
      </w:r>
      <w:r>
        <w:rPr>
          <w:rFonts w:hint="eastAsia" w:hAnsi="宋体"/>
          <w:u w:val="single"/>
        </w:rPr>
        <w:t xml:space="preserve">             </w:t>
      </w:r>
      <w:r>
        <w:rPr>
          <w:rFonts w:hint="eastAsia" w:hAnsi="宋体"/>
        </w:rPr>
        <w:t>（签字或盖章）</w:t>
      </w:r>
    </w:p>
    <w:p>
      <w:pPr>
        <w:pStyle w:val="30"/>
        <w:spacing w:after="0" w:line="500" w:lineRule="exact"/>
        <w:rPr>
          <w:rFonts w:hint="eastAsia" w:hAnsi="宋体" w:eastAsia="宋体"/>
          <w:u w:val="single"/>
          <w:lang w:eastAsia="zh-CN"/>
        </w:rPr>
      </w:pPr>
      <w:r>
        <w:rPr>
          <w:rFonts w:hint="eastAsia" w:hAnsi="宋体"/>
        </w:rPr>
        <w:t>地址：</w:t>
      </w:r>
      <w:r>
        <w:rPr>
          <w:rFonts w:hint="eastAsia" w:hAnsi="宋体"/>
          <w:u w:val="single"/>
        </w:rPr>
        <w:t xml:space="preserve">                                                 </w:t>
      </w:r>
    </w:p>
    <w:p>
      <w:pPr>
        <w:pStyle w:val="30"/>
        <w:spacing w:after="0" w:line="500" w:lineRule="exact"/>
        <w:rPr>
          <w:rFonts w:hint="eastAsia" w:hAnsi="宋体" w:eastAsia="宋体"/>
          <w:u w:val="single"/>
          <w:lang w:eastAsia="zh-CN"/>
        </w:rPr>
      </w:pPr>
      <w:r>
        <w:rPr>
          <w:rFonts w:hint="eastAsia" w:hAnsi="宋体"/>
        </w:rPr>
        <w:t>网址：</w:t>
      </w:r>
      <w:r>
        <w:rPr>
          <w:rFonts w:hint="eastAsia" w:hAnsi="宋体"/>
          <w:u w:val="single"/>
        </w:rPr>
        <w:t xml:space="preserve">                                                </w:t>
      </w:r>
    </w:p>
    <w:p>
      <w:pPr>
        <w:pStyle w:val="30"/>
        <w:spacing w:after="0" w:line="500" w:lineRule="exact"/>
        <w:rPr>
          <w:rFonts w:hint="eastAsia" w:hAnsi="宋体" w:eastAsia="宋体"/>
          <w:u w:val="single"/>
          <w:lang w:eastAsia="zh-CN"/>
        </w:rPr>
      </w:pPr>
      <w:r>
        <w:rPr>
          <w:rFonts w:hint="eastAsia" w:hAnsi="宋体"/>
        </w:rPr>
        <w:t>电话：</w:t>
      </w:r>
      <w:r>
        <w:rPr>
          <w:rFonts w:hint="eastAsia" w:hAnsi="宋体"/>
          <w:u w:val="single"/>
        </w:rPr>
        <w:t xml:space="preserve">                                                 </w:t>
      </w:r>
    </w:p>
    <w:p>
      <w:pPr>
        <w:pStyle w:val="30"/>
        <w:spacing w:after="0" w:line="500" w:lineRule="exact"/>
        <w:rPr>
          <w:rFonts w:hAnsi="宋体"/>
          <w:u w:val="single"/>
        </w:rPr>
      </w:pPr>
      <w:r>
        <w:rPr>
          <w:rFonts w:hint="eastAsia" w:hAnsi="宋体"/>
        </w:rPr>
        <w:t>传真：</w:t>
      </w:r>
      <w:r>
        <w:rPr>
          <w:rFonts w:hint="eastAsia" w:hAnsi="宋体"/>
          <w:color w:val="FFFFFF"/>
          <w:u w:val="single"/>
        </w:rPr>
        <w:t xml:space="preserve"> 。</w:t>
      </w:r>
      <w:r>
        <w:rPr>
          <w:rFonts w:hint="eastAsia" w:hAnsi="宋体"/>
          <w:u w:val="single"/>
        </w:rPr>
        <w:t xml:space="preserve">                                    </w:t>
      </w:r>
    </w:p>
    <w:p>
      <w:pPr>
        <w:pStyle w:val="30"/>
        <w:spacing w:after="0" w:line="500" w:lineRule="exact"/>
        <w:rPr>
          <w:rFonts w:hAnsi="宋体"/>
        </w:rPr>
      </w:pPr>
      <w:r>
        <w:rPr>
          <w:rFonts w:hint="eastAsia" w:hAnsi="宋体"/>
        </w:rPr>
        <w:t>邮政编码：</w:t>
      </w:r>
      <w:r>
        <w:rPr>
          <w:rFonts w:hint="eastAsia" w:hAnsi="宋体"/>
          <w:color w:val="FFFFFF"/>
          <w:u w:val="single"/>
        </w:rPr>
        <w:t xml:space="preserve">。 </w:t>
      </w:r>
      <w:r>
        <w:rPr>
          <w:rFonts w:hint="eastAsia" w:hAnsi="宋体"/>
          <w:u w:val="single"/>
        </w:rPr>
        <w:t xml:space="preserve">                                </w:t>
      </w:r>
    </w:p>
    <w:p>
      <w:pPr>
        <w:pStyle w:val="31"/>
        <w:spacing w:line="500" w:lineRule="exact"/>
        <w:ind w:firstLine="6120" w:firstLineChars="2550"/>
        <w:rPr>
          <w:rFonts w:hAnsi="宋体"/>
        </w:rPr>
      </w:pPr>
      <w:r>
        <w:rPr>
          <w:rFonts w:hint="eastAsia" w:hAnsi="宋体"/>
        </w:rPr>
        <w:t>年      月       日</w:t>
      </w:r>
    </w:p>
    <w:p>
      <w:pPr>
        <w:pStyle w:val="11"/>
        <w:rPr>
          <w:sz w:val="20"/>
        </w:rPr>
      </w:pPr>
    </w:p>
    <w:p>
      <w:pPr>
        <w:pStyle w:val="11"/>
        <w:rPr>
          <w:sz w:val="20"/>
        </w:rPr>
      </w:pPr>
    </w:p>
    <w:p>
      <w:pPr>
        <w:pStyle w:val="11"/>
        <w:rPr>
          <w:sz w:val="20"/>
        </w:rPr>
      </w:pPr>
    </w:p>
    <w:p>
      <w:pPr>
        <w:pStyle w:val="11"/>
        <w:spacing w:before="3"/>
        <w:rPr>
          <w:sz w:val="18"/>
        </w:rPr>
      </w:pPr>
    </w:p>
    <w:p>
      <w:pPr>
        <w:pStyle w:val="11"/>
        <w:spacing w:before="8"/>
        <w:rPr>
          <w:sz w:val="5"/>
        </w:rPr>
      </w:pPr>
    </w:p>
    <w:p>
      <w:pPr>
        <w:spacing w:before="161"/>
        <w:ind w:left="2" w:right="50"/>
        <w:jc w:val="center"/>
        <w:rPr>
          <w:sz w:val="28"/>
        </w:rPr>
      </w:pPr>
      <w:bookmarkStart w:id="89" w:name="_TOC_250014"/>
      <w:bookmarkEnd w:id="89"/>
    </w:p>
    <w:p>
      <w:pPr>
        <w:spacing w:before="161"/>
        <w:ind w:left="2" w:right="50"/>
        <w:jc w:val="center"/>
        <w:rPr>
          <w:sz w:val="28"/>
          <w:highlight w:val="none"/>
        </w:rPr>
      </w:pPr>
      <w:r>
        <w:rPr>
          <w:rFonts w:hint="eastAsia"/>
          <w:sz w:val="28"/>
          <w:highlight w:val="none"/>
        </w:rPr>
        <w:t>（二）投标函附录</w:t>
      </w:r>
    </w:p>
    <w:p>
      <w:pPr>
        <w:pStyle w:val="11"/>
        <w:rPr>
          <w:sz w:val="20"/>
          <w:highlight w:val="yellow"/>
        </w:rPr>
      </w:pPr>
    </w:p>
    <w:p>
      <w:pPr>
        <w:pStyle w:val="11"/>
        <w:spacing w:before="1"/>
        <w:rPr>
          <w:sz w:val="29"/>
        </w:rPr>
      </w:pPr>
    </w:p>
    <w:tbl>
      <w:tblPr>
        <w:tblStyle w:val="19"/>
        <w:tblW w:w="9039"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835"/>
        <w:gridCol w:w="1276"/>
        <w:gridCol w:w="311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2"/>
              <w:keepNext w:val="0"/>
              <w:keepLines w:val="0"/>
              <w:suppressLineNumbers w:val="0"/>
              <w:spacing w:before="128" w:beforeAutospacing="0" w:after="0" w:afterAutospacing="0"/>
              <w:ind w:left="187" w:right="179"/>
              <w:jc w:val="center"/>
              <w:rPr>
                <w:rFonts w:hint="default"/>
                <w:color w:val="auto"/>
                <w:sz w:val="20"/>
              </w:rPr>
            </w:pPr>
            <w:r>
              <w:rPr>
                <w:rFonts w:hint="eastAsia"/>
                <w:color w:val="auto"/>
                <w:sz w:val="20"/>
              </w:rPr>
              <w:t>序号</w:t>
            </w:r>
          </w:p>
        </w:tc>
        <w:tc>
          <w:tcPr>
            <w:tcW w:w="2835" w:type="dxa"/>
          </w:tcPr>
          <w:p>
            <w:pPr>
              <w:pStyle w:val="22"/>
              <w:keepNext w:val="0"/>
              <w:keepLines w:val="0"/>
              <w:suppressLineNumbers w:val="0"/>
              <w:spacing w:before="128" w:beforeAutospacing="0" w:after="0" w:afterAutospacing="0"/>
              <w:ind w:left="995" w:right="989"/>
              <w:jc w:val="center"/>
              <w:rPr>
                <w:rFonts w:hint="default"/>
                <w:color w:val="auto"/>
                <w:sz w:val="20"/>
              </w:rPr>
            </w:pPr>
            <w:r>
              <w:rPr>
                <w:rFonts w:hint="eastAsia"/>
                <w:color w:val="auto"/>
                <w:sz w:val="20"/>
              </w:rPr>
              <w:t>条款名称</w:t>
            </w:r>
          </w:p>
        </w:tc>
        <w:tc>
          <w:tcPr>
            <w:tcW w:w="1276" w:type="dxa"/>
          </w:tcPr>
          <w:p>
            <w:pPr>
              <w:pStyle w:val="22"/>
              <w:keepNext w:val="0"/>
              <w:keepLines w:val="0"/>
              <w:suppressLineNumbers w:val="0"/>
              <w:spacing w:before="128" w:beforeAutospacing="0" w:after="0" w:afterAutospacing="0"/>
              <w:ind w:left="116" w:right="110"/>
              <w:jc w:val="center"/>
              <w:rPr>
                <w:rFonts w:hint="default"/>
                <w:color w:val="auto"/>
                <w:sz w:val="20"/>
              </w:rPr>
            </w:pPr>
            <w:r>
              <w:rPr>
                <w:rFonts w:hint="eastAsia"/>
                <w:color w:val="auto"/>
                <w:sz w:val="20"/>
              </w:rPr>
              <w:t>合同条目号</w:t>
            </w:r>
          </w:p>
        </w:tc>
        <w:tc>
          <w:tcPr>
            <w:tcW w:w="3118" w:type="dxa"/>
          </w:tcPr>
          <w:p>
            <w:pPr>
              <w:pStyle w:val="22"/>
              <w:keepNext w:val="0"/>
              <w:keepLines w:val="0"/>
              <w:suppressLineNumbers w:val="0"/>
              <w:spacing w:before="128" w:beforeAutospacing="0" w:after="0" w:afterAutospacing="0"/>
              <w:ind w:left="0" w:right="1148"/>
              <w:jc w:val="right"/>
              <w:rPr>
                <w:rFonts w:hint="default"/>
                <w:color w:val="auto"/>
                <w:sz w:val="20"/>
              </w:rPr>
            </w:pPr>
            <w:r>
              <w:rPr>
                <w:rFonts w:hint="eastAsia"/>
                <w:color w:val="auto"/>
                <w:w w:val="95"/>
                <w:sz w:val="20"/>
              </w:rPr>
              <w:t>约定内容</w:t>
            </w:r>
          </w:p>
        </w:tc>
        <w:tc>
          <w:tcPr>
            <w:tcW w:w="993" w:type="dxa"/>
          </w:tcPr>
          <w:p>
            <w:pPr>
              <w:pStyle w:val="22"/>
              <w:keepNext w:val="0"/>
              <w:keepLines w:val="0"/>
              <w:suppressLineNumbers w:val="0"/>
              <w:spacing w:before="128" w:beforeAutospacing="0" w:after="0" w:afterAutospacing="0"/>
              <w:ind w:left="296" w:right="0"/>
              <w:rPr>
                <w:rFonts w:hint="default"/>
                <w:color w:val="auto"/>
                <w:sz w:val="20"/>
              </w:rPr>
            </w:pPr>
            <w:r>
              <w:rPr>
                <w:rFonts w:hint="eastAsia"/>
                <w:color w:val="auto"/>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2"/>
              <w:keepNext w:val="0"/>
              <w:keepLines w:val="0"/>
              <w:suppressLineNumbers w:val="0"/>
              <w:spacing w:before="141" w:beforeAutospacing="0" w:after="0" w:afterAutospacing="0"/>
              <w:ind w:left="7" w:right="0"/>
              <w:jc w:val="center"/>
              <w:rPr>
                <w:rFonts w:hint="default"/>
                <w:color w:val="auto"/>
                <w:sz w:val="20"/>
              </w:rPr>
            </w:pPr>
            <w:r>
              <w:rPr>
                <w:rFonts w:hint="eastAsia"/>
                <w:color w:val="auto"/>
                <w:w w:val="99"/>
                <w:sz w:val="20"/>
              </w:rPr>
              <w:t>1</w:t>
            </w:r>
          </w:p>
        </w:tc>
        <w:tc>
          <w:tcPr>
            <w:tcW w:w="2835" w:type="dxa"/>
          </w:tcPr>
          <w:p>
            <w:pPr>
              <w:pStyle w:val="22"/>
              <w:keepNext w:val="0"/>
              <w:keepLines w:val="0"/>
              <w:suppressLineNumbers w:val="0"/>
              <w:spacing w:before="127" w:beforeAutospacing="0" w:after="0" w:afterAutospacing="0"/>
              <w:ind w:left="106" w:right="0"/>
              <w:rPr>
                <w:rFonts w:hint="default"/>
                <w:color w:val="auto"/>
                <w:sz w:val="20"/>
              </w:rPr>
            </w:pPr>
            <w:r>
              <w:rPr>
                <w:rFonts w:hint="eastAsia"/>
                <w:color w:val="auto"/>
                <w:sz w:val="20"/>
              </w:rPr>
              <w:t>缺陷责任期</w:t>
            </w:r>
          </w:p>
        </w:tc>
        <w:tc>
          <w:tcPr>
            <w:tcW w:w="1276" w:type="dxa"/>
          </w:tcPr>
          <w:p>
            <w:pPr>
              <w:pStyle w:val="22"/>
              <w:keepNext w:val="0"/>
              <w:keepLines w:val="0"/>
              <w:suppressLineNumbers w:val="0"/>
              <w:spacing w:before="141" w:beforeAutospacing="0" w:after="0" w:afterAutospacing="0"/>
              <w:ind w:left="116" w:right="106"/>
              <w:jc w:val="center"/>
              <w:rPr>
                <w:rFonts w:hint="default"/>
                <w:color w:val="auto"/>
                <w:sz w:val="20"/>
              </w:rPr>
            </w:pPr>
            <w:r>
              <w:rPr>
                <w:rFonts w:hint="eastAsia"/>
                <w:color w:val="auto"/>
                <w:sz w:val="20"/>
              </w:rPr>
              <w:t>21.1</w:t>
            </w:r>
          </w:p>
        </w:tc>
        <w:tc>
          <w:tcPr>
            <w:tcW w:w="3118" w:type="dxa"/>
          </w:tcPr>
          <w:p>
            <w:pPr>
              <w:pStyle w:val="22"/>
              <w:keepNext w:val="0"/>
              <w:keepLines w:val="0"/>
              <w:suppressLineNumbers w:val="0"/>
              <w:spacing w:before="75" w:beforeAutospacing="0" w:after="0" w:afterAutospacing="0" w:line="130" w:lineRule="exact"/>
              <w:ind w:left="0" w:right="258"/>
              <w:jc w:val="right"/>
              <w:rPr>
                <w:rFonts w:hint="default"/>
                <w:color w:val="auto"/>
                <w:sz w:val="14"/>
              </w:rPr>
            </w:pPr>
          </w:p>
          <w:p>
            <w:pPr>
              <w:pStyle w:val="22"/>
              <w:keepNext w:val="0"/>
              <w:keepLines w:val="0"/>
              <w:suppressLineNumbers w:val="0"/>
              <w:tabs>
                <w:tab w:val="left" w:pos="2506"/>
              </w:tabs>
              <w:spacing w:before="0" w:beforeAutospacing="0" w:after="0" w:afterAutospacing="0" w:line="207" w:lineRule="exact"/>
              <w:ind w:left="106" w:right="0"/>
              <w:rPr>
                <w:rFonts w:hint="default"/>
                <w:color w:val="auto"/>
                <w:sz w:val="20"/>
              </w:rPr>
            </w:pPr>
            <w:r>
              <w:rPr>
                <w:rFonts w:hint="eastAsia"/>
                <w:color w:val="auto"/>
                <w:sz w:val="20"/>
              </w:rPr>
              <w:t>自实际交工日期起计算</w:t>
            </w:r>
            <w:r>
              <w:rPr>
                <w:rFonts w:hint="eastAsia"/>
                <w:color w:val="auto"/>
                <w:sz w:val="20"/>
                <w:u w:val="single"/>
              </w:rPr>
              <w:t xml:space="preserve"> </w:t>
            </w:r>
            <w:r>
              <w:rPr>
                <w:rFonts w:hint="eastAsia"/>
                <w:color w:val="auto"/>
                <w:sz w:val="20"/>
                <w:u w:val="single"/>
                <w:lang w:val="en-US"/>
              </w:rPr>
              <w:t xml:space="preserve">1 </w:t>
            </w:r>
            <w:r>
              <w:rPr>
                <w:rFonts w:hint="eastAsia"/>
                <w:color w:val="auto"/>
                <w:sz w:val="20"/>
              </w:rPr>
              <w:t>年</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17" w:type="dxa"/>
          </w:tcPr>
          <w:p>
            <w:pPr>
              <w:pStyle w:val="22"/>
              <w:keepNext w:val="0"/>
              <w:keepLines w:val="0"/>
              <w:suppressLineNumbers w:val="0"/>
              <w:spacing w:before="142" w:beforeAutospacing="0" w:after="0" w:afterAutospacing="0"/>
              <w:ind w:left="7" w:right="0"/>
              <w:jc w:val="center"/>
              <w:rPr>
                <w:rFonts w:hint="default"/>
                <w:color w:val="auto"/>
                <w:sz w:val="20"/>
              </w:rPr>
            </w:pPr>
            <w:r>
              <w:rPr>
                <w:rFonts w:hint="eastAsia"/>
                <w:color w:val="auto"/>
                <w:w w:val="99"/>
                <w:sz w:val="20"/>
              </w:rPr>
              <w:t>2</w:t>
            </w:r>
          </w:p>
        </w:tc>
        <w:tc>
          <w:tcPr>
            <w:tcW w:w="2835" w:type="dxa"/>
          </w:tcPr>
          <w:p>
            <w:pPr>
              <w:pStyle w:val="22"/>
              <w:keepNext w:val="0"/>
              <w:keepLines w:val="0"/>
              <w:suppressLineNumbers w:val="0"/>
              <w:spacing w:before="129" w:beforeAutospacing="0" w:after="0" w:afterAutospacing="0"/>
              <w:ind w:left="106" w:right="0"/>
              <w:rPr>
                <w:rFonts w:hint="default"/>
                <w:color w:val="auto"/>
                <w:sz w:val="20"/>
              </w:rPr>
            </w:pPr>
            <w:r>
              <w:rPr>
                <w:rFonts w:hint="eastAsia"/>
                <w:color w:val="auto"/>
                <w:sz w:val="20"/>
              </w:rPr>
              <w:t>逾期交工违约金</w:t>
            </w:r>
          </w:p>
        </w:tc>
        <w:tc>
          <w:tcPr>
            <w:tcW w:w="1276" w:type="dxa"/>
          </w:tcPr>
          <w:p>
            <w:pPr>
              <w:pStyle w:val="22"/>
              <w:keepNext w:val="0"/>
              <w:keepLines w:val="0"/>
              <w:suppressLineNumbers w:val="0"/>
              <w:spacing w:before="142" w:beforeAutospacing="0" w:after="0" w:afterAutospacing="0"/>
              <w:ind w:left="116" w:right="108"/>
              <w:jc w:val="center"/>
              <w:rPr>
                <w:rFonts w:hint="default"/>
                <w:color w:val="auto"/>
                <w:sz w:val="20"/>
              </w:rPr>
            </w:pPr>
            <w:r>
              <w:rPr>
                <w:rFonts w:hint="eastAsia"/>
                <w:color w:val="auto"/>
                <w:sz w:val="20"/>
              </w:rPr>
              <w:t>8.4</w:t>
            </w:r>
          </w:p>
        </w:tc>
        <w:tc>
          <w:tcPr>
            <w:tcW w:w="3118" w:type="dxa"/>
          </w:tcPr>
          <w:p>
            <w:pPr>
              <w:pStyle w:val="22"/>
              <w:keepNext w:val="0"/>
              <w:keepLines w:val="0"/>
              <w:suppressLineNumbers w:val="0"/>
              <w:tabs>
                <w:tab w:val="left" w:pos="400"/>
              </w:tabs>
              <w:spacing w:before="129" w:beforeAutospacing="0" w:after="0" w:afterAutospacing="0"/>
              <w:ind w:left="0" w:right="1177"/>
              <w:jc w:val="right"/>
              <w:rPr>
                <w:rFonts w:hint="default"/>
                <w:color w:val="auto"/>
                <w:sz w:val="20"/>
              </w:rPr>
            </w:pPr>
            <w:r>
              <w:rPr>
                <w:rFonts w:hint="eastAsia"/>
                <w:color w:val="auto"/>
                <w:sz w:val="20"/>
                <w:lang w:val="en-US"/>
              </w:rPr>
              <w:t>0.3</w:t>
            </w:r>
            <w:r>
              <w:rPr>
                <w:rFonts w:hint="eastAsia"/>
                <w:color w:val="auto"/>
                <w:sz w:val="20"/>
              </w:rPr>
              <w:t>%签约合同价/天</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2"/>
              <w:keepNext w:val="0"/>
              <w:keepLines w:val="0"/>
              <w:suppressLineNumbers w:val="0"/>
              <w:spacing w:before="141" w:beforeAutospacing="0" w:after="0" w:afterAutospacing="0"/>
              <w:ind w:left="7" w:right="0"/>
              <w:jc w:val="center"/>
              <w:rPr>
                <w:rFonts w:hint="default"/>
                <w:color w:val="auto"/>
                <w:sz w:val="20"/>
              </w:rPr>
            </w:pPr>
            <w:r>
              <w:rPr>
                <w:rFonts w:hint="eastAsia"/>
                <w:color w:val="auto"/>
                <w:w w:val="99"/>
                <w:sz w:val="20"/>
              </w:rPr>
              <w:t>3</w:t>
            </w:r>
          </w:p>
        </w:tc>
        <w:tc>
          <w:tcPr>
            <w:tcW w:w="2835" w:type="dxa"/>
          </w:tcPr>
          <w:p>
            <w:pPr>
              <w:pStyle w:val="22"/>
              <w:keepNext w:val="0"/>
              <w:keepLines w:val="0"/>
              <w:suppressLineNumbers w:val="0"/>
              <w:spacing w:before="127" w:beforeAutospacing="0" w:after="0" w:afterAutospacing="0"/>
              <w:ind w:left="106" w:right="0"/>
              <w:rPr>
                <w:rFonts w:hint="default"/>
                <w:color w:val="auto"/>
                <w:sz w:val="20"/>
              </w:rPr>
            </w:pPr>
            <w:r>
              <w:rPr>
                <w:rFonts w:hint="eastAsia"/>
                <w:color w:val="auto"/>
                <w:sz w:val="20"/>
              </w:rPr>
              <w:t>逾期交工违约金限额</w:t>
            </w:r>
          </w:p>
        </w:tc>
        <w:tc>
          <w:tcPr>
            <w:tcW w:w="1276" w:type="dxa"/>
          </w:tcPr>
          <w:p>
            <w:pPr>
              <w:pStyle w:val="22"/>
              <w:keepNext w:val="0"/>
              <w:keepLines w:val="0"/>
              <w:suppressLineNumbers w:val="0"/>
              <w:spacing w:before="141" w:beforeAutospacing="0" w:after="0" w:afterAutospacing="0"/>
              <w:ind w:left="116" w:right="108"/>
              <w:jc w:val="center"/>
              <w:rPr>
                <w:rFonts w:hint="default"/>
                <w:color w:val="auto"/>
                <w:sz w:val="20"/>
              </w:rPr>
            </w:pPr>
            <w:r>
              <w:rPr>
                <w:rFonts w:hint="eastAsia"/>
                <w:color w:val="auto"/>
                <w:sz w:val="20"/>
              </w:rPr>
              <w:t>8.4</w:t>
            </w:r>
          </w:p>
        </w:tc>
        <w:tc>
          <w:tcPr>
            <w:tcW w:w="3118" w:type="dxa"/>
          </w:tcPr>
          <w:p>
            <w:pPr>
              <w:pStyle w:val="22"/>
              <w:keepNext w:val="0"/>
              <w:keepLines w:val="0"/>
              <w:suppressLineNumbers w:val="0"/>
              <w:spacing w:before="75" w:beforeAutospacing="0" w:after="0" w:afterAutospacing="0" w:line="130" w:lineRule="exact"/>
              <w:ind w:left="379" w:right="0"/>
              <w:jc w:val="center"/>
              <w:rPr>
                <w:rFonts w:hint="default"/>
                <w:color w:val="auto"/>
                <w:sz w:val="14"/>
              </w:rPr>
            </w:pPr>
          </w:p>
          <w:p>
            <w:pPr>
              <w:pStyle w:val="22"/>
              <w:keepNext w:val="0"/>
              <w:keepLines w:val="0"/>
              <w:suppressLineNumbers w:val="0"/>
              <w:tabs>
                <w:tab w:val="left" w:pos="507"/>
              </w:tabs>
              <w:spacing w:before="0" w:beforeAutospacing="0" w:after="0" w:afterAutospacing="0" w:line="207" w:lineRule="exact"/>
              <w:ind w:left="0" w:right="0" w:firstLine="200" w:firstLineChars="100"/>
              <w:rPr>
                <w:rFonts w:hint="default"/>
                <w:color w:val="auto"/>
                <w:sz w:val="20"/>
              </w:rPr>
            </w:pPr>
            <w:r>
              <w:rPr>
                <w:rFonts w:hint="eastAsia"/>
                <w:color w:val="auto"/>
                <w:sz w:val="20"/>
                <w:u w:val="single"/>
                <w:lang w:val="en-US"/>
              </w:rPr>
              <w:t>10</w:t>
            </w:r>
            <w:r>
              <w:rPr>
                <w:rFonts w:hint="eastAsia"/>
                <w:color w:val="auto"/>
                <w:sz w:val="20"/>
              </w:rPr>
              <w:t>%签约合同价</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2"/>
              <w:keepNext w:val="0"/>
              <w:keepLines w:val="0"/>
              <w:suppressLineNumbers w:val="0"/>
              <w:spacing w:before="142" w:beforeAutospacing="0" w:after="0" w:afterAutospacing="0"/>
              <w:ind w:left="7" w:right="0"/>
              <w:jc w:val="center"/>
              <w:rPr>
                <w:rFonts w:hint="default"/>
                <w:color w:val="auto"/>
                <w:sz w:val="20"/>
              </w:rPr>
            </w:pPr>
            <w:r>
              <w:rPr>
                <w:rFonts w:hint="eastAsia"/>
                <w:color w:val="auto"/>
                <w:w w:val="99"/>
                <w:sz w:val="20"/>
              </w:rPr>
              <w:t>4</w:t>
            </w:r>
          </w:p>
        </w:tc>
        <w:tc>
          <w:tcPr>
            <w:tcW w:w="2835" w:type="dxa"/>
          </w:tcPr>
          <w:p>
            <w:pPr>
              <w:pStyle w:val="22"/>
              <w:keepNext w:val="0"/>
              <w:keepLines w:val="0"/>
              <w:suppressLineNumbers w:val="0"/>
              <w:spacing w:before="129" w:beforeAutospacing="0" w:after="0" w:afterAutospacing="0"/>
              <w:ind w:left="106" w:right="0"/>
              <w:rPr>
                <w:rFonts w:hint="default"/>
                <w:color w:val="auto"/>
                <w:sz w:val="20"/>
              </w:rPr>
            </w:pPr>
            <w:r>
              <w:rPr>
                <w:rFonts w:hint="eastAsia"/>
                <w:color w:val="auto"/>
                <w:sz w:val="20"/>
              </w:rPr>
              <w:t>开工预付款金额</w:t>
            </w:r>
          </w:p>
        </w:tc>
        <w:tc>
          <w:tcPr>
            <w:tcW w:w="1276" w:type="dxa"/>
          </w:tcPr>
          <w:p>
            <w:pPr>
              <w:pStyle w:val="22"/>
              <w:keepNext w:val="0"/>
              <w:keepLines w:val="0"/>
              <w:suppressLineNumbers w:val="0"/>
              <w:spacing w:before="142" w:beforeAutospacing="0" w:after="0" w:afterAutospacing="0"/>
              <w:ind w:left="116" w:right="108"/>
              <w:jc w:val="center"/>
              <w:rPr>
                <w:rFonts w:hint="default"/>
                <w:color w:val="auto"/>
                <w:sz w:val="20"/>
              </w:rPr>
            </w:pPr>
            <w:r>
              <w:rPr>
                <w:rFonts w:hint="eastAsia"/>
                <w:color w:val="auto"/>
                <w:sz w:val="20"/>
              </w:rPr>
              <w:t>5.6</w:t>
            </w:r>
          </w:p>
        </w:tc>
        <w:tc>
          <w:tcPr>
            <w:tcW w:w="3118" w:type="dxa"/>
          </w:tcPr>
          <w:p>
            <w:pPr>
              <w:pStyle w:val="22"/>
              <w:keepNext w:val="0"/>
              <w:keepLines w:val="0"/>
              <w:suppressLineNumbers w:val="0"/>
              <w:spacing w:before="73" w:beforeAutospacing="0" w:after="0" w:afterAutospacing="0" w:line="132" w:lineRule="exact"/>
              <w:ind w:left="379" w:right="0"/>
              <w:jc w:val="center"/>
              <w:rPr>
                <w:rFonts w:hint="default"/>
                <w:color w:val="auto"/>
                <w:sz w:val="14"/>
              </w:rPr>
            </w:pPr>
          </w:p>
          <w:p>
            <w:pPr>
              <w:pStyle w:val="22"/>
              <w:keepNext w:val="0"/>
              <w:keepLines w:val="0"/>
              <w:suppressLineNumbers w:val="0"/>
              <w:tabs>
                <w:tab w:val="left" w:pos="507"/>
              </w:tabs>
              <w:spacing w:before="0" w:beforeAutospacing="0" w:after="0" w:afterAutospacing="0" w:line="209" w:lineRule="exact"/>
              <w:ind w:left="0" w:right="0" w:firstLine="198" w:firstLineChars="100"/>
              <w:rPr>
                <w:rFonts w:hint="default"/>
                <w:color w:val="auto"/>
                <w:sz w:val="20"/>
              </w:rPr>
            </w:pPr>
            <w:r>
              <w:rPr>
                <w:rFonts w:hint="eastAsia"/>
                <w:color w:val="auto"/>
                <w:w w:val="99"/>
                <w:sz w:val="20"/>
                <w:u w:val="single"/>
              </w:rPr>
              <w:t xml:space="preserve"> </w:t>
            </w:r>
            <w:r>
              <w:rPr>
                <w:rFonts w:hint="eastAsia"/>
                <w:color w:val="auto"/>
                <w:w w:val="99"/>
                <w:sz w:val="20"/>
                <w:u w:val="single"/>
                <w:lang w:val="en-US" w:eastAsia="zh-CN"/>
              </w:rPr>
              <w:t>30</w:t>
            </w:r>
            <w:r>
              <w:rPr>
                <w:rFonts w:hint="eastAsia"/>
                <w:color w:val="auto"/>
                <w:sz w:val="20"/>
              </w:rPr>
              <w:t>%签约合同价</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7" w:type="dxa"/>
          </w:tcPr>
          <w:p>
            <w:pPr>
              <w:pStyle w:val="22"/>
              <w:keepNext w:val="0"/>
              <w:keepLines w:val="0"/>
              <w:suppressLineNumbers w:val="0"/>
              <w:spacing w:before="11"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7" w:right="0"/>
              <w:jc w:val="center"/>
              <w:rPr>
                <w:rFonts w:hint="default"/>
                <w:color w:val="auto"/>
                <w:sz w:val="20"/>
              </w:rPr>
            </w:pPr>
            <w:r>
              <w:rPr>
                <w:rFonts w:hint="eastAsia"/>
                <w:color w:val="auto"/>
                <w:w w:val="99"/>
                <w:sz w:val="20"/>
              </w:rPr>
              <w:t>5</w:t>
            </w:r>
          </w:p>
        </w:tc>
        <w:tc>
          <w:tcPr>
            <w:tcW w:w="2835" w:type="dxa"/>
          </w:tcPr>
          <w:p>
            <w:pPr>
              <w:pStyle w:val="22"/>
              <w:keepNext w:val="0"/>
              <w:keepLines w:val="0"/>
              <w:suppressLineNumbers w:val="0"/>
              <w:spacing w:before="10" w:beforeAutospacing="0" w:after="0" w:afterAutospacing="0"/>
              <w:ind w:left="0" w:right="0"/>
              <w:rPr>
                <w:rFonts w:hint="default"/>
                <w:color w:val="auto"/>
                <w:sz w:val="14"/>
              </w:rPr>
            </w:pPr>
          </w:p>
          <w:p>
            <w:pPr>
              <w:pStyle w:val="22"/>
              <w:keepNext w:val="0"/>
              <w:keepLines w:val="0"/>
              <w:suppressLineNumbers w:val="0"/>
              <w:spacing w:before="0" w:beforeAutospacing="0" w:after="0" w:afterAutospacing="0"/>
              <w:ind w:left="106" w:right="0"/>
              <w:rPr>
                <w:rFonts w:hint="default"/>
                <w:color w:val="auto"/>
                <w:sz w:val="20"/>
              </w:rPr>
            </w:pPr>
            <w:r>
              <w:rPr>
                <w:rFonts w:hint="eastAsia"/>
                <w:color w:val="auto"/>
                <w:sz w:val="20"/>
              </w:rPr>
              <w:t>材料预付款比例</w:t>
            </w:r>
          </w:p>
        </w:tc>
        <w:tc>
          <w:tcPr>
            <w:tcW w:w="1276" w:type="dxa"/>
          </w:tcPr>
          <w:p>
            <w:pPr>
              <w:pStyle w:val="22"/>
              <w:keepNext w:val="0"/>
              <w:keepLines w:val="0"/>
              <w:suppressLineNumbers w:val="0"/>
              <w:spacing w:before="11" w:beforeAutospacing="0" w:after="0" w:afterAutospacing="0"/>
              <w:ind w:left="0" w:right="0"/>
              <w:rPr>
                <w:rFonts w:hint="default"/>
                <w:color w:val="auto"/>
                <w:sz w:val="15"/>
              </w:rPr>
            </w:pPr>
          </w:p>
          <w:p>
            <w:pPr>
              <w:pStyle w:val="22"/>
              <w:keepNext w:val="0"/>
              <w:keepLines w:val="0"/>
              <w:suppressLineNumbers w:val="0"/>
              <w:spacing w:before="0" w:beforeAutospacing="0" w:after="0" w:afterAutospacing="0"/>
              <w:ind w:left="116" w:right="106"/>
              <w:jc w:val="center"/>
              <w:rPr>
                <w:rFonts w:hint="default"/>
                <w:color w:val="auto"/>
                <w:sz w:val="20"/>
              </w:rPr>
            </w:pPr>
            <w:r>
              <w:rPr>
                <w:rFonts w:hint="eastAsia"/>
                <w:color w:val="auto"/>
                <w:sz w:val="20"/>
              </w:rPr>
              <w:t>17.5</w:t>
            </w:r>
          </w:p>
        </w:tc>
        <w:tc>
          <w:tcPr>
            <w:tcW w:w="3118" w:type="dxa"/>
          </w:tcPr>
          <w:p>
            <w:pPr>
              <w:pStyle w:val="22"/>
              <w:keepNext w:val="0"/>
              <w:keepLines w:val="0"/>
              <w:suppressLineNumbers w:val="0"/>
              <w:spacing w:before="7" w:beforeAutospacing="0" w:after="0" w:afterAutospacing="0"/>
              <w:ind w:left="106" w:right="0"/>
              <w:rPr>
                <w:rFonts w:hint="default"/>
                <w:color w:val="auto"/>
                <w:sz w:val="20"/>
              </w:rPr>
            </w:pPr>
            <w:r>
              <w:rPr>
                <w:rFonts w:hint="eastAsia"/>
                <w:color w:val="auto"/>
                <w:sz w:val="20"/>
              </w:rPr>
              <w:t>沥青、水泥、钢筋等主要材料单据</w:t>
            </w:r>
          </w:p>
          <w:p>
            <w:pPr>
              <w:pStyle w:val="22"/>
              <w:keepNext w:val="0"/>
              <w:keepLines w:val="0"/>
              <w:suppressLineNumbers w:val="0"/>
              <w:spacing w:before="1" w:beforeAutospacing="0" w:after="0" w:afterAutospacing="0" w:line="130" w:lineRule="exact"/>
              <w:ind w:left="576" w:right="0"/>
              <w:jc w:val="center"/>
              <w:rPr>
                <w:rFonts w:hint="default"/>
                <w:color w:val="auto"/>
                <w:sz w:val="14"/>
              </w:rPr>
            </w:pPr>
          </w:p>
          <w:p>
            <w:pPr>
              <w:pStyle w:val="22"/>
              <w:keepNext w:val="0"/>
              <w:keepLines w:val="0"/>
              <w:suppressLineNumbers w:val="0"/>
              <w:tabs>
                <w:tab w:val="left" w:pos="1606"/>
              </w:tabs>
              <w:spacing w:before="0" w:beforeAutospacing="0" w:after="0" w:afterAutospacing="0" w:line="207" w:lineRule="exact"/>
              <w:ind w:left="106" w:right="0"/>
              <w:rPr>
                <w:rFonts w:hint="default"/>
                <w:color w:val="auto"/>
                <w:sz w:val="20"/>
              </w:rPr>
            </w:pPr>
            <w:r>
              <w:rPr>
                <w:rFonts w:hint="eastAsia"/>
                <w:color w:val="auto"/>
                <w:sz w:val="20"/>
              </w:rPr>
              <w:t>所列费用的</w:t>
            </w:r>
            <w:r>
              <w:rPr>
                <w:rFonts w:hint="eastAsia"/>
                <w:color w:val="auto"/>
                <w:sz w:val="20"/>
                <w:u w:val="single"/>
              </w:rPr>
              <w:t xml:space="preserve"> </w:t>
            </w:r>
            <w:r>
              <w:rPr>
                <w:rFonts w:hint="eastAsia"/>
                <w:color w:val="auto"/>
                <w:sz w:val="20"/>
                <w:u w:val="single"/>
                <w:lang w:val="en-US" w:eastAsia="zh-CN"/>
              </w:rPr>
              <w:t>/</w:t>
            </w:r>
            <w:r>
              <w:rPr>
                <w:rFonts w:hint="eastAsia"/>
                <w:color w:val="auto"/>
                <w:sz w:val="20"/>
                <w:u w:val="single"/>
                <w:lang w:val="en-US"/>
              </w:rPr>
              <w:t xml:space="preserve"> </w:t>
            </w:r>
            <w:r>
              <w:rPr>
                <w:rFonts w:hint="eastAsia"/>
                <w:color w:val="auto"/>
                <w:sz w:val="20"/>
              </w:rPr>
              <w:t>%</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17" w:type="dxa"/>
          </w:tcPr>
          <w:p>
            <w:pPr>
              <w:pStyle w:val="22"/>
              <w:keepNext w:val="0"/>
              <w:keepLines w:val="0"/>
              <w:suppressLineNumbers w:val="0"/>
              <w:spacing w:before="157" w:beforeAutospacing="0" w:after="0" w:afterAutospacing="0"/>
              <w:ind w:left="7" w:right="0"/>
              <w:jc w:val="center"/>
              <w:rPr>
                <w:rFonts w:hint="default"/>
                <w:color w:val="auto"/>
                <w:sz w:val="20"/>
              </w:rPr>
            </w:pPr>
            <w:r>
              <w:rPr>
                <w:rFonts w:hint="eastAsia"/>
                <w:color w:val="auto"/>
                <w:w w:val="99"/>
                <w:sz w:val="20"/>
              </w:rPr>
              <w:t>6</w:t>
            </w:r>
          </w:p>
        </w:tc>
        <w:tc>
          <w:tcPr>
            <w:tcW w:w="2835" w:type="dxa"/>
          </w:tcPr>
          <w:p>
            <w:pPr>
              <w:pStyle w:val="22"/>
              <w:keepNext w:val="0"/>
              <w:keepLines w:val="0"/>
              <w:suppressLineNumbers w:val="0"/>
              <w:spacing w:before="143" w:beforeAutospacing="0" w:after="0" w:afterAutospacing="0"/>
              <w:ind w:left="106" w:right="0"/>
              <w:rPr>
                <w:rFonts w:hint="default"/>
                <w:color w:val="auto"/>
                <w:sz w:val="20"/>
              </w:rPr>
            </w:pPr>
            <w:r>
              <w:rPr>
                <w:rFonts w:hint="eastAsia"/>
                <w:color w:val="auto"/>
                <w:sz w:val="20"/>
              </w:rPr>
              <w:t>逾期付款违约金的利率</w:t>
            </w:r>
          </w:p>
        </w:tc>
        <w:tc>
          <w:tcPr>
            <w:tcW w:w="1276" w:type="dxa"/>
          </w:tcPr>
          <w:p>
            <w:pPr>
              <w:pStyle w:val="22"/>
              <w:keepNext w:val="0"/>
              <w:keepLines w:val="0"/>
              <w:suppressLineNumbers w:val="0"/>
              <w:spacing w:before="157" w:beforeAutospacing="0" w:after="0" w:afterAutospacing="0"/>
              <w:ind w:left="116" w:right="106"/>
              <w:jc w:val="center"/>
              <w:rPr>
                <w:rFonts w:hint="default"/>
                <w:color w:val="auto"/>
                <w:sz w:val="20"/>
              </w:rPr>
            </w:pPr>
            <w:r>
              <w:rPr>
                <w:rFonts w:hint="eastAsia"/>
                <w:color w:val="auto"/>
                <w:sz w:val="20"/>
              </w:rPr>
              <w:t>18.3</w:t>
            </w:r>
          </w:p>
        </w:tc>
        <w:tc>
          <w:tcPr>
            <w:tcW w:w="3118" w:type="dxa"/>
          </w:tcPr>
          <w:p>
            <w:pPr>
              <w:pStyle w:val="22"/>
              <w:keepNext w:val="0"/>
              <w:keepLines w:val="0"/>
              <w:suppressLineNumbers w:val="0"/>
              <w:spacing w:before="14" w:beforeAutospacing="0" w:after="0" w:afterAutospacing="0"/>
              <w:ind w:left="106" w:right="0"/>
              <w:rPr>
                <w:rFonts w:hint="default"/>
                <w:color w:val="auto"/>
                <w:sz w:val="20"/>
              </w:rPr>
            </w:pPr>
            <w:r>
              <w:rPr>
                <w:rFonts w:hint="eastAsia"/>
                <w:color w:val="auto"/>
                <w:sz w:val="20"/>
              </w:rPr>
              <w:t>全国银行间同业拆借中心公布的</w:t>
            </w:r>
          </w:p>
          <w:p>
            <w:pPr>
              <w:pStyle w:val="22"/>
              <w:keepNext w:val="0"/>
              <w:keepLines w:val="0"/>
              <w:suppressLineNumbers w:val="0"/>
              <w:spacing w:before="3" w:beforeAutospacing="0" w:after="0" w:afterAutospacing="0" w:line="251" w:lineRule="exact"/>
              <w:ind w:left="106" w:right="0"/>
              <w:rPr>
                <w:rFonts w:hint="default"/>
                <w:color w:val="auto"/>
                <w:sz w:val="20"/>
              </w:rPr>
            </w:pPr>
            <w:r>
              <w:rPr>
                <w:rFonts w:hint="eastAsia"/>
                <w:color w:val="auto"/>
                <w:sz w:val="20"/>
              </w:rPr>
              <w:t>1 年期贷款市场报价利率</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817" w:type="dxa"/>
          </w:tcPr>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4" w:beforeAutospacing="0" w:after="0" w:afterAutospacing="0"/>
              <w:ind w:left="0" w:right="0"/>
              <w:rPr>
                <w:rFonts w:hint="default"/>
                <w:color w:val="auto"/>
                <w:sz w:val="17"/>
              </w:rPr>
            </w:pPr>
          </w:p>
          <w:p>
            <w:pPr>
              <w:pStyle w:val="22"/>
              <w:keepNext w:val="0"/>
              <w:keepLines w:val="0"/>
              <w:suppressLineNumbers w:val="0"/>
              <w:spacing w:before="0" w:beforeAutospacing="0" w:after="0" w:afterAutospacing="0"/>
              <w:ind w:left="7" w:right="0"/>
              <w:jc w:val="center"/>
              <w:rPr>
                <w:rFonts w:hint="default"/>
                <w:color w:val="auto"/>
                <w:sz w:val="20"/>
              </w:rPr>
            </w:pPr>
            <w:r>
              <w:rPr>
                <w:rFonts w:hint="eastAsia"/>
                <w:color w:val="auto"/>
                <w:w w:val="99"/>
                <w:sz w:val="20"/>
              </w:rPr>
              <w:t>7</w:t>
            </w:r>
          </w:p>
        </w:tc>
        <w:tc>
          <w:tcPr>
            <w:tcW w:w="2835" w:type="dxa"/>
          </w:tcPr>
          <w:p>
            <w:pPr>
              <w:pStyle w:val="22"/>
              <w:keepNext w:val="0"/>
              <w:keepLines w:val="0"/>
              <w:suppressLineNumbers w:val="0"/>
              <w:spacing w:before="0" w:beforeAutospacing="0" w:after="0" w:afterAutospacing="0"/>
              <w:ind w:left="0" w:right="0"/>
              <w:rPr>
                <w:rFonts w:hint="default"/>
                <w:color w:val="auto"/>
                <w:sz w:val="20"/>
              </w:rPr>
            </w:pPr>
          </w:p>
          <w:p>
            <w:pPr>
              <w:pStyle w:val="22"/>
              <w:keepNext w:val="0"/>
              <w:keepLines w:val="0"/>
              <w:suppressLineNumbers w:val="0"/>
              <w:spacing w:before="0" w:beforeAutospacing="0" w:after="0" w:afterAutospacing="0"/>
              <w:ind w:left="0" w:right="0"/>
              <w:rPr>
                <w:rFonts w:hint="default"/>
                <w:color w:val="auto"/>
                <w:sz w:val="20"/>
              </w:rPr>
            </w:pPr>
          </w:p>
          <w:p>
            <w:pPr>
              <w:pStyle w:val="22"/>
              <w:keepNext w:val="0"/>
              <w:keepLines w:val="0"/>
              <w:suppressLineNumbers w:val="0"/>
              <w:spacing w:before="4" w:beforeAutospacing="0" w:after="0" w:afterAutospacing="0"/>
              <w:ind w:left="0" w:right="0"/>
              <w:rPr>
                <w:rFonts w:hint="default"/>
                <w:color w:val="auto"/>
                <w:sz w:val="20"/>
              </w:rPr>
            </w:pPr>
          </w:p>
          <w:p>
            <w:pPr>
              <w:pStyle w:val="22"/>
              <w:keepNext w:val="0"/>
              <w:keepLines w:val="0"/>
              <w:suppressLineNumbers w:val="0"/>
              <w:spacing w:before="0" w:beforeAutospacing="0" w:after="0" w:afterAutospacing="0"/>
              <w:ind w:left="106" w:right="0"/>
              <w:rPr>
                <w:rFonts w:hint="default"/>
                <w:color w:val="auto"/>
                <w:sz w:val="20"/>
              </w:rPr>
            </w:pPr>
            <w:r>
              <w:rPr>
                <w:rFonts w:hint="eastAsia"/>
                <w:color w:val="auto"/>
                <w:sz w:val="20"/>
              </w:rPr>
              <w:t>质量保证金金额</w:t>
            </w:r>
          </w:p>
        </w:tc>
        <w:tc>
          <w:tcPr>
            <w:tcW w:w="1276" w:type="dxa"/>
          </w:tcPr>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0" w:beforeAutospacing="0" w:after="0" w:afterAutospacing="0"/>
              <w:ind w:left="0" w:right="0"/>
              <w:rPr>
                <w:rFonts w:hint="default"/>
                <w:color w:val="auto"/>
              </w:rPr>
            </w:pPr>
          </w:p>
          <w:p>
            <w:pPr>
              <w:pStyle w:val="22"/>
              <w:keepNext w:val="0"/>
              <w:keepLines w:val="0"/>
              <w:suppressLineNumbers w:val="0"/>
              <w:spacing w:before="4" w:beforeAutospacing="0" w:after="0" w:afterAutospacing="0"/>
              <w:ind w:left="0" w:right="0"/>
              <w:rPr>
                <w:rFonts w:hint="default"/>
                <w:color w:val="auto"/>
                <w:sz w:val="17"/>
              </w:rPr>
            </w:pPr>
          </w:p>
          <w:p>
            <w:pPr>
              <w:pStyle w:val="22"/>
              <w:keepNext w:val="0"/>
              <w:keepLines w:val="0"/>
              <w:suppressLineNumbers w:val="0"/>
              <w:spacing w:before="0" w:beforeAutospacing="0" w:after="0" w:afterAutospacing="0"/>
              <w:ind w:left="116" w:right="106"/>
              <w:jc w:val="center"/>
              <w:rPr>
                <w:rFonts w:hint="default"/>
                <w:color w:val="auto"/>
                <w:sz w:val="20"/>
              </w:rPr>
            </w:pPr>
            <w:r>
              <w:rPr>
                <w:rFonts w:hint="eastAsia"/>
                <w:color w:val="auto"/>
                <w:sz w:val="20"/>
              </w:rPr>
              <w:t>18.7</w:t>
            </w:r>
          </w:p>
        </w:tc>
        <w:tc>
          <w:tcPr>
            <w:tcW w:w="3118" w:type="dxa"/>
          </w:tcPr>
          <w:p>
            <w:pPr>
              <w:pStyle w:val="22"/>
              <w:keepNext w:val="0"/>
              <w:keepLines w:val="0"/>
              <w:suppressLineNumbers w:val="0"/>
              <w:spacing w:before="0" w:beforeAutospacing="0" w:after="0" w:afterAutospacing="0" w:line="132" w:lineRule="exact"/>
              <w:ind w:left="673" w:right="0"/>
              <w:rPr>
                <w:rFonts w:hint="default"/>
                <w:color w:val="auto"/>
                <w:sz w:val="14"/>
              </w:rPr>
            </w:pPr>
          </w:p>
          <w:p>
            <w:pPr>
              <w:pStyle w:val="22"/>
              <w:keepNext w:val="0"/>
              <w:keepLines w:val="0"/>
              <w:suppressLineNumbers w:val="0"/>
              <w:tabs>
                <w:tab w:val="left" w:pos="507"/>
              </w:tabs>
              <w:spacing w:before="0" w:beforeAutospacing="0" w:after="0" w:afterAutospacing="0" w:line="209" w:lineRule="exact"/>
              <w:ind w:left="106" w:right="0"/>
              <w:rPr>
                <w:rFonts w:hint="default"/>
                <w:color w:val="auto"/>
                <w:sz w:val="20"/>
              </w:rPr>
            </w:pPr>
            <w:r>
              <w:rPr>
                <w:rFonts w:hint="eastAsia"/>
                <w:color w:val="auto"/>
                <w:w w:val="99"/>
                <w:sz w:val="20"/>
                <w:u w:val="single"/>
              </w:rPr>
              <w:t xml:space="preserve"> </w:t>
            </w:r>
            <w:r>
              <w:rPr>
                <w:rFonts w:hint="eastAsia"/>
                <w:color w:val="auto"/>
                <w:sz w:val="20"/>
                <w:u w:val="single"/>
                <w:lang w:val="en-US"/>
              </w:rPr>
              <w:t>3</w:t>
            </w:r>
            <w:r>
              <w:rPr>
                <w:rFonts w:hint="eastAsia"/>
                <w:color w:val="auto"/>
                <w:spacing w:val="18"/>
                <w:sz w:val="20"/>
                <w:u w:val="single"/>
              </w:rPr>
              <w:t xml:space="preserve">% </w:t>
            </w:r>
            <w:r>
              <w:rPr>
                <w:rFonts w:hint="eastAsia"/>
                <w:color w:val="auto"/>
                <w:spacing w:val="-1"/>
                <w:sz w:val="20"/>
              </w:rPr>
              <w:t>合同价格，若交工验收时</w:t>
            </w:r>
          </w:p>
          <w:p>
            <w:pPr>
              <w:pStyle w:val="22"/>
              <w:keepNext w:val="0"/>
              <w:keepLines w:val="0"/>
              <w:suppressLineNumbers w:val="0"/>
              <w:tabs>
                <w:tab w:val="left" w:pos="1306"/>
              </w:tabs>
              <w:spacing w:before="24" w:beforeAutospacing="0" w:after="0" w:afterAutospacing="0" w:line="242" w:lineRule="auto"/>
              <w:ind w:left="106" w:right="109"/>
              <w:rPr>
                <w:rFonts w:hint="default"/>
                <w:color w:val="auto"/>
                <w:sz w:val="20"/>
              </w:rPr>
            </w:pPr>
            <w:r>
              <w:rPr>
                <w:rFonts w:hint="eastAsia"/>
                <w:color w:val="auto"/>
                <w:sz w:val="20"/>
              </w:rPr>
              <w:t>承包人具备</w:t>
            </w:r>
            <w:r>
              <w:rPr>
                <w:rFonts w:hint="eastAsia"/>
                <w:color w:val="auto"/>
                <w:sz w:val="21"/>
              </w:rPr>
              <w:t>交通运输厅农村公</w:t>
            </w:r>
            <w:r>
              <w:rPr>
                <w:rFonts w:hint="eastAsia"/>
                <w:color w:val="auto"/>
                <w:spacing w:val="-11"/>
                <w:sz w:val="21"/>
              </w:rPr>
              <w:t>路</w:t>
            </w:r>
            <w:r>
              <w:rPr>
                <w:rFonts w:hint="eastAsia"/>
                <w:color w:val="auto"/>
                <w:sz w:val="21"/>
              </w:rPr>
              <w:t>建设从业单位信用信息评价体系</w:t>
            </w:r>
            <w:r>
              <w:rPr>
                <w:rFonts w:hint="eastAsia"/>
                <w:color w:val="auto"/>
                <w:sz w:val="20"/>
              </w:rPr>
              <w:t>评定的最高信用等级，发包人可以给予</w:t>
            </w:r>
            <w:r>
              <w:rPr>
                <w:rFonts w:hint="eastAsia"/>
                <w:color w:val="auto"/>
                <w:sz w:val="20"/>
                <w:u w:val="single"/>
              </w:rPr>
              <w:t xml:space="preserve"> </w:t>
            </w:r>
            <w:r>
              <w:rPr>
                <w:rFonts w:hint="eastAsia"/>
                <w:color w:val="auto"/>
                <w:sz w:val="20"/>
                <w:u w:val="single"/>
                <w:lang w:val="en-US"/>
              </w:rPr>
              <w:t xml:space="preserve">/ </w:t>
            </w:r>
            <w:r>
              <w:rPr>
                <w:rFonts w:hint="eastAsia"/>
                <w:color w:val="auto"/>
                <w:sz w:val="20"/>
              </w:rPr>
              <w:t>%合同价格质量保</w:t>
            </w:r>
          </w:p>
          <w:p>
            <w:pPr>
              <w:pStyle w:val="22"/>
              <w:keepNext w:val="0"/>
              <w:keepLines w:val="0"/>
              <w:suppressLineNumbers w:val="0"/>
              <w:spacing w:before="1" w:beforeAutospacing="0" w:after="0" w:afterAutospacing="0" w:line="130" w:lineRule="exact"/>
              <w:ind w:left="0" w:right="751"/>
              <w:jc w:val="center"/>
              <w:rPr>
                <w:rFonts w:hint="default"/>
                <w:color w:val="auto"/>
                <w:sz w:val="14"/>
              </w:rPr>
            </w:pPr>
          </w:p>
          <w:p>
            <w:pPr>
              <w:pStyle w:val="22"/>
              <w:keepNext w:val="0"/>
              <w:keepLines w:val="0"/>
              <w:suppressLineNumbers w:val="0"/>
              <w:spacing w:before="0" w:beforeAutospacing="0" w:after="0" w:afterAutospacing="0" w:line="207" w:lineRule="exact"/>
              <w:ind w:left="106" w:right="0"/>
              <w:rPr>
                <w:rFonts w:hint="default"/>
                <w:color w:val="auto"/>
                <w:sz w:val="20"/>
              </w:rPr>
            </w:pPr>
            <w:r>
              <w:rPr>
                <w:rFonts w:hint="eastAsia"/>
                <w:color w:val="auto"/>
                <w:sz w:val="20"/>
              </w:rPr>
              <w:t>证金的优惠 。</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7" w:type="dxa"/>
          </w:tcPr>
          <w:p>
            <w:pPr>
              <w:pStyle w:val="22"/>
              <w:keepNext w:val="0"/>
              <w:keepLines w:val="0"/>
              <w:suppressLineNumbers w:val="0"/>
              <w:spacing w:before="163" w:beforeAutospacing="0" w:after="0" w:afterAutospacing="0"/>
              <w:ind w:left="7" w:right="0"/>
              <w:jc w:val="center"/>
              <w:rPr>
                <w:rFonts w:hint="default"/>
                <w:color w:val="auto"/>
                <w:sz w:val="20"/>
              </w:rPr>
            </w:pPr>
            <w:r>
              <w:rPr>
                <w:rFonts w:hint="eastAsia"/>
                <w:color w:val="auto"/>
                <w:w w:val="99"/>
                <w:sz w:val="20"/>
              </w:rPr>
              <w:t>8</w:t>
            </w:r>
          </w:p>
        </w:tc>
        <w:tc>
          <w:tcPr>
            <w:tcW w:w="2835" w:type="dxa"/>
          </w:tcPr>
          <w:p>
            <w:pPr>
              <w:pStyle w:val="22"/>
              <w:keepNext w:val="0"/>
              <w:keepLines w:val="0"/>
              <w:suppressLineNumbers w:val="0"/>
              <w:spacing w:before="150" w:beforeAutospacing="0" w:after="0" w:afterAutospacing="0"/>
              <w:ind w:left="106" w:right="0"/>
              <w:rPr>
                <w:rFonts w:hint="default"/>
                <w:color w:val="auto"/>
                <w:sz w:val="20"/>
              </w:rPr>
            </w:pPr>
            <w:r>
              <w:rPr>
                <w:rFonts w:hint="eastAsia"/>
                <w:color w:val="auto"/>
                <w:sz w:val="20"/>
              </w:rPr>
              <w:t>保修期</w:t>
            </w:r>
          </w:p>
        </w:tc>
        <w:tc>
          <w:tcPr>
            <w:tcW w:w="1276" w:type="dxa"/>
          </w:tcPr>
          <w:p>
            <w:pPr>
              <w:pStyle w:val="22"/>
              <w:keepNext w:val="0"/>
              <w:keepLines w:val="0"/>
              <w:suppressLineNumbers w:val="0"/>
              <w:spacing w:before="163" w:beforeAutospacing="0" w:after="0" w:afterAutospacing="0"/>
              <w:ind w:left="116" w:right="106"/>
              <w:jc w:val="center"/>
              <w:rPr>
                <w:rFonts w:hint="default"/>
                <w:color w:val="auto"/>
                <w:sz w:val="20"/>
              </w:rPr>
            </w:pPr>
            <w:r>
              <w:rPr>
                <w:rFonts w:hint="eastAsia"/>
                <w:color w:val="auto"/>
                <w:sz w:val="20"/>
              </w:rPr>
              <w:t>21.5</w:t>
            </w:r>
          </w:p>
        </w:tc>
        <w:tc>
          <w:tcPr>
            <w:tcW w:w="3118" w:type="dxa"/>
          </w:tcPr>
          <w:p>
            <w:pPr>
              <w:pStyle w:val="22"/>
              <w:keepNext w:val="0"/>
              <w:keepLines w:val="0"/>
              <w:suppressLineNumbers w:val="0"/>
              <w:spacing w:before="95" w:beforeAutospacing="0" w:after="0" w:afterAutospacing="0" w:line="132" w:lineRule="exact"/>
              <w:ind w:left="0" w:right="258"/>
              <w:jc w:val="right"/>
              <w:rPr>
                <w:rFonts w:hint="default"/>
                <w:color w:val="auto"/>
                <w:sz w:val="14"/>
              </w:rPr>
            </w:pPr>
          </w:p>
          <w:p>
            <w:pPr>
              <w:pStyle w:val="22"/>
              <w:keepNext w:val="0"/>
              <w:keepLines w:val="0"/>
              <w:suppressLineNumbers w:val="0"/>
              <w:tabs>
                <w:tab w:val="left" w:pos="2506"/>
              </w:tabs>
              <w:spacing w:before="0" w:beforeAutospacing="0" w:after="0" w:afterAutospacing="0" w:line="209" w:lineRule="exact"/>
              <w:ind w:left="106" w:right="0"/>
              <w:rPr>
                <w:rFonts w:hint="default"/>
                <w:color w:val="auto"/>
                <w:sz w:val="20"/>
              </w:rPr>
            </w:pPr>
            <w:r>
              <w:rPr>
                <w:rFonts w:hint="eastAsia"/>
                <w:color w:val="auto"/>
                <w:sz w:val="20"/>
              </w:rPr>
              <w:t>自实际交工日期起计算</w:t>
            </w:r>
            <w:r>
              <w:rPr>
                <w:rFonts w:hint="eastAsia"/>
                <w:color w:val="auto"/>
                <w:sz w:val="20"/>
                <w:u w:val="single"/>
              </w:rPr>
              <w:t xml:space="preserve"> </w:t>
            </w:r>
            <w:r>
              <w:rPr>
                <w:rFonts w:hint="eastAsia"/>
                <w:color w:val="auto"/>
                <w:sz w:val="20"/>
                <w:u w:val="single"/>
                <w:lang w:val="en-US"/>
              </w:rPr>
              <w:t xml:space="preserve">1 </w:t>
            </w:r>
            <w:r>
              <w:rPr>
                <w:rFonts w:hint="eastAsia"/>
                <w:color w:val="auto"/>
                <w:sz w:val="20"/>
              </w:rPr>
              <w:t>年</w:t>
            </w:r>
          </w:p>
        </w:tc>
        <w:tc>
          <w:tcPr>
            <w:tcW w:w="993" w:type="dxa"/>
          </w:tcPr>
          <w:p>
            <w:pPr>
              <w:pStyle w:val="22"/>
              <w:keepNext w:val="0"/>
              <w:keepLines w:val="0"/>
              <w:suppressLineNumbers w:val="0"/>
              <w:spacing w:before="0" w:beforeAutospacing="0" w:after="0" w:afterAutospacing="0"/>
              <w:ind w:left="0" w:right="0"/>
              <w:rPr>
                <w:rFonts w:hint="default"/>
                <w:color w:val="auto"/>
                <w:sz w:val="18"/>
              </w:rPr>
            </w:pPr>
          </w:p>
        </w:tc>
      </w:tr>
    </w:tbl>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29"/>
        </w:rPr>
      </w:pPr>
    </w:p>
    <w:p>
      <w:pPr>
        <w:pStyle w:val="12"/>
        <w:rPr>
          <w:sz w:val="29"/>
        </w:rPr>
      </w:pPr>
    </w:p>
    <w:p>
      <w:pPr>
        <w:rPr>
          <w:sz w:val="29"/>
        </w:rPr>
      </w:pPr>
    </w:p>
    <w:p>
      <w:pPr>
        <w:pStyle w:val="18"/>
        <w:ind w:firstLine="580"/>
        <w:rPr>
          <w:sz w:val="29"/>
        </w:rPr>
      </w:pPr>
    </w:p>
    <w:p>
      <w:pPr>
        <w:pStyle w:val="18"/>
        <w:ind w:firstLine="580"/>
        <w:rPr>
          <w:sz w:val="29"/>
        </w:rPr>
      </w:pPr>
    </w:p>
    <w:p>
      <w:pPr>
        <w:pStyle w:val="11"/>
        <w:spacing w:before="8"/>
        <w:rPr>
          <w:sz w:val="5"/>
        </w:rPr>
      </w:pPr>
    </w:p>
    <w:p>
      <w:pPr>
        <w:pStyle w:val="10"/>
        <w:spacing w:before="130"/>
        <w:ind w:right="369"/>
      </w:pPr>
      <w:bookmarkStart w:id="90" w:name="_TOC_250013"/>
      <w:bookmarkEnd w:id="90"/>
      <w:r>
        <w:rPr>
          <w:rFonts w:hint="eastAsia"/>
        </w:rPr>
        <w:t>二、授权委托书或法定代表人身份证明</w:t>
      </w:r>
    </w:p>
    <w:p>
      <w:pPr>
        <w:pStyle w:val="11"/>
        <w:spacing w:before="3"/>
        <w:rPr>
          <w:sz w:val="29"/>
        </w:rPr>
      </w:pPr>
    </w:p>
    <w:p>
      <w:pPr>
        <w:ind w:left="3488"/>
        <w:rPr>
          <w:sz w:val="14"/>
        </w:rPr>
      </w:pPr>
      <w:bookmarkStart w:id="91" w:name="_TOC_250012"/>
      <w:r>
        <w:rPr>
          <w:rFonts w:hint="eastAsia"/>
          <w:sz w:val="28"/>
        </w:rPr>
        <w:t>（一）授权委托书</w:t>
      </w:r>
      <w:bookmarkEnd w:id="91"/>
    </w:p>
    <w:p>
      <w:pPr>
        <w:pStyle w:val="11"/>
        <w:rPr>
          <w:sz w:val="30"/>
        </w:rPr>
      </w:pPr>
    </w:p>
    <w:p>
      <w:pPr>
        <w:pStyle w:val="11"/>
        <w:spacing w:before="6"/>
        <w:rPr>
          <w:sz w:val="31"/>
        </w:rPr>
      </w:pPr>
    </w:p>
    <w:p>
      <w:pPr>
        <w:pStyle w:val="11"/>
        <w:tabs>
          <w:tab w:val="left" w:pos="2028"/>
          <w:tab w:val="left" w:pos="3223"/>
          <w:tab w:val="left" w:pos="5983"/>
          <w:tab w:val="left" w:pos="8419"/>
        </w:tabs>
        <w:spacing w:line="343" w:lineRule="auto"/>
        <w:ind w:left="224" w:right="507" w:firstLine="480"/>
        <w:jc w:val="both"/>
      </w:pPr>
      <w:r>
        <w:rPr>
          <w:rFonts w:hint="eastAsia"/>
        </w:rPr>
        <w:t>本人</w:t>
      </w:r>
      <w:r>
        <w:rPr>
          <w:rFonts w:hint="eastAsia"/>
          <w:u w:val="single"/>
        </w:rPr>
        <w:t xml:space="preserve"> </w:t>
      </w:r>
      <w:r>
        <w:rPr>
          <w:rFonts w:hint="eastAsia"/>
          <w:u w:val="single"/>
        </w:rPr>
        <w:tab/>
      </w:r>
      <w:r>
        <w:rPr>
          <w:rFonts w:hint="eastAsia"/>
          <w:spacing w:val="-3"/>
          <w:u w:val="single"/>
        </w:rPr>
        <w:t>（</w:t>
      </w:r>
      <w:r>
        <w:rPr>
          <w:rFonts w:hint="eastAsia"/>
        </w:rPr>
        <w:t>姓名</w:t>
      </w:r>
      <w:r>
        <w:rPr>
          <w:rFonts w:hint="eastAsia"/>
          <w:spacing w:val="-116"/>
          <w:u w:val="none"/>
        </w:rPr>
        <w:t>）</w:t>
      </w:r>
      <w:r>
        <w:rPr>
          <w:rFonts w:hint="eastAsia"/>
          <w:spacing w:val="-116"/>
          <w:u w:val="none"/>
          <w:lang w:val="en-US" w:eastAsia="zh-CN"/>
        </w:rPr>
        <w:t xml:space="preserve">       </w:t>
      </w:r>
      <w:r>
        <w:rPr>
          <w:rFonts w:hint="eastAsia"/>
          <w:u w:val="none"/>
        </w:rPr>
        <w:t xml:space="preserve"> </w:t>
      </w:r>
      <w:r>
        <w:rPr>
          <w:rFonts w:hint="eastAsia"/>
          <w:u w:val="none"/>
          <w:lang w:val="en-US" w:eastAsia="zh-CN"/>
        </w:rPr>
        <w:t>系</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pacing w:val="2"/>
          <w:u w:val="single"/>
        </w:rPr>
        <w:t xml:space="preserve"> </w:t>
      </w:r>
      <w:r>
        <w:rPr>
          <w:rFonts w:hint="eastAsia"/>
          <w:u w:val="single"/>
        </w:rPr>
        <w:t>（</w:t>
      </w:r>
      <w:r>
        <w:rPr>
          <w:rFonts w:hint="eastAsia"/>
        </w:rPr>
        <w:t>投标人名称</w:t>
      </w:r>
      <w:r>
        <w:rPr>
          <w:rFonts w:hint="eastAsia"/>
          <w:spacing w:val="-118"/>
        </w:rPr>
        <w:t>）</w:t>
      </w:r>
      <w:r>
        <w:rPr>
          <w:rFonts w:hint="eastAsia"/>
        </w:rPr>
        <w:t>的法定代表人</w:t>
      </w:r>
      <w:r>
        <w:rPr>
          <w:rFonts w:hint="eastAsia"/>
          <w:spacing w:val="-116"/>
        </w:rPr>
        <w:t>，</w:t>
      </w:r>
      <w:r>
        <w:rPr>
          <w:rFonts w:hint="eastAsia"/>
        </w:rPr>
        <w:t>现委托</w:t>
      </w:r>
      <w:r>
        <w:rPr>
          <w:rFonts w:hint="eastAsia"/>
          <w:u w:val="single"/>
        </w:rPr>
        <w:t xml:space="preserve"> </w:t>
      </w:r>
      <w:r>
        <w:rPr>
          <w:rFonts w:hint="eastAsia"/>
          <w:u w:val="single"/>
        </w:rPr>
        <w:tab/>
      </w:r>
      <w:r>
        <w:rPr>
          <w:rFonts w:hint="eastAsia"/>
          <w:spacing w:val="-3"/>
          <w:u w:val="single"/>
        </w:rPr>
        <w:t>（</w:t>
      </w:r>
      <w:r>
        <w:rPr>
          <w:rFonts w:hint="eastAsia"/>
          <w:spacing w:val="-16"/>
        </w:rPr>
        <w:t>姓</w:t>
      </w:r>
      <w:r>
        <w:rPr>
          <w:rFonts w:hint="eastAsia"/>
        </w:rPr>
        <w:t>名）为我方代理人。代理人根据授权，以我方名义签署、澄清确认、递交、撤回、修改</w:t>
      </w:r>
      <w:r>
        <w:rPr>
          <w:rFonts w:hint="eastAsia"/>
          <w:u w:val="single"/>
        </w:rPr>
        <w:t xml:space="preserve"> </w:t>
      </w:r>
      <w:r>
        <w:rPr>
          <w:rFonts w:hint="eastAsia"/>
          <w:u w:val="single"/>
        </w:rPr>
        <w:tab/>
      </w:r>
      <w:r>
        <w:rPr>
          <w:rFonts w:hint="eastAsia"/>
          <w:u w:val="single"/>
        </w:rPr>
        <w:tab/>
      </w:r>
      <w:r>
        <w:rPr>
          <w:rFonts w:hint="eastAsia"/>
        </w:rPr>
        <w:t>（项目名称）施工投标响应文件、签订合同和处理有关事宜，其法律后果由我方承担。</w:t>
      </w:r>
    </w:p>
    <w:p>
      <w:pPr>
        <w:pStyle w:val="11"/>
        <w:spacing w:before="3" w:line="343" w:lineRule="auto"/>
        <w:ind w:left="704" w:right="2861" w:firstLine="79"/>
      </w:pPr>
      <w:r>
        <w:rPr>
          <w:rFonts w:hint="eastAsia"/>
        </w:rPr>
        <w:t>委托期限：自本委托书签署之日起至投标有效期期满。代理人无转委托权。</w:t>
      </w:r>
    </w:p>
    <w:p>
      <w:pPr>
        <w:pStyle w:val="11"/>
      </w:pPr>
    </w:p>
    <w:p>
      <w:pPr>
        <w:spacing w:before="173"/>
        <w:ind w:left="389"/>
        <w:rPr>
          <w:sz w:val="24"/>
          <w:szCs w:val="24"/>
        </w:rPr>
      </w:pPr>
      <w:r>
        <w:rPr>
          <w:rFonts w:hint="eastAsia"/>
          <w:sz w:val="24"/>
          <w:szCs w:val="24"/>
        </w:rPr>
        <w:t>附：法定代表人身份证及委托代理人身份证。</w:t>
      </w:r>
    </w:p>
    <w:p>
      <w:pPr>
        <w:pStyle w:val="11"/>
        <w:rPr>
          <w:sz w:val="20"/>
        </w:rPr>
      </w:pPr>
    </w:p>
    <w:p>
      <w:pPr>
        <w:pStyle w:val="11"/>
        <w:spacing w:before="9"/>
        <w:rPr>
          <w:sz w:val="23"/>
        </w:rPr>
      </w:pPr>
    </w:p>
    <w:p>
      <w:pPr>
        <w:pStyle w:val="11"/>
        <w:tabs>
          <w:tab w:val="left" w:pos="7114"/>
          <w:tab w:val="left" w:pos="7714"/>
          <w:tab w:val="left" w:pos="8373"/>
        </w:tabs>
        <w:spacing w:line="624" w:lineRule="auto"/>
        <w:ind w:left="3514" w:right="730"/>
      </w:pPr>
      <w:r>
        <w:rPr>
          <w:rFonts w:ascii="SCOJMQ+ËÎÌå" w:hAnsi="SCOJMQ+ËÎÌå" w:cs="SCOJMQ+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 法定代表人：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r>
        <w:rPr>
          <w:rFonts w:hint="eastAsia"/>
          <w:u w:val="single"/>
        </w:rPr>
        <w:tab/>
      </w:r>
    </w:p>
    <w:p>
      <w:pPr>
        <w:pStyle w:val="11"/>
        <w:tabs>
          <w:tab w:val="left" w:pos="7834"/>
          <w:tab w:val="left" w:pos="8493"/>
        </w:tabs>
        <w:spacing w:before="2" w:line="624" w:lineRule="auto"/>
        <w:ind w:left="3514" w:right="610"/>
      </w:pPr>
      <w:r>
        <w:rPr>
          <w:rFonts w:hint="eastAsia"/>
        </w:rPr>
        <w:t>委托代理人：</w:t>
      </w:r>
      <w:r>
        <w:rPr>
          <w:rFonts w:hint="eastAsia"/>
          <w:u w:val="single"/>
        </w:rPr>
        <w:t xml:space="preserve"> </w:t>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p>
    <w:p>
      <w:pPr>
        <w:pStyle w:val="11"/>
        <w:tabs>
          <w:tab w:val="left" w:pos="5662"/>
          <w:tab w:val="left" w:pos="6982"/>
          <w:tab w:val="left" w:pos="8121"/>
        </w:tabs>
        <w:spacing w:before="2"/>
        <w:ind w:left="482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6"/>
        </w:rPr>
      </w:pPr>
    </w:p>
    <w:p>
      <w:pPr>
        <w:pStyle w:val="11"/>
        <w:spacing w:before="7"/>
        <w:rPr>
          <w:sz w:val="19"/>
        </w:rPr>
      </w:pPr>
    </w:p>
    <w:p>
      <w:pPr>
        <w:spacing w:line="372" w:lineRule="auto"/>
        <w:ind w:left="224" w:right="582" w:firstLine="400"/>
        <w:rPr>
          <w:w w:val="95"/>
          <w:sz w:val="20"/>
        </w:rPr>
      </w:pPr>
      <w:r>
        <w:rPr>
          <w:rFonts w:hint="eastAsia"/>
          <w:w w:val="95"/>
          <w:sz w:val="20"/>
        </w:rPr>
        <w:t>注：法定代表人和委托代理人必须在授权委托书上签名</w:t>
      </w:r>
      <w:r>
        <w:rPr>
          <w:rFonts w:hint="eastAsia"/>
          <w:sz w:val="20"/>
        </w:rPr>
        <w:t>。</w:t>
      </w:r>
      <w:r>
        <w:rPr>
          <w:rFonts w:hint="eastAsia"/>
          <w:w w:val="95"/>
          <w:sz w:val="20"/>
        </w:rPr>
        <w:t>如果由投标人的法定代表人签署投标响应文件，则无须提交授权委托书。</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2"/>
        <w:rPr>
          <w:sz w:val="17"/>
        </w:rPr>
      </w:pPr>
    </w:p>
    <w:p>
      <w:pPr>
        <w:spacing w:before="88"/>
        <w:rPr>
          <w:sz w:val="18"/>
        </w:rPr>
        <w:sectPr>
          <w:footerReference r:id="rId23" w:type="default"/>
          <w:pgSz w:w="11910" w:h="16840"/>
          <w:pgMar w:top="1440" w:right="1080" w:bottom="1040" w:left="1420" w:header="882" w:footer="847" w:gutter="0"/>
          <w:cols w:space="720" w:num="1"/>
        </w:sectPr>
      </w:pPr>
    </w:p>
    <w:p>
      <w:pPr>
        <w:spacing w:before="61"/>
        <w:ind w:right="138"/>
        <w:jc w:val="center"/>
        <w:rPr>
          <w:sz w:val="28"/>
        </w:rPr>
      </w:pPr>
      <w:bookmarkStart w:id="92" w:name="_TOC_250011"/>
      <w:bookmarkEnd w:id="92"/>
    </w:p>
    <w:p>
      <w:pPr>
        <w:spacing w:before="61"/>
        <w:ind w:right="138"/>
        <w:jc w:val="center"/>
        <w:rPr>
          <w:sz w:val="28"/>
        </w:rPr>
      </w:pPr>
      <w:r>
        <w:rPr>
          <w:rFonts w:hint="eastAsia"/>
          <w:sz w:val="28"/>
        </w:rPr>
        <w:t>（二）法定代表人身份证明</w:t>
      </w:r>
    </w:p>
    <w:p>
      <w:pPr>
        <w:pStyle w:val="11"/>
        <w:rPr>
          <w:sz w:val="28"/>
        </w:rPr>
      </w:pPr>
    </w:p>
    <w:p>
      <w:pPr>
        <w:pStyle w:val="11"/>
        <w:spacing w:before="9"/>
        <w:rPr>
          <w:sz w:val="33"/>
        </w:rPr>
      </w:pPr>
    </w:p>
    <w:p>
      <w:pPr>
        <w:pStyle w:val="11"/>
        <w:tabs>
          <w:tab w:val="left" w:pos="5282"/>
        </w:tabs>
        <w:ind w:left="423"/>
      </w:pPr>
      <w:r>
        <w:rPr>
          <w:rFonts w:hint="eastAsia"/>
          <w:spacing w:val="-1"/>
        </w:rPr>
        <w:t>投</w:t>
      </w:r>
      <w:r>
        <w:rPr>
          <w:rFonts w:hint="eastAsia"/>
        </w:rPr>
        <w:t>标人名称：</w:t>
      </w:r>
      <w:r>
        <w:rPr>
          <w:rFonts w:hint="eastAsia"/>
          <w:u w:val="single"/>
        </w:rPr>
        <w:t xml:space="preserve"> </w:t>
      </w:r>
      <w:r>
        <w:rPr>
          <w:rFonts w:hint="eastAsia"/>
          <w:u w:val="single"/>
        </w:rPr>
        <w:tab/>
      </w:r>
    </w:p>
    <w:p>
      <w:pPr>
        <w:pStyle w:val="11"/>
        <w:tabs>
          <w:tab w:val="left" w:pos="4202"/>
          <w:tab w:val="left" w:pos="5642"/>
          <w:tab w:val="left" w:pos="7383"/>
          <w:tab w:val="left" w:pos="8959"/>
        </w:tabs>
        <w:spacing w:before="131" w:line="345" w:lineRule="auto"/>
        <w:ind w:left="423" w:right="445"/>
      </w:pPr>
      <w:r>
        <w:rPr>
          <w:rFonts w:hint="eastAsia"/>
        </w:rPr>
        <w:t>姓名：</w:t>
      </w:r>
      <w:r>
        <w:rPr>
          <w:rFonts w:hint="eastAsia"/>
          <w:spacing w:val="119"/>
          <w:u w:val="single"/>
        </w:rPr>
        <w:t xml:space="preserve"> </w:t>
      </w:r>
      <w:r>
        <w:rPr>
          <w:rFonts w:hint="eastAsia"/>
          <w:u w:val="single"/>
        </w:rPr>
        <w:t>（法定代表人亲笔签字）</w:t>
      </w:r>
      <w:r>
        <w:rPr>
          <w:rFonts w:hint="eastAsia"/>
          <w:spacing w:val="118"/>
        </w:rPr>
        <w:t xml:space="preserve"> </w:t>
      </w:r>
      <w:r>
        <w:rPr>
          <w:rFonts w:hint="eastAsia"/>
        </w:rPr>
        <w:t>性别：</w:t>
      </w:r>
      <w:r>
        <w:rPr>
          <w:rFonts w:hint="eastAsia"/>
          <w:u w:val="single"/>
        </w:rPr>
        <w:t xml:space="preserve"> </w:t>
      </w:r>
      <w:r>
        <w:rPr>
          <w:rFonts w:hint="eastAsia"/>
          <w:u w:val="single"/>
        </w:rPr>
        <w:tab/>
      </w:r>
      <w:r>
        <w:rPr>
          <w:rFonts w:hint="eastAsia"/>
        </w:rPr>
        <w:t>年龄：</w:t>
      </w:r>
      <w:r>
        <w:rPr>
          <w:rFonts w:hint="eastAsia"/>
          <w:u w:val="single"/>
        </w:rPr>
        <w:t xml:space="preserve"> </w:t>
      </w:r>
      <w:r>
        <w:rPr>
          <w:rFonts w:hint="eastAsia"/>
          <w:u w:val="single"/>
        </w:rPr>
        <w:tab/>
      </w:r>
      <w:r>
        <w:rPr>
          <w:rFonts w:hint="eastAsia"/>
          <w:spacing w:val="-1"/>
        </w:rPr>
        <w:t>职</w:t>
      </w:r>
      <w:r>
        <w:rPr>
          <w:rFonts w:hint="eastAsia"/>
        </w:rPr>
        <w:t>务：</w:t>
      </w:r>
      <w:r>
        <w:rPr>
          <w:rFonts w:hint="eastAsia"/>
          <w:u w:val="single"/>
        </w:rPr>
        <w:t xml:space="preserve"> </w:t>
      </w:r>
      <w:r>
        <w:rPr>
          <w:rFonts w:hint="eastAsia"/>
          <w:u w:val="single"/>
        </w:rPr>
        <w:tab/>
      </w:r>
      <w:r>
        <w:rPr>
          <w:rFonts w:hint="eastAsia"/>
          <w:u w:val="single"/>
        </w:rPr>
        <w:t xml:space="preserve"> </w:t>
      </w:r>
      <w:r>
        <w:rPr>
          <w:rFonts w:hint="eastAsia"/>
        </w:rPr>
        <w:t>系</w:t>
      </w:r>
      <w:r>
        <w:rPr>
          <w:rFonts w:hint="eastAsia"/>
          <w:u w:val="single"/>
        </w:rPr>
        <w:t xml:space="preserve"> </w:t>
      </w:r>
      <w:r>
        <w:rPr>
          <w:rFonts w:hint="eastAsia"/>
          <w:u w:val="single"/>
        </w:rPr>
        <w:tab/>
      </w:r>
      <w:r>
        <w:rPr>
          <w:rFonts w:hint="eastAsia"/>
        </w:rPr>
        <w:t>（投标人名称）的法定代表人。</w:t>
      </w:r>
    </w:p>
    <w:p>
      <w:pPr>
        <w:pStyle w:val="11"/>
        <w:spacing w:line="303" w:lineRule="exact"/>
        <w:ind w:left="704"/>
      </w:pPr>
      <w:r>
        <w:rPr>
          <w:rFonts w:hint="eastAsia"/>
        </w:rPr>
        <w:t>特此证明。</w:t>
      </w:r>
    </w:p>
    <w:p>
      <w:pPr>
        <w:pStyle w:val="11"/>
      </w:pPr>
    </w:p>
    <w:p>
      <w:pPr>
        <w:pStyle w:val="11"/>
        <w:spacing w:before="11"/>
        <w:rPr>
          <w:sz w:val="23"/>
        </w:rPr>
      </w:pPr>
    </w:p>
    <w:p>
      <w:pPr>
        <w:spacing w:before="1"/>
        <w:ind w:left="389"/>
        <w:rPr>
          <w:sz w:val="24"/>
          <w:szCs w:val="24"/>
        </w:rPr>
      </w:pPr>
      <w:r>
        <w:rPr>
          <w:rFonts w:hint="eastAsia"/>
          <w:sz w:val="24"/>
          <w:szCs w:val="24"/>
        </w:rPr>
        <w:t>附：法定代表人身份证。</w:t>
      </w:r>
    </w:p>
    <w:p>
      <w:pPr>
        <w:pStyle w:val="11"/>
        <w:rPr>
          <w:sz w:val="20"/>
        </w:rPr>
      </w:pPr>
    </w:p>
    <w:p>
      <w:pPr>
        <w:pStyle w:val="11"/>
        <w:rPr>
          <w:sz w:val="20"/>
        </w:rPr>
      </w:pPr>
    </w:p>
    <w:p>
      <w:pPr>
        <w:pStyle w:val="11"/>
        <w:rPr>
          <w:sz w:val="20"/>
        </w:rPr>
      </w:pPr>
    </w:p>
    <w:p>
      <w:pPr>
        <w:pStyle w:val="11"/>
        <w:spacing w:before="11"/>
        <w:rPr>
          <w:sz w:val="19"/>
        </w:rPr>
      </w:pPr>
    </w:p>
    <w:p>
      <w:pPr>
        <w:pStyle w:val="11"/>
        <w:tabs>
          <w:tab w:val="left" w:pos="6543"/>
        </w:tabs>
        <w:ind w:left="3543"/>
      </w:pPr>
      <w: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1"/>
        <w:tabs>
          <w:tab w:val="left" w:pos="5823"/>
          <w:tab w:val="left" w:pos="6783"/>
          <w:tab w:val="left" w:pos="7442"/>
        </w:tabs>
        <w:spacing w:before="132"/>
        <w:ind w:left="474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spacing w:before="12"/>
        <w:rPr>
          <w:sz w:val="19"/>
        </w:rPr>
      </w:pPr>
    </w:p>
    <w:p>
      <w:pPr>
        <w:rPr>
          <w:sz w:val="20"/>
        </w:rPr>
        <w:sectPr>
          <w:pgSz w:w="11910" w:h="16840"/>
          <w:pgMar w:top="1440" w:right="1080" w:bottom="1040" w:left="1420" w:header="882" w:footer="847" w:gutter="0"/>
          <w:cols w:space="720" w:num="1"/>
        </w:sectPr>
      </w:pPr>
    </w:p>
    <w:p>
      <w:pPr>
        <w:pStyle w:val="11"/>
        <w:rPr>
          <w:sz w:val="20"/>
        </w:rPr>
      </w:pPr>
    </w:p>
    <w:p>
      <w:pPr>
        <w:pStyle w:val="11"/>
        <w:spacing w:before="11"/>
        <w:rPr>
          <w:sz w:val="15"/>
        </w:rPr>
      </w:pPr>
    </w:p>
    <w:p>
      <w:pPr>
        <w:spacing w:before="61"/>
        <w:ind w:right="50"/>
        <w:jc w:val="center"/>
        <w:rPr>
          <w:sz w:val="28"/>
        </w:rPr>
      </w:pPr>
      <w:bookmarkStart w:id="93" w:name="_TOC_250010"/>
      <w:bookmarkEnd w:id="93"/>
      <w:r>
        <w:rPr>
          <w:rFonts w:hint="eastAsia"/>
          <w:sz w:val="28"/>
        </w:rPr>
        <w:t>三、投标保证金</w:t>
      </w:r>
    </w:p>
    <w:p>
      <w:pPr>
        <w:pStyle w:val="11"/>
        <w:rPr>
          <w:sz w:val="28"/>
        </w:rPr>
      </w:pPr>
    </w:p>
    <w:p>
      <w:pPr>
        <w:pStyle w:val="11"/>
        <w:rPr>
          <w:sz w:val="32"/>
        </w:rPr>
      </w:pPr>
    </w:p>
    <w:p>
      <w:pPr>
        <w:pStyle w:val="11"/>
        <w:ind w:left="732"/>
      </w:pPr>
      <w:r>
        <w:rPr>
          <w:rFonts w:hint="eastAsia"/>
        </w:rPr>
        <w:t>若采用</w:t>
      </w:r>
      <w:r>
        <w:rPr>
          <w:rFonts w:hint="eastAsia"/>
          <w:lang w:eastAsia="zh-CN"/>
        </w:rPr>
        <w:t>电汇或网银</w:t>
      </w:r>
      <w:r>
        <w:rPr>
          <w:rFonts w:hint="eastAsia"/>
        </w:rPr>
        <w:t>，投标人应在此提供汇款凭证。</w:t>
      </w:r>
    </w:p>
    <w:p>
      <w:pPr>
        <w:pStyle w:val="11"/>
        <w:spacing w:before="91"/>
        <w:ind w:left="732"/>
      </w:pPr>
      <w:r>
        <w:rPr>
          <w:rFonts w:hint="eastAsia"/>
        </w:rPr>
        <w:t>如采用银行保函，银行保函原件的扫描件应装订在投标文件中，格式如下。</w:t>
      </w:r>
    </w:p>
    <w:p>
      <w:pPr>
        <w:pStyle w:val="11"/>
        <w:rPr>
          <w:sz w:val="20"/>
        </w:rPr>
      </w:pPr>
    </w:p>
    <w:p>
      <w:pPr>
        <w:pStyle w:val="11"/>
        <w:spacing w:before="8"/>
        <w:rPr>
          <w:sz w:val="17"/>
        </w:rPr>
      </w:pPr>
    </w:p>
    <w:p>
      <w:pPr>
        <w:pStyle w:val="11"/>
        <w:tabs>
          <w:tab w:val="left" w:pos="2563"/>
        </w:tabs>
        <w:spacing w:before="74"/>
        <w:ind w:left="423"/>
      </w:pPr>
      <w:r>
        <w:rPr>
          <w:rFonts w:hint="eastAsia"/>
          <w:u w:val="single"/>
        </w:rPr>
        <w:t xml:space="preserve"> </w:t>
      </w:r>
      <w:r>
        <w:rPr>
          <w:rFonts w:hint="eastAsia"/>
          <w:u w:val="single"/>
        </w:rPr>
        <w:tab/>
      </w:r>
      <w:r>
        <w:rPr>
          <w:rFonts w:hint="eastAsia"/>
        </w:rPr>
        <w:t>（采购人名称）：</w:t>
      </w:r>
    </w:p>
    <w:p>
      <w:pPr>
        <w:pStyle w:val="11"/>
        <w:rPr>
          <w:sz w:val="26"/>
        </w:rPr>
      </w:pPr>
    </w:p>
    <w:p>
      <w:pPr>
        <w:pStyle w:val="11"/>
        <w:spacing w:before="7"/>
        <w:rPr>
          <w:sz w:val="18"/>
        </w:rPr>
      </w:pPr>
    </w:p>
    <w:p>
      <w:pPr>
        <w:pStyle w:val="11"/>
        <w:tabs>
          <w:tab w:val="left" w:pos="1663"/>
          <w:tab w:val="left" w:pos="2729"/>
          <w:tab w:val="left" w:pos="3823"/>
          <w:tab w:val="left" w:pos="4543"/>
          <w:tab w:val="left" w:pos="6703"/>
          <w:tab w:val="left" w:pos="7219"/>
          <w:tab w:val="left" w:pos="7819"/>
          <w:tab w:val="left" w:pos="8419"/>
        </w:tabs>
        <w:spacing w:line="343" w:lineRule="auto"/>
        <w:ind w:left="224" w:right="386" w:firstLine="480"/>
      </w:pPr>
      <w:r>
        <w:rPr>
          <w:rFonts w:hint="eastAsia"/>
        </w:rPr>
        <w:t>鉴于</w:t>
      </w:r>
      <w:r>
        <w:rPr>
          <w:rFonts w:hint="eastAsia"/>
          <w:u w:val="single"/>
        </w:rPr>
        <w:t xml:space="preserve"> </w:t>
      </w:r>
      <w:r>
        <w:rPr>
          <w:rFonts w:hint="eastAsia"/>
          <w:u w:val="single"/>
        </w:rPr>
        <w:tab/>
      </w:r>
      <w:r>
        <w:rPr>
          <w:rFonts w:hint="eastAsia"/>
          <w:u w:val="single"/>
        </w:rPr>
        <w:tab/>
      </w:r>
      <w:r>
        <w:rPr>
          <w:rFonts w:hint="eastAsia"/>
        </w:rPr>
        <w:t>（投标人名称</w:t>
      </w:r>
      <w:r>
        <w:rPr>
          <w:rFonts w:hint="eastAsia"/>
          <w:spacing w:val="-15"/>
        </w:rPr>
        <w:t>）（</w:t>
      </w:r>
      <w:r>
        <w:rPr>
          <w:rFonts w:hint="eastAsia"/>
        </w:rPr>
        <w:t>以下称“投标人</w:t>
      </w:r>
      <w:r>
        <w:rPr>
          <w:rFonts w:hint="eastAsia"/>
          <w:spacing w:val="-7"/>
        </w:rPr>
        <w:t>”）</w:t>
      </w:r>
      <w:r>
        <w:rPr>
          <w:rFonts w:hint="eastAsia"/>
        </w:rPr>
        <w:t>于</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日参加</w:t>
      </w:r>
      <w:r>
        <w:rPr>
          <w:rFonts w:hint="eastAsia"/>
          <w:u w:val="single"/>
        </w:rPr>
        <w:t xml:space="preserve"> </w:t>
      </w:r>
      <w:r>
        <w:rPr>
          <w:rFonts w:hint="eastAsia"/>
          <w:u w:val="single"/>
        </w:rPr>
        <w:tab/>
      </w:r>
      <w:r>
        <w:rPr>
          <w:rFonts w:hint="eastAsia"/>
        </w:rPr>
        <w:t>（项目名称）施工的投标，</w:t>
      </w:r>
      <w:r>
        <w:rPr>
          <w:rFonts w:hint="eastAsia"/>
          <w:u w:val="single"/>
        </w:rPr>
        <w:t xml:space="preserve"> </w:t>
      </w:r>
      <w:r>
        <w:rPr>
          <w:rFonts w:hint="eastAsia"/>
          <w:u w:val="single"/>
        </w:rPr>
        <w:tab/>
      </w:r>
      <w:r>
        <w:rPr>
          <w:rFonts w:hint="eastAsia"/>
        </w:rPr>
        <w:t>（担保人名称，以下简称“我方</w:t>
      </w:r>
      <w:r>
        <w:rPr>
          <w:rFonts w:hint="eastAsia"/>
          <w:spacing w:val="-11"/>
        </w:rPr>
        <w:t>”）</w:t>
      </w:r>
      <w:r>
        <w:rPr>
          <w:rFonts w:hint="eastAsia"/>
        </w:rPr>
        <w:t>无条件地</w:t>
      </w:r>
      <w:r>
        <w:rPr>
          <w:rFonts w:hint="eastAsia"/>
          <w:spacing w:val="-20"/>
        </w:rPr>
        <w:t>、</w:t>
      </w:r>
      <w:r>
        <w:rPr>
          <w:rFonts w:hint="eastAsia"/>
        </w:rPr>
        <w:t>不可撤销地保证</w:t>
      </w:r>
      <w:r>
        <w:rPr>
          <w:rFonts w:hint="eastAsia"/>
          <w:spacing w:val="-17"/>
        </w:rPr>
        <w:t>：</w:t>
      </w:r>
      <w:r>
        <w:rPr>
          <w:rFonts w:hint="eastAsia"/>
        </w:rPr>
        <w:t>若投标人在投标有效期内撤销投标响应文件</w:t>
      </w:r>
      <w:r>
        <w:rPr>
          <w:rFonts w:hint="eastAsia"/>
          <w:spacing w:val="-18"/>
        </w:rPr>
        <w:t>，</w:t>
      </w:r>
      <w:r>
        <w:rPr>
          <w:rFonts w:hint="eastAsia"/>
        </w:rPr>
        <w:t>中标后无正当理由不与采购人订立合同，在签订合同时向采购人提出附加条件，不按照磋商文件要求提交履约保证金，或发生磋商文件明确规定可以不予退还投标保证金的其他情形，我方承担保证责任。收到你方书面通知后，我方在</w:t>
      </w:r>
      <w:r>
        <w:rPr>
          <w:rFonts w:hint="eastAsia"/>
          <w:spacing w:val="-60"/>
        </w:rPr>
        <w:t xml:space="preserve"> </w:t>
      </w:r>
      <w:r>
        <w:rPr>
          <w:rFonts w:hint="eastAsia"/>
        </w:rPr>
        <w:t>7 日内向你方无条件支付人民币（大写）</w:t>
      </w:r>
      <w:r>
        <w:rPr>
          <w:rFonts w:hint="eastAsia"/>
          <w:u w:val="single"/>
        </w:rPr>
        <w:t xml:space="preserve"> </w:t>
      </w:r>
      <w:r>
        <w:rPr>
          <w:rFonts w:hint="eastAsia"/>
          <w:u w:val="single"/>
        </w:rPr>
        <w:tab/>
      </w:r>
      <w:r>
        <w:rPr>
          <w:rFonts w:hint="eastAsia"/>
          <w:u w:val="single"/>
        </w:rPr>
        <w:tab/>
      </w:r>
      <w:r>
        <w:rPr>
          <w:rFonts w:hint="eastAsia"/>
        </w:rPr>
        <w:t>元。</w:t>
      </w:r>
    </w:p>
    <w:p>
      <w:pPr>
        <w:pStyle w:val="11"/>
        <w:spacing w:before="4" w:line="343" w:lineRule="auto"/>
        <w:ind w:left="224" w:right="542" w:firstLine="480"/>
      </w:pPr>
      <w:r>
        <w:rPr>
          <w:rFonts w:hint="eastAsia"/>
        </w:rPr>
        <w:t>本保函在投标有效期或经延长的投标有效期内保持有效。要求我方承担保证责任的通知应在上述期限内送达我方。你方延长投标有效期的决定，应通知我方。</w:t>
      </w:r>
    </w:p>
    <w:p>
      <w:pPr>
        <w:pStyle w:val="11"/>
      </w:pPr>
    </w:p>
    <w:p>
      <w:pPr>
        <w:pStyle w:val="11"/>
      </w:pPr>
    </w:p>
    <w:p>
      <w:pPr>
        <w:pStyle w:val="11"/>
      </w:pPr>
    </w:p>
    <w:p>
      <w:pPr>
        <w:pStyle w:val="11"/>
      </w:pPr>
    </w:p>
    <w:p>
      <w:pPr>
        <w:pStyle w:val="11"/>
      </w:pPr>
    </w:p>
    <w:p>
      <w:pPr>
        <w:pStyle w:val="11"/>
        <w:spacing w:before="5"/>
        <w:rPr>
          <w:sz w:val="17"/>
        </w:rPr>
      </w:pPr>
    </w:p>
    <w:p>
      <w:pPr>
        <w:pStyle w:val="11"/>
        <w:tabs>
          <w:tab w:val="left" w:pos="7243"/>
          <w:tab w:val="left" w:pos="7723"/>
          <w:tab w:val="left" w:pos="8263"/>
        </w:tabs>
        <w:spacing w:line="343" w:lineRule="auto"/>
        <w:ind w:left="2203" w:right="722"/>
        <w:jc w:val="both"/>
      </w:pPr>
      <w:r>
        <w:rPr>
          <w:rFonts w:hint="eastAsia"/>
        </w:rPr>
        <w:t>担保人名称：</w:t>
      </w:r>
      <w:r>
        <w:rPr>
          <w:rFonts w:hint="eastAsia"/>
          <w:u w:val="single"/>
        </w:rPr>
        <w:t xml:space="preserve"> </w:t>
      </w:r>
      <w:r>
        <w:rPr>
          <w:rFonts w:hint="eastAsia"/>
          <w:u w:val="single"/>
        </w:rPr>
        <w:tab/>
      </w:r>
      <w:r>
        <w:rPr>
          <w:rFonts w:hint="eastAsia"/>
        </w:rPr>
        <w:t>（盖单位章</w:t>
      </w:r>
      <w:r>
        <w:rPr>
          <w:rFonts w:hint="eastAsia"/>
          <w:spacing w:val="-18"/>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8"/>
        </w:rPr>
        <w:t xml:space="preserve">） </w:t>
      </w:r>
      <w:r>
        <w:rPr>
          <w:rFonts w:hint="eastAsia"/>
        </w:rPr>
        <w:t>地   址 ：</w:t>
      </w:r>
      <w:r>
        <w:rPr>
          <w:rFonts w:hint="eastAsia"/>
          <w:u w:val="single"/>
        </w:rPr>
        <w:t xml:space="preserve"> </w:t>
      </w:r>
      <w:r>
        <w:rPr>
          <w:rFonts w:hint="eastAsia"/>
          <w:u w:val="single"/>
        </w:rPr>
        <w:tab/>
      </w:r>
      <w:r>
        <w:rPr>
          <w:rFonts w:hint="eastAsia"/>
          <w:u w:val="single"/>
        </w:rPr>
        <w:tab/>
      </w:r>
      <w:r>
        <w:rPr>
          <w:rFonts w:hint="eastAsia"/>
          <w:u w:val="single"/>
        </w:rPr>
        <w:tab/>
      </w:r>
    </w:p>
    <w:p>
      <w:pPr>
        <w:pStyle w:val="11"/>
        <w:tabs>
          <w:tab w:val="left" w:pos="8263"/>
        </w:tabs>
        <w:spacing w:before="1" w:line="343" w:lineRule="auto"/>
        <w:ind w:left="2203" w:right="1141"/>
        <w:jc w:val="both"/>
      </w:pPr>
      <w:r>
        <w:rPr>
          <w:rFonts w:hint="eastAsia"/>
        </w:rPr>
        <w:t>邮政编码：</w:t>
      </w:r>
      <w:r>
        <w:rPr>
          <w:rFonts w:hint="eastAsia"/>
          <w:u w:val="single"/>
        </w:rPr>
        <w:t xml:space="preserve"> </w:t>
      </w:r>
      <w:r>
        <w:rPr>
          <w:rFonts w:hint="eastAsia"/>
          <w:u w:val="single"/>
        </w:rPr>
        <w:tab/>
      </w:r>
      <w:r>
        <w:rPr>
          <w:rFonts w:hint="eastAsia"/>
          <w:u w:val="single"/>
        </w:rPr>
        <w:t xml:space="preserve"> </w:t>
      </w:r>
      <w:r>
        <w:rPr>
          <w:rFonts w:hint="eastAsia"/>
        </w:rPr>
        <w:t>电    话：</w:t>
      </w:r>
      <w:r>
        <w:rPr>
          <w:rFonts w:hint="eastAsia"/>
          <w:u w:val="single"/>
        </w:rPr>
        <w:t xml:space="preserve"> </w:t>
      </w:r>
      <w:r>
        <w:rPr>
          <w:rFonts w:hint="eastAsia"/>
          <w:u w:val="single"/>
        </w:rPr>
        <w:tab/>
      </w:r>
      <w:r>
        <w:rPr>
          <w:rFonts w:hint="eastAsia"/>
          <w:u w:val="single"/>
        </w:rPr>
        <w:t xml:space="preserve"> </w:t>
      </w:r>
      <w:r>
        <w:rPr>
          <w:rFonts w:hint="eastAsia"/>
        </w:rPr>
        <w:t>传   真 ：</w:t>
      </w:r>
      <w:r>
        <w:rPr>
          <w:rFonts w:hint="eastAsia"/>
          <w:u w:val="single"/>
        </w:rPr>
        <w:t xml:space="preserve"> </w:t>
      </w:r>
      <w:r>
        <w:rPr>
          <w:rFonts w:hint="eastAsia"/>
          <w:u w:val="single"/>
        </w:rPr>
        <w:tab/>
      </w:r>
    </w:p>
    <w:p>
      <w:pPr>
        <w:pStyle w:val="11"/>
        <w:tabs>
          <w:tab w:val="left" w:pos="6223"/>
          <w:tab w:val="left" w:pos="7183"/>
          <w:tab w:val="left" w:pos="8143"/>
        </w:tabs>
        <w:spacing w:before="1"/>
        <w:ind w:left="526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440" w:right="1080" w:bottom="1040" w:left="1420" w:header="882" w:footer="847" w:gutter="0"/>
          <w:cols w:space="720" w:num="1"/>
        </w:sectPr>
      </w:pPr>
    </w:p>
    <w:p>
      <w:pPr>
        <w:pStyle w:val="11"/>
        <w:rPr>
          <w:sz w:val="20"/>
        </w:rPr>
      </w:pPr>
    </w:p>
    <w:p>
      <w:pPr>
        <w:pStyle w:val="11"/>
        <w:spacing w:before="11"/>
        <w:rPr>
          <w:sz w:val="15"/>
        </w:rPr>
      </w:pPr>
    </w:p>
    <w:p>
      <w:pPr>
        <w:spacing w:before="61"/>
        <w:ind w:left="2" w:right="50"/>
        <w:jc w:val="center"/>
        <w:rPr>
          <w:sz w:val="28"/>
        </w:rPr>
      </w:pPr>
      <w:bookmarkStart w:id="94" w:name="_TOC_250009"/>
      <w:bookmarkEnd w:id="94"/>
      <w:r>
        <w:rPr>
          <w:rFonts w:hint="eastAsia"/>
          <w:sz w:val="28"/>
        </w:rPr>
        <w:t>四、施工组织设计</w:t>
      </w:r>
    </w:p>
    <w:p>
      <w:pPr>
        <w:pStyle w:val="11"/>
        <w:rPr>
          <w:sz w:val="20"/>
        </w:rPr>
      </w:pPr>
    </w:p>
    <w:p>
      <w:pPr>
        <w:pStyle w:val="11"/>
        <w:spacing w:before="2"/>
        <w:rPr>
          <w:sz w:val="23"/>
        </w:rPr>
      </w:pPr>
    </w:p>
    <w:p>
      <w:pPr>
        <w:widowControl/>
        <w:spacing w:line="360" w:lineRule="auto"/>
        <w:rPr>
          <w:sz w:val="24"/>
          <w:szCs w:val="24"/>
        </w:rPr>
      </w:pPr>
      <w:r>
        <w:rPr>
          <w:rFonts w:hint="eastAsia"/>
          <w:color w:val="000000"/>
          <w:sz w:val="24"/>
          <w:szCs w:val="24"/>
          <w:lang w:val="en-US" w:bidi="ar"/>
        </w:rPr>
        <w:t xml:space="preserve">1. 投标人应按以下要点编制施工组织设计（文字宜精炼、内容具有针对性）： </w:t>
      </w:r>
    </w:p>
    <w:p>
      <w:pPr>
        <w:widowControl/>
        <w:spacing w:line="360" w:lineRule="auto"/>
        <w:rPr>
          <w:sz w:val="24"/>
          <w:szCs w:val="24"/>
        </w:rPr>
      </w:pPr>
      <w:r>
        <w:rPr>
          <w:rFonts w:hint="eastAsia"/>
          <w:color w:val="000000"/>
          <w:sz w:val="24"/>
          <w:szCs w:val="24"/>
          <w:lang w:val="en-US" w:bidi="ar"/>
        </w:rPr>
        <w:t xml:space="preserve">（1）总体施工组织布置及规划 </w:t>
      </w:r>
    </w:p>
    <w:p>
      <w:pPr>
        <w:widowControl/>
        <w:spacing w:line="360" w:lineRule="auto"/>
        <w:rPr>
          <w:sz w:val="24"/>
          <w:szCs w:val="24"/>
        </w:rPr>
      </w:pPr>
      <w:r>
        <w:rPr>
          <w:rFonts w:hint="eastAsia"/>
          <w:color w:val="000000"/>
          <w:sz w:val="24"/>
          <w:szCs w:val="24"/>
          <w:lang w:val="en-US" w:bidi="ar"/>
        </w:rPr>
        <w:t xml:space="preserve">（2）主要工程项目的施工方案、方法与技术措施（尤其对重点、关键和难点工 </w:t>
      </w:r>
    </w:p>
    <w:p>
      <w:pPr>
        <w:widowControl/>
        <w:spacing w:line="360" w:lineRule="auto"/>
        <w:rPr>
          <w:sz w:val="24"/>
          <w:szCs w:val="24"/>
        </w:rPr>
      </w:pPr>
      <w:r>
        <w:rPr>
          <w:rFonts w:hint="eastAsia"/>
          <w:color w:val="000000"/>
          <w:sz w:val="24"/>
          <w:szCs w:val="24"/>
          <w:lang w:val="en-US" w:bidi="ar"/>
        </w:rPr>
        <w:t xml:space="preserve">程的施工方案、方法及措施） </w:t>
      </w:r>
    </w:p>
    <w:p>
      <w:pPr>
        <w:widowControl/>
        <w:spacing w:line="360" w:lineRule="auto"/>
        <w:rPr>
          <w:sz w:val="24"/>
          <w:szCs w:val="24"/>
        </w:rPr>
      </w:pPr>
      <w:r>
        <w:rPr>
          <w:rFonts w:hint="eastAsia"/>
          <w:color w:val="000000"/>
          <w:sz w:val="24"/>
          <w:szCs w:val="24"/>
          <w:lang w:val="en-US" w:bidi="ar"/>
        </w:rPr>
        <w:t xml:space="preserve">（3）工期保证体系及保证措施 </w:t>
      </w:r>
    </w:p>
    <w:p>
      <w:pPr>
        <w:widowControl/>
        <w:spacing w:line="360" w:lineRule="auto"/>
        <w:rPr>
          <w:sz w:val="24"/>
          <w:szCs w:val="24"/>
        </w:rPr>
      </w:pPr>
      <w:r>
        <w:rPr>
          <w:rFonts w:hint="eastAsia"/>
          <w:color w:val="000000"/>
          <w:sz w:val="24"/>
          <w:szCs w:val="24"/>
          <w:lang w:val="en-US" w:bidi="ar"/>
        </w:rPr>
        <w:t xml:space="preserve">（4）工程质量管理体系及保证措施 </w:t>
      </w:r>
    </w:p>
    <w:p>
      <w:pPr>
        <w:widowControl/>
        <w:spacing w:line="360" w:lineRule="auto"/>
        <w:rPr>
          <w:sz w:val="24"/>
          <w:szCs w:val="24"/>
        </w:rPr>
      </w:pPr>
      <w:r>
        <w:rPr>
          <w:rFonts w:hint="eastAsia"/>
          <w:color w:val="000000"/>
          <w:sz w:val="24"/>
          <w:szCs w:val="24"/>
          <w:lang w:val="en-US" w:bidi="ar"/>
        </w:rPr>
        <w:t xml:space="preserve">（5）安全生产管理体系及保证措施 </w:t>
      </w:r>
    </w:p>
    <w:p>
      <w:pPr>
        <w:widowControl/>
        <w:spacing w:line="360" w:lineRule="auto"/>
        <w:rPr>
          <w:sz w:val="24"/>
          <w:szCs w:val="24"/>
        </w:rPr>
      </w:pPr>
      <w:r>
        <w:rPr>
          <w:rFonts w:hint="eastAsia"/>
          <w:color w:val="000000"/>
          <w:sz w:val="24"/>
          <w:szCs w:val="24"/>
          <w:lang w:val="en-US" w:bidi="ar"/>
        </w:rPr>
        <w:t xml:space="preserve">（6）环境保护、水土保持保证体系及保证措施 </w:t>
      </w:r>
    </w:p>
    <w:p>
      <w:pPr>
        <w:widowControl/>
        <w:spacing w:line="360" w:lineRule="auto"/>
        <w:rPr>
          <w:sz w:val="24"/>
          <w:szCs w:val="24"/>
        </w:rPr>
      </w:pPr>
      <w:r>
        <w:rPr>
          <w:rFonts w:hint="eastAsia"/>
          <w:color w:val="000000"/>
          <w:sz w:val="24"/>
          <w:szCs w:val="24"/>
          <w:lang w:val="en-US" w:bidi="ar"/>
        </w:rPr>
        <w:t xml:space="preserve">（7）文明施工、文物保护保证体系及保证措施 </w:t>
      </w:r>
    </w:p>
    <w:p>
      <w:pPr>
        <w:widowControl/>
        <w:spacing w:line="360" w:lineRule="auto"/>
        <w:rPr>
          <w:sz w:val="24"/>
          <w:szCs w:val="24"/>
        </w:rPr>
      </w:pPr>
      <w:r>
        <w:rPr>
          <w:rFonts w:hint="eastAsia"/>
          <w:color w:val="000000"/>
          <w:sz w:val="24"/>
          <w:szCs w:val="24"/>
          <w:lang w:val="en-US" w:bidi="ar"/>
        </w:rPr>
        <w:t xml:space="preserve">（8）项目风险预测与防范，事故应急预案 </w:t>
      </w:r>
    </w:p>
    <w:p>
      <w:pPr>
        <w:widowControl/>
        <w:spacing w:line="360" w:lineRule="auto"/>
        <w:rPr>
          <w:sz w:val="24"/>
          <w:szCs w:val="24"/>
        </w:rPr>
      </w:pPr>
      <w:r>
        <w:rPr>
          <w:rFonts w:hint="eastAsia"/>
          <w:color w:val="000000"/>
          <w:sz w:val="24"/>
          <w:szCs w:val="24"/>
          <w:lang w:val="en-US" w:bidi="ar"/>
        </w:rPr>
        <w:t xml:space="preserve">（9）其他应说明的事项 </w:t>
      </w:r>
    </w:p>
    <w:p>
      <w:pPr>
        <w:widowControl/>
        <w:spacing w:line="360" w:lineRule="auto"/>
        <w:rPr>
          <w:sz w:val="24"/>
          <w:szCs w:val="24"/>
        </w:rPr>
      </w:pPr>
      <w:r>
        <w:rPr>
          <w:rFonts w:hint="eastAsia"/>
          <w:color w:val="000000"/>
          <w:sz w:val="24"/>
          <w:szCs w:val="24"/>
          <w:lang w:val="en-US" w:bidi="ar"/>
        </w:rPr>
        <w:t xml:space="preserve">2. 施工组织设计除采用文字表述外可附下列图表，图表及格式要求附后。 </w:t>
      </w:r>
    </w:p>
    <w:p>
      <w:pPr>
        <w:widowControl/>
        <w:spacing w:line="360" w:lineRule="auto"/>
        <w:rPr>
          <w:sz w:val="24"/>
          <w:szCs w:val="24"/>
        </w:rPr>
      </w:pPr>
      <w:r>
        <w:rPr>
          <w:rFonts w:hint="eastAsia"/>
          <w:color w:val="000000"/>
          <w:sz w:val="24"/>
          <w:szCs w:val="24"/>
          <w:lang w:val="en-US" w:bidi="ar"/>
        </w:rPr>
        <w:t xml:space="preserve">附表一 施工总体计划表 </w:t>
      </w:r>
    </w:p>
    <w:p>
      <w:pPr>
        <w:widowControl/>
        <w:spacing w:line="360" w:lineRule="auto"/>
        <w:rPr>
          <w:sz w:val="24"/>
          <w:szCs w:val="24"/>
        </w:rPr>
      </w:pPr>
      <w:r>
        <w:rPr>
          <w:rFonts w:hint="eastAsia"/>
          <w:color w:val="000000"/>
          <w:sz w:val="24"/>
          <w:szCs w:val="24"/>
          <w:lang w:val="en-US" w:bidi="ar"/>
        </w:rPr>
        <w:t>附表二 施工总平面图</w:t>
      </w:r>
    </w:p>
    <w:p>
      <w:pPr>
        <w:pStyle w:val="11"/>
        <w:rPr>
          <w:sz w:val="20"/>
        </w:rPr>
      </w:pPr>
    </w:p>
    <w:p>
      <w:pPr>
        <w:pStyle w:val="11"/>
        <w:rPr>
          <w:sz w:val="26"/>
        </w:rPr>
      </w:pPr>
      <w:bookmarkStart w:id="95" w:name="附表一_施工总体计划表"/>
      <w:bookmarkEnd w:id="95"/>
    </w:p>
    <w:p>
      <w:pPr>
        <w:pStyle w:val="12"/>
        <w:rPr>
          <w:sz w:val="26"/>
        </w:rPr>
      </w:pPr>
    </w:p>
    <w:p>
      <w:pPr>
        <w:rPr>
          <w:sz w:val="26"/>
        </w:rPr>
      </w:pPr>
    </w:p>
    <w:p>
      <w:pPr>
        <w:pStyle w:val="18"/>
        <w:ind w:firstLine="520"/>
        <w:rPr>
          <w:sz w:val="26"/>
        </w:rPr>
      </w:pPr>
    </w:p>
    <w:p>
      <w:pPr>
        <w:pStyle w:val="18"/>
        <w:ind w:firstLine="520"/>
        <w:rPr>
          <w:sz w:val="26"/>
        </w:rPr>
      </w:pPr>
    </w:p>
    <w:p>
      <w:pPr>
        <w:pStyle w:val="18"/>
        <w:ind w:firstLine="520"/>
        <w:rPr>
          <w:sz w:val="26"/>
        </w:rPr>
      </w:pPr>
    </w:p>
    <w:p>
      <w:pPr>
        <w:pStyle w:val="18"/>
        <w:ind w:firstLine="520"/>
        <w:rPr>
          <w:sz w:val="26"/>
        </w:rPr>
      </w:pPr>
    </w:p>
    <w:p>
      <w:pPr>
        <w:pStyle w:val="18"/>
        <w:ind w:firstLine="520"/>
        <w:rPr>
          <w:sz w:val="26"/>
        </w:rPr>
      </w:pPr>
    </w:p>
    <w:p>
      <w:pPr>
        <w:pStyle w:val="18"/>
        <w:ind w:firstLine="520"/>
        <w:rPr>
          <w:sz w:val="26"/>
        </w:rPr>
      </w:pPr>
    </w:p>
    <w:p>
      <w:pPr>
        <w:pStyle w:val="18"/>
        <w:ind w:firstLine="520"/>
        <w:rPr>
          <w:sz w:val="26"/>
        </w:rPr>
      </w:pPr>
    </w:p>
    <w:p>
      <w:pPr>
        <w:pStyle w:val="18"/>
        <w:ind w:firstLine="520"/>
        <w:rPr>
          <w:sz w:val="26"/>
        </w:rPr>
      </w:pPr>
    </w:p>
    <w:p>
      <w:pPr>
        <w:spacing w:before="62"/>
        <w:ind w:left="35" w:right="199"/>
        <w:jc w:val="center"/>
        <w:rPr>
          <w:sz w:val="28"/>
        </w:rPr>
      </w:pPr>
      <w:r>
        <mc:AlternateContent>
          <mc:Choice Requires="wps">
            <w:drawing>
              <wp:anchor distT="0" distB="0" distL="114300" distR="114300" simplePos="0" relativeHeight="251671552" behindDoc="1" locked="0" layoutInCell="1" allowOverlap="1">
                <wp:simplePos x="0" y="0"/>
                <wp:positionH relativeFrom="page">
                  <wp:posOffset>1137920</wp:posOffset>
                </wp:positionH>
                <wp:positionV relativeFrom="paragraph">
                  <wp:posOffset>474345</wp:posOffset>
                </wp:positionV>
                <wp:extent cx="5549265" cy="7501255"/>
                <wp:effectExtent l="0" t="0" r="13335" b="272415"/>
                <wp:wrapNone/>
                <wp:docPr id="3" name="自选图形 105"/>
                <wp:cNvGraphicFramePr/>
                <a:graphic xmlns:a="http://schemas.openxmlformats.org/drawingml/2006/main">
                  <a:graphicData uri="http://schemas.microsoft.com/office/word/2010/wordprocessingShape">
                    <wps:wsp>
                      <wps:cNvSpPr/>
                      <wps:spPr>
                        <a:xfrm>
                          <a:off x="0" y="0"/>
                          <a:ext cx="5549265" cy="7501255"/>
                        </a:xfrm>
                        <a:custGeom>
                          <a:avLst/>
                          <a:gdLst/>
                          <a:ahLst/>
                          <a:cxnLst/>
                          <a:rect l="0" t="0" r="0" b="0"/>
                          <a:pathLst>
                            <a:path w="8739" h="11813">
                              <a:moveTo>
                                <a:pt x="0" y="417"/>
                              </a:moveTo>
                              <a:lnTo>
                                <a:pt x="8738" y="417"/>
                              </a:lnTo>
                              <a:moveTo>
                                <a:pt x="0" y="9102"/>
                              </a:moveTo>
                              <a:lnTo>
                                <a:pt x="8738" y="9102"/>
                              </a:lnTo>
                              <a:moveTo>
                                <a:pt x="0" y="12222"/>
                              </a:moveTo>
                              <a:lnTo>
                                <a:pt x="8738" y="12222"/>
                              </a:lnTo>
                              <a:moveTo>
                                <a:pt x="7" y="410"/>
                              </a:moveTo>
                              <a:lnTo>
                                <a:pt x="7" y="12215"/>
                              </a:lnTo>
                              <a:moveTo>
                                <a:pt x="8731" y="410"/>
                              </a:moveTo>
                              <a:lnTo>
                                <a:pt x="8731" y="12215"/>
                              </a:lnTo>
                            </a:path>
                          </a:pathLst>
                        </a:custGeom>
                        <a:noFill/>
                        <a:ln w="9144" cap="flat" cmpd="sng">
                          <a:solidFill>
                            <a:srgbClr val="000000"/>
                          </a:solidFill>
                          <a:prstDash val="solid"/>
                          <a:round/>
                          <a:headEnd type="none" w="med" len="med"/>
                          <a:tailEnd type="none" w="med" len="med"/>
                        </a:ln>
                      </wps:spPr>
                      <wps:txbx>
                        <w:txbxContent>
                          <w:p/>
                        </w:txbxContent>
                      </wps:txbx>
                      <wps:bodyPr upright="1"/>
                    </wps:wsp>
                  </a:graphicData>
                </a:graphic>
              </wp:anchor>
            </w:drawing>
          </mc:Choice>
          <mc:Fallback>
            <w:pict>
              <v:shape id="自选图形 105" o:spid="_x0000_s1026" o:spt="100" style="position:absolute;left:0pt;margin-left:89.6pt;margin-top:37.35pt;height:590.65pt;width:436.95pt;mso-position-horizontal-relative:page;z-index:-251644928;mso-width-relative:page;mso-height-relative:page;" filled="f" stroked="t" coordsize="8739,11813" o:gfxdata="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3vvWg2wAAAAwBAAAPAAAA&#10;AAAAAAEAIAAAACIAAABkcnMvZG93bnJldi54bWxQSwECFAAUAAAACACHTuJAX0uy44QCAAAhBgAA&#10;DgAAAAAAAAABACAAAAAqAQAAZHJzL2Uyb0RvYy54bWxQSwUGAAAAAAYABgBZAQAAIAYAAAAA&#10;" path="m0,417l8738,417m0,9102l8738,9102m0,12222l8738,12222m7,410l7,12215m8731,410l8731,12215e">
                <v:path textboxrect="0,0,8739,11813"/>
                <v:fill on="f" focussize="0,0"/>
                <v:stroke weight="0.72pt" color="#000000" joinstyle="round"/>
                <v:imagedata o:title=""/>
                <o:lock v:ext="edit" aspectratio="f"/>
                <v:textbox>
                  <w:txbxContent>
                    <w:p/>
                  </w:txbxContent>
                </v:textbox>
              </v:shape>
            </w:pict>
          </mc:Fallback>
        </mc:AlternateContent>
      </w:r>
      <w:bookmarkStart w:id="96" w:name="_TOC_250008"/>
      <w:bookmarkEnd w:id="96"/>
      <w:r>
        <w:rPr>
          <w:rFonts w:hint="eastAsia"/>
          <w:sz w:val="28"/>
        </w:rPr>
        <w:t>五、项目管理机构</w:t>
      </w:r>
    </w:p>
    <w:p>
      <w:pPr>
        <w:pStyle w:val="11"/>
        <w:rPr>
          <w:sz w:val="28"/>
        </w:rPr>
      </w:pPr>
    </w:p>
    <w:p>
      <w:pPr>
        <w:pStyle w:val="11"/>
        <w:rPr>
          <w:sz w:val="28"/>
        </w:rPr>
      </w:pPr>
    </w:p>
    <w:p>
      <w:pPr>
        <w:pStyle w:val="11"/>
        <w:rPr>
          <w:sz w:val="28"/>
        </w:rPr>
      </w:pPr>
    </w:p>
    <w:p>
      <w:pPr>
        <w:pStyle w:val="11"/>
        <w:spacing w:before="11"/>
        <w:rPr>
          <w:sz w:val="35"/>
        </w:rPr>
      </w:pPr>
    </w:p>
    <w:p>
      <w:pPr>
        <w:ind w:left="1020"/>
        <w:rPr>
          <w:sz w:val="20"/>
        </w:rPr>
      </w:pPr>
      <w:r>
        <w:rPr>
          <w:rFonts w:hint="eastAsia"/>
          <w:sz w:val="20"/>
        </w:rPr>
        <w:t>拟为承包本标段工程设立的组织机构以框图方式表示。</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17"/>
        </w:rPr>
      </w:pPr>
    </w:p>
    <w:p>
      <w:pPr>
        <w:ind w:left="1020"/>
        <w:rPr>
          <w:sz w:val="20"/>
        </w:rPr>
      </w:pPr>
      <w:r>
        <w:rPr>
          <w:rFonts w:hint="eastAsia"/>
          <w:sz w:val="20"/>
        </w:rPr>
        <w:t>说明</w:t>
      </w:r>
    </w:p>
    <w:p>
      <w:pPr>
        <w:rPr>
          <w:sz w:val="20"/>
        </w:rPr>
        <w:sectPr>
          <w:headerReference r:id="rId24" w:type="default"/>
          <w:footerReference r:id="rId25" w:type="default"/>
          <w:pgSz w:w="11910" w:h="16840"/>
          <w:pgMar w:top="1220" w:right="920" w:bottom="1180" w:left="1320" w:header="882" w:footer="989" w:gutter="0"/>
          <w:cols w:space="720" w:num="1"/>
        </w:sectPr>
      </w:pPr>
    </w:p>
    <w:p>
      <w:pPr>
        <w:pStyle w:val="11"/>
        <w:rPr>
          <w:sz w:val="26"/>
        </w:rPr>
      </w:pPr>
    </w:p>
    <w:p>
      <w:pPr>
        <w:spacing w:before="62"/>
        <w:ind w:left="32" w:right="199"/>
        <w:jc w:val="center"/>
        <w:rPr>
          <w:sz w:val="28"/>
        </w:rPr>
      </w:pPr>
      <w:bookmarkStart w:id="97" w:name="_TOC_250007"/>
      <w:bookmarkEnd w:id="97"/>
      <w:r>
        <w:rPr>
          <w:rFonts w:hint="eastAsia"/>
          <w:sz w:val="28"/>
        </w:rPr>
        <w:t>六、拟分包项目情况表</w:t>
      </w:r>
    </w:p>
    <w:p>
      <w:pPr>
        <w:pStyle w:val="11"/>
        <w:rPr>
          <w:sz w:val="20"/>
        </w:rPr>
      </w:pPr>
    </w:p>
    <w:p>
      <w:pPr>
        <w:pStyle w:val="11"/>
        <w:spacing w:before="2"/>
        <w:rPr>
          <w:sz w:val="14"/>
        </w:rPr>
      </w:pPr>
    </w:p>
    <w:tbl>
      <w:tblPr>
        <w:tblStyle w:val="19"/>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534"/>
        <w:gridCol w:w="1923"/>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2"/>
              <w:keepNext w:val="0"/>
              <w:keepLines w:val="0"/>
              <w:suppressLineNumbers w:val="0"/>
              <w:spacing w:before="152" w:beforeAutospacing="0" w:after="0" w:afterAutospacing="0"/>
              <w:ind w:left="309" w:right="0"/>
              <w:rPr>
                <w:rFonts w:hint="default"/>
                <w:sz w:val="20"/>
              </w:rPr>
            </w:pPr>
            <w:r>
              <w:rPr>
                <w:rFonts w:hint="eastAsia"/>
                <w:sz w:val="20"/>
              </w:rPr>
              <w:t>拟分包的工程项目</w:t>
            </w:r>
          </w:p>
        </w:tc>
        <w:tc>
          <w:tcPr>
            <w:tcW w:w="2534" w:type="dxa"/>
          </w:tcPr>
          <w:p>
            <w:pPr>
              <w:pStyle w:val="22"/>
              <w:keepNext w:val="0"/>
              <w:keepLines w:val="0"/>
              <w:suppressLineNumbers w:val="0"/>
              <w:spacing w:before="152" w:beforeAutospacing="0" w:after="0" w:afterAutospacing="0"/>
              <w:ind w:left="749" w:right="0"/>
              <w:rPr>
                <w:rFonts w:hint="default"/>
                <w:sz w:val="20"/>
              </w:rPr>
            </w:pPr>
            <w:r>
              <w:rPr>
                <w:rFonts w:hint="eastAsia"/>
                <w:sz w:val="20"/>
              </w:rPr>
              <w:t>主要工程内容</w:t>
            </w:r>
          </w:p>
        </w:tc>
        <w:tc>
          <w:tcPr>
            <w:tcW w:w="1923" w:type="dxa"/>
          </w:tcPr>
          <w:p>
            <w:pPr>
              <w:pStyle w:val="22"/>
              <w:keepNext w:val="0"/>
              <w:keepLines w:val="0"/>
              <w:suppressLineNumbers w:val="0"/>
              <w:spacing w:before="152" w:beforeAutospacing="0" w:after="0" w:afterAutospacing="0"/>
              <w:ind w:left="272" w:right="0"/>
              <w:rPr>
                <w:rFonts w:hint="default"/>
                <w:sz w:val="20"/>
              </w:rPr>
            </w:pPr>
            <w:r>
              <w:rPr>
                <w:rFonts w:hint="eastAsia"/>
                <w:sz w:val="20"/>
              </w:rPr>
              <w:t>预计造价（万元）</w:t>
            </w:r>
          </w:p>
        </w:tc>
        <w:tc>
          <w:tcPr>
            <w:tcW w:w="2664" w:type="dxa"/>
          </w:tcPr>
          <w:p>
            <w:pPr>
              <w:pStyle w:val="22"/>
              <w:keepNext w:val="0"/>
              <w:keepLines w:val="0"/>
              <w:suppressLineNumbers w:val="0"/>
              <w:spacing w:before="152" w:beforeAutospacing="0" w:after="0" w:afterAutospacing="0"/>
              <w:ind w:left="1144" w:right="970"/>
              <w:jc w:val="center"/>
              <w:rPr>
                <w:rFonts w:hint="default"/>
                <w:sz w:val="20"/>
              </w:rPr>
            </w:pPr>
            <w:r>
              <w:rPr>
                <w:rFonts w:hint="eastAsia"/>
                <w:sz w:val="20"/>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restart"/>
          </w:tcPr>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0" w:beforeAutospacing="0" w:after="0" w:afterAutospacing="0"/>
              <w:ind w:left="0" w:right="0"/>
              <w:rPr>
                <w:rFonts w:hint="default"/>
              </w:rPr>
            </w:pPr>
          </w:p>
          <w:p>
            <w:pPr>
              <w:pStyle w:val="22"/>
              <w:keepNext w:val="0"/>
              <w:keepLines w:val="0"/>
              <w:suppressLineNumbers w:val="0"/>
              <w:spacing w:before="195" w:beforeAutospacing="0" w:after="0" w:afterAutospacing="0" w:line="410" w:lineRule="auto"/>
              <w:ind w:left="106" w:right="179" w:firstLine="168"/>
              <w:rPr>
                <w:rFonts w:hint="default"/>
                <w:sz w:val="20"/>
              </w:rPr>
            </w:pPr>
            <w:r>
              <w:rPr>
                <w:rFonts w:hint="eastAsia"/>
                <w:sz w:val="20"/>
              </w:rPr>
              <w:t>注：若无分包计划，则投标人应在本表填写“无”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2"/>
              <w:keepNext w:val="0"/>
              <w:keepLines w:val="0"/>
              <w:suppressLineNumbers w:val="0"/>
              <w:spacing w:before="0" w:beforeAutospacing="0" w:after="0" w:afterAutospacing="0"/>
              <w:ind w:left="0" w:right="0"/>
              <w:rPr>
                <w:rFonts w:hint="default"/>
                <w:sz w:val="20"/>
              </w:rPr>
            </w:pPr>
          </w:p>
        </w:tc>
        <w:tc>
          <w:tcPr>
            <w:tcW w:w="2534" w:type="dxa"/>
          </w:tcPr>
          <w:p>
            <w:pPr>
              <w:pStyle w:val="22"/>
              <w:keepNext w:val="0"/>
              <w:keepLines w:val="0"/>
              <w:suppressLineNumbers w:val="0"/>
              <w:spacing w:before="0" w:beforeAutospacing="0" w:after="0" w:afterAutospacing="0"/>
              <w:ind w:left="0" w:right="0"/>
              <w:rPr>
                <w:rFonts w:hint="default"/>
                <w:sz w:val="20"/>
              </w:rPr>
            </w:pP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587" w:type="dxa"/>
            <w:gridSpan w:val="2"/>
          </w:tcPr>
          <w:p>
            <w:pPr>
              <w:pStyle w:val="22"/>
              <w:keepNext w:val="0"/>
              <w:keepLines w:val="0"/>
              <w:suppressLineNumbers w:val="0"/>
              <w:spacing w:before="157" w:beforeAutospacing="0" w:after="0" w:afterAutospacing="0"/>
              <w:ind w:left="1074" w:right="0"/>
              <w:rPr>
                <w:rFonts w:hint="default"/>
                <w:sz w:val="20"/>
              </w:rPr>
            </w:pPr>
            <w:r>
              <w:rPr>
                <w:rFonts w:hint="eastAsia"/>
                <w:sz w:val="20"/>
              </w:rPr>
              <w:t>拟分包工程造价合计（万元）</w:t>
            </w:r>
          </w:p>
        </w:tc>
        <w:tc>
          <w:tcPr>
            <w:tcW w:w="1923" w:type="dxa"/>
          </w:tcPr>
          <w:p>
            <w:pPr>
              <w:pStyle w:val="22"/>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bl>
    <w:p>
      <w:pPr>
        <w:rPr>
          <w:sz w:val="2"/>
          <w:szCs w:val="2"/>
        </w:rPr>
      </w:pPr>
    </w:p>
    <w:p/>
    <w:p/>
    <w:p/>
    <w:p/>
    <w:p>
      <w:pPr>
        <w:spacing w:line="440" w:lineRule="exact"/>
        <w:ind w:firstLine="4950" w:firstLineChars="2250"/>
        <w:rPr>
          <w:rFonts w:ascii="PQPMNW+ËÎÌå" w:hAnsi="PQPMNW+ËÎÌå" w:cs="PQPMNW+ËÎÌå"/>
          <w:spacing w:val="-1"/>
        </w:rPr>
      </w:pPr>
      <w:r>
        <w:rPr>
          <w:rFonts w:hint="eastAsia"/>
        </w:rPr>
        <w:tab/>
      </w: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tabs>
          <w:tab w:val="left" w:pos="3746"/>
        </w:tabs>
        <w:sectPr>
          <w:pgSz w:w="11910" w:h="16840"/>
          <w:pgMar w:top="1220" w:right="920" w:bottom="1180" w:left="1320" w:header="882" w:footer="989" w:gutter="0"/>
          <w:cols w:space="720" w:num="1"/>
        </w:sectPr>
      </w:pPr>
    </w:p>
    <w:p>
      <w:pPr>
        <w:pStyle w:val="11"/>
        <w:rPr>
          <w:sz w:val="26"/>
        </w:rPr>
      </w:pPr>
    </w:p>
    <w:p>
      <w:pPr>
        <w:spacing w:before="62"/>
        <w:ind w:left="35" w:right="199"/>
        <w:jc w:val="center"/>
        <w:rPr>
          <w:sz w:val="28"/>
        </w:rPr>
      </w:pPr>
      <w:bookmarkStart w:id="98" w:name="_TOC_250006"/>
      <w:bookmarkEnd w:id="98"/>
      <w:r>
        <w:rPr>
          <w:rFonts w:hint="eastAsia"/>
          <w:sz w:val="28"/>
        </w:rPr>
        <w:t>七、资格审查资料</w:t>
      </w:r>
    </w:p>
    <w:p>
      <w:pPr>
        <w:pStyle w:val="11"/>
        <w:spacing w:before="63" w:after="7"/>
        <w:ind w:left="1" w:right="199"/>
        <w:jc w:val="center"/>
      </w:pPr>
      <w:bookmarkStart w:id="99" w:name="（一）投标人基本情况表"/>
      <w:bookmarkEnd w:id="99"/>
      <w:r>
        <w:rPr>
          <w:rFonts w:hint="eastAsia"/>
        </w:rPr>
        <w:t>（一）投标人基本情况表</w:t>
      </w:r>
    </w:p>
    <w:tbl>
      <w:tblPr>
        <w:tblStyle w:val="19"/>
        <w:tblW w:w="8925"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900"/>
        <w:gridCol w:w="1080"/>
        <w:gridCol w:w="529"/>
        <w:gridCol w:w="731"/>
        <w:gridCol w:w="1078"/>
        <w:gridCol w:w="182"/>
        <w:gridCol w:w="901"/>
        <w:gridCol w:w="1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2" w:beforeAutospacing="0" w:after="0" w:afterAutospacing="0"/>
              <w:ind w:left="130" w:right="125"/>
              <w:jc w:val="center"/>
              <w:rPr>
                <w:rFonts w:hint="default"/>
                <w:sz w:val="20"/>
              </w:rPr>
            </w:pPr>
            <w:r>
              <w:rPr>
                <w:rFonts w:hint="eastAsia"/>
                <w:sz w:val="20"/>
              </w:rPr>
              <w:t>投标人名称</w:t>
            </w:r>
          </w:p>
        </w:tc>
        <w:tc>
          <w:tcPr>
            <w:tcW w:w="7020" w:type="dxa"/>
            <w:gridSpan w:val="8"/>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3"/>
              <w:jc w:val="center"/>
              <w:rPr>
                <w:rFonts w:hint="default"/>
                <w:sz w:val="20"/>
              </w:rPr>
            </w:pPr>
            <w:r>
              <w:rPr>
                <w:rFonts w:hint="eastAsia"/>
                <w:sz w:val="20"/>
              </w:rPr>
              <w:t>注册地址</w:t>
            </w:r>
          </w:p>
        </w:tc>
        <w:tc>
          <w:tcPr>
            <w:tcW w:w="3240" w:type="dxa"/>
            <w:gridSpan w:val="4"/>
          </w:tcPr>
          <w:p>
            <w:pPr>
              <w:pStyle w:val="22"/>
              <w:keepNext w:val="0"/>
              <w:keepLines w:val="0"/>
              <w:suppressLineNumbers w:val="0"/>
              <w:spacing w:before="0" w:beforeAutospacing="0" w:after="0" w:afterAutospacing="0"/>
              <w:ind w:left="0" w:right="0"/>
              <w:rPr>
                <w:rFonts w:hint="default"/>
                <w:sz w:val="20"/>
              </w:rPr>
            </w:pPr>
          </w:p>
        </w:tc>
        <w:tc>
          <w:tcPr>
            <w:tcW w:w="1078" w:type="dxa"/>
          </w:tcPr>
          <w:p>
            <w:pPr>
              <w:pStyle w:val="22"/>
              <w:keepNext w:val="0"/>
              <w:keepLines w:val="0"/>
              <w:suppressLineNumbers w:val="0"/>
              <w:spacing w:before="153" w:beforeAutospacing="0" w:after="0" w:afterAutospacing="0"/>
              <w:ind w:left="119" w:right="109"/>
              <w:jc w:val="center"/>
              <w:rPr>
                <w:rFonts w:hint="default"/>
                <w:sz w:val="20"/>
              </w:rPr>
            </w:pPr>
            <w:r>
              <w:rPr>
                <w:rFonts w:hint="eastAsia"/>
                <w:sz w:val="20"/>
              </w:rPr>
              <w:t>邮政编码</w:t>
            </w:r>
          </w:p>
        </w:tc>
        <w:tc>
          <w:tcPr>
            <w:tcW w:w="2702" w:type="dxa"/>
            <w:gridSpan w:val="3"/>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restart"/>
          </w:tcPr>
          <w:p>
            <w:pPr>
              <w:pStyle w:val="22"/>
              <w:keepNext w:val="0"/>
              <w:keepLines w:val="0"/>
              <w:suppressLineNumbers w:val="0"/>
              <w:spacing w:before="6" w:beforeAutospacing="0" w:after="0" w:afterAutospacing="0"/>
              <w:ind w:left="0" w:right="0"/>
              <w:rPr>
                <w:rFonts w:hint="default"/>
                <w:sz w:val="29"/>
              </w:rPr>
            </w:pPr>
          </w:p>
          <w:p>
            <w:pPr>
              <w:pStyle w:val="22"/>
              <w:keepNext w:val="0"/>
              <w:keepLines w:val="0"/>
              <w:suppressLineNumbers w:val="0"/>
              <w:spacing w:before="0" w:beforeAutospacing="0" w:after="0" w:afterAutospacing="0"/>
              <w:ind w:left="551" w:right="0"/>
              <w:rPr>
                <w:rFonts w:hint="default"/>
                <w:sz w:val="20"/>
              </w:rPr>
            </w:pPr>
            <w:r>
              <w:rPr>
                <w:rFonts w:hint="eastAsia"/>
                <w:sz w:val="20"/>
              </w:rPr>
              <w:t>联系方式</w:t>
            </w:r>
          </w:p>
        </w:tc>
        <w:tc>
          <w:tcPr>
            <w:tcW w:w="900" w:type="dxa"/>
          </w:tcPr>
          <w:p>
            <w:pPr>
              <w:pStyle w:val="22"/>
              <w:keepNext w:val="0"/>
              <w:keepLines w:val="0"/>
              <w:suppressLineNumbers w:val="0"/>
              <w:spacing w:before="152" w:beforeAutospacing="0" w:after="0" w:afterAutospacing="0"/>
              <w:ind w:left="8" w:right="0"/>
              <w:jc w:val="center"/>
              <w:rPr>
                <w:rFonts w:hint="default"/>
                <w:sz w:val="20"/>
              </w:rPr>
            </w:pPr>
            <w:r>
              <w:rPr>
                <w:rFonts w:hint="eastAsia"/>
                <w:sz w:val="20"/>
              </w:rPr>
              <w:t>联系人</w:t>
            </w:r>
          </w:p>
        </w:tc>
        <w:tc>
          <w:tcPr>
            <w:tcW w:w="2340" w:type="dxa"/>
            <w:gridSpan w:val="3"/>
          </w:tcPr>
          <w:p>
            <w:pPr>
              <w:pStyle w:val="22"/>
              <w:keepNext w:val="0"/>
              <w:keepLines w:val="0"/>
              <w:suppressLineNumbers w:val="0"/>
              <w:spacing w:before="0" w:beforeAutospacing="0" w:after="0" w:afterAutospacing="0"/>
              <w:ind w:left="0" w:right="0"/>
              <w:rPr>
                <w:rFonts w:hint="default"/>
                <w:sz w:val="20"/>
              </w:rPr>
            </w:pPr>
          </w:p>
        </w:tc>
        <w:tc>
          <w:tcPr>
            <w:tcW w:w="1078" w:type="dxa"/>
          </w:tcPr>
          <w:p>
            <w:pPr>
              <w:pStyle w:val="22"/>
              <w:keepNext w:val="0"/>
              <w:keepLines w:val="0"/>
              <w:suppressLineNumbers w:val="0"/>
              <w:spacing w:before="152" w:beforeAutospacing="0" w:after="0" w:afterAutospacing="0"/>
              <w:ind w:left="116" w:right="109"/>
              <w:jc w:val="center"/>
              <w:rPr>
                <w:rFonts w:hint="default"/>
                <w:sz w:val="20"/>
              </w:rPr>
            </w:pPr>
            <w:r>
              <w:rPr>
                <w:rFonts w:hint="eastAsia"/>
                <w:sz w:val="20"/>
              </w:rPr>
              <w:t>电 话</w:t>
            </w:r>
          </w:p>
        </w:tc>
        <w:tc>
          <w:tcPr>
            <w:tcW w:w="2702" w:type="dxa"/>
            <w:gridSpan w:val="3"/>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900" w:type="dxa"/>
          </w:tcPr>
          <w:p>
            <w:pPr>
              <w:pStyle w:val="22"/>
              <w:keepNext w:val="0"/>
              <w:keepLines w:val="0"/>
              <w:suppressLineNumbers w:val="0"/>
              <w:tabs>
                <w:tab w:val="left" w:pos="408"/>
              </w:tabs>
              <w:spacing w:before="153" w:beforeAutospacing="0" w:after="0" w:afterAutospacing="0"/>
              <w:ind w:left="8" w:right="0"/>
              <w:jc w:val="center"/>
              <w:rPr>
                <w:rFonts w:hint="default"/>
                <w:sz w:val="20"/>
              </w:rPr>
            </w:pPr>
            <w:r>
              <w:rPr>
                <w:rFonts w:hint="eastAsia"/>
                <w:sz w:val="20"/>
              </w:rPr>
              <w:t>传</w:t>
            </w:r>
            <w:r>
              <w:rPr>
                <w:rFonts w:hint="eastAsia"/>
                <w:sz w:val="20"/>
              </w:rPr>
              <w:tab/>
            </w:r>
            <w:r>
              <w:rPr>
                <w:rFonts w:hint="eastAsia"/>
                <w:sz w:val="20"/>
              </w:rPr>
              <w:t>真</w:t>
            </w:r>
          </w:p>
        </w:tc>
        <w:tc>
          <w:tcPr>
            <w:tcW w:w="2340" w:type="dxa"/>
            <w:gridSpan w:val="3"/>
          </w:tcPr>
          <w:p>
            <w:pPr>
              <w:pStyle w:val="22"/>
              <w:keepNext w:val="0"/>
              <w:keepLines w:val="0"/>
              <w:suppressLineNumbers w:val="0"/>
              <w:spacing w:before="0" w:beforeAutospacing="0" w:after="0" w:afterAutospacing="0"/>
              <w:ind w:left="0" w:right="0"/>
              <w:rPr>
                <w:rFonts w:hint="default"/>
                <w:sz w:val="20"/>
              </w:rPr>
            </w:pPr>
          </w:p>
        </w:tc>
        <w:tc>
          <w:tcPr>
            <w:tcW w:w="1078" w:type="dxa"/>
          </w:tcPr>
          <w:p>
            <w:pPr>
              <w:pStyle w:val="22"/>
              <w:keepNext w:val="0"/>
              <w:keepLines w:val="0"/>
              <w:suppressLineNumbers w:val="0"/>
              <w:spacing w:before="153" w:beforeAutospacing="0" w:after="0" w:afterAutospacing="0"/>
              <w:ind w:left="119" w:right="109"/>
              <w:jc w:val="center"/>
              <w:rPr>
                <w:rFonts w:hint="default"/>
                <w:sz w:val="20"/>
              </w:rPr>
            </w:pPr>
            <w:r>
              <w:rPr>
                <w:rFonts w:hint="eastAsia"/>
                <w:sz w:val="20"/>
              </w:rPr>
              <w:t>电子邮件</w:t>
            </w:r>
          </w:p>
        </w:tc>
        <w:tc>
          <w:tcPr>
            <w:tcW w:w="2702" w:type="dxa"/>
            <w:gridSpan w:val="3"/>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2" w:beforeAutospacing="0" w:after="0" w:afterAutospacing="0"/>
              <w:ind w:left="130" w:right="125"/>
              <w:jc w:val="center"/>
              <w:rPr>
                <w:rFonts w:hint="default"/>
                <w:sz w:val="20"/>
              </w:rPr>
            </w:pPr>
            <w:r>
              <w:rPr>
                <w:rFonts w:hint="eastAsia"/>
                <w:sz w:val="20"/>
              </w:rPr>
              <w:t>法定代表人</w:t>
            </w:r>
          </w:p>
        </w:tc>
        <w:tc>
          <w:tcPr>
            <w:tcW w:w="900" w:type="dxa"/>
          </w:tcPr>
          <w:p>
            <w:pPr>
              <w:pStyle w:val="22"/>
              <w:keepNext w:val="0"/>
              <w:keepLines w:val="0"/>
              <w:suppressLineNumbers w:val="0"/>
              <w:spacing w:before="152" w:beforeAutospacing="0" w:after="0" w:afterAutospacing="0"/>
              <w:ind w:left="8" w:right="0"/>
              <w:jc w:val="center"/>
              <w:rPr>
                <w:rFonts w:hint="default"/>
                <w:sz w:val="20"/>
              </w:rPr>
            </w:pPr>
            <w:r>
              <w:rPr>
                <w:rFonts w:hint="eastAsia"/>
                <w:sz w:val="20"/>
              </w:rPr>
              <w:t>姓名</w:t>
            </w:r>
          </w:p>
        </w:tc>
        <w:tc>
          <w:tcPr>
            <w:tcW w:w="1080" w:type="dxa"/>
          </w:tcPr>
          <w:p>
            <w:pPr>
              <w:pStyle w:val="22"/>
              <w:keepNext w:val="0"/>
              <w:keepLines w:val="0"/>
              <w:suppressLineNumbers w:val="0"/>
              <w:spacing w:before="0" w:beforeAutospacing="0" w:after="0" w:afterAutospacing="0"/>
              <w:ind w:left="0" w:right="0"/>
              <w:rPr>
                <w:rFonts w:hint="default"/>
                <w:sz w:val="20"/>
              </w:rPr>
            </w:pPr>
          </w:p>
        </w:tc>
        <w:tc>
          <w:tcPr>
            <w:tcW w:w="1260" w:type="dxa"/>
            <w:gridSpan w:val="2"/>
          </w:tcPr>
          <w:p>
            <w:pPr>
              <w:pStyle w:val="22"/>
              <w:keepNext w:val="0"/>
              <w:keepLines w:val="0"/>
              <w:suppressLineNumbers w:val="0"/>
              <w:spacing w:before="152" w:beforeAutospacing="0" w:after="0" w:afterAutospacing="0"/>
              <w:ind w:left="230" w:right="0"/>
              <w:rPr>
                <w:rFonts w:hint="default"/>
                <w:sz w:val="20"/>
              </w:rPr>
            </w:pPr>
            <w:r>
              <w:rPr>
                <w:rFonts w:hint="eastAsia"/>
                <w:sz w:val="20"/>
              </w:rPr>
              <w:t>技术职称</w:t>
            </w:r>
          </w:p>
        </w:tc>
        <w:tc>
          <w:tcPr>
            <w:tcW w:w="1078" w:type="dxa"/>
          </w:tcPr>
          <w:p>
            <w:pPr>
              <w:pStyle w:val="22"/>
              <w:keepNext w:val="0"/>
              <w:keepLines w:val="0"/>
              <w:suppressLineNumbers w:val="0"/>
              <w:spacing w:before="0" w:beforeAutospacing="0" w:after="0" w:afterAutospacing="0"/>
              <w:ind w:left="0" w:right="0"/>
              <w:rPr>
                <w:rFonts w:hint="default"/>
                <w:sz w:val="20"/>
              </w:rPr>
            </w:pPr>
          </w:p>
        </w:tc>
        <w:tc>
          <w:tcPr>
            <w:tcW w:w="1083" w:type="dxa"/>
            <w:gridSpan w:val="2"/>
          </w:tcPr>
          <w:p>
            <w:pPr>
              <w:pStyle w:val="22"/>
              <w:keepNext w:val="0"/>
              <w:keepLines w:val="0"/>
              <w:suppressLineNumbers w:val="0"/>
              <w:spacing w:before="152" w:beforeAutospacing="0" w:after="0" w:afterAutospacing="0"/>
              <w:ind w:left="340" w:right="0"/>
              <w:rPr>
                <w:rFonts w:hint="default"/>
                <w:sz w:val="20"/>
              </w:rPr>
            </w:pPr>
            <w:r>
              <w:rPr>
                <w:rFonts w:hint="eastAsia"/>
                <w:sz w:val="20"/>
              </w:rPr>
              <w:t>电话</w:t>
            </w:r>
          </w:p>
        </w:tc>
        <w:tc>
          <w:tcPr>
            <w:tcW w:w="1619"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5"/>
              <w:jc w:val="center"/>
              <w:rPr>
                <w:rFonts w:hint="default"/>
                <w:sz w:val="20"/>
              </w:rPr>
            </w:pPr>
            <w:r>
              <w:rPr>
                <w:rFonts w:hint="eastAsia"/>
                <w:sz w:val="20"/>
              </w:rPr>
              <w:t>技术负责人</w:t>
            </w:r>
          </w:p>
        </w:tc>
        <w:tc>
          <w:tcPr>
            <w:tcW w:w="900" w:type="dxa"/>
          </w:tcPr>
          <w:p>
            <w:pPr>
              <w:pStyle w:val="22"/>
              <w:keepNext w:val="0"/>
              <w:keepLines w:val="0"/>
              <w:suppressLineNumbers w:val="0"/>
              <w:spacing w:before="153" w:beforeAutospacing="0" w:after="0" w:afterAutospacing="0"/>
              <w:ind w:left="8" w:right="0"/>
              <w:jc w:val="center"/>
              <w:rPr>
                <w:rFonts w:hint="default"/>
                <w:sz w:val="20"/>
              </w:rPr>
            </w:pPr>
            <w:r>
              <w:rPr>
                <w:rFonts w:hint="eastAsia"/>
                <w:sz w:val="20"/>
              </w:rPr>
              <w:t>姓名</w:t>
            </w:r>
          </w:p>
        </w:tc>
        <w:tc>
          <w:tcPr>
            <w:tcW w:w="1080" w:type="dxa"/>
          </w:tcPr>
          <w:p>
            <w:pPr>
              <w:pStyle w:val="22"/>
              <w:keepNext w:val="0"/>
              <w:keepLines w:val="0"/>
              <w:suppressLineNumbers w:val="0"/>
              <w:spacing w:before="0" w:beforeAutospacing="0" w:after="0" w:afterAutospacing="0"/>
              <w:ind w:left="0" w:right="0"/>
              <w:rPr>
                <w:rFonts w:hint="default"/>
                <w:sz w:val="20"/>
              </w:rPr>
            </w:pPr>
          </w:p>
        </w:tc>
        <w:tc>
          <w:tcPr>
            <w:tcW w:w="1260" w:type="dxa"/>
            <w:gridSpan w:val="2"/>
          </w:tcPr>
          <w:p>
            <w:pPr>
              <w:pStyle w:val="22"/>
              <w:keepNext w:val="0"/>
              <w:keepLines w:val="0"/>
              <w:suppressLineNumbers w:val="0"/>
              <w:spacing w:before="153" w:beforeAutospacing="0" w:after="0" w:afterAutospacing="0"/>
              <w:ind w:left="230" w:right="0"/>
              <w:rPr>
                <w:rFonts w:hint="default"/>
                <w:sz w:val="20"/>
              </w:rPr>
            </w:pPr>
            <w:r>
              <w:rPr>
                <w:rFonts w:hint="eastAsia"/>
                <w:sz w:val="20"/>
              </w:rPr>
              <w:t>技术职称</w:t>
            </w:r>
          </w:p>
        </w:tc>
        <w:tc>
          <w:tcPr>
            <w:tcW w:w="1078" w:type="dxa"/>
          </w:tcPr>
          <w:p>
            <w:pPr>
              <w:pStyle w:val="22"/>
              <w:keepNext w:val="0"/>
              <w:keepLines w:val="0"/>
              <w:suppressLineNumbers w:val="0"/>
              <w:spacing w:before="0" w:beforeAutospacing="0" w:after="0" w:afterAutospacing="0"/>
              <w:ind w:left="0" w:right="0"/>
              <w:rPr>
                <w:rFonts w:hint="default"/>
                <w:sz w:val="20"/>
              </w:rPr>
            </w:pPr>
          </w:p>
        </w:tc>
        <w:tc>
          <w:tcPr>
            <w:tcW w:w="1083" w:type="dxa"/>
            <w:gridSpan w:val="2"/>
          </w:tcPr>
          <w:p>
            <w:pPr>
              <w:pStyle w:val="22"/>
              <w:keepNext w:val="0"/>
              <w:keepLines w:val="0"/>
              <w:suppressLineNumbers w:val="0"/>
              <w:spacing w:before="153" w:beforeAutospacing="0" w:after="0" w:afterAutospacing="0"/>
              <w:ind w:left="340" w:right="0"/>
              <w:rPr>
                <w:rFonts w:hint="default"/>
                <w:sz w:val="20"/>
              </w:rPr>
            </w:pPr>
            <w:r>
              <w:rPr>
                <w:rFonts w:hint="eastAsia"/>
                <w:sz w:val="20"/>
              </w:rPr>
              <w:t>电话</w:t>
            </w:r>
          </w:p>
        </w:tc>
        <w:tc>
          <w:tcPr>
            <w:tcW w:w="1619"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2" w:beforeAutospacing="0" w:after="0" w:afterAutospacing="0"/>
              <w:ind w:left="130" w:right="125"/>
              <w:jc w:val="center"/>
              <w:rPr>
                <w:rFonts w:hint="default"/>
                <w:sz w:val="20"/>
              </w:rPr>
            </w:pPr>
            <w:r>
              <w:rPr>
                <w:rFonts w:hint="eastAsia"/>
                <w:sz w:val="20"/>
              </w:rPr>
              <w:t>营业执照号</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040" w:type="dxa"/>
            <w:gridSpan w:val="6"/>
          </w:tcPr>
          <w:p>
            <w:pPr>
              <w:pStyle w:val="22"/>
              <w:keepNext w:val="0"/>
              <w:keepLines w:val="0"/>
              <w:suppressLineNumbers w:val="0"/>
              <w:spacing w:before="152" w:beforeAutospacing="0" w:after="0" w:afterAutospacing="0"/>
              <w:ind w:left="1950" w:right="1839"/>
              <w:jc w:val="center"/>
              <w:rPr>
                <w:rFonts w:hint="default"/>
                <w:sz w:val="20"/>
              </w:rPr>
            </w:pPr>
            <w:r>
              <w:rPr>
                <w:rFonts w:hint="eastAsia"/>
                <w:sz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1"/>
              <w:jc w:val="center"/>
              <w:rPr>
                <w:rFonts w:hint="default"/>
                <w:sz w:val="20"/>
              </w:rPr>
            </w:pPr>
            <w:r>
              <w:rPr>
                <w:rFonts w:hint="eastAsia"/>
                <w:sz w:val="20"/>
              </w:rPr>
              <w:t>企业资质等级</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29" w:type="dxa"/>
            <w:vMerge w:val="restart"/>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12" w:beforeAutospacing="0" w:after="0" w:afterAutospacing="0"/>
              <w:ind w:left="0" w:right="0"/>
              <w:rPr>
                <w:rFonts w:hint="default"/>
                <w:sz w:val="24"/>
              </w:rPr>
            </w:pPr>
          </w:p>
          <w:p>
            <w:pPr>
              <w:pStyle w:val="22"/>
              <w:keepNext w:val="0"/>
              <w:keepLines w:val="0"/>
              <w:suppressLineNumbers w:val="0"/>
              <w:spacing w:before="1" w:beforeAutospacing="0" w:after="0" w:afterAutospacing="0" w:line="410" w:lineRule="auto"/>
              <w:ind w:left="108" w:right="209"/>
              <w:rPr>
                <w:rFonts w:hint="default"/>
                <w:sz w:val="20"/>
              </w:rPr>
            </w:pPr>
            <w:r>
              <w:rPr>
                <w:rFonts w:hint="eastAsia"/>
                <w:sz w:val="20"/>
              </w:rPr>
              <w:t>其中</w:t>
            </w:r>
          </w:p>
        </w:tc>
        <w:tc>
          <w:tcPr>
            <w:tcW w:w="1991" w:type="dxa"/>
            <w:gridSpan w:val="3"/>
          </w:tcPr>
          <w:p>
            <w:pPr>
              <w:pStyle w:val="22"/>
              <w:keepNext w:val="0"/>
              <w:keepLines w:val="0"/>
              <w:suppressLineNumbers w:val="0"/>
              <w:spacing w:before="153" w:beforeAutospacing="0" w:after="0" w:afterAutospacing="0"/>
              <w:ind w:left="594" w:right="0"/>
              <w:rPr>
                <w:rFonts w:hint="default"/>
                <w:sz w:val="20"/>
              </w:rPr>
            </w:pPr>
            <w:r>
              <w:rPr>
                <w:rFonts w:hint="eastAsia"/>
                <w:sz w:val="20"/>
              </w:rPr>
              <w:t>项目经理</w:t>
            </w:r>
          </w:p>
        </w:tc>
        <w:tc>
          <w:tcPr>
            <w:tcW w:w="2520" w:type="dxa"/>
            <w:gridSpan w:val="2"/>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2" w:beforeAutospacing="0" w:after="0" w:afterAutospacing="0"/>
              <w:ind w:left="130" w:right="123"/>
              <w:jc w:val="center"/>
              <w:rPr>
                <w:rFonts w:hint="default"/>
                <w:sz w:val="20"/>
              </w:rPr>
            </w:pPr>
            <w:r>
              <w:rPr>
                <w:rFonts w:hint="eastAsia"/>
                <w:sz w:val="20"/>
              </w:rPr>
              <w:t>注册资本</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2"/>
              <w:keepNext w:val="0"/>
              <w:keepLines w:val="0"/>
              <w:suppressLineNumbers w:val="0"/>
              <w:spacing w:before="152" w:beforeAutospacing="0" w:after="0" w:afterAutospacing="0"/>
              <w:ind w:left="395" w:right="0"/>
              <w:rPr>
                <w:rFonts w:hint="default"/>
                <w:sz w:val="20"/>
              </w:rPr>
            </w:pPr>
            <w:r>
              <w:rPr>
                <w:rFonts w:hint="eastAsia"/>
                <w:sz w:val="20"/>
              </w:rPr>
              <w:t>高级职称人员</w:t>
            </w:r>
          </w:p>
        </w:tc>
        <w:tc>
          <w:tcPr>
            <w:tcW w:w="2520" w:type="dxa"/>
            <w:gridSpan w:val="2"/>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3"/>
              <w:jc w:val="center"/>
              <w:rPr>
                <w:rFonts w:hint="default"/>
                <w:sz w:val="20"/>
              </w:rPr>
            </w:pPr>
            <w:r>
              <w:rPr>
                <w:rFonts w:hint="eastAsia"/>
                <w:sz w:val="20"/>
              </w:rPr>
              <w:t>成立日期</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2"/>
              <w:keepNext w:val="0"/>
              <w:keepLines w:val="0"/>
              <w:suppressLineNumbers w:val="0"/>
              <w:spacing w:before="153" w:beforeAutospacing="0" w:after="0" w:afterAutospacing="0"/>
              <w:ind w:left="395" w:right="0"/>
              <w:rPr>
                <w:rFonts w:hint="default"/>
                <w:sz w:val="20"/>
              </w:rPr>
            </w:pPr>
            <w:r>
              <w:rPr>
                <w:rFonts w:hint="eastAsia"/>
                <w:sz w:val="20"/>
              </w:rPr>
              <w:t>中级职称人员</w:t>
            </w:r>
          </w:p>
        </w:tc>
        <w:tc>
          <w:tcPr>
            <w:tcW w:w="2520" w:type="dxa"/>
            <w:gridSpan w:val="2"/>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2" w:beforeAutospacing="0" w:after="0" w:afterAutospacing="0"/>
              <w:ind w:left="130" w:right="125"/>
              <w:jc w:val="center"/>
              <w:rPr>
                <w:rFonts w:hint="default"/>
                <w:sz w:val="20"/>
              </w:rPr>
            </w:pPr>
            <w:r>
              <w:rPr>
                <w:rFonts w:hint="eastAsia"/>
                <w:sz w:val="20"/>
              </w:rPr>
              <w:t>基本账户开户银行</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2"/>
              <w:keepNext w:val="0"/>
              <w:keepLines w:val="0"/>
              <w:suppressLineNumbers w:val="0"/>
              <w:spacing w:before="152" w:beforeAutospacing="0" w:after="0" w:afterAutospacing="0"/>
              <w:ind w:left="395" w:right="0"/>
              <w:rPr>
                <w:rFonts w:hint="default"/>
                <w:sz w:val="20"/>
              </w:rPr>
            </w:pPr>
            <w:r>
              <w:rPr>
                <w:rFonts w:hint="eastAsia"/>
                <w:sz w:val="20"/>
              </w:rPr>
              <w:t>初级职称人员</w:t>
            </w:r>
          </w:p>
        </w:tc>
        <w:tc>
          <w:tcPr>
            <w:tcW w:w="2520" w:type="dxa"/>
            <w:gridSpan w:val="2"/>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5"/>
              <w:jc w:val="center"/>
              <w:rPr>
                <w:rFonts w:hint="default"/>
                <w:sz w:val="20"/>
              </w:rPr>
            </w:pPr>
            <w:r>
              <w:rPr>
                <w:rFonts w:hint="eastAsia"/>
                <w:sz w:val="20"/>
              </w:rPr>
              <w:t>基本账户银行账号</w:t>
            </w:r>
          </w:p>
        </w:tc>
        <w:tc>
          <w:tcPr>
            <w:tcW w:w="1980" w:type="dxa"/>
            <w:gridSpan w:val="2"/>
          </w:tcPr>
          <w:p>
            <w:pPr>
              <w:pStyle w:val="22"/>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2"/>
              <w:keepNext w:val="0"/>
              <w:keepLines w:val="0"/>
              <w:suppressLineNumbers w:val="0"/>
              <w:spacing w:before="91" w:beforeAutospacing="0" w:after="0" w:afterAutospacing="0"/>
              <w:ind w:left="772" w:right="768"/>
              <w:jc w:val="center"/>
              <w:rPr>
                <w:rFonts w:hint="default"/>
                <w:sz w:val="20"/>
              </w:rPr>
            </w:pPr>
            <w:r>
              <w:rPr>
                <w:rFonts w:hint="eastAsia"/>
                <w:sz w:val="20"/>
              </w:rPr>
              <w:t>技工</w:t>
            </w:r>
          </w:p>
        </w:tc>
        <w:tc>
          <w:tcPr>
            <w:tcW w:w="2520" w:type="dxa"/>
            <w:gridSpan w:val="2"/>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1905" w:type="dxa"/>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5" w:beforeAutospacing="0" w:after="0" w:afterAutospacing="0"/>
              <w:ind w:left="0" w:right="0"/>
              <w:rPr>
                <w:rFonts w:hint="default"/>
                <w:sz w:val="23"/>
              </w:rPr>
            </w:pPr>
          </w:p>
          <w:p>
            <w:pPr>
              <w:pStyle w:val="22"/>
              <w:keepNext w:val="0"/>
              <w:keepLines w:val="0"/>
              <w:suppressLineNumbers w:val="0"/>
              <w:spacing w:before="0" w:beforeAutospacing="0" w:after="0" w:afterAutospacing="0"/>
              <w:ind w:left="130" w:right="123"/>
              <w:jc w:val="center"/>
              <w:rPr>
                <w:rFonts w:hint="default"/>
                <w:sz w:val="20"/>
              </w:rPr>
            </w:pPr>
            <w:r>
              <w:rPr>
                <w:rFonts w:hint="eastAsia"/>
                <w:sz w:val="20"/>
              </w:rPr>
              <w:t>经营范围</w:t>
            </w:r>
          </w:p>
        </w:tc>
        <w:tc>
          <w:tcPr>
            <w:tcW w:w="7020" w:type="dxa"/>
            <w:gridSpan w:val="8"/>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1905" w:type="dxa"/>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1" w:beforeAutospacing="0" w:after="0" w:afterAutospacing="0"/>
              <w:ind w:left="0" w:right="0"/>
              <w:rPr>
                <w:rFonts w:hint="default"/>
                <w:sz w:val="17"/>
              </w:rPr>
            </w:pPr>
          </w:p>
          <w:p>
            <w:pPr>
              <w:pStyle w:val="22"/>
              <w:keepNext w:val="0"/>
              <w:keepLines w:val="0"/>
              <w:suppressLineNumbers w:val="0"/>
              <w:spacing w:before="0" w:beforeAutospacing="0" w:after="0" w:afterAutospacing="0" w:line="412" w:lineRule="auto"/>
              <w:ind w:left="750" w:right="242" w:hanging="500"/>
              <w:rPr>
                <w:rFonts w:hint="default"/>
                <w:sz w:val="20"/>
              </w:rPr>
            </w:pPr>
            <w:r>
              <w:rPr>
                <w:rFonts w:hint="eastAsia"/>
                <w:sz w:val="20"/>
              </w:rPr>
              <w:t>投标人关联企业情况</w:t>
            </w:r>
          </w:p>
        </w:tc>
        <w:tc>
          <w:tcPr>
            <w:tcW w:w="7020" w:type="dxa"/>
            <w:gridSpan w:val="8"/>
          </w:tcPr>
          <w:p>
            <w:pPr>
              <w:pStyle w:val="22"/>
              <w:keepNext w:val="0"/>
              <w:keepLines w:val="0"/>
              <w:suppressLineNumbers w:val="0"/>
              <w:spacing w:before="144" w:beforeAutospacing="0" w:after="0" w:afterAutospacing="0"/>
              <w:ind w:left="108" w:right="0"/>
              <w:rPr>
                <w:rFonts w:hint="default"/>
                <w:sz w:val="20"/>
              </w:rPr>
            </w:pPr>
            <w:r>
              <w:rPr>
                <w:rFonts w:hint="eastAsia"/>
                <w:sz w:val="20"/>
              </w:rPr>
              <w:t>投标人应提供关联企业情况，包括：</w:t>
            </w:r>
          </w:p>
          <w:p>
            <w:pPr>
              <w:pStyle w:val="22"/>
              <w:keepNext w:val="0"/>
              <w:keepLines w:val="0"/>
              <w:numPr>
                <w:ilvl w:val="0"/>
                <w:numId w:val="72"/>
              </w:numPr>
              <w:suppressLineNumbers w:val="0"/>
              <w:tabs>
                <w:tab w:val="left" w:pos="508"/>
              </w:tabs>
              <w:spacing w:before="142" w:beforeAutospacing="0" w:after="0" w:afterAutospacing="0"/>
              <w:ind w:right="0" w:hanging="501"/>
              <w:rPr>
                <w:rFonts w:hint="default"/>
                <w:sz w:val="20"/>
              </w:rPr>
            </w:pPr>
            <w:r>
              <w:rPr>
                <w:rFonts w:hint="eastAsia"/>
                <w:sz w:val="20"/>
              </w:rPr>
              <w:t>投标人的所有股东名称及相应股权（出资额）比例</w:t>
            </w:r>
          </w:p>
          <w:p>
            <w:pPr>
              <w:pStyle w:val="22"/>
              <w:keepNext w:val="0"/>
              <w:keepLines w:val="0"/>
              <w:numPr>
                <w:ilvl w:val="0"/>
                <w:numId w:val="72"/>
              </w:numPr>
              <w:suppressLineNumbers w:val="0"/>
              <w:tabs>
                <w:tab w:val="left" w:pos="508"/>
              </w:tabs>
              <w:spacing w:before="144" w:beforeAutospacing="0" w:after="0" w:afterAutospacing="0"/>
              <w:ind w:right="0" w:hanging="501"/>
              <w:rPr>
                <w:rFonts w:hint="default"/>
                <w:sz w:val="20"/>
              </w:rPr>
            </w:pPr>
            <w:r>
              <w:rPr>
                <w:rFonts w:hint="eastAsia"/>
                <w:sz w:val="20"/>
              </w:rPr>
              <w:t>投标人投资（控股）或管理的下属企业名称、持有股权（出资额）比例；</w:t>
            </w:r>
          </w:p>
          <w:p>
            <w:pPr>
              <w:pStyle w:val="22"/>
              <w:keepNext w:val="0"/>
              <w:keepLines w:val="0"/>
              <w:numPr>
                <w:ilvl w:val="0"/>
                <w:numId w:val="72"/>
              </w:numPr>
              <w:suppressLineNumbers w:val="0"/>
              <w:tabs>
                <w:tab w:val="left" w:pos="508"/>
              </w:tabs>
              <w:spacing w:before="145" w:beforeAutospacing="0" w:after="0" w:afterAutospacing="0"/>
              <w:ind w:right="0" w:hanging="501"/>
              <w:rPr>
                <w:rFonts w:hint="default"/>
                <w:sz w:val="20"/>
              </w:rPr>
            </w:pPr>
            <w:r>
              <w:rPr>
                <w:rFonts w:hint="eastAsia"/>
                <w:sz w:val="20"/>
              </w:rPr>
              <w:t>与投标人单位负责人（即法定代表人）为同一人的其他单位名称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2"/>
              <w:keepNext w:val="0"/>
              <w:keepLines w:val="0"/>
              <w:suppressLineNumbers w:val="0"/>
              <w:spacing w:before="153" w:beforeAutospacing="0" w:after="0" w:afterAutospacing="0"/>
              <w:ind w:left="130" w:right="125"/>
              <w:jc w:val="center"/>
              <w:rPr>
                <w:rFonts w:hint="default"/>
                <w:sz w:val="20"/>
              </w:rPr>
            </w:pPr>
            <w:r>
              <w:rPr>
                <w:rFonts w:hint="eastAsia"/>
                <w:sz w:val="20"/>
              </w:rPr>
              <w:t>备注</w:t>
            </w:r>
          </w:p>
        </w:tc>
        <w:tc>
          <w:tcPr>
            <w:tcW w:w="7020" w:type="dxa"/>
            <w:gridSpan w:val="8"/>
          </w:tcPr>
          <w:p>
            <w:pPr>
              <w:pStyle w:val="22"/>
              <w:keepNext w:val="0"/>
              <w:keepLines w:val="0"/>
              <w:suppressLineNumbers w:val="0"/>
              <w:spacing w:before="0" w:beforeAutospacing="0" w:after="0" w:afterAutospacing="0"/>
              <w:ind w:left="0" w:right="0"/>
              <w:rPr>
                <w:rFonts w:hint="default"/>
                <w:sz w:val="20"/>
              </w:rPr>
            </w:pPr>
          </w:p>
        </w:tc>
      </w:tr>
    </w:tbl>
    <w:p>
      <w:pPr>
        <w:pStyle w:val="11"/>
        <w:kinsoku w:val="0"/>
        <w:overflowPunct w:val="0"/>
        <w:adjustRightInd w:val="0"/>
        <w:spacing w:before="57" w:line="440" w:lineRule="exact"/>
        <w:ind w:left="111" w:right="232" w:firstLine="480"/>
        <w:jc w:val="both"/>
        <w:rPr>
          <w:sz w:val="20"/>
          <w:highlight w:val="yellow"/>
        </w:rPr>
      </w:pPr>
      <w:r>
        <w:rPr>
          <w:rFonts w:hint="eastAsia"/>
          <w:sz w:val="20"/>
        </w:rPr>
        <w:t>注：投标人应附统一社会信用代码的营业执照副本、施工资质证书副本、安全生产许可证副本、基本账户开户许可证、</w:t>
      </w:r>
      <w:r>
        <w:rPr>
          <w:rFonts w:hint="eastAsia"/>
          <w:sz w:val="20"/>
          <w:lang w:val="en-US"/>
        </w:rPr>
        <w:t>自治区外企业进疆信息报送册</w:t>
      </w:r>
      <w:r>
        <w:rPr>
          <w:rFonts w:hint="eastAsia"/>
          <w:sz w:val="20"/>
          <w:lang w:val="en-US" w:eastAsia="zh-CN"/>
        </w:rPr>
        <w:t>（如有）</w:t>
      </w:r>
      <w:r>
        <w:rPr>
          <w:rFonts w:hint="eastAsia"/>
          <w:sz w:val="20"/>
          <w:lang w:val="en-US"/>
        </w:rPr>
        <w:t>等</w:t>
      </w:r>
      <w:r>
        <w:rPr>
          <w:rFonts w:hint="eastAsia"/>
          <w:sz w:val="20"/>
        </w:rPr>
        <w:t>原件的扫描件</w:t>
      </w:r>
      <w:r>
        <w:rPr>
          <w:rFonts w:hint="eastAsia"/>
          <w:sz w:val="20"/>
          <w:lang w:val="en-US"/>
        </w:rPr>
        <w:t>。</w:t>
      </w:r>
    </w:p>
    <w:p>
      <w:pPr>
        <w:pStyle w:val="11"/>
        <w:spacing w:before="10"/>
        <w:rPr>
          <w:sz w:val="28"/>
          <w:highlight w:val="yellow"/>
        </w:rPr>
      </w:pPr>
    </w:p>
    <w:p>
      <w:pPr>
        <w:pStyle w:val="12"/>
        <w:rPr>
          <w:sz w:val="28"/>
        </w:rPr>
      </w:pPr>
    </w:p>
    <w:p>
      <w:pPr>
        <w:rPr>
          <w:sz w:val="28"/>
        </w:rPr>
      </w:pPr>
    </w:p>
    <w:p>
      <w:pPr>
        <w:pStyle w:val="6"/>
      </w:pPr>
    </w:p>
    <w:p>
      <w:pPr>
        <w:rPr>
          <w:sz w:val="28"/>
        </w:rPr>
      </w:pPr>
    </w:p>
    <w:p>
      <w:pPr>
        <w:pStyle w:val="6"/>
      </w:pPr>
    </w:p>
    <w:p/>
    <w:p>
      <w:pPr>
        <w:pStyle w:val="11"/>
        <w:spacing w:before="66"/>
        <w:ind w:left="1" w:right="199"/>
        <w:jc w:val="center"/>
      </w:pPr>
      <w:bookmarkStart w:id="100" w:name="（二）投标人企业组织机构框图"/>
      <w:bookmarkEnd w:id="100"/>
      <w:r>
        <w:rPr>
          <w:rFonts w:hint="eastAsia"/>
        </w:rPr>
        <w:t>（二）投标人企业组织机构框图</w:t>
      </w:r>
    </w:p>
    <w:p>
      <w:pPr>
        <w:pStyle w:val="11"/>
        <w:spacing w:before="3"/>
        <w:rPr>
          <w:sz w:val="28"/>
        </w:rPr>
      </w:pPr>
      <w:r>
        <mc:AlternateContent>
          <mc:Choice Requires="wpg">
            <w:drawing>
              <wp:anchor distT="0" distB="0" distL="114300" distR="114300" simplePos="0" relativeHeight="251678720" behindDoc="1" locked="0" layoutInCell="1" allowOverlap="1">
                <wp:simplePos x="0" y="0"/>
                <wp:positionH relativeFrom="page">
                  <wp:posOffset>1069340</wp:posOffset>
                </wp:positionH>
                <wp:positionV relativeFrom="paragraph">
                  <wp:posOffset>259715</wp:posOffset>
                </wp:positionV>
                <wp:extent cx="5605145" cy="6966585"/>
                <wp:effectExtent l="0" t="0" r="3175" b="13335"/>
                <wp:wrapTopAndBottom/>
                <wp:docPr id="1" name="组合 106"/>
                <wp:cNvGraphicFramePr/>
                <a:graphic xmlns:a="http://schemas.openxmlformats.org/drawingml/2006/main">
                  <a:graphicData uri="http://schemas.microsoft.com/office/word/2010/wordprocessingGroup">
                    <wpg:wgp>
                      <wpg:cNvGrpSpPr/>
                      <wpg:grpSpPr>
                        <a:xfrm>
                          <a:off x="0" y="0"/>
                          <a:ext cx="5605145" cy="6966585"/>
                          <a:chOff x="1685" y="409"/>
                          <a:chExt cx="8827" cy="10971"/>
                        </a:xfrm>
                      </wpg:grpSpPr>
                      <wps:wsp>
                        <wps:cNvPr id="25" name="直线 107"/>
                        <wps:cNvCnPr/>
                        <wps:spPr>
                          <a:xfrm>
                            <a:off x="1685" y="417"/>
                            <a:ext cx="8826" cy="0"/>
                          </a:xfrm>
                          <a:prstGeom prst="line">
                            <a:avLst/>
                          </a:prstGeom>
                          <a:ln w="9144" cap="flat" cmpd="sng">
                            <a:solidFill>
                              <a:srgbClr val="000000"/>
                            </a:solidFill>
                            <a:prstDash val="solid"/>
                            <a:headEnd type="none" w="med" len="med"/>
                            <a:tailEnd type="none" w="med" len="med"/>
                          </a:ln>
                        </wps:spPr>
                        <wps:bodyPr/>
                      </wps:wsp>
                      <wps:wsp>
                        <wps:cNvPr id="26" name="直线 108"/>
                        <wps:cNvCnPr/>
                        <wps:spPr>
                          <a:xfrm>
                            <a:off x="1685" y="7956"/>
                            <a:ext cx="8826" cy="0"/>
                          </a:xfrm>
                          <a:prstGeom prst="line">
                            <a:avLst/>
                          </a:prstGeom>
                          <a:ln w="9144" cap="flat" cmpd="sng">
                            <a:solidFill>
                              <a:srgbClr val="000000"/>
                            </a:solidFill>
                            <a:prstDash val="solid"/>
                            <a:headEnd type="none" w="med" len="med"/>
                            <a:tailEnd type="none" w="med" len="med"/>
                          </a:ln>
                        </wps:spPr>
                        <wps:bodyPr/>
                      </wps:wsp>
                      <wps:wsp>
                        <wps:cNvPr id="27" name="直线 109"/>
                        <wps:cNvCnPr/>
                        <wps:spPr>
                          <a:xfrm>
                            <a:off x="1685" y="11373"/>
                            <a:ext cx="8826" cy="0"/>
                          </a:xfrm>
                          <a:prstGeom prst="line">
                            <a:avLst/>
                          </a:prstGeom>
                          <a:ln w="9144" cap="flat" cmpd="sng">
                            <a:solidFill>
                              <a:srgbClr val="000000"/>
                            </a:solidFill>
                            <a:prstDash val="solid"/>
                            <a:headEnd type="none" w="med" len="med"/>
                            <a:tailEnd type="none" w="med" len="med"/>
                          </a:ln>
                        </wps:spPr>
                        <wps:bodyPr/>
                      </wps:wsp>
                      <wps:wsp>
                        <wps:cNvPr id="28" name="直线 110"/>
                        <wps:cNvCnPr/>
                        <wps:spPr>
                          <a:xfrm>
                            <a:off x="1692" y="409"/>
                            <a:ext cx="0" cy="10956"/>
                          </a:xfrm>
                          <a:prstGeom prst="line">
                            <a:avLst/>
                          </a:prstGeom>
                          <a:ln w="9144" cap="flat" cmpd="sng">
                            <a:solidFill>
                              <a:srgbClr val="000000"/>
                            </a:solidFill>
                            <a:prstDash val="solid"/>
                            <a:headEnd type="none" w="med" len="med"/>
                            <a:tailEnd type="none" w="med" len="med"/>
                          </a:ln>
                        </wps:spPr>
                        <wps:bodyPr/>
                      </wps:wsp>
                      <wps:wsp>
                        <wps:cNvPr id="29" name="直线 111"/>
                        <wps:cNvCnPr/>
                        <wps:spPr>
                          <a:xfrm>
                            <a:off x="10504" y="409"/>
                            <a:ext cx="0" cy="10956"/>
                          </a:xfrm>
                          <a:prstGeom prst="line">
                            <a:avLst/>
                          </a:prstGeom>
                          <a:ln w="9144" cap="flat" cmpd="sng">
                            <a:solidFill>
                              <a:srgbClr val="000000"/>
                            </a:solidFill>
                            <a:prstDash val="solid"/>
                            <a:headEnd type="none" w="med" len="med"/>
                            <a:tailEnd type="none" w="med" len="med"/>
                          </a:ln>
                        </wps:spPr>
                        <wps:bodyPr/>
                      </wps:wsp>
                      <wps:wsp>
                        <wps:cNvPr id="30" name="文本框 112"/>
                        <wps:cNvSpPr txBox="1"/>
                        <wps:spPr>
                          <a:xfrm>
                            <a:off x="2232" y="8135"/>
                            <a:ext cx="419" cy="199"/>
                          </a:xfrm>
                          <a:prstGeom prst="rect">
                            <a:avLst/>
                          </a:prstGeom>
                          <a:noFill/>
                          <a:ln>
                            <a:noFill/>
                          </a:ln>
                        </wps:spPr>
                        <wps:txbx>
                          <w:txbxContent>
                            <w:p>
                              <w:pPr>
                                <w:spacing w:line="199" w:lineRule="exact"/>
                                <w:rPr>
                                  <w:sz w:val="20"/>
                                </w:rPr>
                              </w:pPr>
                              <w:r>
                                <w:rPr>
                                  <w:sz w:val="20"/>
                                </w:rPr>
                                <w:t>说明</w:t>
                              </w:r>
                            </w:p>
                          </w:txbxContent>
                        </wps:txbx>
                        <wps:bodyPr lIns="0" tIns="0" rIns="0" bIns="0" upright="1"/>
                      </wps:wsp>
                      <wps:wsp>
                        <wps:cNvPr id="31" name="文本框 113"/>
                        <wps:cNvSpPr txBox="1"/>
                        <wps:spPr>
                          <a:xfrm>
                            <a:off x="2232" y="1115"/>
                            <a:ext cx="1619" cy="199"/>
                          </a:xfrm>
                          <a:prstGeom prst="rect">
                            <a:avLst/>
                          </a:prstGeom>
                          <a:noFill/>
                          <a:ln>
                            <a:noFill/>
                          </a:ln>
                        </wps:spPr>
                        <wps:txbx>
                          <w:txbxContent>
                            <w:p>
                              <w:pPr>
                                <w:spacing w:line="199" w:lineRule="exact"/>
                                <w:rPr>
                                  <w:sz w:val="20"/>
                                </w:rPr>
                              </w:pPr>
                              <w:r>
                                <w:rPr>
                                  <w:sz w:val="20"/>
                                </w:rPr>
                                <w:t>以框图方式表示。</w:t>
                              </w:r>
                            </w:p>
                          </w:txbxContent>
                        </wps:txbx>
                        <wps:bodyPr lIns="0" tIns="0" rIns="0" bIns="0" upright="1"/>
                      </wps:wsp>
                    </wpg:wgp>
                  </a:graphicData>
                </a:graphic>
              </wp:anchor>
            </w:drawing>
          </mc:Choice>
          <mc:Fallback>
            <w:pict>
              <v:group id="组合 106" o:spid="_x0000_s1026" o:spt="203" style="position:absolute;left:0pt;margin-left:84.2pt;margin-top:20.45pt;height:548.55pt;width:441.35pt;mso-position-horizontal-relative:page;mso-wrap-distance-bottom:0pt;mso-wrap-distance-top:0pt;z-index:-251637760;mso-width-relative:page;mso-height-relative:page;" coordorigin="1685,409" coordsize="8827,10971" o:gfxdata="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MIhTKtsAAAAMAQAADwAAAAAAAAAB&#10;ACAAAAAiAAAAZHJzL2Rvd25yZXYueG1sUEsBAhQAFAAAAAgAh07iQL3jhn1jAwAAEhAAAA4AAAAA&#10;AAAAAQAgAAAAKgEAAGRycy9lMm9Eb2MueG1sUEsFBgAAAAAGAAYAWQEAAP8GAAAAAA==&#10;">
                <o:lock v:ext="edit" aspectratio="f"/>
                <v:line id="直线 107" o:spid="_x0000_s1026" o:spt="20" style="position:absolute;left:1685;top:417;height:0;width:8826;" filled="f" stroked="t" coordsize="21600,21600" o:gfxdata="UEsDBAoAAAAAAIdO4kAAAAAAAAAAAAAAAAAEAAAAZHJzL1BLAwQUAAAACACHTuJAJcQVKr0AAADb&#10;AAAADwAAAGRycy9kb3ducmV2LnhtbEWPQWsCMRSE70L/Q3hCb5pVqJ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xBU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108" o:spid="_x0000_s1026" o:spt="20" style="position:absolute;left:1685;top:7956;height:0;width:8826;" filled="f" stroked="t" coordsize="21600,21600" o:gfxdata="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Wi12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09" o:spid="_x0000_s1026" o:spt="20" style="position:absolute;left:1685;top:11373;height:0;width:8826;" filled="f" stroked="t" coordsize="21600,21600" o:gfxdata="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aLs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0" o:spid="_x0000_s1026" o:spt="20" style="position:absolute;left:1692;top:409;height:10956;width:0;" filled="f" stroked="t" coordsize="21600,21600" o:gfxdata="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Fur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11" o:spid="_x0000_s1026" o:spt="20" style="position:absolute;left:10504;top:409;height:10956;width:0;" filled="f" stroked="t" coordsize="21600,21600" o:gfxdata="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R8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shape id="文本框 112" o:spid="_x0000_s1026" o:spt="202" type="#_x0000_t202" style="position:absolute;left:2232;top:8135;height:199;width:41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99" w:lineRule="exact"/>
                          <w:rPr>
                            <w:sz w:val="20"/>
                          </w:rPr>
                        </w:pPr>
                        <w:r>
                          <w:rPr>
                            <w:sz w:val="20"/>
                          </w:rPr>
                          <w:t>说明</w:t>
                        </w:r>
                      </w:p>
                    </w:txbxContent>
                  </v:textbox>
                </v:shape>
                <v:shape id="文本框 113" o:spid="_x0000_s1026" o:spt="202" type="#_x0000_t202" style="position:absolute;left:2232;top:1115;height:199;width:1619;"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99" w:lineRule="exact"/>
                          <w:rPr>
                            <w:sz w:val="20"/>
                          </w:rPr>
                        </w:pPr>
                        <w:r>
                          <w:rPr>
                            <w:sz w:val="20"/>
                          </w:rPr>
                          <w:t>以框图方式表示。</w:t>
                        </w:r>
                      </w:p>
                    </w:txbxContent>
                  </v:textbox>
                </v:shape>
                <w10:wrap type="topAndBottom"/>
              </v:group>
            </w:pict>
          </mc:Fallback>
        </mc:AlternateContent>
      </w:r>
    </w:p>
    <w:p>
      <w:pPr>
        <w:rPr>
          <w:sz w:val="28"/>
        </w:rPr>
      </w:pPr>
    </w:p>
    <w:p/>
    <w:p/>
    <w:p/>
    <w:p/>
    <w:p/>
    <w:p>
      <w:pPr>
        <w:tabs>
          <w:tab w:val="center" w:pos="4835"/>
        </w:tabs>
        <w:sectPr>
          <w:footerReference r:id="rId26" w:type="default"/>
          <w:pgSz w:w="11910" w:h="16840"/>
          <w:pgMar w:top="1220" w:right="920" w:bottom="1180" w:left="1320" w:header="882" w:footer="989" w:gutter="0"/>
          <w:cols w:space="720" w:num="1"/>
        </w:sectPr>
      </w:pPr>
      <w:r>
        <w:rPr>
          <w:rFonts w:hint="eastAsia"/>
        </w:rPr>
        <w:tab/>
      </w:r>
    </w:p>
    <w:p>
      <w:pPr>
        <w:pStyle w:val="11"/>
        <w:spacing w:before="10"/>
        <w:rPr>
          <w:sz w:val="28"/>
        </w:rPr>
      </w:pPr>
    </w:p>
    <w:p>
      <w:pPr>
        <w:numPr>
          <w:ilvl w:val="0"/>
          <w:numId w:val="73"/>
        </w:numPr>
        <w:spacing w:line="560" w:lineRule="exact"/>
        <w:ind w:firstLine="480" w:firstLineChars="200"/>
        <w:jc w:val="center"/>
        <w:rPr>
          <w:sz w:val="24"/>
          <w:szCs w:val="24"/>
        </w:rPr>
      </w:pPr>
      <w:bookmarkStart w:id="101" w:name="（三）近年财务状况"/>
      <w:bookmarkEnd w:id="101"/>
      <w:r>
        <w:rPr>
          <w:rFonts w:hint="eastAsia"/>
          <w:sz w:val="24"/>
          <w:szCs w:val="24"/>
        </w:rPr>
        <w:t>财务状况、缴纳税收和社会保障资金证明材料</w:t>
      </w:r>
    </w:p>
    <w:p>
      <w:pPr>
        <w:pStyle w:val="6"/>
        <w:ind w:firstLine="0" w:firstLineChars="0"/>
      </w:pPr>
    </w:p>
    <w:p/>
    <w:p>
      <w:pPr>
        <w:pStyle w:val="6"/>
        <w:ind w:left="0" w:leftChars="0" w:firstLine="0" w:firstLineChars="0"/>
      </w:pPr>
    </w:p>
    <w:p>
      <w:pPr>
        <w:pStyle w:val="12"/>
      </w:pPr>
    </w:p>
    <w:p/>
    <w:p>
      <w:pPr>
        <w:pStyle w:val="6"/>
      </w:pPr>
    </w:p>
    <w:p/>
    <w:p>
      <w:pPr>
        <w:pStyle w:val="6"/>
      </w:pPr>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2"/>
      </w:pPr>
    </w:p>
    <w:p/>
    <w:p>
      <w:pPr>
        <w:pStyle w:val="2"/>
      </w:pPr>
    </w:p>
    <w:p>
      <w:pPr>
        <w:pStyle w:val="2"/>
      </w:pPr>
    </w:p>
    <w:p>
      <w:pPr>
        <w:pStyle w:val="2"/>
      </w:pPr>
    </w:p>
    <w:p>
      <w:pPr>
        <w:pStyle w:val="2"/>
      </w:pPr>
    </w:p>
    <w:p>
      <w:pPr>
        <w:pStyle w:val="2"/>
      </w:pPr>
    </w:p>
    <w:p>
      <w:pPr>
        <w:pStyle w:val="2"/>
      </w:pPr>
    </w:p>
    <w:p>
      <w:pPr>
        <w:pStyle w:val="2"/>
      </w:pPr>
    </w:p>
    <w:p>
      <w:pPr>
        <w:pStyle w:val="11"/>
      </w:pPr>
    </w:p>
    <w:p>
      <w:pPr>
        <w:pStyle w:val="11"/>
      </w:pPr>
    </w:p>
    <w:p>
      <w:pPr>
        <w:pStyle w:val="11"/>
      </w:pPr>
    </w:p>
    <w:p>
      <w:pPr>
        <w:pStyle w:val="11"/>
      </w:pPr>
    </w:p>
    <w:p>
      <w:pPr>
        <w:pStyle w:val="11"/>
      </w:pPr>
    </w:p>
    <w:p>
      <w:pPr>
        <w:pStyle w:val="11"/>
        <w:spacing w:before="8"/>
      </w:pPr>
    </w:p>
    <w:p>
      <w:pPr>
        <w:pStyle w:val="11"/>
        <w:spacing w:before="56"/>
        <w:ind w:left="1" w:right="199"/>
        <w:jc w:val="center"/>
      </w:pPr>
      <w:bookmarkStart w:id="102" w:name="（四）近年完成的类似项目情况表"/>
      <w:bookmarkEnd w:id="102"/>
      <w:r>
        <w:rPr>
          <w:rFonts w:hint="eastAsia"/>
        </w:rPr>
        <w:t>（四）近三年完成的类似项目情况表</w:t>
      </w:r>
    </w:p>
    <w:p>
      <w:pPr>
        <w:pStyle w:val="11"/>
        <w:rPr>
          <w:sz w:val="20"/>
        </w:rPr>
      </w:pPr>
    </w:p>
    <w:p>
      <w:pPr>
        <w:pStyle w:val="11"/>
        <w:spacing w:before="12"/>
        <w:rPr>
          <w:sz w:val="14"/>
        </w:rPr>
      </w:pPr>
    </w:p>
    <w:tbl>
      <w:tblPr>
        <w:tblStyle w:val="19"/>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6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tcPr>
          <w:p>
            <w:pPr>
              <w:pStyle w:val="22"/>
              <w:keepNext w:val="0"/>
              <w:keepLines w:val="0"/>
              <w:suppressLineNumbers w:val="0"/>
              <w:spacing w:before="12" w:beforeAutospacing="0" w:after="0" w:afterAutospacing="0"/>
              <w:ind w:left="0" w:right="0"/>
              <w:rPr>
                <w:rFonts w:hint="default"/>
                <w:sz w:val="20"/>
              </w:rPr>
            </w:pPr>
          </w:p>
          <w:p>
            <w:pPr>
              <w:pStyle w:val="22"/>
              <w:keepNext w:val="0"/>
              <w:keepLines w:val="0"/>
              <w:suppressLineNumbers w:val="0"/>
              <w:tabs>
                <w:tab w:val="left" w:pos="608"/>
              </w:tabs>
              <w:spacing w:before="0" w:beforeAutospacing="0" w:after="0" w:afterAutospacing="0"/>
              <w:ind w:left="8" w:right="0"/>
              <w:jc w:val="center"/>
              <w:rPr>
                <w:rFonts w:hint="default"/>
                <w:sz w:val="20"/>
              </w:rPr>
            </w:pPr>
            <w:r>
              <w:rPr>
                <w:rFonts w:hint="eastAsia"/>
                <w:sz w:val="20"/>
              </w:rPr>
              <w:t>序</w:t>
            </w:r>
            <w:r>
              <w:rPr>
                <w:rFonts w:hint="eastAsia"/>
                <w:sz w:val="20"/>
              </w:rPr>
              <w:tab/>
            </w:r>
            <w:r>
              <w:rPr>
                <w:rFonts w:hint="eastAsia"/>
                <w:sz w:val="20"/>
              </w:rPr>
              <w:t>号</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tcPr>
          <w:p>
            <w:pPr>
              <w:pStyle w:val="22"/>
              <w:keepNext w:val="0"/>
              <w:keepLines w:val="0"/>
              <w:suppressLineNumbers w:val="0"/>
              <w:spacing w:before="11" w:beforeAutospacing="0" w:after="0" w:afterAutospacing="0"/>
              <w:ind w:left="0" w:right="0"/>
              <w:rPr>
                <w:rFonts w:hint="default"/>
                <w:sz w:val="20"/>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项目名称</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42" w:type="dxa"/>
          </w:tcPr>
          <w:p>
            <w:pPr>
              <w:pStyle w:val="22"/>
              <w:keepNext w:val="0"/>
              <w:keepLines w:val="0"/>
              <w:suppressLineNumbers w:val="0"/>
              <w:spacing w:before="4" w:beforeAutospacing="0" w:after="0" w:afterAutospacing="0"/>
              <w:ind w:left="0" w:right="0"/>
              <w:rPr>
                <w:rFonts w:hint="default"/>
                <w:sz w:val="18"/>
              </w:rPr>
            </w:pPr>
          </w:p>
          <w:p>
            <w:pPr>
              <w:pStyle w:val="22"/>
              <w:keepNext w:val="0"/>
              <w:keepLines w:val="0"/>
              <w:suppressLineNumbers w:val="0"/>
              <w:spacing w:before="1" w:beforeAutospacing="0" w:after="0" w:afterAutospacing="0"/>
              <w:ind w:left="5" w:right="0"/>
              <w:jc w:val="center"/>
              <w:rPr>
                <w:rFonts w:hint="default"/>
                <w:sz w:val="20"/>
              </w:rPr>
            </w:pPr>
            <w:r>
              <w:rPr>
                <w:rFonts w:hint="eastAsia"/>
                <w:sz w:val="20"/>
              </w:rPr>
              <w:t>项目所在地</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2" w:type="dxa"/>
          </w:tcPr>
          <w:p>
            <w:pPr>
              <w:pStyle w:val="22"/>
              <w:keepNext w:val="0"/>
              <w:keepLines w:val="0"/>
              <w:suppressLineNumbers w:val="0"/>
              <w:spacing w:before="10" w:beforeAutospacing="0" w:after="0" w:afterAutospacing="0"/>
              <w:ind w:left="0" w:right="0"/>
              <w:rPr>
                <w:rFonts w:hint="default"/>
                <w:sz w:val="18"/>
              </w:rPr>
            </w:pPr>
          </w:p>
          <w:p>
            <w:pPr>
              <w:pStyle w:val="22"/>
              <w:keepNext w:val="0"/>
              <w:keepLines w:val="0"/>
              <w:suppressLineNumbers w:val="0"/>
              <w:spacing w:before="0" w:beforeAutospacing="0" w:after="0" w:afterAutospacing="0"/>
              <w:ind w:left="5" w:right="0"/>
              <w:jc w:val="center"/>
              <w:rPr>
                <w:rFonts w:hint="default"/>
                <w:sz w:val="20"/>
              </w:rPr>
            </w:pPr>
            <w:r>
              <w:rPr>
                <w:rFonts w:hint="eastAsia"/>
                <w:sz w:val="20"/>
              </w:rPr>
              <w:t>发包人名称</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tcPr>
          <w:p>
            <w:pPr>
              <w:pStyle w:val="22"/>
              <w:keepNext w:val="0"/>
              <w:keepLines w:val="0"/>
              <w:suppressLineNumbers w:val="0"/>
              <w:spacing w:before="5" w:beforeAutospacing="0" w:after="0" w:afterAutospacing="0"/>
              <w:ind w:left="0" w:right="0"/>
              <w:rPr>
                <w:rFonts w:hint="default"/>
                <w:sz w:val="18"/>
              </w:rPr>
            </w:pPr>
          </w:p>
          <w:p>
            <w:pPr>
              <w:pStyle w:val="22"/>
              <w:keepNext w:val="0"/>
              <w:keepLines w:val="0"/>
              <w:suppressLineNumbers w:val="0"/>
              <w:spacing w:before="0" w:beforeAutospacing="0" w:after="0" w:afterAutospacing="0"/>
              <w:ind w:left="5" w:right="0"/>
              <w:jc w:val="center"/>
              <w:rPr>
                <w:rFonts w:hint="default"/>
                <w:sz w:val="20"/>
              </w:rPr>
            </w:pPr>
            <w:r>
              <w:rPr>
                <w:rFonts w:hint="eastAsia"/>
                <w:sz w:val="20"/>
              </w:rPr>
              <w:t>发包人地址</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tcPr>
          <w:p>
            <w:pPr>
              <w:pStyle w:val="22"/>
              <w:keepNext w:val="0"/>
              <w:keepLines w:val="0"/>
              <w:suppressLineNumbers w:val="0"/>
              <w:spacing w:before="9" w:beforeAutospacing="0" w:after="0" w:afterAutospacing="0"/>
              <w:ind w:left="0" w:right="0"/>
              <w:rPr>
                <w:rFonts w:hint="default"/>
                <w:sz w:val="18"/>
              </w:rPr>
            </w:pPr>
          </w:p>
          <w:p>
            <w:pPr>
              <w:pStyle w:val="22"/>
              <w:keepNext w:val="0"/>
              <w:keepLines w:val="0"/>
              <w:suppressLineNumbers w:val="0"/>
              <w:spacing w:before="0" w:beforeAutospacing="0" w:after="0" w:afterAutospacing="0"/>
              <w:ind w:left="5" w:right="0"/>
              <w:jc w:val="center"/>
              <w:rPr>
                <w:rFonts w:hint="default"/>
                <w:sz w:val="20"/>
              </w:rPr>
            </w:pPr>
            <w:r>
              <w:rPr>
                <w:rFonts w:hint="eastAsia"/>
                <w:sz w:val="20"/>
              </w:rPr>
              <w:t>发包人电话</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tcPr>
          <w:p>
            <w:pPr>
              <w:pStyle w:val="22"/>
              <w:keepNext w:val="0"/>
              <w:keepLines w:val="0"/>
              <w:suppressLineNumbers w:val="0"/>
              <w:spacing w:before="7" w:beforeAutospacing="0" w:after="0" w:afterAutospacing="0"/>
              <w:ind w:left="0" w:right="0"/>
              <w:rPr>
                <w:rFonts w:hint="default"/>
                <w:sz w:val="18"/>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合同价格</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442" w:type="dxa"/>
          </w:tcPr>
          <w:p>
            <w:pPr>
              <w:pStyle w:val="22"/>
              <w:keepNext w:val="0"/>
              <w:keepLines w:val="0"/>
              <w:suppressLineNumbers w:val="0"/>
              <w:spacing w:before="4" w:beforeAutospacing="0" w:after="0" w:afterAutospacing="0"/>
              <w:ind w:left="0" w:right="0"/>
              <w:rPr>
                <w:rFonts w:hint="default"/>
                <w:sz w:val="18"/>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开工日期</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2" w:type="dxa"/>
          </w:tcPr>
          <w:p>
            <w:pPr>
              <w:pStyle w:val="22"/>
              <w:keepNext w:val="0"/>
              <w:keepLines w:val="0"/>
              <w:suppressLineNumbers w:val="0"/>
              <w:spacing w:before="3" w:beforeAutospacing="0" w:after="0" w:afterAutospacing="0"/>
              <w:ind w:left="0" w:right="0"/>
              <w:rPr>
                <w:rFonts w:hint="default"/>
                <w:sz w:val="19"/>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交工日期</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442" w:type="dxa"/>
          </w:tcPr>
          <w:p>
            <w:pPr>
              <w:pStyle w:val="22"/>
              <w:keepNext w:val="0"/>
              <w:keepLines w:val="0"/>
              <w:suppressLineNumbers w:val="0"/>
              <w:spacing w:before="5" w:beforeAutospacing="0" w:after="0" w:afterAutospacing="0"/>
              <w:ind w:left="0" w:right="0"/>
              <w:rPr>
                <w:rFonts w:hint="default"/>
                <w:sz w:val="18"/>
              </w:rPr>
            </w:pPr>
          </w:p>
          <w:p>
            <w:pPr>
              <w:pStyle w:val="22"/>
              <w:keepNext w:val="0"/>
              <w:keepLines w:val="0"/>
              <w:suppressLineNumbers w:val="0"/>
              <w:spacing w:before="1" w:beforeAutospacing="0" w:after="0" w:afterAutospacing="0"/>
              <w:ind w:left="5" w:right="0"/>
              <w:jc w:val="center"/>
              <w:rPr>
                <w:rFonts w:hint="default"/>
                <w:sz w:val="20"/>
              </w:rPr>
            </w:pPr>
            <w:r>
              <w:rPr>
                <w:rFonts w:hint="eastAsia"/>
                <w:sz w:val="20"/>
              </w:rPr>
              <w:t>承担的工作</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tcPr>
          <w:p>
            <w:pPr>
              <w:pStyle w:val="22"/>
              <w:keepNext w:val="0"/>
              <w:keepLines w:val="0"/>
              <w:suppressLineNumbers w:val="0"/>
              <w:spacing w:before="10" w:beforeAutospacing="0" w:after="0" w:afterAutospacing="0"/>
              <w:ind w:left="0" w:right="0"/>
              <w:rPr>
                <w:rFonts w:hint="default"/>
                <w:sz w:val="18"/>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工程质量</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tcPr>
          <w:p>
            <w:pPr>
              <w:pStyle w:val="22"/>
              <w:keepNext w:val="0"/>
              <w:keepLines w:val="0"/>
              <w:suppressLineNumbers w:val="0"/>
              <w:spacing w:before="7" w:beforeAutospacing="0" w:after="0" w:afterAutospacing="0"/>
              <w:ind w:left="0" w:right="0"/>
              <w:rPr>
                <w:rFonts w:hint="default"/>
                <w:sz w:val="18"/>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项目经理</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442" w:type="dxa"/>
          </w:tcPr>
          <w:p>
            <w:pPr>
              <w:pStyle w:val="22"/>
              <w:keepNext w:val="0"/>
              <w:keepLines w:val="0"/>
              <w:suppressLineNumbers w:val="0"/>
              <w:spacing w:before="9" w:beforeAutospacing="0" w:after="0" w:afterAutospacing="0"/>
              <w:ind w:left="0" w:right="0"/>
              <w:rPr>
                <w:rFonts w:hint="default"/>
                <w:sz w:val="18"/>
              </w:rPr>
            </w:pPr>
          </w:p>
          <w:p>
            <w:pPr>
              <w:pStyle w:val="22"/>
              <w:keepNext w:val="0"/>
              <w:keepLines w:val="0"/>
              <w:suppressLineNumbers w:val="0"/>
              <w:spacing w:before="0" w:beforeAutospacing="0" w:after="0" w:afterAutospacing="0"/>
              <w:ind w:left="8" w:right="0"/>
              <w:jc w:val="center"/>
              <w:rPr>
                <w:rFonts w:hint="default"/>
                <w:sz w:val="20"/>
              </w:rPr>
            </w:pPr>
            <w:r>
              <w:rPr>
                <w:rFonts w:hint="eastAsia"/>
                <w:sz w:val="20"/>
              </w:rPr>
              <w:t>项目总工</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tcPr>
          <w:p>
            <w:pPr>
              <w:pStyle w:val="22"/>
              <w:keepNext w:val="0"/>
              <w:keepLines w:val="0"/>
              <w:suppressLineNumbers w:val="0"/>
              <w:spacing w:before="6" w:beforeAutospacing="0" w:after="0" w:afterAutospacing="0"/>
              <w:ind w:left="0" w:right="0"/>
              <w:rPr>
                <w:rFonts w:hint="default"/>
                <w:sz w:val="18"/>
              </w:rPr>
            </w:pPr>
          </w:p>
          <w:p>
            <w:pPr>
              <w:pStyle w:val="22"/>
              <w:keepNext w:val="0"/>
              <w:keepLines w:val="0"/>
              <w:suppressLineNumbers w:val="0"/>
              <w:spacing w:before="0" w:beforeAutospacing="0" w:after="0" w:afterAutospacing="0"/>
              <w:ind w:left="10" w:right="0"/>
              <w:jc w:val="center"/>
              <w:rPr>
                <w:rFonts w:hint="default"/>
                <w:sz w:val="20"/>
              </w:rPr>
            </w:pPr>
            <w:r>
              <w:rPr>
                <w:rFonts w:hint="eastAsia"/>
                <w:sz w:val="20"/>
              </w:rPr>
              <w:t>总监理工程师及电话</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442" w:type="dxa"/>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4" w:beforeAutospacing="0" w:after="0" w:afterAutospacing="0"/>
              <w:ind w:left="0" w:right="0"/>
              <w:rPr>
                <w:rFonts w:hint="default"/>
                <w:sz w:val="26"/>
              </w:rPr>
            </w:pPr>
          </w:p>
          <w:p>
            <w:pPr>
              <w:pStyle w:val="22"/>
              <w:keepNext w:val="0"/>
              <w:keepLines w:val="0"/>
              <w:suppressLineNumbers w:val="0"/>
              <w:spacing w:before="1" w:beforeAutospacing="0" w:after="0" w:afterAutospacing="0"/>
              <w:ind w:left="8" w:right="0"/>
              <w:jc w:val="center"/>
              <w:rPr>
                <w:rFonts w:hint="default"/>
                <w:sz w:val="20"/>
              </w:rPr>
            </w:pPr>
            <w:r>
              <w:rPr>
                <w:rFonts w:hint="eastAsia"/>
                <w:sz w:val="20"/>
              </w:rPr>
              <w:t>项目描述</w:t>
            </w:r>
          </w:p>
        </w:tc>
        <w:tc>
          <w:tcPr>
            <w:tcW w:w="6732"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42" w:type="dxa"/>
          </w:tcPr>
          <w:p>
            <w:pPr>
              <w:pStyle w:val="22"/>
              <w:keepNext w:val="0"/>
              <w:keepLines w:val="0"/>
              <w:suppressLineNumbers w:val="0"/>
              <w:spacing w:before="5" w:beforeAutospacing="0" w:after="0" w:afterAutospacing="0"/>
              <w:ind w:left="0" w:right="0"/>
              <w:rPr>
                <w:rFonts w:hint="default"/>
                <w:sz w:val="18"/>
              </w:rPr>
            </w:pPr>
          </w:p>
          <w:p>
            <w:pPr>
              <w:pStyle w:val="22"/>
              <w:keepNext w:val="0"/>
              <w:keepLines w:val="0"/>
              <w:suppressLineNumbers w:val="0"/>
              <w:spacing w:before="0" w:beforeAutospacing="0" w:after="0" w:afterAutospacing="0"/>
              <w:ind w:left="5" w:right="0"/>
              <w:jc w:val="center"/>
              <w:rPr>
                <w:rFonts w:hint="default"/>
                <w:sz w:val="20"/>
              </w:rPr>
            </w:pPr>
            <w:r>
              <w:rPr>
                <w:rFonts w:hint="eastAsia"/>
                <w:sz w:val="20"/>
              </w:rPr>
              <w:t>备注</w:t>
            </w:r>
          </w:p>
        </w:tc>
        <w:tc>
          <w:tcPr>
            <w:tcW w:w="6732" w:type="dxa"/>
          </w:tcPr>
          <w:p>
            <w:pPr>
              <w:pStyle w:val="22"/>
              <w:keepNext w:val="0"/>
              <w:keepLines w:val="0"/>
              <w:suppressLineNumbers w:val="0"/>
              <w:spacing w:before="0" w:beforeAutospacing="0" w:after="0" w:afterAutospacing="0"/>
              <w:ind w:left="0" w:right="0"/>
              <w:rPr>
                <w:rFonts w:hint="default"/>
                <w:sz w:val="20"/>
              </w:rPr>
            </w:pPr>
          </w:p>
        </w:tc>
      </w:tr>
    </w:tbl>
    <w:p>
      <w:pPr>
        <w:spacing w:before="143" w:line="360" w:lineRule="auto"/>
        <w:ind w:left="482"/>
        <w:rPr>
          <w:sz w:val="20"/>
        </w:rPr>
      </w:pPr>
      <w:r>
        <w:rPr>
          <w:rFonts w:hint="eastAsia"/>
          <w:sz w:val="20"/>
        </w:rPr>
        <w:t>注：每张表格只填写一个项目，并标明序号，表后须附近三年（2019年</w:t>
      </w:r>
      <w:r>
        <w:rPr>
          <w:rFonts w:hint="eastAsia"/>
          <w:sz w:val="20"/>
          <w:lang w:val="en-US"/>
        </w:rPr>
        <w:t>6</w:t>
      </w:r>
      <w:r>
        <w:rPr>
          <w:rFonts w:hint="eastAsia"/>
          <w:sz w:val="20"/>
        </w:rPr>
        <w:t>月-至今）的业绩证明材料的扫描件（如合同协议书等）。</w:t>
      </w:r>
    </w:p>
    <w:p>
      <w:pPr>
        <w:spacing w:before="143" w:line="360" w:lineRule="auto"/>
        <w:ind w:left="482"/>
        <w:rPr>
          <w:color w:val="FF0000"/>
          <w:sz w:val="20"/>
        </w:rPr>
      </w:pPr>
    </w:p>
    <w:p>
      <w:pPr>
        <w:rPr>
          <w:sz w:val="28"/>
        </w:rPr>
      </w:pPr>
    </w:p>
    <w:p>
      <w:pPr>
        <w:pStyle w:val="6"/>
      </w:pPr>
    </w:p>
    <w:p>
      <w:pPr>
        <w:rPr>
          <w:sz w:val="28"/>
        </w:rPr>
      </w:pPr>
    </w:p>
    <w:p>
      <w:pPr>
        <w:pStyle w:val="6"/>
      </w:pPr>
    </w:p>
    <w:p>
      <w:pPr>
        <w:pStyle w:val="11"/>
        <w:spacing w:before="66"/>
        <w:ind w:left="1" w:right="199"/>
        <w:jc w:val="center"/>
      </w:pPr>
      <w:bookmarkStart w:id="103" w:name="（五）投标人的信誉情况表"/>
      <w:bookmarkEnd w:id="103"/>
      <w:r>
        <w:rPr>
          <w:rFonts w:hint="eastAsia"/>
        </w:rPr>
        <w:t>（五）投标人的信誉情况表</w:t>
      </w:r>
    </w:p>
    <w:p>
      <w:pPr>
        <w:pStyle w:val="11"/>
        <w:rPr>
          <w:sz w:val="20"/>
        </w:rPr>
      </w:pPr>
    </w:p>
    <w:p>
      <w:pPr>
        <w:pStyle w:val="11"/>
        <w:spacing w:before="12"/>
        <w:rPr>
          <w:sz w:val="11"/>
        </w:rPr>
      </w:pPr>
    </w:p>
    <w:tbl>
      <w:tblPr>
        <w:tblStyle w:val="19"/>
        <w:tblW w:w="8522"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261" w:type="dxa"/>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9" w:beforeAutospacing="0" w:after="0" w:afterAutospacing="0"/>
              <w:ind w:left="0" w:right="0"/>
              <w:rPr>
                <w:rFonts w:hint="default"/>
                <w:sz w:val="16"/>
              </w:rPr>
            </w:pPr>
          </w:p>
          <w:p>
            <w:pPr>
              <w:pStyle w:val="22"/>
              <w:keepNext w:val="0"/>
              <w:keepLines w:val="0"/>
              <w:suppressLineNumbers w:val="0"/>
              <w:spacing w:before="0" w:beforeAutospacing="0" w:after="0" w:afterAutospacing="0"/>
              <w:ind w:left="1942" w:right="1769"/>
              <w:jc w:val="center"/>
              <w:rPr>
                <w:rFonts w:hint="default"/>
                <w:sz w:val="20"/>
              </w:rPr>
            </w:pPr>
            <w:r>
              <w:rPr>
                <w:rFonts w:hint="eastAsia"/>
                <w:sz w:val="20"/>
              </w:rPr>
              <w:t>项 目</w:t>
            </w:r>
          </w:p>
        </w:tc>
        <w:tc>
          <w:tcPr>
            <w:tcW w:w="4261" w:type="dxa"/>
          </w:tcPr>
          <w:p>
            <w:pPr>
              <w:pStyle w:val="22"/>
              <w:keepNext w:val="0"/>
              <w:keepLines w:val="0"/>
              <w:suppressLineNumbers w:val="0"/>
              <w:spacing w:before="0" w:beforeAutospacing="0" w:after="0" w:afterAutospacing="0"/>
              <w:ind w:left="0" w:right="0"/>
              <w:rPr>
                <w:rFonts w:hint="default"/>
                <w:sz w:val="20"/>
              </w:rPr>
            </w:pPr>
          </w:p>
          <w:p>
            <w:pPr>
              <w:pStyle w:val="22"/>
              <w:keepNext w:val="0"/>
              <w:keepLines w:val="0"/>
              <w:suppressLineNumbers w:val="0"/>
              <w:spacing w:before="9" w:beforeAutospacing="0" w:after="0" w:afterAutospacing="0"/>
              <w:ind w:left="0" w:right="0"/>
              <w:rPr>
                <w:rFonts w:hint="default"/>
                <w:sz w:val="16"/>
              </w:rPr>
            </w:pPr>
          </w:p>
          <w:p>
            <w:pPr>
              <w:pStyle w:val="22"/>
              <w:keepNext w:val="0"/>
              <w:keepLines w:val="0"/>
              <w:suppressLineNumbers w:val="0"/>
              <w:spacing w:before="0" w:beforeAutospacing="0" w:after="0" w:afterAutospacing="0"/>
              <w:ind w:left="1513" w:right="0"/>
              <w:rPr>
                <w:rFonts w:hint="default"/>
                <w:sz w:val="20"/>
              </w:rPr>
            </w:pPr>
            <w:r>
              <w:rPr>
                <w:rFonts w:hint="eastAsia"/>
                <w:sz w:val="20"/>
              </w:rPr>
              <w:t>投标人情况说明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2"/>
              <w:keepNext w:val="0"/>
              <w:keepLines w:val="0"/>
              <w:suppressLineNumbers w:val="0"/>
              <w:spacing w:before="0" w:beforeAutospacing="0" w:after="0" w:afterAutospacing="0"/>
              <w:ind w:left="0" w:right="0"/>
              <w:rPr>
                <w:rFonts w:hint="default"/>
                <w:sz w:val="20"/>
              </w:rPr>
            </w:pPr>
          </w:p>
        </w:tc>
        <w:tc>
          <w:tcPr>
            <w:tcW w:w="4261" w:type="dxa"/>
          </w:tcPr>
          <w:p>
            <w:pPr>
              <w:pStyle w:val="22"/>
              <w:keepNext w:val="0"/>
              <w:keepLines w:val="0"/>
              <w:suppressLineNumbers w:val="0"/>
              <w:spacing w:before="0" w:beforeAutospacing="0" w:after="0" w:afterAutospacing="0"/>
              <w:ind w:left="0" w:right="0"/>
              <w:rPr>
                <w:rFonts w:hint="default"/>
                <w:sz w:val="20"/>
              </w:rPr>
            </w:pPr>
          </w:p>
        </w:tc>
      </w:tr>
    </w:tbl>
    <w:p>
      <w:pPr>
        <w:pStyle w:val="11"/>
        <w:spacing w:line="360" w:lineRule="auto"/>
        <w:ind w:firstLine="360" w:firstLineChars="200"/>
        <w:rPr>
          <w:sz w:val="18"/>
          <w:szCs w:val="18"/>
        </w:rPr>
      </w:pPr>
    </w:p>
    <w:p>
      <w:pPr>
        <w:pStyle w:val="11"/>
        <w:spacing w:line="360" w:lineRule="auto"/>
        <w:ind w:firstLine="360" w:firstLineChars="200"/>
        <w:rPr>
          <w:sz w:val="18"/>
          <w:szCs w:val="18"/>
        </w:rPr>
      </w:pPr>
      <w:r>
        <w:rPr>
          <w:rFonts w:hint="eastAsia"/>
          <w:sz w:val="18"/>
          <w:szCs w:val="18"/>
        </w:rPr>
        <w:t>注：“投标人的信誉情况表”应附投标人</w:t>
      </w:r>
      <w:r>
        <w:rPr>
          <w:rFonts w:hint="eastAsia"/>
          <w:spacing w:val="-6"/>
          <w:sz w:val="18"/>
          <w:szCs w:val="18"/>
        </w:rPr>
        <w:t>在</w:t>
      </w:r>
      <w:r>
        <w:rPr>
          <w:rFonts w:hint="eastAsia"/>
          <w:sz w:val="18"/>
          <w:szCs w:val="18"/>
        </w:rPr>
        <w:t>“信用中国”</w:t>
      </w:r>
      <w:r>
        <w:rPr>
          <w:rFonts w:hint="eastAsia"/>
          <w:sz w:val="20"/>
          <w:lang w:val="en-US"/>
        </w:rPr>
        <w:t>和</w:t>
      </w:r>
      <w:r>
        <w:rPr>
          <w:rFonts w:hint="eastAsia"/>
          <w:sz w:val="18"/>
          <w:szCs w:val="18"/>
          <w:lang w:val="en-US"/>
        </w:rPr>
        <w:t>“中国政府采购网”</w:t>
      </w:r>
      <w:r>
        <w:rPr>
          <w:rFonts w:hint="eastAsia"/>
          <w:spacing w:val="-1"/>
          <w:sz w:val="18"/>
          <w:szCs w:val="18"/>
        </w:rPr>
        <w:t>网站中未被列入失信被执行人名单的网页截</w:t>
      </w:r>
      <w:r>
        <w:rPr>
          <w:rFonts w:hint="eastAsia"/>
          <w:spacing w:val="-11"/>
          <w:sz w:val="18"/>
          <w:szCs w:val="18"/>
        </w:rPr>
        <w:t>图，对投标人、法定代表人、拟委任的</w:t>
      </w:r>
      <w:r>
        <w:rPr>
          <w:rFonts w:hint="eastAsia"/>
          <w:sz w:val="18"/>
          <w:szCs w:val="18"/>
        </w:rPr>
        <w:t>项目经理近三年无行贿犯罪行为进行承诺。</w:t>
      </w:r>
    </w:p>
    <w:p>
      <w:pPr>
        <w:pStyle w:val="12"/>
        <w:spacing w:line="360" w:lineRule="auto"/>
        <w:rPr>
          <w:szCs w:val="18"/>
        </w:rPr>
      </w:pPr>
    </w:p>
    <w:p>
      <w:pPr>
        <w:rPr>
          <w:sz w:val="24"/>
        </w:rPr>
      </w:pPr>
    </w:p>
    <w:p>
      <w:pPr>
        <w:pStyle w:val="6"/>
        <w:ind w:firstLine="480"/>
        <w:rPr>
          <w:sz w:val="24"/>
        </w:rPr>
      </w:pPr>
    </w:p>
    <w:p>
      <w:pPr>
        <w:rPr>
          <w:sz w:val="24"/>
        </w:rPr>
      </w:pPr>
    </w:p>
    <w:p>
      <w:pPr>
        <w:pStyle w:val="6"/>
        <w:ind w:firstLine="480"/>
        <w:rPr>
          <w:sz w:val="24"/>
        </w:rPr>
      </w:pPr>
    </w:p>
    <w:p/>
    <w:p>
      <w:pPr>
        <w:pStyle w:val="11"/>
        <w:spacing w:before="9"/>
        <w:rPr>
          <w:sz w:val="17"/>
        </w:rPr>
      </w:pPr>
    </w:p>
    <w:p>
      <w:pPr>
        <w:pStyle w:val="11"/>
        <w:ind w:left="1" w:right="199"/>
        <w:jc w:val="center"/>
      </w:pPr>
    </w:p>
    <w:p>
      <w:pPr>
        <w:pStyle w:val="11"/>
        <w:ind w:left="1" w:right="199"/>
        <w:jc w:val="center"/>
      </w:pPr>
      <w:r>
        <w:rPr>
          <w:rFonts w:hint="eastAsia"/>
        </w:rPr>
        <w:t>投标无行贿犯罪记录承诺函</w:t>
      </w:r>
    </w:p>
    <w:p>
      <w:pPr>
        <w:pStyle w:val="11"/>
        <w:rPr>
          <w:sz w:val="20"/>
        </w:rPr>
      </w:pPr>
    </w:p>
    <w:p>
      <w:pPr>
        <w:pStyle w:val="11"/>
        <w:tabs>
          <w:tab w:val="left" w:pos="3359"/>
        </w:tabs>
        <w:spacing w:before="228"/>
        <w:ind w:left="480"/>
      </w:pPr>
      <w:r>
        <w:rPr>
          <w:rFonts w:hint="eastAsia"/>
          <w:u w:val="single"/>
        </w:rPr>
        <w:t xml:space="preserve"> </w:t>
      </w:r>
      <w:r>
        <w:rPr>
          <w:rFonts w:hint="eastAsia"/>
          <w:u w:val="single"/>
        </w:rPr>
        <w:tab/>
      </w:r>
      <w:r>
        <w:rPr>
          <w:rFonts w:hint="eastAsia"/>
        </w:rPr>
        <w:t>（采购人名称）：</w:t>
      </w:r>
    </w:p>
    <w:p>
      <w:pPr>
        <w:pStyle w:val="11"/>
        <w:spacing w:before="5"/>
        <w:rPr>
          <w:sz w:val="38"/>
        </w:rPr>
      </w:pPr>
    </w:p>
    <w:p>
      <w:pPr>
        <w:pStyle w:val="11"/>
        <w:tabs>
          <w:tab w:val="left" w:pos="3146"/>
          <w:tab w:val="left" w:pos="6146"/>
        </w:tabs>
        <w:spacing w:line="312" w:lineRule="auto"/>
        <w:ind w:left="480" w:right="877" w:firstLine="480"/>
        <w:jc w:val="both"/>
      </w:pPr>
      <w:r>
        <w:rPr>
          <w:rFonts w:hint="eastAsia"/>
        </w:rPr>
        <w:t>我方参加了</w:t>
      </w:r>
      <w:r>
        <w:rPr>
          <w:rFonts w:hint="eastAsia"/>
          <w:spacing w:val="96"/>
          <w:u w:val="single"/>
        </w:rPr>
        <w:t xml:space="preserve"> </w:t>
      </w:r>
      <w:r>
        <w:rPr>
          <w:rFonts w:hint="eastAsia"/>
          <w:u w:val="single"/>
        </w:rPr>
        <w:t>（项目名称）</w:t>
      </w:r>
      <w:r>
        <w:rPr>
          <w:rFonts w:hint="eastAsia"/>
          <w:spacing w:val="96"/>
          <w:u w:val="single"/>
        </w:rPr>
        <w:t xml:space="preserve"> </w:t>
      </w:r>
      <w:r>
        <w:rPr>
          <w:rFonts w:hint="eastAsia"/>
        </w:rPr>
        <w:t>投标</w:t>
      </w:r>
      <w:r>
        <w:rPr>
          <w:rFonts w:hint="eastAsia"/>
          <w:spacing w:val="-24"/>
        </w:rPr>
        <w:t>，</w:t>
      </w:r>
      <w:r>
        <w:rPr>
          <w:rFonts w:hint="eastAsia"/>
        </w:rPr>
        <w:t>我方承诺</w:t>
      </w:r>
      <w:r>
        <w:rPr>
          <w:rFonts w:hint="eastAsia"/>
          <w:spacing w:val="-22"/>
        </w:rPr>
        <w:t>，</w:t>
      </w:r>
      <w:r>
        <w:rPr>
          <w:rFonts w:hint="eastAsia"/>
        </w:rPr>
        <w:t>我公司近三年内无行贿犯</w:t>
      </w:r>
      <w:r>
        <w:rPr>
          <w:rFonts w:hint="eastAsia"/>
          <w:spacing w:val="-17"/>
        </w:rPr>
        <w:t>罪</w:t>
      </w:r>
      <w:r>
        <w:rPr>
          <w:rFonts w:hint="eastAsia"/>
        </w:rPr>
        <w:t>行为</w:t>
      </w:r>
      <w:r>
        <w:rPr>
          <w:rFonts w:hint="eastAsia"/>
          <w:spacing w:val="-94"/>
        </w:rPr>
        <w:t>，</w:t>
      </w:r>
      <w:r>
        <w:rPr>
          <w:rFonts w:hint="eastAsia"/>
        </w:rPr>
        <w:t>法定代表人</w:t>
      </w:r>
      <w:r>
        <w:rPr>
          <w:rFonts w:hint="eastAsia"/>
          <w:u w:val="single"/>
        </w:rPr>
        <w:t xml:space="preserve"> </w:t>
      </w:r>
      <w:r>
        <w:rPr>
          <w:rFonts w:hint="eastAsia"/>
          <w:u w:val="single"/>
        </w:rPr>
        <w:tab/>
      </w:r>
      <w:r>
        <w:rPr>
          <w:rFonts w:hint="eastAsia"/>
        </w:rPr>
        <w:t>及拟委任的项目经理</w:t>
      </w:r>
      <w:r>
        <w:rPr>
          <w:rFonts w:hint="eastAsia"/>
          <w:u w:val="single"/>
        </w:rPr>
        <w:t xml:space="preserve"> </w:t>
      </w:r>
      <w:r>
        <w:rPr>
          <w:rFonts w:hint="eastAsia"/>
          <w:u w:val="single"/>
        </w:rPr>
        <w:tab/>
      </w:r>
      <w:r>
        <w:rPr>
          <w:rFonts w:hint="eastAsia"/>
        </w:rPr>
        <w:t>近三年内也无行贿犯罪</w:t>
      </w:r>
      <w:r>
        <w:rPr>
          <w:rFonts w:hint="eastAsia"/>
          <w:spacing w:val="-17"/>
        </w:rPr>
        <w:t>行</w:t>
      </w:r>
      <w:r>
        <w:rPr>
          <w:rFonts w:hint="eastAsia"/>
        </w:rPr>
        <w:t>为。</w:t>
      </w:r>
    </w:p>
    <w:p>
      <w:pPr>
        <w:pStyle w:val="11"/>
        <w:spacing w:before="1" w:line="312" w:lineRule="auto"/>
        <w:ind w:left="480" w:right="877" w:firstLine="480"/>
        <w:jc w:val="both"/>
      </w:pPr>
      <w:r>
        <w:rPr>
          <w:rFonts w:hint="eastAsia"/>
          <w:spacing w:val="-8"/>
        </w:rPr>
        <w:t>如我方上述承诺不实，采购人可认为我方弄虚作假骗取中标，按照相关规定</w:t>
      </w:r>
      <w:r>
        <w:rPr>
          <w:rFonts w:hint="eastAsia"/>
          <w:spacing w:val="-10"/>
        </w:rPr>
        <w:t>进行处理，并由采购人将我方的违约行为上报行业主管部门，作为不良记录</w:t>
      </w:r>
      <w:r>
        <w:rPr>
          <w:rFonts w:hint="eastAsia"/>
        </w:rPr>
        <w:t>纳入行业建设市场信息管理系统。</w:t>
      </w:r>
    </w:p>
    <w:p>
      <w:pPr>
        <w:pStyle w:val="11"/>
      </w:pPr>
    </w:p>
    <w:p>
      <w:pPr>
        <w:pStyle w:val="11"/>
      </w:pPr>
    </w:p>
    <w:p>
      <w:pPr>
        <w:pStyle w:val="11"/>
        <w:tabs>
          <w:tab w:val="left" w:pos="7667"/>
          <w:tab w:val="left" w:pos="8147"/>
        </w:tabs>
        <w:spacing w:before="185" w:line="312" w:lineRule="auto"/>
        <w:ind w:left="3827" w:right="876"/>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r>
        <w:rPr>
          <w:rFonts w:hint="eastAsia"/>
          <w:spacing w:val="-16"/>
        </w:rPr>
        <w:t xml:space="preserve">) </w:t>
      </w:r>
      <w:r>
        <w:rPr>
          <w:rFonts w:hint="eastAsia"/>
        </w:rPr>
        <w:t>法定代表人或其委托代理人：</w:t>
      </w:r>
      <w:r>
        <w:rPr>
          <w:rFonts w:hint="eastAsia"/>
          <w:u w:val="single"/>
        </w:rPr>
        <w:t xml:space="preserve"> </w:t>
      </w:r>
      <w:r>
        <w:rPr>
          <w:rFonts w:hint="eastAsia"/>
          <w:u w:val="single"/>
          <w:lang w:val="en-US"/>
        </w:rPr>
        <w:t xml:space="preserve">   </w:t>
      </w:r>
      <w:r>
        <w:rPr>
          <w:rFonts w:hint="eastAsia"/>
          <w:spacing w:val="-1"/>
        </w:rPr>
        <w:t>(</w:t>
      </w:r>
      <w:r>
        <w:rPr>
          <w:rFonts w:hint="eastAsia"/>
        </w:rPr>
        <w:t>签字或盖章</w:t>
      </w:r>
      <w:r>
        <w:rPr>
          <w:rFonts w:hint="eastAsia"/>
          <w:spacing w:val="-16"/>
        </w:rPr>
        <w:t>)</w:t>
      </w:r>
    </w:p>
    <w:p>
      <w:pPr>
        <w:pStyle w:val="11"/>
        <w:rPr>
          <w:sz w:val="29"/>
        </w:rPr>
      </w:pPr>
    </w:p>
    <w:p>
      <w:pPr>
        <w:pStyle w:val="11"/>
        <w:tabs>
          <w:tab w:val="left" w:pos="6866"/>
          <w:tab w:val="left" w:pos="7706"/>
          <w:tab w:val="left" w:pos="8546"/>
        </w:tabs>
        <w:spacing w:before="67"/>
        <w:ind w:left="5786"/>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220" w:right="920" w:bottom="1180" w:left="1320" w:header="882" w:footer="989" w:gutter="0"/>
          <w:cols w:space="720" w:num="1"/>
        </w:sectPr>
      </w:pPr>
    </w:p>
    <w:p>
      <w:pPr>
        <w:pStyle w:val="11"/>
        <w:spacing w:before="3"/>
        <w:rPr>
          <w:sz w:val="19"/>
        </w:rPr>
      </w:pPr>
    </w:p>
    <w:p>
      <w:pPr>
        <w:pStyle w:val="11"/>
        <w:numPr>
          <w:ilvl w:val="0"/>
          <w:numId w:val="4"/>
        </w:numPr>
        <w:spacing w:before="66"/>
        <w:ind w:left="591" w:right="199"/>
        <w:jc w:val="center"/>
      </w:pPr>
      <w:bookmarkStart w:id="104" w:name="（六）拟委任的项目经理和项目总工资历表"/>
      <w:bookmarkEnd w:id="104"/>
      <w:r>
        <w:rPr>
          <w:rFonts w:hint="eastAsia"/>
        </w:rPr>
        <w:t>拟委任的项目经理简历</w:t>
      </w:r>
    </w:p>
    <w:p>
      <w:pPr>
        <w:pStyle w:val="12"/>
        <w:adjustRightInd w:val="0"/>
        <w:ind w:left="0"/>
      </w:pPr>
    </w:p>
    <w:p>
      <w:pPr>
        <w:spacing w:line="360" w:lineRule="auto"/>
        <w:rPr>
          <w:rFonts w:eastAsia="Times New Roman"/>
        </w:rPr>
      </w:pPr>
      <w:r>
        <w:t>1</w:t>
      </w:r>
      <w:r>
        <w:rPr>
          <w:rFonts w:hint="eastAsia"/>
        </w:rPr>
        <w:t>、项目经理介绍应包括：姓名、性别、年龄、职称 、学历、参加工作时间、从事项目管理年限以及其他内容。</w:t>
      </w:r>
    </w:p>
    <w:p>
      <w:pPr>
        <w:spacing w:line="360" w:lineRule="auto"/>
        <w:rPr>
          <w:rFonts w:eastAsia="Times New Roman"/>
        </w:rPr>
      </w:pPr>
      <w:r>
        <w:t>2</w:t>
      </w:r>
      <w:r>
        <w:rPr>
          <w:rFonts w:hint="eastAsia"/>
        </w:rPr>
        <w:t>、项目经理近</w:t>
      </w:r>
      <w:r>
        <w:t>3</w:t>
      </w:r>
      <w:r>
        <w:rPr>
          <w:rFonts w:hint="eastAsia"/>
        </w:rPr>
        <w:t>年内工程经历应按下表提供。</w:t>
      </w:r>
    </w:p>
    <w:p>
      <w:pPr>
        <w:spacing w:line="360" w:lineRule="auto"/>
        <w:jc w:val="center"/>
        <w:rPr>
          <w:rFonts w:eastAsia="Times New Roman"/>
        </w:rPr>
      </w:pPr>
      <w:r>
        <w:rPr>
          <w:rFonts w:hint="eastAsia"/>
        </w:rPr>
        <w:t>项目经理近</w:t>
      </w:r>
      <w:r>
        <w:t>3</w:t>
      </w:r>
      <w:r>
        <w:rPr>
          <w:rFonts w:hint="eastAsia"/>
        </w:rPr>
        <w:t>年内工程经历一览表</w:t>
      </w:r>
    </w:p>
    <w:tbl>
      <w:tblPr>
        <w:tblStyle w:val="19"/>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bl>
    <w:p>
      <w:pPr>
        <w:tabs>
          <w:tab w:val="left" w:pos="9453"/>
        </w:tabs>
        <w:spacing w:line="360" w:lineRule="auto"/>
        <w:ind w:left="330" w:hanging="330" w:hangingChars="150"/>
      </w:pPr>
    </w:p>
    <w:p>
      <w:pPr>
        <w:tabs>
          <w:tab w:val="left" w:pos="9453"/>
        </w:tabs>
        <w:spacing w:line="360" w:lineRule="auto"/>
        <w:ind w:left="330" w:hanging="330" w:hangingChars="150"/>
        <w:rPr>
          <w:rFonts w:eastAsia="Times New Roman"/>
        </w:rPr>
      </w:pPr>
      <w:r>
        <w:t>3</w:t>
      </w:r>
      <w:r>
        <w:rPr>
          <w:rFonts w:hint="eastAsia"/>
        </w:rPr>
        <w:t>、项目经理简历中须附身份证、职称证、建造师注册证书、安全生产考核合格证书及其本单位社保证明等原件的扫描件；近三年（</w:t>
      </w:r>
      <w:r>
        <w:t>201</w:t>
      </w:r>
      <w:r>
        <w:rPr>
          <w:rFonts w:hint="eastAsia"/>
        </w:rPr>
        <w:t>9年</w:t>
      </w:r>
      <w:r>
        <w:rPr>
          <w:rFonts w:hint="eastAsia"/>
          <w:lang w:val="en-US"/>
        </w:rPr>
        <w:t>6</w:t>
      </w:r>
      <w:r>
        <w:rPr>
          <w:rFonts w:hint="eastAsia"/>
        </w:rPr>
        <w:t>月</w:t>
      </w:r>
      <w:r>
        <w:t>-</w:t>
      </w:r>
      <w:r>
        <w:rPr>
          <w:rFonts w:hint="eastAsia"/>
        </w:rPr>
        <w:t>至今）的业绩证明材料的扫描件（如合同协议书等）。</w:t>
      </w:r>
    </w:p>
    <w:p/>
    <w:p>
      <w:pPr>
        <w:pStyle w:val="6"/>
      </w:pPr>
    </w:p>
    <w:p>
      <w:pPr>
        <w:pStyle w:val="6"/>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1"/>
        <w:kinsoku w:val="0"/>
        <w:overflowPunct w:val="0"/>
        <w:adjustRightInd w:val="0"/>
        <w:spacing w:before="57" w:line="440" w:lineRule="exact"/>
        <w:ind w:left="111" w:right="232" w:firstLine="480"/>
        <w:jc w:val="both"/>
        <w:rPr>
          <w:b/>
          <w:bCs/>
          <w:color w:val="000000" w:themeColor="text1"/>
          <w:sz w:val="30"/>
          <w:szCs w:val="30"/>
          <w:lang w:val="en-US"/>
          <w14:textFill>
            <w14:solidFill>
              <w14:schemeClr w14:val="tx1"/>
            </w14:solidFill>
          </w14:textFill>
        </w:rPr>
      </w:pPr>
    </w:p>
    <w:p>
      <w:pPr>
        <w:pStyle w:val="6"/>
      </w:pPr>
    </w:p>
    <w:p>
      <w:pPr>
        <w:pStyle w:val="12"/>
        <w:ind w:left="0"/>
      </w:pPr>
    </w:p>
    <w:p>
      <w:pPr>
        <w:pStyle w:val="11"/>
        <w:rPr>
          <w:sz w:val="20"/>
        </w:rPr>
      </w:pPr>
    </w:p>
    <w:p>
      <w:pPr>
        <w:pStyle w:val="11"/>
        <w:spacing w:before="10"/>
        <w:rPr>
          <w:sz w:val="11"/>
        </w:rPr>
      </w:pPr>
    </w:p>
    <w:p>
      <w:pPr>
        <w:pStyle w:val="11"/>
        <w:numPr>
          <w:ilvl w:val="0"/>
          <w:numId w:val="4"/>
        </w:numPr>
        <w:spacing w:before="66"/>
        <w:ind w:left="591" w:right="199"/>
        <w:jc w:val="center"/>
        <w:rPr>
          <w:lang w:val="en-US"/>
        </w:rPr>
      </w:pPr>
      <w:r>
        <w:rPr>
          <w:rFonts w:hint="eastAsia"/>
          <w:lang w:val="en-US"/>
        </w:rPr>
        <w:t>项目管理机构配备情况表</w:t>
      </w:r>
    </w:p>
    <w:p>
      <w:pPr>
        <w:pStyle w:val="12"/>
        <w:adjustRightInd w:val="0"/>
        <w:ind w:left="0"/>
        <w:rPr>
          <w:lang w:val="en-US"/>
        </w:rPr>
      </w:pPr>
    </w:p>
    <w:tbl>
      <w:tblPr>
        <w:tblStyle w:val="19"/>
        <w:tblpPr w:leftFromText="180" w:rightFromText="180" w:vertAnchor="text" w:horzAnchor="page" w:tblpX="1624" w:tblpY="1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典型业务</w:t>
            </w:r>
          </w:p>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sz w:val="21"/>
                <w:szCs w:val="21"/>
              </w:rPr>
            </w:pPr>
          </w:p>
        </w:tc>
      </w:tr>
    </w:tbl>
    <w:p>
      <w:pPr>
        <w:spacing w:line="360" w:lineRule="auto"/>
        <w:ind w:firstLine="220" w:firstLineChars="100"/>
      </w:pPr>
    </w:p>
    <w:p>
      <w:pPr>
        <w:spacing w:line="360" w:lineRule="auto"/>
        <w:ind w:firstLine="220" w:firstLineChars="100"/>
      </w:pPr>
      <w:r>
        <w:rPr>
          <w:rFonts w:hint="eastAsia"/>
        </w:rPr>
        <w:t>注：1、“项目组人员”指投标人完成本项目所配备的人员。</w:t>
      </w:r>
    </w:p>
    <w:p>
      <w:pPr>
        <w:spacing w:line="360" w:lineRule="auto"/>
        <w:ind w:firstLine="660" w:firstLineChars="300"/>
      </w:pPr>
      <w:r>
        <w:rPr>
          <w:rFonts w:hint="eastAsia"/>
        </w:rPr>
        <w:t>2、各专业人员简历中附</w:t>
      </w:r>
      <w:r>
        <w:rPr>
          <w:rFonts w:hint="eastAsia" w:cs="Times New Roman"/>
        </w:rPr>
        <w:t>身份证、职称证（</w:t>
      </w:r>
      <w:r>
        <w:rPr>
          <w:rFonts w:hint="eastAsia" w:cs="Times New Roman"/>
          <w:lang w:val="en-US"/>
        </w:rPr>
        <w:t>如有</w:t>
      </w:r>
      <w:r>
        <w:rPr>
          <w:rFonts w:hint="eastAsia" w:cs="Times New Roman"/>
        </w:rPr>
        <w:t>）、执业注册证（如有）、上岗证、本单位社保证明及业绩等相关证明材料原件的扫描件</w:t>
      </w:r>
      <w:r>
        <w:rPr>
          <w:rFonts w:hint="eastAsia"/>
        </w:rPr>
        <w:t>；</w:t>
      </w:r>
    </w:p>
    <w:p>
      <w:pPr>
        <w:spacing w:line="360" w:lineRule="auto"/>
        <w:ind w:firstLine="660" w:firstLineChars="300"/>
      </w:pPr>
      <w:r>
        <w:rPr>
          <w:rFonts w:hint="eastAsia"/>
        </w:rPr>
        <w:t>3、表格不够填写可添加。</w:t>
      </w:r>
    </w:p>
    <w:p>
      <w:pPr>
        <w:pStyle w:val="6"/>
        <w:ind w:firstLine="562"/>
        <w:rPr>
          <w:b/>
          <w:color w:val="000000" w:themeColor="text1"/>
          <w14:textFill>
            <w14:solidFill>
              <w14:schemeClr w14:val="tx1"/>
            </w14:solidFill>
          </w14:textFill>
        </w:rPr>
      </w:pPr>
    </w:p>
    <w:p>
      <w:pPr>
        <w:pStyle w:val="6"/>
        <w:ind w:firstLine="0" w:firstLineChars="0"/>
        <w:rPr>
          <w:lang w:val="en-US"/>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1"/>
        <w:rPr>
          <w:sz w:val="20"/>
        </w:rPr>
      </w:pPr>
    </w:p>
    <w:p>
      <w:pPr>
        <w:pStyle w:val="11"/>
        <w:rPr>
          <w:sz w:val="20"/>
        </w:rPr>
      </w:pPr>
    </w:p>
    <w:p>
      <w:pPr>
        <w:pStyle w:val="11"/>
        <w:spacing w:before="7"/>
        <w:rPr>
          <w:sz w:val="17"/>
        </w:rPr>
      </w:pPr>
    </w:p>
    <w:p>
      <w:pPr>
        <w:pStyle w:val="11"/>
        <w:rPr>
          <w:sz w:val="20"/>
        </w:rPr>
      </w:pPr>
    </w:p>
    <w:p>
      <w:pPr>
        <w:pStyle w:val="11"/>
        <w:spacing w:before="1"/>
        <w:rPr>
          <w:sz w:val="26"/>
        </w:rPr>
      </w:pPr>
    </w:p>
    <w:p>
      <w:pPr>
        <w:spacing w:before="62"/>
        <w:ind w:left="35" w:right="199"/>
        <w:jc w:val="center"/>
        <w:rPr>
          <w:sz w:val="28"/>
        </w:rPr>
      </w:pPr>
      <w:bookmarkStart w:id="105" w:name="_TOC_250005"/>
      <w:bookmarkEnd w:id="105"/>
    </w:p>
    <w:p>
      <w:pPr>
        <w:numPr>
          <w:ilvl w:val="0"/>
          <w:numId w:val="74"/>
        </w:numPr>
        <w:spacing w:before="62"/>
        <w:ind w:left="35" w:right="199"/>
        <w:jc w:val="center"/>
        <w:rPr>
          <w:sz w:val="28"/>
        </w:rPr>
      </w:pPr>
      <w:r>
        <w:rPr>
          <w:rFonts w:hint="eastAsia"/>
          <w:sz w:val="28"/>
        </w:rPr>
        <w:t>其他资料</w:t>
      </w:r>
    </w:p>
    <w:p>
      <w:pPr>
        <w:pStyle w:val="18"/>
        <w:ind w:firstLine="0" w:firstLineChars="0"/>
      </w:pPr>
    </w:p>
    <w:p>
      <w:pPr>
        <w:widowControl/>
        <w:jc w:val="center"/>
      </w:pPr>
      <w:r>
        <w:rPr>
          <w:rFonts w:hint="eastAsia"/>
          <w:b/>
          <w:szCs w:val="21"/>
          <w:lang w:val="en-US"/>
        </w:rPr>
        <w:t>中小企业声明函（工程）</w:t>
      </w:r>
    </w:p>
    <w:p>
      <w:pPr>
        <w:widowControl/>
        <w:snapToGrid w:val="0"/>
        <w:spacing w:before="100" w:beforeAutospacing="1" w:after="100" w:afterAutospacing="1" w:line="400" w:lineRule="exact"/>
        <w:ind w:firstLine="660" w:firstLineChars="300"/>
        <w:rPr>
          <w:szCs w:val="21"/>
        </w:rPr>
      </w:pPr>
      <w:r>
        <w:rPr>
          <w:rFonts w:hint="eastAsia"/>
          <w:szCs w:val="21"/>
          <w:lang w:val="en-US"/>
        </w:rPr>
        <w:t>本公司郑重声明，根据《政府采购促进中小企业发展管理办法》（财库﹝2020﹞46 号）的规定，本公司参加</w:t>
      </w:r>
      <w:r>
        <w:rPr>
          <w:rFonts w:hint="eastAsia"/>
          <w:szCs w:val="21"/>
          <w:u w:val="single"/>
          <w:lang w:val="en-US"/>
        </w:rPr>
        <w:t>（单位名称）</w:t>
      </w:r>
      <w:r>
        <w:rPr>
          <w:rFonts w:hint="eastAsia"/>
          <w:szCs w:val="21"/>
          <w:lang w:val="en-US"/>
        </w:rPr>
        <w:t>的</w:t>
      </w:r>
      <w:r>
        <w:rPr>
          <w:rFonts w:hint="eastAsia"/>
          <w:szCs w:val="21"/>
          <w:u w:val="single"/>
          <w:lang w:val="en-US"/>
        </w:rPr>
        <w:t>（项目名称）</w:t>
      </w:r>
      <w:r>
        <w:rPr>
          <w:rFonts w:hint="eastAsia"/>
          <w:szCs w:val="21"/>
          <w:lang w:val="en-US"/>
        </w:rPr>
        <w:t>采购活动，工程的施工单位全部为符合政策要求的中小企业。相关企业的具体情况如下：</w:t>
      </w:r>
    </w:p>
    <w:p>
      <w:pPr>
        <w:widowControl/>
        <w:snapToGrid w:val="0"/>
        <w:spacing w:before="100" w:beforeAutospacing="1" w:after="100" w:afterAutospacing="1" w:line="400" w:lineRule="exact"/>
        <w:rPr>
          <w:szCs w:val="21"/>
        </w:rPr>
      </w:pPr>
      <w:r>
        <w:rPr>
          <w:rFonts w:hint="eastAsia"/>
          <w:szCs w:val="21"/>
          <w:lang w:val="en-US"/>
        </w:rPr>
        <w:t xml:space="preserve">1. </w:t>
      </w:r>
      <w:r>
        <w:rPr>
          <w:rFonts w:hint="eastAsia"/>
          <w:szCs w:val="21"/>
          <w:u w:val="single"/>
          <w:lang w:val="en-US"/>
        </w:rPr>
        <w:t>（标的名称）</w:t>
      </w:r>
      <w:r>
        <w:rPr>
          <w:rFonts w:hint="eastAsia"/>
          <w:szCs w:val="21"/>
          <w:lang w:val="en-US"/>
        </w:rPr>
        <w:t xml:space="preserve"> ，属于</w:t>
      </w:r>
      <w:r>
        <w:rPr>
          <w:rFonts w:hint="eastAsia"/>
          <w:szCs w:val="21"/>
          <w:u w:val="single"/>
          <w:lang w:val="en-US"/>
        </w:rPr>
        <w:t>建筑业</w:t>
      </w:r>
      <w:r>
        <w:rPr>
          <w:rFonts w:hint="eastAsia"/>
          <w:szCs w:val="21"/>
          <w:lang w:val="en-US"/>
        </w:rPr>
        <w:t>；承建企业为</w:t>
      </w:r>
      <w:r>
        <w:rPr>
          <w:rFonts w:hint="eastAsia"/>
          <w:szCs w:val="21"/>
          <w:u w:val="single"/>
          <w:lang w:val="en-US"/>
        </w:rPr>
        <w:t>（企业名称）</w:t>
      </w:r>
      <w:r>
        <w:rPr>
          <w:rFonts w:hint="eastAsia"/>
          <w:szCs w:val="21"/>
          <w:lang w:val="en-US"/>
        </w:rPr>
        <w:t>，从业人员</w:t>
      </w:r>
      <w:r>
        <w:rPr>
          <w:rFonts w:hint="eastAsia"/>
          <w:szCs w:val="21"/>
          <w:u w:val="single"/>
          <w:lang w:val="en-US"/>
        </w:rPr>
        <w:t xml:space="preserve">    </w:t>
      </w:r>
      <w:r>
        <w:rPr>
          <w:rFonts w:hint="eastAsia"/>
          <w:szCs w:val="21"/>
          <w:lang w:val="en-US"/>
        </w:rPr>
        <w:t>人，营业收入为</w:t>
      </w:r>
      <w:r>
        <w:rPr>
          <w:rFonts w:hint="eastAsia"/>
          <w:szCs w:val="21"/>
          <w:u w:val="single"/>
          <w:lang w:val="en-US"/>
        </w:rPr>
        <w:t xml:space="preserve">         </w:t>
      </w:r>
      <w:r>
        <w:rPr>
          <w:rFonts w:hint="eastAsia"/>
          <w:szCs w:val="21"/>
          <w:lang w:val="en-US"/>
        </w:rPr>
        <w:t>万元，资产总额为</w:t>
      </w:r>
      <w:r>
        <w:rPr>
          <w:rFonts w:hint="eastAsia"/>
          <w:szCs w:val="21"/>
          <w:u w:val="single"/>
          <w:lang w:val="en-US"/>
        </w:rPr>
        <w:t xml:space="preserve">       </w:t>
      </w:r>
      <w:r>
        <w:rPr>
          <w:rFonts w:hint="eastAsia"/>
          <w:szCs w:val="21"/>
          <w:lang w:val="en-US"/>
        </w:rPr>
        <w:t>万元</w:t>
      </w:r>
      <w:r>
        <w:rPr>
          <w:rFonts w:hint="eastAsia"/>
          <w:szCs w:val="21"/>
          <w:vertAlign w:val="superscript"/>
          <w:lang w:val="en-US"/>
        </w:rPr>
        <w:t>1</w:t>
      </w:r>
      <w:r>
        <w:rPr>
          <w:rFonts w:hint="eastAsia"/>
          <w:szCs w:val="21"/>
          <w:lang w:val="en-US"/>
        </w:rPr>
        <w:t>，属于</w:t>
      </w:r>
      <w:r>
        <w:rPr>
          <w:rFonts w:hint="eastAsia"/>
          <w:szCs w:val="21"/>
          <w:u w:val="single"/>
          <w:lang w:val="en-US"/>
        </w:rPr>
        <w:t>（中型企业、小型企业、微型企业）</w:t>
      </w:r>
      <w:r>
        <w:rPr>
          <w:rFonts w:hint="eastAsia"/>
          <w:szCs w:val="21"/>
          <w:lang w:val="en-US"/>
        </w:rPr>
        <w:t xml:space="preserve">； </w:t>
      </w:r>
    </w:p>
    <w:p>
      <w:pPr>
        <w:widowControl/>
        <w:snapToGrid w:val="0"/>
        <w:spacing w:before="100" w:beforeAutospacing="1" w:after="100" w:afterAutospacing="1" w:line="400" w:lineRule="exact"/>
        <w:rPr>
          <w:szCs w:val="21"/>
        </w:rPr>
      </w:pPr>
      <w:r>
        <w:rPr>
          <w:rFonts w:hint="eastAsia"/>
          <w:szCs w:val="21"/>
          <w:lang w:val="en-US"/>
        </w:rPr>
        <w:t xml:space="preserve">2.  </w:t>
      </w:r>
      <w:r>
        <w:rPr>
          <w:rFonts w:hint="eastAsia"/>
          <w:szCs w:val="21"/>
          <w:u w:val="single"/>
          <w:lang w:val="en-US"/>
        </w:rPr>
        <w:t>（标的名称）</w:t>
      </w:r>
      <w:r>
        <w:rPr>
          <w:rFonts w:hint="eastAsia"/>
          <w:szCs w:val="21"/>
          <w:lang w:val="en-US"/>
        </w:rPr>
        <w:t xml:space="preserve"> ，属于</w:t>
      </w:r>
      <w:r>
        <w:rPr>
          <w:rFonts w:hint="eastAsia"/>
          <w:szCs w:val="21"/>
          <w:u w:val="single"/>
          <w:lang w:val="en-US"/>
        </w:rPr>
        <w:t>建筑业</w:t>
      </w:r>
      <w:r>
        <w:rPr>
          <w:rFonts w:hint="eastAsia"/>
          <w:szCs w:val="21"/>
          <w:lang w:val="en-US"/>
        </w:rPr>
        <w:t>；承建企业为</w:t>
      </w:r>
      <w:r>
        <w:rPr>
          <w:rFonts w:hint="eastAsia"/>
          <w:szCs w:val="21"/>
          <w:u w:val="single"/>
          <w:lang w:val="en-US"/>
        </w:rPr>
        <w:t>（企业名称）</w:t>
      </w:r>
      <w:r>
        <w:rPr>
          <w:rFonts w:hint="eastAsia"/>
          <w:szCs w:val="21"/>
          <w:lang w:val="en-US"/>
        </w:rPr>
        <w:t>，从业人员</w:t>
      </w:r>
      <w:r>
        <w:rPr>
          <w:rFonts w:hint="eastAsia"/>
          <w:szCs w:val="21"/>
          <w:u w:val="single"/>
          <w:lang w:val="en-US"/>
        </w:rPr>
        <w:t xml:space="preserve">    </w:t>
      </w:r>
      <w:r>
        <w:rPr>
          <w:rFonts w:hint="eastAsia"/>
          <w:szCs w:val="21"/>
          <w:lang w:val="en-US"/>
        </w:rPr>
        <w:t>人，营业收入为</w:t>
      </w:r>
      <w:r>
        <w:rPr>
          <w:rFonts w:hint="eastAsia"/>
          <w:szCs w:val="21"/>
          <w:u w:val="single"/>
          <w:lang w:val="en-US"/>
        </w:rPr>
        <w:t xml:space="preserve">         </w:t>
      </w:r>
      <w:r>
        <w:rPr>
          <w:rFonts w:hint="eastAsia"/>
          <w:szCs w:val="21"/>
          <w:lang w:val="en-US"/>
        </w:rPr>
        <w:t>万元，资产总额为</w:t>
      </w:r>
      <w:r>
        <w:rPr>
          <w:rFonts w:hint="eastAsia"/>
          <w:szCs w:val="21"/>
          <w:u w:val="single"/>
          <w:lang w:val="en-US"/>
        </w:rPr>
        <w:t xml:space="preserve">       </w:t>
      </w:r>
      <w:r>
        <w:rPr>
          <w:rFonts w:hint="eastAsia"/>
          <w:szCs w:val="21"/>
          <w:lang w:val="en-US"/>
        </w:rPr>
        <w:t>万元</w:t>
      </w:r>
      <w:r>
        <w:rPr>
          <w:rFonts w:hint="eastAsia"/>
          <w:szCs w:val="21"/>
          <w:vertAlign w:val="superscript"/>
          <w:lang w:val="en-US"/>
        </w:rPr>
        <w:t>1</w:t>
      </w:r>
      <w:r>
        <w:rPr>
          <w:rFonts w:hint="eastAsia"/>
          <w:szCs w:val="21"/>
          <w:lang w:val="en-US"/>
        </w:rPr>
        <w:t>，属于</w:t>
      </w:r>
      <w:r>
        <w:rPr>
          <w:rFonts w:hint="eastAsia"/>
          <w:szCs w:val="21"/>
          <w:u w:val="single"/>
          <w:lang w:val="en-US"/>
        </w:rPr>
        <w:t>（中型企业、小型企业、微型企业）</w:t>
      </w:r>
      <w:r>
        <w:rPr>
          <w:rFonts w:hint="eastAsia"/>
          <w:szCs w:val="21"/>
          <w:lang w:val="en-US"/>
        </w:rPr>
        <w:t>；</w:t>
      </w:r>
    </w:p>
    <w:p>
      <w:pPr>
        <w:widowControl/>
        <w:snapToGrid w:val="0"/>
        <w:spacing w:before="100" w:beforeAutospacing="1" w:after="100" w:afterAutospacing="1" w:line="400" w:lineRule="exact"/>
        <w:rPr>
          <w:szCs w:val="21"/>
        </w:rPr>
      </w:pPr>
      <w:r>
        <w:rPr>
          <w:rFonts w:hint="eastAsia"/>
          <w:szCs w:val="21"/>
          <w:lang w:val="en-US"/>
        </w:rPr>
        <w:t>……</w:t>
      </w:r>
    </w:p>
    <w:p>
      <w:pPr>
        <w:widowControl/>
        <w:snapToGrid w:val="0"/>
        <w:spacing w:before="100" w:beforeAutospacing="1" w:after="100" w:afterAutospacing="1" w:line="400" w:lineRule="exact"/>
        <w:ind w:firstLine="440" w:firstLineChars="200"/>
        <w:rPr>
          <w:szCs w:val="21"/>
        </w:rPr>
      </w:pPr>
      <w:r>
        <w:rPr>
          <w:rFonts w:hint="eastAsia"/>
          <w:szCs w:val="21"/>
          <w:lang w:val="en-US"/>
        </w:rPr>
        <w:t>以上企业，不属于大企业的分支机构，不存在控股股东为大企业的情形，也不存在与大企业的负责人为同一人的情形。</w:t>
      </w:r>
    </w:p>
    <w:p>
      <w:pPr>
        <w:widowControl/>
        <w:snapToGrid w:val="0"/>
        <w:spacing w:before="100" w:beforeAutospacing="1" w:after="100" w:afterAutospacing="1" w:line="400" w:lineRule="exact"/>
        <w:ind w:firstLine="440" w:firstLineChars="200"/>
        <w:rPr>
          <w:szCs w:val="21"/>
        </w:rPr>
      </w:pPr>
      <w:r>
        <w:rPr>
          <w:rFonts w:hint="eastAsia"/>
          <w:szCs w:val="21"/>
          <w:lang w:val="en-US"/>
        </w:rPr>
        <w:t xml:space="preserve">本企业对上述声明内容的真实性负责。如有虚假，将依法承担相应责任。 </w:t>
      </w:r>
    </w:p>
    <w:p>
      <w:pPr>
        <w:widowControl/>
        <w:snapToGrid w:val="0"/>
        <w:spacing w:before="100" w:beforeAutospacing="1" w:after="100" w:afterAutospacing="1" w:line="400" w:lineRule="exact"/>
        <w:ind w:firstLine="5500" w:firstLineChars="2500"/>
        <w:rPr>
          <w:szCs w:val="21"/>
        </w:rPr>
      </w:pPr>
      <w:r>
        <w:rPr>
          <w:rFonts w:hint="eastAsia"/>
          <w:szCs w:val="21"/>
          <w:lang w:val="en-US"/>
        </w:rPr>
        <w:t xml:space="preserve">企业名称（盖章）： </w:t>
      </w:r>
    </w:p>
    <w:p>
      <w:pPr>
        <w:widowControl/>
        <w:snapToGrid w:val="0"/>
        <w:spacing w:before="100" w:beforeAutospacing="1" w:after="100" w:afterAutospacing="1" w:line="400" w:lineRule="exact"/>
        <w:ind w:firstLine="5500" w:firstLineChars="2500"/>
        <w:rPr>
          <w:szCs w:val="21"/>
        </w:rPr>
      </w:pPr>
      <w:r>
        <w:rPr>
          <w:rFonts w:hint="eastAsia"/>
          <w:szCs w:val="21"/>
          <w:lang w:val="en-US"/>
        </w:rPr>
        <w:t xml:space="preserve">日 期： </w:t>
      </w: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pPr>
      <w:r>
        <w:rPr>
          <w:rFonts w:ascii="Times New Roman" w:hAnsi="Times New Roman" w:cs="Times New Roman"/>
          <w:b/>
          <w:bCs/>
          <w:color w:val="000000"/>
          <w:sz w:val="11"/>
          <w:szCs w:val="11"/>
          <w:lang w:val="en-US" w:bidi="ar"/>
        </w:rPr>
        <w:t xml:space="preserve">1 </w:t>
      </w:r>
      <w:r>
        <w:rPr>
          <w:rFonts w:hint="eastAsia"/>
          <w:b/>
          <w:bCs/>
          <w:color w:val="000000"/>
          <w:sz w:val="18"/>
          <w:szCs w:val="18"/>
          <w:lang w:val="en-US" w:bidi="ar"/>
        </w:rPr>
        <w:t>从业人员、营业收入、资产总额填报上一年度数据，无上一年度数据的新成立企业可不填报。</w:t>
      </w:r>
    </w:p>
    <w:p>
      <w:pPr>
        <w:ind w:firstLine="442" w:firstLineChars="200"/>
        <w:rPr>
          <w:b/>
          <w:szCs w:val="21"/>
        </w:rPr>
      </w:pPr>
    </w:p>
    <w:p>
      <w:pPr>
        <w:pStyle w:val="11"/>
        <w:kinsoku w:val="0"/>
        <w:overflowPunct w:val="0"/>
        <w:adjustRightInd w:val="0"/>
        <w:spacing w:before="57" w:line="440" w:lineRule="exact"/>
        <w:ind w:left="111" w:right="232" w:firstLine="480"/>
        <w:jc w:val="both"/>
        <w:rPr>
          <w:b/>
          <w:bCs/>
          <w:color w:val="000000" w:themeColor="text1"/>
          <w:sz w:val="30"/>
          <w:szCs w:val="30"/>
          <w:lang w:val="en-US"/>
          <w14:textFill>
            <w14:solidFill>
              <w14:schemeClr w14:val="tx1"/>
            </w14:solidFill>
          </w14:textFill>
        </w:rPr>
      </w:pPr>
      <w:r>
        <w:rPr>
          <w:b/>
          <w:szCs w:val="21"/>
        </w:rPr>
        <w:br w:type="page"/>
      </w:r>
    </w:p>
    <w:p>
      <w:pPr>
        <w:pStyle w:val="18"/>
        <w:ind w:firstLine="560"/>
        <w:rPr>
          <w:sz w:val="28"/>
        </w:rPr>
        <w:sectPr>
          <w:headerReference r:id="rId27" w:type="default"/>
          <w:footerReference r:id="rId28" w:type="default"/>
          <w:pgSz w:w="11910" w:h="16840"/>
          <w:pgMar w:top="1220" w:right="920" w:bottom="1040" w:left="1320" w:header="882" w:footer="845"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19"/>
        </w:rPr>
      </w:pPr>
    </w:p>
    <w:p>
      <w:pPr>
        <w:pStyle w:val="11"/>
        <w:tabs>
          <w:tab w:val="left" w:pos="1920"/>
          <w:tab w:val="left" w:pos="4080"/>
        </w:tabs>
        <w:spacing w:before="74"/>
        <w:ind w:right="199"/>
        <w:jc w:val="center"/>
        <w:rPr>
          <w:sz w:val="32"/>
          <w:szCs w:val="32"/>
        </w:rPr>
      </w:pPr>
      <w:r>
        <w:rPr>
          <w:rFonts w:hint="eastAsia"/>
          <w:sz w:val="32"/>
          <w:szCs w:val="32"/>
          <w:u w:val="single"/>
        </w:rPr>
        <w:t xml:space="preserve"> </w:t>
      </w:r>
      <w:r>
        <w:rPr>
          <w:rFonts w:hint="eastAsia"/>
          <w:sz w:val="32"/>
          <w:szCs w:val="32"/>
          <w:u w:val="single"/>
        </w:rPr>
        <w:tab/>
      </w:r>
      <w:r>
        <w:rPr>
          <w:rFonts w:hint="eastAsia"/>
          <w:sz w:val="32"/>
          <w:szCs w:val="32"/>
        </w:rPr>
        <w:t>（项目名称）</w:t>
      </w:r>
    </w:p>
    <w:p>
      <w:pPr>
        <w:pStyle w:val="11"/>
        <w:rPr>
          <w:sz w:val="26"/>
        </w:rPr>
      </w:pPr>
    </w:p>
    <w:p>
      <w:pPr>
        <w:pStyle w:val="11"/>
        <w:rPr>
          <w:sz w:val="26"/>
        </w:rPr>
      </w:pPr>
    </w:p>
    <w:p>
      <w:pPr>
        <w:pStyle w:val="11"/>
        <w:rPr>
          <w:sz w:val="26"/>
        </w:rPr>
      </w:pPr>
    </w:p>
    <w:p>
      <w:pPr>
        <w:pStyle w:val="11"/>
        <w:rPr>
          <w:sz w:val="26"/>
        </w:rPr>
      </w:pPr>
    </w:p>
    <w:p>
      <w:pPr>
        <w:pStyle w:val="11"/>
        <w:spacing w:before="4"/>
        <w:rPr>
          <w:sz w:val="35"/>
        </w:rPr>
      </w:pPr>
    </w:p>
    <w:p>
      <w:pPr>
        <w:pStyle w:val="3"/>
        <w:tabs>
          <w:tab w:val="left" w:pos="1637"/>
          <w:tab w:val="left" w:pos="3077"/>
          <w:tab w:val="left" w:pos="4517"/>
        </w:tabs>
        <w:jc w:val="center"/>
      </w:pPr>
      <w:bookmarkStart w:id="106" w:name="投__标__文__件_"/>
      <w:bookmarkEnd w:id="106"/>
      <w:r>
        <w:rPr>
          <w:rFonts w:hint="eastAsia"/>
        </w:rPr>
        <w:t>响</w:t>
      </w:r>
      <w:r>
        <w:rPr>
          <w:rFonts w:hint="eastAsia"/>
          <w:lang w:val="en-US"/>
        </w:rPr>
        <w:t xml:space="preserve"> </w:t>
      </w:r>
      <w:r>
        <w:rPr>
          <w:rFonts w:hint="eastAsia"/>
        </w:rPr>
        <w:t>应</w:t>
      </w:r>
      <w:r>
        <w:rPr>
          <w:rFonts w:hint="eastAsia"/>
          <w:lang w:val="en-US"/>
        </w:rPr>
        <w:t xml:space="preserve"> </w:t>
      </w:r>
      <w:r>
        <w:rPr>
          <w:rFonts w:hint="eastAsia"/>
        </w:rPr>
        <w:t>文</w:t>
      </w:r>
      <w:r>
        <w:rPr>
          <w:rFonts w:hint="eastAsia"/>
          <w:lang w:val="en-US"/>
        </w:rPr>
        <w:t xml:space="preserve"> </w:t>
      </w:r>
      <w:r>
        <w:rPr>
          <w:rFonts w:hint="eastAsia"/>
        </w:rPr>
        <w:t>件</w:t>
      </w:r>
    </w:p>
    <w:p>
      <w:pPr>
        <w:pStyle w:val="10"/>
        <w:spacing w:before="476"/>
        <w:ind w:left="68" w:right="199"/>
        <w:rPr>
          <w:b/>
          <w:bCs/>
          <w:sz w:val="44"/>
          <w:szCs w:val="44"/>
        </w:rPr>
      </w:pPr>
      <w:bookmarkStart w:id="107" w:name="_TOC_250004"/>
      <w:bookmarkEnd w:id="107"/>
      <w:r>
        <w:rPr>
          <w:rFonts w:hint="eastAsia"/>
          <w:b/>
          <w:bCs/>
          <w:sz w:val="44"/>
          <w:szCs w:val="44"/>
        </w:rPr>
        <w:t>（报价文件）</w:t>
      </w:r>
    </w:p>
    <w:p>
      <w:pPr>
        <w:pStyle w:val="11"/>
        <w:rPr>
          <w:b/>
          <w:bCs/>
          <w:sz w:val="32"/>
        </w:rPr>
      </w:pPr>
    </w:p>
    <w:p>
      <w:pPr>
        <w:pStyle w:val="11"/>
        <w:rPr>
          <w:sz w:val="32"/>
        </w:rPr>
      </w:pPr>
    </w:p>
    <w:p>
      <w:pPr>
        <w:pStyle w:val="11"/>
        <w:rPr>
          <w:sz w:val="32"/>
        </w:rPr>
      </w:pPr>
    </w:p>
    <w:p>
      <w:pPr>
        <w:pStyle w:val="11"/>
        <w:rPr>
          <w:sz w:val="32"/>
        </w:rPr>
      </w:pPr>
    </w:p>
    <w:p>
      <w:pPr>
        <w:pStyle w:val="11"/>
        <w:rPr>
          <w:sz w:val="32"/>
        </w:rPr>
      </w:pPr>
    </w:p>
    <w:p>
      <w:pPr>
        <w:pStyle w:val="11"/>
        <w:rPr>
          <w:sz w:val="32"/>
        </w:rPr>
      </w:pPr>
    </w:p>
    <w:p>
      <w:pPr>
        <w:pStyle w:val="11"/>
        <w:rPr>
          <w:sz w:val="32"/>
        </w:rPr>
      </w:pPr>
    </w:p>
    <w:p>
      <w:pPr>
        <w:pStyle w:val="11"/>
        <w:rPr>
          <w:sz w:val="32"/>
        </w:rPr>
      </w:pPr>
    </w:p>
    <w:p>
      <w:pPr>
        <w:pStyle w:val="11"/>
        <w:rPr>
          <w:sz w:val="32"/>
        </w:rPr>
      </w:pPr>
    </w:p>
    <w:p>
      <w:pPr>
        <w:pStyle w:val="11"/>
        <w:rPr>
          <w:sz w:val="32"/>
        </w:rPr>
      </w:pPr>
    </w:p>
    <w:p>
      <w:pPr>
        <w:spacing w:line="480" w:lineRule="auto"/>
        <w:ind w:firstLine="2380" w:firstLineChars="850"/>
        <w:rPr>
          <w:rFonts w:eastAsia="Times New Roman"/>
          <w:sz w:val="28"/>
          <w:u w:val="single"/>
        </w:rPr>
      </w:pPr>
      <w:r>
        <w:rPr>
          <w:rFonts w:hint="eastAsia"/>
          <w:sz w:val="28"/>
        </w:rPr>
        <w:t>供应商名称：（盖章）</w:t>
      </w:r>
    </w:p>
    <w:p>
      <w:pPr>
        <w:spacing w:line="480" w:lineRule="auto"/>
        <w:jc w:val="center"/>
        <w:rPr>
          <w:rFonts w:eastAsiaTheme="minorEastAsia"/>
          <w:sz w:val="28"/>
        </w:rPr>
      </w:pPr>
      <w:r>
        <w:rPr>
          <w:rFonts w:hint="eastAsia"/>
          <w:sz w:val="28"/>
        </w:rPr>
        <w:t xml:space="preserve">    法定代表人或其委托代理人：（签字或盖章）</w:t>
      </w:r>
    </w:p>
    <w:p>
      <w:pPr>
        <w:spacing w:line="480" w:lineRule="auto"/>
        <w:ind w:firstLine="2380" w:firstLineChars="850"/>
        <w:rPr>
          <w:sz w:val="28"/>
        </w:rPr>
      </w:pPr>
      <w:r>
        <w:rPr>
          <w:rFonts w:hint="eastAsia"/>
          <w:sz w:val="28"/>
        </w:rPr>
        <w:t>日期：年</w:t>
      </w:r>
      <w:r>
        <w:rPr>
          <w:rFonts w:hint="eastAsia"/>
          <w:sz w:val="28"/>
          <w:lang w:val="en-US"/>
        </w:rPr>
        <w:t xml:space="preserve">  </w:t>
      </w:r>
      <w:r>
        <w:rPr>
          <w:rFonts w:hint="eastAsia"/>
          <w:sz w:val="28"/>
        </w:rPr>
        <w:t>月</w:t>
      </w:r>
      <w:r>
        <w:rPr>
          <w:rFonts w:hint="eastAsia"/>
          <w:sz w:val="28"/>
          <w:lang w:val="en-US"/>
        </w:rPr>
        <w:t xml:space="preserve">  </w:t>
      </w:r>
      <w:r>
        <w:rPr>
          <w:rFonts w:hint="eastAsia"/>
          <w:sz w:val="28"/>
        </w:rPr>
        <w:t>日</w:t>
      </w:r>
    </w:p>
    <w:p>
      <w:pPr>
        <w:pStyle w:val="11"/>
        <w:rPr>
          <w:sz w:val="20"/>
        </w:rPr>
      </w:pPr>
    </w:p>
    <w:p>
      <w:pPr>
        <w:pStyle w:val="12"/>
        <w:rPr>
          <w:sz w:val="20"/>
        </w:rPr>
      </w:pPr>
    </w:p>
    <w:p>
      <w:pPr>
        <w:rPr>
          <w:sz w:val="20"/>
        </w:rPr>
      </w:pPr>
    </w:p>
    <w:p>
      <w:pPr>
        <w:pStyle w:val="18"/>
        <w:ind w:firstLine="440"/>
      </w:pPr>
    </w:p>
    <w:p>
      <w:pPr>
        <w:pStyle w:val="11"/>
        <w:rPr>
          <w:sz w:val="20"/>
        </w:rPr>
      </w:pPr>
    </w:p>
    <w:p>
      <w:pPr>
        <w:tabs>
          <w:tab w:val="left" w:pos="1051"/>
        </w:tabs>
        <w:spacing w:before="227"/>
        <w:ind w:right="248"/>
        <w:jc w:val="center"/>
        <w:rPr>
          <w:b/>
          <w:sz w:val="30"/>
        </w:rPr>
      </w:pPr>
      <w:bookmarkStart w:id="108" w:name="_TOC_250003"/>
      <w:bookmarkEnd w:id="108"/>
    </w:p>
    <w:p>
      <w:pPr>
        <w:tabs>
          <w:tab w:val="left" w:pos="1051"/>
        </w:tabs>
        <w:spacing w:before="227"/>
        <w:ind w:right="248"/>
        <w:jc w:val="center"/>
        <w:rPr>
          <w:b/>
          <w:sz w:val="30"/>
        </w:rPr>
      </w:pPr>
    </w:p>
    <w:p>
      <w:pPr>
        <w:tabs>
          <w:tab w:val="left" w:pos="1051"/>
        </w:tabs>
        <w:spacing w:before="227"/>
        <w:ind w:right="248"/>
        <w:jc w:val="center"/>
        <w:rPr>
          <w:b/>
          <w:sz w:val="30"/>
        </w:rPr>
      </w:pPr>
      <w:r>
        <w:rPr>
          <w:rFonts w:hint="eastAsia"/>
          <w:b/>
          <w:sz w:val="30"/>
        </w:rPr>
        <w:t>目</w:t>
      </w:r>
      <w:r>
        <w:rPr>
          <w:rFonts w:hint="eastAsia"/>
          <w:b/>
          <w:sz w:val="30"/>
        </w:rPr>
        <w:tab/>
      </w:r>
      <w:r>
        <w:rPr>
          <w:rFonts w:hint="eastAsia"/>
          <w:b/>
          <w:sz w:val="30"/>
        </w:rPr>
        <w:t>录</w:t>
      </w:r>
    </w:p>
    <w:p>
      <w:pPr>
        <w:pStyle w:val="11"/>
        <w:spacing w:before="6"/>
        <w:rPr>
          <w:b/>
          <w:sz w:val="43"/>
        </w:rPr>
      </w:pPr>
    </w:p>
    <w:p>
      <w:pPr>
        <w:pStyle w:val="11"/>
        <w:spacing w:line="360" w:lineRule="auto"/>
        <w:ind w:left="1894"/>
      </w:pPr>
      <w:r>
        <w:rPr>
          <w:rFonts w:hint="eastAsia"/>
        </w:rPr>
        <w:t>一、投标函</w:t>
      </w:r>
    </w:p>
    <w:p>
      <w:pPr>
        <w:pStyle w:val="11"/>
        <w:spacing w:before="132" w:line="360" w:lineRule="auto"/>
        <w:ind w:left="1894" w:right="5369"/>
      </w:pPr>
      <w:r>
        <w:rPr>
          <w:rFonts w:hint="eastAsia"/>
        </w:rPr>
        <w:t>二、已标价工程量清单三、合同用款估算表</w:t>
      </w:r>
    </w:p>
    <w:p>
      <w:pPr>
        <w:pStyle w:val="11"/>
        <w:spacing w:before="132" w:line="360" w:lineRule="auto"/>
        <w:ind w:left="1894" w:right="5369"/>
        <w:rPr>
          <w:lang w:val="en-US"/>
        </w:rPr>
      </w:pPr>
      <w:r>
        <w:rPr>
          <w:rFonts w:hint="eastAsia"/>
          <w:lang w:val="en-US"/>
        </w:rPr>
        <w:t>四、最终报价单</w:t>
      </w:r>
    </w:p>
    <w:p>
      <w:pPr>
        <w:spacing w:line="343" w:lineRule="auto"/>
        <w:rPr>
          <w:sz w:val="24"/>
          <w:szCs w:val="24"/>
        </w:rPr>
      </w:pPr>
    </w:p>
    <w:p>
      <w:pPr>
        <w:pStyle w:val="18"/>
        <w:ind w:firstLine="440"/>
        <w:rPr>
          <w:lang w:val="en-US"/>
        </w:rPr>
        <w:sectPr>
          <w:footerReference r:id="rId29" w:type="default"/>
          <w:pgSz w:w="11910" w:h="16840"/>
          <w:pgMar w:top="1220" w:right="920" w:bottom="1040" w:left="1320" w:header="882" w:footer="845" w:gutter="0"/>
          <w:cols w:space="720" w:num="1"/>
        </w:sectPr>
      </w:pPr>
      <w:r>
        <w:rPr>
          <w:rFonts w:hint="eastAsia"/>
          <w:lang w:val="en-US"/>
        </w:rPr>
        <w:t xml:space="preserve">       </w:t>
      </w:r>
    </w:p>
    <w:p>
      <w:pPr>
        <w:pStyle w:val="11"/>
        <w:spacing w:before="4"/>
        <w:rPr>
          <w:sz w:val="16"/>
        </w:rPr>
      </w:pPr>
    </w:p>
    <w:p>
      <w:pPr>
        <w:spacing w:before="58"/>
        <w:ind w:left="50" w:right="199"/>
        <w:jc w:val="center"/>
        <w:rPr>
          <w:sz w:val="30"/>
        </w:rPr>
      </w:pPr>
      <w:bookmarkStart w:id="109" w:name="_TOC_250002"/>
      <w:bookmarkEnd w:id="109"/>
      <w:r>
        <w:rPr>
          <w:rFonts w:hint="eastAsia"/>
          <w:sz w:val="30"/>
        </w:rPr>
        <w:t>一、投标函</w:t>
      </w:r>
    </w:p>
    <w:p>
      <w:pPr>
        <w:pStyle w:val="11"/>
        <w:rPr>
          <w:sz w:val="20"/>
        </w:rPr>
      </w:pPr>
    </w:p>
    <w:p>
      <w:pPr>
        <w:pStyle w:val="11"/>
        <w:rPr>
          <w:sz w:val="20"/>
        </w:rPr>
      </w:pPr>
    </w:p>
    <w:p>
      <w:pPr>
        <w:pStyle w:val="11"/>
        <w:rPr>
          <w:sz w:val="20"/>
        </w:rPr>
      </w:pPr>
    </w:p>
    <w:p>
      <w:pPr>
        <w:pStyle w:val="11"/>
        <w:spacing w:before="1"/>
        <w:rPr>
          <w:sz w:val="19"/>
        </w:rPr>
      </w:pPr>
    </w:p>
    <w:p>
      <w:pPr>
        <w:pStyle w:val="11"/>
        <w:tabs>
          <w:tab w:val="left" w:pos="3352"/>
        </w:tabs>
        <w:spacing w:before="74"/>
        <w:ind w:left="471"/>
      </w:pPr>
      <w:r>
        <w:rPr>
          <w:rFonts w:hint="eastAsia"/>
          <w:u w:val="single"/>
        </w:rPr>
        <w:t xml:space="preserve"> </w:t>
      </w:r>
      <w:r>
        <w:rPr>
          <w:rFonts w:hint="eastAsia"/>
          <w:u w:val="single"/>
        </w:rPr>
        <w:tab/>
      </w:r>
      <w:r>
        <w:rPr>
          <w:rFonts w:hint="eastAsia"/>
        </w:rPr>
        <w:t>（招标人名称）：</w:t>
      </w:r>
    </w:p>
    <w:p>
      <w:pPr>
        <w:pStyle w:val="21"/>
        <w:numPr>
          <w:ilvl w:val="0"/>
          <w:numId w:val="75"/>
        </w:numPr>
        <w:tabs>
          <w:tab w:val="left" w:pos="995"/>
          <w:tab w:val="left" w:pos="1953"/>
          <w:tab w:val="left" w:pos="3273"/>
          <w:tab w:val="left" w:pos="3359"/>
          <w:tab w:val="left" w:pos="4439"/>
          <w:tab w:val="left" w:pos="4833"/>
          <w:tab w:val="left" w:pos="7353"/>
        </w:tabs>
        <w:spacing w:before="213" w:line="312" w:lineRule="auto"/>
        <w:ind w:right="551" w:firstLine="480"/>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（项目名称）施工招标竞争性磋商文件的全部内</w:t>
      </w:r>
      <w:r>
        <w:rPr>
          <w:rFonts w:hint="eastAsia"/>
          <w:spacing w:val="-32"/>
          <w:sz w:val="24"/>
        </w:rPr>
        <w:t>容</w:t>
      </w:r>
      <w:r>
        <w:rPr>
          <w:rFonts w:hint="eastAsia"/>
          <w:spacing w:val="-3"/>
          <w:sz w:val="24"/>
        </w:rPr>
        <w:t>（</w:t>
      </w:r>
      <w:r>
        <w:rPr>
          <w:rFonts w:hint="eastAsia"/>
          <w:sz w:val="24"/>
        </w:rPr>
        <w:t>含补遗书</w:t>
      </w:r>
      <w:r>
        <w:rPr>
          <w:rFonts w:hint="eastAsia"/>
          <w:spacing w:val="-33"/>
          <w:sz w:val="24"/>
        </w:rPr>
        <w:t>），</w:t>
      </w:r>
      <w:r>
        <w:rPr>
          <w:rFonts w:hint="eastAsia"/>
          <w:sz w:val="24"/>
        </w:rPr>
        <w:t>在考察工程现场后</w:t>
      </w:r>
      <w:r>
        <w:rPr>
          <w:rFonts w:hint="eastAsia"/>
          <w:spacing w:val="-32"/>
          <w:sz w:val="24"/>
        </w:rPr>
        <w:t>，</w:t>
      </w:r>
      <w:r>
        <w:rPr>
          <w:rFonts w:hint="eastAsia"/>
          <w:sz w:val="24"/>
        </w:rPr>
        <w:t>愿意以人民</w:t>
      </w:r>
      <w:r>
        <w:rPr>
          <w:rFonts w:hint="eastAsia"/>
          <w:spacing w:val="-32"/>
          <w:sz w:val="24"/>
        </w:rPr>
        <w:t>币</w:t>
      </w:r>
      <w:r>
        <w:rPr>
          <w:rFonts w:hint="eastAsia"/>
          <w:sz w:val="24"/>
        </w:rPr>
        <w:t>（</w:t>
      </w:r>
      <w:r>
        <w:rPr>
          <w:rFonts w:hint="eastAsia"/>
          <w:spacing w:val="-14"/>
          <w:sz w:val="24"/>
        </w:rPr>
        <w:t>大</w:t>
      </w:r>
      <w:r>
        <w:rPr>
          <w:rFonts w:hint="eastAsia"/>
          <w:sz w:val="24"/>
        </w:rPr>
        <w:t>写）</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z w:val="24"/>
        </w:rPr>
        <w:t>）的投标总报价（增值税税率按国家规定的相关税率执行），按合同约定实施和完成承包工程，修补工程中的任何缺陷。</w:t>
      </w:r>
    </w:p>
    <w:p>
      <w:pPr>
        <w:pStyle w:val="21"/>
        <w:numPr>
          <w:ilvl w:val="0"/>
          <w:numId w:val="75"/>
        </w:numPr>
        <w:tabs>
          <w:tab w:val="left" w:pos="995"/>
        </w:tabs>
        <w:spacing w:line="312" w:lineRule="auto"/>
        <w:ind w:right="551" w:firstLine="480"/>
        <w:rPr>
          <w:sz w:val="24"/>
        </w:rPr>
      </w:pPr>
      <w:r>
        <w:rPr>
          <w:rFonts w:hint="eastAsia"/>
          <w:spacing w:val="-3"/>
          <w:sz w:val="24"/>
        </w:rPr>
        <w:t>在合同协议书正式签署生效之前，本投标函连同你方的中标通知书将构成我们</w:t>
      </w:r>
      <w:r>
        <w:rPr>
          <w:rFonts w:hint="eastAsia"/>
          <w:sz w:val="24"/>
        </w:rPr>
        <w:t>双方之间共同遵守的文件，对双方具有约束力。</w:t>
      </w:r>
    </w:p>
    <w:p>
      <w:pPr>
        <w:pStyle w:val="21"/>
        <w:numPr>
          <w:ilvl w:val="0"/>
          <w:numId w:val="75"/>
        </w:numPr>
        <w:tabs>
          <w:tab w:val="left" w:pos="995"/>
          <w:tab w:val="left" w:pos="5673"/>
        </w:tabs>
        <w:spacing w:before="2"/>
        <w:ind w:left="994" w:hanging="362"/>
        <w:rPr>
          <w:sz w:val="24"/>
        </w:rPr>
      </w:pPr>
      <w:r>
        <w:rPr>
          <w:rFonts w:hint="eastAsia"/>
          <w:sz w:val="24"/>
          <w:u w:val="single"/>
        </w:rPr>
        <w:t xml:space="preserve"> </w:t>
      </w:r>
      <w:r>
        <w:rPr>
          <w:rFonts w:hint="eastAsia"/>
          <w:sz w:val="24"/>
          <w:u w:val="single"/>
        </w:rPr>
        <w:tab/>
      </w:r>
      <w:r>
        <w:rPr>
          <w:rFonts w:hint="eastAsia"/>
          <w:sz w:val="24"/>
        </w:rPr>
        <w:t>（其他补充说明）。</w:t>
      </w:r>
    </w:p>
    <w:p>
      <w:pPr>
        <w:pStyle w:val="11"/>
        <w:spacing w:before="4"/>
        <w:rPr>
          <w:sz w:val="38"/>
        </w:rPr>
      </w:pPr>
    </w:p>
    <w:p>
      <w:pPr>
        <w:pStyle w:val="11"/>
        <w:tabs>
          <w:tab w:val="left" w:pos="7293"/>
          <w:tab w:val="left" w:pos="8013"/>
        </w:tabs>
        <w:spacing w:line="312" w:lineRule="auto"/>
        <w:ind w:left="3573" w:right="690"/>
        <w:jc w:val="both"/>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1"/>
        <w:tabs>
          <w:tab w:val="left" w:pos="7293"/>
          <w:tab w:val="left" w:pos="8013"/>
        </w:tabs>
        <w:spacing w:line="312" w:lineRule="auto"/>
        <w:ind w:left="3573" w:right="690"/>
        <w:jc w:val="both"/>
      </w:pPr>
      <w:r>
        <w:rPr>
          <w:rFonts w:hint="eastAsia"/>
        </w:rPr>
        <w:t>法定代表人或其委托代理人：</w:t>
      </w:r>
      <w:r>
        <w:rPr>
          <w:rFonts w:hint="eastAsia"/>
          <w:u w:val="single"/>
        </w:rPr>
        <w:t xml:space="preserve"> </w:t>
      </w:r>
      <w:r>
        <w:rPr>
          <w:rFonts w:hint="eastAsia"/>
          <w:u w:val="single"/>
          <w:lang w:val="en-US"/>
        </w:rPr>
        <w:t xml:space="preserve">      </w:t>
      </w:r>
      <w:r>
        <w:rPr>
          <w:rFonts w:hint="eastAsia"/>
        </w:rPr>
        <w:t>（签字或盖章</w:t>
      </w:r>
      <w:r>
        <w:rPr>
          <w:rFonts w:hint="eastAsia"/>
          <w:spacing w:val="-17"/>
        </w:rPr>
        <w:t>）</w:t>
      </w:r>
    </w:p>
    <w:p>
      <w:pPr>
        <w:pStyle w:val="11"/>
        <w:tabs>
          <w:tab w:val="left" w:pos="9171"/>
        </w:tabs>
        <w:spacing w:line="312" w:lineRule="auto"/>
        <w:ind w:left="3573" w:right="492"/>
        <w:jc w:val="both"/>
      </w:pPr>
      <w:r>
        <w:rPr>
          <w:rFonts w:hint="eastAsia"/>
        </w:rPr>
        <w:t xml:space="preserve">地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网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电  </w:t>
      </w:r>
      <w:r>
        <w:rPr>
          <w:rFonts w:hint="eastAsia"/>
          <w:spacing w:val="119"/>
        </w:rPr>
        <w:t xml:space="preserve"> </w:t>
      </w:r>
      <w:r>
        <w:rPr>
          <w:rFonts w:hint="eastAsia"/>
        </w:rPr>
        <w:t>话：</w:t>
      </w:r>
      <w:r>
        <w:rPr>
          <w:rFonts w:hint="eastAsia"/>
          <w:u w:val="single"/>
        </w:rPr>
        <w:t xml:space="preserve"> </w:t>
      </w:r>
      <w:r>
        <w:rPr>
          <w:rFonts w:hint="eastAsia"/>
          <w:u w:val="single"/>
        </w:rPr>
        <w:tab/>
      </w:r>
      <w:r>
        <w:rPr>
          <w:rFonts w:hint="eastAsia"/>
          <w:u w:val="single"/>
        </w:rPr>
        <w:t xml:space="preserve"> </w:t>
      </w:r>
      <w:r>
        <w:rPr>
          <w:rFonts w:hint="eastAsia"/>
        </w:rPr>
        <w:t xml:space="preserve">传  </w:t>
      </w:r>
      <w:r>
        <w:rPr>
          <w:rFonts w:hint="eastAsia"/>
          <w:spacing w:val="119"/>
        </w:rPr>
        <w:t xml:space="preserve"> </w:t>
      </w:r>
      <w:r>
        <w:rPr>
          <w:rFonts w:hint="eastAsia"/>
        </w:rPr>
        <w:t>真：</w:t>
      </w:r>
      <w:r>
        <w:rPr>
          <w:rFonts w:hint="eastAsia"/>
          <w:u w:val="single"/>
        </w:rPr>
        <w:t xml:space="preserve"> </w:t>
      </w:r>
      <w:r>
        <w:rPr>
          <w:rFonts w:hint="eastAsia"/>
          <w:u w:val="single"/>
        </w:rPr>
        <w:tab/>
      </w:r>
      <w:r>
        <w:rPr>
          <w:rFonts w:hint="eastAsia"/>
          <w:spacing w:val="-1"/>
          <w:u w:val="single"/>
        </w:rPr>
        <w:t xml:space="preserve">                                  </w:t>
      </w:r>
      <w:r>
        <w:rPr>
          <w:rFonts w:hint="eastAsia"/>
          <w:spacing w:val="34"/>
          <w:u w:val="single"/>
        </w:rPr>
        <w:t xml:space="preserve"> </w:t>
      </w:r>
      <w:r>
        <w:rPr>
          <w:rFonts w:hint="eastAsia"/>
          <w:spacing w:val="-1"/>
        </w:rPr>
        <w:t>邮</w:t>
      </w:r>
      <w:r>
        <w:rPr>
          <w:rFonts w:hint="eastAsia"/>
        </w:rPr>
        <w:t>政编码：</w:t>
      </w:r>
      <w:r>
        <w:rPr>
          <w:rFonts w:hint="eastAsia"/>
          <w:u w:val="single"/>
        </w:rPr>
        <w:t xml:space="preserve"> </w:t>
      </w:r>
      <w:r>
        <w:rPr>
          <w:rFonts w:hint="eastAsia"/>
          <w:u w:val="single"/>
        </w:rPr>
        <w:tab/>
      </w:r>
    </w:p>
    <w:p>
      <w:pPr>
        <w:pStyle w:val="11"/>
        <w:spacing w:before="5"/>
        <w:rPr>
          <w:sz w:val="28"/>
        </w:rPr>
      </w:pPr>
    </w:p>
    <w:p>
      <w:pPr>
        <w:pStyle w:val="11"/>
        <w:tabs>
          <w:tab w:val="left" w:pos="5973"/>
          <w:tab w:val="left" w:pos="7053"/>
          <w:tab w:val="left" w:pos="8133"/>
        </w:tabs>
        <w:spacing w:before="74"/>
        <w:ind w:left="489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2"/>
        <w:rPr>
          <w:sz w:val="20"/>
        </w:rPr>
      </w:pPr>
    </w:p>
    <w:p>
      <w:pPr>
        <w:rPr>
          <w:sz w:val="20"/>
        </w:rPr>
      </w:pPr>
    </w:p>
    <w:p>
      <w:pPr>
        <w:pStyle w:val="18"/>
        <w:ind w:firstLine="440"/>
      </w:pPr>
    </w:p>
    <w:p>
      <w:pPr>
        <w:pStyle w:val="11"/>
        <w:spacing w:before="10"/>
        <w:rPr>
          <w:sz w:val="29"/>
        </w:rPr>
      </w:pPr>
    </w:p>
    <w:p>
      <w:pPr>
        <w:pStyle w:val="11"/>
        <w:spacing w:before="8"/>
        <w:rPr>
          <w:sz w:val="5"/>
        </w:rPr>
      </w:pPr>
    </w:p>
    <w:p>
      <w:pPr>
        <w:pStyle w:val="11"/>
        <w:spacing w:before="3"/>
        <w:rPr>
          <w:sz w:val="17"/>
        </w:rPr>
      </w:pPr>
    </w:p>
    <w:p>
      <w:pPr>
        <w:spacing w:before="62"/>
        <w:ind w:left="2" w:right="397"/>
        <w:jc w:val="center"/>
        <w:rPr>
          <w:sz w:val="28"/>
        </w:rPr>
      </w:pPr>
      <w:bookmarkStart w:id="110" w:name="_TOC_250001"/>
      <w:bookmarkEnd w:id="110"/>
    </w:p>
    <w:p>
      <w:pPr>
        <w:spacing w:before="62"/>
        <w:ind w:left="2" w:right="397"/>
        <w:jc w:val="center"/>
        <w:rPr>
          <w:sz w:val="28"/>
        </w:rPr>
      </w:pPr>
      <w:r>
        <w:rPr>
          <w:rFonts w:hint="eastAsia"/>
          <w:sz w:val="28"/>
        </w:rPr>
        <w:t>二、已标价的工程量清单</w:t>
      </w:r>
    </w:p>
    <w:p>
      <w:pPr>
        <w:pStyle w:val="11"/>
        <w:spacing w:before="2"/>
        <w:rPr>
          <w:sz w:val="36"/>
        </w:rPr>
      </w:pPr>
    </w:p>
    <w:p>
      <w:pPr>
        <w:pStyle w:val="11"/>
        <w:ind w:left="633"/>
      </w:pPr>
      <w:r>
        <w:rPr>
          <w:rFonts w:hint="eastAsia"/>
        </w:rPr>
        <w:t>按照采购人提供的工程量固化清单填入单价。</w:t>
      </w:r>
    </w:p>
    <w:p>
      <w:pPr>
        <w:sectPr>
          <w:pgSz w:w="11910" w:h="16840"/>
          <w:pgMar w:top="1220" w:right="920" w:bottom="1040" w:left="1320" w:header="882" w:footer="845" w:gutter="0"/>
          <w:cols w:space="720" w:num="1"/>
        </w:sectPr>
      </w:pPr>
    </w:p>
    <w:p>
      <w:pPr>
        <w:pStyle w:val="11"/>
        <w:spacing w:before="6"/>
        <w:rPr>
          <w:sz w:val="16"/>
        </w:rPr>
      </w:pPr>
    </w:p>
    <w:p>
      <w:pPr>
        <w:spacing w:before="62"/>
        <w:ind w:left="35" w:right="199"/>
        <w:jc w:val="center"/>
        <w:rPr>
          <w:b/>
          <w:sz w:val="28"/>
        </w:rPr>
      </w:pPr>
      <w:bookmarkStart w:id="111" w:name="_TOC_250000"/>
      <w:bookmarkEnd w:id="111"/>
      <w:r>
        <w:rPr>
          <w:rFonts w:hint="eastAsia"/>
          <w:b/>
          <w:sz w:val="28"/>
        </w:rPr>
        <w:t>三、合同用款估算表</w:t>
      </w:r>
    </w:p>
    <w:p>
      <w:pPr>
        <w:pStyle w:val="11"/>
        <w:rPr>
          <w:b/>
          <w:sz w:val="20"/>
        </w:rPr>
      </w:pPr>
    </w:p>
    <w:p>
      <w:pPr>
        <w:pStyle w:val="11"/>
        <w:spacing w:before="11"/>
        <w:rPr>
          <w:b/>
          <w:sz w:val="10"/>
        </w:rPr>
      </w:pPr>
    </w:p>
    <w:tbl>
      <w:tblPr>
        <w:tblStyle w:val="19"/>
        <w:tblW w:w="884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2025"/>
        <w:gridCol w:w="1547"/>
        <w:gridCol w:w="1548"/>
        <w:gridCol w:w="1548"/>
        <w:gridCol w:w="15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restart"/>
          </w:tcPr>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8" w:beforeAutospacing="0" w:after="0" w:afterAutospacing="0"/>
              <w:ind w:left="0" w:right="0"/>
              <w:rPr>
                <w:rFonts w:hint="default"/>
                <w:b/>
                <w:sz w:val="19"/>
              </w:rPr>
            </w:pPr>
          </w:p>
          <w:p>
            <w:pPr>
              <w:pStyle w:val="22"/>
              <w:keepNext w:val="0"/>
              <w:keepLines w:val="0"/>
              <w:suppressLineNumbers w:val="0"/>
              <w:spacing w:before="0" w:beforeAutospacing="0" w:after="0" w:afterAutospacing="0"/>
              <w:ind w:left="405" w:right="392"/>
              <w:jc w:val="center"/>
              <w:rPr>
                <w:rFonts w:hint="default"/>
                <w:sz w:val="20"/>
              </w:rPr>
            </w:pPr>
            <w:r>
              <w:rPr>
                <w:rFonts w:hint="eastAsia"/>
                <w:sz w:val="20"/>
              </w:rPr>
              <w:t>从开工月算起的时间</w:t>
            </w:r>
          </w:p>
          <w:p>
            <w:pPr>
              <w:pStyle w:val="22"/>
              <w:keepNext w:val="0"/>
              <w:keepLines w:val="0"/>
              <w:suppressLineNumbers w:val="0"/>
              <w:spacing w:before="0" w:beforeAutospacing="0" w:after="0" w:afterAutospacing="0"/>
              <w:ind w:left="0" w:right="0"/>
              <w:rPr>
                <w:rFonts w:hint="default"/>
                <w:b/>
                <w:sz w:val="16"/>
              </w:rPr>
            </w:pPr>
          </w:p>
          <w:p>
            <w:pPr>
              <w:pStyle w:val="22"/>
              <w:keepNext w:val="0"/>
              <w:keepLines w:val="0"/>
              <w:suppressLineNumbers w:val="0"/>
              <w:spacing w:before="0" w:beforeAutospacing="0" w:after="0" w:afterAutospacing="0"/>
              <w:ind w:left="405" w:right="392"/>
              <w:jc w:val="center"/>
              <w:rPr>
                <w:rFonts w:hint="default"/>
                <w:sz w:val="20"/>
              </w:rPr>
            </w:pPr>
            <w:r>
              <w:rPr>
                <w:rFonts w:hint="eastAsia"/>
                <w:sz w:val="20"/>
              </w:rPr>
              <w:t>（月）</w:t>
            </w:r>
          </w:p>
        </w:tc>
        <w:tc>
          <w:tcPr>
            <w:tcW w:w="6191" w:type="dxa"/>
            <w:gridSpan w:val="4"/>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2557" w:right="2379"/>
              <w:jc w:val="center"/>
              <w:rPr>
                <w:rFonts w:hint="default"/>
                <w:sz w:val="20"/>
              </w:rPr>
            </w:pPr>
            <w:r>
              <w:rPr>
                <w:rFonts w:hint="eastAsia"/>
                <w:sz w:val="20"/>
              </w:rPr>
              <w:t>投标人的估算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3095" w:type="dxa"/>
            <w:gridSpan w:val="2"/>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tabs>
                <w:tab w:val="left" w:pos="713"/>
              </w:tabs>
              <w:spacing w:before="0" w:beforeAutospacing="0" w:after="0" w:afterAutospacing="0"/>
              <w:ind w:left="13" w:right="0"/>
              <w:jc w:val="center"/>
              <w:rPr>
                <w:rFonts w:hint="default"/>
                <w:sz w:val="20"/>
              </w:rPr>
            </w:pPr>
            <w:r>
              <w:rPr>
                <w:rFonts w:hint="eastAsia"/>
                <w:sz w:val="20"/>
              </w:rPr>
              <w:t>分</w:t>
            </w:r>
            <w:r>
              <w:rPr>
                <w:rFonts w:hint="eastAsia"/>
                <w:sz w:val="20"/>
              </w:rPr>
              <w:tab/>
            </w:r>
            <w:r>
              <w:rPr>
                <w:rFonts w:hint="eastAsia"/>
                <w:sz w:val="20"/>
              </w:rPr>
              <w:t>期</w:t>
            </w:r>
          </w:p>
        </w:tc>
        <w:tc>
          <w:tcPr>
            <w:tcW w:w="3096" w:type="dxa"/>
            <w:gridSpan w:val="2"/>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tabs>
                <w:tab w:val="left" w:pos="714"/>
              </w:tabs>
              <w:spacing w:before="0" w:beforeAutospacing="0" w:after="0" w:afterAutospacing="0"/>
              <w:ind w:left="14" w:right="0"/>
              <w:jc w:val="center"/>
              <w:rPr>
                <w:rFonts w:hint="default"/>
                <w:sz w:val="20"/>
              </w:rPr>
            </w:pPr>
            <w:r>
              <w:rPr>
                <w:rFonts w:hint="eastAsia"/>
                <w:sz w:val="20"/>
              </w:rPr>
              <w:t>累</w:t>
            </w:r>
            <w:r>
              <w:rPr>
                <w:rFonts w:hint="eastAsia"/>
                <w:sz w:val="20"/>
              </w:rPr>
              <w:tab/>
            </w:r>
            <w:r>
              <w:rPr>
                <w:rFonts w:hint="eastAsia"/>
                <w:sz w:val="20"/>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547" w:type="dxa"/>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273" w:right="0"/>
              <w:rPr>
                <w:rFonts w:hint="default"/>
                <w:sz w:val="20"/>
              </w:rPr>
            </w:pPr>
            <w:r>
              <w:rPr>
                <w:rFonts w:hint="eastAsia"/>
                <w:sz w:val="20"/>
              </w:rPr>
              <w:t>金额（元）</w:t>
            </w:r>
          </w:p>
        </w:tc>
        <w:tc>
          <w:tcPr>
            <w:tcW w:w="1548" w:type="dxa"/>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470" w:right="456"/>
              <w:jc w:val="center"/>
              <w:rPr>
                <w:rFonts w:hint="default"/>
                <w:sz w:val="20"/>
              </w:rPr>
            </w:pPr>
            <w:r>
              <w:rPr>
                <w:rFonts w:hint="eastAsia"/>
                <w:sz w:val="20"/>
              </w:rPr>
              <w:t>（%）</w:t>
            </w:r>
          </w:p>
        </w:tc>
        <w:tc>
          <w:tcPr>
            <w:tcW w:w="1548" w:type="dxa"/>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274" w:right="0"/>
              <w:rPr>
                <w:rFonts w:hint="default"/>
                <w:sz w:val="20"/>
              </w:rPr>
            </w:pPr>
            <w:r>
              <w:rPr>
                <w:rFonts w:hint="eastAsia"/>
                <w:sz w:val="20"/>
              </w:rPr>
              <w:t>金额（元）</w:t>
            </w:r>
          </w:p>
        </w:tc>
        <w:tc>
          <w:tcPr>
            <w:tcW w:w="1548" w:type="dxa"/>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490" w:right="0"/>
              <w:rPr>
                <w:rFonts w:hint="default"/>
                <w:sz w:val="20"/>
              </w:rPr>
            </w:pPr>
            <w:r>
              <w:rPr>
                <w:rFonts w:hint="eastAsia"/>
                <w:sz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1" w:beforeAutospacing="0" w:after="0" w:afterAutospacing="0"/>
              <w:ind w:left="526" w:right="0"/>
              <w:rPr>
                <w:rFonts w:hint="default"/>
                <w:sz w:val="20"/>
              </w:rPr>
            </w:pPr>
            <w:r>
              <w:rPr>
                <w:rFonts w:hint="eastAsia"/>
                <w:sz w:val="20"/>
              </w:rPr>
              <w:t>第一次开工预付款</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1" w:beforeAutospacing="0" w:after="0" w:afterAutospacing="0"/>
              <w:ind w:left="0" w:right="0"/>
              <w:rPr>
                <w:rFonts w:hint="default"/>
                <w:b/>
                <w:sz w:val="17"/>
              </w:rPr>
            </w:pPr>
          </w:p>
          <w:p>
            <w:pPr>
              <w:pStyle w:val="22"/>
              <w:keepNext w:val="0"/>
              <w:keepLines w:val="0"/>
              <w:suppressLineNumbers w:val="0"/>
              <w:spacing w:before="0" w:beforeAutospacing="0" w:after="0" w:afterAutospacing="0"/>
              <w:ind w:left="404" w:right="392"/>
              <w:jc w:val="center"/>
              <w:rPr>
                <w:rFonts w:hint="default"/>
                <w:sz w:val="20"/>
              </w:rPr>
            </w:pPr>
            <w:r>
              <w:rPr>
                <w:rFonts w:hint="eastAsia"/>
                <w:sz w:val="20"/>
              </w:rPr>
              <w:t>1 ~ 3</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1" w:beforeAutospacing="0" w:after="0" w:afterAutospacing="0"/>
              <w:ind w:left="0" w:right="0"/>
              <w:rPr>
                <w:rFonts w:hint="default"/>
                <w:b/>
                <w:sz w:val="17"/>
              </w:rPr>
            </w:pPr>
          </w:p>
          <w:p>
            <w:pPr>
              <w:pStyle w:val="22"/>
              <w:keepNext w:val="0"/>
              <w:keepLines w:val="0"/>
              <w:suppressLineNumbers w:val="0"/>
              <w:spacing w:before="1" w:beforeAutospacing="0" w:after="0" w:afterAutospacing="0"/>
              <w:ind w:left="404" w:right="392"/>
              <w:jc w:val="center"/>
              <w:rPr>
                <w:rFonts w:hint="default"/>
                <w:sz w:val="20"/>
              </w:rPr>
            </w:pPr>
            <w:r>
              <w:rPr>
                <w:rFonts w:hint="eastAsia"/>
                <w:sz w:val="20"/>
              </w:rPr>
              <w:t>4 ~ 6</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2" w:beforeAutospacing="0" w:after="0" w:afterAutospacing="0"/>
              <w:ind w:left="0" w:right="0"/>
              <w:rPr>
                <w:rFonts w:hint="default"/>
                <w:b/>
                <w:sz w:val="17"/>
              </w:rPr>
            </w:pPr>
          </w:p>
          <w:p>
            <w:pPr>
              <w:pStyle w:val="22"/>
              <w:keepNext w:val="0"/>
              <w:keepLines w:val="0"/>
              <w:suppressLineNumbers w:val="0"/>
              <w:spacing w:before="0" w:beforeAutospacing="0" w:after="0" w:afterAutospacing="0"/>
              <w:ind w:left="404" w:right="392"/>
              <w:jc w:val="center"/>
              <w:rPr>
                <w:rFonts w:hint="default"/>
                <w:sz w:val="20"/>
              </w:rPr>
            </w:pPr>
            <w:r>
              <w:rPr>
                <w:rFonts w:hint="eastAsia"/>
                <w:sz w:val="20"/>
              </w:rPr>
              <w:t>7 ~ 9</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2" w:beforeAutospacing="0" w:after="0" w:afterAutospacing="0"/>
              <w:ind w:left="0" w:right="0"/>
              <w:rPr>
                <w:rFonts w:hint="default"/>
                <w:b/>
                <w:sz w:val="17"/>
              </w:rPr>
            </w:pPr>
          </w:p>
          <w:p>
            <w:pPr>
              <w:pStyle w:val="22"/>
              <w:keepNext w:val="0"/>
              <w:keepLines w:val="0"/>
              <w:suppressLineNumbers w:val="0"/>
              <w:spacing w:before="0" w:beforeAutospacing="0" w:after="0" w:afterAutospacing="0"/>
              <w:ind w:left="404" w:right="392"/>
              <w:jc w:val="center"/>
              <w:rPr>
                <w:rFonts w:hint="default"/>
                <w:sz w:val="20"/>
              </w:rPr>
            </w:pPr>
            <w:r>
              <w:rPr>
                <w:rFonts w:hint="eastAsia"/>
                <w:sz w:val="20"/>
              </w:rPr>
              <w:t>10 ~ 12</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3" w:type="dxa"/>
            <w:gridSpan w:val="2"/>
          </w:tcPr>
          <w:p>
            <w:pPr>
              <w:pStyle w:val="22"/>
              <w:keepNext w:val="0"/>
              <w:keepLines w:val="0"/>
              <w:suppressLineNumbers w:val="0"/>
              <w:spacing w:before="12" w:beforeAutospacing="0" w:after="0" w:afterAutospacing="0"/>
              <w:ind w:left="0" w:right="0"/>
              <w:rPr>
                <w:rFonts w:hint="default"/>
                <w:b/>
                <w:sz w:val="17"/>
              </w:rPr>
            </w:pPr>
          </w:p>
          <w:p>
            <w:pPr>
              <w:pStyle w:val="22"/>
              <w:keepNext w:val="0"/>
              <w:keepLines w:val="0"/>
              <w:suppressLineNumbers w:val="0"/>
              <w:spacing w:before="0" w:beforeAutospacing="0" w:after="0" w:afterAutospacing="0"/>
              <w:ind w:left="404" w:right="392"/>
              <w:jc w:val="center"/>
              <w:rPr>
                <w:rFonts w:hint="default"/>
                <w:sz w:val="20"/>
              </w:rPr>
            </w:pPr>
            <w:r>
              <w:rPr>
                <w:rFonts w:hint="eastAsia"/>
                <w:sz w:val="20"/>
              </w:rPr>
              <w:t>13 ~ 15</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2" w:beforeAutospacing="0" w:after="0" w:afterAutospacing="0"/>
              <w:ind w:left="0" w:right="0"/>
              <w:rPr>
                <w:rFonts w:hint="default"/>
                <w:b/>
                <w:sz w:val="17"/>
              </w:rPr>
            </w:pPr>
          </w:p>
          <w:p>
            <w:pPr>
              <w:pStyle w:val="22"/>
              <w:keepNext w:val="0"/>
              <w:keepLines w:val="0"/>
              <w:suppressLineNumbers w:val="0"/>
              <w:spacing w:before="0" w:beforeAutospacing="0" w:after="0" w:afterAutospacing="0"/>
              <w:ind w:left="405" w:right="392"/>
              <w:jc w:val="center"/>
              <w:rPr>
                <w:rFonts w:hint="default"/>
                <w:sz w:val="20"/>
              </w:rPr>
            </w:pPr>
            <w:r>
              <w:rPr>
                <w:rFonts w:hint="eastAsia"/>
                <w:sz w:val="20"/>
              </w:rPr>
              <w:t>……</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0" w:beforeAutospacing="0" w:after="0" w:afterAutospacing="0"/>
              <w:ind w:left="0" w:right="0"/>
              <w:rPr>
                <w:rFonts w:hint="default"/>
                <w:b/>
                <w:sz w:val="18"/>
              </w:rPr>
            </w:pPr>
          </w:p>
          <w:p>
            <w:pPr>
              <w:pStyle w:val="22"/>
              <w:keepNext w:val="0"/>
              <w:keepLines w:val="0"/>
              <w:suppressLineNumbers w:val="0"/>
              <w:spacing w:before="0" w:beforeAutospacing="0" w:after="0" w:afterAutospacing="0"/>
              <w:ind w:left="405" w:right="392"/>
              <w:jc w:val="center"/>
              <w:rPr>
                <w:rFonts w:hint="default"/>
                <w:sz w:val="20"/>
              </w:rPr>
            </w:pPr>
            <w:r>
              <w:rPr>
                <w:rFonts w:hint="eastAsia"/>
                <w:sz w:val="20"/>
              </w:rPr>
              <w:t>……</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0" w:beforeAutospacing="0" w:after="0" w:afterAutospacing="0"/>
              <w:ind w:left="0" w:right="0"/>
              <w:rPr>
                <w:rFonts w:hint="default"/>
                <w:sz w:val="20"/>
              </w:rPr>
            </w:pP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spacing w:before="0" w:beforeAutospacing="0" w:after="0" w:afterAutospacing="0"/>
              <w:ind w:left="826" w:right="0"/>
              <w:rPr>
                <w:rFonts w:hint="default"/>
                <w:sz w:val="20"/>
              </w:rPr>
            </w:pPr>
            <w:r>
              <w:rPr>
                <w:rFonts w:hint="eastAsia"/>
                <w:sz w:val="20"/>
              </w:rPr>
              <w:t>缺陷责任期</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2"/>
              <w:keepNext w:val="0"/>
              <w:keepLines w:val="0"/>
              <w:suppressLineNumbers w:val="0"/>
              <w:spacing w:before="11" w:beforeAutospacing="0" w:after="0" w:afterAutospacing="0"/>
              <w:ind w:left="0" w:right="0"/>
              <w:rPr>
                <w:rFonts w:hint="default"/>
                <w:b/>
                <w:sz w:val="15"/>
              </w:rPr>
            </w:pPr>
          </w:p>
          <w:p>
            <w:pPr>
              <w:pStyle w:val="22"/>
              <w:keepNext w:val="0"/>
              <w:keepLines w:val="0"/>
              <w:suppressLineNumbers w:val="0"/>
              <w:tabs>
                <w:tab w:val="left" w:pos="1625"/>
              </w:tabs>
              <w:spacing w:before="0" w:beforeAutospacing="0" w:after="0" w:afterAutospacing="0"/>
              <w:ind w:left="826" w:right="0"/>
              <w:rPr>
                <w:rFonts w:hint="default"/>
                <w:sz w:val="20"/>
              </w:rPr>
            </w:pPr>
            <w:r>
              <w:rPr>
                <w:rFonts w:hint="eastAsia"/>
                <w:sz w:val="20"/>
              </w:rPr>
              <w:t>小</w:t>
            </w:r>
            <w:r>
              <w:rPr>
                <w:rFonts w:hint="eastAsia"/>
                <w:sz w:val="20"/>
              </w:rPr>
              <w:tab/>
            </w:r>
            <w:r>
              <w:rPr>
                <w:rFonts w:hint="eastAsia"/>
                <w:sz w:val="20"/>
              </w:rPr>
              <w:t>计</w:t>
            </w:r>
          </w:p>
        </w:tc>
        <w:tc>
          <w:tcPr>
            <w:tcW w:w="1547"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b/>
                <w:sz w:val="18"/>
              </w:rPr>
            </w:pPr>
          </w:p>
          <w:p>
            <w:pPr>
              <w:pStyle w:val="22"/>
              <w:keepNext w:val="0"/>
              <w:keepLines w:val="0"/>
              <w:suppressLineNumbers w:val="0"/>
              <w:spacing w:before="0" w:beforeAutospacing="0" w:after="0" w:afterAutospacing="0"/>
              <w:ind w:left="469" w:right="456"/>
              <w:jc w:val="center"/>
              <w:rPr>
                <w:rFonts w:hint="default"/>
                <w:sz w:val="20"/>
              </w:rPr>
            </w:pPr>
            <w:r>
              <w:rPr>
                <w:rFonts w:hint="eastAsia"/>
                <w:sz w:val="20"/>
              </w:rPr>
              <w:t>100.00</w:t>
            </w:r>
          </w:p>
        </w:tc>
        <w:tc>
          <w:tcPr>
            <w:tcW w:w="1548" w:type="dxa"/>
          </w:tcPr>
          <w:p>
            <w:pPr>
              <w:pStyle w:val="22"/>
              <w:keepNext w:val="0"/>
              <w:keepLines w:val="0"/>
              <w:suppressLineNumbers w:val="0"/>
              <w:spacing w:before="0" w:beforeAutospacing="0" w:after="0" w:afterAutospacing="0"/>
              <w:ind w:left="0" w:right="0"/>
              <w:rPr>
                <w:rFonts w:hint="default"/>
                <w:sz w:val="20"/>
              </w:rPr>
            </w:pPr>
          </w:p>
        </w:tc>
        <w:tc>
          <w:tcPr>
            <w:tcW w:w="1548" w:type="dxa"/>
          </w:tcPr>
          <w:p>
            <w:pPr>
              <w:pStyle w:val="22"/>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844" w:type="dxa"/>
            <w:gridSpan w:val="6"/>
          </w:tcPr>
          <w:p>
            <w:pPr>
              <w:pStyle w:val="22"/>
              <w:keepNext w:val="0"/>
              <w:keepLines w:val="0"/>
              <w:suppressLineNumbers w:val="0"/>
              <w:spacing w:before="9" w:beforeAutospacing="0" w:after="0" w:afterAutospacing="0"/>
              <w:ind w:left="0" w:right="0"/>
              <w:rPr>
                <w:rFonts w:hint="default"/>
                <w:b/>
                <w:sz w:val="14"/>
              </w:rPr>
            </w:pPr>
          </w:p>
          <w:p>
            <w:pPr>
              <w:pStyle w:val="22"/>
              <w:keepNext w:val="0"/>
              <w:keepLines w:val="0"/>
              <w:suppressLineNumbers w:val="0"/>
              <w:spacing w:before="0" w:beforeAutospacing="0" w:after="0" w:afterAutospacing="0"/>
              <w:ind w:left="202" w:right="0"/>
              <w:rPr>
                <w:rFonts w:hint="default"/>
                <w:sz w:val="21"/>
              </w:rPr>
            </w:pPr>
            <w:r>
              <w:rPr>
                <w:rFonts w:hint="eastAsia"/>
                <w:sz w:val="21"/>
              </w:rPr>
              <w:t>投标价：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2" w:hRule="atLeast"/>
        </w:trPr>
        <w:tc>
          <w:tcPr>
            <w:tcW w:w="628" w:type="dxa"/>
          </w:tcPr>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7" w:beforeAutospacing="0" w:after="0" w:afterAutospacing="0"/>
              <w:ind w:left="0" w:right="0"/>
              <w:rPr>
                <w:rFonts w:hint="default"/>
                <w:b/>
                <w:sz w:val="16"/>
              </w:rPr>
            </w:pPr>
          </w:p>
          <w:p>
            <w:pPr>
              <w:pStyle w:val="22"/>
              <w:keepNext w:val="0"/>
              <w:keepLines w:val="0"/>
              <w:suppressLineNumbers w:val="0"/>
              <w:spacing w:before="0" w:beforeAutospacing="0" w:after="0" w:afterAutospacing="0"/>
              <w:ind w:left="214" w:right="0"/>
              <w:rPr>
                <w:rFonts w:hint="default"/>
                <w:sz w:val="20"/>
              </w:rPr>
            </w:pPr>
            <w:r>
              <w:rPr>
                <w:rFonts w:hint="eastAsia"/>
                <w:w w:val="99"/>
                <w:sz w:val="20"/>
              </w:rPr>
              <w:t>说</w:t>
            </w:r>
          </w:p>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0" w:beforeAutospacing="0" w:after="0" w:afterAutospacing="0"/>
              <w:ind w:left="0" w:right="0"/>
              <w:rPr>
                <w:rFonts w:hint="default"/>
                <w:b/>
                <w:sz w:val="20"/>
              </w:rPr>
            </w:pPr>
          </w:p>
          <w:p>
            <w:pPr>
              <w:pStyle w:val="22"/>
              <w:keepNext w:val="0"/>
              <w:keepLines w:val="0"/>
              <w:suppressLineNumbers w:val="0"/>
              <w:spacing w:before="10" w:beforeAutospacing="0" w:after="0" w:afterAutospacing="0"/>
              <w:ind w:left="0" w:right="0"/>
              <w:rPr>
                <w:rFonts w:hint="default"/>
                <w:b/>
                <w:sz w:val="24"/>
              </w:rPr>
            </w:pPr>
          </w:p>
          <w:p>
            <w:pPr>
              <w:pStyle w:val="22"/>
              <w:keepNext w:val="0"/>
              <w:keepLines w:val="0"/>
              <w:suppressLineNumbers w:val="0"/>
              <w:spacing w:before="0" w:beforeAutospacing="0" w:after="0" w:afterAutospacing="0"/>
              <w:ind w:left="214" w:right="0"/>
              <w:rPr>
                <w:rFonts w:hint="default"/>
                <w:sz w:val="20"/>
              </w:rPr>
            </w:pPr>
            <w:r>
              <w:rPr>
                <w:rFonts w:hint="eastAsia"/>
                <w:w w:val="99"/>
                <w:sz w:val="20"/>
              </w:rPr>
              <w:t>明</w:t>
            </w:r>
          </w:p>
        </w:tc>
        <w:tc>
          <w:tcPr>
            <w:tcW w:w="8216" w:type="dxa"/>
            <w:gridSpan w:val="5"/>
          </w:tcPr>
          <w:p>
            <w:pPr>
              <w:pStyle w:val="22"/>
              <w:keepNext w:val="0"/>
              <w:keepLines w:val="0"/>
              <w:suppressLineNumbers w:val="0"/>
              <w:spacing w:before="0" w:beforeAutospacing="0" w:after="0" w:afterAutospacing="0"/>
              <w:ind w:left="0" w:right="0"/>
              <w:rPr>
                <w:rFonts w:hint="default"/>
                <w:sz w:val="20"/>
              </w:rPr>
            </w:pPr>
          </w:p>
        </w:tc>
      </w:tr>
    </w:tbl>
    <w:p>
      <w:pPr>
        <w:spacing w:before="82"/>
        <w:ind w:left="352"/>
        <w:rPr>
          <w:sz w:val="20"/>
        </w:rPr>
      </w:pPr>
      <w:r>
        <w:rPr>
          <w:rFonts w:hint="eastAsia"/>
          <w:sz w:val="20"/>
        </w:rPr>
        <w:t>注：1.投标人可按工程进度估算并填写本表。</w:t>
      </w:r>
    </w:p>
    <w:p>
      <w:pPr>
        <w:spacing w:before="85" w:line="319" w:lineRule="auto"/>
        <w:ind w:left="976" w:right="237" w:hanging="252"/>
      </w:pPr>
      <w:r>
        <w:rPr>
          <w:rFonts w:hint="eastAsia"/>
          <w:sz w:val="20"/>
        </w:rPr>
        <w:t>2.用款额按所报单价和总额价估算，不包括价格调整和暂列金额、暂估价，但应考虑开工预付款的扣</w:t>
      </w:r>
      <w:r>
        <w:rPr>
          <w:rFonts w:hint="eastAsia"/>
          <w:spacing w:val="-4"/>
          <w:sz w:val="20"/>
        </w:rPr>
        <w:t>回以及签发付款证书后到实际支付的时间间隔。</w:t>
      </w:r>
    </w:p>
    <w:p/>
    <w:p>
      <w:pPr>
        <w:pStyle w:val="18"/>
        <w:ind w:firstLine="440"/>
      </w:pPr>
    </w:p>
    <w:p>
      <w:pPr>
        <w:tabs>
          <w:tab w:val="left" w:pos="1283"/>
        </w:tabs>
        <w:kinsoku w:val="0"/>
        <w:overflowPunct w:val="0"/>
        <w:adjustRightInd w:val="0"/>
        <w:ind w:right="61"/>
        <w:jc w:val="center"/>
        <w:outlineLvl w:val="0"/>
        <w:rPr>
          <w:rFonts w:hint="eastAsia"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r>
        <w:rPr>
          <w:rFonts w:hint="eastAsia" w:cs="Times New Roman"/>
          <w:b/>
          <w:w w:val="95"/>
          <w:sz w:val="30"/>
          <w:szCs w:val="30"/>
          <w:lang w:val="en-US" w:bidi="ar-SA"/>
        </w:rPr>
        <w:t>四、最终报价单</w:t>
      </w: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jc w:val="center"/>
        <w:rPr>
          <w:b/>
          <w:bCs/>
          <w:sz w:val="24"/>
          <w:szCs w:val="24"/>
          <w:lang w:val="en-US"/>
        </w:rPr>
      </w:pPr>
      <w:r>
        <w:rPr>
          <w:rFonts w:hint="eastAsia"/>
          <w:b/>
          <w:bCs/>
          <w:sz w:val="24"/>
          <w:szCs w:val="24"/>
          <w:lang w:val="en-US"/>
        </w:rPr>
        <w:t>参考“报价文件”中投标函及投标报价汇总表格式</w:t>
      </w: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firstLine="3434" w:firstLineChars="1200"/>
        <w:jc w:val="both"/>
        <w:outlineLvl w:val="0"/>
        <w:rPr>
          <w:rFonts w:eastAsia="Times New Roman" w:cs="Times New Roman"/>
          <w:b/>
          <w:w w:val="95"/>
          <w:sz w:val="30"/>
          <w:szCs w:val="30"/>
          <w:lang w:val="en-US" w:bidi="ar-SA"/>
        </w:rPr>
      </w:pPr>
      <w:r>
        <w:rPr>
          <w:rFonts w:hint="eastAsia" w:cs="Times New Roman"/>
          <w:b/>
          <w:w w:val="95"/>
          <w:sz w:val="30"/>
          <w:szCs w:val="30"/>
          <w:lang w:val="en-US" w:bidi="ar-SA"/>
        </w:rPr>
        <w:t>第八章 评审方法及标准</w:t>
      </w:r>
    </w:p>
    <w:p>
      <w:pPr>
        <w:tabs>
          <w:tab w:val="left" w:pos="1283"/>
        </w:tabs>
        <w:kinsoku w:val="0"/>
        <w:overflowPunct w:val="0"/>
        <w:adjustRightInd w:val="0"/>
        <w:ind w:right="61"/>
        <w:jc w:val="center"/>
        <w:outlineLvl w:val="0"/>
        <w:rPr>
          <w:rFonts w:eastAsia="Times New Roman" w:cs="Times New Roman"/>
          <w:b/>
          <w:w w:val="95"/>
          <w:sz w:val="32"/>
          <w:szCs w:val="24"/>
          <w:lang w:val="en-US" w:bidi="ar-SA"/>
        </w:rPr>
      </w:pPr>
    </w:p>
    <w:p>
      <w:pPr>
        <w:adjustRightInd w:val="0"/>
        <w:spacing w:line="360" w:lineRule="auto"/>
        <w:ind w:firstLine="482" w:firstLineChars="200"/>
        <w:rPr>
          <w:rFonts w:ascii="Times New Roman" w:hAnsi="Times New Roman" w:eastAsia="Times New Roman" w:cs="Times New Roman"/>
          <w:sz w:val="24"/>
          <w:szCs w:val="24"/>
          <w:lang w:val="en-US" w:bidi="ar-SA"/>
        </w:rPr>
      </w:pPr>
      <w:r>
        <w:rPr>
          <w:rFonts w:cs="Times New Roman"/>
          <w:b/>
          <w:sz w:val="24"/>
          <w:szCs w:val="24"/>
          <w:lang w:val="en-US" w:bidi="ar-SA"/>
        </w:rPr>
        <w:t>1</w:t>
      </w:r>
      <w:r>
        <w:rPr>
          <w:rFonts w:hint="eastAsia" w:cs="Times New Roman"/>
          <w:b/>
          <w:sz w:val="24"/>
          <w:szCs w:val="24"/>
          <w:lang w:val="en-US" w:bidi="ar-SA"/>
        </w:rPr>
        <w:t>、评标方法</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1.1</w:t>
      </w:r>
      <w:r>
        <w:rPr>
          <w:rFonts w:hint="eastAsia" w:cs="Times New Roman"/>
          <w:sz w:val="24"/>
          <w:szCs w:val="24"/>
          <w:lang w:val="en-US" w:bidi="ar-SA"/>
        </w:rPr>
        <w:t>、评标中各评委若发生意见分歧，通过书面表决形式，以少数服从多数为原则决定。</w:t>
      </w:r>
    </w:p>
    <w:p>
      <w:pPr>
        <w:adjustRightInd w:val="0"/>
        <w:spacing w:line="360" w:lineRule="auto"/>
        <w:ind w:firstLine="482" w:firstLineChars="200"/>
        <w:rPr>
          <w:rFonts w:ascii="Times New Roman" w:hAnsi="Times New Roman" w:eastAsia="Times New Roman" w:cs="Times New Roman"/>
          <w:b/>
          <w:sz w:val="24"/>
          <w:szCs w:val="24"/>
          <w:lang w:val="en-US" w:bidi="ar-SA"/>
        </w:rPr>
      </w:pPr>
      <w:r>
        <w:rPr>
          <w:rFonts w:cs="Times New Roman"/>
          <w:b/>
          <w:sz w:val="24"/>
          <w:szCs w:val="24"/>
          <w:lang w:val="en-US" w:bidi="ar-SA"/>
        </w:rPr>
        <w:t>2</w:t>
      </w:r>
      <w:r>
        <w:rPr>
          <w:rFonts w:hint="eastAsia" w:cs="Times New Roman"/>
          <w:b/>
          <w:sz w:val="24"/>
          <w:szCs w:val="24"/>
          <w:lang w:val="en-US" w:bidi="ar-SA"/>
        </w:rPr>
        <w:t>、资格审查</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采购人代表及招标代理机构将按照以下条款，对供应商的资格进行后审，有一条未通过则按废标处理。</w:t>
      </w:r>
    </w:p>
    <w:tbl>
      <w:tblPr>
        <w:tblStyle w:val="19"/>
        <w:tblW w:w="928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867"/>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序号</w:t>
            </w:r>
          </w:p>
        </w:tc>
        <w:tc>
          <w:tcPr>
            <w:tcW w:w="5867" w:type="dxa"/>
            <w:vMerge w:val="restart"/>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评审内容</w:t>
            </w:r>
          </w:p>
        </w:tc>
        <w:tc>
          <w:tcPr>
            <w:tcW w:w="2688" w:type="dxa"/>
            <w:gridSpan w:val="2"/>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p>
        </w:tc>
        <w:tc>
          <w:tcPr>
            <w:tcW w:w="5867" w:type="dxa"/>
            <w:vMerge w:val="continue"/>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是</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1</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hAnsi="Times New Roman"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合格有效的法人或非法人组织营业执照；</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2</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法定代表人资格证明或法定代表人授权委托书及身份证；</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3</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近六个月完税证明（零申报需加盖税务机关鲜章）及近六个月本单位社保缴纳证明（及个人明细）、2022年财务审计报告（成立不满一年的提供开标前一个月内有效银行资信证明）；</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4</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5</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hAnsi="Times New Roman" w:eastAsia="Times New Roman"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供应商及其法人参加本次采购活动前三年内，在经营活动中没有重大违法记录的声明及反商业受贿承诺。</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6</w:t>
            </w:r>
          </w:p>
        </w:tc>
        <w:tc>
          <w:tcPr>
            <w:tcW w:w="5867" w:type="dxa"/>
            <w:vAlign w:val="center"/>
          </w:tcPr>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cs="Times New Roman"/>
                <w:b/>
                <w:bCs/>
                <w:color w:val="000000" w:themeColor="text1"/>
                <w:sz w:val="24"/>
                <w:szCs w:val="24"/>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投标人须具备：供应商须具备公路工程施工总承包叁级及以上资质，具有合格有效的安全生产许可证，区外企业进疆信息报送册；项目经理须具备公路工程专业二级及以上注册建造师执业资格，持有有效的交通运输主管部门颁发的安全生产考核合格证书(B 类),且未担任其他在建工程项目的项目经理；</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1" w:type="dxa"/>
            <w:vAlign w:val="center"/>
          </w:tcPr>
          <w:p>
            <w:pPr>
              <w:keepNext w:val="0"/>
              <w:keepLines w:val="0"/>
              <w:suppressLineNumbers w:val="0"/>
              <w:adjustRightInd w:val="0"/>
              <w:spacing w:before="0" w:beforeAutospacing="0" w:after="0" w:afterAutospacing="0" w:line="240" w:lineRule="auto"/>
              <w:ind w:left="0" w:right="0"/>
              <w:jc w:val="center"/>
              <w:rPr>
                <w:rFonts w:hint="default" w:hAnsi="Times New Roman" w:cs="Times New Roman"/>
                <w:b/>
                <w:bCs/>
                <w:color w:val="000000" w:themeColor="text1"/>
                <w:sz w:val="24"/>
                <w:szCs w:val="24"/>
                <w:highlight w:val="none"/>
                <w:lang w:val="en-US" w:bidi="ar-SA"/>
                <w14:textFill>
                  <w14:solidFill>
                    <w14:schemeClr w14:val="tx1"/>
                  </w14:solidFill>
                </w14:textFill>
              </w:rPr>
            </w:pPr>
            <w:r>
              <w:rPr>
                <w:rFonts w:hint="eastAsia" w:cs="Times New Roman"/>
                <w:b/>
                <w:bCs/>
                <w:color w:val="000000" w:themeColor="text1"/>
                <w:sz w:val="24"/>
                <w:szCs w:val="24"/>
                <w:highlight w:val="none"/>
                <w:lang w:val="en-US" w:bidi="ar-SA"/>
                <w14:textFill>
                  <w14:solidFill>
                    <w14:schemeClr w14:val="tx1"/>
                  </w14:solidFill>
                </w14:textFill>
              </w:rPr>
              <w:t>7</w:t>
            </w:r>
          </w:p>
        </w:tc>
        <w:tc>
          <w:tcPr>
            <w:tcW w:w="586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default" w:hAnsi="Times New Roman" w:cs="Times New Roman"/>
                <w:b/>
                <w:bCs/>
                <w:color w:val="000000" w:themeColor="text1"/>
                <w:sz w:val="24"/>
                <w:szCs w:val="24"/>
                <w:highlight w:val="none"/>
                <w:lang w:val="en-US" w:bidi="ar-SA"/>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投标保证金缴纳凭证。</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1" w:type="dxa"/>
            <w:vAlign w:val="center"/>
          </w:tcPr>
          <w:p>
            <w:pPr>
              <w:keepNext w:val="0"/>
              <w:keepLines w:val="0"/>
              <w:suppressLineNumbers w:val="0"/>
              <w:adjustRightInd w:val="0"/>
              <w:spacing w:before="0" w:beforeAutospacing="0" w:after="0" w:afterAutospacing="0" w:line="240" w:lineRule="auto"/>
              <w:ind w:left="0" w:right="0"/>
              <w:jc w:val="center"/>
              <w:rPr>
                <w:rFonts w:hint="eastAsia" w:eastAsia="宋体" w:cs="Times New Roman"/>
                <w:b/>
                <w:bCs/>
                <w:color w:val="000000" w:themeColor="text1"/>
                <w:sz w:val="24"/>
                <w:szCs w:val="24"/>
                <w:highlight w:val="none"/>
                <w:lang w:val="en-US" w:eastAsia="zh-CN" w:bidi="ar-SA"/>
                <w14:textFill>
                  <w14:solidFill>
                    <w14:schemeClr w14:val="tx1"/>
                  </w14:solidFill>
                </w14:textFill>
              </w:rPr>
            </w:pPr>
            <w:r>
              <w:rPr>
                <w:rFonts w:hint="eastAsia" w:cs="Times New Roman"/>
                <w:b/>
                <w:bCs/>
                <w:color w:val="000000" w:themeColor="text1"/>
                <w:sz w:val="24"/>
                <w:szCs w:val="24"/>
                <w:highlight w:val="none"/>
                <w:lang w:val="en-US" w:eastAsia="zh-CN" w:bidi="ar-SA"/>
                <w14:textFill>
                  <w14:solidFill>
                    <w14:schemeClr w14:val="tx1"/>
                  </w14:solidFill>
                </w14:textFill>
              </w:rPr>
              <w:t>8</w:t>
            </w:r>
          </w:p>
        </w:tc>
        <w:tc>
          <w:tcPr>
            <w:tcW w:w="586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beforeAutospacing="0" w:after="40" w:afterAutospacing="0" w:line="380" w:lineRule="exact"/>
              <w:ind w:left="0" w:leftChars="0" w:right="0" w:rightChars="0" w:firstLine="0" w:firstLineChars="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是否提供《中小企业声明函》</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1" w:type="dxa"/>
            <w:vAlign w:val="center"/>
          </w:tcPr>
          <w:p>
            <w:pPr>
              <w:keepNext w:val="0"/>
              <w:keepLines w:val="0"/>
              <w:suppressLineNumbers w:val="0"/>
              <w:adjustRightInd w:val="0"/>
              <w:spacing w:before="0" w:beforeAutospacing="0" w:after="0" w:afterAutospacing="0" w:line="360" w:lineRule="auto"/>
              <w:ind w:left="0" w:right="0"/>
              <w:jc w:val="both"/>
              <w:rPr>
                <w:rFonts w:hint="default" w:hAnsi="Times New Roman" w:eastAsia="Times New Roman" w:cs="Times New Roman"/>
                <w:b/>
                <w:bCs/>
                <w:color w:val="000000" w:themeColor="text1"/>
                <w:sz w:val="24"/>
                <w:szCs w:val="24"/>
                <w:lang w:val="en-US" w:bidi="ar-SA"/>
                <w14:textFill>
                  <w14:solidFill>
                    <w14:schemeClr w14:val="tx1"/>
                  </w14:solidFill>
                </w14:textFill>
              </w:rPr>
            </w:pP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hAnsi="Times New Roman" w:eastAsia="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结论：是否通过评审</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bl>
    <w:p>
      <w:pPr>
        <w:adjustRightInd w:val="0"/>
        <w:spacing w:line="360" w:lineRule="auto"/>
        <w:rPr>
          <w:rFonts w:ascii="Times New Roman" w:hAnsi="Times New Roman" w:eastAsia="Times New Roman" w:cs="Times New Roman"/>
          <w:b/>
          <w:color w:val="000000" w:themeColor="text1"/>
          <w:sz w:val="24"/>
          <w:szCs w:val="24"/>
          <w:lang w:val="en-US" w:bidi="ar-SA"/>
          <w14:textFill>
            <w14:solidFill>
              <w14:schemeClr w14:val="tx1"/>
            </w14:solidFill>
          </w14:textFill>
        </w:rPr>
      </w:pPr>
    </w:p>
    <w:p>
      <w:pPr>
        <w:adjustRightInd w:val="0"/>
        <w:spacing w:line="360" w:lineRule="auto"/>
        <w:ind w:firstLine="482" w:firstLineChars="200"/>
        <w:rPr>
          <w:rFonts w:ascii="Times New Roman" w:hAnsi="Times New Roman" w:eastAsia="Times New Roman" w:cs="Times New Roman"/>
          <w:b/>
          <w:sz w:val="24"/>
          <w:szCs w:val="24"/>
          <w:lang w:bidi="ar-SA"/>
        </w:rPr>
      </w:pPr>
      <w:r>
        <w:rPr>
          <w:rFonts w:cs="Times New Roman"/>
          <w:b/>
          <w:sz w:val="24"/>
          <w:szCs w:val="24"/>
          <w:lang w:val="en-US" w:bidi="ar-SA"/>
        </w:rPr>
        <w:t>3</w:t>
      </w:r>
      <w:r>
        <w:rPr>
          <w:rFonts w:hint="eastAsia" w:cs="Times New Roman"/>
          <w:b/>
          <w:sz w:val="24"/>
          <w:szCs w:val="24"/>
          <w:lang w:val="en-US" w:bidi="ar-SA"/>
        </w:rPr>
        <w:t>、</w:t>
      </w:r>
      <w:r>
        <w:rPr>
          <w:rFonts w:hint="eastAsia" w:cs="Times New Roman"/>
          <w:b/>
          <w:sz w:val="24"/>
          <w:szCs w:val="24"/>
          <w:lang w:bidi="ar-SA"/>
        </w:rPr>
        <w:t>符合性审查</w:t>
      </w:r>
    </w:p>
    <w:p>
      <w:pPr>
        <w:adjustRightInd w:val="0"/>
        <w:spacing w:line="360" w:lineRule="auto"/>
        <w:ind w:firstLine="480" w:firstLineChars="200"/>
        <w:rPr>
          <w:rFonts w:ascii="Times New Roman" w:hAnsi="Times New Roman" w:eastAsia="Times New Roman" w:cs="Times New Roman"/>
          <w:sz w:val="24"/>
          <w:szCs w:val="24"/>
          <w:lang w:bidi="ar-SA"/>
        </w:rPr>
      </w:pPr>
      <w:r>
        <w:rPr>
          <w:rFonts w:cs="Times New Roman"/>
          <w:sz w:val="24"/>
          <w:szCs w:val="24"/>
          <w:lang w:val="en-US" w:bidi="ar-SA"/>
        </w:rPr>
        <w:t xml:space="preserve">3.1 </w:t>
      </w:r>
      <w:r>
        <w:rPr>
          <w:rFonts w:hint="eastAsia" w:cs="Times New Roman"/>
          <w:sz w:val="24"/>
          <w:szCs w:val="24"/>
          <w:lang w:val="en-US" w:bidi="ar-SA"/>
        </w:rPr>
        <w:t>磋商小组</w:t>
      </w:r>
      <w:r>
        <w:rPr>
          <w:rFonts w:hint="eastAsia" w:cs="Times New Roman"/>
          <w:sz w:val="24"/>
          <w:szCs w:val="24"/>
          <w:lang w:bidi="ar-SA"/>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3.2 </w:t>
      </w:r>
      <w:r>
        <w:rPr>
          <w:rFonts w:hint="eastAsia" w:cs="Times New Roman"/>
          <w:sz w:val="24"/>
          <w:szCs w:val="24"/>
          <w:lang w:val="en-US" w:bidi="ar-SA"/>
        </w:rPr>
        <w:t>磋商小组应当根据磋商文件，审查并逐项列出每一个响应文件的全部投标偏差。投标偏差分为重大偏差和细微偏差。</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）应当要求存在细小偏差的供应商在评标结束前以书面形式予以补正。拒绝补正的，在综合评审时可以对细微偏差作不利于该供应商的量化。</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3</w:t>
      </w:r>
      <w:r>
        <w:rPr>
          <w:rFonts w:hint="eastAsia" w:cs="Times New Roman"/>
          <w:sz w:val="24"/>
          <w:szCs w:val="24"/>
          <w:lang w:val="en-US" w:bidi="ar-SA"/>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4</w:t>
      </w:r>
      <w:r>
        <w:rPr>
          <w:rFonts w:hint="eastAsia" w:cs="Times New Roman"/>
          <w:sz w:val="24"/>
          <w:szCs w:val="24"/>
          <w:lang w:val="en-US" w:bidi="ar-SA"/>
        </w:rPr>
        <w:t>）发现有重大偏差时，磋商小组及其成员应按磋商文件中的规定，可以取消其投标的权利。</w:t>
      </w:r>
    </w:p>
    <w:p>
      <w:pPr>
        <w:adjustRightInd w:val="0"/>
        <w:spacing w:line="360" w:lineRule="auto"/>
        <w:ind w:firstLine="482" w:firstLineChars="200"/>
        <w:rPr>
          <w:rFonts w:hint="eastAsia" w:cs="Times New Roman"/>
          <w:b/>
          <w:sz w:val="24"/>
          <w:szCs w:val="24"/>
          <w:lang w:val="en-US" w:bidi="ar-SA"/>
        </w:rPr>
      </w:pPr>
      <w:r>
        <w:rPr>
          <w:rFonts w:cs="Times New Roman"/>
          <w:b/>
          <w:sz w:val="24"/>
          <w:szCs w:val="24"/>
          <w:lang w:val="en-US" w:bidi="ar-SA"/>
        </w:rPr>
        <w:t xml:space="preserve">3.3 </w:t>
      </w:r>
      <w:r>
        <w:rPr>
          <w:rFonts w:hint="eastAsia" w:cs="Times New Roman"/>
          <w:b/>
          <w:sz w:val="24"/>
          <w:szCs w:val="24"/>
          <w:lang w:bidi="ar-SA"/>
        </w:rPr>
        <w:t>进行符合性审查时，磋商小组及成员</w:t>
      </w:r>
      <w:r>
        <w:rPr>
          <w:rFonts w:hint="eastAsia" w:cs="Times New Roman"/>
          <w:b/>
          <w:sz w:val="24"/>
          <w:szCs w:val="24"/>
          <w:lang w:val="en-US" w:bidi="ar-SA"/>
        </w:rPr>
        <w:t>应当审查每一个响应文件是否对磋商文件提出的所有实质性要求和条件作出响应。未能实质上响应的，视情况按照磋商文件的规定，应不得进入综合评审程序。主要有下列情况：</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（1）未按照磋商文件规定要求签署、盖章的；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（2）响应文件明显不符合磋商文件规定的技术以及商务条款</w:t>
      </w:r>
      <w:r>
        <w:rPr>
          <w:rFonts w:hint="eastAsia" w:cs="Times New Roman"/>
          <w:b/>
          <w:sz w:val="24"/>
          <w:szCs w:val="24"/>
          <w:lang w:val="en-US" w:eastAsia="zh-CN" w:bidi="ar-SA"/>
        </w:rPr>
        <w:t>实质性</w:t>
      </w:r>
      <w:r>
        <w:rPr>
          <w:rFonts w:hint="eastAsia" w:cs="Times New Roman"/>
          <w:b/>
          <w:sz w:val="24"/>
          <w:szCs w:val="24"/>
          <w:lang w:val="en-US" w:bidi="ar-SA"/>
        </w:rPr>
        <w:t>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（3）响应文件载明的工期、质量标准、安全目标等明显不符合磋商文件要求的；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（4）供应商对同一招标项目作出两个以上报价未明确效力的；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（6）供应商的投标报价超过</w:t>
      </w:r>
      <w:r>
        <w:rPr>
          <w:rFonts w:hint="eastAsia" w:cs="Times New Roman"/>
          <w:b/>
          <w:sz w:val="24"/>
          <w:szCs w:val="24"/>
          <w:lang w:val="en-US" w:eastAsia="zh-CN" w:bidi="ar-SA"/>
        </w:rPr>
        <w:t>最高限</w:t>
      </w:r>
      <w:r>
        <w:rPr>
          <w:rFonts w:hint="eastAsia" w:cs="Times New Roman"/>
          <w:b/>
          <w:sz w:val="24"/>
          <w:szCs w:val="24"/>
          <w:lang w:val="en-US" w:bidi="ar-SA"/>
        </w:rPr>
        <w:t>价，且采购人不能支付的；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（7）供应商填写完毕的工程量固化清单对工程量固化清单电子文件中的数据、格式和运算定义进行修改；工程量固化清单中的投标报价和投标函大写金额报价不一致的；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（8）响应文件未按磋商文件规定的格式填写，内容不全或关键字迹模糊、无法辨认的；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（9）在评标过程中，发现供应商以他人名义投标、串通投标、以行贿手段谋取成交或者以其他弄虚作假方式投标的；</w:t>
      </w:r>
    </w:p>
    <w:p>
      <w:pPr>
        <w:kinsoku w:val="0"/>
        <w:overflowPunct w:val="0"/>
        <w:adjustRightInd w:val="0"/>
        <w:spacing w:before="57" w:line="360" w:lineRule="auto"/>
        <w:ind w:left="111" w:right="112" w:firstLine="480"/>
        <w:jc w:val="both"/>
        <w:rPr>
          <w:rFonts w:eastAsia="Times New Roman" w:cs="Times New Roman"/>
          <w:b/>
          <w:sz w:val="24"/>
          <w:szCs w:val="24"/>
          <w:lang w:val="en-US" w:bidi="ar-SA"/>
        </w:rPr>
      </w:pPr>
      <w:r>
        <w:rPr>
          <w:rFonts w:hint="eastAsia" w:cs="Times New Roman"/>
          <w:b/>
          <w:sz w:val="24"/>
          <w:szCs w:val="24"/>
          <w:lang w:val="en-US" w:bidi="ar-SA"/>
        </w:rPr>
        <w:t>（10）响应文件附有采购人不能接受的条件的；</w:t>
      </w:r>
    </w:p>
    <w:p>
      <w:pPr>
        <w:pStyle w:val="6"/>
        <w:spacing w:line="360" w:lineRule="auto"/>
        <w:ind w:firstLine="723" w:firstLineChars="300"/>
        <w:rPr>
          <w:rFonts w:hint="eastAsia"/>
          <w:lang w:val="en-US"/>
        </w:rPr>
      </w:pPr>
      <w:r>
        <w:rPr>
          <w:rFonts w:hint="eastAsia" w:cs="Times New Roman"/>
          <w:b/>
          <w:sz w:val="24"/>
          <w:szCs w:val="24"/>
          <w:lang w:val="en-US" w:bidi="ar-SA"/>
        </w:rPr>
        <w:t>（11）响应文件不符合磋商文件规定的其他实质性要求的。</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3.4 </w:t>
      </w:r>
      <w:r>
        <w:rPr>
          <w:rFonts w:hint="eastAsia" w:cs="Times New Roman"/>
          <w:sz w:val="24"/>
          <w:szCs w:val="24"/>
          <w:lang w:val="en-US" w:bidi="ar-SA"/>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adjustRightInd w:val="0"/>
        <w:spacing w:line="360" w:lineRule="auto"/>
        <w:ind w:firstLine="482" w:firstLineChars="200"/>
        <w:rPr>
          <w:b/>
          <w:sz w:val="24"/>
          <w:szCs w:val="24"/>
          <w:lang w:bidi="ar-SA"/>
        </w:rPr>
      </w:pPr>
      <w:r>
        <w:rPr>
          <w:rFonts w:hint="eastAsia"/>
          <w:b/>
          <w:sz w:val="24"/>
          <w:szCs w:val="24"/>
          <w:lang w:val="en-US" w:bidi="ar-SA"/>
        </w:rPr>
        <w:t>4、</w:t>
      </w:r>
      <w:r>
        <w:rPr>
          <w:rFonts w:hint="eastAsia"/>
          <w:b/>
          <w:sz w:val="24"/>
          <w:szCs w:val="24"/>
          <w:lang w:bidi="ar-SA"/>
        </w:rPr>
        <w:t>详细评审标准</w:t>
      </w:r>
    </w:p>
    <w:p>
      <w:pPr>
        <w:spacing w:line="440" w:lineRule="exact"/>
        <w:ind w:firstLine="476" w:firstLineChars="200"/>
        <w:rPr>
          <w:spacing w:val="-1"/>
          <w:sz w:val="24"/>
          <w:szCs w:val="24"/>
        </w:rPr>
      </w:pPr>
      <w:r>
        <w:rPr>
          <w:rFonts w:hint="eastAsia"/>
          <w:spacing w:val="-1"/>
          <w:sz w:val="24"/>
          <w:szCs w:val="24"/>
        </w:rPr>
        <w:t>4.1竞争性磋商步骤</w:t>
      </w:r>
    </w:p>
    <w:p>
      <w:pPr>
        <w:pStyle w:val="29"/>
        <w:widowControl w:val="0"/>
        <w:autoSpaceDE w:val="0"/>
        <w:autoSpaceDN w:val="0"/>
        <w:spacing w:before="0" w:after="0" w:line="440" w:lineRule="exact"/>
        <w:ind w:firstLine="360" w:firstLineChars="150"/>
        <w:jc w:val="left"/>
        <w:rPr>
          <w:rFonts w:ascii="宋体" w:hAnsi="宋体" w:cs="宋体"/>
          <w:sz w:val="24"/>
          <w:szCs w:val="24"/>
          <w:lang w:eastAsia="zh-CN"/>
        </w:rPr>
      </w:pPr>
      <w:r>
        <w:rPr>
          <w:rFonts w:hint="eastAsia" w:ascii="宋体" w:hAnsi="宋体" w:cs="宋体"/>
          <w:sz w:val="24"/>
          <w:szCs w:val="24"/>
          <w:lang w:eastAsia="zh-CN"/>
        </w:rPr>
        <w:t>（1）磋商小组全体成员集中与单一供应商就采购需求、质量和服务等分别进行磋商。逐家磋商一次为一个轮次，磋商轮次由磋商小组视情况决定。</w:t>
      </w:r>
    </w:p>
    <w:p>
      <w:pPr>
        <w:pStyle w:val="11"/>
        <w:kinsoku w:val="0"/>
        <w:overflowPunct w:val="0"/>
        <w:spacing w:line="440" w:lineRule="exact"/>
        <w:ind w:left="111" w:right="110" w:firstLine="240" w:firstLineChars="100"/>
      </w:pPr>
      <w:r>
        <w:rPr>
          <w:rFonts w:hint="eastAsia"/>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1"/>
        <w:kinsoku w:val="0"/>
        <w:overflowPunct w:val="0"/>
        <w:spacing w:before="56" w:line="440" w:lineRule="exact"/>
        <w:ind w:left="111" w:right="110" w:firstLine="240" w:firstLineChars="100"/>
      </w:pPr>
      <w:r>
        <w:rPr>
          <w:rFonts w:hint="eastAsia"/>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1"/>
        <w:kinsoku w:val="0"/>
        <w:overflowPunct w:val="0"/>
        <w:spacing w:line="440" w:lineRule="exact"/>
        <w:ind w:left="111" w:right="110" w:firstLine="240" w:firstLineChars="100"/>
      </w:pPr>
      <w:r>
        <w:rPr>
          <w:rFonts w:hint="eastAsia"/>
        </w:rPr>
        <w:t>（4）磋商结束后，磋商小组将要求实质性响应磋商文件的供应商在规定时间内在线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1"/>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1"/>
        <w:kinsoku w:val="0"/>
        <w:overflowPunct w:val="0"/>
        <w:spacing w:before="56" w:line="440" w:lineRule="exact"/>
        <w:ind w:left="111" w:right="110" w:firstLine="240" w:firstLineChars="100"/>
      </w:pPr>
      <w:r>
        <w:rPr>
          <w:rFonts w:hint="eastAsia"/>
        </w:rPr>
        <w:t>（6）磋商小组依据本须知35.5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spacing w:val="-1"/>
          <w:sz w:val="24"/>
          <w:szCs w:val="24"/>
        </w:rPr>
      </w:pPr>
      <w:r>
        <w:rPr>
          <w:rFonts w:hint="eastAsia"/>
          <w:spacing w:val="-1"/>
          <w:sz w:val="24"/>
          <w:szCs w:val="24"/>
        </w:rPr>
        <w:t>4.2、评审方法及标准：</w:t>
      </w:r>
    </w:p>
    <w:p>
      <w:pPr>
        <w:spacing w:line="440" w:lineRule="exact"/>
        <w:ind w:firstLine="476" w:firstLineChars="200"/>
        <w:rPr>
          <w:spacing w:val="-1"/>
          <w:sz w:val="24"/>
          <w:szCs w:val="24"/>
        </w:rPr>
      </w:pPr>
      <w:r>
        <w:rPr>
          <w:rFonts w:hint="eastAsia"/>
          <w:spacing w:val="-1"/>
          <w:sz w:val="24"/>
          <w:szCs w:val="24"/>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分。综合评分法，是指响应文件满足采购文件全部实质性要求且按评审因素的量化指标评审得分最高的供应商为成交候选供应商的评审方法。磋商小组按照采购文件的要求和条件，根据各供应商的施工组织设计、</w:t>
      </w:r>
      <w:r>
        <w:rPr>
          <w:rFonts w:hint="eastAsia"/>
          <w:spacing w:val="-1"/>
          <w:sz w:val="24"/>
          <w:szCs w:val="24"/>
          <w:lang w:val="en-US"/>
        </w:rPr>
        <w:t>综合实力</w:t>
      </w:r>
      <w:r>
        <w:rPr>
          <w:rFonts w:hint="eastAsia"/>
          <w:spacing w:val="-1"/>
          <w:sz w:val="24"/>
          <w:szCs w:val="24"/>
        </w:rPr>
        <w:t>、价格对采购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spacing w:line="440" w:lineRule="exact"/>
        <w:ind w:firstLine="478" w:firstLineChars="200"/>
        <w:rPr>
          <w:b/>
          <w:bCs/>
          <w:spacing w:val="-1"/>
          <w:sz w:val="24"/>
          <w:szCs w:val="24"/>
        </w:rPr>
      </w:pPr>
      <w:r>
        <w:rPr>
          <w:rFonts w:hint="eastAsia"/>
          <w:b/>
          <w:bCs/>
          <w:spacing w:val="-1"/>
          <w:sz w:val="24"/>
          <w:szCs w:val="24"/>
        </w:rPr>
        <w:t>详细评审标准：</w:t>
      </w:r>
    </w:p>
    <w:tbl>
      <w:tblPr>
        <w:tblStyle w:val="19"/>
        <w:tblpPr w:leftFromText="180" w:rightFromText="180" w:vertAnchor="text" w:horzAnchor="page" w:tblpX="1730"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00"/>
        <w:gridCol w:w="1770"/>
        <w:gridCol w:w="96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4"/>
            <w:tcBorders>
              <w:top w:val="single" w:color="000000" w:sz="0" w:space="0"/>
              <w:left w:val="single" w:color="auto" w:sz="4"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评分因素与权重分值</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auto" w:sz="4"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评分因素</w:t>
            </w:r>
          </w:p>
        </w:tc>
        <w:tc>
          <w:tcPr>
            <w:tcW w:w="7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评分因素</w:t>
            </w:r>
          </w:p>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权重分值</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各评分因素细分项</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分值</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施工组织设计</w:t>
            </w:r>
          </w:p>
        </w:tc>
        <w:tc>
          <w:tcPr>
            <w:tcW w:w="700"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lang w:val="en-US" w:eastAsia="zh-CN"/>
              </w:rPr>
              <w:t>63</w:t>
            </w:r>
            <w:r>
              <w:rPr>
                <w:rFonts w:hint="default"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总体施工组织布置及规划</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10</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总体施工组织布置及规划合理得</w:t>
            </w: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分，否则酌情扣分；施工总平面图布置合理得</w:t>
            </w: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主要工程项目的施工方案、方法与技术措施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15</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施工方法先进得</w:t>
            </w:r>
            <w:r>
              <w:rPr>
                <w:rFonts w:hint="eastAsia" w:ascii="宋体" w:hAnsi="宋体" w:eastAsia="宋体" w:cs="宋体"/>
                <w:color w:val="auto"/>
                <w:sz w:val="21"/>
                <w:highlight w:val="white"/>
              </w:rPr>
              <w:t>6</w:t>
            </w:r>
            <w:r>
              <w:rPr>
                <w:rFonts w:hint="default" w:ascii="宋体" w:hAnsi="宋体" w:eastAsia="宋体" w:cs="宋体"/>
                <w:color w:val="auto"/>
                <w:sz w:val="21"/>
                <w:highlight w:val="white"/>
              </w:rPr>
              <w:t>分，一般得</w:t>
            </w: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分，否则酌情扣分；</w:t>
            </w:r>
          </w:p>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采用新工艺、新技术、新设备得</w:t>
            </w: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分，没有不得分；</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主要工程项目的施工方案齐全措施计划详尽得</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分，一般得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分，否则酌情扣分；</w:t>
            </w:r>
          </w:p>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执行国家强制性条文、有切实可行的保证措施得2</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工期保证体系及保证措施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工期保证体系及保证措施健全得</w:t>
            </w: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分，否则酌情扣</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工程质量管理体系及保证措施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工程项目的质保体系健全得</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分，否则酌情扣分；</w:t>
            </w:r>
          </w:p>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执行国家强制性条文、有切实可行的保证措施得</w:t>
            </w:r>
            <w:r>
              <w:rPr>
                <w:rFonts w:hint="eastAsia" w:ascii="宋体" w:hAnsi="宋体" w:eastAsia="宋体" w:cs="宋体"/>
                <w:color w:val="auto"/>
                <w:sz w:val="21"/>
                <w:highlight w:val="white"/>
              </w:rPr>
              <w:t>2</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分，否则酌情扣分；</w:t>
            </w:r>
          </w:p>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制定了质量通病预防措施、措施可行得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安全生产管理体系及保证措施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lang w:val="en-US" w:eastAsia="zh-CN"/>
              </w:rPr>
              <w:t>7</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安全体系健全有效得</w:t>
            </w:r>
            <w:r>
              <w:rPr>
                <w:rFonts w:hint="eastAsia" w:ascii="宋体" w:hAnsi="宋体" w:eastAsia="宋体" w:cs="宋体"/>
                <w:color w:val="auto"/>
                <w:sz w:val="21"/>
                <w:highlight w:val="white"/>
                <w:lang w:val="en-US" w:eastAsia="zh-CN"/>
              </w:rPr>
              <w:t>7</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环境保护、水土保持保证体系及保证措施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lang w:val="en-US" w:eastAsia="zh-CN"/>
              </w:rPr>
              <w:t>6</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left"/>
              <w:rPr>
                <w:rFonts w:hint="default" w:ascii="宋体" w:hAnsi="宋体" w:eastAsia="宋体" w:cs="宋体"/>
                <w:color w:val="auto"/>
                <w:sz w:val="21"/>
              </w:rPr>
            </w:pPr>
            <w:r>
              <w:rPr>
                <w:rFonts w:hint="default" w:ascii="宋体" w:hAnsi="宋体" w:eastAsia="宋体" w:cs="宋体"/>
                <w:color w:val="auto"/>
                <w:sz w:val="21"/>
                <w:highlight w:val="white"/>
              </w:rPr>
              <w:t>环境保护、水土保持保证体系及保证措施得力得</w:t>
            </w:r>
            <w:r>
              <w:rPr>
                <w:rFonts w:hint="eastAsia" w:ascii="宋体" w:hAnsi="宋体" w:eastAsia="宋体" w:cs="宋体"/>
                <w:color w:val="auto"/>
                <w:sz w:val="21"/>
                <w:highlight w:val="white"/>
                <w:lang w:val="en-US" w:eastAsia="zh-CN"/>
              </w:rPr>
              <w:t>6</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文明施工、文物保护保证体系及保证措施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文明施工措施得力</w:t>
            </w:r>
            <w:r>
              <w:rPr>
                <w:rFonts w:hint="eastAsia" w:ascii="宋体" w:hAnsi="宋体" w:eastAsia="宋体" w:cs="宋体"/>
                <w:color w:val="auto"/>
                <w:sz w:val="21"/>
                <w:highlight w:val="white"/>
              </w:rPr>
              <w:t>得2</w:t>
            </w:r>
            <w:r>
              <w:rPr>
                <w:rFonts w:hint="default" w:ascii="宋体" w:hAnsi="宋体" w:eastAsia="宋体" w:cs="宋体"/>
                <w:color w:val="auto"/>
                <w:sz w:val="21"/>
                <w:highlight w:val="white"/>
              </w:rPr>
              <w:t>分，否则酌情扣分；</w:t>
            </w:r>
          </w:p>
          <w:p>
            <w:pPr>
              <w:pStyle w:val="32"/>
              <w:keepNext w:val="0"/>
              <w:keepLines w:val="0"/>
              <w:widowControl/>
              <w:suppressLineNumbers w:val="0"/>
              <w:spacing w:before="0" w:beforeAutospacing="0" w:after="0" w:afterAutospacing="0"/>
              <w:ind w:left="0" w:right="0"/>
              <w:jc w:val="left"/>
              <w:rPr>
                <w:rFonts w:hint="default" w:ascii="宋体" w:hAnsi="宋体" w:eastAsia="宋体" w:cs="宋体"/>
                <w:color w:val="auto"/>
                <w:sz w:val="21"/>
              </w:rPr>
            </w:pPr>
            <w:r>
              <w:rPr>
                <w:rFonts w:hint="default" w:ascii="宋体" w:hAnsi="宋体" w:eastAsia="宋体" w:cs="宋体"/>
                <w:color w:val="auto"/>
                <w:sz w:val="21"/>
                <w:highlight w:val="white"/>
              </w:rPr>
              <w:t>文物保护保证体系及保证措施得力得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项目风险预测与防范，事故应急预案</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lang w:val="en-US" w:eastAsia="zh-CN"/>
              </w:rPr>
              <w:t>5</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left"/>
              <w:rPr>
                <w:rFonts w:hint="default" w:ascii="宋体" w:hAnsi="宋体" w:eastAsia="宋体" w:cs="宋体"/>
                <w:color w:val="auto"/>
                <w:sz w:val="21"/>
              </w:rPr>
            </w:pPr>
            <w:r>
              <w:rPr>
                <w:rFonts w:hint="default" w:ascii="宋体" w:hAnsi="宋体" w:eastAsia="宋体" w:cs="宋体"/>
                <w:color w:val="auto"/>
                <w:sz w:val="21"/>
                <w:highlight w:val="white"/>
              </w:rPr>
              <w:t>项目风险预测与防范合理，事故应急预案可行得</w:t>
            </w:r>
            <w:r>
              <w:rPr>
                <w:rFonts w:hint="eastAsia" w:ascii="宋体" w:hAnsi="宋体" w:eastAsia="宋体" w:cs="宋体"/>
                <w:color w:val="auto"/>
                <w:sz w:val="21"/>
                <w:highlight w:val="white"/>
                <w:lang w:val="en-US" w:eastAsia="zh-CN"/>
              </w:rPr>
              <w:t>5</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综合实力</w:t>
            </w:r>
          </w:p>
        </w:tc>
        <w:tc>
          <w:tcPr>
            <w:tcW w:w="700"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lang w:val="en-US" w:eastAsia="zh-CN"/>
              </w:rPr>
              <w:t>7</w:t>
            </w:r>
            <w:r>
              <w:rPr>
                <w:rFonts w:hint="default"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技术能力</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满足招标文件中主要技术要求</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企业</w:t>
            </w:r>
            <w:r>
              <w:rPr>
                <w:rFonts w:hint="default" w:ascii="宋体" w:hAnsi="宋体" w:eastAsia="宋体" w:cs="宋体"/>
                <w:color w:val="auto"/>
                <w:sz w:val="21"/>
                <w:highlight w:val="white"/>
              </w:rPr>
              <w:t>业绩</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rPr>
                <w:rFonts w:hint="default" w:ascii="宋体" w:hAnsi="宋体" w:eastAsia="宋体" w:cs="宋体"/>
                <w:color w:val="auto"/>
                <w:sz w:val="21"/>
              </w:rPr>
            </w:pPr>
            <w:r>
              <w:rPr>
                <w:rFonts w:hint="eastAsia" w:cs="宋体" w:asciiTheme="minorEastAsia" w:hAnsiTheme="minorEastAsia" w:eastAsiaTheme="minorEastAsia"/>
                <w:color w:val="auto"/>
                <w:sz w:val="21"/>
                <w:szCs w:val="21"/>
              </w:rPr>
              <w:t>供应商近三年承担过类似项目业绩的，每提供一个得1分，最高得3分。（响应文件中附合同原件的扫描件）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价格评分</w:t>
            </w:r>
          </w:p>
        </w:tc>
        <w:tc>
          <w:tcPr>
            <w:tcW w:w="7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30分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eastAsia" w:ascii="宋体" w:hAnsi="宋体" w:eastAsia="宋体" w:cs="宋体"/>
                <w:color w:val="auto"/>
                <w:sz w:val="21"/>
                <w:highlight w:val="white"/>
              </w:rPr>
              <w:t>最终报价</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eastAsia" w:ascii="宋体" w:hAnsi="宋体" w:eastAsia="宋体" w:cs="宋体"/>
                <w:color w:val="auto"/>
                <w:sz w:val="21"/>
                <w:highlight w:val="white"/>
              </w:rPr>
              <w:t>30.00分</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综合评分法中的价格分统一采用低价优先法计算，即满足磋商文件要求且最后报价最低的供应商的价格为磋商基准价，其价格分为满分。其他供应商</w:t>
            </w:r>
          </w:p>
          <w:p>
            <w:pPr>
              <w:pStyle w:val="32"/>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lang w:eastAsia="zh-CN"/>
              </w:rPr>
            </w:pPr>
            <w:r>
              <w:rPr>
                <w:rFonts w:hint="eastAsia" w:ascii="宋体" w:hAnsi="宋体" w:eastAsia="宋体" w:cs="宋体"/>
                <w:color w:val="auto"/>
                <w:sz w:val="21"/>
              </w:rPr>
              <w:t>的价格分统一按照下列公式计算：</w:t>
            </w:r>
          </w:p>
          <w:p>
            <w:pPr>
              <w:pStyle w:val="32"/>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eastAsia" w:ascii="宋体" w:hAnsi="宋体" w:eastAsia="宋体" w:cs="宋体"/>
                <w:color w:val="auto"/>
                <w:sz w:val="21"/>
              </w:rPr>
              <w:t>磋商报价得分=（磋商基准价/最后磋商报价）×价格权值×100(保留两位小数)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合计</w:t>
            </w:r>
          </w:p>
        </w:tc>
        <w:tc>
          <w:tcPr>
            <w:tcW w:w="8220" w:type="dxa"/>
            <w:gridSpan w:val="4"/>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2"/>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100分</w:t>
            </w:r>
          </w:p>
        </w:tc>
      </w:tr>
    </w:tbl>
    <w:p>
      <w:pPr>
        <w:pStyle w:val="14"/>
        <w:spacing w:line="360" w:lineRule="exact"/>
        <w:rPr>
          <w:rFonts w:hAnsi="宋体"/>
          <w:b/>
          <w:color w:val="000000" w:themeColor="text1"/>
          <w14:textFill>
            <w14:solidFill>
              <w14:schemeClr w14:val="tx1"/>
            </w14:solidFill>
          </w14:textFill>
        </w:rPr>
      </w:pPr>
    </w:p>
    <w:p>
      <w:pPr>
        <w:pStyle w:val="14"/>
        <w:spacing w:line="360" w:lineRule="auto"/>
        <w:rPr>
          <w:rFonts w:hAnsi="宋体"/>
        </w:rPr>
      </w:pPr>
    </w:p>
    <w:p>
      <w:pPr>
        <w:spacing w:line="440" w:lineRule="exact"/>
        <w:ind w:firstLine="480" w:firstLineChars="200"/>
        <w:rPr>
          <w:sz w:val="24"/>
          <w:szCs w:val="24"/>
        </w:rPr>
      </w:pPr>
      <w:r>
        <w:rPr>
          <w:rFonts w:hint="eastAsia"/>
          <w:sz w:val="24"/>
          <w:szCs w:val="24"/>
        </w:rPr>
        <w:t>评分说明：</w:t>
      </w:r>
    </w:p>
    <w:p>
      <w:pPr>
        <w:spacing w:line="440" w:lineRule="exact"/>
        <w:ind w:firstLine="480" w:firstLineChars="200"/>
        <w:rPr>
          <w:sz w:val="24"/>
          <w:szCs w:val="24"/>
        </w:rPr>
      </w:pPr>
      <w:r>
        <w:rPr>
          <w:rFonts w:hint="eastAsia"/>
          <w:sz w:val="24"/>
          <w:szCs w:val="24"/>
        </w:rPr>
        <w:t>a.评标委员会小组成员打分时不得协商,应独立完成。</w:t>
      </w:r>
    </w:p>
    <w:p>
      <w:pPr>
        <w:spacing w:line="440" w:lineRule="exact"/>
        <w:ind w:firstLine="480" w:firstLineChars="200"/>
        <w:rPr>
          <w:sz w:val="24"/>
          <w:szCs w:val="24"/>
        </w:rPr>
      </w:pPr>
      <w:r>
        <w:rPr>
          <w:rFonts w:hint="eastAsia"/>
          <w:sz w:val="24"/>
          <w:szCs w:val="24"/>
        </w:rPr>
        <w:t>b.未满足招标文件要求的投标方,不予评分。</w:t>
      </w:r>
    </w:p>
    <w:p>
      <w:pPr>
        <w:spacing w:line="440" w:lineRule="exact"/>
        <w:ind w:firstLine="480" w:firstLineChars="200"/>
        <w:rPr>
          <w:sz w:val="24"/>
          <w:szCs w:val="24"/>
        </w:rPr>
      </w:pPr>
      <w:r>
        <w:rPr>
          <w:rFonts w:hint="eastAsia"/>
          <w:sz w:val="24"/>
          <w:szCs w:val="24"/>
        </w:rPr>
        <w:t>c.投标人报价超财政预算的按无效投标处理。</w:t>
      </w:r>
    </w:p>
    <w:p>
      <w:pPr>
        <w:spacing w:line="440" w:lineRule="exact"/>
        <w:ind w:firstLine="480" w:firstLineChars="200"/>
        <w:rPr>
          <w:sz w:val="24"/>
          <w:szCs w:val="24"/>
        </w:rPr>
      </w:pPr>
      <w:r>
        <w:rPr>
          <w:rFonts w:hint="eastAsia"/>
          <w:sz w:val="24"/>
          <w:szCs w:val="24"/>
        </w:rPr>
        <w:t>d.属于中小企业评审优惠内容及价格扣除幅度，本项目的价格扣除为</w:t>
      </w:r>
      <w:r>
        <w:rPr>
          <w:rFonts w:hint="eastAsia"/>
          <w:sz w:val="24"/>
          <w:szCs w:val="24"/>
          <w:lang w:val="en-US"/>
        </w:rPr>
        <w:t>6</w:t>
      </w:r>
      <w:r>
        <w:rPr>
          <w:rFonts w:hint="eastAsia"/>
          <w:sz w:val="24"/>
          <w:szCs w:val="24"/>
        </w:rPr>
        <w:t>%。</w:t>
      </w:r>
    </w:p>
    <w:p>
      <w:pPr>
        <w:spacing w:line="440" w:lineRule="exact"/>
        <w:ind w:firstLine="480" w:firstLineChars="200"/>
        <w:rPr>
          <w:sz w:val="24"/>
          <w:szCs w:val="24"/>
        </w:rPr>
      </w:pPr>
      <w:r>
        <w:rPr>
          <w:rFonts w:hint="eastAsia"/>
          <w:sz w:val="24"/>
          <w:szCs w:val="24"/>
        </w:rPr>
        <w:t>根据中华人民共和国财政部、中华人民共和国工业和信息化部《政府采购促进中小企业发展管理办法》（财库[2020]46号）文件</w:t>
      </w:r>
      <w:r>
        <w:rPr>
          <w:rFonts w:hint="eastAsia"/>
          <w:sz w:val="24"/>
          <w:szCs w:val="24"/>
          <w:lang w:val="en-US"/>
        </w:rPr>
        <w:t>和财库（2022）19号文</w:t>
      </w:r>
      <w:r>
        <w:rPr>
          <w:rFonts w:hint="eastAsia"/>
          <w:sz w:val="24"/>
          <w:szCs w:val="24"/>
        </w:rPr>
        <w:t>的规定，属于中小企业评审优惠内容及幅度如下：</w:t>
      </w:r>
    </w:p>
    <w:p>
      <w:pPr>
        <w:spacing w:line="440" w:lineRule="exact"/>
        <w:ind w:firstLine="480" w:firstLineChars="200"/>
        <w:rPr>
          <w:sz w:val="24"/>
          <w:szCs w:val="24"/>
        </w:rPr>
      </w:pPr>
      <w:r>
        <w:rPr>
          <w:rFonts w:hint="eastAsia"/>
          <w:sz w:val="24"/>
          <w:szCs w:val="24"/>
        </w:rPr>
        <w:t>（一）中小企业（含中型、小型、微型企业）应当同时符合以下条件：</w:t>
      </w:r>
    </w:p>
    <w:p>
      <w:pPr>
        <w:spacing w:line="440" w:lineRule="exact"/>
        <w:ind w:firstLine="480" w:firstLineChars="200"/>
        <w:rPr>
          <w:sz w:val="24"/>
          <w:szCs w:val="24"/>
        </w:rPr>
      </w:pPr>
      <w:r>
        <w:rPr>
          <w:rFonts w:hint="eastAsia"/>
          <w:sz w:val="24"/>
          <w:szCs w:val="24"/>
        </w:rPr>
        <w:t>①符合中小企业划分标准（按《关于印发中小企业划型标准规定的通知》（工信部联企业（2011）300号）执行）；</w:t>
      </w:r>
    </w:p>
    <w:p>
      <w:pPr>
        <w:spacing w:line="440" w:lineRule="exact"/>
        <w:ind w:firstLine="480" w:firstLineChars="200"/>
        <w:rPr>
          <w:sz w:val="24"/>
          <w:szCs w:val="24"/>
        </w:rPr>
      </w:pPr>
      <w:r>
        <w:rPr>
          <w:rFonts w:hint="eastAsia"/>
          <w:sz w:val="24"/>
          <w:szCs w:val="24"/>
        </w:rPr>
        <w:t>②提供本企业制造的货物、承担的项目或者服务，或者提供其他中小企业制造的货物。本项所称货物不包括使用大型企业注册商标的货物；</w:t>
      </w:r>
    </w:p>
    <w:p>
      <w:pPr>
        <w:spacing w:line="440" w:lineRule="exact"/>
        <w:ind w:firstLine="480" w:firstLineChars="200"/>
        <w:rPr>
          <w:sz w:val="24"/>
          <w:szCs w:val="24"/>
        </w:rPr>
      </w:pPr>
      <w:r>
        <w:rPr>
          <w:rFonts w:hint="eastAsia"/>
          <w:sz w:val="24"/>
          <w:szCs w:val="24"/>
        </w:rPr>
        <w:t>③小型、微型企业提供中型企业制造的货物的，视同为中型企业。</w:t>
      </w:r>
    </w:p>
    <w:p>
      <w:pPr>
        <w:spacing w:line="440" w:lineRule="exact"/>
        <w:ind w:firstLine="480" w:firstLineChars="200"/>
        <w:rPr>
          <w:sz w:val="24"/>
          <w:szCs w:val="24"/>
        </w:rPr>
      </w:pPr>
      <w:r>
        <w:rPr>
          <w:rFonts w:hint="eastAsia"/>
          <w:sz w:val="24"/>
          <w:szCs w:val="24"/>
        </w:rPr>
        <w:t>（二）价格扣除办法：</w:t>
      </w:r>
    </w:p>
    <w:p>
      <w:pPr>
        <w:spacing w:line="440" w:lineRule="exact"/>
        <w:ind w:firstLine="480" w:firstLineChars="200"/>
        <w:rPr>
          <w:sz w:val="24"/>
          <w:szCs w:val="24"/>
        </w:rPr>
      </w:pPr>
      <w:r>
        <w:rPr>
          <w:rFonts w:hint="eastAsia"/>
          <w:sz w:val="24"/>
          <w:szCs w:val="24"/>
        </w:rPr>
        <w:t>对于非专门面向中小企业的项目，对小型和微型企业产品的价格给予</w:t>
      </w:r>
      <w:r>
        <w:rPr>
          <w:rFonts w:hint="eastAsia"/>
          <w:sz w:val="24"/>
          <w:szCs w:val="24"/>
          <w:lang w:val="en-US"/>
        </w:rPr>
        <w:t>6</w:t>
      </w:r>
      <w:r>
        <w:rPr>
          <w:rFonts w:hint="eastAsia"/>
          <w:sz w:val="24"/>
          <w:szCs w:val="24"/>
        </w:rPr>
        <w:t>%的扣除，用扣除后的价格参与价格分的评审。</w:t>
      </w:r>
    </w:p>
    <w:p>
      <w:pPr>
        <w:spacing w:line="440" w:lineRule="exact"/>
        <w:ind w:firstLine="480" w:firstLineChars="200"/>
        <w:rPr>
          <w:sz w:val="24"/>
          <w:szCs w:val="24"/>
        </w:rPr>
      </w:pPr>
      <w:r>
        <w:rPr>
          <w:rFonts w:hint="eastAsia"/>
          <w:sz w:val="24"/>
          <w:szCs w:val="24"/>
        </w:rPr>
        <w:t>（三）小型和微型企业适用价格扣除办法时应提供的相关资料：</w:t>
      </w:r>
    </w:p>
    <w:p>
      <w:pPr>
        <w:spacing w:line="440" w:lineRule="exact"/>
        <w:ind w:firstLine="480" w:firstLineChars="200"/>
        <w:rPr>
          <w:sz w:val="24"/>
          <w:szCs w:val="24"/>
        </w:rPr>
      </w:pPr>
      <w:r>
        <w:rPr>
          <w:rFonts w:hint="eastAsia"/>
          <w:sz w:val="24"/>
          <w:szCs w:val="24"/>
        </w:rPr>
        <w:t>①《中小企业声明函》;</w:t>
      </w:r>
    </w:p>
    <w:p>
      <w:pPr>
        <w:spacing w:line="440" w:lineRule="exact"/>
        <w:ind w:firstLine="480" w:firstLineChars="200"/>
        <w:rPr>
          <w:sz w:val="24"/>
          <w:szCs w:val="24"/>
        </w:rPr>
      </w:pPr>
      <w:r>
        <w:rPr>
          <w:rFonts w:hint="eastAsia"/>
          <w:sz w:val="24"/>
          <w:szCs w:val="24"/>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pacing w:line="440" w:lineRule="exact"/>
        <w:ind w:firstLine="480" w:firstLineChars="200"/>
        <w:rPr>
          <w:sz w:val="24"/>
          <w:szCs w:val="24"/>
        </w:rPr>
      </w:pPr>
      <w:r>
        <w:rPr>
          <w:rFonts w:hint="eastAsia"/>
          <w:sz w:val="24"/>
          <w:szCs w:val="24"/>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hint="eastAsia"/>
          <w:sz w:val="24"/>
          <w:szCs w:val="24"/>
          <w:lang w:val="en-US"/>
        </w:rPr>
        <w:t>6</w:t>
      </w:r>
      <w:r>
        <w:rPr>
          <w:rFonts w:hint="eastAsia"/>
          <w:sz w:val="24"/>
          <w:szCs w:val="24"/>
        </w:rPr>
        <w:t>%。</w:t>
      </w:r>
    </w:p>
    <w:p>
      <w:pPr>
        <w:spacing w:line="440" w:lineRule="exact"/>
        <w:ind w:firstLine="482" w:firstLineChars="200"/>
        <w:rPr>
          <w:b/>
          <w:sz w:val="24"/>
          <w:szCs w:val="24"/>
        </w:rPr>
      </w:pPr>
      <w:r>
        <w:rPr>
          <w:rFonts w:hint="eastAsia"/>
          <w:b/>
          <w:sz w:val="24"/>
          <w:szCs w:val="24"/>
        </w:rPr>
        <w:t>五、评标保密</w:t>
      </w:r>
    </w:p>
    <w:p>
      <w:pPr>
        <w:spacing w:line="440" w:lineRule="exact"/>
        <w:ind w:firstLine="480" w:firstLineChars="200"/>
        <w:rPr>
          <w:sz w:val="24"/>
          <w:szCs w:val="24"/>
        </w:rPr>
      </w:pPr>
      <w:r>
        <w:rPr>
          <w:rFonts w:hint="eastAsia"/>
          <w:sz w:val="24"/>
          <w:szCs w:val="24"/>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b/>
          <w:spacing w:val="-1"/>
          <w:sz w:val="24"/>
          <w:szCs w:val="24"/>
        </w:rPr>
      </w:pPr>
      <w:r>
        <w:rPr>
          <w:rFonts w:hint="eastAsia"/>
          <w:b/>
          <w:sz w:val="24"/>
          <w:szCs w:val="24"/>
        </w:rPr>
        <w:t>六、成交通知</w:t>
      </w:r>
    </w:p>
    <w:p>
      <w:pPr>
        <w:spacing w:line="440" w:lineRule="exact"/>
        <w:ind w:firstLine="552" w:firstLineChars="200"/>
        <w:rPr>
          <w:spacing w:val="-1"/>
          <w:sz w:val="24"/>
          <w:szCs w:val="24"/>
        </w:rPr>
      </w:pPr>
      <w:r>
        <w:rPr>
          <w:rFonts w:hint="eastAsia"/>
          <w:spacing w:val="18"/>
          <w:sz w:val="24"/>
          <w:szCs w:val="24"/>
        </w:rPr>
        <w:t>6.1</w:t>
      </w:r>
      <w:r>
        <w:rPr>
          <w:rFonts w:hint="eastAsia"/>
          <w:spacing w:val="-1"/>
          <w:sz w:val="24"/>
          <w:szCs w:val="24"/>
        </w:rPr>
        <w:t>确定成交人</w:t>
      </w:r>
    </w:p>
    <w:p>
      <w:pPr>
        <w:spacing w:line="440" w:lineRule="exact"/>
        <w:ind w:firstLine="476" w:firstLineChars="200"/>
        <w:rPr>
          <w:spacing w:val="-1"/>
          <w:sz w:val="24"/>
          <w:szCs w:val="24"/>
        </w:rPr>
      </w:pPr>
      <w:r>
        <w:rPr>
          <w:rFonts w:hint="eastAsia"/>
          <w:spacing w:val="-1"/>
          <w:sz w:val="24"/>
          <w:szCs w:val="24"/>
        </w:rPr>
        <w:t>评标委员会根据最终评审向采购人推荐前3名成交候选人。</w:t>
      </w:r>
    </w:p>
    <w:p>
      <w:pPr>
        <w:spacing w:line="440" w:lineRule="exact"/>
        <w:ind w:firstLine="552" w:firstLineChars="200"/>
        <w:rPr>
          <w:spacing w:val="-1"/>
          <w:sz w:val="24"/>
          <w:szCs w:val="24"/>
        </w:rPr>
      </w:pPr>
      <w:r>
        <w:rPr>
          <w:rFonts w:hint="eastAsia"/>
          <w:spacing w:val="18"/>
          <w:sz w:val="24"/>
          <w:szCs w:val="24"/>
        </w:rPr>
        <w:t>6.2</w:t>
      </w:r>
      <w:r>
        <w:rPr>
          <w:rFonts w:hint="eastAsia"/>
          <w:spacing w:val="-1"/>
          <w:sz w:val="24"/>
          <w:szCs w:val="24"/>
        </w:rPr>
        <w:t>中标通知</w:t>
      </w:r>
    </w:p>
    <w:p>
      <w:pPr>
        <w:pStyle w:val="11"/>
        <w:rPr>
          <w:sz w:val="20"/>
        </w:rPr>
      </w:pPr>
      <w:r>
        <w:rPr>
          <w:rFonts w:hint="eastAsia"/>
          <w:spacing w:val="-1"/>
        </w:rPr>
        <w:t>确定出成交人后，采购人将以书面形式通知成交的竞争性磋商响应人。</w:t>
      </w:r>
      <w:bookmarkStart w:id="112" w:name="第八章__工程量清单计量规则"/>
      <w:bookmarkEnd w:id="112"/>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4"/>
        <w:rPr>
          <w:sz w:val="18"/>
        </w:rPr>
      </w:pPr>
    </w:p>
    <w:p>
      <w:pPr>
        <w:adjustRightInd w:val="0"/>
        <w:spacing w:line="360" w:lineRule="auto"/>
        <w:ind w:firstLine="482" w:firstLineChars="200"/>
        <w:rPr>
          <w:rFonts w:cs="Times New Roman"/>
          <w:b/>
          <w:sz w:val="24"/>
          <w:szCs w:val="24"/>
          <w:lang w:val="en-US" w:bidi="ar-SA"/>
        </w:rPr>
      </w:pPr>
      <w:bookmarkStart w:id="113" w:name="_TOC_250018"/>
      <w:bookmarkEnd w:id="113"/>
    </w:p>
    <w:sectPr>
      <w:headerReference r:id="rId30" w:type="default"/>
      <w:footerReference r:id="rId31" w:type="default"/>
      <w:pgSz w:w="11910" w:h="16840"/>
      <w:pgMar w:top="1580" w:right="1240" w:bottom="1040" w:left="1260" w:header="0" w:footer="8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BRGEKD+??¨¬?">
    <w:altName w:val="Times New Roman"/>
    <w:panose1 w:val="00000000000000000000"/>
    <w:charset w:val="00"/>
    <w:family w:val="auto"/>
    <w:pitch w:val="default"/>
    <w:sig w:usb0="00000000" w:usb1="00000000" w:usb2="00000000" w:usb3="00000000" w:csb0="00000001" w:csb1="00000000"/>
  </w:font>
  <w:font w:name="PQPMN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6"/>
      </w:rPr>
    </w:pPr>
    <w:r>
      <w:rPr>
        <w:sz w:val="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120</w:t>
                          </w:r>
                          <w:r>
                            <w:fldChar w:fldCharType="end"/>
                          </w:r>
                        </w:p>
                      </w:txbxContent>
                    </wps:txbx>
                    <wps:bodyPr wrap="none" lIns="0" tIns="0" rIns="0" bIns="0" upright="1">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k66ckBAACc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5y74xYnfvn+7fLj1+XnV7Jc&#10;FYX6ADUmPgRMTcMbP+DeZOWyH9CZiQ8q2vxFSgTjqO/5qq8cEhH50Xq1XlcYEhibL4jDbs9DhPRW&#10;ekuy0dCIAyy68tN7SGPqnJKrOX+vjSlDNO4vB2JmD7v1mK007Iep8b1vz8inx9k31OGqU2LeOZQ2&#10;r8lsxNnYz8YxRH3osLVl6QvC62PCJkpvucIIOxXGoRV204LlrfjzXrJuP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qTrpyQEAAJw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130</w:t>
                          </w:r>
                          <w:r>
                            <w:fldChar w:fldCharType="end"/>
                          </w:r>
                        </w:p>
                      </w:txbxContent>
                    </wps:txbx>
                    <wps:bodyPr wrap="none" lIns="0" tIns="0" rIns="0" bIns="0" upright="1">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TYald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BOMoBAACc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tZoiWUGN375+ePy68/l93ey&#10;rqrk0OChwcZ7j61xfOdGvDdLHjCZhI8ymPRGSQTrCHa++ivGSHj6qK7qusQSx9pyQPzi4XMfIL4X&#10;zpAUtDTgArOv7PQR4tS6tKRp1t0prfMStf0ngZgpUyTuE8cUxXE/zoL2rjujngF331KLV50S/cGi&#10;tcgvLkFYgv0SHH1Qhx6prTMv8LfHiCQytzRhgp0H49KyuvmCpVvx+Jy7Hn6q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fhBOMoBAACcAwAADgAAAAAAAAABACAAAAAeAQAAZHJzL2Uyb0Rv&#10;Yy54bWxQSwUGAAAAAAYABgBZAQAAW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1rcoBAACb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c&#10;vcw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1rcoBAACbAwAADgAAAAAAAAABACAAAAAeAQAAZHJzL2Uyb0Rv&#10;Yy54bWxQSwUGAAAAAAYABgBZAQAAW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154</w:t>
                          </w:r>
                          <w:r>
                            <w:fldChar w:fldCharType="end"/>
                          </w:r>
                        </w:p>
                      </w:txbxContent>
                    </wps:txbx>
                    <wps:bodyPr wrap="none" lIns="0" tIns="0" rIns="0" bIns="0" upright="1">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pa58sBAACc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VlFhucOKX798uP35dfn4l&#10;6/J16tDgocbEB4+pcbxzI+7N4gd0JuFjF0z6oiSCcezv+dpfOUYi0qOqrKoCQwJjywXx2eNzHyC+&#10;lc6QZDQ04ABzX/npPcQpdUlJ1ay7V1rnIWr7lwMxk4cl7hPHZMVxP86C9q49o54BZ99Qi6tOiX5n&#10;sbVpTRYjLMZ+MY4+qEOP1NaZF/jbY0QSmVuqMMHOhXFoWd28YGkr/rznrM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J6Wuf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157</w:t>
                          </w:r>
                          <w:r>
                            <w:fldChar w:fldCharType="end"/>
                          </w:r>
                        </w:p>
                      </w:txbxContent>
                    </wps:txbx>
                    <wps:bodyPr wrap="none" lIns="0" tIns="0" rIns="0" bIns="0" upright="1">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LJU8wBAACc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pqblDSWWG5z4+fu3849f559f&#10;yXL1O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sslT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164</w:t>
                          </w:r>
                          <w: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052H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166</w:t>
                          </w:r>
                          <w:r>
                            <w:fldChar w:fldCharType="end"/>
                          </w:r>
                        </w:p>
                      </w:txbxContent>
                    </wps:txbx>
                    <wps:bodyPr wrap="none" lIns="0" tIns="0" rIns="0" bIns="0" upright="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sOM8wBAACcAwAADgAAAGRycy9lMm9Eb2MueG1srVPNjtMwEL4j7TtY&#10;vm+dVlq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blDSWWG5z4+fu3849f559f&#10;yXL1J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Gw4z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170</w:t>
                          </w:r>
                          <w:r>
                            <w:fldChar w:fldCharType="end"/>
                          </w:r>
                        </w:p>
                      </w:txbxContent>
                    </wps:txbx>
                    <wps:bodyPr wrap="none" lIns="0" tIns="0" rIns="0" bIns="0" upright="1">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kcg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rS6ocQygxM/f/92/vHr/PMr&#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V5HIL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esY82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p>
    <w:pPr>
      <w:kinsoku w:val="0"/>
      <w:overflowPunct w:val="0"/>
      <w:adjustRightInd w:val="0"/>
      <w:spacing w:line="14" w:lineRule="auto"/>
      <w:rPr>
        <w:rFonts w:eastAsia="Times New Roman" w:cs="Times New Roman"/>
        <w:sz w:val="20"/>
        <w:szCs w:val="24"/>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swHhX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Irl8wBAACc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JSWWG5z4+fu3849f559f&#10;SVkuU4d6DxUmPnlMjcOdG3BvZj+gMwkf2mDSFyURjGN/T5f+yiESkR6tlqtVgSGBsfmC+Oz5uQ8Q&#10;30tnSDJqGnCAua/8+AhxTJ1TUjXr7pXWeYja/uVAzORhifvIMVlx2A2ToJ1rTqinx9nX1OKqU6If&#10;LLY2rclshNnYzcbBB7XvkFq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ciuX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ZIp8wBAACc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U9M3S0osNzjx8/dv5x+/zj+/&#10;krK8SR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Mpkin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AwSMwBAACcAwAADgAAAGRycy9lMm9Eb2MueG1srVPNjtMwEL4j8Q6W&#10;79skXQR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h8DBI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91</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vCqswBAACcAwAADgAAAGRycy9lMm9Eb2MueG1srVPNjtMwEL4j8Q6W&#10;79sk1QJ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0G8Kq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101</w:t>
                          </w:r>
                          <w:r>
                            <w:fldChar w:fldCharType="end"/>
                          </w:r>
                        </w:p>
                      </w:txbxContent>
                    </wps:txbx>
                    <wps:bodyPr wrap="none" lIns="0" tIns="0" rIns="0" bIns="0" upright="1">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dWfcozAEAAJwDAAAOAAAAAAAAAAEAIAAAAB4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110</w:t>
                          </w:r>
                          <w:r>
                            <w:fldChar w:fldCharType="end"/>
                          </w:r>
                        </w:p>
                      </w:txbxContent>
                    </wps:txbx>
                    <wps:bodyPr wrap="none" lIns="0" tIns="0" rIns="0" bIns="0" upright="1">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toL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1043305</wp:posOffset>
              </wp:positionH>
              <wp:positionV relativeFrom="page">
                <wp:posOffset>728345</wp:posOffset>
              </wp:positionV>
              <wp:extent cx="5387975" cy="0"/>
              <wp:effectExtent l="0" t="0" r="0" b="0"/>
              <wp:wrapNone/>
              <wp:docPr id="45" name="直线 22"/>
              <wp:cNvGraphicFramePr/>
              <a:graphic xmlns:a="http://schemas.openxmlformats.org/drawingml/2006/main">
                <a:graphicData uri="http://schemas.microsoft.com/office/word/2010/wordprocessingShape">
                  <wps:wsp>
                    <wps:cNvCnPr/>
                    <wps:spPr>
                      <a:xfrm>
                        <a:off x="0" y="0"/>
                        <a:ext cx="538797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2" o:spid="_x0000_s1026" o:spt="20" style="position:absolute;left:0pt;margin-left:82.15pt;margin-top:57.35pt;height:0pt;width:424.25pt;mso-position-horizontal-relative:page;mso-position-vertical-relative:page;z-index:-251657216;mso-width-relative:page;mso-height-relative:page;" filled="f" stroked="t" coordsize="21600,21600" o:gfxdata="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xoAtkAAAAM&#10;AQAADwAAAAAAAAABACAAAAAiAAAAZHJzL2Rvd25yZXYueG1sUEsBAhQAFAAAAAgAh07iQDDe9kXi&#10;AQAA0QMAAA4AAAAAAAAAAQAgAAAAKAEAAGRycy9lMm9Eb2MueG1sUEsFBgAAAAAGAAYAWQEAAHwF&#10;AAAAAA==&#10;">
              <v:fill on="f" focussize="0,0"/>
              <v:stroke weight="0.48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1239520</wp:posOffset>
              </wp:positionH>
              <wp:positionV relativeFrom="page">
                <wp:posOffset>547370</wp:posOffset>
              </wp:positionV>
              <wp:extent cx="1426845" cy="236855"/>
              <wp:effectExtent l="0" t="0" r="0" b="0"/>
              <wp:wrapNone/>
              <wp:docPr id="49" name="文本框 33"/>
              <wp:cNvGraphicFramePr/>
              <a:graphic xmlns:a="http://schemas.openxmlformats.org/drawingml/2006/main">
                <a:graphicData uri="http://schemas.microsoft.com/office/word/2010/wordprocessingShape">
                  <wps:wsp>
                    <wps:cNvSpPr txBox="1"/>
                    <wps:spPr>
                      <a:xfrm>
                        <a:off x="0" y="0"/>
                        <a:ext cx="1426845" cy="236855"/>
                      </a:xfrm>
                      <a:prstGeom prst="rect">
                        <a:avLst/>
                      </a:prstGeom>
                      <a:noFill/>
                      <a:ln>
                        <a:noFill/>
                      </a:ln>
                    </wps:spPr>
                    <wps:txbx>
                      <w:txbxContent>
                        <w:p>
                          <w:pPr>
                            <w:pStyle w:val="18"/>
                            <w:ind w:firstLine="0" w:firstLineChars="0"/>
                            <w:rPr>
                              <w:lang w:val="en-US"/>
                            </w:rPr>
                          </w:pPr>
                        </w:p>
                      </w:txbxContent>
                    </wps:txbx>
                    <wps:bodyPr lIns="0" tIns="0" rIns="0" bIns="0" upright="1"/>
                  </wps:wsp>
                </a:graphicData>
              </a:graphic>
            </wp:anchor>
          </w:drawing>
        </mc:Choice>
        <mc:Fallback>
          <w:pict>
            <v:shape id="文本框 33" o:spid="_x0000_s1026" o:spt="202" type="#_x0000_t202" style="position:absolute;left:0pt;margin-left:97.6pt;margin-top:43.1pt;height:18.65pt;width:112.35pt;mso-position-horizontal-relative:page;mso-position-vertical-relative:page;z-index:-251656192;mso-width-relative:page;mso-height-relative:page;" filled="f" stroked="f" coordsize="21600,21600" o:gfxdata="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FkkfZAAAACgEAAA8AAAAAAAAAAQAgAAAAIgAAAGRycy9kb3ducmV2LnhtbFBL&#10;AQIUABQAAAAIAIdO4kDaKpj6vAEAAHQDAAAOAAAAAAAAAAEAIAAAACgBAABkcnMvZTJvRG9jLnht&#10;bFBLBQYAAAAABgAGAFkBAABWBQAAAAA=&#10;">
              <v:fill on="f" focussize="0,0"/>
              <v:stroke on="f"/>
              <v:imagedata o:title=""/>
              <o:lock v:ext="edit" aspectratio="f"/>
              <v:textbox inset="0mm,0mm,0mm,0mm">
                <w:txbxContent>
                  <w:p>
                    <w:pPr>
                      <w:pStyle w:val="18"/>
                      <w:ind w:firstLine="0" w:firstLineChars="0"/>
                      <w:rPr>
                        <w:lang w:val="en-US"/>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8"/>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390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8"/>
                      <w:ind w:firstLine="44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8"/>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2880;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IjBVgC7AQAAcw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8"/>
                      <w:ind w:firstLine="44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1140460</wp:posOffset>
              </wp:positionH>
              <wp:positionV relativeFrom="page">
                <wp:posOffset>547370</wp:posOffset>
              </wp:positionV>
              <wp:extent cx="759460" cy="158115"/>
              <wp:effectExtent l="0" t="0" r="0" b="0"/>
              <wp:wrapNone/>
              <wp:docPr id="55" name="文本框 43"/>
              <wp:cNvGraphicFramePr/>
              <a:graphic xmlns:a="http://schemas.openxmlformats.org/drawingml/2006/main">
                <a:graphicData uri="http://schemas.microsoft.com/office/word/2010/wordprocessingShape">
                  <wps:wsp>
                    <wps:cNvSpPr txBox="1"/>
                    <wps:spPr>
                      <a:xfrm>
                        <a:off x="0" y="0"/>
                        <a:ext cx="759460" cy="158115"/>
                      </a:xfrm>
                      <a:prstGeom prst="rect">
                        <a:avLst/>
                      </a:prstGeom>
                      <a:noFill/>
                      <a:ln>
                        <a:noFill/>
                      </a:ln>
                    </wps:spPr>
                    <wps:txbx>
                      <w:txbxContent>
                        <w:p/>
                      </w:txbxContent>
                    </wps:txbx>
                    <wps:bodyPr lIns="0" tIns="0" rIns="0" bIns="0" upright="1"/>
                  </wps:wsp>
                </a:graphicData>
              </a:graphic>
            </wp:anchor>
          </w:drawing>
        </mc:Choice>
        <mc:Fallback>
          <w:pict>
            <v:shape id="文本框 43" o:spid="_x0000_s1026" o:spt="202" type="#_x0000_t202" style="position:absolute;left:0pt;margin-left:89.8pt;margin-top:43.1pt;height:12.45pt;width:59.8pt;mso-position-horizontal-relative:page;mso-position-vertical-relative:page;z-index:-251646976;mso-width-relative:page;mso-height-relative:page;" filled="f" stroked="f" coordsize="21600,21600" o:gfxdata="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gLQ1gAAAAoBAAAPAAAAAAAAAAEAIAAAACIAAABkcnMvZG93bnJldi54bWxQSwEC&#10;FAAUAAAACACHTuJA1BFTWb0BAABzAwAADgAAAAAAAAABACAAAAAlAQAAZHJzL2Uyb0RvYy54bWxQ&#10;SwUGAAAAAAYABgBZAQAAVAUAAAAA&#10;">
              <v:fill on="f" focussize="0,0"/>
              <v:stroke on="f"/>
              <v:imagedata o:title=""/>
              <o:lock v:ext="edit" aspectratio="f"/>
              <v:textbox inset="0mm,0mm,0mm,0mm">
                <w:txbxContent>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1033780</wp:posOffset>
              </wp:positionH>
              <wp:positionV relativeFrom="page">
                <wp:posOffset>547370</wp:posOffset>
              </wp:positionV>
              <wp:extent cx="1290955" cy="158115"/>
              <wp:effectExtent l="0" t="0" r="0" b="0"/>
              <wp:wrapNone/>
              <wp:docPr id="59" name="文本框 50"/>
              <wp:cNvGraphicFramePr/>
              <a:graphic xmlns:a="http://schemas.openxmlformats.org/drawingml/2006/main">
                <a:graphicData uri="http://schemas.microsoft.com/office/word/2010/wordprocessingShape">
                  <wps:wsp>
                    <wps:cNvSpPr txBox="1"/>
                    <wps:spPr>
                      <a:xfrm>
                        <a:off x="0" y="0"/>
                        <a:ext cx="1290955" cy="158115"/>
                      </a:xfrm>
                      <a:prstGeom prst="rect">
                        <a:avLst/>
                      </a:prstGeom>
                      <a:noFill/>
                      <a:ln>
                        <a:noFill/>
                      </a:ln>
                    </wps:spPr>
                    <wps:txbx>
                      <w:txbxContent>
                        <w:p>
                          <w:pPr>
                            <w:spacing w:line="249" w:lineRule="exact"/>
                            <w:ind w:left="20"/>
                            <w:rPr>
                              <w:sz w:val="21"/>
                            </w:rPr>
                          </w:pPr>
                        </w:p>
                      </w:txbxContent>
                    </wps:txbx>
                    <wps:bodyPr lIns="0" tIns="0" rIns="0" bIns="0" upright="1"/>
                  </wps:wsp>
                </a:graphicData>
              </a:graphic>
            </wp:anchor>
          </w:drawing>
        </mc:Choice>
        <mc:Fallback>
          <w:pict>
            <v:shape id="文本框 50" o:spid="_x0000_s1026" o:spt="202" type="#_x0000_t202" style="position:absolute;left:0pt;margin-left:81.4pt;margin-top:43.1pt;height:12.45pt;width:101.65pt;mso-position-horizontal-relative:page;mso-position-vertical-relative:page;z-index:-251645952;mso-width-relative:page;mso-height-relative:page;" filled="f" stroked="f" coordsize="21600,21600" o:gfxdata="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SSjP1gAAAAoBAAAPAAAAAAAAAAEAIAAAACIAAABkcnMvZG93bnJldi54bWxQSwECFAAU&#10;AAAACACHTuJAxPehGboBAAB0AwAADgAAAAAAAAABACAAAAAlAQAAZHJzL2Uyb0RvYy54bWxQSwUG&#10;AAAAAAYABgBZAQAAUQUAAAAA&#10;">
              <v:fill on="f" focussize="0,0"/>
              <v:stroke on="f"/>
              <v:imagedata o:title=""/>
              <o:lock v:ext="edit" aspectratio="f"/>
              <v:textbox inset="0mm,0mm,0mm,0mm">
                <w:txbxContent>
                  <w:p>
                    <w:pPr>
                      <w:spacing w:line="249" w:lineRule="exact"/>
                      <w:ind w:left="20"/>
                      <w:rPr>
                        <w:sz w:val="21"/>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
    <w:nsid w:val="87B75F0A"/>
    <w:multiLevelType w:val="multilevel"/>
    <w:tmpl w:val="87B75F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2">
    <w:nsid w:val="883B3669"/>
    <w:multiLevelType w:val="multilevel"/>
    <w:tmpl w:val="883B3669"/>
    <w:lvl w:ilvl="0" w:tentative="0">
      <w:start w:val="11"/>
      <w:numFmt w:val="decimal"/>
      <w:lvlText w:val="%1"/>
      <w:lvlJc w:val="left"/>
      <w:pPr>
        <w:ind w:left="1404" w:hanging="540"/>
      </w:pPr>
      <w:rPr>
        <w:rFonts w:hint="default"/>
        <w:lang w:val="zh-CN" w:eastAsia="zh-CN" w:bidi="zh-CN"/>
      </w:rPr>
    </w:lvl>
    <w:lvl w:ilvl="1" w:tentative="0">
      <w:start w:val="6"/>
      <w:numFmt w:val="decimal"/>
      <w:lvlText w:val="%1.%2"/>
      <w:lvlJc w:val="left"/>
      <w:pPr>
        <w:ind w:left="1404" w:hanging="540"/>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384" w:hanging="720"/>
      </w:pPr>
      <w:rPr>
        <w:rFonts w:hint="default" w:ascii="Times New Roman" w:hAnsi="Times New Roman" w:eastAsia="Times New Roman" w:cs="Times New Roman"/>
        <w:spacing w:val="-19"/>
        <w:w w:val="100"/>
        <w:sz w:val="24"/>
        <w:szCs w:val="24"/>
        <w:lang w:val="zh-CN" w:eastAsia="zh-CN" w:bidi="zh-CN"/>
      </w:rPr>
    </w:lvl>
    <w:lvl w:ilvl="3" w:tentative="0">
      <w:start w:val="0"/>
      <w:numFmt w:val="bullet"/>
      <w:lvlText w:val="•"/>
      <w:lvlJc w:val="left"/>
      <w:pPr>
        <w:ind w:left="3206" w:hanging="720"/>
      </w:pPr>
      <w:rPr>
        <w:rFonts w:hint="default"/>
        <w:lang w:val="zh-CN" w:eastAsia="zh-CN" w:bidi="zh-CN"/>
      </w:rPr>
    </w:lvl>
    <w:lvl w:ilvl="4" w:tentative="0">
      <w:start w:val="0"/>
      <w:numFmt w:val="bullet"/>
      <w:lvlText w:val="•"/>
      <w:lvlJc w:val="left"/>
      <w:pPr>
        <w:ind w:left="4109" w:hanging="720"/>
      </w:pPr>
      <w:rPr>
        <w:rFonts w:hint="default"/>
        <w:lang w:val="zh-CN" w:eastAsia="zh-CN" w:bidi="zh-CN"/>
      </w:rPr>
    </w:lvl>
    <w:lvl w:ilvl="5" w:tentative="0">
      <w:start w:val="0"/>
      <w:numFmt w:val="bullet"/>
      <w:lvlText w:val="•"/>
      <w:lvlJc w:val="left"/>
      <w:pPr>
        <w:ind w:left="5012" w:hanging="720"/>
      </w:pPr>
      <w:rPr>
        <w:rFonts w:hint="default"/>
        <w:lang w:val="zh-CN" w:eastAsia="zh-CN" w:bidi="zh-CN"/>
      </w:rPr>
    </w:lvl>
    <w:lvl w:ilvl="6" w:tentative="0">
      <w:start w:val="0"/>
      <w:numFmt w:val="bullet"/>
      <w:lvlText w:val="•"/>
      <w:lvlJc w:val="left"/>
      <w:pPr>
        <w:ind w:left="5915" w:hanging="720"/>
      </w:pPr>
      <w:rPr>
        <w:rFonts w:hint="default"/>
        <w:lang w:val="zh-CN" w:eastAsia="zh-CN" w:bidi="zh-CN"/>
      </w:rPr>
    </w:lvl>
    <w:lvl w:ilvl="7" w:tentative="0">
      <w:start w:val="0"/>
      <w:numFmt w:val="bullet"/>
      <w:lvlText w:val="•"/>
      <w:lvlJc w:val="left"/>
      <w:pPr>
        <w:ind w:left="6818" w:hanging="720"/>
      </w:pPr>
      <w:rPr>
        <w:rFonts w:hint="default"/>
        <w:lang w:val="zh-CN" w:eastAsia="zh-CN" w:bidi="zh-CN"/>
      </w:rPr>
    </w:lvl>
    <w:lvl w:ilvl="8" w:tentative="0">
      <w:start w:val="0"/>
      <w:numFmt w:val="bullet"/>
      <w:lvlText w:val="•"/>
      <w:lvlJc w:val="left"/>
      <w:pPr>
        <w:ind w:left="7721" w:hanging="720"/>
      </w:pPr>
      <w:rPr>
        <w:rFonts w:hint="default"/>
        <w:lang w:val="zh-CN" w:eastAsia="zh-CN" w:bidi="zh-CN"/>
      </w:rPr>
    </w:lvl>
  </w:abstractNum>
  <w:abstractNum w:abstractNumId="3">
    <w:nsid w:val="95E682A1"/>
    <w:multiLevelType w:val="multilevel"/>
    <w:tmpl w:val="95E682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
    <w:nsid w:val="98CD717A"/>
    <w:multiLevelType w:val="multilevel"/>
    <w:tmpl w:val="98CD717A"/>
    <w:lvl w:ilvl="0" w:tentative="0">
      <w:start w:val="103"/>
      <w:numFmt w:val="decimal"/>
      <w:lvlText w:val="%1"/>
      <w:lvlJc w:val="left"/>
      <w:pPr>
        <w:ind w:left="384" w:hanging="620"/>
      </w:pPr>
      <w:rPr>
        <w:rFonts w:hint="default"/>
        <w:lang w:val="zh-CN" w:eastAsia="zh-CN" w:bidi="zh-CN"/>
      </w:rPr>
    </w:lvl>
    <w:lvl w:ilvl="1" w:tentative="0">
      <w:start w:val="1"/>
      <w:numFmt w:val="decimal"/>
      <w:lvlText w:val="%1-%2"/>
      <w:lvlJc w:val="left"/>
      <w:pPr>
        <w:ind w:left="384" w:hanging="620"/>
      </w:pPr>
      <w:rPr>
        <w:rFonts w:hint="default" w:ascii="Times New Roman" w:hAnsi="Times New Roman" w:eastAsia="Times New Roman" w:cs="Times New Roman"/>
        <w:spacing w:val="-27"/>
        <w:w w:val="100"/>
        <w:sz w:val="24"/>
        <w:szCs w:val="24"/>
        <w:lang w:val="zh-CN" w:eastAsia="zh-CN" w:bidi="zh-CN"/>
      </w:rPr>
    </w:lvl>
    <w:lvl w:ilvl="2" w:tentative="0">
      <w:start w:val="0"/>
      <w:numFmt w:val="bullet"/>
      <w:lvlText w:val="•"/>
      <w:lvlJc w:val="left"/>
      <w:pPr>
        <w:ind w:left="2209" w:hanging="620"/>
      </w:pPr>
      <w:rPr>
        <w:rFonts w:hint="default"/>
        <w:lang w:val="zh-CN" w:eastAsia="zh-CN" w:bidi="zh-CN"/>
      </w:rPr>
    </w:lvl>
    <w:lvl w:ilvl="3" w:tentative="0">
      <w:start w:val="0"/>
      <w:numFmt w:val="bullet"/>
      <w:lvlText w:val="•"/>
      <w:lvlJc w:val="left"/>
      <w:pPr>
        <w:ind w:left="3124" w:hanging="620"/>
      </w:pPr>
      <w:rPr>
        <w:rFonts w:hint="default"/>
        <w:lang w:val="zh-CN" w:eastAsia="zh-CN" w:bidi="zh-CN"/>
      </w:rPr>
    </w:lvl>
    <w:lvl w:ilvl="4" w:tentative="0">
      <w:start w:val="0"/>
      <w:numFmt w:val="bullet"/>
      <w:lvlText w:val="•"/>
      <w:lvlJc w:val="left"/>
      <w:pPr>
        <w:ind w:left="4038" w:hanging="620"/>
      </w:pPr>
      <w:rPr>
        <w:rFonts w:hint="default"/>
        <w:lang w:val="zh-CN" w:eastAsia="zh-CN" w:bidi="zh-CN"/>
      </w:rPr>
    </w:lvl>
    <w:lvl w:ilvl="5" w:tentative="0">
      <w:start w:val="0"/>
      <w:numFmt w:val="bullet"/>
      <w:lvlText w:val="•"/>
      <w:lvlJc w:val="left"/>
      <w:pPr>
        <w:ind w:left="4953" w:hanging="620"/>
      </w:pPr>
      <w:rPr>
        <w:rFonts w:hint="default"/>
        <w:lang w:val="zh-CN" w:eastAsia="zh-CN" w:bidi="zh-CN"/>
      </w:rPr>
    </w:lvl>
    <w:lvl w:ilvl="6" w:tentative="0">
      <w:start w:val="0"/>
      <w:numFmt w:val="bullet"/>
      <w:lvlText w:val="•"/>
      <w:lvlJc w:val="left"/>
      <w:pPr>
        <w:ind w:left="5868" w:hanging="620"/>
      </w:pPr>
      <w:rPr>
        <w:rFonts w:hint="default"/>
        <w:lang w:val="zh-CN" w:eastAsia="zh-CN" w:bidi="zh-CN"/>
      </w:rPr>
    </w:lvl>
    <w:lvl w:ilvl="7" w:tentative="0">
      <w:start w:val="0"/>
      <w:numFmt w:val="bullet"/>
      <w:lvlText w:val="•"/>
      <w:lvlJc w:val="left"/>
      <w:pPr>
        <w:ind w:left="6782" w:hanging="620"/>
      </w:pPr>
      <w:rPr>
        <w:rFonts w:hint="default"/>
        <w:lang w:val="zh-CN" w:eastAsia="zh-CN" w:bidi="zh-CN"/>
      </w:rPr>
    </w:lvl>
    <w:lvl w:ilvl="8" w:tentative="0">
      <w:start w:val="0"/>
      <w:numFmt w:val="bullet"/>
      <w:lvlText w:val="•"/>
      <w:lvlJc w:val="left"/>
      <w:pPr>
        <w:ind w:left="7697" w:hanging="620"/>
      </w:pPr>
      <w:rPr>
        <w:rFonts w:hint="default"/>
        <w:lang w:val="zh-CN" w:eastAsia="zh-CN" w:bidi="zh-CN"/>
      </w:rPr>
    </w:lvl>
  </w:abstractNum>
  <w:abstractNum w:abstractNumId="5">
    <w:nsid w:val="9C11E984"/>
    <w:multiLevelType w:val="multilevel"/>
    <w:tmpl w:val="9C11E984"/>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
    <w:nsid w:val="9C7198AA"/>
    <w:multiLevelType w:val="multilevel"/>
    <w:tmpl w:val="9C7198A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
    <w:nsid w:val="9D7EB8E6"/>
    <w:multiLevelType w:val="multilevel"/>
    <w:tmpl w:val="9D7EB8E6"/>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8">
    <w:nsid w:val="9DFC6F65"/>
    <w:multiLevelType w:val="multilevel"/>
    <w:tmpl w:val="9DFC6F65"/>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9">
    <w:nsid w:val="9F81B9F9"/>
    <w:multiLevelType w:val="multilevel"/>
    <w:tmpl w:val="9F81B9F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0">
    <w:nsid w:val="A521A01A"/>
    <w:multiLevelType w:val="multilevel"/>
    <w:tmpl w:val="A521A01A"/>
    <w:lvl w:ilvl="0" w:tentative="0">
      <w:start w:val="1"/>
      <w:numFmt w:val="decimal"/>
      <w:lvlText w:val="（%1）"/>
      <w:lvlJc w:val="left"/>
      <w:pPr>
        <w:ind w:left="507" w:hanging="500"/>
      </w:pPr>
      <w:rPr>
        <w:rFonts w:hint="default" w:ascii="宋体" w:hAnsi="宋体" w:eastAsia="宋体" w:cs="宋体"/>
        <w:w w:val="99"/>
        <w:sz w:val="18"/>
        <w:szCs w:val="18"/>
        <w:lang w:val="zh-CN" w:eastAsia="zh-CN" w:bidi="zh-CN"/>
      </w:rPr>
    </w:lvl>
    <w:lvl w:ilvl="1" w:tentative="0">
      <w:start w:val="0"/>
      <w:numFmt w:val="bullet"/>
      <w:lvlText w:val="•"/>
      <w:lvlJc w:val="left"/>
      <w:pPr>
        <w:ind w:left="1151" w:hanging="500"/>
      </w:pPr>
      <w:rPr>
        <w:rFonts w:hint="default"/>
        <w:lang w:val="zh-CN" w:eastAsia="zh-CN" w:bidi="zh-CN"/>
      </w:rPr>
    </w:lvl>
    <w:lvl w:ilvl="2" w:tentative="0">
      <w:start w:val="0"/>
      <w:numFmt w:val="bullet"/>
      <w:lvlText w:val="•"/>
      <w:lvlJc w:val="left"/>
      <w:pPr>
        <w:ind w:left="1802" w:hanging="500"/>
      </w:pPr>
      <w:rPr>
        <w:rFonts w:hint="default"/>
        <w:lang w:val="zh-CN" w:eastAsia="zh-CN" w:bidi="zh-CN"/>
      </w:rPr>
    </w:lvl>
    <w:lvl w:ilvl="3" w:tentative="0">
      <w:start w:val="0"/>
      <w:numFmt w:val="bullet"/>
      <w:lvlText w:val="•"/>
      <w:lvlJc w:val="left"/>
      <w:pPr>
        <w:ind w:left="2453" w:hanging="500"/>
      </w:pPr>
      <w:rPr>
        <w:rFonts w:hint="default"/>
        <w:lang w:val="zh-CN" w:eastAsia="zh-CN" w:bidi="zh-CN"/>
      </w:rPr>
    </w:lvl>
    <w:lvl w:ilvl="4" w:tentative="0">
      <w:start w:val="0"/>
      <w:numFmt w:val="bullet"/>
      <w:lvlText w:val="•"/>
      <w:lvlJc w:val="left"/>
      <w:pPr>
        <w:ind w:left="3104" w:hanging="500"/>
      </w:pPr>
      <w:rPr>
        <w:rFonts w:hint="default"/>
        <w:lang w:val="zh-CN" w:eastAsia="zh-CN" w:bidi="zh-CN"/>
      </w:rPr>
    </w:lvl>
    <w:lvl w:ilvl="5" w:tentative="0">
      <w:start w:val="0"/>
      <w:numFmt w:val="bullet"/>
      <w:lvlText w:val="•"/>
      <w:lvlJc w:val="left"/>
      <w:pPr>
        <w:ind w:left="3755" w:hanging="500"/>
      </w:pPr>
      <w:rPr>
        <w:rFonts w:hint="default"/>
        <w:lang w:val="zh-CN" w:eastAsia="zh-CN" w:bidi="zh-CN"/>
      </w:rPr>
    </w:lvl>
    <w:lvl w:ilvl="6" w:tentative="0">
      <w:start w:val="0"/>
      <w:numFmt w:val="bullet"/>
      <w:lvlText w:val="•"/>
      <w:lvlJc w:val="left"/>
      <w:pPr>
        <w:ind w:left="4406" w:hanging="500"/>
      </w:pPr>
      <w:rPr>
        <w:rFonts w:hint="default"/>
        <w:lang w:val="zh-CN" w:eastAsia="zh-CN" w:bidi="zh-CN"/>
      </w:rPr>
    </w:lvl>
    <w:lvl w:ilvl="7" w:tentative="0">
      <w:start w:val="0"/>
      <w:numFmt w:val="bullet"/>
      <w:lvlText w:val="•"/>
      <w:lvlJc w:val="left"/>
      <w:pPr>
        <w:ind w:left="5057" w:hanging="500"/>
      </w:pPr>
      <w:rPr>
        <w:rFonts w:hint="default"/>
        <w:lang w:val="zh-CN" w:eastAsia="zh-CN" w:bidi="zh-CN"/>
      </w:rPr>
    </w:lvl>
    <w:lvl w:ilvl="8" w:tentative="0">
      <w:start w:val="0"/>
      <w:numFmt w:val="bullet"/>
      <w:lvlText w:val="•"/>
      <w:lvlJc w:val="left"/>
      <w:pPr>
        <w:ind w:left="5708" w:hanging="500"/>
      </w:pPr>
      <w:rPr>
        <w:rFonts w:hint="default"/>
        <w:lang w:val="zh-CN" w:eastAsia="zh-CN" w:bidi="zh-CN"/>
      </w:rPr>
    </w:lvl>
  </w:abstractNum>
  <w:abstractNum w:abstractNumId="11">
    <w:nsid w:val="A97D620A"/>
    <w:multiLevelType w:val="multilevel"/>
    <w:tmpl w:val="A97D62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12">
    <w:nsid w:val="A9AC3AA7"/>
    <w:multiLevelType w:val="multilevel"/>
    <w:tmpl w:val="A9AC3AA7"/>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3">
    <w:nsid w:val="B08374AC"/>
    <w:multiLevelType w:val="multilevel"/>
    <w:tmpl w:val="B08374AC"/>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4">
    <w:nsid w:val="B1CC6FF1"/>
    <w:multiLevelType w:val="multilevel"/>
    <w:tmpl w:val="B1CC6FF1"/>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15">
    <w:nsid w:val="B4E02BC3"/>
    <w:multiLevelType w:val="multilevel"/>
    <w:tmpl w:val="B4E02BC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6">
    <w:nsid w:val="BF50FE6B"/>
    <w:multiLevelType w:val="multilevel"/>
    <w:tmpl w:val="BF50FE6B"/>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7">
    <w:nsid w:val="C90D1B09"/>
    <w:multiLevelType w:val="multilevel"/>
    <w:tmpl w:val="C90D1B0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8">
    <w:nsid w:val="C9412743"/>
    <w:multiLevelType w:val="multilevel"/>
    <w:tmpl w:val="C9412743"/>
    <w:lvl w:ilvl="0" w:tentative="0">
      <w:start w:val="1"/>
      <w:numFmt w:val="decimal"/>
      <w:lvlText w:val="（%1）"/>
      <w:lvlJc w:val="left"/>
      <w:pPr>
        <w:ind w:left="384" w:hanging="604"/>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19">
    <w:nsid w:val="CD699D1D"/>
    <w:multiLevelType w:val="multilevel"/>
    <w:tmpl w:val="CD699D1D"/>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20">
    <w:nsid w:val="D1EB1714"/>
    <w:multiLevelType w:val="multilevel"/>
    <w:tmpl w:val="D1EB1714"/>
    <w:lvl w:ilvl="0" w:tentative="0">
      <w:start w:val="1"/>
      <w:numFmt w:val="decimal"/>
      <w:lvlText w:val="%1."/>
      <w:lvlJc w:val="left"/>
      <w:pPr>
        <w:ind w:left="564" w:hanging="351"/>
      </w:pPr>
      <w:rPr>
        <w:rFonts w:hint="default" w:ascii="Times New Roman" w:hAnsi="Times New Roman" w:eastAsia="Times New Roman" w:cs="Times New Roman"/>
        <w:b/>
        <w:bCs/>
        <w:spacing w:val="0"/>
        <w:w w:val="100"/>
        <w:sz w:val="28"/>
        <w:szCs w:val="28"/>
        <w:lang w:val="zh-CN" w:eastAsia="zh-CN" w:bidi="zh-CN"/>
      </w:rPr>
    </w:lvl>
    <w:lvl w:ilvl="1" w:tentative="0">
      <w:start w:val="1"/>
      <w:numFmt w:val="decimal"/>
      <w:lvlText w:val="%1.%2"/>
      <w:lvlJc w:val="left"/>
      <w:pPr>
        <w:ind w:left="633" w:hanging="42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1.%2.%3"/>
      <w:lvlJc w:val="left"/>
      <w:pPr>
        <w:ind w:left="1293" w:hanging="600"/>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004" w:hanging="181"/>
        <w:jc w:val="right"/>
      </w:pPr>
      <w:rPr>
        <w:rFonts w:hint="default" w:ascii="Times New Roman" w:hAnsi="Times New Roman" w:eastAsia="Times New Roman" w:cs="Times New Roman"/>
        <w:w w:val="100"/>
        <w:sz w:val="22"/>
        <w:szCs w:val="22"/>
        <w:lang w:val="zh-CN" w:eastAsia="zh-CN" w:bidi="zh-CN"/>
      </w:rPr>
    </w:lvl>
    <w:lvl w:ilvl="4" w:tentative="0">
      <w:start w:val="1"/>
      <w:numFmt w:val="decimal"/>
      <w:lvlText w:val="%4.%5"/>
      <w:lvlJc w:val="left"/>
      <w:pPr>
        <w:ind w:left="1404" w:hanging="540"/>
      </w:pPr>
      <w:rPr>
        <w:rFonts w:hint="default" w:ascii="Times New Roman" w:hAnsi="Times New Roman" w:eastAsia="Times New Roman" w:cs="Times New Roman"/>
        <w:w w:val="100"/>
        <w:sz w:val="24"/>
        <w:szCs w:val="24"/>
        <w:lang w:val="zh-CN" w:eastAsia="zh-CN" w:bidi="zh-CN"/>
      </w:rPr>
    </w:lvl>
    <w:lvl w:ilvl="5" w:tentative="0">
      <w:start w:val="1"/>
      <w:numFmt w:val="decimal"/>
      <w:lvlText w:val="%4.%5.%6"/>
      <w:lvlJc w:val="left"/>
      <w:pPr>
        <w:ind w:left="384" w:hanging="720"/>
      </w:pPr>
      <w:rPr>
        <w:rFonts w:hint="default" w:ascii="Times New Roman" w:hAnsi="Times New Roman" w:eastAsia="Times New Roman" w:cs="Times New Roman"/>
        <w:spacing w:val="-60"/>
        <w:w w:val="100"/>
        <w:sz w:val="24"/>
        <w:szCs w:val="24"/>
        <w:lang w:val="zh-CN" w:eastAsia="zh-CN" w:bidi="zh-CN"/>
      </w:rPr>
    </w:lvl>
    <w:lvl w:ilvl="6" w:tentative="0">
      <w:start w:val="0"/>
      <w:numFmt w:val="bullet"/>
      <w:lvlText w:val="•"/>
      <w:lvlJc w:val="left"/>
      <w:pPr>
        <w:ind w:left="1400" w:hanging="720"/>
      </w:pPr>
      <w:rPr>
        <w:rFonts w:hint="default"/>
        <w:lang w:val="zh-CN" w:eastAsia="zh-CN" w:bidi="zh-CN"/>
      </w:rPr>
    </w:lvl>
    <w:lvl w:ilvl="7" w:tentative="0">
      <w:start w:val="0"/>
      <w:numFmt w:val="bullet"/>
      <w:lvlText w:val="•"/>
      <w:lvlJc w:val="left"/>
      <w:pPr>
        <w:ind w:left="1520" w:hanging="720"/>
      </w:pPr>
      <w:rPr>
        <w:rFonts w:hint="default"/>
        <w:lang w:val="zh-CN" w:eastAsia="zh-CN" w:bidi="zh-CN"/>
      </w:rPr>
    </w:lvl>
    <w:lvl w:ilvl="8" w:tentative="0">
      <w:start w:val="0"/>
      <w:numFmt w:val="bullet"/>
      <w:lvlText w:val="•"/>
      <w:lvlJc w:val="left"/>
      <w:pPr>
        <w:ind w:left="1700" w:hanging="720"/>
      </w:pPr>
      <w:rPr>
        <w:rFonts w:hint="default"/>
        <w:lang w:val="zh-CN" w:eastAsia="zh-CN" w:bidi="zh-CN"/>
      </w:rPr>
    </w:lvl>
  </w:abstractNum>
  <w:abstractNum w:abstractNumId="21">
    <w:nsid w:val="D7936317"/>
    <w:multiLevelType w:val="multilevel"/>
    <w:tmpl w:val="D7936317"/>
    <w:lvl w:ilvl="0" w:tentative="0">
      <w:start w:val="1"/>
      <w:numFmt w:val="decimal"/>
      <w:lvlText w:val="%1."/>
      <w:lvlJc w:val="left"/>
      <w:pPr>
        <w:ind w:left="384"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94" w:hanging="181"/>
      </w:pPr>
      <w:rPr>
        <w:rFonts w:hint="default"/>
        <w:lang w:val="zh-CN" w:eastAsia="zh-CN" w:bidi="zh-CN"/>
      </w:rPr>
    </w:lvl>
    <w:lvl w:ilvl="2" w:tentative="0">
      <w:start w:val="0"/>
      <w:numFmt w:val="bullet"/>
      <w:lvlText w:val="•"/>
      <w:lvlJc w:val="left"/>
      <w:pPr>
        <w:ind w:left="2209" w:hanging="181"/>
      </w:pPr>
      <w:rPr>
        <w:rFonts w:hint="default"/>
        <w:lang w:val="zh-CN" w:eastAsia="zh-CN" w:bidi="zh-CN"/>
      </w:rPr>
    </w:lvl>
    <w:lvl w:ilvl="3" w:tentative="0">
      <w:start w:val="0"/>
      <w:numFmt w:val="bullet"/>
      <w:lvlText w:val="•"/>
      <w:lvlJc w:val="left"/>
      <w:pPr>
        <w:ind w:left="3124" w:hanging="181"/>
      </w:pPr>
      <w:rPr>
        <w:rFonts w:hint="default"/>
        <w:lang w:val="zh-CN" w:eastAsia="zh-CN" w:bidi="zh-CN"/>
      </w:rPr>
    </w:lvl>
    <w:lvl w:ilvl="4" w:tentative="0">
      <w:start w:val="0"/>
      <w:numFmt w:val="bullet"/>
      <w:lvlText w:val="•"/>
      <w:lvlJc w:val="left"/>
      <w:pPr>
        <w:ind w:left="4038" w:hanging="181"/>
      </w:pPr>
      <w:rPr>
        <w:rFonts w:hint="default"/>
        <w:lang w:val="zh-CN" w:eastAsia="zh-CN" w:bidi="zh-CN"/>
      </w:rPr>
    </w:lvl>
    <w:lvl w:ilvl="5" w:tentative="0">
      <w:start w:val="0"/>
      <w:numFmt w:val="bullet"/>
      <w:lvlText w:val="•"/>
      <w:lvlJc w:val="left"/>
      <w:pPr>
        <w:ind w:left="4953" w:hanging="181"/>
      </w:pPr>
      <w:rPr>
        <w:rFonts w:hint="default"/>
        <w:lang w:val="zh-CN" w:eastAsia="zh-CN" w:bidi="zh-CN"/>
      </w:rPr>
    </w:lvl>
    <w:lvl w:ilvl="6" w:tentative="0">
      <w:start w:val="0"/>
      <w:numFmt w:val="bullet"/>
      <w:lvlText w:val="•"/>
      <w:lvlJc w:val="left"/>
      <w:pPr>
        <w:ind w:left="5868" w:hanging="181"/>
      </w:pPr>
      <w:rPr>
        <w:rFonts w:hint="default"/>
        <w:lang w:val="zh-CN" w:eastAsia="zh-CN" w:bidi="zh-CN"/>
      </w:rPr>
    </w:lvl>
    <w:lvl w:ilvl="7" w:tentative="0">
      <w:start w:val="0"/>
      <w:numFmt w:val="bullet"/>
      <w:lvlText w:val="•"/>
      <w:lvlJc w:val="left"/>
      <w:pPr>
        <w:ind w:left="6782" w:hanging="181"/>
      </w:pPr>
      <w:rPr>
        <w:rFonts w:hint="default"/>
        <w:lang w:val="zh-CN" w:eastAsia="zh-CN" w:bidi="zh-CN"/>
      </w:rPr>
    </w:lvl>
    <w:lvl w:ilvl="8" w:tentative="0">
      <w:start w:val="0"/>
      <w:numFmt w:val="bullet"/>
      <w:lvlText w:val="•"/>
      <w:lvlJc w:val="left"/>
      <w:pPr>
        <w:ind w:left="7697" w:hanging="181"/>
      </w:pPr>
      <w:rPr>
        <w:rFonts w:hint="default"/>
        <w:lang w:val="zh-CN" w:eastAsia="zh-CN" w:bidi="zh-CN"/>
      </w:rPr>
    </w:lvl>
  </w:abstractNum>
  <w:abstractNum w:abstractNumId="22">
    <w:nsid w:val="DAE62134"/>
    <w:multiLevelType w:val="multilevel"/>
    <w:tmpl w:val="DAE62134"/>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3">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4">
    <w:nsid w:val="E0294EC7"/>
    <w:multiLevelType w:val="multilevel"/>
    <w:tmpl w:val="E0294EC7"/>
    <w:lvl w:ilvl="0" w:tentative="0">
      <w:start w:val="1"/>
      <w:numFmt w:val="decimal"/>
      <w:lvlText w:val="（%1）"/>
      <w:lvlJc w:val="left"/>
      <w:pPr>
        <w:ind w:left="38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5">
    <w:nsid w:val="E43A772E"/>
    <w:multiLevelType w:val="multilevel"/>
    <w:tmpl w:val="E43A772E"/>
    <w:lvl w:ilvl="0" w:tentative="0">
      <w:start w:val="1"/>
      <w:numFmt w:val="decimal"/>
      <w:lvlText w:val="（%1）"/>
      <w:lvlJc w:val="left"/>
      <w:pPr>
        <w:ind w:left="384" w:hanging="601"/>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6">
    <w:nsid w:val="E52D9448"/>
    <w:multiLevelType w:val="multilevel"/>
    <w:tmpl w:val="E52D9448"/>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27">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8">
    <w:nsid w:val="E9630B91"/>
    <w:multiLevelType w:val="multilevel"/>
    <w:tmpl w:val="E9630B91"/>
    <w:lvl w:ilvl="0" w:tentative="0">
      <w:start w:val="1"/>
      <w:numFmt w:val="decimal"/>
      <w:lvlText w:val="%1."/>
      <w:lvlJc w:val="left"/>
      <w:pPr>
        <w:ind w:left="224" w:hanging="361"/>
      </w:pPr>
      <w:rPr>
        <w:rFonts w:hint="default" w:ascii="Times New Roman" w:hAnsi="Times New Roman" w:eastAsia="Times New Roman" w:cs="Times New Roman"/>
        <w:spacing w:val="-19"/>
        <w:w w:val="100"/>
        <w:sz w:val="22"/>
        <w:szCs w:val="22"/>
        <w:lang w:val="zh-CN" w:eastAsia="zh-CN" w:bidi="zh-CN"/>
      </w:rPr>
    </w:lvl>
    <w:lvl w:ilvl="1" w:tentative="0">
      <w:start w:val="0"/>
      <w:numFmt w:val="bullet"/>
      <w:lvlText w:val="•"/>
      <w:lvlJc w:val="left"/>
      <w:pPr>
        <w:ind w:left="1138" w:hanging="361"/>
      </w:pPr>
      <w:rPr>
        <w:rFonts w:hint="default"/>
        <w:lang w:val="zh-CN" w:eastAsia="zh-CN" w:bidi="zh-CN"/>
      </w:rPr>
    </w:lvl>
    <w:lvl w:ilvl="2" w:tentative="0">
      <w:start w:val="0"/>
      <w:numFmt w:val="bullet"/>
      <w:lvlText w:val="•"/>
      <w:lvlJc w:val="left"/>
      <w:pPr>
        <w:ind w:left="2057" w:hanging="361"/>
      </w:pPr>
      <w:rPr>
        <w:rFonts w:hint="default"/>
        <w:lang w:val="zh-CN" w:eastAsia="zh-CN" w:bidi="zh-CN"/>
      </w:rPr>
    </w:lvl>
    <w:lvl w:ilvl="3" w:tentative="0">
      <w:start w:val="0"/>
      <w:numFmt w:val="bullet"/>
      <w:lvlText w:val="•"/>
      <w:lvlJc w:val="left"/>
      <w:pPr>
        <w:ind w:left="2976" w:hanging="361"/>
      </w:pPr>
      <w:rPr>
        <w:rFonts w:hint="default"/>
        <w:lang w:val="zh-CN" w:eastAsia="zh-CN" w:bidi="zh-CN"/>
      </w:rPr>
    </w:lvl>
    <w:lvl w:ilvl="4" w:tentative="0">
      <w:start w:val="0"/>
      <w:numFmt w:val="bullet"/>
      <w:lvlText w:val="•"/>
      <w:lvlJc w:val="left"/>
      <w:pPr>
        <w:ind w:left="3894" w:hanging="361"/>
      </w:pPr>
      <w:rPr>
        <w:rFonts w:hint="default"/>
        <w:lang w:val="zh-CN" w:eastAsia="zh-CN" w:bidi="zh-CN"/>
      </w:rPr>
    </w:lvl>
    <w:lvl w:ilvl="5" w:tentative="0">
      <w:start w:val="0"/>
      <w:numFmt w:val="bullet"/>
      <w:lvlText w:val="•"/>
      <w:lvlJc w:val="left"/>
      <w:pPr>
        <w:ind w:left="4813" w:hanging="361"/>
      </w:pPr>
      <w:rPr>
        <w:rFonts w:hint="default"/>
        <w:lang w:val="zh-CN" w:eastAsia="zh-CN" w:bidi="zh-CN"/>
      </w:rPr>
    </w:lvl>
    <w:lvl w:ilvl="6" w:tentative="0">
      <w:start w:val="0"/>
      <w:numFmt w:val="bullet"/>
      <w:lvlText w:val="•"/>
      <w:lvlJc w:val="left"/>
      <w:pPr>
        <w:ind w:left="5732" w:hanging="361"/>
      </w:pPr>
      <w:rPr>
        <w:rFonts w:hint="default"/>
        <w:lang w:val="zh-CN" w:eastAsia="zh-CN" w:bidi="zh-CN"/>
      </w:rPr>
    </w:lvl>
    <w:lvl w:ilvl="7" w:tentative="0">
      <w:start w:val="0"/>
      <w:numFmt w:val="bullet"/>
      <w:lvlText w:val="•"/>
      <w:lvlJc w:val="left"/>
      <w:pPr>
        <w:ind w:left="6650" w:hanging="361"/>
      </w:pPr>
      <w:rPr>
        <w:rFonts w:hint="default"/>
        <w:lang w:val="zh-CN" w:eastAsia="zh-CN" w:bidi="zh-CN"/>
      </w:rPr>
    </w:lvl>
    <w:lvl w:ilvl="8" w:tentative="0">
      <w:start w:val="0"/>
      <w:numFmt w:val="bullet"/>
      <w:lvlText w:val="•"/>
      <w:lvlJc w:val="left"/>
      <w:pPr>
        <w:ind w:left="7569" w:hanging="361"/>
      </w:pPr>
      <w:rPr>
        <w:rFonts w:hint="default"/>
        <w:lang w:val="zh-CN" w:eastAsia="zh-CN" w:bidi="zh-CN"/>
      </w:rPr>
    </w:lvl>
  </w:abstractNum>
  <w:abstractNum w:abstractNumId="29">
    <w:nsid w:val="EA28CC15"/>
    <w:multiLevelType w:val="multilevel"/>
    <w:tmpl w:val="EA28CC15"/>
    <w:lvl w:ilvl="0" w:tentative="0">
      <w:start w:val="8"/>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30">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1">
    <w:nsid w:val="F1FCDEFA"/>
    <w:multiLevelType w:val="multilevel"/>
    <w:tmpl w:val="F1FCDEFA"/>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2">
    <w:nsid w:val="F237ACA1"/>
    <w:multiLevelType w:val="multilevel"/>
    <w:tmpl w:val="F237ACA1"/>
    <w:lvl w:ilvl="0" w:tentative="0">
      <w:start w:val="12"/>
      <w:numFmt w:val="decimal"/>
      <w:lvlText w:val="(%1)"/>
      <w:lvlJc w:val="left"/>
      <w:pPr>
        <w:ind w:left="384" w:hanging="404"/>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294" w:hanging="404"/>
      </w:pPr>
      <w:rPr>
        <w:rFonts w:hint="default"/>
        <w:lang w:val="zh-CN" w:eastAsia="zh-CN" w:bidi="zh-CN"/>
      </w:rPr>
    </w:lvl>
    <w:lvl w:ilvl="2" w:tentative="0">
      <w:start w:val="0"/>
      <w:numFmt w:val="bullet"/>
      <w:lvlText w:val="•"/>
      <w:lvlJc w:val="left"/>
      <w:pPr>
        <w:ind w:left="2209" w:hanging="404"/>
      </w:pPr>
      <w:rPr>
        <w:rFonts w:hint="default"/>
        <w:lang w:val="zh-CN" w:eastAsia="zh-CN" w:bidi="zh-CN"/>
      </w:rPr>
    </w:lvl>
    <w:lvl w:ilvl="3" w:tentative="0">
      <w:start w:val="0"/>
      <w:numFmt w:val="bullet"/>
      <w:lvlText w:val="•"/>
      <w:lvlJc w:val="left"/>
      <w:pPr>
        <w:ind w:left="3124" w:hanging="404"/>
      </w:pPr>
      <w:rPr>
        <w:rFonts w:hint="default"/>
        <w:lang w:val="zh-CN" w:eastAsia="zh-CN" w:bidi="zh-CN"/>
      </w:rPr>
    </w:lvl>
    <w:lvl w:ilvl="4" w:tentative="0">
      <w:start w:val="0"/>
      <w:numFmt w:val="bullet"/>
      <w:lvlText w:val="•"/>
      <w:lvlJc w:val="left"/>
      <w:pPr>
        <w:ind w:left="4038" w:hanging="404"/>
      </w:pPr>
      <w:rPr>
        <w:rFonts w:hint="default"/>
        <w:lang w:val="zh-CN" w:eastAsia="zh-CN" w:bidi="zh-CN"/>
      </w:rPr>
    </w:lvl>
    <w:lvl w:ilvl="5" w:tentative="0">
      <w:start w:val="0"/>
      <w:numFmt w:val="bullet"/>
      <w:lvlText w:val="•"/>
      <w:lvlJc w:val="left"/>
      <w:pPr>
        <w:ind w:left="4953" w:hanging="404"/>
      </w:pPr>
      <w:rPr>
        <w:rFonts w:hint="default"/>
        <w:lang w:val="zh-CN" w:eastAsia="zh-CN" w:bidi="zh-CN"/>
      </w:rPr>
    </w:lvl>
    <w:lvl w:ilvl="6" w:tentative="0">
      <w:start w:val="0"/>
      <w:numFmt w:val="bullet"/>
      <w:lvlText w:val="•"/>
      <w:lvlJc w:val="left"/>
      <w:pPr>
        <w:ind w:left="5868" w:hanging="404"/>
      </w:pPr>
      <w:rPr>
        <w:rFonts w:hint="default"/>
        <w:lang w:val="zh-CN" w:eastAsia="zh-CN" w:bidi="zh-CN"/>
      </w:rPr>
    </w:lvl>
    <w:lvl w:ilvl="7" w:tentative="0">
      <w:start w:val="0"/>
      <w:numFmt w:val="bullet"/>
      <w:lvlText w:val="•"/>
      <w:lvlJc w:val="left"/>
      <w:pPr>
        <w:ind w:left="6782" w:hanging="404"/>
      </w:pPr>
      <w:rPr>
        <w:rFonts w:hint="default"/>
        <w:lang w:val="zh-CN" w:eastAsia="zh-CN" w:bidi="zh-CN"/>
      </w:rPr>
    </w:lvl>
    <w:lvl w:ilvl="8" w:tentative="0">
      <w:start w:val="0"/>
      <w:numFmt w:val="bullet"/>
      <w:lvlText w:val="•"/>
      <w:lvlJc w:val="left"/>
      <w:pPr>
        <w:ind w:left="7697" w:hanging="404"/>
      </w:pPr>
      <w:rPr>
        <w:rFonts w:hint="default"/>
        <w:lang w:val="zh-CN" w:eastAsia="zh-CN" w:bidi="zh-CN"/>
      </w:rPr>
    </w:lvl>
  </w:abstractNum>
  <w:abstractNum w:abstractNumId="33">
    <w:nsid w:val="F2A81E1A"/>
    <w:multiLevelType w:val="multilevel"/>
    <w:tmpl w:val="F2A81E1A"/>
    <w:lvl w:ilvl="0" w:tentative="0">
      <w:start w:val="1"/>
      <w:numFmt w:val="decimal"/>
      <w:lvlText w:val="（%1）"/>
      <w:lvlJc w:val="left"/>
      <w:pPr>
        <w:ind w:left="384" w:hanging="601"/>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4">
    <w:nsid w:val="F3A33954"/>
    <w:multiLevelType w:val="multilevel"/>
    <w:tmpl w:val="F3A33954"/>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5">
    <w:nsid w:val="F46CCC20"/>
    <w:multiLevelType w:val="multilevel"/>
    <w:tmpl w:val="F46CCC20"/>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36">
    <w:nsid w:val="F4A942FE"/>
    <w:multiLevelType w:val="multilevel"/>
    <w:tmpl w:val="F4A942FE"/>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7">
    <w:nsid w:val="FFD3F04B"/>
    <w:multiLevelType w:val="multilevel"/>
    <w:tmpl w:val="FFD3F04B"/>
    <w:lvl w:ilvl="0" w:tentative="0">
      <w:start w:val="1"/>
      <w:numFmt w:val="decimal"/>
      <w:lvlText w:val="（%1）"/>
      <w:lvlJc w:val="left"/>
      <w:pPr>
        <w:ind w:left="130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732" w:hanging="601"/>
      </w:pPr>
      <w:rPr>
        <w:rFonts w:hint="default"/>
        <w:lang w:val="zh-CN" w:eastAsia="zh-CN" w:bidi="zh-CN"/>
      </w:rPr>
    </w:lvl>
    <w:lvl w:ilvl="4" w:tentative="0">
      <w:start w:val="0"/>
      <w:numFmt w:val="bullet"/>
      <w:lvlText w:val="•"/>
      <w:lvlJc w:val="left"/>
      <w:pPr>
        <w:ind w:left="4542"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64" w:hanging="601"/>
      </w:pPr>
      <w:rPr>
        <w:rFonts w:hint="default"/>
        <w:lang w:val="zh-CN" w:eastAsia="zh-CN" w:bidi="zh-CN"/>
      </w:rPr>
    </w:lvl>
    <w:lvl w:ilvl="7" w:tentative="0">
      <w:start w:val="0"/>
      <w:numFmt w:val="bullet"/>
      <w:lvlText w:val="•"/>
      <w:lvlJc w:val="left"/>
      <w:pPr>
        <w:ind w:left="6974" w:hanging="601"/>
      </w:pPr>
      <w:rPr>
        <w:rFonts w:hint="default"/>
        <w:lang w:val="zh-CN" w:eastAsia="zh-CN" w:bidi="zh-CN"/>
      </w:rPr>
    </w:lvl>
    <w:lvl w:ilvl="8" w:tentative="0">
      <w:start w:val="0"/>
      <w:numFmt w:val="bullet"/>
      <w:lvlText w:val="•"/>
      <w:lvlJc w:val="left"/>
      <w:pPr>
        <w:ind w:left="7785" w:hanging="601"/>
      </w:pPr>
      <w:rPr>
        <w:rFonts w:hint="default"/>
        <w:lang w:val="zh-CN" w:eastAsia="zh-CN" w:bidi="zh-CN"/>
      </w:rPr>
    </w:lvl>
  </w:abstractNum>
  <w:abstractNum w:abstractNumId="38">
    <w:nsid w:val="01836A6D"/>
    <w:multiLevelType w:val="multilevel"/>
    <w:tmpl w:val="01836A6D"/>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9">
    <w:nsid w:val="01D7E1C7"/>
    <w:multiLevelType w:val="multilevel"/>
    <w:tmpl w:val="01D7E1C7"/>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0">
    <w:nsid w:val="03C240C0"/>
    <w:multiLevelType w:val="multilevel"/>
    <w:tmpl w:val="03C240C0"/>
    <w:lvl w:ilvl="0" w:tentative="0">
      <w:start w:val="1"/>
      <w:numFmt w:val="decimal"/>
      <w:lvlText w:val="（%1）"/>
      <w:lvlJc w:val="left"/>
      <w:pPr>
        <w:ind w:left="1467"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66" w:hanging="604"/>
      </w:pPr>
      <w:rPr>
        <w:rFonts w:hint="default"/>
        <w:lang w:val="zh-CN" w:eastAsia="zh-CN" w:bidi="zh-CN"/>
      </w:rPr>
    </w:lvl>
    <w:lvl w:ilvl="2" w:tentative="0">
      <w:start w:val="0"/>
      <w:numFmt w:val="bullet"/>
      <w:lvlText w:val="•"/>
      <w:lvlJc w:val="left"/>
      <w:pPr>
        <w:ind w:left="3073" w:hanging="604"/>
      </w:pPr>
      <w:rPr>
        <w:rFonts w:hint="default"/>
        <w:lang w:val="zh-CN" w:eastAsia="zh-CN" w:bidi="zh-CN"/>
      </w:rPr>
    </w:lvl>
    <w:lvl w:ilvl="3" w:tentative="0">
      <w:start w:val="0"/>
      <w:numFmt w:val="bullet"/>
      <w:lvlText w:val="•"/>
      <w:lvlJc w:val="left"/>
      <w:pPr>
        <w:ind w:left="3880" w:hanging="604"/>
      </w:pPr>
      <w:rPr>
        <w:rFonts w:hint="default"/>
        <w:lang w:val="zh-CN" w:eastAsia="zh-CN" w:bidi="zh-CN"/>
      </w:rPr>
    </w:lvl>
    <w:lvl w:ilvl="4" w:tentative="0">
      <w:start w:val="0"/>
      <w:numFmt w:val="bullet"/>
      <w:lvlText w:val="•"/>
      <w:lvlJc w:val="left"/>
      <w:pPr>
        <w:ind w:left="4686" w:hanging="604"/>
      </w:pPr>
      <w:rPr>
        <w:rFonts w:hint="default"/>
        <w:lang w:val="zh-CN" w:eastAsia="zh-CN" w:bidi="zh-CN"/>
      </w:rPr>
    </w:lvl>
    <w:lvl w:ilvl="5" w:tentative="0">
      <w:start w:val="0"/>
      <w:numFmt w:val="bullet"/>
      <w:lvlText w:val="•"/>
      <w:lvlJc w:val="left"/>
      <w:pPr>
        <w:ind w:left="5493" w:hanging="604"/>
      </w:pPr>
      <w:rPr>
        <w:rFonts w:hint="default"/>
        <w:lang w:val="zh-CN" w:eastAsia="zh-CN" w:bidi="zh-CN"/>
      </w:rPr>
    </w:lvl>
    <w:lvl w:ilvl="6" w:tentative="0">
      <w:start w:val="0"/>
      <w:numFmt w:val="bullet"/>
      <w:lvlText w:val="•"/>
      <w:lvlJc w:val="left"/>
      <w:pPr>
        <w:ind w:left="6300" w:hanging="604"/>
      </w:pPr>
      <w:rPr>
        <w:rFonts w:hint="default"/>
        <w:lang w:val="zh-CN" w:eastAsia="zh-CN" w:bidi="zh-CN"/>
      </w:rPr>
    </w:lvl>
    <w:lvl w:ilvl="7" w:tentative="0">
      <w:start w:val="0"/>
      <w:numFmt w:val="bullet"/>
      <w:lvlText w:val="•"/>
      <w:lvlJc w:val="left"/>
      <w:pPr>
        <w:ind w:left="7106" w:hanging="604"/>
      </w:pPr>
      <w:rPr>
        <w:rFonts w:hint="default"/>
        <w:lang w:val="zh-CN" w:eastAsia="zh-CN" w:bidi="zh-CN"/>
      </w:rPr>
    </w:lvl>
    <w:lvl w:ilvl="8" w:tentative="0">
      <w:start w:val="0"/>
      <w:numFmt w:val="bullet"/>
      <w:lvlText w:val="•"/>
      <w:lvlJc w:val="left"/>
      <w:pPr>
        <w:ind w:left="7913" w:hanging="604"/>
      </w:pPr>
      <w:rPr>
        <w:rFonts w:hint="default"/>
        <w:lang w:val="zh-CN" w:eastAsia="zh-CN" w:bidi="zh-CN"/>
      </w:rPr>
    </w:lvl>
  </w:abstractNum>
  <w:abstractNum w:abstractNumId="41">
    <w:nsid w:val="07F5BCC3"/>
    <w:multiLevelType w:val="multilevel"/>
    <w:tmpl w:val="07F5BCC3"/>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2">
    <w:nsid w:val="0C0E1E13"/>
    <w:multiLevelType w:val="multilevel"/>
    <w:tmpl w:val="0C0E1E13"/>
    <w:lvl w:ilvl="0" w:tentative="0">
      <w:start w:val="1"/>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43">
    <w:nsid w:val="0DC629B0"/>
    <w:multiLevelType w:val="multilevel"/>
    <w:tmpl w:val="0DC629B0"/>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4">
    <w:nsid w:val="10D591E5"/>
    <w:multiLevelType w:val="multilevel"/>
    <w:tmpl w:val="10D591E5"/>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5">
    <w:nsid w:val="10F0DB0B"/>
    <w:multiLevelType w:val="multilevel"/>
    <w:tmpl w:val="10F0DB0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6">
    <w:nsid w:val="1AD50295"/>
    <w:multiLevelType w:val="multilevel"/>
    <w:tmpl w:val="1AD50295"/>
    <w:lvl w:ilvl="0" w:tentative="0">
      <w:start w:val="1"/>
      <w:numFmt w:val="decimal"/>
      <w:lvlText w:val="（%1）"/>
      <w:lvlJc w:val="left"/>
      <w:pPr>
        <w:ind w:left="384" w:hanging="604"/>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47">
    <w:nsid w:val="2007DCFD"/>
    <w:multiLevelType w:val="multilevel"/>
    <w:tmpl w:val="2007DCFD"/>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8">
    <w:nsid w:val="21B3B1B1"/>
    <w:multiLevelType w:val="multilevel"/>
    <w:tmpl w:val="21B3B1B1"/>
    <w:lvl w:ilvl="0" w:tentative="0">
      <w:start w:val="102"/>
      <w:numFmt w:val="decimal"/>
      <w:lvlText w:val="%1"/>
      <w:lvlJc w:val="left"/>
      <w:pPr>
        <w:ind w:left="1483" w:hanging="620"/>
      </w:pPr>
      <w:rPr>
        <w:rFonts w:hint="default"/>
        <w:lang w:val="zh-CN" w:eastAsia="zh-CN" w:bidi="zh-CN"/>
      </w:rPr>
    </w:lvl>
    <w:lvl w:ilvl="1" w:tentative="0">
      <w:start w:val="1"/>
      <w:numFmt w:val="decimal"/>
      <w:lvlText w:val="%1-%2"/>
      <w:lvlJc w:val="left"/>
      <w:pPr>
        <w:ind w:left="1483" w:hanging="620"/>
      </w:pPr>
      <w:rPr>
        <w:rFonts w:hint="default" w:ascii="Times New Roman" w:hAnsi="Times New Roman" w:eastAsia="Times New Roman" w:cs="Times New Roman"/>
        <w:spacing w:val="-104"/>
        <w:w w:val="100"/>
        <w:sz w:val="24"/>
        <w:szCs w:val="24"/>
        <w:lang w:val="zh-CN" w:eastAsia="zh-CN" w:bidi="zh-CN"/>
      </w:rPr>
    </w:lvl>
    <w:lvl w:ilvl="2" w:tentative="0">
      <w:start w:val="0"/>
      <w:numFmt w:val="bullet"/>
      <w:lvlText w:val="•"/>
      <w:lvlJc w:val="left"/>
      <w:pPr>
        <w:ind w:left="3089" w:hanging="620"/>
      </w:pPr>
      <w:rPr>
        <w:rFonts w:hint="default"/>
        <w:lang w:val="zh-CN" w:eastAsia="zh-CN" w:bidi="zh-CN"/>
      </w:rPr>
    </w:lvl>
    <w:lvl w:ilvl="3" w:tentative="0">
      <w:start w:val="0"/>
      <w:numFmt w:val="bullet"/>
      <w:lvlText w:val="•"/>
      <w:lvlJc w:val="left"/>
      <w:pPr>
        <w:ind w:left="3894" w:hanging="620"/>
      </w:pPr>
      <w:rPr>
        <w:rFonts w:hint="default"/>
        <w:lang w:val="zh-CN" w:eastAsia="zh-CN" w:bidi="zh-CN"/>
      </w:rPr>
    </w:lvl>
    <w:lvl w:ilvl="4" w:tentative="0">
      <w:start w:val="0"/>
      <w:numFmt w:val="bullet"/>
      <w:lvlText w:val="•"/>
      <w:lvlJc w:val="left"/>
      <w:pPr>
        <w:ind w:left="4698" w:hanging="620"/>
      </w:pPr>
      <w:rPr>
        <w:rFonts w:hint="default"/>
        <w:lang w:val="zh-CN" w:eastAsia="zh-CN" w:bidi="zh-CN"/>
      </w:rPr>
    </w:lvl>
    <w:lvl w:ilvl="5" w:tentative="0">
      <w:start w:val="0"/>
      <w:numFmt w:val="bullet"/>
      <w:lvlText w:val="•"/>
      <w:lvlJc w:val="left"/>
      <w:pPr>
        <w:ind w:left="5503" w:hanging="620"/>
      </w:pPr>
      <w:rPr>
        <w:rFonts w:hint="default"/>
        <w:lang w:val="zh-CN" w:eastAsia="zh-CN" w:bidi="zh-CN"/>
      </w:rPr>
    </w:lvl>
    <w:lvl w:ilvl="6" w:tentative="0">
      <w:start w:val="0"/>
      <w:numFmt w:val="bullet"/>
      <w:lvlText w:val="•"/>
      <w:lvlJc w:val="left"/>
      <w:pPr>
        <w:ind w:left="6308" w:hanging="620"/>
      </w:pPr>
      <w:rPr>
        <w:rFonts w:hint="default"/>
        <w:lang w:val="zh-CN" w:eastAsia="zh-CN" w:bidi="zh-CN"/>
      </w:rPr>
    </w:lvl>
    <w:lvl w:ilvl="7" w:tentative="0">
      <w:start w:val="0"/>
      <w:numFmt w:val="bullet"/>
      <w:lvlText w:val="•"/>
      <w:lvlJc w:val="left"/>
      <w:pPr>
        <w:ind w:left="7112" w:hanging="620"/>
      </w:pPr>
      <w:rPr>
        <w:rFonts w:hint="default"/>
        <w:lang w:val="zh-CN" w:eastAsia="zh-CN" w:bidi="zh-CN"/>
      </w:rPr>
    </w:lvl>
    <w:lvl w:ilvl="8" w:tentative="0">
      <w:start w:val="0"/>
      <w:numFmt w:val="bullet"/>
      <w:lvlText w:val="•"/>
      <w:lvlJc w:val="left"/>
      <w:pPr>
        <w:ind w:left="7917" w:hanging="620"/>
      </w:pPr>
      <w:rPr>
        <w:rFonts w:hint="default"/>
        <w:lang w:val="zh-CN" w:eastAsia="zh-CN" w:bidi="zh-CN"/>
      </w:rPr>
    </w:lvl>
  </w:abstractNum>
  <w:abstractNum w:abstractNumId="49">
    <w:nsid w:val="227C9188"/>
    <w:multiLevelType w:val="multilevel"/>
    <w:tmpl w:val="227C9188"/>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0">
    <w:nsid w:val="251342A6"/>
    <w:multiLevelType w:val="multilevel"/>
    <w:tmpl w:val="251342A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1">
    <w:nsid w:val="252BF6AB"/>
    <w:multiLevelType w:val="multilevel"/>
    <w:tmpl w:val="252BF6AB"/>
    <w:lvl w:ilvl="0" w:tentative="0">
      <w:start w:val="1"/>
      <w:numFmt w:val="decimal"/>
      <w:lvlText w:val="%1."/>
      <w:lvlJc w:val="left"/>
      <w:pPr>
        <w:ind w:left="994" w:hanging="181"/>
        <w:jc w:val="right"/>
      </w:pPr>
      <w:rPr>
        <w:rFonts w:hint="default" w:ascii="Times New Roman" w:hAnsi="Times New Roman" w:eastAsia="Times New Roman" w:cs="Times New Roman"/>
        <w:w w:val="100"/>
        <w:sz w:val="22"/>
        <w:szCs w:val="22"/>
        <w:lang w:val="zh-CN" w:eastAsia="zh-CN" w:bidi="zh-CN"/>
      </w:rPr>
    </w:lvl>
    <w:lvl w:ilvl="1" w:tentative="0">
      <w:start w:val="1"/>
      <w:numFmt w:val="decimal"/>
      <w:lvlText w:val="%1.%2"/>
      <w:lvlJc w:val="left"/>
      <w:pPr>
        <w:ind w:left="1113" w:hanging="420"/>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054" w:hanging="420"/>
      </w:pPr>
      <w:rPr>
        <w:rFonts w:hint="default"/>
        <w:lang w:val="zh-CN" w:eastAsia="zh-CN" w:bidi="zh-CN"/>
      </w:rPr>
    </w:lvl>
    <w:lvl w:ilvl="3" w:tentative="0">
      <w:start w:val="0"/>
      <w:numFmt w:val="bullet"/>
      <w:lvlText w:val="•"/>
      <w:lvlJc w:val="left"/>
      <w:pPr>
        <w:ind w:left="2988" w:hanging="420"/>
      </w:pPr>
      <w:rPr>
        <w:rFonts w:hint="default"/>
        <w:lang w:val="zh-CN" w:eastAsia="zh-CN" w:bidi="zh-CN"/>
      </w:rPr>
    </w:lvl>
    <w:lvl w:ilvl="4" w:tentative="0">
      <w:start w:val="0"/>
      <w:numFmt w:val="bullet"/>
      <w:lvlText w:val="•"/>
      <w:lvlJc w:val="left"/>
      <w:pPr>
        <w:ind w:left="3922" w:hanging="420"/>
      </w:pPr>
      <w:rPr>
        <w:rFonts w:hint="default"/>
        <w:lang w:val="zh-CN" w:eastAsia="zh-CN" w:bidi="zh-CN"/>
      </w:rPr>
    </w:lvl>
    <w:lvl w:ilvl="5" w:tentative="0">
      <w:start w:val="0"/>
      <w:numFmt w:val="bullet"/>
      <w:lvlText w:val="•"/>
      <w:lvlJc w:val="left"/>
      <w:pPr>
        <w:ind w:left="4856" w:hanging="420"/>
      </w:pPr>
      <w:rPr>
        <w:rFonts w:hint="default"/>
        <w:lang w:val="zh-CN" w:eastAsia="zh-CN" w:bidi="zh-CN"/>
      </w:rPr>
    </w:lvl>
    <w:lvl w:ilvl="6" w:tentative="0">
      <w:start w:val="0"/>
      <w:numFmt w:val="bullet"/>
      <w:lvlText w:val="•"/>
      <w:lvlJc w:val="left"/>
      <w:pPr>
        <w:ind w:left="5790"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58" w:hanging="420"/>
      </w:pPr>
      <w:rPr>
        <w:rFonts w:hint="default"/>
        <w:lang w:val="zh-CN" w:eastAsia="zh-CN" w:bidi="zh-CN"/>
      </w:rPr>
    </w:lvl>
  </w:abstractNum>
  <w:abstractNum w:abstractNumId="52">
    <w:nsid w:val="2A8F537B"/>
    <w:multiLevelType w:val="multilevel"/>
    <w:tmpl w:val="2A8F537B"/>
    <w:lvl w:ilvl="0" w:tentative="0">
      <w:start w:val="1"/>
      <w:numFmt w:val="decimal"/>
      <w:lvlText w:val="%1"/>
      <w:lvlJc w:val="left"/>
      <w:pPr>
        <w:ind w:left="728" w:hanging="209"/>
      </w:pPr>
      <w:rPr>
        <w:rFonts w:hint="default" w:ascii="宋体" w:hAnsi="宋体" w:eastAsia="宋体" w:cs="宋体"/>
        <w:w w:val="99"/>
        <w:sz w:val="21"/>
        <w:szCs w:val="21"/>
        <w:lang w:val="zh-CN" w:eastAsia="zh-CN" w:bidi="zh-CN"/>
      </w:rPr>
    </w:lvl>
    <w:lvl w:ilvl="1" w:tentative="0">
      <w:start w:val="1"/>
      <w:numFmt w:val="decimal"/>
      <w:lvlText w:val="%2."/>
      <w:lvlJc w:val="left"/>
      <w:pPr>
        <w:ind w:left="1041" w:hanging="18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911" w:hanging="181"/>
      </w:pPr>
      <w:rPr>
        <w:rFonts w:hint="default"/>
        <w:lang w:val="zh-CN" w:eastAsia="zh-CN" w:bidi="zh-CN"/>
      </w:rPr>
    </w:lvl>
    <w:lvl w:ilvl="3" w:tentative="0">
      <w:start w:val="0"/>
      <w:numFmt w:val="bullet"/>
      <w:lvlText w:val="•"/>
      <w:lvlJc w:val="left"/>
      <w:pPr>
        <w:ind w:left="2782" w:hanging="181"/>
      </w:pPr>
      <w:rPr>
        <w:rFonts w:hint="default"/>
        <w:lang w:val="zh-CN" w:eastAsia="zh-CN" w:bidi="zh-CN"/>
      </w:rPr>
    </w:lvl>
    <w:lvl w:ilvl="4" w:tentative="0">
      <w:start w:val="0"/>
      <w:numFmt w:val="bullet"/>
      <w:lvlText w:val="•"/>
      <w:lvlJc w:val="left"/>
      <w:pPr>
        <w:ind w:left="3653" w:hanging="181"/>
      </w:pPr>
      <w:rPr>
        <w:rFonts w:hint="default"/>
        <w:lang w:val="zh-CN" w:eastAsia="zh-CN" w:bidi="zh-CN"/>
      </w:rPr>
    </w:lvl>
    <w:lvl w:ilvl="5" w:tentative="0">
      <w:start w:val="0"/>
      <w:numFmt w:val="bullet"/>
      <w:lvlText w:val="•"/>
      <w:lvlJc w:val="left"/>
      <w:pPr>
        <w:ind w:left="4524" w:hanging="181"/>
      </w:pPr>
      <w:rPr>
        <w:rFonts w:hint="default"/>
        <w:lang w:val="zh-CN" w:eastAsia="zh-CN" w:bidi="zh-CN"/>
      </w:rPr>
    </w:lvl>
    <w:lvl w:ilvl="6" w:tentative="0">
      <w:start w:val="0"/>
      <w:numFmt w:val="bullet"/>
      <w:lvlText w:val="•"/>
      <w:lvlJc w:val="left"/>
      <w:pPr>
        <w:ind w:left="5395" w:hanging="181"/>
      </w:pPr>
      <w:rPr>
        <w:rFonts w:hint="default"/>
        <w:lang w:val="zh-CN" w:eastAsia="zh-CN" w:bidi="zh-CN"/>
      </w:rPr>
    </w:lvl>
    <w:lvl w:ilvl="7" w:tentative="0">
      <w:start w:val="0"/>
      <w:numFmt w:val="bullet"/>
      <w:lvlText w:val="•"/>
      <w:lvlJc w:val="left"/>
      <w:pPr>
        <w:ind w:left="6266" w:hanging="181"/>
      </w:pPr>
      <w:rPr>
        <w:rFonts w:hint="default"/>
        <w:lang w:val="zh-CN" w:eastAsia="zh-CN" w:bidi="zh-CN"/>
      </w:rPr>
    </w:lvl>
    <w:lvl w:ilvl="8" w:tentative="0">
      <w:start w:val="0"/>
      <w:numFmt w:val="bullet"/>
      <w:lvlText w:val="•"/>
      <w:lvlJc w:val="left"/>
      <w:pPr>
        <w:ind w:left="7137" w:hanging="181"/>
      </w:pPr>
      <w:rPr>
        <w:rFonts w:hint="default"/>
        <w:lang w:val="zh-CN" w:eastAsia="zh-CN" w:bidi="zh-CN"/>
      </w:rPr>
    </w:lvl>
  </w:abstractNum>
  <w:abstractNum w:abstractNumId="53">
    <w:nsid w:val="2B3F3F89"/>
    <w:multiLevelType w:val="multilevel"/>
    <w:tmpl w:val="2B3F3F89"/>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4">
    <w:nsid w:val="2B6B1DF2"/>
    <w:multiLevelType w:val="singleLevel"/>
    <w:tmpl w:val="2B6B1DF2"/>
    <w:lvl w:ilvl="0" w:tentative="0">
      <w:start w:val="4"/>
      <w:numFmt w:val="chineseCounting"/>
      <w:suff w:val="nothing"/>
      <w:lvlText w:val="%1、"/>
      <w:lvlJc w:val="left"/>
      <w:rPr>
        <w:rFonts w:hint="eastAsia"/>
      </w:rPr>
    </w:lvl>
  </w:abstractNum>
  <w:abstractNum w:abstractNumId="55">
    <w:nsid w:val="3227A8EE"/>
    <w:multiLevelType w:val="singleLevel"/>
    <w:tmpl w:val="3227A8EE"/>
    <w:lvl w:ilvl="0" w:tentative="0">
      <w:start w:val="8"/>
      <w:numFmt w:val="chineseCounting"/>
      <w:suff w:val="nothing"/>
      <w:lvlText w:val="%1、"/>
      <w:lvlJc w:val="left"/>
      <w:rPr>
        <w:rFonts w:hint="eastAsia"/>
      </w:rPr>
    </w:lvl>
  </w:abstractNum>
  <w:abstractNum w:abstractNumId="56">
    <w:nsid w:val="38EAC418"/>
    <w:multiLevelType w:val="multilevel"/>
    <w:tmpl w:val="38EAC418"/>
    <w:lvl w:ilvl="0" w:tentative="0">
      <w:start w:val="1"/>
      <w:numFmt w:val="decimal"/>
      <w:lvlText w:val="%1."/>
      <w:lvlJc w:val="left"/>
      <w:pPr>
        <w:ind w:left="1045"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88" w:hanging="181"/>
      </w:pPr>
      <w:rPr>
        <w:rFonts w:hint="default"/>
        <w:lang w:val="zh-CN" w:eastAsia="zh-CN" w:bidi="zh-CN"/>
      </w:rPr>
    </w:lvl>
    <w:lvl w:ilvl="2" w:tentative="0">
      <w:start w:val="0"/>
      <w:numFmt w:val="bullet"/>
      <w:lvlText w:val="•"/>
      <w:lvlJc w:val="left"/>
      <w:pPr>
        <w:ind w:left="2737" w:hanging="181"/>
      </w:pPr>
      <w:rPr>
        <w:rFonts w:hint="default"/>
        <w:lang w:val="zh-CN" w:eastAsia="zh-CN" w:bidi="zh-CN"/>
      </w:rPr>
    </w:lvl>
    <w:lvl w:ilvl="3" w:tentative="0">
      <w:start w:val="0"/>
      <w:numFmt w:val="bullet"/>
      <w:lvlText w:val="•"/>
      <w:lvlJc w:val="left"/>
      <w:pPr>
        <w:ind w:left="3586" w:hanging="181"/>
      </w:pPr>
      <w:rPr>
        <w:rFonts w:hint="default"/>
        <w:lang w:val="zh-CN" w:eastAsia="zh-CN" w:bidi="zh-CN"/>
      </w:rPr>
    </w:lvl>
    <w:lvl w:ilvl="4" w:tentative="0">
      <w:start w:val="0"/>
      <w:numFmt w:val="bullet"/>
      <w:lvlText w:val="•"/>
      <w:lvlJc w:val="left"/>
      <w:pPr>
        <w:ind w:left="4434" w:hanging="181"/>
      </w:pPr>
      <w:rPr>
        <w:rFonts w:hint="default"/>
        <w:lang w:val="zh-CN" w:eastAsia="zh-CN" w:bidi="zh-CN"/>
      </w:rPr>
    </w:lvl>
    <w:lvl w:ilvl="5" w:tentative="0">
      <w:start w:val="0"/>
      <w:numFmt w:val="bullet"/>
      <w:lvlText w:val="•"/>
      <w:lvlJc w:val="left"/>
      <w:pPr>
        <w:ind w:left="5283" w:hanging="181"/>
      </w:pPr>
      <w:rPr>
        <w:rFonts w:hint="default"/>
        <w:lang w:val="zh-CN" w:eastAsia="zh-CN" w:bidi="zh-CN"/>
      </w:rPr>
    </w:lvl>
    <w:lvl w:ilvl="6" w:tentative="0">
      <w:start w:val="0"/>
      <w:numFmt w:val="bullet"/>
      <w:lvlText w:val="•"/>
      <w:lvlJc w:val="left"/>
      <w:pPr>
        <w:ind w:left="6132" w:hanging="181"/>
      </w:pPr>
      <w:rPr>
        <w:rFonts w:hint="default"/>
        <w:lang w:val="zh-CN" w:eastAsia="zh-CN" w:bidi="zh-CN"/>
      </w:rPr>
    </w:lvl>
    <w:lvl w:ilvl="7" w:tentative="0">
      <w:start w:val="0"/>
      <w:numFmt w:val="bullet"/>
      <w:lvlText w:val="•"/>
      <w:lvlJc w:val="left"/>
      <w:pPr>
        <w:ind w:left="6980" w:hanging="181"/>
      </w:pPr>
      <w:rPr>
        <w:rFonts w:hint="default"/>
        <w:lang w:val="zh-CN" w:eastAsia="zh-CN" w:bidi="zh-CN"/>
      </w:rPr>
    </w:lvl>
    <w:lvl w:ilvl="8" w:tentative="0">
      <w:start w:val="0"/>
      <w:numFmt w:val="bullet"/>
      <w:lvlText w:val="•"/>
      <w:lvlJc w:val="left"/>
      <w:pPr>
        <w:ind w:left="7829" w:hanging="181"/>
      </w:pPr>
      <w:rPr>
        <w:rFonts w:hint="default"/>
        <w:lang w:val="zh-CN" w:eastAsia="zh-CN" w:bidi="zh-CN"/>
      </w:rPr>
    </w:lvl>
  </w:abstractNum>
  <w:abstractNum w:abstractNumId="57">
    <w:nsid w:val="3A7FBA26"/>
    <w:multiLevelType w:val="multilevel"/>
    <w:tmpl w:val="3A7FBA26"/>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58">
    <w:nsid w:val="3D950AF9"/>
    <w:multiLevelType w:val="multilevel"/>
    <w:tmpl w:val="3D950AF9"/>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59">
    <w:nsid w:val="3FE315B6"/>
    <w:multiLevelType w:val="multilevel"/>
    <w:tmpl w:val="3FE315B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0">
    <w:nsid w:val="40F245EA"/>
    <w:multiLevelType w:val="multilevel"/>
    <w:tmpl w:val="40F245E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1">
    <w:nsid w:val="4258023A"/>
    <w:multiLevelType w:val="multilevel"/>
    <w:tmpl w:val="4258023A"/>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2">
    <w:nsid w:val="4A51D704"/>
    <w:multiLevelType w:val="multilevel"/>
    <w:tmpl w:val="4A51D704"/>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3">
    <w:nsid w:val="4AD1D84F"/>
    <w:multiLevelType w:val="multilevel"/>
    <w:tmpl w:val="4AD1D84F"/>
    <w:lvl w:ilvl="0" w:tentative="0">
      <w:start w:val="1"/>
      <w:numFmt w:val="decimal"/>
      <w:lvlText w:val="%1"/>
      <w:lvlJc w:val="left"/>
      <w:pPr>
        <w:ind w:left="213" w:hanging="420"/>
      </w:pPr>
      <w:rPr>
        <w:rFonts w:hint="default"/>
        <w:lang w:val="zh-CN" w:eastAsia="zh-CN" w:bidi="zh-CN"/>
      </w:rPr>
    </w:lvl>
    <w:lvl w:ilvl="1" w:tentative="0">
      <w:start w:val="1"/>
      <w:numFmt w:val="decimal"/>
      <w:lvlText w:val="%1.%2"/>
      <w:lvlJc w:val="left"/>
      <w:pPr>
        <w:ind w:left="213" w:hanging="420"/>
      </w:pPr>
      <w:rPr>
        <w:rFonts w:hint="default" w:ascii="Times New Roman" w:hAnsi="Times New Roman" w:eastAsia="Times New Roman" w:cs="Times New Roman"/>
        <w:spacing w:val="-17"/>
        <w:w w:val="100"/>
        <w:sz w:val="24"/>
        <w:szCs w:val="24"/>
        <w:lang w:val="zh-CN" w:eastAsia="zh-CN" w:bidi="zh-CN"/>
      </w:rPr>
    </w:lvl>
    <w:lvl w:ilvl="2" w:tentative="0">
      <w:start w:val="0"/>
      <w:numFmt w:val="bullet"/>
      <w:lvlText w:val="•"/>
      <w:lvlJc w:val="left"/>
      <w:pPr>
        <w:ind w:left="2081" w:hanging="420"/>
      </w:pPr>
      <w:rPr>
        <w:rFonts w:hint="default"/>
        <w:lang w:val="zh-CN" w:eastAsia="zh-CN" w:bidi="zh-CN"/>
      </w:rPr>
    </w:lvl>
    <w:lvl w:ilvl="3" w:tentative="0">
      <w:start w:val="0"/>
      <w:numFmt w:val="bullet"/>
      <w:lvlText w:val="•"/>
      <w:lvlJc w:val="left"/>
      <w:pPr>
        <w:ind w:left="3012" w:hanging="420"/>
      </w:pPr>
      <w:rPr>
        <w:rFonts w:hint="default"/>
        <w:lang w:val="zh-CN" w:eastAsia="zh-CN" w:bidi="zh-CN"/>
      </w:rPr>
    </w:lvl>
    <w:lvl w:ilvl="4" w:tentative="0">
      <w:start w:val="0"/>
      <w:numFmt w:val="bullet"/>
      <w:lvlText w:val="•"/>
      <w:lvlJc w:val="left"/>
      <w:pPr>
        <w:ind w:left="3942"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804" w:hanging="420"/>
      </w:pPr>
      <w:rPr>
        <w:rFonts w:hint="default"/>
        <w:lang w:val="zh-CN" w:eastAsia="zh-CN" w:bidi="zh-CN"/>
      </w:rPr>
    </w:lvl>
    <w:lvl w:ilvl="7" w:tentative="0">
      <w:start w:val="0"/>
      <w:numFmt w:val="bullet"/>
      <w:lvlText w:val="•"/>
      <w:lvlJc w:val="left"/>
      <w:pPr>
        <w:ind w:left="6734" w:hanging="420"/>
      </w:pPr>
      <w:rPr>
        <w:rFonts w:hint="default"/>
        <w:lang w:val="zh-CN" w:eastAsia="zh-CN" w:bidi="zh-CN"/>
      </w:rPr>
    </w:lvl>
    <w:lvl w:ilvl="8" w:tentative="0">
      <w:start w:val="0"/>
      <w:numFmt w:val="bullet"/>
      <w:lvlText w:val="•"/>
      <w:lvlJc w:val="left"/>
      <w:pPr>
        <w:ind w:left="7665" w:hanging="420"/>
      </w:pPr>
      <w:rPr>
        <w:rFonts w:hint="default"/>
        <w:lang w:val="zh-CN" w:eastAsia="zh-CN" w:bidi="zh-CN"/>
      </w:rPr>
    </w:lvl>
  </w:abstractNum>
  <w:abstractNum w:abstractNumId="64">
    <w:nsid w:val="4D63189B"/>
    <w:multiLevelType w:val="multilevel"/>
    <w:tmpl w:val="4D63189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5">
    <w:nsid w:val="4FB438A5"/>
    <w:multiLevelType w:val="multilevel"/>
    <w:tmpl w:val="4FB438A5"/>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6">
    <w:nsid w:val="51C4BC33"/>
    <w:multiLevelType w:val="multilevel"/>
    <w:tmpl w:val="51C4BC3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7">
    <w:nsid w:val="54701CA1"/>
    <w:multiLevelType w:val="multilevel"/>
    <w:tmpl w:val="54701C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8">
    <w:nsid w:val="5E82ECBB"/>
    <w:multiLevelType w:val="singleLevel"/>
    <w:tmpl w:val="5E82ECBB"/>
    <w:lvl w:ilvl="0" w:tentative="0">
      <w:start w:val="3"/>
      <w:numFmt w:val="chineseCounting"/>
      <w:suff w:val="nothing"/>
      <w:lvlText w:val="（%1）"/>
      <w:lvlJc w:val="left"/>
      <w:rPr>
        <w:rFonts w:hint="eastAsia"/>
      </w:rPr>
    </w:lvl>
  </w:abstractNum>
  <w:abstractNum w:abstractNumId="69">
    <w:nsid w:val="5FCE4367"/>
    <w:multiLevelType w:val="multilevel"/>
    <w:tmpl w:val="5FCE4367"/>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0">
    <w:nsid w:val="60054CB4"/>
    <w:multiLevelType w:val="multilevel"/>
    <w:tmpl w:val="60054CB4"/>
    <w:lvl w:ilvl="0" w:tentative="0">
      <w:start w:val="1"/>
      <w:numFmt w:val="decimal"/>
      <w:lvlText w:val="%1."/>
      <w:lvlJc w:val="left"/>
      <w:pPr>
        <w:ind w:left="153" w:hanging="361"/>
      </w:pPr>
      <w:rPr>
        <w:rFonts w:hint="default" w:ascii="Times New Roman" w:hAnsi="Times New Roman" w:eastAsia="Times New Roman" w:cs="Times New Roman"/>
        <w:spacing w:val="-34"/>
        <w:w w:val="100"/>
        <w:sz w:val="22"/>
        <w:szCs w:val="22"/>
        <w:lang w:val="zh-CN" w:eastAsia="zh-CN" w:bidi="zh-CN"/>
      </w:rPr>
    </w:lvl>
    <w:lvl w:ilvl="1" w:tentative="0">
      <w:start w:val="0"/>
      <w:numFmt w:val="bullet"/>
      <w:lvlText w:val="•"/>
      <w:lvlJc w:val="left"/>
      <w:pPr>
        <w:ind w:left="980" w:hanging="361"/>
      </w:pPr>
      <w:rPr>
        <w:rFonts w:hint="default"/>
        <w:lang w:val="zh-CN" w:eastAsia="zh-CN" w:bidi="zh-CN"/>
      </w:rPr>
    </w:lvl>
    <w:lvl w:ilvl="2" w:tentative="0">
      <w:start w:val="0"/>
      <w:numFmt w:val="bullet"/>
      <w:lvlText w:val="•"/>
      <w:lvlJc w:val="left"/>
      <w:pPr>
        <w:ind w:left="1945" w:hanging="361"/>
      </w:pPr>
      <w:rPr>
        <w:rFonts w:hint="default"/>
        <w:lang w:val="zh-CN" w:eastAsia="zh-CN" w:bidi="zh-CN"/>
      </w:rPr>
    </w:lvl>
    <w:lvl w:ilvl="3" w:tentative="0">
      <w:start w:val="0"/>
      <w:numFmt w:val="bullet"/>
      <w:lvlText w:val="•"/>
      <w:lvlJc w:val="left"/>
      <w:pPr>
        <w:ind w:left="2910" w:hanging="361"/>
      </w:pPr>
      <w:rPr>
        <w:rFonts w:hint="default"/>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40" w:hanging="361"/>
      </w:pPr>
      <w:rPr>
        <w:rFonts w:hint="default"/>
        <w:lang w:val="zh-CN" w:eastAsia="zh-CN" w:bidi="zh-CN"/>
      </w:rPr>
    </w:lvl>
    <w:lvl w:ilvl="6" w:tentative="0">
      <w:start w:val="0"/>
      <w:numFmt w:val="bullet"/>
      <w:lvlText w:val="•"/>
      <w:lvlJc w:val="left"/>
      <w:pPr>
        <w:ind w:left="5805" w:hanging="361"/>
      </w:pPr>
      <w:rPr>
        <w:rFonts w:hint="default"/>
        <w:lang w:val="zh-CN" w:eastAsia="zh-CN" w:bidi="zh-CN"/>
      </w:rPr>
    </w:lvl>
    <w:lvl w:ilvl="7" w:tentative="0">
      <w:start w:val="0"/>
      <w:numFmt w:val="bullet"/>
      <w:lvlText w:val="•"/>
      <w:lvlJc w:val="left"/>
      <w:pPr>
        <w:ind w:left="6770" w:hanging="361"/>
      </w:pPr>
      <w:rPr>
        <w:rFonts w:hint="default"/>
        <w:lang w:val="zh-CN" w:eastAsia="zh-CN" w:bidi="zh-CN"/>
      </w:rPr>
    </w:lvl>
    <w:lvl w:ilvl="8" w:tentative="0">
      <w:start w:val="0"/>
      <w:numFmt w:val="bullet"/>
      <w:lvlText w:val="•"/>
      <w:lvlJc w:val="left"/>
      <w:pPr>
        <w:ind w:left="7735" w:hanging="361"/>
      </w:pPr>
      <w:rPr>
        <w:rFonts w:hint="default"/>
        <w:lang w:val="zh-CN" w:eastAsia="zh-CN" w:bidi="zh-CN"/>
      </w:rPr>
    </w:lvl>
  </w:abstractNum>
  <w:abstractNum w:abstractNumId="71">
    <w:nsid w:val="610EFE5C"/>
    <w:multiLevelType w:val="multilevel"/>
    <w:tmpl w:val="610EFE5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2">
    <w:nsid w:val="63DB807B"/>
    <w:multiLevelType w:val="singleLevel"/>
    <w:tmpl w:val="63DB807B"/>
    <w:lvl w:ilvl="0" w:tentative="0">
      <w:start w:val="6"/>
      <w:numFmt w:val="chineseCounting"/>
      <w:suff w:val="space"/>
      <w:lvlText w:val="第%1章"/>
      <w:lvlJc w:val="left"/>
      <w:rPr>
        <w:rFonts w:hint="eastAsia"/>
      </w:rPr>
    </w:lvl>
  </w:abstractNum>
  <w:abstractNum w:abstractNumId="73">
    <w:nsid w:val="6AFC2A1C"/>
    <w:multiLevelType w:val="multilevel"/>
    <w:tmpl w:val="6AFC2A1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4">
    <w:nsid w:val="6D423078"/>
    <w:multiLevelType w:val="multilevel"/>
    <w:tmpl w:val="6D423078"/>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num w:numId="1">
    <w:abstractNumId w:val="54"/>
  </w:num>
  <w:num w:numId="2">
    <w:abstractNumId w:val="23"/>
  </w:num>
  <w:num w:numId="3">
    <w:abstractNumId w:val="30"/>
  </w:num>
  <w:num w:numId="4">
    <w:abstractNumId w:val="27"/>
  </w:num>
  <w:num w:numId="5">
    <w:abstractNumId w:val="20"/>
  </w:num>
  <w:num w:numId="6">
    <w:abstractNumId w:val="44"/>
  </w:num>
  <w:num w:numId="7">
    <w:abstractNumId w:val="5"/>
  </w:num>
  <w:num w:numId="8">
    <w:abstractNumId w:val="24"/>
  </w:num>
  <w:num w:numId="9">
    <w:abstractNumId w:val="46"/>
  </w:num>
  <w:num w:numId="10">
    <w:abstractNumId w:val="62"/>
  </w:num>
  <w:num w:numId="11">
    <w:abstractNumId w:val="12"/>
  </w:num>
  <w:num w:numId="12">
    <w:abstractNumId w:val="71"/>
  </w:num>
  <w:num w:numId="13">
    <w:abstractNumId w:val="0"/>
  </w:num>
  <w:num w:numId="14">
    <w:abstractNumId w:val="2"/>
  </w:num>
  <w:num w:numId="15">
    <w:abstractNumId w:val="38"/>
  </w:num>
  <w:num w:numId="16">
    <w:abstractNumId w:val="9"/>
  </w:num>
  <w:num w:numId="17">
    <w:abstractNumId w:val="16"/>
  </w:num>
  <w:num w:numId="18">
    <w:abstractNumId w:val="17"/>
  </w:num>
  <w:num w:numId="19">
    <w:abstractNumId w:val="36"/>
  </w:num>
  <w:num w:numId="20">
    <w:abstractNumId w:val="69"/>
  </w:num>
  <w:num w:numId="21">
    <w:abstractNumId w:val="34"/>
  </w:num>
  <w:num w:numId="22">
    <w:abstractNumId w:val="67"/>
  </w:num>
  <w:num w:numId="23">
    <w:abstractNumId w:val="48"/>
  </w:num>
  <w:num w:numId="24">
    <w:abstractNumId w:val="4"/>
  </w:num>
  <w:num w:numId="25">
    <w:abstractNumId w:val="40"/>
  </w:num>
  <w:num w:numId="26">
    <w:abstractNumId w:val="8"/>
  </w:num>
  <w:num w:numId="27">
    <w:abstractNumId w:val="53"/>
  </w:num>
  <w:num w:numId="28">
    <w:abstractNumId w:val="66"/>
  </w:num>
  <w:num w:numId="29">
    <w:abstractNumId w:val="19"/>
  </w:num>
  <w:num w:numId="30">
    <w:abstractNumId w:val="6"/>
  </w:num>
  <w:num w:numId="31">
    <w:abstractNumId w:val="50"/>
  </w:num>
  <w:num w:numId="32">
    <w:abstractNumId w:val="60"/>
  </w:num>
  <w:num w:numId="33">
    <w:abstractNumId w:val="45"/>
  </w:num>
  <w:num w:numId="34">
    <w:abstractNumId w:val="64"/>
  </w:num>
  <w:num w:numId="35">
    <w:abstractNumId w:val="65"/>
  </w:num>
  <w:num w:numId="36">
    <w:abstractNumId w:val="49"/>
  </w:num>
  <w:num w:numId="37">
    <w:abstractNumId w:val="26"/>
  </w:num>
  <w:num w:numId="38">
    <w:abstractNumId w:val="7"/>
  </w:num>
  <w:num w:numId="39">
    <w:abstractNumId w:val="57"/>
  </w:num>
  <w:num w:numId="40">
    <w:abstractNumId w:val="59"/>
  </w:num>
  <w:num w:numId="41">
    <w:abstractNumId w:val="43"/>
  </w:num>
  <w:num w:numId="42">
    <w:abstractNumId w:val="74"/>
  </w:num>
  <w:num w:numId="43">
    <w:abstractNumId w:val="25"/>
  </w:num>
  <w:num w:numId="44">
    <w:abstractNumId w:val="47"/>
  </w:num>
  <w:num w:numId="45">
    <w:abstractNumId w:val="42"/>
  </w:num>
  <w:num w:numId="46">
    <w:abstractNumId w:val="29"/>
  </w:num>
  <w:num w:numId="47">
    <w:abstractNumId w:val="32"/>
  </w:num>
  <w:num w:numId="48">
    <w:abstractNumId w:val="21"/>
  </w:num>
  <w:num w:numId="49">
    <w:abstractNumId w:val="61"/>
  </w:num>
  <w:num w:numId="50">
    <w:abstractNumId w:val="35"/>
  </w:num>
  <w:num w:numId="51">
    <w:abstractNumId w:val="3"/>
  </w:num>
  <w:num w:numId="52">
    <w:abstractNumId w:val="31"/>
  </w:num>
  <w:num w:numId="53">
    <w:abstractNumId w:val="39"/>
  </w:num>
  <w:num w:numId="54">
    <w:abstractNumId w:val="18"/>
  </w:num>
  <w:num w:numId="55">
    <w:abstractNumId w:val="56"/>
  </w:num>
  <w:num w:numId="56">
    <w:abstractNumId w:val="73"/>
  </w:num>
  <w:num w:numId="57">
    <w:abstractNumId w:val="22"/>
  </w:num>
  <w:num w:numId="58">
    <w:abstractNumId w:val="11"/>
  </w:num>
  <w:num w:numId="59">
    <w:abstractNumId w:val="1"/>
  </w:num>
  <w:num w:numId="60">
    <w:abstractNumId w:val="13"/>
  </w:num>
  <w:num w:numId="61">
    <w:abstractNumId w:val="41"/>
  </w:num>
  <w:num w:numId="62">
    <w:abstractNumId w:val="15"/>
  </w:num>
  <w:num w:numId="63">
    <w:abstractNumId w:val="33"/>
  </w:num>
  <w:num w:numId="64">
    <w:abstractNumId w:val="51"/>
  </w:num>
  <w:num w:numId="65">
    <w:abstractNumId w:val="63"/>
  </w:num>
  <w:num w:numId="66">
    <w:abstractNumId w:val="52"/>
  </w:num>
  <w:num w:numId="67">
    <w:abstractNumId w:val="14"/>
  </w:num>
  <w:num w:numId="68">
    <w:abstractNumId w:val="58"/>
  </w:num>
  <w:num w:numId="69">
    <w:abstractNumId w:val="72"/>
  </w:num>
  <w:num w:numId="70">
    <w:abstractNumId w:val="28"/>
  </w:num>
  <w:num w:numId="71">
    <w:abstractNumId w:val="37"/>
  </w:num>
  <w:num w:numId="72">
    <w:abstractNumId w:val="10"/>
  </w:num>
  <w:num w:numId="73">
    <w:abstractNumId w:val="68"/>
  </w:num>
  <w:num w:numId="74">
    <w:abstractNumId w:val="55"/>
  </w:num>
  <w:num w:numId="75">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OTcwY2MyMjcxY2EyNGNmNjkzMTNmMzU2MTYyYWYifQ=="/>
  </w:docVars>
  <w:rsids>
    <w:rsidRoot w:val="48D05C0D"/>
    <w:rsid w:val="000C2EFB"/>
    <w:rsid w:val="000F5C6E"/>
    <w:rsid w:val="001F3AF1"/>
    <w:rsid w:val="003D6361"/>
    <w:rsid w:val="003F7044"/>
    <w:rsid w:val="00444514"/>
    <w:rsid w:val="004C137F"/>
    <w:rsid w:val="00606502"/>
    <w:rsid w:val="006F74DA"/>
    <w:rsid w:val="00880D80"/>
    <w:rsid w:val="00994B41"/>
    <w:rsid w:val="00AA7D4F"/>
    <w:rsid w:val="00BE50FD"/>
    <w:rsid w:val="00DD61CC"/>
    <w:rsid w:val="00E56A9A"/>
    <w:rsid w:val="00FC206D"/>
    <w:rsid w:val="0124203D"/>
    <w:rsid w:val="01895E2B"/>
    <w:rsid w:val="02836333"/>
    <w:rsid w:val="02D45050"/>
    <w:rsid w:val="02E8713A"/>
    <w:rsid w:val="032157CD"/>
    <w:rsid w:val="03960557"/>
    <w:rsid w:val="03A42056"/>
    <w:rsid w:val="03EF5EB9"/>
    <w:rsid w:val="040E6CFD"/>
    <w:rsid w:val="041F3E95"/>
    <w:rsid w:val="049D3FAF"/>
    <w:rsid w:val="04EB48D3"/>
    <w:rsid w:val="052A2844"/>
    <w:rsid w:val="06304C93"/>
    <w:rsid w:val="064B4F6A"/>
    <w:rsid w:val="06617DE3"/>
    <w:rsid w:val="06A0349B"/>
    <w:rsid w:val="06FE21A6"/>
    <w:rsid w:val="07442765"/>
    <w:rsid w:val="07511820"/>
    <w:rsid w:val="076F17EB"/>
    <w:rsid w:val="083E2F6B"/>
    <w:rsid w:val="088E1D13"/>
    <w:rsid w:val="0A0F696E"/>
    <w:rsid w:val="0A6C3DC0"/>
    <w:rsid w:val="0AC3352F"/>
    <w:rsid w:val="0BAE0408"/>
    <w:rsid w:val="0BAE21B6"/>
    <w:rsid w:val="0C4E5AE3"/>
    <w:rsid w:val="0C676163"/>
    <w:rsid w:val="0C807C6A"/>
    <w:rsid w:val="0CFF53BF"/>
    <w:rsid w:val="0D3F7C15"/>
    <w:rsid w:val="0E5C15DB"/>
    <w:rsid w:val="0EE004F1"/>
    <w:rsid w:val="0EE34F69"/>
    <w:rsid w:val="0F925753"/>
    <w:rsid w:val="0FB62C06"/>
    <w:rsid w:val="0FB954F1"/>
    <w:rsid w:val="0FC0066A"/>
    <w:rsid w:val="0FDC6AB4"/>
    <w:rsid w:val="10463EEF"/>
    <w:rsid w:val="105F1A99"/>
    <w:rsid w:val="106F4AF0"/>
    <w:rsid w:val="10FB387F"/>
    <w:rsid w:val="116F2971"/>
    <w:rsid w:val="11705B36"/>
    <w:rsid w:val="11CC0E93"/>
    <w:rsid w:val="121F43A6"/>
    <w:rsid w:val="12243411"/>
    <w:rsid w:val="125221FA"/>
    <w:rsid w:val="12A20662"/>
    <w:rsid w:val="1356385F"/>
    <w:rsid w:val="138A175B"/>
    <w:rsid w:val="14BD2E06"/>
    <w:rsid w:val="15023C9F"/>
    <w:rsid w:val="151A266A"/>
    <w:rsid w:val="159A4872"/>
    <w:rsid w:val="15CE2B6A"/>
    <w:rsid w:val="15FD5AA9"/>
    <w:rsid w:val="162248EC"/>
    <w:rsid w:val="162E7872"/>
    <w:rsid w:val="16A01639"/>
    <w:rsid w:val="16A52283"/>
    <w:rsid w:val="16E17800"/>
    <w:rsid w:val="174B2C96"/>
    <w:rsid w:val="175E6491"/>
    <w:rsid w:val="181C03E9"/>
    <w:rsid w:val="18A305C6"/>
    <w:rsid w:val="19B44FC0"/>
    <w:rsid w:val="19B606BF"/>
    <w:rsid w:val="1A1D6E85"/>
    <w:rsid w:val="1A6F68B8"/>
    <w:rsid w:val="1AD978AB"/>
    <w:rsid w:val="1AF04599"/>
    <w:rsid w:val="1B6D2524"/>
    <w:rsid w:val="1B7F1479"/>
    <w:rsid w:val="1B9246E6"/>
    <w:rsid w:val="1BDD0FDD"/>
    <w:rsid w:val="1C017D44"/>
    <w:rsid w:val="1C5A616E"/>
    <w:rsid w:val="1C8B27CB"/>
    <w:rsid w:val="1D2624F4"/>
    <w:rsid w:val="1D5D5238"/>
    <w:rsid w:val="1E044763"/>
    <w:rsid w:val="1E097BC7"/>
    <w:rsid w:val="1E4D27F9"/>
    <w:rsid w:val="1E6E0C44"/>
    <w:rsid w:val="1EA21E83"/>
    <w:rsid w:val="1EA23DFC"/>
    <w:rsid w:val="1F132604"/>
    <w:rsid w:val="1F4B4494"/>
    <w:rsid w:val="1F8533C6"/>
    <w:rsid w:val="1F9D6372"/>
    <w:rsid w:val="1FA403D0"/>
    <w:rsid w:val="1FE65F6B"/>
    <w:rsid w:val="1FF44CDC"/>
    <w:rsid w:val="200F101E"/>
    <w:rsid w:val="201B5C14"/>
    <w:rsid w:val="20FE0EBC"/>
    <w:rsid w:val="21403E14"/>
    <w:rsid w:val="214A7A63"/>
    <w:rsid w:val="21D1179D"/>
    <w:rsid w:val="21D67D7A"/>
    <w:rsid w:val="21D70383"/>
    <w:rsid w:val="22FF2E0B"/>
    <w:rsid w:val="24247062"/>
    <w:rsid w:val="24910355"/>
    <w:rsid w:val="24D857F5"/>
    <w:rsid w:val="2510524B"/>
    <w:rsid w:val="253541EE"/>
    <w:rsid w:val="255D409B"/>
    <w:rsid w:val="256718FC"/>
    <w:rsid w:val="25AD5D7F"/>
    <w:rsid w:val="25CF5798"/>
    <w:rsid w:val="26390900"/>
    <w:rsid w:val="26AA5F44"/>
    <w:rsid w:val="26C95B38"/>
    <w:rsid w:val="28074CD0"/>
    <w:rsid w:val="286923D0"/>
    <w:rsid w:val="29564B97"/>
    <w:rsid w:val="296434D8"/>
    <w:rsid w:val="29702DE9"/>
    <w:rsid w:val="2A4144C9"/>
    <w:rsid w:val="2A440219"/>
    <w:rsid w:val="2A5744DB"/>
    <w:rsid w:val="2A9B42F6"/>
    <w:rsid w:val="2AA67AA4"/>
    <w:rsid w:val="2AF05ACE"/>
    <w:rsid w:val="2B313E03"/>
    <w:rsid w:val="2B506556"/>
    <w:rsid w:val="2B697C69"/>
    <w:rsid w:val="2BA33973"/>
    <w:rsid w:val="2C7D7B62"/>
    <w:rsid w:val="2C7F265E"/>
    <w:rsid w:val="2CBB17EF"/>
    <w:rsid w:val="2CDC497D"/>
    <w:rsid w:val="2CDF4C7E"/>
    <w:rsid w:val="2DB44479"/>
    <w:rsid w:val="2DBB0A37"/>
    <w:rsid w:val="2DD13BC6"/>
    <w:rsid w:val="2E845A6E"/>
    <w:rsid w:val="2E982B26"/>
    <w:rsid w:val="2EB07F0D"/>
    <w:rsid w:val="2EF064BE"/>
    <w:rsid w:val="2F391C13"/>
    <w:rsid w:val="2F63550A"/>
    <w:rsid w:val="2F917CA1"/>
    <w:rsid w:val="2FA200FA"/>
    <w:rsid w:val="2FC9141A"/>
    <w:rsid w:val="2FE83639"/>
    <w:rsid w:val="30077C27"/>
    <w:rsid w:val="30847806"/>
    <w:rsid w:val="30BE0755"/>
    <w:rsid w:val="31012C04"/>
    <w:rsid w:val="31304D40"/>
    <w:rsid w:val="31473494"/>
    <w:rsid w:val="32052280"/>
    <w:rsid w:val="321C4EA7"/>
    <w:rsid w:val="322B455D"/>
    <w:rsid w:val="325D030E"/>
    <w:rsid w:val="32784D16"/>
    <w:rsid w:val="32AB7818"/>
    <w:rsid w:val="332345EF"/>
    <w:rsid w:val="336B20C9"/>
    <w:rsid w:val="337A3833"/>
    <w:rsid w:val="33A40DC1"/>
    <w:rsid w:val="3532466D"/>
    <w:rsid w:val="35662E88"/>
    <w:rsid w:val="358C3432"/>
    <w:rsid w:val="35B744A0"/>
    <w:rsid w:val="35DB3E3E"/>
    <w:rsid w:val="365D0556"/>
    <w:rsid w:val="365E6403"/>
    <w:rsid w:val="36716ADC"/>
    <w:rsid w:val="36977B3F"/>
    <w:rsid w:val="36F001F0"/>
    <w:rsid w:val="36FB4AFA"/>
    <w:rsid w:val="37471F62"/>
    <w:rsid w:val="374C49CE"/>
    <w:rsid w:val="37677539"/>
    <w:rsid w:val="37761F41"/>
    <w:rsid w:val="3776777C"/>
    <w:rsid w:val="377B36F4"/>
    <w:rsid w:val="379D2F5B"/>
    <w:rsid w:val="37A14D92"/>
    <w:rsid w:val="38004C92"/>
    <w:rsid w:val="3805122C"/>
    <w:rsid w:val="38C70290"/>
    <w:rsid w:val="392E79F6"/>
    <w:rsid w:val="39AC74AA"/>
    <w:rsid w:val="39C8603D"/>
    <w:rsid w:val="3A3C4CAD"/>
    <w:rsid w:val="3A4A47B4"/>
    <w:rsid w:val="3A830B2E"/>
    <w:rsid w:val="3AF610CD"/>
    <w:rsid w:val="3B3463CE"/>
    <w:rsid w:val="3B4265A5"/>
    <w:rsid w:val="3B53757B"/>
    <w:rsid w:val="3C0E61D6"/>
    <w:rsid w:val="3C9506A5"/>
    <w:rsid w:val="3CD85302"/>
    <w:rsid w:val="3D3E0D3C"/>
    <w:rsid w:val="3D754843"/>
    <w:rsid w:val="3DAA1B4D"/>
    <w:rsid w:val="3DDD4688"/>
    <w:rsid w:val="3DE46F51"/>
    <w:rsid w:val="3DFA1107"/>
    <w:rsid w:val="3DFE5EBF"/>
    <w:rsid w:val="3E211D93"/>
    <w:rsid w:val="3E2567B8"/>
    <w:rsid w:val="3E8A1CFD"/>
    <w:rsid w:val="3E8A77F9"/>
    <w:rsid w:val="3ECB170F"/>
    <w:rsid w:val="3F0810EF"/>
    <w:rsid w:val="3FAD1953"/>
    <w:rsid w:val="40033EC0"/>
    <w:rsid w:val="401F6C03"/>
    <w:rsid w:val="402821EC"/>
    <w:rsid w:val="412F3A1A"/>
    <w:rsid w:val="421D3616"/>
    <w:rsid w:val="42862F6A"/>
    <w:rsid w:val="428D2D6A"/>
    <w:rsid w:val="42BE0955"/>
    <w:rsid w:val="42FE5622"/>
    <w:rsid w:val="4334069B"/>
    <w:rsid w:val="435440AA"/>
    <w:rsid w:val="435A7F52"/>
    <w:rsid w:val="44086AD6"/>
    <w:rsid w:val="44897395"/>
    <w:rsid w:val="44C0557F"/>
    <w:rsid w:val="44F36E2B"/>
    <w:rsid w:val="4533705E"/>
    <w:rsid w:val="45485326"/>
    <w:rsid w:val="45571BE1"/>
    <w:rsid w:val="45987652"/>
    <w:rsid w:val="45CC3389"/>
    <w:rsid w:val="45D77B37"/>
    <w:rsid w:val="45F12DF0"/>
    <w:rsid w:val="45FC6754"/>
    <w:rsid w:val="461C007C"/>
    <w:rsid w:val="4691444A"/>
    <w:rsid w:val="469E78CF"/>
    <w:rsid w:val="46A9191C"/>
    <w:rsid w:val="478C2DB4"/>
    <w:rsid w:val="47982D54"/>
    <w:rsid w:val="479E38D8"/>
    <w:rsid w:val="47DE1434"/>
    <w:rsid w:val="489C4C52"/>
    <w:rsid w:val="48D05C0D"/>
    <w:rsid w:val="49781D5D"/>
    <w:rsid w:val="4A2A4B22"/>
    <w:rsid w:val="4A355C64"/>
    <w:rsid w:val="4AC5484B"/>
    <w:rsid w:val="4B391AC8"/>
    <w:rsid w:val="4B6A3D7F"/>
    <w:rsid w:val="4B6D116B"/>
    <w:rsid w:val="4B840262"/>
    <w:rsid w:val="4BCD7E5B"/>
    <w:rsid w:val="4C0A0B5C"/>
    <w:rsid w:val="4C233ECD"/>
    <w:rsid w:val="4CC730BD"/>
    <w:rsid w:val="4D5C07F9"/>
    <w:rsid w:val="4DA77E8F"/>
    <w:rsid w:val="4DDD3C5A"/>
    <w:rsid w:val="4DFD267D"/>
    <w:rsid w:val="4E06127F"/>
    <w:rsid w:val="4E3D79D5"/>
    <w:rsid w:val="4E6A4C3C"/>
    <w:rsid w:val="4E7B47CF"/>
    <w:rsid w:val="4F2550DC"/>
    <w:rsid w:val="4F8E3C9C"/>
    <w:rsid w:val="4FB940D4"/>
    <w:rsid w:val="50256029"/>
    <w:rsid w:val="5036368D"/>
    <w:rsid w:val="50BD7648"/>
    <w:rsid w:val="50BF086A"/>
    <w:rsid w:val="51185F65"/>
    <w:rsid w:val="512B6754"/>
    <w:rsid w:val="515204C5"/>
    <w:rsid w:val="51822A04"/>
    <w:rsid w:val="51911043"/>
    <w:rsid w:val="519932ED"/>
    <w:rsid w:val="524C5C7E"/>
    <w:rsid w:val="52903990"/>
    <w:rsid w:val="543B799D"/>
    <w:rsid w:val="546311A7"/>
    <w:rsid w:val="549B4ADE"/>
    <w:rsid w:val="55644883"/>
    <w:rsid w:val="556A2BEA"/>
    <w:rsid w:val="55797D3A"/>
    <w:rsid w:val="559F494F"/>
    <w:rsid w:val="55DB20F6"/>
    <w:rsid w:val="56187F25"/>
    <w:rsid w:val="56BA722E"/>
    <w:rsid w:val="56CB4F97"/>
    <w:rsid w:val="581A1CA6"/>
    <w:rsid w:val="586445F0"/>
    <w:rsid w:val="58C5192A"/>
    <w:rsid w:val="59594ADC"/>
    <w:rsid w:val="59CA7728"/>
    <w:rsid w:val="59D31D9D"/>
    <w:rsid w:val="59E7658C"/>
    <w:rsid w:val="5A221BE5"/>
    <w:rsid w:val="5AB7685E"/>
    <w:rsid w:val="5AEB641A"/>
    <w:rsid w:val="5B5639C9"/>
    <w:rsid w:val="5BB40A89"/>
    <w:rsid w:val="5BBD6399"/>
    <w:rsid w:val="5BFB631F"/>
    <w:rsid w:val="5C0276AD"/>
    <w:rsid w:val="5C550A67"/>
    <w:rsid w:val="5CBD35D4"/>
    <w:rsid w:val="5D135C36"/>
    <w:rsid w:val="5D69550A"/>
    <w:rsid w:val="5D6F6C4B"/>
    <w:rsid w:val="5D8A097F"/>
    <w:rsid w:val="5DB22169"/>
    <w:rsid w:val="5DC34C1A"/>
    <w:rsid w:val="5E8425FB"/>
    <w:rsid w:val="5EA93E10"/>
    <w:rsid w:val="5ED35331"/>
    <w:rsid w:val="5EF23F89"/>
    <w:rsid w:val="5EF446BC"/>
    <w:rsid w:val="5F6D308F"/>
    <w:rsid w:val="5F7A64AD"/>
    <w:rsid w:val="5FE53BC6"/>
    <w:rsid w:val="603D2F8F"/>
    <w:rsid w:val="6134408D"/>
    <w:rsid w:val="614E6EF1"/>
    <w:rsid w:val="61565DA5"/>
    <w:rsid w:val="6176110A"/>
    <w:rsid w:val="626A088E"/>
    <w:rsid w:val="62854B94"/>
    <w:rsid w:val="62D1322E"/>
    <w:rsid w:val="63A177AC"/>
    <w:rsid w:val="63C749B6"/>
    <w:rsid w:val="63FE0C96"/>
    <w:rsid w:val="640E6104"/>
    <w:rsid w:val="647430D2"/>
    <w:rsid w:val="647827E5"/>
    <w:rsid w:val="65650DF4"/>
    <w:rsid w:val="65AE64AA"/>
    <w:rsid w:val="66590CA4"/>
    <w:rsid w:val="667E3AC6"/>
    <w:rsid w:val="668C7DCB"/>
    <w:rsid w:val="6700402F"/>
    <w:rsid w:val="671E3EDA"/>
    <w:rsid w:val="677B6565"/>
    <w:rsid w:val="67FB059A"/>
    <w:rsid w:val="68811027"/>
    <w:rsid w:val="69FC1BE0"/>
    <w:rsid w:val="6A521800"/>
    <w:rsid w:val="6A6E5F0E"/>
    <w:rsid w:val="6B142F59"/>
    <w:rsid w:val="6B234F4A"/>
    <w:rsid w:val="6B5A0309"/>
    <w:rsid w:val="6B6563DC"/>
    <w:rsid w:val="6BC84788"/>
    <w:rsid w:val="6C0E7490"/>
    <w:rsid w:val="6C6121CE"/>
    <w:rsid w:val="6CB744E6"/>
    <w:rsid w:val="6CDA5ADC"/>
    <w:rsid w:val="6DE3491F"/>
    <w:rsid w:val="6EDB2F69"/>
    <w:rsid w:val="6F0528C7"/>
    <w:rsid w:val="6F926B42"/>
    <w:rsid w:val="6FE3609A"/>
    <w:rsid w:val="6FE74798"/>
    <w:rsid w:val="70F336E8"/>
    <w:rsid w:val="71281905"/>
    <w:rsid w:val="714007F0"/>
    <w:rsid w:val="71491F07"/>
    <w:rsid w:val="7180358E"/>
    <w:rsid w:val="71C1726B"/>
    <w:rsid w:val="72AC7F1B"/>
    <w:rsid w:val="72D32DFD"/>
    <w:rsid w:val="72FC18C0"/>
    <w:rsid w:val="739015EB"/>
    <w:rsid w:val="73D0517B"/>
    <w:rsid w:val="73E9047A"/>
    <w:rsid w:val="741C4C2C"/>
    <w:rsid w:val="74BC0BB0"/>
    <w:rsid w:val="750543DF"/>
    <w:rsid w:val="7538187E"/>
    <w:rsid w:val="754464B3"/>
    <w:rsid w:val="75E86ABE"/>
    <w:rsid w:val="766509CB"/>
    <w:rsid w:val="769136B0"/>
    <w:rsid w:val="76EF0FDF"/>
    <w:rsid w:val="76F50B0E"/>
    <w:rsid w:val="770413F6"/>
    <w:rsid w:val="77545B3E"/>
    <w:rsid w:val="77F35CA4"/>
    <w:rsid w:val="782D11B6"/>
    <w:rsid w:val="78FA1E5E"/>
    <w:rsid w:val="79191277"/>
    <w:rsid w:val="7967694A"/>
    <w:rsid w:val="798D4602"/>
    <w:rsid w:val="7A590988"/>
    <w:rsid w:val="7C3F0530"/>
    <w:rsid w:val="7C5D6DD4"/>
    <w:rsid w:val="7C8545E3"/>
    <w:rsid w:val="7D31153F"/>
    <w:rsid w:val="7DC50B97"/>
    <w:rsid w:val="7DFE4C7B"/>
    <w:rsid w:val="7E2B1DF7"/>
    <w:rsid w:val="7E3A287F"/>
    <w:rsid w:val="7EBB39C0"/>
    <w:rsid w:val="7F4B144B"/>
    <w:rsid w:val="7F731D6C"/>
    <w:rsid w:val="7FB1091F"/>
    <w:rsid w:val="7FC8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nhideWhenUsed="0" w:uiPriority="9"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98"/>
      <w:outlineLvl w:val="0"/>
    </w:pPr>
    <w:rPr>
      <w:sz w:val="72"/>
      <w:szCs w:val="72"/>
    </w:rPr>
  </w:style>
  <w:style w:type="paragraph" w:styleId="4">
    <w:name w:val="heading 2"/>
    <w:basedOn w:val="1"/>
    <w:next w:val="1"/>
    <w:qFormat/>
    <w:uiPriority w:val="1"/>
    <w:pPr>
      <w:spacing w:before="180"/>
      <w:ind w:left="86"/>
      <w:jc w:val="center"/>
      <w:outlineLvl w:val="1"/>
    </w:pPr>
    <w:rPr>
      <w:b/>
      <w:bCs/>
      <w:sz w:val="44"/>
      <w:szCs w:val="44"/>
    </w:rPr>
  </w:style>
  <w:style w:type="paragraph" w:styleId="5">
    <w:name w:val="heading 3"/>
    <w:basedOn w:val="1"/>
    <w:next w:val="6"/>
    <w:link w:val="34"/>
    <w:qFormat/>
    <w:uiPriority w:val="9"/>
    <w:pPr>
      <w:spacing w:before="14"/>
      <w:ind w:left="711"/>
      <w:outlineLvl w:val="2"/>
    </w:pPr>
    <w:rPr>
      <w:b/>
      <w:sz w:val="28"/>
    </w:rPr>
  </w:style>
  <w:style w:type="paragraph" w:styleId="7">
    <w:name w:val="heading 4"/>
    <w:basedOn w:val="1"/>
    <w:next w:val="1"/>
    <w:qFormat/>
    <w:uiPriority w:val="1"/>
    <w:pPr>
      <w:spacing w:before="41"/>
      <w:ind w:left="267"/>
      <w:jc w:val="center"/>
      <w:outlineLvl w:val="3"/>
    </w:pPr>
    <w:rPr>
      <w:b/>
      <w:bCs/>
      <w:sz w:val="42"/>
      <w:szCs w:val="42"/>
    </w:rPr>
  </w:style>
  <w:style w:type="paragraph" w:styleId="8">
    <w:name w:val="heading 5"/>
    <w:basedOn w:val="1"/>
    <w:next w:val="1"/>
    <w:qFormat/>
    <w:uiPriority w:val="9"/>
    <w:pPr>
      <w:spacing w:before="26"/>
      <w:ind w:left="591"/>
      <w:outlineLvl w:val="4"/>
    </w:pPr>
    <w:rPr>
      <w:b/>
    </w:rPr>
  </w:style>
  <w:style w:type="paragraph" w:styleId="9">
    <w:name w:val="heading 7"/>
    <w:basedOn w:val="1"/>
    <w:next w:val="1"/>
    <w:qFormat/>
    <w:uiPriority w:val="1"/>
    <w:pPr>
      <w:spacing w:before="49"/>
      <w:jc w:val="center"/>
      <w:outlineLvl w:val="6"/>
    </w:pPr>
    <w:rPr>
      <w:sz w:val="36"/>
      <w:szCs w:val="36"/>
    </w:rPr>
  </w:style>
  <w:style w:type="paragraph" w:styleId="10">
    <w:name w:val="heading 8"/>
    <w:basedOn w:val="1"/>
    <w:next w:val="1"/>
    <w:qFormat/>
    <w:uiPriority w:val="1"/>
    <w:pPr>
      <w:spacing w:before="54"/>
      <w:ind w:left="86"/>
      <w:jc w:val="center"/>
      <w:outlineLvl w:val="7"/>
    </w:pPr>
    <w:rPr>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Indent"/>
    <w:basedOn w:val="1"/>
    <w:next w:val="1"/>
    <w:qFormat/>
    <w:uiPriority w:val="0"/>
    <w:pPr>
      <w:spacing w:line="360" w:lineRule="auto"/>
      <w:ind w:firstLine="560" w:firstLineChars="200"/>
    </w:pPr>
    <w:rPr>
      <w:bCs/>
      <w:sz w:val="28"/>
      <w:szCs w:val="24"/>
    </w:rPr>
  </w:style>
  <w:style w:type="paragraph" w:styleId="11">
    <w:name w:val="Body Text"/>
    <w:basedOn w:val="1"/>
    <w:next w:val="12"/>
    <w:qFormat/>
    <w:uiPriority w:val="1"/>
    <w:rPr>
      <w:sz w:val="24"/>
      <w:szCs w:val="24"/>
    </w:rPr>
  </w:style>
  <w:style w:type="paragraph" w:customStyle="1" w:styleId="12">
    <w:name w:val="目录 53"/>
    <w:basedOn w:val="1"/>
    <w:next w:val="1"/>
    <w:qFormat/>
    <w:uiPriority w:val="0"/>
    <w:pPr>
      <w:ind w:left="840"/>
    </w:pPr>
    <w:rPr>
      <w:rFonts w:ascii="Times New Roman"/>
      <w:sz w:val="18"/>
    </w:rPr>
  </w:style>
  <w:style w:type="paragraph" w:styleId="13">
    <w:name w:val="Body Text Indent"/>
    <w:basedOn w:val="1"/>
    <w:next w:val="1"/>
    <w:qFormat/>
    <w:uiPriority w:val="0"/>
    <w:pPr>
      <w:spacing w:before="240" w:line="360" w:lineRule="auto"/>
      <w:ind w:firstLine="552" w:firstLineChars="263"/>
    </w:pPr>
    <w:rPr>
      <w:szCs w:val="20"/>
    </w:rPr>
  </w:style>
  <w:style w:type="paragraph" w:styleId="14">
    <w:name w:val="Plain Text"/>
    <w:basedOn w:val="1"/>
    <w:unhideWhenUsed/>
    <w:qFormat/>
    <w:uiPriority w:val="99"/>
    <w:rPr>
      <w:rFonts w:hAnsi="Courier New"/>
    </w:rPr>
  </w:style>
  <w:style w:type="paragraph" w:styleId="15">
    <w:name w:val="Balloon Text"/>
    <w:basedOn w:val="1"/>
    <w:unhideWhenUsed/>
    <w:qFormat/>
    <w:uiPriority w:val="99"/>
    <w:pPr>
      <w:autoSpaceDE/>
      <w:autoSpaceDN/>
      <w:jc w:val="both"/>
    </w:pPr>
    <w:rPr>
      <w:kern w:val="2"/>
      <w:sz w:val="18"/>
    </w:rPr>
  </w:style>
  <w:style w:type="paragraph" w:styleId="16">
    <w:name w:val="footer"/>
    <w:basedOn w:val="1"/>
    <w:qFormat/>
    <w:uiPriority w:val="0"/>
    <w:pPr>
      <w:tabs>
        <w:tab w:val="center" w:pos="4153"/>
        <w:tab w:val="right" w:pos="8306"/>
      </w:tabs>
      <w:snapToGrid w:val="0"/>
    </w:pPr>
    <w:rPr>
      <w:rFonts w:ascii="Times New Roman" w:hAnsi="Times New Roman" w:cs="Times New Roman"/>
      <w:sz w:val="18"/>
      <w:szCs w:val="18"/>
    </w:rPr>
  </w:style>
  <w:style w:type="paragraph" w:styleId="17">
    <w:name w:val="Normal (Web)"/>
    <w:basedOn w:val="1"/>
    <w:next w:val="1"/>
    <w:qFormat/>
    <w:uiPriority w:val="99"/>
    <w:pPr>
      <w:widowControl/>
      <w:jc w:val="left"/>
    </w:pPr>
    <w:rPr>
      <w:rFonts w:ascii="宋体" w:hAnsi="宋体" w:cs="宋体"/>
      <w:kern w:val="0"/>
      <w:sz w:val="24"/>
      <w:szCs w:val="24"/>
    </w:rPr>
  </w:style>
  <w:style w:type="paragraph" w:styleId="18">
    <w:name w:val="Body Text First Indent 2"/>
    <w:basedOn w:val="13"/>
    <w:qFormat/>
    <w:uiPriority w:val="99"/>
    <w:pPr>
      <w:ind w:firstLine="420" w:firstLineChars="200"/>
    </w:pPr>
  </w:style>
  <w:style w:type="paragraph" w:styleId="21">
    <w:name w:val="List Paragraph"/>
    <w:basedOn w:val="1"/>
    <w:qFormat/>
    <w:uiPriority w:val="1"/>
    <w:pPr>
      <w:ind w:left="384" w:firstLine="480"/>
    </w:pPr>
  </w:style>
  <w:style w:type="paragraph" w:customStyle="1" w:styleId="22">
    <w:name w:val="Table Paragraph"/>
    <w:basedOn w:val="1"/>
    <w:qFormat/>
    <w:uiPriority w:val="1"/>
  </w:style>
  <w:style w:type="paragraph" w:customStyle="1" w:styleId="23">
    <w:name w:val="正文缩进1"/>
    <w:basedOn w:val="1"/>
    <w:qFormat/>
    <w:uiPriority w:val="0"/>
    <w:pPr>
      <w:autoSpaceDE/>
      <w:autoSpaceDN/>
      <w:ind w:firstLine="420" w:firstLineChars="200"/>
      <w:jc w:val="both"/>
    </w:pPr>
    <w:rPr>
      <w:rFonts w:ascii="Times New Roman" w:hAnsi="Times New Roman" w:cs="Times New Roman"/>
      <w:kern w:val="2"/>
      <w:sz w:val="21"/>
      <w:szCs w:val="20"/>
      <w:lang w:val="en-US" w:bidi="ar-SA"/>
    </w:rPr>
  </w:style>
  <w:style w:type="character" w:customStyle="1" w:styleId="24">
    <w:name w:val="font01"/>
    <w:basedOn w:val="20"/>
    <w:qFormat/>
    <w:uiPriority w:val="0"/>
    <w:rPr>
      <w:rFonts w:hint="eastAsia" w:ascii="宋体" w:hAnsi="宋体" w:eastAsia="宋体" w:cs="宋体"/>
      <w:color w:val="000000"/>
      <w:sz w:val="24"/>
      <w:szCs w:val="24"/>
      <w:u w:val="none"/>
    </w:rPr>
  </w:style>
  <w:style w:type="character" w:customStyle="1" w:styleId="25">
    <w:name w:val="NormalCharacter"/>
    <w:semiHidden/>
    <w:qFormat/>
    <w:uiPriority w:val="0"/>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样式 标题 3 + (中文) 黑体 小四 非加粗 段前: 7.8 磅 段后: 0 磅 行距: 固定值 20 磅"/>
    <w:basedOn w:val="5"/>
    <w:unhideWhenUsed/>
    <w:qFormat/>
    <w:uiPriority w:val="0"/>
    <w:pPr>
      <w:spacing w:before="0" w:line="400" w:lineRule="exact"/>
      <w:ind w:left="0"/>
      <w:jc w:val="both"/>
    </w:pPr>
    <w:rPr>
      <w:rFonts w:eastAsia="黑体"/>
      <w:b w:val="0"/>
      <w:kern w:val="2"/>
      <w:sz w:val="24"/>
    </w:rPr>
  </w:style>
  <w:style w:type="paragraph" w:customStyle="1" w:styleId="29">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30">
    <w:name w:val="CM99"/>
    <w:basedOn w:val="31"/>
    <w:next w:val="31"/>
    <w:qFormat/>
    <w:uiPriority w:val="0"/>
    <w:pPr>
      <w:spacing w:after="443"/>
    </w:pPr>
    <w:rPr>
      <w:color w:val="auto"/>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Normal_1"/>
    <w:qFormat/>
    <w:uiPriority w:val="0"/>
    <w:rPr>
      <w:rFonts w:ascii="Times New Roman" w:hAnsi="Times New Roman" w:eastAsia="Times New Roman" w:cs="Times New Roman"/>
      <w:sz w:val="24"/>
      <w:szCs w:val="24"/>
      <w:lang w:val="en-US" w:eastAsia="zh-CN" w:bidi="ar-SA"/>
    </w:rPr>
  </w:style>
  <w:style w:type="character" w:customStyle="1" w:styleId="33">
    <w:name w:val="font41"/>
    <w:basedOn w:val="20"/>
    <w:qFormat/>
    <w:uiPriority w:val="0"/>
    <w:rPr>
      <w:rFonts w:hint="eastAsia" w:ascii="宋体" w:hAnsi="宋体" w:eastAsia="宋体" w:cs="宋体"/>
      <w:color w:val="000000"/>
      <w:sz w:val="24"/>
      <w:szCs w:val="24"/>
      <w:u w:val="single"/>
    </w:rPr>
  </w:style>
  <w:style w:type="character" w:customStyle="1" w:styleId="34">
    <w:name w:val="标题 3 Char"/>
    <w:basedOn w:val="20"/>
    <w:link w:val="5"/>
    <w:qFormat/>
    <w:uiPriority w:val="0"/>
    <w:rPr>
      <w:b/>
      <w:bCs/>
      <w:kern w:val="2"/>
      <w:sz w:val="32"/>
      <w:szCs w:val="32"/>
    </w:rPr>
  </w:style>
  <w:style w:type="paragraph" w:styleId="35">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GIF"/><Relationship Id="rId32" Type="http://schemas.openxmlformats.org/officeDocument/2006/relationships/theme" Target="theme/theme1.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75676</Words>
  <Characters>79144</Characters>
  <Lines>654</Lines>
  <Paragraphs>184</Paragraphs>
  <TotalTime>1</TotalTime>
  <ScaleCrop>false</ScaleCrop>
  <LinksUpToDate>false</LinksUpToDate>
  <CharactersWithSpaces>80828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2022-06-26T15:18:00Z</dcterms:created>
  <dc:creator>初见</dc:creator>
  <cp:lastModifiedBy>勿忘心安1381208806</cp:lastModifiedBy>
  <cp:lastPrinted>2022-06-29T07:41:00Z</cp:lastPrinted>
  <dcterms:modified xsi:type="dcterms:W3CDTF">2023-05-04T11:08:21Z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CB4024F7756A476EBA71386C6535DB80</vt:lpwstr>
  </property>
</Properties>
</file>