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
      <w:pPr>
        <w:autoSpaceDE w:val="0"/>
        <w:autoSpaceDN w:val="0"/>
        <w:spacing w:line="360" w:lineRule="auto"/>
        <w:jc w:val="center"/>
        <w:rPr>
          <w:rFonts w:ascii="宋体" w:hAnsi="宋体" w:cs="宋体"/>
          <w:b/>
          <w:sz w:val="48"/>
          <w:szCs w:val="48"/>
        </w:rPr>
      </w:pPr>
    </w:p>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eastAsia="宋体" w:cs="宋体"/>
          <w:b/>
          <w:sz w:val="48"/>
          <w:szCs w:val="48"/>
          <w:lang w:eastAsia="zh-CN"/>
        </w:rPr>
      </w:pPr>
      <w:r>
        <w:rPr>
          <w:rFonts w:hint="eastAsia" w:ascii="宋体" w:hAnsi="宋体" w:cs="宋体"/>
          <w:b/>
          <w:sz w:val="48"/>
          <w:szCs w:val="48"/>
          <w:lang w:eastAsia="zh-CN"/>
        </w:rPr>
        <w:t>惠民惠农补贴代发金融机构项目（二次）</w:t>
      </w:r>
    </w:p>
    <w:p>
      <w:pPr>
        <w:autoSpaceDE w:val="0"/>
        <w:autoSpaceDN w:val="0"/>
        <w:spacing w:line="360" w:lineRule="auto"/>
        <w:jc w:val="center"/>
        <w:rPr>
          <w:rFonts w:ascii="宋体" w:hAnsi="宋体" w:cs="宋体"/>
          <w:b/>
          <w:sz w:val="52"/>
          <w:szCs w:val="52"/>
        </w:rPr>
      </w:pPr>
    </w:p>
    <w:p>
      <w:pPr>
        <w:autoSpaceDE w:val="0"/>
        <w:autoSpaceDN w:val="0"/>
        <w:spacing w:line="360" w:lineRule="auto"/>
        <w:jc w:val="center"/>
        <w:rPr>
          <w:rFonts w:hint="eastAsia" w:ascii="宋体" w:hAnsi="宋体" w:cs="宋体"/>
          <w:b/>
          <w:sz w:val="52"/>
          <w:szCs w:val="52"/>
        </w:rPr>
      </w:pPr>
      <w:r>
        <w:rPr>
          <w:rFonts w:hint="eastAsia" w:ascii="宋体" w:hAnsi="宋体" w:cs="宋体"/>
          <w:b/>
          <w:sz w:val="52"/>
          <w:szCs w:val="52"/>
        </w:rPr>
        <w:t>竞争性磋商文件</w:t>
      </w: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32"/>
          <w:szCs w:val="32"/>
        </w:rPr>
        <w:t>项目编号：</w:t>
      </w:r>
      <w:r>
        <w:rPr>
          <w:rFonts w:hint="eastAsia" w:cs="宋体"/>
          <w:b/>
          <w:sz w:val="32"/>
          <w:szCs w:val="32"/>
          <w:lang w:eastAsia="zh-CN"/>
        </w:rPr>
        <w:t>XJCFHY(GK)-2023-03号</w:t>
      </w:r>
    </w:p>
    <w:p>
      <w:pPr>
        <w:spacing w:line="240" w:lineRule="atLeast"/>
        <w:ind w:left="1079" w:leftChars="257" w:hanging="540"/>
        <w:jc w:val="center"/>
        <w:rPr>
          <w:rFonts w:ascii="FangSong_GB2312" w:eastAsia="FangSong_GB2312"/>
          <w:b/>
          <w:sz w:val="32"/>
          <w:szCs w:val="32"/>
        </w:rPr>
      </w:pPr>
      <w:r>
        <w:rPr>
          <w:rFonts w:hint="eastAsia" w:ascii="FangSong_GB2312" w:eastAsia="FangSong_GB2312"/>
          <w:b/>
          <w:sz w:val="32"/>
          <w:szCs w:val="32"/>
        </w:rPr>
        <w:t xml:space="preserve"> </w:t>
      </w:r>
    </w:p>
    <w:p>
      <w:pPr>
        <w:spacing w:line="240" w:lineRule="atLeast"/>
        <w:rPr>
          <w:rFonts w:ascii="FangSong_GB2312" w:eastAsia="FangSong_GB2312"/>
          <w:b/>
          <w:sz w:val="28"/>
        </w:rPr>
      </w:pPr>
    </w:p>
    <w:p>
      <w:pPr>
        <w:autoSpaceDE w:val="0"/>
        <w:autoSpaceDN w:val="0"/>
        <w:spacing w:line="600" w:lineRule="exact"/>
        <w:ind w:firstLine="840" w:firstLineChars="300"/>
        <w:rPr>
          <w:rFonts w:ascii="宋体" w:hAnsi="宋体" w:cs="宋体"/>
          <w:b/>
          <w:bCs/>
          <w:kern w:val="0"/>
          <w:sz w:val="28"/>
          <w:szCs w:val="28"/>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rPr>
        <w:t xml:space="preserve">岳普湖县财政局 </w:t>
      </w:r>
    </w:p>
    <w:p>
      <w:pPr>
        <w:autoSpaceDE w:val="0"/>
        <w:autoSpaceDN w:val="0"/>
        <w:spacing w:line="600" w:lineRule="exact"/>
        <w:ind w:firstLine="840" w:firstLineChars="300"/>
        <w:rPr>
          <w:rFonts w:ascii="宋体" w:hAnsi="宋体" w:cs="宋体"/>
          <w:b/>
          <w:bCs/>
          <w:kern w:val="0"/>
          <w:sz w:val="28"/>
          <w:szCs w:val="28"/>
          <w:u w:val="single"/>
        </w:rPr>
      </w:pPr>
      <w:r>
        <w:rPr>
          <w:rFonts w:hint="eastAsia" w:ascii="宋体" w:hAnsi="宋体" w:cs="宋体"/>
          <w:b/>
          <w:bCs/>
          <w:color w:val="000000"/>
          <w:kern w:val="0"/>
          <w:sz w:val="28"/>
          <w:szCs w:val="28"/>
        </w:rPr>
        <w:t>联 系 人：</w:t>
      </w:r>
      <w:r>
        <w:rPr>
          <w:rFonts w:hint="eastAsia" w:ascii="宋体" w:hAnsi="宋体" w:cs="宋体"/>
          <w:b/>
          <w:bCs/>
          <w:color w:val="000000"/>
          <w:kern w:val="0"/>
          <w:sz w:val="28"/>
          <w:szCs w:val="28"/>
          <w:u w:val="single"/>
          <w:lang w:eastAsia="zh-CN"/>
        </w:rPr>
        <w:t>孙大喜</w:t>
      </w:r>
      <w:r>
        <w:rPr>
          <w:rFonts w:hint="eastAsia" w:ascii="宋体" w:hAnsi="宋体" w:cs="宋体"/>
          <w:b/>
          <w:bCs/>
          <w:kern w:val="0"/>
          <w:sz w:val="28"/>
          <w:szCs w:val="28"/>
          <w:u w:val="single"/>
        </w:rPr>
        <w:t xml:space="preserve"> </w:t>
      </w:r>
    </w:p>
    <w:p>
      <w:pPr>
        <w:autoSpaceDE w:val="0"/>
        <w:autoSpaceDN w:val="0"/>
        <w:spacing w:line="600" w:lineRule="exact"/>
        <w:ind w:firstLine="840" w:firstLineChars="300"/>
        <w:rPr>
          <w:rFonts w:hint="default" w:ascii="宋体" w:hAnsi="宋体" w:eastAsia="宋体" w:cs="宋体"/>
          <w:b/>
          <w:bCs/>
          <w:kern w:val="0"/>
          <w:sz w:val="28"/>
          <w:szCs w:val="28"/>
          <w:u w:val="single"/>
          <w:lang w:val="en-US" w:eastAsia="zh-CN"/>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lang w:val="en-US" w:eastAsia="zh-CN"/>
        </w:rPr>
        <w:t>13899128508</w:t>
      </w:r>
    </w:p>
    <w:p>
      <w:pPr>
        <w:autoSpaceDE w:val="0"/>
        <w:autoSpaceDN w:val="0"/>
        <w:spacing w:line="600" w:lineRule="exact"/>
        <w:ind w:firstLine="1120" w:firstLineChars="400"/>
        <w:rPr>
          <w:rFonts w:ascii="宋体" w:hAnsi="宋体" w:cs="宋体"/>
          <w:b/>
          <w:bCs/>
          <w:color w:val="000000"/>
          <w:kern w:val="0"/>
          <w:sz w:val="28"/>
          <w:szCs w:val="28"/>
        </w:rPr>
      </w:pPr>
      <w:r>
        <w:rPr>
          <w:rFonts w:hint="eastAsia" w:ascii="宋体" w:hAnsi="宋体" w:cs="宋体"/>
          <w:b/>
          <w:bCs/>
          <w:sz w:val="28"/>
          <w:szCs w:val="28"/>
        </w:rPr>
        <w:t xml:space="preserve"> </w:t>
      </w:r>
      <w:r>
        <w:rPr>
          <w:rFonts w:hint="eastAsia" w:ascii="宋体" w:hAnsi="宋体" w:cs="宋体"/>
          <w:b/>
          <w:bCs/>
          <w:kern w:val="0"/>
          <w:sz w:val="28"/>
          <w:szCs w:val="28"/>
        </w:rPr>
        <w:t xml:space="preserve">       </w:t>
      </w:r>
      <w:r>
        <w:rPr>
          <w:rFonts w:hint="eastAsia" w:ascii="宋体" w:hAnsi="宋体" w:cs="宋体"/>
          <w:b/>
          <w:bCs/>
          <w:sz w:val="28"/>
          <w:szCs w:val="28"/>
        </w:rPr>
        <w:t xml:space="preserve">         </w:t>
      </w:r>
    </w:p>
    <w:p>
      <w:pPr>
        <w:autoSpaceDE w:val="0"/>
        <w:autoSpaceDN w:val="0"/>
        <w:spacing w:line="600" w:lineRule="exact"/>
        <w:ind w:firstLine="840" w:firstLineChars="300"/>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lang w:eastAsia="zh-CN"/>
        </w:rPr>
        <w:t>新疆诚发鸿岳项目管理服务有限公司</w:t>
      </w:r>
    </w:p>
    <w:p>
      <w:pPr>
        <w:autoSpaceDE w:val="0"/>
        <w:autoSpaceDN w:val="0"/>
        <w:spacing w:line="600" w:lineRule="exact"/>
        <w:ind w:firstLine="840" w:firstLineChars="300"/>
        <w:rPr>
          <w:rFonts w:ascii="宋体" w:hAnsi="宋体" w:cs="宋体"/>
          <w:b/>
          <w:bCs/>
          <w:color w:val="000000"/>
          <w:kern w:val="0"/>
          <w:sz w:val="28"/>
          <w:szCs w:val="28"/>
          <w:u w:val="single"/>
        </w:rPr>
      </w:pPr>
      <w:r>
        <w:rPr>
          <w:rFonts w:hint="eastAsia" w:ascii="宋体" w:hAnsi="宋体" w:cs="宋体"/>
          <w:b/>
          <w:bCs/>
          <w:color w:val="000000"/>
          <w:kern w:val="0"/>
          <w:sz w:val="28"/>
          <w:szCs w:val="28"/>
        </w:rPr>
        <w:t>联 系 人：</w:t>
      </w:r>
      <w:r>
        <w:rPr>
          <w:rFonts w:hint="eastAsia" w:ascii="宋体" w:hAnsi="宋体" w:cs="宋体"/>
          <w:b/>
          <w:bCs/>
          <w:color w:val="000000"/>
          <w:kern w:val="0"/>
          <w:sz w:val="28"/>
          <w:szCs w:val="28"/>
          <w:u w:val="single"/>
          <w:lang w:eastAsia="zh-CN"/>
        </w:rPr>
        <w:t>齐建立</w:t>
      </w:r>
      <w:r>
        <w:rPr>
          <w:rFonts w:hint="eastAsia" w:ascii="宋体" w:hAnsi="宋体" w:cs="宋体"/>
          <w:b/>
          <w:bCs/>
          <w:color w:val="000000"/>
          <w:kern w:val="0"/>
          <w:sz w:val="28"/>
          <w:szCs w:val="28"/>
          <w:u w:val="single"/>
        </w:rPr>
        <w:t xml:space="preserve"> </w:t>
      </w:r>
    </w:p>
    <w:p>
      <w:pPr>
        <w:autoSpaceDE w:val="0"/>
        <w:autoSpaceDN w:val="0"/>
        <w:spacing w:line="600" w:lineRule="exact"/>
        <w:ind w:firstLine="840" w:firstLineChars="300"/>
        <w:rPr>
          <w:rFonts w:hint="eastAsia" w:ascii="宋体" w:hAnsi="宋体" w:eastAsia="宋体" w:cs="宋体"/>
          <w:b/>
          <w:bCs/>
          <w:sz w:val="28"/>
          <w:szCs w:val="28"/>
          <w:u w:val="single"/>
          <w:lang w:eastAsia="zh-CN"/>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lang w:eastAsia="zh-CN"/>
        </w:rPr>
        <w:t>18196809995</w:t>
      </w:r>
    </w:p>
    <w:p>
      <w:pPr>
        <w:autoSpaceDE w:val="0"/>
        <w:autoSpaceDN w:val="0"/>
        <w:adjustRightInd w:val="0"/>
        <w:spacing w:line="480" w:lineRule="auto"/>
        <w:rPr>
          <w:rFonts w:ascii="宋体" w:cs="宋体"/>
          <w:b/>
          <w:color w:val="000000"/>
          <w:kern w:val="0"/>
          <w:sz w:val="30"/>
          <w:szCs w:val="30"/>
        </w:rPr>
      </w:pPr>
      <w:r>
        <w:rPr>
          <w:rFonts w:hint="eastAsia" w:ascii="宋体" w:cs="宋体"/>
          <w:b/>
          <w:color w:val="000000"/>
          <w:kern w:val="0"/>
          <w:sz w:val="30"/>
          <w:szCs w:val="30"/>
        </w:rPr>
        <w:t xml:space="preserve">    </w:t>
      </w:r>
    </w:p>
    <w:p>
      <w:pPr>
        <w:pStyle w:val="15"/>
        <w:tabs>
          <w:tab w:val="right" w:leader="dot" w:pos="8312"/>
        </w:tabs>
        <w:spacing w:line="400" w:lineRule="exact"/>
        <w:rPr>
          <w:rFonts w:hint="eastAsia" w:cs="宋体" w:asciiTheme="minorEastAsia" w:hAnsiTheme="minorEastAsia" w:eastAsiaTheme="minorEastAsia"/>
          <w:sz w:val="24"/>
        </w:rPr>
      </w:pPr>
      <w:bookmarkStart w:id="0" w:name="_Toc9228"/>
      <w:bookmarkStart w:id="1" w:name="_Toc216582804"/>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jc w:val="left"/>
        <w:textAlignment w:val="auto"/>
        <w:outlineLvl w:val="9"/>
        <w:rPr>
          <w:rFonts w:hint="eastAsia" w:ascii="宋体" w:hAnsi="宋体" w:eastAsia="宋体" w:cs="宋体"/>
          <w:b/>
          <w:color w:val="auto"/>
          <w:sz w:val="32"/>
          <w:szCs w:val="32"/>
          <w:highlight w:val="none"/>
          <w:lang w:val="en-US" w:eastAsia="zh-CN"/>
        </w:rPr>
        <w:sectPr>
          <w:headerReference r:id="rId3" w:type="default"/>
          <w:footerReference r:id="rId4" w:type="default"/>
          <w:pgSz w:w="11906" w:h="16838"/>
          <w:pgMar w:top="850" w:right="1134" w:bottom="850" w:left="1134" w:header="851" w:footer="992" w:gutter="0"/>
          <w:pgNumType w:fmt="decimal" w:start="1"/>
          <w:cols w:space="720" w:num="1"/>
          <w:docGrid w:type="linesAndChars" w:linePitch="312" w:charSpace="0"/>
        </w:sectPr>
      </w:pPr>
      <w:r>
        <w:rPr>
          <w:rFonts w:hint="eastAsia" w:ascii="宋体" w:hAnsi="宋体" w:eastAsia="宋体" w:cs="宋体"/>
          <w:b/>
          <w:color w:val="auto"/>
          <w:sz w:val="32"/>
          <w:szCs w:val="32"/>
          <w:highlight w:val="none"/>
        </w:rPr>
        <w:t>编制日期：</w:t>
      </w:r>
      <w:r>
        <w:rPr>
          <w:rFonts w:hint="eastAsia" w:ascii="宋体" w:hAnsi="宋体" w:eastAsia="宋体" w:cs="宋体"/>
          <w:b/>
          <w:color w:val="auto"/>
          <w:sz w:val="32"/>
          <w:szCs w:val="32"/>
          <w:highlight w:val="none"/>
          <w:u w:val="single"/>
          <w:lang w:eastAsia="zh-CN"/>
        </w:rPr>
        <w:t>二〇二三年</w:t>
      </w:r>
      <w:r>
        <w:rPr>
          <w:rFonts w:hint="eastAsia" w:ascii="宋体" w:hAnsi="宋体" w:cs="宋体"/>
          <w:b/>
          <w:color w:val="auto"/>
          <w:sz w:val="32"/>
          <w:szCs w:val="32"/>
          <w:highlight w:val="none"/>
          <w:u w:val="single"/>
          <w:lang w:eastAsia="zh-CN"/>
        </w:rPr>
        <w:t>五</w:t>
      </w:r>
      <w:r>
        <w:rPr>
          <w:rFonts w:hint="eastAsia" w:ascii="宋体" w:hAnsi="宋体" w:eastAsia="宋体" w:cs="宋体"/>
          <w:b/>
          <w:color w:val="auto"/>
          <w:sz w:val="32"/>
          <w:szCs w:val="32"/>
          <w:highlight w:val="none"/>
          <w:u w:val="single"/>
          <w:lang w:eastAsia="zh-CN"/>
        </w:rPr>
        <w:t>月</w:t>
      </w:r>
      <w:r>
        <w:rPr>
          <w:rFonts w:hint="eastAsia" w:ascii="宋体" w:hAnsi="宋体" w:cs="宋体"/>
          <w:b/>
          <w:color w:val="auto"/>
          <w:sz w:val="32"/>
          <w:szCs w:val="32"/>
          <w:highlight w:val="none"/>
          <w:u w:val="single"/>
          <w:lang w:eastAsia="zh-CN"/>
        </w:rPr>
        <w:t>五</w:t>
      </w:r>
      <w:r>
        <w:rPr>
          <w:rFonts w:hint="eastAsia" w:ascii="宋体" w:hAnsi="宋体" w:eastAsia="宋体" w:cs="宋体"/>
          <w:b/>
          <w:color w:val="auto"/>
          <w:sz w:val="32"/>
          <w:szCs w:val="32"/>
          <w:highlight w:val="none"/>
          <w:u w:val="single"/>
          <w:lang w:eastAsia="zh-CN"/>
        </w:rPr>
        <w:t>日</w:t>
      </w:r>
    </w:p>
    <w:p>
      <w:pPr>
        <w:pStyle w:val="16"/>
      </w:pPr>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15"/>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 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   总  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   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   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   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   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   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 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 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 xml:space="preserve"> </w:t>
      </w:r>
    </w:p>
    <w:p>
      <w:pPr>
        <w:pStyle w:val="17"/>
        <w:tabs>
          <w:tab w:val="right" w:leader="dot" w:pos="8312"/>
        </w:tabs>
        <w:spacing w:line="400" w:lineRule="exact"/>
        <w:rPr>
          <w:rFonts w:hint="eastAsia" w:cs="宋体" w:asciiTheme="minorEastAsia" w:hAnsiTheme="minorEastAsia" w:eastAsiaTheme="minorEastAsia"/>
          <w:sz w:val="24"/>
          <w:lang w:val="en-US" w:eastAsia="zh-CN"/>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2</w:t>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  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  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  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  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15"/>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  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 xml:space="preserve">第一章  </w:t>
      </w:r>
      <w:bookmarkStart w:id="2" w:name="_Toc16197"/>
      <w:bookmarkStart w:id="3" w:name="_Toc518923059"/>
      <w:r>
        <w:rPr>
          <w:rFonts w:hint="eastAsia" w:cs="宋体" w:asciiTheme="minorEastAsia" w:hAnsiTheme="minorEastAsia" w:eastAsiaTheme="minorEastAsia"/>
          <w:b/>
          <w:sz w:val="30"/>
          <w:szCs w:val="30"/>
        </w:rPr>
        <w:t>供应商须知</w:t>
      </w:r>
      <w:bookmarkEnd w:id="0"/>
      <w:bookmarkEnd w:id="1"/>
      <w:bookmarkEnd w:id="2"/>
      <w:bookmarkEnd w:id="3"/>
    </w:p>
    <w:p>
      <w:pPr>
        <w:pStyle w:val="5"/>
        <w:spacing w:before="0" w:line="240" w:lineRule="auto"/>
        <w:ind w:left="1079" w:leftChars="257" w:hanging="540"/>
        <w:rPr>
          <w:rFonts w:cs="宋体" w:asciiTheme="minorEastAsia" w:hAnsiTheme="minorEastAsia" w:eastAsiaTheme="minorEastAsia"/>
        </w:rPr>
      </w:pPr>
      <w:bookmarkStart w:id="4" w:name="_Toc216582805"/>
      <w:bookmarkStart w:id="5" w:name="_Toc520356143"/>
      <w:bookmarkStart w:id="6" w:name="_Toc25430_WPSOffice_Level1"/>
      <w:bookmarkStart w:id="7" w:name="_Toc29867"/>
      <w:bookmarkStart w:id="8" w:name="_Toc518923060"/>
      <w:bookmarkStart w:id="9" w:name="_Toc9485"/>
      <w:r>
        <w:rPr>
          <w:rFonts w:hint="eastAsia" w:cs="宋体" w:asciiTheme="minorEastAsia" w:hAnsiTheme="minorEastAsia" w:eastAsiaTheme="minorEastAsia"/>
          <w:sz w:val="28"/>
        </w:rPr>
        <w:t xml:space="preserve">一   </w:t>
      </w:r>
      <w:bookmarkEnd w:id="4"/>
      <w:bookmarkEnd w:id="5"/>
      <w:r>
        <w:rPr>
          <w:rFonts w:hint="eastAsia" w:cs="宋体" w:asciiTheme="minorEastAsia" w:hAnsiTheme="minorEastAsia" w:eastAsiaTheme="minorEastAsia"/>
          <w:sz w:val="28"/>
        </w:rPr>
        <w:t>总  则</w:t>
      </w:r>
      <w:bookmarkEnd w:id="6"/>
      <w:bookmarkEnd w:id="7"/>
      <w:bookmarkEnd w:id="8"/>
      <w:bookmarkEnd w:id="9"/>
    </w:p>
    <w:p>
      <w:pPr>
        <w:pStyle w:val="7"/>
        <w:spacing w:before="0" w:after="0" w:line="400" w:lineRule="exact"/>
        <w:rPr>
          <w:rFonts w:cs="宋体" w:asciiTheme="minorEastAsia" w:hAnsiTheme="minorEastAsia" w:eastAsiaTheme="minorEastAsia"/>
          <w:u w:val="none"/>
        </w:rPr>
      </w:pPr>
      <w:bookmarkStart w:id="10" w:name="_Toc16905_WPSOffice_Level2"/>
      <w:bookmarkStart w:id="11" w:name="_Toc520356144"/>
      <w:bookmarkStart w:id="12" w:name="_Toc518923061"/>
      <w:bookmarkStart w:id="13" w:name="_Toc12013"/>
      <w:bookmarkStart w:id="14" w:name="_Toc4676_WPSOffice_Level2"/>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7"/>
        <w:spacing w:before="0" w:after="0" w:line="400" w:lineRule="exact"/>
        <w:rPr>
          <w:rFonts w:cs="宋体" w:asciiTheme="minorEastAsia" w:hAnsiTheme="minorEastAsia" w:eastAsiaTheme="minorEastAsia"/>
          <w:u w:val="none"/>
        </w:rPr>
      </w:pPr>
      <w:bookmarkStart w:id="15" w:name="_Toc11813_WPSOffice_Level2"/>
      <w:bookmarkStart w:id="16" w:name="_Toc2643"/>
      <w:bookmarkStart w:id="17" w:name="_Toc518923062"/>
      <w:bookmarkStart w:id="18" w:name="_Toc11482_WPSOffice_Level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7"/>
        <w:spacing w:before="0" w:after="0" w:line="400" w:lineRule="exact"/>
        <w:rPr>
          <w:rFonts w:cs="宋体" w:asciiTheme="minorEastAsia" w:hAnsiTheme="minorEastAsia" w:eastAsiaTheme="minorEastAsia"/>
          <w:u w:val="none"/>
        </w:rPr>
      </w:pPr>
      <w:bookmarkStart w:id="19" w:name="_Toc520356145"/>
      <w:bookmarkStart w:id="20" w:name="_Toc8946_WPSOffice_Level2"/>
      <w:bookmarkStart w:id="21" w:name="_Toc28166"/>
      <w:bookmarkStart w:id="22" w:name="_Toc518923063"/>
      <w:bookmarkStart w:id="23" w:name="_Toc8601_WPSOffice_Level2"/>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7"/>
        <w:spacing w:before="0" w:after="0" w:line="400" w:lineRule="exact"/>
        <w:rPr>
          <w:rFonts w:cs="宋体" w:asciiTheme="minorEastAsia" w:hAnsiTheme="minorEastAsia" w:eastAsiaTheme="minorEastAsia"/>
          <w:u w:val="none"/>
        </w:rPr>
      </w:pPr>
      <w:bookmarkStart w:id="24" w:name="_Toc32365"/>
      <w:bookmarkStart w:id="25" w:name="_Toc518923064"/>
      <w:bookmarkStart w:id="26" w:name="_Toc8368_WPSOffice_Level2"/>
      <w:bookmarkStart w:id="27" w:name="_Toc1523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       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5"/>
        <w:spacing w:before="0" w:line="400" w:lineRule="exact"/>
        <w:ind w:left="1079" w:leftChars="257" w:hanging="540"/>
        <w:rPr>
          <w:rFonts w:cs="宋体" w:asciiTheme="minorEastAsia" w:hAnsiTheme="minorEastAsia" w:eastAsiaTheme="minorEastAsia"/>
        </w:rPr>
      </w:pPr>
      <w:bookmarkStart w:id="28" w:name="_Toc518923065"/>
      <w:bookmarkStart w:id="29" w:name="_Toc520356146"/>
      <w:bookmarkStart w:id="30" w:name="_Toc216582806"/>
      <w:bookmarkStart w:id="31" w:name="_Toc809"/>
      <w:bookmarkStart w:id="32" w:name="_Toc23787"/>
      <w:bookmarkStart w:id="33" w:name="_Toc10894_WPSOffice_Level1"/>
      <w:r>
        <w:rPr>
          <w:rFonts w:hint="eastAsia" w:cs="宋体" w:asciiTheme="minorEastAsia" w:hAnsiTheme="minorEastAsia" w:eastAsiaTheme="minorEastAsia"/>
          <w:sz w:val="28"/>
        </w:rPr>
        <w:t xml:space="preserve">二   </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7"/>
        <w:spacing w:before="0" w:after="0" w:line="400" w:lineRule="exact"/>
        <w:rPr>
          <w:rFonts w:cs="宋体" w:asciiTheme="minorEastAsia" w:hAnsiTheme="minorEastAsia" w:eastAsiaTheme="minorEastAsia"/>
          <w:u w:val="none"/>
        </w:rPr>
      </w:pPr>
      <w:bookmarkStart w:id="34" w:name="_Toc15303_WPSOffice_Level2"/>
      <w:bookmarkStart w:id="35" w:name="_Toc22990"/>
      <w:bookmarkStart w:id="36" w:name="_Toc518923066"/>
      <w:bookmarkStart w:id="37" w:name="_Toc520356147"/>
      <w:bookmarkStart w:id="38" w:name="_Toc15218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 xml:space="preserve">磋商邀请 </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7"/>
        <w:spacing w:before="0" w:after="0" w:line="400" w:lineRule="exact"/>
        <w:rPr>
          <w:rFonts w:cs="宋体" w:asciiTheme="minorEastAsia" w:hAnsiTheme="minorEastAsia" w:eastAsiaTheme="minorEastAsia"/>
          <w:u w:val="none"/>
        </w:rPr>
      </w:pPr>
      <w:bookmarkStart w:id="39" w:name="_Toc520356148"/>
      <w:bookmarkStart w:id="40" w:name="_Toc90_WPSOffice_Level2"/>
      <w:bookmarkStart w:id="41" w:name="_Toc518923067"/>
      <w:bookmarkStart w:id="42" w:name="_Toc21314"/>
      <w:bookmarkStart w:id="43" w:name="_Toc29081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7"/>
        <w:tabs>
          <w:tab w:val="left" w:pos="900"/>
        </w:tabs>
        <w:spacing w:before="0" w:after="0" w:line="400" w:lineRule="exact"/>
        <w:rPr>
          <w:rFonts w:cs="宋体" w:asciiTheme="minorEastAsia" w:hAnsiTheme="minorEastAsia" w:eastAsiaTheme="minorEastAsia"/>
          <w:u w:val="none"/>
        </w:rPr>
      </w:pPr>
      <w:bookmarkStart w:id="46" w:name="_Toc9694_WPSOffice_Level2"/>
      <w:bookmarkStart w:id="47" w:name="_Toc31699_WPSOffice_Level2"/>
      <w:bookmarkStart w:id="48" w:name="_Toc10994"/>
      <w:bookmarkStart w:id="49" w:name="_Toc518923068"/>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4436_WPSOffice_Level1"/>
      <w:bookmarkStart w:id="52" w:name="_Toc25389"/>
      <w:bookmarkStart w:id="53" w:name="_Toc26563"/>
      <w:bookmarkStart w:id="54" w:name="_Toc216582807"/>
      <w:bookmarkStart w:id="55" w:name="_Toc518923069"/>
      <w:bookmarkStart w:id="56" w:name="_Toc520356150"/>
      <w:r>
        <w:rPr>
          <w:rFonts w:hint="eastAsia" w:cs="宋体" w:asciiTheme="minorEastAsia" w:hAnsiTheme="minorEastAsia" w:eastAsiaTheme="minorEastAsia"/>
          <w:sz w:val="28"/>
        </w:rPr>
        <w:t xml:space="preserve">三   </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7"/>
        <w:tabs>
          <w:tab w:val="left" w:pos="900"/>
        </w:tabs>
        <w:spacing w:before="0" w:after="0" w:line="400" w:lineRule="exact"/>
        <w:rPr>
          <w:rFonts w:cs="宋体" w:asciiTheme="minorEastAsia" w:hAnsiTheme="minorEastAsia" w:eastAsiaTheme="minorEastAsia"/>
          <w:u w:val="none"/>
        </w:rPr>
      </w:pPr>
      <w:bookmarkStart w:id="57" w:name="_Toc520356151"/>
      <w:bookmarkStart w:id="58" w:name="_Toc516367021"/>
      <w:bookmarkStart w:id="59" w:name="_Toc13590_WPSOffice_Level2"/>
      <w:bookmarkStart w:id="60" w:name="_Toc6728"/>
      <w:bookmarkStart w:id="61" w:name="_Toc20686_WPSOffice_Level2"/>
      <w:bookmarkStart w:id="62" w:name="_Toc518923070"/>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7"/>
        <w:tabs>
          <w:tab w:val="left" w:pos="900"/>
        </w:tabs>
        <w:spacing w:before="0" w:after="0" w:line="400" w:lineRule="exact"/>
        <w:rPr>
          <w:rFonts w:cs="宋体" w:asciiTheme="minorEastAsia" w:hAnsiTheme="minorEastAsia" w:eastAsiaTheme="minorEastAsia"/>
          <w:u w:val="none"/>
        </w:rPr>
      </w:pPr>
      <w:bookmarkStart w:id="63" w:name="_Ref467306676"/>
      <w:bookmarkStart w:id="64" w:name="_Toc516367022"/>
      <w:bookmarkStart w:id="65" w:name="_Ref467306195"/>
      <w:bookmarkStart w:id="66" w:name="_Toc15487"/>
      <w:bookmarkStart w:id="67" w:name="_Toc31935_WPSOffice_Level2"/>
      <w:bookmarkStart w:id="68" w:name="_Toc518923071"/>
      <w:bookmarkStart w:id="69" w:name="_Toc520356152"/>
      <w:bookmarkStart w:id="70" w:name="_Toc28579_WPSOffice_Level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cs="宋体" w:asciiTheme="minorEastAsia" w:hAnsiTheme="minorEastAsia" w:eastAsiaTheme="minorEastAsia"/>
          <w:b/>
          <w:bCs/>
          <w:kern w:val="0"/>
          <w:sz w:val="24"/>
          <w:szCs w:val="20"/>
          <w:u w:val="single"/>
        </w:rPr>
      </w:pPr>
      <w:bookmarkStart w:id="71" w:name="_Ref467052588"/>
      <w:r>
        <w:rPr>
          <w:rFonts w:hint="eastAsia" w:cs="宋体" w:asciiTheme="minorEastAsia" w:hAnsiTheme="minorEastAsia" w:eastAsiaTheme="minorEastAsia"/>
          <w:sz w:val="24"/>
        </w:rPr>
        <w:t xml:space="preserve">9.1    </w:t>
      </w:r>
      <w:bookmarkEnd w:id="71"/>
      <w:r>
        <w:rPr>
          <w:rFonts w:hint="eastAsia" w:ascii="宋体" w:hAnsi="宋体" w:eastAsia="宋体" w:cs="宋体"/>
          <w:b/>
          <w:bCs/>
          <w:color w:val="auto"/>
          <w:sz w:val="24"/>
          <w:highlight w:val="none"/>
          <w:u w:val="single"/>
        </w:rPr>
        <w:t>投标人应完整地按</w:t>
      </w:r>
      <w:r>
        <w:rPr>
          <w:rFonts w:hint="eastAsia" w:ascii="宋体" w:hAnsi="宋体" w:cs="宋体"/>
          <w:b/>
          <w:bCs/>
          <w:color w:val="auto"/>
          <w:sz w:val="24"/>
          <w:highlight w:val="none"/>
          <w:u w:val="single"/>
          <w:lang w:eastAsia="zh-CN"/>
        </w:rPr>
        <w:t>磋商</w:t>
      </w:r>
      <w:r>
        <w:rPr>
          <w:rFonts w:hint="eastAsia" w:ascii="宋体" w:hAnsi="宋体" w:eastAsia="宋体" w:cs="宋体"/>
          <w:b/>
          <w:bCs/>
          <w:color w:val="auto"/>
          <w:sz w:val="24"/>
          <w:highlight w:val="none"/>
          <w:u w:val="single"/>
        </w:rPr>
        <w:t>文件提供的投标文件格式及要求编写</w:t>
      </w:r>
      <w:r>
        <w:rPr>
          <w:rFonts w:hint="eastAsia" w:ascii="宋体" w:hAnsi="宋体" w:cs="宋体"/>
          <w:b/>
          <w:bCs/>
          <w:color w:val="auto"/>
          <w:sz w:val="24"/>
          <w:highlight w:val="none"/>
          <w:u w:val="single"/>
          <w:lang w:eastAsia="zh-CN"/>
        </w:rPr>
        <w:t>响应</w:t>
      </w:r>
      <w:r>
        <w:rPr>
          <w:rFonts w:hint="eastAsia" w:ascii="宋体" w:hAnsi="宋体" w:eastAsia="宋体" w:cs="宋体"/>
          <w:b/>
          <w:bCs/>
          <w:color w:val="auto"/>
          <w:sz w:val="24"/>
          <w:highlight w:val="none"/>
          <w:u w:val="single"/>
        </w:rPr>
        <w:t>文件，</w:t>
      </w:r>
      <w:r>
        <w:rPr>
          <w:rFonts w:hint="eastAsia" w:ascii="宋体" w:hAnsi="宋体" w:eastAsia="宋体" w:cs="宋体"/>
          <w:b/>
          <w:bCs/>
          <w:color w:val="auto"/>
          <w:sz w:val="24"/>
          <w:highlight w:val="none"/>
          <w:u w:val="single"/>
          <w:lang w:val="en-US" w:eastAsia="zh-CN"/>
        </w:rPr>
        <w:t>投标人须在投标截止时间前完成在系统上递交电子</w:t>
      </w:r>
      <w:r>
        <w:rPr>
          <w:rFonts w:hint="eastAsia" w:ascii="宋体" w:hAnsi="宋体" w:cs="宋体"/>
          <w:b/>
          <w:bCs/>
          <w:color w:val="auto"/>
          <w:sz w:val="24"/>
          <w:highlight w:val="none"/>
          <w:u w:val="single"/>
          <w:lang w:val="en-US" w:eastAsia="zh-CN"/>
        </w:rPr>
        <w:t>响应</w:t>
      </w:r>
      <w:r>
        <w:rPr>
          <w:rFonts w:hint="eastAsia" w:ascii="宋体" w:hAnsi="宋体" w:eastAsia="宋体" w:cs="宋体"/>
          <w:b/>
          <w:bCs/>
          <w:color w:val="auto"/>
          <w:sz w:val="24"/>
          <w:highlight w:val="none"/>
          <w:u w:val="single"/>
          <w:lang w:val="en-US" w:eastAsia="zh-CN"/>
        </w:rPr>
        <w:t>文件。投标人的电子</w:t>
      </w:r>
      <w:r>
        <w:rPr>
          <w:rFonts w:hint="eastAsia" w:ascii="宋体" w:hAnsi="宋体" w:cs="宋体"/>
          <w:b/>
          <w:bCs/>
          <w:color w:val="auto"/>
          <w:sz w:val="24"/>
          <w:highlight w:val="none"/>
          <w:u w:val="single"/>
          <w:lang w:val="en-US" w:eastAsia="zh-CN"/>
        </w:rPr>
        <w:t>响应</w:t>
      </w:r>
      <w:r>
        <w:rPr>
          <w:rFonts w:hint="eastAsia" w:ascii="宋体" w:hAnsi="宋体" w:eastAsia="宋体" w:cs="宋体"/>
          <w:b/>
          <w:bCs/>
          <w:color w:val="auto"/>
          <w:sz w:val="24"/>
          <w:highlight w:val="none"/>
          <w:u w:val="single"/>
          <w:lang w:val="en-US" w:eastAsia="zh-CN"/>
        </w:rPr>
        <w:t>文件是经过CA证书加密后上传提交的，任何单位或个人均无法在</w:t>
      </w:r>
      <w:r>
        <w:rPr>
          <w:rFonts w:hint="eastAsia" w:ascii="宋体" w:hAnsi="宋体" w:cs="宋体"/>
          <w:b/>
          <w:bCs/>
          <w:color w:val="auto"/>
          <w:sz w:val="24"/>
          <w:highlight w:val="none"/>
          <w:u w:val="single"/>
          <w:lang w:val="en-US" w:eastAsia="zh-CN"/>
        </w:rPr>
        <w:t>磋商</w:t>
      </w:r>
      <w:r>
        <w:rPr>
          <w:rFonts w:hint="eastAsia" w:ascii="宋体" w:hAnsi="宋体" w:eastAsia="宋体" w:cs="宋体"/>
          <w:b/>
          <w:bCs/>
          <w:color w:val="auto"/>
          <w:sz w:val="24"/>
          <w:highlight w:val="none"/>
          <w:u w:val="single"/>
          <w:lang w:val="en-US" w:eastAsia="zh-CN"/>
        </w:rPr>
        <w:t>截止时间(即投标时间)之前查看或篡改，不存在泄密风险。（严格按照政采云电子投标流程制作并上传电子</w:t>
      </w:r>
      <w:r>
        <w:rPr>
          <w:rFonts w:hint="eastAsia" w:ascii="宋体" w:hAnsi="宋体" w:cs="宋体"/>
          <w:b/>
          <w:bCs/>
          <w:color w:val="auto"/>
          <w:sz w:val="24"/>
          <w:highlight w:val="none"/>
          <w:u w:val="single"/>
          <w:lang w:val="en-US" w:eastAsia="zh-CN"/>
        </w:rPr>
        <w:t>响应</w:t>
      </w:r>
      <w:r>
        <w:rPr>
          <w:rFonts w:hint="eastAsia" w:ascii="宋体" w:hAnsi="宋体" w:eastAsia="宋体" w:cs="宋体"/>
          <w:b/>
          <w:bCs/>
          <w:color w:val="auto"/>
          <w:sz w:val="24"/>
          <w:highlight w:val="none"/>
          <w:u w:val="single"/>
          <w:lang w:val="en-US" w:eastAsia="zh-CN"/>
        </w:rPr>
        <w:t>文件），</w:t>
      </w:r>
      <w:r>
        <w:rPr>
          <w:rFonts w:hint="eastAsia" w:ascii="宋体" w:hAnsi="宋体" w:cs="宋体"/>
          <w:b/>
          <w:bCs/>
          <w:color w:val="auto"/>
          <w:sz w:val="24"/>
          <w:highlight w:val="none"/>
          <w:u w:val="single"/>
          <w:lang w:eastAsia="zh-CN"/>
        </w:rPr>
        <w:t>响应</w:t>
      </w:r>
      <w:r>
        <w:rPr>
          <w:rFonts w:hint="eastAsia" w:ascii="宋体" w:hAnsi="宋体" w:eastAsia="宋体" w:cs="宋体"/>
          <w:b/>
          <w:bCs/>
          <w:color w:val="auto"/>
          <w:sz w:val="24"/>
          <w:highlight w:val="none"/>
          <w:u w:val="single"/>
        </w:rPr>
        <w:t>文件内容应包括</w:t>
      </w:r>
      <w:r>
        <w:rPr>
          <w:rFonts w:hint="eastAsia" w:ascii="宋体" w:hAnsi="宋体" w:eastAsia="宋体" w:cs="宋体"/>
          <w:b/>
          <w:bCs/>
          <w:color w:val="auto"/>
          <w:sz w:val="24"/>
          <w:highlight w:val="none"/>
          <w:u w:val="single"/>
          <w:lang w:val="en-US" w:eastAsia="zh-CN"/>
        </w:rPr>
        <w:t>但不限于</w:t>
      </w:r>
      <w:r>
        <w:rPr>
          <w:rFonts w:hint="eastAsia" w:ascii="宋体" w:hAnsi="宋体" w:eastAsia="宋体" w:cs="宋体"/>
          <w:b/>
          <w:bCs/>
          <w:color w:val="auto"/>
          <w:sz w:val="24"/>
          <w:highlight w:val="none"/>
          <w:u w:val="single"/>
        </w:rPr>
        <w:t>“报价一览表及资格证明文件”和“商务及技术文件”内容。</w:t>
      </w:r>
      <w:r>
        <w:rPr>
          <w:rFonts w:hint="eastAsia" w:cs="宋体" w:asciiTheme="minorEastAsia" w:hAnsiTheme="minorEastAsia" w:eastAsiaTheme="minorEastAsia"/>
          <w:sz w:val="24"/>
        </w:rPr>
        <w:t xml:space="preserve"> </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7"/>
        <w:tabs>
          <w:tab w:val="left" w:pos="900"/>
        </w:tabs>
        <w:spacing w:before="0" w:after="0" w:line="400" w:lineRule="exact"/>
        <w:rPr>
          <w:rFonts w:cs="宋体" w:asciiTheme="minorEastAsia" w:hAnsiTheme="minorEastAsia" w:eastAsiaTheme="minorEastAsia"/>
          <w:u w:val="none"/>
        </w:rPr>
      </w:pPr>
      <w:bookmarkStart w:id="72" w:name="_Toc10751_WPSOffice_Level2"/>
      <w:bookmarkStart w:id="73" w:name="_Toc518923072"/>
      <w:bookmarkStart w:id="74" w:name="_Toc520356153"/>
      <w:bookmarkStart w:id="75" w:name="_Toc5768_WPSOffice_Level2"/>
      <w:bookmarkStart w:id="76" w:name="_Toc508185920"/>
      <w:bookmarkStart w:id="77" w:name="_Toc516367023"/>
      <w:bookmarkStart w:id="78" w:name="_Toc2671"/>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7"/>
        <w:spacing w:before="0" w:after="0" w:line="400" w:lineRule="exact"/>
        <w:rPr>
          <w:rFonts w:cs="宋体" w:asciiTheme="minorEastAsia" w:hAnsiTheme="minorEastAsia" w:eastAsiaTheme="minorEastAsia"/>
          <w:u w:val="none"/>
        </w:rPr>
      </w:pPr>
      <w:bookmarkStart w:id="81" w:name="_Toc8529"/>
      <w:bookmarkStart w:id="82" w:name="_Toc518923073"/>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16"/>
        <w:spacing w:line="400" w:lineRule="exact"/>
        <w:ind w:left="720" w:hanging="720" w:hangingChars="300"/>
        <w:rPr>
          <w:rFonts w:hint="eastAsia" w:cs="宋体" w:asciiTheme="minorEastAsia" w:hAnsiTheme="minorEastAsia" w:eastAsiaTheme="minorEastAsia"/>
          <w:b/>
          <w:bCs/>
          <w:color w:val="auto"/>
          <w:sz w:val="24"/>
          <w:u w:val="single"/>
          <w:lang w:eastAsia="zh-CN"/>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color w:val="FF0000"/>
          <w:sz w:val="24"/>
        </w:rPr>
        <w:t xml:space="preserve"> </w:t>
      </w: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b/>
          <w:bCs/>
          <w:color w:val="auto"/>
          <w:sz w:val="24"/>
          <w:u w:val="single"/>
        </w:rPr>
        <w:t>竞争性磋商，磋商小组所有成员集中与单一供应商分别进行磋商，并给予所有参加磋商的供应商平等的磋商机会， 经磋商确定最终采购需求后，由磋商小组采用综合评分法对供应商的响应文件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7"/>
        <w:spacing w:before="0" w:after="0" w:line="400" w:lineRule="exact"/>
        <w:rPr>
          <w:rFonts w:hint="eastAsia" w:cs="宋体" w:asciiTheme="minorEastAsia" w:hAnsiTheme="minorEastAsia" w:eastAsiaTheme="minorEastAsia"/>
          <w:u w:val="none"/>
          <w:lang w:eastAsia="zh-CN"/>
        </w:rPr>
      </w:pPr>
      <w:bookmarkStart w:id="85" w:name="_Toc518923074"/>
      <w:bookmarkStart w:id="86" w:name="_Toc16199"/>
      <w:bookmarkStart w:id="87" w:name="_Ref467306513"/>
      <w:bookmarkStart w:id="88" w:name="_Toc520356156"/>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r>
        <w:rPr>
          <w:rFonts w:hint="eastAsia" w:cs="宋体" w:asciiTheme="minorEastAsia" w:hAnsiTheme="minorEastAsia" w:eastAsiaTheme="minorEastAsia"/>
          <w:u w:val="none"/>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本项目不要求缴纳投标保证金</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u w:val="none"/>
          <w:lang w:eastAsia="zh-CN"/>
        </w:rPr>
        <w:t>）</w:t>
      </w:r>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      （1）在磋商有效期内，撤销响应文件的；</w:t>
      </w:r>
    </w:p>
    <w:p>
      <w:pPr>
        <w:pStyle w:val="12"/>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2"/>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2"/>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2"/>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 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7"/>
        <w:spacing w:before="0" w:after="0" w:line="400" w:lineRule="exact"/>
        <w:rPr>
          <w:rFonts w:cs="宋体" w:asciiTheme="minorEastAsia" w:hAnsiTheme="minorEastAsia" w:eastAsiaTheme="minorEastAsia"/>
          <w:u w:val="none"/>
        </w:rPr>
      </w:pPr>
      <w:bookmarkStart w:id="94" w:name="_Toc518923076"/>
      <w:bookmarkStart w:id="95" w:name="_Toc520356157"/>
      <w:bookmarkStart w:id="96" w:name="_Toc20355"/>
      <w:bookmarkStart w:id="97" w:name="_Toc11106_WPSOffice_Level2"/>
      <w:bookmarkStart w:id="98" w:name="_Toc471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7"/>
        <w:spacing w:before="0" w:after="0" w:line="400" w:lineRule="exact"/>
        <w:rPr>
          <w:rFonts w:cs="宋体" w:asciiTheme="minorEastAsia" w:hAnsiTheme="minorEastAsia" w:eastAsiaTheme="minorEastAsia"/>
          <w:u w:val="none"/>
        </w:rPr>
      </w:pPr>
      <w:bookmarkStart w:id="99" w:name="_Toc520356158"/>
      <w:bookmarkStart w:id="100" w:name="_Toc27303"/>
      <w:bookmarkStart w:id="101" w:name="_Toc31308_WPSOffice_Level2"/>
      <w:bookmarkStart w:id="102" w:name="_Toc13034_WPSOffice_Level2"/>
      <w:bookmarkStart w:id="103" w:name="_Toc518923077"/>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w:t>
      </w:r>
      <w:r>
        <w:rPr>
          <w:rFonts w:hint="eastAsia" w:ascii="宋体" w:hAnsi="宋体" w:eastAsia="宋体" w:cs="宋体"/>
          <w:color w:val="auto"/>
          <w:sz w:val="24"/>
          <w:highlight w:val="none"/>
          <w:lang w:eastAsia="zh-CN"/>
        </w:rPr>
        <w:t>（加密上传）</w:t>
      </w:r>
      <w:r>
        <w:rPr>
          <w:rFonts w:hint="eastAsia" w:ascii="宋体" w:hAnsi="宋体" w:cs="宋体"/>
          <w:color w:val="auto"/>
          <w:sz w:val="24"/>
          <w:highlight w:val="none"/>
          <w:lang w:eastAsia="zh-CN"/>
        </w:rPr>
        <w:t>电子版</w:t>
      </w:r>
      <w:r>
        <w:rPr>
          <w:rFonts w:hint="eastAsia" w:cs="宋体" w:asciiTheme="minorEastAsia" w:hAnsiTheme="minorEastAsia" w:eastAsiaTheme="minorEastAsia"/>
          <w:sz w:val="24"/>
        </w:rPr>
        <w:t>响应文件。</w:t>
      </w:r>
    </w:p>
    <w:p>
      <w:pPr>
        <w:spacing w:line="400" w:lineRule="exact"/>
        <w:ind w:left="900" w:hanging="900" w:hangingChars="375"/>
        <w:rPr>
          <w:rFonts w:hint="eastAsia" w:ascii="宋体" w:hAnsi="宋体" w:eastAsia="宋体" w:cs="宋体"/>
          <w:color w:val="auto"/>
          <w:sz w:val="24"/>
          <w:highlight w:val="none"/>
          <w:lang w:val="en-US" w:eastAsia="zh-CN"/>
        </w:rPr>
      </w:pPr>
      <w:r>
        <w:rPr>
          <w:rFonts w:hint="eastAsia" w:cs="宋体" w:asciiTheme="minorEastAsia" w:hAnsiTheme="minorEastAsia" w:eastAsiaTheme="minorEastAsia"/>
          <w:color w:val="000000"/>
          <w:sz w:val="24"/>
        </w:rPr>
        <w:t>14.</w:t>
      </w:r>
      <w:r>
        <w:rPr>
          <w:rFonts w:hint="eastAsia" w:cs="宋体" w:asciiTheme="minorEastAsia" w:hAnsiTheme="minorEastAsia" w:eastAsiaTheme="minorEastAsia"/>
          <w:color w:val="000000"/>
          <w:sz w:val="24"/>
          <w:lang w:val="en-US" w:eastAsia="zh-CN"/>
        </w:rPr>
        <w:t>2</w:t>
      </w:r>
      <w:r>
        <w:rPr>
          <w:rFonts w:hint="eastAsia" w:cs="宋体" w:asciiTheme="minorEastAsia" w:hAnsiTheme="minorEastAsia" w:eastAsiaTheme="minorEastAsia"/>
          <w:color w:val="000000"/>
          <w:sz w:val="24"/>
        </w:rPr>
        <w:tab/>
      </w:r>
      <w:r>
        <w:rPr>
          <w:rFonts w:hint="eastAsia" w:ascii="宋体" w:hAnsi="宋体" w:eastAsia="宋体" w:cs="宋体"/>
          <w:color w:val="auto"/>
          <w:sz w:val="24"/>
          <w:highlight w:val="none"/>
          <w:lang w:val="en-US" w:eastAsia="zh-CN"/>
        </w:rPr>
        <w:t>投标文件因字迹潦草、表达不清或未按照招标文件规定的格式填写、签署和盖章所引起的后果由投标人负责。</w:t>
      </w:r>
    </w:p>
    <w:p>
      <w:pPr>
        <w:pStyle w:val="2"/>
        <w:keepNext w:val="0"/>
        <w:keepLines w:val="0"/>
        <w:pageBreakBefore w:val="0"/>
        <w:widowControl w:val="0"/>
        <w:kinsoku/>
        <w:wordWrap/>
        <w:overflowPunct/>
        <w:topLinePunct w:val="0"/>
        <w:autoSpaceDE/>
        <w:autoSpaceDN/>
        <w:bidi w:val="0"/>
        <w:adjustRightInd/>
        <w:snapToGrid/>
        <w:spacing w:line="400" w:lineRule="exact"/>
        <w:ind w:left="960" w:leftChars="0" w:hanging="960" w:hangingChars="400"/>
        <w:textAlignment w:val="baseline"/>
        <w:rPr>
          <w:rFonts w:hint="default"/>
          <w:lang w:val="en-US"/>
        </w:rPr>
      </w:pPr>
      <w:r>
        <w:rPr>
          <w:rFonts w:hint="eastAsia" w:ascii="宋体" w:hAnsi="宋体" w:cs="宋体"/>
          <w:color w:val="auto"/>
          <w:sz w:val="24"/>
          <w:highlight w:val="none"/>
          <w:lang w:val="en-US" w:eastAsia="zh-CN"/>
        </w:rPr>
        <w:t xml:space="preserve">14.3   </w:t>
      </w:r>
      <w:r>
        <w:rPr>
          <w:rFonts w:hint="eastAsia" w:ascii="宋体" w:hAnsi="宋体" w:eastAsia="宋体" w:cs="宋体"/>
          <w:color w:val="auto"/>
          <w:kern w:val="2"/>
          <w:sz w:val="24"/>
          <w:szCs w:val="24"/>
          <w:highlight w:val="none"/>
          <w:lang w:val="en-US" w:eastAsia="zh-CN" w:bidi="ar-SA"/>
        </w:rPr>
        <w:t>开标完成后，如</w:t>
      </w:r>
      <w:r>
        <w:rPr>
          <w:rFonts w:hint="eastAsia" w:cs="宋体" w:asciiTheme="minorEastAsia" w:hAnsiTheme="minorEastAsia" w:eastAsiaTheme="minorEastAsia"/>
          <w:sz w:val="24"/>
        </w:rPr>
        <w:t>采购人</w:t>
      </w:r>
      <w:r>
        <w:rPr>
          <w:rFonts w:hint="eastAsia" w:ascii="宋体" w:hAnsi="宋体" w:eastAsia="宋体" w:cs="宋体"/>
          <w:color w:val="auto"/>
          <w:kern w:val="2"/>
          <w:sz w:val="24"/>
          <w:szCs w:val="24"/>
          <w:highlight w:val="none"/>
          <w:lang w:val="en-US" w:eastAsia="zh-CN" w:bidi="ar-SA"/>
        </w:rPr>
        <w:t>需要提供纸质版投标文件，</w:t>
      </w:r>
      <w:r>
        <w:rPr>
          <w:rFonts w:hint="eastAsia" w:cs="宋体" w:asciiTheme="minorEastAsia" w:hAnsiTheme="minorEastAsia" w:eastAsiaTheme="minorEastAsia"/>
          <w:sz w:val="24"/>
        </w:rPr>
        <w:t>供应商</w:t>
      </w:r>
      <w:r>
        <w:rPr>
          <w:rFonts w:hint="eastAsia" w:ascii="宋体" w:hAnsi="宋体" w:eastAsia="宋体" w:cs="宋体"/>
          <w:color w:val="auto"/>
          <w:kern w:val="2"/>
          <w:sz w:val="24"/>
          <w:szCs w:val="24"/>
          <w:highlight w:val="none"/>
          <w:lang w:val="en-US" w:eastAsia="zh-CN" w:bidi="ar-SA"/>
        </w:rPr>
        <w:t>应按照</w:t>
      </w:r>
      <w:r>
        <w:rPr>
          <w:rFonts w:hint="eastAsia" w:cs="宋体" w:asciiTheme="minorEastAsia" w:hAnsiTheme="minorEastAsia" w:eastAsiaTheme="minorEastAsia"/>
          <w:sz w:val="24"/>
        </w:rPr>
        <w:t>采购人</w:t>
      </w:r>
      <w:r>
        <w:rPr>
          <w:rFonts w:hint="eastAsia" w:ascii="宋体" w:hAnsi="宋体" w:eastAsia="宋体" w:cs="宋体"/>
          <w:color w:val="auto"/>
          <w:kern w:val="2"/>
          <w:sz w:val="24"/>
          <w:szCs w:val="24"/>
          <w:highlight w:val="none"/>
          <w:lang w:val="en-US" w:eastAsia="zh-CN" w:bidi="ar-SA"/>
        </w:rPr>
        <w:t>要求提供相应份数的纸质投标文件，纸质版投标文件应与电子版投标文件一致。</w:t>
      </w:r>
    </w:p>
    <w:p>
      <w:pPr>
        <w:pStyle w:val="5"/>
        <w:spacing w:before="0" w:line="400" w:lineRule="exact"/>
        <w:ind w:left="1079" w:leftChars="257" w:hanging="540"/>
        <w:rPr>
          <w:rFonts w:cs="宋体" w:asciiTheme="minorEastAsia" w:hAnsiTheme="minorEastAsia" w:eastAsiaTheme="minorEastAsia"/>
          <w:color w:val="000000"/>
        </w:rPr>
      </w:pPr>
      <w:bookmarkStart w:id="104" w:name="_Toc520356159"/>
      <w:bookmarkStart w:id="105" w:name="_Toc518923078"/>
      <w:bookmarkStart w:id="106" w:name="_Toc22303"/>
      <w:bookmarkStart w:id="107" w:name="_Toc9633"/>
      <w:bookmarkStart w:id="108" w:name="_Toc30674_WPSOffice_Level1"/>
      <w:bookmarkStart w:id="109" w:name="_Toc216582808"/>
      <w:r>
        <w:rPr>
          <w:rFonts w:hint="eastAsia" w:cs="宋体" w:asciiTheme="minorEastAsia" w:hAnsiTheme="minorEastAsia" w:eastAsiaTheme="minorEastAsia"/>
          <w:color w:val="000000"/>
          <w:sz w:val="24"/>
        </w:rPr>
        <w:t>四   响应文件的递交</w:t>
      </w:r>
      <w:bookmarkEnd w:id="104"/>
      <w:bookmarkEnd w:id="105"/>
      <w:bookmarkEnd w:id="106"/>
      <w:bookmarkEnd w:id="107"/>
      <w:bookmarkEnd w:id="108"/>
      <w:bookmarkEnd w:id="109"/>
    </w:p>
    <w:p>
      <w:pPr>
        <w:pStyle w:val="7"/>
        <w:spacing w:before="0" w:after="0" w:line="400" w:lineRule="exact"/>
        <w:rPr>
          <w:rFonts w:cs="宋体" w:asciiTheme="minorEastAsia" w:hAnsiTheme="minorEastAsia" w:eastAsiaTheme="minorEastAsia"/>
          <w:color w:val="000000"/>
          <w:u w:val="none"/>
        </w:rPr>
      </w:pPr>
      <w:bookmarkStart w:id="110" w:name="_Toc24004_WPSOffice_Level2"/>
      <w:bookmarkStart w:id="111" w:name="_Toc22654_WPSOffice_Level2"/>
      <w:bookmarkStart w:id="112" w:name="_Toc518923079"/>
      <w:bookmarkStart w:id="113" w:name="_Toc13247"/>
      <w:bookmarkStart w:id="114" w:name="_Toc520356160"/>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ascii="宋体" w:hAnsi="宋体" w:eastAsia="宋体" w:cs="宋体"/>
          <w:color w:val="auto"/>
          <w:kern w:val="2"/>
          <w:sz w:val="24"/>
          <w:szCs w:val="24"/>
          <w:highlight w:val="none"/>
          <w:lang w:val="en-US" w:eastAsia="zh-CN" w:bidi="ar-SA"/>
        </w:rPr>
        <w:t>为方便评审及进行资格审查，</w:t>
      </w:r>
      <w:r>
        <w:rPr>
          <w:rFonts w:hint="eastAsia" w:cs="宋体" w:asciiTheme="minorEastAsia" w:hAnsiTheme="minorEastAsia" w:eastAsiaTheme="minorEastAsia"/>
          <w:sz w:val="24"/>
        </w:rPr>
        <w:t>供应商</w:t>
      </w:r>
      <w:r>
        <w:rPr>
          <w:rFonts w:hint="eastAsia" w:ascii="宋体" w:hAnsi="宋体" w:eastAsia="宋体" w:cs="宋体"/>
          <w:color w:val="auto"/>
          <w:kern w:val="2"/>
          <w:sz w:val="24"/>
          <w:szCs w:val="24"/>
          <w:highlight w:val="none"/>
          <w:lang w:val="en-US" w:eastAsia="zh-CN" w:bidi="ar-SA"/>
        </w:rPr>
        <w:t>应完整地按磋商文件提供的响应文件格式及要求编写响应文件，</w:t>
      </w:r>
      <w:r>
        <w:rPr>
          <w:rFonts w:hint="eastAsia" w:cs="宋体" w:asciiTheme="minorEastAsia" w:hAnsiTheme="minorEastAsia" w:eastAsiaTheme="minorEastAsia"/>
          <w:sz w:val="24"/>
        </w:rPr>
        <w:t>供应商</w:t>
      </w:r>
      <w:r>
        <w:rPr>
          <w:rFonts w:hint="eastAsia" w:ascii="宋体" w:hAnsi="宋体" w:eastAsia="宋体" w:cs="宋体"/>
          <w:color w:val="auto"/>
          <w:kern w:val="2"/>
          <w:sz w:val="24"/>
          <w:szCs w:val="24"/>
          <w:highlight w:val="none"/>
          <w:lang w:val="en-US" w:eastAsia="zh-CN" w:bidi="ar-SA"/>
        </w:rPr>
        <w:t>须在投标截止时间前完成在系统上递交电子响应文件。</w:t>
      </w:r>
      <w:r>
        <w:rPr>
          <w:rFonts w:hint="eastAsia" w:cs="宋体" w:asciiTheme="minorEastAsia" w:hAnsiTheme="minorEastAsia" w:eastAsiaTheme="minorEastAsia"/>
          <w:sz w:val="24"/>
        </w:rPr>
        <w:t>供应商</w:t>
      </w:r>
      <w:r>
        <w:rPr>
          <w:rFonts w:hint="eastAsia" w:ascii="宋体" w:hAnsi="宋体" w:eastAsia="宋体" w:cs="宋体"/>
          <w:color w:val="auto"/>
          <w:kern w:val="2"/>
          <w:sz w:val="24"/>
          <w:szCs w:val="24"/>
          <w:highlight w:val="none"/>
          <w:lang w:val="en-US" w:eastAsia="zh-CN" w:bidi="ar-SA"/>
        </w:rPr>
        <w:t>的电子响应文件是经过CA证书加密后上传提交的，任何单位或个人均无法在投标截止时间(即投标时间)之前查看或篡改，不存在泄密风险。（严格按照政采云电子投标流程制作并上传电子响应文件）</w:t>
      </w:r>
      <w:bookmarkStart w:id="115" w:name="16.投标截止"/>
      <w:bookmarkEnd w:id="115"/>
      <w:r>
        <w:rPr>
          <w:rFonts w:hint="eastAsia" w:ascii="宋体" w:hAnsi="宋体" w:eastAsia="宋体" w:cs="宋体"/>
          <w:color w:val="auto"/>
          <w:kern w:val="2"/>
          <w:sz w:val="24"/>
          <w:szCs w:val="24"/>
          <w:highlight w:val="none"/>
          <w:lang w:val="en-US" w:eastAsia="zh-CN" w:bidi="ar-SA"/>
        </w:rPr>
        <w:t>。</w:t>
      </w:r>
    </w:p>
    <w:p>
      <w:pPr>
        <w:pStyle w:val="7"/>
        <w:spacing w:before="0" w:after="0" w:line="400" w:lineRule="exact"/>
        <w:rPr>
          <w:rFonts w:cs="宋体" w:asciiTheme="minorEastAsia" w:hAnsiTheme="minorEastAsia" w:eastAsiaTheme="minorEastAsia"/>
          <w:u w:val="none"/>
        </w:rPr>
      </w:pPr>
      <w:bookmarkStart w:id="116" w:name="_Toc518923080"/>
      <w:bookmarkStart w:id="117" w:name="_Toc178_WPSOffice_Level2"/>
      <w:bookmarkStart w:id="118" w:name="_Toc14358_WPSOffice_Level2"/>
      <w:bookmarkStart w:id="119" w:name="_Toc25787"/>
      <w:bookmarkStart w:id="120" w:name="_Toc520356161"/>
      <w:r>
        <w:rPr>
          <w:rFonts w:hint="eastAsia" w:cs="宋体" w:asciiTheme="minorEastAsia" w:hAnsiTheme="minorEastAsia" w:eastAsiaTheme="minorEastAsia"/>
          <w:u w:val="none"/>
        </w:rPr>
        <w:t>16.磋商截止</w:t>
      </w:r>
      <w:bookmarkEnd w:id="116"/>
      <w:bookmarkEnd w:id="117"/>
      <w:bookmarkEnd w:id="118"/>
      <w:bookmarkEnd w:id="119"/>
      <w:bookmarkEnd w:id="120"/>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w:t>
      </w:r>
      <w:r>
        <w:rPr>
          <w:rFonts w:hint="eastAsia" w:ascii="宋体" w:hAnsi="宋体" w:eastAsia="宋体" w:cs="宋体"/>
          <w:color w:val="auto"/>
          <w:spacing w:val="-5"/>
          <w:sz w:val="24"/>
        </w:rPr>
        <w:t>将</w:t>
      </w:r>
      <w:r>
        <w:rPr>
          <w:rFonts w:hint="eastAsia" w:ascii="宋体" w:hAnsi="宋体" w:cs="宋体"/>
          <w:color w:val="auto"/>
          <w:spacing w:val="-5"/>
          <w:sz w:val="24"/>
          <w:lang w:eastAsia="zh-CN"/>
        </w:rPr>
        <w:t>响应</w:t>
      </w:r>
      <w:r>
        <w:rPr>
          <w:rFonts w:hint="eastAsia" w:ascii="宋体" w:hAnsi="宋体" w:eastAsia="宋体" w:cs="宋体"/>
          <w:color w:val="auto"/>
          <w:spacing w:val="-5"/>
          <w:sz w:val="24"/>
        </w:rPr>
        <w:t>文件上传至</w:t>
      </w:r>
      <w:r>
        <w:rPr>
          <w:rFonts w:hint="eastAsia" w:ascii="宋体" w:hAnsi="宋体" w:eastAsia="宋体" w:cs="宋体"/>
          <w:color w:val="auto"/>
          <w:sz w:val="24"/>
        </w:rPr>
        <w:t>新疆维吾尔自治区政府采购网</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7"/>
        <w:spacing w:before="0" w:after="0" w:line="400" w:lineRule="exact"/>
        <w:rPr>
          <w:rFonts w:cs="宋体" w:asciiTheme="minorEastAsia" w:hAnsiTheme="minorEastAsia" w:eastAsiaTheme="minorEastAsia"/>
          <w:u w:val="none"/>
        </w:rPr>
      </w:pPr>
      <w:bookmarkStart w:id="121" w:name="_Toc13921"/>
      <w:bookmarkStart w:id="122" w:name="_Toc518923081"/>
      <w:bookmarkStart w:id="123" w:name="_Toc520356162"/>
      <w:bookmarkStart w:id="124" w:name="_Toc17985_WPSOffice_Level2"/>
      <w:bookmarkStart w:id="125" w:name="_Toc26522_WPSOffice_Level2"/>
      <w:r>
        <w:rPr>
          <w:rFonts w:hint="eastAsia" w:cs="宋体" w:asciiTheme="minorEastAsia" w:hAnsiTheme="minorEastAsia" w:eastAsiaTheme="minorEastAsia"/>
          <w:u w:val="none"/>
        </w:rPr>
        <w:t>17.响应文件的接收、修改与撤回</w:t>
      </w:r>
      <w:bookmarkEnd w:id="121"/>
      <w:bookmarkEnd w:id="122"/>
      <w:bookmarkEnd w:id="123"/>
      <w:bookmarkEnd w:id="124"/>
      <w:bookmarkEnd w:id="125"/>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w:t>
      </w:r>
      <w:r>
        <w:rPr>
          <w:rFonts w:hint="eastAsia" w:ascii="宋体" w:hAnsi="宋体" w:eastAsia="宋体" w:cs="宋体"/>
          <w:color w:val="auto"/>
          <w:sz w:val="24"/>
          <w:highlight w:val="none"/>
        </w:rPr>
        <w:t>投标人将无法上传投标文件</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上传</w:t>
      </w:r>
      <w:r>
        <w:rPr>
          <w:rFonts w:hint="eastAsia" w:cs="宋体" w:asciiTheme="minorEastAsia" w:hAnsiTheme="minorEastAsia" w:eastAsiaTheme="minorEastAsia"/>
          <w:sz w:val="24"/>
          <w:lang w:eastAsia="zh-CN"/>
        </w:rPr>
        <w:t>响应</w:t>
      </w:r>
      <w:r>
        <w:rPr>
          <w:rFonts w:hint="eastAsia" w:cs="宋体" w:asciiTheme="minorEastAsia" w:hAnsiTheme="minorEastAsia" w:eastAsiaTheme="minorEastAsia"/>
          <w:sz w:val="24"/>
        </w:rPr>
        <w:t>文件以后，在投标截止时间前供应商可随时进行修改或撤回投标文件。</w:t>
      </w:r>
    </w:p>
    <w:p>
      <w:pPr>
        <w:spacing w:line="400" w:lineRule="exact"/>
        <w:ind w:left="900" w:hanging="900" w:hangingChars="375"/>
        <w:rPr>
          <w:rFonts w:hint="eastAsia" w:cs="宋体" w:asciiTheme="minorEastAsia" w:hAnsiTheme="minorEastAsia" w:eastAsiaTheme="minorEastAsia"/>
          <w:sz w:val="24"/>
        </w:rPr>
      </w:pPr>
      <w:r>
        <w:rPr>
          <w:rFonts w:hint="eastAsia" w:cs="宋体" w:asciiTheme="minorEastAsia" w:hAnsiTheme="minorEastAsia" w:eastAsiaTheme="minorEastAsia"/>
          <w:sz w:val="24"/>
        </w:rPr>
        <w:t>17.3   在投标截止期之后，采购人和采购代理机构不接受投标人主动对其投标文件做任何修改。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ab/>
      </w:r>
      <w:bookmarkStart w:id="126" w:name="_Toc520356163"/>
      <w:bookmarkStart w:id="127" w:name="_Toc216582809"/>
      <w:bookmarkStart w:id="128" w:name="_Toc10257"/>
      <w:bookmarkStart w:id="129" w:name="_Toc518923082"/>
      <w:r>
        <w:rPr>
          <w:rFonts w:hint="eastAsia" w:cs="宋体" w:asciiTheme="minorEastAsia" w:hAnsiTheme="minorEastAsia" w:eastAsiaTheme="minorEastAsia"/>
          <w:sz w:val="24"/>
        </w:rPr>
        <w:t>采购人和采购代理机构对所接收电子投标文件概不退回。</w:t>
      </w:r>
    </w:p>
    <w:p>
      <w:pPr>
        <w:pStyle w:val="5"/>
        <w:spacing w:before="0" w:line="400" w:lineRule="exact"/>
        <w:ind w:left="1079" w:leftChars="257" w:hanging="540"/>
        <w:rPr>
          <w:rFonts w:cs="宋体" w:asciiTheme="minorEastAsia" w:hAnsiTheme="minorEastAsia" w:eastAsiaTheme="minorEastAsia"/>
        </w:rPr>
      </w:pPr>
      <w:bookmarkStart w:id="130" w:name="_Toc5445"/>
      <w:bookmarkStart w:id="131" w:name="_Toc6601_WPSOffice_Level1"/>
      <w:r>
        <w:rPr>
          <w:rFonts w:hint="eastAsia" w:cs="宋体" w:asciiTheme="minorEastAsia" w:hAnsiTheme="minorEastAsia" w:eastAsiaTheme="minorEastAsia"/>
          <w:sz w:val="24"/>
        </w:rPr>
        <w:t>五   磋商开启及</w:t>
      </w:r>
      <w:bookmarkEnd w:id="126"/>
      <w:bookmarkEnd w:id="127"/>
      <w:bookmarkEnd w:id="128"/>
      <w:bookmarkEnd w:id="129"/>
      <w:r>
        <w:rPr>
          <w:rFonts w:hint="eastAsia" w:cs="宋体" w:asciiTheme="minorEastAsia" w:hAnsiTheme="minorEastAsia" w:eastAsiaTheme="minorEastAsia"/>
          <w:sz w:val="24"/>
        </w:rPr>
        <w:t>评审</w:t>
      </w:r>
      <w:bookmarkEnd w:id="130"/>
      <w:bookmarkEnd w:id="131"/>
    </w:p>
    <w:p>
      <w:pPr>
        <w:pStyle w:val="7"/>
        <w:spacing w:before="0" w:after="0" w:line="400" w:lineRule="exact"/>
        <w:rPr>
          <w:rFonts w:cs="宋体" w:asciiTheme="minorEastAsia" w:hAnsiTheme="minorEastAsia" w:eastAsiaTheme="minorEastAsia"/>
          <w:u w:val="none"/>
        </w:rPr>
      </w:pPr>
      <w:bookmarkStart w:id="132" w:name="_Toc520356164"/>
      <w:bookmarkStart w:id="133" w:name="_Toc8653"/>
      <w:bookmarkStart w:id="134" w:name="_Toc518923083"/>
      <w:bookmarkStart w:id="135" w:name="_Toc13011_WPSOffice_Level2"/>
      <w:bookmarkStart w:id="136" w:name="_Toc32308_WPSOffice_Level2"/>
      <w:r>
        <w:rPr>
          <w:rFonts w:hint="eastAsia" w:cs="宋体" w:asciiTheme="minorEastAsia" w:hAnsiTheme="minorEastAsia" w:eastAsiaTheme="minorEastAsia"/>
          <w:u w:val="none"/>
        </w:rPr>
        <w:t>18.</w:t>
      </w:r>
      <w:bookmarkEnd w:id="132"/>
      <w:bookmarkEnd w:id="133"/>
      <w:bookmarkEnd w:id="134"/>
      <w:r>
        <w:rPr>
          <w:rFonts w:hint="eastAsia" w:cs="宋体" w:asciiTheme="minorEastAsia" w:hAnsiTheme="minorEastAsia" w:eastAsiaTheme="minorEastAsia"/>
          <w:u w:val="none"/>
        </w:rPr>
        <w:t>磋商开启</w:t>
      </w:r>
      <w:bookmarkEnd w:id="135"/>
      <w:bookmarkEnd w:id="136"/>
    </w:p>
    <w:p>
      <w:pPr>
        <w:pageBreakBefore w:val="0"/>
        <w:widowControl w:val="0"/>
        <w:kinsoku/>
        <w:wordWrap/>
        <w:overflowPunct/>
        <w:topLinePunct w:val="0"/>
        <w:bidi w:val="0"/>
        <w:snapToGrid/>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w:t>
      </w:r>
      <w:r>
        <w:rPr>
          <w:rFonts w:hint="eastAsia" w:cs="宋体" w:asciiTheme="minorEastAsia" w:hAnsiTheme="minorEastAsia" w:eastAsiaTheme="minorEastAsia"/>
          <w:sz w:val="24"/>
          <w:lang w:val="en-US" w:eastAsia="zh-CN"/>
        </w:rPr>
        <w:t>并邀请所有供应商代表线上参加</w:t>
      </w:r>
      <w:r>
        <w:rPr>
          <w:rFonts w:hint="eastAsia" w:cs="宋体" w:asciiTheme="minorEastAsia" w:hAnsiTheme="minorEastAsia" w:eastAsiaTheme="minorEastAsia"/>
          <w:sz w:val="24"/>
        </w:rPr>
        <w:t xml:space="preserve">。  </w:t>
      </w:r>
    </w:p>
    <w:p>
      <w:pPr>
        <w:pageBreakBefore w:val="0"/>
        <w:widowControl w:val="0"/>
        <w:kinsoku/>
        <w:wordWrap/>
        <w:overflowPunct/>
        <w:topLinePunct w:val="0"/>
        <w:bidi w:val="0"/>
        <w:snapToGrid/>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pageBreakBefore w:val="0"/>
        <w:widowControl w:val="0"/>
        <w:kinsoku/>
        <w:wordWrap/>
        <w:overflowPunct/>
        <w:topLinePunct w:val="0"/>
        <w:bidi w:val="0"/>
        <w:snapToGrid/>
        <w:spacing w:line="400" w:lineRule="exact"/>
        <w:ind w:left="960" w:hanging="960" w:hangingChars="400"/>
        <w:rPr>
          <w:rFonts w:hint="eastAsia" w:cs="宋体" w:asciiTheme="minorEastAsia" w:hAnsiTheme="minorEastAsia" w:eastAsiaTheme="minorEastAsia"/>
          <w:sz w:val="24"/>
        </w:rPr>
      </w:pPr>
      <w:r>
        <w:rPr>
          <w:rFonts w:hint="eastAsia" w:cs="宋体" w:asciiTheme="minorEastAsia" w:hAnsiTheme="minorEastAsia" w:eastAsiaTheme="minorEastAsia"/>
          <w:sz w:val="24"/>
        </w:rPr>
        <w:t>18.2    供应商解密投标文件，解密时长为30分钟，供应商应使用与加密时使用的同一把 CA 锁进行解密操作，如出现非供应商自身原因造成的无法解密，由采购代理机构使用备用投标文件进行解密操作</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lang w:val="en-US" w:eastAsia="zh-CN"/>
        </w:rPr>
        <w:t>应当按照本磋商文件载明的时间和模式等要求参加开标。开标时，</w:t>
      </w: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lang w:val="en-US" w:eastAsia="zh-CN"/>
        </w:rPr>
        <w:t>应当使用上传本项目（采购包）电子响应文件时加密所用数字证书在开始解密后按照代理机构规定的时间内完成电子响应文件的解密，如遇不可抗力等其他特殊情况，采购代理机构可视情况延长解密时间。</w:t>
      </w: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lang w:val="en-US" w:eastAsia="zh-CN"/>
        </w:rPr>
        <w:t>未携带数字证书或其他非系统原因导致的在规定时间内未解密响应文件，将作无效投标处理。（采用不见面电子开标，各</w:t>
      </w: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lang w:val="en-US" w:eastAsia="zh-CN"/>
        </w:rPr>
        <w:t>在参加开标以前须自行对使用电脑的网络环境、驱动安装、客户端安装以及数字证书的有效性等进行检测，确保可以正常使用）</w:t>
      </w:r>
      <w:r>
        <w:rPr>
          <w:rFonts w:hint="eastAsia" w:cs="宋体" w:asciiTheme="minorEastAsia" w:hAnsiTheme="minorEastAsia" w:eastAsiaTheme="minorEastAsia"/>
          <w:sz w:val="24"/>
        </w:rPr>
        <w:t>。</w:t>
      </w:r>
      <w:bookmarkStart w:id="137" w:name="_Toc520356165"/>
      <w:bookmarkStart w:id="138" w:name="_Toc34"/>
      <w:bookmarkStart w:id="139" w:name="_Toc4350_WPSOffice_Level2"/>
      <w:bookmarkStart w:id="140" w:name="_Toc21320_WPSOffice_Level2"/>
      <w:bookmarkStart w:id="141" w:name="_Toc518923084"/>
    </w:p>
    <w:p>
      <w:pPr>
        <w:pageBreakBefore w:val="0"/>
        <w:widowControl w:val="0"/>
        <w:kinsoku/>
        <w:wordWrap/>
        <w:overflowPunct/>
        <w:topLinePunct w:val="0"/>
        <w:bidi w:val="0"/>
        <w:snapToGrid/>
        <w:spacing w:line="400" w:lineRule="exact"/>
        <w:ind w:left="960" w:hanging="960" w:hangingChars="40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18.3    组织评审委员会以不记名投票的形式选定评审委员会主任，并宣读评标会纪律，对评标委员会进行通讯工具管制及宣读相关法律法规。</w:t>
      </w:r>
    </w:p>
    <w:p>
      <w:pPr>
        <w:pageBreakBefore w:val="0"/>
        <w:widowControl w:val="0"/>
        <w:kinsoku/>
        <w:wordWrap/>
        <w:overflowPunct/>
        <w:topLinePunct w:val="0"/>
        <w:bidi w:val="0"/>
        <w:snapToGrid/>
        <w:spacing w:line="400" w:lineRule="exact"/>
        <w:ind w:left="960" w:hanging="840" w:hangingChars="40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u w:val="none"/>
        </w:rPr>
        <w:t>18.</w:t>
      </w:r>
      <w:r>
        <w:rPr>
          <w:rFonts w:hint="eastAsia" w:cs="宋体" w:asciiTheme="minorEastAsia" w:hAnsiTheme="minorEastAsia" w:eastAsiaTheme="minorEastAsia"/>
          <w:u w:val="none"/>
          <w:lang w:val="en-US" w:eastAsia="zh-CN"/>
        </w:rPr>
        <w:t>4</w:t>
      </w:r>
      <w:r>
        <w:rPr>
          <w:rFonts w:hint="eastAsia" w:cs="宋体" w:asciiTheme="minorEastAsia" w:hAnsiTheme="minorEastAsia" w:eastAsiaTheme="minorEastAsia"/>
          <w:u w:val="none"/>
        </w:rPr>
        <w:t xml:space="preserve">  </w:t>
      </w:r>
      <w:r>
        <w:rPr>
          <w:rFonts w:hint="eastAsia" w:cs="宋体" w:asciiTheme="minorEastAsia" w:hAnsiTheme="minorEastAsia" w:eastAsiaTheme="minorEastAsia"/>
          <w:u w:val="none"/>
          <w:lang w:val="en-US" w:eastAsia="zh-CN"/>
        </w:rPr>
        <w:t xml:space="preserve">  </w:t>
      </w:r>
      <w:r>
        <w:rPr>
          <w:rFonts w:hint="eastAsia" w:cs="宋体" w:asciiTheme="minorEastAsia" w:hAnsiTheme="minorEastAsia" w:eastAsiaTheme="minorEastAsia"/>
          <w:sz w:val="24"/>
          <w:lang w:val="en-US" w:eastAsia="zh-CN"/>
        </w:rPr>
        <w:t xml:space="preserve"> 由代理公司工作人员开启报价文件并由</w:t>
      </w: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lang w:val="en-US" w:eastAsia="zh-CN"/>
        </w:rPr>
        <w:t>代表在线 CA 签字确认，报价确认时段限制为 10 分钟，由评审委员会进行报价评审及政策价格认定。</w:t>
      </w: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lang w:val="en-US" w:eastAsia="zh-CN"/>
        </w:rPr>
      </w:pPr>
      <w:r>
        <w:rPr>
          <w:rFonts w:hint="eastAsia" w:cs="宋体" w:asciiTheme="minorEastAsia" w:hAnsiTheme="minorEastAsia" w:eastAsiaTheme="minorEastAsia"/>
          <w:u w:val="none"/>
          <w:lang w:val="en-US" w:eastAsia="zh-CN"/>
        </w:rPr>
        <w:t>18.5    采购代理机构将对开标过程进行记录，由参加开标的相关工作人员签字确认，并存档备查。</w:t>
      </w: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lang w:eastAsia="zh-CN"/>
        </w:rPr>
      </w:pPr>
      <w:r>
        <w:rPr>
          <w:rFonts w:hint="eastAsia" w:cs="宋体" w:asciiTheme="minorEastAsia" w:hAnsiTheme="minorEastAsia" w:eastAsiaTheme="minorEastAsia"/>
          <w:u w:val="none"/>
          <w:lang w:val="en-US" w:eastAsia="zh-CN"/>
        </w:rPr>
        <w:t>18.6    供应商</w:t>
      </w:r>
      <w:r>
        <w:rPr>
          <w:rFonts w:hint="eastAsia" w:cs="宋体" w:asciiTheme="minorEastAsia" w:hAnsiTheme="minorEastAsia" w:eastAsiaTheme="minorEastAsia"/>
          <w:u w:val="none"/>
        </w:rPr>
        <w:t>代表对开标过程和开标记录有疑义，以及认为采购人、采购代理机构相关工作人员有需要回避的情形的，应当场提出询问或者回避申请</w:t>
      </w:r>
      <w:r>
        <w:rPr>
          <w:rFonts w:hint="eastAsia" w:cs="宋体" w:asciiTheme="minorEastAsia" w:hAnsiTheme="minorEastAsia" w:eastAsiaTheme="minorEastAsia"/>
          <w:u w:val="none"/>
          <w:lang w:eastAsia="zh-CN"/>
        </w:rPr>
        <w:t>。</w:t>
      </w: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lang w:eastAsia="zh-CN"/>
        </w:rPr>
      </w:pPr>
      <w:r>
        <w:rPr>
          <w:rFonts w:hint="eastAsia" w:cs="宋体" w:asciiTheme="minorEastAsia" w:hAnsiTheme="minorEastAsia" w:eastAsiaTheme="minorEastAsia"/>
          <w:u w:val="none"/>
          <w:lang w:val="en-US" w:eastAsia="zh-CN"/>
        </w:rPr>
        <w:t xml:space="preserve">18.7    </w:t>
      </w:r>
      <w:r>
        <w:rPr>
          <w:rFonts w:hint="eastAsia" w:cs="宋体" w:asciiTheme="minorEastAsia" w:hAnsiTheme="minorEastAsia" w:eastAsiaTheme="minorEastAsia"/>
          <w:u w:val="none"/>
        </w:rPr>
        <w:t>电子开标的相关注意事项：</w:t>
      </w: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lang w:eastAsia="zh-CN"/>
        </w:rPr>
      </w:pPr>
      <w:r>
        <w:rPr>
          <w:rFonts w:hint="eastAsia" w:cs="宋体" w:asciiTheme="minorEastAsia" w:hAnsiTheme="minorEastAsia" w:eastAsiaTheme="minorEastAsia"/>
          <w:u w:val="none"/>
          <w:lang w:val="en-US" w:eastAsia="zh-CN"/>
        </w:rPr>
        <w:t xml:space="preserve">18.7.1   </w:t>
      </w:r>
      <w:r>
        <w:rPr>
          <w:rFonts w:hint="eastAsia" w:cs="宋体" w:asciiTheme="minorEastAsia" w:hAnsiTheme="minorEastAsia" w:eastAsiaTheme="minorEastAsia"/>
          <w:u w:val="none"/>
          <w:lang w:eastAsia="zh-CN"/>
        </w:rPr>
        <w:t>本项目为电子招投标，</w:t>
      </w:r>
      <w:r>
        <w:rPr>
          <w:rFonts w:hint="eastAsia" w:cs="宋体" w:asciiTheme="minorEastAsia" w:hAnsiTheme="minorEastAsia" w:eastAsiaTheme="minorEastAsia"/>
          <w:u w:val="none"/>
          <w:lang w:val="en-US" w:eastAsia="zh-CN"/>
        </w:rPr>
        <w:t>供应商</w:t>
      </w:r>
      <w:r>
        <w:rPr>
          <w:rFonts w:hint="eastAsia" w:cs="宋体" w:asciiTheme="minorEastAsia" w:hAnsiTheme="minorEastAsia" w:eastAsiaTheme="minorEastAsia"/>
          <w:u w:val="none"/>
          <w:lang w:eastAsia="zh-CN"/>
        </w:rPr>
        <w:t>需要使用 CA 加密设备，凡参加本项目可自主通过新疆 CA 申领渠道“新疆政务通”申请政采云平台可使用的 CA 设备，如原有兵团或公共资源使用的 CA，可与新疆 CA 联系，申请增加电子证书即可，无需重复申领。</w:t>
      </w:r>
    </w:p>
    <w:p>
      <w:pPr>
        <w:pStyle w:val="2"/>
        <w:pageBreakBefore w:val="0"/>
        <w:widowControl w:val="0"/>
        <w:kinsoku/>
        <w:wordWrap/>
        <w:overflowPunct/>
        <w:topLinePunct w:val="0"/>
        <w:bidi w:val="0"/>
        <w:snapToGrid/>
        <w:spacing w:line="400" w:lineRule="exact"/>
        <w:ind w:left="0" w:leftChars="0" w:firstLine="0" w:firstLineChars="0"/>
        <w:rPr>
          <w:rFonts w:hint="eastAsia"/>
        </w:rPr>
      </w:pP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lang w:eastAsia="zh-CN"/>
        </w:rPr>
      </w:pPr>
      <w:r>
        <w:rPr>
          <w:rFonts w:hint="eastAsia" w:cs="宋体" w:asciiTheme="minorEastAsia" w:hAnsiTheme="minorEastAsia" w:eastAsiaTheme="minorEastAsia"/>
          <w:u w:val="none"/>
          <w:lang w:val="en-US" w:eastAsia="zh-CN"/>
        </w:rPr>
        <w:t xml:space="preserve">18.7.3  </w:t>
      </w:r>
      <w:r>
        <w:rPr>
          <w:rFonts w:hint="eastAsia" w:cs="宋体" w:asciiTheme="minorEastAsia" w:hAnsiTheme="minorEastAsia" w:eastAsiaTheme="minorEastAsia"/>
          <w:u w:val="none"/>
          <w:lang w:eastAsia="zh-CN"/>
        </w:rPr>
        <w:t>各</w:t>
      </w:r>
      <w:r>
        <w:rPr>
          <w:rFonts w:hint="eastAsia" w:cs="宋体" w:asciiTheme="minorEastAsia" w:hAnsiTheme="minorEastAsia" w:eastAsiaTheme="minorEastAsia"/>
          <w:u w:val="none"/>
          <w:lang w:val="en-US" w:eastAsia="zh-CN"/>
        </w:rPr>
        <w:t>供应商</w:t>
      </w:r>
      <w:r>
        <w:rPr>
          <w:rFonts w:hint="eastAsia" w:cs="宋体" w:asciiTheme="minorEastAsia" w:hAnsiTheme="minorEastAsia" w:eastAsiaTheme="minorEastAsia"/>
          <w:u w:val="none"/>
          <w:lang w:eastAsia="zh-CN"/>
        </w:rPr>
        <w:t>应在开标前确保成为新疆维吾尔自治区政府采购网正式注册入库投标人，并完成 CA 数字证书申领。因未注册入库、未办理 CA 数字证书等原因造成无法投标或投标失败等后果由</w:t>
      </w:r>
      <w:r>
        <w:rPr>
          <w:rFonts w:hint="eastAsia" w:cs="宋体" w:asciiTheme="minorEastAsia" w:hAnsiTheme="minorEastAsia" w:eastAsiaTheme="minorEastAsia"/>
          <w:u w:val="none"/>
          <w:lang w:val="en-US" w:eastAsia="zh-CN"/>
        </w:rPr>
        <w:t>供应商</w:t>
      </w:r>
      <w:r>
        <w:rPr>
          <w:rFonts w:hint="eastAsia" w:cs="宋体" w:asciiTheme="minorEastAsia" w:hAnsiTheme="minorEastAsia" w:eastAsiaTheme="minorEastAsia"/>
          <w:u w:val="none"/>
          <w:lang w:eastAsia="zh-CN"/>
        </w:rPr>
        <w:t>自行承担。</w:t>
      </w: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lang w:eastAsia="zh-CN"/>
        </w:rPr>
      </w:pPr>
      <w:r>
        <w:rPr>
          <w:rFonts w:hint="eastAsia" w:cs="宋体" w:asciiTheme="minorEastAsia" w:hAnsiTheme="minorEastAsia" w:eastAsiaTheme="minorEastAsia"/>
          <w:u w:val="none"/>
          <w:lang w:val="en-US" w:eastAsia="zh-CN"/>
        </w:rPr>
        <w:t>18.7.4   供应商</w:t>
      </w:r>
      <w:r>
        <w:rPr>
          <w:rFonts w:hint="eastAsia" w:cs="宋体" w:asciiTheme="minorEastAsia" w:hAnsiTheme="minorEastAsia" w:eastAsiaTheme="minorEastAsia"/>
          <w:u w:val="none"/>
          <w:lang w:eastAsia="zh-CN"/>
        </w:rPr>
        <w:t>将政采云电子交易客户端下载、安装完成后，可通过账号密码或CA 登录客户端进行投标文件制作。在使用政采云投标客户端时，建议使 用 WIN7 及 以 上 操 作 系 统 。 客 户 端 请 至 新 疆 政 府 采 购 网</w:t>
      </w:r>
      <w:r>
        <w:rPr>
          <w:rFonts w:hint="eastAsia" w:cs="宋体" w:asciiTheme="minorEastAsia" w:hAnsiTheme="minorEastAsia" w:eastAsiaTheme="minorEastAsia"/>
          <w:u w:val="none"/>
          <w:lang w:eastAsia="zh-CN"/>
        </w:rPr>
        <w:fldChar w:fldCharType="begin"/>
      </w:r>
      <w:r>
        <w:rPr>
          <w:rFonts w:hint="eastAsia" w:cs="宋体" w:asciiTheme="minorEastAsia" w:hAnsiTheme="minorEastAsia" w:eastAsiaTheme="minorEastAsia"/>
          <w:u w:val="none"/>
          <w:lang w:eastAsia="zh-CN"/>
        </w:rPr>
        <w:instrText xml:space="preserve"> HYPERLINK "http://www.ccgp-xinjiang.gov.cn/" \h </w:instrText>
      </w:r>
      <w:r>
        <w:rPr>
          <w:rFonts w:hint="eastAsia" w:cs="宋体" w:asciiTheme="minorEastAsia" w:hAnsiTheme="minorEastAsia" w:eastAsiaTheme="minorEastAsia"/>
          <w:u w:val="none"/>
          <w:lang w:eastAsia="zh-CN"/>
        </w:rPr>
        <w:fldChar w:fldCharType="separate"/>
      </w:r>
      <w:r>
        <w:rPr>
          <w:rFonts w:hint="eastAsia" w:cs="宋体" w:asciiTheme="minorEastAsia" w:hAnsiTheme="minorEastAsia" w:eastAsiaTheme="minorEastAsia"/>
          <w:u w:val="none"/>
          <w:lang w:eastAsia="zh-CN"/>
        </w:rPr>
        <w:t>（http://www.ccgp-xinjiang.gov.cn/</w:t>
      </w:r>
      <w:r>
        <w:rPr>
          <w:rFonts w:hint="eastAsia" w:cs="宋体" w:asciiTheme="minorEastAsia" w:hAnsiTheme="minorEastAsia" w:eastAsiaTheme="minorEastAsia"/>
          <w:u w:val="none"/>
          <w:lang w:eastAsia="zh-CN"/>
        </w:rPr>
        <w:fldChar w:fldCharType="end"/>
      </w:r>
      <w:r>
        <w:rPr>
          <w:rFonts w:hint="eastAsia" w:cs="宋体" w:asciiTheme="minorEastAsia" w:hAnsiTheme="minorEastAsia" w:eastAsiaTheme="minorEastAsia"/>
          <w:u w:val="none"/>
          <w:lang w:eastAsia="zh-CN"/>
        </w:rPr>
        <w:t>）</w:t>
      </w:r>
    </w:p>
    <w:p>
      <w:pPr>
        <w:pStyle w:val="7"/>
        <w:pageBreakBefore w:val="0"/>
        <w:widowControl w:val="0"/>
        <w:kinsoku/>
        <w:wordWrap/>
        <w:overflowPunct/>
        <w:topLinePunct w:val="0"/>
        <w:bidi w:val="0"/>
        <w:snapToGrid/>
        <w:spacing w:before="0" w:after="0" w:line="400" w:lineRule="exact"/>
        <w:ind w:left="957" w:leftChars="456" w:firstLine="0" w:firstLineChars="0"/>
        <w:rPr>
          <w:rFonts w:hint="eastAsia" w:cs="宋体" w:asciiTheme="minorEastAsia" w:hAnsiTheme="minorEastAsia" w:eastAsiaTheme="minorEastAsia"/>
          <w:u w:val="none"/>
          <w:lang w:eastAsia="zh-CN"/>
        </w:rPr>
      </w:pPr>
      <w:r>
        <w:rPr>
          <w:rFonts w:hint="eastAsia" w:cs="宋体" w:asciiTheme="minorEastAsia" w:hAnsiTheme="minorEastAsia" w:eastAsiaTheme="minorEastAsia"/>
          <w:u w:val="none"/>
          <w:lang w:eastAsia="zh-CN"/>
        </w:rPr>
        <w:t>下载专区查看，如有问题可拨打政采云客户服务热线 95763 进行咨询。</w:t>
      </w: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lang w:eastAsia="zh-CN"/>
        </w:rPr>
      </w:pPr>
      <w:r>
        <w:rPr>
          <w:rFonts w:hint="eastAsia" w:cs="宋体" w:asciiTheme="minorEastAsia" w:hAnsiTheme="minorEastAsia" w:eastAsiaTheme="minorEastAsia"/>
          <w:u w:val="none"/>
          <w:lang w:val="en-US" w:eastAsia="zh-CN"/>
        </w:rPr>
        <w:t>18.7.5  供应商</w:t>
      </w:r>
      <w:r>
        <w:rPr>
          <w:rFonts w:hint="eastAsia" w:cs="宋体" w:asciiTheme="minorEastAsia" w:hAnsiTheme="minorEastAsia" w:eastAsiaTheme="minorEastAsia"/>
          <w:u w:val="none"/>
          <w:lang w:eastAsia="zh-CN"/>
        </w:rPr>
        <w:t>在开标时须使用制作加密电子投标文件所使用的 CA 锁及电脑，电脑须提前配置好浏览器（建议使用谷歌浏览器），以便开标时解锁。</w:t>
      </w: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lang w:eastAsia="zh-CN"/>
        </w:rPr>
      </w:pPr>
      <w:r>
        <w:rPr>
          <w:rFonts w:hint="eastAsia" w:cs="宋体" w:asciiTheme="minorEastAsia" w:hAnsiTheme="minorEastAsia" w:eastAsiaTheme="minorEastAsia"/>
          <w:u w:val="none"/>
          <w:lang w:val="en-US" w:eastAsia="zh-CN"/>
        </w:rPr>
        <w:t xml:space="preserve">18.7.6   </w:t>
      </w:r>
      <w:r>
        <w:rPr>
          <w:rFonts w:hint="eastAsia" w:cs="宋体" w:asciiTheme="minorEastAsia" w:hAnsiTheme="minorEastAsia" w:eastAsiaTheme="minorEastAsia"/>
          <w:u w:val="none"/>
          <w:lang w:eastAsia="zh-CN"/>
        </w:rPr>
        <w:t>供 应 商 对 不 见 面 开 评 标 系 统 的 技 术 操 作 咨 询 ， 可 通 过https://edu.zcygov.cn/luban/xinjiang-e-biding 自助查询，也可在政采云帮助中心常见问题解答和操作流程讲解视频中自助查询，网址为： https://service.zcygov.cn/#/help，“项目采购”—“操作流程-电子招投标”—“政府采购项目电子交易管理操作指南-投标人”版面获取操作指南，同时对自助查询无法解决的问题可通过钉钉群及政采云在 线客服获取服务支持。投标人钉钉群号：政采云新疆投标人服务 1 号群： 30349928（如已加入 1-11 群，无需重复加入，十一个群联动直播）， 钉钉工具软件具有回放功能，直播培训结束后可在钉钉群中回放观看学习。</w:t>
      </w:r>
    </w:p>
    <w:p>
      <w:pPr>
        <w:pStyle w:val="7"/>
        <w:pageBreakBefore w:val="0"/>
        <w:widowControl w:val="0"/>
        <w:kinsoku/>
        <w:wordWrap/>
        <w:overflowPunct/>
        <w:topLinePunct w:val="0"/>
        <w:bidi w:val="0"/>
        <w:snapToGrid/>
        <w:spacing w:before="0" w:after="0" w:line="400" w:lineRule="exact"/>
        <w:ind w:left="960" w:hanging="960" w:hangingChars="400"/>
        <w:rPr>
          <w:rFonts w:hint="eastAsia" w:cs="宋体" w:asciiTheme="minorEastAsia" w:hAnsiTheme="minorEastAsia" w:eastAsiaTheme="minorEastAsia"/>
          <w:u w:val="none"/>
        </w:rPr>
      </w:pPr>
      <w:r>
        <w:rPr>
          <w:rFonts w:hint="eastAsia" w:cs="宋体" w:asciiTheme="minorEastAsia" w:hAnsiTheme="minorEastAsia" w:eastAsiaTheme="minorEastAsia"/>
          <w:u w:val="none"/>
          <w:lang w:val="en-US" w:eastAsia="zh-CN"/>
        </w:rPr>
        <w:t xml:space="preserve">18.7.8   </w:t>
      </w:r>
      <w:r>
        <w:rPr>
          <w:rFonts w:hint="eastAsia" w:cs="宋体" w:asciiTheme="minorEastAsia" w:hAnsiTheme="minorEastAsia" w:eastAsiaTheme="minorEastAsia"/>
          <w:u w:val="none"/>
        </w:rPr>
        <w:t>政 采 云 线 上 获 取 招 标 文 件 方 法 ： 供 应 商 登 陆 政 采 云 平 台</w:t>
      </w:r>
      <w:r>
        <w:rPr>
          <w:rFonts w:hint="eastAsia" w:cs="宋体" w:asciiTheme="minorEastAsia" w:hAnsiTheme="minorEastAsia" w:eastAsiaTheme="minorEastAsia"/>
          <w:u w:val="none"/>
        </w:rPr>
        <w:fldChar w:fldCharType="begin"/>
      </w:r>
      <w:r>
        <w:rPr>
          <w:rFonts w:hint="eastAsia" w:cs="宋体" w:asciiTheme="minorEastAsia" w:hAnsiTheme="minorEastAsia" w:eastAsiaTheme="minorEastAsia"/>
          <w:u w:val="none"/>
        </w:rPr>
        <w:instrText xml:space="preserve"> HYPERLINK "http://www.zcygov.cn/" \h </w:instrText>
      </w:r>
      <w:r>
        <w:rPr>
          <w:rFonts w:hint="eastAsia" w:cs="宋体" w:asciiTheme="minorEastAsia" w:hAnsiTheme="minorEastAsia" w:eastAsiaTheme="minorEastAsia"/>
          <w:u w:val="none"/>
        </w:rPr>
        <w:fldChar w:fldCharType="separate"/>
      </w:r>
      <w:r>
        <w:rPr>
          <w:rFonts w:hint="eastAsia" w:cs="宋体" w:asciiTheme="minorEastAsia" w:hAnsiTheme="minorEastAsia" w:eastAsiaTheme="minorEastAsia"/>
          <w:u w:val="none"/>
        </w:rPr>
        <w:t>http://www.zcygov.cn/</w:t>
      </w:r>
      <w:r>
        <w:rPr>
          <w:rFonts w:hint="eastAsia" w:cs="宋体" w:asciiTheme="minorEastAsia" w:hAnsiTheme="minorEastAsia" w:eastAsiaTheme="minorEastAsia"/>
          <w:u w:val="none"/>
        </w:rPr>
        <w:fldChar w:fldCharType="end"/>
      </w:r>
      <w:r>
        <w:rPr>
          <w:rFonts w:hint="eastAsia" w:cs="宋体" w:asciiTheme="minorEastAsia" w:hAnsiTheme="minorEastAsia" w:eastAsiaTheme="minorEastAsia"/>
          <w:u w:val="none"/>
        </w:rPr>
        <w:t>，在线申请获取采购文件（登录政府采购云平台 → 项目采购 → 获取采购文件 → 申请，审核通过后可下载招标文件，如有操作性问题，可与政采云在线客服进行咨询，咨询电话：</w:t>
      </w:r>
      <w:r>
        <w:rPr>
          <w:rFonts w:hint="eastAsia" w:cs="宋体" w:asciiTheme="minorEastAsia" w:hAnsiTheme="minorEastAsia" w:eastAsiaTheme="minorEastAsia"/>
          <w:u w:val="none"/>
          <w:lang w:eastAsia="zh-CN"/>
        </w:rPr>
        <w:t>95763</w:t>
      </w:r>
      <w:r>
        <w:rPr>
          <w:rFonts w:hint="eastAsia" w:cs="宋体" w:asciiTheme="minorEastAsia" w:hAnsiTheme="minorEastAsia" w:eastAsiaTheme="minorEastAsia"/>
          <w:u w:val="none"/>
        </w:rPr>
        <w:t>）</w:t>
      </w:r>
    </w:p>
    <w:p>
      <w:pPr>
        <w:rPr>
          <w:rFonts w:hint="eastAsia"/>
        </w:rPr>
      </w:pPr>
    </w:p>
    <w:p>
      <w:pPr>
        <w:pStyle w:val="7"/>
        <w:spacing w:before="0" w:after="0" w:line="400" w:lineRule="exact"/>
        <w:rPr>
          <w:rFonts w:cs="宋体" w:asciiTheme="minorEastAsia" w:hAnsiTheme="minorEastAsia" w:eastAsiaTheme="minorEastAsia"/>
          <w:u w:val="none"/>
        </w:rPr>
      </w:pPr>
      <w:r>
        <w:rPr>
          <w:rFonts w:hint="eastAsia" w:cs="宋体" w:asciiTheme="minorEastAsia" w:hAnsiTheme="minorEastAsia" w:eastAsiaTheme="minorEastAsia"/>
          <w:u w:val="none"/>
        </w:rPr>
        <w:t>19</w:t>
      </w:r>
      <w:bookmarkEnd w:id="137"/>
      <w:r>
        <w:rPr>
          <w:rFonts w:hint="eastAsia" w:cs="宋体" w:asciiTheme="minorEastAsia" w:hAnsiTheme="minorEastAsia" w:eastAsiaTheme="minorEastAsia"/>
          <w:u w:val="none"/>
        </w:rPr>
        <w:t>.资格审查及组建评审委员会</w:t>
      </w:r>
      <w:bookmarkEnd w:id="138"/>
      <w:bookmarkEnd w:id="139"/>
      <w:bookmarkEnd w:id="140"/>
      <w:bookmarkEnd w:id="141"/>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w:t>
      </w:r>
      <w:r>
        <w:rPr>
          <w:rFonts w:hint="eastAsia" w:cs="宋体" w:asciiTheme="minorEastAsia" w:hAnsiTheme="minorEastAsia" w:eastAsiaTheme="minorEastAsia"/>
          <w:b/>
          <w:bCs/>
          <w:sz w:val="24"/>
          <w:lang w:eastAsia="zh-CN"/>
        </w:rPr>
        <w:t>的资格要求</w:t>
      </w:r>
      <w:r>
        <w:rPr>
          <w:rFonts w:hint="eastAsia" w:cs="宋体" w:asciiTheme="minorEastAsia" w:hAnsiTheme="minorEastAsia" w:eastAsiaTheme="minorEastAsia"/>
          <w:b/>
          <w:bCs/>
          <w:sz w:val="24"/>
        </w:rPr>
        <w:t>：详见第三章资格审查表。</w:t>
      </w:r>
    </w:p>
    <w:p>
      <w:pPr>
        <w:widowControl/>
        <w:spacing w:line="400" w:lineRule="exact"/>
        <w:ind w:left="960" w:hanging="960" w:hangingChars="400"/>
        <w:jc w:val="lef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pStyle w:val="6"/>
        <w:pageBreakBefore w:val="0"/>
        <w:kinsoku/>
        <w:wordWrap/>
        <w:overflowPunct/>
        <w:topLinePunct w:val="0"/>
        <w:bidi w:val="0"/>
        <w:spacing w:line="420" w:lineRule="exact"/>
        <w:ind w:left="850" w:hanging="849" w:hangingChars="354"/>
        <w:jc w:val="both"/>
        <w:textAlignment w:val="auto"/>
        <w:rPr>
          <w:rFonts w:hint="eastAsia" w:ascii="宋体" w:hAnsi="宋体" w:eastAsia="宋体" w:cs="宋体"/>
          <w:color w:val="auto"/>
          <w:szCs w:val="24"/>
          <w:highlight w:val="none"/>
        </w:rPr>
      </w:pPr>
      <w:r>
        <w:rPr>
          <w:rFonts w:hint="eastAsia" w:cs="宋体" w:asciiTheme="minorEastAsia" w:hAnsiTheme="minorEastAsia" w:eastAsiaTheme="minorEastAsia"/>
          <w:sz w:val="24"/>
        </w:rPr>
        <w:t>19.2.2 查询及记录方式：</w:t>
      </w:r>
      <w:r>
        <w:rPr>
          <w:rFonts w:hint="eastAsia" w:ascii="宋体" w:hAnsi="宋体" w:eastAsia="宋体" w:cs="宋体"/>
          <w:color w:val="auto"/>
          <w:szCs w:val="24"/>
          <w:highlight w:val="none"/>
        </w:rPr>
        <w:t>采购人或采购代理机构经办人将查询网页</w:t>
      </w:r>
      <w:r>
        <w:rPr>
          <w:rFonts w:hint="eastAsia" w:ascii="宋体" w:hAnsi="宋体" w:eastAsia="宋体" w:cs="宋体"/>
          <w:color w:val="auto"/>
          <w:szCs w:val="24"/>
          <w:highlight w:val="none"/>
          <w:lang w:val="en-US" w:eastAsia="zh-CN"/>
        </w:rPr>
        <w:t>截图通过开标系统上传至政采云平台</w:t>
      </w:r>
      <w:r>
        <w:rPr>
          <w:rFonts w:hint="eastAsia" w:ascii="宋体" w:hAnsi="宋体" w:eastAsia="宋体" w:cs="宋体"/>
          <w:color w:val="auto"/>
          <w:szCs w:val="24"/>
          <w:highlight w:val="none"/>
        </w:rPr>
        <w:t>并存档备查。</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不良信用记录以采购人或采购代理机构查询结果为准。</w:t>
      </w:r>
    </w:p>
    <w:p>
      <w:pPr>
        <w:pStyle w:val="6"/>
        <w:pageBreakBefore w:val="0"/>
        <w:kinsoku/>
        <w:wordWrap/>
        <w:overflowPunct/>
        <w:topLinePunct w:val="0"/>
        <w:bidi w:val="0"/>
        <w:spacing w:line="420" w:lineRule="exact"/>
        <w:ind w:left="718" w:leftChars="342" w:firstLine="0"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在本</w:t>
      </w:r>
      <w:r>
        <w:rPr>
          <w:rFonts w:hint="eastAsia" w:ascii="宋体" w:hAnsi="宋体" w:eastAsia="宋体" w:cs="宋体"/>
          <w:color w:val="auto"/>
          <w:szCs w:val="24"/>
          <w:highlight w:val="none"/>
          <w:lang w:eastAsia="zh-CN"/>
        </w:rPr>
        <w:t>招标文件</w:t>
      </w:r>
      <w:r>
        <w:rPr>
          <w:rFonts w:hint="eastAsia" w:ascii="宋体" w:hAnsi="宋体" w:eastAsia="宋体" w:cs="宋体"/>
          <w:color w:val="auto"/>
          <w:szCs w:val="24"/>
          <w:highlight w:val="none"/>
        </w:rPr>
        <w:t>规定的查询时间之后，网站信息发生的任何变更均不再作为评标依据。</w:t>
      </w:r>
    </w:p>
    <w:p>
      <w:pPr>
        <w:pStyle w:val="6"/>
        <w:pageBreakBefore w:val="0"/>
        <w:kinsoku/>
        <w:wordWrap/>
        <w:overflowPunct/>
        <w:topLinePunct w:val="0"/>
        <w:bidi w:val="0"/>
        <w:spacing w:line="420" w:lineRule="exact"/>
        <w:ind w:left="718" w:leftChars="342" w:firstLine="0" w:firstLineChars="0"/>
        <w:jc w:val="both"/>
        <w:textAlignment w:val="auto"/>
        <w:rPr>
          <w:rFonts w:cs="宋体" w:asciiTheme="minorEastAsia" w:hAnsiTheme="minorEastAsia" w:eastAsiaTheme="minorEastAsia"/>
        </w:rPr>
      </w:pP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2" w:name="_Toc520356166"/>
    </w:p>
    <w:p>
      <w:pPr>
        <w:pStyle w:val="7"/>
        <w:spacing w:before="0" w:after="0" w:line="400" w:lineRule="exact"/>
        <w:rPr>
          <w:rFonts w:cs="宋体" w:asciiTheme="minorEastAsia" w:hAnsiTheme="minorEastAsia" w:eastAsiaTheme="minorEastAsia"/>
          <w:bCs/>
          <w:bdr w:val="single" w:color="auto" w:sz="4" w:space="0"/>
        </w:rPr>
      </w:pPr>
      <w:bookmarkStart w:id="143" w:name="_Toc17843_WPSOffice_Level2"/>
      <w:bookmarkStart w:id="144" w:name="_Toc6842"/>
      <w:bookmarkStart w:id="145" w:name="_Toc31689_WPSOffice_Level2"/>
      <w:bookmarkStart w:id="146" w:name="_Toc518923085"/>
      <w:r>
        <w:rPr>
          <w:rFonts w:hint="eastAsia" w:cs="宋体" w:asciiTheme="minorEastAsia" w:hAnsiTheme="minorEastAsia" w:eastAsiaTheme="minorEastAsia"/>
          <w:u w:val="none"/>
        </w:rPr>
        <w:t>20.响应文件的</w:t>
      </w:r>
      <w:bookmarkEnd w:id="142"/>
      <w:r>
        <w:rPr>
          <w:rFonts w:hint="eastAsia" w:cs="宋体" w:asciiTheme="minorEastAsia" w:hAnsiTheme="minorEastAsia" w:eastAsiaTheme="minorEastAsia"/>
          <w:u w:val="none"/>
        </w:rPr>
        <w:t>符合性审查与澄清</w:t>
      </w:r>
      <w:bookmarkEnd w:id="143"/>
      <w:bookmarkEnd w:id="144"/>
      <w:bookmarkEnd w:id="145"/>
      <w:bookmarkEnd w:id="146"/>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7" w:name="_Hlt522424701"/>
      <w:bookmarkEnd w:id="147"/>
      <w:bookmarkStart w:id="148"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sz w:val="24"/>
        </w:rPr>
        <w:t xml:space="preserve">20.3   </w:t>
      </w:r>
      <w:r>
        <w:rPr>
          <w:rFonts w:hint="eastAsia" w:cs="宋体" w:asciiTheme="minorEastAsia" w:hAnsiTheme="minorEastAsia" w:eastAsiaTheme="minorEastAsia"/>
          <w:color w:val="auto"/>
          <w:sz w:val="24"/>
        </w:rPr>
        <w:t>响应文件报价出现前后不一致的，按照下列规定修正：</w:t>
      </w:r>
    </w:p>
    <w:p>
      <w:pPr>
        <w:spacing w:line="400" w:lineRule="exact"/>
        <w:ind w:left="1020" w:hanging="1020" w:hangingChars="4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p>
    <w:p>
      <w:pPr>
        <w:pStyle w:val="7"/>
        <w:spacing w:before="0" w:after="0" w:line="400" w:lineRule="exact"/>
        <w:rPr>
          <w:rFonts w:cs="宋体" w:asciiTheme="minorEastAsia" w:hAnsiTheme="minorEastAsia" w:eastAsiaTheme="minorEastAsia"/>
          <w:u w:val="none"/>
        </w:rPr>
      </w:pPr>
      <w:bookmarkStart w:id="149" w:name="_Toc8603"/>
      <w:bookmarkStart w:id="150" w:name="_Toc518923086"/>
      <w:bookmarkStart w:id="151" w:name="_Toc6346_WPSOffice_Level2"/>
      <w:bookmarkStart w:id="152" w:name="_Toc26452_WPSOffice_Level2"/>
      <w:r>
        <w:rPr>
          <w:rFonts w:hint="eastAsia" w:cs="宋体" w:asciiTheme="minorEastAsia" w:hAnsiTheme="minorEastAsia" w:eastAsiaTheme="minorEastAsia"/>
          <w:u w:val="none"/>
        </w:rPr>
        <w:t>21.响应偏离</w:t>
      </w:r>
      <w:bookmarkEnd w:id="149"/>
      <w:bookmarkEnd w:id="150"/>
      <w:bookmarkEnd w:id="151"/>
      <w:bookmarkEnd w:id="152"/>
    </w:p>
    <w:p>
      <w:pPr>
        <w:spacing w:line="400" w:lineRule="exact"/>
        <w:ind w:left="847" w:leftChars="99" w:hanging="640" w:hangingChars="267"/>
        <w:rPr>
          <w:rFonts w:cs="宋体" w:asciiTheme="minorEastAsia" w:hAnsiTheme="minorEastAsia" w:eastAsiaTheme="minorEastAsia"/>
          <w:sz w:val="24"/>
        </w:rPr>
      </w:pPr>
      <w:r>
        <w:rPr>
          <w:rFonts w:hint="eastAsia" w:cs="宋体" w:asciiTheme="minorEastAsia" w:hAnsiTheme="minorEastAsia" w:eastAsiaTheme="minorEastAsia"/>
          <w:sz w:val="24"/>
        </w:rPr>
        <w:t xml:space="preserve">     评审委员会可以接受响应文件中不构成实质性偏离的不正规或不一致</w:t>
      </w:r>
      <w:r>
        <w:rPr>
          <w:rFonts w:hint="eastAsia" w:cs="宋体" w:asciiTheme="minorEastAsia" w:hAnsiTheme="minorEastAsia" w:eastAsiaTheme="minorEastAsia"/>
          <w:b/>
          <w:bCs/>
          <w:sz w:val="24"/>
        </w:rPr>
        <w:t>。</w:t>
      </w:r>
    </w:p>
    <w:p>
      <w:pPr>
        <w:pStyle w:val="7"/>
        <w:spacing w:before="0" w:after="0" w:line="400" w:lineRule="exact"/>
        <w:rPr>
          <w:rFonts w:cs="宋体" w:asciiTheme="minorEastAsia" w:hAnsiTheme="minorEastAsia" w:eastAsiaTheme="minorEastAsia"/>
          <w:u w:val="none"/>
        </w:rPr>
      </w:pPr>
      <w:bookmarkStart w:id="153" w:name="_Toc518923087"/>
      <w:bookmarkStart w:id="154" w:name="_Toc25255"/>
      <w:bookmarkStart w:id="155" w:name="_Toc11645_WPSOffice_Level2"/>
      <w:bookmarkStart w:id="156" w:name="_Toc25236_WPSOffice_Level2"/>
      <w:r>
        <w:rPr>
          <w:rFonts w:hint="eastAsia" w:cs="宋体" w:asciiTheme="minorEastAsia" w:hAnsiTheme="minorEastAsia" w:eastAsiaTheme="minorEastAsia"/>
          <w:u w:val="none"/>
        </w:rPr>
        <w:t>22.响应无效</w:t>
      </w:r>
      <w:bookmarkEnd w:id="153"/>
      <w:bookmarkEnd w:id="154"/>
      <w:bookmarkEnd w:id="155"/>
      <w:bookmarkEnd w:id="156"/>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本项目不要求缴纳投标保证金</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7" w:name="_Toc20835"/>
      <w:bookmarkStart w:id="158" w:name="_Toc518923088"/>
      <w:bookmarkStart w:id="159" w:name="_Toc22743_WPSOffice_Level2"/>
      <w:bookmarkStart w:id="160" w:name="_Toc14330_WPSOffice_Level2"/>
      <w:r>
        <w:rPr>
          <w:rFonts w:hint="eastAsia" w:cs="宋体" w:asciiTheme="minorEastAsia" w:hAnsiTheme="minorEastAsia" w:eastAsiaTheme="minorEastAsia"/>
          <w:b/>
          <w:bCs/>
          <w:sz w:val="24"/>
        </w:rPr>
        <w:t>23</w:t>
      </w:r>
      <w:bookmarkEnd w:id="148"/>
      <w:r>
        <w:rPr>
          <w:rFonts w:hint="eastAsia" w:cs="宋体" w:asciiTheme="minorEastAsia" w:hAnsiTheme="minorEastAsia" w:eastAsiaTheme="minorEastAsia"/>
          <w:b/>
          <w:bCs/>
          <w:sz w:val="24"/>
        </w:rPr>
        <w:t>.比较与评价</w:t>
      </w:r>
      <w:bookmarkEnd w:id="157"/>
      <w:bookmarkEnd w:id="158"/>
      <w:bookmarkEnd w:id="159"/>
      <w:bookmarkEnd w:id="160"/>
    </w:p>
    <w:p>
      <w:pPr>
        <w:spacing w:line="400" w:lineRule="exact"/>
        <w:ind w:left="900" w:hanging="900" w:hangingChars="375"/>
        <w:rPr>
          <w:rFonts w:cs="宋体" w:asciiTheme="minorEastAsia" w:hAnsiTheme="minorEastAsia" w:eastAsiaTheme="minorEastAsia"/>
          <w:color w:val="auto"/>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w:t>
      </w:r>
      <w:r>
        <w:rPr>
          <w:rFonts w:hint="eastAsia" w:cs="宋体" w:asciiTheme="minorEastAsia" w:hAnsiTheme="minorEastAsia" w:eastAsiaTheme="minorEastAsia"/>
          <w:color w:val="auto"/>
          <w:sz w:val="24"/>
        </w:rPr>
        <w:t>审方法和标准，对其技术部分和商务部分作进一步的比较和评价。</w:t>
      </w:r>
    </w:p>
    <w:p>
      <w:pPr>
        <w:pStyle w:val="16"/>
        <w:ind w:left="718" w:leftChars="342" w:firstLine="240" w:firstLineChars="100"/>
        <w:rPr>
          <w:rFonts w:cs="宋体" w:asciiTheme="minorEastAsia" w:hAnsiTheme="minorEastAsia" w:eastAsiaTheme="minorEastAsia"/>
          <w:b/>
          <w:bCs/>
          <w:color w:val="auto"/>
          <w:sz w:val="24"/>
          <w:u w:val="single"/>
        </w:rPr>
      </w:pPr>
      <w:r>
        <w:rPr>
          <w:rFonts w:hint="eastAsia" w:cs="宋体" w:asciiTheme="minorEastAsia" w:hAnsiTheme="minorEastAsia" w:eastAsiaTheme="minorEastAsia"/>
          <w:b/>
          <w:bCs/>
          <w:color w:val="auto"/>
          <w:sz w:val="24"/>
          <w:u w:val="single"/>
        </w:rPr>
        <w:t>竞争性磋商，磋商小组所有成员集中与单一供应商分别进行磋商，并给予所有参加磋商的供应商平等的磋商机会，经磋商确定最终采购需求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2"/>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2"/>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2"/>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评分方法：综合评分法</w:t>
      </w:r>
    </w:p>
    <w:p>
      <w:pPr>
        <w:pStyle w:val="12"/>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w:t>
      </w:r>
      <w:bookmarkStart w:id="707" w:name="_GoBack"/>
      <w:r>
        <w:rPr>
          <w:rFonts w:hint="eastAsia" w:cs="宋体" w:asciiTheme="minorEastAsia" w:hAnsiTheme="minorEastAsia" w:eastAsiaTheme="minorEastAsia"/>
          <w:sz w:val="24"/>
          <w:szCs w:val="24"/>
        </w:rPr>
        <w:t>中小企业</w:t>
      </w:r>
      <w:bookmarkEnd w:id="707"/>
      <w:r>
        <w:rPr>
          <w:rFonts w:hint="eastAsia" w:cs="宋体" w:asciiTheme="minorEastAsia" w:hAnsiTheme="minorEastAsia" w:eastAsiaTheme="minorEastAsia"/>
          <w:sz w:val="24"/>
          <w:szCs w:val="24"/>
        </w:rPr>
        <w:t>发展暂行办法》（财库[2011]181号）、《财政部 司法部关于政府采购支持监狱企业发展有关问题的通知》（财库〔2014〕68号）和《三部门联合发布关于促进残疾人就业政府采购政策的通知》（</w:t>
      </w:r>
      <w:bookmarkStart w:id="161" w:name="sendNo"/>
      <w:r>
        <w:rPr>
          <w:rFonts w:hint="eastAsia" w:cs="宋体" w:asciiTheme="minorEastAsia" w:hAnsiTheme="minorEastAsia" w:eastAsiaTheme="minorEastAsia"/>
          <w:sz w:val="24"/>
          <w:szCs w:val="24"/>
        </w:rPr>
        <w:t>财库〔</w:t>
      </w:r>
      <w:bookmarkEnd w:id="161"/>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10%后参与评审。具体办法详见磋商文件第6章。</w:t>
      </w:r>
    </w:p>
    <w:p>
      <w:pPr>
        <w:pStyle w:val="12"/>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w:t>
      </w:r>
    </w:p>
    <w:p>
      <w:pPr>
        <w:pStyle w:val="12"/>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7"/>
        <w:spacing w:before="0" w:after="0" w:line="300" w:lineRule="exact"/>
        <w:rPr>
          <w:rFonts w:cs="宋体" w:asciiTheme="minorEastAsia" w:hAnsiTheme="minorEastAsia" w:eastAsiaTheme="minorEastAsia"/>
          <w:kern w:val="2"/>
          <w:szCs w:val="24"/>
          <w:u w:val="none"/>
        </w:rPr>
      </w:pPr>
      <w:bookmarkStart w:id="162" w:name="_Toc520356168"/>
      <w:bookmarkStart w:id="163" w:name="_Toc27560_WPSOffice_Level2"/>
      <w:bookmarkStart w:id="164" w:name="_Toc5823"/>
      <w:bookmarkStart w:id="165" w:name="_Toc518923089"/>
      <w:bookmarkStart w:id="166" w:name="_Toc21686_WPSOffice_Level2"/>
      <w:r>
        <w:rPr>
          <w:rFonts w:hint="eastAsia" w:cs="宋体" w:asciiTheme="minorEastAsia" w:hAnsiTheme="minorEastAsia" w:eastAsiaTheme="minorEastAsia"/>
          <w:kern w:val="2"/>
          <w:szCs w:val="24"/>
          <w:u w:val="none"/>
        </w:rPr>
        <w:t>24</w:t>
      </w:r>
      <w:bookmarkEnd w:id="162"/>
      <w:r>
        <w:rPr>
          <w:rFonts w:hint="eastAsia" w:cs="宋体" w:asciiTheme="minorEastAsia" w:hAnsiTheme="minorEastAsia" w:eastAsiaTheme="minorEastAsia"/>
          <w:kern w:val="2"/>
          <w:szCs w:val="24"/>
          <w:u w:val="none"/>
        </w:rPr>
        <w:t>.废标</w:t>
      </w:r>
      <w:bookmarkEnd w:id="163"/>
      <w:bookmarkEnd w:id="164"/>
      <w:bookmarkEnd w:id="165"/>
      <w:bookmarkEnd w:id="166"/>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 xml:space="preserve">出现下列情形之一，将导致项目废标： </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 xml:space="preserve">（4）因重大变故，采购任务取消的。   </w:t>
      </w:r>
    </w:p>
    <w:p>
      <w:pPr>
        <w:pStyle w:val="7"/>
        <w:spacing w:before="0" w:after="0" w:line="300" w:lineRule="exact"/>
        <w:rPr>
          <w:rFonts w:cs="宋体" w:asciiTheme="minorEastAsia" w:hAnsiTheme="minorEastAsia" w:eastAsiaTheme="minorEastAsia"/>
          <w:u w:val="none"/>
        </w:rPr>
      </w:pPr>
      <w:bookmarkStart w:id="167" w:name="_Toc23660"/>
      <w:bookmarkStart w:id="168" w:name="_Toc4205_WPSOffice_Level2"/>
      <w:bookmarkStart w:id="169" w:name="_Toc518923090"/>
      <w:bookmarkStart w:id="170" w:name="_Toc16649_WPSOffice_Level2"/>
      <w:bookmarkStart w:id="171" w:name="_Toc520356169"/>
      <w:r>
        <w:rPr>
          <w:rFonts w:hint="eastAsia" w:cs="宋体" w:asciiTheme="minorEastAsia" w:hAnsiTheme="minorEastAsia" w:eastAsiaTheme="minorEastAsia"/>
          <w:u w:val="none"/>
        </w:rPr>
        <w:t>25.保密原则</w:t>
      </w:r>
      <w:bookmarkEnd w:id="167"/>
      <w:bookmarkEnd w:id="168"/>
      <w:bookmarkEnd w:id="169"/>
      <w:bookmarkEnd w:id="170"/>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hint="eastAsia" w:cs="宋体" w:asciiTheme="minorEastAsia" w:hAnsiTheme="minorEastAsia" w:eastAsiaTheme="minorEastAsia"/>
          <w:sz w:val="24"/>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2" w:name="_Toc216582810"/>
      <w:bookmarkStart w:id="173" w:name="_Toc10964"/>
      <w:bookmarkStart w:id="174" w:name="_Toc518923091"/>
      <w:bookmarkStart w:id="175" w:name="_Toc4193_WPSOffice_Level1"/>
      <w:bookmarkStart w:id="176" w:name="_Toc15697"/>
    </w:p>
    <w:p>
      <w:pPr>
        <w:pStyle w:val="11"/>
        <w:rPr>
          <w:rFonts w:hint="eastAsia" w:cs="宋体" w:asciiTheme="minorEastAsia" w:hAnsiTheme="minorEastAsia" w:eastAsiaTheme="minorEastAsia"/>
          <w:sz w:val="24"/>
        </w:rPr>
      </w:pPr>
    </w:p>
    <w:p>
      <w:pPr>
        <w:pStyle w:val="5"/>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六   </w:t>
      </w:r>
      <w:bookmarkEnd w:id="171"/>
      <w:r>
        <w:rPr>
          <w:rFonts w:hint="eastAsia" w:cs="宋体" w:asciiTheme="minorEastAsia" w:hAnsiTheme="minorEastAsia" w:eastAsiaTheme="minorEastAsia"/>
          <w:sz w:val="24"/>
        </w:rPr>
        <w:t>确定</w:t>
      </w:r>
      <w:bookmarkEnd w:id="172"/>
      <w:bookmarkEnd w:id="173"/>
      <w:bookmarkEnd w:id="174"/>
      <w:r>
        <w:rPr>
          <w:rFonts w:hint="eastAsia" w:cs="宋体" w:asciiTheme="minorEastAsia" w:hAnsiTheme="minorEastAsia" w:eastAsiaTheme="minorEastAsia"/>
          <w:sz w:val="24"/>
        </w:rPr>
        <w:t>成交</w:t>
      </w:r>
      <w:bookmarkEnd w:id="175"/>
      <w:bookmarkEnd w:id="176"/>
    </w:p>
    <w:p>
      <w:pPr>
        <w:pStyle w:val="6"/>
        <w:spacing w:line="300" w:lineRule="exact"/>
        <w:rPr>
          <w:rFonts w:cs="宋体" w:asciiTheme="minorEastAsia" w:hAnsiTheme="minorEastAsia" w:eastAsiaTheme="minorEastAsia"/>
        </w:rPr>
      </w:pPr>
    </w:p>
    <w:p>
      <w:pPr>
        <w:pStyle w:val="7"/>
        <w:spacing w:before="0" w:after="0" w:line="300" w:lineRule="exact"/>
        <w:rPr>
          <w:rFonts w:cs="宋体" w:asciiTheme="minorEastAsia" w:hAnsiTheme="minorEastAsia" w:eastAsiaTheme="minorEastAsia"/>
          <w:color w:val="000000"/>
          <w:u w:val="none"/>
        </w:rPr>
      </w:pPr>
      <w:bookmarkStart w:id="177" w:name="_Toc518923092"/>
      <w:bookmarkStart w:id="178" w:name="_Toc31921_WPSOffice_Level2"/>
      <w:bookmarkStart w:id="179" w:name="_Toc4749_WPSOffice_Level2"/>
      <w:bookmarkStart w:id="180" w:name="_Toc32578"/>
      <w:bookmarkStart w:id="181" w:name="_Toc520356170"/>
      <w:bookmarkStart w:id="182" w:name="_Ref467307010"/>
      <w:r>
        <w:rPr>
          <w:rFonts w:hint="eastAsia" w:cs="宋体" w:asciiTheme="minorEastAsia" w:hAnsiTheme="minorEastAsia" w:eastAsiaTheme="minorEastAsia"/>
          <w:color w:val="000000"/>
          <w:u w:val="none"/>
        </w:rPr>
        <w:t>26.成交候选人的确定原则及标准</w:t>
      </w:r>
      <w:bookmarkEnd w:id="177"/>
      <w:bookmarkEnd w:id="178"/>
      <w:bookmarkEnd w:id="179"/>
      <w:bookmarkEnd w:id="180"/>
      <w:bookmarkEnd w:id="181"/>
      <w:bookmarkEnd w:id="18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7"/>
        <w:spacing w:before="0" w:after="0" w:line="300" w:lineRule="exact"/>
        <w:rPr>
          <w:rFonts w:cs="宋体" w:asciiTheme="minorEastAsia" w:hAnsiTheme="minorEastAsia" w:eastAsiaTheme="minorEastAsia"/>
          <w:color w:val="000000"/>
          <w:u w:val="none"/>
        </w:rPr>
      </w:pPr>
      <w:bookmarkStart w:id="183" w:name="_Toc520356171"/>
      <w:bookmarkStart w:id="184" w:name="_Toc3689_WPSOffice_Level2"/>
      <w:bookmarkStart w:id="185" w:name="_Toc518923093"/>
      <w:bookmarkStart w:id="186" w:name="_Toc2420_WPSOffice_Level2"/>
      <w:bookmarkStart w:id="187" w:name="_Toc10555"/>
      <w:r>
        <w:rPr>
          <w:rFonts w:hint="eastAsia" w:cs="宋体" w:asciiTheme="minorEastAsia" w:hAnsiTheme="minorEastAsia" w:eastAsiaTheme="minorEastAsia"/>
          <w:color w:val="000000"/>
          <w:u w:val="none"/>
        </w:rPr>
        <w:t>27</w:t>
      </w:r>
      <w:bookmarkEnd w:id="183"/>
      <w:r>
        <w:rPr>
          <w:rFonts w:hint="eastAsia" w:cs="宋体" w:asciiTheme="minorEastAsia" w:hAnsiTheme="minorEastAsia" w:eastAsiaTheme="minorEastAsia"/>
          <w:color w:val="000000"/>
          <w:u w:val="none"/>
        </w:rPr>
        <w:t>.确定成交候选人和成交人</w:t>
      </w:r>
      <w:bookmarkEnd w:id="184"/>
      <w:bookmarkEnd w:id="185"/>
      <w:bookmarkEnd w:id="186"/>
      <w:bookmarkEnd w:id="187"/>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7"/>
        <w:tabs>
          <w:tab w:val="left" w:pos="900"/>
        </w:tabs>
        <w:spacing w:before="0" w:after="0" w:line="300" w:lineRule="exact"/>
        <w:rPr>
          <w:rFonts w:cs="宋体" w:asciiTheme="minorEastAsia" w:hAnsiTheme="minorEastAsia" w:eastAsiaTheme="minorEastAsia"/>
          <w:color w:val="000000"/>
          <w:u w:val="none"/>
        </w:rPr>
      </w:pPr>
      <w:bookmarkStart w:id="188" w:name="_Ref467306874"/>
      <w:bookmarkStart w:id="189" w:name="_Toc520356173"/>
      <w:bookmarkStart w:id="190" w:name="_Toc17336_WPSOffice_Level2"/>
      <w:bookmarkStart w:id="191" w:name="_Toc620_WPSOffice_Level2"/>
      <w:bookmarkStart w:id="192" w:name="_Toc518923094"/>
      <w:bookmarkStart w:id="193" w:name="_Toc17138"/>
      <w:r>
        <w:rPr>
          <w:rFonts w:hint="eastAsia" w:cs="宋体" w:asciiTheme="minorEastAsia" w:hAnsiTheme="minorEastAsia" w:eastAsiaTheme="minorEastAsia"/>
          <w:color w:val="000000"/>
          <w:u w:val="none"/>
        </w:rPr>
        <w:t>28</w:t>
      </w:r>
      <w:bookmarkEnd w:id="188"/>
      <w:bookmarkEnd w:id="189"/>
      <w:r>
        <w:rPr>
          <w:rFonts w:hint="eastAsia" w:cs="宋体" w:asciiTheme="minorEastAsia" w:hAnsiTheme="minorEastAsia" w:eastAsiaTheme="minorEastAsia"/>
          <w:color w:val="000000"/>
          <w:u w:val="none"/>
        </w:rPr>
        <w:t>.采购任务取消</w:t>
      </w:r>
      <w:bookmarkEnd w:id="190"/>
      <w:bookmarkEnd w:id="191"/>
      <w:bookmarkEnd w:id="192"/>
      <w:bookmarkEnd w:id="193"/>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4" w:name="_Toc520356174"/>
    </w:p>
    <w:p>
      <w:pPr>
        <w:pStyle w:val="7"/>
        <w:spacing w:before="0" w:after="0" w:line="300" w:lineRule="exact"/>
        <w:rPr>
          <w:rFonts w:cs="宋体" w:asciiTheme="minorEastAsia" w:hAnsiTheme="minorEastAsia" w:eastAsiaTheme="minorEastAsia"/>
          <w:color w:val="000000"/>
          <w:u w:val="none"/>
        </w:rPr>
      </w:pPr>
      <w:bookmarkStart w:id="195" w:name="_Toc518923095"/>
      <w:bookmarkStart w:id="196" w:name="_Toc7273_WPSOffice_Level2"/>
      <w:bookmarkStart w:id="197" w:name="_Toc22810_WPSOffice_Level2"/>
      <w:bookmarkStart w:id="198" w:name="_Toc18072"/>
      <w:r>
        <w:rPr>
          <w:rFonts w:hint="eastAsia" w:cs="宋体" w:asciiTheme="minorEastAsia" w:hAnsiTheme="minorEastAsia" w:eastAsiaTheme="minorEastAsia"/>
          <w:color w:val="000000"/>
          <w:u w:val="none"/>
        </w:rPr>
        <w:t>29.成交通知书</w:t>
      </w:r>
      <w:bookmarkEnd w:id="194"/>
      <w:r>
        <w:rPr>
          <w:rFonts w:hint="eastAsia" w:cs="宋体" w:asciiTheme="minorEastAsia" w:hAnsiTheme="minorEastAsia" w:eastAsiaTheme="minorEastAsia"/>
          <w:color w:val="000000"/>
          <w:u w:val="none"/>
        </w:rPr>
        <w:t>和采购结果通知书</w:t>
      </w:r>
      <w:bookmarkEnd w:id="195"/>
      <w:bookmarkEnd w:id="196"/>
      <w:bookmarkEnd w:id="197"/>
      <w:bookmarkEnd w:id="198"/>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7"/>
        <w:spacing w:before="0" w:after="0" w:line="300" w:lineRule="exact"/>
        <w:rPr>
          <w:rFonts w:cs="宋体" w:asciiTheme="minorEastAsia" w:hAnsiTheme="minorEastAsia" w:eastAsiaTheme="minorEastAsia"/>
          <w:u w:val="none"/>
        </w:rPr>
      </w:pPr>
      <w:bookmarkStart w:id="199" w:name="_Toc520356175"/>
      <w:bookmarkStart w:id="200" w:name="_Ref467306978"/>
      <w:bookmarkStart w:id="201" w:name="_Toc16952"/>
      <w:bookmarkStart w:id="202" w:name="_Ref467306377"/>
      <w:bookmarkStart w:id="203" w:name="_Ref467307204"/>
      <w:bookmarkStart w:id="204" w:name="_Toc23285_WPSOffice_Level2"/>
      <w:bookmarkStart w:id="205" w:name="_Ref467307062"/>
      <w:bookmarkStart w:id="206" w:name="_Toc9717_WPSOffice_Level2"/>
      <w:bookmarkStart w:id="207" w:name="_Toc518923096"/>
      <w:r>
        <w:rPr>
          <w:rFonts w:hint="eastAsia" w:cs="宋体" w:asciiTheme="minorEastAsia" w:hAnsiTheme="minorEastAsia" w:eastAsiaTheme="minorEastAsia"/>
          <w:u w:val="none"/>
        </w:rPr>
        <w:t>30.签订合同</w:t>
      </w:r>
      <w:bookmarkEnd w:id="199"/>
      <w:bookmarkEnd w:id="200"/>
      <w:bookmarkEnd w:id="201"/>
      <w:bookmarkEnd w:id="202"/>
      <w:bookmarkEnd w:id="203"/>
      <w:bookmarkEnd w:id="204"/>
      <w:bookmarkEnd w:id="205"/>
      <w:bookmarkEnd w:id="206"/>
      <w:bookmarkEnd w:id="20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8" w:name="_Ref467307090"/>
      <w:bookmarkStart w:id="209" w:name="_Toc520356176"/>
      <w:bookmarkStart w:id="210"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7"/>
        <w:spacing w:before="0" w:after="0" w:line="300" w:lineRule="exact"/>
        <w:rPr>
          <w:rFonts w:cs="宋体" w:asciiTheme="minorEastAsia" w:hAnsiTheme="minorEastAsia" w:eastAsiaTheme="minorEastAsia"/>
          <w:u w:val="none"/>
        </w:rPr>
      </w:pPr>
      <w:bookmarkStart w:id="211" w:name="_Toc4147_WPSOffice_Level2"/>
      <w:bookmarkStart w:id="212" w:name="_Toc4302"/>
      <w:bookmarkStart w:id="213" w:name="_Toc10642_WPSOffice_Level2"/>
      <w:bookmarkStart w:id="214" w:name="_Toc518923097"/>
      <w:r>
        <w:rPr>
          <w:rFonts w:hint="eastAsia" w:cs="宋体" w:asciiTheme="minorEastAsia" w:hAnsiTheme="minorEastAsia" w:eastAsiaTheme="minorEastAsia"/>
          <w:u w:val="none"/>
        </w:rPr>
        <w:t>31.履约保证金</w:t>
      </w:r>
      <w:bookmarkEnd w:id="208"/>
      <w:bookmarkEnd w:id="209"/>
      <w:bookmarkEnd w:id="210"/>
      <w:bookmarkEnd w:id="211"/>
      <w:bookmarkEnd w:id="212"/>
      <w:bookmarkEnd w:id="213"/>
      <w:bookmarkEnd w:id="214"/>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7"/>
        <w:spacing w:before="0" w:after="0" w:line="300" w:lineRule="exact"/>
        <w:rPr>
          <w:rFonts w:cs="宋体" w:asciiTheme="minorEastAsia" w:hAnsiTheme="minorEastAsia" w:eastAsiaTheme="minorEastAsia"/>
          <w:u w:val="none"/>
        </w:rPr>
      </w:pPr>
      <w:bookmarkStart w:id="215" w:name="_Toc12960_WPSOffice_Level2"/>
      <w:bookmarkStart w:id="216" w:name="_Toc21635_WPSOffice_Level2"/>
      <w:bookmarkStart w:id="217" w:name="_Toc518923098"/>
      <w:bookmarkStart w:id="218" w:name="_Toc8476"/>
      <w:r>
        <w:rPr>
          <w:rFonts w:hint="eastAsia" w:cs="宋体" w:asciiTheme="minorEastAsia" w:hAnsiTheme="minorEastAsia" w:eastAsiaTheme="minorEastAsia"/>
          <w:u w:val="none"/>
        </w:rPr>
        <w:t>32.成交服务费</w:t>
      </w:r>
      <w:bookmarkEnd w:id="215"/>
      <w:bookmarkEnd w:id="216"/>
      <w:bookmarkEnd w:id="217"/>
      <w:bookmarkEnd w:id="218"/>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 xml:space="preserve">   无。</w:t>
      </w:r>
    </w:p>
    <w:p>
      <w:pPr>
        <w:pStyle w:val="7"/>
        <w:spacing w:before="0" w:after="0" w:line="300" w:lineRule="exact"/>
        <w:rPr>
          <w:rFonts w:cs="宋体" w:asciiTheme="minorEastAsia" w:hAnsiTheme="minorEastAsia" w:eastAsiaTheme="minorEastAsia"/>
          <w:u w:val="none"/>
        </w:rPr>
      </w:pPr>
      <w:bookmarkStart w:id="219" w:name="_Toc30567_WPSOffice_Level2"/>
      <w:bookmarkStart w:id="220" w:name="_Toc31411"/>
      <w:bookmarkStart w:id="221" w:name="_Toc518923099"/>
      <w:bookmarkStart w:id="222" w:name="_Toc9330_WPSOffice_Level2"/>
      <w:r>
        <w:rPr>
          <w:rFonts w:hint="eastAsia" w:cs="宋体" w:asciiTheme="minorEastAsia" w:hAnsiTheme="minorEastAsia" w:eastAsiaTheme="minorEastAsia"/>
          <w:u w:val="none"/>
        </w:rPr>
        <w:t>33.政府采购信用担保</w:t>
      </w:r>
      <w:bookmarkEnd w:id="219"/>
      <w:bookmarkEnd w:id="220"/>
      <w:bookmarkEnd w:id="221"/>
      <w:bookmarkEnd w:id="222"/>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7"/>
        <w:spacing w:before="0" w:after="0" w:line="300" w:lineRule="exact"/>
        <w:rPr>
          <w:rFonts w:cs="宋体" w:asciiTheme="minorEastAsia" w:hAnsiTheme="minorEastAsia" w:eastAsiaTheme="minorEastAsia"/>
          <w:u w:val="none"/>
        </w:rPr>
      </w:pPr>
      <w:bookmarkStart w:id="223" w:name="_Toc4701"/>
      <w:bookmarkStart w:id="224" w:name="_Toc518923100"/>
      <w:bookmarkStart w:id="225" w:name="_Toc9469_WPSOffice_Level2"/>
      <w:bookmarkStart w:id="226" w:name="_Toc5233_WPSOffice_Level2"/>
      <w:r>
        <w:rPr>
          <w:rFonts w:hint="eastAsia" w:cs="宋体" w:asciiTheme="minorEastAsia" w:hAnsiTheme="minorEastAsia" w:eastAsiaTheme="minorEastAsia"/>
          <w:u w:val="none"/>
        </w:rPr>
        <w:t>34.廉洁自律规定</w:t>
      </w:r>
      <w:bookmarkEnd w:id="223"/>
      <w:bookmarkEnd w:id="224"/>
      <w:bookmarkEnd w:id="225"/>
      <w:bookmarkEnd w:id="22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7"/>
        <w:spacing w:before="0" w:after="0" w:line="300" w:lineRule="exact"/>
        <w:rPr>
          <w:rFonts w:cs="宋体" w:asciiTheme="minorEastAsia" w:hAnsiTheme="minorEastAsia" w:eastAsiaTheme="minorEastAsia"/>
          <w:u w:val="none"/>
        </w:rPr>
      </w:pPr>
      <w:bookmarkStart w:id="227" w:name="_Toc27272_WPSOffice_Level2"/>
      <w:bookmarkStart w:id="228" w:name="_Toc27811_WPSOffice_Level2"/>
      <w:bookmarkStart w:id="229" w:name="_Toc21055"/>
      <w:bookmarkStart w:id="230" w:name="_Toc518923101"/>
      <w:r>
        <w:rPr>
          <w:rFonts w:hint="eastAsia" w:cs="宋体" w:asciiTheme="minorEastAsia" w:hAnsiTheme="minorEastAsia" w:eastAsiaTheme="minorEastAsia"/>
          <w:u w:val="none"/>
        </w:rPr>
        <w:t>35.人员回避</w:t>
      </w:r>
      <w:bookmarkEnd w:id="227"/>
      <w:bookmarkEnd w:id="228"/>
      <w:bookmarkEnd w:id="229"/>
      <w:bookmarkEnd w:id="230"/>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 xml:space="preserve"> 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  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 xml:space="preserve"> 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25"/>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25"/>
        <w:rPr>
          <w:rFonts w:asciiTheme="minorEastAsia" w:hAnsiTheme="minorEastAsia" w:eastAsiaTheme="minorEastAsia"/>
        </w:rPr>
      </w:pPr>
      <w:r>
        <w:rPr>
          <w:rFonts w:hint="eastAsia" w:asciiTheme="minorEastAsia" w:hAnsiTheme="minorEastAsia" w:eastAsiaTheme="minorEastAsia"/>
        </w:rPr>
        <w:t xml:space="preserve">        （一）质疑人的姓名或者名称；</w:t>
      </w:r>
    </w:p>
    <w:p>
      <w:pPr>
        <w:pStyle w:val="25"/>
        <w:rPr>
          <w:rFonts w:asciiTheme="minorEastAsia" w:hAnsiTheme="minorEastAsia" w:eastAsiaTheme="minorEastAsia"/>
        </w:rPr>
      </w:pPr>
      <w:r>
        <w:rPr>
          <w:rFonts w:hint="eastAsia" w:asciiTheme="minorEastAsia" w:hAnsiTheme="minorEastAsia" w:eastAsiaTheme="minorEastAsia"/>
        </w:rPr>
        <w:t xml:space="preserve">        （二）收到质疑函的日期、质疑项目名称及编号；</w:t>
      </w:r>
    </w:p>
    <w:p>
      <w:pPr>
        <w:pStyle w:val="25"/>
        <w:rPr>
          <w:rFonts w:asciiTheme="minorEastAsia" w:hAnsiTheme="minorEastAsia" w:eastAsiaTheme="minorEastAsia"/>
        </w:rPr>
      </w:pPr>
      <w:r>
        <w:rPr>
          <w:rFonts w:hint="eastAsia" w:asciiTheme="minorEastAsia" w:hAnsiTheme="minorEastAsia" w:eastAsiaTheme="minorEastAsia"/>
        </w:rPr>
        <w:t xml:space="preserve">        （三）质疑事项、质疑答复的具体内容、事实依据和法律依据；</w:t>
      </w:r>
    </w:p>
    <w:p>
      <w:pPr>
        <w:pStyle w:val="25"/>
        <w:rPr>
          <w:rFonts w:asciiTheme="minorEastAsia" w:hAnsiTheme="minorEastAsia" w:eastAsiaTheme="minorEastAsia"/>
        </w:rPr>
      </w:pPr>
      <w:r>
        <w:rPr>
          <w:rFonts w:hint="eastAsia" w:asciiTheme="minorEastAsia" w:hAnsiTheme="minorEastAsia" w:eastAsiaTheme="minorEastAsia"/>
        </w:rPr>
        <w:t xml:space="preserve">        （四）告知质疑供应商依法投诉的权利；</w:t>
      </w:r>
    </w:p>
    <w:p>
      <w:pPr>
        <w:pStyle w:val="25"/>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邮编：</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联系电话：</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地址： </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邮编：</w:t>
      </w:r>
      <w:r>
        <w:rPr>
          <w:rFonts w:hint="eastAsia" w:cs="宋体" w:asciiTheme="minorEastAsia" w:hAnsiTheme="minorEastAsia" w:eastAsiaTheme="minorEastAsia"/>
          <w:sz w:val="24"/>
          <w:u w:val="dotted"/>
        </w:rPr>
        <w:t xml:space="preserve">                                                </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包号：</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r>
        <w:rPr>
          <w:rFonts w:hint="eastAsia" w:cs="宋体" w:asciiTheme="minorEastAsia" w:hAnsiTheme="minorEastAsia" w:eastAsiaTheme="minorEastAsia"/>
          <w:sz w:val="24"/>
          <w:u w:val="dotted"/>
        </w:rPr>
        <w:t xml:space="preserve">                                           </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r>
        <w:rPr>
          <w:rFonts w:hint="eastAsia" w:cs="宋体" w:asciiTheme="minorEastAsia" w:hAnsiTheme="minorEastAsia" w:eastAsiaTheme="minorEastAsia"/>
          <w:sz w:val="24"/>
          <w:u w:val="dotted"/>
        </w:rPr>
        <w:t xml:space="preserve">                                               </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签字(签章)：                   公章：                      </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日期：    </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5"/>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1" w:name="_Toc23883"/>
      <w:bookmarkStart w:id="232" w:name="_Toc21504_WPSOffice_Level1"/>
      <w:bookmarkStart w:id="233" w:name="_Toc3584_WPSOffice_Level1"/>
      <w:bookmarkStart w:id="234" w:name="_Toc22084_WPSOffice_Level1"/>
      <w:bookmarkStart w:id="235" w:name="_Toc18483"/>
      <w:bookmarkStart w:id="236" w:name="_Toc518923103"/>
      <w:r>
        <w:rPr>
          <w:rFonts w:hint="eastAsia" w:cs="宋体" w:asciiTheme="minorEastAsia" w:hAnsiTheme="minorEastAsia" w:eastAsiaTheme="minorEastAsia"/>
          <w:szCs w:val="24"/>
        </w:rPr>
        <w:t>附件1：履约保证金保函（格式）</w:t>
      </w:r>
      <w:bookmarkEnd w:id="231"/>
      <w:bookmarkEnd w:id="232"/>
      <w:bookmarkEnd w:id="233"/>
      <w:bookmarkEnd w:id="234"/>
      <w:bookmarkEnd w:id="235"/>
      <w:bookmarkEnd w:id="236"/>
    </w:p>
    <w:p>
      <w:pPr>
        <w:pStyle w:val="12"/>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（成交后开具）</w:t>
      </w:r>
    </w:p>
    <w:p>
      <w:pPr>
        <w:pStyle w:val="12"/>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2"/>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号合同履约保函</w:t>
      </w:r>
    </w:p>
    <w:p>
      <w:pPr>
        <w:pStyle w:val="12"/>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2"/>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%,并以此约定如下:</w:t>
      </w:r>
    </w:p>
    <w:p>
      <w:pPr>
        <w:pStyle w:val="12"/>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2"/>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2"/>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2"/>
        <w:spacing w:line="240" w:lineRule="atLeast"/>
        <w:ind w:left="1079" w:leftChars="257" w:hanging="540"/>
        <w:rPr>
          <w:rFonts w:cs="宋体" w:asciiTheme="minorEastAsia" w:hAnsiTheme="minorEastAsia" w:eastAsiaTheme="minorEastAsia"/>
          <w:sz w:val="24"/>
        </w:rPr>
      </w:pPr>
    </w:p>
    <w:p>
      <w:pPr>
        <w:pStyle w:val="12"/>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2"/>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r>
        <w:rPr>
          <w:rFonts w:hint="eastAsia" w:cs="宋体" w:asciiTheme="minorEastAsia" w:hAnsiTheme="minorEastAsia" w:eastAsiaTheme="minorEastAsia"/>
          <w:sz w:val="24"/>
          <w:u w:val="single"/>
        </w:rPr>
        <w:t xml:space="preserve">                             </w:t>
      </w:r>
    </w:p>
    <w:p>
      <w:pPr>
        <w:pStyle w:val="12"/>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r>
        <w:rPr>
          <w:rFonts w:hint="eastAsia" w:cs="宋体" w:asciiTheme="minorEastAsia" w:hAnsiTheme="minorEastAsia" w:eastAsiaTheme="minorEastAsia"/>
          <w:sz w:val="24"/>
          <w:u w:val="single"/>
        </w:rPr>
        <w:t xml:space="preserve">                             </w:t>
      </w:r>
    </w:p>
    <w:p>
      <w:pPr>
        <w:pStyle w:val="12"/>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r>
        <w:rPr>
          <w:rFonts w:hint="eastAsia" w:cs="宋体" w:asciiTheme="minorEastAsia" w:hAnsiTheme="minorEastAsia" w:eastAsiaTheme="minorEastAsia"/>
          <w:sz w:val="24"/>
          <w:u w:val="single"/>
        </w:rPr>
        <w:t xml:space="preserve">                                   </w:t>
      </w:r>
    </w:p>
    <w:p>
      <w:pPr>
        <w:pStyle w:val="12"/>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r>
        <w:rPr>
          <w:rFonts w:hint="eastAsia" w:cs="宋体" w:asciiTheme="minorEastAsia" w:hAnsiTheme="minorEastAsia" w:eastAsiaTheme="minorEastAsia"/>
          <w:sz w:val="24"/>
          <w:u w:val="single"/>
        </w:rPr>
        <w:t xml:space="preserve">                                         </w:t>
      </w:r>
    </w:p>
    <w:p>
      <w:pPr>
        <w:pStyle w:val="5"/>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7" w:name="_Toc25500_WPSOffice_Level1"/>
      <w:bookmarkStart w:id="238" w:name="_Toc391_WPSOffice_Level1"/>
      <w:bookmarkStart w:id="239" w:name="_Toc9904"/>
      <w:bookmarkStart w:id="240" w:name="_Toc27788"/>
      <w:bookmarkStart w:id="241" w:name="_Toc518923104"/>
      <w:bookmarkStart w:id="242" w:name="_Toc10323_WPSOffice_Level1"/>
      <w:r>
        <w:rPr>
          <w:rFonts w:hint="eastAsia" w:cs="宋体" w:asciiTheme="minorEastAsia" w:hAnsiTheme="minorEastAsia" w:eastAsiaTheme="minorEastAsia"/>
          <w:szCs w:val="24"/>
        </w:rPr>
        <w:t>附件2：履约担保函格式</w:t>
      </w:r>
      <w:bookmarkEnd w:id="237"/>
      <w:bookmarkEnd w:id="238"/>
      <w:bookmarkEnd w:id="239"/>
      <w:bookmarkEnd w:id="240"/>
      <w:bookmarkEnd w:id="241"/>
      <w:bookmarkEnd w:id="242"/>
    </w:p>
    <w:p>
      <w:pPr>
        <w:pStyle w:val="5"/>
        <w:spacing w:before="0" w:line="240" w:lineRule="atLeast"/>
        <w:ind w:left="1079" w:leftChars="257" w:hanging="540"/>
        <w:rPr>
          <w:rFonts w:cs="宋体" w:asciiTheme="minorEastAsia" w:hAnsiTheme="minorEastAsia" w:eastAsiaTheme="minorEastAsia"/>
          <w:b w:val="0"/>
        </w:rPr>
      </w:pPr>
      <w:bookmarkStart w:id="243" w:name="_Toc518923105"/>
      <w:bookmarkStart w:id="244" w:name="_Toc20933_WPSOffice_Level1"/>
      <w:bookmarkStart w:id="245" w:name="_Toc30995"/>
      <w:bookmarkStart w:id="246" w:name="_Toc27405_WPSOffice_Level1"/>
      <w:bookmarkStart w:id="247" w:name="_Toc11516_WPSOffice_Level1"/>
      <w:bookmarkStart w:id="248" w:name="_Toc515904842"/>
      <w:bookmarkStart w:id="249" w:name="_Toc13630"/>
      <w:r>
        <w:rPr>
          <w:rFonts w:hint="eastAsia" w:cs="宋体" w:asciiTheme="minorEastAsia" w:hAnsiTheme="minorEastAsia" w:eastAsiaTheme="minorEastAsia"/>
          <w:szCs w:val="24"/>
        </w:rPr>
        <w:t>（采用政府采购信用担保形式时使用）</w:t>
      </w:r>
      <w:bookmarkEnd w:id="243"/>
      <w:bookmarkEnd w:id="244"/>
      <w:bookmarkEnd w:id="245"/>
      <w:bookmarkEnd w:id="246"/>
      <w:bookmarkEnd w:id="247"/>
      <w:bookmarkEnd w:id="248"/>
      <w:bookmarkEnd w:id="249"/>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（以下简称供应商）于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日签定编号为   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政府采购合同》（以下简称主合同），且依据该合同的约定，供应商应在</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50" w:name="_Toc11823_WPSOffice_Level1"/>
      <w:bookmarkStart w:id="251" w:name="_Toc10654_WPSOffice_Level1"/>
      <w:r>
        <w:rPr>
          <w:rFonts w:hint="eastAsia" w:cs="宋体" w:asciiTheme="minorEastAsia" w:hAnsiTheme="minorEastAsia" w:eastAsiaTheme="minorEastAsia"/>
          <w:sz w:val="24"/>
        </w:rPr>
        <w:t>一、保证责任的情形及保证金额</w:t>
      </w:r>
      <w:bookmarkEnd w:id="250"/>
      <w:bookmarkEnd w:id="251"/>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%数额为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），币种为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。（即主合同履约保证金金额）</w:t>
      </w:r>
    </w:p>
    <w:p>
      <w:pPr>
        <w:ind w:firstLine="480" w:firstLineChars="200"/>
        <w:outlineLvl w:val="1"/>
        <w:rPr>
          <w:rFonts w:cs="宋体" w:asciiTheme="minorEastAsia" w:hAnsiTheme="minorEastAsia" w:eastAsiaTheme="minorEastAsia"/>
          <w:sz w:val="24"/>
        </w:rPr>
      </w:pPr>
      <w:bookmarkStart w:id="252" w:name="_Toc7886_WPSOffice_Level1"/>
      <w:bookmarkStart w:id="253" w:name="_Toc3896_WPSOffice_Level1"/>
      <w:r>
        <w:rPr>
          <w:rFonts w:hint="eastAsia" w:cs="宋体" w:asciiTheme="minorEastAsia" w:hAnsiTheme="minorEastAsia" w:eastAsiaTheme="minorEastAsia"/>
          <w:sz w:val="24"/>
        </w:rPr>
        <w:t>二、保证的方式及保证期间</w:t>
      </w:r>
      <w:bookmarkEnd w:id="252"/>
      <w:bookmarkEnd w:id="253"/>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4" w:name="_Toc13180_WPSOffice_Level1"/>
      <w:bookmarkStart w:id="255" w:name="_Toc6638_WPSOffice_Level1"/>
      <w:r>
        <w:rPr>
          <w:rFonts w:hint="eastAsia" w:cs="宋体" w:asciiTheme="minorEastAsia" w:hAnsiTheme="minorEastAsia" w:eastAsiaTheme="minorEastAsia"/>
          <w:sz w:val="24"/>
        </w:rPr>
        <w:t>三、承担保证责任的程序</w:t>
      </w:r>
      <w:bookmarkEnd w:id="254"/>
      <w:bookmarkEnd w:id="255"/>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我方收到你方的书面索赔通知及相应证明材料，在</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6" w:name="_Toc32368_WPSOffice_Level1"/>
      <w:bookmarkStart w:id="257" w:name="_Toc14402_WPSOffice_Level1"/>
      <w:r>
        <w:rPr>
          <w:rFonts w:hint="eastAsia" w:cs="宋体" w:asciiTheme="minorEastAsia" w:hAnsiTheme="minorEastAsia" w:eastAsiaTheme="minorEastAsia"/>
          <w:sz w:val="24"/>
        </w:rPr>
        <w:t>四、保证责任的终止</w:t>
      </w:r>
      <w:bookmarkEnd w:id="256"/>
      <w:bookmarkEnd w:id="257"/>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8" w:name="_Toc23917_WPSOffice_Level1"/>
      <w:bookmarkStart w:id="259" w:name="_Toc15921_WPSOffice_Level1"/>
      <w:r>
        <w:rPr>
          <w:rFonts w:hint="eastAsia" w:cs="宋体" w:asciiTheme="minorEastAsia" w:hAnsiTheme="minorEastAsia" w:eastAsiaTheme="minorEastAsia"/>
          <w:sz w:val="24"/>
        </w:rPr>
        <w:t>五、免责条款</w:t>
      </w:r>
      <w:bookmarkEnd w:id="258"/>
      <w:bookmarkEnd w:id="259"/>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60" w:name="_Toc6543_WPSOffice_Level1"/>
      <w:bookmarkStart w:id="261" w:name="_Toc2970_WPSOffice_Level1"/>
      <w:r>
        <w:rPr>
          <w:rFonts w:hint="eastAsia" w:cs="宋体" w:asciiTheme="minorEastAsia" w:hAnsiTheme="minorEastAsia" w:eastAsiaTheme="minorEastAsia"/>
          <w:sz w:val="24"/>
        </w:rPr>
        <w:t>六、争议的解决</w:t>
      </w:r>
      <w:bookmarkEnd w:id="260"/>
      <w:bookmarkEnd w:id="261"/>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法院。</w:t>
      </w:r>
    </w:p>
    <w:p>
      <w:pPr>
        <w:ind w:firstLine="480" w:firstLineChars="200"/>
        <w:outlineLvl w:val="1"/>
        <w:rPr>
          <w:rFonts w:cs="宋体" w:asciiTheme="minorEastAsia" w:hAnsiTheme="minorEastAsia" w:eastAsiaTheme="minorEastAsia"/>
          <w:sz w:val="24"/>
        </w:rPr>
      </w:pPr>
      <w:bookmarkStart w:id="262" w:name="_Toc3482_WPSOffice_Level1"/>
      <w:bookmarkStart w:id="263" w:name="_Toc548_WPSOffice_Level1"/>
      <w:r>
        <w:rPr>
          <w:rFonts w:hint="eastAsia" w:cs="宋体" w:asciiTheme="minorEastAsia" w:hAnsiTheme="minorEastAsia" w:eastAsiaTheme="minorEastAsia"/>
          <w:sz w:val="24"/>
        </w:rPr>
        <w:t>七、保函的生效</w:t>
      </w:r>
      <w:bookmarkEnd w:id="262"/>
      <w:bookmarkEnd w:id="263"/>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本保函自我方加盖公章之日起生效。    </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年     月      日</w:t>
      </w:r>
    </w:p>
    <w:p>
      <w:pPr>
        <w:pStyle w:val="6"/>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4"/>
        <w:spacing w:before="0" w:after="0" w:line="240" w:lineRule="atLeast"/>
        <w:rPr>
          <w:rFonts w:cs="宋体" w:asciiTheme="minorEastAsia" w:hAnsiTheme="minorEastAsia" w:eastAsiaTheme="minorEastAsia"/>
        </w:rPr>
      </w:pPr>
      <w:bookmarkStart w:id="264" w:name="_Toc22577_WPSOffice_Level1"/>
      <w:bookmarkStart w:id="265" w:name="_Toc518923106"/>
      <w:bookmarkStart w:id="266" w:name="_Toc21808"/>
      <w:bookmarkStart w:id="267" w:name="_Toc216582812"/>
      <w:bookmarkStart w:id="268" w:name="_Toc6923"/>
      <w:r>
        <w:rPr>
          <w:rFonts w:hint="eastAsia" w:cs="宋体" w:asciiTheme="minorEastAsia" w:hAnsiTheme="minorEastAsia" w:eastAsiaTheme="minorEastAsia"/>
        </w:rPr>
        <w:t>第二章 响应文件格式</w:t>
      </w:r>
      <w:bookmarkEnd w:id="264"/>
      <w:bookmarkEnd w:id="265"/>
      <w:bookmarkEnd w:id="266"/>
      <w:bookmarkEnd w:id="267"/>
      <w:bookmarkEnd w:id="268"/>
    </w:p>
    <w:p>
      <w:pPr>
        <w:spacing w:line="240" w:lineRule="atLeast"/>
        <w:ind w:left="735" w:leftChars="350" w:firstLine="120" w:firstLineChars="50"/>
        <w:rPr>
          <w:rFonts w:cs="宋体" w:asciiTheme="minorEastAsia" w:hAnsiTheme="minorEastAsia" w:eastAsiaTheme="minorEastAsia"/>
          <w:sz w:val="24"/>
        </w:rPr>
      </w:pPr>
    </w:p>
    <w:p>
      <w:pPr>
        <w:pStyle w:val="5"/>
        <w:spacing w:before="0" w:line="360" w:lineRule="exact"/>
        <w:ind w:left="1079" w:leftChars="257" w:hanging="540"/>
        <w:rPr>
          <w:rFonts w:cs="宋体" w:asciiTheme="minorEastAsia" w:hAnsiTheme="minorEastAsia" w:eastAsiaTheme="minorEastAsia"/>
          <w:sz w:val="24"/>
        </w:rPr>
      </w:pPr>
      <w:bookmarkStart w:id="269" w:name="_Toc6762_WPSOffice_Level2"/>
      <w:bookmarkStart w:id="270" w:name="_Toc30069"/>
      <w:bookmarkStart w:id="271" w:name="_Toc18974"/>
      <w:bookmarkStart w:id="272" w:name="_Toc515647803"/>
      <w:bookmarkStart w:id="273" w:name="_Toc18694"/>
      <w:bookmarkStart w:id="274" w:name="_Toc25620_WPSOffice_Level2"/>
      <w:bookmarkStart w:id="275" w:name="_Toc27612"/>
      <w:bookmarkStart w:id="276" w:name="_Toc975"/>
      <w:r>
        <w:rPr>
          <w:rFonts w:hint="eastAsia" w:cs="宋体" w:asciiTheme="minorEastAsia" w:hAnsiTheme="minorEastAsia" w:eastAsiaTheme="minorEastAsia"/>
          <w:sz w:val="24"/>
        </w:rPr>
        <w:t>第一部分 报价一览表及资格证明文件</w:t>
      </w:r>
      <w:bookmarkEnd w:id="269"/>
      <w:bookmarkEnd w:id="270"/>
      <w:bookmarkEnd w:id="271"/>
      <w:bookmarkEnd w:id="272"/>
      <w:bookmarkEnd w:id="273"/>
      <w:bookmarkEnd w:id="274"/>
      <w:bookmarkEnd w:id="275"/>
      <w:bookmarkEnd w:id="276"/>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hint="eastAsia" w:cs="宋体" w:asciiTheme="minorEastAsia" w:hAnsiTheme="minorEastAsia" w:eastAsiaTheme="minorEastAsia"/>
          <w:color w:val="auto"/>
          <w:sz w:val="24"/>
        </w:rPr>
      </w:pPr>
      <w:bookmarkStart w:id="277" w:name="_Toc11180"/>
      <w:bookmarkStart w:id="278" w:name="_Toc515647816"/>
      <w:bookmarkStart w:id="279" w:name="_Toc520356217"/>
      <w:bookmarkStart w:id="280" w:name="_Toc480942349"/>
      <w:bookmarkStart w:id="281" w:name="_Ref467988698"/>
      <w:bookmarkStart w:id="282" w:name="_Toc216582813"/>
      <w:r>
        <w:rPr>
          <w:rFonts w:hint="eastAsia" w:cs="宋体" w:asciiTheme="minorEastAsia" w:hAnsiTheme="minorEastAsia" w:eastAsiaTheme="minorEastAsia"/>
          <w:color w:val="auto"/>
          <w:sz w:val="24"/>
        </w:rPr>
        <w:t>1 、报价一览表（见响应文件格式一）;</w:t>
      </w:r>
    </w:p>
    <w:p>
      <w:pPr>
        <w:tabs>
          <w:tab w:val="left" w:pos="5580"/>
        </w:tabs>
        <w:spacing w:line="360" w:lineRule="exact"/>
        <w:ind w:firstLine="424" w:firstLineChars="177"/>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rPr>
        <w:t>、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tabs>
          <w:tab w:val="left" w:pos="5580"/>
        </w:tabs>
        <w:spacing w:line="360" w:lineRule="exact"/>
        <w:ind w:firstLine="424" w:firstLineChars="177"/>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rPr>
        <w:t>、为中国大陆境内合法注册的金融机构，持有工商行政管理部门颁发的营业执照，经营范围符合项目要求，并年检合格。</w:t>
      </w:r>
    </w:p>
    <w:p>
      <w:pPr>
        <w:tabs>
          <w:tab w:val="left" w:pos="5580"/>
        </w:tabs>
        <w:spacing w:line="360" w:lineRule="exact"/>
        <w:ind w:firstLine="424" w:firstLineChars="177"/>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、持有中国银行业监督管理委员会有效的《中华人民共和国金融许可证》或《金融机构营业许可证》。</w:t>
      </w:r>
    </w:p>
    <w:p>
      <w:pPr>
        <w:tabs>
          <w:tab w:val="left" w:pos="5580"/>
        </w:tabs>
        <w:spacing w:line="360" w:lineRule="exact"/>
        <w:ind w:firstLine="424" w:firstLineChars="177"/>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val="en-US" w:eastAsia="zh-CN"/>
        </w:rPr>
        <w:t>5、</w:t>
      </w:r>
      <w:r>
        <w:rPr>
          <w:rFonts w:hint="eastAsia" w:cs="宋体" w:asciiTheme="minorEastAsia" w:hAnsiTheme="minorEastAsia" w:eastAsiaTheme="minorEastAsia"/>
          <w:color w:val="auto"/>
          <w:sz w:val="24"/>
        </w:rPr>
        <w:t>投标法人授权委托书及被授权委托人身份证原件,被授权委托人必须是投标单位正式员工在本单位缴纳的近三个月的社保证明原件（单位社保缴费凭证和个人明细表）；法定代表人需提供</w:t>
      </w:r>
      <w:r>
        <w:rPr>
          <w:rFonts w:hint="eastAsia" w:ascii="宋体" w:hAnsi="宋体" w:eastAsia="宋体" w:cs="宋体"/>
          <w:color w:val="auto"/>
          <w:sz w:val="24"/>
          <w:szCs w:val="24"/>
          <w:highlight w:val="none"/>
          <w:lang w:val="en-US" w:eastAsia="zh-CN"/>
        </w:rPr>
        <w:t>法定代表人资格证明</w:t>
      </w:r>
      <w:r>
        <w:rPr>
          <w:rFonts w:hint="eastAsia" w:cs="宋体" w:asciiTheme="minorEastAsia" w:hAnsiTheme="minorEastAsia" w:eastAsiaTheme="minorEastAsia"/>
          <w:color w:val="auto"/>
          <w:sz w:val="24"/>
          <w:lang w:eastAsia="zh-CN"/>
        </w:rPr>
        <w:t>。</w:t>
      </w:r>
    </w:p>
    <w:p>
      <w:pPr>
        <w:tabs>
          <w:tab w:val="left" w:pos="5580"/>
        </w:tabs>
        <w:spacing w:line="360" w:lineRule="exact"/>
        <w:ind w:firstLine="424" w:firstLineChars="177"/>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、在中华人民共和国境内依法设立的国有商业银行、股份制商业银行、邮政储蓄银行、城县商业银行、农村商业银行及政策性银行等的分支机构。</w:t>
      </w:r>
    </w:p>
    <w:p>
      <w:pPr>
        <w:tabs>
          <w:tab w:val="left" w:pos="5580"/>
        </w:tabs>
        <w:spacing w:line="360" w:lineRule="exact"/>
        <w:ind w:firstLine="424" w:firstLineChars="177"/>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、提供针对本次项目《反商业贿赂承诺书》。</w:t>
      </w:r>
    </w:p>
    <w:p>
      <w:pPr>
        <w:tabs>
          <w:tab w:val="left" w:pos="5580"/>
        </w:tabs>
        <w:spacing w:line="360" w:lineRule="exact"/>
        <w:ind w:firstLine="424" w:firstLineChars="177"/>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、供应商须知资料表要求的其他资格证明文件</w:t>
      </w:r>
      <w:r>
        <w:rPr>
          <w:rFonts w:hint="eastAsia" w:cs="宋体" w:asciiTheme="minorEastAsia" w:hAnsiTheme="minorEastAsia" w:eastAsiaTheme="minorEastAsia"/>
          <w:color w:val="auto"/>
          <w:sz w:val="24"/>
          <w:lang w:eastAsia="zh-CN"/>
        </w:rPr>
        <w:t>。</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pStyle w:val="11"/>
        <w:rPr>
          <w:rFonts w:hint="eastAsia" w:cs="宋体" w:asciiTheme="minorEastAsia" w:hAnsiTheme="minorEastAsia" w:eastAsiaTheme="minorEastAsia"/>
          <w:sz w:val="24"/>
        </w:rPr>
      </w:pPr>
    </w:p>
    <w:p>
      <w:pPr>
        <w:rPr>
          <w:rFonts w:hint="eastAsia" w:cs="宋体" w:asciiTheme="minorEastAsia" w:hAnsiTheme="minorEastAsia" w:eastAsiaTheme="minorEastAsia"/>
          <w:sz w:val="24"/>
        </w:rPr>
      </w:pPr>
    </w:p>
    <w:p>
      <w:pPr>
        <w:pStyle w:val="11"/>
        <w:rPr>
          <w:rFonts w:hint="eastAsia" w:cs="宋体" w:asciiTheme="minorEastAsia" w:hAnsiTheme="minorEastAsia" w:eastAsiaTheme="minorEastAsia"/>
          <w:sz w:val="24"/>
        </w:rPr>
      </w:pPr>
    </w:p>
    <w:p>
      <w:pPr>
        <w:rPr>
          <w:rFonts w:hint="eastAsia" w:cs="宋体" w:asciiTheme="minorEastAsia" w:hAnsiTheme="minorEastAsia" w:eastAsiaTheme="minorEastAsia"/>
          <w:sz w:val="24"/>
        </w:rPr>
      </w:pPr>
    </w:p>
    <w:p>
      <w:pPr>
        <w:pStyle w:val="2"/>
        <w:rPr>
          <w:rFonts w:hint="eastAsia"/>
        </w:rPr>
      </w:pPr>
    </w:p>
    <w:p>
      <w:pPr>
        <w:pStyle w:val="11"/>
        <w:rPr>
          <w:rFonts w:hint="eastAsia" w:cs="宋体" w:asciiTheme="minorEastAsia" w:hAnsiTheme="minorEastAsia" w:eastAsiaTheme="minorEastAsia"/>
          <w:sz w:val="24"/>
        </w:rPr>
      </w:pPr>
    </w:p>
    <w:p>
      <w:pPr>
        <w:rPr>
          <w:rFonts w:hint="eastAsia" w:cs="宋体" w:asciiTheme="minorEastAsia" w:hAnsiTheme="minorEastAsia" w:eastAsiaTheme="minorEastAsia"/>
          <w:sz w:val="24"/>
        </w:rPr>
      </w:pPr>
    </w:p>
    <w:p>
      <w:pPr>
        <w:pStyle w:val="11"/>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6"/>
        <w:ind w:firstLine="0"/>
        <w:rPr>
          <w:rFonts w:cs="宋体" w:asciiTheme="minorEastAsia" w:hAnsiTheme="minorEastAsia" w:eastAsiaTheme="minorEastAsia"/>
        </w:rPr>
      </w:pPr>
    </w:p>
    <w:p>
      <w:pPr>
        <w:pStyle w:val="6"/>
        <w:rPr>
          <w:rFonts w:cs="宋体" w:asciiTheme="minorEastAsia" w:hAnsiTheme="minorEastAsia" w:eastAsiaTheme="minorEastAsia"/>
        </w:rPr>
      </w:pPr>
    </w:p>
    <w:p>
      <w:pPr>
        <w:pStyle w:val="5"/>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2"/>
        <w:tabs>
          <w:tab w:val="left" w:pos="5580"/>
        </w:tabs>
        <w:spacing w:line="240" w:lineRule="atLeast"/>
        <w:rPr>
          <w:rFonts w:cs="宋体" w:asciiTheme="minorEastAsia" w:hAnsiTheme="minorEastAsia" w:eastAsiaTheme="minorEastAsia"/>
          <w:sz w:val="24"/>
          <w:szCs w:val="24"/>
        </w:rPr>
      </w:pPr>
    </w:p>
    <w:p>
      <w:pPr>
        <w:pStyle w:val="6"/>
        <w:tabs>
          <w:tab w:val="left" w:pos="5580"/>
        </w:tabs>
        <w:spacing w:line="240" w:lineRule="atLeast"/>
        <w:ind w:left="1079" w:leftChars="257" w:hanging="540"/>
        <w:jc w:val="center"/>
        <w:outlineLvl w:val="1"/>
        <w:rPr>
          <w:rFonts w:cs="宋体" w:asciiTheme="minorEastAsia" w:hAnsiTheme="minorEastAsia" w:eastAsiaTheme="minorEastAsia"/>
        </w:rPr>
      </w:pPr>
      <w:bookmarkStart w:id="283" w:name="_Hlt520356241"/>
      <w:bookmarkEnd w:id="283"/>
      <w:bookmarkStart w:id="284" w:name="_Toc494296984"/>
      <w:r>
        <w:rPr>
          <w:rFonts w:hint="eastAsia" w:cs="宋体" w:asciiTheme="minorEastAsia" w:hAnsiTheme="minorEastAsia" w:eastAsiaTheme="minorEastAsia"/>
          <w:b/>
        </w:rPr>
        <w:t>磋商报价一览表</w:t>
      </w:r>
      <w:bookmarkEnd w:id="284"/>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 xml:space="preserve">项目名称：　                 </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磋商文件编号：                 </w:t>
      </w:r>
    </w:p>
    <w:p>
      <w:pPr>
        <w:tabs>
          <w:tab w:val="left" w:pos="1800"/>
          <w:tab w:val="left" w:pos="5580"/>
        </w:tabs>
        <w:spacing w:line="560" w:lineRule="exact"/>
        <w:ind w:left="1079" w:leftChars="257" w:hanging="540"/>
        <w:rPr>
          <w:rFonts w:ascii="仿宋" w:hAnsi="仿宋" w:eastAsia="仿宋" w:cs="仿宋"/>
          <w:sz w:val="28"/>
          <w:szCs w:val="28"/>
        </w:rPr>
      </w:pPr>
    </w:p>
    <w:tbl>
      <w:tblPr>
        <w:tblStyle w:val="21"/>
        <w:tblW w:w="4998" w:type="pct"/>
        <w:tblInd w:w="0" w:type="dxa"/>
        <w:tblLayout w:type="autofit"/>
        <w:tblCellMar>
          <w:top w:w="0" w:type="dxa"/>
          <w:left w:w="0" w:type="dxa"/>
          <w:bottom w:w="0" w:type="dxa"/>
          <w:right w:w="0" w:type="dxa"/>
        </w:tblCellMar>
      </w:tblPr>
      <w:tblGrid>
        <w:gridCol w:w="1951"/>
        <w:gridCol w:w="1994"/>
        <w:gridCol w:w="1279"/>
        <w:gridCol w:w="1383"/>
        <w:gridCol w:w="1717"/>
      </w:tblGrid>
      <w:tr>
        <w:trPr>
          <w:trHeight w:val="662" w:hRule="atLeast"/>
        </w:trPr>
        <w:tc>
          <w:tcPr>
            <w:tcW w:w="1171" w:type="pct"/>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197" w:type="pct"/>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768" w:type="pct"/>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服务</w:t>
            </w:r>
            <w:r>
              <w:rPr>
                <w:rFonts w:hint="eastAsia" w:cs="宋体" w:asciiTheme="minorEastAsia" w:hAnsiTheme="minorEastAsia" w:eastAsiaTheme="minorEastAsia"/>
                <w:sz w:val="24"/>
                <w:lang w:eastAsia="zh-CN"/>
              </w:rPr>
              <w:t>内容</w:t>
            </w:r>
          </w:p>
        </w:tc>
        <w:tc>
          <w:tcPr>
            <w:tcW w:w="830" w:type="pct"/>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服务</w:t>
            </w:r>
            <w:r>
              <w:rPr>
                <w:rFonts w:hint="eastAsia" w:cs="宋体" w:asciiTheme="minorEastAsia" w:hAnsiTheme="minorEastAsia" w:eastAsiaTheme="minorEastAsia"/>
                <w:sz w:val="24"/>
                <w:lang w:eastAsia="zh-CN"/>
              </w:rPr>
              <w:t>期限</w:t>
            </w:r>
          </w:p>
        </w:tc>
        <w:tc>
          <w:tcPr>
            <w:tcW w:w="1031" w:type="pct"/>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17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p>
        </w:tc>
        <w:tc>
          <w:tcPr>
            <w:tcW w:w="1197" w:type="pct"/>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0元</w:t>
            </w:r>
          </w:p>
        </w:tc>
        <w:tc>
          <w:tcPr>
            <w:tcW w:w="768" w:type="pct"/>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830" w:type="pct"/>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31" w:type="pct"/>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u w:val="single"/>
        </w:rPr>
      </w:pP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r>
        <w:rPr>
          <w:rFonts w:hint="eastAsia" w:cs="宋体" w:asciiTheme="minorEastAsia" w:hAnsiTheme="minorEastAsia" w:eastAsiaTheme="minorEastAsia"/>
          <w:sz w:val="24"/>
          <w:u w:val="single"/>
        </w:rPr>
        <w:t xml:space="preserve">                       </w:t>
      </w:r>
    </w:p>
    <w:p>
      <w:pPr>
        <w:pStyle w:val="12"/>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 1、此表应按供应商须知的规定装订密封。</w:t>
      </w:r>
    </w:p>
    <w:p>
      <w:pPr>
        <w:pStyle w:val="5"/>
        <w:spacing w:line="240" w:lineRule="atLeast"/>
        <w:jc w:val="both"/>
        <w:rPr>
          <w:rFonts w:cs="宋体" w:asciiTheme="minorEastAsia" w:hAnsiTheme="minorEastAsia" w:eastAsiaTheme="minorEastAsia"/>
          <w:sz w:val="24"/>
        </w:rPr>
      </w:pPr>
    </w:p>
    <w:p>
      <w:pPr>
        <w:pStyle w:val="5"/>
        <w:spacing w:line="240" w:lineRule="atLeast"/>
        <w:jc w:val="both"/>
        <w:rPr>
          <w:rFonts w:cs="宋体" w:asciiTheme="minorEastAsia" w:hAnsiTheme="minorEastAsia" w:eastAsiaTheme="minorEastAsia"/>
          <w:sz w:val="24"/>
        </w:rPr>
      </w:pPr>
    </w:p>
    <w:p>
      <w:pPr>
        <w:pStyle w:val="5"/>
        <w:spacing w:line="240" w:lineRule="atLeast"/>
        <w:jc w:val="both"/>
        <w:rPr>
          <w:rFonts w:hint="eastAsia" w:cs="宋体" w:asciiTheme="minorEastAsia" w:hAnsiTheme="minorEastAsia" w:eastAsiaTheme="minorEastAsia"/>
          <w:sz w:val="24"/>
        </w:rPr>
      </w:pPr>
    </w:p>
    <w:p>
      <w:pPr>
        <w:pStyle w:val="6"/>
        <w:rPr>
          <w:rFonts w:hint="eastAsia"/>
        </w:rPr>
      </w:pPr>
    </w:p>
    <w:p>
      <w:pPr>
        <w:rPr>
          <w:rFonts w:hint="eastAsia"/>
        </w:rPr>
      </w:pPr>
    </w:p>
    <w:p>
      <w:pPr>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
      <w:pPr>
        <w:pStyle w:val="5"/>
        <w:spacing w:before="0" w:line="240" w:lineRule="atLeast"/>
        <w:ind w:left="1079" w:leftChars="257" w:hanging="540"/>
        <w:rPr>
          <w:rFonts w:hint="eastAsia" w:cs="宋体" w:asciiTheme="minorEastAsia" w:hAnsiTheme="minorEastAsia" w:eastAsiaTheme="minorEastAsia"/>
          <w:sz w:val="24"/>
        </w:rPr>
      </w:pPr>
      <w:r>
        <w:rPr>
          <w:rFonts w:hint="eastAsia" w:cs="宋体" w:asciiTheme="minorEastAsia" w:hAnsiTheme="minorEastAsia" w:eastAsiaTheme="minorEastAsia"/>
          <w:sz w:val="24"/>
        </w:rPr>
        <w:t>2 法人或者非法人组织的营业执照等证明文件或自然人的身份证明</w:t>
      </w:r>
    </w:p>
    <w:p>
      <w:pPr>
        <w:pStyle w:val="12"/>
        <w:tabs>
          <w:tab w:val="left" w:pos="5580"/>
        </w:tabs>
        <w:spacing w:line="240" w:lineRule="atLeast"/>
        <w:ind w:left="1079" w:leftChars="257" w:hanging="540"/>
        <w:jc w:val="center"/>
        <w:rPr>
          <w:rFonts w:hAnsi="宋体" w:cs="宋体"/>
          <w:b/>
          <w:sz w:val="24"/>
        </w:rPr>
      </w:pPr>
    </w:p>
    <w:p>
      <w:pPr>
        <w:pStyle w:val="12"/>
        <w:tabs>
          <w:tab w:val="left" w:pos="5580"/>
        </w:tabs>
        <w:spacing w:line="240" w:lineRule="atLeast"/>
        <w:ind w:left="1079" w:leftChars="257" w:hanging="540"/>
        <w:rPr>
          <w:rFonts w:hAnsi="宋体" w:cs="宋体"/>
          <w:b/>
          <w:sz w:val="24"/>
        </w:rPr>
      </w:pPr>
    </w:p>
    <w:p>
      <w:pPr>
        <w:pStyle w:val="12"/>
        <w:tabs>
          <w:tab w:val="left" w:pos="5580"/>
        </w:tabs>
        <w:spacing w:line="240" w:lineRule="atLeast"/>
        <w:ind w:left="1079" w:leftChars="257" w:hanging="540"/>
        <w:rPr>
          <w:rFonts w:hAnsi="宋体" w:cs="宋体"/>
          <w:b/>
          <w:sz w:val="24"/>
        </w:rPr>
      </w:pPr>
    </w:p>
    <w:p>
      <w:pPr>
        <w:pStyle w:val="12"/>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2"/>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2"/>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5"/>
        <w:spacing w:before="0" w:line="240" w:lineRule="atLeast"/>
        <w:ind w:left="1079" w:leftChars="257" w:hanging="540"/>
        <w:jc w:val="left"/>
        <w:rPr>
          <w:rFonts w:cs="宋体" w:asciiTheme="minorEastAsia" w:hAnsiTheme="minorEastAsia" w:eastAsiaTheme="minorEastAsia"/>
          <w:sz w:val="24"/>
        </w:rPr>
      </w:pPr>
    </w:p>
    <w:p>
      <w:pPr>
        <w:pStyle w:val="12"/>
        <w:tabs>
          <w:tab w:val="left" w:pos="5580"/>
        </w:tabs>
        <w:spacing w:line="240" w:lineRule="atLeast"/>
        <w:rPr>
          <w:rFonts w:cs="宋体" w:asciiTheme="minorEastAsia" w:hAnsiTheme="minorEastAsia" w:eastAsiaTheme="minorEastAsia"/>
          <w:b/>
          <w:sz w:val="24"/>
        </w:rPr>
      </w:pPr>
    </w:p>
    <w:p>
      <w:pPr>
        <w:rPr>
          <w:rFonts w:cs="宋体" w:asciiTheme="minorEastAsia" w:hAnsiTheme="minorEastAsia" w:eastAsiaTheme="minorEastAsia"/>
          <w:sz w:val="24"/>
          <w:szCs w:val="20"/>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szCs w:val="20"/>
        </w:rPr>
        <w:t xml:space="preserve">             </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p>
    <w:p>
      <w:pPr>
        <w:pStyle w:val="5"/>
        <w:spacing w:before="0" w:line="240" w:lineRule="atLeast"/>
        <w:rPr>
          <w:rFonts w:cs="宋体" w:asciiTheme="minorEastAsia" w:hAnsiTheme="minorEastAsia" w:eastAsiaTheme="minorEastAsia"/>
          <w:sz w:val="24"/>
        </w:rPr>
      </w:pPr>
      <w:bookmarkStart w:id="285" w:name="_Toc16184"/>
      <w:bookmarkStart w:id="286" w:name="_Toc515647805"/>
      <w:bookmarkStart w:id="287" w:name="_Toc29899"/>
      <w:bookmarkStart w:id="288" w:name="_Toc6475"/>
      <w:bookmarkStart w:id="289" w:name="_Toc28979"/>
      <w:bookmarkStart w:id="290" w:name="_Toc32302"/>
      <w:bookmarkStart w:id="291" w:name="_Toc1957"/>
      <w:bookmarkStart w:id="292" w:name="_Toc3087"/>
      <w:bookmarkStart w:id="293" w:name="_Toc17577"/>
    </w:p>
    <w:p>
      <w:pPr>
        <w:pStyle w:val="5"/>
        <w:spacing w:before="0" w:line="240" w:lineRule="atLeast"/>
        <w:rPr>
          <w:rFonts w:cs="宋体" w:asciiTheme="minorEastAsia" w:hAnsiTheme="minorEastAsia" w:eastAsiaTheme="minorEastAsia"/>
          <w:sz w:val="24"/>
        </w:rPr>
      </w:pPr>
    </w:p>
    <w:p>
      <w:pPr>
        <w:pStyle w:val="5"/>
        <w:spacing w:before="0" w:line="240" w:lineRule="atLeast"/>
        <w:rPr>
          <w:rFonts w:cs="宋体" w:asciiTheme="minorEastAsia" w:hAnsiTheme="minorEastAsia" w:eastAsiaTheme="minorEastAsia"/>
          <w:sz w:val="24"/>
        </w:rPr>
      </w:pPr>
    </w:p>
    <w:p>
      <w:pPr>
        <w:pStyle w:val="5"/>
        <w:spacing w:before="0" w:line="240" w:lineRule="atLeas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
      <w:pPr>
        <w:pStyle w:val="2"/>
      </w:pPr>
    </w:p>
    <w:p>
      <w:pPr>
        <w:pStyle w:val="2"/>
      </w:pPr>
    </w:p>
    <w:p>
      <w:pPr>
        <w:pStyle w:val="2"/>
      </w:pPr>
    </w:p>
    <w:p>
      <w:pPr>
        <w:pStyle w:val="6"/>
      </w:pPr>
    </w:p>
    <w:p>
      <w:pPr>
        <w:pStyle w:val="5"/>
        <w:spacing w:before="0" w:line="240" w:lineRule="atLeast"/>
        <w:ind w:left="1079" w:leftChars="257" w:hanging="54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85"/>
      <w:bookmarkEnd w:id="286"/>
      <w:bookmarkEnd w:id="287"/>
      <w:bookmarkEnd w:id="288"/>
      <w:bookmarkEnd w:id="289"/>
      <w:bookmarkEnd w:id="290"/>
      <w:bookmarkEnd w:id="291"/>
      <w:bookmarkEnd w:id="292"/>
      <w:bookmarkEnd w:id="293"/>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          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                  单位：           （盖章）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            年龄：           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              经济性质：</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6"/>
                      </w:pPr>
                    </w:p>
                    <w:p>
                      <w:pPr>
                        <w:pStyle w:val="6"/>
                      </w:pPr>
                    </w:p>
                    <w:p>
                      <w:pPr>
                        <w:pStyle w:val="6"/>
                      </w:pPr>
                    </w:p>
                    <w:p>
                      <w:pPr>
                        <w:pStyle w:val="6"/>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供应商（盖章）：                              </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法定代表人签字或盖章：                    </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日期：                                       </w:t>
      </w:r>
    </w:p>
    <w:p>
      <w:pPr>
        <w:pStyle w:val="12"/>
        <w:tabs>
          <w:tab w:val="left" w:pos="5580"/>
        </w:tabs>
        <w:rPr>
          <w:rFonts w:cs="宋体" w:asciiTheme="minorEastAsia" w:hAnsiTheme="minorEastAsia" w:eastAsiaTheme="minorEastAsia"/>
          <w:sz w:val="24"/>
        </w:rPr>
      </w:pPr>
    </w:p>
    <w:p>
      <w:pPr>
        <w:pStyle w:val="12"/>
        <w:tabs>
          <w:tab w:val="left" w:pos="5580"/>
        </w:tabs>
        <w:rPr>
          <w:rFonts w:cs="宋体" w:asciiTheme="minorEastAsia" w:hAnsiTheme="minorEastAsia" w:eastAsiaTheme="minorEastAsia"/>
          <w:sz w:val="24"/>
        </w:rPr>
      </w:pPr>
    </w:p>
    <w:p>
      <w:pPr>
        <w:pStyle w:val="12"/>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2"/>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2"/>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2"/>
        <w:tabs>
          <w:tab w:val="left" w:pos="5580"/>
        </w:tabs>
        <w:spacing w:line="240" w:lineRule="atLeast"/>
        <w:rPr>
          <w:rFonts w:cs="宋体" w:asciiTheme="minorEastAsia" w:hAnsiTheme="minorEastAsia" w:eastAsiaTheme="minorEastAsia"/>
          <w:sz w:val="24"/>
        </w:rPr>
      </w:pPr>
      <w:bookmarkStart w:id="294" w:name="_Toc515647808"/>
      <w:bookmarkStart w:id="295" w:name="_Toc7039"/>
      <w:bookmarkStart w:id="296" w:name="_Toc32520"/>
      <w:r>
        <w:rPr>
          <w:rFonts w:hint="eastAsia" w:cs="宋体" w:asciiTheme="minorEastAsia" w:hAnsiTheme="minorEastAsia" w:eastAsiaTheme="minorEastAsia"/>
          <w:sz w:val="24"/>
        </w:rPr>
        <w:t xml:space="preserve"> </w:t>
      </w:r>
    </w:p>
    <w:p>
      <w:pPr>
        <w:pStyle w:val="12"/>
        <w:tabs>
          <w:tab w:val="left" w:pos="5580"/>
        </w:tabs>
        <w:spacing w:line="240" w:lineRule="atLeast"/>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bookmarkStart w:id="297" w:name="_Toc16640"/>
      <w:bookmarkStart w:id="298" w:name="_Toc515647807"/>
      <w:bookmarkStart w:id="299" w:name="_Toc22472"/>
      <w:bookmarkStart w:id="300" w:name="_Toc21867"/>
      <w:bookmarkStart w:id="301" w:name="_Toc5436"/>
      <w:bookmarkStart w:id="302" w:name="_Toc13107"/>
      <w:bookmarkStart w:id="303" w:name="_Toc1083"/>
      <w:bookmarkStart w:id="304" w:name="_Toc6829"/>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5"/>
        <w:spacing w:before="0" w:line="240" w:lineRule="atLeast"/>
        <w:ind w:left="1079" w:leftChars="257" w:hanging="540"/>
        <w:rPr>
          <w:rFonts w:cs="宋体" w:asciiTheme="minorEastAsia" w:hAnsiTheme="minorEastAsia" w:eastAsiaTheme="minorEastAsia"/>
          <w:sz w:val="24"/>
        </w:rPr>
      </w:pPr>
    </w:p>
    <w:p>
      <w:pPr>
        <w:pStyle w:val="6"/>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6"/>
        <w:ind w:firstLine="0"/>
      </w:pPr>
    </w:p>
    <w:p>
      <w:pPr>
        <w:pStyle w:val="5"/>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297"/>
      <w:bookmarkEnd w:id="298"/>
      <w:bookmarkEnd w:id="299"/>
      <w:bookmarkEnd w:id="300"/>
      <w:bookmarkEnd w:id="301"/>
      <w:bookmarkEnd w:id="302"/>
      <w:bookmarkEnd w:id="303"/>
      <w:bookmarkEnd w:id="304"/>
    </w:p>
    <w:p>
      <w:pPr>
        <w:pStyle w:val="12"/>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           年      月      日签字生效,特此声明。</w:t>
      </w: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2"/>
        <w:tabs>
          <w:tab w:val="left" w:pos="5580"/>
        </w:tabs>
        <w:spacing w:line="240" w:lineRule="atLeast"/>
        <w:rPr>
          <w:rFonts w:cs="宋体" w:asciiTheme="minorEastAsia" w:hAnsiTheme="minorEastAsia" w:eastAsiaTheme="minorEastAsia"/>
          <w:sz w:val="24"/>
        </w:rPr>
      </w:pPr>
    </w:p>
    <w:p>
      <w:pPr>
        <w:pStyle w:val="12"/>
        <w:tabs>
          <w:tab w:val="left" w:pos="5580"/>
        </w:tabs>
        <w:spacing w:line="240" w:lineRule="atLeast"/>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w:t>
                      </w:r>
                    </w:p>
                    <w:p/>
                  </w:txbxContent>
                </v:textbox>
              </v:roundrect>
            </w:pict>
          </mc:Fallback>
        </mc:AlternateContent>
      </w: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法定代表人（签字或签章）：                     </w: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委托代理人：                                   </w: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                                   </w: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详细通讯地址：                                 </w: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邮 政 编 码 ：                                 </w:t>
      </w:r>
    </w:p>
    <w:p>
      <w:pPr>
        <w:pStyle w:val="12"/>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传　　　　真：                                 </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 xml:space="preserve">电　　　　话：                                 </w:t>
      </w:r>
      <w:bookmarkEnd w:id="294"/>
      <w:bookmarkEnd w:id="295"/>
      <w:bookmarkEnd w:id="296"/>
      <w:bookmarkStart w:id="305" w:name="_Toc4923"/>
      <w:bookmarkStart w:id="306" w:name="_Toc11047"/>
      <w:bookmarkStart w:id="307" w:name="_Toc15480"/>
      <w:bookmarkStart w:id="308" w:name="_Toc515647809"/>
      <w:bookmarkStart w:id="309" w:name="_Toc22138"/>
      <w:bookmarkStart w:id="310" w:name="_Toc28445"/>
      <w:bookmarkStart w:id="311" w:name="_Toc10290"/>
      <w:bookmarkStart w:id="312" w:name="_Toc8410"/>
    </w:p>
    <w:p>
      <w:pPr>
        <w:spacing w:line="460" w:lineRule="exact"/>
        <w:ind w:firstLine="480" w:firstLineChars="200"/>
        <w:rPr>
          <w:rFonts w:cs="宋体" w:asciiTheme="minorEastAsia" w:hAnsiTheme="minorEastAsia" w:eastAsiaTheme="minorEastAsia"/>
          <w:b/>
          <w:kern w:val="0"/>
          <w:sz w:val="24"/>
          <w:szCs w:val="20"/>
        </w:rPr>
      </w:pPr>
    </w:p>
    <w:p>
      <w:pPr>
        <w:pStyle w:val="12"/>
        <w:tabs>
          <w:tab w:val="left" w:pos="5580"/>
        </w:tabs>
        <w:spacing w:line="240" w:lineRule="atLeast"/>
        <w:ind w:left="539" w:leftChars="257"/>
        <w:rPr>
          <w:rFonts w:cs="宋体" w:asciiTheme="minorEastAsia" w:hAnsiTheme="minorEastAsia" w:eastAsiaTheme="minorEastAsia"/>
          <w:b/>
          <w:kern w:val="0"/>
          <w:sz w:val="24"/>
        </w:rPr>
      </w:pPr>
    </w:p>
    <w:p>
      <w:pPr>
        <w:pStyle w:val="12"/>
        <w:tabs>
          <w:tab w:val="left" w:pos="5580"/>
        </w:tabs>
        <w:spacing w:line="240" w:lineRule="atLeast"/>
        <w:ind w:left="539" w:leftChars="257"/>
        <w:rPr>
          <w:rFonts w:cs="宋体" w:asciiTheme="minorEastAsia" w:hAnsiTheme="minorEastAsia" w:eastAsiaTheme="minorEastAsia"/>
          <w:b/>
          <w:kern w:val="0"/>
          <w:sz w:val="24"/>
        </w:rPr>
      </w:pPr>
    </w:p>
    <w:p>
      <w:pPr>
        <w:pStyle w:val="12"/>
        <w:tabs>
          <w:tab w:val="left" w:pos="5580"/>
        </w:tabs>
        <w:spacing w:line="240" w:lineRule="atLeast"/>
        <w:rPr>
          <w:rFonts w:cs="宋体" w:asciiTheme="minorEastAsia" w:hAnsiTheme="minorEastAsia" w:eastAsiaTheme="minorEastAsia"/>
          <w:b/>
          <w:kern w:val="0"/>
          <w:sz w:val="24"/>
        </w:rPr>
      </w:pPr>
    </w:p>
    <w:bookmarkEnd w:id="305"/>
    <w:bookmarkEnd w:id="306"/>
    <w:bookmarkEnd w:id="307"/>
    <w:bookmarkEnd w:id="308"/>
    <w:bookmarkEnd w:id="309"/>
    <w:bookmarkEnd w:id="310"/>
    <w:bookmarkEnd w:id="311"/>
    <w:bookmarkEnd w:id="312"/>
    <w:p>
      <w:pPr>
        <w:spacing w:line="360" w:lineRule="exact"/>
        <w:outlineLvl w:val="1"/>
        <w:rPr>
          <w:rFonts w:cs="宋体" w:asciiTheme="minorEastAsia" w:hAnsiTheme="minorEastAsia" w:eastAsiaTheme="minorEastAsia"/>
          <w:sz w:val="28"/>
          <w:szCs w:val="28"/>
        </w:rPr>
      </w:pPr>
    </w:p>
    <w:p>
      <w:pPr>
        <w:pStyle w:val="6"/>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6"/>
        <w:rPr>
          <w:rFonts w:cs="宋体" w:asciiTheme="minorEastAsia" w:hAnsiTheme="minorEastAsia" w:eastAsiaTheme="minorEastAsia"/>
          <w:sz w:val="28"/>
          <w:szCs w:val="28"/>
        </w:rPr>
      </w:pPr>
    </w:p>
    <w:p/>
    <w:p>
      <w:pPr>
        <w:pStyle w:val="5"/>
        <w:spacing w:before="0" w:line="240" w:lineRule="atLeast"/>
        <w:ind w:left="1079" w:leftChars="257" w:hanging="54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 xml:space="preserve">4 </w:t>
      </w:r>
      <w:r>
        <w:rPr>
          <w:rFonts w:hint="eastAsia" w:cs="宋体" w:asciiTheme="minorEastAsia" w:hAnsiTheme="minorEastAsia" w:eastAsiaTheme="minorEastAsia"/>
          <w:sz w:val="24"/>
        </w:rPr>
        <w:t>磋商保证金收据</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b/>
          <w:bCs/>
          <w:sz w:val="24"/>
          <w:lang w:val="en-US" w:eastAsia="zh-CN"/>
        </w:rPr>
        <w:t>本项目不要求缴纳投标保证金</w:t>
      </w:r>
      <w:r>
        <w:rPr>
          <w:rFonts w:hint="eastAsia" w:cs="宋体" w:asciiTheme="minorEastAsia" w:hAnsiTheme="minorEastAsia" w:eastAsiaTheme="minorEastAsia"/>
          <w:b/>
          <w:bCs/>
          <w:sz w:val="24"/>
          <w:lang w:eastAsia="zh-CN"/>
        </w:rPr>
        <w:t>）</w:t>
      </w:r>
      <w:r>
        <w:rPr>
          <w:rFonts w:hint="eastAsia" w:cs="宋体" w:asciiTheme="minorEastAsia" w:hAnsiTheme="minorEastAsia" w:eastAsiaTheme="minorEastAsia"/>
          <w:sz w:val="24"/>
          <w:lang w:eastAsia="zh-CN"/>
        </w:rPr>
        <w:t>）</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21"/>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 （本项目不适用）（响应文件格式三）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r>
        <w:rPr>
          <w:rFonts w:hint="eastAsia" w:cs="宋体" w:asciiTheme="minorEastAsia" w:hAnsiTheme="minorEastAsia" w:eastAsiaTheme="minorEastAsia"/>
        </w:rPr>
        <w:t xml:space="preserve"> </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（以下简称“供应商”）拟参加编号为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pStyle w:val="25"/>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5"/>
        <w:spacing w:before="0" w:line="360" w:lineRule="exact"/>
        <w:rPr>
          <w:rFonts w:cs="宋体" w:asciiTheme="minorEastAsia" w:hAnsiTheme="minorEastAsia" w:eastAsiaTheme="minorEastAsia"/>
          <w:sz w:val="24"/>
        </w:rPr>
      </w:pPr>
      <w:bookmarkStart w:id="313" w:name="_Toc31179"/>
      <w:bookmarkStart w:id="314" w:name="_Toc15031"/>
      <w:bookmarkStart w:id="315" w:name="_Toc5167"/>
      <w:bookmarkStart w:id="316" w:name="_Toc6113"/>
      <w:bookmarkStart w:id="317" w:name="_Toc22500"/>
      <w:bookmarkStart w:id="318" w:name="_Toc8873"/>
      <w:bookmarkStart w:id="319" w:name="_Toc2502"/>
      <w:bookmarkStart w:id="320" w:name="_Toc23044"/>
      <w:bookmarkStart w:id="321" w:name="_Toc515647814"/>
    </w:p>
    <w:p>
      <w:pPr>
        <w:ind w:firstLine="5775" w:firstLineChars="2750"/>
        <w:rPr>
          <w:rFonts w:ascii="宋体" w:hAnsi="宋体" w:cs="宋体"/>
        </w:rPr>
      </w:pPr>
    </w:p>
    <w:p>
      <w:pPr>
        <w:pStyle w:val="5"/>
        <w:spacing w:line="240" w:lineRule="atLeast"/>
        <w:ind w:left="1079" w:leftChars="257" w:hanging="540"/>
        <w:rPr>
          <w:rFonts w:ascii="宋体" w:hAnsi="宋体" w:eastAsia="宋体" w:cs="宋体"/>
          <w:sz w:val="24"/>
        </w:rPr>
      </w:pPr>
      <w:bookmarkStart w:id="322" w:name="_Toc518923111"/>
      <w:bookmarkStart w:id="323" w:name="_Toc27589"/>
    </w:p>
    <w:p>
      <w:pPr>
        <w:pStyle w:val="5"/>
        <w:spacing w:before="0" w:line="240" w:lineRule="atLeast"/>
        <w:ind w:left="1079"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5  社会保障资金的缴纳记录</w:t>
      </w:r>
      <w:bookmarkEnd w:id="322"/>
      <w:bookmarkEnd w:id="323"/>
    </w:p>
    <w:p>
      <w:pPr>
        <w:pStyle w:val="12"/>
        <w:tabs>
          <w:tab w:val="left" w:pos="5580"/>
        </w:tabs>
        <w:spacing w:line="240" w:lineRule="atLeast"/>
        <w:ind w:left="1079" w:leftChars="257" w:hanging="540"/>
        <w:jc w:val="center"/>
        <w:rPr>
          <w:rFonts w:hAnsi="宋体" w:cs="宋体"/>
          <w:b/>
          <w:sz w:val="24"/>
        </w:rPr>
      </w:pPr>
    </w:p>
    <w:p>
      <w:pPr>
        <w:pStyle w:val="12"/>
        <w:tabs>
          <w:tab w:val="left" w:pos="5580"/>
        </w:tabs>
        <w:spacing w:line="240" w:lineRule="atLeast"/>
        <w:ind w:left="540"/>
        <w:rPr>
          <w:rFonts w:hAnsi="宋体" w:cs="宋体"/>
          <w:b/>
          <w:sz w:val="24"/>
        </w:rPr>
      </w:pPr>
    </w:p>
    <w:p>
      <w:pPr>
        <w:pStyle w:val="12"/>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2"/>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2"/>
        <w:tabs>
          <w:tab w:val="left" w:pos="5580"/>
        </w:tabs>
        <w:spacing w:line="240" w:lineRule="atLeast"/>
        <w:ind w:left="1079" w:leftChars="257" w:hanging="540"/>
        <w:rPr>
          <w:rFonts w:hAnsi="宋体" w:cs="宋体"/>
          <w:sz w:val="24"/>
        </w:rPr>
      </w:pPr>
    </w:p>
    <w:p>
      <w:pPr>
        <w:pStyle w:val="5"/>
        <w:spacing w:before="0" w:line="360" w:lineRule="exact"/>
        <w:rPr>
          <w:rFonts w:cs="宋体" w:asciiTheme="minorEastAsia" w:hAnsiTheme="minorEastAsia" w:eastAsiaTheme="minorEastAsia"/>
          <w:b w:val="0"/>
          <w:bCs/>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360" w:lineRule="exact"/>
        <w:rPr>
          <w:rFonts w:cs="宋体" w:asciiTheme="minorEastAsia" w:hAnsiTheme="minorEastAsia" w:eastAsiaTheme="minorEastAsia"/>
          <w:sz w:val="24"/>
        </w:rPr>
      </w:pPr>
    </w:p>
    <w:p>
      <w:pPr>
        <w:pStyle w:val="5"/>
        <w:spacing w:before="0" w:line="240" w:lineRule="atLeast"/>
        <w:ind w:left="1079"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6 参加政府采购活动前3年内</w:t>
      </w:r>
      <w:bookmarkStart w:id="324" w:name="_Toc515647812"/>
      <w:bookmarkStart w:id="325" w:name="_Toc1137"/>
      <w:bookmarkStart w:id="326" w:name="_Toc6008"/>
      <w:r>
        <w:rPr>
          <w:rFonts w:hint="eastAsia" w:cs="宋体" w:asciiTheme="minorEastAsia" w:hAnsiTheme="minorEastAsia" w:eastAsiaTheme="minorEastAsia"/>
          <w:sz w:val="24"/>
          <w:lang w:val="en-US" w:eastAsia="zh-CN"/>
        </w:rPr>
        <w:t>在经营活动中没有重大违法记录的书面声明</w:t>
      </w:r>
      <w:bookmarkEnd w:id="313"/>
      <w:bookmarkEnd w:id="314"/>
      <w:bookmarkEnd w:id="315"/>
      <w:bookmarkEnd w:id="316"/>
      <w:bookmarkEnd w:id="317"/>
      <w:bookmarkEnd w:id="318"/>
      <w:bookmarkEnd w:id="324"/>
      <w:bookmarkEnd w:id="325"/>
      <w:bookmarkEnd w:id="326"/>
      <w:r>
        <w:rPr>
          <w:rFonts w:hint="eastAsia" w:cs="宋体" w:asciiTheme="minorEastAsia" w:hAnsiTheme="minorEastAsia" w:eastAsiaTheme="minorEastAsia"/>
          <w:sz w:val="24"/>
          <w:lang w:val="en-US" w:eastAsia="zh-CN"/>
        </w:rPr>
        <w:t>及反商业贿赂承诺书</w:t>
      </w:r>
    </w:p>
    <w:p>
      <w:pPr>
        <w:pStyle w:val="12"/>
        <w:tabs>
          <w:tab w:val="left" w:pos="5580"/>
        </w:tabs>
        <w:spacing w:line="360" w:lineRule="exact"/>
        <w:ind w:left="1079" w:leftChars="257" w:hanging="540"/>
        <w:jc w:val="center"/>
        <w:rPr>
          <w:rFonts w:cs="宋体" w:asciiTheme="minorEastAsia" w:hAnsiTheme="minorEastAsia" w:eastAsiaTheme="minorEastAsia"/>
          <w:b/>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2"/>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5"/>
        <w:spacing w:before="0" w:line="240" w:lineRule="atLeast"/>
        <w:ind w:left="1079" w:leftChars="257" w:hanging="540"/>
        <w:rPr>
          <w:rFonts w:hint="eastAsia" w:cs="宋体" w:asciiTheme="minorEastAsia" w:hAnsiTheme="minorEastAsia" w:eastAsiaTheme="minorEastAsia"/>
          <w:sz w:val="24"/>
          <w:lang w:val="en-US" w:eastAsia="zh-CN"/>
        </w:rPr>
      </w:pPr>
      <w:bookmarkStart w:id="327" w:name="_Toc29703"/>
      <w:bookmarkStart w:id="328" w:name="_Toc11862"/>
      <w:bookmarkStart w:id="329" w:name="_Toc24488"/>
      <w:bookmarkStart w:id="330" w:name="_Toc15456"/>
      <w:bookmarkStart w:id="331" w:name="_Toc12185"/>
      <w:bookmarkStart w:id="332" w:name="_Toc32295"/>
      <w:bookmarkStart w:id="333" w:name="_Toc11163"/>
      <w:bookmarkStart w:id="334" w:name="_Toc515647813"/>
      <w:bookmarkStart w:id="335" w:name="_Toc17207"/>
      <w:r>
        <w:rPr>
          <w:rFonts w:hint="eastAsia" w:cs="宋体" w:asciiTheme="minorEastAsia" w:hAnsiTheme="minorEastAsia" w:eastAsiaTheme="minorEastAsia"/>
          <w:sz w:val="24"/>
          <w:lang w:val="en-US" w:eastAsia="zh-CN"/>
        </w:rPr>
        <w:t>7 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2"/>
        <w:tabs>
          <w:tab w:val="left" w:pos="5580"/>
        </w:tabs>
        <w:spacing w:line="360" w:lineRule="exact"/>
        <w:rPr>
          <w:rFonts w:hint="eastAsia" w:cs="宋体" w:asciiTheme="minorEastAsia" w:hAnsiTheme="minorEastAsia" w:eastAsiaTheme="minorEastAsia"/>
          <w:sz w:val="24"/>
          <w:lang w:eastAsia="zh-CN"/>
        </w:rPr>
      </w:pPr>
    </w:p>
    <w:p>
      <w:pPr>
        <w:pStyle w:val="5"/>
        <w:spacing w:before="0" w:line="360" w:lineRule="exact"/>
        <w:ind w:firstLine="240" w:firstLineChars="100"/>
        <w:rPr>
          <w:rFonts w:cs="宋体" w:asciiTheme="minorEastAsia" w:hAnsiTheme="minorEastAsia" w:eastAsiaTheme="minorEastAsia"/>
          <w:sz w:val="24"/>
        </w:rPr>
      </w:pPr>
    </w:p>
    <w:p>
      <w:pPr>
        <w:pStyle w:val="5"/>
        <w:spacing w:before="0" w:line="360" w:lineRule="exact"/>
        <w:ind w:firstLine="240" w:firstLineChars="100"/>
        <w:rPr>
          <w:rFonts w:cs="宋体" w:asciiTheme="minorEastAsia" w:hAnsiTheme="minorEastAsia" w:eastAsiaTheme="minorEastAsia"/>
          <w:sz w:val="24"/>
        </w:rPr>
      </w:pPr>
    </w:p>
    <w:p>
      <w:pPr>
        <w:pStyle w:val="5"/>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5"/>
        <w:spacing w:before="0" w:line="360" w:lineRule="exact"/>
        <w:ind w:firstLine="240" w:firstLineChars="100"/>
        <w:rPr>
          <w:rFonts w:cs="宋体" w:asciiTheme="minorEastAsia" w:hAnsiTheme="minorEastAsia" w:eastAsiaTheme="minorEastAsia"/>
          <w:sz w:val="24"/>
        </w:rPr>
      </w:pPr>
    </w:p>
    <w:p>
      <w:pPr>
        <w:pStyle w:val="5"/>
        <w:spacing w:before="0" w:line="240" w:lineRule="atLeast"/>
        <w:ind w:left="1079"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8</w:t>
      </w:r>
      <w:bookmarkStart w:id="336" w:name="_Toc24428"/>
      <w:bookmarkStart w:id="337" w:name="_Toc515647811"/>
      <w:bookmarkStart w:id="338" w:name="_Toc12631"/>
      <w:bookmarkStart w:id="339" w:name="_Toc522633283"/>
      <w:bookmarkStart w:id="340" w:name="_Toc10692"/>
      <w:r>
        <w:rPr>
          <w:rFonts w:hint="eastAsia" w:cs="宋体" w:asciiTheme="minorEastAsia" w:hAnsiTheme="minorEastAsia" w:eastAsiaTheme="minorEastAsia"/>
          <w:sz w:val="24"/>
          <w:lang w:val="en-US" w:eastAsia="zh-CN"/>
        </w:rPr>
        <w:t xml:space="preserve"> 参加政府采购活动前3年内</w:t>
      </w:r>
      <w:bookmarkEnd w:id="336"/>
      <w:bookmarkEnd w:id="337"/>
      <w:r>
        <w:rPr>
          <w:rFonts w:hint="eastAsia" w:cs="宋体" w:asciiTheme="minorEastAsia" w:hAnsiTheme="minorEastAsia" w:eastAsiaTheme="minorEastAsia"/>
          <w:sz w:val="24"/>
          <w:lang w:val="en-US" w:eastAsia="zh-CN"/>
        </w:rPr>
        <w:t>在经营活动中没有重大违法记录的书面声明</w:t>
      </w:r>
      <w:bookmarkEnd w:id="338"/>
      <w:r>
        <w:rPr>
          <w:rFonts w:hint="eastAsia" w:cs="宋体" w:asciiTheme="minorEastAsia" w:hAnsiTheme="minorEastAsia" w:eastAsiaTheme="minorEastAsia"/>
          <w:sz w:val="24"/>
          <w:lang w:val="en-US" w:eastAsia="zh-CN"/>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39"/>
      <w:bookmarkEnd w:id="340"/>
    </w:p>
    <w:p>
      <w:pPr>
        <w:pStyle w:val="12"/>
        <w:tabs>
          <w:tab w:val="left" w:pos="5580"/>
        </w:tabs>
        <w:spacing w:line="240" w:lineRule="atLeast"/>
        <w:ind w:left="1079" w:leftChars="257" w:hanging="540"/>
        <w:jc w:val="center"/>
        <w:rPr>
          <w:rFonts w:ascii="仿宋" w:hAnsi="仿宋" w:eastAsia="仿宋" w:cs="仿宋"/>
          <w:b/>
          <w:color w:val="000000"/>
          <w:sz w:val="24"/>
        </w:rPr>
      </w:pPr>
    </w:p>
    <w:p>
      <w:pPr>
        <w:pStyle w:val="12"/>
        <w:tabs>
          <w:tab w:val="left" w:pos="5580"/>
        </w:tabs>
        <w:spacing w:line="240" w:lineRule="atLeast"/>
        <w:ind w:left="1079" w:leftChars="257" w:hanging="540"/>
        <w:rPr>
          <w:rFonts w:ascii="仿宋" w:hAnsi="仿宋" w:eastAsia="仿宋" w:cs="仿宋"/>
          <w:color w:val="000000"/>
          <w:sz w:val="24"/>
        </w:rPr>
      </w:pPr>
    </w:p>
    <w:p>
      <w:pPr>
        <w:pStyle w:val="12"/>
        <w:tabs>
          <w:tab w:val="left" w:pos="5580"/>
        </w:tabs>
        <w:spacing w:line="240" w:lineRule="atLeast"/>
        <w:ind w:left="1079" w:leftChars="257" w:hanging="540"/>
        <w:rPr>
          <w:rFonts w:ascii="仿宋" w:hAnsi="仿宋" w:eastAsia="仿宋" w:cs="仿宋"/>
          <w:color w:val="000000"/>
          <w:sz w:val="24"/>
        </w:rPr>
      </w:pPr>
    </w:p>
    <w:p>
      <w:pPr>
        <w:pStyle w:val="12"/>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2"/>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2"/>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 xml:space="preserve">  </w:t>
      </w:r>
    </w:p>
    <w:p>
      <w:pPr>
        <w:pStyle w:val="6"/>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5"/>
        <w:spacing w:before="0" w:line="240" w:lineRule="atLeast"/>
        <w:ind w:left="1079"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9 供应商须知资料表要求的其他资格证明文件</w:t>
      </w:r>
      <w:bookmarkEnd w:id="327"/>
      <w:bookmarkEnd w:id="328"/>
      <w:bookmarkEnd w:id="329"/>
      <w:bookmarkEnd w:id="330"/>
      <w:bookmarkEnd w:id="331"/>
      <w:bookmarkEnd w:id="332"/>
      <w:bookmarkEnd w:id="333"/>
      <w:bookmarkEnd w:id="334"/>
      <w:bookmarkEnd w:id="335"/>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2"/>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pStyle w:val="12"/>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7"/>
    <w:bookmarkEnd w:id="278"/>
    <w:bookmarkEnd w:id="319"/>
    <w:bookmarkEnd w:id="320"/>
    <w:bookmarkEnd w:id="321"/>
    <w:p>
      <w:pPr>
        <w:pStyle w:val="12"/>
        <w:tabs>
          <w:tab w:val="left" w:pos="5580"/>
        </w:tabs>
        <w:spacing w:line="360" w:lineRule="exact"/>
        <w:rPr>
          <w:rFonts w:cs="宋体" w:asciiTheme="minorEastAsia" w:hAnsiTheme="minorEastAsia" w:eastAsiaTheme="minorEastAsia"/>
          <w:b/>
          <w:kern w:val="0"/>
          <w:sz w:val="24"/>
        </w:rPr>
      </w:pPr>
      <w:bookmarkStart w:id="341" w:name="_Toc23485"/>
      <w:bookmarkStart w:id="342" w:name="_Toc24267_WPSOffice_Level2"/>
      <w:bookmarkStart w:id="343" w:name="_Toc6295"/>
      <w:bookmarkStart w:id="344" w:name="_Toc9513_WPSOffice_Level2"/>
      <w:bookmarkStart w:id="345" w:name="_Toc5279"/>
      <w:bookmarkStart w:id="346" w:name="_Toc23960"/>
      <w:bookmarkStart w:id="347" w:name="_Toc26170"/>
      <w:bookmarkStart w:id="348" w:name="_Toc5068"/>
      <w:bookmarkStart w:id="349" w:name="_Toc515647817"/>
      <w:bookmarkStart w:id="350" w:name="_Toc14915"/>
      <w:bookmarkStart w:id="351" w:name="_Toc2041"/>
    </w:p>
    <w:p>
      <w:pPr>
        <w:pStyle w:val="12"/>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2"/>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  商务及技术文件</w:t>
      </w:r>
      <w:bookmarkEnd w:id="341"/>
      <w:bookmarkEnd w:id="342"/>
      <w:bookmarkEnd w:id="343"/>
      <w:bookmarkEnd w:id="344"/>
      <w:bookmarkEnd w:id="345"/>
    </w:p>
    <w:p>
      <w:pPr>
        <w:pStyle w:val="12"/>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1、磋商响应函（响应文件格式五）</w:t>
      </w:r>
    </w:p>
    <w:p>
      <w:pPr>
        <w:pStyle w:val="12"/>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2、技术规格偏离表（响应文件格式九）</w:t>
      </w:r>
    </w:p>
    <w:p>
      <w:pPr>
        <w:pStyle w:val="12"/>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3、商务条款偏离表（响应文件格式十）</w:t>
      </w:r>
    </w:p>
    <w:p>
      <w:pPr>
        <w:pStyle w:val="12"/>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4、符合《政府采购促进中小企业发展暂行办法》、《关于政府采购支持监狱企业发展有关问题的通知》和《三部门联合发布关于促进残疾人就业政府采购政策的通知》价格扣减条件的供应商须提交）</w:t>
      </w:r>
    </w:p>
    <w:p>
      <w:pPr>
        <w:pStyle w:val="12"/>
        <w:spacing w:line="360" w:lineRule="exact"/>
        <w:ind w:firstLine="720" w:firstLineChars="300"/>
        <w:outlineLvl w:val="1"/>
        <w:rPr>
          <w:rFonts w:cs="宋体" w:asciiTheme="minorEastAsia" w:hAnsiTheme="minorEastAsia" w:eastAsiaTheme="minorEastAsia"/>
          <w:sz w:val="24"/>
        </w:rPr>
      </w:pPr>
      <w:bookmarkStart w:id="352" w:name="_Toc31905_WPSOffice_Level2"/>
      <w:bookmarkStart w:id="353" w:name="_Toc10232_WPSOffice_Level2"/>
      <w:r>
        <w:rPr>
          <w:rFonts w:hint="eastAsia" w:cs="宋体" w:asciiTheme="minorEastAsia" w:hAnsiTheme="minorEastAsia" w:eastAsiaTheme="minorEastAsia"/>
          <w:sz w:val="24"/>
        </w:rPr>
        <w:t>5-1《供应商企业（单位）类型声明函》（响应文件格式十一）</w:t>
      </w:r>
      <w:bookmarkEnd w:id="352"/>
      <w:bookmarkEnd w:id="353"/>
    </w:p>
    <w:p>
      <w:pPr>
        <w:pStyle w:val="12"/>
        <w:spacing w:line="360" w:lineRule="exact"/>
        <w:ind w:firstLine="720" w:firstLineChars="300"/>
        <w:outlineLvl w:val="1"/>
        <w:rPr>
          <w:rFonts w:cs="宋体" w:asciiTheme="minorEastAsia" w:hAnsiTheme="minorEastAsia" w:eastAsiaTheme="minorEastAsia"/>
          <w:sz w:val="24"/>
        </w:rPr>
      </w:pPr>
      <w:bookmarkStart w:id="354" w:name="_Toc2883_WPSOffice_Level2"/>
      <w:bookmarkStart w:id="355" w:name="_Toc30193_WPSOffice_Level2"/>
      <w:r>
        <w:rPr>
          <w:rFonts w:hint="eastAsia" w:cs="宋体" w:asciiTheme="minorEastAsia" w:hAnsiTheme="minorEastAsia" w:eastAsiaTheme="minorEastAsia"/>
          <w:sz w:val="24"/>
        </w:rPr>
        <w:t>5-2《制造商供应商企业（单位）类型声明函》（响应文件格式十二）</w:t>
      </w:r>
      <w:bookmarkEnd w:id="354"/>
      <w:bookmarkEnd w:id="355"/>
    </w:p>
    <w:p>
      <w:pPr>
        <w:pStyle w:val="12"/>
        <w:spacing w:line="360" w:lineRule="exact"/>
        <w:ind w:firstLine="720" w:firstLineChars="300"/>
        <w:outlineLvl w:val="1"/>
        <w:rPr>
          <w:rFonts w:cs="宋体" w:asciiTheme="minorEastAsia" w:hAnsiTheme="minorEastAsia" w:eastAsiaTheme="minorEastAsia"/>
          <w:sz w:val="24"/>
        </w:rPr>
      </w:pPr>
      <w:bookmarkStart w:id="356" w:name="_Toc12463_WPSOffice_Level2"/>
      <w:bookmarkStart w:id="357" w:name="_Toc2617_WPSOffice_Level2"/>
      <w:r>
        <w:rPr>
          <w:rFonts w:hint="eastAsia" w:cs="宋体" w:asciiTheme="minorEastAsia" w:hAnsiTheme="minorEastAsia" w:eastAsiaTheme="minorEastAsia"/>
          <w:sz w:val="24"/>
        </w:rPr>
        <w:t>5-3《残疾人福利性单位声明函》（响应文件格式十三）</w:t>
      </w:r>
      <w:bookmarkEnd w:id="356"/>
      <w:bookmarkEnd w:id="357"/>
    </w:p>
    <w:p>
      <w:pPr>
        <w:pStyle w:val="12"/>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2"/>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2"/>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2"/>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12"/>
        <w:tabs>
          <w:tab w:val="left" w:pos="5580"/>
        </w:tabs>
        <w:spacing w:line="360" w:lineRule="exact"/>
        <w:rPr>
          <w:rFonts w:cs="宋体" w:asciiTheme="minorEastAsia" w:hAnsiTheme="minorEastAsia" w:eastAsiaTheme="minorEastAsia"/>
          <w:sz w:val="24"/>
        </w:rPr>
      </w:pPr>
    </w:p>
    <w:p>
      <w:pPr>
        <w:pStyle w:val="5"/>
        <w:spacing w:before="0" w:line="360" w:lineRule="exact"/>
        <w:ind w:left="1079" w:leftChars="257" w:hanging="540"/>
        <w:rPr>
          <w:rFonts w:cs="宋体" w:asciiTheme="minorEastAsia" w:hAnsiTheme="minorEastAsia" w:eastAsiaTheme="minorEastAsia"/>
          <w:sz w:val="24"/>
        </w:rPr>
      </w:pPr>
      <w:bookmarkStart w:id="358" w:name="_Toc28097"/>
      <w:r>
        <w:rPr>
          <w:rFonts w:hint="eastAsia" w:cs="宋体" w:asciiTheme="minorEastAsia" w:hAnsiTheme="minorEastAsia" w:eastAsiaTheme="minorEastAsia"/>
          <w:sz w:val="24"/>
        </w:rPr>
        <w:t xml:space="preserve">1   </w:t>
      </w:r>
      <w:bookmarkEnd w:id="279"/>
      <w:bookmarkEnd w:id="280"/>
      <w:bookmarkEnd w:id="281"/>
      <w:bookmarkStart w:id="359" w:name="_Hlt520355504"/>
      <w:bookmarkEnd w:id="359"/>
      <w:r>
        <w:rPr>
          <w:rFonts w:hint="eastAsia" w:cs="宋体" w:asciiTheme="minorEastAsia" w:hAnsiTheme="minorEastAsia" w:eastAsiaTheme="minorEastAsia"/>
          <w:sz w:val="24"/>
        </w:rPr>
        <w:t>磋商响应函（响应文件格式五）</w:t>
      </w:r>
      <w:bookmarkEnd w:id="282"/>
      <w:bookmarkEnd w:id="346"/>
      <w:bookmarkEnd w:id="347"/>
      <w:bookmarkEnd w:id="348"/>
      <w:bookmarkEnd w:id="349"/>
      <w:bookmarkEnd w:id="350"/>
      <w:bookmarkEnd w:id="351"/>
      <w:bookmarkEnd w:id="358"/>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份及电子文档</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份，并以</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2"/>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（2）本磋商文件有效期为自递交响应文件截止之日起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个日历日。</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存在、不存在）投资关系（如果是联合体的话）。</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2"/>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 xml:space="preserve">  与本磋商文件有关的一切正式往来信函请寄：</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传真</w:t>
      </w:r>
      <w:r>
        <w:rPr>
          <w:rFonts w:hint="eastAsia" w:cs="宋体" w:asciiTheme="minorEastAsia" w:hAnsiTheme="minorEastAsia" w:eastAsiaTheme="minorEastAsia"/>
          <w:sz w:val="24"/>
          <w:u w:val="single"/>
        </w:rPr>
        <w:t xml:space="preserve">                             </w:t>
      </w:r>
    </w:p>
    <w:p>
      <w:pPr>
        <w:pStyle w:val="12"/>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电子函件</w:t>
      </w:r>
      <w:r>
        <w:rPr>
          <w:rFonts w:hint="eastAsia" w:cs="宋体" w:asciiTheme="minorEastAsia" w:hAnsiTheme="minorEastAsia" w:eastAsiaTheme="minorEastAsia"/>
          <w:sz w:val="24"/>
          <w:u w:val="single"/>
        </w:rPr>
        <w:t xml:space="preserve">                         </w:t>
      </w:r>
    </w:p>
    <w:p>
      <w:pPr>
        <w:pStyle w:val="12"/>
        <w:tabs>
          <w:tab w:val="left" w:pos="5580"/>
        </w:tabs>
        <w:spacing w:line="360" w:lineRule="exact"/>
        <w:ind w:left="1079" w:leftChars="257" w:hanging="540"/>
        <w:rPr>
          <w:rFonts w:cs="宋体" w:asciiTheme="minorEastAsia" w:hAnsiTheme="minorEastAsia" w:eastAsiaTheme="minorEastAsia"/>
          <w:sz w:val="24"/>
        </w:rPr>
      </w:pP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xml:space="preserve">　　　　　　 </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2"/>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5"/>
        <w:spacing w:line="240" w:lineRule="atLeast"/>
        <w:ind w:left="1079" w:leftChars="257" w:hanging="540"/>
        <w:rPr>
          <w:rFonts w:hint="default" w:ascii="宋体" w:hAnsi="宋体" w:eastAsia="宋体" w:cs="宋体"/>
          <w:sz w:val="24"/>
          <w:lang w:val="en-US" w:eastAsia="zh-CN"/>
        </w:rPr>
      </w:pPr>
      <w:bookmarkStart w:id="360" w:name="_Hlt520355938"/>
      <w:bookmarkEnd w:id="360"/>
      <w:bookmarkStart w:id="361" w:name="_Hlt520356243"/>
      <w:bookmarkEnd w:id="361"/>
      <w:bookmarkStart w:id="362" w:name="_Toc518923117"/>
      <w:bookmarkStart w:id="363" w:name="_Toc24886"/>
      <w:bookmarkStart w:id="364" w:name="_Toc216582817"/>
      <w:bookmarkStart w:id="365" w:name="_Toc13833"/>
      <w:bookmarkStart w:id="366" w:name="_Toc22563"/>
      <w:bookmarkStart w:id="367" w:name="_Toc1399"/>
      <w:bookmarkStart w:id="368" w:name="_Toc515647820"/>
      <w:bookmarkStart w:id="369" w:name="_Toc28959"/>
      <w:bookmarkStart w:id="370" w:name="_Toc23925"/>
      <w:bookmarkStart w:id="371" w:name="_Toc24837"/>
      <w:r>
        <w:rPr>
          <w:rFonts w:hint="eastAsia" w:ascii="宋体" w:hAnsi="宋体" w:eastAsia="宋体" w:cs="宋体"/>
          <w:sz w:val="24"/>
        </w:rPr>
        <w:t>2   投标保证金缴纳凭证复印件或投标担保函</w:t>
      </w:r>
      <w:bookmarkEnd w:id="362"/>
      <w:bookmarkEnd w:id="363"/>
      <w:r>
        <w:rPr>
          <w:rFonts w:hint="eastAsia" w:ascii="宋体" w:hAnsi="宋体" w:eastAsia="宋体" w:cs="宋体"/>
          <w:sz w:val="24"/>
          <w:lang w:val="en-US" w:eastAsia="zh-CN"/>
        </w:rPr>
        <w:t>(</w:t>
      </w:r>
      <w:r>
        <w:rPr>
          <w:rFonts w:hint="eastAsia" w:cs="宋体" w:asciiTheme="minorEastAsia" w:hAnsiTheme="minorEastAsia" w:eastAsiaTheme="minorEastAsia"/>
          <w:b/>
          <w:bCs/>
          <w:sz w:val="24"/>
          <w:lang w:val="en-US" w:eastAsia="zh-CN"/>
        </w:rPr>
        <w:t>本项目不要求缴纳投标保证金</w:t>
      </w:r>
      <w:r>
        <w:rPr>
          <w:rFonts w:hint="eastAsia" w:ascii="宋体" w:hAnsi="宋体" w:eastAsia="宋体" w:cs="宋体"/>
          <w:sz w:val="24"/>
          <w:lang w:val="en-US" w:eastAsia="zh-CN"/>
        </w:rPr>
        <w:t>)</w:t>
      </w:r>
    </w:p>
    <w:p>
      <w:pPr>
        <w:ind w:firstLine="420" w:firstLineChars="200"/>
        <w:rPr>
          <w:rFonts w:ascii="宋体" w:hAnsi="宋体" w:cs="宋体"/>
          <w:sz w:val="24"/>
        </w:rPr>
      </w:pPr>
      <w:bookmarkStart w:id="372" w:name="_Toc494296991"/>
      <w:bookmarkStart w:id="373"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72"/>
      <w:bookmarkEnd w:id="373"/>
    </w:p>
    <w:p>
      <w:pPr>
        <w:jc w:val="center"/>
        <w:rPr>
          <w:rFonts w:ascii="宋体" w:hAnsi="宋体" w:cs="宋体"/>
          <w:sz w:val="28"/>
          <w:szCs w:val="28"/>
        </w:rPr>
      </w:pPr>
      <w:r>
        <w:rPr>
          <w:rFonts w:hint="eastAsia" w:ascii="宋体" w:hAnsi="宋体" w:cs="宋体"/>
          <w:sz w:val="28"/>
          <w:szCs w:val="28"/>
        </w:rPr>
        <w:t>政府采购投标担保函 （项目用）（投标文件格式四）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w:t>
      </w:r>
      <w:r>
        <w:rPr>
          <w:rFonts w:hint="eastAsia" w:ascii="宋体" w:hAnsi="宋体" w:cs="宋体"/>
          <w:u w:val="single"/>
        </w:rPr>
        <w:t xml:space="preserve">               </w:t>
      </w:r>
      <w:r>
        <w:rPr>
          <w:rFonts w:hint="eastAsia" w:ascii="宋体" w:hAnsi="宋体" w:cs="宋体"/>
        </w:rPr>
        <w:t>（以下简称“投标人”）拟参加编号为</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w:t>
      </w:r>
      <w:r>
        <w:rPr>
          <w:rFonts w:hint="eastAsia" w:ascii="宋体" w:hAnsi="宋体" w:cs="宋体"/>
        </w:rPr>
        <w:t xml:space="preserve">                            </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w:t>
      </w:r>
      <w:r>
        <w:rPr>
          <w:rFonts w:hint="eastAsia" w:ascii="宋体" w:hAnsi="宋体" w:cs="宋体"/>
          <w:u w:val="single"/>
        </w:rPr>
        <w:t xml:space="preserve">      </w:t>
      </w:r>
      <w:r>
        <w:rPr>
          <w:rFonts w:hint="eastAsia" w:ascii="宋体" w:hAnsi="宋体" w:cs="宋体"/>
        </w:rPr>
        <w:t>元（大写</w:t>
      </w:r>
      <w:r>
        <w:rPr>
          <w:rFonts w:hint="eastAsia" w:ascii="宋体" w:hAnsi="宋体" w:cs="宋体"/>
          <w:u w:val="single"/>
        </w:rPr>
        <w:t xml:space="preserve">            </w:t>
      </w:r>
      <w:r>
        <w:rPr>
          <w:rFonts w:hint="eastAsia" w:ascii="宋体" w:hAnsi="宋体" w:cs="宋体"/>
        </w:rPr>
        <w:t>），即本项目的投标保证金金额。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w:t>
      </w:r>
      <w:r>
        <w:rPr>
          <w:rFonts w:hint="eastAsia" w:ascii="宋体" w:hAnsi="宋体" w:cs="宋体"/>
          <w:u w:val="single"/>
        </w:rPr>
        <w:t xml:space="preserve">    </w:t>
      </w:r>
      <w:r>
        <w:rPr>
          <w:rFonts w:hint="eastAsia" w:ascii="宋体" w:hAnsi="宋体" w:cs="宋体"/>
        </w:rPr>
        <w:t>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w:t>
      </w:r>
      <w:r>
        <w:rPr>
          <w:rFonts w:hint="eastAsia" w:ascii="宋体" w:hAnsi="宋体" w:cs="宋体"/>
          <w:u w:val="single"/>
        </w:rPr>
        <w:t xml:space="preserve">          </w:t>
      </w:r>
      <w:r>
        <w:rPr>
          <w:rFonts w:hint="eastAsia" w:ascii="宋体" w:hAnsi="宋体" w:cs="宋体"/>
        </w:rPr>
        <w:t>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r>
        <w:rPr>
          <w:rFonts w:hint="eastAsia" w:ascii="宋体" w:hAnsi="宋体" w:cs="宋体"/>
        </w:rPr>
        <w:t xml:space="preserve">                               </w:t>
      </w:r>
    </w:p>
    <w:p>
      <w:pPr>
        <w:ind w:firstLine="5775" w:firstLineChars="2750"/>
        <w:rPr>
          <w:rFonts w:ascii="宋体" w:hAnsi="宋体" w:cs="宋体"/>
        </w:rPr>
      </w:pPr>
      <w:r>
        <w:rPr>
          <w:rFonts w:hint="eastAsia" w:ascii="宋体" w:hAnsi="宋体" w:cs="宋体"/>
        </w:rPr>
        <w:t>年     月      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5"/>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64"/>
      <w:r>
        <w:rPr>
          <w:rFonts w:hint="eastAsia" w:cs="宋体" w:asciiTheme="minorEastAsia" w:hAnsiTheme="minorEastAsia" w:eastAsiaTheme="minorEastAsia"/>
          <w:sz w:val="24"/>
        </w:rPr>
        <w:t>（响应文件格式九）</w:t>
      </w:r>
      <w:bookmarkEnd w:id="365"/>
      <w:bookmarkEnd w:id="366"/>
      <w:bookmarkEnd w:id="367"/>
      <w:bookmarkEnd w:id="368"/>
      <w:bookmarkEnd w:id="369"/>
      <w:bookmarkEnd w:id="370"/>
      <w:bookmarkEnd w:id="371"/>
      <w:r>
        <w:rPr>
          <w:rFonts w:hint="eastAsia" w:ascii="宋体" w:hAnsi="宋体" w:eastAsia="宋体" w:cs="宋体"/>
          <w:sz w:val="24"/>
          <w:szCs w:val="24"/>
        </w:rPr>
        <w:t>(本项目不适用）</w:t>
      </w:r>
    </w:p>
    <w:p>
      <w:pPr>
        <w:pStyle w:val="12"/>
        <w:spacing w:line="360" w:lineRule="exact"/>
        <w:ind w:left="1080" w:leftChars="257" w:hanging="540"/>
        <w:rPr>
          <w:rFonts w:cs="宋体" w:asciiTheme="minorEastAsia" w:hAnsiTheme="minorEastAsia" w:eastAsiaTheme="minorEastAsia"/>
          <w:sz w:val="24"/>
        </w:rPr>
      </w:pPr>
    </w:p>
    <w:p>
      <w:pPr>
        <w:pStyle w:val="12"/>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2"/>
        <w:spacing w:line="360" w:lineRule="exact"/>
        <w:ind w:left="1080" w:leftChars="257" w:hanging="540"/>
        <w:rPr>
          <w:rFonts w:cs="宋体" w:asciiTheme="minorEastAsia" w:hAnsiTheme="minorEastAsia" w:eastAsiaTheme="minorEastAsia"/>
          <w:sz w:val="24"/>
        </w:rPr>
      </w:pPr>
    </w:p>
    <w:tbl>
      <w:tblPr>
        <w:tblStyle w:val="21"/>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产品名称</w:t>
            </w:r>
          </w:p>
        </w:tc>
        <w:tc>
          <w:tcPr>
            <w:tcW w:w="2340" w:type="dxa"/>
            <w:vAlign w:val="center"/>
          </w:tcPr>
          <w:p>
            <w:pPr>
              <w:pStyle w:val="12"/>
              <w:spacing w:line="360" w:lineRule="exact"/>
              <w:ind w:left="269" w:leftChars="128"/>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磋商文件条款号</w:t>
            </w:r>
          </w:p>
        </w:tc>
        <w:tc>
          <w:tcPr>
            <w:tcW w:w="1260" w:type="dxa"/>
            <w:vAlign w:val="center"/>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234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126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bl>
    <w:p>
      <w:pPr>
        <w:pStyle w:val="12"/>
        <w:spacing w:line="360" w:lineRule="exact"/>
        <w:ind w:left="1080" w:leftChars="257" w:hanging="540"/>
        <w:rPr>
          <w:rFonts w:cs="宋体" w:asciiTheme="minorEastAsia" w:hAnsiTheme="minorEastAsia" w:eastAsiaTheme="minorEastAsia"/>
          <w:sz w:val="24"/>
        </w:rPr>
      </w:pPr>
    </w:p>
    <w:p>
      <w:pPr>
        <w:pStyle w:val="12"/>
        <w:spacing w:line="360" w:lineRule="exact"/>
        <w:ind w:left="1080" w:leftChars="257" w:hanging="540"/>
        <w:rPr>
          <w:rFonts w:cs="宋体" w:asciiTheme="minorEastAsia" w:hAnsiTheme="minorEastAsia" w:eastAsiaTheme="minorEastAsia"/>
          <w:sz w:val="24"/>
        </w:rPr>
      </w:pPr>
    </w:p>
    <w:p>
      <w:pPr>
        <w:pStyle w:val="12"/>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p>
    <w:p>
      <w:pPr>
        <w:pStyle w:val="12"/>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2"/>
        <w:tabs>
          <w:tab w:val="left" w:pos="5580"/>
        </w:tabs>
        <w:spacing w:line="360" w:lineRule="exact"/>
        <w:rPr>
          <w:rFonts w:cs="宋体" w:asciiTheme="minorEastAsia" w:hAnsiTheme="minorEastAsia" w:eastAsiaTheme="minorEastAsia"/>
          <w:sz w:val="24"/>
          <w:u w:val="single"/>
        </w:rPr>
      </w:pPr>
    </w:p>
    <w:p>
      <w:pPr>
        <w:pStyle w:val="12"/>
        <w:tabs>
          <w:tab w:val="left" w:pos="5580"/>
        </w:tabs>
        <w:spacing w:line="360" w:lineRule="exact"/>
        <w:rPr>
          <w:rFonts w:cs="宋体" w:asciiTheme="minorEastAsia" w:hAnsiTheme="minorEastAsia" w:eastAsiaTheme="minorEastAsia"/>
          <w:sz w:val="24"/>
        </w:rPr>
      </w:pPr>
    </w:p>
    <w:p>
      <w:pPr>
        <w:pStyle w:val="5"/>
        <w:spacing w:before="0" w:line="360" w:lineRule="exact"/>
        <w:ind w:left="1080" w:leftChars="257" w:hanging="540"/>
        <w:rPr>
          <w:rFonts w:cs="宋体" w:asciiTheme="minorEastAsia" w:hAnsiTheme="minorEastAsia" w:eastAsiaTheme="minorEastAsia"/>
          <w:sz w:val="24"/>
        </w:rPr>
      </w:pPr>
      <w:bookmarkStart w:id="374" w:name="_Toc216582818"/>
      <w:bookmarkStart w:id="375" w:name="_Toc28674"/>
      <w:bookmarkStart w:id="376" w:name="_Toc21009"/>
      <w:bookmarkStart w:id="377" w:name="_Toc4280"/>
      <w:bookmarkStart w:id="378" w:name="_Toc23"/>
      <w:bookmarkStart w:id="379" w:name="_Toc515647821"/>
      <w:bookmarkStart w:id="380" w:name="_Toc1980"/>
      <w:bookmarkStart w:id="381" w:name="_Toc4342"/>
      <w:r>
        <w:rPr>
          <w:rFonts w:hint="eastAsia" w:cs="宋体" w:asciiTheme="minorEastAsia" w:hAnsiTheme="minorEastAsia" w:eastAsiaTheme="minorEastAsia"/>
          <w:sz w:val="24"/>
        </w:rPr>
        <w:t>3  商务条款偏离表</w:t>
      </w:r>
      <w:bookmarkEnd w:id="374"/>
      <w:r>
        <w:rPr>
          <w:rFonts w:hint="eastAsia" w:cs="宋体" w:asciiTheme="minorEastAsia" w:hAnsiTheme="minorEastAsia" w:eastAsiaTheme="minorEastAsia"/>
          <w:sz w:val="24"/>
        </w:rPr>
        <w:t>（响应文件格式十）</w:t>
      </w:r>
      <w:bookmarkEnd w:id="375"/>
      <w:bookmarkEnd w:id="376"/>
      <w:bookmarkEnd w:id="377"/>
      <w:bookmarkEnd w:id="378"/>
      <w:bookmarkEnd w:id="379"/>
      <w:bookmarkEnd w:id="380"/>
      <w:bookmarkEnd w:id="381"/>
    </w:p>
    <w:p>
      <w:pPr>
        <w:pStyle w:val="12"/>
        <w:spacing w:line="360" w:lineRule="exact"/>
        <w:ind w:left="1080" w:leftChars="257" w:hanging="540"/>
        <w:rPr>
          <w:rFonts w:cs="宋体" w:asciiTheme="minorEastAsia" w:hAnsiTheme="minorEastAsia" w:eastAsiaTheme="minorEastAsia"/>
          <w:sz w:val="24"/>
        </w:rPr>
      </w:pPr>
    </w:p>
    <w:p>
      <w:pPr>
        <w:pStyle w:val="12"/>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2"/>
        <w:spacing w:line="360" w:lineRule="exact"/>
        <w:ind w:left="1080" w:leftChars="257" w:hanging="540"/>
        <w:rPr>
          <w:rFonts w:cs="宋体" w:asciiTheme="minorEastAsia" w:hAnsiTheme="minorEastAsia" w:eastAsiaTheme="minorEastAsia"/>
          <w:sz w:val="24"/>
        </w:rPr>
      </w:pPr>
    </w:p>
    <w:tbl>
      <w:tblPr>
        <w:tblStyle w:val="2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040" w:type="dxa"/>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磋商文件条款号</w:t>
            </w:r>
          </w:p>
        </w:tc>
        <w:tc>
          <w:tcPr>
            <w:tcW w:w="2520" w:type="dxa"/>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jc w:val="center"/>
              <w:rPr>
                <w:rFonts w:cs="宋体" w:asciiTheme="minorEastAsia" w:hAnsiTheme="minorEastAsia" w:eastAsiaTheme="minorEastAsia"/>
                <w:sz w:val="24"/>
              </w:rPr>
            </w:pPr>
          </w:p>
        </w:tc>
        <w:tc>
          <w:tcPr>
            <w:tcW w:w="2520" w:type="dxa"/>
          </w:tcPr>
          <w:p>
            <w:pPr>
              <w:pStyle w:val="12"/>
              <w:spacing w:line="360" w:lineRule="exact"/>
              <w:ind w:left="1080" w:leftChars="257" w:hanging="540"/>
              <w:jc w:val="center"/>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exact"/>
              <w:ind w:left="1080" w:leftChars="257" w:hanging="540"/>
              <w:rPr>
                <w:rFonts w:cs="宋体" w:asciiTheme="minorEastAsia" w:hAnsiTheme="minorEastAsia" w:eastAsiaTheme="minorEastAsia"/>
                <w:sz w:val="24"/>
              </w:rPr>
            </w:pPr>
          </w:p>
        </w:tc>
        <w:tc>
          <w:tcPr>
            <w:tcW w:w="204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2520" w:type="dxa"/>
          </w:tcPr>
          <w:p>
            <w:pPr>
              <w:pStyle w:val="12"/>
              <w:spacing w:line="360" w:lineRule="exact"/>
              <w:ind w:left="1080" w:leftChars="257" w:hanging="540"/>
              <w:rPr>
                <w:rFonts w:cs="宋体" w:asciiTheme="minorEastAsia" w:hAnsiTheme="minorEastAsia" w:eastAsiaTheme="minorEastAsia"/>
                <w:sz w:val="24"/>
              </w:rPr>
            </w:pPr>
          </w:p>
        </w:tc>
        <w:tc>
          <w:tcPr>
            <w:tcW w:w="900" w:type="dxa"/>
          </w:tcPr>
          <w:p>
            <w:pPr>
              <w:pStyle w:val="12"/>
              <w:spacing w:line="360" w:lineRule="exact"/>
              <w:ind w:left="1080" w:leftChars="257" w:hanging="540"/>
              <w:rPr>
                <w:rFonts w:cs="宋体" w:asciiTheme="minorEastAsia" w:hAnsiTheme="minorEastAsia" w:eastAsiaTheme="minorEastAsia"/>
                <w:sz w:val="24"/>
              </w:rPr>
            </w:pPr>
          </w:p>
        </w:tc>
      </w:tr>
    </w:tbl>
    <w:p>
      <w:pPr>
        <w:pStyle w:val="12"/>
        <w:spacing w:line="360" w:lineRule="exact"/>
        <w:ind w:left="1080" w:leftChars="257" w:hanging="540"/>
        <w:rPr>
          <w:rFonts w:cs="宋体" w:asciiTheme="minorEastAsia" w:hAnsiTheme="minorEastAsia" w:eastAsiaTheme="minorEastAsia"/>
          <w:sz w:val="24"/>
        </w:rPr>
      </w:pPr>
    </w:p>
    <w:p>
      <w:pPr>
        <w:pStyle w:val="12"/>
        <w:spacing w:line="360" w:lineRule="exact"/>
        <w:ind w:left="1080" w:leftChars="257" w:hanging="540"/>
        <w:rPr>
          <w:rFonts w:cs="宋体" w:asciiTheme="minorEastAsia" w:hAnsiTheme="minorEastAsia" w:eastAsiaTheme="minorEastAsia"/>
          <w:sz w:val="24"/>
        </w:rPr>
      </w:pPr>
    </w:p>
    <w:p>
      <w:pPr>
        <w:pStyle w:val="12"/>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u w:val="single"/>
        </w:rPr>
        <w:t xml:space="preserve">                 </w:t>
      </w:r>
    </w:p>
    <w:p>
      <w:pPr>
        <w:pStyle w:val="12"/>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2"/>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5"/>
        <w:spacing w:before="0" w:line="360" w:lineRule="exact"/>
        <w:rPr>
          <w:rFonts w:cs="宋体" w:asciiTheme="minorEastAsia" w:hAnsiTheme="minorEastAsia" w:eastAsiaTheme="minorEastAsia"/>
          <w:sz w:val="24"/>
        </w:rPr>
      </w:pPr>
      <w:bookmarkStart w:id="382" w:name="_Hlt520274065"/>
      <w:bookmarkEnd w:id="382"/>
      <w:bookmarkStart w:id="383" w:name="_Hlt520273711"/>
      <w:bookmarkEnd w:id="383"/>
      <w:bookmarkStart w:id="384" w:name="_Hlt520274407"/>
      <w:bookmarkEnd w:id="384"/>
      <w:bookmarkStart w:id="385" w:name="_Hlt520350957"/>
      <w:bookmarkEnd w:id="385"/>
      <w:bookmarkStart w:id="386" w:name="_Hlt520274911"/>
      <w:bookmarkEnd w:id="386"/>
      <w:bookmarkStart w:id="387" w:name="_Hlt520271212"/>
      <w:bookmarkEnd w:id="387"/>
      <w:bookmarkStart w:id="388" w:name="_Hlt520274393"/>
      <w:bookmarkEnd w:id="388"/>
      <w:bookmarkStart w:id="389" w:name="_Hlt520273973"/>
      <w:bookmarkEnd w:id="389"/>
      <w:bookmarkStart w:id="390" w:name="_Hlt520343392"/>
      <w:bookmarkEnd w:id="390"/>
      <w:bookmarkStart w:id="391" w:name="_Hlt520343000"/>
      <w:bookmarkEnd w:id="391"/>
      <w:bookmarkStart w:id="392" w:name="_Hlt520350918"/>
      <w:bookmarkEnd w:id="392"/>
      <w:bookmarkStart w:id="393" w:name="_Toc26282"/>
      <w:bookmarkStart w:id="394" w:name="_Toc21312"/>
      <w:bookmarkStart w:id="395" w:name="_Toc515647823"/>
      <w:bookmarkStart w:id="396" w:name="_Toc3916"/>
      <w:bookmarkStart w:id="397" w:name="_Toc10725"/>
      <w:bookmarkStart w:id="398" w:name="_Toc281"/>
      <w:bookmarkStart w:id="399" w:name="_Toc17036"/>
      <w:r>
        <w:rPr>
          <w:rFonts w:hint="eastAsia" w:cs="宋体" w:asciiTheme="minorEastAsia" w:hAnsiTheme="minorEastAsia" w:eastAsiaTheme="minorEastAsia"/>
          <w:sz w:val="24"/>
        </w:rPr>
        <w:t xml:space="preserve">4-1 </w:t>
      </w:r>
      <w:r>
        <w:rPr>
          <w:rFonts w:hint="eastAsia" w:cs="宋体" w:asciiTheme="minorEastAsia" w:hAnsiTheme="minorEastAsia" w:eastAsiaTheme="minorEastAsia"/>
          <w:b w:val="0"/>
          <w:sz w:val="24"/>
        </w:rPr>
        <w:t xml:space="preserve"> </w:t>
      </w:r>
      <w:r>
        <w:rPr>
          <w:rFonts w:hint="eastAsia" w:cs="宋体" w:asciiTheme="minorEastAsia" w:hAnsiTheme="minorEastAsia" w:eastAsiaTheme="minorEastAsia"/>
          <w:sz w:val="24"/>
        </w:rPr>
        <w:t>供应商企业（单位）类型声明函（响应文件格式十一）</w:t>
      </w:r>
      <w:bookmarkEnd w:id="393"/>
      <w:bookmarkEnd w:id="394"/>
      <w:bookmarkEnd w:id="395"/>
      <w:bookmarkEnd w:id="396"/>
      <w:bookmarkEnd w:id="397"/>
      <w:bookmarkEnd w:id="398"/>
      <w:bookmarkEnd w:id="399"/>
    </w:p>
    <w:p>
      <w:pPr>
        <w:pStyle w:val="5"/>
        <w:spacing w:before="0" w:line="360" w:lineRule="exact"/>
        <w:rPr>
          <w:rFonts w:cs="宋体" w:asciiTheme="minorEastAsia" w:hAnsiTheme="minorEastAsia" w:eastAsiaTheme="minorEastAsia"/>
          <w:b w:val="0"/>
          <w:sz w:val="24"/>
        </w:rPr>
      </w:pPr>
      <w:r>
        <w:rPr>
          <w:rFonts w:hint="eastAsia" w:cs="宋体" w:asciiTheme="minorEastAsia" w:hAnsiTheme="minorEastAsia" w:eastAsiaTheme="minorEastAsia"/>
          <w:sz w:val="24"/>
        </w:rPr>
        <w:t>本项目不适用</w:t>
      </w:r>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5"/>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 本企业</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sz w:val="30"/>
          <w:szCs w:val="30"/>
        </w:rPr>
        <w:t xml:space="preserve"> </w:t>
      </w:r>
      <w:r>
        <w:rPr>
          <w:rFonts w:hint="eastAsia" w:cs="宋体" w:asciiTheme="minorEastAsia" w:hAnsiTheme="minorEastAsia" w:eastAsiaTheme="minorEastAsia"/>
          <w:kern w:val="0"/>
          <w:sz w:val="24"/>
        </w:rPr>
        <w:t>根据《关于促进残疾人就业政府采购政策的通知》（财库〔2017〕141号）。本单位</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5"/>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0" w:name="_Toc19302"/>
      <w:bookmarkStart w:id="401" w:name="_Toc30508"/>
      <w:bookmarkStart w:id="402" w:name="_Toc13461"/>
      <w:bookmarkStart w:id="403" w:name="_Toc10977"/>
      <w:bookmarkStart w:id="404" w:name="_Toc30941"/>
      <w:bookmarkStart w:id="405" w:name="_Toc515647824"/>
      <w:bookmarkStart w:id="406" w:name="_Toc11803"/>
      <w:r>
        <w:rPr>
          <w:rFonts w:hint="eastAsia" w:cs="宋体" w:asciiTheme="minorEastAsia" w:hAnsiTheme="minorEastAsia" w:eastAsiaTheme="minorEastAsia"/>
          <w:b w:val="0"/>
          <w:sz w:val="24"/>
        </w:rPr>
        <w:t>4</w:t>
      </w:r>
      <w:r>
        <w:rPr>
          <w:rFonts w:hint="eastAsia" w:cs="宋体" w:asciiTheme="minorEastAsia" w:hAnsiTheme="minorEastAsia" w:eastAsiaTheme="minorEastAsia"/>
          <w:sz w:val="24"/>
        </w:rPr>
        <w:t>-2   制造商企业（单位）类型声明函（响应文件格式十二）</w:t>
      </w:r>
      <w:bookmarkEnd w:id="400"/>
      <w:bookmarkEnd w:id="401"/>
      <w:bookmarkEnd w:id="402"/>
      <w:bookmarkEnd w:id="403"/>
      <w:bookmarkEnd w:id="404"/>
      <w:bookmarkEnd w:id="405"/>
      <w:bookmarkEnd w:id="406"/>
      <w:r>
        <w:rPr>
          <w:rFonts w:hint="eastAsia" w:cs="宋体" w:asciiTheme="minorEastAsia" w:hAnsiTheme="minorEastAsia" w:eastAsiaTheme="minorEastAsia"/>
          <w:sz w:val="24"/>
        </w:rPr>
        <w:t>（本项目不适用）</w:t>
      </w:r>
    </w:p>
    <w:p/>
    <w:p>
      <w:pPr>
        <w:pStyle w:val="8"/>
        <w:numPr>
          <w:ilvl w:val="0"/>
          <w:numId w:val="0"/>
        </w:numPr>
        <w:spacing w:before="0" w:line="240" w:lineRule="atLeast"/>
        <w:ind w:leftChars="0"/>
        <w:jc w:val="center"/>
        <w:outlineLvl w:val="3"/>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中小企业声明函（工程、服务）</w:t>
      </w:r>
    </w:p>
    <w:p>
      <w:pPr>
        <w:jc w:val="center"/>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color w:val="auto"/>
          <w:sz w:val="24"/>
          <w:szCs w:val="24"/>
          <w:highlight w:val="none"/>
          <w:u w:val="none"/>
          <w:lang w:val="en-US" w:eastAsia="zh-CN"/>
        </w:rPr>
        <w:t>本项目不适用</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500" w:lineRule="exact"/>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本公司（联合体）郑重声明，根据《政府采购促进中小企业发展管理办法》（财库﹝2020﹞46 号）的规定，本公司 （联合体）参加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zh-CN" w:eastAsia="zh-CN" w:bidi="ar-SA"/>
        </w:rPr>
        <w:t>（单位名称）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zh-CN" w:eastAsia="zh-CN" w:bidi="ar-SA"/>
        </w:rPr>
        <w:t xml:space="preserve">的 </w:t>
      </w:r>
      <w:r>
        <w:rPr>
          <w:rFonts w:hint="eastAsia" w:ascii="宋体" w:hAnsi="宋体" w:eastAsia="宋体" w:cs="宋体"/>
          <w:color w:val="auto"/>
          <w:kern w:val="2"/>
          <w:sz w:val="24"/>
          <w:szCs w:val="24"/>
          <w:highlight w:val="none"/>
          <w:u w:val="single"/>
          <w:lang w:val="zh-CN"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（项目名称） </w:t>
      </w:r>
      <w:r>
        <w:rPr>
          <w:rFonts w:hint="eastAsia" w:ascii="宋体" w:hAnsi="宋体" w:eastAsia="宋体" w:cs="宋体"/>
          <w:color w:val="auto"/>
          <w:kern w:val="2"/>
          <w:sz w:val="24"/>
          <w:szCs w:val="24"/>
          <w:highlight w:val="none"/>
          <w:lang w:val="en-US" w:eastAsia="zh-CN" w:bidi="ar-SA"/>
        </w:rPr>
        <w:t xml:space="preserve"> 采购</w:t>
      </w:r>
      <w:r>
        <w:rPr>
          <w:rFonts w:hint="eastAsia" w:ascii="宋体" w:hAnsi="宋体" w:eastAsia="宋体" w:cs="宋体"/>
          <w:color w:val="auto"/>
          <w:kern w:val="2"/>
          <w:sz w:val="24"/>
          <w:szCs w:val="24"/>
          <w:highlight w:val="none"/>
          <w:lang w:val="zh-CN" w:eastAsia="zh-CN" w:bidi="ar-SA"/>
        </w:rPr>
        <w:t>活动，</w:t>
      </w:r>
      <w:r>
        <w:rPr>
          <w:rFonts w:hint="eastAsia" w:ascii="宋体" w:hAnsi="宋体" w:eastAsia="宋体" w:cs="宋体"/>
          <w:color w:val="auto"/>
          <w:kern w:val="2"/>
          <w:sz w:val="24"/>
          <w:szCs w:val="24"/>
          <w:highlight w:val="none"/>
          <w:u w:val="none"/>
          <w:lang w:val="en-US" w:eastAsia="zh-CN" w:bidi="ar-SA"/>
        </w:rPr>
        <w:t>提供的货物</w:t>
      </w:r>
      <w:r>
        <w:rPr>
          <w:rFonts w:hint="eastAsia" w:ascii="宋体" w:hAnsi="宋体" w:eastAsia="宋体" w:cs="宋体"/>
          <w:color w:val="auto"/>
          <w:kern w:val="2"/>
          <w:sz w:val="24"/>
          <w:szCs w:val="24"/>
          <w:highlight w:val="none"/>
          <w:u w:val="none"/>
          <w:lang w:val="zh-CN" w:eastAsia="zh-CN" w:bidi="ar-SA"/>
        </w:rPr>
        <w:t>全部</w:t>
      </w:r>
      <w:r>
        <w:rPr>
          <w:rFonts w:hint="eastAsia" w:ascii="宋体" w:hAnsi="宋体" w:eastAsia="宋体" w:cs="宋体"/>
          <w:color w:val="auto"/>
          <w:kern w:val="2"/>
          <w:sz w:val="24"/>
          <w:szCs w:val="24"/>
          <w:highlight w:val="none"/>
          <w:u w:val="none"/>
          <w:lang w:val="en-US" w:eastAsia="zh-CN" w:bidi="ar-SA"/>
        </w:rPr>
        <w:t>由</w:t>
      </w:r>
      <w:r>
        <w:rPr>
          <w:rFonts w:hint="eastAsia" w:ascii="宋体" w:hAnsi="宋体" w:eastAsia="宋体" w:cs="宋体"/>
          <w:color w:val="auto"/>
          <w:kern w:val="2"/>
          <w:sz w:val="24"/>
          <w:szCs w:val="24"/>
          <w:highlight w:val="none"/>
          <w:u w:val="none"/>
          <w:lang w:val="zh-CN" w:eastAsia="zh-CN" w:bidi="ar-SA"/>
        </w:rPr>
        <w:t>符合政策要求的中小企业</w:t>
      </w:r>
      <w:r>
        <w:rPr>
          <w:rFonts w:hint="eastAsia" w:ascii="宋体" w:hAnsi="宋体" w:eastAsia="宋体" w:cs="宋体"/>
          <w:color w:val="auto"/>
          <w:kern w:val="2"/>
          <w:sz w:val="24"/>
          <w:szCs w:val="24"/>
          <w:highlight w:val="none"/>
          <w:u w:val="none"/>
          <w:lang w:val="en-US" w:eastAsia="zh-CN" w:bidi="ar-SA"/>
        </w:rPr>
        <w:t>制造</w:t>
      </w:r>
      <w:r>
        <w:rPr>
          <w:rFonts w:hint="eastAsia" w:ascii="宋体" w:hAnsi="宋体" w:eastAsia="宋体" w:cs="宋体"/>
          <w:color w:val="auto"/>
          <w:kern w:val="2"/>
          <w:sz w:val="24"/>
          <w:szCs w:val="24"/>
          <w:highlight w:val="none"/>
          <w:lang w:val="zh-CN" w:eastAsia="zh-CN" w:bidi="ar-SA"/>
        </w:rPr>
        <w:t>。相关企业（含联合体中的中小企业、签订分包意向协议的中小企业）的具体情况如下：</w:t>
      </w:r>
    </w:p>
    <w:p>
      <w:pPr>
        <w:pStyle w:val="33"/>
        <w:numPr>
          <w:ilvl w:val="0"/>
          <w:numId w:val="0"/>
        </w:numPr>
        <w:tabs>
          <w:tab w:val="left" w:pos="1975"/>
        </w:tabs>
        <w:spacing w:before="0" w:after="0" w:line="240" w:lineRule="auto"/>
        <w:ind w:left="0" w:leftChars="0" w:right="0" w:rightChars="0"/>
        <w:jc w:val="left"/>
        <w:rPr>
          <w:rFonts w:hint="eastAsia" w:ascii="宋体" w:hAnsi="宋体" w:eastAsia="宋体" w:cs="宋体"/>
          <w:color w:val="auto"/>
          <w:sz w:val="24"/>
        </w:rPr>
      </w:pPr>
      <w:r>
        <w:rPr>
          <w:rFonts w:hint="eastAsia" w:ascii="宋体" w:hAnsi="宋体" w:eastAsia="宋体" w:cs="宋体"/>
          <w:color w:val="auto"/>
          <w:kern w:val="2"/>
          <w:sz w:val="24"/>
          <w:szCs w:val="24"/>
          <w:highlight w:val="none"/>
          <w:lang w:val="en-US" w:eastAsia="zh-CN" w:bidi="ar-SA"/>
        </w:rPr>
        <w:t xml:space="preserve"> </w:t>
      </w:r>
    </w:p>
    <w:p>
      <w:pPr>
        <w:pStyle w:val="33"/>
        <w:numPr>
          <w:ilvl w:val="0"/>
          <w:numId w:val="0"/>
        </w:numPr>
        <w:tabs>
          <w:tab w:val="left" w:pos="1975"/>
        </w:tabs>
        <w:spacing w:before="0" w:after="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 xml:space="preserve">（标的名称） </w:t>
      </w:r>
      <w:r>
        <w:rPr>
          <w:rFonts w:hint="eastAsia" w:ascii="宋体" w:hAnsi="宋体" w:eastAsia="宋体" w:cs="宋体"/>
          <w:color w:val="auto"/>
          <w:kern w:val="2"/>
          <w:sz w:val="24"/>
          <w:szCs w:val="24"/>
          <w:highlight w:val="none"/>
          <w:lang w:val="zh-CN" w:eastAsia="zh-CN" w:bidi="ar-SA"/>
        </w:rPr>
        <w:t>，属于</w:t>
      </w:r>
      <w:r>
        <w:rPr>
          <w:rFonts w:hint="eastAsia" w:ascii="宋体" w:hAnsi="宋体" w:eastAsia="宋体" w:cs="宋体"/>
          <w:color w:val="auto"/>
          <w:kern w:val="2"/>
          <w:sz w:val="24"/>
          <w:szCs w:val="24"/>
          <w:highlight w:val="none"/>
          <w:u w:val="single"/>
          <w:lang w:val="zh-CN" w:eastAsia="zh-CN" w:bidi="ar-SA"/>
        </w:rPr>
        <w:t>（采购文件中明确的所属行业）</w:t>
      </w:r>
      <w:r>
        <w:rPr>
          <w:rFonts w:hint="eastAsia" w:ascii="宋体" w:hAnsi="宋体" w:eastAsia="宋体" w:cs="宋体"/>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u w:val="none"/>
          <w:lang w:val="en-US" w:eastAsia="zh-CN" w:bidi="ar-SA"/>
        </w:rPr>
        <w:t>承建（承接）企 业为（</w:t>
      </w:r>
      <w:r>
        <w:rPr>
          <w:rFonts w:hint="eastAsia" w:ascii="宋体" w:hAnsi="宋体" w:eastAsia="宋体" w:cs="宋体"/>
          <w:color w:val="auto"/>
          <w:kern w:val="2"/>
          <w:sz w:val="24"/>
          <w:szCs w:val="24"/>
          <w:highlight w:val="none"/>
          <w:u w:val="single"/>
          <w:lang w:val="en-US" w:eastAsia="zh-CN" w:bidi="ar-SA"/>
        </w:rPr>
        <w:t xml:space="preserve">企业名称 </w:t>
      </w:r>
      <w:r>
        <w:rPr>
          <w:rFonts w:hint="eastAsia" w:ascii="宋体" w:hAnsi="宋体" w:eastAsia="宋体" w:cs="宋体"/>
          <w:color w:val="auto"/>
          <w:kern w:val="2"/>
          <w:sz w:val="24"/>
          <w:szCs w:val="24"/>
          <w:highlight w:val="none"/>
          <w:u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中型企业、小型企业、微型企业 </w:t>
      </w:r>
      <w:r>
        <w:rPr>
          <w:rFonts w:hint="eastAsia" w:ascii="宋体" w:hAnsi="宋体" w:eastAsia="宋体" w:cs="宋体"/>
          <w:color w:val="auto"/>
          <w:kern w:val="2"/>
          <w:sz w:val="24"/>
          <w:szCs w:val="24"/>
          <w:highlight w:val="none"/>
          <w:u w:val="none"/>
          <w:lang w:val="en-US" w:eastAsia="zh-CN" w:bidi="ar-SA"/>
        </w:rPr>
        <w:t>）；</w:t>
      </w:r>
    </w:p>
    <w:p>
      <w:pPr>
        <w:pStyle w:val="33"/>
        <w:numPr>
          <w:ilvl w:val="0"/>
          <w:numId w:val="0"/>
        </w:numPr>
        <w:tabs>
          <w:tab w:val="left" w:pos="1975"/>
        </w:tabs>
        <w:spacing w:before="0" w:after="0" w:line="36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 xml:space="preserve">（标的名称） </w:t>
      </w:r>
      <w:r>
        <w:rPr>
          <w:rFonts w:hint="eastAsia" w:ascii="宋体" w:hAnsi="宋体" w:eastAsia="宋体" w:cs="宋体"/>
          <w:color w:val="auto"/>
          <w:kern w:val="2"/>
          <w:sz w:val="24"/>
          <w:szCs w:val="24"/>
          <w:highlight w:val="none"/>
          <w:lang w:val="zh-CN" w:eastAsia="zh-CN" w:bidi="ar-SA"/>
        </w:rPr>
        <w:t>，属于</w:t>
      </w:r>
      <w:r>
        <w:rPr>
          <w:rFonts w:hint="eastAsia" w:ascii="宋体" w:hAnsi="宋体" w:eastAsia="宋体" w:cs="宋体"/>
          <w:color w:val="auto"/>
          <w:kern w:val="2"/>
          <w:sz w:val="24"/>
          <w:szCs w:val="24"/>
          <w:highlight w:val="none"/>
          <w:u w:val="single"/>
          <w:lang w:val="zh-CN" w:eastAsia="zh-CN" w:bidi="ar-SA"/>
        </w:rPr>
        <w:t>（采购文件中明确的所属行业）</w:t>
      </w:r>
      <w:r>
        <w:rPr>
          <w:rFonts w:hint="eastAsia" w:ascii="宋体" w:hAnsi="宋体" w:eastAsia="宋体" w:cs="宋体"/>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u w:val="none"/>
          <w:lang w:val="en-US" w:eastAsia="zh-CN" w:bidi="ar-SA"/>
        </w:rPr>
        <w:t>承建（承接）企 业为（</w:t>
      </w:r>
      <w:r>
        <w:rPr>
          <w:rFonts w:hint="eastAsia" w:ascii="宋体" w:hAnsi="宋体" w:eastAsia="宋体" w:cs="宋体"/>
          <w:color w:val="auto"/>
          <w:kern w:val="2"/>
          <w:sz w:val="24"/>
          <w:szCs w:val="24"/>
          <w:highlight w:val="none"/>
          <w:u w:val="single"/>
          <w:lang w:val="en-US" w:eastAsia="zh-CN" w:bidi="ar-SA"/>
        </w:rPr>
        <w:t xml:space="preserve">企业名称 </w:t>
      </w:r>
      <w:r>
        <w:rPr>
          <w:rFonts w:hint="eastAsia" w:ascii="宋体" w:hAnsi="宋体" w:eastAsia="宋体" w:cs="宋体"/>
          <w:color w:val="auto"/>
          <w:kern w:val="2"/>
          <w:sz w:val="24"/>
          <w:szCs w:val="24"/>
          <w:highlight w:val="none"/>
          <w:u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中型企业、小型企业、微型企业 </w:t>
      </w:r>
      <w:r>
        <w:rPr>
          <w:rFonts w:hint="eastAsia" w:ascii="宋体" w:hAnsi="宋体" w:eastAsia="宋体" w:cs="宋体"/>
          <w:color w:val="auto"/>
          <w:kern w:val="2"/>
          <w:sz w:val="24"/>
          <w:szCs w:val="24"/>
          <w:highlight w:val="none"/>
          <w:u w:val="none"/>
          <w:lang w:val="en-US" w:eastAsia="zh-CN" w:bidi="ar-SA"/>
        </w:rPr>
        <w:t>）；</w:t>
      </w:r>
    </w:p>
    <w:p>
      <w:pPr>
        <w:keepNext w:val="0"/>
        <w:keepLines w:val="0"/>
        <w:widowControl/>
        <w:suppressLineNumbers w:val="0"/>
        <w:ind w:firstLine="480" w:firstLineChars="20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w:t>
      </w:r>
    </w:p>
    <w:p>
      <w:pPr>
        <w:spacing w:line="500" w:lineRule="exact"/>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以上企业，不属于大企业的分支机构，不存在控股股东为大企业的情形，也不存在与大企业的负责人为同一人的情形。</w:t>
      </w:r>
    </w:p>
    <w:p>
      <w:pPr>
        <w:spacing w:line="500" w:lineRule="exact"/>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本企业对上述声明内容的真实性负责。如有虚假，将依法承担相应责任。</w:t>
      </w:r>
    </w:p>
    <w:p>
      <w:pPr>
        <w:spacing w:line="500" w:lineRule="exact"/>
        <w:ind w:firstLine="5040" w:firstLineChars="21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w:t>
      </w:r>
      <w:r>
        <w:rPr>
          <w:rFonts w:hint="eastAsia" w:ascii="宋体" w:hAnsi="宋体" w:eastAsia="宋体" w:cs="宋体"/>
          <w:b w:val="0"/>
          <w:bCs w:val="0"/>
          <w:color w:val="auto"/>
          <w:kern w:val="2"/>
          <w:sz w:val="24"/>
          <w:szCs w:val="24"/>
          <w:highlight w:val="none"/>
          <w:lang w:val="en-US" w:eastAsia="zh-CN" w:bidi="ar-SA"/>
        </w:rPr>
        <w:t>名称（盖章）：</w:t>
      </w:r>
    </w:p>
    <w:p>
      <w:pPr>
        <w:spacing w:before="0" w:line="240" w:lineRule="atLeast"/>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2"/>
          <w:sz w:val="24"/>
          <w:szCs w:val="24"/>
          <w:highlight w:val="none"/>
          <w:lang w:val="en-US" w:eastAsia="zh-CN" w:bidi="ar-SA"/>
        </w:rPr>
        <w:t xml:space="preserve">                                         </w:t>
      </w:r>
      <w:bookmarkStart w:id="407" w:name="_Toc13509"/>
      <w:bookmarkStart w:id="408" w:name="_Toc16758"/>
      <w:r>
        <w:rPr>
          <w:rFonts w:hint="eastAsia" w:ascii="宋体" w:hAnsi="宋体" w:eastAsia="宋体" w:cs="宋体"/>
          <w:b w:val="0"/>
          <w:bCs w:val="0"/>
          <w:color w:val="auto"/>
          <w:kern w:val="2"/>
          <w:sz w:val="24"/>
          <w:szCs w:val="24"/>
          <w:highlight w:val="none"/>
          <w:lang w:val="en-US" w:eastAsia="zh-CN" w:bidi="ar-SA"/>
        </w:rPr>
        <w:t>日    期：</w:t>
      </w:r>
      <w:bookmarkEnd w:id="407"/>
      <w:bookmarkEnd w:id="408"/>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09" w:name="_Toc23068"/>
      <w:bookmarkStart w:id="410" w:name="_Toc8320"/>
      <w:bookmarkStart w:id="411" w:name="_Toc31054"/>
      <w:bookmarkStart w:id="412" w:name="_Toc19284"/>
      <w:bookmarkStart w:id="413" w:name="_Toc515647825"/>
      <w:bookmarkStart w:id="414" w:name="_Toc26728"/>
      <w:bookmarkStart w:id="415" w:name="_Toc20016"/>
      <w:bookmarkStart w:id="416" w:name="OLE_LINK13"/>
      <w:bookmarkStart w:id="417" w:name="OLE_LINK14"/>
    </w:p>
    <w:p>
      <w:pPr>
        <w:pStyle w:val="5"/>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rPr>
        <w:t>4-3   残疾人福利性单位声明函（本项目不适用）（响应文件格式十三）</w:t>
      </w:r>
      <w:bookmarkEnd w:id="409"/>
      <w:bookmarkEnd w:id="410"/>
      <w:bookmarkEnd w:id="411"/>
      <w:bookmarkEnd w:id="412"/>
      <w:bookmarkEnd w:id="413"/>
      <w:bookmarkEnd w:id="414"/>
      <w:bookmarkEnd w:id="415"/>
    </w:p>
    <w:p>
      <w:pPr>
        <w:pStyle w:val="5"/>
        <w:spacing w:before="0" w:line="360" w:lineRule="exact"/>
        <w:rPr>
          <w:rFonts w:cs="宋体" w:asciiTheme="minorEastAsia" w:hAnsiTheme="minorEastAsia" w:eastAsiaTheme="minorEastAsia"/>
          <w:b w:val="0"/>
          <w:sz w:val="24"/>
        </w:rPr>
      </w:pPr>
      <w:r>
        <w:rPr>
          <w:rFonts w:hint="eastAsia" w:cs="宋体" w:asciiTheme="minorEastAsia" w:hAnsiTheme="minorEastAsia" w:eastAsiaTheme="minorEastAsia"/>
          <w:sz w:val="24"/>
        </w:rPr>
        <w:t>本项目不适用</w:t>
      </w:r>
    </w:p>
    <w:p/>
    <w:bookmarkEnd w:id="416"/>
    <w:bookmarkEnd w:id="417"/>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 xml:space="preserve">              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 xml:space="preserve">  </w:t>
      </w:r>
      <w:r>
        <w:rPr>
          <w:rFonts w:hint="eastAsia" w:cs="宋体" w:asciiTheme="minorEastAsia" w:hAnsiTheme="minorEastAsia" w:eastAsiaTheme="minorEastAsia"/>
          <w:kern w:val="0"/>
          <w:sz w:val="24"/>
          <w:szCs w:val="20"/>
          <w:u w:val="single" w:color="FFFFFF"/>
        </w:rPr>
        <w:t xml:space="preserve">       </w:t>
      </w:r>
      <w:r>
        <w:rPr>
          <w:rFonts w:hint="eastAsia" w:cs="宋体" w:asciiTheme="minorEastAsia" w:hAnsiTheme="minorEastAsia" w:eastAsiaTheme="minorEastAsia"/>
          <w:kern w:val="0"/>
          <w:sz w:val="24"/>
          <w:szCs w:val="20"/>
        </w:rPr>
        <w:t>日  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18" w:name="_Toc30795"/>
      <w:bookmarkStart w:id="419" w:name="_Toc515647827"/>
      <w:bookmarkStart w:id="420" w:name="_Toc28099"/>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18"/>
    <w:bookmarkEnd w:id="419"/>
    <w:bookmarkEnd w:id="420"/>
    <w:p>
      <w:pPr>
        <w:pStyle w:val="5"/>
        <w:spacing w:before="0" w:line="360" w:lineRule="exact"/>
        <w:jc w:val="both"/>
        <w:rPr>
          <w:rFonts w:cs="宋体" w:asciiTheme="minorEastAsia" w:hAnsiTheme="minorEastAsia" w:eastAsiaTheme="minorEastAsia"/>
          <w:sz w:val="24"/>
        </w:rPr>
      </w:pPr>
      <w:bookmarkStart w:id="421" w:name="_Toc17980"/>
      <w:bookmarkStart w:id="422" w:name="_Toc14172"/>
      <w:bookmarkStart w:id="423" w:name="_Toc12633"/>
      <w:bookmarkStart w:id="424" w:name="_Toc29422"/>
      <w:r>
        <w:rPr>
          <w:rFonts w:hint="eastAsia" w:cs="宋体" w:asciiTheme="minorEastAsia" w:hAnsiTheme="minorEastAsia" w:eastAsiaTheme="minorEastAsia"/>
          <w:sz w:val="24"/>
        </w:rPr>
        <w:t>5   供应商关联单位的说明</w:t>
      </w:r>
      <w:bookmarkEnd w:id="421"/>
      <w:bookmarkEnd w:id="422"/>
      <w:bookmarkEnd w:id="423"/>
      <w:bookmarkEnd w:id="424"/>
    </w:p>
    <w:p>
      <w:pPr>
        <w:pStyle w:val="6"/>
        <w:spacing w:line="360" w:lineRule="exact"/>
        <w:jc w:val="center"/>
        <w:rPr>
          <w:rFonts w:cs="宋体" w:asciiTheme="minorEastAsia" w:hAnsiTheme="minorEastAsia" w:eastAsiaTheme="minorEastAsia"/>
        </w:rPr>
      </w:pPr>
    </w:p>
    <w:p>
      <w:pPr>
        <w:pStyle w:val="6"/>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6"/>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 xml:space="preserve">    （2）与供应商存在直接控股、管理关系的其他单位。</w:t>
      </w:r>
    </w:p>
    <w:p>
      <w:pPr>
        <w:pStyle w:val="6"/>
        <w:spacing w:line="360" w:lineRule="exact"/>
        <w:ind w:firstLine="480" w:firstLineChars="200"/>
        <w:rPr>
          <w:rFonts w:cs="宋体"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25" w:name="_Toc9124"/>
      <w:bookmarkStart w:id="426" w:name="_Toc9060"/>
      <w:bookmarkStart w:id="427" w:name="_Toc9517"/>
      <w:bookmarkStart w:id="428" w:name="_Toc28910"/>
      <w:bookmarkStart w:id="429" w:name="_Toc7414"/>
      <w:bookmarkStart w:id="430" w:name="_Toc17333"/>
      <w:bookmarkStart w:id="431" w:name="_Toc515647828"/>
      <w:r>
        <w:rPr>
          <w:rFonts w:hint="eastAsia" w:cs="宋体" w:asciiTheme="minorEastAsia" w:hAnsiTheme="minorEastAsia" w:eastAsiaTheme="minorEastAsia"/>
          <w:sz w:val="24"/>
        </w:rPr>
        <w:t>6  响应文件还应包括供应商须知第10条的所有技术文件</w:t>
      </w:r>
      <w:bookmarkEnd w:id="425"/>
      <w:bookmarkEnd w:id="426"/>
      <w:bookmarkEnd w:id="427"/>
      <w:bookmarkEnd w:id="428"/>
      <w:bookmarkEnd w:id="429"/>
      <w:bookmarkEnd w:id="430"/>
      <w:bookmarkEnd w:id="431"/>
    </w:p>
    <w:p>
      <w:pPr>
        <w:rPr>
          <w:rFonts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32" w:name="_Toc21017"/>
      <w:bookmarkStart w:id="433" w:name="_Toc29188"/>
      <w:bookmarkStart w:id="434" w:name="_Toc18089"/>
      <w:bookmarkStart w:id="435" w:name="_Toc30129"/>
      <w:bookmarkStart w:id="436" w:name="_Toc19460"/>
      <w:bookmarkStart w:id="437" w:name="_Toc21672"/>
      <w:r>
        <w:rPr>
          <w:rFonts w:hint="eastAsia" w:cs="宋体" w:asciiTheme="minorEastAsia" w:hAnsiTheme="minorEastAsia" w:eastAsiaTheme="minorEastAsia"/>
          <w:sz w:val="24"/>
        </w:rPr>
        <w:t>7 其他有利于磋商的技术条件</w:t>
      </w:r>
      <w:bookmarkEnd w:id="432"/>
      <w:bookmarkEnd w:id="433"/>
      <w:bookmarkEnd w:id="434"/>
      <w:bookmarkEnd w:id="435"/>
      <w:bookmarkEnd w:id="436"/>
      <w:bookmarkEnd w:id="437"/>
    </w:p>
    <w:p>
      <w:pPr>
        <w:spacing w:line="240" w:lineRule="atLeast"/>
        <w:outlineLvl w:val="2"/>
        <w:rPr>
          <w:rFonts w:cs="宋体" w:asciiTheme="minorEastAsia" w:hAnsiTheme="minorEastAsia" w:eastAsiaTheme="minorEastAsia"/>
          <w:b/>
          <w:kern w:val="0"/>
          <w:sz w:val="24"/>
          <w:szCs w:val="20"/>
        </w:rPr>
      </w:pPr>
      <w:bookmarkStart w:id="438" w:name="_Toc13771"/>
      <w:bookmarkStart w:id="439" w:name="_Toc28994"/>
      <w:bookmarkStart w:id="440" w:name="_Toc18887"/>
      <w:bookmarkStart w:id="441" w:name="_Toc23729"/>
      <w:bookmarkStart w:id="442" w:name="_Toc30798"/>
    </w:p>
    <w:p>
      <w:pPr>
        <w:spacing w:line="240" w:lineRule="atLeast"/>
        <w:outlineLvl w:val="2"/>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10  响应文件格式范本</w:t>
      </w:r>
      <w:bookmarkEnd w:id="438"/>
      <w:bookmarkEnd w:id="439"/>
      <w:bookmarkEnd w:id="440"/>
      <w:bookmarkEnd w:id="441"/>
      <w:bookmarkEnd w:id="442"/>
    </w:p>
    <w:tbl>
      <w:tblPr>
        <w:tblStyle w:val="21"/>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9"/>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xml:space="preserve">                                       （正本/副本）</w:t>
            </w:r>
          </w:p>
          <w:p>
            <w:pPr>
              <w:pStyle w:val="9"/>
              <w:ind w:firstLine="4216" w:firstLineChars="1500"/>
              <w:rPr>
                <w:rFonts w:cs="宋体" w:asciiTheme="minorEastAsia" w:hAnsiTheme="minorEastAsia" w:eastAsiaTheme="minorEastAsia"/>
                <w:b/>
                <w:bCs/>
                <w:sz w:val="28"/>
                <w:szCs w:val="28"/>
              </w:rPr>
            </w:pPr>
          </w:p>
          <w:p>
            <w:pPr>
              <w:pStyle w:val="9"/>
              <w:ind w:firstLine="4216" w:firstLineChars="1500"/>
              <w:rPr>
                <w:rFonts w:cs="宋体" w:asciiTheme="minorEastAsia" w:hAnsiTheme="minorEastAsia" w:eastAsiaTheme="minorEastAsia"/>
                <w:b/>
                <w:bCs/>
                <w:sz w:val="28"/>
                <w:szCs w:val="28"/>
              </w:rPr>
            </w:pPr>
          </w:p>
          <w:p>
            <w:pPr>
              <w:pStyle w:val="9"/>
              <w:rPr>
                <w:rFonts w:cs="宋体" w:asciiTheme="minorEastAsia" w:hAnsiTheme="minorEastAsia" w:eastAsiaTheme="minorEastAsia"/>
                <w:b/>
                <w:bCs/>
                <w:sz w:val="28"/>
                <w:szCs w:val="28"/>
              </w:rPr>
            </w:pPr>
          </w:p>
          <w:p>
            <w:pPr>
              <w:pStyle w:val="9"/>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9"/>
              <w:jc w:val="center"/>
              <w:rPr>
                <w:rFonts w:cs="宋体" w:asciiTheme="minorEastAsia" w:hAnsiTheme="minorEastAsia" w:eastAsiaTheme="minorEastAsia"/>
                <w:b/>
                <w:bCs/>
                <w:sz w:val="21"/>
                <w:szCs w:val="21"/>
              </w:rPr>
            </w:pPr>
          </w:p>
          <w:p>
            <w:pPr>
              <w:pStyle w:val="9"/>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9"/>
              <w:jc w:val="center"/>
              <w:rPr>
                <w:rFonts w:cs="宋体" w:asciiTheme="minorEastAsia" w:hAnsiTheme="minorEastAsia" w:eastAsiaTheme="minorEastAsia"/>
                <w:b/>
                <w:bCs/>
                <w:sz w:val="48"/>
              </w:rPr>
            </w:pPr>
          </w:p>
          <w:p>
            <w:pPr>
              <w:pStyle w:val="9"/>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 应 文 件</w:t>
            </w:r>
          </w:p>
          <w:p>
            <w:pPr>
              <w:jc w:val="center"/>
              <w:rPr>
                <w:rFonts w:cs="宋体" w:asciiTheme="minorEastAsia" w:hAnsiTheme="minorEastAsia" w:eastAsiaTheme="minorEastAsia"/>
                <w:b/>
                <w:sz w:val="32"/>
              </w:rPr>
            </w:pPr>
          </w:p>
          <w:p>
            <w:pPr>
              <w:pStyle w:val="6"/>
              <w:rPr>
                <w:rFonts w:cs="宋体" w:asciiTheme="minorEastAsia" w:hAnsiTheme="minorEastAsia" w:eastAsiaTheme="minorEastAsia"/>
                <w:b/>
                <w:sz w:val="32"/>
              </w:rPr>
            </w:pPr>
          </w:p>
          <w:p>
            <w:pPr>
              <w:pStyle w:val="6"/>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 标 单位：</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r>
              <w:rPr>
                <w:rFonts w:hint="eastAsia" w:cs="宋体" w:asciiTheme="minorEastAsia" w:hAnsiTheme="minorEastAsia" w:eastAsiaTheme="minorEastAsia"/>
                <w:szCs w:val="21"/>
                <w:u w:val="single"/>
              </w:rPr>
              <w:t xml:space="preserve">                                          </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r>
              <w:rPr>
                <w:rFonts w:hint="eastAsia" w:cs="宋体" w:asciiTheme="minorEastAsia" w:hAnsiTheme="minorEastAsia" w:eastAsiaTheme="minorEastAsia"/>
                <w:szCs w:val="21"/>
                <w:u w:val="single"/>
              </w:rPr>
              <w:t xml:space="preserve">                                        </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 系 人：</w:t>
            </w:r>
            <w:r>
              <w:rPr>
                <w:rFonts w:hint="eastAsia" w:cs="宋体" w:asciiTheme="minorEastAsia" w:hAnsiTheme="minorEastAsia" w:eastAsiaTheme="minorEastAsia"/>
                <w:szCs w:val="21"/>
                <w:u w:val="single"/>
              </w:rPr>
              <w:t xml:space="preserve">                                        </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 xml:space="preserve">地    址  ：  </w:t>
            </w:r>
            <w:r>
              <w:rPr>
                <w:rFonts w:hint="eastAsia" w:cs="宋体" w:asciiTheme="minorEastAsia" w:hAnsiTheme="minorEastAsia" w:eastAsiaTheme="minorEastAsia"/>
                <w:szCs w:val="21"/>
                <w:u w:val="single"/>
              </w:rPr>
              <w:t xml:space="preserve">                                    </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   在xxx年xx月xx日     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pStyle w:val="4"/>
        <w:tabs>
          <w:tab w:val="left" w:pos="0"/>
        </w:tabs>
        <w:spacing w:before="0" w:after="0" w:line="240" w:lineRule="atLeast"/>
        <w:rPr>
          <w:rFonts w:cs="宋体" w:asciiTheme="minorEastAsia" w:hAnsiTheme="minorEastAsia" w:eastAsiaTheme="minorEastAsia"/>
          <w:color w:val="000000"/>
        </w:rPr>
      </w:pPr>
      <w:bookmarkStart w:id="443" w:name="_Toc216582822"/>
      <w:bookmarkStart w:id="444" w:name="_Toc218935350"/>
      <w:bookmarkStart w:id="445" w:name="_Toc518923124"/>
      <w:bookmarkStart w:id="446" w:name="_Toc219175634"/>
      <w:bookmarkStart w:id="447" w:name="_Toc31119"/>
      <w:bookmarkStart w:id="448" w:name="_Toc9913"/>
      <w:bookmarkStart w:id="449" w:name="_Toc507399902"/>
      <w:bookmarkStart w:id="450" w:name="_Toc21156_WPSOffice_Level1"/>
      <w:r>
        <w:rPr>
          <w:rFonts w:hint="eastAsia" w:cs="宋体" w:asciiTheme="minorEastAsia" w:hAnsiTheme="minorEastAsia" w:eastAsiaTheme="minorEastAsia"/>
          <w:color w:val="000000"/>
        </w:rPr>
        <w:t>第</w:t>
      </w:r>
      <w:r>
        <w:rPr>
          <w:rFonts w:hint="eastAsia" w:cs="宋体" w:asciiTheme="minorEastAsia" w:hAnsiTheme="minorEastAsia" w:eastAsiaTheme="minorEastAsia"/>
          <w:color w:val="000000"/>
          <w:lang w:val="en-US" w:eastAsia="zh-CN"/>
        </w:rPr>
        <w:t>3</w:t>
      </w:r>
      <w:r>
        <w:rPr>
          <w:rFonts w:hint="eastAsia" w:cs="宋体" w:asciiTheme="minorEastAsia" w:hAnsiTheme="minorEastAsia" w:eastAsiaTheme="minorEastAsia"/>
          <w:color w:val="000000"/>
        </w:rPr>
        <w:t xml:space="preserve">章  </w:t>
      </w:r>
      <w:bookmarkEnd w:id="443"/>
      <w:bookmarkEnd w:id="444"/>
      <w:bookmarkEnd w:id="445"/>
      <w:bookmarkEnd w:id="446"/>
      <w:bookmarkEnd w:id="447"/>
      <w:bookmarkEnd w:id="448"/>
      <w:bookmarkEnd w:id="449"/>
      <w:bookmarkEnd w:id="450"/>
      <w:r>
        <w:rPr>
          <w:rFonts w:hint="eastAsia" w:cs="宋体" w:asciiTheme="minorEastAsia" w:hAnsiTheme="minorEastAsia" w:eastAsiaTheme="minorEastAsia"/>
          <w:color w:val="000000"/>
        </w:rPr>
        <w:t>竞争性磋商公告</w:t>
      </w:r>
    </w:p>
    <w:p>
      <w:pPr>
        <w:rPr>
          <w:rFonts w:cs="宋体" w:asciiTheme="minorEastAsia" w:hAnsiTheme="minorEastAsia" w:eastAsiaTheme="minorEastAsia"/>
        </w:rPr>
      </w:pPr>
    </w:p>
    <w:p>
      <w:pPr>
        <w:spacing w:line="400" w:lineRule="exact"/>
        <w:jc w:val="center"/>
        <w:rPr>
          <w:rFonts w:hint="eastAsia" w:eastAsia="宋体"/>
          <w:b/>
          <w:bCs/>
          <w:kern w:val="0"/>
          <w:sz w:val="32"/>
          <w:szCs w:val="32"/>
          <w:shd w:val="clear" w:color="auto" w:fill="FFFFFF"/>
          <w:lang w:eastAsia="zh-CN"/>
        </w:rPr>
      </w:pPr>
      <w:bookmarkStart w:id="451" w:name="_Toc518923125"/>
      <w:bookmarkStart w:id="452" w:name="_Toc28647"/>
      <w:bookmarkStart w:id="453" w:name="_Toc216582823"/>
      <w:bookmarkStart w:id="454" w:name="_Toc507399903"/>
      <w:bookmarkStart w:id="455" w:name="_Toc512937850"/>
      <w:r>
        <w:rPr>
          <w:rFonts w:hint="eastAsia"/>
          <w:b/>
          <w:bCs/>
          <w:kern w:val="0"/>
          <w:sz w:val="32"/>
          <w:szCs w:val="32"/>
          <w:shd w:val="clear" w:color="auto" w:fill="FFFFFF"/>
          <w:lang w:eastAsia="zh-CN"/>
        </w:rPr>
        <w:t>惠民惠农补贴代发金融机构项目（二次）</w:t>
      </w:r>
    </w:p>
    <w:p>
      <w:pPr>
        <w:spacing w:line="400" w:lineRule="exact"/>
        <w:jc w:val="center"/>
        <w:rPr>
          <w:b/>
          <w:bCs/>
          <w:kern w:val="0"/>
          <w:sz w:val="32"/>
          <w:szCs w:val="32"/>
          <w:shd w:val="clear" w:color="auto" w:fill="FFFFFF"/>
        </w:rPr>
      </w:pPr>
      <w:r>
        <w:rPr>
          <w:rFonts w:hint="eastAsia"/>
          <w:b/>
          <w:bCs/>
          <w:kern w:val="0"/>
          <w:sz w:val="32"/>
          <w:szCs w:val="32"/>
          <w:shd w:val="clear" w:color="auto" w:fill="FFFFFF"/>
        </w:rPr>
        <w:t>竞争性磋商公告</w:t>
      </w:r>
    </w:p>
    <w:p>
      <w:pPr>
        <w:pBdr>
          <w:top w:val="single" w:color="auto" w:sz="4" w:space="1"/>
          <w:left w:val="single" w:color="auto" w:sz="4" w:space="4"/>
          <w:bottom w:val="single" w:color="auto" w:sz="4" w:space="1"/>
          <w:right w:val="single" w:color="auto" w:sz="4" w:space="4"/>
        </w:pBdr>
        <w:ind w:firstLine="482" w:firstLineChars="200"/>
        <w:rPr>
          <w:rFonts w:ascii="宋体" w:hAnsi="宋体" w:cs="宋体"/>
          <w:b/>
          <w:bCs/>
          <w:sz w:val="24"/>
        </w:rPr>
      </w:pPr>
      <w:r>
        <w:rPr>
          <w:rFonts w:hint="eastAsia" w:ascii="宋体" w:hAnsi="宋体" w:cs="宋体"/>
          <w:b/>
          <w:bCs/>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cs="宋体"/>
          <w:sz w:val="24"/>
        </w:rPr>
      </w:pPr>
      <w:r>
        <w:rPr>
          <w:rFonts w:hint="eastAsia" w:ascii="宋体" w:hAnsi="宋体" w:cs="宋体"/>
          <w:sz w:val="24"/>
          <w:u w:val="single"/>
          <w:lang w:eastAsia="zh-CN"/>
        </w:rPr>
        <w:t>惠民惠农补贴代发金融机构项目（二次）</w:t>
      </w:r>
      <w:r>
        <w:rPr>
          <w:rFonts w:hint="eastAsia" w:ascii="宋体" w:hAnsi="宋体" w:cs="宋体"/>
          <w:sz w:val="24"/>
        </w:rPr>
        <w:t>的潜在投标人应在</w:t>
      </w:r>
      <w:r>
        <w:rPr>
          <w:rFonts w:hint="eastAsia" w:ascii="宋体" w:hAnsi="宋体" w:eastAsia="宋体" w:cs="宋体"/>
          <w:kern w:val="0"/>
          <w:sz w:val="24"/>
          <w:highlight w:val="none"/>
          <w:lang w:eastAsia="zh-CN" w:bidi="ar"/>
        </w:rPr>
        <w:t>政采云平台线上</w:t>
      </w:r>
      <w:r>
        <w:rPr>
          <w:rFonts w:hint="eastAsia" w:ascii="宋体" w:hAnsi="宋体" w:eastAsia="宋体" w:cs="宋体"/>
          <w:kern w:val="0"/>
          <w:sz w:val="24"/>
          <w:highlight w:val="none"/>
          <w:lang w:bidi="ar"/>
        </w:rPr>
        <w:t>获取招标文件，</w:t>
      </w:r>
      <w:r>
        <w:rPr>
          <w:rFonts w:hint="eastAsia" w:ascii="宋体" w:hAnsi="宋体" w:eastAsia="宋体" w:cs="宋体"/>
          <w:sz w:val="24"/>
          <w:szCs w:val="24"/>
        </w:rPr>
        <w:t>（</w:t>
      </w:r>
      <w:r>
        <w:rPr>
          <w:rFonts w:hint="eastAsia" w:ascii="宋体" w:hAnsi="宋体" w:eastAsia="宋体" w:cs="宋体"/>
          <w:spacing w:val="-24"/>
          <w:sz w:val="24"/>
          <w:szCs w:val="24"/>
        </w:rPr>
        <w:t xml:space="preserve"> </w:t>
      </w:r>
      <w:r>
        <w:rPr>
          <w:rFonts w:hint="eastAsia" w:ascii="宋体" w:hAnsi="宋体" w:eastAsia="宋体" w:cs="宋体"/>
          <w:sz w:val="24"/>
          <w:szCs w:val="24"/>
        </w:rPr>
        <w:t>供</w:t>
      </w:r>
      <w:r>
        <w:rPr>
          <w:rFonts w:hint="eastAsia" w:ascii="宋体" w:hAnsi="宋体" w:eastAsia="宋体" w:cs="宋体"/>
          <w:spacing w:val="-24"/>
          <w:sz w:val="24"/>
          <w:szCs w:val="24"/>
        </w:rPr>
        <w:t xml:space="preserve"> </w:t>
      </w:r>
      <w:r>
        <w:rPr>
          <w:rFonts w:hint="eastAsia" w:ascii="宋体" w:hAnsi="宋体" w:eastAsia="宋体" w:cs="宋体"/>
          <w:sz w:val="24"/>
          <w:szCs w:val="24"/>
        </w:rPr>
        <w:t>应</w:t>
      </w:r>
      <w:r>
        <w:rPr>
          <w:rFonts w:hint="eastAsia" w:ascii="宋体" w:hAnsi="宋体" w:eastAsia="宋体" w:cs="宋体"/>
          <w:spacing w:val="-24"/>
          <w:sz w:val="24"/>
          <w:szCs w:val="24"/>
        </w:rPr>
        <w:t xml:space="preserve"> </w:t>
      </w:r>
      <w:r>
        <w:rPr>
          <w:rFonts w:hint="eastAsia" w:ascii="宋体" w:hAnsi="宋体" w:eastAsia="宋体" w:cs="宋体"/>
          <w:sz w:val="24"/>
          <w:szCs w:val="24"/>
        </w:rPr>
        <w:t>商</w:t>
      </w:r>
      <w:r>
        <w:rPr>
          <w:rFonts w:hint="eastAsia" w:ascii="宋体" w:hAnsi="宋体" w:eastAsia="宋体" w:cs="宋体"/>
          <w:spacing w:val="-24"/>
          <w:sz w:val="24"/>
          <w:szCs w:val="24"/>
        </w:rPr>
        <w:t xml:space="preserve"> </w:t>
      </w:r>
      <w:r>
        <w:rPr>
          <w:rFonts w:hint="eastAsia" w:ascii="宋体" w:hAnsi="宋体" w:eastAsia="宋体" w:cs="宋体"/>
          <w:sz w:val="24"/>
          <w:szCs w:val="24"/>
        </w:rPr>
        <w:t>登</w:t>
      </w:r>
      <w:r>
        <w:rPr>
          <w:rFonts w:hint="eastAsia" w:ascii="宋体" w:hAnsi="宋体" w:eastAsia="宋体" w:cs="宋体"/>
          <w:spacing w:val="-24"/>
          <w:sz w:val="24"/>
          <w:szCs w:val="24"/>
        </w:rPr>
        <w:t xml:space="preserve"> </w:t>
      </w:r>
      <w:r>
        <w:rPr>
          <w:rFonts w:hint="eastAsia" w:ascii="宋体" w:hAnsi="宋体" w:eastAsia="宋体" w:cs="宋体"/>
          <w:sz w:val="24"/>
          <w:szCs w:val="24"/>
        </w:rPr>
        <w:t>陆</w:t>
      </w:r>
      <w:r>
        <w:rPr>
          <w:rFonts w:hint="eastAsia" w:ascii="宋体" w:hAnsi="宋体" w:eastAsia="宋体" w:cs="宋体"/>
          <w:spacing w:val="-24"/>
          <w:sz w:val="24"/>
          <w:szCs w:val="24"/>
        </w:rPr>
        <w:t xml:space="preserve"> </w:t>
      </w:r>
      <w:r>
        <w:rPr>
          <w:rFonts w:hint="eastAsia" w:ascii="宋体" w:hAnsi="宋体" w:eastAsia="宋体" w:cs="宋体"/>
          <w:sz w:val="24"/>
          <w:szCs w:val="24"/>
        </w:rPr>
        <w:t>政</w:t>
      </w:r>
      <w:r>
        <w:rPr>
          <w:rFonts w:hint="eastAsia" w:ascii="宋体" w:hAnsi="宋体" w:eastAsia="宋体" w:cs="宋体"/>
          <w:spacing w:val="-27"/>
          <w:sz w:val="24"/>
          <w:szCs w:val="24"/>
        </w:rPr>
        <w:t xml:space="preserve"> </w:t>
      </w:r>
      <w:r>
        <w:rPr>
          <w:rFonts w:hint="eastAsia" w:ascii="宋体" w:hAnsi="宋体" w:eastAsia="宋体" w:cs="宋体"/>
          <w:sz w:val="24"/>
          <w:szCs w:val="24"/>
        </w:rPr>
        <w:t>采</w:t>
      </w:r>
      <w:r>
        <w:rPr>
          <w:rFonts w:hint="eastAsia" w:ascii="宋体" w:hAnsi="宋体" w:eastAsia="宋体" w:cs="宋体"/>
          <w:spacing w:val="-23"/>
          <w:sz w:val="24"/>
          <w:szCs w:val="24"/>
        </w:rPr>
        <w:t xml:space="preserve"> </w:t>
      </w:r>
      <w:r>
        <w:rPr>
          <w:rFonts w:hint="eastAsia" w:ascii="宋体" w:hAnsi="宋体" w:eastAsia="宋体" w:cs="宋体"/>
          <w:sz w:val="24"/>
          <w:szCs w:val="24"/>
        </w:rPr>
        <w:t>云</w:t>
      </w:r>
      <w:r>
        <w:rPr>
          <w:rFonts w:hint="eastAsia" w:ascii="宋体" w:hAnsi="宋体" w:eastAsia="宋体" w:cs="宋体"/>
          <w:spacing w:val="-24"/>
          <w:sz w:val="24"/>
          <w:szCs w:val="24"/>
        </w:rPr>
        <w:t xml:space="preserve"> </w:t>
      </w:r>
      <w:r>
        <w:rPr>
          <w:rFonts w:hint="eastAsia" w:ascii="宋体" w:hAnsi="宋体" w:eastAsia="宋体" w:cs="宋体"/>
          <w:sz w:val="24"/>
          <w:szCs w:val="24"/>
        </w:rPr>
        <w:t>平</w:t>
      </w:r>
      <w:r>
        <w:rPr>
          <w:rFonts w:hint="eastAsia" w:ascii="宋体" w:hAnsi="宋体" w:eastAsia="宋体" w:cs="宋体"/>
          <w:spacing w:val="-24"/>
          <w:sz w:val="24"/>
          <w:szCs w:val="24"/>
        </w:rPr>
        <w:t xml:space="preserve"> </w:t>
      </w:r>
      <w:r>
        <w:rPr>
          <w:rFonts w:hint="eastAsia" w:ascii="宋体" w:hAnsi="宋体" w:eastAsia="宋体" w:cs="宋体"/>
          <w:spacing w:val="-14"/>
          <w:sz w:val="24"/>
          <w:szCs w:val="24"/>
        </w:rPr>
        <w:t>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"http://www.zcygov.cn/" \h </w:instrText>
      </w:r>
      <w:r>
        <w:rPr>
          <w:rFonts w:hint="eastAsia" w:ascii="宋体" w:hAnsi="宋体" w:eastAsia="宋体" w:cs="宋体"/>
          <w:sz w:val="24"/>
          <w:szCs w:val="24"/>
        </w:rPr>
        <w:fldChar w:fldCharType="separate"/>
      </w:r>
      <w:r>
        <w:rPr>
          <w:rFonts w:hint="eastAsia" w:ascii="宋体" w:hAnsi="宋体" w:eastAsia="宋体" w:cs="宋体"/>
          <w:sz w:val="24"/>
          <w:szCs w:val="24"/>
        </w:rPr>
        <w:t>http://www.zcygov.cn/</w:t>
      </w:r>
      <w:r>
        <w:rPr>
          <w:rFonts w:hint="eastAsia" w:ascii="宋体" w:hAnsi="宋体" w:eastAsia="宋体" w:cs="宋体"/>
          <w:sz w:val="24"/>
          <w:szCs w:val="24"/>
        </w:rPr>
        <w:fldChar w:fldCharType="end"/>
      </w:r>
      <w:r>
        <w:rPr>
          <w:rFonts w:hint="eastAsia" w:ascii="宋体" w:hAnsi="宋体" w:eastAsia="宋体" w:cs="宋体"/>
          <w:sz w:val="24"/>
          <w:szCs w:val="24"/>
        </w:rPr>
        <w:t>，在线申请获取采购文件（登录政府采购云平台</w:t>
      </w:r>
      <w:r>
        <w:rPr>
          <w:rFonts w:hint="eastAsia" w:ascii="宋体" w:hAnsi="宋体" w:eastAsia="宋体" w:cs="宋体"/>
          <w:spacing w:val="-2"/>
          <w:sz w:val="24"/>
          <w:szCs w:val="24"/>
        </w:rPr>
        <w:t xml:space="preserve"> </w:t>
      </w:r>
      <w:r>
        <w:rPr>
          <w:rFonts w:hint="eastAsia" w:ascii="宋体" w:hAnsi="宋体" w:eastAsia="宋体" w:cs="宋体"/>
          <w:sz w:val="24"/>
          <w:szCs w:val="24"/>
        </w:rPr>
        <w:t>→</w:t>
      </w:r>
      <w:r>
        <w:rPr>
          <w:rFonts w:hint="eastAsia" w:ascii="宋体" w:hAnsi="宋体" w:eastAsia="宋体" w:cs="宋体"/>
          <w:spacing w:val="1"/>
          <w:sz w:val="24"/>
          <w:szCs w:val="24"/>
        </w:rPr>
        <w:t xml:space="preserve"> </w:t>
      </w:r>
      <w:r>
        <w:rPr>
          <w:rFonts w:hint="eastAsia" w:ascii="宋体" w:hAnsi="宋体" w:eastAsia="宋体" w:cs="宋体"/>
          <w:sz w:val="24"/>
          <w:szCs w:val="24"/>
        </w:rPr>
        <w:t>项</w:t>
      </w:r>
      <w:r>
        <w:rPr>
          <w:rFonts w:hint="eastAsia" w:ascii="宋体" w:hAnsi="宋体" w:eastAsia="宋体" w:cs="宋体"/>
          <w:spacing w:val="-3"/>
          <w:sz w:val="24"/>
          <w:szCs w:val="24"/>
        </w:rPr>
        <w:t>目</w:t>
      </w:r>
      <w:r>
        <w:rPr>
          <w:rFonts w:hint="eastAsia" w:ascii="宋体" w:hAnsi="宋体" w:eastAsia="宋体" w:cs="宋体"/>
          <w:sz w:val="24"/>
          <w:szCs w:val="24"/>
        </w:rPr>
        <w:t>采购</w:t>
      </w:r>
      <w:r>
        <w:rPr>
          <w:rFonts w:hint="eastAsia" w:ascii="宋体" w:hAnsi="宋体" w:eastAsia="宋体" w:cs="宋体"/>
          <w:spacing w:val="2"/>
          <w:sz w:val="24"/>
          <w:szCs w:val="24"/>
        </w:rPr>
        <w:t xml:space="preserve"> </w:t>
      </w:r>
      <w:r>
        <w:rPr>
          <w:rFonts w:hint="eastAsia" w:ascii="宋体" w:hAnsi="宋体" w:eastAsia="宋体" w:cs="宋体"/>
          <w:sz w:val="24"/>
          <w:szCs w:val="24"/>
        </w:rPr>
        <w:t>→</w:t>
      </w:r>
      <w:r>
        <w:rPr>
          <w:rFonts w:hint="eastAsia" w:ascii="宋体" w:hAnsi="宋体" w:eastAsia="宋体" w:cs="宋体"/>
          <w:spacing w:val="1"/>
          <w:sz w:val="24"/>
          <w:szCs w:val="24"/>
        </w:rPr>
        <w:t xml:space="preserve"> </w:t>
      </w:r>
      <w:r>
        <w:rPr>
          <w:rFonts w:hint="eastAsia" w:ascii="宋体" w:hAnsi="宋体" w:eastAsia="宋体" w:cs="宋体"/>
          <w:sz w:val="24"/>
          <w:szCs w:val="24"/>
        </w:rPr>
        <w:t>获</w:t>
      </w:r>
      <w:r>
        <w:rPr>
          <w:rFonts w:hint="eastAsia" w:ascii="宋体" w:hAnsi="宋体" w:eastAsia="宋体" w:cs="宋体"/>
          <w:spacing w:val="-3"/>
          <w:sz w:val="24"/>
          <w:szCs w:val="24"/>
        </w:rPr>
        <w:t>取</w:t>
      </w:r>
      <w:r>
        <w:rPr>
          <w:rFonts w:hint="eastAsia" w:ascii="宋体" w:hAnsi="宋体" w:eastAsia="宋体" w:cs="宋体"/>
          <w:sz w:val="24"/>
          <w:szCs w:val="24"/>
        </w:rPr>
        <w:t>采购</w:t>
      </w:r>
      <w:r>
        <w:rPr>
          <w:rFonts w:hint="eastAsia" w:ascii="宋体" w:hAnsi="宋体" w:eastAsia="宋体" w:cs="宋体"/>
          <w:spacing w:val="-3"/>
          <w:sz w:val="24"/>
          <w:szCs w:val="24"/>
        </w:rPr>
        <w:t>文</w:t>
      </w:r>
      <w:r>
        <w:rPr>
          <w:rFonts w:hint="eastAsia" w:ascii="宋体" w:hAnsi="宋体" w:eastAsia="宋体" w:cs="宋体"/>
          <w:sz w:val="24"/>
          <w:szCs w:val="24"/>
        </w:rPr>
        <w:t>件</w:t>
      </w:r>
      <w:r>
        <w:rPr>
          <w:rFonts w:hint="eastAsia" w:ascii="宋体" w:hAnsi="宋体" w:eastAsia="宋体" w:cs="宋体"/>
          <w:spacing w:val="4"/>
          <w:sz w:val="24"/>
          <w:szCs w:val="24"/>
        </w:rPr>
        <w:t xml:space="preserve"> </w:t>
      </w:r>
      <w:r>
        <w:rPr>
          <w:rFonts w:hint="eastAsia" w:ascii="宋体" w:hAnsi="宋体" w:eastAsia="宋体" w:cs="宋体"/>
          <w:sz w:val="24"/>
          <w:szCs w:val="24"/>
        </w:rPr>
        <w:t>→</w:t>
      </w:r>
      <w:r>
        <w:rPr>
          <w:rFonts w:hint="eastAsia" w:ascii="宋体" w:hAnsi="宋体" w:eastAsia="宋体" w:cs="宋体"/>
          <w:spacing w:val="1"/>
          <w:sz w:val="24"/>
          <w:szCs w:val="24"/>
        </w:rPr>
        <w:t xml:space="preserve"> </w:t>
      </w:r>
      <w:r>
        <w:rPr>
          <w:rFonts w:hint="eastAsia" w:ascii="宋体" w:hAnsi="宋体" w:eastAsia="宋体" w:cs="宋体"/>
          <w:sz w:val="24"/>
          <w:szCs w:val="24"/>
        </w:rPr>
        <w:t>申</w:t>
      </w:r>
      <w:r>
        <w:rPr>
          <w:rFonts w:hint="eastAsia" w:ascii="宋体" w:hAnsi="宋体" w:eastAsia="宋体" w:cs="宋体"/>
          <w:spacing w:val="-3"/>
          <w:sz w:val="24"/>
          <w:szCs w:val="24"/>
        </w:rPr>
        <w:t>请</w:t>
      </w:r>
      <w:r>
        <w:rPr>
          <w:rFonts w:hint="eastAsia" w:ascii="宋体" w:hAnsi="宋体" w:eastAsia="宋体" w:cs="宋体"/>
          <w:spacing w:val="-89"/>
          <w:sz w:val="24"/>
          <w:szCs w:val="24"/>
        </w:rPr>
        <w:t>，</w:t>
      </w:r>
      <w:r>
        <w:rPr>
          <w:rFonts w:hint="eastAsia" w:ascii="宋体" w:hAnsi="宋体" w:eastAsia="宋体" w:cs="宋体"/>
          <w:sz w:val="24"/>
          <w:szCs w:val="24"/>
        </w:rPr>
        <w:t>审</w:t>
      </w:r>
      <w:r>
        <w:rPr>
          <w:rFonts w:hint="eastAsia" w:ascii="宋体" w:hAnsi="宋体" w:eastAsia="宋体" w:cs="宋体"/>
          <w:spacing w:val="-3"/>
          <w:sz w:val="24"/>
          <w:szCs w:val="24"/>
        </w:rPr>
        <w:t>核</w:t>
      </w:r>
      <w:r>
        <w:rPr>
          <w:rFonts w:hint="eastAsia" w:ascii="宋体" w:hAnsi="宋体" w:eastAsia="宋体" w:cs="宋体"/>
          <w:sz w:val="24"/>
          <w:szCs w:val="24"/>
        </w:rPr>
        <w:t>通过</w:t>
      </w:r>
      <w:r>
        <w:rPr>
          <w:rFonts w:hint="eastAsia" w:ascii="宋体" w:hAnsi="宋体" w:eastAsia="宋体" w:cs="宋体"/>
          <w:spacing w:val="-3"/>
          <w:sz w:val="24"/>
          <w:szCs w:val="24"/>
        </w:rPr>
        <w:t>后</w:t>
      </w:r>
      <w:r>
        <w:rPr>
          <w:rFonts w:hint="eastAsia" w:ascii="宋体" w:hAnsi="宋体" w:eastAsia="宋体" w:cs="宋体"/>
          <w:sz w:val="24"/>
          <w:szCs w:val="24"/>
        </w:rPr>
        <w:t>可下</w:t>
      </w:r>
      <w:r>
        <w:rPr>
          <w:rFonts w:hint="eastAsia" w:ascii="宋体" w:hAnsi="宋体" w:eastAsia="宋体" w:cs="宋体"/>
          <w:spacing w:val="-3"/>
          <w:sz w:val="24"/>
          <w:szCs w:val="24"/>
        </w:rPr>
        <w:t>载</w:t>
      </w:r>
      <w:r>
        <w:rPr>
          <w:rFonts w:hint="eastAsia" w:ascii="宋体" w:hAnsi="宋体" w:eastAsia="宋体" w:cs="宋体"/>
          <w:sz w:val="24"/>
          <w:szCs w:val="24"/>
        </w:rPr>
        <w:t>招</w:t>
      </w:r>
      <w:r>
        <w:rPr>
          <w:rFonts w:hint="eastAsia" w:ascii="宋体" w:hAnsi="宋体" w:eastAsia="宋体" w:cs="宋体"/>
          <w:spacing w:val="-3"/>
          <w:sz w:val="24"/>
          <w:szCs w:val="24"/>
        </w:rPr>
        <w:t>标</w:t>
      </w:r>
      <w:r>
        <w:rPr>
          <w:rFonts w:hint="eastAsia" w:ascii="宋体" w:hAnsi="宋体" w:eastAsia="宋体" w:cs="宋体"/>
          <w:sz w:val="24"/>
          <w:szCs w:val="24"/>
        </w:rPr>
        <w:t>文件</w:t>
      </w:r>
      <w:r>
        <w:rPr>
          <w:rFonts w:hint="eastAsia" w:ascii="宋体" w:hAnsi="宋体" w:eastAsia="宋体" w:cs="宋体"/>
          <w:spacing w:val="-77"/>
          <w:sz w:val="24"/>
          <w:szCs w:val="24"/>
        </w:rPr>
        <w:t>，</w:t>
      </w:r>
      <w:r>
        <w:rPr>
          <w:rFonts w:hint="eastAsia" w:ascii="宋体" w:hAnsi="宋体" w:eastAsia="宋体" w:cs="宋体"/>
          <w:sz w:val="24"/>
          <w:szCs w:val="24"/>
        </w:rPr>
        <w:t>如</w:t>
      </w:r>
      <w:r>
        <w:rPr>
          <w:rFonts w:hint="eastAsia" w:ascii="宋体" w:hAnsi="宋体" w:eastAsia="宋体" w:cs="宋体"/>
          <w:spacing w:val="-3"/>
          <w:sz w:val="24"/>
          <w:szCs w:val="24"/>
        </w:rPr>
        <w:t>有</w:t>
      </w:r>
      <w:r>
        <w:rPr>
          <w:rFonts w:hint="eastAsia" w:ascii="宋体" w:hAnsi="宋体" w:eastAsia="宋体" w:cs="宋体"/>
          <w:sz w:val="24"/>
          <w:szCs w:val="24"/>
        </w:rPr>
        <w:t>操作</w:t>
      </w:r>
      <w:r>
        <w:rPr>
          <w:rFonts w:hint="eastAsia" w:ascii="宋体" w:hAnsi="宋体" w:eastAsia="宋体" w:cs="宋体"/>
          <w:spacing w:val="-3"/>
          <w:sz w:val="24"/>
          <w:szCs w:val="24"/>
        </w:rPr>
        <w:t>性</w:t>
      </w:r>
      <w:r>
        <w:rPr>
          <w:rFonts w:hint="eastAsia" w:ascii="宋体" w:hAnsi="宋体" w:eastAsia="宋体" w:cs="宋体"/>
          <w:sz w:val="24"/>
          <w:szCs w:val="24"/>
        </w:rPr>
        <w:t>问</w:t>
      </w:r>
      <w:r>
        <w:rPr>
          <w:rFonts w:hint="eastAsia" w:ascii="宋体" w:hAnsi="宋体" w:eastAsia="宋体" w:cs="宋体"/>
          <w:spacing w:val="-3"/>
          <w:sz w:val="24"/>
          <w:szCs w:val="24"/>
        </w:rPr>
        <w:t>题</w:t>
      </w:r>
      <w:r>
        <w:rPr>
          <w:rFonts w:hint="eastAsia" w:ascii="宋体" w:hAnsi="宋体" w:eastAsia="宋体" w:cs="宋体"/>
          <w:spacing w:val="-77"/>
          <w:sz w:val="24"/>
          <w:szCs w:val="24"/>
        </w:rPr>
        <w:t>，</w:t>
      </w:r>
      <w:r>
        <w:rPr>
          <w:rFonts w:hint="eastAsia" w:ascii="宋体" w:hAnsi="宋体" w:eastAsia="宋体" w:cs="宋体"/>
          <w:sz w:val="24"/>
          <w:szCs w:val="24"/>
        </w:rPr>
        <w:t>可</w:t>
      </w:r>
      <w:r>
        <w:rPr>
          <w:rFonts w:hint="eastAsia" w:ascii="宋体" w:hAnsi="宋体" w:eastAsia="宋体" w:cs="宋体"/>
          <w:spacing w:val="-3"/>
          <w:sz w:val="24"/>
          <w:szCs w:val="24"/>
        </w:rPr>
        <w:t>与</w:t>
      </w:r>
      <w:r>
        <w:rPr>
          <w:rFonts w:hint="eastAsia" w:ascii="宋体" w:hAnsi="宋体" w:eastAsia="宋体" w:cs="宋体"/>
          <w:sz w:val="24"/>
          <w:szCs w:val="24"/>
        </w:rPr>
        <w:t>政采</w:t>
      </w:r>
      <w:r>
        <w:rPr>
          <w:rFonts w:hint="eastAsia" w:ascii="宋体" w:hAnsi="宋体" w:eastAsia="宋体" w:cs="宋体"/>
          <w:spacing w:val="-3"/>
          <w:sz w:val="24"/>
          <w:szCs w:val="24"/>
        </w:rPr>
        <w:t>云</w:t>
      </w:r>
      <w:r>
        <w:rPr>
          <w:rFonts w:hint="eastAsia" w:ascii="宋体" w:hAnsi="宋体" w:eastAsia="宋体" w:cs="宋体"/>
          <w:sz w:val="24"/>
          <w:szCs w:val="24"/>
        </w:rPr>
        <w:t>在线</w:t>
      </w:r>
      <w:r>
        <w:rPr>
          <w:rFonts w:hint="eastAsia" w:ascii="宋体" w:hAnsi="宋体" w:eastAsia="宋体" w:cs="宋体"/>
          <w:spacing w:val="-3"/>
          <w:sz w:val="24"/>
          <w:szCs w:val="24"/>
        </w:rPr>
        <w:t>客</w:t>
      </w:r>
      <w:r>
        <w:rPr>
          <w:rFonts w:hint="eastAsia" w:ascii="宋体" w:hAnsi="宋体" w:eastAsia="宋体" w:cs="宋体"/>
          <w:sz w:val="24"/>
          <w:szCs w:val="24"/>
        </w:rPr>
        <w:t>服进</w:t>
      </w:r>
      <w:r>
        <w:rPr>
          <w:rFonts w:hint="eastAsia" w:ascii="宋体" w:hAnsi="宋体" w:eastAsia="宋体" w:cs="宋体"/>
          <w:spacing w:val="-3"/>
          <w:sz w:val="24"/>
          <w:szCs w:val="24"/>
        </w:rPr>
        <w:t>行</w:t>
      </w:r>
      <w:r>
        <w:rPr>
          <w:rFonts w:hint="eastAsia" w:ascii="宋体" w:hAnsi="宋体" w:eastAsia="宋体" w:cs="宋体"/>
          <w:sz w:val="24"/>
          <w:szCs w:val="24"/>
        </w:rPr>
        <w:t>咨询</w:t>
      </w:r>
      <w:r>
        <w:rPr>
          <w:rFonts w:hint="eastAsia" w:ascii="宋体" w:hAnsi="宋体" w:eastAsia="宋体" w:cs="宋体"/>
          <w:spacing w:val="-77"/>
          <w:sz w:val="24"/>
          <w:szCs w:val="24"/>
        </w:rPr>
        <w:t>，</w:t>
      </w:r>
      <w:r>
        <w:rPr>
          <w:rFonts w:hint="eastAsia" w:ascii="宋体" w:hAnsi="宋体" w:eastAsia="宋体" w:cs="宋体"/>
          <w:sz w:val="24"/>
          <w:szCs w:val="24"/>
        </w:rPr>
        <w:t>咨</w:t>
      </w:r>
      <w:r>
        <w:rPr>
          <w:rFonts w:hint="eastAsia" w:ascii="宋体" w:hAnsi="宋体" w:eastAsia="宋体" w:cs="宋体"/>
          <w:spacing w:val="-3"/>
          <w:sz w:val="24"/>
          <w:szCs w:val="24"/>
        </w:rPr>
        <w:t>询</w:t>
      </w:r>
      <w:r>
        <w:rPr>
          <w:rFonts w:hint="eastAsia" w:ascii="宋体" w:hAnsi="宋体" w:eastAsia="宋体" w:cs="宋体"/>
          <w:sz w:val="24"/>
          <w:szCs w:val="24"/>
        </w:rPr>
        <w:t>电话</w:t>
      </w:r>
      <w:r>
        <w:rPr>
          <w:rFonts w:hint="eastAsia" w:ascii="宋体" w:hAnsi="宋体" w:eastAsia="宋体" w:cs="宋体"/>
          <w:sz w:val="24"/>
          <w:szCs w:val="24"/>
          <w:lang w:eastAsia="zh-CN"/>
        </w:rPr>
        <w:t>95763</w:t>
      </w:r>
      <w:r>
        <w:rPr>
          <w:rFonts w:hint="eastAsia" w:ascii="宋体" w:hAnsi="宋体" w:eastAsia="宋体" w:cs="宋体"/>
          <w:sz w:val="24"/>
          <w:szCs w:val="24"/>
        </w:rPr>
        <w:t>），</w:t>
      </w:r>
      <w:r>
        <w:rPr>
          <w:rFonts w:hint="eastAsia" w:ascii="宋体" w:hAnsi="宋体" w:eastAsia="宋体" w:cs="宋体"/>
          <w:kern w:val="0"/>
          <w:sz w:val="24"/>
          <w:highlight w:val="none"/>
          <w:lang w:bidi="ar"/>
        </w:rPr>
        <w:t>并于202</w:t>
      </w:r>
      <w:r>
        <w:rPr>
          <w:rFonts w:hint="eastAsia" w:ascii="宋体" w:hAnsi="宋体" w:eastAsia="宋体" w:cs="宋体"/>
          <w:kern w:val="0"/>
          <w:sz w:val="24"/>
          <w:highlight w:val="none"/>
          <w:lang w:val="en-US" w:eastAsia="zh-CN" w:bidi="ar"/>
        </w:rPr>
        <w:t>3</w:t>
      </w:r>
      <w:r>
        <w:rPr>
          <w:rFonts w:hint="eastAsia" w:ascii="宋体" w:hAnsi="宋体" w:eastAsia="宋体" w:cs="宋体"/>
          <w:kern w:val="0"/>
          <w:sz w:val="24"/>
          <w:highlight w:val="none"/>
          <w:lang w:bidi="ar"/>
        </w:rPr>
        <w:t>年</w:t>
      </w:r>
      <w:r>
        <w:rPr>
          <w:rFonts w:hint="eastAsia" w:ascii="宋体" w:hAnsi="宋体" w:eastAsia="宋体" w:cs="宋体"/>
          <w:kern w:val="0"/>
          <w:sz w:val="24"/>
          <w:highlight w:val="none"/>
          <w:lang w:val="en-US" w:eastAsia="zh-CN" w:bidi="ar"/>
        </w:rPr>
        <w:t>5</w:t>
      </w:r>
      <w:r>
        <w:rPr>
          <w:rFonts w:hint="eastAsia" w:ascii="宋体" w:hAnsi="宋体" w:eastAsia="宋体" w:cs="宋体"/>
          <w:kern w:val="0"/>
          <w:sz w:val="24"/>
          <w:highlight w:val="none"/>
          <w:lang w:bidi="ar"/>
        </w:rPr>
        <w:t>月</w:t>
      </w:r>
      <w:r>
        <w:rPr>
          <w:rFonts w:hint="eastAsia" w:ascii="宋体" w:hAnsi="宋体" w:cs="宋体"/>
          <w:kern w:val="0"/>
          <w:sz w:val="24"/>
          <w:highlight w:val="none"/>
          <w:lang w:val="en-US" w:eastAsia="zh-CN" w:bidi="ar"/>
        </w:rPr>
        <w:t>16</w:t>
      </w:r>
      <w:r>
        <w:rPr>
          <w:rFonts w:hint="eastAsia" w:ascii="宋体" w:hAnsi="宋体" w:eastAsia="宋体" w:cs="宋体"/>
          <w:kern w:val="0"/>
          <w:sz w:val="24"/>
          <w:highlight w:val="none"/>
          <w:lang w:bidi="ar"/>
        </w:rPr>
        <w:t>日11点</w:t>
      </w:r>
      <w:r>
        <w:rPr>
          <w:rFonts w:hint="eastAsia" w:ascii="宋体" w:hAnsi="宋体" w:eastAsia="宋体" w:cs="宋体"/>
          <w:kern w:val="0"/>
          <w:sz w:val="24"/>
          <w:highlight w:val="none"/>
          <w:lang w:val="en-US" w:eastAsia="zh-CN" w:bidi="ar"/>
        </w:rPr>
        <w:t>3</w:t>
      </w:r>
      <w:r>
        <w:rPr>
          <w:rFonts w:hint="eastAsia" w:ascii="宋体" w:hAnsi="宋体" w:eastAsia="宋体" w:cs="宋体"/>
          <w:kern w:val="0"/>
          <w:sz w:val="24"/>
          <w:highlight w:val="none"/>
          <w:lang w:bidi="ar"/>
        </w:rPr>
        <w:t>0分</w:t>
      </w:r>
      <w:r>
        <w:rPr>
          <w:rFonts w:hint="eastAsia" w:ascii="宋体" w:hAnsi="宋体" w:eastAsia="宋体" w:cs="宋体"/>
          <w:color w:val="000000"/>
          <w:kern w:val="0"/>
          <w:sz w:val="24"/>
          <w:highlight w:val="none"/>
          <w:lang w:bidi="ar"/>
        </w:rPr>
        <w:t>（</w:t>
      </w:r>
      <w:r>
        <w:rPr>
          <w:rFonts w:hint="eastAsia" w:ascii="宋体" w:hAnsi="宋体" w:eastAsia="宋体" w:cs="宋体"/>
          <w:kern w:val="0"/>
          <w:sz w:val="24"/>
          <w:highlight w:val="none"/>
          <w:lang w:bidi="ar"/>
        </w:rPr>
        <w:t>北京时间）前递交投标文件。</w:t>
      </w:r>
    </w:p>
    <w:p>
      <w:pPr>
        <w:ind w:firstLine="562" w:firstLineChars="200"/>
        <w:rPr>
          <w:rFonts w:ascii="仿宋" w:hAnsi="仿宋" w:eastAsia="仿宋"/>
          <w:b/>
          <w:bCs/>
          <w:sz w:val="28"/>
          <w:szCs w:val="28"/>
        </w:rPr>
      </w:pPr>
      <w:bookmarkStart w:id="456" w:name="_Toc35393790"/>
      <w:bookmarkStart w:id="457" w:name="_Toc28359002"/>
      <w:bookmarkStart w:id="458" w:name="_Toc35393621"/>
      <w:bookmarkStart w:id="459" w:name="_Toc28359079"/>
      <w:bookmarkStart w:id="460" w:name="_Hlk24379207"/>
      <w:r>
        <w:rPr>
          <w:rFonts w:hint="eastAsia" w:ascii="仿宋" w:hAnsi="仿宋" w:eastAsia="仿宋"/>
          <w:b/>
          <w:bCs/>
          <w:sz w:val="28"/>
          <w:szCs w:val="28"/>
        </w:rPr>
        <w:t>一、项目基本情况</w:t>
      </w:r>
      <w:bookmarkEnd w:id="456"/>
      <w:bookmarkEnd w:id="457"/>
      <w:bookmarkEnd w:id="458"/>
      <w:bookmarkEnd w:id="459"/>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XJCFHY(GK)-2023-03号</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惠民惠农补贴代发金融机构项目（二次）</w:t>
      </w:r>
    </w:p>
    <w:p>
      <w:pPr>
        <w:pStyle w:val="2"/>
        <w:ind w:left="0" w:leftChars="0" w:firstLine="56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采购方式：竞争性磋商</w:t>
      </w:r>
    </w:p>
    <w:p>
      <w:pPr>
        <w:pStyle w:val="2"/>
        <w:ind w:left="0" w:leftChars="0" w:firstLine="560" w:firstLineChars="0"/>
        <w:rPr>
          <w:rFonts w:hint="default" w:ascii="仿宋" w:hAnsi="仿宋" w:eastAsia="仿宋"/>
          <w:sz w:val="28"/>
          <w:szCs w:val="28"/>
          <w:lang w:val="en-US" w:eastAsia="zh-CN"/>
        </w:rPr>
      </w:pPr>
      <w:r>
        <w:rPr>
          <w:rFonts w:hint="default" w:ascii="仿宋" w:hAnsi="仿宋" w:eastAsia="仿宋"/>
          <w:sz w:val="28"/>
          <w:szCs w:val="28"/>
          <w:lang w:val="en-US" w:eastAsia="zh-CN"/>
        </w:rPr>
        <w:t>预算金额（元）：0.00</w:t>
      </w:r>
    </w:p>
    <w:p>
      <w:pPr>
        <w:pStyle w:val="2"/>
        <w:ind w:left="0" w:leftChars="0" w:firstLine="560" w:firstLineChars="0"/>
        <w:rPr>
          <w:rFonts w:hint="default" w:ascii="仿宋" w:hAnsi="仿宋" w:eastAsia="仿宋"/>
          <w:sz w:val="28"/>
          <w:szCs w:val="28"/>
          <w:lang w:val="en-US" w:eastAsia="zh-CN"/>
        </w:rPr>
      </w:pPr>
      <w:r>
        <w:rPr>
          <w:rFonts w:hint="default" w:ascii="仿宋" w:hAnsi="仿宋" w:eastAsia="仿宋"/>
          <w:sz w:val="28"/>
          <w:szCs w:val="28"/>
          <w:lang w:val="en-US" w:eastAsia="zh-CN"/>
        </w:rPr>
        <w:t>最高限价（元）：0.00</w:t>
      </w:r>
    </w:p>
    <w:bookmarkEnd w:id="460"/>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惠民惠农补贴代发金融机构</w:t>
      </w:r>
    </w:p>
    <w:p>
      <w:pPr>
        <w:pStyle w:val="2"/>
        <w:ind w:left="0" w:leftChars="0" w:firstLine="0" w:firstLineChars="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备注：</w:t>
      </w:r>
    </w:p>
    <w:p>
      <w:pPr>
        <w:pStyle w:val="2"/>
        <w:ind w:left="0" w:leftChars="0" w:firstLine="0" w:firstLineChars="0"/>
      </w:pPr>
      <w:r>
        <w:rPr>
          <w:rFonts w:hint="eastAsia" w:ascii="仿宋" w:hAnsi="仿宋" w:eastAsia="仿宋" w:cs="Times New Roman"/>
          <w:kern w:val="2"/>
          <w:sz w:val="28"/>
          <w:szCs w:val="28"/>
          <w:lang w:val="en-US" w:eastAsia="zh-CN" w:bidi="ar-SA"/>
        </w:rPr>
        <w:t>1、合同履行期限：合同签订之日起二年（第一年服务完成后须经采购人认可后方可续签）。</w:t>
      </w:r>
    </w:p>
    <w:p>
      <w:pPr>
        <w:ind w:firstLine="562" w:firstLineChars="200"/>
        <w:rPr>
          <w:rFonts w:ascii="仿宋" w:hAnsi="仿宋" w:eastAsia="仿宋"/>
          <w:b/>
          <w:bCs/>
          <w:sz w:val="28"/>
          <w:szCs w:val="28"/>
        </w:rPr>
      </w:pPr>
      <w:bookmarkStart w:id="461" w:name="_Toc35393622"/>
      <w:bookmarkStart w:id="462" w:name="_Toc28359080"/>
      <w:bookmarkStart w:id="463" w:name="_Toc28359003"/>
      <w:bookmarkStart w:id="464" w:name="_Toc35393791"/>
      <w:r>
        <w:rPr>
          <w:rFonts w:hint="eastAsia" w:ascii="仿宋" w:hAnsi="仿宋" w:eastAsia="仿宋"/>
          <w:b/>
          <w:bCs/>
          <w:sz w:val="28"/>
          <w:szCs w:val="28"/>
        </w:rPr>
        <w:t>二、投标人的资格要求</w:t>
      </w:r>
      <w:bookmarkEnd w:id="461"/>
      <w:bookmarkEnd w:id="462"/>
      <w:bookmarkEnd w:id="463"/>
      <w:bookmarkEnd w:id="464"/>
    </w:p>
    <w:p>
      <w:pPr>
        <w:ind w:firstLine="560" w:firstLineChars="200"/>
        <w:rPr>
          <w:rFonts w:ascii="仿宋" w:hAnsi="仿宋" w:eastAsia="仿宋"/>
          <w:sz w:val="28"/>
          <w:szCs w:val="28"/>
        </w:rPr>
      </w:pPr>
      <w:bookmarkStart w:id="465" w:name="_Toc28359081"/>
      <w:bookmarkStart w:id="466" w:name="_Toc28359004"/>
      <w:bookmarkStart w:id="467" w:name="_Toc35393623"/>
      <w:bookmarkStart w:id="468" w:name="_Toc35393792"/>
      <w:r>
        <w:rPr>
          <w:rFonts w:hint="eastAsia" w:ascii="仿宋" w:hAnsi="仿宋" w:eastAsia="仿宋"/>
          <w:sz w:val="28"/>
          <w:szCs w:val="28"/>
        </w:rPr>
        <w:t>1、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、为中国大陆境内合法注册的金融机构，持有工商行政管理部门颁发的营业执照，经营范围符合项目要求，并年检合格。</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、持有中国银行业监督管理委员会有效的《中华人民共和国金融许可证》或《金融机构营业许可证》。</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投标法人授权委托书及被授权委托人身份证原件,被授权委托人必须是投标单位正式员工在本单位缴纳的近三个月的社保证明原件（单位社保缴费凭证和个人明细表）；法定代表人需提供</w:t>
      </w:r>
      <w:r>
        <w:rPr>
          <w:rFonts w:hint="eastAsia" w:ascii="仿宋" w:hAnsi="仿宋" w:eastAsia="仿宋" w:cs="Times New Roman"/>
          <w:sz w:val="28"/>
          <w:szCs w:val="28"/>
          <w:lang w:val="en-US" w:eastAsia="zh-CN"/>
        </w:rPr>
        <w:t>法定代表人资格证明</w:t>
      </w:r>
      <w:r>
        <w:rPr>
          <w:rFonts w:hint="eastAsia" w:ascii="仿宋" w:hAnsi="仿宋" w:eastAsia="仿宋" w:cs="Times New Roman"/>
          <w:sz w:val="28"/>
          <w:szCs w:val="28"/>
          <w:lang w:eastAsia="zh-CN"/>
        </w:rPr>
        <w:t>。</w:t>
      </w:r>
    </w:p>
    <w:p>
      <w:pPr>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、在中华人民共和国境内依法设立的国有商业银行、股份制商业银行、邮政储蓄银行、城县商业银行、农村商业银行及政策性银行等的分支机构。</w:t>
      </w:r>
    </w:p>
    <w:p>
      <w:pPr>
        <w:ind w:firstLine="560" w:firstLineChars="200"/>
        <w:rPr>
          <w:rFonts w:ascii="仿宋" w:hAnsi="仿宋" w:eastAsia="仿宋"/>
          <w:sz w:val="28"/>
          <w:szCs w:val="28"/>
        </w:rPr>
      </w:pPr>
      <w:r>
        <w:rPr>
          <w:rFonts w:hint="eastAsia" w:ascii="仿宋" w:hAnsi="仿宋" w:eastAsia="仿宋"/>
          <w:sz w:val="28"/>
          <w:szCs w:val="28"/>
        </w:rPr>
        <w:t>6、提供针对本次项目《反商业贿赂承诺书》。</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、本项目不接受联合体投标。</w:t>
      </w:r>
    </w:p>
    <w:p>
      <w:pPr>
        <w:ind w:firstLine="562" w:firstLineChars="200"/>
        <w:rPr>
          <w:rFonts w:ascii="仿宋" w:hAnsi="仿宋" w:eastAsia="仿宋"/>
          <w:b/>
          <w:bCs/>
          <w:sz w:val="28"/>
          <w:szCs w:val="28"/>
        </w:rPr>
      </w:pPr>
      <w:r>
        <w:rPr>
          <w:rFonts w:hint="eastAsia" w:ascii="仿宋" w:hAnsi="仿宋" w:eastAsia="仿宋"/>
          <w:b/>
          <w:bCs/>
          <w:sz w:val="28"/>
          <w:szCs w:val="28"/>
        </w:rPr>
        <w:t>三、获取招标文件</w:t>
      </w:r>
      <w:bookmarkEnd w:id="465"/>
      <w:bookmarkEnd w:id="466"/>
      <w:bookmarkEnd w:id="467"/>
      <w:bookmarkEnd w:id="468"/>
    </w:p>
    <w:p>
      <w:pPr>
        <w:ind w:firstLine="560" w:firstLineChars="200"/>
        <w:rPr>
          <w:rFonts w:ascii="仿宋" w:hAnsi="仿宋" w:eastAsia="仿宋"/>
          <w:color w:val="auto"/>
          <w:sz w:val="28"/>
          <w:szCs w:val="28"/>
        </w:rPr>
      </w:pPr>
      <w:r>
        <w:rPr>
          <w:rFonts w:hint="eastAsia" w:ascii="仿宋" w:hAnsi="仿宋" w:eastAsia="仿宋"/>
          <w:sz w:val="28"/>
          <w:szCs w:val="28"/>
        </w:rPr>
        <w:t>获取时</w:t>
      </w:r>
      <w:r>
        <w:rPr>
          <w:rFonts w:hint="eastAsia" w:ascii="仿宋" w:hAnsi="仿宋" w:eastAsia="仿宋"/>
          <w:color w:val="auto"/>
          <w:sz w:val="28"/>
          <w:szCs w:val="28"/>
        </w:rPr>
        <w:t>间： 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日至202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12</w:t>
      </w:r>
      <w:r>
        <w:rPr>
          <w:rFonts w:hint="eastAsia" w:ascii="仿宋" w:hAnsi="仿宋" w:eastAsia="仿宋"/>
          <w:color w:val="auto"/>
          <w:sz w:val="28"/>
          <w:szCs w:val="28"/>
        </w:rPr>
        <w:t>日，每天上午10:00至1</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，下午1</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w:t>
      </w:r>
      <w:r>
        <w:rPr>
          <w:rFonts w:hint="eastAsia" w:ascii="仿宋" w:hAnsi="仿宋" w:eastAsia="仿宋"/>
          <w:color w:val="auto"/>
          <w:sz w:val="28"/>
          <w:szCs w:val="28"/>
        </w:rPr>
        <w:t>0至</w:t>
      </w:r>
      <w:r>
        <w:rPr>
          <w:rFonts w:hint="eastAsia" w:ascii="仿宋" w:hAnsi="仿宋" w:eastAsia="仿宋"/>
          <w:color w:val="auto"/>
          <w:sz w:val="28"/>
          <w:szCs w:val="28"/>
          <w:lang w:val="en-US" w:eastAsia="zh-CN"/>
        </w:rPr>
        <w:t>20</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w:t>
      </w:r>
      <w:r>
        <w:rPr>
          <w:rFonts w:hint="eastAsia" w:ascii="仿宋" w:hAnsi="仿宋" w:eastAsia="仿宋"/>
          <w:color w:val="auto"/>
          <w:sz w:val="28"/>
          <w:szCs w:val="28"/>
        </w:rPr>
        <w:t>0（北京时间，法定节假日除外）</w:t>
      </w:r>
    </w:p>
    <w:p>
      <w:pPr>
        <w:ind w:firstLine="560" w:firstLineChars="200"/>
        <w:rPr>
          <w:rFonts w:hint="eastAsia" w:ascii="仿宋" w:hAnsi="仿宋" w:eastAsia="仿宋"/>
          <w:b w:val="0"/>
          <w:bCs w:val="0"/>
          <w:color w:val="auto"/>
          <w:sz w:val="28"/>
          <w:szCs w:val="28"/>
        </w:rPr>
      </w:pPr>
      <w:bookmarkStart w:id="469" w:name="_Toc28359005"/>
      <w:bookmarkStart w:id="470" w:name="_Toc28359082"/>
      <w:bookmarkStart w:id="471" w:name="_Toc35393624"/>
      <w:bookmarkStart w:id="472" w:name="_Toc35393793"/>
      <w:r>
        <w:rPr>
          <w:rFonts w:hint="eastAsia" w:ascii="仿宋" w:hAnsi="仿宋" w:eastAsia="仿宋"/>
          <w:b w:val="0"/>
          <w:bCs w:val="0"/>
          <w:color w:val="auto"/>
          <w:sz w:val="28"/>
          <w:szCs w:val="28"/>
        </w:rPr>
        <w:t>地点：</w:t>
      </w:r>
      <w:r>
        <w:rPr>
          <w:rFonts w:hint="eastAsia" w:ascii="仿宋" w:hAnsi="仿宋" w:eastAsia="仿宋"/>
          <w:b w:val="0"/>
          <w:bCs w:val="0"/>
          <w:color w:val="auto"/>
          <w:sz w:val="28"/>
          <w:szCs w:val="28"/>
          <w:lang w:eastAsia="zh-CN"/>
        </w:rPr>
        <w:t>投标人</w:t>
      </w:r>
      <w:r>
        <w:rPr>
          <w:rFonts w:hint="eastAsia" w:ascii="仿宋" w:hAnsi="仿宋" w:eastAsia="仿宋"/>
          <w:b w:val="0"/>
          <w:bCs w:val="0"/>
          <w:color w:val="auto"/>
          <w:sz w:val="28"/>
          <w:szCs w:val="28"/>
        </w:rPr>
        <w:t>登陆政采云平台https://www.zcygov.cn/在线申请获取采购文件</w:t>
      </w:r>
    </w:p>
    <w:p>
      <w:pPr>
        <w:ind w:firstLine="560" w:firstLineChars="200"/>
        <w:rPr>
          <w:rFonts w:hint="eastAsia" w:ascii="仿宋" w:hAnsi="仿宋" w:eastAsia="仿宋"/>
          <w:b w:val="0"/>
          <w:bCs w:val="0"/>
          <w:color w:val="auto"/>
          <w:sz w:val="28"/>
          <w:szCs w:val="28"/>
          <w:lang w:eastAsia="zh-CN"/>
        </w:rPr>
      </w:pPr>
      <w:r>
        <w:rPr>
          <w:rFonts w:hint="eastAsia" w:ascii="仿宋" w:hAnsi="仿宋" w:eastAsia="仿宋"/>
          <w:b w:val="0"/>
          <w:bCs w:val="0"/>
          <w:color w:val="auto"/>
          <w:sz w:val="28"/>
          <w:szCs w:val="28"/>
        </w:rPr>
        <w:t xml:space="preserve">方式：政采云 </w:t>
      </w:r>
      <w:r>
        <w:rPr>
          <w:rFonts w:hint="eastAsia" w:ascii="仿宋" w:hAnsi="仿宋" w:eastAsia="仿宋"/>
          <w:b w:val="0"/>
          <w:bCs w:val="0"/>
          <w:color w:val="auto"/>
          <w:sz w:val="28"/>
          <w:szCs w:val="28"/>
        </w:rPr>
        <w:fldChar w:fldCharType="begin"/>
      </w:r>
      <w:r>
        <w:rPr>
          <w:rFonts w:hint="eastAsia" w:ascii="仿宋" w:hAnsi="仿宋" w:eastAsia="仿宋"/>
          <w:b w:val="0"/>
          <w:bCs w:val="0"/>
          <w:color w:val="auto"/>
          <w:sz w:val="28"/>
          <w:szCs w:val="28"/>
        </w:rPr>
        <w:instrText xml:space="preserve"> HYPERLINK "http://www.ccgp-xinjiang.gov.cn/" \h </w:instrText>
      </w:r>
      <w:r>
        <w:rPr>
          <w:rFonts w:hint="eastAsia" w:ascii="仿宋" w:hAnsi="仿宋" w:eastAsia="仿宋"/>
          <w:b w:val="0"/>
          <w:bCs w:val="0"/>
          <w:color w:val="auto"/>
          <w:sz w:val="28"/>
          <w:szCs w:val="28"/>
        </w:rPr>
        <w:fldChar w:fldCharType="separate"/>
      </w:r>
      <w:r>
        <w:rPr>
          <w:rFonts w:hint="eastAsia" w:ascii="仿宋" w:hAnsi="仿宋" w:eastAsia="仿宋"/>
          <w:b w:val="0"/>
          <w:bCs w:val="0"/>
          <w:color w:val="auto"/>
          <w:sz w:val="28"/>
          <w:szCs w:val="28"/>
        </w:rPr>
        <w:t>http://www.ccgp-xinjiang.gov.cn/</w:t>
      </w:r>
      <w:r>
        <w:rPr>
          <w:rFonts w:hint="eastAsia" w:ascii="仿宋" w:hAnsi="仿宋" w:eastAsia="仿宋"/>
          <w:b w:val="0"/>
          <w:bCs w:val="0"/>
          <w:color w:val="auto"/>
          <w:sz w:val="28"/>
          <w:szCs w:val="28"/>
        </w:rPr>
        <w:fldChar w:fldCharType="end"/>
      </w:r>
      <w:r>
        <w:rPr>
          <w:rFonts w:hint="eastAsia" w:ascii="仿宋" w:hAnsi="仿宋" w:eastAsia="仿宋"/>
          <w:b w:val="0"/>
          <w:bCs w:val="0"/>
          <w:color w:val="auto"/>
          <w:sz w:val="28"/>
          <w:szCs w:val="28"/>
        </w:rPr>
        <w:t>（线上下载（</w:t>
      </w:r>
      <w:r>
        <w:rPr>
          <w:rFonts w:hint="eastAsia" w:ascii="仿宋" w:hAnsi="仿宋" w:eastAsia="仿宋"/>
          <w:b w:val="0"/>
          <w:bCs w:val="0"/>
          <w:color w:val="auto"/>
          <w:sz w:val="28"/>
          <w:szCs w:val="28"/>
          <w:lang w:eastAsia="zh-CN"/>
        </w:rPr>
        <w:t>投标人</w:t>
      </w:r>
      <w:r>
        <w:rPr>
          <w:rFonts w:hint="eastAsia" w:ascii="仿宋" w:hAnsi="仿宋" w:eastAsia="仿宋"/>
          <w:b w:val="0"/>
          <w:bCs w:val="0"/>
          <w:color w:val="auto"/>
          <w:sz w:val="28"/>
          <w:szCs w:val="28"/>
        </w:rPr>
        <w:t>登陆政采云平台→ 项目采购 → 获取招标文件，通过后可下载招标文件）</w:t>
      </w:r>
      <w:r>
        <w:rPr>
          <w:rFonts w:hint="eastAsia" w:ascii="仿宋" w:hAnsi="仿宋" w:eastAsia="仿宋"/>
          <w:b w:val="0"/>
          <w:bCs w:val="0"/>
          <w:color w:val="auto"/>
          <w:sz w:val="28"/>
          <w:szCs w:val="28"/>
          <w:lang w:eastAsia="zh-CN"/>
        </w:rPr>
        <w:t>）</w:t>
      </w:r>
    </w:p>
    <w:p>
      <w:pPr>
        <w:ind w:firstLine="562" w:firstLineChars="200"/>
        <w:rPr>
          <w:rFonts w:ascii="仿宋" w:hAnsi="仿宋" w:eastAsia="仿宋"/>
          <w:b/>
          <w:bCs/>
          <w:color w:val="auto"/>
          <w:sz w:val="28"/>
          <w:szCs w:val="28"/>
        </w:rPr>
      </w:pPr>
      <w:r>
        <w:rPr>
          <w:rFonts w:hint="eastAsia" w:ascii="仿宋" w:hAnsi="仿宋" w:eastAsia="仿宋"/>
          <w:b/>
          <w:bCs/>
          <w:color w:val="auto"/>
          <w:sz w:val="28"/>
          <w:szCs w:val="28"/>
        </w:rPr>
        <w:t>四、提交投标文件</w:t>
      </w:r>
      <w:bookmarkEnd w:id="469"/>
      <w:bookmarkEnd w:id="470"/>
      <w:r>
        <w:rPr>
          <w:rFonts w:hint="eastAsia" w:ascii="仿宋" w:hAnsi="仿宋" w:eastAsia="仿宋"/>
          <w:b/>
          <w:bCs/>
          <w:color w:val="auto"/>
          <w:sz w:val="28"/>
          <w:szCs w:val="28"/>
        </w:rPr>
        <w:t>截止时间、开标时间和地点</w:t>
      </w:r>
      <w:bookmarkEnd w:id="471"/>
      <w:bookmarkEnd w:id="472"/>
    </w:p>
    <w:p>
      <w:pPr>
        <w:ind w:firstLine="560" w:firstLineChars="200"/>
        <w:rPr>
          <w:rFonts w:ascii="仿宋" w:hAnsi="仿宋" w:eastAsia="仿宋"/>
          <w:color w:val="auto"/>
          <w:sz w:val="28"/>
          <w:szCs w:val="28"/>
        </w:rPr>
      </w:pPr>
      <w:r>
        <w:rPr>
          <w:rFonts w:hint="eastAsia" w:ascii="仿宋" w:hAnsi="仿宋" w:eastAsia="仿宋"/>
          <w:color w:val="auto"/>
          <w:sz w:val="28"/>
          <w:szCs w:val="28"/>
        </w:rPr>
        <w:t>投标文件截止时间：202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16</w:t>
      </w:r>
      <w:r>
        <w:rPr>
          <w:rFonts w:hint="eastAsia" w:ascii="仿宋" w:hAnsi="仿宋" w:eastAsia="仿宋"/>
          <w:color w:val="auto"/>
          <w:sz w:val="28"/>
          <w:szCs w:val="28"/>
        </w:rPr>
        <w:t>日11点</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0分（北京时间）</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磋商地点：</w:t>
      </w:r>
      <w:bookmarkStart w:id="473" w:name="_Toc28359084"/>
      <w:bookmarkStart w:id="474" w:name="_Toc28359007"/>
      <w:bookmarkStart w:id="475" w:name="_Toc35393794"/>
      <w:bookmarkStart w:id="476" w:name="_Toc35393625"/>
      <w:r>
        <w:rPr>
          <w:rFonts w:hint="eastAsia" w:ascii="仿宋" w:hAnsi="仿宋" w:eastAsia="仿宋"/>
          <w:color w:val="auto"/>
          <w:sz w:val="28"/>
          <w:szCs w:val="28"/>
          <w:lang w:eastAsia="zh-CN"/>
        </w:rPr>
        <w:t xml:space="preserve">政采云平台 </w:t>
      </w:r>
      <w:r>
        <w:rPr>
          <w:rFonts w:hint="eastAsia" w:ascii="仿宋" w:hAnsi="仿宋" w:eastAsia="仿宋"/>
          <w:color w:val="auto"/>
          <w:sz w:val="28"/>
          <w:szCs w:val="28"/>
          <w:lang w:eastAsia="zh-CN"/>
        </w:rPr>
        <w:fldChar w:fldCharType="begin"/>
      </w:r>
      <w:r>
        <w:rPr>
          <w:rFonts w:hint="eastAsia" w:ascii="仿宋" w:hAnsi="仿宋" w:eastAsia="仿宋"/>
          <w:color w:val="auto"/>
          <w:sz w:val="28"/>
          <w:szCs w:val="28"/>
          <w:lang w:eastAsia="zh-CN"/>
        </w:rPr>
        <w:instrText xml:space="preserve"> HYPERLINK "http://www.zcygov.cn/" \h </w:instrText>
      </w:r>
      <w:r>
        <w:rPr>
          <w:rFonts w:hint="eastAsia" w:ascii="仿宋" w:hAnsi="仿宋" w:eastAsia="仿宋"/>
          <w:color w:val="auto"/>
          <w:sz w:val="28"/>
          <w:szCs w:val="28"/>
          <w:lang w:eastAsia="zh-CN"/>
        </w:rPr>
        <w:fldChar w:fldCharType="separate"/>
      </w:r>
      <w:r>
        <w:rPr>
          <w:rFonts w:hint="eastAsia" w:ascii="仿宋" w:hAnsi="仿宋" w:eastAsia="仿宋"/>
          <w:color w:val="auto"/>
          <w:sz w:val="28"/>
          <w:szCs w:val="28"/>
          <w:lang w:eastAsia="zh-CN"/>
        </w:rPr>
        <w:t>http://www.zcygov.cn/</w:t>
      </w:r>
      <w:r>
        <w:rPr>
          <w:rFonts w:hint="eastAsia" w:ascii="仿宋" w:hAnsi="仿宋" w:eastAsia="仿宋"/>
          <w:color w:val="auto"/>
          <w:sz w:val="28"/>
          <w:szCs w:val="28"/>
          <w:lang w:eastAsia="zh-CN"/>
        </w:rPr>
        <w:fldChar w:fldCharType="end"/>
      </w:r>
    </w:p>
    <w:p>
      <w:pPr>
        <w:pStyle w:val="2"/>
        <w:ind w:left="0" w:leftChars="0" w:firstLine="562" w:firstLineChars="200"/>
        <w:rPr>
          <w:rFonts w:hint="eastAsia" w:ascii="仿宋" w:hAnsi="仿宋" w:eastAsia="仿宋" w:cs="Times New Roman"/>
          <w:b/>
          <w:bCs/>
          <w:color w:val="auto"/>
          <w:kern w:val="2"/>
          <w:sz w:val="28"/>
          <w:szCs w:val="28"/>
          <w:lang w:val="en-US" w:eastAsia="zh-CN" w:bidi="ar-SA"/>
        </w:rPr>
      </w:pPr>
      <w:bookmarkStart w:id="477" w:name="_Toc31479"/>
      <w:r>
        <w:rPr>
          <w:rFonts w:hint="eastAsia" w:ascii="仿宋" w:hAnsi="仿宋" w:eastAsia="仿宋" w:cs="Times New Roman"/>
          <w:b/>
          <w:bCs/>
          <w:color w:val="auto"/>
          <w:kern w:val="2"/>
          <w:sz w:val="28"/>
          <w:szCs w:val="28"/>
          <w:lang w:val="en-US" w:eastAsia="zh-CN" w:bidi="ar-SA"/>
        </w:rPr>
        <w:t>五、投标文件开启</w:t>
      </w:r>
      <w:bookmarkEnd w:id="477"/>
    </w:p>
    <w:p>
      <w:pPr>
        <w:pStyle w:val="2"/>
        <w:ind w:left="0" w:leftChars="0"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开启时间：</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16</w:t>
      </w:r>
      <w:r>
        <w:rPr>
          <w:rFonts w:hint="eastAsia" w:ascii="仿宋" w:hAnsi="仿宋" w:eastAsia="仿宋"/>
          <w:color w:val="auto"/>
          <w:sz w:val="28"/>
          <w:szCs w:val="28"/>
        </w:rPr>
        <w:t>日11点</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0分</w:t>
      </w:r>
      <w:r>
        <w:rPr>
          <w:rFonts w:hint="eastAsia" w:ascii="仿宋" w:hAnsi="仿宋" w:eastAsia="仿宋" w:cs="Times New Roman"/>
          <w:color w:val="auto"/>
          <w:kern w:val="2"/>
          <w:sz w:val="28"/>
          <w:szCs w:val="28"/>
          <w:lang w:val="en-US" w:eastAsia="zh-CN" w:bidi="ar-SA"/>
        </w:rPr>
        <w:t xml:space="preserve">（北京时间） </w:t>
      </w:r>
    </w:p>
    <w:p>
      <w:pPr>
        <w:pStyle w:val="2"/>
        <w:ind w:left="0"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地点：政采云平台 </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"http://www.zcygov.cn/" \h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http://www.zcygov.cn/</w:t>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　</w:t>
      </w:r>
    </w:p>
    <w:p>
      <w:pPr>
        <w:ind w:firstLine="562" w:firstLineChars="200"/>
        <w:rPr>
          <w:rFonts w:ascii="仿宋" w:hAnsi="仿宋" w:eastAsia="仿宋"/>
          <w:b/>
          <w:bCs/>
          <w:sz w:val="28"/>
          <w:szCs w:val="28"/>
        </w:rPr>
      </w:pPr>
      <w:r>
        <w:rPr>
          <w:rFonts w:hint="eastAsia" w:ascii="仿宋" w:hAnsi="仿宋" w:eastAsia="仿宋"/>
          <w:b/>
          <w:bCs/>
          <w:sz w:val="28"/>
          <w:szCs w:val="28"/>
          <w:lang w:eastAsia="zh-CN"/>
        </w:rPr>
        <w:t>六</w:t>
      </w:r>
      <w:r>
        <w:rPr>
          <w:rFonts w:hint="eastAsia" w:ascii="仿宋" w:hAnsi="仿宋" w:eastAsia="仿宋"/>
          <w:b/>
          <w:bCs/>
          <w:sz w:val="28"/>
          <w:szCs w:val="28"/>
        </w:rPr>
        <w:t>、公告期限</w:t>
      </w:r>
      <w:bookmarkEnd w:id="473"/>
      <w:bookmarkEnd w:id="474"/>
      <w:bookmarkEnd w:id="475"/>
      <w:bookmarkEnd w:id="476"/>
    </w:p>
    <w:p>
      <w:pPr>
        <w:ind w:firstLine="560" w:firstLineChars="200"/>
        <w:rPr>
          <w:rFonts w:hint="eastAsia" w:ascii="仿宋" w:hAnsi="仿宋" w:eastAsia="仿宋"/>
          <w:sz w:val="28"/>
          <w:szCs w:val="28"/>
        </w:rPr>
      </w:pPr>
      <w:r>
        <w:rPr>
          <w:rFonts w:hint="eastAsia" w:ascii="仿宋" w:hAnsi="仿宋" w:eastAsia="仿宋"/>
          <w:sz w:val="28"/>
          <w:szCs w:val="28"/>
        </w:rPr>
        <w:t>自本公告发布之日起5个工作日。</w:t>
      </w:r>
    </w:p>
    <w:p>
      <w:pPr>
        <w:ind w:firstLine="562" w:firstLineChars="200"/>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val="en-US" w:eastAsia="zh-CN"/>
        </w:rPr>
        <w:t>七、</w:t>
      </w:r>
      <w:bookmarkStart w:id="478" w:name="_Toc4921"/>
      <w:bookmarkStart w:id="479" w:name="_Toc5671"/>
      <w:r>
        <w:rPr>
          <w:rFonts w:hint="eastAsia" w:ascii="仿宋" w:hAnsi="仿宋" w:eastAsia="仿宋" w:cs="Times New Roman"/>
          <w:b/>
          <w:bCs/>
          <w:sz w:val="28"/>
          <w:szCs w:val="28"/>
          <w:lang w:eastAsia="zh-CN"/>
        </w:rPr>
        <w:t>其他补充事宜</w:t>
      </w:r>
      <w:bookmarkEnd w:id="478"/>
      <w:bookmarkEnd w:id="479"/>
    </w:p>
    <w:p>
      <w:pPr>
        <w:pStyle w:val="2"/>
        <w:ind w:left="0" w:leftChars="0" w:firstLine="560" w:firstLineChars="20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1.本项目采用全流程不见面电子开评标，投标人需要使用CA加密设备，投标人可通过新疆数字证书认证中心官网（https://www.xjca.com.cn/）或下载“新疆政务通”APP自行进行申领。</w:t>
      </w:r>
    </w:p>
    <w:p>
      <w:pPr>
        <w:pStyle w:val="2"/>
        <w:ind w:left="0" w:leftChars="0" w:firstLine="0" w:firstLineChars="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 xml:space="preserve">    2.本项目实行网上投标，采用加密电子投标文件(投标人须使用CA加密设备通过政采云电子投标客户端制作投标文件)。若投标人参与投标，自行承担投标一切费用。</w:t>
      </w:r>
    </w:p>
    <w:p>
      <w:pPr>
        <w:pStyle w:val="2"/>
        <w:ind w:left="0" w:leftChars="0" w:firstLine="0" w:firstLineChars="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 xml:space="preserve">    3.各投标人在开标前应确保成为新疆维吾尔自治区政府采购网正式注册入库投标人（已在政采云平台其他省份入驻的投标人无须重复注册），并完成CA数字证书申领。因未注册入库、未办理CA数字证书等原因造成无法投标或投标失败等后果由投标人自行承担。</w:t>
      </w:r>
    </w:p>
    <w:p>
      <w:pPr>
        <w:pStyle w:val="2"/>
        <w:ind w:left="0" w:leftChars="0" w:firstLine="0" w:firstLineChars="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 xml:space="preserve">    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p>
    <w:p>
      <w:pPr>
        <w:pStyle w:val="2"/>
        <w:ind w:left="0" w:leftChars="0" w:firstLine="560" w:firstLineChars="20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5.投标人在开标时须使用制作加密电子投标文件所使用的CA锁及电脑，电脑须提前配置好浏览器（建议使用谷歌浏览器），以便开标时解锁。</w:t>
      </w:r>
    </w:p>
    <w:p>
      <w:pPr>
        <w:pStyle w:val="2"/>
        <w:ind w:left="0" w:leftChars="0" w:firstLine="560" w:firstLineChars="20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w:t>
      </w:r>
    </w:p>
    <w:p>
      <w:pPr>
        <w:pStyle w:val="2"/>
        <w:ind w:left="0" w:leftChars="0" w:firstLine="0" w:firstLineChars="0"/>
        <w:rPr>
          <w:rFonts w:hint="default" w:eastAsia="仿宋"/>
          <w:lang w:val="en-US" w:eastAsia="zh-CN"/>
        </w:rPr>
      </w:pPr>
      <w:r>
        <w:rPr>
          <w:rFonts w:hint="default" w:ascii="仿宋" w:hAnsi="仿宋" w:eastAsia="仿宋" w:cs="Times New Roman"/>
          <w:kern w:val="2"/>
          <w:sz w:val="28"/>
          <w:szCs w:val="28"/>
          <w:lang w:val="en-US" w:eastAsia="zh-CN" w:bidi="ar-SA"/>
        </w:rPr>
        <w:t xml:space="preserve">    7.为了保证开评标顺利进行，政采云线上开标功能完全实现，投标人开标所使用的电脑设备须具有视频及语音功能。</w:t>
      </w:r>
    </w:p>
    <w:p>
      <w:pPr>
        <w:ind w:firstLine="562" w:firstLineChars="200"/>
        <w:rPr>
          <w:rFonts w:ascii="仿宋" w:hAnsi="仿宋" w:eastAsia="仿宋"/>
          <w:b/>
          <w:bCs/>
          <w:sz w:val="28"/>
          <w:szCs w:val="28"/>
        </w:rPr>
      </w:pPr>
      <w:bookmarkStart w:id="480" w:name="_Toc28359085"/>
      <w:bookmarkStart w:id="481" w:name="_Toc28359008"/>
      <w:bookmarkStart w:id="482" w:name="_Toc35393627"/>
      <w:bookmarkStart w:id="483" w:name="_Toc35393796"/>
      <w:r>
        <w:rPr>
          <w:rFonts w:hint="eastAsia" w:ascii="仿宋" w:hAnsi="仿宋" w:eastAsia="仿宋"/>
          <w:b/>
          <w:bCs/>
          <w:sz w:val="28"/>
          <w:szCs w:val="28"/>
          <w:lang w:eastAsia="zh-CN"/>
        </w:rPr>
        <w:t>八</w:t>
      </w:r>
      <w:r>
        <w:rPr>
          <w:rFonts w:hint="eastAsia" w:ascii="仿宋" w:hAnsi="仿宋" w:eastAsia="仿宋"/>
          <w:b/>
          <w:bCs/>
          <w:sz w:val="28"/>
          <w:szCs w:val="28"/>
        </w:rPr>
        <w:t>、对本次招标提出询问，请按以下方式联系</w:t>
      </w:r>
      <w:bookmarkEnd w:id="480"/>
      <w:bookmarkEnd w:id="481"/>
      <w:bookmarkEnd w:id="482"/>
      <w:bookmarkEnd w:id="483"/>
    </w:p>
    <w:p>
      <w:pPr>
        <w:ind w:firstLine="560" w:firstLineChars="200"/>
        <w:rPr>
          <w:rFonts w:ascii="仿宋" w:hAnsi="仿宋" w:eastAsia="仿宋"/>
          <w:sz w:val="28"/>
          <w:szCs w:val="28"/>
        </w:rPr>
      </w:pPr>
      <w:r>
        <w:rPr>
          <w:rFonts w:hint="eastAsia" w:ascii="仿宋" w:hAnsi="仿宋" w:eastAsia="仿宋"/>
          <w:sz w:val="28"/>
          <w:szCs w:val="28"/>
        </w:rPr>
        <w:t>采购单位：岳普湖县财政局</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联 系 人：</w:t>
      </w:r>
      <w:r>
        <w:rPr>
          <w:rFonts w:hint="eastAsia" w:ascii="仿宋" w:hAnsi="仿宋" w:eastAsia="仿宋"/>
          <w:sz w:val="28"/>
          <w:szCs w:val="28"/>
          <w:lang w:eastAsia="zh-CN"/>
        </w:rPr>
        <w:t>孙大喜</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13899128508</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采购代理机构名称：</w:t>
      </w:r>
      <w:r>
        <w:rPr>
          <w:rFonts w:hint="eastAsia" w:ascii="仿宋" w:hAnsi="仿宋" w:eastAsia="仿宋"/>
          <w:sz w:val="28"/>
          <w:szCs w:val="28"/>
          <w:lang w:eastAsia="zh-CN"/>
        </w:rPr>
        <w:t>新疆诚发鸿岳项目管理服务有限公司</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联 系 人：</w:t>
      </w:r>
      <w:r>
        <w:rPr>
          <w:rFonts w:hint="eastAsia" w:ascii="仿宋" w:hAnsi="仿宋" w:eastAsia="仿宋"/>
          <w:sz w:val="28"/>
          <w:szCs w:val="28"/>
          <w:lang w:eastAsia="zh-CN"/>
        </w:rPr>
        <w:t>齐建立</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18196809995</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eastAsia="zh-CN"/>
        </w:rPr>
        <w:t>新疆喀什地区岳普湖县团结中路12号院04号</w:t>
      </w:r>
    </w:p>
    <w:p>
      <w:pPr>
        <w:pStyle w:val="9"/>
        <w:ind w:firstLine="480" w:firstLineChars="200"/>
      </w:pPr>
    </w:p>
    <w:p>
      <w:pPr>
        <w:pStyle w:val="9"/>
        <w:rPr>
          <w:u w:val="single"/>
        </w:rPr>
      </w:pPr>
    </w:p>
    <w:p/>
    <w:p>
      <w:pPr>
        <w:pStyle w:val="18"/>
        <w:spacing w:beforeAutospacing="0" w:afterAutospacing="0" w:line="360" w:lineRule="exact"/>
        <w:rPr>
          <w:rFonts w:asciiTheme="minorEastAsia" w:hAnsiTheme="minorEastAsia" w:eastAsiaTheme="minorEastAsia"/>
          <w:color w:val="000000"/>
        </w:rPr>
      </w:pPr>
    </w:p>
    <w:p>
      <w:pPr>
        <w:pStyle w:val="6"/>
        <w:rPr>
          <w:rFonts w:cs="宋体" w:asciiTheme="minorEastAsia" w:hAnsiTheme="minorEastAsia" w:eastAsiaTheme="minorEastAsia"/>
          <w:szCs w:val="24"/>
        </w:rPr>
      </w:pPr>
    </w:p>
    <w:p>
      <w:pPr>
        <w:pStyle w:val="6"/>
        <w:rPr>
          <w:rFonts w:cs="宋体" w:asciiTheme="minorEastAsia" w:hAnsiTheme="minorEastAsia" w:eastAsiaTheme="minorEastAsia"/>
          <w:szCs w:val="24"/>
        </w:rPr>
      </w:pPr>
    </w:p>
    <w:p>
      <w:pPr>
        <w:pStyle w:val="6"/>
        <w:rPr>
          <w:rFonts w:cs="宋体" w:asciiTheme="minorEastAsia" w:hAnsiTheme="minorEastAsia" w:eastAsiaTheme="minorEastAsia"/>
          <w:szCs w:val="24"/>
        </w:rPr>
      </w:pPr>
    </w:p>
    <w:p>
      <w:pPr>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p>
      <w:pPr>
        <w:pStyle w:val="16"/>
        <w:rPr>
          <w:rFonts w:cs="宋体" w:asciiTheme="minorEastAsia" w:hAnsiTheme="minorEastAsia" w:eastAsiaTheme="minorEastAsia"/>
          <w:szCs w:val="24"/>
        </w:rPr>
      </w:pPr>
    </w:p>
    <w:bookmarkEnd w:id="451"/>
    <w:bookmarkEnd w:id="452"/>
    <w:bookmarkEnd w:id="453"/>
    <w:bookmarkEnd w:id="454"/>
    <w:bookmarkEnd w:id="455"/>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w:t>
      </w:r>
      <w:r>
        <w:rPr>
          <w:rFonts w:hint="eastAsia" w:cs="宋体" w:asciiTheme="minorEastAsia" w:hAnsiTheme="minorEastAsia" w:eastAsiaTheme="minorEastAsia"/>
          <w:b/>
          <w:bCs/>
          <w:sz w:val="30"/>
          <w:szCs w:val="30"/>
          <w:lang w:val="en-US" w:eastAsia="zh-CN"/>
        </w:rPr>
        <w:t>4</w:t>
      </w:r>
      <w:r>
        <w:rPr>
          <w:rFonts w:hint="eastAsia" w:cs="宋体" w:asciiTheme="minorEastAsia" w:hAnsiTheme="minorEastAsia" w:eastAsiaTheme="minorEastAsia"/>
          <w:b/>
          <w:bCs/>
          <w:sz w:val="30"/>
          <w:szCs w:val="30"/>
        </w:rPr>
        <w:t>章 供应商须知资料表</w:t>
      </w:r>
    </w:p>
    <w:p>
      <w:pPr>
        <w:spacing w:line="240" w:lineRule="atLeast"/>
        <w:ind w:left="479" w:leftChars="228"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21"/>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采购人：</w:t>
            </w:r>
            <w:r>
              <w:rPr>
                <w:rFonts w:hint="eastAsia" w:asciiTheme="minorEastAsia" w:hAnsiTheme="minorEastAsia" w:eastAsiaTheme="minorEastAsia" w:cstheme="minorEastAsia"/>
                <w:sz w:val="24"/>
                <w:szCs w:val="24"/>
              </w:rPr>
              <w:t>岳普湖县财政局</w:t>
            </w:r>
          </w:p>
          <w:p>
            <w:pPr>
              <w:spacing w:line="240" w:lineRule="atLeast"/>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lang w:eastAsia="zh-CN"/>
              </w:rPr>
              <w:t>孙大喜</w:t>
            </w:r>
          </w:p>
          <w:p>
            <w:pPr>
              <w:spacing w:line="240" w:lineRule="atLeas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电  话：</w:t>
            </w:r>
            <w:r>
              <w:rPr>
                <w:rFonts w:hint="eastAsia" w:asciiTheme="minorEastAsia" w:hAnsiTheme="minorEastAsia" w:eastAsiaTheme="minorEastAsia" w:cstheme="minorEastAsia"/>
                <w:sz w:val="24"/>
                <w:szCs w:val="24"/>
                <w:lang w:val="en-US" w:eastAsia="zh-CN"/>
              </w:rPr>
              <w:t>13899128508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采购代理机构：</w:t>
            </w:r>
            <w:r>
              <w:rPr>
                <w:rFonts w:hint="eastAsia" w:asciiTheme="minorEastAsia" w:hAnsiTheme="minorEastAsia" w:eastAsiaTheme="minorEastAsia" w:cstheme="minorEastAsia"/>
                <w:sz w:val="24"/>
                <w:szCs w:val="24"/>
                <w:lang w:eastAsia="zh-CN"/>
              </w:rPr>
              <w:t>新疆诚发鸿岳项目管理服务有限公司</w:t>
            </w:r>
          </w:p>
          <w:p>
            <w:pPr>
              <w:spacing w:line="240" w:lineRule="atLeas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color w:val="000000"/>
                <w:sz w:val="24"/>
                <w:szCs w:val="24"/>
              </w:rPr>
              <w:t>地址：</w:t>
            </w:r>
            <w:r>
              <w:rPr>
                <w:rFonts w:hint="eastAsia" w:asciiTheme="minorEastAsia" w:hAnsiTheme="minorEastAsia" w:eastAsiaTheme="minorEastAsia" w:cstheme="minorEastAsia"/>
                <w:sz w:val="24"/>
                <w:szCs w:val="24"/>
                <w:lang w:eastAsia="zh-CN"/>
              </w:rPr>
              <w:t>新疆喀什地区岳普湖县团结中路12号院04号</w:t>
            </w:r>
          </w:p>
          <w:p>
            <w:pPr>
              <w:spacing w:line="240" w:lineRule="atLeas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业务联系人：</w:t>
            </w:r>
            <w:r>
              <w:rPr>
                <w:rFonts w:hint="eastAsia" w:asciiTheme="minorEastAsia" w:hAnsiTheme="minorEastAsia" w:eastAsiaTheme="minorEastAsia" w:cstheme="minorEastAsia"/>
                <w:sz w:val="24"/>
                <w:szCs w:val="24"/>
                <w:u w:val="none" w:color="auto"/>
                <w:lang w:eastAsia="zh-CN"/>
              </w:rPr>
              <w:t>齐建立</w:t>
            </w:r>
            <w:r>
              <w:rPr>
                <w:rFonts w:hint="eastAsia" w:asciiTheme="minorEastAsia" w:hAnsiTheme="minorEastAsia" w:eastAsiaTheme="minorEastAsia" w:cstheme="minorEastAsia"/>
                <w:sz w:val="24"/>
                <w:szCs w:val="24"/>
                <w:u w:val="none" w:color="auto"/>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18196809995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0" w:hRule="atLeast"/>
        </w:trPr>
        <w:tc>
          <w:tcPr>
            <w:tcW w:w="1559" w:type="dxa"/>
            <w:vAlign w:val="center"/>
          </w:tcPr>
          <w:p>
            <w:pPr>
              <w:widowControl/>
              <w:spacing w:before="50" w:after="50" w:line="320" w:lineRule="exact"/>
              <w:jc w:val="center"/>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pStyle w:val="6"/>
              <w:ind w:firstLine="0"/>
              <w:rPr>
                <w:rFonts w:hint="eastAsia"/>
              </w:rPr>
            </w:pPr>
            <w:r>
              <w:rPr>
                <w:rFonts w:hint="eastAsia"/>
              </w:rPr>
              <w:t>1、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pStyle w:val="6"/>
              <w:ind w:firstLine="0"/>
              <w:rPr>
                <w:rFonts w:hint="eastAsia"/>
              </w:rPr>
            </w:pPr>
            <w:r>
              <w:rPr>
                <w:rFonts w:hint="eastAsia"/>
              </w:rPr>
              <w:t>2、为中国大陆境内合法注册的金融机构，持有工商行政管理部门颁发的营业执照，经营范围符合项目要求，并年检合格。</w:t>
            </w:r>
          </w:p>
          <w:p>
            <w:pPr>
              <w:pStyle w:val="6"/>
              <w:ind w:firstLine="0"/>
              <w:rPr>
                <w:rFonts w:hint="eastAsia"/>
              </w:rPr>
            </w:pPr>
            <w:r>
              <w:rPr>
                <w:rFonts w:hint="eastAsia"/>
              </w:rPr>
              <w:t>3、持有中国银行业监督管理委员会有效的《中华人民共和国金融许可证》或《金融机构营业许可证》。</w:t>
            </w:r>
          </w:p>
          <w:p>
            <w:pPr>
              <w:pStyle w:val="6"/>
              <w:ind w:firstLine="0"/>
              <w:rPr>
                <w:rFonts w:hint="eastAsia"/>
              </w:rPr>
            </w:pPr>
            <w:r>
              <w:rPr>
                <w:rFonts w:hint="eastAsia"/>
              </w:rPr>
              <w:t>4、投标法人授权委托书及被授权委托人身份证原件,被授权委托人必须是投标单位正式员工在本单位缴纳的近三个月的社保证明原件（单位社保缴费凭证和个人明细表）；法定代表人需提供</w:t>
            </w:r>
            <w:r>
              <w:rPr>
                <w:rFonts w:hint="eastAsia"/>
                <w:lang w:val="en-US" w:eastAsia="zh-CN"/>
              </w:rPr>
              <w:t>法定代表人资格证明</w:t>
            </w:r>
            <w:r>
              <w:rPr>
                <w:rFonts w:hint="eastAsia"/>
              </w:rPr>
              <w:t>。</w:t>
            </w:r>
          </w:p>
          <w:p>
            <w:pPr>
              <w:pStyle w:val="6"/>
              <w:ind w:firstLine="0"/>
              <w:rPr>
                <w:rFonts w:hint="eastAsia"/>
              </w:rPr>
            </w:pPr>
            <w:r>
              <w:rPr>
                <w:rFonts w:hint="eastAsia"/>
              </w:rPr>
              <w:t>5、在中华人民共和国境内依法设立的国有商业银行、股份制商业银行、邮政储蓄银行、城县商业银行、农村商业银行及政策性银行等的分支机构。</w:t>
            </w:r>
          </w:p>
          <w:p>
            <w:pPr>
              <w:pStyle w:val="6"/>
              <w:ind w:firstLine="0"/>
              <w:rPr>
                <w:rFonts w:hint="eastAsia"/>
              </w:rPr>
            </w:pPr>
            <w:r>
              <w:rPr>
                <w:rFonts w:hint="eastAsia"/>
              </w:rPr>
              <w:t>6、提供针对本次项目《反商业贿赂承诺书》。</w:t>
            </w:r>
          </w:p>
          <w:p>
            <w:pPr>
              <w:pStyle w:val="6"/>
              <w:ind w:firstLine="0"/>
            </w:pPr>
            <w:r>
              <w:rPr>
                <w:rFonts w:hint="eastAsia"/>
              </w:rPr>
              <w:t>7、本项目不接受联合体投标。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hint="eastAsia" w:ascii="宋体" w:hAnsi="宋体" w:eastAsia="宋体" w:cs="宋体"/>
                <w:color w:val="000000"/>
                <w:sz w:val="24"/>
                <w:lang w:val="en-US" w:eastAsia="zh-CN"/>
              </w:rPr>
            </w:pPr>
            <w:r>
              <w:rPr>
                <w:rFonts w:hint="eastAsia" w:ascii="宋体" w:hAnsi="宋体" w:cs="宋体"/>
                <w:color w:val="000000"/>
                <w:sz w:val="24"/>
              </w:rPr>
              <w:t>1.3.</w:t>
            </w:r>
            <w:r>
              <w:rPr>
                <w:rFonts w:hint="eastAsia" w:ascii="宋体" w:hAnsi="宋体" w:cs="宋体"/>
                <w:color w:val="000000"/>
                <w:sz w:val="24"/>
                <w:lang w:val="en-US" w:eastAsia="zh-CN"/>
              </w:rPr>
              <w:t>6</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 xml:space="preserve"> 否 </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hint="default" w:ascii="宋体" w:hAnsi="宋体" w:eastAsia="宋体" w:cs="宋体"/>
                <w:color w:val="000000"/>
                <w:sz w:val="24"/>
                <w:lang w:val="en-US" w:eastAsia="zh-CN"/>
              </w:rPr>
            </w:pPr>
            <w:r>
              <w:rPr>
                <w:rFonts w:hint="eastAsia" w:ascii="宋体" w:hAnsi="宋体" w:cs="宋体"/>
                <w:color w:val="000000"/>
                <w:sz w:val="24"/>
              </w:rPr>
              <w:t>项目预算金额</w:t>
            </w:r>
            <w:r>
              <w:rPr>
                <w:rFonts w:hint="eastAsia" w:ascii="宋体" w:hAnsi="宋体" w:cs="宋体"/>
                <w:color w:val="000000"/>
                <w:sz w:val="24"/>
                <w:lang w:eastAsia="zh-CN"/>
              </w:rPr>
              <w:t>：</w:t>
            </w:r>
            <w:r>
              <w:rPr>
                <w:rFonts w:hint="eastAsia" w:ascii="宋体" w:hAnsi="宋体" w:cs="宋体"/>
                <w:color w:val="000000"/>
                <w:sz w:val="24"/>
                <w:lang w:val="en-US" w:eastAsia="zh-CN"/>
              </w:rPr>
              <w:t>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 xml:space="preserve"> 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投标（响应）</w:t>
            </w:r>
            <w:r>
              <w:rPr>
                <w:rFonts w:hint="eastAsia" w:ascii="宋体" w:hAnsi="宋体" w:eastAsia="宋体" w:cs="宋体"/>
                <w:color w:val="auto"/>
                <w:sz w:val="24"/>
                <w:highlight w:val="none"/>
              </w:rPr>
              <w:t>文件包括：</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1、加密的电子投标文件，在投标截止时间前通过新疆维吾尔自治区政府采购网上传；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注：加密的电子投标文件为使用政采云电子投标客户端制作生成的加密版投标文件。未加密的电子投标文件应与加密的电子投标文件为同时生成的版本。</w:t>
            </w:r>
          </w:p>
          <w:p>
            <w:pPr>
              <w:spacing w:line="240" w:lineRule="atLeast"/>
            </w:pPr>
            <w:r>
              <w:rPr>
                <w:rFonts w:hint="eastAsia" w:ascii="宋体" w:hAnsi="宋体" w:eastAsia="宋体" w:cs="宋体"/>
                <w:color w:val="auto"/>
                <w:sz w:val="24"/>
                <w:highlight w:val="none"/>
              </w:rPr>
              <w:t>备注：因投标人自身原因导致解密失败的，将导致其投标被拒绝且投标文件被退回；但因网上招标系统故障导致所有投标人均解密失败时，使用投标人未加密的电子投标文件进行开评标。未发送未加密电子投标文件导致解密失败的，由投标人自行承担责任，默认解密时长为：30 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hint="eastAsia" w:ascii="宋体" w:hAnsi="宋体" w:eastAsia="宋体" w:cs="宋体"/>
                <w:sz w:val="24"/>
                <w:u w:val="single"/>
                <w:lang w:eastAsia="zh-CN"/>
              </w:rPr>
            </w:pPr>
            <w:r>
              <w:rPr>
                <w:rFonts w:hint="eastAsia" w:ascii="宋体" w:hAnsi="宋体" w:cs="宋体"/>
                <w:sz w:val="24"/>
              </w:rPr>
              <w:t>投标截止时间：202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日11点</w:t>
            </w:r>
            <w:r>
              <w:rPr>
                <w:rFonts w:hint="eastAsia" w:ascii="宋体" w:hAnsi="宋体" w:cs="宋体"/>
                <w:sz w:val="24"/>
                <w:lang w:val="en-US" w:eastAsia="zh-CN"/>
              </w:rPr>
              <w:t>3</w:t>
            </w:r>
            <w:r>
              <w:rPr>
                <w:rFonts w:hint="eastAsia" w:ascii="宋体" w:hAnsi="宋体" w:cs="宋体"/>
                <w:sz w:val="24"/>
              </w:rPr>
              <w:t>0分</w:t>
            </w:r>
            <w:r>
              <w:rPr>
                <w:rFonts w:hint="eastAsia" w:ascii="宋体" w:hAnsi="宋体" w:cs="宋体"/>
                <w:sz w:val="24"/>
                <w:lang w:eastAsia="zh-CN"/>
              </w:rPr>
              <w:t>（北京时间）</w:t>
            </w:r>
          </w:p>
          <w:p>
            <w:pPr>
              <w:spacing w:line="240" w:lineRule="atLeast"/>
              <w:rPr>
                <w:rFonts w:ascii="宋体" w:hAnsi="宋体" w:cs="宋体"/>
                <w:color w:val="000000"/>
                <w:sz w:val="24"/>
              </w:rPr>
            </w:pPr>
            <w:r>
              <w:rPr>
                <w:rFonts w:hint="eastAsia" w:ascii="宋体" w:hAnsi="宋体" w:cs="宋体"/>
                <w:sz w:val="24"/>
              </w:rPr>
              <w:t>投标文件递交地点：</w:t>
            </w:r>
            <w:r>
              <w:rPr>
                <w:rFonts w:hint="eastAsia" w:ascii="宋体" w:hAnsi="宋体" w:eastAsia="宋体" w:cs="宋体"/>
                <w:color w:val="auto"/>
                <w:sz w:val="24"/>
                <w:highlight w:val="none"/>
                <w:lang w:eastAsia="zh-CN"/>
              </w:rPr>
              <w:t>https://www.zcygov.cn</w:t>
            </w:r>
            <w:r>
              <w:rPr>
                <w:rFonts w:hint="eastAsia" w:ascii="宋体" w:hAnsi="宋体" w:eastAsia="宋体" w:cs="宋体"/>
                <w:color w:val="auto"/>
                <w:sz w:val="24"/>
                <w:highlight w:val="none"/>
                <w:lang w:val="en-US" w:eastAsia="zh-CN"/>
              </w:rPr>
              <w:t>不见面开标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hint="eastAsia" w:ascii="宋体" w:hAnsi="宋体" w:cs="宋体"/>
                <w:color w:val="000000"/>
                <w:sz w:val="24"/>
              </w:rPr>
            </w:pPr>
            <w:r>
              <w:rPr>
                <w:rFonts w:hint="eastAsia" w:ascii="宋体" w:hAnsi="宋体" w:cs="宋体"/>
                <w:color w:val="000000"/>
                <w:sz w:val="24"/>
              </w:rPr>
              <w:t>开标时间：202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5</w:t>
            </w:r>
            <w:r>
              <w:rPr>
                <w:rFonts w:hint="eastAsia" w:ascii="宋体" w:hAnsi="宋体" w:cs="宋体"/>
                <w:color w:val="000000"/>
                <w:sz w:val="24"/>
              </w:rPr>
              <w:t>月</w:t>
            </w:r>
            <w:r>
              <w:rPr>
                <w:rFonts w:hint="eastAsia" w:ascii="宋体" w:hAnsi="宋体" w:cs="宋体"/>
                <w:color w:val="000000"/>
                <w:sz w:val="24"/>
                <w:lang w:val="en-US" w:eastAsia="zh-CN"/>
              </w:rPr>
              <w:t>16</w:t>
            </w:r>
            <w:r>
              <w:rPr>
                <w:rFonts w:hint="eastAsia" w:ascii="宋体" w:hAnsi="宋体" w:cs="宋体"/>
                <w:color w:val="000000"/>
                <w:sz w:val="24"/>
              </w:rPr>
              <w:t>日11点</w:t>
            </w:r>
            <w:r>
              <w:rPr>
                <w:rFonts w:hint="eastAsia" w:ascii="宋体" w:hAnsi="宋体" w:cs="宋体"/>
                <w:color w:val="000000"/>
                <w:sz w:val="24"/>
                <w:lang w:val="en-US" w:eastAsia="zh-CN"/>
              </w:rPr>
              <w:t>3</w:t>
            </w:r>
            <w:r>
              <w:rPr>
                <w:rFonts w:hint="eastAsia" w:ascii="宋体" w:hAnsi="宋体" w:cs="宋体"/>
                <w:color w:val="000000"/>
                <w:sz w:val="24"/>
              </w:rPr>
              <w:t>0分</w:t>
            </w:r>
            <w:r>
              <w:rPr>
                <w:rFonts w:hint="eastAsia" w:ascii="宋体" w:hAnsi="宋体" w:cs="宋体"/>
                <w:sz w:val="24"/>
                <w:lang w:eastAsia="zh-CN"/>
              </w:rPr>
              <w:t>（北京时间）</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auto"/>
                <w:spacing w:val="-6"/>
                <w:sz w:val="24"/>
                <w:szCs w:val="24"/>
                <w:highlight w:val="none"/>
                <w:u w:val="single"/>
                <w:lang w:val="en-US" w:eastAsia="zh-CN"/>
              </w:rPr>
              <w:t>【</w:t>
            </w:r>
            <w:r>
              <w:rPr>
                <w:rFonts w:hint="eastAsia" w:ascii="宋体" w:hAnsi="宋体" w:eastAsia="宋体" w:cs="宋体"/>
                <w:color w:val="auto"/>
                <w:spacing w:val="-6"/>
                <w:sz w:val="24"/>
                <w:szCs w:val="24"/>
                <w:highlight w:val="none"/>
                <w:u w:val="single"/>
                <w:lang w:val="en-US" w:eastAsia="zh-CN"/>
              </w:rPr>
              <w:t>政采云开标大厅（https://www.zcygov.cn）</w:t>
            </w:r>
            <w:r>
              <w:rPr>
                <w:rFonts w:hint="eastAsia" w:ascii="宋体" w:hAnsi="宋体" w:cs="宋体"/>
                <w:color w:val="auto"/>
                <w:spacing w:val="-6"/>
                <w:sz w:val="24"/>
                <w:szCs w:val="24"/>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lang w:val="en-US" w:eastAsia="zh-CN"/>
              </w:rPr>
              <w:t>3</w:t>
            </w:r>
            <w:r>
              <w:rPr>
                <w:rFonts w:hint="eastAsia" w:ascii="宋体" w:hAnsi="宋体" w:cs="宋体"/>
                <w:kern w:val="0"/>
                <w:sz w:val="24"/>
              </w:rPr>
              <w:t xml:space="preserve">人 </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w:t>
            </w:r>
            <w:r>
              <w:rPr>
                <w:rFonts w:hint="eastAsia" w:ascii="宋体" w:hAnsi="宋体" w:eastAsia="宋体" w:cs="宋体"/>
                <w:color w:val="auto"/>
                <w:sz w:val="24"/>
                <w:szCs w:val="24"/>
                <w:highlight w:val="none"/>
              </w:rPr>
              <w:t>政采云专家库随机抽取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w:t>
            </w:r>
            <w:r>
              <w:rPr>
                <w:rFonts w:hint="eastAsia" w:ascii="宋体" w:hAnsi="宋体" w:cs="宋体"/>
                <w:color w:val="000000"/>
                <w:sz w:val="24"/>
                <w:u w:val="single"/>
                <w:lang w:eastAsia="zh-CN"/>
              </w:rPr>
              <w:t>分</w:t>
            </w:r>
            <w:r>
              <w:rPr>
                <w:rFonts w:hint="eastAsia" w:ascii="宋体" w:hAnsi="宋体" w:cs="宋体"/>
                <w:color w:val="000000"/>
                <w:sz w:val="24"/>
                <w:u w:val="single"/>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r>
              <w:rPr>
                <w:rFonts w:hint="eastAsia"/>
                <w:color w:val="000000"/>
                <w:sz w:val="24"/>
              </w:rPr>
              <w:t>（第一中标人、第二候选中标人、第三候选中标人）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34" w:type="dxa"/>
            <w:gridSpan w:val="2"/>
            <w:vAlign w:val="center"/>
          </w:tcPr>
          <w:p>
            <w:pPr>
              <w:spacing w:line="240" w:lineRule="atLeast"/>
              <w:jc w:val="center"/>
              <w:rPr>
                <w:rFonts w:hint="eastAsia" w:ascii="宋体" w:hAnsi="宋体" w:cs="宋体"/>
                <w:color w:val="000000"/>
                <w:sz w:val="24"/>
              </w:rPr>
            </w:pPr>
            <w:r>
              <w:rPr>
                <w:rFonts w:hint="eastAsia" w:ascii="宋体" w:hAnsi="宋体" w:eastAsia="宋体" w:cs="宋体"/>
                <w:b/>
                <w:bCs/>
                <w:i w:val="0"/>
                <w:iCs w:val="0"/>
                <w:color w:val="auto"/>
                <w:sz w:val="24"/>
                <w:highlight w:val="none"/>
              </w:rPr>
              <w:t>适用于本</w:t>
            </w:r>
            <w:r>
              <w:rPr>
                <w:rFonts w:hint="eastAsia" w:ascii="宋体" w:hAnsi="宋体" w:eastAsia="宋体" w:cs="宋体"/>
                <w:b/>
                <w:bCs/>
                <w:i w:val="0"/>
                <w:iCs w:val="0"/>
                <w:color w:val="auto"/>
                <w:sz w:val="24"/>
                <w:highlight w:val="none"/>
                <w:lang w:eastAsia="zh-CN"/>
              </w:rPr>
              <w:t>投标人</w:t>
            </w:r>
            <w:r>
              <w:rPr>
                <w:rFonts w:hint="eastAsia" w:ascii="宋体" w:hAnsi="宋体" w:eastAsia="宋体" w:cs="宋体"/>
                <w:b/>
                <w:bCs/>
                <w:i w:val="0"/>
                <w:iCs w:val="0"/>
                <w:color w:val="auto"/>
                <w:sz w:val="24"/>
                <w:highlight w:val="none"/>
              </w:rPr>
              <w:t>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7875" w:type="dxa"/>
            <w:vAlign w:val="center"/>
          </w:tcPr>
          <w:p>
            <w:pPr>
              <w:pStyle w:val="32"/>
              <w:numPr>
                <w:ilvl w:val="0"/>
                <w:numId w:val="0"/>
              </w:numPr>
              <w:tabs>
                <w:tab w:val="left" w:pos="277"/>
              </w:tabs>
              <w:spacing w:before="1" w:after="0" w:line="242" w:lineRule="auto"/>
              <w:ind w:leftChars="0" w:right="-15" w:rightChars="0"/>
              <w:jc w:val="both"/>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本项目为电子招投标，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需要使用 CA 加密设备，凡参加本项目必须可自主通过新疆 CA 申领渠道“新疆政务通”申请政采云平台可使用的 CA 设备，如原有兵团或公共资源使用的 CA，可与新疆 CA 联系，申请增加电子证书即可，无需重复申领。</w:t>
            </w:r>
          </w:p>
          <w:p>
            <w:pPr>
              <w:pStyle w:val="32"/>
              <w:numPr>
                <w:ilvl w:val="0"/>
                <w:numId w:val="0"/>
              </w:numPr>
              <w:tabs>
                <w:tab w:val="left" w:pos="277"/>
              </w:tabs>
              <w:spacing w:before="3" w:after="0" w:line="242" w:lineRule="auto"/>
              <w:ind w:leftChars="0" w:right="-15" w:rightChars="0"/>
              <w:jc w:val="lef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本项目实行网上投标，采用电子投标文件(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须使用 CA 加密设备通过政采云电子投标客户端制作投标文件)。若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参与投标，自行承担投标一切费用3.各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应在开标前应确保成为新疆维吾尔自治区政府采购网正式注册入库</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，并完成 CA 数字证书申领。因未注册入库、未办理 CA 数字证书等原因造成无法投标或投标失败等后果由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pStyle w:val="32"/>
              <w:numPr>
                <w:ilvl w:val="0"/>
                <w:numId w:val="0"/>
              </w:numPr>
              <w:tabs>
                <w:tab w:val="left" w:pos="277"/>
              </w:tabs>
              <w:spacing w:before="3" w:after="0" w:line="242" w:lineRule="auto"/>
              <w:ind w:left="35" w:leftChars="0" w:right="-15" w:rightChars="0"/>
              <w:jc w:val="lef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将政采云电子交易客户端下载、安装完成后，可通过账号密码或 CA 登录客户端进行投标文件制作。在使用政采云投标客户端时，建议使用 WIN7 及以上操作系统。客户端请至新疆政府采购网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（http://www.ccgp-xinjiang.gov.cn/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下载专区查看，如有问题可拨打政采云客户服务热线 </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 xml:space="preserve"> 进行咨询。</w:t>
            </w:r>
          </w:p>
          <w:p>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在开标时须使用制作加密电子投标文件所使用的 CA 锁及电脑，电脑须提前配置好浏览器（建议使用谷歌浏览器），以便开标时解锁。</w:t>
            </w:r>
          </w:p>
          <w:p>
            <w:pPr>
              <w:pStyle w:val="32"/>
              <w:numPr>
                <w:ilvl w:val="0"/>
                <w:numId w:val="0"/>
              </w:numPr>
              <w:tabs>
                <w:tab w:val="left" w:pos="277"/>
              </w:tabs>
              <w:spacing w:before="0" w:after="0" w:line="242" w:lineRule="auto"/>
              <w:ind w:right="-15" w:rightChars="0"/>
              <w:jc w:val="both"/>
              <w:rPr>
                <w:rFonts w:hint="eastAsia" w:ascii="宋体" w:hAnsi="宋体" w:eastAsia="宋体" w:cs="宋体"/>
                <w:color w:val="auto"/>
                <w:sz w:val="24"/>
                <w:szCs w:val="24"/>
                <w:highlight w:val="none"/>
              </w:rPr>
            </w:pPr>
            <w:r>
              <w:rPr>
                <w:rFonts w:hint="eastAsia" w:cs="宋体"/>
                <w:color w:val="auto"/>
                <w:spacing w:val="-6"/>
                <w:sz w:val="24"/>
                <w:szCs w:val="24"/>
                <w:highlight w:val="none"/>
                <w:lang w:val="en-US" w:eastAsia="zh-CN"/>
              </w:rPr>
              <w:t xml:space="preserve">5  </w:t>
            </w:r>
            <w:r>
              <w:rPr>
                <w:rFonts w:hint="eastAsia" w:ascii="宋体" w:hAnsi="宋体" w:eastAsia="宋体" w:cs="宋体"/>
                <w:color w:val="auto"/>
                <w:spacing w:val="-6"/>
                <w:sz w:val="24"/>
                <w:szCs w:val="24"/>
                <w:highlight w:val="none"/>
              </w:rPr>
              <w:t>投标保证金缴纳及确认时间：凡拟参加本次招标项目的</w:t>
            </w:r>
            <w:r>
              <w:rPr>
                <w:rFonts w:hint="eastAsia" w:ascii="宋体" w:hAnsi="宋体" w:eastAsia="宋体" w:cs="宋体"/>
                <w:color w:val="auto"/>
                <w:spacing w:val="-6"/>
                <w:sz w:val="24"/>
                <w:szCs w:val="24"/>
                <w:highlight w:val="none"/>
                <w:lang w:eastAsia="zh-CN"/>
              </w:rPr>
              <w:t>投标人</w:t>
            </w:r>
            <w:r>
              <w:rPr>
                <w:rFonts w:hint="eastAsia" w:ascii="宋体" w:hAnsi="宋体" w:eastAsia="宋体" w:cs="宋体"/>
                <w:color w:val="auto"/>
                <w:spacing w:val="-6"/>
                <w:sz w:val="24"/>
                <w:szCs w:val="24"/>
                <w:highlight w:val="none"/>
              </w:rPr>
              <w:t>，必须在开标前将投标保证金汇入指定账户。投标保证金汇款凭证上用途栏应注明:招标项目名称+投标保证金。</w:t>
            </w:r>
          </w:p>
          <w:p>
            <w:pPr>
              <w:pStyle w:val="32"/>
              <w:numPr>
                <w:ilvl w:val="0"/>
                <w:numId w:val="0"/>
              </w:numPr>
              <w:tabs>
                <w:tab w:val="left" w:pos="386"/>
              </w:tabs>
              <w:spacing w:before="0" w:after="0" w:line="242" w:lineRule="auto"/>
              <w:ind w:right="-15" w:rightChars="0"/>
              <w:jc w:val="both"/>
              <w:rPr>
                <w:rFonts w:hint="eastAsia" w:ascii="宋体" w:hAnsi="宋体" w:eastAsia="宋体" w:cs="宋体"/>
                <w:color w:val="auto"/>
                <w:sz w:val="24"/>
                <w:highlight w:val="none"/>
              </w:rPr>
            </w:pPr>
            <w:r>
              <w:rPr>
                <w:rFonts w:hint="eastAsia" w:cs="宋体"/>
                <w:color w:val="auto"/>
                <w:spacing w:val="-10"/>
                <w:sz w:val="24"/>
                <w:highlight w:val="none"/>
                <w:lang w:val="en-US" w:eastAsia="zh-CN"/>
              </w:rPr>
              <w:t xml:space="preserve">6  </w:t>
            </w:r>
            <w:r>
              <w:rPr>
                <w:rFonts w:hint="eastAsia" w:ascii="宋体" w:hAnsi="宋体" w:eastAsia="宋体" w:cs="宋体"/>
                <w:color w:val="auto"/>
                <w:spacing w:val="-10"/>
                <w:sz w:val="24"/>
                <w:highlight w:val="none"/>
              </w:rPr>
              <w:t>供 应 商 对 不 见 面 开 评 标 系 统 的 技 术 操 作 咨 询 ， 可 通 过https://edu.zcygov.cn/luban/xinjiang-e-biding 自助查询，也可在政采云帮</w:t>
            </w:r>
            <w:r>
              <w:rPr>
                <w:rFonts w:hint="eastAsia" w:ascii="宋体" w:hAnsi="宋体" w:eastAsia="宋体" w:cs="宋体"/>
                <w:color w:val="auto"/>
                <w:spacing w:val="-9"/>
                <w:sz w:val="24"/>
                <w:highlight w:val="none"/>
              </w:rPr>
              <w:t>助中 心常 见问 题解 答和 操作 流程 讲解 视频 中自 助查 询， 网址 为： https://service.zcygov.cn/#/help</w:t>
            </w:r>
            <w:r>
              <w:rPr>
                <w:rFonts w:hint="eastAsia" w:ascii="宋体" w:hAnsi="宋体" w:eastAsia="宋体" w:cs="宋体"/>
                <w:color w:val="auto"/>
                <w:spacing w:val="-10"/>
                <w:sz w:val="24"/>
                <w:highlight w:val="none"/>
              </w:rPr>
              <w:t>，“项目采购”—“操作流程-电子招投标</w:t>
            </w:r>
            <w:r>
              <w:rPr>
                <w:rFonts w:hint="eastAsia" w:ascii="宋体" w:hAnsi="宋体" w:eastAsia="宋体" w:cs="宋体"/>
                <w:color w:val="auto"/>
                <w:sz w:val="24"/>
                <w:highlight w:val="none"/>
              </w:rPr>
              <w:t>—“政府采购项目电子交易管理操作指南-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”版面获取操作指南，同时对</w:t>
            </w:r>
            <w:r>
              <w:rPr>
                <w:rFonts w:hint="eastAsia" w:ascii="宋体" w:hAnsi="宋体" w:eastAsia="宋体" w:cs="宋体"/>
                <w:color w:val="auto"/>
                <w:spacing w:val="-3"/>
                <w:sz w:val="24"/>
                <w:highlight w:val="none"/>
              </w:rPr>
              <w:t>自助查询无法解决的问题可通过钉钉群及政采云在线客服获取服务支持。</w:t>
            </w:r>
            <w:r>
              <w:rPr>
                <w:rFonts w:hint="eastAsia" w:ascii="宋体" w:hAnsi="宋体" w:eastAsia="宋体" w:cs="宋体"/>
                <w:color w:val="auto"/>
                <w:spacing w:val="-3"/>
                <w:sz w:val="24"/>
                <w:highlight w:val="none"/>
                <w:lang w:eastAsia="zh-CN"/>
              </w:rPr>
              <w:t>投标人</w:t>
            </w:r>
            <w:r>
              <w:rPr>
                <w:rFonts w:hint="eastAsia" w:ascii="宋体" w:hAnsi="宋体" w:eastAsia="宋体" w:cs="宋体"/>
                <w:color w:val="auto"/>
                <w:spacing w:val="-7"/>
                <w:sz w:val="24"/>
                <w:highlight w:val="none"/>
              </w:rPr>
              <w:t>钉钉群号：政采云新疆</w:t>
            </w:r>
            <w:r>
              <w:rPr>
                <w:rFonts w:hint="eastAsia" w:ascii="宋体" w:hAnsi="宋体" w:eastAsia="宋体" w:cs="宋体"/>
                <w:color w:val="auto"/>
                <w:spacing w:val="-7"/>
                <w:sz w:val="24"/>
                <w:highlight w:val="none"/>
                <w:lang w:eastAsia="zh-CN"/>
              </w:rPr>
              <w:t>投标人</w:t>
            </w:r>
            <w:r>
              <w:rPr>
                <w:rFonts w:hint="eastAsia" w:ascii="宋体" w:hAnsi="宋体" w:eastAsia="宋体" w:cs="宋体"/>
                <w:color w:val="auto"/>
                <w:spacing w:val="-7"/>
                <w:sz w:val="24"/>
                <w:highlight w:val="none"/>
              </w:rPr>
              <w:t xml:space="preserve">服务 </w:t>
            </w:r>
            <w:r>
              <w:rPr>
                <w:rFonts w:hint="eastAsia" w:ascii="宋体" w:hAnsi="宋体" w:eastAsia="宋体" w:cs="宋体"/>
                <w:color w:val="auto"/>
                <w:sz w:val="24"/>
                <w:highlight w:val="none"/>
              </w:rPr>
              <w:t>1</w:t>
            </w:r>
            <w:r>
              <w:rPr>
                <w:rFonts w:hint="eastAsia" w:ascii="宋体" w:hAnsi="宋体" w:eastAsia="宋体" w:cs="宋体"/>
                <w:color w:val="auto"/>
                <w:spacing w:val="-18"/>
                <w:sz w:val="24"/>
                <w:highlight w:val="none"/>
              </w:rPr>
              <w:t xml:space="preserve"> 号群</w:t>
            </w:r>
            <w:r>
              <w:rPr>
                <w:rFonts w:hint="eastAsia" w:ascii="宋体" w:hAnsi="宋体" w:eastAsia="宋体" w:cs="宋体"/>
                <w:color w:val="auto"/>
                <w:sz w:val="24"/>
                <w:highlight w:val="none"/>
              </w:rPr>
              <w:t>：30349928（</w:t>
            </w:r>
            <w:r>
              <w:rPr>
                <w:rFonts w:hint="eastAsia" w:ascii="宋体" w:hAnsi="宋体" w:eastAsia="宋体" w:cs="宋体"/>
                <w:color w:val="auto"/>
                <w:spacing w:val="-12"/>
                <w:sz w:val="24"/>
                <w:highlight w:val="none"/>
              </w:rPr>
              <w:t xml:space="preserve">如已加入 </w:t>
            </w:r>
            <w:r>
              <w:rPr>
                <w:rFonts w:hint="eastAsia" w:ascii="宋体" w:hAnsi="宋体" w:eastAsia="宋体" w:cs="宋体"/>
                <w:color w:val="auto"/>
                <w:sz w:val="24"/>
                <w:highlight w:val="none"/>
              </w:rPr>
              <w:t>1-11</w:t>
            </w:r>
            <w:r>
              <w:rPr>
                <w:rFonts w:hint="eastAsia" w:ascii="宋体" w:hAnsi="宋体" w:eastAsia="宋体" w:cs="宋体"/>
                <w:color w:val="auto"/>
                <w:spacing w:val="-12"/>
                <w:sz w:val="24"/>
                <w:highlight w:val="none"/>
              </w:rPr>
              <w:t xml:space="preserve"> 群，无需</w:t>
            </w:r>
            <w:r>
              <w:rPr>
                <w:rFonts w:hint="eastAsia" w:ascii="宋体" w:hAnsi="宋体" w:eastAsia="宋体" w:cs="宋体"/>
                <w:color w:val="auto"/>
                <w:spacing w:val="-9"/>
                <w:sz w:val="24"/>
                <w:highlight w:val="none"/>
              </w:rPr>
              <w:t>重复加入，十一个群联动直播</w:t>
            </w:r>
            <w:r>
              <w:rPr>
                <w:rFonts w:hint="eastAsia" w:ascii="宋体" w:hAnsi="宋体" w:eastAsia="宋体" w:cs="宋体"/>
                <w:color w:val="auto"/>
                <w:spacing w:val="-23"/>
                <w:sz w:val="24"/>
                <w:highlight w:val="none"/>
              </w:rPr>
              <w:t>）</w:t>
            </w:r>
            <w:r>
              <w:rPr>
                <w:rFonts w:hint="eastAsia" w:ascii="宋体" w:hAnsi="宋体" w:eastAsia="宋体" w:cs="宋体"/>
                <w:color w:val="auto"/>
                <w:spacing w:val="-7"/>
                <w:sz w:val="24"/>
                <w:highlight w:val="none"/>
              </w:rPr>
              <w:t>，钉钉工具软件具有回放功能，直播培训结束后可在钉钉群中回放观看学习。</w:t>
            </w:r>
          </w:p>
          <w:p>
            <w:pPr>
              <w:pStyle w:val="32"/>
              <w:numPr>
                <w:ilvl w:val="0"/>
                <w:numId w:val="0"/>
              </w:numPr>
              <w:tabs>
                <w:tab w:val="left" w:pos="372"/>
              </w:tabs>
              <w:spacing w:before="0" w:after="0" w:line="242" w:lineRule="auto"/>
              <w:ind w:left="35" w:leftChars="0" w:right="-15" w:rightChars="0"/>
              <w:jc w:val="both"/>
              <w:rPr>
                <w:rFonts w:hint="eastAsia" w:ascii="宋体" w:hAnsi="宋体" w:cs="宋体"/>
                <w:color w:val="000000"/>
                <w:sz w:val="24"/>
              </w:rPr>
            </w:pPr>
            <w:r>
              <w:rPr>
                <w:rFonts w:hint="eastAsia" w:cs="宋体"/>
                <w:color w:val="auto"/>
                <w:spacing w:val="-24"/>
                <w:sz w:val="24"/>
                <w:highlight w:val="none"/>
                <w:lang w:val="en-US" w:eastAsia="zh-CN"/>
              </w:rPr>
              <w:t xml:space="preserve">7   </w:t>
            </w:r>
            <w:r>
              <w:rPr>
                <w:rFonts w:hint="eastAsia" w:ascii="宋体" w:hAnsi="宋体" w:eastAsia="宋体" w:cs="宋体"/>
                <w:color w:val="auto"/>
                <w:spacing w:val="-24"/>
                <w:sz w:val="24"/>
                <w:highlight w:val="none"/>
              </w:rPr>
              <w:t>政 采 云 线 上 获 取 招 标 文 件 方 法 ： 供 应 商 登 陆 政 采 云 平 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\h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4"/>
                <w:sz w:val="24"/>
                <w:highlight w:val="none"/>
              </w:rPr>
              <w:t>http://www.zcygov.cn/</w:t>
            </w:r>
            <w:r>
              <w:rPr>
                <w:rFonts w:hint="eastAsia" w:ascii="宋体" w:hAnsi="宋体" w:eastAsia="宋体" w:cs="宋体"/>
                <w:color w:val="auto"/>
                <w:spacing w:val="-24"/>
                <w:sz w:val="24"/>
                <w:highlight w:val="none"/>
              </w:rPr>
              <w:fldChar w:fldCharType="end"/>
            </w:r>
            <w:r>
              <w:rPr>
                <w:rFonts w:hint="eastAsia" w:ascii="宋体" w:hAnsi="宋体" w:eastAsia="宋体" w:cs="宋体"/>
                <w:color w:val="auto"/>
                <w:spacing w:val="-24"/>
                <w:sz w:val="24"/>
                <w:highlight w:val="none"/>
              </w:rPr>
              <w:t>，在线申请获取采购文件（</w:t>
            </w:r>
            <w:r>
              <w:rPr>
                <w:rFonts w:hint="eastAsia" w:ascii="宋体" w:hAnsi="宋体" w:eastAsia="宋体" w:cs="宋体"/>
                <w:color w:val="auto"/>
                <w:spacing w:val="-17"/>
                <w:sz w:val="24"/>
                <w:highlight w:val="none"/>
              </w:rPr>
              <w:t>登录政府采购云平台 → 项</w:t>
            </w:r>
            <w:r>
              <w:rPr>
                <w:rFonts w:hint="eastAsia" w:ascii="宋体" w:hAnsi="宋体" w:eastAsia="宋体" w:cs="宋体"/>
                <w:color w:val="auto"/>
                <w:spacing w:val="-19"/>
                <w:sz w:val="24"/>
                <w:highlight w:val="none"/>
              </w:rPr>
              <w:t>目采购 → 获取采购文件 → 申请，审核通过后可下载招标文件，如有操作性问</w:t>
            </w:r>
            <w:r>
              <w:rPr>
                <w:rFonts w:hint="eastAsia" w:ascii="宋体" w:hAnsi="宋体" w:eastAsia="宋体" w:cs="宋体"/>
                <w:color w:val="auto"/>
                <w:sz w:val="24"/>
                <w:highlight w:val="none"/>
              </w:rPr>
              <w:t>题，可与政采云在线客服进行咨询，咨询电话：</w:t>
            </w:r>
            <w:r>
              <w:rPr>
                <w:rFonts w:hint="eastAsia" w:ascii="宋体" w:hAnsi="宋体" w:eastAsia="宋体" w:cs="宋体"/>
                <w:color w:val="auto"/>
                <w:sz w:val="24"/>
                <w:highlight w:val="none"/>
                <w:lang w:eastAsia="zh-CN"/>
              </w:rPr>
              <w:t>95763</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jc w:val="center"/>
              <w:rPr>
                <w:rFonts w:hint="default" w:ascii="宋体" w:hAnsi="宋体" w:cs="宋体"/>
                <w:color w:val="000000"/>
                <w:sz w:val="24"/>
                <w:lang w:val="en-US" w:eastAsia="zh-CN"/>
              </w:rPr>
            </w:pPr>
            <w:r>
              <w:rPr>
                <w:rFonts w:hint="eastAsia" w:ascii="宋体" w:hAnsi="宋体" w:cs="宋体"/>
                <w:color w:val="000000"/>
                <w:sz w:val="24"/>
                <w:lang w:val="en-US" w:eastAsia="zh-CN"/>
              </w:rPr>
              <w:t>2</w:t>
            </w:r>
          </w:p>
        </w:tc>
        <w:tc>
          <w:tcPr>
            <w:tcW w:w="7875" w:type="dxa"/>
            <w:vAlign w:val="center"/>
          </w:tcPr>
          <w:p>
            <w:pPr>
              <w:pStyle w:val="32"/>
              <w:numPr>
                <w:ilvl w:val="0"/>
                <w:numId w:val="6"/>
              </w:numPr>
              <w:tabs>
                <w:tab w:val="left" w:pos="277"/>
              </w:tabs>
              <w:spacing w:before="2" w:after="0" w:line="242" w:lineRule="auto"/>
              <w:ind w:left="0" w:leftChars="0" w:right="-15" w:firstLine="0" w:firstLineChars="0"/>
              <w:jc w:val="both"/>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请投标单位提前自学线上开标流程；投标截止时间当天，请投标人自备电脑及CA</w:t>
            </w:r>
            <w:r>
              <w:rPr>
                <w:rFonts w:hint="eastAsia" w:ascii="宋体" w:hAnsi="宋体" w:eastAsia="宋体" w:cs="宋体"/>
                <w:color w:val="auto"/>
                <w:spacing w:val="-4"/>
                <w:sz w:val="24"/>
                <w:highlight w:val="none"/>
              </w:rPr>
              <w:t xml:space="preserve"> 锁进行投标文件解密以及操作投标事项，投标人应提前调试好在线参标电脑的各项配置。</w:t>
            </w:r>
          </w:p>
          <w:p>
            <w:pPr>
              <w:pStyle w:val="32"/>
              <w:numPr>
                <w:ilvl w:val="0"/>
                <w:numId w:val="6"/>
              </w:numPr>
              <w:tabs>
                <w:tab w:val="left" w:pos="277"/>
              </w:tabs>
              <w:spacing w:before="2" w:after="0" w:line="242" w:lineRule="auto"/>
              <w:ind w:left="0" w:leftChars="0" w:right="-15" w:firstLine="0" w:firstLineChars="0"/>
              <w:jc w:val="left"/>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本项目投标前上传电子版投标文件，如电子开标完成后采购人需要提供纸质版的投标文件，投标单位须出具相应份数的与电子投标文件一致的纸质投标文件</w:t>
            </w:r>
            <w:r>
              <w:rPr>
                <w:rFonts w:hint="eastAsia" w:ascii="宋体" w:hAnsi="宋体" w:eastAsia="宋体" w:cs="宋体"/>
                <w:color w:val="auto"/>
                <w:spacing w:val="-6"/>
                <w:sz w:val="24"/>
                <w:highlight w:val="none"/>
                <w:lang w:eastAsia="zh-CN"/>
              </w:rPr>
              <w:t>。</w:t>
            </w:r>
          </w:p>
          <w:p>
            <w:pPr>
              <w:pStyle w:val="32"/>
              <w:numPr>
                <w:ilvl w:val="0"/>
                <w:numId w:val="0"/>
              </w:numPr>
              <w:tabs>
                <w:tab w:val="left" w:pos="277"/>
              </w:tabs>
              <w:spacing w:before="2" w:after="0" w:line="242" w:lineRule="auto"/>
              <w:ind w:leftChars="0" w:right="-15" w:rightChars="0"/>
              <w:jc w:val="left"/>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w:t>
            </w:r>
            <w:r>
              <w:rPr>
                <w:rFonts w:hint="eastAsia" w:ascii="宋体" w:hAnsi="宋体" w:eastAsia="宋体" w:cs="宋体"/>
                <w:color w:val="auto"/>
                <w:spacing w:val="-11"/>
                <w:sz w:val="24"/>
                <w:highlight w:val="none"/>
              </w:rPr>
              <w:t>投标人对招标文件中采购清单、技术需求、商务条件等如有疑义，应当及时提出，否则视为充分理解招标文件各项要求。</w:t>
            </w:r>
          </w:p>
          <w:p>
            <w:pPr>
              <w:pStyle w:val="32"/>
              <w:numPr>
                <w:ilvl w:val="0"/>
                <w:numId w:val="7"/>
              </w:numPr>
              <w:tabs>
                <w:tab w:val="left" w:pos="277"/>
              </w:tabs>
              <w:spacing w:before="1" w:after="0" w:line="242" w:lineRule="auto"/>
              <w:ind w:left="35" w:right="-15" w:firstLine="0"/>
              <w:jc w:val="both"/>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 xml:space="preserve">本次采用政府采购云平台线上招标、投标，请各潜在投标人及时办理 </w:t>
            </w:r>
            <w:r>
              <w:rPr>
                <w:rFonts w:hint="eastAsia" w:ascii="宋体" w:hAnsi="宋体" w:eastAsia="宋体" w:cs="宋体"/>
                <w:color w:val="auto"/>
                <w:sz w:val="24"/>
                <w:highlight w:val="none"/>
              </w:rPr>
              <w:t>CA</w:t>
            </w:r>
            <w:r>
              <w:rPr>
                <w:rFonts w:hint="eastAsia" w:ascii="宋体" w:hAnsi="宋体" w:eastAsia="宋体" w:cs="宋体"/>
                <w:color w:val="auto"/>
                <w:spacing w:val="-17"/>
                <w:sz w:val="24"/>
                <w:highlight w:val="none"/>
              </w:rPr>
              <w:t xml:space="preserve"> 锁和</w:t>
            </w:r>
            <w:r>
              <w:rPr>
                <w:rFonts w:hint="eastAsia" w:ascii="宋体" w:hAnsi="宋体" w:eastAsia="宋体" w:cs="宋体"/>
                <w:color w:val="auto"/>
                <w:spacing w:val="-19"/>
                <w:sz w:val="24"/>
                <w:highlight w:val="none"/>
              </w:rPr>
              <w:t>学习政府采购云平台线上投标相关知识。在政府采购云平台登录后，进行下载招</w:t>
            </w:r>
            <w:r>
              <w:rPr>
                <w:rFonts w:hint="eastAsia" w:ascii="宋体" w:hAnsi="宋体" w:eastAsia="宋体" w:cs="宋体"/>
                <w:color w:val="auto"/>
                <w:spacing w:val="-13"/>
                <w:sz w:val="24"/>
                <w:highlight w:val="none"/>
              </w:rPr>
              <w:t>标文件。请各投标人获取招标文件后及时关注云平台答疑文件获取栏目。具体相关事宜见政府采购云平台。</w:t>
            </w:r>
          </w:p>
          <w:p>
            <w:pPr>
              <w:pStyle w:val="32"/>
              <w:numPr>
                <w:ilvl w:val="0"/>
                <w:numId w:val="7"/>
              </w:numPr>
              <w:tabs>
                <w:tab w:val="left" w:pos="277"/>
              </w:tabs>
              <w:spacing w:before="3" w:after="0" w:line="242" w:lineRule="auto"/>
              <w:ind w:left="35" w:right="-15" w:firstLine="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本项目采用资格后审，请投标人仔细阅读招标文件和各项要求， 制作文件及相关资料过程中，若因投标人资格条件不符、提供资料 不全等原因导致投标文件予以退还，责任自负。</w:t>
            </w:r>
          </w:p>
          <w:p>
            <w:pPr>
              <w:pStyle w:val="32"/>
              <w:numPr>
                <w:ilvl w:val="0"/>
                <w:numId w:val="0"/>
              </w:numPr>
              <w:tabs>
                <w:tab w:val="left" w:pos="372"/>
              </w:tabs>
              <w:spacing w:before="0" w:after="0" w:line="242" w:lineRule="auto"/>
              <w:ind w:left="35" w:leftChars="0" w:right="-15" w:rightChars="0" w:firstLine="0" w:firstLineChars="0"/>
              <w:jc w:val="both"/>
              <w:rPr>
                <w:rFonts w:hint="eastAsia" w:ascii="宋体" w:hAnsi="宋体" w:cs="宋体"/>
                <w:color w:val="000000"/>
                <w:sz w:val="24"/>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招标文件中如有内容冲突的地方，以投标须知要求为准。</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pStyle w:val="4"/>
        <w:tabs>
          <w:tab w:val="left" w:pos="0"/>
        </w:tabs>
        <w:spacing w:before="0" w:after="0" w:line="240" w:lineRule="atLeast"/>
        <w:rPr>
          <w:rFonts w:asciiTheme="minorEastAsia" w:hAnsiTheme="minorEastAsia" w:eastAsiaTheme="minorEastAsia" w:cstheme="minorEastAsia"/>
        </w:rPr>
      </w:pPr>
      <w:bookmarkStart w:id="484" w:name="_Toc22779"/>
      <w:bookmarkStart w:id="485" w:name="_Toc9032"/>
      <w:bookmarkStart w:id="486" w:name="_Toc9887"/>
      <w:bookmarkStart w:id="487" w:name="_Toc515647831"/>
      <w:r>
        <w:rPr>
          <w:rFonts w:hint="eastAsia" w:asciiTheme="minorEastAsia" w:hAnsiTheme="minorEastAsia" w:eastAsiaTheme="minorEastAsia" w:cstheme="minorEastAsia"/>
        </w:rPr>
        <w:t xml:space="preserve">第5章  </w:t>
      </w:r>
      <w:r>
        <w:rPr>
          <w:rFonts w:hint="eastAsia" w:asciiTheme="minorEastAsia" w:hAnsiTheme="minorEastAsia" w:eastAsiaTheme="minorEastAsia" w:cstheme="minorEastAsia"/>
          <w:lang w:eastAsia="zh-CN"/>
        </w:rPr>
        <w:t>服务</w:t>
      </w:r>
      <w:r>
        <w:rPr>
          <w:rFonts w:hint="eastAsia" w:asciiTheme="minorEastAsia" w:hAnsiTheme="minorEastAsia" w:eastAsiaTheme="minorEastAsia" w:cstheme="minorEastAsia"/>
        </w:rPr>
        <w:t>需求</w:t>
      </w:r>
      <w:bookmarkEnd w:id="484"/>
      <w:bookmarkEnd w:id="485"/>
      <w:bookmarkEnd w:id="486"/>
      <w:bookmarkEnd w:id="487"/>
    </w:p>
    <w:p>
      <w:pPr>
        <w:ind w:left="2570"/>
        <w:rPr>
          <w:rFonts w:asciiTheme="minorEastAsia" w:hAnsiTheme="minorEastAsia" w:eastAsiaTheme="minorEastAsia" w:cstheme="minorEastAsia"/>
        </w:rPr>
      </w:pPr>
    </w:p>
    <w:p>
      <w:pPr>
        <w:spacing w:line="240" w:lineRule="atLeast"/>
        <w:ind w:left="1080" w:leftChars="257" w:hanging="540"/>
        <w:rPr>
          <w:rFonts w:asciiTheme="minorEastAsia" w:hAnsiTheme="minorEastAsia" w:eastAsiaTheme="minorEastAsia" w:cstheme="minorEastAsia"/>
          <w:b/>
          <w:sz w:val="24"/>
        </w:rPr>
      </w:pPr>
      <w:bookmarkStart w:id="488" w:name="_Toc512937853"/>
      <w:bookmarkStart w:id="489" w:name="_Toc216513803"/>
      <w:r>
        <w:rPr>
          <w:rFonts w:hint="eastAsia" w:asciiTheme="minorEastAsia" w:hAnsiTheme="minorEastAsia" w:eastAsiaTheme="minorEastAsia" w:cstheme="minorEastAsia"/>
          <w:b/>
          <w:sz w:val="24"/>
        </w:rPr>
        <w:t>一 、服务需求</w:t>
      </w:r>
      <w:bookmarkEnd w:id="488"/>
      <w:bookmarkEnd w:id="489"/>
    </w:p>
    <w:p>
      <w:pPr>
        <w:pStyle w:val="26"/>
        <w:rPr>
          <w:rFonts w:asciiTheme="minorEastAsia" w:hAnsiTheme="minorEastAsia" w:eastAsiaTheme="minorEastAsia" w:cstheme="minorEastAsia"/>
          <w:b/>
          <w:sz w:val="24"/>
        </w:rPr>
      </w:pPr>
    </w:p>
    <w:p>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1、按照行业主管部门提供的代发数据进行模拟打卡，核对无误后进行打卡发放。</w:t>
      </w:r>
    </w:p>
    <w:p>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2、必须在收到代发数据2个工作日内将代发资金进行打卡发放，并按日向行业主管部门和财政局提供打卡发放清册，包含成功和未成功明细两部分内容，未成功应标注原因。</w:t>
      </w:r>
    </w:p>
    <w:p>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3、对于打卡不成功的数据，应当配合行业主管部门查明原因，并由行业主管部门调整相关数据后7个工作日内再次向代发金融机构提交数据进行打卡。</w:t>
      </w:r>
    </w:p>
    <w:p>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4、负责为农户办理银行卡，对惠民惠农补贴办卡、取款等业务开通绿色通道，在最短时间内予以办理，对于丢失银行卡的农户只挂失补办，不允许销户新开卡。</w:t>
      </w:r>
    </w:p>
    <w:p>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5、开通资金到账短信服务，短信内容主要为“发放XX惠民惠农补贴资金名称及金额等”，同时确保每村一个POS机，方便为农户办理查询及取款业务。</w:t>
      </w:r>
    </w:p>
    <w:p>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6、及时与行业主管部门、财政局对账，不得从代发的惠民惠农补贴资金中扣划贷款、年审费、手续费，确保农户银行卡（社保卡）状态正常。</w:t>
      </w:r>
    </w:p>
    <w:p>
      <w:pPr>
        <w:pStyle w:val="26"/>
        <w:keepNext w:val="0"/>
        <w:keepLines w:val="0"/>
        <w:pageBreakBefore w:val="0"/>
        <w:widowControl w:val="0"/>
        <w:kinsoku/>
        <w:wordWrap/>
        <w:overflowPunct/>
        <w:topLinePunct w:val="0"/>
        <w:autoSpaceDE/>
        <w:autoSpaceDN/>
        <w:bidi w:val="0"/>
        <w:adjustRightInd/>
        <w:snapToGrid/>
        <w:ind w:firstLine="480" w:firstLineChars="200"/>
        <w:textAlignment w:val="auto"/>
        <w:rPr>
          <w:rFonts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7、采取形式多样的宣传方式，加大对惠民惠农政策的宣传，做到家喻户晓，提高农牧民对享受财政补贴政策知晓率。</w:t>
      </w: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sz w:val="28"/>
          <w:szCs w:val="28"/>
        </w:rPr>
      </w:pPr>
    </w:p>
    <w:p>
      <w:pPr>
        <w:pStyle w:val="16"/>
        <w:rPr>
          <w:rFonts w:asciiTheme="minorEastAsia" w:hAnsiTheme="minorEastAsia" w:eastAsiaTheme="minorEastAsia"/>
        </w:rPr>
      </w:pPr>
      <w:bookmarkStart w:id="490" w:name="_Toc23613_WPSOffice_Level2"/>
      <w:bookmarkStart w:id="491" w:name="_Toc31997_WPSOffice_Level2"/>
    </w:p>
    <w:bookmarkEnd w:id="490"/>
    <w:bookmarkEnd w:id="491"/>
    <w:p>
      <w:pPr>
        <w:pStyle w:val="5"/>
        <w:rPr>
          <w:rFonts w:hint="eastAsia" w:asciiTheme="minorEastAsia" w:hAnsiTheme="minorEastAsia" w:eastAsiaTheme="minorEastAsia" w:cstheme="minorEastAsia"/>
          <w:b/>
          <w:kern w:val="44"/>
          <w:sz w:val="32"/>
          <w:szCs w:val="20"/>
          <w:lang w:val="en-US" w:eastAsia="zh-CN" w:bidi="ar-SA"/>
        </w:rPr>
      </w:pPr>
      <w:bookmarkStart w:id="492" w:name="_Toc387416363"/>
      <w:bookmarkStart w:id="493" w:name="_Toc287112607"/>
      <w:bookmarkStart w:id="494" w:name="_Toc1213263"/>
      <w:bookmarkStart w:id="495" w:name="_Toc507399904"/>
      <w:r>
        <w:rPr>
          <w:rFonts w:hint="eastAsia" w:asciiTheme="minorEastAsia" w:hAnsiTheme="minorEastAsia" w:eastAsiaTheme="minorEastAsia" w:cstheme="minorEastAsia"/>
          <w:b/>
          <w:kern w:val="44"/>
          <w:sz w:val="32"/>
          <w:szCs w:val="20"/>
          <w:lang w:val="en-US" w:eastAsia="zh-CN" w:bidi="ar-SA"/>
        </w:rPr>
        <w:t>六、开标及</w:t>
      </w:r>
      <w:bookmarkEnd w:id="492"/>
      <w:bookmarkEnd w:id="493"/>
      <w:r>
        <w:rPr>
          <w:rFonts w:hint="eastAsia" w:asciiTheme="minorEastAsia" w:hAnsiTheme="minorEastAsia" w:eastAsiaTheme="minorEastAsia" w:cstheme="minorEastAsia"/>
          <w:b/>
          <w:kern w:val="44"/>
          <w:sz w:val="32"/>
          <w:szCs w:val="20"/>
          <w:lang w:val="en-US" w:eastAsia="zh-CN" w:bidi="ar-SA"/>
        </w:rPr>
        <w:t>评标</w:t>
      </w:r>
      <w:bookmarkEnd w:id="494"/>
    </w:p>
    <w:p>
      <w:pPr>
        <w:spacing w:line="240" w:lineRule="auto"/>
        <w:jc w:val="left"/>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1、</w:t>
      </w:r>
      <w:r>
        <w:rPr>
          <w:rFonts w:hint="eastAsia" w:ascii="宋体" w:hAnsi="宋体" w:eastAsia="宋体" w:cs="宋体"/>
          <w:b/>
          <w:bCs w:val="0"/>
          <w:color w:val="auto"/>
          <w:sz w:val="24"/>
          <w:highlight w:val="none"/>
        </w:rPr>
        <w:t>总则</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1.1</w:t>
      </w:r>
      <w:r>
        <w:rPr>
          <w:rFonts w:hint="eastAsia" w:ascii="宋体" w:hAnsi="宋体" w:eastAsia="宋体" w:cs="宋体"/>
          <w:b w:val="0"/>
          <w:bCs/>
          <w:color w:val="auto"/>
          <w:sz w:val="24"/>
          <w:highlight w:val="none"/>
        </w:rPr>
        <w:t>根据《中华人民共和国政府采购法》和《政府采购货物和服务招标投标管理办法》（财政部第 87 号令）等法律规章，结合采购项目特点制定本评标办法。</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1.2</w:t>
      </w:r>
      <w:r>
        <w:rPr>
          <w:rFonts w:hint="eastAsia" w:ascii="宋体" w:hAnsi="宋体" w:eastAsia="宋体" w:cs="宋体"/>
          <w:b w:val="0"/>
          <w:bCs/>
          <w:color w:val="auto"/>
          <w:sz w:val="24"/>
          <w:highlight w:val="none"/>
        </w:rPr>
        <w:t>评标工作由招标代理机构负责组织，具体评标事务由招标代理机构依法组建的评标委员会负责。评标委员会由采购人代表和有关技术、经济等方面的专家组成；</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1.3</w:t>
      </w:r>
      <w:r>
        <w:rPr>
          <w:rFonts w:hint="eastAsia" w:ascii="宋体" w:hAnsi="宋体" w:eastAsia="宋体" w:cs="宋体"/>
          <w:b w:val="0"/>
          <w:bCs/>
          <w:color w:val="auto"/>
          <w:sz w:val="24"/>
          <w:highlight w:val="none"/>
        </w:rPr>
        <w:t>评标工作应遵循公平、公正、科学及择优的原则，并以相同的评标程序和标准对待所有的投标人；</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1.4</w:t>
      </w:r>
      <w:r>
        <w:rPr>
          <w:rFonts w:hint="eastAsia" w:ascii="宋体" w:hAnsi="宋体" w:eastAsia="宋体" w:cs="宋体"/>
          <w:b w:val="0"/>
          <w:bCs/>
          <w:color w:val="auto"/>
          <w:sz w:val="24"/>
          <w:highlight w:val="none"/>
        </w:rPr>
        <w:t>评标委员会按照招标文件规定的评标方法和标准进行评标，并独立履行下列职责：</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1.4.1</w:t>
      </w:r>
      <w:r>
        <w:rPr>
          <w:rFonts w:hint="eastAsia" w:ascii="宋体" w:hAnsi="宋体" w:eastAsia="宋体" w:cs="宋体"/>
          <w:b w:val="0"/>
          <w:bCs/>
          <w:color w:val="auto"/>
          <w:sz w:val="24"/>
          <w:highlight w:val="none"/>
        </w:rPr>
        <w:t>审查投标文件是否符合招标文件要求，并做出评价；</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1.4.2</w:t>
      </w:r>
      <w:r>
        <w:rPr>
          <w:rFonts w:hint="eastAsia" w:ascii="宋体" w:hAnsi="宋体" w:eastAsia="宋体" w:cs="宋体"/>
          <w:b w:val="0"/>
          <w:bCs/>
          <w:color w:val="auto"/>
          <w:sz w:val="24"/>
          <w:highlight w:val="none"/>
        </w:rPr>
        <w:t>要求投标</w:t>
      </w:r>
      <w:r>
        <w:rPr>
          <w:rFonts w:hint="eastAsia" w:ascii="宋体" w:hAnsi="宋体" w:eastAsia="宋体" w:cs="宋体"/>
          <w:b w:val="0"/>
          <w:bCs/>
          <w:color w:val="auto"/>
          <w:sz w:val="24"/>
          <w:highlight w:val="none"/>
          <w:lang w:eastAsia="zh-CN"/>
        </w:rPr>
        <w:t>投标人</w:t>
      </w:r>
      <w:r>
        <w:rPr>
          <w:rFonts w:hint="eastAsia" w:ascii="宋体" w:hAnsi="宋体" w:eastAsia="宋体" w:cs="宋体"/>
          <w:b w:val="0"/>
          <w:bCs/>
          <w:color w:val="auto"/>
          <w:sz w:val="24"/>
          <w:highlight w:val="none"/>
        </w:rPr>
        <w:t>对投标文件有关事项做出解释或者澄清；</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1.4.3</w:t>
      </w:r>
      <w:r>
        <w:rPr>
          <w:rFonts w:hint="eastAsia" w:ascii="宋体" w:hAnsi="宋体" w:eastAsia="宋体" w:cs="宋体"/>
          <w:b w:val="0"/>
          <w:bCs/>
          <w:color w:val="auto"/>
          <w:sz w:val="24"/>
          <w:highlight w:val="none"/>
        </w:rPr>
        <w:t>推荐中标候选</w:t>
      </w:r>
      <w:r>
        <w:rPr>
          <w:rFonts w:hint="eastAsia" w:ascii="宋体" w:hAnsi="宋体" w:eastAsia="宋体" w:cs="宋体"/>
          <w:b w:val="0"/>
          <w:bCs/>
          <w:color w:val="auto"/>
          <w:sz w:val="24"/>
          <w:highlight w:val="none"/>
          <w:lang w:eastAsia="zh-CN"/>
        </w:rPr>
        <w:t>投标人</w:t>
      </w:r>
      <w:r>
        <w:rPr>
          <w:rFonts w:hint="eastAsia" w:ascii="宋体" w:hAnsi="宋体" w:eastAsia="宋体" w:cs="宋体"/>
          <w:b w:val="0"/>
          <w:bCs/>
          <w:color w:val="auto"/>
          <w:sz w:val="24"/>
          <w:highlight w:val="none"/>
        </w:rPr>
        <w:t>名单，或者受采购人委托按照事先确定的办法直接确定中标</w:t>
      </w:r>
      <w:r>
        <w:rPr>
          <w:rFonts w:hint="eastAsia" w:ascii="宋体" w:hAnsi="宋体" w:eastAsia="宋体" w:cs="宋体"/>
          <w:b w:val="0"/>
          <w:bCs/>
          <w:color w:val="auto"/>
          <w:sz w:val="24"/>
          <w:highlight w:val="none"/>
          <w:lang w:eastAsia="zh-CN"/>
        </w:rPr>
        <w:t>投标人</w:t>
      </w:r>
      <w:r>
        <w:rPr>
          <w:rFonts w:hint="eastAsia" w:ascii="宋体" w:hAnsi="宋体" w:eastAsia="宋体" w:cs="宋体"/>
          <w:b w:val="0"/>
          <w:bCs/>
          <w:color w:val="auto"/>
          <w:sz w:val="24"/>
          <w:highlight w:val="none"/>
        </w:rPr>
        <w:t>；</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1.5</w:t>
      </w:r>
      <w:r>
        <w:rPr>
          <w:rFonts w:hint="eastAsia" w:ascii="宋体" w:hAnsi="宋体" w:eastAsia="宋体" w:cs="宋体"/>
          <w:b w:val="0"/>
          <w:bCs/>
          <w:color w:val="auto"/>
          <w:sz w:val="24"/>
          <w:highlight w:val="none"/>
        </w:rPr>
        <w:t>向招标采购单位或者有关部门报告非法干预评标工作的行为。</w:t>
      </w:r>
    </w:p>
    <w:p>
      <w:pPr>
        <w:spacing w:line="24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.1开标时间和地点</w:t>
      </w:r>
    </w:p>
    <w:p>
      <w:pPr>
        <w:pStyle w:val="6"/>
        <w:spacing w:line="240" w:lineRule="auto"/>
        <w:ind w:firstLine="480"/>
        <w:rPr>
          <w:rFonts w:hint="eastAsia" w:hAnsi="宋体"/>
          <w:color w:val="000000"/>
          <w:lang w:eastAsia="zh-CN"/>
        </w:rPr>
      </w:pPr>
      <w:r>
        <w:rPr>
          <w:rFonts w:hint="eastAsia" w:hAnsi="宋体"/>
          <w:color w:val="000000"/>
          <w:lang w:val="en-US" w:eastAsia="zh-CN"/>
        </w:rPr>
        <w:t>2</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lang w:eastAsia="zh-CN"/>
        </w:rPr>
        <w:t>供应商</w:t>
      </w:r>
      <w:r>
        <w:rPr>
          <w:rFonts w:hAnsi="宋体"/>
          <w:color w:val="000000"/>
        </w:rPr>
        <w:t>须知表”中确定的时间和</w:t>
      </w:r>
      <w:r>
        <w:rPr>
          <w:rFonts w:hint="eastAsia" w:hAnsi="宋体"/>
          <w:color w:val="000000"/>
        </w:rPr>
        <w:t>地点组织公开开标</w:t>
      </w:r>
      <w:bookmarkStart w:id="496" w:name="_Toc157176932"/>
      <w:bookmarkStart w:id="497" w:name="_Toc143596672"/>
      <w:bookmarkStart w:id="498" w:name="_Toc184891773"/>
      <w:bookmarkStart w:id="499" w:name="_Toc157176487"/>
      <w:bookmarkStart w:id="500" w:name="_Toc387416365"/>
      <w:bookmarkStart w:id="501" w:name="_Toc157179741"/>
      <w:bookmarkStart w:id="502" w:name="_Toc287112609"/>
      <w:bookmarkStart w:id="503" w:name="_Toc157179296"/>
      <w:bookmarkStart w:id="504" w:name="_Toc157179519"/>
      <w:bookmarkStart w:id="505" w:name="_Toc217102233"/>
      <w:bookmarkStart w:id="506" w:name="_Toc143596261"/>
      <w:bookmarkStart w:id="507" w:name="_Toc184891546"/>
      <w:bookmarkStart w:id="508" w:name="_Toc157175820"/>
      <w:bookmarkStart w:id="509" w:name="_Toc157182373"/>
      <w:r>
        <w:rPr>
          <w:rFonts w:hint="eastAsia" w:hAnsi="宋体"/>
          <w:color w:val="000000"/>
          <w:lang w:eastAsia="zh-CN"/>
        </w:rPr>
        <w:t>。</w:t>
      </w:r>
    </w:p>
    <w:p>
      <w:pPr>
        <w:pStyle w:val="6"/>
        <w:spacing w:line="240" w:lineRule="auto"/>
        <w:ind w:firstLine="480"/>
        <w:rPr>
          <w:rFonts w:hAnsi="宋体"/>
          <w:color w:val="000000"/>
        </w:rPr>
      </w:pPr>
      <w:bookmarkStart w:id="510"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10"/>
    </w:p>
    <w:p>
      <w:pPr>
        <w:pStyle w:val="6"/>
        <w:spacing w:line="240" w:lineRule="auto"/>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6"/>
        <w:spacing w:line="240" w:lineRule="auto"/>
        <w:ind w:firstLine="480"/>
        <w:rPr>
          <w:rFonts w:hint="eastAsia" w:hAnsi="宋体"/>
          <w:color w:val="000000"/>
        </w:rPr>
      </w:pPr>
      <w:r>
        <w:rPr>
          <w:rFonts w:hint="eastAsia" w:hAnsi="宋体"/>
          <w:color w:val="000000"/>
          <w:lang w:eastAsia="zh-CN"/>
        </w:rPr>
        <w:t>（</w:t>
      </w:r>
      <w:r>
        <w:rPr>
          <w:rFonts w:hint="eastAsia" w:hAnsi="宋体"/>
          <w:color w:val="000000"/>
          <w:lang w:val="en-US" w:eastAsia="zh-CN"/>
        </w:rPr>
        <w:t>1</w:t>
      </w:r>
      <w:r>
        <w:rPr>
          <w:rFonts w:hint="eastAsia" w:hAnsi="宋体"/>
          <w:color w:val="000000"/>
          <w:lang w:eastAsia="zh-CN"/>
        </w:rPr>
        <w:t>）</w:t>
      </w:r>
      <w:r>
        <w:rPr>
          <w:rFonts w:hint="eastAsia" w:hAnsi="宋体"/>
          <w:color w:val="000000"/>
        </w:rPr>
        <w:t>在开标前，工作人员收取所有参会人员的手机，主持人宣读开标纪律。</w:t>
      </w:r>
    </w:p>
    <w:p>
      <w:pPr>
        <w:pStyle w:val="6"/>
        <w:spacing w:line="240" w:lineRule="auto"/>
        <w:ind w:firstLine="480"/>
        <w:rPr>
          <w:rFonts w:hint="eastAsia" w:hAnsi="宋体"/>
          <w:color w:val="000000"/>
        </w:rPr>
      </w:pPr>
      <w:r>
        <w:rPr>
          <w:rFonts w:hint="eastAsia" w:hAnsi="宋体"/>
          <w:color w:val="000000"/>
          <w:lang w:eastAsia="zh-CN"/>
        </w:rPr>
        <w:t>（</w:t>
      </w:r>
      <w:r>
        <w:rPr>
          <w:rFonts w:hint="eastAsia" w:hAnsi="宋体"/>
          <w:color w:val="000000"/>
          <w:lang w:val="en-US" w:eastAsia="zh-CN"/>
        </w:rPr>
        <w:t>2</w:t>
      </w:r>
      <w:r>
        <w:rPr>
          <w:rFonts w:hint="eastAsia" w:hAnsi="宋体"/>
          <w:color w:val="000000"/>
          <w:lang w:eastAsia="zh-CN"/>
        </w:rPr>
        <w:t>）</w:t>
      </w:r>
      <w:r>
        <w:rPr>
          <w:rFonts w:hint="eastAsia" w:hAnsi="宋体"/>
          <w:color w:val="000000"/>
        </w:rPr>
        <w:t>在线签收投标文件，投标人不足 3 家的，不得开标。</w:t>
      </w:r>
    </w:p>
    <w:p>
      <w:pPr>
        <w:pStyle w:val="6"/>
        <w:spacing w:line="240" w:lineRule="auto"/>
        <w:ind w:firstLine="480"/>
        <w:rPr>
          <w:rFonts w:hint="eastAsia" w:hAnsi="宋体"/>
          <w:color w:val="000000"/>
        </w:rPr>
      </w:pPr>
      <w:r>
        <w:rPr>
          <w:rFonts w:hint="eastAsia" w:hAnsi="宋体"/>
          <w:color w:val="000000"/>
          <w:lang w:eastAsia="zh-CN"/>
        </w:rPr>
        <w:t>（</w:t>
      </w:r>
      <w:r>
        <w:rPr>
          <w:rFonts w:hint="eastAsia" w:hAnsi="宋体"/>
          <w:color w:val="000000"/>
          <w:lang w:val="en-US" w:eastAsia="zh-CN"/>
        </w:rPr>
        <w:t>3</w:t>
      </w:r>
      <w:r>
        <w:rPr>
          <w:rFonts w:hint="eastAsia" w:hAnsi="宋体"/>
          <w:color w:val="000000"/>
          <w:lang w:eastAsia="zh-CN"/>
        </w:rPr>
        <w:t>）</w:t>
      </w:r>
      <w:r>
        <w:rPr>
          <w:rFonts w:hint="eastAsia" w:hAnsi="宋体"/>
          <w:color w:val="000000"/>
        </w:rPr>
        <w:t>投标人解密投标文件，解密时长为 30 分钟，</w:t>
      </w:r>
      <w:r>
        <w:rPr>
          <w:rFonts w:hint="eastAsia" w:hAnsi="宋体"/>
          <w:color w:val="000000"/>
          <w:lang w:eastAsia="zh-CN"/>
        </w:rPr>
        <w:t>投标人</w:t>
      </w:r>
      <w:r>
        <w:rPr>
          <w:rFonts w:hint="eastAsia" w:hAnsi="宋体"/>
          <w:color w:val="000000"/>
        </w:rPr>
        <w:t>应使用与加密时使用的同一把 CA 锁进行解密操作，如出现非</w:t>
      </w:r>
      <w:r>
        <w:rPr>
          <w:rFonts w:hint="eastAsia" w:hAnsi="宋体"/>
          <w:color w:val="000000"/>
          <w:lang w:eastAsia="zh-CN"/>
        </w:rPr>
        <w:t>投标人</w:t>
      </w:r>
      <w:r>
        <w:rPr>
          <w:rFonts w:hint="eastAsia" w:hAnsi="宋体"/>
          <w:color w:val="000000"/>
        </w:rPr>
        <w:t>自身原因造成的无法解密，有采购代理机构使用备用投标文件进行解密操作。</w:t>
      </w:r>
    </w:p>
    <w:p>
      <w:pPr>
        <w:pStyle w:val="6"/>
        <w:spacing w:line="240" w:lineRule="auto"/>
        <w:ind w:firstLine="480"/>
        <w:rPr>
          <w:rFonts w:hint="eastAsia" w:hAnsi="宋体"/>
          <w:color w:val="000000"/>
        </w:rPr>
      </w:pPr>
      <w:r>
        <w:rPr>
          <w:rFonts w:hint="eastAsia" w:hAnsi="宋体"/>
          <w:color w:val="000000"/>
        </w:rPr>
        <w:t>组织评审委员会以不记名投票的形式选定评审委员会主任，并宣读评标会纪律，对评标委员会进行通讯工具管制及宣读相关法律法规。</w:t>
      </w:r>
    </w:p>
    <w:p>
      <w:pPr>
        <w:pStyle w:val="6"/>
        <w:spacing w:line="240" w:lineRule="auto"/>
        <w:ind w:firstLine="480"/>
        <w:rPr>
          <w:rFonts w:hint="eastAsia" w:hAnsi="宋体"/>
          <w:color w:val="000000"/>
        </w:rPr>
      </w:pPr>
      <w:r>
        <w:rPr>
          <w:rFonts w:hint="eastAsia" w:hAnsi="宋体"/>
          <w:color w:val="000000"/>
          <w:lang w:val="en-US" w:eastAsia="zh-CN"/>
        </w:rPr>
        <w:t>（4）</w:t>
      </w:r>
      <w:r>
        <w:rPr>
          <w:rFonts w:hint="eastAsia" w:hAnsi="宋体"/>
          <w:color w:val="000000"/>
        </w:rPr>
        <w:t>由代理公司工作人员开启报价文件并由</w:t>
      </w:r>
      <w:r>
        <w:rPr>
          <w:rFonts w:hint="eastAsia" w:hAnsi="宋体"/>
          <w:color w:val="000000"/>
          <w:lang w:eastAsia="zh-CN"/>
        </w:rPr>
        <w:t>投标人</w:t>
      </w:r>
      <w:r>
        <w:rPr>
          <w:rFonts w:hint="eastAsia" w:hAnsi="宋体"/>
          <w:color w:val="000000"/>
        </w:rPr>
        <w:t>代表在线 CA 签字确认， 报价确认时段限制为 10 分钟，由评审委员会进行报价评审及政策价格认定。</w:t>
      </w:r>
    </w:p>
    <w:p>
      <w:pPr>
        <w:pStyle w:val="6"/>
        <w:spacing w:line="240" w:lineRule="auto"/>
        <w:ind w:firstLine="480"/>
        <w:rPr>
          <w:rFonts w:hint="eastAsia" w:hAnsi="宋体"/>
          <w:color w:val="000000"/>
        </w:rPr>
      </w:pPr>
      <w:r>
        <w:rPr>
          <w:rFonts w:hint="eastAsia" w:hAnsi="宋体"/>
          <w:color w:val="000000"/>
          <w:lang w:eastAsia="zh-CN"/>
        </w:rPr>
        <w:t>（</w:t>
      </w:r>
      <w:r>
        <w:rPr>
          <w:rFonts w:hint="eastAsia" w:hAnsi="宋体"/>
          <w:color w:val="000000"/>
          <w:lang w:val="en-US" w:eastAsia="zh-CN"/>
        </w:rPr>
        <w:t>5</w:t>
      </w:r>
      <w:r>
        <w:rPr>
          <w:rFonts w:hint="eastAsia" w:hAnsi="宋体"/>
          <w:color w:val="000000"/>
          <w:lang w:eastAsia="zh-CN"/>
        </w:rPr>
        <w:t>）</w:t>
      </w:r>
      <w:r>
        <w:rPr>
          <w:rFonts w:hint="eastAsia" w:hAnsi="宋体"/>
          <w:color w:val="000000"/>
        </w:rPr>
        <w:t>采购人或采购代理机构将对开标过程进行记录，由参加开标的各</w:t>
      </w:r>
      <w:r>
        <w:rPr>
          <w:rFonts w:hint="eastAsia" w:hAnsi="宋体"/>
          <w:color w:val="000000"/>
          <w:lang w:eastAsia="zh-CN"/>
        </w:rPr>
        <w:t>投标人</w:t>
      </w:r>
      <w:r>
        <w:rPr>
          <w:rFonts w:hint="eastAsia" w:hAnsi="宋体"/>
          <w:color w:val="000000"/>
        </w:rPr>
        <w:t>代表和相关工作人员签字确认，并存档备查。</w:t>
      </w:r>
    </w:p>
    <w:p>
      <w:pPr>
        <w:pStyle w:val="6"/>
        <w:spacing w:line="240" w:lineRule="auto"/>
        <w:ind w:firstLine="480"/>
        <w:rPr>
          <w:rFonts w:hAnsi="宋体"/>
          <w:color w:val="000000"/>
        </w:rPr>
      </w:pPr>
      <w:r>
        <w:rPr>
          <w:rFonts w:hint="eastAsia" w:hAnsi="宋体"/>
          <w:color w:val="000000"/>
          <w:lang w:eastAsia="zh-CN"/>
        </w:rPr>
        <w:t>（</w:t>
      </w:r>
      <w:r>
        <w:rPr>
          <w:rFonts w:hint="eastAsia" w:hAnsi="宋体"/>
          <w:color w:val="000000"/>
          <w:lang w:val="en-US" w:eastAsia="zh-CN"/>
        </w:rPr>
        <w:t>6</w:t>
      </w:r>
      <w:r>
        <w:rPr>
          <w:rFonts w:hint="eastAsia" w:hAnsi="宋体"/>
          <w:color w:val="000000"/>
          <w:lang w:eastAsia="zh-CN"/>
        </w:rPr>
        <w:t>）投标人</w:t>
      </w:r>
      <w:r>
        <w:rPr>
          <w:rFonts w:hint="eastAsia" w:hAnsi="宋体"/>
          <w:color w:val="000000"/>
        </w:rPr>
        <w:t>代表对开标过程和开标记录有疑义，以及认为采购人、采购代理机构相关工作人员有需要回避的情形的，应当场提出询问或者回避申请。投标人未参加开标的，视同认可开标结果。</w:t>
      </w:r>
    </w:p>
    <w:p>
      <w:pPr>
        <w:pStyle w:val="7"/>
        <w:spacing w:before="72" w:after="72" w:line="240" w:lineRule="auto"/>
        <w:rPr>
          <w:szCs w:val="24"/>
          <w:u w:val="none"/>
        </w:rPr>
      </w:pPr>
      <w:bookmarkStart w:id="511" w:name="_Toc1213265"/>
      <w:r>
        <w:rPr>
          <w:rFonts w:hint="eastAsia"/>
          <w:szCs w:val="24"/>
          <w:u w:val="none"/>
        </w:rPr>
        <w:t>3</w:t>
      </w:r>
      <w:r>
        <w:rPr>
          <w:szCs w:val="24"/>
          <w:u w:val="none"/>
        </w:rPr>
        <w:t>.</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Pr>
          <w:rFonts w:hint="eastAsia"/>
          <w:szCs w:val="24"/>
          <w:u w:val="none"/>
          <w:lang w:val="en-US" w:eastAsia="zh-CN"/>
        </w:rPr>
        <w:t>1</w:t>
      </w:r>
      <w:r>
        <w:rPr>
          <w:rFonts w:hint="eastAsia"/>
          <w:szCs w:val="24"/>
          <w:u w:val="none"/>
        </w:rPr>
        <w:t>评标小组</w:t>
      </w:r>
      <w:bookmarkEnd w:id="511"/>
    </w:p>
    <w:p>
      <w:pPr>
        <w:pStyle w:val="6"/>
        <w:spacing w:line="240" w:lineRule="auto"/>
        <w:ind w:firstLine="480"/>
        <w:rPr>
          <w:rFonts w:hAnsi="宋体"/>
          <w:color w:val="000000"/>
        </w:rPr>
      </w:pPr>
      <w:r>
        <w:rPr>
          <w:rFonts w:hint="eastAsia" w:hAnsi="宋体"/>
          <w:color w:val="000000"/>
        </w:rPr>
        <w:t>3</w:t>
      </w:r>
      <w:r>
        <w:rPr>
          <w:rFonts w:hAnsi="宋体"/>
          <w:color w:val="000000"/>
        </w:rPr>
        <w:t>.1</w:t>
      </w:r>
      <w:r>
        <w:rPr>
          <w:rFonts w:hint="eastAsia" w:hAnsi="宋体"/>
          <w:color w:val="000000"/>
          <w:lang w:val="en-US" w:eastAsia="zh-CN"/>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6"/>
        <w:spacing w:line="240" w:lineRule="auto"/>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w:t>
      </w:r>
      <w:r>
        <w:rPr>
          <w:rFonts w:hint="eastAsia" w:hAnsi="宋体"/>
          <w:color w:val="000000"/>
          <w:lang w:val="en-US" w:eastAsia="zh-CN"/>
        </w:rPr>
        <w:t>3</w:t>
      </w:r>
      <w:r>
        <w:rPr>
          <w:rFonts w:hint="eastAsia" w:hAnsi="宋体"/>
          <w:color w:val="000000"/>
        </w:rPr>
        <w:t>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w:t>
      </w:r>
      <w:r>
        <w:rPr>
          <w:rFonts w:hint="eastAsia" w:ascii="宋体" w:hAnsi="宋体" w:eastAsia="宋体" w:cs="宋体"/>
          <w:b w:val="0"/>
          <w:bCs/>
          <w:color w:val="auto"/>
          <w:sz w:val="24"/>
          <w:highlight w:val="none"/>
          <w:lang w:eastAsia="zh-CN"/>
        </w:rPr>
        <w:t>政采云</w:t>
      </w:r>
      <w:r>
        <w:rPr>
          <w:rFonts w:hint="eastAsia" w:ascii="宋体" w:hAnsi="宋体" w:eastAsia="宋体" w:cs="宋体"/>
          <w:b w:val="0"/>
          <w:bCs/>
          <w:color w:val="auto"/>
          <w:sz w:val="24"/>
          <w:highlight w:val="none"/>
        </w:rPr>
        <w:t>专家库内相关专业</w:t>
      </w:r>
      <w:r>
        <w:rPr>
          <w:rFonts w:hint="eastAsia" w:hAnsi="宋体"/>
          <w:color w:val="000000"/>
        </w:rPr>
        <w:t>专家名单中随机抽取。符合【财政部关于印发《政府采购竞争性磋商采购方式管理暂行办法》的通知 财库{2014}214号】（以下简称“本办法”）第三条第四项规定情形的项目，以及特殊、通过随机方式难以确定合适的评审专家的项目，经主管预算单位同意，可以自行选定评审专家。</w:t>
      </w:r>
    </w:p>
    <w:p>
      <w:pPr>
        <w:pStyle w:val="6"/>
        <w:spacing w:line="240" w:lineRule="auto"/>
        <w:ind w:firstLine="480"/>
        <w:rPr>
          <w:rFonts w:hAnsi="宋体"/>
          <w:color w:val="000000"/>
        </w:rPr>
      </w:pPr>
      <w:r>
        <w:rPr>
          <w:rFonts w:hint="eastAsia" w:hAnsi="宋体"/>
          <w:color w:val="000000"/>
        </w:rPr>
        <w:t>3</w:t>
      </w:r>
      <w:r>
        <w:rPr>
          <w:rFonts w:hAnsi="宋体"/>
          <w:color w:val="000000"/>
        </w:rPr>
        <w:t>.3</w:t>
      </w:r>
      <w:r>
        <w:rPr>
          <w:rFonts w:hint="eastAsia" w:hAnsi="宋体"/>
          <w:color w:val="000000"/>
        </w:rPr>
        <w:t xml:space="preserve"> 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w:t>
      </w:r>
      <w:r>
        <w:rPr>
          <w:rFonts w:hint="eastAsia" w:hAnsi="宋体"/>
          <w:b w:val="0"/>
          <w:bCs w:val="0"/>
          <w:color w:val="000000"/>
        </w:rPr>
        <w:t>审慎”的原</w:t>
      </w:r>
      <w:r>
        <w:rPr>
          <w:rFonts w:hint="eastAsia" w:hAnsi="宋体"/>
          <w:color w:val="000000"/>
        </w:rPr>
        <w:t>则</w:t>
      </w:r>
      <w:r>
        <w:rPr>
          <w:rFonts w:hAnsi="宋体"/>
          <w:color w:val="000000"/>
        </w:rPr>
        <w:t>。</w:t>
      </w:r>
    </w:p>
    <w:p>
      <w:pPr>
        <w:pStyle w:val="6"/>
        <w:spacing w:line="240" w:lineRule="auto"/>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6"/>
        <w:spacing w:line="240" w:lineRule="auto"/>
        <w:ind w:firstLine="480"/>
        <w:rPr>
          <w:rFonts w:hAnsi="宋体"/>
          <w:color w:val="000000"/>
        </w:rPr>
      </w:pPr>
      <w:r>
        <w:rPr>
          <w:rFonts w:hint="eastAsia" w:hAnsi="宋体"/>
          <w:color w:val="000000"/>
        </w:rPr>
        <w:t>3</w:t>
      </w:r>
      <w:r>
        <w:rPr>
          <w:rFonts w:hAnsi="宋体"/>
          <w:color w:val="000000"/>
        </w:rPr>
        <w:t>.5</w:t>
      </w:r>
      <w:r>
        <w:rPr>
          <w:rFonts w:hint="eastAsia" w:hAnsi="宋体"/>
          <w:color w:val="000000"/>
          <w:lang w:val="en-US" w:eastAsia="zh-CN"/>
        </w:rPr>
        <w:t xml:space="preserve"> </w:t>
      </w:r>
      <w:r>
        <w:rPr>
          <w:rFonts w:hint="eastAsia" w:hAnsi="宋体"/>
          <w:color w:val="000000"/>
        </w:rPr>
        <w:t>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6"/>
        <w:spacing w:line="240" w:lineRule="auto"/>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12" w:name="_Toc143596673"/>
      <w:bookmarkStart w:id="513" w:name="_Toc143596262"/>
    </w:p>
    <w:p>
      <w:pPr>
        <w:pStyle w:val="6"/>
        <w:spacing w:line="240" w:lineRule="auto"/>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7"/>
        <w:spacing w:before="72" w:after="72" w:line="240" w:lineRule="auto"/>
        <w:rPr>
          <w:szCs w:val="24"/>
        </w:rPr>
      </w:pPr>
      <w:bookmarkStart w:id="514" w:name="_Toc184891547"/>
      <w:bookmarkStart w:id="515" w:name="_Toc287112610"/>
      <w:bookmarkStart w:id="516" w:name="_Toc157182374"/>
      <w:bookmarkStart w:id="517" w:name="_Toc1213266"/>
      <w:bookmarkStart w:id="518" w:name="_Toc387416366"/>
      <w:bookmarkStart w:id="519" w:name="_Toc184891774"/>
      <w:bookmarkStart w:id="520" w:name="_Toc217102234"/>
      <w:r>
        <w:rPr>
          <w:rFonts w:hint="eastAsia"/>
          <w:szCs w:val="24"/>
        </w:rPr>
        <w:t>4</w:t>
      </w:r>
      <w:r>
        <w:rPr>
          <w:szCs w:val="24"/>
        </w:rPr>
        <w:t>.</w:t>
      </w:r>
      <w:r>
        <w:rPr>
          <w:rFonts w:hint="eastAsia"/>
          <w:szCs w:val="24"/>
        </w:rPr>
        <w:t>评标</w:t>
      </w:r>
      <w:r>
        <w:rPr>
          <w:szCs w:val="24"/>
        </w:rPr>
        <w:t>办法和程序</w:t>
      </w:r>
      <w:bookmarkEnd w:id="512"/>
      <w:bookmarkEnd w:id="513"/>
      <w:bookmarkEnd w:id="514"/>
      <w:bookmarkEnd w:id="515"/>
      <w:bookmarkEnd w:id="516"/>
      <w:bookmarkEnd w:id="517"/>
      <w:bookmarkEnd w:id="518"/>
      <w:bookmarkEnd w:id="519"/>
      <w:bookmarkEnd w:id="520"/>
    </w:p>
    <w:p>
      <w:pPr>
        <w:pStyle w:val="6"/>
        <w:spacing w:line="240" w:lineRule="auto"/>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6"/>
        <w:spacing w:line="240" w:lineRule="auto"/>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w:t>
      </w:r>
      <w:r>
        <w:rPr>
          <w:rFonts w:hint="eastAsia" w:hAnsi="宋体"/>
          <w:color w:val="000000"/>
          <w:lang w:eastAsia="zh-CN"/>
        </w:rPr>
        <w:t>分</w:t>
      </w:r>
      <w:r>
        <w:rPr>
          <w:rFonts w:hint="eastAsia" w:hAnsi="宋体"/>
          <w:color w:val="000000"/>
        </w:rPr>
        <w:t>法</w:t>
      </w:r>
      <w:r>
        <w:rPr>
          <w:rFonts w:hAnsi="宋体"/>
          <w:color w:val="000000"/>
        </w:rPr>
        <w:t>。</w:t>
      </w:r>
    </w:p>
    <w:p>
      <w:pPr>
        <w:pStyle w:val="6"/>
        <w:spacing w:line="240" w:lineRule="auto"/>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6"/>
        <w:spacing w:line="240" w:lineRule="auto"/>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6"/>
        <w:spacing w:line="240" w:lineRule="auto"/>
        <w:ind w:firstLine="480"/>
        <w:rPr>
          <w:rFonts w:hAnsi="宋体"/>
          <w:color w:val="000000"/>
        </w:rPr>
      </w:pPr>
      <w:r>
        <w:rPr>
          <w:rFonts w:hAnsi="宋体"/>
          <w:color w:val="000000"/>
        </w:rPr>
        <w:t>（1）</w:t>
      </w:r>
      <w:r>
        <w:rPr>
          <w:rFonts w:hint="eastAsia"/>
        </w:rPr>
        <w:t>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r>
        <w:rPr>
          <w:rFonts w:hAnsi="宋体"/>
          <w:color w:val="000000"/>
        </w:rPr>
        <w:t>；</w:t>
      </w:r>
    </w:p>
    <w:p>
      <w:pPr>
        <w:pStyle w:val="6"/>
        <w:spacing w:line="240" w:lineRule="auto"/>
        <w:ind w:firstLine="480"/>
        <w:rPr>
          <w:rFonts w:hAnsi="宋体"/>
          <w:color w:val="000000"/>
        </w:rPr>
      </w:pPr>
      <w:r>
        <w:rPr>
          <w:rFonts w:hAnsi="宋体"/>
          <w:color w:val="000000"/>
        </w:rPr>
        <w:t>（2）</w:t>
      </w:r>
      <w:r>
        <w:rPr>
          <w:rFonts w:hint="eastAsia"/>
        </w:rPr>
        <w:t>为中国大陆境内合法注册的金融机构，持有工商行政管理部门颁发的营业执照，经营范围符合项目要求，并年检合格</w:t>
      </w:r>
      <w:r>
        <w:rPr>
          <w:rFonts w:hAnsi="宋体"/>
          <w:color w:val="000000"/>
        </w:rPr>
        <w:t>；</w:t>
      </w:r>
    </w:p>
    <w:p>
      <w:pPr>
        <w:pStyle w:val="6"/>
        <w:spacing w:line="240" w:lineRule="auto"/>
        <w:ind w:firstLine="480"/>
        <w:rPr>
          <w:rFonts w:hAnsi="宋体"/>
          <w:color w:val="000000"/>
        </w:rPr>
      </w:pPr>
      <w:r>
        <w:rPr>
          <w:rFonts w:hAnsi="宋体"/>
          <w:color w:val="000000"/>
        </w:rPr>
        <w:t>（3）</w:t>
      </w:r>
      <w:r>
        <w:rPr>
          <w:rFonts w:hint="eastAsia"/>
        </w:rPr>
        <w:t>持有中国银行业监督管理委员会有效的《中华人民共和国金融许可证》或《金融机构营业许可证》</w:t>
      </w:r>
      <w:r>
        <w:rPr>
          <w:rFonts w:hAnsi="宋体"/>
          <w:color w:val="000000"/>
        </w:rPr>
        <w:t>；</w:t>
      </w:r>
    </w:p>
    <w:p>
      <w:pPr>
        <w:pStyle w:val="6"/>
        <w:spacing w:line="240" w:lineRule="auto"/>
        <w:ind w:firstLine="480"/>
        <w:rPr>
          <w:rFonts w:hAnsi="宋体"/>
          <w:color w:val="000000"/>
        </w:rPr>
      </w:pPr>
      <w:r>
        <w:rPr>
          <w:rFonts w:hAnsi="宋体"/>
          <w:color w:val="000000"/>
        </w:rPr>
        <w:t>（4）</w:t>
      </w:r>
      <w:r>
        <w:rPr>
          <w:rFonts w:hint="eastAsia"/>
        </w:rPr>
        <w:t>投标法人授权委托书及被授权委托人身份证原件,被授权委托人必须是投标单位正式员工在本单位缴纳的近三个月的社保证明原件（单位社保缴费凭证和个人明细表）；法定代表人需提供</w:t>
      </w:r>
      <w:r>
        <w:rPr>
          <w:rFonts w:hint="eastAsia" w:ascii="宋体" w:hAnsi="宋体" w:eastAsia="宋体" w:cs="宋体"/>
          <w:color w:val="auto"/>
          <w:highlight w:val="none"/>
          <w:lang w:val="en-US" w:eastAsia="zh-CN"/>
        </w:rPr>
        <w:t>法定代表人资格证明</w:t>
      </w:r>
      <w:r>
        <w:rPr>
          <w:rFonts w:hAnsi="宋体"/>
          <w:color w:val="000000"/>
        </w:rPr>
        <w:t>；</w:t>
      </w:r>
    </w:p>
    <w:p>
      <w:pPr>
        <w:pStyle w:val="6"/>
        <w:spacing w:line="240" w:lineRule="auto"/>
        <w:ind w:firstLine="480"/>
        <w:rPr>
          <w:rFonts w:hAnsi="宋体"/>
          <w:color w:val="000000"/>
        </w:rPr>
      </w:pPr>
      <w:r>
        <w:rPr>
          <w:rFonts w:hAnsi="宋体"/>
          <w:color w:val="000000"/>
        </w:rPr>
        <w:t>（5）</w:t>
      </w:r>
      <w:r>
        <w:rPr>
          <w:rFonts w:hint="eastAsia"/>
        </w:rPr>
        <w:t>在中华人民共和国境内依法设立的国有商业银行、股份制商业银行、邮政储蓄银行、城县商业银行、农村商业银行及政策性银行等的分支机构</w:t>
      </w:r>
      <w:r>
        <w:rPr>
          <w:rFonts w:hAnsi="宋体"/>
          <w:color w:val="000000"/>
        </w:rPr>
        <w:t>；</w:t>
      </w:r>
    </w:p>
    <w:p>
      <w:pPr>
        <w:pStyle w:val="6"/>
        <w:spacing w:line="240" w:lineRule="auto"/>
        <w:ind w:firstLine="480"/>
        <w:rPr>
          <w:rFonts w:hAnsi="宋体"/>
          <w:color w:val="000000"/>
        </w:rPr>
      </w:pPr>
      <w:r>
        <w:rPr>
          <w:rFonts w:hAnsi="宋体"/>
          <w:color w:val="000000"/>
        </w:rPr>
        <w:t>（6）</w:t>
      </w:r>
      <w:r>
        <w:rPr>
          <w:rFonts w:hint="eastAsia"/>
        </w:rPr>
        <w:t>提供针对本次项目《反商业贿赂承诺书》</w:t>
      </w:r>
      <w:r>
        <w:rPr>
          <w:rFonts w:hAnsi="宋体"/>
          <w:color w:val="000000"/>
        </w:rPr>
        <w:t>；</w:t>
      </w:r>
    </w:p>
    <w:p>
      <w:pPr>
        <w:pStyle w:val="6"/>
        <w:spacing w:line="240" w:lineRule="auto"/>
        <w:ind w:firstLine="480"/>
        <w:rPr>
          <w:rFonts w:hAnsi="宋体"/>
          <w:color w:val="000000"/>
        </w:rPr>
      </w:pPr>
      <w:r>
        <w:rPr>
          <w:rFonts w:hAnsi="宋体"/>
          <w:color w:val="000000"/>
        </w:rPr>
        <w:t>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6"/>
        <w:spacing w:line="240" w:lineRule="auto"/>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4.5评标小组按照《商务、技术经济评审表》的要求，各位评标小组成员单独就每个合格投标人的响应方案（包括合同、协议条款响应性）进行评审和比较，评出其商务评分。步骤如下：</w:t>
      </w:r>
    </w:p>
    <w:p>
      <w:pPr>
        <w:pStyle w:val="6"/>
        <w:spacing w:line="240" w:lineRule="auto"/>
        <w:ind w:firstLine="480"/>
        <w:rPr>
          <w:rFonts w:hAnsi="宋体"/>
          <w:color w:val="000000"/>
        </w:rPr>
      </w:pPr>
      <w:r>
        <w:rPr>
          <w:rFonts w:hint="eastAsia" w:hAnsi="宋体"/>
          <w:color w:val="000000"/>
        </w:rPr>
        <w:t xml:space="preserve">（1）各评标小组成员对每一个方案分别评审，对每一评审项目，按评审标准在“评分”栏中填写分数， </w:t>
      </w:r>
    </w:p>
    <w:p>
      <w:pPr>
        <w:pStyle w:val="6"/>
        <w:spacing w:line="240" w:lineRule="auto"/>
        <w:ind w:firstLine="480"/>
        <w:rPr>
          <w:rFonts w:hAnsi="宋体"/>
          <w:color w:val="000000"/>
        </w:rPr>
      </w:pPr>
      <w:r>
        <w:rPr>
          <w:rFonts w:hint="eastAsia" w:hAnsi="宋体"/>
          <w:color w:val="000000"/>
        </w:rPr>
        <w:t>（2）最后小计得到方案评审分。</w:t>
      </w:r>
    </w:p>
    <w:p>
      <w:pPr>
        <w:spacing w:line="240" w:lineRule="auto"/>
        <w:ind w:firstLine="480" w:firstLineChars="200"/>
        <w:rPr>
          <w:rFonts w:hAnsi="宋体"/>
          <w:b/>
          <w:color w:val="000000"/>
        </w:rPr>
      </w:pPr>
      <w:r>
        <w:rPr>
          <w:rFonts w:hint="eastAsia" w:ascii="宋体" w:hAnsi="宋体" w:eastAsia="宋体" w:cs="Times New Roman"/>
          <w:color w:val="000000"/>
          <w:kern w:val="0"/>
          <w:sz w:val="24"/>
          <w:szCs w:val="20"/>
          <w:lang w:val="en-US" w:eastAsia="zh-CN" w:bidi="ar-SA"/>
        </w:rPr>
        <w:t>4.6 项目投标报价：因本项目不涉及价格评审，请各投标人均按0元进行报价。</w:t>
      </w:r>
    </w:p>
    <w:p>
      <w:pPr>
        <w:pStyle w:val="6"/>
        <w:spacing w:line="240" w:lineRule="auto"/>
        <w:ind w:firstLine="480"/>
        <w:rPr>
          <w:rFonts w:hAnsi="宋体"/>
          <w:bCs/>
        </w:rPr>
        <w:sectPr>
          <w:pgSz w:w="11906" w:h="16838"/>
          <w:pgMar w:top="1134" w:right="1134" w:bottom="1134" w:left="1134" w:header="851" w:footer="992" w:gutter="0"/>
          <w:cols w:space="720" w:num="1"/>
          <w:docGrid w:linePitch="312" w:charSpace="0"/>
        </w:sectPr>
      </w:pPr>
      <w:r>
        <w:rPr>
          <w:rFonts w:hint="eastAsia" w:hAnsi="宋体"/>
          <w:color w:val="000000"/>
        </w:rPr>
        <w:t>4.7</w:t>
      </w:r>
      <w:r>
        <w:rPr>
          <w:rFonts w:hint="eastAsia" w:hAnsi="宋体"/>
          <w:color w:val="000000"/>
          <w:lang w:val="en-US" w:eastAsia="zh-CN"/>
        </w:rPr>
        <w:t xml:space="preserve"> </w:t>
      </w:r>
      <w:r>
        <w:rPr>
          <w:rFonts w:hint="eastAsia" w:hAnsi="宋体"/>
          <w:color w:val="000000"/>
        </w:rPr>
        <w:t>对各评标小组成员响应方案评分的算术平均值即为该投标人的商务得分，再分别计算各投标人的报价得分后，即可得出投标人最终综合得分。</w:t>
      </w:r>
    </w:p>
    <w:p>
      <w:pPr>
        <w:keepNext w:val="0"/>
        <w:keepLines w:val="0"/>
        <w:widowControl/>
        <w:suppressLineNumbers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初步评审--资格性审查表</w:t>
      </w:r>
    </w:p>
    <w:tbl>
      <w:tblPr>
        <w:tblStyle w:val="21"/>
        <w:tblW w:w="934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4"/>
        <w:gridCol w:w="6602"/>
        <w:gridCol w:w="722"/>
        <w:gridCol w:w="750"/>
        <w:gridCol w:w="7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126" w:type="dxa"/>
            <w:gridSpan w:val="2"/>
            <w:vMerge w:val="restart"/>
            <w:tcBorders>
              <w:bottom w:val="single" w:color="auto" w:sz="6" w:space="0"/>
              <w:right w:val="single" w:color="auto" w:sz="4" w:space="0"/>
            </w:tcBorders>
            <w:noWrap w:val="0"/>
            <w:vAlign w:val="center"/>
          </w:tcPr>
          <w:p>
            <w:pPr>
              <w:spacing w:line="38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2222" w:type="dxa"/>
            <w:gridSpan w:val="3"/>
            <w:tcBorders>
              <w:left w:val="single" w:color="auto" w:sz="4" w:space="0"/>
              <w:bottom w:val="single" w:color="auto" w:sz="4" w:space="0"/>
            </w:tcBorders>
            <w:noWrap w:val="0"/>
            <w:vAlign w:val="center"/>
          </w:tcPr>
          <w:p>
            <w:pPr>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val="0"/>
                <w:bCs w:val="0"/>
                <w:color w:val="auto"/>
                <w:sz w:val="24"/>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7126" w:type="dxa"/>
            <w:gridSpan w:val="2"/>
            <w:vMerge w:val="continue"/>
            <w:tcBorders>
              <w:top w:val="single" w:color="auto" w:sz="12" w:space="0"/>
              <w:bottom w:val="single" w:color="auto" w:sz="6" w:space="0"/>
              <w:right w:val="single" w:color="auto" w:sz="4" w:space="0"/>
            </w:tcBorders>
            <w:noWrap w:val="0"/>
            <w:vAlign w:val="center"/>
          </w:tcPr>
          <w:p>
            <w:pPr>
              <w:widowControl/>
              <w:spacing w:line="380" w:lineRule="exact"/>
              <w:jc w:val="left"/>
              <w:rPr>
                <w:rFonts w:hint="eastAsia" w:ascii="宋体" w:hAnsi="宋体" w:eastAsia="宋体" w:cs="宋体"/>
                <w:b/>
                <w:color w:val="auto"/>
                <w:sz w:val="24"/>
                <w:highlight w:val="none"/>
              </w:rPr>
            </w:pPr>
          </w:p>
        </w:tc>
        <w:tc>
          <w:tcPr>
            <w:tcW w:w="722" w:type="dxa"/>
            <w:tcBorders>
              <w:top w:val="single" w:color="auto" w:sz="4" w:space="0"/>
              <w:left w:val="single" w:color="auto" w:sz="4" w:space="0"/>
              <w:bottom w:val="single" w:color="auto" w:sz="6" w:space="0"/>
              <w:right w:val="single" w:color="auto" w:sz="4" w:space="0"/>
            </w:tcBorders>
            <w:noWrap w:val="0"/>
            <w:vAlign w:val="center"/>
          </w:tcPr>
          <w:p>
            <w:pPr>
              <w:autoSpaceDE/>
              <w:autoSpaceDN/>
              <w:adjustRightInd/>
              <w:spacing w:beforeLines="0" w:afterLines="0" w:line="240" w:lineRule="auto"/>
              <w:ind w:lef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w:t>
            </w:r>
          </w:p>
          <w:p>
            <w:pPr>
              <w:autoSpaceDE/>
              <w:autoSpaceDN/>
              <w:adjustRightInd/>
              <w:spacing w:before="140" w:beforeLines="0" w:afterLines="0" w:line="240" w:lineRule="auto"/>
              <w:jc w:val="center"/>
              <w:rPr>
                <w:rFonts w:hint="eastAsia" w:ascii="宋体" w:hAnsi="宋体" w:eastAsia="宋体" w:cs="宋体"/>
                <w:b/>
                <w:color w:val="auto"/>
                <w:sz w:val="22"/>
                <w:szCs w:val="22"/>
                <w:highlight w:val="none"/>
              </w:rPr>
            </w:pPr>
            <w:r>
              <w:rPr>
                <w:rFonts w:hint="eastAsia" w:ascii="宋体" w:hAnsi="宋体" w:eastAsia="宋体" w:cs="宋体"/>
                <w:b w:val="0"/>
                <w:bCs w:val="0"/>
                <w:color w:val="auto"/>
                <w:sz w:val="24"/>
                <w:szCs w:val="24"/>
                <w:highlight w:val="none"/>
              </w:rPr>
              <w:t>合格</w:t>
            </w:r>
          </w:p>
        </w:tc>
        <w:tc>
          <w:tcPr>
            <w:tcW w:w="750" w:type="dxa"/>
            <w:tcBorders>
              <w:top w:val="single" w:color="auto" w:sz="4" w:space="0"/>
              <w:left w:val="single" w:color="auto" w:sz="4" w:space="0"/>
              <w:bottom w:val="single" w:color="auto" w:sz="6" w:space="0"/>
              <w:right w:val="single" w:color="auto" w:sz="6" w:space="0"/>
            </w:tcBorders>
            <w:noWrap w:val="0"/>
            <w:vAlign w:val="center"/>
          </w:tcPr>
          <w:p>
            <w:pPr>
              <w:autoSpaceDE/>
              <w:autoSpaceDN/>
              <w:adjustRightInd/>
              <w:spacing w:beforeLines="0" w:afterLines="0" w:line="240" w:lineRule="auto"/>
              <w:ind w:lef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w:t>
            </w:r>
          </w:p>
          <w:p>
            <w:pPr>
              <w:autoSpaceDE/>
              <w:autoSpaceDN/>
              <w:adjustRightInd/>
              <w:spacing w:before="140" w:beforeLines="0" w:afterLines="0" w:line="240" w:lineRule="auto"/>
              <w:jc w:val="center"/>
              <w:rPr>
                <w:rFonts w:hint="eastAsia" w:ascii="宋体" w:hAnsi="宋体" w:eastAsia="宋体" w:cs="宋体"/>
                <w:b/>
                <w:color w:val="auto"/>
                <w:sz w:val="22"/>
                <w:szCs w:val="22"/>
                <w:highlight w:val="none"/>
              </w:rPr>
            </w:pPr>
            <w:r>
              <w:rPr>
                <w:rFonts w:hint="eastAsia" w:ascii="宋体" w:hAnsi="宋体" w:eastAsia="宋体" w:cs="宋体"/>
                <w:b w:val="0"/>
                <w:bCs w:val="0"/>
                <w:color w:val="auto"/>
                <w:sz w:val="24"/>
                <w:szCs w:val="24"/>
                <w:highlight w:val="none"/>
              </w:rPr>
              <w:t>合格</w:t>
            </w:r>
          </w:p>
        </w:tc>
        <w:tc>
          <w:tcPr>
            <w:tcW w:w="750" w:type="dxa"/>
            <w:tcBorders>
              <w:top w:val="single" w:color="auto" w:sz="6" w:space="0"/>
              <w:left w:val="single" w:color="auto" w:sz="6" w:space="0"/>
              <w:bottom w:val="single" w:color="auto" w:sz="6" w:space="0"/>
            </w:tcBorders>
            <w:noWrap w:val="0"/>
            <w:vAlign w:val="center"/>
          </w:tcPr>
          <w:p>
            <w:pPr>
              <w:autoSpaceDE/>
              <w:autoSpaceDN/>
              <w:adjustRightInd/>
              <w:spacing w:beforeLines="0" w:afterLines="0" w:line="240" w:lineRule="auto"/>
              <w:ind w:lef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w:t>
            </w:r>
          </w:p>
          <w:p>
            <w:pPr>
              <w:autoSpaceDE/>
              <w:autoSpaceDN/>
              <w:adjustRightInd/>
              <w:spacing w:before="140" w:beforeLines="0" w:afterLines="0" w:line="240" w:lineRule="auto"/>
              <w:jc w:val="center"/>
              <w:rPr>
                <w:rFonts w:hint="eastAsia" w:ascii="宋体" w:hAnsi="宋体" w:eastAsia="宋体" w:cs="宋体"/>
                <w:b/>
                <w:color w:val="auto"/>
                <w:sz w:val="22"/>
                <w:szCs w:val="22"/>
                <w:highlight w:val="none"/>
              </w:rPr>
            </w:pPr>
            <w:r>
              <w:rPr>
                <w:rFonts w:hint="eastAsia" w:ascii="宋体" w:hAnsi="宋体" w:eastAsia="宋体" w:cs="宋体"/>
                <w:b w:val="0"/>
                <w:bCs w:val="0"/>
                <w:color w:val="auto"/>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524" w:type="dxa"/>
            <w:tcBorders>
              <w:top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Times New Roman"/>
                <w:b w:val="0"/>
                <w:bCs w:val="0"/>
                <w:color w:val="000000"/>
                <w:kern w:val="0"/>
                <w:sz w:val="24"/>
                <w:szCs w:val="20"/>
                <w:lang w:val="en-US" w:eastAsia="zh-CN" w:bidi="ar-SA"/>
              </w:rPr>
            </w:pPr>
            <w:r>
              <w:rPr>
                <w:rFonts w:hint="eastAsia" w:ascii="宋体" w:hAnsi="宋体" w:eastAsia="宋体" w:cs="Times New Roman"/>
                <w:b w:val="0"/>
                <w:bCs w:val="0"/>
                <w:color w:val="000000"/>
                <w:kern w:val="0"/>
                <w:sz w:val="24"/>
                <w:szCs w:val="20"/>
                <w:lang w:val="en-US" w:eastAsia="zh-CN" w:bidi="ar-SA"/>
              </w:rPr>
              <w:t>1</w:t>
            </w:r>
          </w:p>
        </w:tc>
        <w:tc>
          <w:tcPr>
            <w:tcW w:w="6602" w:type="dxa"/>
            <w:tcBorders>
              <w:top w:val="single" w:color="auto" w:sz="6" w:space="0"/>
              <w:left w:val="single" w:color="auto" w:sz="6" w:space="0"/>
              <w:bottom w:val="single" w:color="auto" w:sz="6" w:space="0"/>
              <w:right w:val="single" w:color="auto" w:sz="4" w:space="0"/>
            </w:tcBorders>
            <w:noWrap w:val="0"/>
            <w:vAlign w:val="center"/>
          </w:tcPr>
          <w:p>
            <w:pPr>
              <w:autoSpaceDE/>
              <w:autoSpaceDN/>
              <w:adjustRightInd/>
              <w:spacing w:beforeLines="0" w:afterLines="0" w:line="240" w:lineRule="auto"/>
              <w:jc w:val="both"/>
              <w:rPr>
                <w:rFonts w:hint="eastAsia" w:ascii="宋体" w:hAnsi="宋体" w:eastAsia="宋体" w:cs="Times New Roman"/>
                <w:color w:val="000000"/>
                <w:kern w:val="0"/>
                <w:sz w:val="24"/>
                <w:szCs w:val="20"/>
                <w:lang w:val="zh-CN" w:eastAsia="zh-CN" w:bidi="ar-SA"/>
              </w:rPr>
            </w:pPr>
            <w:r>
              <w:rPr>
                <w:rFonts w:hint="eastAsia" w:ascii="宋体" w:hAnsi="宋体" w:eastAsia="宋体" w:cs="Times New Roman"/>
                <w:color w:val="000000"/>
                <w:kern w:val="0"/>
                <w:sz w:val="24"/>
                <w:szCs w:val="20"/>
                <w:lang w:val="en-US" w:eastAsia="zh-CN" w:bidi="ar-SA"/>
              </w:rPr>
              <w:t>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tc>
        <w:tc>
          <w:tcPr>
            <w:tcW w:w="722" w:type="dxa"/>
            <w:tcBorders>
              <w:top w:val="single" w:color="auto" w:sz="6" w:space="0"/>
              <w:left w:val="single" w:color="auto" w:sz="4" w:space="0"/>
              <w:bottom w:val="single" w:color="auto" w:sz="6" w:space="0"/>
              <w:right w:val="single" w:color="auto" w:sz="4"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4" w:space="0"/>
              <w:bottom w:val="single" w:color="auto" w:sz="6" w:space="0"/>
              <w:right w:val="single" w:color="auto" w:sz="6"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6" w:space="0"/>
              <w:bottom w:val="single" w:color="auto" w:sz="6" w:space="0"/>
            </w:tcBorders>
            <w:noWrap w:val="0"/>
            <w:vAlign w:val="top"/>
          </w:tcPr>
          <w:p>
            <w:pPr>
              <w:spacing w:line="240" w:lineRule="auto"/>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524" w:type="dxa"/>
            <w:tcBorders>
              <w:top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6602" w:type="dxa"/>
            <w:tcBorders>
              <w:top w:val="single" w:color="auto" w:sz="6" w:space="0"/>
              <w:left w:val="single" w:color="auto" w:sz="6" w:space="0"/>
              <w:bottom w:val="single" w:color="auto" w:sz="6" w:space="0"/>
              <w:right w:val="single" w:color="auto" w:sz="4" w:space="0"/>
            </w:tcBorders>
            <w:noWrap w:val="0"/>
            <w:vAlign w:val="center"/>
          </w:tcPr>
          <w:p>
            <w:pPr>
              <w:autoSpaceDE/>
              <w:autoSpaceDN/>
              <w:adjustRightInd/>
              <w:spacing w:before="40" w:beforeLines="0" w:afterLines="0" w:line="240" w:lineRule="auto"/>
              <w:jc w:val="both"/>
              <w:rPr>
                <w:rFonts w:hint="eastAsia" w:ascii="宋体" w:hAnsi="宋体" w:eastAsia="宋体" w:cs="Times New Roman"/>
                <w:color w:val="000000"/>
                <w:kern w:val="0"/>
                <w:sz w:val="24"/>
                <w:szCs w:val="20"/>
                <w:lang w:val="zh-CN" w:eastAsia="zh-CN" w:bidi="ar-SA"/>
              </w:rPr>
            </w:pPr>
            <w:r>
              <w:rPr>
                <w:rFonts w:hint="eastAsia" w:ascii="宋体" w:hAnsi="宋体" w:eastAsia="宋体" w:cs="Times New Roman"/>
                <w:color w:val="000000"/>
                <w:kern w:val="0"/>
                <w:sz w:val="24"/>
                <w:szCs w:val="20"/>
                <w:lang w:val="en-US" w:eastAsia="zh-CN" w:bidi="ar-SA"/>
              </w:rPr>
              <w:t>为中国大陆境内合法注册的金融机构，持有工商行政管理部门颁发的营业执照，经营范围符合项目要求，并年检合格</w:t>
            </w:r>
          </w:p>
        </w:tc>
        <w:tc>
          <w:tcPr>
            <w:tcW w:w="722" w:type="dxa"/>
            <w:tcBorders>
              <w:top w:val="single" w:color="auto" w:sz="6" w:space="0"/>
              <w:left w:val="single" w:color="auto" w:sz="4" w:space="0"/>
              <w:bottom w:val="single" w:color="auto" w:sz="6" w:space="0"/>
              <w:right w:val="single" w:color="auto" w:sz="4"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4" w:space="0"/>
              <w:bottom w:val="single" w:color="auto" w:sz="6" w:space="0"/>
              <w:right w:val="single" w:color="auto" w:sz="6"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6" w:space="0"/>
              <w:bottom w:val="single" w:color="auto" w:sz="6" w:space="0"/>
            </w:tcBorders>
            <w:noWrap w:val="0"/>
            <w:vAlign w:val="top"/>
          </w:tcPr>
          <w:p>
            <w:pPr>
              <w:spacing w:line="240" w:lineRule="auto"/>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524" w:type="dxa"/>
            <w:tcBorders>
              <w:top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3</w:t>
            </w:r>
          </w:p>
        </w:tc>
        <w:tc>
          <w:tcPr>
            <w:tcW w:w="6602" w:type="dxa"/>
            <w:tcBorders>
              <w:top w:val="single" w:color="auto" w:sz="6" w:space="0"/>
              <w:left w:val="single" w:color="auto" w:sz="6" w:space="0"/>
              <w:bottom w:val="single" w:color="auto" w:sz="6" w:space="0"/>
              <w:right w:val="single" w:color="auto" w:sz="4" w:space="0"/>
            </w:tcBorders>
            <w:noWrap w:val="0"/>
            <w:vAlign w:val="center"/>
          </w:tcPr>
          <w:p>
            <w:pPr>
              <w:autoSpaceDE/>
              <w:autoSpaceDN/>
              <w:adjustRightInd/>
              <w:spacing w:before="40" w:beforeLines="0" w:afterLines="0" w:line="240" w:lineRule="auto"/>
              <w:jc w:val="both"/>
              <w:rPr>
                <w:rFonts w:hint="eastAsia" w:ascii="宋体" w:hAnsi="宋体" w:eastAsia="宋体" w:cs="Times New Roman"/>
                <w:color w:val="000000"/>
                <w:kern w:val="0"/>
                <w:sz w:val="24"/>
                <w:szCs w:val="20"/>
                <w:lang w:val="zh-CN" w:eastAsia="zh-CN" w:bidi="ar-SA"/>
              </w:rPr>
            </w:pPr>
            <w:r>
              <w:rPr>
                <w:rFonts w:hint="eastAsia" w:ascii="宋体" w:hAnsi="宋体" w:eastAsia="宋体" w:cs="Times New Roman"/>
                <w:color w:val="000000"/>
                <w:kern w:val="0"/>
                <w:sz w:val="24"/>
                <w:szCs w:val="20"/>
                <w:lang w:val="en-US" w:eastAsia="zh-CN" w:bidi="ar-SA"/>
              </w:rPr>
              <w:t>持有中国银行业监督管理委员会有效的《中华人民共和国金融许可证》或《金融机构营业许可证》</w:t>
            </w:r>
          </w:p>
        </w:tc>
        <w:tc>
          <w:tcPr>
            <w:tcW w:w="722" w:type="dxa"/>
            <w:tcBorders>
              <w:top w:val="single" w:color="auto" w:sz="6" w:space="0"/>
              <w:left w:val="single" w:color="auto" w:sz="4" w:space="0"/>
              <w:bottom w:val="single" w:color="auto" w:sz="6" w:space="0"/>
              <w:right w:val="single" w:color="auto" w:sz="4"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4" w:space="0"/>
              <w:bottom w:val="single" w:color="auto" w:sz="6" w:space="0"/>
              <w:right w:val="single" w:color="auto" w:sz="6"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6" w:space="0"/>
              <w:bottom w:val="single" w:color="auto" w:sz="6" w:space="0"/>
            </w:tcBorders>
            <w:noWrap w:val="0"/>
            <w:vAlign w:val="top"/>
          </w:tcPr>
          <w:p>
            <w:pPr>
              <w:spacing w:line="240" w:lineRule="auto"/>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524" w:type="dxa"/>
            <w:tcBorders>
              <w:top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6602" w:type="dxa"/>
            <w:tcBorders>
              <w:top w:val="single" w:color="auto" w:sz="6" w:space="0"/>
              <w:left w:val="single" w:color="auto" w:sz="6" w:space="0"/>
              <w:bottom w:val="single" w:color="auto" w:sz="6" w:space="0"/>
              <w:right w:val="single" w:color="auto" w:sz="4" w:space="0"/>
            </w:tcBorders>
            <w:noWrap w:val="0"/>
            <w:vAlign w:val="center"/>
          </w:tcPr>
          <w:p>
            <w:pPr>
              <w:autoSpaceDE/>
              <w:autoSpaceDN/>
              <w:adjustRightInd/>
              <w:spacing w:before="40" w:beforeLines="0" w:afterLines="0" w:line="240" w:lineRule="auto"/>
              <w:jc w:val="both"/>
              <w:rPr>
                <w:rFonts w:hint="eastAsia" w:ascii="宋体" w:hAnsi="宋体" w:eastAsia="宋体" w:cs="Times New Roman"/>
                <w:color w:val="000000"/>
                <w:kern w:val="0"/>
                <w:sz w:val="24"/>
                <w:szCs w:val="20"/>
                <w:lang w:val="en-US" w:eastAsia="zh-CN" w:bidi="ar-SA"/>
              </w:rPr>
            </w:pPr>
            <w:r>
              <w:rPr>
                <w:rFonts w:hint="eastAsia" w:ascii="宋体" w:hAnsi="宋体" w:eastAsia="宋体" w:cs="Times New Roman"/>
                <w:color w:val="000000"/>
                <w:kern w:val="0"/>
                <w:sz w:val="24"/>
                <w:szCs w:val="20"/>
                <w:lang w:val="en-US" w:eastAsia="zh-CN" w:bidi="ar-SA"/>
              </w:rPr>
              <w:t>投标法人授权委托书及被授权委托人身份证原件,被授权委托人必须是投标单位正式员工在本单位缴纳的近三个月的社保证明原件（单位社保缴费凭证和个人明细表）；法定代表人需提供法定代表人资格证明。</w:t>
            </w:r>
          </w:p>
        </w:tc>
        <w:tc>
          <w:tcPr>
            <w:tcW w:w="722" w:type="dxa"/>
            <w:tcBorders>
              <w:top w:val="single" w:color="auto" w:sz="6" w:space="0"/>
              <w:left w:val="single" w:color="auto" w:sz="4" w:space="0"/>
              <w:bottom w:val="single" w:color="auto" w:sz="6" w:space="0"/>
              <w:right w:val="single" w:color="auto" w:sz="4"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4" w:space="0"/>
              <w:bottom w:val="single" w:color="auto" w:sz="6" w:space="0"/>
              <w:right w:val="single" w:color="auto" w:sz="6"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6" w:space="0"/>
              <w:bottom w:val="single" w:color="auto" w:sz="6" w:space="0"/>
            </w:tcBorders>
            <w:noWrap w:val="0"/>
            <w:vAlign w:val="top"/>
          </w:tcPr>
          <w:p>
            <w:pPr>
              <w:spacing w:line="240" w:lineRule="auto"/>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524" w:type="dxa"/>
            <w:tcBorders>
              <w:top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6602" w:type="dxa"/>
            <w:tcBorders>
              <w:top w:val="single" w:color="auto" w:sz="6" w:space="0"/>
              <w:left w:val="single" w:color="auto" w:sz="6" w:space="0"/>
              <w:bottom w:val="single" w:color="auto" w:sz="6" w:space="0"/>
              <w:right w:val="single" w:color="auto" w:sz="4" w:space="0"/>
            </w:tcBorders>
            <w:noWrap w:val="0"/>
            <w:vAlign w:val="center"/>
          </w:tcPr>
          <w:p>
            <w:pPr>
              <w:autoSpaceDE/>
              <w:autoSpaceDN/>
              <w:adjustRightInd/>
              <w:spacing w:before="40" w:beforeLines="0" w:afterLines="0" w:line="240" w:lineRule="auto"/>
              <w:jc w:val="both"/>
              <w:rPr>
                <w:rFonts w:hint="eastAsia" w:ascii="宋体" w:hAnsi="宋体" w:eastAsia="宋体" w:cs="Times New Roman"/>
                <w:color w:val="000000"/>
                <w:kern w:val="0"/>
                <w:sz w:val="24"/>
                <w:szCs w:val="20"/>
                <w:lang w:val="zh-CN" w:eastAsia="zh-CN" w:bidi="ar-SA"/>
              </w:rPr>
            </w:pPr>
            <w:r>
              <w:rPr>
                <w:rFonts w:hint="eastAsia" w:ascii="宋体" w:hAnsi="宋体" w:eastAsia="宋体" w:cs="Times New Roman"/>
                <w:color w:val="000000"/>
                <w:kern w:val="0"/>
                <w:sz w:val="24"/>
                <w:szCs w:val="20"/>
                <w:lang w:val="en-US" w:eastAsia="zh-CN" w:bidi="ar-SA"/>
              </w:rPr>
              <w:t>在中华人民共和国境内依法设立的国有商业银行、股份制商业银行、邮政储蓄银行、城县商业银行、农村商业银行及政策性银行等的分支机构</w:t>
            </w:r>
          </w:p>
        </w:tc>
        <w:tc>
          <w:tcPr>
            <w:tcW w:w="722" w:type="dxa"/>
            <w:tcBorders>
              <w:top w:val="single" w:color="auto" w:sz="6" w:space="0"/>
              <w:left w:val="single" w:color="auto" w:sz="4" w:space="0"/>
              <w:bottom w:val="single" w:color="auto" w:sz="6" w:space="0"/>
              <w:right w:val="single" w:color="auto" w:sz="4"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4" w:space="0"/>
              <w:bottom w:val="single" w:color="auto" w:sz="6" w:space="0"/>
              <w:right w:val="single" w:color="auto" w:sz="6"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6" w:space="0"/>
              <w:bottom w:val="single" w:color="auto" w:sz="6" w:space="0"/>
            </w:tcBorders>
            <w:noWrap w:val="0"/>
            <w:vAlign w:val="top"/>
          </w:tcPr>
          <w:p>
            <w:pPr>
              <w:spacing w:line="240" w:lineRule="auto"/>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24" w:type="dxa"/>
            <w:tcBorders>
              <w:top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6602" w:type="dxa"/>
            <w:tcBorders>
              <w:top w:val="single" w:color="auto" w:sz="6" w:space="0"/>
              <w:left w:val="single" w:color="auto" w:sz="6" w:space="0"/>
              <w:bottom w:val="single" w:color="auto" w:sz="6" w:space="0"/>
              <w:right w:val="single" w:color="auto" w:sz="4" w:space="0"/>
            </w:tcBorders>
            <w:noWrap w:val="0"/>
            <w:vAlign w:val="center"/>
          </w:tcPr>
          <w:p>
            <w:pPr>
              <w:autoSpaceDE/>
              <w:autoSpaceDN/>
              <w:adjustRightInd/>
              <w:spacing w:before="40" w:beforeLines="0" w:afterLines="0" w:line="240" w:lineRule="auto"/>
              <w:jc w:val="both"/>
              <w:rPr>
                <w:rFonts w:hint="eastAsia" w:ascii="宋体" w:hAnsi="宋体" w:eastAsia="宋体" w:cs="Times New Roman"/>
                <w:color w:val="000000"/>
                <w:kern w:val="0"/>
                <w:sz w:val="24"/>
                <w:szCs w:val="20"/>
                <w:lang w:val="zh-CN" w:eastAsia="zh-CN" w:bidi="ar-SA"/>
              </w:rPr>
            </w:pPr>
            <w:r>
              <w:rPr>
                <w:rFonts w:hint="eastAsia" w:ascii="宋体" w:hAnsi="宋体" w:eastAsia="宋体" w:cs="Times New Roman"/>
                <w:color w:val="000000"/>
                <w:kern w:val="0"/>
                <w:sz w:val="24"/>
                <w:szCs w:val="20"/>
                <w:lang w:val="en-US" w:eastAsia="zh-CN" w:bidi="ar-SA"/>
              </w:rPr>
              <w:t>提供针对本次项目《反商业贿赂承诺书》</w:t>
            </w:r>
          </w:p>
        </w:tc>
        <w:tc>
          <w:tcPr>
            <w:tcW w:w="722" w:type="dxa"/>
            <w:tcBorders>
              <w:top w:val="single" w:color="auto" w:sz="6" w:space="0"/>
              <w:left w:val="single" w:color="auto" w:sz="4" w:space="0"/>
              <w:bottom w:val="single" w:color="auto" w:sz="6" w:space="0"/>
              <w:right w:val="single" w:color="auto" w:sz="4"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4" w:space="0"/>
              <w:bottom w:val="single" w:color="auto" w:sz="6" w:space="0"/>
              <w:right w:val="single" w:color="auto" w:sz="6"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6" w:space="0"/>
              <w:bottom w:val="single" w:color="auto" w:sz="6" w:space="0"/>
            </w:tcBorders>
            <w:noWrap w:val="0"/>
            <w:vAlign w:val="top"/>
          </w:tcPr>
          <w:p>
            <w:pPr>
              <w:spacing w:line="240" w:lineRule="auto"/>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26" w:type="dxa"/>
            <w:gridSpan w:val="2"/>
            <w:tcBorders>
              <w:top w:val="single" w:color="auto" w:sz="6" w:space="0"/>
              <w:right w:val="single" w:color="auto" w:sz="4" w:space="0"/>
            </w:tcBorders>
            <w:noWrap w:val="0"/>
            <w:vAlign w:val="center"/>
          </w:tcPr>
          <w:p>
            <w:pPr>
              <w:autoSpaceDE/>
              <w:autoSpaceDN/>
              <w:adjustRightInd/>
              <w:spacing w:before="60" w:beforeLines="0" w:afterLines="0" w:line="240" w:lineRule="auto"/>
              <w:jc w:val="both"/>
              <w:rPr>
                <w:rFonts w:hint="eastAsia" w:ascii="宋体" w:hAnsi="宋体" w:eastAsia="宋体" w:cs="宋体"/>
                <w:b/>
                <w:color w:val="auto"/>
                <w:sz w:val="24"/>
                <w:highlight w:val="none"/>
                <w:lang w:val="en-US" w:eastAsia="zh-CN"/>
              </w:rPr>
            </w:pPr>
            <w:r>
              <w:rPr>
                <w:rFonts w:hint="eastAsia" w:ascii="宋体" w:hAnsi="宋体" w:eastAsia="宋体" w:cs="宋体"/>
                <w:b w:val="0"/>
                <w:bCs w:val="0"/>
                <w:color w:val="auto"/>
                <w:sz w:val="24"/>
                <w:szCs w:val="24"/>
                <w:highlight w:val="none"/>
              </w:rPr>
              <w:t>结论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通过评审打“√”，未通过评审打“×”</w:t>
            </w:r>
          </w:p>
        </w:tc>
        <w:tc>
          <w:tcPr>
            <w:tcW w:w="722" w:type="dxa"/>
            <w:tcBorders>
              <w:top w:val="single" w:color="auto" w:sz="6" w:space="0"/>
              <w:left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4" w:space="0"/>
              <w:right w:val="single" w:color="auto" w:sz="6" w:space="0"/>
            </w:tcBorders>
            <w:noWrap w:val="0"/>
            <w:vAlign w:val="center"/>
          </w:tcPr>
          <w:p>
            <w:pPr>
              <w:spacing w:line="240" w:lineRule="auto"/>
              <w:rPr>
                <w:rFonts w:hint="eastAsia" w:ascii="宋体" w:hAnsi="宋体" w:eastAsia="宋体" w:cs="宋体"/>
                <w:color w:val="auto"/>
                <w:kern w:val="0"/>
                <w:sz w:val="22"/>
                <w:szCs w:val="22"/>
                <w:highlight w:val="none"/>
              </w:rPr>
            </w:pPr>
          </w:p>
        </w:tc>
        <w:tc>
          <w:tcPr>
            <w:tcW w:w="750" w:type="dxa"/>
            <w:tcBorders>
              <w:top w:val="single" w:color="auto" w:sz="6" w:space="0"/>
              <w:left w:val="single" w:color="auto" w:sz="6" w:space="0"/>
            </w:tcBorders>
            <w:noWrap w:val="0"/>
            <w:vAlign w:val="top"/>
          </w:tcPr>
          <w:p>
            <w:pPr>
              <w:spacing w:line="240" w:lineRule="auto"/>
              <w:rPr>
                <w:rFonts w:hint="eastAsia" w:ascii="宋体" w:hAnsi="宋体" w:eastAsia="宋体" w:cs="宋体"/>
                <w:color w:val="auto"/>
                <w:kern w:val="0"/>
                <w:sz w:val="22"/>
                <w:szCs w:val="22"/>
                <w:highlight w:val="none"/>
              </w:rPr>
            </w:pPr>
          </w:p>
        </w:tc>
      </w:tr>
    </w:tbl>
    <w:p>
      <w:pPr>
        <w:widowControl/>
        <w:jc w:val="left"/>
        <w:rPr>
          <w:rFonts w:hint="eastAsia" w:ascii="宋体" w:hAnsi="宋体" w:eastAsia="宋体" w:cs="宋体"/>
          <w:color w:val="auto"/>
        </w:rPr>
      </w:pPr>
      <w:r>
        <w:rPr>
          <w:rFonts w:hint="eastAsia" w:ascii="宋体" w:hAnsi="宋体" w:eastAsia="宋体" w:cs="宋体"/>
          <w:color w:val="auto"/>
          <w:sz w:val="24"/>
          <w:szCs w:val="24"/>
        </w:rPr>
        <w:t>说明：</w:t>
      </w:r>
    </w:p>
    <w:p>
      <w:pPr>
        <w:spacing w:line="360" w:lineRule="exact"/>
        <w:rPr>
          <w:rFonts w:hint="eastAsia" w:ascii="宋体" w:hAnsi="宋体" w:eastAsia="宋体" w:cs="宋体"/>
          <w:color w:val="auto"/>
          <w:sz w:val="22"/>
          <w:szCs w:val="22"/>
        </w:rPr>
      </w:pPr>
      <w:r>
        <w:rPr>
          <w:rFonts w:hint="eastAsia" w:ascii="宋体" w:hAnsi="宋体" w:eastAsia="宋体" w:cs="宋体"/>
          <w:color w:val="auto"/>
          <w:sz w:val="22"/>
          <w:szCs w:val="22"/>
        </w:rPr>
        <w:t>（1）上述各项中用“√”表示</w:t>
      </w:r>
      <w:r>
        <w:rPr>
          <w:rFonts w:hint="eastAsia" w:ascii="宋体" w:hAnsi="宋体" w:eastAsia="宋体" w:cs="宋体"/>
          <w:color w:val="auto"/>
          <w:sz w:val="22"/>
          <w:szCs w:val="22"/>
          <w:lang w:eastAsia="zh-CN"/>
        </w:rPr>
        <w:t>是</w:t>
      </w:r>
      <w:r>
        <w:rPr>
          <w:rFonts w:hint="eastAsia" w:ascii="宋体" w:hAnsi="宋体" w:eastAsia="宋体" w:cs="宋体"/>
          <w:color w:val="auto"/>
          <w:sz w:val="22"/>
          <w:szCs w:val="22"/>
        </w:rPr>
        <w:t>，“×”表示</w:t>
      </w:r>
      <w:r>
        <w:rPr>
          <w:rFonts w:hint="eastAsia" w:ascii="宋体" w:hAnsi="宋体" w:eastAsia="宋体" w:cs="宋体"/>
          <w:color w:val="auto"/>
          <w:sz w:val="22"/>
          <w:szCs w:val="22"/>
          <w:lang w:eastAsia="zh-CN"/>
        </w:rPr>
        <w:t>否</w:t>
      </w:r>
      <w:r>
        <w:rPr>
          <w:rFonts w:hint="eastAsia" w:ascii="宋体" w:hAnsi="宋体" w:eastAsia="宋体" w:cs="宋体"/>
          <w:color w:val="auto"/>
          <w:sz w:val="22"/>
          <w:szCs w:val="22"/>
        </w:rPr>
        <w:t>；</w:t>
      </w:r>
    </w:p>
    <w:p>
      <w:pPr>
        <w:spacing w:line="360" w:lineRule="exact"/>
        <w:rPr>
          <w:rFonts w:hint="eastAsia" w:ascii="宋体" w:hAnsi="宋体" w:eastAsia="宋体" w:cs="宋体"/>
          <w:color w:val="auto"/>
          <w:sz w:val="22"/>
          <w:szCs w:val="22"/>
        </w:rPr>
      </w:pPr>
      <w:r>
        <w:rPr>
          <w:rFonts w:hint="eastAsia" w:ascii="宋体" w:hAnsi="宋体" w:eastAsia="宋体" w:cs="宋体"/>
          <w:color w:val="auto"/>
          <w:sz w:val="22"/>
          <w:szCs w:val="22"/>
        </w:rPr>
        <w:t>（2）上述各项中如有一项为“×”，则结论为“</w:t>
      </w:r>
      <w:r>
        <w:rPr>
          <w:rFonts w:hint="eastAsia" w:ascii="宋体" w:hAnsi="宋体" w:eastAsia="宋体" w:cs="宋体"/>
          <w:color w:val="auto"/>
          <w:sz w:val="22"/>
          <w:szCs w:val="22"/>
          <w:lang w:eastAsia="zh-CN"/>
        </w:rPr>
        <w:t>不通过</w:t>
      </w:r>
      <w:r>
        <w:rPr>
          <w:rFonts w:hint="eastAsia" w:ascii="宋体" w:hAnsi="宋体" w:eastAsia="宋体" w:cs="宋体"/>
          <w:color w:val="auto"/>
          <w:sz w:val="22"/>
          <w:szCs w:val="22"/>
        </w:rPr>
        <w:t>”，表示该</w:t>
      </w:r>
      <w:r>
        <w:rPr>
          <w:rFonts w:hint="eastAsia" w:ascii="宋体" w:hAnsi="宋体" w:eastAsia="宋体" w:cs="宋体"/>
          <w:color w:val="auto"/>
          <w:sz w:val="22"/>
          <w:szCs w:val="22"/>
          <w:lang w:eastAsia="zh-CN"/>
        </w:rPr>
        <w:t>投标文件</w:t>
      </w:r>
      <w:r>
        <w:rPr>
          <w:rFonts w:hint="eastAsia" w:ascii="宋体" w:hAnsi="宋体" w:eastAsia="宋体" w:cs="宋体"/>
          <w:color w:val="auto"/>
          <w:sz w:val="22"/>
          <w:szCs w:val="22"/>
        </w:rPr>
        <w:t>中存在重大偏差，不能通过初步评审；评委对某一分项评审认为不合格时，必须要写明原因。</w:t>
      </w:r>
    </w:p>
    <w:p>
      <w:pPr>
        <w:spacing w:line="360" w:lineRule="exact"/>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eastAsia="zh-CN"/>
        </w:rPr>
        <w:t>招标文件</w:t>
      </w:r>
      <w:r>
        <w:rPr>
          <w:rFonts w:hint="eastAsia" w:ascii="宋体" w:hAnsi="宋体" w:eastAsia="宋体" w:cs="宋体"/>
          <w:color w:val="auto"/>
          <w:sz w:val="22"/>
          <w:szCs w:val="22"/>
        </w:rPr>
        <w:t>最终合格与否，以所有评委的评审意见中少数服从多数为原则定论。</w:t>
      </w:r>
    </w:p>
    <w:p>
      <w:pPr>
        <w:spacing w:line="360" w:lineRule="exact"/>
        <w:rPr>
          <w:rFonts w:hint="eastAsia" w:ascii="宋体" w:hAnsi="宋体" w:eastAsia="宋体" w:cs="宋体"/>
          <w:color w:val="auto"/>
        </w:rPr>
      </w:pPr>
      <w:r>
        <w:rPr>
          <w:rFonts w:hint="eastAsia" w:ascii="宋体" w:hAnsi="宋体" w:eastAsia="宋体" w:cs="宋体"/>
          <w:b/>
          <w:bCs/>
          <w:color w:val="auto"/>
          <w:sz w:val="22"/>
          <w:szCs w:val="22"/>
        </w:rPr>
        <w:t>备注：如果</w:t>
      </w:r>
      <w:r>
        <w:rPr>
          <w:rFonts w:hint="eastAsia" w:ascii="宋体" w:hAnsi="宋体" w:eastAsia="宋体" w:cs="宋体"/>
          <w:b/>
          <w:bCs/>
          <w:color w:val="auto"/>
          <w:sz w:val="22"/>
          <w:szCs w:val="22"/>
          <w:lang w:eastAsia="zh-CN"/>
        </w:rPr>
        <w:t>招标文件</w:t>
      </w:r>
      <w:r>
        <w:rPr>
          <w:rFonts w:hint="eastAsia" w:ascii="宋体" w:hAnsi="宋体" w:eastAsia="宋体" w:cs="宋体"/>
          <w:b/>
          <w:bCs/>
          <w:color w:val="auto"/>
          <w:sz w:val="22"/>
          <w:szCs w:val="22"/>
        </w:rPr>
        <w:t>中有一项未通过上述审查标准，</w:t>
      </w:r>
      <w:r>
        <w:rPr>
          <w:rFonts w:hint="eastAsia" w:ascii="宋体" w:hAnsi="宋体" w:eastAsia="宋体" w:cs="宋体"/>
          <w:b/>
          <w:bCs/>
          <w:color w:val="auto"/>
          <w:sz w:val="22"/>
          <w:szCs w:val="22"/>
          <w:lang w:eastAsia="zh-CN"/>
        </w:rPr>
        <w:t>评标委员</w:t>
      </w:r>
      <w:r>
        <w:rPr>
          <w:rFonts w:hint="eastAsia" w:ascii="宋体" w:hAnsi="宋体" w:eastAsia="宋体" w:cs="宋体"/>
          <w:b/>
          <w:bCs/>
          <w:color w:val="auto"/>
          <w:sz w:val="22"/>
          <w:szCs w:val="22"/>
        </w:rPr>
        <w:t>会将认定整个</w:t>
      </w:r>
      <w:r>
        <w:rPr>
          <w:rFonts w:hint="eastAsia" w:ascii="宋体" w:hAnsi="宋体" w:eastAsia="宋体" w:cs="宋体"/>
          <w:b/>
          <w:bCs/>
          <w:color w:val="auto"/>
          <w:sz w:val="22"/>
          <w:szCs w:val="22"/>
          <w:lang w:eastAsia="zh-CN"/>
        </w:rPr>
        <w:t>投标文件未响应招标文件</w:t>
      </w:r>
      <w:r>
        <w:rPr>
          <w:rFonts w:hint="eastAsia" w:ascii="宋体" w:hAnsi="宋体" w:eastAsia="宋体" w:cs="宋体"/>
          <w:b/>
          <w:bCs/>
          <w:color w:val="auto"/>
          <w:sz w:val="22"/>
          <w:szCs w:val="22"/>
        </w:rPr>
        <w:t>而予以无效处理。</w:t>
      </w:r>
    </w:p>
    <w:p>
      <w:pPr>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spacing w:before="44"/>
        <w:ind w:left="156" w:right="0" w:firstLine="0"/>
        <w:jc w:val="center"/>
        <w:rPr>
          <w:rFonts w:hint="eastAsia" w:ascii="宋体" w:hAnsi="宋体" w:eastAsia="宋体" w:cs="宋体"/>
          <w:b/>
          <w:color w:val="auto"/>
          <w:sz w:val="32"/>
        </w:rPr>
      </w:pPr>
      <w:r>
        <w:rPr>
          <w:rFonts w:hint="eastAsia" w:ascii="宋体" w:hAnsi="宋体" w:eastAsia="宋体" w:cs="宋体"/>
          <w:b/>
          <w:color w:val="auto"/>
          <w:sz w:val="28"/>
          <w:szCs w:val="28"/>
          <w:highlight w:val="none"/>
        </w:rPr>
        <w:t>初步评审--符合性审查表</w:t>
      </w:r>
    </w:p>
    <w:tbl>
      <w:tblPr>
        <w:tblStyle w:val="21"/>
        <w:tblpPr w:leftFromText="180" w:rightFromText="180" w:vertAnchor="text" w:horzAnchor="page" w:tblpX="1502" w:tblpY="13"/>
        <w:tblOverlap w:val="never"/>
        <w:tblW w:w="9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6263"/>
        <w:gridCol w:w="781"/>
        <w:gridCol w:w="780"/>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3" w:hRule="atLeast"/>
        </w:trPr>
        <w:tc>
          <w:tcPr>
            <w:tcW w:w="566" w:type="dxa"/>
            <w:vMerge w:val="restart"/>
            <w:noWrap w:val="0"/>
            <w:vAlign w:val="center"/>
          </w:tcPr>
          <w:p>
            <w:pPr>
              <w:pStyle w:val="32"/>
              <w:spacing w:line="312" w:lineRule="auto"/>
              <w:ind w:left="0" w:leftChars="0" w:right="151" w:firstLine="0" w:firstLineChars="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6263" w:type="dxa"/>
            <w:vMerge w:val="restart"/>
            <w:noWrap w:val="0"/>
            <w:vAlign w:val="center"/>
          </w:tcPr>
          <w:p>
            <w:pPr>
              <w:pStyle w:val="32"/>
              <w:spacing w:before="5"/>
              <w:ind w:left="0" w:leftChars="0" w:firstLine="0" w:firstLineChars="0"/>
              <w:jc w:val="center"/>
              <w:rPr>
                <w:rFonts w:hint="eastAsia" w:ascii="宋体" w:hAnsi="宋体" w:eastAsia="宋体" w:cs="宋体"/>
                <w:b/>
                <w:color w:val="auto"/>
                <w:sz w:val="22"/>
              </w:rPr>
            </w:pPr>
          </w:p>
          <w:p>
            <w:pPr>
              <w:pStyle w:val="32"/>
              <w:spacing w:before="1"/>
              <w:ind w:left="2631" w:right="2621"/>
              <w:jc w:val="center"/>
              <w:rPr>
                <w:rFonts w:hint="eastAsia" w:ascii="宋体" w:hAnsi="宋体" w:eastAsia="宋体" w:cs="宋体"/>
                <w:color w:val="auto"/>
                <w:sz w:val="24"/>
              </w:rPr>
            </w:pPr>
            <w:r>
              <w:rPr>
                <w:rFonts w:hint="eastAsia" w:ascii="宋体" w:hAnsi="宋体" w:eastAsia="宋体" w:cs="宋体"/>
                <w:color w:val="auto"/>
                <w:sz w:val="24"/>
              </w:rPr>
              <w:t>评审内容</w:t>
            </w:r>
          </w:p>
        </w:tc>
        <w:tc>
          <w:tcPr>
            <w:tcW w:w="2341" w:type="dxa"/>
            <w:gridSpan w:val="3"/>
            <w:noWrap w:val="0"/>
            <w:vAlign w:val="center"/>
          </w:tcPr>
          <w:p>
            <w:pPr>
              <w:pStyle w:val="32"/>
              <w:spacing w:before="99"/>
              <w:ind w:left="578"/>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66" w:type="dxa"/>
            <w:vMerge w:val="continue"/>
            <w:tcBorders>
              <w:top w:val="nil"/>
            </w:tcBorders>
            <w:noWrap w:val="0"/>
            <w:vAlign w:val="center"/>
          </w:tcPr>
          <w:p>
            <w:pPr>
              <w:jc w:val="center"/>
              <w:rPr>
                <w:rFonts w:hint="eastAsia" w:ascii="宋体" w:hAnsi="宋体" w:eastAsia="宋体" w:cs="宋体"/>
                <w:color w:val="auto"/>
                <w:sz w:val="2"/>
                <w:szCs w:val="2"/>
              </w:rPr>
            </w:pPr>
          </w:p>
        </w:tc>
        <w:tc>
          <w:tcPr>
            <w:tcW w:w="6263" w:type="dxa"/>
            <w:vMerge w:val="continue"/>
            <w:tcBorders>
              <w:top w:val="nil"/>
            </w:tcBorders>
            <w:noWrap w:val="0"/>
            <w:vAlign w:val="center"/>
          </w:tcPr>
          <w:p>
            <w:pPr>
              <w:jc w:val="center"/>
              <w:rPr>
                <w:rFonts w:hint="eastAsia" w:ascii="宋体" w:hAnsi="宋体" w:eastAsia="宋体" w:cs="宋体"/>
                <w:color w:val="auto"/>
                <w:sz w:val="2"/>
                <w:szCs w:val="2"/>
              </w:rPr>
            </w:pPr>
          </w:p>
        </w:tc>
        <w:tc>
          <w:tcPr>
            <w:tcW w:w="781" w:type="dxa"/>
            <w:noWrap w:val="0"/>
            <w:vAlign w:val="center"/>
          </w:tcPr>
          <w:p>
            <w:pPr>
              <w:jc w:val="center"/>
              <w:rPr>
                <w:rFonts w:hint="eastAsia" w:ascii="宋体" w:hAnsi="宋体" w:eastAsia="宋体" w:cs="宋体"/>
              </w:rPr>
            </w:pPr>
            <w:r>
              <w:rPr>
                <w:rFonts w:hint="eastAsia" w:ascii="宋体" w:hAnsi="宋体" w:eastAsia="宋体" w:cs="宋体"/>
              </w:rPr>
              <w:t>是否</w:t>
            </w:r>
          </w:p>
          <w:p>
            <w:pPr>
              <w:jc w:val="center"/>
              <w:rPr>
                <w:rFonts w:hint="eastAsia" w:ascii="宋体" w:hAnsi="宋体" w:eastAsia="宋体" w:cs="宋体"/>
              </w:rPr>
            </w:pPr>
            <w:r>
              <w:rPr>
                <w:rFonts w:hint="eastAsia" w:ascii="宋体" w:hAnsi="宋体" w:eastAsia="宋体" w:cs="宋体"/>
              </w:rPr>
              <w:t>合格</w:t>
            </w:r>
          </w:p>
        </w:tc>
        <w:tc>
          <w:tcPr>
            <w:tcW w:w="780" w:type="dxa"/>
            <w:noWrap w:val="0"/>
            <w:vAlign w:val="center"/>
          </w:tcPr>
          <w:p>
            <w:pPr>
              <w:jc w:val="center"/>
              <w:rPr>
                <w:rFonts w:hint="eastAsia" w:ascii="宋体" w:hAnsi="宋体" w:eastAsia="宋体" w:cs="宋体"/>
              </w:rPr>
            </w:pPr>
            <w:r>
              <w:rPr>
                <w:rFonts w:hint="eastAsia" w:ascii="宋体" w:hAnsi="宋体" w:eastAsia="宋体" w:cs="宋体"/>
              </w:rPr>
              <w:t>是否</w:t>
            </w:r>
          </w:p>
          <w:p>
            <w:pPr>
              <w:jc w:val="center"/>
              <w:rPr>
                <w:rFonts w:hint="eastAsia" w:ascii="宋体" w:hAnsi="宋体" w:eastAsia="宋体" w:cs="宋体"/>
              </w:rPr>
            </w:pPr>
            <w:r>
              <w:rPr>
                <w:rFonts w:hint="eastAsia" w:ascii="宋体" w:hAnsi="宋体" w:eastAsia="宋体" w:cs="宋体"/>
              </w:rPr>
              <w:t>合格</w:t>
            </w:r>
          </w:p>
        </w:tc>
        <w:tc>
          <w:tcPr>
            <w:tcW w:w="780" w:type="dxa"/>
            <w:noWrap w:val="0"/>
            <w:vAlign w:val="center"/>
          </w:tcPr>
          <w:p>
            <w:pPr>
              <w:jc w:val="center"/>
              <w:rPr>
                <w:rFonts w:hint="eastAsia" w:ascii="宋体" w:hAnsi="宋体" w:eastAsia="宋体" w:cs="宋体"/>
              </w:rPr>
            </w:pPr>
            <w:r>
              <w:rPr>
                <w:rFonts w:hint="eastAsia" w:ascii="宋体" w:hAnsi="宋体" w:eastAsia="宋体" w:cs="宋体"/>
              </w:rPr>
              <w:t>是否</w:t>
            </w:r>
          </w:p>
          <w:p>
            <w:pPr>
              <w:jc w:val="center"/>
              <w:rPr>
                <w:rFonts w:hint="eastAsia" w:ascii="宋体" w:hAnsi="宋体" w:eastAsia="宋体" w:cs="宋体"/>
              </w:rPr>
            </w:pPr>
            <w:r>
              <w:rPr>
                <w:rFonts w:hint="eastAsia" w:ascii="宋体" w:hAnsi="宋体" w:eastAsia="宋体" w:cs="宋体"/>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6" w:type="dxa"/>
            <w:noWrap w:val="0"/>
            <w:vAlign w:val="center"/>
          </w:tcPr>
          <w:p>
            <w:pPr>
              <w:pStyle w:val="32"/>
              <w:spacing w:before="1"/>
              <w:ind w:left="8"/>
              <w:jc w:val="center"/>
              <w:rPr>
                <w:rStyle w:val="22"/>
                <w:rFonts w:hint="eastAsia" w:ascii="宋体" w:hAnsi="宋体" w:eastAsia="宋体" w:cs="宋体"/>
              </w:rPr>
            </w:pPr>
            <w:r>
              <w:rPr>
                <w:rStyle w:val="22"/>
                <w:rFonts w:hint="eastAsia" w:ascii="宋体" w:hAnsi="宋体" w:eastAsia="宋体" w:cs="宋体"/>
              </w:rPr>
              <w:t>1</w:t>
            </w:r>
          </w:p>
        </w:tc>
        <w:tc>
          <w:tcPr>
            <w:tcW w:w="6263" w:type="dxa"/>
            <w:noWrap w:val="0"/>
            <w:vAlign w:val="center"/>
          </w:tcPr>
          <w:p>
            <w:pPr>
              <w:pStyle w:val="32"/>
              <w:spacing w:before="2"/>
              <w:ind w:left="107"/>
              <w:jc w:val="both"/>
              <w:rPr>
                <w:rFonts w:hint="eastAsia" w:ascii="宋体" w:hAnsi="宋体" w:eastAsia="宋体" w:cs="宋体"/>
                <w:color w:val="auto"/>
                <w:sz w:val="21"/>
              </w:rPr>
            </w:pPr>
            <w:r>
              <w:rPr>
                <w:rFonts w:hint="eastAsia" w:ascii="宋体" w:hAnsi="宋体" w:eastAsia="宋体" w:cs="宋体"/>
                <w:color w:val="auto"/>
                <w:sz w:val="21"/>
                <w:lang w:eastAsia="zh-CN"/>
              </w:rPr>
              <w:t>投标人</w:t>
            </w:r>
            <w:r>
              <w:rPr>
                <w:rFonts w:hint="eastAsia" w:ascii="宋体" w:hAnsi="宋体" w:eastAsia="宋体" w:cs="宋体"/>
                <w:color w:val="auto"/>
                <w:sz w:val="21"/>
              </w:rPr>
              <w:t>名称或组织机构与获取招标文件时不一致，未提供有效证明</w:t>
            </w:r>
          </w:p>
          <w:p>
            <w:pPr>
              <w:pStyle w:val="32"/>
              <w:spacing w:before="139"/>
              <w:ind w:left="107"/>
              <w:jc w:val="both"/>
              <w:rPr>
                <w:rFonts w:hint="eastAsia" w:ascii="宋体" w:hAnsi="宋体" w:eastAsia="宋体" w:cs="宋体"/>
                <w:color w:val="auto"/>
                <w:sz w:val="21"/>
              </w:rPr>
            </w:pPr>
            <w:r>
              <w:rPr>
                <w:rFonts w:hint="eastAsia" w:ascii="宋体" w:hAnsi="宋体" w:eastAsia="宋体" w:cs="宋体"/>
                <w:color w:val="auto"/>
                <w:sz w:val="21"/>
              </w:rPr>
              <w:t>文件；</w:t>
            </w:r>
          </w:p>
        </w:tc>
        <w:tc>
          <w:tcPr>
            <w:tcW w:w="781"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66" w:type="dxa"/>
            <w:noWrap w:val="0"/>
            <w:vAlign w:val="center"/>
          </w:tcPr>
          <w:p>
            <w:pPr>
              <w:pStyle w:val="32"/>
              <w:spacing w:before="1"/>
              <w:ind w:left="8"/>
              <w:jc w:val="center"/>
              <w:rPr>
                <w:rStyle w:val="22"/>
                <w:rFonts w:hint="eastAsia" w:ascii="宋体" w:hAnsi="宋体" w:eastAsia="宋体" w:cs="宋体"/>
              </w:rPr>
            </w:pPr>
            <w:r>
              <w:rPr>
                <w:rStyle w:val="22"/>
                <w:rFonts w:hint="eastAsia" w:ascii="宋体" w:hAnsi="宋体" w:eastAsia="宋体" w:cs="宋体"/>
              </w:rPr>
              <w:t>2</w:t>
            </w:r>
          </w:p>
        </w:tc>
        <w:tc>
          <w:tcPr>
            <w:tcW w:w="6263" w:type="dxa"/>
            <w:noWrap w:val="0"/>
            <w:vAlign w:val="center"/>
          </w:tcPr>
          <w:p>
            <w:pPr>
              <w:pStyle w:val="32"/>
              <w:ind w:left="107"/>
              <w:jc w:val="both"/>
              <w:rPr>
                <w:rFonts w:hint="eastAsia" w:ascii="宋体" w:hAnsi="宋体" w:eastAsia="宋体" w:cs="宋体"/>
                <w:color w:val="auto"/>
                <w:sz w:val="21"/>
              </w:rPr>
            </w:pPr>
            <w:r>
              <w:rPr>
                <w:rFonts w:hint="eastAsia" w:ascii="宋体" w:hAnsi="宋体" w:eastAsia="宋体" w:cs="宋体"/>
                <w:color w:val="auto"/>
                <w:sz w:val="21"/>
              </w:rPr>
              <w:t>由政府立项核准、审批的采购项目，投标报价高于设定的采购预算</w:t>
            </w:r>
          </w:p>
          <w:p>
            <w:pPr>
              <w:pStyle w:val="32"/>
              <w:spacing w:before="139"/>
              <w:ind w:left="107"/>
              <w:jc w:val="both"/>
              <w:rPr>
                <w:rFonts w:hint="eastAsia" w:ascii="宋体" w:hAnsi="宋体" w:eastAsia="宋体" w:cs="宋体"/>
                <w:color w:val="auto"/>
                <w:sz w:val="21"/>
              </w:rPr>
            </w:pPr>
            <w:r>
              <w:rPr>
                <w:rFonts w:hint="eastAsia" w:ascii="宋体" w:hAnsi="宋体" w:eastAsia="宋体" w:cs="宋体"/>
                <w:color w:val="auto"/>
                <w:sz w:val="21"/>
              </w:rPr>
              <w:t>价的；</w:t>
            </w:r>
          </w:p>
        </w:tc>
        <w:tc>
          <w:tcPr>
            <w:tcW w:w="781"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6" w:hRule="atLeast"/>
        </w:trPr>
        <w:tc>
          <w:tcPr>
            <w:tcW w:w="566" w:type="dxa"/>
            <w:noWrap w:val="0"/>
            <w:vAlign w:val="center"/>
          </w:tcPr>
          <w:p>
            <w:pPr>
              <w:pStyle w:val="32"/>
              <w:spacing w:before="206"/>
              <w:ind w:left="0" w:leftChars="0" w:firstLine="0" w:firstLineChars="0"/>
              <w:jc w:val="center"/>
              <w:rPr>
                <w:rStyle w:val="22"/>
                <w:rFonts w:hint="eastAsia" w:ascii="宋体" w:hAnsi="宋体" w:eastAsia="宋体" w:cs="宋体"/>
              </w:rPr>
            </w:pPr>
            <w:r>
              <w:rPr>
                <w:rStyle w:val="22"/>
                <w:rFonts w:hint="eastAsia" w:ascii="宋体" w:hAnsi="宋体" w:eastAsia="宋体" w:cs="宋体"/>
              </w:rPr>
              <w:t>3</w:t>
            </w:r>
          </w:p>
        </w:tc>
        <w:tc>
          <w:tcPr>
            <w:tcW w:w="6263" w:type="dxa"/>
            <w:noWrap w:val="0"/>
            <w:vAlign w:val="center"/>
          </w:tcPr>
          <w:p>
            <w:pPr>
              <w:pStyle w:val="32"/>
              <w:ind w:left="107"/>
              <w:jc w:val="left"/>
              <w:rPr>
                <w:rFonts w:hint="eastAsia" w:ascii="宋体" w:hAnsi="宋体" w:eastAsia="宋体" w:cs="宋体"/>
                <w:color w:val="auto"/>
                <w:sz w:val="21"/>
              </w:rPr>
            </w:pPr>
            <w:r>
              <w:rPr>
                <w:rFonts w:hint="eastAsia" w:ascii="宋体" w:hAnsi="宋体" w:eastAsia="宋体" w:cs="宋体"/>
                <w:color w:val="auto"/>
                <w:sz w:val="21"/>
              </w:rPr>
              <w:t>对</w:t>
            </w:r>
            <w:r>
              <w:rPr>
                <w:rFonts w:hint="eastAsia" w:ascii="宋体" w:hAnsi="宋体" w:eastAsia="宋体" w:cs="宋体"/>
                <w:color w:val="auto"/>
                <w:sz w:val="21"/>
                <w:lang w:val="en-US" w:eastAsia="zh-CN"/>
              </w:rPr>
              <w:t>招标文件</w:t>
            </w:r>
            <w:r>
              <w:rPr>
                <w:rFonts w:hint="eastAsia" w:ascii="宋体" w:hAnsi="宋体" w:eastAsia="宋体" w:cs="宋体"/>
                <w:color w:val="auto"/>
                <w:sz w:val="21"/>
              </w:rPr>
              <w:t>主要条款和承诺存在重大出入或保留；</w:t>
            </w:r>
          </w:p>
        </w:tc>
        <w:tc>
          <w:tcPr>
            <w:tcW w:w="781"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3" w:hRule="atLeast"/>
        </w:trPr>
        <w:tc>
          <w:tcPr>
            <w:tcW w:w="566" w:type="dxa"/>
            <w:noWrap w:val="0"/>
            <w:vAlign w:val="center"/>
          </w:tcPr>
          <w:p>
            <w:pPr>
              <w:pStyle w:val="32"/>
              <w:spacing w:before="172"/>
              <w:ind w:left="8"/>
              <w:jc w:val="center"/>
              <w:rPr>
                <w:rStyle w:val="22"/>
                <w:rFonts w:hint="eastAsia" w:ascii="宋体" w:hAnsi="宋体" w:eastAsia="宋体" w:cs="宋体"/>
              </w:rPr>
            </w:pPr>
            <w:r>
              <w:rPr>
                <w:rStyle w:val="22"/>
                <w:rFonts w:hint="eastAsia" w:ascii="宋体" w:hAnsi="宋体" w:eastAsia="宋体" w:cs="宋体"/>
              </w:rPr>
              <w:t>4</w:t>
            </w:r>
          </w:p>
        </w:tc>
        <w:tc>
          <w:tcPr>
            <w:tcW w:w="6263" w:type="dxa"/>
            <w:noWrap w:val="0"/>
            <w:vAlign w:val="top"/>
          </w:tcPr>
          <w:p>
            <w:pPr>
              <w:pStyle w:val="32"/>
              <w:spacing w:before="175"/>
              <w:ind w:left="107"/>
              <w:jc w:val="both"/>
              <w:rPr>
                <w:rFonts w:hint="eastAsia" w:ascii="宋体" w:hAnsi="宋体" w:eastAsia="宋体" w:cs="宋体"/>
                <w:color w:val="auto"/>
                <w:sz w:val="21"/>
              </w:rPr>
            </w:pPr>
            <w:r>
              <w:rPr>
                <w:rFonts w:hint="eastAsia" w:ascii="宋体" w:hAnsi="宋体" w:eastAsia="宋体" w:cs="宋体"/>
                <w:color w:val="auto"/>
                <w:sz w:val="21"/>
                <w:lang w:val="en-US" w:eastAsia="zh-CN"/>
              </w:rPr>
              <w:t>投标文件</w:t>
            </w:r>
            <w:r>
              <w:rPr>
                <w:rFonts w:hint="eastAsia" w:ascii="宋体" w:hAnsi="宋体" w:eastAsia="宋体" w:cs="宋体"/>
                <w:color w:val="auto"/>
                <w:sz w:val="21"/>
              </w:rPr>
              <w:t>未按照</w:t>
            </w:r>
            <w:r>
              <w:rPr>
                <w:rFonts w:hint="eastAsia" w:ascii="宋体" w:hAnsi="宋体" w:eastAsia="宋体" w:cs="宋体"/>
                <w:color w:val="auto"/>
                <w:sz w:val="21"/>
                <w:lang w:val="en-US" w:eastAsia="zh-CN"/>
              </w:rPr>
              <w:t>招标文件</w:t>
            </w:r>
            <w:r>
              <w:rPr>
                <w:rFonts w:hint="eastAsia" w:ascii="宋体" w:hAnsi="宋体" w:eastAsia="宋体" w:cs="宋体"/>
                <w:color w:val="auto"/>
                <w:sz w:val="21"/>
              </w:rPr>
              <w:t>要求编写、印鉴及签字；</w:t>
            </w:r>
          </w:p>
        </w:tc>
        <w:tc>
          <w:tcPr>
            <w:tcW w:w="781"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6" w:hRule="atLeast"/>
        </w:trPr>
        <w:tc>
          <w:tcPr>
            <w:tcW w:w="566" w:type="dxa"/>
            <w:noWrap w:val="0"/>
            <w:vAlign w:val="center"/>
          </w:tcPr>
          <w:p>
            <w:pPr>
              <w:pStyle w:val="32"/>
              <w:ind w:left="8"/>
              <w:jc w:val="center"/>
              <w:rPr>
                <w:rStyle w:val="22"/>
                <w:rFonts w:hint="eastAsia" w:ascii="宋体" w:hAnsi="宋体" w:eastAsia="宋体" w:cs="宋体"/>
              </w:rPr>
            </w:pPr>
            <w:r>
              <w:rPr>
                <w:rStyle w:val="22"/>
                <w:rFonts w:hint="eastAsia" w:ascii="宋体" w:hAnsi="宋体" w:eastAsia="宋体" w:cs="宋体"/>
              </w:rPr>
              <w:t>5</w:t>
            </w:r>
          </w:p>
        </w:tc>
        <w:tc>
          <w:tcPr>
            <w:tcW w:w="6263" w:type="dxa"/>
            <w:noWrap w:val="0"/>
            <w:vAlign w:val="top"/>
          </w:tcPr>
          <w:p>
            <w:pPr>
              <w:pStyle w:val="32"/>
              <w:ind w:left="107"/>
              <w:jc w:val="both"/>
              <w:rPr>
                <w:rFonts w:hint="eastAsia" w:ascii="宋体" w:hAnsi="宋体" w:eastAsia="宋体" w:cs="宋体"/>
                <w:color w:val="auto"/>
                <w:sz w:val="21"/>
              </w:rPr>
            </w:pPr>
            <w:r>
              <w:rPr>
                <w:rFonts w:hint="eastAsia" w:ascii="宋体" w:hAnsi="宋体" w:eastAsia="宋体" w:cs="宋体"/>
                <w:color w:val="auto"/>
                <w:sz w:val="21"/>
                <w:lang w:eastAsia="zh-CN"/>
              </w:rPr>
              <w:t>投标人</w:t>
            </w:r>
            <w:r>
              <w:rPr>
                <w:rFonts w:hint="eastAsia" w:ascii="宋体" w:hAnsi="宋体" w:eastAsia="宋体" w:cs="宋体"/>
                <w:color w:val="auto"/>
                <w:sz w:val="21"/>
              </w:rPr>
              <w:t>未按招标文件要求的格式填写，内容不全或关键字迹模糊、</w:t>
            </w:r>
          </w:p>
          <w:p>
            <w:pPr>
              <w:pStyle w:val="32"/>
              <w:spacing w:before="139"/>
              <w:ind w:left="107"/>
              <w:jc w:val="both"/>
              <w:rPr>
                <w:rFonts w:hint="eastAsia" w:ascii="宋体" w:hAnsi="宋体" w:eastAsia="宋体" w:cs="宋体"/>
                <w:color w:val="auto"/>
                <w:sz w:val="21"/>
              </w:rPr>
            </w:pPr>
            <w:r>
              <w:rPr>
                <w:rFonts w:hint="eastAsia" w:ascii="宋体" w:hAnsi="宋体" w:eastAsia="宋体" w:cs="宋体"/>
                <w:color w:val="auto"/>
                <w:sz w:val="21"/>
              </w:rPr>
              <w:t>无法辨认的情况；</w:t>
            </w:r>
          </w:p>
        </w:tc>
        <w:tc>
          <w:tcPr>
            <w:tcW w:w="781"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566" w:type="dxa"/>
            <w:noWrap w:val="0"/>
            <w:vAlign w:val="center"/>
          </w:tcPr>
          <w:p>
            <w:pPr>
              <w:pStyle w:val="32"/>
              <w:spacing w:before="130"/>
              <w:ind w:left="8"/>
              <w:jc w:val="center"/>
              <w:rPr>
                <w:rStyle w:val="22"/>
                <w:rFonts w:hint="eastAsia" w:ascii="宋体" w:hAnsi="宋体" w:eastAsia="宋体" w:cs="宋体"/>
              </w:rPr>
            </w:pPr>
            <w:r>
              <w:rPr>
                <w:rStyle w:val="22"/>
                <w:rFonts w:hint="eastAsia" w:ascii="宋体" w:hAnsi="宋体" w:eastAsia="宋体" w:cs="宋体"/>
              </w:rPr>
              <w:t>6</w:t>
            </w:r>
          </w:p>
        </w:tc>
        <w:tc>
          <w:tcPr>
            <w:tcW w:w="6263" w:type="dxa"/>
            <w:noWrap w:val="0"/>
            <w:vAlign w:val="center"/>
          </w:tcPr>
          <w:p>
            <w:pPr>
              <w:pStyle w:val="32"/>
              <w:spacing w:before="52"/>
              <w:ind w:left="107"/>
              <w:jc w:val="both"/>
              <w:rPr>
                <w:rFonts w:hint="eastAsia" w:ascii="宋体" w:hAnsi="宋体" w:eastAsia="宋体" w:cs="宋体"/>
                <w:color w:val="auto"/>
                <w:sz w:val="21"/>
              </w:rPr>
            </w:pPr>
            <w:r>
              <w:rPr>
                <w:rFonts w:hint="eastAsia" w:ascii="宋体" w:hAnsi="宋体" w:eastAsia="宋体" w:cs="宋体"/>
                <w:color w:val="auto"/>
                <w:sz w:val="21"/>
                <w:lang w:eastAsia="zh-CN"/>
              </w:rPr>
              <w:t>投标人</w:t>
            </w:r>
            <w:r>
              <w:rPr>
                <w:rFonts w:hint="eastAsia" w:ascii="宋体" w:hAnsi="宋体" w:eastAsia="宋体" w:cs="宋体"/>
                <w:color w:val="auto"/>
                <w:sz w:val="21"/>
              </w:rPr>
              <w:t>有违反招标投标纪律的情况；</w:t>
            </w:r>
          </w:p>
        </w:tc>
        <w:tc>
          <w:tcPr>
            <w:tcW w:w="781"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c>
          <w:tcPr>
            <w:tcW w:w="780" w:type="dxa"/>
            <w:noWrap w:val="0"/>
            <w:vAlign w:val="top"/>
          </w:tcPr>
          <w:p>
            <w:pPr>
              <w:pStyle w:val="32"/>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566" w:type="dxa"/>
            <w:tcBorders>
              <w:bottom w:val="single" w:color="000000" w:sz="8" w:space="0"/>
            </w:tcBorders>
            <w:noWrap w:val="0"/>
            <w:vAlign w:val="center"/>
          </w:tcPr>
          <w:p>
            <w:pPr>
              <w:pStyle w:val="32"/>
              <w:ind w:left="8"/>
              <w:jc w:val="center"/>
              <w:rPr>
                <w:rStyle w:val="22"/>
                <w:rFonts w:hint="eastAsia" w:ascii="宋体" w:hAnsi="宋体" w:eastAsia="宋体" w:cs="宋体"/>
              </w:rPr>
            </w:pPr>
            <w:r>
              <w:rPr>
                <w:rStyle w:val="22"/>
                <w:rFonts w:hint="eastAsia" w:ascii="宋体" w:hAnsi="宋体" w:eastAsia="宋体" w:cs="宋体"/>
              </w:rPr>
              <w:t>7</w:t>
            </w:r>
          </w:p>
        </w:tc>
        <w:tc>
          <w:tcPr>
            <w:tcW w:w="6263" w:type="dxa"/>
            <w:tcBorders>
              <w:bottom w:val="single" w:color="000000" w:sz="8" w:space="0"/>
            </w:tcBorders>
            <w:noWrap w:val="0"/>
            <w:vAlign w:val="center"/>
          </w:tcPr>
          <w:p>
            <w:pPr>
              <w:pStyle w:val="32"/>
              <w:jc w:val="both"/>
              <w:rPr>
                <w:rFonts w:hint="eastAsia" w:ascii="宋体" w:hAnsi="宋体" w:eastAsia="宋体" w:cs="宋体"/>
                <w:color w:val="auto"/>
                <w:sz w:val="21"/>
              </w:rPr>
            </w:pPr>
            <w:r>
              <w:rPr>
                <w:rFonts w:hint="eastAsia" w:ascii="宋体" w:hAnsi="宋体" w:eastAsia="宋体" w:cs="宋体"/>
                <w:color w:val="auto"/>
                <w:sz w:val="21"/>
              </w:rPr>
              <w:t>未提供</w:t>
            </w:r>
            <w:r>
              <w:rPr>
                <w:rFonts w:hint="eastAsia" w:ascii="宋体" w:hAnsi="宋体" w:eastAsia="宋体" w:cs="宋体"/>
                <w:color w:val="auto"/>
                <w:sz w:val="21"/>
                <w:lang w:val="en-US" w:eastAsia="zh-CN"/>
              </w:rPr>
              <w:t>招标文件</w:t>
            </w:r>
            <w:r>
              <w:rPr>
                <w:rFonts w:hint="eastAsia" w:ascii="宋体" w:hAnsi="宋体" w:eastAsia="宋体" w:cs="宋体"/>
                <w:color w:val="auto"/>
                <w:sz w:val="21"/>
              </w:rPr>
              <w:t>中规定的其他实质性要求；</w:t>
            </w:r>
          </w:p>
        </w:tc>
        <w:tc>
          <w:tcPr>
            <w:tcW w:w="781" w:type="dxa"/>
            <w:tcBorders>
              <w:bottom w:val="single" w:color="000000" w:sz="8" w:space="0"/>
            </w:tcBorders>
            <w:noWrap w:val="0"/>
            <w:vAlign w:val="top"/>
          </w:tcPr>
          <w:p>
            <w:pPr>
              <w:pStyle w:val="32"/>
              <w:rPr>
                <w:rFonts w:hint="eastAsia" w:ascii="宋体" w:hAnsi="宋体" w:eastAsia="宋体" w:cs="宋体"/>
                <w:color w:val="auto"/>
                <w:sz w:val="22"/>
              </w:rPr>
            </w:pPr>
          </w:p>
        </w:tc>
        <w:tc>
          <w:tcPr>
            <w:tcW w:w="780" w:type="dxa"/>
            <w:tcBorders>
              <w:bottom w:val="single" w:color="000000" w:sz="8" w:space="0"/>
            </w:tcBorders>
            <w:noWrap w:val="0"/>
            <w:vAlign w:val="top"/>
          </w:tcPr>
          <w:p>
            <w:pPr>
              <w:pStyle w:val="32"/>
              <w:rPr>
                <w:rFonts w:hint="eastAsia" w:ascii="宋体" w:hAnsi="宋体" w:eastAsia="宋体" w:cs="宋体"/>
                <w:color w:val="auto"/>
                <w:sz w:val="22"/>
              </w:rPr>
            </w:pPr>
          </w:p>
        </w:tc>
        <w:tc>
          <w:tcPr>
            <w:tcW w:w="780" w:type="dxa"/>
            <w:tcBorders>
              <w:bottom w:val="single" w:color="000000" w:sz="8" w:space="0"/>
            </w:tcBorders>
            <w:noWrap w:val="0"/>
            <w:vAlign w:val="top"/>
          </w:tcPr>
          <w:p>
            <w:pPr>
              <w:pStyle w:val="32"/>
              <w:rPr>
                <w:rFonts w:hint="eastAsia"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6" w:hRule="atLeast"/>
        </w:trPr>
        <w:tc>
          <w:tcPr>
            <w:tcW w:w="566" w:type="dxa"/>
            <w:tcBorders>
              <w:top w:val="single" w:color="000000" w:sz="8" w:space="0"/>
            </w:tcBorders>
            <w:noWrap w:val="0"/>
            <w:vAlign w:val="center"/>
          </w:tcPr>
          <w:p>
            <w:pPr>
              <w:pStyle w:val="32"/>
              <w:jc w:val="center"/>
              <w:rPr>
                <w:rStyle w:val="22"/>
                <w:rFonts w:hint="eastAsia" w:ascii="宋体" w:hAnsi="宋体" w:eastAsia="宋体" w:cs="宋体"/>
              </w:rPr>
            </w:pPr>
          </w:p>
        </w:tc>
        <w:tc>
          <w:tcPr>
            <w:tcW w:w="6263" w:type="dxa"/>
            <w:tcBorders>
              <w:top w:val="single" w:color="000000" w:sz="8" w:space="0"/>
            </w:tcBorders>
            <w:noWrap w:val="0"/>
            <w:vAlign w:val="top"/>
          </w:tcPr>
          <w:p>
            <w:pPr>
              <w:pStyle w:val="32"/>
              <w:spacing w:before="103"/>
              <w:ind w:left="2631" w:right="2621"/>
              <w:jc w:val="center"/>
              <w:rPr>
                <w:rFonts w:hint="eastAsia" w:ascii="宋体" w:hAnsi="宋体" w:eastAsia="宋体" w:cs="宋体"/>
                <w:color w:val="auto"/>
                <w:sz w:val="24"/>
              </w:rPr>
            </w:pPr>
            <w:r>
              <w:rPr>
                <w:rFonts w:hint="eastAsia" w:ascii="宋体" w:hAnsi="宋体" w:eastAsia="宋体" w:cs="宋体"/>
                <w:color w:val="auto"/>
                <w:sz w:val="24"/>
              </w:rPr>
              <w:t>结论</w:t>
            </w:r>
          </w:p>
        </w:tc>
        <w:tc>
          <w:tcPr>
            <w:tcW w:w="781" w:type="dxa"/>
            <w:tcBorders>
              <w:top w:val="single" w:color="000000" w:sz="8" w:space="0"/>
            </w:tcBorders>
            <w:noWrap w:val="0"/>
            <w:vAlign w:val="top"/>
          </w:tcPr>
          <w:p>
            <w:pPr>
              <w:pStyle w:val="32"/>
              <w:rPr>
                <w:rFonts w:hint="eastAsia" w:ascii="宋体" w:hAnsi="宋体" w:eastAsia="宋体" w:cs="宋体"/>
                <w:color w:val="auto"/>
                <w:sz w:val="22"/>
              </w:rPr>
            </w:pPr>
          </w:p>
        </w:tc>
        <w:tc>
          <w:tcPr>
            <w:tcW w:w="780" w:type="dxa"/>
            <w:tcBorders>
              <w:top w:val="single" w:color="000000" w:sz="8" w:space="0"/>
            </w:tcBorders>
            <w:noWrap w:val="0"/>
            <w:vAlign w:val="top"/>
          </w:tcPr>
          <w:p>
            <w:pPr>
              <w:pStyle w:val="32"/>
              <w:rPr>
                <w:rFonts w:hint="eastAsia" w:ascii="宋体" w:hAnsi="宋体" w:eastAsia="宋体" w:cs="宋体"/>
                <w:color w:val="auto"/>
                <w:sz w:val="22"/>
              </w:rPr>
            </w:pPr>
          </w:p>
        </w:tc>
        <w:tc>
          <w:tcPr>
            <w:tcW w:w="780" w:type="dxa"/>
            <w:tcBorders>
              <w:top w:val="single" w:color="000000" w:sz="8" w:space="0"/>
            </w:tcBorders>
            <w:noWrap w:val="0"/>
            <w:vAlign w:val="top"/>
          </w:tcPr>
          <w:p>
            <w:pPr>
              <w:pStyle w:val="32"/>
              <w:rPr>
                <w:rFonts w:hint="eastAsia" w:ascii="宋体" w:hAnsi="宋体" w:eastAsia="宋体" w:cs="宋体"/>
                <w:color w:val="auto"/>
                <w:sz w:val="22"/>
              </w:rPr>
            </w:pPr>
          </w:p>
        </w:tc>
      </w:tr>
    </w:tbl>
    <w:p>
      <w:pPr>
        <w:pStyle w:val="9"/>
        <w:spacing w:before="12"/>
        <w:rPr>
          <w:rFonts w:hint="eastAsia" w:ascii="宋体" w:hAnsi="宋体" w:eastAsia="宋体" w:cs="宋体"/>
          <w:b/>
          <w:color w:val="auto"/>
          <w:sz w:val="9"/>
        </w:rPr>
      </w:pPr>
    </w:p>
    <w:p>
      <w:pPr>
        <w:pStyle w:val="9"/>
        <w:spacing w:before="50"/>
        <w:rPr>
          <w:rFonts w:hint="eastAsia" w:ascii="宋体" w:hAnsi="宋体" w:eastAsia="宋体" w:cs="宋体"/>
          <w:color w:val="auto"/>
        </w:rPr>
      </w:pPr>
      <w:r>
        <w:rPr>
          <w:rFonts w:hint="eastAsia" w:ascii="宋体" w:hAnsi="宋体" w:eastAsia="宋体" w:cs="宋体"/>
          <w:color w:val="auto"/>
        </w:rPr>
        <w:t>说明：（1）上述各项中用“√”表示通过，“×”表示不通过；</w:t>
      </w:r>
    </w:p>
    <w:p>
      <w:pPr>
        <w:pStyle w:val="9"/>
        <w:spacing w:before="50"/>
        <w:ind w:left="1432" w:leftChars="342" w:hanging="714" w:hangingChars="300"/>
        <w:rPr>
          <w:rFonts w:hint="eastAsia" w:ascii="宋体" w:hAnsi="宋体" w:eastAsia="宋体" w:cs="宋体"/>
          <w:color w:val="auto"/>
          <w:sz w:val="24"/>
        </w:rPr>
      </w:pPr>
      <w:r>
        <w:rPr>
          <w:rFonts w:hint="eastAsia" w:ascii="宋体" w:hAnsi="宋体" w:eastAsia="宋体" w:cs="宋体"/>
          <w:color w:val="auto"/>
          <w:spacing w:val="-1"/>
          <w:sz w:val="24"/>
          <w:lang w:eastAsia="zh-CN"/>
        </w:rPr>
        <w:t>（</w:t>
      </w:r>
      <w:r>
        <w:rPr>
          <w:rFonts w:hint="eastAsia" w:ascii="宋体" w:hAnsi="宋体" w:eastAsia="宋体" w:cs="宋体"/>
          <w:color w:val="auto"/>
          <w:spacing w:val="-1"/>
          <w:sz w:val="24"/>
          <w:lang w:val="en-US" w:eastAsia="zh-CN"/>
        </w:rPr>
        <w:t>2</w:t>
      </w:r>
      <w:r>
        <w:rPr>
          <w:rFonts w:hint="eastAsia" w:ascii="宋体" w:hAnsi="宋体" w:eastAsia="宋体" w:cs="宋体"/>
          <w:color w:val="auto"/>
          <w:spacing w:val="-1"/>
          <w:sz w:val="24"/>
          <w:lang w:eastAsia="zh-CN"/>
        </w:rPr>
        <w:t>）</w:t>
      </w:r>
      <w:r>
        <w:rPr>
          <w:rFonts w:hint="eastAsia" w:ascii="宋体" w:hAnsi="宋体" w:eastAsia="宋体" w:cs="宋体"/>
          <w:color w:val="auto"/>
          <w:spacing w:val="-1"/>
          <w:sz w:val="24"/>
        </w:rPr>
        <w:t>上述各项中如有一项为“×”，则结论为“×”，表示该</w:t>
      </w:r>
      <w:r>
        <w:rPr>
          <w:rFonts w:hint="eastAsia" w:ascii="宋体" w:hAnsi="宋体" w:eastAsia="宋体" w:cs="宋体"/>
          <w:color w:val="auto"/>
          <w:spacing w:val="-1"/>
          <w:sz w:val="24"/>
          <w:lang w:eastAsia="zh-CN"/>
        </w:rPr>
        <w:t>招标文件</w:t>
      </w:r>
      <w:r>
        <w:rPr>
          <w:rFonts w:hint="eastAsia" w:ascii="宋体" w:hAnsi="宋体" w:eastAsia="宋体" w:cs="宋体"/>
          <w:color w:val="auto"/>
          <w:spacing w:val="-1"/>
          <w:sz w:val="24"/>
        </w:rPr>
        <w:t>中存在</w:t>
      </w:r>
      <w:r>
        <w:rPr>
          <w:rFonts w:hint="eastAsia" w:ascii="宋体" w:hAnsi="宋体" w:eastAsia="宋体" w:cs="宋体"/>
          <w:color w:val="auto"/>
          <w:sz w:val="24"/>
        </w:rPr>
        <w:t>重大偏差，不能通过初步评审；评委对某一分项评审认为不合格时，必须要写明原因。</w:t>
      </w:r>
    </w:p>
    <w:p>
      <w:pPr>
        <w:pStyle w:val="33"/>
        <w:numPr>
          <w:ilvl w:val="0"/>
          <w:numId w:val="0"/>
        </w:numPr>
        <w:tabs>
          <w:tab w:val="left" w:pos="1296"/>
        </w:tabs>
        <w:spacing w:before="1" w:after="0" w:line="280" w:lineRule="auto"/>
        <w:ind w:left="1432" w:leftChars="342" w:right="534" w:rightChars="0" w:hanging="714" w:hangingChars="300"/>
        <w:jc w:val="left"/>
        <w:rPr>
          <w:rFonts w:hint="eastAsia" w:ascii="宋体" w:hAnsi="宋体" w:eastAsia="宋体" w:cs="宋体"/>
          <w:color w:val="auto"/>
          <w:sz w:val="24"/>
        </w:rPr>
      </w:pPr>
      <w:r>
        <w:rPr>
          <w:rFonts w:hint="eastAsia" w:ascii="宋体" w:hAnsi="宋体" w:eastAsia="宋体" w:cs="宋体"/>
          <w:color w:val="auto"/>
          <w:spacing w:val="-1"/>
          <w:sz w:val="24"/>
          <w:lang w:eastAsia="zh-CN"/>
        </w:rPr>
        <w:t>（</w:t>
      </w:r>
      <w:r>
        <w:rPr>
          <w:rFonts w:hint="eastAsia" w:ascii="宋体" w:hAnsi="宋体" w:eastAsia="宋体" w:cs="宋体"/>
          <w:color w:val="auto"/>
          <w:spacing w:val="-1"/>
          <w:sz w:val="24"/>
          <w:lang w:val="en-US" w:eastAsia="zh-CN"/>
        </w:rPr>
        <w:t>3</w:t>
      </w:r>
      <w:r>
        <w:rPr>
          <w:rFonts w:hint="eastAsia" w:ascii="宋体" w:hAnsi="宋体" w:eastAsia="宋体" w:cs="宋体"/>
          <w:color w:val="auto"/>
          <w:spacing w:val="-1"/>
          <w:sz w:val="24"/>
          <w:lang w:eastAsia="zh-CN"/>
        </w:rPr>
        <w:t>）招标文件</w:t>
      </w:r>
      <w:r>
        <w:rPr>
          <w:rFonts w:hint="eastAsia" w:ascii="宋体" w:hAnsi="宋体" w:eastAsia="宋体" w:cs="宋体"/>
          <w:color w:val="auto"/>
          <w:spacing w:val="-1"/>
          <w:sz w:val="24"/>
        </w:rPr>
        <w:t>最终合格与否，以所有评委的评审意见中少数服从多数为原则定</w:t>
      </w:r>
      <w:r>
        <w:rPr>
          <w:rFonts w:hint="eastAsia" w:ascii="宋体" w:hAnsi="宋体" w:eastAsia="宋体" w:cs="宋体"/>
          <w:color w:val="auto"/>
          <w:sz w:val="24"/>
        </w:rPr>
        <w:t>论。</w:t>
      </w:r>
    </w:p>
    <w:p>
      <w:pPr>
        <w:spacing w:before="0" w:line="262" w:lineRule="exact"/>
        <w:ind w:right="0"/>
        <w:jc w:val="left"/>
        <w:rPr>
          <w:rFonts w:hint="eastAsia" w:ascii="宋体" w:hAnsi="宋体" w:eastAsia="宋体" w:cs="宋体"/>
          <w:b/>
          <w:color w:val="auto"/>
          <w:sz w:val="24"/>
          <w:lang w:eastAsia="zh-CN"/>
        </w:rPr>
      </w:pPr>
      <w:r>
        <w:rPr>
          <w:rFonts w:hint="eastAsia" w:ascii="宋体" w:hAnsi="宋体" w:eastAsia="宋体" w:cs="宋体"/>
          <w:b/>
          <w:color w:val="auto"/>
          <w:sz w:val="24"/>
          <w:lang w:eastAsia="zh-CN"/>
        </w:rPr>
        <w:t>备注：如果招标文件中有一项未通过上述审查标准，评审委员会将认定整个招标文件未响应招标文件而予以废标处理。</w:t>
      </w:r>
    </w:p>
    <w:p>
      <w:pPr>
        <w:pStyle w:val="6"/>
        <w:rPr>
          <w:rFonts w:hint="eastAsia" w:ascii="宋体" w:hAnsi="宋体" w:eastAsia="宋体" w:cs="宋体"/>
          <w:color w:val="auto"/>
          <w:szCs w:val="24"/>
          <w:highlight w:val="none"/>
        </w:rPr>
      </w:pPr>
    </w:p>
    <w:p>
      <w:pPr>
        <w:tabs>
          <w:tab w:val="left" w:pos="480"/>
        </w:tabs>
        <w:ind w:left="600" w:firstLine="424" w:firstLineChars="202"/>
        <w:rPr>
          <w:rFonts w:hAnsi="宋体"/>
          <w:bCs/>
        </w:rPr>
      </w:pPr>
    </w:p>
    <w:p>
      <w:pPr>
        <w:ind w:firstLine="424" w:firstLineChars="202"/>
        <w:rPr>
          <w:bCs/>
        </w:rPr>
      </w:pPr>
    </w:p>
    <w:p>
      <w:pPr>
        <w:pStyle w:val="2"/>
        <w:rPr>
          <w:bCs/>
        </w:rPr>
      </w:pPr>
    </w:p>
    <w:p>
      <w:pPr>
        <w:pStyle w:val="2"/>
        <w:rPr>
          <w:bCs/>
        </w:rPr>
      </w:pPr>
    </w:p>
    <w:p>
      <w:pPr>
        <w:pStyle w:val="2"/>
        <w:rPr>
          <w:bCs/>
        </w:rPr>
      </w:pPr>
    </w:p>
    <w:p>
      <w:pPr>
        <w:pStyle w:val="2"/>
        <w:rPr>
          <w:bCs/>
        </w:rPr>
      </w:pPr>
    </w:p>
    <w:p>
      <w:pPr>
        <w:pStyle w:val="2"/>
        <w:rPr>
          <w:bCs/>
        </w:rPr>
      </w:pPr>
    </w:p>
    <w:p>
      <w:pPr>
        <w:pStyle w:val="2"/>
        <w:rPr>
          <w:bCs/>
        </w:rPr>
      </w:pPr>
    </w:p>
    <w:p>
      <w:pPr>
        <w:pStyle w:val="2"/>
        <w:rPr>
          <w:bCs/>
        </w:rPr>
      </w:pPr>
    </w:p>
    <w:p>
      <w:pPr>
        <w:pStyle w:val="7"/>
        <w:spacing w:before="72" w:after="72"/>
        <w:jc w:val="center"/>
        <w:rPr>
          <w:szCs w:val="24"/>
        </w:rPr>
      </w:pPr>
      <w:bookmarkStart w:id="521" w:name="_Toc1213268"/>
      <w:r>
        <w:rPr>
          <w:rFonts w:hint="eastAsia"/>
          <w:szCs w:val="24"/>
        </w:rPr>
        <w:t>商务、</w:t>
      </w:r>
      <w:r>
        <w:rPr>
          <w:szCs w:val="24"/>
        </w:rPr>
        <w:t>技术评分细则表</w:t>
      </w:r>
      <w:bookmarkEnd w:id="521"/>
    </w:p>
    <w:tbl>
      <w:tblPr>
        <w:tblStyle w:val="21"/>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5"/>
        <w:gridCol w:w="528"/>
        <w:gridCol w:w="1225"/>
        <w:gridCol w:w="688"/>
        <w:gridCol w:w="5724"/>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49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1753" w:type="dxa"/>
            <w:gridSpan w:val="2"/>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评审因素</w:t>
            </w:r>
          </w:p>
        </w:tc>
        <w:tc>
          <w:tcPr>
            <w:tcW w:w="688"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分值</w:t>
            </w:r>
          </w:p>
        </w:tc>
        <w:tc>
          <w:tcPr>
            <w:tcW w:w="5724"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49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753" w:type="dxa"/>
            <w:gridSpan w:val="2"/>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响应报价</w:t>
            </w:r>
          </w:p>
        </w:tc>
        <w:tc>
          <w:tcPr>
            <w:tcW w:w="688" w:type="dxa"/>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5724" w:type="dxa"/>
            <w:vAlign w:val="center"/>
          </w:tcPr>
          <w:p>
            <w:p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因本项目不涉及价格评审</w:t>
            </w:r>
            <w:r>
              <w:rPr>
                <w:rFonts w:hint="eastAsia" w:ascii="宋体" w:hAnsi="宋体" w:cs="宋体"/>
                <w:b w:val="0"/>
                <w:bCs w:val="0"/>
                <w:sz w:val="21"/>
                <w:szCs w:val="21"/>
                <w:lang w:val="en-US" w:eastAsia="zh-CN"/>
              </w:rPr>
              <w:t>（各投标人投标报价得分均按10分计取）</w:t>
            </w:r>
            <w:r>
              <w:rPr>
                <w:rFonts w:hint="eastAsia" w:ascii="宋体" w:hAnsi="宋体" w:eastAsia="宋体" w:cs="宋体"/>
                <w:b w:val="0"/>
                <w:bCs w:val="0"/>
                <w:sz w:val="21"/>
                <w:szCs w:val="21"/>
              </w:rPr>
              <w:t>，请各投标人均按</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元进行报价。</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49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528" w:type="dxa"/>
            <w:vMerge w:val="restart"/>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商务（</w:t>
            </w: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rPr>
              <w:t>0分）</w:t>
            </w:r>
          </w:p>
        </w:tc>
        <w:tc>
          <w:tcPr>
            <w:tcW w:w="122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实施方案</w:t>
            </w:r>
          </w:p>
        </w:tc>
        <w:tc>
          <w:tcPr>
            <w:tcW w:w="688" w:type="dxa"/>
            <w:vAlign w:val="center"/>
          </w:tcPr>
          <w:p>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20</w:t>
            </w:r>
          </w:p>
        </w:tc>
        <w:tc>
          <w:tcPr>
            <w:tcW w:w="5724" w:type="dxa"/>
            <w:vAlign w:val="center"/>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由磋商小组审核各供应商提报的对本项目的总体认识，以及结合项目需求对财政性资金特殊性的认识的全面性、针对性等进行综合评审，酌情打分。本项最高得 20 分，每发现一处不合理，不全面的扣 1 分，缺项不得分。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495" w:type="dxa"/>
            <w:vAlign w:val="center"/>
          </w:tcPr>
          <w:p>
            <w:pPr>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3</w:t>
            </w:r>
          </w:p>
        </w:tc>
        <w:tc>
          <w:tcPr>
            <w:tcW w:w="528" w:type="dxa"/>
            <w:vMerge w:val="continue"/>
            <w:vAlign w:val="center"/>
          </w:tcPr>
          <w:p>
            <w:pPr>
              <w:jc w:val="center"/>
              <w:rPr>
                <w:rFonts w:hint="eastAsia" w:ascii="宋体" w:hAnsi="宋体" w:eastAsia="宋体" w:cs="宋体"/>
                <w:b w:val="0"/>
                <w:bCs w:val="0"/>
                <w:sz w:val="21"/>
                <w:szCs w:val="21"/>
              </w:rPr>
            </w:pPr>
          </w:p>
        </w:tc>
        <w:tc>
          <w:tcPr>
            <w:tcW w:w="122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项目实施过程中突 发事件处理机制、 预案、协调措施</w:t>
            </w:r>
          </w:p>
        </w:tc>
        <w:tc>
          <w:tcPr>
            <w:tcW w:w="688" w:type="dxa"/>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w:t>
            </w:r>
          </w:p>
        </w:tc>
        <w:tc>
          <w:tcPr>
            <w:tcW w:w="5724" w:type="dxa"/>
            <w:vAlign w:val="center"/>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根据投标人提供的项目实施过程中突发事件处理机制、预案、协调措施进行综合评审，酌情打分。 本项最高得 1</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 xml:space="preserve"> 分，每发现一处不合理，不全面的 扣 1 分，缺项不得分。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23" w:hRule="atLeast"/>
          <w:jc w:val="center"/>
        </w:trPr>
        <w:tc>
          <w:tcPr>
            <w:tcW w:w="495" w:type="dxa"/>
            <w:vAlign w:val="center"/>
          </w:tcPr>
          <w:p>
            <w:pPr>
              <w:jc w:val="center"/>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4</w:t>
            </w:r>
          </w:p>
        </w:tc>
        <w:tc>
          <w:tcPr>
            <w:tcW w:w="528" w:type="dxa"/>
            <w:vMerge w:val="continue"/>
            <w:vAlign w:val="center"/>
          </w:tcPr>
          <w:p>
            <w:pPr>
              <w:jc w:val="center"/>
              <w:rPr>
                <w:rFonts w:hint="eastAsia" w:ascii="宋体" w:hAnsi="宋体" w:eastAsia="宋体" w:cs="宋体"/>
                <w:b w:val="0"/>
                <w:bCs w:val="0"/>
                <w:sz w:val="21"/>
                <w:szCs w:val="21"/>
              </w:rPr>
            </w:pPr>
          </w:p>
        </w:tc>
        <w:tc>
          <w:tcPr>
            <w:tcW w:w="122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内部控制制度、操 作规程、保密措施</w:t>
            </w:r>
          </w:p>
        </w:tc>
        <w:tc>
          <w:tcPr>
            <w:tcW w:w="688" w:type="dxa"/>
            <w:vAlign w:val="center"/>
          </w:tcPr>
          <w:p>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13</w:t>
            </w:r>
          </w:p>
        </w:tc>
        <w:tc>
          <w:tcPr>
            <w:tcW w:w="5724" w:type="dxa"/>
            <w:vAlign w:val="center"/>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根据投标人内部的控制制度、操作规程、保密措施的规范性、全面性、可行性，进行综合评审， 酌情打分。本项最高得 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 xml:space="preserve"> 分，每发现一处不合理， 不全面的扣 1 分，缺项不得分。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23" w:hRule="atLeast"/>
          <w:jc w:val="center"/>
        </w:trPr>
        <w:tc>
          <w:tcPr>
            <w:tcW w:w="495" w:type="dxa"/>
            <w:vAlign w:val="center"/>
          </w:tcPr>
          <w:p>
            <w:pPr>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5</w:t>
            </w:r>
          </w:p>
        </w:tc>
        <w:tc>
          <w:tcPr>
            <w:tcW w:w="528" w:type="dxa"/>
            <w:vMerge w:val="continue"/>
            <w:vAlign w:val="center"/>
          </w:tcPr>
          <w:p>
            <w:pPr>
              <w:jc w:val="center"/>
              <w:rPr>
                <w:rFonts w:hint="eastAsia" w:ascii="宋体" w:hAnsi="宋体" w:eastAsia="宋体" w:cs="宋体"/>
                <w:b w:val="0"/>
                <w:bCs w:val="0"/>
                <w:sz w:val="21"/>
                <w:szCs w:val="21"/>
              </w:rPr>
            </w:pPr>
          </w:p>
        </w:tc>
        <w:tc>
          <w:tcPr>
            <w:tcW w:w="122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信誉</w:t>
            </w:r>
          </w:p>
        </w:tc>
        <w:tc>
          <w:tcPr>
            <w:tcW w:w="688" w:type="dxa"/>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5724" w:type="dxa"/>
            <w:vAlign w:val="center"/>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评标委员会对投标人获得202</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rPr>
              <w:t>年银行业机构综合评估情况按照等级评定结果进行评审评分，以人民银行评估的等级为准，以各市级分行（或总行）综合评估指标为评审依据。投标人须提供证明材料，无提供不得分。A+级：10 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 A-级：9 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 B+级：8 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 B-级：7 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 其他：6 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23" w:hRule="atLeast"/>
          <w:jc w:val="center"/>
        </w:trPr>
        <w:tc>
          <w:tcPr>
            <w:tcW w:w="495" w:type="dxa"/>
            <w:vAlign w:val="center"/>
          </w:tcPr>
          <w:p>
            <w:pPr>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6</w:t>
            </w:r>
          </w:p>
        </w:tc>
        <w:tc>
          <w:tcPr>
            <w:tcW w:w="528" w:type="dxa"/>
            <w:vMerge w:val="continue"/>
            <w:vAlign w:val="center"/>
          </w:tcPr>
          <w:p>
            <w:pPr>
              <w:jc w:val="center"/>
              <w:rPr>
                <w:rFonts w:hint="eastAsia" w:ascii="宋体" w:hAnsi="宋体" w:eastAsia="宋体" w:cs="宋体"/>
                <w:b w:val="0"/>
                <w:bCs w:val="0"/>
                <w:sz w:val="21"/>
                <w:szCs w:val="21"/>
              </w:rPr>
            </w:pPr>
          </w:p>
        </w:tc>
        <w:tc>
          <w:tcPr>
            <w:tcW w:w="122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银行信息系统建设 及网络技术系统的 安全性</w:t>
            </w:r>
          </w:p>
        </w:tc>
        <w:tc>
          <w:tcPr>
            <w:tcW w:w="688" w:type="dxa"/>
            <w:vAlign w:val="center"/>
          </w:tcPr>
          <w:p>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12</w:t>
            </w:r>
          </w:p>
        </w:tc>
        <w:tc>
          <w:tcPr>
            <w:tcW w:w="5724" w:type="dxa"/>
            <w:vAlign w:val="center"/>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根据投标人银行信息系统建设及网络技术系统的成熟性、先进性、安全性进行综合评审，酌情打分。本项最高得 12 分，每发现一处不合理，不全面的扣 1 分，缺项不得分。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495" w:type="dxa"/>
            <w:vAlign w:val="center"/>
          </w:tcPr>
          <w:p>
            <w:pPr>
              <w:jc w:val="center"/>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7</w:t>
            </w:r>
          </w:p>
        </w:tc>
        <w:tc>
          <w:tcPr>
            <w:tcW w:w="528" w:type="dxa"/>
            <w:vMerge w:val="continue"/>
            <w:vAlign w:val="center"/>
          </w:tcPr>
          <w:p>
            <w:pPr>
              <w:jc w:val="center"/>
              <w:rPr>
                <w:rFonts w:hint="eastAsia" w:ascii="宋体" w:hAnsi="宋体" w:eastAsia="宋体" w:cs="宋体"/>
                <w:b w:val="0"/>
                <w:bCs w:val="0"/>
                <w:sz w:val="21"/>
                <w:szCs w:val="21"/>
              </w:rPr>
            </w:pPr>
          </w:p>
        </w:tc>
        <w:tc>
          <w:tcPr>
            <w:tcW w:w="122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服务团队配置情况</w:t>
            </w:r>
          </w:p>
        </w:tc>
        <w:tc>
          <w:tcPr>
            <w:tcW w:w="688" w:type="dxa"/>
            <w:vAlign w:val="center"/>
          </w:tcPr>
          <w:p>
            <w:pPr>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12</w:t>
            </w:r>
          </w:p>
        </w:tc>
        <w:tc>
          <w:tcPr>
            <w:tcW w:w="5724" w:type="dxa"/>
            <w:vAlign w:val="center"/>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根据投标人为项目团队的经历、资格条件、经验等情况，以及服务团队专业人员的齐全性、资料报送、数据及时填报、建立工作台账等进行综合评审，酌情打分。本项最高得 12 分， 每发现一处不合理，不全面的扣 1 分，缺项不得分。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495" w:type="dxa"/>
            <w:vAlign w:val="center"/>
          </w:tcPr>
          <w:p>
            <w:pPr>
              <w:jc w:val="center"/>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8</w:t>
            </w:r>
          </w:p>
        </w:tc>
        <w:tc>
          <w:tcPr>
            <w:tcW w:w="528" w:type="dxa"/>
            <w:vMerge w:val="continue"/>
            <w:vAlign w:val="center"/>
          </w:tcPr>
          <w:p>
            <w:pPr>
              <w:jc w:val="center"/>
              <w:rPr>
                <w:rFonts w:hint="eastAsia" w:ascii="宋体" w:hAnsi="宋体" w:eastAsia="宋体" w:cs="宋体"/>
                <w:b w:val="0"/>
                <w:bCs w:val="0"/>
                <w:sz w:val="21"/>
                <w:szCs w:val="21"/>
              </w:rPr>
            </w:pPr>
          </w:p>
        </w:tc>
        <w:tc>
          <w:tcPr>
            <w:tcW w:w="122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业绩（服务经验）</w:t>
            </w:r>
          </w:p>
        </w:tc>
        <w:tc>
          <w:tcPr>
            <w:tcW w:w="688" w:type="dxa"/>
            <w:vAlign w:val="center"/>
          </w:tcPr>
          <w:p>
            <w:pPr>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6</w:t>
            </w:r>
          </w:p>
        </w:tc>
        <w:tc>
          <w:tcPr>
            <w:tcW w:w="5724" w:type="dxa"/>
            <w:vAlign w:val="center"/>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供应商自 20</w:t>
            </w:r>
            <w:r>
              <w:rPr>
                <w:rFonts w:hint="eastAsia" w:ascii="宋体" w:hAnsi="宋体" w:cs="宋体"/>
                <w:b w:val="0"/>
                <w:bCs w:val="0"/>
                <w:sz w:val="21"/>
                <w:szCs w:val="21"/>
                <w:lang w:val="en-US" w:eastAsia="zh-CN"/>
              </w:rPr>
              <w:t>20</w:t>
            </w:r>
            <w:r>
              <w:rPr>
                <w:rFonts w:hint="eastAsia" w:ascii="宋体" w:hAnsi="宋体" w:eastAsia="宋体" w:cs="宋体"/>
                <w:b w:val="0"/>
                <w:bCs w:val="0"/>
                <w:sz w:val="21"/>
                <w:szCs w:val="21"/>
              </w:rPr>
              <w:t xml:space="preserve"> 年（以合同签订时间为准） 有</w:t>
            </w:r>
            <w:r>
              <w:rPr>
                <w:rFonts w:hint="eastAsia" w:ascii="宋体" w:hAnsi="宋体" w:eastAsia="宋体" w:cs="宋体"/>
                <w:b w:val="0"/>
                <w:bCs w:val="0"/>
                <w:sz w:val="21"/>
                <w:szCs w:val="21"/>
                <w:lang w:eastAsia="zh-CN"/>
              </w:rPr>
              <w:t>类似</w:t>
            </w:r>
            <w:r>
              <w:rPr>
                <w:rFonts w:hint="eastAsia" w:ascii="宋体" w:hAnsi="宋体" w:eastAsia="宋体" w:cs="宋体"/>
                <w:b w:val="0"/>
                <w:bCs w:val="0"/>
                <w:sz w:val="21"/>
                <w:szCs w:val="21"/>
              </w:rPr>
              <w:t xml:space="preserve">金融服务案例和经验的，每提供 1 个得 2分，本项最多得 </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 xml:space="preserve">分。 </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95" w:type="dxa"/>
            <w:vAlign w:val="center"/>
          </w:tcPr>
          <w:p>
            <w:pPr>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9</w:t>
            </w:r>
          </w:p>
        </w:tc>
        <w:tc>
          <w:tcPr>
            <w:tcW w:w="528" w:type="dxa"/>
            <w:vMerge w:val="continue"/>
            <w:vAlign w:val="center"/>
          </w:tcPr>
          <w:p>
            <w:pPr>
              <w:jc w:val="center"/>
              <w:rPr>
                <w:rFonts w:hint="eastAsia" w:ascii="宋体" w:hAnsi="宋体" w:eastAsia="宋体" w:cs="宋体"/>
                <w:b w:val="0"/>
                <w:bCs w:val="0"/>
                <w:sz w:val="21"/>
                <w:szCs w:val="21"/>
              </w:rPr>
            </w:pPr>
          </w:p>
        </w:tc>
        <w:tc>
          <w:tcPr>
            <w:tcW w:w="1225" w:type="dxa"/>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对招标文件的响应程度</w:t>
            </w:r>
          </w:p>
        </w:tc>
        <w:tc>
          <w:tcPr>
            <w:tcW w:w="688" w:type="dxa"/>
            <w:vAlign w:val="center"/>
          </w:tcPr>
          <w:p>
            <w:pPr>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3</w:t>
            </w:r>
          </w:p>
        </w:tc>
        <w:tc>
          <w:tcPr>
            <w:tcW w:w="5724" w:type="dxa"/>
            <w:vAlign w:val="center"/>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评标委员会对投标人响应招标文件商务、技术要求的情况进行综合评审评价。 优：</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分 满足：1 分 不满足：0 分</w:t>
            </w:r>
          </w:p>
        </w:tc>
      </w:tr>
    </w:tbl>
    <w:p>
      <w:pPr>
        <w:pStyle w:val="20"/>
        <w:ind w:firstLine="0" w:firstLineChars="0"/>
        <w:rPr>
          <w:rFonts w:cs="宋体" w:asciiTheme="minorEastAsia" w:hAnsiTheme="minorEastAsia" w:eastAsiaTheme="minorEastAsia"/>
          <w:b/>
          <w:sz w:val="52"/>
        </w:rPr>
      </w:pPr>
    </w:p>
    <w:p>
      <w:pPr>
        <w:pStyle w:val="20"/>
        <w:ind w:firstLine="0" w:firstLineChars="0"/>
        <w:rPr>
          <w:rFonts w:cs="宋体" w:asciiTheme="minorEastAsia" w:hAnsiTheme="minorEastAsia" w:eastAsiaTheme="minorEastAsia"/>
          <w:b/>
          <w:sz w:val="52"/>
        </w:rPr>
      </w:pPr>
    </w:p>
    <w:p>
      <w:pPr>
        <w:pStyle w:val="20"/>
        <w:ind w:firstLine="0" w:firstLineChars="0"/>
        <w:rPr>
          <w:rFonts w:cs="宋体" w:asciiTheme="minorEastAsia" w:hAnsiTheme="minorEastAsia" w:eastAsiaTheme="minorEastAsia"/>
          <w:b/>
          <w:sz w:val="52"/>
        </w:rPr>
      </w:pPr>
    </w:p>
    <w:bookmarkEnd w:id="495"/>
    <w:p>
      <w:pPr>
        <w:pStyle w:val="4"/>
        <w:tabs>
          <w:tab w:val="left" w:pos="0"/>
        </w:tabs>
        <w:spacing w:before="0" w:after="0" w:line="240" w:lineRule="atLeast"/>
        <w:rPr>
          <w:rFonts w:cs="宋体" w:asciiTheme="minorEastAsia" w:hAnsiTheme="minorEastAsia" w:eastAsiaTheme="minorEastAsia"/>
          <w:sz w:val="44"/>
          <w:szCs w:val="24"/>
        </w:rPr>
      </w:pPr>
      <w:bookmarkStart w:id="522" w:name="_Toc21888_WPSOffice_Level1"/>
      <w:bookmarkStart w:id="523" w:name="_Toc12949_WPSOffice_Level1"/>
      <w:bookmarkStart w:id="524" w:name="_Toc32428_WPSOffice_Level1"/>
      <w:r>
        <w:rPr>
          <w:rFonts w:hint="eastAsia" w:cs="宋体" w:asciiTheme="minorEastAsia" w:hAnsiTheme="minorEastAsia" w:eastAsiaTheme="minorEastAsia"/>
          <w:sz w:val="44"/>
          <w:szCs w:val="24"/>
        </w:rPr>
        <w:t>第7章  政府采购合同</w:t>
      </w:r>
      <w:bookmarkStart w:id="525" w:name="_Hlt487972895"/>
      <w:bookmarkEnd w:id="525"/>
      <w:bookmarkStart w:id="526" w:name="_Toc216513788"/>
      <w:bookmarkStart w:id="527" w:name="_Toc487900382"/>
    </w:p>
    <w:bookmarkEnd w:id="522"/>
    <w:bookmarkEnd w:id="523"/>
    <w:bookmarkEnd w:id="524"/>
    <w:bookmarkEnd w:id="526"/>
    <w:bookmarkEnd w:id="527"/>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28"/>
        <w:ind w:firstLine="0"/>
        <w:rPr>
          <w:rFonts w:asciiTheme="minorEastAsia" w:hAnsiTheme="minorEastAsia" w:eastAsiaTheme="minorEastAsia" w:cstheme="minorEastAsia"/>
          <w:szCs w:val="24"/>
        </w:rPr>
      </w:pPr>
    </w:p>
    <w:p>
      <w:pPr>
        <w:pStyle w:val="28"/>
        <w:ind w:firstLine="0"/>
        <w:rPr>
          <w:rFonts w:asciiTheme="minorEastAsia" w:hAnsiTheme="minorEastAsia" w:eastAsiaTheme="minorEastAsia" w:cstheme="minorEastAsia"/>
          <w:szCs w:val="24"/>
        </w:rPr>
      </w:pPr>
    </w:p>
    <w:p>
      <w:pPr>
        <w:pStyle w:val="28"/>
        <w:ind w:firstLine="0"/>
        <w:rPr>
          <w:rFonts w:asciiTheme="minorEastAsia" w:hAnsiTheme="minorEastAsia" w:eastAsiaTheme="minorEastAsia" w:cstheme="minorEastAsia"/>
          <w:szCs w:val="24"/>
        </w:rPr>
      </w:pPr>
    </w:p>
    <w:p>
      <w:pPr>
        <w:pStyle w:val="28"/>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 合同书</w:t>
      </w:r>
    </w:p>
    <w:p>
      <w:pPr>
        <w:pStyle w:val="28"/>
        <w:ind w:firstLine="0"/>
        <w:rPr>
          <w:rFonts w:asciiTheme="minorEastAsia" w:hAnsiTheme="minorEastAsia" w:eastAsiaTheme="minorEastAsia" w:cstheme="minorEastAsia"/>
          <w:szCs w:val="24"/>
        </w:rPr>
      </w:pPr>
    </w:p>
    <w:p>
      <w:pPr>
        <w:pStyle w:val="28"/>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pPr>
        <w:pStyle w:val="29"/>
        <w:spacing w:before="120" w:line="22" w:lineRule="atLeast"/>
        <w:rPr>
          <w:rFonts w:asciiTheme="minorEastAsia" w:hAnsiTheme="minorEastAsia" w:eastAsiaTheme="minorEastAsia" w:cstheme="minorEastAsia"/>
          <w:szCs w:val="24"/>
        </w:rPr>
      </w:pPr>
    </w:p>
    <w:p>
      <w:pPr>
        <w:pStyle w:val="29"/>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19" w:type="default"/>
          <w:footerReference r:id="rId20"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（政府采购方式）  </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 xml:space="preserve">   （同前页项目名称）   </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 xml:space="preserve">   （相关评定主体名称）   </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 xml:space="preserve">   （中标供应商名称） </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 xml:space="preserve">   （中标供应商名称）   </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28" w:name="_Toc19273"/>
      <w:bookmarkStart w:id="529" w:name="_Toc28855"/>
      <w:bookmarkStart w:id="530" w:name="_Toc20421"/>
      <w:bookmarkStart w:id="531" w:name="_Toc15367"/>
      <w:bookmarkStart w:id="532" w:name="_Toc22967"/>
      <w:r>
        <w:rPr>
          <w:rFonts w:hint="eastAsia" w:asciiTheme="minorEastAsia" w:hAnsiTheme="minorEastAsia" w:eastAsiaTheme="minorEastAsia" w:cstheme="minorEastAsia"/>
          <w:b/>
          <w:sz w:val="24"/>
        </w:rPr>
        <w:t>1.1 合同组成部分</w:t>
      </w:r>
      <w:bookmarkEnd w:id="528"/>
      <w:bookmarkEnd w:id="529"/>
      <w:bookmarkEnd w:id="530"/>
      <w:bookmarkEnd w:id="531"/>
      <w:bookmarkEnd w:id="53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33" w:name="_Toc2918"/>
      <w:bookmarkStart w:id="534" w:name="_Toc6311"/>
      <w:bookmarkStart w:id="535" w:name="_Toc22185"/>
      <w:bookmarkStart w:id="536" w:name="_Toc18585"/>
      <w:bookmarkStart w:id="537" w:name="_Toc6773"/>
      <w:r>
        <w:rPr>
          <w:rFonts w:hint="eastAsia" w:asciiTheme="minorEastAsia" w:hAnsiTheme="minorEastAsia" w:eastAsiaTheme="minorEastAsia" w:cstheme="minorEastAsia"/>
          <w:b/>
          <w:sz w:val="24"/>
        </w:rPr>
        <w:t>1.2 标的</w:t>
      </w:r>
      <w:bookmarkEnd w:id="533"/>
      <w:bookmarkEnd w:id="534"/>
      <w:bookmarkEnd w:id="535"/>
      <w:bookmarkEnd w:id="536"/>
      <w:bookmarkEnd w:id="537"/>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38" w:name="_Toc13918"/>
      <w:bookmarkStart w:id="539" w:name="_Toc21124"/>
      <w:bookmarkStart w:id="540" w:name="_Toc1386"/>
      <w:bookmarkStart w:id="541" w:name="_Toc4929"/>
      <w:bookmarkStart w:id="542" w:name="_Toc5635"/>
      <w:r>
        <w:rPr>
          <w:rFonts w:hint="eastAsia" w:asciiTheme="minorEastAsia" w:hAnsiTheme="minorEastAsia" w:eastAsiaTheme="minorEastAsia" w:cstheme="minorEastAsia"/>
          <w:b/>
          <w:sz w:val="24"/>
        </w:rPr>
        <w:t>1.3 价款</w:t>
      </w:r>
      <w:bookmarkEnd w:id="538"/>
      <w:bookmarkEnd w:id="539"/>
      <w:bookmarkEnd w:id="540"/>
      <w:bookmarkEnd w:id="541"/>
      <w:bookmarkEnd w:id="54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0"/>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30"/>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30"/>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43" w:name="_Toc30158"/>
      <w:bookmarkStart w:id="544" w:name="_Toc14993"/>
      <w:bookmarkStart w:id="545" w:name="_Toc26916"/>
      <w:bookmarkStart w:id="546" w:name="_Toc3654"/>
      <w:bookmarkStart w:id="547" w:name="_Toc30506"/>
      <w:r>
        <w:rPr>
          <w:rFonts w:hint="eastAsia" w:asciiTheme="minorEastAsia" w:hAnsiTheme="minorEastAsia" w:eastAsiaTheme="minorEastAsia" w:cstheme="minorEastAsia"/>
          <w:b/>
          <w:sz w:val="24"/>
        </w:rPr>
        <w:t>1.4 付款方式和发票开具方式</w:t>
      </w:r>
      <w:bookmarkEnd w:id="543"/>
      <w:bookmarkEnd w:id="544"/>
      <w:bookmarkEnd w:id="545"/>
      <w:bookmarkEnd w:id="546"/>
      <w:bookmarkEnd w:id="54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发票开具方式：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48" w:name="_Toc31421"/>
      <w:bookmarkStart w:id="549" w:name="_Toc4760"/>
      <w:bookmarkStart w:id="550" w:name="_Toc8772"/>
      <w:bookmarkStart w:id="551" w:name="_Toc11108"/>
      <w:bookmarkStart w:id="552" w:name="_Toc3625"/>
      <w:r>
        <w:rPr>
          <w:rFonts w:hint="eastAsia" w:asciiTheme="minorEastAsia" w:hAnsiTheme="minorEastAsia" w:eastAsiaTheme="minorEastAsia" w:cstheme="minorEastAsia"/>
          <w:b/>
          <w:sz w:val="24"/>
        </w:rPr>
        <w:t>1.5 履行期限、地点和方式</w:t>
      </w:r>
      <w:bookmarkEnd w:id="548"/>
      <w:bookmarkEnd w:id="549"/>
      <w:bookmarkEnd w:id="550"/>
      <w:bookmarkEnd w:id="551"/>
      <w:bookmarkEnd w:id="552"/>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53" w:name="_Toc8586"/>
      <w:bookmarkStart w:id="554" w:name="_Toc24662"/>
      <w:bookmarkStart w:id="555" w:name="_Toc2375"/>
      <w:bookmarkStart w:id="556" w:name="_Toc5698"/>
      <w:bookmarkStart w:id="557" w:name="_Toc3079"/>
      <w:r>
        <w:rPr>
          <w:rFonts w:hint="eastAsia" w:asciiTheme="minorEastAsia" w:hAnsiTheme="minorEastAsia" w:eastAsiaTheme="minorEastAsia" w:cstheme="minorEastAsia"/>
          <w:b/>
          <w:sz w:val="24"/>
        </w:rPr>
        <w:t>1.6 违约责任</w:t>
      </w:r>
      <w:bookmarkEnd w:id="553"/>
      <w:bookmarkEnd w:id="554"/>
      <w:bookmarkEnd w:id="555"/>
      <w:bookmarkEnd w:id="556"/>
      <w:bookmarkEnd w:id="55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%计算，最高限额为本合同总价的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%计算，最高限额为本合同总价的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58" w:name="_Toc32454"/>
      <w:bookmarkStart w:id="559" w:name="_Toc9497"/>
      <w:bookmarkStart w:id="560" w:name="_Toc26807"/>
      <w:bookmarkStart w:id="561" w:name="_Toc30329"/>
      <w:bookmarkStart w:id="562" w:name="_Toc18683"/>
      <w:r>
        <w:rPr>
          <w:rFonts w:hint="eastAsia" w:asciiTheme="minorEastAsia" w:hAnsiTheme="minorEastAsia" w:eastAsiaTheme="minorEastAsia" w:cstheme="minorEastAsia"/>
          <w:b/>
          <w:sz w:val="24"/>
        </w:rPr>
        <w:t>1.7 合同争议的解决</w:t>
      </w:r>
      <w:bookmarkEnd w:id="558"/>
      <w:bookmarkEnd w:id="559"/>
      <w:bookmarkEnd w:id="560"/>
      <w:bookmarkEnd w:id="561"/>
      <w:bookmarkEnd w:id="56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563" w:name="_Toc16417"/>
      <w:bookmarkStart w:id="564" w:name="_Toc23784"/>
      <w:bookmarkStart w:id="565" w:name="_Toc15827"/>
      <w:bookmarkStart w:id="566" w:name="_Toc12273"/>
      <w:bookmarkStart w:id="567" w:name="_Toc26227"/>
      <w:r>
        <w:rPr>
          <w:rFonts w:hint="eastAsia" w:asciiTheme="minorEastAsia" w:hAnsiTheme="minorEastAsia" w:eastAsiaTheme="minorEastAsia" w:cstheme="minorEastAsia"/>
          <w:b/>
          <w:sz w:val="24"/>
        </w:rPr>
        <w:t>1.8 合同生效</w:t>
      </w:r>
      <w:bookmarkEnd w:id="563"/>
      <w:bookmarkEnd w:id="564"/>
      <w:bookmarkEnd w:id="565"/>
      <w:bookmarkEnd w:id="566"/>
      <w:bookmarkEnd w:id="567"/>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b/>
          <w:sz w:val="24"/>
          <w:lang w:val="zh-CN"/>
        </w:rPr>
        <w:t xml:space="preserve">      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                        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                                   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                             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                        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                                 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                           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                               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                               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开户银行： </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开户名称：                               开户名称： </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w:t>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rPr>
        <w:t>开户账号：</w:t>
      </w:r>
    </w:p>
    <w:p>
      <w:pPr>
        <w:widowControl/>
        <w:spacing w:line="560" w:lineRule="exact"/>
        <w:jc w:val="left"/>
        <w:rPr>
          <w:rFonts w:asciiTheme="minorEastAsia" w:hAnsiTheme="minorEastAsia" w:eastAsiaTheme="minorEastAsia" w:cstheme="minorEastAsia"/>
          <w:b/>
        </w:rPr>
      </w:pPr>
      <w:bookmarkStart w:id="568" w:name="_Toc331685783"/>
    </w:p>
    <w:p>
      <w:pPr>
        <w:widowControl/>
        <w:spacing w:line="560" w:lineRule="exact"/>
        <w:jc w:val="left"/>
        <w:rPr>
          <w:rFonts w:asciiTheme="minorEastAsia" w:hAnsiTheme="minorEastAsia" w:eastAsiaTheme="minorEastAsia" w:cstheme="minorEastAsia"/>
          <w:b/>
          <w:kern w:val="0"/>
          <w:sz w:val="24"/>
        </w:rPr>
      </w:pPr>
    </w:p>
    <w:p>
      <w:pPr>
        <w:pStyle w:val="28"/>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 合同一般条款</w:t>
      </w:r>
      <w:bookmarkEnd w:id="568"/>
    </w:p>
    <w:p>
      <w:pPr>
        <w:spacing w:line="560" w:lineRule="exact"/>
        <w:ind w:firstLine="482" w:firstLineChars="200"/>
        <w:outlineLvl w:val="0"/>
        <w:rPr>
          <w:rFonts w:asciiTheme="minorEastAsia" w:hAnsiTheme="minorEastAsia" w:eastAsiaTheme="minorEastAsia" w:cstheme="minorEastAsia"/>
          <w:b/>
          <w:sz w:val="24"/>
        </w:rPr>
      </w:pPr>
      <w:bookmarkStart w:id="569" w:name="_Ref467378404"/>
      <w:bookmarkStart w:id="570" w:name="_Toc279701240"/>
      <w:bookmarkStart w:id="571" w:name="_Toc14021"/>
      <w:bookmarkStart w:id="572" w:name="_Toc487900349"/>
      <w:bookmarkStart w:id="573" w:name="_Ref467379109"/>
      <w:bookmarkStart w:id="574" w:name="_Ref467379214"/>
      <w:bookmarkStart w:id="575" w:name="_Ref467379225"/>
      <w:bookmarkStart w:id="576" w:name="_Toc25079"/>
      <w:bookmarkStart w:id="577" w:name="_Toc259093669"/>
      <w:bookmarkStart w:id="578" w:name="_Toc19680"/>
      <w:bookmarkStart w:id="579" w:name="_Ref467379195"/>
      <w:bookmarkStart w:id="580" w:name="_Ref467379101"/>
      <w:bookmarkStart w:id="581" w:name="_Ref467378463"/>
      <w:bookmarkStart w:id="582" w:name="_Ref467378499"/>
      <w:bookmarkStart w:id="583" w:name="_Ref467379205"/>
      <w:bookmarkStart w:id="584" w:name="_Toc5228"/>
      <w:bookmarkStart w:id="585" w:name="_Toc31297"/>
      <w:bookmarkStart w:id="586" w:name="_Ref467379094"/>
      <w:r>
        <w:rPr>
          <w:rFonts w:hint="eastAsia" w:asciiTheme="minorEastAsia" w:hAnsiTheme="minorEastAsia" w:eastAsiaTheme="minorEastAsia" w:cstheme="minorEastAsia"/>
          <w:b/>
          <w:sz w:val="24"/>
        </w:rPr>
        <w:t>2.1 定义</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587" w:name="_Ref467378840"/>
      <w:r>
        <w:rPr>
          <w:rFonts w:hint="eastAsia" w:asciiTheme="minorEastAsia" w:hAnsiTheme="minorEastAsia" w:eastAsiaTheme="minorEastAsia" w:cstheme="minorEastAsia"/>
          <w:sz w:val="24"/>
        </w:rPr>
        <w:t>2.1.4 “甲方”系指与中标供应商签署合同的采购人</w:t>
      </w:r>
      <w:bookmarkEnd w:id="587"/>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588" w:name="_Ref467379400"/>
      <w:r>
        <w:rPr>
          <w:rFonts w:hint="eastAsia" w:asciiTheme="minorEastAsia" w:hAnsiTheme="minorEastAsia" w:eastAsiaTheme="minorEastAsia" w:cstheme="minorEastAsia"/>
          <w:sz w:val="24"/>
        </w:rPr>
        <w:t>2.1.5 “乙方”系指根据合同约定提供服务的中标供应商</w:t>
      </w:r>
      <w:bookmarkEnd w:id="588"/>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589" w:name="_Ref467379436"/>
      <w:r>
        <w:rPr>
          <w:rFonts w:hint="eastAsia" w:asciiTheme="minorEastAsia" w:hAnsiTheme="minorEastAsia" w:eastAsiaTheme="minorEastAsia" w:cstheme="minorEastAsia"/>
          <w:sz w:val="24"/>
        </w:rPr>
        <w:t>2.1.6 “现场”系指合同约定提供服务的地点。</w:t>
      </w:r>
      <w:bookmarkEnd w:id="589"/>
    </w:p>
    <w:p>
      <w:pPr>
        <w:spacing w:line="560" w:lineRule="exact"/>
        <w:ind w:firstLine="482" w:firstLineChars="200"/>
        <w:outlineLvl w:val="0"/>
        <w:rPr>
          <w:rFonts w:asciiTheme="minorEastAsia" w:hAnsiTheme="minorEastAsia" w:eastAsiaTheme="minorEastAsia" w:cstheme="minorEastAsia"/>
          <w:b/>
          <w:sz w:val="24"/>
        </w:rPr>
      </w:pPr>
      <w:bookmarkStart w:id="590" w:name="_Toc3769"/>
      <w:bookmarkStart w:id="591" w:name="_Toc31402"/>
      <w:bookmarkStart w:id="592" w:name="_Toc23289"/>
      <w:bookmarkStart w:id="593" w:name="_Toc16752"/>
      <w:bookmarkStart w:id="594" w:name="_Toc19539"/>
      <w:bookmarkStart w:id="595" w:name="_Toc487900350"/>
      <w:bookmarkStart w:id="596" w:name="_Toc279701241"/>
      <w:bookmarkStart w:id="597" w:name="_Toc259093670"/>
      <w:r>
        <w:rPr>
          <w:rFonts w:hint="eastAsia" w:asciiTheme="minorEastAsia" w:hAnsiTheme="minorEastAsia" w:eastAsiaTheme="minorEastAsia" w:cstheme="minorEastAsia"/>
          <w:b/>
          <w:sz w:val="24"/>
        </w:rPr>
        <w:t>2.2 技术规范</w:t>
      </w:r>
      <w:bookmarkEnd w:id="590"/>
      <w:bookmarkEnd w:id="591"/>
      <w:bookmarkEnd w:id="592"/>
      <w:bookmarkEnd w:id="593"/>
      <w:bookmarkEnd w:id="594"/>
      <w:bookmarkEnd w:id="595"/>
      <w:bookmarkEnd w:id="596"/>
      <w:bookmarkEnd w:id="59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598" w:name="_Toc9161"/>
      <w:bookmarkStart w:id="599" w:name="_Toc12412"/>
      <w:bookmarkStart w:id="600" w:name="_Toc279701242"/>
      <w:bookmarkStart w:id="601" w:name="_Toc259093671"/>
      <w:bookmarkStart w:id="602" w:name="_Toc487900351"/>
      <w:bookmarkStart w:id="603" w:name="_Toc13673"/>
      <w:bookmarkStart w:id="604" w:name="_Toc4133"/>
      <w:bookmarkStart w:id="605" w:name="_Toc27945"/>
      <w:r>
        <w:rPr>
          <w:rFonts w:hint="eastAsia" w:asciiTheme="minorEastAsia" w:hAnsiTheme="minorEastAsia" w:eastAsiaTheme="minorEastAsia" w:cstheme="minorEastAsia"/>
          <w:b/>
          <w:sz w:val="24"/>
        </w:rPr>
        <w:t>2.3 知识产权</w:t>
      </w:r>
      <w:bookmarkEnd w:id="598"/>
      <w:bookmarkEnd w:id="599"/>
      <w:bookmarkEnd w:id="600"/>
      <w:bookmarkEnd w:id="601"/>
      <w:bookmarkEnd w:id="602"/>
      <w:bookmarkEnd w:id="603"/>
      <w:bookmarkEnd w:id="604"/>
      <w:bookmarkEnd w:id="60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06" w:name="_Ref467379657"/>
      <w:r>
        <w:rPr>
          <w:rFonts w:hint="eastAsia" w:asciiTheme="minorEastAsia" w:hAnsiTheme="minorEastAsia" w:eastAsiaTheme="minorEastAsia" w:cstheme="minorEastAsia"/>
          <w:sz w:val="24"/>
        </w:rPr>
        <w:t>2.4.1</w:t>
      </w:r>
      <w:bookmarkEnd w:id="606"/>
      <w:bookmarkStart w:id="607" w:name="_Toc186431854"/>
      <w:bookmarkStart w:id="608" w:name="_Toc487900357"/>
      <w:bookmarkStart w:id="609" w:name="_Ref467379793"/>
      <w:bookmarkStart w:id="610" w:name="_Toc259093676"/>
      <w:bookmarkStart w:id="611" w:name="_Toc279701247"/>
      <w:bookmarkStart w:id="612" w:name="_Ref46737980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 合同履行期间，甲方有权将履行过程中出现的问题反馈给乙方，双方当事人应以书面形式约定需要完善和改进的内容</w:t>
      </w:r>
      <w:bookmarkEnd w:id="607"/>
      <w:bookmarkStart w:id="613" w:name="_Toc186431855"/>
      <w:r>
        <w:rPr>
          <w:rFonts w:hint="eastAsia" w:asciiTheme="minorEastAsia" w:hAnsiTheme="minorEastAsia" w:eastAsiaTheme="minorEastAsia" w:cstheme="minorEastAsia"/>
          <w:sz w:val="24"/>
        </w:rPr>
        <w:t>。</w:t>
      </w:r>
    </w:p>
    <w:bookmarkEnd w:id="613"/>
    <w:p>
      <w:pPr>
        <w:spacing w:line="560" w:lineRule="exact"/>
        <w:ind w:firstLine="482" w:firstLineChars="200"/>
        <w:outlineLvl w:val="0"/>
        <w:rPr>
          <w:rFonts w:asciiTheme="minorEastAsia" w:hAnsiTheme="minorEastAsia" w:eastAsiaTheme="minorEastAsia" w:cstheme="minorEastAsia"/>
          <w:b/>
          <w:sz w:val="24"/>
        </w:rPr>
      </w:pPr>
      <w:bookmarkStart w:id="614" w:name="_Toc26555"/>
      <w:bookmarkStart w:id="615" w:name="_Toc31233"/>
      <w:bookmarkStart w:id="616" w:name="_Toc32670"/>
      <w:bookmarkStart w:id="617" w:name="_Toc15447"/>
      <w:bookmarkStart w:id="618" w:name="_Toc22011"/>
      <w:r>
        <w:rPr>
          <w:rFonts w:hint="eastAsia" w:asciiTheme="minorEastAsia" w:hAnsiTheme="minorEastAsia" w:eastAsiaTheme="minorEastAsia" w:cstheme="minorEastAsia"/>
          <w:b/>
          <w:sz w:val="24"/>
        </w:rPr>
        <w:t>2.5 结算方式和付款条件</w:t>
      </w:r>
      <w:bookmarkEnd w:id="608"/>
      <w:bookmarkEnd w:id="609"/>
      <w:bookmarkEnd w:id="610"/>
      <w:bookmarkEnd w:id="611"/>
      <w:bookmarkEnd w:id="612"/>
      <w:bookmarkEnd w:id="614"/>
      <w:bookmarkEnd w:id="615"/>
      <w:bookmarkEnd w:id="616"/>
      <w:bookmarkEnd w:id="617"/>
      <w:bookmarkEnd w:id="61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19" w:name="_Toc279701248"/>
      <w:bookmarkStart w:id="620" w:name="_Toc259093677"/>
      <w:bookmarkStart w:id="621" w:name="_Ref467379923"/>
      <w:bookmarkStart w:id="622" w:name="_Ref467379852"/>
      <w:bookmarkStart w:id="623" w:name="_Ref467379863"/>
      <w:bookmarkStart w:id="624" w:name="_Toc487900358"/>
      <w:bookmarkStart w:id="625" w:name="_Toc13154"/>
      <w:bookmarkStart w:id="626" w:name="_Toc18990"/>
      <w:bookmarkStart w:id="627" w:name="_Toc13467"/>
      <w:bookmarkStart w:id="628" w:name="_Toc30507"/>
      <w:bookmarkStart w:id="629" w:name="_Toc16163"/>
      <w:r>
        <w:rPr>
          <w:rFonts w:hint="eastAsia" w:asciiTheme="minorEastAsia" w:hAnsiTheme="minorEastAsia" w:eastAsiaTheme="minorEastAsia" w:cstheme="minorEastAsia"/>
          <w:b/>
          <w:sz w:val="24"/>
        </w:rPr>
        <w:t>2.6 技术资料</w:t>
      </w:r>
      <w:bookmarkEnd w:id="619"/>
      <w:bookmarkEnd w:id="620"/>
      <w:bookmarkEnd w:id="621"/>
      <w:bookmarkEnd w:id="622"/>
      <w:bookmarkEnd w:id="623"/>
      <w:bookmarkEnd w:id="624"/>
      <w:r>
        <w:rPr>
          <w:rFonts w:hint="eastAsia" w:asciiTheme="minorEastAsia" w:hAnsiTheme="minorEastAsia" w:eastAsiaTheme="minorEastAsia" w:cstheme="minorEastAsia"/>
          <w:b/>
          <w:sz w:val="24"/>
        </w:rPr>
        <w:t>和保密义务</w:t>
      </w:r>
      <w:bookmarkEnd w:id="625"/>
      <w:bookmarkEnd w:id="626"/>
      <w:bookmarkEnd w:id="627"/>
      <w:bookmarkEnd w:id="628"/>
      <w:bookmarkEnd w:id="62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30" w:name="_Toc19069"/>
      <w:bookmarkStart w:id="631" w:name="_Toc259093681"/>
      <w:bookmarkStart w:id="632" w:name="_Toc487900362"/>
      <w:bookmarkStart w:id="633" w:name="_Toc279701252"/>
      <w:r>
        <w:rPr>
          <w:rFonts w:hint="eastAsia" w:asciiTheme="minorEastAsia" w:hAnsiTheme="minorEastAsia" w:eastAsiaTheme="minorEastAsia" w:cstheme="minorEastAsia"/>
          <w:b/>
          <w:sz w:val="24"/>
        </w:rPr>
        <w:t>2.7 质量保证</w:t>
      </w:r>
      <w:bookmarkEnd w:id="63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34" w:name="_Toc22267"/>
      <w:r>
        <w:rPr>
          <w:rFonts w:hint="eastAsia" w:asciiTheme="minorEastAsia" w:hAnsiTheme="minorEastAsia" w:eastAsiaTheme="minorEastAsia" w:cstheme="minorEastAsia"/>
          <w:b/>
          <w:sz w:val="24"/>
        </w:rPr>
        <w:t>2.8 延迟</w:t>
      </w:r>
      <w:bookmarkEnd w:id="631"/>
      <w:bookmarkEnd w:id="632"/>
      <w:bookmarkEnd w:id="633"/>
      <w:r>
        <w:rPr>
          <w:rFonts w:hint="eastAsia" w:asciiTheme="minorEastAsia" w:hAnsiTheme="minorEastAsia" w:eastAsiaTheme="minorEastAsia" w:cstheme="minorEastAsia"/>
          <w:b/>
          <w:sz w:val="24"/>
        </w:rPr>
        <w:t>履行</w:t>
      </w:r>
      <w:bookmarkEnd w:id="63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35" w:name="_Toc10611"/>
      <w:bookmarkStart w:id="636" w:name="_Toc279701254"/>
      <w:bookmarkStart w:id="637" w:name="_Toc487900364"/>
      <w:bookmarkStart w:id="638" w:name="_Ref467378121"/>
      <w:bookmarkStart w:id="639" w:name="_Toc259093683"/>
      <w:r>
        <w:rPr>
          <w:rFonts w:hint="eastAsia" w:asciiTheme="minorEastAsia" w:hAnsiTheme="minorEastAsia" w:eastAsiaTheme="minorEastAsia" w:cstheme="minorEastAsia"/>
          <w:b/>
          <w:sz w:val="24"/>
        </w:rPr>
        <w:t>2.9 合同变更</w:t>
      </w:r>
      <w:bookmarkEnd w:id="6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40" w:name="_Toc279701259"/>
      <w:bookmarkStart w:id="641" w:name="_Toc259093688"/>
      <w:bookmarkStart w:id="642" w:name="_Toc487900369"/>
    </w:p>
    <w:p>
      <w:pPr>
        <w:spacing w:line="560" w:lineRule="exact"/>
        <w:ind w:firstLine="482" w:firstLineChars="200"/>
        <w:outlineLvl w:val="0"/>
        <w:rPr>
          <w:rFonts w:asciiTheme="minorEastAsia" w:hAnsiTheme="minorEastAsia" w:eastAsiaTheme="minorEastAsia" w:cstheme="minorEastAsia"/>
          <w:b/>
          <w:sz w:val="24"/>
        </w:rPr>
      </w:pPr>
      <w:bookmarkStart w:id="643" w:name="_Toc23368"/>
      <w:bookmarkStart w:id="644" w:name="_Toc26689"/>
      <w:bookmarkStart w:id="645" w:name="_Toc10663"/>
      <w:bookmarkStart w:id="646" w:name="_Toc21830"/>
      <w:bookmarkStart w:id="647" w:name="_Toc42"/>
      <w:r>
        <w:rPr>
          <w:rFonts w:hint="eastAsia" w:asciiTheme="minorEastAsia" w:hAnsiTheme="minorEastAsia" w:eastAsiaTheme="minorEastAsia" w:cstheme="minorEastAsia"/>
          <w:b/>
          <w:sz w:val="24"/>
        </w:rPr>
        <w:t>2.10 合同转让</w:t>
      </w:r>
      <w:bookmarkEnd w:id="640"/>
      <w:bookmarkEnd w:id="641"/>
      <w:bookmarkEnd w:id="642"/>
      <w:r>
        <w:rPr>
          <w:rFonts w:hint="eastAsia" w:asciiTheme="minorEastAsia" w:hAnsiTheme="minorEastAsia" w:eastAsiaTheme="minorEastAsia" w:cstheme="minorEastAsia"/>
          <w:b/>
          <w:sz w:val="24"/>
        </w:rPr>
        <w:t>和分包</w:t>
      </w:r>
      <w:bookmarkEnd w:id="643"/>
      <w:bookmarkEnd w:id="644"/>
      <w:bookmarkEnd w:id="645"/>
      <w:bookmarkEnd w:id="646"/>
      <w:bookmarkEnd w:id="64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48" w:name="_Toc26633"/>
      <w:bookmarkStart w:id="649" w:name="_Toc14371"/>
      <w:bookmarkStart w:id="650" w:name="_Toc25571"/>
      <w:bookmarkStart w:id="651" w:name="_Toc32494"/>
      <w:bookmarkStart w:id="652" w:name="_Toc4720"/>
      <w:r>
        <w:rPr>
          <w:rFonts w:hint="eastAsia" w:asciiTheme="minorEastAsia" w:hAnsiTheme="minorEastAsia" w:eastAsiaTheme="minorEastAsia" w:cstheme="minorEastAsia"/>
          <w:b/>
          <w:sz w:val="24"/>
        </w:rPr>
        <w:t>2.11 不可抗力</w:t>
      </w:r>
      <w:bookmarkEnd w:id="648"/>
      <w:bookmarkEnd w:id="649"/>
      <w:bookmarkEnd w:id="650"/>
      <w:bookmarkEnd w:id="651"/>
      <w:bookmarkEnd w:id="65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53" w:name="_Toc487900365"/>
      <w:bookmarkStart w:id="654" w:name="_Toc3638"/>
      <w:bookmarkStart w:id="655" w:name="_Toc279701255"/>
      <w:bookmarkStart w:id="656" w:name="_Toc259093684"/>
      <w:bookmarkStart w:id="657" w:name="_Toc25783"/>
      <w:bookmarkStart w:id="658" w:name="_Toc23854"/>
      <w:bookmarkStart w:id="659" w:name="_Toc24465"/>
      <w:bookmarkStart w:id="660" w:name="_Toc14115"/>
      <w:r>
        <w:rPr>
          <w:rFonts w:hint="eastAsia" w:asciiTheme="minorEastAsia" w:hAnsiTheme="minorEastAsia" w:eastAsiaTheme="minorEastAsia" w:cstheme="minorEastAsia"/>
          <w:b/>
          <w:sz w:val="24"/>
        </w:rPr>
        <w:t>2.12 税费</w:t>
      </w:r>
      <w:bookmarkEnd w:id="653"/>
      <w:bookmarkEnd w:id="654"/>
      <w:bookmarkEnd w:id="655"/>
      <w:bookmarkEnd w:id="656"/>
      <w:bookmarkEnd w:id="657"/>
      <w:bookmarkEnd w:id="658"/>
      <w:bookmarkEnd w:id="659"/>
      <w:bookmarkEnd w:id="66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661" w:name="_Toc30105"/>
      <w:bookmarkStart w:id="662" w:name="_Toc279701258"/>
      <w:bookmarkStart w:id="663" w:name="_Toc7315"/>
      <w:bookmarkStart w:id="664" w:name="_Toc14814"/>
      <w:bookmarkStart w:id="665" w:name="_Toc25525"/>
      <w:bookmarkStart w:id="666" w:name="_Toc487900368"/>
      <w:bookmarkStart w:id="667" w:name="_Toc259093687"/>
      <w:bookmarkStart w:id="668" w:name="_Toc26883"/>
      <w:r>
        <w:rPr>
          <w:rFonts w:hint="eastAsia" w:asciiTheme="minorEastAsia" w:hAnsiTheme="minorEastAsia" w:eastAsiaTheme="minorEastAsia" w:cstheme="minorEastAsia"/>
          <w:b/>
          <w:sz w:val="24"/>
        </w:rPr>
        <w:t>2.13 乙方破产</w:t>
      </w:r>
      <w:bookmarkEnd w:id="661"/>
      <w:bookmarkEnd w:id="662"/>
      <w:bookmarkEnd w:id="663"/>
      <w:bookmarkEnd w:id="664"/>
      <w:bookmarkEnd w:id="665"/>
      <w:bookmarkEnd w:id="666"/>
      <w:bookmarkEnd w:id="667"/>
      <w:bookmarkEnd w:id="66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669" w:name="_Toc23323"/>
      <w:bookmarkStart w:id="670" w:name="_Toc1123"/>
      <w:bookmarkStart w:id="671" w:name="_Toc2016"/>
      <w:r>
        <w:rPr>
          <w:rFonts w:hint="eastAsia" w:asciiTheme="minorEastAsia" w:hAnsiTheme="minorEastAsia" w:eastAsiaTheme="minorEastAsia" w:cstheme="minorEastAsia"/>
          <w:b/>
          <w:sz w:val="24"/>
        </w:rPr>
        <w:t>2.14 合同中止、终止</w:t>
      </w:r>
      <w:bookmarkEnd w:id="669"/>
      <w:bookmarkEnd w:id="670"/>
      <w:bookmarkEnd w:id="67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672" w:name="_Toc14525"/>
      <w:bookmarkStart w:id="673" w:name="_Toc1969"/>
      <w:bookmarkStart w:id="674" w:name="_Toc17363"/>
      <w:r>
        <w:rPr>
          <w:rFonts w:hint="eastAsia" w:asciiTheme="minorEastAsia" w:hAnsiTheme="minorEastAsia" w:eastAsiaTheme="minorEastAsia" w:cstheme="minorEastAsia"/>
          <w:b/>
          <w:sz w:val="24"/>
        </w:rPr>
        <w:t>2.15 检验和验收</w:t>
      </w:r>
      <w:bookmarkEnd w:id="672"/>
      <w:bookmarkEnd w:id="673"/>
      <w:bookmarkEnd w:id="674"/>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36"/>
    <w:bookmarkEnd w:id="637"/>
    <w:bookmarkEnd w:id="638"/>
    <w:bookmarkEnd w:id="639"/>
    <w:p>
      <w:pPr>
        <w:spacing w:line="560" w:lineRule="exact"/>
        <w:ind w:firstLine="482" w:firstLineChars="200"/>
        <w:outlineLvl w:val="0"/>
        <w:rPr>
          <w:rFonts w:asciiTheme="minorEastAsia" w:hAnsiTheme="minorEastAsia" w:eastAsiaTheme="minorEastAsia" w:cstheme="minorEastAsia"/>
          <w:b/>
          <w:sz w:val="24"/>
        </w:rPr>
      </w:pPr>
      <w:bookmarkStart w:id="675" w:name="_Toc487900371"/>
      <w:bookmarkStart w:id="676" w:name="_Toc279701261"/>
      <w:bookmarkStart w:id="677" w:name="_Toc259093690"/>
      <w:bookmarkStart w:id="678" w:name="_Toc9808"/>
      <w:bookmarkStart w:id="679" w:name="_Toc25198"/>
      <w:bookmarkStart w:id="680" w:name="_Toc2308"/>
      <w:bookmarkStart w:id="681" w:name="_Toc12666"/>
      <w:bookmarkStart w:id="682" w:name="_Toc31892"/>
      <w:r>
        <w:rPr>
          <w:rFonts w:hint="eastAsia" w:asciiTheme="minorEastAsia" w:hAnsiTheme="minorEastAsia" w:eastAsiaTheme="minorEastAsia" w:cstheme="minorEastAsia"/>
          <w:b/>
          <w:sz w:val="24"/>
        </w:rPr>
        <w:t>2.16 通知</w:t>
      </w:r>
      <w:bookmarkEnd w:id="675"/>
      <w:bookmarkEnd w:id="676"/>
      <w:bookmarkEnd w:id="677"/>
      <w:r>
        <w:rPr>
          <w:rFonts w:hint="eastAsia" w:asciiTheme="minorEastAsia" w:hAnsiTheme="minorEastAsia" w:eastAsiaTheme="minorEastAsia" w:cstheme="minorEastAsia"/>
          <w:b/>
          <w:sz w:val="24"/>
        </w:rPr>
        <w:t>和送达</w:t>
      </w:r>
      <w:bookmarkEnd w:id="678"/>
      <w:bookmarkEnd w:id="679"/>
      <w:bookmarkEnd w:id="680"/>
      <w:bookmarkEnd w:id="681"/>
      <w:bookmarkEnd w:id="682"/>
    </w:p>
    <w:p>
      <w:pPr>
        <w:spacing w:line="560" w:lineRule="exact"/>
        <w:ind w:firstLine="480" w:firstLineChars="200"/>
        <w:rPr>
          <w:rFonts w:asciiTheme="minorEastAsia" w:hAnsiTheme="minorEastAsia" w:eastAsiaTheme="minorEastAsia" w:cstheme="minorEastAsia"/>
          <w:sz w:val="24"/>
        </w:rPr>
      </w:pPr>
      <w:bookmarkStart w:id="683" w:name="_Toc29220"/>
      <w:bookmarkStart w:id="684" w:name="_Toc7073"/>
      <w:bookmarkStart w:id="685" w:name="_Toc487900372"/>
      <w:bookmarkStart w:id="686" w:name="_Toc279701262"/>
      <w:bookmarkStart w:id="687" w:name="_Toc259093691"/>
      <w:r>
        <w:rPr>
          <w:rFonts w:hint="eastAsia" w:asciiTheme="minorEastAsia" w:hAnsiTheme="minorEastAsia" w:eastAsiaTheme="minorEastAsia" w:cstheme="minorEastAsia"/>
          <w:sz w:val="24"/>
        </w:rPr>
        <w:t>2.16.1 任何一方因履行合同而以合同第一部分尾部所列明的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发出的所有通知、文件、材料，均视为已向对方当事人送达；任何一方变更上述送达方式或者地址的，应于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bookmarkEnd w:id="683"/>
      <w:bookmarkEnd w:id="684"/>
    </w:p>
    <w:p>
      <w:pPr>
        <w:spacing w:line="560" w:lineRule="exact"/>
        <w:ind w:firstLine="480" w:firstLineChars="200"/>
        <w:rPr>
          <w:rFonts w:asciiTheme="minorEastAsia" w:hAnsiTheme="minorEastAsia" w:eastAsiaTheme="minorEastAsia" w:cstheme="minorEastAsia"/>
          <w:sz w:val="24"/>
        </w:rPr>
      </w:pPr>
      <w:bookmarkStart w:id="688" w:name="_Toc18401"/>
      <w:bookmarkStart w:id="689"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88"/>
      <w:bookmarkEnd w:id="689"/>
    </w:p>
    <w:bookmarkEnd w:id="685"/>
    <w:bookmarkEnd w:id="686"/>
    <w:bookmarkEnd w:id="687"/>
    <w:p>
      <w:pPr>
        <w:spacing w:line="560" w:lineRule="exact"/>
        <w:ind w:firstLine="482" w:firstLineChars="200"/>
        <w:outlineLvl w:val="0"/>
        <w:rPr>
          <w:rFonts w:asciiTheme="minorEastAsia" w:hAnsiTheme="minorEastAsia" w:eastAsiaTheme="minorEastAsia" w:cstheme="minorEastAsia"/>
          <w:b/>
          <w:sz w:val="24"/>
        </w:rPr>
      </w:pPr>
      <w:bookmarkStart w:id="690" w:name="_Toc259093692"/>
      <w:bookmarkStart w:id="691" w:name="_Toc12254"/>
      <w:bookmarkStart w:id="692" w:name="_Toc20808"/>
      <w:bookmarkStart w:id="693" w:name="_Toc487900373"/>
      <w:bookmarkStart w:id="694" w:name="_Toc279701263"/>
      <w:bookmarkStart w:id="695" w:name="_Toc5063"/>
      <w:bookmarkStart w:id="696" w:name="_Toc27644"/>
      <w:bookmarkStart w:id="697" w:name="_Toc28906"/>
      <w:r>
        <w:rPr>
          <w:rFonts w:hint="eastAsia" w:asciiTheme="minorEastAsia" w:hAnsiTheme="minorEastAsia" w:eastAsiaTheme="minorEastAsia" w:cstheme="minorEastAsia"/>
          <w:b/>
          <w:sz w:val="24"/>
        </w:rPr>
        <w:t>2.17 合同使用的文字和适用的法律</w:t>
      </w:r>
      <w:bookmarkEnd w:id="690"/>
      <w:bookmarkEnd w:id="691"/>
      <w:bookmarkEnd w:id="692"/>
      <w:bookmarkEnd w:id="693"/>
      <w:bookmarkEnd w:id="694"/>
      <w:bookmarkEnd w:id="695"/>
      <w:bookmarkEnd w:id="696"/>
      <w:bookmarkEnd w:id="69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 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698" w:name="_Toc1492"/>
      <w:bookmarkStart w:id="699" w:name="_Toc27127"/>
      <w:bookmarkStart w:id="700" w:name="_Toc259093693"/>
      <w:bookmarkStart w:id="701" w:name="_Toc22266"/>
      <w:bookmarkStart w:id="702" w:name="_Toc30096"/>
      <w:bookmarkStart w:id="703" w:name="_Toc27403"/>
      <w:bookmarkStart w:id="704" w:name="_Toc279701264"/>
      <w:bookmarkStart w:id="705" w:name="_Toc487900374"/>
      <w:r>
        <w:rPr>
          <w:rFonts w:hint="eastAsia" w:asciiTheme="minorEastAsia" w:hAnsiTheme="minorEastAsia" w:eastAsiaTheme="minorEastAsia" w:cstheme="minorEastAsia"/>
          <w:b/>
          <w:sz w:val="24"/>
        </w:rPr>
        <w:t>2.18 履约保证金</w:t>
      </w:r>
      <w:bookmarkEnd w:id="698"/>
      <w:bookmarkEnd w:id="699"/>
      <w:bookmarkEnd w:id="700"/>
      <w:bookmarkEnd w:id="701"/>
      <w:bookmarkEnd w:id="702"/>
      <w:bookmarkEnd w:id="703"/>
      <w:bookmarkEnd w:id="70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05"/>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28"/>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06" w:name="_Toc331685784"/>
      <w:r>
        <w:rPr>
          <w:rFonts w:hint="eastAsia" w:asciiTheme="minorEastAsia" w:hAnsiTheme="minorEastAsia" w:eastAsiaTheme="minorEastAsia" w:cstheme="minorEastAsia"/>
          <w:b/>
          <w:szCs w:val="24"/>
        </w:rPr>
        <w:t>第三部分  合同专用条款</w:t>
      </w:r>
      <w:bookmarkEnd w:id="70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5"/>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5"/>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5"/>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16"/>
        <w:rPr>
          <w:rFonts w:asciiTheme="minorEastAsia" w:hAnsiTheme="minorEastAsia" w:eastAsiaTheme="minorEastAsia" w:cstheme="minorEastAsia"/>
        </w:rPr>
      </w:pPr>
    </w:p>
    <w:p>
      <w:pPr>
        <w:pStyle w:val="16"/>
        <w:rPr>
          <w:rFonts w:asciiTheme="minorEastAsia" w:hAnsiTheme="minorEastAsia" w:eastAsiaTheme="minorEastAsia" w:cstheme="minorEastAsia"/>
        </w:rPr>
      </w:pPr>
    </w:p>
    <w:p>
      <w:pPr>
        <w:pStyle w:val="16"/>
        <w:rPr>
          <w:rFonts w:asciiTheme="minorEastAsia" w:hAnsiTheme="minorEastAsia" w:eastAsiaTheme="minorEastAsia" w:cstheme="minorEastAsia"/>
        </w:rPr>
      </w:pPr>
    </w:p>
    <w:p>
      <w:pPr>
        <w:pStyle w:val="16"/>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投诉人应当满足《政府采购法》、《政府采购法实施条例》和《政府采购供应商投诉处理办法》的相关规定。    </w:t>
      </w:r>
    </w:p>
    <w:p>
      <w:pPr>
        <w:numPr>
          <w:ilvl w:val="0"/>
          <w:numId w:val="8"/>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 xml:space="preserve"> 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31"/>
        <w:spacing w:line="360" w:lineRule="auto"/>
        <w:rPr>
          <w:rFonts w:asciiTheme="minorEastAsia" w:hAnsiTheme="minorEastAsia" w:eastAsiaTheme="minorEastAsia" w:cstheme="minorEastAsia"/>
          <w:szCs w:val="21"/>
        </w:rPr>
      </w:pP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投诉书应当包括下列主要内容：</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9"/>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31"/>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邮编：</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 xml:space="preserve"> </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地址： </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邮编：</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w:t>
      </w:r>
      <w:r>
        <w:rPr>
          <w:rFonts w:hint="eastAsia" w:asciiTheme="minorEastAsia" w:hAnsiTheme="minorEastAsia" w:eastAsiaTheme="minorEastAsia" w:cstheme="minorEastAsia"/>
          <w:szCs w:val="21"/>
          <w:u w:val="dotted"/>
        </w:rPr>
        <w:t xml:space="preserve">               </w:t>
      </w:r>
      <w:r>
        <w:rPr>
          <w:rFonts w:hint="eastAsia" w:asciiTheme="minorEastAsia" w:hAnsiTheme="minorEastAsia" w:eastAsiaTheme="minorEastAsia" w:cstheme="minorEastAsia"/>
          <w:szCs w:val="21"/>
        </w:rPr>
        <w:t>包号：</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u w:val="dotted"/>
        </w:rPr>
        <w:t xml:space="preserve">                                                     </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r>
        <w:rPr>
          <w:rFonts w:hint="eastAsia" w:asciiTheme="minorEastAsia" w:hAnsiTheme="minorEastAsia" w:eastAsiaTheme="minorEastAsia" w:cstheme="minorEastAsia"/>
          <w:szCs w:val="21"/>
          <w:u w:val="dotted"/>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签字(签章)：                   公章：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日期：    </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spacing w:line="360" w:lineRule="auto"/>
        <w:jc w:val="left"/>
        <w:outlineLvl w:val="1"/>
        <w:rPr>
          <w:rStyle w:val="23"/>
          <w:rFonts w:asciiTheme="minorEastAsia" w:hAnsiTheme="minorEastAsia" w:eastAsiaTheme="minorEastAsia" w:cstheme="minorEastAsia"/>
          <w:color w:val="000000"/>
          <w:sz w:val="24"/>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16"/>
        <w:rPr>
          <w:rFonts w:asciiTheme="minorEastAsia" w:hAnsiTheme="minorEastAsia" w:eastAsiaTheme="minorEastAsia"/>
        </w:rPr>
      </w:pPr>
    </w:p>
    <w:p/>
    <w:p/>
    <w:sectPr>
      <w:headerReference r:id="rId21" w:type="default"/>
      <w:footerReference r:id="rId2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end"/>
    </w:r>
  </w:p>
  <w:p>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13"/>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3"/>
                            <w:rPr>
                              <w:rStyle w:val="24"/>
                            </w:rPr>
                          </w:pPr>
                          <w:r>
                            <w:fldChar w:fldCharType="begin"/>
                          </w:r>
                          <w:r>
                            <w:rPr>
                              <w:rStyle w:val="24"/>
                            </w:rPr>
                            <w:instrText xml:space="preserve">PAGE  </w:instrText>
                          </w:r>
                          <w:r>
                            <w:fldChar w:fldCharType="separate"/>
                          </w:r>
                          <w:r>
                            <w:rPr>
                              <w:rStyle w:val="24"/>
                            </w:rP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GSZdi1AEAAKUDAAAOAAAAZHJzL2Uyb0RvYy54bWytU82O0zAQviPx&#10;DpbvNO2yy+5GTVegahESAqSFB3Adp7HkP824TfoC8AacuHDnufocjJ2k+8NlD1yc8cz4m/m+mSxv&#10;emvYXgFq7yq+mM05U076Wrttxb99vX11xRlG4WphvFMVPyjkN6uXL5ZdKNWZb72pFTACcVh2oeJt&#10;jKEsCpStsgJnPihHwcaDFZGusC1qEB2hW1Oczedvis5DHcBLhUje9RDkIyI8B9A3jZZq7eXOKhcH&#10;VFBGRKKErQ7IV7nbplEyfm4aVJGZihPTmE8qQvYmncVqKcotiNBqObYgntPCE05WaEdFT1BrEQXb&#10;gf4HymoJHn0TZ9LbYiCSFSEWi/kTbe5aEVTmQlJjOImO/w9Wftp/Aabril9y5oSlgR9//jj++nP8&#10;/Z1dJnm6gCVl3QXKi/0739PSTH4kZ2LdN2DTl/gwipO4h5O4qo9MpkeL8+vXF5xJCi3Ory6us/jF&#10;/eMAGN8rb1kyKg40uyyp2H/ESI1Q6pSSajl/q43J8zPukYMSB4/KCzC+TjyGfpMV+00/ktv4+kDc&#10;OlqCijvaec7MB0cap32ZDJiMzWTsAuhtmxcqVcfwdheppdxpqjDAUtvpQtPLBMZNS+vx8J6z7v+u&#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gLoFF0QAAAAMBAAAPAAAAAAAAAAEAIAAAACIAAABk&#10;cnMvZG93bnJldi54bWxQSwECFAAUAAAACACHTuJARkmXYtQBAAClAwAADgAAAAAAAAABACAAAAAg&#10;AQAAZHJzL2Uyb0RvYy54bWxQSwUGAAAAAAYABgBZAQAAZgUAAAAA&#10;">
              <v:fill on="f" focussize="0,0"/>
              <v:stroke on="f"/>
              <v:imagedata o:title=""/>
              <o:lock v:ext="edit" aspectratio="f"/>
              <v:textbox inset="0mm,0mm,0mm,0mm" style="mso-fit-shape-to-text:t;">
                <w:txbxContent>
                  <w:p>
                    <w:pPr>
                      <w:pStyle w:val="13"/>
                      <w:rPr>
                        <w:rStyle w:val="24"/>
                      </w:rPr>
                    </w:pPr>
                    <w:r>
                      <w:fldChar w:fldCharType="begin"/>
                    </w:r>
                    <w:r>
                      <w:rPr>
                        <w:rStyle w:val="24"/>
                      </w:rPr>
                      <w:instrText xml:space="preserve">PAGE  </w:instrText>
                    </w:r>
                    <w:r>
                      <w:fldChar w:fldCharType="separate"/>
                    </w:r>
                    <w:r>
                      <w:rPr>
                        <w:rStyle w:val="24"/>
                      </w:rP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42</w:t>
    </w:r>
    <w:r>
      <w:fldChar w:fldCharType="end"/>
    </w:r>
  </w:p>
  <w:p>
    <w:pPr>
      <w:pStyle w:val="1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4"/>
      </w:rPr>
    </w:pPr>
  </w:p>
  <w:p>
    <w:pPr>
      <w:pStyle w:val="13"/>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end"/>
    </w:r>
  </w:p>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SmallGap" w:color="auto" w:sz="12" w:space="0"/>
      </w:pBdr>
      <w:tabs>
        <w:tab w:val="left" w:pos="1959"/>
        <w:tab w:val="clear" w:pos="4153"/>
      </w:tabs>
      <w:jc w:val="both"/>
    </w:pPr>
    <w:r>
      <w:rPr>
        <w:rFonts w:hint="eastAsia"/>
      </w:rPr>
      <w:tab/>
    </w:r>
  </w:p>
  <w:p>
    <w:pPr>
      <w:pStyle w:val="14"/>
      <w:pBdr>
        <w:bottom w:val="thinThickSmallGap" w:color="auto" w:sz="12" w:space="0"/>
      </w:pBdr>
      <w:tabs>
        <w:tab w:val="left" w:pos="1959"/>
        <w:tab w:val="clear" w:pos="4153"/>
      </w:tabs>
      <w:jc w:val="both"/>
    </w:pPr>
  </w:p>
  <w:p>
    <w:pPr>
      <w:pStyle w:val="14"/>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0" w:hanging="241"/>
        <w:jc w:val="left"/>
      </w:pPr>
      <w:rPr>
        <w:rFonts w:hint="default" w:ascii="仿宋" w:hAnsi="仿宋" w:eastAsia="仿宋" w:cs="仿宋"/>
        <w:spacing w:val="-58"/>
        <w:w w:val="100"/>
        <w:sz w:val="22"/>
        <w:szCs w:val="22"/>
        <w:lang w:val="zh-CN" w:eastAsia="zh-CN" w:bidi="zh-CN"/>
      </w:rPr>
    </w:lvl>
    <w:lvl w:ilvl="1" w:tentative="0">
      <w:start w:val="0"/>
      <w:numFmt w:val="bullet"/>
      <w:lvlText w:val="•"/>
      <w:lvlJc w:val="left"/>
      <w:pPr>
        <w:ind w:left="835" w:hanging="241"/>
      </w:pPr>
      <w:rPr>
        <w:rFonts w:hint="default"/>
        <w:lang w:val="zh-CN" w:eastAsia="zh-CN" w:bidi="zh-CN"/>
      </w:rPr>
    </w:lvl>
    <w:lvl w:ilvl="2" w:tentative="0">
      <w:start w:val="0"/>
      <w:numFmt w:val="bullet"/>
      <w:lvlText w:val="•"/>
      <w:lvlJc w:val="left"/>
      <w:pPr>
        <w:ind w:left="1665" w:hanging="241"/>
      </w:pPr>
      <w:rPr>
        <w:rFonts w:hint="default"/>
        <w:lang w:val="zh-CN" w:eastAsia="zh-CN" w:bidi="zh-CN"/>
      </w:rPr>
    </w:lvl>
    <w:lvl w:ilvl="3" w:tentative="0">
      <w:start w:val="0"/>
      <w:numFmt w:val="bullet"/>
      <w:lvlText w:val="•"/>
      <w:lvlJc w:val="left"/>
      <w:pPr>
        <w:ind w:left="2495" w:hanging="241"/>
      </w:pPr>
      <w:rPr>
        <w:rFonts w:hint="default"/>
        <w:lang w:val="zh-CN" w:eastAsia="zh-CN" w:bidi="zh-CN"/>
      </w:rPr>
    </w:lvl>
    <w:lvl w:ilvl="4" w:tentative="0">
      <w:start w:val="0"/>
      <w:numFmt w:val="bullet"/>
      <w:lvlText w:val="•"/>
      <w:lvlJc w:val="left"/>
      <w:pPr>
        <w:ind w:left="3325" w:hanging="241"/>
      </w:pPr>
      <w:rPr>
        <w:rFonts w:hint="default"/>
        <w:lang w:val="zh-CN" w:eastAsia="zh-CN" w:bidi="zh-CN"/>
      </w:rPr>
    </w:lvl>
    <w:lvl w:ilvl="5" w:tentative="0">
      <w:start w:val="0"/>
      <w:numFmt w:val="bullet"/>
      <w:lvlText w:val="•"/>
      <w:lvlJc w:val="left"/>
      <w:pPr>
        <w:ind w:left="4155" w:hanging="241"/>
      </w:pPr>
      <w:rPr>
        <w:rFonts w:hint="default"/>
        <w:lang w:val="zh-CN" w:eastAsia="zh-CN" w:bidi="zh-CN"/>
      </w:rPr>
    </w:lvl>
    <w:lvl w:ilvl="6" w:tentative="0">
      <w:start w:val="0"/>
      <w:numFmt w:val="bullet"/>
      <w:lvlText w:val="•"/>
      <w:lvlJc w:val="left"/>
      <w:pPr>
        <w:ind w:left="4985" w:hanging="241"/>
      </w:pPr>
      <w:rPr>
        <w:rFonts w:hint="default"/>
        <w:lang w:val="zh-CN" w:eastAsia="zh-CN" w:bidi="zh-CN"/>
      </w:rPr>
    </w:lvl>
    <w:lvl w:ilvl="7" w:tentative="0">
      <w:start w:val="0"/>
      <w:numFmt w:val="bullet"/>
      <w:lvlText w:val="•"/>
      <w:lvlJc w:val="left"/>
      <w:pPr>
        <w:ind w:left="5815" w:hanging="241"/>
      </w:pPr>
      <w:rPr>
        <w:rFonts w:hint="default"/>
        <w:lang w:val="zh-CN" w:eastAsia="zh-CN" w:bidi="zh-CN"/>
      </w:rPr>
    </w:lvl>
    <w:lvl w:ilvl="8" w:tentative="0">
      <w:start w:val="0"/>
      <w:numFmt w:val="bullet"/>
      <w:lvlText w:val="•"/>
      <w:lvlJc w:val="left"/>
      <w:pPr>
        <w:ind w:left="6645" w:hanging="241"/>
      </w:pPr>
      <w:rPr>
        <w:rFonts w:hint="default"/>
        <w:lang w:val="zh-CN" w:eastAsia="zh-CN" w:bidi="zh-CN"/>
      </w:rPr>
    </w:lvl>
  </w:abstractNum>
  <w:abstractNum w:abstractNumId="1">
    <w:nsid w:val="B8CEF35B"/>
    <w:multiLevelType w:val="multilevel"/>
    <w:tmpl w:val="B8CEF35B"/>
    <w:lvl w:ilvl="0" w:tentative="0">
      <w:start w:val="4"/>
      <w:numFmt w:val="decimal"/>
      <w:lvlText w:val="%1."/>
      <w:lvlJc w:val="left"/>
      <w:pPr>
        <w:ind w:left="35" w:hanging="24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870" w:hanging="241"/>
      </w:pPr>
      <w:rPr>
        <w:rFonts w:hint="default"/>
        <w:lang w:val="zh-CN" w:eastAsia="zh-CN" w:bidi="zh-CN"/>
      </w:rPr>
    </w:lvl>
    <w:lvl w:ilvl="2" w:tentative="0">
      <w:start w:val="0"/>
      <w:numFmt w:val="bullet"/>
      <w:lvlText w:val="•"/>
      <w:lvlJc w:val="left"/>
      <w:pPr>
        <w:ind w:left="1700" w:hanging="241"/>
      </w:pPr>
      <w:rPr>
        <w:rFonts w:hint="default"/>
        <w:lang w:val="zh-CN" w:eastAsia="zh-CN" w:bidi="zh-CN"/>
      </w:rPr>
    </w:lvl>
    <w:lvl w:ilvl="3" w:tentative="0">
      <w:start w:val="0"/>
      <w:numFmt w:val="bullet"/>
      <w:lvlText w:val="•"/>
      <w:lvlJc w:val="left"/>
      <w:pPr>
        <w:ind w:left="2530" w:hanging="241"/>
      </w:pPr>
      <w:rPr>
        <w:rFonts w:hint="default"/>
        <w:lang w:val="zh-CN" w:eastAsia="zh-CN" w:bidi="zh-CN"/>
      </w:rPr>
    </w:lvl>
    <w:lvl w:ilvl="4" w:tentative="0">
      <w:start w:val="0"/>
      <w:numFmt w:val="bullet"/>
      <w:lvlText w:val="•"/>
      <w:lvlJc w:val="left"/>
      <w:pPr>
        <w:ind w:left="3360" w:hanging="241"/>
      </w:pPr>
      <w:rPr>
        <w:rFonts w:hint="default"/>
        <w:lang w:val="zh-CN" w:eastAsia="zh-CN" w:bidi="zh-CN"/>
      </w:rPr>
    </w:lvl>
    <w:lvl w:ilvl="5" w:tentative="0">
      <w:start w:val="0"/>
      <w:numFmt w:val="bullet"/>
      <w:lvlText w:val="•"/>
      <w:lvlJc w:val="left"/>
      <w:pPr>
        <w:ind w:left="4190" w:hanging="241"/>
      </w:pPr>
      <w:rPr>
        <w:rFonts w:hint="default"/>
        <w:lang w:val="zh-CN" w:eastAsia="zh-CN" w:bidi="zh-CN"/>
      </w:rPr>
    </w:lvl>
    <w:lvl w:ilvl="6" w:tentative="0">
      <w:start w:val="0"/>
      <w:numFmt w:val="bullet"/>
      <w:lvlText w:val="•"/>
      <w:lvlJc w:val="left"/>
      <w:pPr>
        <w:ind w:left="5020" w:hanging="241"/>
      </w:pPr>
      <w:rPr>
        <w:rFonts w:hint="default"/>
        <w:lang w:val="zh-CN" w:eastAsia="zh-CN" w:bidi="zh-CN"/>
      </w:rPr>
    </w:lvl>
    <w:lvl w:ilvl="7" w:tentative="0">
      <w:start w:val="0"/>
      <w:numFmt w:val="bullet"/>
      <w:lvlText w:val="•"/>
      <w:lvlJc w:val="left"/>
      <w:pPr>
        <w:ind w:left="5850" w:hanging="241"/>
      </w:pPr>
      <w:rPr>
        <w:rFonts w:hint="default"/>
        <w:lang w:val="zh-CN" w:eastAsia="zh-CN" w:bidi="zh-CN"/>
      </w:rPr>
    </w:lvl>
    <w:lvl w:ilvl="8" w:tentative="0">
      <w:start w:val="0"/>
      <w:numFmt w:val="bullet"/>
      <w:lvlText w:val="•"/>
      <w:lvlJc w:val="left"/>
      <w:pPr>
        <w:ind w:left="6680" w:hanging="241"/>
      </w:pPr>
      <w:rPr>
        <w:rFonts w:hint="default"/>
        <w:lang w:val="zh-CN" w:eastAsia="zh-CN" w:bidi="zh-CN"/>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5"/>
    <w:multiLevelType w:val="singleLevel"/>
    <w:tmpl w:val="00000005"/>
    <w:lvl w:ilvl="0" w:tentative="0">
      <w:start w:val="1"/>
      <w:numFmt w:val="decimal"/>
      <w:pStyle w:val="8"/>
      <w:lvlText w:val="%1."/>
      <w:lvlJc w:val="left"/>
      <w:pPr>
        <w:tabs>
          <w:tab w:val="left" w:pos="425"/>
        </w:tabs>
        <w:ind w:left="425" w:hanging="425"/>
      </w:pPr>
      <w:rPr>
        <w:rFonts w:hint="eastAsia"/>
      </w:r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5"/>
  </w:num>
  <w:num w:numId="3">
    <w:abstractNumId w:val="6"/>
  </w:num>
  <w:num w:numId="4">
    <w:abstractNumId w:val="4"/>
  </w:num>
  <w:num w:numId="5">
    <w:abstractNumId w:val="2"/>
  </w:num>
  <w:num w:numId="6">
    <w:abstractNumId w:val="0"/>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ZmVhYTE0YzE0N2RkYmRkMWQzNzZhZDA0YWVkMTcifQ=="/>
  </w:docVars>
  <w:rsids>
    <w:rsidRoot w:val="00000000"/>
    <w:rsid w:val="006D3442"/>
    <w:rsid w:val="019D73AC"/>
    <w:rsid w:val="0227136C"/>
    <w:rsid w:val="0269674E"/>
    <w:rsid w:val="03A72764"/>
    <w:rsid w:val="06163BD1"/>
    <w:rsid w:val="073A38EF"/>
    <w:rsid w:val="076E6BBF"/>
    <w:rsid w:val="09CA68E0"/>
    <w:rsid w:val="0A1A02FD"/>
    <w:rsid w:val="0A982E07"/>
    <w:rsid w:val="0B5137F6"/>
    <w:rsid w:val="0C724A61"/>
    <w:rsid w:val="0D076022"/>
    <w:rsid w:val="0D48199D"/>
    <w:rsid w:val="0E2B3F92"/>
    <w:rsid w:val="1204578B"/>
    <w:rsid w:val="13DB410D"/>
    <w:rsid w:val="14B22D17"/>
    <w:rsid w:val="16D56F04"/>
    <w:rsid w:val="17101F77"/>
    <w:rsid w:val="19A30E80"/>
    <w:rsid w:val="1A310B82"/>
    <w:rsid w:val="1B2643F4"/>
    <w:rsid w:val="1D497F91"/>
    <w:rsid w:val="1E043D60"/>
    <w:rsid w:val="21A8172A"/>
    <w:rsid w:val="231449BC"/>
    <w:rsid w:val="268F15A4"/>
    <w:rsid w:val="26FC44F7"/>
    <w:rsid w:val="2FBE480E"/>
    <w:rsid w:val="313A7EC4"/>
    <w:rsid w:val="34675474"/>
    <w:rsid w:val="35492DCC"/>
    <w:rsid w:val="35A375B5"/>
    <w:rsid w:val="35CD57AB"/>
    <w:rsid w:val="394C4C39"/>
    <w:rsid w:val="3B4262F3"/>
    <w:rsid w:val="3CBE5E4E"/>
    <w:rsid w:val="3DAB6DEB"/>
    <w:rsid w:val="3E171CB9"/>
    <w:rsid w:val="432C1C27"/>
    <w:rsid w:val="44F763A1"/>
    <w:rsid w:val="46152D40"/>
    <w:rsid w:val="4669507C"/>
    <w:rsid w:val="46DC3AA0"/>
    <w:rsid w:val="4AF018C8"/>
    <w:rsid w:val="4C23691F"/>
    <w:rsid w:val="4C59349D"/>
    <w:rsid w:val="4EDB463D"/>
    <w:rsid w:val="506A211C"/>
    <w:rsid w:val="53000B16"/>
    <w:rsid w:val="553D1BAE"/>
    <w:rsid w:val="56ED72AC"/>
    <w:rsid w:val="577D2735"/>
    <w:rsid w:val="58E93DFA"/>
    <w:rsid w:val="593E2B6E"/>
    <w:rsid w:val="5C69772C"/>
    <w:rsid w:val="5E990FD6"/>
    <w:rsid w:val="5F094519"/>
    <w:rsid w:val="5F0C25F1"/>
    <w:rsid w:val="64202DC6"/>
    <w:rsid w:val="657D7DA4"/>
    <w:rsid w:val="685D0FCE"/>
    <w:rsid w:val="6C156F89"/>
    <w:rsid w:val="6E44554D"/>
    <w:rsid w:val="6E66024C"/>
    <w:rsid w:val="6E661D1D"/>
    <w:rsid w:val="72B866DB"/>
    <w:rsid w:val="73AA44BD"/>
    <w:rsid w:val="75232716"/>
    <w:rsid w:val="75A650F5"/>
    <w:rsid w:val="78700A8E"/>
    <w:rsid w:val="7A1A342B"/>
    <w:rsid w:val="7B6735B3"/>
    <w:rsid w:val="7C54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8">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jc w:val="both"/>
      <w:textAlignment w:val="baseline"/>
    </w:pPr>
  </w:style>
  <w:style w:type="paragraph" w:customStyle="1" w:styleId="3">
    <w:name w:val="BodyTextIndent"/>
    <w:basedOn w:val="1"/>
    <w:qFormat/>
    <w:uiPriority w:val="0"/>
    <w:pPr>
      <w:spacing w:after="120"/>
      <w:ind w:left="420" w:leftChars="200"/>
      <w:jc w:val="both"/>
      <w:textAlignment w:val="baseline"/>
    </w:p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index 4"/>
    <w:basedOn w:val="1"/>
    <w:next w:val="1"/>
    <w:unhideWhenUsed/>
    <w:qFormat/>
    <w:uiPriority w:val="99"/>
    <w:pPr>
      <w:ind w:left="600" w:leftChars="600"/>
    </w:pPr>
  </w:style>
  <w:style w:type="paragraph" w:styleId="12">
    <w:name w:val="Plain Text"/>
    <w:basedOn w:val="1"/>
    <w:qFormat/>
    <w:uiPriority w:val="0"/>
    <w:rPr>
      <w:rFonts w:ascii="宋体" w:hAnsi="Courier New"/>
      <w:szCs w:val="22"/>
    </w:rPr>
  </w:style>
  <w:style w:type="paragraph" w:styleId="13">
    <w:name w:val="footer"/>
    <w:basedOn w:val="1"/>
    <w:next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Normal (Web)"/>
    <w:basedOn w:val="1"/>
    <w:next w:val="19"/>
    <w:qFormat/>
    <w:uiPriority w:val="0"/>
    <w:pPr>
      <w:widowControl/>
      <w:spacing w:before="100" w:beforeAutospacing="1" w:after="100" w:afterAutospacing="1"/>
      <w:jc w:val="left"/>
    </w:pPr>
    <w:rPr>
      <w:rFonts w:ascii="宋体" w:hAnsi="宋体" w:cs="宋体"/>
      <w:kern w:val="0"/>
      <w:sz w:val="24"/>
    </w:rPr>
  </w:style>
  <w:style w:type="paragraph" w:customStyle="1" w:styleId="1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Body Text First Indent 2"/>
    <w:basedOn w:val="10"/>
    <w:qFormat/>
    <w:uiPriority w:val="0"/>
    <w:pPr>
      <w:ind w:firstLine="420" w:firstLineChars="200"/>
    </w:pPr>
  </w:style>
  <w:style w:type="character" w:styleId="23">
    <w:name w:val="Strong"/>
    <w:basedOn w:val="22"/>
    <w:qFormat/>
    <w:uiPriority w:val="0"/>
    <w:rPr>
      <w:b/>
      <w:bCs/>
      <w:szCs w:val="21"/>
    </w:rPr>
  </w:style>
  <w:style w:type="character" w:styleId="24">
    <w:name w:val="page number"/>
    <w:basedOn w:val="22"/>
    <w:qFormat/>
    <w:uiPriority w:val="0"/>
    <w:rPr>
      <w:rFonts w:ascii="Times New Roman" w:hAnsi="Times New Roman" w:eastAsia="宋体" w:cs="Times New Roman"/>
    </w:rPr>
  </w:style>
  <w:style w:type="paragraph" w:customStyle="1" w:styleId="25">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缩进1"/>
    <w:basedOn w:val="1"/>
    <w:qFormat/>
    <w:uiPriority w:val="0"/>
    <w:pPr>
      <w:autoSpaceDE w:val="0"/>
      <w:autoSpaceDN w:val="0"/>
      <w:adjustRightInd w:val="0"/>
      <w:ind w:firstLine="420"/>
      <w:jc w:val="left"/>
    </w:pPr>
    <w:rPr>
      <w:rFonts w:ascii="宋体"/>
      <w:sz w:val="24"/>
      <w:szCs w:val="22"/>
    </w:rPr>
  </w:style>
  <w:style w:type="paragraph" w:customStyle="1" w:styleId="29">
    <w:name w:val="索引 11"/>
    <w:basedOn w:val="1"/>
    <w:next w:val="1"/>
    <w:qFormat/>
    <w:uiPriority w:val="0"/>
    <w:pPr>
      <w:spacing w:line="360" w:lineRule="auto"/>
    </w:pPr>
    <w:rPr>
      <w:rFonts w:ascii="仿宋_GB2312" w:eastAsia="仿宋_GB2312"/>
      <w:sz w:val="24"/>
      <w:szCs w:val="20"/>
    </w:rPr>
  </w:style>
  <w:style w:type="paragraph" w:customStyle="1" w:styleId="30">
    <w:name w:val="纯文本1"/>
    <w:basedOn w:val="1"/>
    <w:qFormat/>
    <w:uiPriority w:val="99"/>
    <w:rPr>
      <w:rFonts w:ascii="宋体" w:hAnsi="Courier New"/>
      <w:szCs w:val="22"/>
    </w:rPr>
  </w:style>
  <w:style w:type="paragraph" w:customStyle="1" w:styleId="31">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2">
    <w:name w:val="Table Paragraph"/>
    <w:basedOn w:val="1"/>
    <w:qFormat/>
    <w:uiPriority w:val="1"/>
    <w:pPr>
      <w:ind w:left="14"/>
    </w:pPr>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36490</Words>
  <Characters>38896</Characters>
  <Lines>0</Lines>
  <Paragraphs>0</Paragraphs>
  <TotalTime>12</TotalTime>
  <ScaleCrop>false</ScaleCrop>
  <LinksUpToDate>false</LinksUpToDate>
  <CharactersWithSpaces>44969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2023-04-19T05:54:00Z</dcterms:created>
  <dc:creator>Administrator</dc:creator>
  <cp:lastModifiedBy>Administrator</cp:lastModifiedBy>
  <dcterms:modified xsi:type="dcterms:W3CDTF">2023-05-05T10:43:34Z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C69611C960894AD6B2DBDF63085B6E14_12</vt:lpwstr>
  </property>
</Properties>
</file>