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line="360" w:lineRule="auto"/>
        <w:rPr>
          <w:rFonts w:hint="eastAsia"/>
          <w:color w:val="auto"/>
          <w:lang w:eastAsia="zh-CN"/>
        </w:rPr>
      </w:pPr>
      <w:bookmarkStart w:id="0" w:name="_Toc35393797"/>
      <w:bookmarkStart w:id="1" w:name="_Toc28359011"/>
    </w:p>
    <w:p>
      <w:pPr>
        <w:pStyle w:val="33"/>
        <w:spacing w:line="360" w:lineRule="auto"/>
        <w:rPr>
          <w:rFonts w:hint="eastAsia"/>
          <w:color w:val="auto"/>
          <w:lang w:eastAsia="zh-CN"/>
        </w:rPr>
      </w:pPr>
    </w:p>
    <w:p>
      <w:pPr>
        <w:pStyle w:val="33"/>
        <w:spacing w:line="360" w:lineRule="auto"/>
        <w:rPr>
          <w:rFonts w:hint="eastAsia"/>
          <w:color w:val="auto"/>
          <w:lang w:eastAsia="zh-CN"/>
        </w:rPr>
      </w:pPr>
    </w:p>
    <w:p>
      <w:pPr>
        <w:spacing w:line="360" w:lineRule="auto"/>
        <w:jc w:val="center"/>
        <w:rPr>
          <w:rFonts w:hint="eastAsia" w:ascii="仿宋" w:hAnsi="仿宋" w:eastAsia="仿宋" w:cs="仿宋"/>
          <w:b/>
          <w:bCs/>
          <w:color w:val="auto"/>
          <w:sz w:val="11"/>
          <w:szCs w:val="11"/>
        </w:rPr>
      </w:pPr>
    </w:p>
    <w:p>
      <w:pPr>
        <w:spacing w:line="360" w:lineRule="auto"/>
        <w:jc w:val="center"/>
        <w:rPr>
          <w:rFonts w:hint="eastAsia" w:ascii="仿宋" w:hAnsi="仿宋" w:eastAsia="仿宋" w:cs="仿宋"/>
          <w:b/>
          <w:color w:val="auto"/>
          <w:sz w:val="84"/>
          <w:szCs w:val="84"/>
        </w:rPr>
      </w:pPr>
      <w:r>
        <w:rPr>
          <w:rFonts w:hint="eastAsia" w:ascii="仿宋" w:hAnsi="仿宋" w:eastAsia="仿宋" w:cs="仿宋"/>
          <w:b/>
          <w:color w:val="auto"/>
          <w:sz w:val="84"/>
          <w:szCs w:val="84"/>
          <w:lang w:val="en-US" w:eastAsia="zh-CN"/>
        </w:rPr>
        <w:t>磋商</w:t>
      </w:r>
      <w:r>
        <w:rPr>
          <w:rFonts w:hint="eastAsia" w:ascii="仿宋" w:hAnsi="仿宋" w:eastAsia="仿宋" w:cs="仿宋"/>
          <w:b/>
          <w:color w:val="auto"/>
          <w:sz w:val="84"/>
          <w:szCs w:val="84"/>
        </w:rPr>
        <w:t>文件</w:t>
      </w:r>
    </w:p>
    <w:p>
      <w:pPr>
        <w:pStyle w:val="33"/>
        <w:spacing w:line="360" w:lineRule="auto"/>
        <w:ind w:left="0" w:leftChars="0" w:firstLine="0" w:firstLineChars="0"/>
        <w:rPr>
          <w:rFonts w:hint="eastAsia" w:ascii="仿宋" w:hAnsi="仿宋" w:eastAsia="仿宋" w:cs="仿宋"/>
          <w:color w:val="auto"/>
        </w:rPr>
      </w:pPr>
    </w:p>
    <w:p>
      <w:pPr>
        <w:spacing w:line="360" w:lineRule="auto"/>
        <w:jc w:val="center"/>
        <w:rPr>
          <w:rFonts w:hint="eastAsia" w:ascii="仿宋" w:hAnsi="仿宋" w:eastAsia="仿宋" w:cs="仿宋"/>
          <w:b/>
          <w:color w:val="auto"/>
          <w:sz w:val="72"/>
          <w:lang w:eastAsia="zh-CN"/>
        </w:rPr>
      </w:pPr>
      <w:r>
        <w:rPr>
          <w:rFonts w:hint="eastAsia" w:ascii="仿宋" w:hAnsi="仿宋" w:eastAsia="仿宋" w:cs="仿宋"/>
          <w:b/>
          <w:color w:val="auto"/>
          <w:sz w:val="72"/>
          <w:lang w:eastAsia="zh-CN"/>
        </w:rPr>
        <w:drawing>
          <wp:inline distT="0" distB="0" distL="114300" distR="114300">
            <wp:extent cx="2171700" cy="2145665"/>
            <wp:effectExtent l="0" t="0" r="0" b="6985"/>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8"/>
                    <a:srcRect l="30045" t="9183" r="28960" b="26720"/>
                    <a:stretch>
                      <a:fillRect/>
                    </a:stretch>
                  </pic:blipFill>
                  <pic:spPr>
                    <a:xfrm>
                      <a:off x="0" y="0"/>
                      <a:ext cx="2171700" cy="2145665"/>
                    </a:xfrm>
                    <a:prstGeom prst="rect">
                      <a:avLst/>
                    </a:prstGeom>
                    <a:noFill/>
                    <a:ln>
                      <a:noFill/>
                    </a:ln>
                  </pic:spPr>
                </pic:pic>
              </a:graphicData>
            </a:graphic>
          </wp:inline>
        </w:drawing>
      </w:r>
    </w:p>
    <w:p>
      <w:pPr>
        <w:pStyle w:val="33"/>
        <w:spacing w:line="360" w:lineRule="auto"/>
        <w:ind w:left="0" w:leftChars="0" w:firstLine="0" w:firstLineChars="0"/>
        <w:rPr>
          <w:rFonts w:hint="eastAsia" w:ascii="仿宋" w:hAnsi="仿宋" w:eastAsia="仿宋" w:cs="仿宋"/>
          <w:b/>
          <w:color w:val="auto"/>
          <w:sz w:val="72"/>
          <w:lang w:eastAsia="zh-CN"/>
        </w:rPr>
      </w:pPr>
    </w:p>
    <w:p>
      <w:pPr>
        <w:tabs>
          <w:tab w:val="left" w:pos="3240"/>
          <w:tab w:val="left" w:pos="3420"/>
        </w:tabs>
        <w:spacing w:line="360" w:lineRule="auto"/>
        <w:rPr>
          <w:rFonts w:hint="eastAsia" w:ascii="仿宋" w:hAnsi="仿宋" w:eastAsia="仿宋" w:cs="仿宋"/>
          <w:b/>
          <w:bCs w:val="0"/>
          <w:color w:val="auto"/>
          <w:sz w:val="32"/>
          <w:szCs w:val="30"/>
          <w:lang w:eastAsia="zh-CN"/>
        </w:rPr>
      </w:pPr>
      <w:r>
        <w:rPr>
          <w:rFonts w:hint="eastAsia" w:ascii="仿宋" w:hAnsi="仿宋" w:eastAsia="仿宋" w:cs="仿宋"/>
          <w:b/>
          <w:bCs w:val="0"/>
          <w:color w:val="auto"/>
          <w:sz w:val="32"/>
          <w:szCs w:val="30"/>
        </w:rPr>
        <w:t>项目名称：</w:t>
      </w:r>
      <w:r>
        <w:rPr>
          <w:rFonts w:hint="eastAsia" w:ascii="仿宋" w:hAnsi="仿宋" w:eastAsia="仿宋" w:cs="仿宋"/>
          <w:b/>
          <w:bCs w:val="0"/>
          <w:color w:val="auto"/>
          <w:sz w:val="32"/>
          <w:szCs w:val="30"/>
          <w:u w:val="single"/>
          <w:lang w:eastAsia="zh-CN"/>
        </w:rPr>
        <w:t>和布克赛尔县自然资源统一确权登记工作项目</w:t>
      </w:r>
    </w:p>
    <w:p>
      <w:pPr>
        <w:tabs>
          <w:tab w:val="left" w:pos="3240"/>
          <w:tab w:val="left" w:pos="3420"/>
        </w:tabs>
        <w:spacing w:line="360" w:lineRule="auto"/>
        <w:rPr>
          <w:rFonts w:hint="eastAsia" w:ascii="仿宋" w:hAnsi="仿宋" w:eastAsia="仿宋" w:cs="仿宋"/>
          <w:b/>
          <w:bCs w:val="0"/>
          <w:color w:val="auto"/>
          <w:sz w:val="32"/>
          <w:szCs w:val="30"/>
          <w:u w:val="single"/>
          <w:lang w:eastAsia="zh-CN"/>
        </w:rPr>
      </w:pPr>
      <w:r>
        <w:rPr>
          <w:rFonts w:hint="eastAsia" w:ascii="仿宋" w:hAnsi="仿宋" w:eastAsia="仿宋" w:cs="仿宋"/>
          <w:b/>
          <w:bCs w:val="0"/>
          <w:color w:val="auto"/>
          <w:sz w:val="32"/>
          <w:szCs w:val="30"/>
          <w:lang w:eastAsia="zh-CN"/>
        </w:rPr>
        <w:t>采购</w:t>
      </w:r>
      <w:r>
        <w:rPr>
          <w:rFonts w:hint="eastAsia" w:ascii="仿宋" w:hAnsi="仿宋" w:eastAsia="仿宋" w:cs="仿宋"/>
          <w:b/>
          <w:bCs w:val="0"/>
          <w:color w:val="auto"/>
          <w:sz w:val="32"/>
          <w:szCs w:val="30"/>
        </w:rPr>
        <w:t>编号：</w:t>
      </w:r>
      <w:r>
        <w:rPr>
          <w:rFonts w:hint="eastAsia" w:ascii="仿宋" w:hAnsi="仿宋" w:eastAsia="仿宋" w:cs="仿宋"/>
          <w:b/>
          <w:bCs w:val="0"/>
          <w:color w:val="auto"/>
          <w:sz w:val="32"/>
          <w:szCs w:val="30"/>
          <w:u w:val="single"/>
          <w:lang w:eastAsia="zh-CN"/>
        </w:rPr>
        <w:t>XJWZS(ZC)202</w:t>
      </w:r>
      <w:r>
        <w:rPr>
          <w:rFonts w:hint="eastAsia" w:ascii="仿宋" w:hAnsi="仿宋" w:eastAsia="仿宋" w:cs="仿宋"/>
          <w:b/>
          <w:bCs w:val="0"/>
          <w:color w:val="auto"/>
          <w:sz w:val="32"/>
          <w:szCs w:val="30"/>
          <w:u w:val="single"/>
          <w:lang w:val="en-US" w:eastAsia="zh-CN"/>
        </w:rPr>
        <w:t>3</w:t>
      </w:r>
      <w:r>
        <w:rPr>
          <w:rFonts w:hint="eastAsia" w:ascii="仿宋" w:hAnsi="仿宋" w:eastAsia="仿宋" w:cs="仿宋"/>
          <w:b/>
          <w:bCs w:val="0"/>
          <w:color w:val="auto"/>
          <w:sz w:val="32"/>
          <w:szCs w:val="30"/>
          <w:u w:val="single"/>
          <w:lang w:eastAsia="zh-CN"/>
        </w:rPr>
        <w:t>-0</w:t>
      </w:r>
      <w:r>
        <w:rPr>
          <w:rFonts w:hint="eastAsia" w:ascii="仿宋" w:hAnsi="仿宋" w:eastAsia="仿宋" w:cs="仿宋"/>
          <w:b/>
          <w:bCs w:val="0"/>
          <w:color w:val="auto"/>
          <w:sz w:val="32"/>
          <w:szCs w:val="30"/>
          <w:u w:val="single"/>
          <w:lang w:val="en-US" w:eastAsia="zh-CN"/>
        </w:rPr>
        <w:t>1</w:t>
      </w:r>
      <w:r>
        <w:rPr>
          <w:rFonts w:hint="eastAsia" w:ascii="仿宋" w:hAnsi="仿宋" w:eastAsia="仿宋" w:cs="仿宋"/>
          <w:b/>
          <w:bCs w:val="0"/>
          <w:color w:val="auto"/>
          <w:sz w:val="32"/>
          <w:szCs w:val="30"/>
          <w:u w:val="single"/>
          <w:lang w:eastAsia="zh-CN"/>
        </w:rPr>
        <w:t>4</w:t>
      </w:r>
    </w:p>
    <w:p>
      <w:pPr>
        <w:tabs>
          <w:tab w:val="left" w:pos="3240"/>
          <w:tab w:val="left" w:pos="3420"/>
        </w:tabs>
        <w:spacing w:line="360" w:lineRule="auto"/>
        <w:rPr>
          <w:rFonts w:hint="eastAsia" w:ascii="仿宋" w:hAnsi="仿宋" w:eastAsia="仿宋" w:cs="仿宋"/>
          <w:b/>
          <w:bCs w:val="0"/>
          <w:color w:val="auto"/>
          <w:sz w:val="32"/>
          <w:szCs w:val="30"/>
          <w:lang w:eastAsia="zh-CN"/>
        </w:rPr>
      </w:pPr>
      <w:r>
        <w:rPr>
          <w:rFonts w:hint="eastAsia" w:ascii="仿宋" w:hAnsi="仿宋" w:eastAsia="仿宋" w:cs="仿宋"/>
          <w:b/>
          <w:bCs w:val="0"/>
          <w:color w:val="auto"/>
          <w:sz w:val="32"/>
          <w:szCs w:val="30"/>
        </w:rPr>
        <w:t>采 购 人：</w:t>
      </w:r>
      <w:r>
        <w:rPr>
          <w:rFonts w:hint="eastAsia" w:ascii="仿宋" w:hAnsi="仿宋" w:eastAsia="仿宋" w:cs="仿宋"/>
          <w:b/>
          <w:bCs w:val="0"/>
          <w:color w:val="auto"/>
          <w:sz w:val="32"/>
          <w:szCs w:val="30"/>
          <w:u w:val="single"/>
          <w:lang w:eastAsia="zh-CN"/>
        </w:rPr>
        <w:t>和布克赛尔蒙古自治县自然资源局</w:t>
      </w:r>
    </w:p>
    <w:p>
      <w:pPr>
        <w:tabs>
          <w:tab w:val="left" w:pos="3240"/>
          <w:tab w:val="left" w:pos="3420"/>
        </w:tabs>
        <w:spacing w:line="360" w:lineRule="auto"/>
        <w:rPr>
          <w:rFonts w:hint="eastAsia" w:ascii="仿宋" w:hAnsi="仿宋" w:eastAsia="仿宋" w:cs="仿宋"/>
          <w:b/>
          <w:bCs w:val="0"/>
          <w:color w:val="auto"/>
          <w:sz w:val="32"/>
          <w:szCs w:val="30"/>
          <w:u w:val="single"/>
        </w:rPr>
      </w:pPr>
      <w:r>
        <w:rPr>
          <w:rFonts w:hint="eastAsia" w:ascii="仿宋" w:hAnsi="仿宋" w:eastAsia="仿宋" w:cs="仿宋"/>
          <w:b/>
          <w:bCs w:val="0"/>
          <w:color w:val="auto"/>
          <w:sz w:val="32"/>
          <w:szCs w:val="30"/>
        </w:rPr>
        <w:t>采购代理机构：</w:t>
      </w:r>
      <w:r>
        <w:rPr>
          <w:rFonts w:hint="eastAsia" w:ascii="仿宋" w:hAnsi="仿宋" w:eastAsia="仿宋" w:cs="仿宋"/>
          <w:b/>
          <w:bCs w:val="0"/>
          <w:color w:val="auto"/>
          <w:sz w:val="32"/>
          <w:szCs w:val="30"/>
          <w:u w:val="single"/>
          <w:lang w:val="en-US" w:eastAsia="zh-CN"/>
        </w:rPr>
        <w:t>新疆卫中森工程管理服务有限公司</w:t>
      </w:r>
    </w:p>
    <w:p>
      <w:pPr>
        <w:tabs>
          <w:tab w:val="left" w:pos="3240"/>
          <w:tab w:val="left" w:pos="3420"/>
        </w:tabs>
        <w:spacing w:line="360" w:lineRule="auto"/>
        <w:jc w:val="center"/>
        <w:rPr>
          <w:rFonts w:hint="eastAsia" w:ascii="仿宋" w:hAnsi="仿宋" w:eastAsia="仿宋" w:cs="仿宋"/>
          <w:b/>
          <w:bCs w:val="0"/>
          <w:color w:val="auto"/>
          <w:sz w:val="32"/>
          <w:szCs w:val="36"/>
        </w:rPr>
      </w:pPr>
    </w:p>
    <w:p>
      <w:pPr>
        <w:pStyle w:val="33"/>
        <w:spacing w:line="360" w:lineRule="auto"/>
        <w:rPr>
          <w:rFonts w:hint="eastAsia" w:ascii="仿宋" w:hAnsi="仿宋" w:eastAsia="仿宋" w:cs="仿宋"/>
          <w:b/>
          <w:bCs w:val="0"/>
          <w:color w:val="auto"/>
          <w:sz w:val="32"/>
          <w:szCs w:val="36"/>
        </w:rPr>
      </w:pPr>
    </w:p>
    <w:p>
      <w:pPr>
        <w:pStyle w:val="33"/>
        <w:spacing w:line="360" w:lineRule="auto"/>
        <w:rPr>
          <w:rFonts w:hint="eastAsia" w:ascii="仿宋" w:hAnsi="仿宋" w:eastAsia="仿宋" w:cs="仿宋"/>
          <w:b/>
          <w:bCs w:val="0"/>
          <w:color w:val="auto"/>
          <w:sz w:val="32"/>
          <w:szCs w:val="36"/>
        </w:rPr>
      </w:pPr>
    </w:p>
    <w:p>
      <w:pPr>
        <w:spacing w:line="360" w:lineRule="auto"/>
        <w:jc w:val="center"/>
        <w:rPr>
          <w:rFonts w:hint="eastAsia" w:ascii="仿宋" w:hAnsi="仿宋" w:eastAsia="仿宋" w:cs="仿宋"/>
          <w:b/>
          <w:bCs w:val="0"/>
          <w:color w:val="auto"/>
          <w:sz w:val="32"/>
          <w:szCs w:val="36"/>
          <w:u w:val="single"/>
        </w:rPr>
      </w:pPr>
      <w:r>
        <w:rPr>
          <w:rFonts w:hint="eastAsia" w:ascii="仿宋" w:hAnsi="仿宋" w:eastAsia="仿宋" w:cs="仿宋"/>
          <w:b/>
          <w:bCs w:val="0"/>
          <w:color w:val="auto"/>
          <w:sz w:val="32"/>
          <w:szCs w:val="36"/>
        </w:rPr>
        <w:t>日    期：</w:t>
      </w:r>
      <w:r>
        <w:rPr>
          <w:rFonts w:hint="eastAsia" w:ascii="仿宋" w:hAnsi="仿宋" w:eastAsia="仿宋" w:cs="仿宋"/>
          <w:b/>
          <w:bCs w:val="0"/>
          <w:color w:val="auto"/>
          <w:sz w:val="32"/>
          <w:szCs w:val="36"/>
          <w:u w:val="single"/>
        </w:rPr>
        <w:t>20</w:t>
      </w:r>
      <w:r>
        <w:rPr>
          <w:rFonts w:hint="eastAsia" w:ascii="仿宋" w:hAnsi="仿宋" w:eastAsia="仿宋" w:cs="仿宋"/>
          <w:b/>
          <w:bCs w:val="0"/>
          <w:color w:val="auto"/>
          <w:sz w:val="32"/>
          <w:szCs w:val="36"/>
          <w:u w:val="single"/>
          <w:lang w:val="en-US" w:eastAsia="zh-CN"/>
        </w:rPr>
        <w:t>23</w:t>
      </w:r>
      <w:r>
        <w:rPr>
          <w:rFonts w:hint="eastAsia" w:ascii="仿宋" w:hAnsi="仿宋" w:eastAsia="仿宋" w:cs="仿宋"/>
          <w:b/>
          <w:bCs w:val="0"/>
          <w:color w:val="auto"/>
          <w:sz w:val="32"/>
          <w:szCs w:val="36"/>
          <w:u w:val="single"/>
        </w:rPr>
        <w:t>年</w:t>
      </w:r>
      <w:r>
        <w:rPr>
          <w:rFonts w:hint="eastAsia" w:ascii="仿宋" w:hAnsi="仿宋" w:eastAsia="仿宋" w:cs="仿宋"/>
          <w:b/>
          <w:bCs w:val="0"/>
          <w:color w:val="auto"/>
          <w:sz w:val="32"/>
          <w:szCs w:val="36"/>
          <w:u w:val="single"/>
          <w:lang w:val="en-US" w:eastAsia="zh-CN"/>
        </w:rPr>
        <w:t>05</w:t>
      </w:r>
      <w:r>
        <w:rPr>
          <w:rFonts w:hint="eastAsia" w:ascii="仿宋" w:hAnsi="仿宋" w:eastAsia="仿宋" w:cs="仿宋"/>
          <w:b/>
          <w:bCs w:val="0"/>
          <w:color w:val="auto"/>
          <w:sz w:val="32"/>
          <w:szCs w:val="36"/>
          <w:u w:val="single"/>
        </w:rPr>
        <w:t>月</w:t>
      </w:r>
    </w:p>
    <w:p>
      <w:pPr>
        <w:pStyle w:val="33"/>
        <w:spacing w:line="360" w:lineRule="auto"/>
        <w:ind w:left="0" w:leftChars="0" w:firstLine="0" w:firstLineChars="0"/>
        <w:rPr>
          <w:rFonts w:hint="eastAsia" w:ascii="仿宋" w:hAnsi="仿宋" w:eastAsia="仿宋" w:cs="仿宋"/>
          <w:bCs/>
          <w:color w:val="auto"/>
          <w:sz w:val="32"/>
          <w:szCs w:val="36"/>
          <w:u w:val="single"/>
        </w:rPr>
      </w:pPr>
    </w:p>
    <w:sdt>
      <w:sdtPr>
        <w:rPr>
          <w:rFonts w:hint="eastAsia" w:ascii="仿宋" w:hAnsi="仿宋" w:eastAsia="仿宋" w:cs="仿宋"/>
          <w:b/>
          <w:bCs/>
          <w:color w:val="auto"/>
          <w:kern w:val="2"/>
          <w:sz w:val="30"/>
          <w:szCs w:val="30"/>
          <w:lang w:val="en-US" w:eastAsia="zh-CN" w:bidi="ar-SA"/>
        </w:rPr>
        <w:id w:val="147472452"/>
        <w15:color w:val="DBDBDB"/>
        <w:docPartObj>
          <w:docPartGallery w:val="Table of Contents"/>
          <w:docPartUnique/>
        </w:docPartObj>
      </w:sdtPr>
      <w:sdtEndPr>
        <w:rPr>
          <w:rFonts w:hint="eastAsia" w:ascii="Times New Roman" w:hAnsi="Times New Roman" w:eastAsia="仿宋" w:cs="Times New Roman"/>
          <w:b/>
          <w:bCs/>
          <w:color w:val="auto"/>
          <w:kern w:val="44"/>
          <w:sz w:val="32"/>
          <w:szCs w:val="44"/>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目录</w:t>
          </w:r>
        </w:p>
        <w:p>
          <w:pPr>
            <w:pStyle w:val="20"/>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TOC \o "1-2" \h \u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_Toc5313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第一章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_Toc5313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_Toc25877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第</w:t>
          </w:r>
          <w:r>
            <w:rPr>
              <w:rFonts w:hint="eastAsia" w:ascii="仿宋" w:hAnsi="仿宋" w:eastAsia="仿宋" w:cs="仿宋"/>
              <w:sz w:val="24"/>
              <w:szCs w:val="24"/>
              <w:lang w:eastAsia="zh-CN"/>
            </w:rPr>
            <w:t>二</w:t>
          </w:r>
          <w:r>
            <w:rPr>
              <w:rFonts w:hint="eastAsia" w:ascii="仿宋" w:hAnsi="仿宋" w:eastAsia="仿宋" w:cs="仿宋"/>
              <w:sz w:val="24"/>
              <w:szCs w:val="24"/>
            </w:rPr>
            <w:t>章  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_Toc25877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_Toc3107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一、前附表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_Toc22492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二、总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_Toc22492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_Toc24247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三</w:t>
          </w:r>
          <w:r>
            <w:rPr>
              <w:rFonts w:hint="eastAsia" w:ascii="仿宋" w:hAnsi="仿宋" w:eastAsia="仿宋" w:cs="仿宋"/>
              <w:sz w:val="24"/>
              <w:szCs w:val="24"/>
            </w:rPr>
            <w:t>、磋商文件的说明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_Toc24247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_Toc17925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四、 响应文件的编制</w:t>
          </w:r>
          <w:r>
            <w:rPr>
              <w:rFonts w:hint="eastAsia" w:ascii="仿宋" w:hAnsi="仿宋" w:eastAsia="仿宋" w:cs="仿宋"/>
              <w:sz w:val="24"/>
              <w:szCs w:val="24"/>
              <w:lang w:eastAsia="zh-CN"/>
            </w:rPr>
            <w:t>、上传及递交要求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_Toc17925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_Toc11950 </w:instrText>
          </w:r>
          <w:r>
            <w:rPr>
              <w:rFonts w:hint="eastAsia" w:ascii="仿宋" w:hAnsi="仿宋" w:eastAsia="仿宋" w:cs="仿宋"/>
              <w:sz w:val="24"/>
              <w:szCs w:val="24"/>
              <w:lang w:eastAsia="zh-CN"/>
            </w:rPr>
            <w:fldChar w:fldCharType="separate"/>
          </w:r>
          <w:r>
            <w:rPr>
              <w:rFonts w:hint="eastAsia" w:ascii="仿宋" w:hAnsi="仿宋" w:eastAsia="仿宋" w:cs="仿宋"/>
              <w:bCs w:val="0"/>
              <w:sz w:val="24"/>
              <w:szCs w:val="24"/>
              <w:lang w:eastAsia="zh-CN"/>
            </w:rPr>
            <w:t xml:space="preserve">五、 </w:t>
          </w:r>
          <w:r>
            <w:rPr>
              <w:rFonts w:hint="eastAsia" w:ascii="仿宋" w:hAnsi="仿宋" w:eastAsia="仿宋" w:cs="仿宋"/>
              <w:bCs w:val="0"/>
              <w:sz w:val="24"/>
              <w:szCs w:val="24"/>
              <w:highlight w:val="none"/>
              <w:lang w:eastAsia="zh-CN"/>
            </w:rPr>
            <w:t>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_Toc11950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_Toc25039 </w:instrText>
          </w:r>
          <w:r>
            <w:rPr>
              <w:rFonts w:hint="eastAsia" w:ascii="仿宋" w:hAnsi="仿宋" w:eastAsia="仿宋" w:cs="仿宋"/>
              <w:sz w:val="24"/>
              <w:szCs w:val="24"/>
              <w:lang w:eastAsia="zh-CN"/>
            </w:rPr>
            <w:fldChar w:fldCharType="separate"/>
          </w:r>
          <w:r>
            <w:rPr>
              <w:rFonts w:hint="eastAsia" w:ascii="仿宋" w:hAnsi="仿宋" w:eastAsia="仿宋" w:cs="仿宋"/>
              <w:bCs w:val="0"/>
              <w:sz w:val="24"/>
              <w:szCs w:val="24"/>
            </w:rPr>
            <w:t xml:space="preserve">六、 </w:t>
          </w:r>
          <w:r>
            <w:rPr>
              <w:rFonts w:hint="eastAsia" w:ascii="仿宋" w:hAnsi="仿宋" w:eastAsia="仿宋" w:cs="仿宋"/>
              <w:bCs w:val="0"/>
              <w:sz w:val="24"/>
              <w:szCs w:val="24"/>
              <w:highlight w:val="none"/>
            </w:rPr>
            <w:t>磋商会议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_Toc25039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_Toc10452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七、</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_Toc10452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_Toc1336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八、</w:t>
          </w:r>
          <w:r>
            <w:rPr>
              <w:rFonts w:hint="eastAsia" w:ascii="仿宋" w:hAnsi="仿宋" w:eastAsia="仿宋" w:cs="仿宋"/>
              <w:sz w:val="24"/>
              <w:szCs w:val="24"/>
            </w:rPr>
            <w:t>质疑和投诉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_Toc1336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_Toc22561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val="en-US" w:eastAsia="zh-CN"/>
            </w:rPr>
            <w:t>第三章 项目概况及技术要求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_Toc22561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_Toc29148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 xml:space="preserve">第四章 </w:t>
          </w:r>
          <w:r>
            <w:rPr>
              <w:rFonts w:hint="eastAsia" w:ascii="仿宋" w:hAnsi="仿宋" w:eastAsia="仿宋" w:cs="仿宋"/>
              <w:sz w:val="24"/>
              <w:szCs w:val="24"/>
              <w:lang w:val="en-US" w:eastAsia="zh-CN"/>
            </w:rPr>
            <w:t>详细评审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_Toc29148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_Toc19765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资格性审查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_Toc19765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_Toc25020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highlight w:val="none"/>
            </w:rPr>
            <w:t>2</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符合性审查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_Toc25020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_Toc4069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详细评审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_Toc4069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_Toc25572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val="en-US" w:eastAsia="zh-CN"/>
            </w:rPr>
            <w:t xml:space="preserve">第五章   </w:t>
          </w:r>
          <w:r>
            <w:rPr>
              <w:rFonts w:hint="eastAsia" w:ascii="仿宋" w:hAnsi="仿宋" w:eastAsia="仿宋" w:cs="仿宋"/>
              <w:sz w:val="24"/>
              <w:szCs w:val="24"/>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_Toc25572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_Toc30872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highlight w:val="none"/>
            </w:rPr>
            <w:t>第</w:t>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章   响应文件格式附件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_Toc30872 \h </w:instrText>
          </w:r>
          <w:r>
            <w:rPr>
              <w:rFonts w:hint="eastAsia" w:ascii="仿宋" w:hAnsi="仿宋" w:eastAsia="仿宋" w:cs="仿宋"/>
              <w:sz w:val="24"/>
              <w:szCs w:val="24"/>
            </w:rPr>
            <w:fldChar w:fldCharType="separate"/>
          </w:r>
          <w:r>
            <w:rPr>
              <w:rFonts w:hint="eastAsia" w:ascii="仿宋" w:hAnsi="仿宋" w:eastAsia="仿宋" w:cs="仿宋"/>
              <w:sz w:val="24"/>
              <w:szCs w:val="24"/>
            </w:rPr>
            <w:t>35</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0"/>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_Toc29095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highlight w:val="none"/>
            </w:rPr>
            <w:t>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_Toc29095 \h </w:instrText>
          </w:r>
          <w:r>
            <w:rPr>
              <w:rFonts w:hint="eastAsia" w:ascii="仿宋" w:hAnsi="仿宋" w:eastAsia="仿宋" w:cs="仿宋"/>
              <w:sz w:val="24"/>
              <w:szCs w:val="24"/>
            </w:rPr>
            <w:fldChar w:fldCharType="separate"/>
          </w:r>
          <w:r>
            <w:rPr>
              <w:rFonts w:hint="eastAsia" w:ascii="仿宋" w:hAnsi="仿宋" w:eastAsia="仿宋" w:cs="仿宋"/>
              <w:sz w:val="24"/>
              <w:szCs w:val="24"/>
            </w:rPr>
            <w:t>35</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_Toc28824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1、响 应 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_Toc28824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_Toc32218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磋商</w:t>
          </w:r>
          <w:r>
            <w:rPr>
              <w:rFonts w:hint="eastAsia" w:ascii="仿宋" w:hAnsi="仿宋" w:eastAsia="仿宋" w:cs="仿宋"/>
              <w:sz w:val="24"/>
              <w:szCs w:val="24"/>
            </w:rPr>
            <w:t>报价单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_Toc32218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_Toc4932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3、 报价明细表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_Toc4932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_Toc6800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4、法定代表人身份证明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_Toc6800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_Toc22212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5、法定代表人的授权委托书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_Toc22212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_Toc1040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基本情况表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_Toc1040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_Toc3559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highlight w:val="none"/>
            </w:rPr>
            <w:t>7.</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资格声明及相关证明文件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_Toc3559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_Toc21730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highlight w:val="none"/>
              <w:lang w:eastAsia="zh-CN"/>
            </w:rPr>
            <w:t>磋商保证金</w:t>
          </w:r>
          <w:r>
            <w:rPr>
              <w:rFonts w:hint="eastAsia" w:ascii="仿宋" w:hAnsi="仿宋" w:eastAsia="仿宋" w:cs="仿宋"/>
              <w:sz w:val="24"/>
              <w:szCs w:val="24"/>
              <w:highlight w:val="none"/>
            </w:rPr>
            <w:t>交纳凭证</w:t>
          </w:r>
          <w:r>
            <w:rPr>
              <w:rFonts w:hint="eastAsia" w:ascii="仿宋" w:hAnsi="仿宋" w:eastAsia="仿宋" w:cs="仿宋"/>
              <w:sz w:val="24"/>
              <w:szCs w:val="24"/>
              <w:highlight w:val="none"/>
              <w:lang w:eastAsia="zh-CN"/>
            </w:rPr>
            <w:t>或投标担保函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_Toc21730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_Toc16043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、商务偏离表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_Toc16043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_Toc7212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技术</w:t>
          </w:r>
          <w:r>
            <w:rPr>
              <w:rFonts w:hint="eastAsia" w:ascii="仿宋" w:hAnsi="仿宋" w:eastAsia="仿宋" w:cs="仿宋"/>
              <w:sz w:val="24"/>
              <w:szCs w:val="24"/>
            </w:rPr>
            <w:t>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_Toc7212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_Toc27757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、供应商近五年类似项目业绩情况一览表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_Toc27757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_Toc16841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自行编写的技术文件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_Toc16841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_Toc10320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自行编写的服务文件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_Toc10320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22"/>
            <w:tabs>
              <w:tab w:val="right" w:leader="dot" w:pos="907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sz w:val="24"/>
              <w:szCs w:val="24"/>
              <w:lang w:eastAsia="zh-CN"/>
            </w:rPr>
            <w:instrText xml:space="preserve"> HYPERLINK \l _Toc12451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认为需要提供的其他文件和资料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_Toc12451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auto"/>
              <w:sz w:val="24"/>
              <w:szCs w:val="24"/>
              <w:lang w:eastAsia="zh-CN"/>
            </w:rPr>
            <w:fldChar w:fldCharType="end"/>
          </w:r>
        </w:p>
        <w:p>
          <w:pPr>
            <w:pStyle w:val="3"/>
            <w:tabs>
              <w:tab w:val="left" w:pos="0"/>
            </w:tabs>
            <w:autoSpaceDE w:val="0"/>
            <w:autoSpaceDN w:val="0"/>
            <w:adjustRightInd w:val="0"/>
            <w:spacing w:before="0" w:after="0" w:line="360" w:lineRule="auto"/>
            <w:jc w:val="center"/>
            <w:rPr>
              <w:rFonts w:hint="eastAsia" w:ascii="Times New Roman" w:hAnsi="Times New Roman" w:eastAsia="仿宋" w:cs="Times New Roman"/>
              <w:b/>
              <w:bCs/>
              <w:color w:val="auto"/>
              <w:kern w:val="44"/>
              <w:sz w:val="32"/>
              <w:szCs w:val="44"/>
              <w:lang w:val="en-US" w:eastAsia="zh-CN" w:bidi="ar-SA"/>
            </w:rPr>
          </w:pPr>
          <w:r>
            <w:rPr>
              <w:rFonts w:hint="eastAsia" w:ascii="仿宋" w:hAnsi="仿宋" w:eastAsia="仿宋" w:cs="仿宋"/>
              <w:color w:val="auto"/>
              <w:sz w:val="24"/>
              <w:szCs w:val="24"/>
              <w:lang w:eastAsia="zh-CN"/>
            </w:rPr>
            <w:fldChar w:fldCharType="end"/>
          </w:r>
        </w:p>
      </w:sdtContent>
    </w:sdt>
    <w:p>
      <w:pPr>
        <w:spacing w:line="360" w:lineRule="auto"/>
        <w:rPr>
          <w:rFonts w:hint="eastAsia"/>
          <w:color w:val="auto"/>
          <w:lang w:eastAsia="zh-CN"/>
        </w:rPr>
      </w:pPr>
    </w:p>
    <w:p>
      <w:pPr>
        <w:pStyle w:val="3"/>
        <w:tabs>
          <w:tab w:val="left" w:pos="0"/>
        </w:tabs>
        <w:autoSpaceDE w:val="0"/>
        <w:autoSpaceDN w:val="0"/>
        <w:adjustRightInd w:val="0"/>
        <w:spacing w:before="0" w:after="0" w:line="360" w:lineRule="auto"/>
        <w:jc w:val="center"/>
        <w:rPr>
          <w:rFonts w:hint="eastAsia"/>
          <w:color w:val="auto"/>
          <w:lang w:eastAsia="zh-CN"/>
        </w:rPr>
      </w:pPr>
    </w:p>
    <w:p>
      <w:pPr>
        <w:pStyle w:val="3"/>
        <w:tabs>
          <w:tab w:val="left" w:pos="0"/>
        </w:tabs>
        <w:autoSpaceDE w:val="0"/>
        <w:autoSpaceDN w:val="0"/>
        <w:adjustRightInd w:val="0"/>
        <w:spacing w:before="0" w:after="0" w:line="360" w:lineRule="auto"/>
        <w:jc w:val="center"/>
        <w:rPr>
          <w:rFonts w:hint="eastAsia"/>
          <w:color w:val="auto"/>
          <w:lang w:eastAsia="zh-CN"/>
        </w:rPr>
      </w:pPr>
    </w:p>
    <w:p>
      <w:pPr>
        <w:pStyle w:val="3"/>
        <w:tabs>
          <w:tab w:val="left" w:pos="0"/>
        </w:tabs>
        <w:autoSpaceDE w:val="0"/>
        <w:autoSpaceDN w:val="0"/>
        <w:adjustRightInd w:val="0"/>
        <w:spacing w:before="0" w:after="0" w:line="360" w:lineRule="auto"/>
        <w:jc w:val="center"/>
        <w:rPr>
          <w:rFonts w:hint="eastAsia"/>
          <w:color w:val="auto"/>
          <w:lang w:eastAsia="zh-CN"/>
        </w:rPr>
      </w:pPr>
    </w:p>
    <w:p>
      <w:pPr>
        <w:pStyle w:val="3"/>
        <w:keepNext w:val="0"/>
        <w:keepLines/>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color w:val="auto"/>
          <w:lang w:eastAsia="zh-CN"/>
        </w:rPr>
      </w:pPr>
    </w:p>
    <w:p>
      <w:pPr>
        <w:pStyle w:val="3"/>
        <w:keepNext w:val="0"/>
        <w:keepLines/>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color w:val="auto"/>
          <w:lang w:eastAsia="zh-CN"/>
        </w:rPr>
        <w:sectPr>
          <w:headerReference r:id="rId4" w:type="first"/>
          <w:headerReference r:id="rId3" w:type="default"/>
          <w:pgSz w:w="11906" w:h="16838"/>
          <w:pgMar w:top="1402" w:right="1418" w:bottom="1400" w:left="1418" w:header="851" w:footer="992" w:gutter="0"/>
          <w:cols w:space="720" w:num="1"/>
          <w:titlePg/>
        </w:sectPr>
      </w:pPr>
    </w:p>
    <w:p>
      <w:pPr>
        <w:pStyle w:val="3"/>
        <w:bidi w:val="0"/>
        <w:spacing w:line="360" w:lineRule="auto"/>
        <w:rPr>
          <w:rFonts w:hint="eastAsia"/>
        </w:rPr>
      </w:pPr>
      <w:bookmarkStart w:id="2" w:name="_Toc5313"/>
      <w:r>
        <w:rPr>
          <w:rFonts w:hint="eastAsia"/>
          <w:lang w:eastAsia="zh-CN"/>
        </w:rPr>
        <w:t>第一章</w:t>
      </w:r>
      <w:r>
        <w:rPr>
          <w:rFonts w:hint="eastAsia"/>
          <w:lang w:val="en-US" w:eastAsia="zh-CN"/>
        </w:rPr>
        <w:t xml:space="preserve">  </w:t>
      </w:r>
      <w:bookmarkEnd w:id="0"/>
      <w:bookmarkEnd w:id="1"/>
      <w:r>
        <w:rPr>
          <w:rFonts w:hint="eastAsia"/>
        </w:rPr>
        <w:t>竞争性磋商公告</w:t>
      </w:r>
      <w:bookmarkEnd w:id="2"/>
    </w:p>
    <w:tbl>
      <w:tblPr>
        <w:tblStyle w:val="2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tcPr>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项目概况 </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和布克赛尔县自然资源统一确权登记工作项目</w:t>
            </w:r>
            <w:r>
              <w:rPr>
                <w:rFonts w:hint="eastAsia" w:ascii="仿宋" w:hAnsi="仿宋" w:eastAsia="仿宋" w:cs="仿宋"/>
                <w:color w:val="auto"/>
                <w:sz w:val="24"/>
                <w:highlight w:val="none"/>
              </w:rPr>
              <w:t>的潜在</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应在政采云平台线上方式获取</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，并于2023年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:00（北京时间）前</w:t>
            </w:r>
            <w:r>
              <w:rPr>
                <w:rFonts w:hint="eastAsia" w:ascii="仿宋" w:hAnsi="仿宋" w:eastAsia="仿宋" w:cs="仿宋"/>
                <w:b/>
                <w:bCs/>
                <w:color w:val="auto"/>
                <w:sz w:val="24"/>
                <w:highlight w:val="none"/>
                <w:lang w:eastAsia="zh-CN"/>
              </w:rPr>
              <w:t>（上传）</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tc>
      </w:tr>
    </w:tbl>
    <w:p>
      <w:pPr>
        <w:pStyle w:val="50"/>
        <w:spacing w:line="360" w:lineRule="auto"/>
        <w:outlineLvl w:val="1"/>
        <w:rPr>
          <w:rFonts w:hint="eastAsia" w:ascii="仿宋" w:hAnsi="仿宋" w:eastAsia="仿宋" w:cs="仿宋"/>
          <w:b/>
          <w:color w:val="auto"/>
          <w:kern w:val="2"/>
          <w:szCs w:val="32"/>
          <w:highlight w:val="none"/>
        </w:rPr>
      </w:pPr>
      <w:bookmarkStart w:id="3" w:name="_Toc21258"/>
      <w:bookmarkStart w:id="4" w:name="_Toc128152398"/>
      <w:bookmarkStart w:id="5" w:name="_Toc19741"/>
      <w:bookmarkStart w:id="6" w:name="_Toc9552"/>
      <w:r>
        <w:rPr>
          <w:rFonts w:hint="eastAsia" w:ascii="仿宋" w:hAnsi="仿宋" w:eastAsia="仿宋" w:cs="仿宋"/>
          <w:b/>
          <w:color w:val="auto"/>
          <w:kern w:val="2"/>
          <w:szCs w:val="32"/>
          <w:highlight w:val="none"/>
        </w:rPr>
        <w:t>一、项目基本情况</w:t>
      </w:r>
      <w:bookmarkEnd w:id="3"/>
      <w:bookmarkEnd w:id="4"/>
      <w:bookmarkEnd w:id="5"/>
      <w:bookmarkEnd w:id="6"/>
    </w:p>
    <w:p>
      <w:pPr>
        <w:adjustRightInd w:val="0"/>
        <w:snapToGrid w:val="0"/>
        <w:spacing w:line="360" w:lineRule="auto"/>
        <w:ind w:firstLine="480" w:firstLineChars="200"/>
        <w:jc w:val="left"/>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XJWZS(ZC)202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-0</w:t>
      </w:r>
      <w:r>
        <w:rPr>
          <w:rFonts w:hint="eastAsia" w:ascii="仿宋" w:hAnsi="仿宋" w:eastAsia="仿宋" w:cs="仿宋"/>
          <w:color w:val="auto"/>
          <w:sz w:val="24"/>
          <w:highlight w:val="none"/>
          <w:lang w:val="en-US" w:eastAsia="zh-CN"/>
        </w:rPr>
        <w:t>14</w:t>
      </w:r>
    </w:p>
    <w:p>
      <w:pPr>
        <w:adjustRightInd w:val="0"/>
        <w:snapToGrid w:val="0"/>
        <w:spacing w:line="360" w:lineRule="auto"/>
        <w:ind w:left="1679" w:leftChars="228" w:hanging="1200" w:hanging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eastAsia="zh-CN"/>
        </w:rPr>
        <w:t>和布克赛尔县自然资源统一确权登记工作项目</w:t>
      </w:r>
    </w:p>
    <w:p>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eastAsia="zh-CN"/>
        </w:rPr>
        <w:t>竞争性磋商</w:t>
      </w:r>
    </w:p>
    <w:p>
      <w:pPr>
        <w:snapToGrid w:val="0"/>
        <w:spacing w:line="360" w:lineRule="auto"/>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989600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p>
      <w:pPr>
        <w:snapToGrid w:val="0"/>
        <w:spacing w:line="360" w:lineRule="auto"/>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最高限价（元）：</w:t>
      </w:r>
      <w:r>
        <w:rPr>
          <w:rFonts w:hint="eastAsia" w:ascii="仿宋" w:hAnsi="仿宋" w:eastAsia="仿宋" w:cs="仿宋"/>
          <w:color w:val="auto"/>
          <w:sz w:val="24"/>
          <w:highlight w:val="none"/>
          <w:lang w:val="en-US" w:eastAsia="zh-CN"/>
        </w:rPr>
        <w:t>989600</w:t>
      </w:r>
      <w:r>
        <w:rPr>
          <w:rFonts w:hint="eastAsia" w:ascii="仿宋" w:hAnsi="仿宋" w:eastAsia="仿宋" w:cs="仿宋"/>
          <w:color w:val="auto"/>
          <w:sz w:val="24"/>
          <w:highlight w:val="none"/>
          <w:lang w:eastAsia="zh-CN"/>
        </w:rPr>
        <w:t>.00元</w:t>
      </w:r>
      <w:r>
        <w:rPr>
          <w:rFonts w:hint="eastAsia" w:ascii="仿宋" w:hAnsi="仿宋" w:eastAsia="仿宋" w:cs="仿宋"/>
          <w:color w:val="auto"/>
          <w:sz w:val="24"/>
          <w:highlight w:val="none"/>
        </w:rPr>
        <w:t>；</w:t>
      </w:r>
    </w:p>
    <w:p>
      <w:pPr>
        <w:adjustRightInd w:val="0"/>
        <w:snapToGrid w:val="0"/>
        <w:spacing w:line="360" w:lineRule="auto"/>
        <w:ind w:left="1679" w:leftChars="228" w:hanging="1200" w:hanging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w:t>
      </w:r>
      <w:r>
        <w:rPr>
          <w:rFonts w:hint="eastAsia" w:ascii="仿宋" w:hAnsi="仿宋" w:eastAsia="仿宋" w:cs="仿宋"/>
          <w:color w:val="auto"/>
          <w:highlight w:val="none"/>
        </w:rPr>
        <w:t xml:space="preserve"> </w:t>
      </w:r>
      <w:r>
        <w:rPr>
          <w:rFonts w:hint="eastAsia" w:ascii="仿宋" w:hAnsi="仿宋" w:eastAsia="仿宋" w:cs="仿宋"/>
          <w:color w:val="auto"/>
          <w:kern w:val="0"/>
          <w:sz w:val="24"/>
          <w:highlight w:val="none"/>
          <w:lang w:eastAsia="zh-CN"/>
        </w:rPr>
        <w:t>和布克赛尔县自然资源统一确权登记项目</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数量:1</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989600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p>
      <w:pPr>
        <w:adjustRightInd w:val="0"/>
        <w:snapToGrid w:val="0"/>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val="en-US" w:eastAsia="zh-CN"/>
        </w:rPr>
        <w:t>根据自治区自然资源确权登记工作要求，对和布克赛尔县7条河流及和布克赛尔县国家湿地公园自然保护地进行自然资源确权登记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具体内容</w:t>
      </w: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val="en-US" w:eastAsia="zh-CN"/>
        </w:rPr>
        <w:t>2023年6月30日前完成</w:t>
      </w:r>
      <w:r>
        <w:rPr>
          <w:rFonts w:hint="eastAsia" w:ascii="仿宋" w:hAnsi="仿宋" w:eastAsia="仿宋" w:cs="仿宋"/>
          <w:color w:val="auto"/>
          <w:sz w:val="24"/>
          <w:highlight w:val="none"/>
        </w:rPr>
        <w:t>；</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是</w:t>
      </w:r>
      <w:r>
        <w:rPr>
          <w:rFonts w:hint="eastAsia" w:ascii="仿宋" w:hAnsi="仿宋" w:eastAsia="仿宋" w:cs="仿宋"/>
          <w:color w:val="auto"/>
          <w:sz w:val="24"/>
          <w:highlight w:val="none"/>
        </w:rPr>
        <w:t>）接受联合体投标。</w:t>
      </w:r>
    </w:p>
    <w:p>
      <w:pPr>
        <w:pStyle w:val="50"/>
        <w:spacing w:line="360" w:lineRule="auto"/>
        <w:outlineLvl w:val="1"/>
        <w:rPr>
          <w:rFonts w:hint="eastAsia" w:ascii="仿宋" w:hAnsi="仿宋" w:eastAsia="仿宋" w:cs="仿宋"/>
          <w:b/>
          <w:color w:val="auto"/>
          <w:kern w:val="2"/>
          <w:szCs w:val="32"/>
          <w:highlight w:val="none"/>
        </w:rPr>
      </w:pPr>
      <w:bookmarkStart w:id="7" w:name="_Toc128152399"/>
      <w:bookmarkStart w:id="8" w:name="_Toc7408"/>
      <w:bookmarkStart w:id="9" w:name="_Toc5792"/>
      <w:bookmarkStart w:id="10" w:name="_Toc1407"/>
      <w:r>
        <w:rPr>
          <w:rFonts w:hint="eastAsia" w:ascii="仿宋" w:hAnsi="仿宋" w:eastAsia="仿宋" w:cs="仿宋"/>
          <w:b/>
          <w:color w:val="auto"/>
          <w:kern w:val="2"/>
          <w:szCs w:val="32"/>
          <w:highlight w:val="none"/>
        </w:rPr>
        <w:t>二、申请人的资格要求：</w:t>
      </w:r>
      <w:bookmarkEnd w:id="7"/>
      <w:bookmarkEnd w:id="8"/>
      <w:bookmarkEnd w:id="9"/>
      <w:bookmarkEnd w:id="10"/>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sz w:val="24"/>
          <w:highlight w:val="none"/>
          <w:lang w:eastAsia="zh-CN"/>
        </w:rPr>
        <w:t>无。</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pStyle w:val="14"/>
        <w:tabs>
          <w:tab w:val="left" w:pos="430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lang w:val="en-US" w:eastAsia="zh-CN"/>
        </w:rPr>
        <w:t>营业执照或事业单位法人证书（如三证合一，只需提供营业执照即可）</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w:t>
      </w:r>
      <w:r>
        <w:rPr>
          <w:rFonts w:hint="eastAsia" w:ascii="仿宋" w:hAnsi="仿宋" w:eastAsia="仿宋" w:cs="仿宋"/>
          <w:color w:val="auto"/>
          <w:sz w:val="24"/>
          <w:highlight w:val="none"/>
          <w:lang w:val="en-US" w:eastAsia="zh-CN"/>
        </w:rPr>
        <w:t>具有测绘地理信息行政主管部门核发的有效期内的测绘资质（工程测量）乙级及以上资质</w:t>
      </w:r>
      <w:r>
        <w:rPr>
          <w:rFonts w:hint="eastAsia" w:ascii="仿宋" w:hAnsi="仿宋" w:eastAsia="仿宋" w:cs="仿宋"/>
          <w:color w:val="auto"/>
          <w:sz w:val="24"/>
          <w:highlight w:val="none"/>
          <w:lang w:eastAsia="zh-CN"/>
        </w:rPr>
        <w:t>；</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）拟派项目负责人须具备测绘工程师中级及以上职称；</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供应商未在“信用中国”网站（www.creditchina.gov.cn）、“中国政府采购网”（www.ccgp.gov.cn）等渠道列入失信被执行人、重大税收违法失信主体、政府采购严重违法失信行为记录名单。被列入失信被执行人、重大税收违法失信主体、政府采购严重违法失信行为记录名单的单位及其他不符合《中华人民共和国政府采购法》第二十二条规定条件的供应商，将被拒绝参与本次政府采购活动；</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）其他说明:</w:t>
      </w:r>
      <w:r>
        <w:rPr>
          <w:rFonts w:hint="default" w:ascii="仿宋" w:hAnsi="仿宋" w:eastAsia="仿宋" w:cs="仿宋"/>
          <w:color w:val="auto"/>
          <w:sz w:val="24"/>
          <w:highlight w:val="none"/>
          <w:lang w:eastAsia="zh-CN"/>
        </w:rPr>
        <w:t>①</w:t>
      </w:r>
      <w:r>
        <w:rPr>
          <w:rFonts w:hint="eastAsia" w:ascii="仿宋" w:hAnsi="仿宋" w:eastAsia="仿宋" w:cs="仿宋"/>
          <w:color w:val="auto"/>
          <w:sz w:val="24"/>
          <w:highlight w:val="none"/>
          <w:lang w:eastAsia="zh-CN"/>
        </w:rPr>
        <w:t xml:space="preserve">与招标人存在利害关系可能影响招标公正性的法定代表人、其他组织或者个人，不得参加投标: </w:t>
      </w:r>
      <w:r>
        <w:rPr>
          <w:rFonts w:hint="default" w:ascii="仿宋" w:hAnsi="仿宋" w:eastAsia="仿宋" w:cs="仿宋"/>
          <w:color w:val="auto"/>
          <w:sz w:val="24"/>
          <w:highlight w:val="none"/>
          <w:lang w:eastAsia="zh-CN"/>
        </w:rPr>
        <w:t>②</w:t>
      </w:r>
      <w:r>
        <w:rPr>
          <w:rFonts w:hint="eastAsia" w:ascii="仿宋" w:hAnsi="仿宋" w:eastAsia="仿宋" w:cs="仿宋"/>
          <w:color w:val="auto"/>
          <w:sz w:val="24"/>
          <w:highlight w:val="none"/>
          <w:lang w:eastAsia="zh-CN"/>
        </w:rPr>
        <w:t>单位负责人为同一人或者存在控股、管理关系的不同单位，不得参加同一合同项下的同一招标项目投标。违反上述两款规定的，相关投标均无效；</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本项目接受联合体投标，应满足下列要求：联合体各方必须向采购人提供有效的联合体协议，由联合体牵头人负责购买磋商文件等相关事宜①组成联合体投标应符合相关法律法规对联合体投标的有关规定，联合体各方不得再以自己名义单独或参加其他联合体在同一工程项目的投标。 ②以联合体方式参加本项目招标的，联合体各方之间应当签订联合体协议，明确联合体牵头人及联合体各方承担的工作和责任。③ 联合体中标后，联合体各方应共同与采购人签订合同，就中标项目向采购人承担连带责任。 ④联合体牵头人负责整个合同的全面履行和接受本项目合同项下的项目款支付。 ⑤所有成员单位在人员、设备、资金等方面具有相应的服务能力。</w:t>
      </w:r>
    </w:p>
    <w:p>
      <w:pPr>
        <w:pStyle w:val="14"/>
        <w:tabs>
          <w:tab w:val="left" w:pos="4305"/>
        </w:tabs>
        <w:spacing w:line="360" w:lineRule="auto"/>
        <w:jc w:val="left"/>
        <w:rPr>
          <w:rFonts w:hint="eastAsia" w:ascii="仿宋" w:hAnsi="仿宋" w:eastAsia="仿宋" w:cs="仿宋"/>
          <w:b/>
          <w:bCs/>
          <w:color w:val="auto"/>
          <w:sz w:val="24"/>
          <w:highlight w:val="none"/>
          <w:lang w:eastAsia="zh-CN"/>
        </w:rPr>
      </w:pPr>
      <w:bookmarkStart w:id="11" w:name="_Toc128152400"/>
      <w:bookmarkStart w:id="12" w:name="_Toc12430"/>
      <w:r>
        <w:rPr>
          <w:rFonts w:hint="eastAsia" w:ascii="仿宋" w:hAnsi="仿宋" w:eastAsia="仿宋" w:cs="仿宋"/>
          <w:b/>
          <w:bCs/>
          <w:color w:val="auto"/>
          <w:sz w:val="24"/>
          <w:highlight w:val="none"/>
          <w:lang w:eastAsia="zh-CN"/>
        </w:rPr>
        <w:t>三、获取</w:t>
      </w:r>
      <w:bookmarkEnd w:id="11"/>
      <w:bookmarkEnd w:id="12"/>
      <w:r>
        <w:rPr>
          <w:rFonts w:hint="eastAsia" w:ascii="仿宋" w:hAnsi="仿宋" w:eastAsia="仿宋" w:cs="仿宋"/>
          <w:b/>
          <w:bCs/>
          <w:color w:val="auto"/>
          <w:sz w:val="24"/>
          <w:highlight w:val="none"/>
          <w:lang w:eastAsia="zh-CN"/>
        </w:rPr>
        <w:t>磋商文件</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1.时间：2023年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lang w:eastAsia="zh-CN"/>
        </w:rPr>
        <w:t>日至2023年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lang w:eastAsia="zh-CN"/>
        </w:rPr>
        <w:t>日，每天上午10:</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0至13:30，下午15:30至1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:30（北京时间，法定节假日除外）</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2.地点：线上方式获取。</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3.获取方式：供应商登陆政采云系统平台（https://www.zcygov.cn/）进入“项目采购”栏目，在获取磋商文件菜单中选择所要获取磋商文件的项目，申请获取磋商文件。</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4.售价（元）：0</w:t>
      </w:r>
    </w:p>
    <w:p>
      <w:pPr>
        <w:pStyle w:val="14"/>
        <w:tabs>
          <w:tab w:val="left" w:pos="4305"/>
        </w:tabs>
        <w:spacing w:line="360" w:lineRule="auto"/>
        <w:rPr>
          <w:rFonts w:hint="eastAsia" w:ascii="仿宋" w:hAnsi="仿宋" w:eastAsia="仿宋" w:cs="仿宋"/>
          <w:b/>
          <w:bCs/>
          <w:color w:val="auto"/>
          <w:sz w:val="24"/>
          <w:highlight w:val="none"/>
          <w:lang w:eastAsia="zh-CN"/>
        </w:rPr>
      </w:pPr>
      <w:bookmarkStart w:id="13" w:name="_Toc128152401"/>
      <w:bookmarkStart w:id="14" w:name="_Toc25069"/>
      <w:r>
        <w:rPr>
          <w:rFonts w:hint="eastAsia" w:ascii="仿宋" w:hAnsi="仿宋" w:eastAsia="仿宋" w:cs="仿宋"/>
          <w:b/>
          <w:bCs/>
          <w:color w:val="auto"/>
          <w:sz w:val="24"/>
          <w:highlight w:val="none"/>
          <w:lang w:eastAsia="zh-CN"/>
        </w:rPr>
        <w:t>四、提交响应文件截止时间、开标时间和地点</w:t>
      </w:r>
      <w:bookmarkEnd w:id="13"/>
      <w:bookmarkEnd w:id="14"/>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1.提交响应文件截止时间：2023年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lang w:eastAsia="zh-CN"/>
        </w:rPr>
        <w:t>日 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:00（北京时间）</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2.投标地点：政采云平台</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开标时间：2023年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lang w:eastAsia="zh-CN"/>
        </w:rPr>
        <w:t>日 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:00（北京时间）</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开标地点：政采云平台</w:t>
      </w:r>
    </w:p>
    <w:p>
      <w:pPr>
        <w:pStyle w:val="14"/>
        <w:tabs>
          <w:tab w:val="left" w:pos="4305"/>
        </w:tabs>
        <w:spacing w:line="360" w:lineRule="auto"/>
        <w:rPr>
          <w:rFonts w:hint="eastAsia" w:ascii="仿宋" w:hAnsi="仿宋" w:eastAsia="仿宋" w:cs="仿宋"/>
          <w:b/>
          <w:bCs/>
          <w:color w:val="auto"/>
          <w:sz w:val="24"/>
          <w:highlight w:val="none"/>
          <w:lang w:eastAsia="zh-CN"/>
        </w:rPr>
      </w:pPr>
      <w:bookmarkStart w:id="15" w:name="_Toc2198"/>
      <w:bookmarkStart w:id="16" w:name="_Toc128152402"/>
      <w:r>
        <w:rPr>
          <w:rFonts w:hint="eastAsia" w:ascii="仿宋" w:hAnsi="仿宋" w:eastAsia="仿宋" w:cs="仿宋"/>
          <w:b/>
          <w:bCs/>
          <w:color w:val="auto"/>
          <w:sz w:val="24"/>
          <w:highlight w:val="none"/>
          <w:lang w:eastAsia="zh-CN"/>
        </w:rPr>
        <w:t>五、公告期限</w:t>
      </w:r>
      <w:bookmarkEnd w:id="15"/>
      <w:bookmarkEnd w:id="16"/>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自本公告发布之日起5个工作日。</w:t>
      </w:r>
    </w:p>
    <w:p>
      <w:pPr>
        <w:pStyle w:val="14"/>
        <w:tabs>
          <w:tab w:val="left" w:pos="4305"/>
        </w:tabs>
        <w:spacing w:line="360" w:lineRule="auto"/>
        <w:rPr>
          <w:rFonts w:hint="eastAsia" w:ascii="仿宋" w:hAnsi="仿宋" w:eastAsia="仿宋" w:cs="仿宋"/>
          <w:b/>
          <w:bCs/>
          <w:color w:val="auto"/>
          <w:sz w:val="24"/>
          <w:highlight w:val="none"/>
          <w:lang w:eastAsia="zh-CN"/>
        </w:rPr>
      </w:pPr>
      <w:bookmarkStart w:id="17" w:name="_Toc128152403"/>
      <w:bookmarkStart w:id="18" w:name="_Toc9726"/>
      <w:r>
        <w:rPr>
          <w:rFonts w:hint="eastAsia" w:ascii="仿宋" w:hAnsi="仿宋" w:eastAsia="仿宋" w:cs="仿宋"/>
          <w:b/>
          <w:bCs/>
          <w:color w:val="auto"/>
          <w:sz w:val="24"/>
          <w:highlight w:val="none"/>
          <w:lang w:eastAsia="zh-CN"/>
        </w:rPr>
        <w:t>六、其他补充事宜</w:t>
      </w:r>
      <w:bookmarkEnd w:id="17"/>
      <w:bookmarkEnd w:id="18"/>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bookmarkStart w:id="19" w:name="_Toc5263"/>
      <w:bookmarkStart w:id="20" w:name="_Toc128152404"/>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本项目实行全流程电子招投标；</w:t>
      </w:r>
      <w:bookmarkEnd w:id="19"/>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bookmarkStart w:id="21" w:name="_Toc17325"/>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bookmarkEnd w:id="21"/>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bookmarkStart w:id="22" w:name="_Toc6223"/>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bookmarkEnd w:id="22"/>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bookmarkStart w:id="23" w:name="_Toc15658"/>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供应商在开标前应准备好电脑以及制作加密电子响应文件所使用的CA锁。电脑须提前配置好浏览器（建议使用360 浏览器或谷歌浏览器）。</w:t>
      </w:r>
      <w:bookmarkEnd w:id="23"/>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bookmarkStart w:id="24" w:name="_Toc19526"/>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在投标截止时间前,供应商应将生成的“电子加密响应文件”上传递交至“政府采购云平台”,投标截止时间以后上传递交的响应文件将被“政府采购云平台”拒收。</w:t>
      </w:r>
      <w:bookmarkEnd w:id="24"/>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bookmarkStart w:id="25" w:name="_Toc13336"/>
      <w:r>
        <w:rPr>
          <w:rFonts w:hint="eastAsia" w:ascii="仿宋" w:hAnsi="仿宋" w:eastAsia="仿宋" w:cs="仿宋"/>
          <w:color w:val="auto"/>
          <w:sz w:val="24"/>
          <w:highlight w:val="none"/>
          <w:lang w:val="en-US" w:eastAsia="zh-CN"/>
        </w:rPr>
        <w:t>6.供应商应①</w:t>
      </w:r>
      <w:r>
        <w:rPr>
          <w:rFonts w:hint="eastAsia" w:ascii="仿宋" w:hAnsi="仿宋" w:eastAsia="仿宋" w:cs="仿宋"/>
          <w:color w:val="auto"/>
          <w:sz w:val="24"/>
          <w:highlight w:val="none"/>
          <w:lang w:eastAsia="zh-CN"/>
        </w:rPr>
        <w:t>投标截止时间</w:t>
      </w:r>
      <w:r>
        <w:rPr>
          <w:rFonts w:hint="eastAsia" w:ascii="仿宋" w:hAnsi="仿宋" w:eastAsia="仿宋" w:cs="仿宋"/>
          <w:color w:val="auto"/>
          <w:sz w:val="24"/>
          <w:highlight w:val="none"/>
          <w:lang w:val="en-US" w:eastAsia="zh-CN"/>
        </w:rPr>
        <w:t>前一小时在系统进行在线签到；②30分钟内完成在线解密；③开标结束后30分钟内完成“开标一览表”在线签章；④</w:t>
      </w:r>
      <w:r>
        <w:rPr>
          <w:rFonts w:hint="eastAsia" w:ascii="仿宋" w:hAnsi="仿宋" w:eastAsia="仿宋" w:cs="仿宋"/>
          <w:color w:val="auto"/>
          <w:sz w:val="24"/>
          <w:highlight w:val="none"/>
          <w:lang w:eastAsia="zh-CN"/>
        </w:rPr>
        <w:t>开标结束后，请及时进入“网上报价”页面，等待最终报价通知。</w:t>
      </w:r>
      <w:r>
        <w:rPr>
          <w:rFonts w:hint="eastAsia" w:ascii="仿宋" w:hAnsi="仿宋" w:eastAsia="仿宋" w:cs="仿宋"/>
          <w:color w:val="auto"/>
          <w:sz w:val="24"/>
          <w:highlight w:val="none"/>
          <w:lang w:val="en-US" w:eastAsia="zh-CN"/>
        </w:rPr>
        <w:t>注意：如未在规定时间进行以上操作，将导致投标（响应）无效。</w:t>
      </w:r>
      <w:bookmarkEnd w:id="25"/>
    </w:p>
    <w:p>
      <w:pPr>
        <w:pStyle w:val="14"/>
        <w:tabs>
          <w:tab w:val="left" w:pos="4305"/>
        </w:tabs>
        <w:spacing w:line="360" w:lineRule="auto"/>
        <w:rPr>
          <w:rFonts w:hint="eastAsia" w:ascii="仿宋" w:hAnsi="仿宋" w:eastAsia="仿宋" w:cs="仿宋"/>
          <w:b/>
          <w:bCs/>
          <w:color w:val="auto"/>
          <w:sz w:val="24"/>
          <w:highlight w:val="none"/>
          <w:lang w:eastAsia="zh-CN"/>
        </w:rPr>
      </w:pPr>
      <w:bookmarkStart w:id="26" w:name="_Toc21152"/>
      <w:r>
        <w:rPr>
          <w:rFonts w:hint="eastAsia" w:ascii="仿宋" w:hAnsi="仿宋" w:eastAsia="仿宋" w:cs="仿宋"/>
          <w:b/>
          <w:bCs/>
          <w:color w:val="auto"/>
          <w:sz w:val="24"/>
          <w:highlight w:val="none"/>
          <w:lang w:eastAsia="zh-CN"/>
        </w:rPr>
        <w:t>七、对本次采购提出询问，请按以下方式联系</w:t>
      </w:r>
      <w:bookmarkEnd w:id="20"/>
      <w:bookmarkEnd w:id="26"/>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1.采购人信息</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 称：和布克赛尔蒙古自治县自然资源局</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 址：和布克赛尔镇敖包特东街49号</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联系方式：0990-6710571</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2.采购代理机构信息</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 称：新疆卫中森工程管理服务有限公司</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　址：新疆乌鲁木齐高新技术产业开发区（新市区）北京路街道高新街217号盈科广场B座1409</w:t>
      </w:r>
    </w:p>
    <w:p>
      <w:pPr>
        <w:pStyle w:val="14"/>
        <w:tabs>
          <w:tab w:val="left" w:pos="4305"/>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联系方式：</w:t>
      </w:r>
      <w:bookmarkStart w:id="27" w:name="_Toc28359010"/>
      <w:bookmarkStart w:id="28" w:name="_Toc28359087"/>
      <w:r>
        <w:rPr>
          <w:rFonts w:hint="eastAsia" w:ascii="仿宋" w:hAnsi="仿宋" w:eastAsia="仿宋" w:cs="仿宋"/>
          <w:color w:val="auto"/>
          <w:sz w:val="24"/>
          <w:highlight w:val="none"/>
          <w:lang w:val="en-US" w:eastAsia="zh-CN"/>
        </w:rPr>
        <w:t>17690715919</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3.项目联系方式</w:t>
      </w:r>
      <w:bookmarkEnd w:id="27"/>
      <w:bookmarkEnd w:id="28"/>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项目联系人：杨培文、杨镕墁</w:t>
      </w:r>
    </w:p>
    <w:p>
      <w:pPr>
        <w:pStyle w:val="14"/>
        <w:tabs>
          <w:tab w:val="left" w:pos="4305"/>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　话：</w:t>
      </w:r>
      <w:r>
        <w:rPr>
          <w:rFonts w:hint="eastAsia" w:ascii="仿宋" w:hAnsi="仿宋" w:eastAsia="仿宋" w:cs="仿宋"/>
          <w:color w:val="auto"/>
          <w:sz w:val="24"/>
          <w:highlight w:val="none"/>
          <w:lang w:val="en-US" w:eastAsia="zh-CN"/>
        </w:rPr>
        <w:t>17690715919</w:t>
      </w:r>
    </w:p>
    <w:p>
      <w:pPr>
        <w:pStyle w:val="3"/>
        <w:bidi w:val="0"/>
        <w:spacing w:line="360" w:lineRule="auto"/>
        <w:rPr>
          <w:rFonts w:hint="eastAsia"/>
          <w:color w:val="auto"/>
        </w:rPr>
      </w:pPr>
    </w:p>
    <w:p>
      <w:pPr>
        <w:pStyle w:val="3"/>
        <w:bidi w:val="0"/>
        <w:spacing w:line="360" w:lineRule="auto"/>
        <w:rPr>
          <w:rFonts w:hint="eastAsia"/>
          <w:color w:val="auto"/>
        </w:rPr>
      </w:pPr>
    </w:p>
    <w:p>
      <w:pPr>
        <w:pStyle w:val="3"/>
        <w:bidi w:val="0"/>
        <w:spacing w:line="360" w:lineRule="auto"/>
        <w:rPr>
          <w:rFonts w:hint="eastAsia"/>
          <w:color w:val="auto"/>
        </w:rPr>
      </w:pPr>
    </w:p>
    <w:p>
      <w:pPr>
        <w:pStyle w:val="3"/>
        <w:bidi w:val="0"/>
        <w:spacing w:line="360" w:lineRule="auto"/>
        <w:jc w:val="both"/>
        <w:rPr>
          <w:rFonts w:hint="eastAsia"/>
          <w:color w:val="auto"/>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auto"/>
        </w:rPr>
      </w:pPr>
    </w:p>
    <w:p>
      <w:pPr>
        <w:rPr>
          <w:rFonts w:hint="eastAsia"/>
          <w:color w:val="auto"/>
        </w:rPr>
      </w:pPr>
    </w:p>
    <w:p>
      <w:pPr>
        <w:rPr>
          <w:rFonts w:hint="eastAsia"/>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auto"/>
        </w:rPr>
      </w:pPr>
    </w:p>
    <w:p>
      <w:pPr>
        <w:pStyle w:val="14"/>
        <w:spacing w:line="360" w:lineRule="auto"/>
        <w:jc w:val="center"/>
        <w:rPr>
          <w:rFonts w:hint="eastAsia" w:ascii="仿宋" w:hAnsi="仿宋" w:eastAsia="仿宋" w:cs="仿宋"/>
          <w:b/>
          <w:bCs/>
          <w:sz w:val="28"/>
          <w:szCs w:val="28"/>
          <w:lang w:eastAsia="zh-CN"/>
        </w:rPr>
      </w:pPr>
    </w:p>
    <w:p>
      <w:pPr>
        <w:pStyle w:val="14"/>
        <w:spacing w:line="360" w:lineRule="auto"/>
        <w:jc w:val="center"/>
        <w:rPr>
          <w:rFonts w:hint="eastAsia" w:ascii="仿宋" w:hAnsi="仿宋" w:eastAsia="仿宋" w:cs="仿宋"/>
          <w:b/>
          <w:bCs/>
          <w:sz w:val="28"/>
          <w:szCs w:val="28"/>
          <w:lang w:eastAsia="zh-CN"/>
        </w:rPr>
      </w:pPr>
    </w:p>
    <w:p>
      <w:pPr>
        <w:pStyle w:val="14"/>
        <w:spacing w:line="360" w:lineRule="auto"/>
        <w:jc w:val="center"/>
        <w:rPr>
          <w:rFonts w:hint="eastAsia" w:ascii="仿宋" w:hAnsi="仿宋" w:eastAsia="仿宋" w:cs="仿宋"/>
          <w:b/>
          <w:bCs/>
          <w:sz w:val="28"/>
          <w:szCs w:val="28"/>
          <w:lang w:eastAsia="zh-CN"/>
        </w:rPr>
      </w:pPr>
    </w:p>
    <w:p>
      <w:pPr>
        <w:pStyle w:val="14"/>
        <w:spacing w:line="360" w:lineRule="auto"/>
        <w:jc w:val="center"/>
        <w:rPr>
          <w:rFonts w:hint="eastAsia" w:ascii="仿宋" w:hAnsi="仿宋" w:eastAsia="仿宋" w:cs="仿宋"/>
          <w:b/>
          <w:bCs/>
          <w:sz w:val="28"/>
          <w:szCs w:val="28"/>
          <w:lang w:eastAsia="zh-CN"/>
        </w:rPr>
      </w:pPr>
    </w:p>
    <w:p>
      <w:pPr>
        <w:pStyle w:val="14"/>
        <w:spacing w:line="360" w:lineRule="auto"/>
        <w:jc w:val="center"/>
        <w:rPr>
          <w:rFonts w:hint="eastAsia" w:ascii="仿宋" w:hAnsi="仿宋" w:eastAsia="仿宋" w:cs="仿宋"/>
          <w:b/>
          <w:bCs/>
          <w:sz w:val="28"/>
          <w:szCs w:val="28"/>
          <w:lang w:eastAsia="zh-CN"/>
        </w:rPr>
      </w:pPr>
    </w:p>
    <w:p>
      <w:pPr>
        <w:pStyle w:val="15"/>
        <w:rPr>
          <w:rFonts w:hint="eastAsia" w:ascii="仿宋" w:hAnsi="仿宋" w:eastAsia="仿宋" w:cs="仿宋"/>
          <w:b/>
          <w:bCs/>
          <w:sz w:val="28"/>
          <w:szCs w:val="28"/>
          <w:lang w:eastAsia="zh-CN"/>
        </w:rPr>
      </w:pPr>
    </w:p>
    <w:p>
      <w:pPr>
        <w:rPr>
          <w:rFonts w:hint="eastAsia" w:ascii="仿宋" w:hAnsi="仿宋" w:eastAsia="仿宋" w:cs="仿宋"/>
          <w:b/>
          <w:bCs/>
          <w:sz w:val="28"/>
          <w:szCs w:val="28"/>
          <w:lang w:eastAsia="zh-CN"/>
        </w:rPr>
      </w:pPr>
    </w:p>
    <w:p>
      <w:pPr>
        <w:pStyle w:val="25"/>
        <w:rPr>
          <w:rFonts w:hint="eastAsia"/>
          <w:lang w:eastAsia="zh-CN"/>
        </w:rPr>
      </w:pPr>
    </w:p>
    <w:p>
      <w:pPr>
        <w:pStyle w:val="14"/>
        <w:spacing w:line="360" w:lineRule="auto"/>
        <w:jc w:val="center"/>
        <w:rPr>
          <w:rFonts w:hint="eastAsia" w:ascii="仿宋" w:hAnsi="仿宋" w:eastAsia="仿宋" w:cs="仿宋"/>
          <w:b/>
          <w:bCs/>
          <w:sz w:val="28"/>
          <w:szCs w:val="28"/>
          <w:lang w:eastAsia="zh-CN"/>
        </w:rPr>
      </w:pPr>
    </w:p>
    <w:p>
      <w:pPr>
        <w:pStyle w:val="14"/>
        <w:spacing w:line="360" w:lineRule="auto"/>
        <w:jc w:val="center"/>
        <w:rPr>
          <w:rFonts w:hint="eastAsia" w:ascii="仿宋" w:hAnsi="仿宋" w:eastAsia="仿宋" w:cs="仿宋"/>
          <w:b/>
          <w:bCs/>
          <w:sz w:val="28"/>
          <w:szCs w:val="28"/>
          <w:lang w:eastAsia="zh-CN"/>
        </w:rPr>
      </w:pPr>
    </w:p>
    <w:p>
      <w:pPr>
        <w:pStyle w:val="14"/>
        <w:spacing w:line="360" w:lineRule="auto"/>
        <w:jc w:val="both"/>
        <w:rPr>
          <w:rFonts w:hint="eastAsia" w:ascii="仿宋" w:hAnsi="仿宋" w:eastAsia="仿宋" w:cs="仿宋"/>
          <w:b/>
          <w:bCs/>
          <w:sz w:val="28"/>
          <w:szCs w:val="28"/>
          <w:lang w:eastAsia="zh-CN"/>
        </w:rPr>
      </w:pPr>
    </w:p>
    <w:p>
      <w:pPr>
        <w:pStyle w:val="14"/>
        <w:spacing w:line="360" w:lineRule="auto"/>
        <w:jc w:val="center"/>
        <w:rPr>
          <w:rFonts w:hint="eastAsia" w:ascii="仿宋" w:hAnsi="仿宋" w:eastAsia="仿宋" w:cs="仿宋"/>
          <w:sz w:val="24"/>
          <w:szCs w:val="24"/>
        </w:rPr>
      </w:pPr>
      <w:r>
        <w:rPr>
          <w:rFonts w:hint="eastAsia" w:ascii="仿宋" w:hAnsi="仿宋" w:eastAsia="仿宋" w:cs="仿宋"/>
          <w:b/>
          <w:bCs/>
          <w:sz w:val="28"/>
          <w:szCs w:val="28"/>
          <w:lang w:eastAsia="zh-CN"/>
        </w:rPr>
        <w:t>政府采购</w:t>
      </w:r>
      <w:r>
        <w:rPr>
          <w:rFonts w:hint="eastAsia" w:ascii="仿宋" w:hAnsi="仿宋" w:eastAsia="仿宋" w:cs="仿宋"/>
          <w:b/>
          <w:bCs/>
          <w:sz w:val="28"/>
          <w:szCs w:val="28"/>
        </w:rPr>
        <w:t>联合体协议书</w:t>
      </w: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rPr>
        <w:t>　　</w:t>
      </w:r>
      <w:r>
        <w:rPr>
          <w:rFonts w:hint="eastAsia" w:ascii="仿宋" w:hAnsi="仿宋" w:eastAsia="仿宋" w:cs="仿宋"/>
          <w:kern w:val="0"/>
          <w:sz w:val="24"/>
          <w:szCs w:val="24"/>
        </w:rPr>
        <w:t xml:space="preserve">     </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（所有成员单位名称）自愿组成联合体，共同参加</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（采购代理机构名称）组织的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kern w:val="0"/>
          <w:sz w:val="24"/>
          <w:szCs w:val="24"/>
        </w:rPr>
        <w:t>竞标。现就联合体竞标事宜订立如下协议：</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（某成员单位名称）为联合体的牵头人。</w:t>
      </w: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2、联合体牵头人合法代表联合体各成员负责本采购项目竞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3、联合体将严格按照竞争性谈判采购文件的各项要求，递交竞标文件，履行合同，并对外承担连带责任。</w:t>
      </w:r>
    </w:p>
    <w:p>
      <w:pPr>
        <w:autoSpaceDE w:val="0"/>
        <w:autoSpaceDN w:val="0"/>
        <w:adjustRightInd w:val="0"/>
        <w:spacing w:line="360" w:lineRule="auto"/>
        <w:ind w:firstLine="42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4、联合体各成员单位内部的职责分工如下：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5、本协议书自签署之日起生效，合同履行完毕后自动失效。</w:t>
      </w: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6、本协议书一式</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份，联合体成员和采购代理机构各执一份。</w:t>
      </w:r>
    </w:p>
    <w:p>
      <w:pPr>
        <w:autoSpaceDE w:val="0"/>
        <w:autoSpaceDN w:val="0"/>
        <w:adjustRightInd w:val="0"/>
        <w:spacing w:line="360" w:lineRule="auto"/>
        <w:ind w:firstLine="420"/>
        <w:jc w:val="left"/>
        <w:rPr>
          <w:rFonts w:hint="eastAsia" w:ascii="仿宋" w:hAnsi="仿宋" w:eastAsia="仿宋" w:cs="仿宋"/>
          <w:kern w:val="0"/>
          <w:sz w:val="24"/>
          <w:szCs w:val="24"/>
        </w:rPr>
      </w:pP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牵头人名称：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（盖单位公章）</w:t>
      </w: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法定代表人（负责人）或其委托代理人：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pPr>
        <w:autoSpaceDE w:val="0"/>
        <w:autoSpaceDN w:val="0"/>
        <w:adjustRightInd w:val="0"/>
        <w:spacing w:line="360" w:lineRule="auto"/>
        <w:jc w:val="left"/>
        <w:rPr>
          <w:rFonts w:hint="eastAsia" w:ascii="仿宋" w:hAnsi="仿宋" w:eastAsia="仿宋" w:cs="仿宋"/>
          <w:kern w:val="0"/>
          <w:sz w:val="24"/>
          <w:szCs w:val="24"/>
        </w:rPr>
      </w:pP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成员一名称：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（盖单位公章）</w:t>
      </w: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法定代表人（负责人）或其委托代理人：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pPr>
        <w:autoSpaceDE w:val="0"/>
        <w:autoSpaceDN w:val="0"/>
        <w:adjustRightInd w:val="0"/>
        <w:spacing w:line="360" w:lineRule="auto"/>
        <w:jc w:val="left"/>
        <w:rPr>
          <w:rFonts w:hint="eastAsia" w:ascii="仿宋" w:hAnsi="仿宋" w:eastAsia="仿宋" w:cs="仿宋"/>
          <w:kern w:val="0"/>
          <w:sz w:val="24"/>
          <w:szCs w:val="24"/>
        </w:rPr>
      </w:pP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成员二名称：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（盖单位公章）</w:t>
      </w: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法定代表人（负责人）或其委托代理人：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pPr>
        <w:autoSpaceDE w:val="0"/>
        <w:autoSpaceDN w:val="0"/>
        <w:adjustRightInd w:val="0"/>
        <w:spacing w:line="360" w:lineRule="auto"/>
        <w:jc w:val="left"/>
        <w:rPr>
          <w:rFonts w:hint="eastAsia" w:ascii="仿宋" w:hAnsi="仿宋" w:eastAsia="仿宋" w:cs="仿宋"/>
          <w:kern w:val="0"/>
          <w:sz w:val="24"/>
          <w:szCs w:val="24"/>
        </w:rPr>
      </w:pP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注：本协议书由委托代理人签字的，应附法定代表人（负责人）授权委托书。</w:t>
      </w:r>
    </w:p>
    <w:p>
      <w:pPr>
        <w:autoSpaceDE w:val="0"/>
        <w:autoSpaceDN w:val="0"/>
        <w:adjustRightInd w:val="0"/>
        <w:spacing w:line="360" w:lineRule="auto"/>
        <w:jc w:val="left"/>
        <w:rPr>
          <w:rFonts w:hint="eastAsia" w:ascii="仿宋" w:hAnsi="仿宋" w:eastAsia="仿宋" w:cs="仿宋"/>
          <w:kern w:val="0"/>
          <w:sz w:val="24"/>
          <w:szCs w:val="24"/>
        </w:rPr>
      </w:pPr>
    </w:p>
    <w:p>
      <w:pPr>
        <w:pStyle w:val="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bCs/>
          <w:sz w:val="24"/>
          <w:szCs w:val="24"/>
          <w:u w:val="single"/>
        </w:rPr>
        <w:t xml:space="preserve">    </w:t>
      </w:r>
      <w:bookmarkStart w:id="29" w:name="_Toc24598"/>
      <w:bookmarkStart w:id="30" w:name="_Toc5386"/>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bookmarkEnd w:id="29"/>
      <w:bookmarkEnd w:id="30"/>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rPr>
      </w:pP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rPr>
      </w:pPr>
      <w:bookmarkStart w:id="31" w:name="_Toc25877"/>
      <w:r>
        <w:rPr>
          <w:rFonts w:hint="eastAsia"/>
          <w:color w:val="auto"/>
        </w:rPr>
        <w:t>第</w:t>
      </w:r>
      <w:r>
        <w:rPr>
          <w:rFonts w:hint="eastAsia"/>
          <w:color w:val="auto"/>
          <w:lang w:eastAsia="zh-CN"/>
        </w:rPr>
        <w:t>二</w:t>
      </w:r>
      <w:r>
        <w:rPr>
          <w:rFonts w:hint="eastAsia"/>
          <w:color w:val="auto"/>
        </w:rPr>
        <w:t>章  磋商须知</w:t>
      </w:r>
      <w:bookmarkEnd w:id="31"/>
    </w:p>
    <w:p>
      <w:pPr>
        <w:pStyle w:val="4"/>
        <w:bidi w:val="0"/>
        <w:spacing w:line="360" w:lineRule="auto"/>
        <w:rPr>
          <w:rFonts w:hint="eastAsia"/>
          <w:color w:val="auto"/>
        </w:rPr>
      </w:pPr>
      <w:bookmarkStart w:id="32" w:name="_Toc3107"/>
      <w:r>
        <w:rPr>
          <w:rFonts w:hint="eastAsia"/>
          <w:color w:val="auto"/>
        </w:rPr>
        <w:t>一、前附表</w:t>
      </w:r>
      <w:bookmarkEnd w:id="32"/>
    </w:p>
    <w:tbl>
      <w:tblPr>
        <w:tblStyle w:val="27"/>
        <w:tblW w:w="10178" w:type="dxa"/>
        <w:jc w:val="center"/>
        <w:tblLayout w:type="fixed"/>
        <w:tblCellMar>
          <w:top w:w="0" w:type="dxa"/>
          <w:left w:w="108" w:type="dxa"/>
          <w:bottom w:w="0" w:type="dxa"/>
          <w:right w:w="108" w:type="dxa"/>
        </w:tblCellMar>
      </w:tblPr>
      <w:tblGrid>
        <w:gridCol w:w="787"/>
        <w:gridCol w:w="2196"/>
        <w:gridCol w:w="5"/>
        <w:gridCol w:w="3699"/>
        <w:gridCol w:w="9"/>
        <w:gridCol w:w="1530"/>
        <w:gridCol w:w="6"/>
        <w:gridCol w:w="1946"/>
      </w:tblGrid>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  款  名  称</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  列  内  容</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称：和布克赛尔蒙古自治县自然资源局</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址：和布克赛尔镇敖包特东街49号</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联系方式：0990-6710571</w:t>
            </w:r>
          </w:p>
        </w:tc>
      </w:tr>
      <w:tr>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采购代理机构名称：</w:t>
            </w:r>
            <w:r>
              <w:rPr>
                <w:rFonts w:hint="eastAsia" w:ascii="仿宋" w:hAnsi="仿宋" w:eastAsia="仿宋" w:cs="仿宋"/>
                <w:color w:val="auto"/>
                <w:sz w:val="24"/>
                <w:highlight w:val="none"/>
                <w:lang w:eastAsia="zh-CN"/>
              </w:rPr>
              <w:t>新疆卫中森工程管理服务有限公司</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eastAsia="zh-CN"/>
              </w:rPr>
              <w:t>杨培文、杨镕墁</w:t>
            </w:r>
          </w:p>
          <w:p>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  系  电  话：</w:t>
            </w:r>
            <w:r>
              <w:rPr>
                <w:rFonts w:hint="eastAsia" w:ascii="仿宋" w:hAnsi="仿宋" w:eastAsia="仿宋" w:cs="仿宋"/>
                <w:color w:val="auto"/>
                <w:sz w:val="24"/>
                <w:highlight w:val="none"/>
                <w:lang w:val="en-US" w:eastAsia="zh-CN"/>
              </w:rPr>
              <w:t>0991-6691331/17690715919</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新疆乌鲁木齐高新技术产业开发区（新市区）北京路街道高新街217号盈科广场14层B座1409</w:t>
            </w:r>
            <w:r>
              <w:rPr>
                <w:rFonts w:hint="eastAsia" w:ascii="仿宋" w:hAnsi="仿宋" w:eastAsia="仿宋" w:cs="仿宋"/>
                <w:color w:val="auto"/>
                <w:sz w:val="24"/>
                <w:highlight w:val="none"/>
              </w:rPr>
              <w:t xml:space="preserve">        </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和布克赛尔县自然资源统一确权登记工作项目</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项目地点</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auto"/>
                <w:lang w:eastAsia="zh-CN"/>
              </w:rPr>
            </w:pPr>
            <w:r>
              <w:rPr>
                <w:rFonts w:hint="eastAsia" w:ascii="仿宋" w:hAnsi="仿宋" w:eastAsia="仿宋" w:cs="仿宋"/>
                <w:color w:val="auto"/>
                <w:sz w:val="24"/>
                <w:highlight w:val="none"/>
                <w:lang w:eastAsia="zh-CN"/>
              </w:rPr>
              <w:t>和布克赛尔县</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资金来源</w:t>
            </w:r>
          </w:p>
        </w:tc>
        <w:tc>
          <w:tcPr>
            <w:tcW w:w="19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财政资金</w:t>
            </w:r>
          </w:p>
        </w:tc>
      </w:tr>
      <w:tr>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采购内容</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szCs w:val="24"/>
                <w:lang w:val="en-US" w:eastAsia="zh-CN"/>
              </w:rPr>
              <w:t>根据自治区自然资源确权登记工作要求，对和布克赛尔县7条河流及和布克赛尔县国家湿地公园自然保护地进行自然资源确权登记，具体详见磋商文件</w:t>
            </w:r>
          </w:p>
        </w:tc>
      </w:tr>
      <w:tr>
        <w:tblPrEx>
          <w:tblCellMar>
            <w:top w:w="0" w:type="dxa"/>
            <w:left w:w="108" w:type="dxa"/>
            <w:bottom w:w="0" w:type="dxa"/>
            <w:right w:w="108" w:type="dxa"/>
          </w:tblCellMar>
        </w:tblPrEx>
        <w:trPr>
          <w:trHeight w:val="523"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 </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计划资金</w:t>
            </w:r>
          </w:p>
        </w:tc>
        <w:tc>
          <w:tcPr>
            <w:tcW w:w="370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98.96</w:t>
            </w:r>
            <w:r>
              <w:rPr>
                <w:rFonts w:hint="eastAsia" w:ascii="仿宋" w:hAnsi="仿宋" w:eastAsia="仿宋" w:cs="仿宋"/>
                <w:color w:val="auto"/>
                <w:sz w:val="24"/>
                <w:highlight w:val="none"/>
              </w:rPr>
              <w:t>万元</w:t>
            </w: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 </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服务期限</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2023年6月30日前完成</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 </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质量要求</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u w:val="none"/>
                <w:lang w:val="en-US" w:eastAsia="zh-CN"/>
              </w:rPr>
              <w:t>在项目实施过程中，提供完整的质量服务保障，确保成果达到自治区“自然资源统一确权登记”相关规程规范要求。完成确权登记工作后须达到塔城地区及自治区对确权登记工作的验收标准并通过验收</w:t>
            </w:r>
          </w:p>
        </w:tc>
      </w:tr>
      <w:tr>
        <w:tblPrEx>
          <w:tblCellMar>
            <w:top w:w="0" w:type="dxa"/>
            <w:left w:w="108" w:type="dxa"/>
            <w:bottom w:w="0" w:type="dxa"/>
            <w:right w:w="108" w:type="dxa"/>
          </w:tblCellMar>
        </w:tblPrEx>
        <w:trPr>
          <w:trHeight w:val="70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资质条件</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（1）有效的营业执照或事业单位法人证书（如三证合一，只需提供营业执照即可）；</w:t>
            </w:r>
          </w:p>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w:t>
            </w:r>
            <w:r>
              <w:rPr>
                <w:rFonts w:hint="eastAsia" w:ascii="仿宋" w:hAnsi="仿宋" w:eastAsia="仿宋" w:cs="仿宋"/>
                <w:color w:val="auto"/>
                <w:kern w:val="2"/>
                <w:sz w:val="24"/>
                <w:szCs w:val="24"/>
                <w:lang w:val="en-US" w:eastAsia="zh-CN" w:bidi="ar-SA"/>
              </w:rPr>
              <w:t>供应商</w:t>
            </w:r>
            <w:r>
              <w:rPr>
                <w:rFonts w:hint="eastAsia" w:ascii="仿宋" w:hAnsi="仿宋" w:eastAsia="仿宋" w:cs="仿宋"/>
                <w:color w:val="auto"/>
                <w:sz w:val="24"/>
                <w:highlight w:val="none"/>
              </w:rPr>
              <w:t>须</w:t>
            </w:r>
            <w:r>
              <w:rPr>
                <w:rFonts w:hint="eastAsia" w:ascii="仿宋" w:hAnsi="仿宋" w:eastAsia="仿宋" w:cs="仿宋"/>
                <w:color w:val="auto"/>
                <w:sz w:val="24"/>
                <w:highlight w:val="none"/>
                <w:lang w:val="en-US" w:eastAsia="zh-CN"/>
              </w:rPr>
              <w:t>具有测绘地理信息行政主管部门核发的有效期内的测绘资质（工程测量）乙级及以上资质</w:t>
            </w:r>
            <w:r>
              <w:rPr>
                <w:rFonts w:hint="eastAsia" w:ascii="仿宋" w:hAnsi="仿宋" w:eastAsia="仿宋" w:cs="仿宋"/>
                <w:color w:val="auto"/>
                <w:kern w:val="2"/>
                <w:sz w:val="24"/>
                <w:szCs w:val="24"/>
                <w:lang w:val="en-US" w:eastAsia="zh-CN" w:bidi="ar-SA"/>
              </w:rPr>
              <w:t>；拟投入的项目负责人</w:t>
            </w:r>
            <w:r>
              <w:rPr>
                <w:rFonts w:hint="eastAsia" w:ascii="仿宋" w:hAnsi="仿宋" w:eastAsia="仿宋" w:cs="仿宋"/>
                <w:color w:val="auto"/>
                <w:sz w:val="24"/>
                <w:highlight w:val="none"/>
                <w:lang w:eastAsia="zh-CN"/>
              </w:rPr>
              <w:t>须具备测绘工程师中级及以上职称</w:t>
            </w:r>
            <w:r>
              <w:rPr>
                <w:rFonts w:hint="eastAsia" w:ascii="仿宋" w:hAnsi="仿宋" w:eastAsia="仿宋" w:cs="仿宋"/>
                <w:color w:val="auto"/>
                <w:kern w:val="2"/>
                <w:sz w:val="24"/>
                <w:szCs w:val="24"/>
                <w:lang w:val="en-US" w:eastAsia="zh-CN" w:bidi="ar-SA"/>
              </w:rPr>
              <w:t>；外省投标企业须提供《新疆维吾尔自治区区外建设工程企业信息登记册》或新疆工程建设云下载审核通过的信息报送册；</w:t>
            </w:r>
          </w:p>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（3）法人代表或其委托代理人应携带本人身份证原件及复印件，委托代理人还应携带《法人代表授权委托书》；</w:t>
            </w:r>
          </w:p>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供应商须提供通过“信用中国”网站（www.creditchina.gov.cn）和中国政府采购网（www.ccgp.gov.cn）渠道查询的本单位信用记录的网页，并加盖供应商公章，被列入失信被执行人、重大税收违法案件当事人名单、政府采购严重违法失信行为记录名单的单位及其他不符合《中华人民共和国政府采购法》第二十二条规定条件的供应商，将被拒绝参与本次政府采购活动；</w:t>
            </w:r>
          </w:p>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（5）单位负责人为同一人或者存在直接控股、管理关系的不同供应商，不得参加同一合同项下的政府采购活动；</w:t>
            </w:r>
          </w:p>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（6）为采购项目提供整体设计、规范编制或者项目管理、监理、检测等服务的供应商，不得再参加该采购项目的其他采购活动；</w:t>
            </w:r>
          </w:p>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（7）本项目接受联合体投标（如为联合体投标，须提供联合体协议书）；</w:t>
            </w:r>
          </w:p>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（8）磋商保证金凭证；</w:t>
            </w:r>
          </w:p>
          <w:p>
            <w:pPr>
              <w:pStyle w:val="23"/>
              <w:spacing w:before="75" w:beforeAutospacing="0" w:after="75" w:afterAutospacing="0" w:line="360" w:lineRule="auto"/>
              <w:rPr>
                <w:rFonts w:hint="eastAsia" w:ascii="仿宋" w:hAnsi="仿宋" w:eastAsia="仿宋" w:cs="仿宋"/>
                <w:b/>
                <w:bCs/>
                <w:color w:val="auto"/>
                <w:highlight w:val="none"/>
              </w:rPr>
            </w:pPr>
            <w:r>
              <w:rPr>
                <w:rFonts w:hint="eastAsia" w:ascii="仿宋" w:hAnsi="仿宋" w:eastAsia="仿宋" w:cs="Times New Roman"/>
                <w:color w:val="auto"/>
                <w:sz w:val="24"/>
                <w:szCs w:val="24"/>
                <w:lang w:val="en-US" w:eastAsia="zh-CN"/>
              </w:rPr>
              <w:t>（9）法律、行政法规规定的其他条件。</w:t>
            </w:r>
            <w:r>
              <w:rPr>
                <w:rFonts w:hint="eastAsia" w:ascii="仿宋" w:hAnsi="仿宋" w:eastAsia="仿宋" w:cs="仿宋"/>
                <w:color w:val="auto"/>
                <w:highlight w:val="none"/>
              </w:rPr>
              <w:t xml:space="preserve">    </w:t>
            </w:r>
          </w:p>
        </w:tc>
      </w:tr>
      <w:tr>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是否接受联合体</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pStyle w:val="9"/>
              <w:topLinePunct/>
              <w:spacing w:after="0"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接受</w:t>
            </w:r>
          </w:p>
          <w:p>
            <w:pPr>
              <w:pStyle w:val="9"/>
              <w:topLinePunct/>
              <w:spacing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应满足下列要求：联合体各方必须向采购人提供有效的联合体协议，由联合体牵头人负责购买磋商文件等相关事宜①组成联合体投标应符合相关法律法规对联合体投标的有关规定，联合体各方不得再以自己名义单独或参加其他联合体在同一工程项目的投标。 ②以联合体方式参加本项目招标的，联合体各方之间应当签订联合体协议，明确联合体牵头人及联合体各方承担的工作和责任。③ 联合体中标后，联合体各方应共同与采购人签订合同，就中标项目向采购人承担连带责任。 ④联合体牵头人负责整个合同的全面履行和接受本项目合同项下的项目款支付。 ⑤所有成员单位在人员、设备、资金等方面具有相应的服务能力。</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发售时间</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详见竞争性磋商公告</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开标时间及</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详见竞争性磋商公告</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递交及开标地点</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详见竞争性磋商公告</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有效期</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日历天（从投标截止之日算起）</w:t>
            </w:r>
          </w:p>
        </w:tc>
      </w:tr>
      <w:tr>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踏勘现场</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不组织</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1.如有需要自行踏勘，</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踏勘现场发生的费用自理。</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自行负责在踏勘现场中所发生的人员伤亡和财产损失。</w:t>
            </w:r>
          </w:p>
          <w:p>
            <w:pPr>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踏勘所了解到的工程场地和相关的周边环境情况，供其在编制响应文件时参考，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据此作出的判断和决策负责。</w:t>
            </w:r>
          </w:p>
        </w:tc>
      </w:tr>
      <w:tr>
        <w:tblPrEx>
          <w:tblCellMar>
            <w:top w:w="0" w:type="dxa"/>
            <w:left w:w="108" w:type="dxa"/>
            <w:bottom w:w="0" w:type="dxa"/>
            <w:right w:w="108" w:type="dxa"/>
          </w:tblCellMar>
        </w:tblPrEx>
        <w:trPr>
          <w:trHeight w:val="5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保证金</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保证金：</w:t>
            </w:r>
            <w:r>
              <w:rPr>
                <w:rFonts w:hint="eastAsia" w:ascii="仿宋" w:hAnsi="仿宋" w:eastAsia="仿宋" w:cs="仿宋"/>
                <w:color w:val="auto"/>
                <w:sz w:val="24"/>
                <w:highlight w:val="none"/>
                <w:lang w:val="en-US" w:eastAsia="zh-CN"/>
              </w:rPr>
              <w:t>15000.00元（大写：</w:t>
            </w:r>
            <w:r>
              <w:rPr>
                <w:rFonts w:hint="eastAsia" w:ascii="仿宋" w:hAnsi="仿宋" w:eastAsia="仿宋" w:cs="仿宋"/>
                <w:color w:val="auto"/>
                <w:sz w:val="24"/>
                <w:highlight w:val="none"/>
                <w:lang w:eastAsia="zh-CN"/>
              </w:rPr>
              <w:t>壹万伍仟元整</w:t>
            </w:r>
            <w:r>
              <w:rPr>
                <w:rFonts w:hint="eastAsia" w:ascii="仿宋" w:hAnsi="仿宋" w:eastAsia="仿宋" w:cs="仿宋"/>
                <w:color w:val="auto"/>
                <w:sz w:val="24"/>
                <w:highlight w:val="none"/>
                <w:lang w:val="en-US" w:eastAsia="zh-CN"/>
              </w:rPr>
              <w:t>）</w:t>
            </w:r>
          </w:p>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磋商保证金</w:t>
            </w:r>
            <w:r>
              <w:rPr>
                <w:rFonts w:hint="eastAsia" w:ascii="仿宋" w:hAnsi="仿宋" w:eastAsia="仿宋" w:cs="仿宋"/>
                <w:b w:val="0"/>
                <w:bCs w:val="0"/>
                <w:color w:val="auto"/>
                <w:sz w:val="24"/>
                <w:szCs w:val="24"/>
                <w:highlight w:val="none"/>
              </w:rPr>
              <w:t>银行及帐号：</w:t>
            </w:r>
          </w:p>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账户名：</w:t>
            </w:r>
            <w:r>
              <w:rPr>
                <w:rFonts w:hint="eastAsia" w:ascii="仿宋" w:hAnsi="仿宋" w:eastAsia="仿宋" w:cs="仿宋"/>
                <w:b w:val="0"/>
                <w:bCs w:val="0"/>
                <w:color w:val="auto"/>
                <w:sz w:val="24"/>
                <w:szCs w:val="24"/>
                <w:highlight w:val="none"/>
                <w:lang w:eastAsia="zh-CN"/>
              </w:rPr>
              <w:t>新疆卫中森工程管理服务有限公司</w:t>
            </w:r>
            <w:r>
              <w:rPr>
                <w:rFonts w:hint="eastAsia" w:ascii="仿宋" w:hAnsi="仿宋" w:eastAsia="仿宋" w:cs="仿宋"/>
                <w:b w:val="0"/>
                <w:bCs w:val="0"/>
                <w:color w:val="auto"/>
                <w:sz w:val="24"/>
                <w:szCs w:val="24"/>
                <w:highlight w:val="none"/>
              </w:rPr>
              <w:t xml:space="preserve"> </w:t>
            </w:r>
          </w:p>
          <w:p>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开户行</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中信银行乌鲁木齐北京路支行</w:t>
            </w:r>
          </w:p>
          <w:p>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帐 号：</w:t>
            </w:r>
            <w:r>
              <w:rPr>
                <w:rFonts w:hint="eastAsia" w:ascii="仿宋" w:hAnsi="仿宋" w:eastAsia="仿宋" w:cs="仿宋"/>
                <w:b w:val="0"/>
                <w:bCs w:val="0"/>
                <w:color w:val="auto"/>
                <w:sz w:val="24"/>
                <w:szCs w:val="24"/>
                <w:highlight w:val="none"/>
                <w:lang w:val="en-US" w:eastAsia="zh-CN"/>
              </w:rPr>
              <w:t>8113701013800154940</w:t>
            </w:r>
          </w:p>
          <w:p>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szCs w:val="24"/>
                <w:lang w:eastAsia="zh-CN"/>
              </w:rPr>
              <w:t>注：须以转账或电汇等其他非现金形式递交保证金（接受保函形式），磋商保证金</w:t>
            </w:r>
            <w:r>
              <w:rPr>
                <w:rFonts w:hint="eastAsia" w:ascii="仿宋" w:hAnsi="仿宋" w:eastAsia="仿宋" w:cs="仿宋"/>
                <w:b/>
                <w:bCs/>
                <w:color w:val="auto"/>
                <w:sz w:val="24"/>
                <w:szCs w:val="24"/>
              </w:rPr>
              <w:t>交款单据上须注明“</w:t>
            </w:r>
            <w:r>
              <w:rPr>
                <w:rFonts w:hint="eastAsia" w:ascii="仿宋" w:hAnsi="仿宋" w:eastAsia="仿宋" w:cs="仿宋"/>
                <w:b/>
                <w:bCs/>
                <w:color w:val="auto"/>
                <w:sz w:val="24"/>
                <w:szCs w:val="24"/>
                <w:lang w:eastAsia="zh-CN"/>
              </w:rPr>
              <w:t>XJWZS(ZC)202</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eastAsia="zh-CN"/>
              </w:rPr>
              <w:t>-0</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lang w:eastAsia="zh-CN"/>
              </w:rPr>
              <w:t>4</w:t>
            </w:r>
            <w:r>
              <w:rPr>
                <w:rFonts w:hint="eastAsia" w:ascii="仿宋" w:hAnsi="仿宋" w:eastAsia="仿宋" w:cs="仿宋"/>
                <w:b/>
                <w:bCs/>
                <w:color w:val="auto"/>
                <w:sz w:val="24"/>
                <w:szCs w:val="24"/>
              </w:rPr>
              <w:t>”字样。</w:t>
            </w:r>
            <w:r>
              <w:rPr>
                <w:rFonts w:hint="eastAsia" w:ascii="仿宋" w:hAnsi="仿宋" w:eastAsia="仿宋" w:cs="仿宋"/>
                <w:b/>
                <w:bCs/>
                <w:color w:val="auto"/>
                <w:sz w:val="24"/>
                <w:szCs w:val="24"/>
                <w:lang w:eastAsia="zh-CN"/>
              </w:rPr>
              <w:t>保证金于投标截止日之前确认到账，若供应商</w:t>
            </w:r>
            <w:r>
              <w:rPr>
                <w:rFonts w:hint="eastAsia" w:ascii="仿宋" w:hAnsi="仿宋" w:eastAsia="仿宋" w:cs="仿宋"/>
                <w:b/>
                <w:bCs/>
                <w:color w:val="auto"/>
                <w:sz w:val="24"/>
                <w:szCs w:val="24"/>
                <w:lang w:val="zh-CN" w:eastAsia="zh-CN"/>
              </w:rPr>
              <w:t>未按照上述规定缴纳保证金,响应文件将被拒绝评审。</w:t>
            </w:r>
            <w:r>
              <w:rPr>
                <w:rFonts w:hint="eastAsia" w:ascii="仿宋" w:hAnsi="仿宋" w:eastAsia="仿宋" w:cs="仿宋"/>
                <w:color w:val="auto"/>
                <w:sz w:val="24"/>
                <w:highlight w:val="none"/>
              </w:rPr>
              <w:t xml:space="preserve">          </w:t>
            </w:r>
          </w:p>
        </w:tc>
      </w:tr>
      <w:tr>
        <w:tblPrEx>
          <w:tblCellMar>
            <w:top w:w="0" w:type="dxa"/>
            <w:left w:w="108" w:type="dxa"/>
            <w:bottom w:w="0" w:type="dxa"/>
            <w:right w:w="108" w:type="dxa"/>
          </w:tblCellMar>
        </w:tblPrEx>
        <w:trPr>
          <w:trHeight w:val="5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219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jc w:val="center"/>
              <w:rPr>
                <w:rFonts w:hint="eastAsia" w:ascii="仿宋" w:hAnsi="仿宋" w:eastAsia="仿宋" w:cs="仿宋"/>
                <w:b w:val="0"/>
                <w:bCs w:val="0"/>
                <w:color w:val="auto"/>
                <w:sz w:val="24"/>
                <w:highlight w:val="none"/>
                <w:lang w:eastAsia="zh-CN"/>
              </w:rPr>
            </w:pPr>
            <w:r>
              <w:rPr>
                <w:rFonts w:hint="eastAsia" w:ascii="仿宋" w:hAnsi="仿宋" w:eastAsia="仿宋" w:cs="仿宋"/>
                <w:color w:val="auto"/>
                <w:sz w:val="24"/>
                <w:highlight w:val="none"/>
              </w:rPr>
              <w:t>付款方式及币种</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1、付款币种</w:t>
            </w:r>
          </w:p>
          <w:p>
            <w:pPr>
              <w:overflowPunct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本次招标所述的项目资金均以人民币支付。</w:t>
            </w:r>
          </w:p>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2、付款方式</w:t>
            </w:r>
          </w:p>
          <w:p>
            <w:pPr>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color w:val="auto"/>
                <w:sz w:val="24"/>
                <w:highlight w:val="none"/>
              </w:rPr>
              <w:t>最终付款方式以和甲方单位签订合同为主。</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18</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近年完成的类似项目的年份要求</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近</w:t>
            </w:r>
            <w:r>
              <w:rPr>
                <w:rFonts w:hint="eastAsia" w:ascii="仿宋" w:hAnsi="仿宋" w:eastAsia="仿宋" w:cs="仿宋"/>
                <w:color w:val="auto"/>
                <w:sz w:val="24"/>
                <w:highlight w:val="none"/>
                <w:u w:val="single"/>
                <w:lang w:val="en-US" w:eastAsia="zh-CN"/>
              </w:rPr>
              <w:t xml:space="preserve"> 3</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年 </w:t>
            </w:r>
          </w:p>
        </w:tc>
      </w:tr>
      <w:tr>
        <w:tblPrEx>
          <w:tblCellMar>
            <w:top w:w="0" w:type="dxa"/>
            <w:left w:w="108" w:type="dxa"/>
            <w:bottom w:w="0" w:type="dxa"/>
            <w:right w:w="108" w:type="dxa"/>
          </w:tblCellMar>
        </w:tblPrEx>
        <w:trPr>
          <w:trHeight w:val="512"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9</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签字和（或）盖章要求</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法人公章   </w:t>
            </w:r>
          </w:p>
          <w:p>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2、企业法定代表人或其委托代理人</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p>
        </w:tc>
        <w:tc>
          <w:tcPr>
            <w:tcW w:w="219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中提供的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格式填写。</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2.如</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没有提供格式的，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可自行设置。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按规定的顺序编排、并应编制目录、逐页标注连续页码，</w:t>
            </w:r>
            <w:r>
              <w:rPr>
                <w:rFonts w:hint="eastAsia" w:ascii="仿宋" w:hAnsi="仿宋" w:eastAsia="仿宋" w:cs="仿宋"/>
                <w:b/>
                <w:color w:val="auto"/>
                <w:sz w:val="24"/>
                <w:highlight w:val="none"/>
              </w:rPr>
              <w:t>不得采用活页装订，否则视为无效</w:t>
            </w:r>
            <w:r>
              <w:rPr>
                <w:rFonts w:hint="eastAsia" w:ascii="仿宋" w:hAnsi="仿宋" w:eastAsia="仿宋" w:cs="仿宋"/>
                <w:b/>
                <w:color w:val="auto"/>
                <w:sz w:val="24"/>
                <w:highlight w:val="none"/>
                <w:lang w:eastAsia="zh-CN"/>
              </w:rPr>
              <w:t>响应文件</w:t>
            </w:r>
            <w:r>
              <w:rPr>
                <w:rFonts w:hint="eastAsia" w:ascii="仿宋" w:hAnsi="仿宋" w:eastAsia="仿宋" w:cs="仿宋"/>
                <w:b/>
                <w:color w:val="auto"/>
                <w:sz w:val="24"/>
                <w:highlight w:val="none"/>
              </w:rPr>
              <w:t>。</w:t>
            </w:r>
          </w:p>
          <w:p>
            <w:pPr>
              <w:widowControl/>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4.电报、电话、传真、电子邮件等形式的投标概不接受。</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w:t>
            </w:r>
          </w:p>
        </w:tc>
        <w:tc>
          <w:tcPr>
            <w:tcW w:w="21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kern w:val="1"/>
                <w:sz w:val="24"/>
                <w:highlight w:val="none"/>
                <w:lang w:eastAsia="zh-CN"/>
              </w:rPr>
              <w:t>响应文件的份数</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1、一份电子加密标书 (“.jmbs”格式），一份备份标书文件 (“.bfbs”格式） </w:t>
            </w:r>
            <w:r>
              <w:rPr>
                <w:rFonts w:hint="eastAsia" w:ascii="仿宋" w:hAnsi="仿宋" w:eastAsia="仿宋" w:cs="仿宋"/>
                <w:color w:val="auto"/>
                <w:sz w:val="24"/>
                <w:highlight w:val="none"/>
              </w:rPr>
              <w:t xml:space="preserve">。                                                        </w:t>
            </w:r>
          </w:p>
          <w:p>
            <w:pPr>
              <w:widowControl/>
              <w:spacing w:line="360" w:lineRule="auto"/>
              <w:jc w:val="left"/>
              <w:rPr>
                <w:rFonts w:hint="eastAsia" w:ascii="仿宋" w:hAnsi="仿宋" w:eastAsia="仿宋" w:cs="仿宋"/>
                <w:color w:val="auto"/>
                <w:kern w:val="1"/>
                <w:sz w:val="24"/>
                <w:szCs w:val="24"/>
                <w:highlight w:val="none"/>
                <w:lang w:val="en-US" w:eastAsia="zh-CN" w:bidi="ar-SA"/>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中标</w:t>
            </w:r>
            <w:r>
              <w:rPr>
                <w:rFonts w:hint="eastAsia" w:ascii="仿宋" w:hAnsi="仿宋" w:eastAsia="仿宋" w:cs="仿宋"/>
                <w:b/>
                <w:bCs/>
                <w:color w:val="auto"/>
                <w:sz w:val="24"/>
                <w:highlight w:val="none"/>
                <w:lang w:eastAsia="zh-CN"/>
              </w:rPr>
              <w:t>单位</w:t>
            </w:r>
            <w:r>
              <w:rPr>
                <w:rFonts w:hint="eastAsia" w:ascii="仿宋" w:hAnsi="仿宋" w:eastAsia="仿宋" w:cs="仿宋"/>
                <w:b/>
                <w:bCs/>
                <w:color w:val="auto"/>
                <w:sz w:val="24"/>
                <w:highlight w:val="none"/>
              </w:rPr>
              <w:t>请于</w:t>
            </w:r>
            <w:r>
              <w:rPr>
                <w:rFonts w:hint="eastAsia" w:ascii="仿宋" w:hAnsi="仿宋" w:eastAsia="仿宋" w:cs="仿宋"/>
                <w:b/>
                <w:bCs/>
                <w:color w:val="auto"/>
                <w:sz w:val="24"/>
                <w:highlight w:val="none"/>
                <w:lang w:eastAsia="zh-CN"/>
              </w:rPr>
              <w:t>中标公告发布之日起</w:t>
            </w:r>
            <w:r>
              <w:rPr>
                <w:rFonts w:hint="eastAsia" w:ascii="仿宋" w:hAnsi="仿宋" w:eastAsia="仿宋" w:cs="仿宋"/>
                <w:b/>
                <w:bCs/>
                <w:color w:val="auto"/>
                <w:sz w:val="24"/>
                <w:highlight w:val="none"/>
                <w:lang w:val="en-US" w:eastAsia="zh-CN"/>
              </w:rPr>
              <w:t>3日内提供</w:t>
            </w:r>
            <w:r>
              <w:rPr>
                <w:rFonts w:hint="eastAsia" w:ascii="仿宋" w:hAnsi="仿宋" w:eastAsia="仿宋" w:cs="仿宋"/>
                <w:b/>
                <w:bCs/>
                <w:color w:val="auto"/>
                <w:sz w:val="24"/>
                <w:highlight w:val="none"/>
              </w:rPr>
              <w:t>纸质</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lang w:eastAsia="zh-CN"/>
              </w:rPr>
              <w:t>正</w:t>
            </w:r>
            <w:r>
              <w:rPr>
                <w:rFonts w:hint="eastAsia" w:ascii="仿宋" w:hAnsi="仿宋" w:eastAsia="仿宋" w:cs="仿宋"/>
                <w:b/>
                <w:bCs/>
                <w:color w:val="auto"/>
                <w:sz w:val="24"/>
                <w:highlight w:val="none"/>
                <w:lang w:val="en-US" w:eastAsia="zh-CN"/>
              </w:rPr>
              <w:t>2副</w:t>
            </w:r>
            <w:r>
              <w:rPr>
                <w:rFonts w:hint="eastAsia" w:ascii="仿宋" w:hAnsi="仿宋" w:eastAsia="仿宋" w:cs="仿宋"/>
                <w:b/>
                <w:bCs/>
                <w:color w:val="auto"/>
                <w:sz w:val="24"/>
                <w:highlight w:val="none"/>
                <w:lang w:eastAsia="zh-CN"/>
              </w:rPr>
              <w:t>）三</w:t>
            </w:r>
            <w:r>
              <w:rPr>
                <w:rFonts w:hint="eastAsia" w:ascii="仿宋" w:hAnsi="仿宋" w:eastAsia="仿宋" w:cs="仿宋"/>
                <w:b/>
                <w:bCs/>
                <w:color w:val="auto"/>
                <w:sz w:val="24"/>
                <w:highlight w:val="none"/>
              </w:rPr>
              <w:t>份并承诺与电子</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内容一致的承诺书</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。中标人可采用邮寄方式提供纸质版</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（收件地址：新疆乌鲁木齐高新技术产业开发区（新市区）北京路街道高新街217号盈科广场B座1409，收件人：</w:t>
            </w:r>
            <w:r>
              <w:rPr>
                <w:rFonts w:hint="eastAsia" w:ascii="仿宋" w:hAnsi="仿宋" w:eastAsia="仿宋" w:cs="仿宋"/>
                <w:color w:val="auto"/>
                <w:sz w:val="24"/>
                <w:highlight w:val="none"/>
                <w:lang w:eastAsia="zh-CN"/>
              </w:rPr>
              <w:t>杨培文</w:t>
            </w: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17690715919</w:t>
            </w:r>
            <w:r>
              <w:rPr>
                <w:rFonts w:hint="eastAsia" w:ascii="仿宋" w:hAnsi="仿宋" w:eastAsia="仿宋" w:cs="仿宋"/>
                <w:color w:val="auto"/>
                <w:sz w:val="24"/>
                <w:highlight w:val="none"/>
              </w:rPr>
              <w:t>)，费用自行承担。</w:t>
            </w:r>
          </w:p>
        </w:tc>
      </w:tr>
      <w:tr>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w:t>
            </w:r>
          </w:p>
        </w:tc>
        <w:tc>
          <w:tcPr>
            <w:tcW w:w="21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的上传和递交</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1.电子加密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制作完成并生成加密标书，在投标截止时间前，</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需将加密的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上传至政采云平台，在开标时间开始后，待</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发出解密通知后30分钟内解密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a.</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未能在投标截止时间前成功上传电子加密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的投标无效。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b.</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成功上传电子加密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后，可自行打印</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接收回执。</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在投标截止时间前将加密的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上传至政府采购云平台，还可以在投标截止时间前以电子邮件方式提供备份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1份（接收人邮箱：</w:t>
            </w:r>
            <w:r>
              <w:rPr>
                <w:rFonts w:hint="eastAsia" w:ascii="仿宋" w:hAnsi="仿宋" w:eastAsia="仿宋" w:cs="仿宋"/>
                <w:color w:val="auto"/>
                <w:sz w:val="24"/>
                <w:highlight w:val="none"/>
                <w:lang w:val="en-US" w:eastAsia="zh-CN"/>
              </w:rPr>
              <w:t>942281669</w:t>
            </w:r>
            <w:r>
              <w:rPr>
                <w:rFonts w:hint="eastAsia" w:ascii="仿宋" w:hAnsi="仿宋" w:eastAsia="仿宋" w:cs="仿宋"/>
                <w:color w:val="auto"/>
                <w:sz w:val="24"/>
                <w:highlight w:val="none"/>
              </w:rPr>
              <w:t>@qq.com，接收人：</w:t>
            </w:r>
            <w:r>
              <w:rPr>
                <w:rFonts w:hint="eastAsia" w:ascii="仿宋" w:hAnsi="仿宋" w:eastAsia="仿宋" w:cs="仿宋"/>
                <w:color w:val="auto"/>
                <w:sz w:val="24"/>
                <w:highlight w:val="none"/>
                <w:lang w:eastAsia="zh-CN"/>
              </w:rPr>
              <w:t>杨培文</w:t>
            </w: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17690715919</w:t>
            </w:r>
            <w:r>
              <w:rPr>
                <w:rFonts w:hint="eastAsia" w:ascii="仿宋" w:hAnsi="仿宋" w:eastAsia="仿宋" w:cs="仿宋"/>
                <w:color w:val="auto"/>
                <w:sz w:val="24"/>
                <w:highlight w:val="none"/>
              </w:rPr>
              <w:t>)，“备份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自愿提供，</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不作强制性要求；如不提供或未按要求提供的，当电子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无法解密时，将导致无备份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而失去投标资格。</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a.备份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提供要求：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可以将备份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打包压缩并加密，压缩包命名为“XX</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rPr>
              <w:t>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”，加密密码由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自行保管；送达时间以采购代理机构实际接收时间为准。“备份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”逾期或未按要求提供的视为未提供，</w:t>
            </w:r>
            <w:r>
              <w:rPr>
                <w:rFonts w:hint="eastAsia" w:ascii="仿宋" w:hAnsi="仿宋" w:eastAsia="仿宋" w:cs="仿宋"/>
                <w:b/>
                <w:bCs/>
                <w:color w:val="auto"/>
                <w:sz w:val="24"/>
                <w:highlight w:val="none"/>
              </w:rPr>
              <w:t>建议</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提前1日办理邮件提供事宜</w:t>
            </w:r>
            <w:r>
              <w:rPr>
                <w:rFonts w:hint="eastAsia" w:ascii="仿宋" w:hAnsi="仿宋" w:eastAsia="仿宋" w:cs="仿宋"/>
                <w:color w:val="auto"/>
                <w:sz w:val="24"/>
                <w:highlight w:val="none"/>
              </w:rPr>
              <w:t>。</w:t>
            </w:r>
          </w:p>
          <w:p>
            <w:pPr>
              <w:widowControl/>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b.通过“政府采购云平台”成功上传递交的“电子加密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”已按时解密的，“备份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”自动失效。</w:t>
            </w:r>
            <w:r>
              <w:rPr>
                <w:rFonts w:hint="eastAsia" w:ascii="仿宋" w:hAnsi="仿宋" w:eastAsia="仿宋" w:cs="仿宋"/>
                <w:b/>
                <w:bCs/>
                <w:color w:val="auto"/>
                <w:sz w:val="24"/>
                <w:highlight w:val="none"/>
              </w:rPr>
              <w:t>投标截止时间前，投标</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仅提供了“备份</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”而未将“电子加密</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”成功上传至“政府采购云平台”的，投标无效。</w:t>
            </w:r>
          </w:p>
        </w:tc>
      </w:tr>
      <w:tr>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p>
        </w:tc>
        <w:tc>
          <w:tcPr>
            <w:tcW w:w="2196" w:type="dxa"/>
            <w:tcBorders>
              <w:top w:val="single" w:color="auto" w:sz="4" w:space="0"/>
              <w:left w:val="single" w:color="auto" w:sz="4" w:space="0"/>
              <w:bottom w:val="nil"/>
              <w:right w:val="single" w:color="auto" w:sz="4" w:space="0"/>
            </w:tcBorders>
            <w:vAlign w:val="center"/>
          </w:tcPr>
          <w:p>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对响应文件进行澄清或说明</w:t>
            </w:r>
          </w:p>
        </w:tc>
        <w:tc>
          <w:tcPr>
            <w:tcW w:w="7195" w:type="dxa"/>
            <w:gridSpan w:val="6"/>
            <w:tcBorders>
              <w:top w:val="single" w:color="auto" w:sz="4" w:space="0"/>
              <w:left w:val="single" w:color="auto" w:sz="4" w:space="0"/>
              <w:bottom w:val="nil"/>
              <w:right w:val="single" w:color="auto" w:sz="4" w:space="0"/>
            </w:tcBorders>
            <w:vAlign w:val="center"/>
          </w:tcPr>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评标委员会可以要求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对响应文件中含义不明确的内容作必要的澄清或者说明，但是澄清或者说明不得超出响应文件的范围或者改变响应文件的实质性内容。</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　　评标时，若发现响应文件的内容有含义不明确、不一致或明显打字（书写）错误或纯属计算上的错误的情形，评标委员会则应通知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作出澄清或说明，以确认其正确的内容。对于明显打字（书写）错误或纯属计算上的错误，评标委员会应允许</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补正。澄清的要求和</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的答复均应采取书面的形式。</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的答复必须经法定代表人或授权代理人签字，作为响应文件的组成部分。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在评标过程中，评标委员会发现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的报价明显低于其他</w:t>
            </w:r>
            <w:r>
              <w:rPr>
                <w:rFonts w:hint="eastAsia" w:ascii="仿宋" w:hAnsi="仿宋" w:eastAsia="仿宋" w:cs="仿宋"/>
                <w:color w:val="auto"/>
                <w:sz w:val="24"/>
                <w:highlight w:val="none"/>
                <w:lang w:eastAsia="zh-CN"/>
              </w:rPr>
              <w:t>磋商报价</w:t>
            </w:r>
            <w:r>
              <w:rPr>
                <w:rFonts w:hint="eastAsia" w:ascii="仿宋" w:hAnsi="仿宋" w:eastAsia="仿宋" w:cs="仿宋"/>
                <w:color w:val="auto"/>
                <w:sz w:val="24"/>
                <w:highlight w:val="none"/>
              </w:rPr>
              <w:t>，使得其</w:t>
            </w:r>
            <w:r>
              <w:rPr>
                <w:rFonts w:hint="eastAsia" w:ascii="仿宋" w:hAnsi="仿宋" w:eastAsia="仿宋" w:cs="仿宋"/>
                <w:color w:val="auto"/>
                <w:sz w:val="24"/>
                <w:highlight w:val="none"/>
                <w:lang w:eastAsia="zh-CN"/>
              </w:rPr>
              <w:t>磋商报价</w:t>
            </w:r>
            <w:r>
              <w:rPr>
                <w:rFonts w:hint="eastAsia" w:ascii="仿宋" w:hAnsi="仿宋" w:eastAsia="仿宋" w:cs="仿宋"/>
                <w:color w:val="auto"/>
                <w:sz w:val="24"/>
                <w:highlight w:val="none"/>
              </w:rPr>
              <w:t>可能低于其个别成本的，应当要求该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做出书面说明并提供相关证明材料。</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不能合理说明或者不能提供相关证明材料的，评标委员会认定该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以低于成本报价</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，其投标应作无效投标处理。</w:t>
            </w:r>
          </w:p>
        </w:tc>
      </w:tr>
      <w:tr>
        <w:tblPrEx>
          <w:tblCellMar>
            <w:top w:w="0" w:type="dxa"/>
            <w:left w:w="108" w:type="dxa"/>
            <w:bottom w:w="0" w:type="dxa"/>
            <w:right w:w="108" w:type="dxa"/>
          </w:tblCellMar>
        </w:tblPrEx>
        <w:trPr>
          <w:trHeight w:val="887" w:hRule="atLeast"/>
          <w:jc w:val="center"/>
        </w:trPr>
        <w:tc>
          <w:tcPr>
            <w:tcW w:w="787"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2196"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评标委员会的组建</w:t>
            </w:r>
          </w:p>
        </w:tc>
        <w:tc>
          <w:tcPr>
            <w:tcW w:w="7195" w:type="dxa"/>
            <w:gridSpan w:val="6"/>
            <w:tcBorders>
              <w:top w:val="single" w:color="auto" w:sz="4" w:space="0"/>
              <w:left w:val="single" w:color="auto" w:sz="4" w:space="0"/>
              <w:bottom w:val="nil"/>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rPr>
              <w:t>人，其中采购人代表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rPr>
              <w:t>人（限采购人在职人员，且应当具备评标专家相应的或者类似的条件），专家</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rPr>
              <w:t>人；</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评标专家确定方式：</w:t>
            </w:r>
            <w:r>
              <w:rPr>
                <w:rFonts w:hint="eastAsia" w:ascii="仿宋" w:hAnsi="仿宋" w:eastAsia="仿宋" w:cs="仿宋"/>
                <w:color w:val="auto"/>
                <w:sz w:val="24"/>
                <w:highlight w:val="none"/>
                <w:u w:val="single"/>
              </w:rPr>
              <w:t>在</w:t>
            </w:r>
            <w:r>
              <w:rPr>
                <w:rFonts w:hint="eastAsia" w:ascii="仿宋" w:hAnsi="仿宋" w:eastAsia="仿宋" w:cs="仿宋"/>
                <w:color w:val="auto"/>
                <w:sz w:val="24"/>
                <w:highlight w:val="none"/>
                <w:u w:val="single"/>
                <w:lang w:eastAsia="zh-CN"/>
              </w:rPr>
              <w:t>新疆政府采购网政采云专家库</w:t>
            </w:r>
            <w:r>
              <w:rPr>
                <w:rFonts w:hint="eastAsia" w:ascii="仿宋" w:hAnsi="仿宋" w:eastAsia="仿宋" w:cs="仿宋"/>
                <w:color w:val="auto"/>
                <w:sz w:val="24"/>
                <w:highlight w:val="none"/>
                <w:u w:val="single"/>
              </w:rPr>
              <w:t>中随机抽取</w:t>
            </w:r>
            <w:r>
              <w:rPr>
                <w:rFonts w:hint="eastAsia" w:ascii="仿宋" w:hAnsi="仿宋" w:eastAsia="仿宋" w:cs="仿宋"/>
                <w:color w:val="auto"/>
                <w:sz w:val="24"/>
                <w:highlight w:val="none"/>
              </w:rPr>
              <w:t xml:space="preserve">； </w:t>
            </w:r>
          </w:p>
        </w:tc>
      </w:tr>
      <w:tr>
        <w:tblPrEx>
          <w:tblCellMar>
            <w:top w:w="0" w:type="dxa"/>
            <w:left w:w="108" w:type="dxa"/>
            <w:bottom w:w="0" w:type="dxa"/>
            <w:right w:w="108" w:type="dxa"/>
          </w:tblCellMar>
        </w:tblPrEx>
        <w:trPr>
          <w:trHeight w:val="487" w:hRule="atLeast"/>
          <w:jc w:val="center"/>
        </w:trPr>
        <w:tc>
          <w:tcPr>
            <w:tcW w:w="787"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25</w:t>
            </w:r>
          </w:p>
        </w:tc>
        <w:tc>
          <w:tcPr>
            <w:tcW w:w="2196"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w:t>
            </w:r>
          </w:p>
        </w:tc>
        <w:tc>
          <w:tcPr>
            <w:tcW w:w="7195" w:type="dxa"/>
            <w:gridSpan w:val="6"/>
            <w:tcBorders>
              <w:top w:val="single" w:color="auto" w:sz="4" w:space="0"/>
              <w:left w:val="single" w:color="auto" w:sz="4" w:space="0"/>
              <w:bottom w:val="nil"/>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综合评分法：商务技术占</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%，报价占</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w:t>
            </w:r>
          </w:p>
        </w:tc>
      </w:tr>
      <w:tr>
        <w:tblPrEx>
          <w:tblCellMar>
            <w:top w:w="0" w:type="dxa"/>
            <w:left w:w="108" w:type="dxa"/>
            <w:bottom w:w="0" w:type="dxa"/>
            <w:right w:w="108" w:type="dxa"/>
          </w:tblCellMar>
        </w:tblPrEx>
        <w:trPr>
          <w:trHeight w:val="43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26</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成交公示</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在成交通知书发出前，</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将成交候选人的情况在</w:t>
            </w:r>
            <w:r>
              <w:rPr>
                <w:rFonts w:hint="eastAsia" w:ascii="仿宋" w:hAnsi="仿宋" w:eastAsia="仿宋" w:cs="仿宋"/>
                <w:color w:val="auto"/>
                <w:sz w:val="24"/>
                <w:highlight w:val="none"/>
                <w:u w:val="single"/>
              </w:rPr>
              <w:t>新疆政府采购网</w:t>
            </w:r>
            <w:r>
              <w:rPr>
                <w:rFonts w:hint="eastAsia" w:ascii="仿宋" w:hAnsi="仿宋" w:eastAsia="仿宋" w:cs="仿宋"/>
                <w:color w:val="auto"/>
                <w:sz w:val="24"/>
                <w:highlight w:val="none"/>
              </w:rPr>
              <w:t>上予以公示，公示期不少于1个工作日。</w:t>
            </w:r>
          </w:p>
        </w:tc>
      </w:tr>
      <w:tr>
        <w:tblPrEx>
          <w:tblCellMar>
            <w:top w:w="0" w:type="dxa"/>
            <w:left w:w="108" w:type="dxa"/>
            <w:bottom w:w="0" w:type="dxa"/>
            <w:right w:w="108" w:type="dxa"/>
          </w:tblCellMar>
        </w:tblPrEx>
        <w:trPr>
          <w:trHeight w:val="43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27</w:t>
            </w:r>
          </w:p>
        </w:tc>
        <w:tc>
          <w:tcPr>
            <w:tcW w:w="219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低于成本价不正当</w:t>
            </w:r>
          </w:p>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竞争预防措施</w:t>
            </w:r>
          </w:p>
        </w:tc>
        <w:tc>
          <w:tcPr>
            <w:tcW w:w="719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在评标过程中，评标委员会认为</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的报价明显低于其他通过符合性审查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不能证明其报价合理性的，评标委员会应当将其作为无效投标处理。</w:t>
            </w:r>
          </w:p>
        </w:tc>
      </w:tr>
      <w:tr>
        <w:tblPrEx>
          <w:tblCellMar>
            <w:top w:w="0" w:type="dxa"/>
            <w:left w:w="108" w:type="dxa"/>
            <w:bottom w:w="0" w:type="dxa"/>
            <w:right w:w="108" w:type="dxa"/>
          </w:tblCellMar>
        </w:tblPrEx>
        <w:trPr>
          <w:trHeight w:val="593"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28</w:t>
            </w:r>
          </w:p>
        </w:tc>
        <w:tc>
          <w:tcPr>
            <w:tcW w:w="9391"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应承担其参加本次招标活动自身所发生的费用。</w:t>
            </w:r>
          </w:p>
        </w:tc>
      </w:tr>
      <w:tr>
        <w:tblPrEx>
          <w:tblCellMar>
            <w:top w:w="0" w:type="dxa"/>
            <w:left w:w="108" w:type="dxa"/>
            <w:bottom w:w="0" w:type="dxa"/>
            <w:right w:w="108" w:type="dxa"/>
          </w:tblCellMar>
        </w:tblPrEx>
        <w:trPr>
          <w:trHeight w:val="48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29</w:t>
            </w:r>
          </w:p>
        </w:tc>
        <w:tc>
          <w:tcPr>
            <w:tcW w:w="9391"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控制价为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98.96</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万</w:t>
            </w:r>
            <w:r>
              <w:rPr>
                <w:rFonts w:hint="eastAsia" w:ascii="仿宋" w:hAnsi="仿宋" w:eastAsia="仿宋" w:cs="仿宋"/>
                <w:color w:val="auto"/>
                <w:sz w:val="24"/>
                <w:highlight w:val="none"/>
              </w:rPr>
              <w:t>元；</w:t>
            </w:r>
          </w:p>
        </w:tc>
      </w:tr>
      <w:tr>
        <w:tblPrEx>
          <w:tblCellMar>
            <w:top w:w="0" w:type="dxa"/>
            <w:left w:w="108" w:type="dxa"/>
            <w:bottom w:w="0" w:type="dxa"/>
            <w:right w:w="108" w:type="dxa"/>
          </w:tblCellMar>
        </w:tblPrEx>
        <w:trPr>
          <w:trHeight w:val="488" w:hRule="atLeast"/>
          <w:jc w:val="center"/>
        </w:trPr>
        <w:tc>
          <w:tcPr>
            <w:tcW w:w="787" w:type="dxa"/>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30</w:t>
            </w:r>
          </w:p>
        </w:tc>
        <w:tc>
          <w:tcPr>
            <w:tcW w:w="2201" w:type="dxa"/>
            <w:gridSpan w:val="2"/>
            <w:tcBorders>
              <w:top w:val="single" w:color="auto" w:sz="4" w:space="0"/>
              <w:left w:val="single" w:color="auto" w:sz="4" w:space="0"/>
              <w:right w:val="single" w:color="auto" w:sz="4" w:space="0"/>
            </w:tcBorders>
            <w:vAlign w:val="center"/>
          </w:tcPr>
          <w:p>
            <w:pPr>
              <w:spacing w:line="360" w:lineRule="auto"/>
              <w:jc w:val="center"/>
              <w:rPr>
                <w:rFonts w:hint="eastAsia" w:eastAsia="黑体"/>
                <w:color w:val="auto"/>
                <w:lang w:eastAsia="zh-CN"/>
              </w:rPr>
            </w:pPr>
            <w:r>
              <w:rPr>
                <w:rFonts w:hint="eastAsia" w:ascii="仿宋" w:hAnsi="仿宋" w:eastAsia="仿宋" w:cs="仿宋"/>
                <w:color w:val="auto"/>
                <w:sz w:val="24"/>
                <w:highlight w:val="none"/>
              </w:rPr>
              <w:t>政府采购政策支持</w:t>
            </w:r>
          </w:p>
        </w:tc>
        <w:tc>
          <w:tcPr>
            <w:tcW w:w="7190" w:type="dxa"/>
            <w:gridSpan w:val="5"/>
            <w:tcBorders>
              <w:top w:val="single" w:color="auto" w:sz="4" w:space="0"/>
              <w:left w:val="single" w:color="auto" w:sz="4" w:space="0"/>
              <w:right w:val="single" w:color="auto" w:sz="4" w:space="0"/>
            </w:tcBorders>
            <w:vAlign w:val="top"/>
          </w:tcPr>
          <w:p>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color w:val="auto"/>
                <w:sz w:val="24"/>
                <w:highlight w:val="none"/>
                <w:lang w:eastAsia="zh-CN"/>
              </w:rPr>
              <w:t>无</w:t>
            </w:r>
          </w:p>
        </w:tc>
      </w:tr>
      <w:tr>
        <w:tblPrEx>
          <w:tblCellMar>
            <w:top w:w="0" w:type="dxa"/>
            <w:left w:w="108" w:type="dxa"/>
            <w:bottom w:w="0" w:type="dxa"/>
            <w:right w:w="108" w:type="dxa"/>
          </w:tblCellMar>
        </w:tblPrEx>
        <w:trPr>
          <w:trHeight w:val="48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w:t>
            </w:r>
          </w:p>
        </w:tc>
        <w:tc>
          <w:tcPr>
            <w:tcW w:w="22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olor w:val="auto"/>
              </w:rPr>
            </w:pPr>
            <w:r>
              <w:rPr>
                <w:rFonts w:hint="eastAsia" w:ascii="仿宋" w:hAnsi="仿宋" w:eastAsia="仿宋" w:cs="仿宋"/>
                <w:b/>
                <w:bCs/>
                <w:color w:val="auto"/>
                <w:sz w:val="24"/>
                <w:highlight w:val="none"/>
              </w:rPr>
              <w:t>注意事项</w:t>
            </w:r>
          </w:p>
        </w:tc>
        <w:tc>
          <w:tcPr>
            <w:tcW w:w="719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1、请务必确保</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制作客户端为最新版本，旧版本可能导致</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解密失败。</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2、请务必确保</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制作时所用的CA锁与</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解密时的CA锁为同一把，否则可能导致</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解密失败。</w:t>
            </w:r>
          </w:p>
        </w:tc>
      </w:tr>
    </w:tbl>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rPr>
          <w:rFonts w:hint="eastAsia"/>
          <w:color w:val="auto"/>
        </w:rPr>
      </w:pPr>
    </w:p>
    <w:p>
      <w:pPr>
        <w:pStyle w:val="25"/>
        <w:rPr>
          <w:rFonts w:hint="eastAsia"/>
          <w:color w:val="auto"/>
        </w:rPr>
      </w:pPr>
    </w:p>
    <w:p>
      <w:pPr>
        <w:pStyle w:val="26"/>
        <w:rPr>
          <w:rFonts w:hint="eastAsia"/>
          <w:color w:val="auto"/>
        </w:rPr>
      </w:pPr>
    </w:p>
    <w:p>
      <w:pPr>
        <w:pStyle w:val="25"/>
        <w:rPr>
          <w:rFonts w:hint="eastAsia"/>
          <w:color w:val="auto"/>
        </w:rPr>
      </w:pPr>
    </w:p>
    <w:p>
      <w:pPr>
        <w:pStyle w:val="26"/>
        <w:rPr>
          <w:rFonts w:hint="eastAsia"/>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bookmarkStart w:id="33" w:name="_Toc22492"/>
      <w:r>
        <w:rPr>
          <w:rFonts w:hint="eastAsia"/>
          <w:color w:val="auto"/>
        </w:rPr>
        <w:t>二、总  则</w:t>
      </w:r>
      <w:bookmarkEnd w:id="33"/>
      <w:bookmarkStart w:id="34" w:name="_Toc424211805"/>
      <w:bookmarkStart w:id="35" w:name="_Toc424059475"/>
      <w:bookmarkStart w:id="36" w:name="_Toc460703951"/>
    </w:p>
    <w:p>
      <w:pPr>
        <w:pStyle w:val="38"/>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（一）适用范围</w:t>
      </w:r>
      <w:bookmarkEnd w:id="34"/>
      <w:bookmarkEnd w:id="35"/>
      <w:bookmarkEnd w:id="36"/>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 本磋商文件仅适用于本次采购项目。</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 本磋商文件是根据《中华人民共和国政府采购法》、《政府采购竞争性磋商采购方式管理暂行办法》及其他相关法律、法规编制。</w:t>
      </w:r>
    </w:p>
    <w:p>
      <w:pPr>
        <w:pStyle w:val="38"/>
        <w:keepNext w:val="0"/>
        <w:spacing w:beforeLines="0" w:afterLines="0" w:line="360" w:lineRule="auto"/>
        <w:jc w:val="left"/>
        <w:rPr>
          <w:rFonts w:hint="eastAsia" w:ascii="仿宋" w:hAnsi="仿宋" w:eastAsia="仿宋" w:cs="仿宋"/>
          <w:b w:val="0"/>
          <w:color w:val="auto"/>
          <w:sz w:val="24"/>
          <w:szCs w:val="24"/>
          <w:highlight w:val="none"/>
        </w:rPr>
      </w:pPr>
      <w:bookmarkStart w:id="37" w:name="_Toc239822484"/>
      <w:bookmarkStart w:id="38" w:name="_Toc239822599"/>
      <w:bookmarkStart w:id="39" w:name="_Toc424059477"/>
      <w:bookmarkStart w:id="40" w:name="_Toc424211807"/>
      <w:bookmarkStart w:id="41" w:name="_Toc460703953"/>
      <w:r>
        <w:rPr>
          <w:rFonts w:hint="eastAsia" w:ascii="仿宋" w:hAnsi="仿宋" w:eastAsia="仿宋" w:cs="仿宋"/>
          <w:b w:val="0"/>
          <w:color w:val="auto"/>
          <w:sz w:val="24"/>
          <w:szCs w:val="24"/>
          <w:highlight w:val="none"/>
        </w:rPr>
        <w:t>（二）</w:t>
      </w:r>
      <w:bookmarkEnd w:id="37"/>
      <w:bookmarkEnd w:id="38"/>
      <w:r>
        <w:rPr>
          <w:rFonts w:hint="eastAsia" w:ascii="仿宋" w:hAnsi="仿宋" w:eastAsia="仿宋" w:cs="仿宋"/>
          <w:b w:val="0"/>
          <w:color w:val="auto"/>
          <w:sz w:val="24"/>
          <w:szCs w:val="24"/>
          <w:highlight w:val="none"/>
        </w:rPr>
        <w:t>合格的供应商应符合以下条件</w:t>
      </w:r>
      <w:bookmarkEnd w:id="39"/>
      <w:bookmarkEnd w:id="40"/>
      <w:bookmarkEnd w:id="41"/>
      <w:bookmarkStart w:id="42" w:name="_Toc239822600"/>
      <w:bookmarkStart w:id="43" w:name="_Toc239822485"/>
    </w:p>
    <w:p>
      <w:pPr>
        <w:pStyle w:val="33"/>
        <w:numPr>
          <w:ilvl w:val="0"/>
          <w:numId w:val="0"/>
        </w:numPr>
        <w:spacing w:line="360" w:lineRule="auto"/>
        <w:ind w:firstLine="480" w:firstLineChars="200"/>
        <w:rPr>
          <w:rFonts w:hint="eastAsia" w:ascii="仿宋" w:hAnsi="仿宋" w:eastAsia="仿宋" w:cs="Times New Roman"/>
          <w:color w:val="auto"/>
          <w:sz w:val="24"/>
          <w:szCs w:val="24"/>
          <w:lang w:val="en-US" w:eastAsia="zh-CN"/>
        </w:rPr>
      </w:pPr>
      <w:bookmarkStart w:id="44" w:name="_Toc424211808"/>
      <w:bookmarkStart w:id="45" w:name="_Toc424059478"/>
      <w:bookmarkStart w:id="46" w:name="_Toc460703954"/>
      <w:r>
        <w:rPr>
          <w:rFonts w:hint="eastAsia" w:ascii="仿宋" w:hAnsi="仿宋" w:eastAsia="仿宋" w:cs="Times New Roman"/>
          <w:color w:val="auto"/>
          <w:sz w:val="24"/>
          <w:szCs w:val="24"/>
          <w:lang w:val="en-US" w:eastAsia="zh-CN"/>
        </w:rPr>
        <w:t>（1）有效的营业执照或事业单位法人证书（如三证合一，只需提供营业执照即可）；</w:t>
      </w:r>
    </w:p>
    <w:p>
      <w:pPr>
        <w:pStyle w:val="33"/>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w:t>
      </w:r>
      <w:r>
        <w:rPr>
          <w:rFonts w:hint="eastAsia" w:ascii="仿宋" w:hAnsi="仿宋" w:eastAsia="仿宋" w:cs="仿宋"/>
          <w:color w:val="auto"/>
          <w:kern w:val="2"/>
          <w:sz w:val="24"/>
          <w:szCs w:val="24"/>
          <w:lang w:val="en-US" w:eastAsia="zh-CN" w:bidi="ar-SA"/>
        </w:rPr>
        <w:t>供应商</w:t>
      </w:r>
      <w:r>
        <w:rPr>
          <w:rFonts w:hint="eastAsia" w:ascii="仿宋" w:hAnsi="仿宋" w:eastAsia="仿宋" w:cs="仿宋"/>
          <w:color w:val="auto"/>
          <w:sz w:val="24"/>
          <w:highlight w:val="none"/>
        </w:rPr>
        <w:t>须</w:t>
      </w:r>
      <w:r>
        <w:rPr>
          <w:rFonts w:hint="eastAsia" w:ascii="仿宋" w:hAnsi="仿宋" w:eastAsia="仿宋" w:cs="仿宋"/>
          <w:color w:val="auto"/>
          <w:sz w:val="24"/>
          <w:highlight w:val="none"/>
          <w:lang w:val="en-US" w:eastAsia="zh-CN"/>
        </w:rPr>
        <w:t>具有测绘地理信息行政主管部门核发的有效期内的测绘资质（工程测量）乙级及以上资质</w:t>
      </w:r>
      <w:r>
        <w:rPr>
          <w:rFonts w:hint="eastAsia" w:ascii="仿宋" w:hAnsi="仿宋" w:eastAsia="仿宋" w:cs="仿宋"/>
          <w:color w:val="auto"/>
          <w:kern w:val="2"/>
          <w:sz w:val="24"/>
          <w:szCs w:val="24"/>
          <w:lang w:val="en-US" w:eastAsia="zh-CN" w:bidi="ar-SA"/>
        </w:rPr>
        <w:t>；拟投入的项目负责人须具有行政主管部门核发的测绘工程师中级及以上职称；外省投标企业须提供《新疆维吾尔自治区区外建设工程企业信息登记册》或新疆工程建设云下载审核通过的信息报送册；</w:t>
      </w:r>
    </w:p>
    <w:p>
      <w:pPr>
        <w:pStyle w:val="33"/>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（3）法人代表或其委托代理人应携带本人身份证原件及复印件，委托代理人还应携带《法人代表授权委托书》；</w:t>
      </w:r>
    </w:p>
    <w:p>
      <w:pPr>
        <w:pStyle w:val="33"/>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供应商须提供通过“信用中国”网站（www.creditchina.gov.cn）和中国政府采购网（www.ccgp.gov.cn）渠道查询的本单位信用记录的网页，并加盖供应商公章，被列入失信被执行人、重大税收违法案件当事人名单、政府采购严重违法失信行为记录名单的单位及其他不符合《中华人民共和国政府采购法》第二十二条规定条件的供应商，将被拒绝参与本次政府采购活动；</w:t>
      </w:r>
    </w:p>
    <w:p>
      <w:pPr>
        <w:pStyle w:val="33"/>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（5）单位负责人为同一人或者存在直接控股、管理关系的不同供应商，不得参加同一合同项下的政府采购活动；</w:t>
      </w:r>
    </w:p>
    <w:p>
      <w:pPr>
        <w:pStyle w:val="33"/>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（6）为采购项目提供整体设计、规范编制或者项目管理、监理、检测等服务的供应商，不得再参加该采购项目的其他采购活动；</w:t>
      </w:r>
    </w:p>
    <w:p>
      <w:pPr>
        <w:pStyle w:val="33"/>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（7）本项目接受联合体投标（如为联合体投标，须提供联合体协议书）；</w:t>
      </w:r>
    </w:p>
    <w:p>
      <w:pPr>
        <w:pStyle w:val="33"/>
        <w:numPr>
          <w:ilvl w:val="0"/>
          <w:numId w:val="0"/>
        </w:numPr>
        <w:spacing w:line="360" w:lineRule="auto"/>
        <w:ind w:firstLine="480" w:firstLineChars="20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（8）磋商保证金凭证；</w:t>
      </w:r>
    </w:p>
    <w:p>
      <w:pPr>
        <w:pStyle w:val="33"/>
        <w:numPr>
          <w:ilvl w:val="0"/>
          <w:numId w:val="0"/>
        </w:numPr>
        <w:spacing w:line="360" w:lineRule="auto"/>
        <w:ind w:firstLine="480" w:firstLineChars="200"/>
        <w:rPr>
          <w:rFonts w:hint="eastAsia" w:ascii="仿宋" w:hAnsi="仿宋" w:eastAsia="仿宋" w:cs="仿宋"/>
          <w:color w:val="auto"/>
          <w:highlight w:val="none"/>
        </w:rPr>
      </w:pPr>
      <w:r>
        <w:rPr>
          <w:rFonts w:hint="eastAsia" w:ascii="仿宋" w:hAnsi="仿宋" w:eastAsia="仿宋" w:cs="Times New Roman"/>
          <w:color w:val="auto"/>
          <w:sz w:val="24"/>
          <w:szCs w:val="24"/>
          <w:lang w:val="en-US" w:eastAsia="zh-CN"/>
        </w:rPr>
        <w:t xml:space="preserve">（9）法律、行政法规规定的其他条件。 </w:t>
      </w:r>
      <w:r>
        <w:rPr>
          <w:rFonts w:hint="eastAsia" w:ascii="仿宋" w:hAnsi="仿宋" w:eastAsia="仿宋" w:cs="仿宋"/>
          <w:b w:val="0"/>
          <w:bCs/>
          <w:color w:val="auto"/>
          <w:highlight w:val="none"/>
        </w:rPr>
        <w:t xml:space="preserve">   </w:t>
      </w:r>
      <w:r>
        <w:rPr>
          <w:rFonts w:hint="eastAsia" w:ascii="仿宋" w:hAnsi="仿宋" w:eastAsia="仿宋" w:cs="仿宋"/>
          <w:color w:val="auto"/>
          <w:highlight w:val="none"/>
        </w:rPr>
        <w:t xml:space="preserve"> </w:t>
      </w:r>
    </w:p>
    <w:p>
      <w:pPr>
        <w:pStyle w:val="38"/>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（三）竞争性磋商费用</w:t>
      </w:r>
      <w:bookmarkEnd w:id="42"/>
      <w:bookmarkEnd w:id="43"/>
      <w:bookmarkEnd w:id="44"/>
      <w:bookmarkEnd w:id="45"/>
      <w:bookmarkEnd w:id="46"/>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供应商应自行承担所有与准备和参加磋商有关的费用。</w:t>
      </w:r>
    </w:p>
    <w:p>
      <w:pPr>
        <w:pStyle w:val="38"/>
        <w:keepNext w:val="0"/>
        <w:spacing w:beforeLines="0" w:afterLines="0" w:line="360" w:lineRule="auto"/>
        <w:jc w:val="left"/>
        <w:rPr>
          <w:rFonts w:hint="eastAsia" w:ascii="仿宋" w:hAnsi="仿宋" w:eastAsia="仿宋" w:cs="仿宋"/>
          <w:b w:val="0"/>
          <w:color w:val="auto"/>
          <w:sz w:val="24"/>
          <w:szCs w:val="24"/>
          <w:highlight w:val="none"/>
        </w:rPr>
      </w:pPr>
      <w:bookmarkStart w:id="47" w:name="_Toc460703956"/>
      <w:bookmarkStart w:id="48" w:name="_Toc424211810"/>
      <w:bookmarkStart w:id="49" w:name="_Toc424059480"/>
      <w:r>
        <w:rPr>
          <w:rFonts w:hint="eastAsia" w:ascii="仿宋" w:hAnsi="仿宋" w:eastAsia="仿宋" w:cs="仿宋"/>
          <w:b w:val="0"/>
          <w:color w:val="auto"/>
          <w:sz w:val="24"/>
          <w:szCs w:val="24"/>
          <w:highlight w:val="none"/>
        </w:rPr>
        <w:t>（四）竞争性磋商</w:t>
      </w:r>
      <w:bookmarkEnd w:id="47"/>
      <w:bookmarkEnd w:id="48"/>
      <w:bookmarkEnd w:id="49"/>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竞争性磋商是指采购人、政府采购代理机构通过组建竞争性磋商小组与符合条件的供应商就采购服务事宜进行磋商，供应商按照磋商文件的要求提交响应文件和报价，采购人从磋商小组评审后提出的候选供应商名单中确定成交供应商的采购方式。</w:t>
      </w:r>
    </w:p>
    <w:p>
      <w:pPr>
        <w:pStyle w:val="38"/>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（五）保密</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参与招标投标活动的各方应对</w:t>
      </w:r>
      <w:r>
        <w:rPr>
          <w:rFonts w:hint="eastAsia" w:ascii="仿宋" w:hAnsi="仿宋" w:eastAsia="仿宋" w:cs="仿宋"/>
          <w:b w:val="0"/>
          <w:color w:val="auto"/>
          <w:sz w:val="24"/>
          <w:szCs w:val="24"/>
          <w:highlight w:val="none"/>
          <w:lang w:eastAsia="zh-CN"/>
        </w:rPr>
        <w:t>磋商文件</w:t>
      </w:r>
      <w:r>
        <w:rPr>
          <w:rFonts w:hint="eastAsia" w:ascii="仿宋" w:hAnsi="仿宋" w:eastAsia="仿宋" w:cs="仿宋"/>
          <w:b w:val="0"/>
          <w:color w:val="auto"/>
          <w:sz w:val="24"/>
          <w:szCs w:val="24"/>
          <w:highlight w:val="none"/>
        </w:rPr>
        <w:t>和</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中的商业和技术等秘密保密，违者应对由此造成的后果承担法律责任。</w:t>
      </w:r>
    </w:p>
    <w:p>
      <w:pPr>
        <w:pStyle w:val="38"/>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（六）语言文字</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除专用术语外，与采购有关的语言均使用中文。必要时专用术语应附有中文注释。</w:t>
      </w:r>
    </w:p>
    <w:p>
      <w:pPr>
        <w:pStyle w:val="38"/>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（七）计量单位</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所有计量均采用中华人民共和国法定计量单位。</w:t>
      </w:r>
    </w:p>
    <w:p>
      <w:pPr>
        <w:pStyle w:val="38"/>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（八）踏勘现场</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1.磋商须知 规定组织踏勘现场的，采购人按磋商须知规定的时间、地点组织</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 xml:space="preserve">踏勘项目现场。 </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踏勘现场发生的费用自理。</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 除采购人的原因外，</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自行负责在踏勘现场中所发生的人员伤亡和财产损失。</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 采购人在踏勘现场中介绍的工程场地和相关的周边环境情况，供</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在编制</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时参考，采购人不对</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据此作出的判断和决策负责。</w:t>
      </w:r>
    </w:p>
    <w:p>
      <w:pPr>
        <w:pStyle w:val="38"/>
        <w:keepNext w:val="0"/>
        <w:spacing w:beforeLines="0" w:afterLines="0" w:line="360" w:lineRule="auto"/>
        <w:jc w:val="left"/>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rPr>
        <w:t>（九）</w:t>
      </w:r>
      <w:r>
        <w:rPr>
          <w:rFonts w:hint="eastAsia" w:ascii="仿宋" w:hAnsi="仿宋" w:eastAsia="仿宋" w:cs="仿宋"/>
          <w:b w:val="0"/>
          <w:color w:val="auto"/>
          <w:sz w:val="24"/>
          <w:szCs w:val="24"/>
          <w:highlight w:val="none"/>
          <w:lang w:eastAsia="zh-CN"/>
        </w:rPr>
        <w:t>磋商报价</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1. </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应按第五章“响应文件格式附件”的要求填写相应表格。</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2. </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磋商报价</w:t>
      </w:r>
      <w:r>
        <w:rPr>
          <w:rFonts w:hint="eastAsia" w:ascii="仿宋" w:hAnsi="仿宋" w:eastAsia="仿宋" w:cs="仿宋"/>
          <w:b w:val="0"/>
          <w:color w:val="auto"/>
          <w:sz w:val="24"/>
          <w:szCs w:val="24"/>
          <w:highlight w:val="none"/>
        </w:rPr>
        <w:t>，应是完成本磋商须知所列服务内容、质量要求的全部内容。</w:t>
      </w:r>
    </w:p>
    <w:p>
      <w:pPr>
        <w:pStyle w:val="38"/>
        <w:keepNext w:val="0"/>
        <w:spacing w:beforeLines="0" w:afterLines="0" w:line="360" w:lineRule="auto"/>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（十） 纪律和监督</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1.对采购人的纪律要求</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采购人不得泄漏采购活动中应当保密的情况和资料，不得与</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串通损害国家利益、社会公共利益或者他人合法权益。</w:t>
      </w:r>
    </w:p>
    <w:p>
      <w:pPr>
        <w:pStyle w:val="38"/>
        <w:keepNext w:val="0"/>
        <w:spacing w:beforeLines="0" w:afterLines="0"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2.对</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的纪律要求</w:t>
      </w:r>
    </w:p>
    <w:p>
      <w:pPr>
        <w:pStyle w:val="38"/>
        <w:keepNext w:val="0"/>
        <w:spacing w:beforeLines="0" w:afterLines="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t>不得相互串通投标或者与采购人串通投标，不得向采购扔或者评标委员会成员行贿谋取中标，不得以他人名义投标或者以其他方式弄虚作假骗取中标；</w:t>
      </w:r>
      <w:r>
        <w:rPr>
          <w:rFonts w:hint="eastAsia" w:ascii="仿宋" w:hAnsi="仿宋" w:eastAsia="仿宋" w:cs="仿宋"/>
          <w:b w:val="0"/>
          <w:color w:val="auto"/>
          <w:sz w:val="24"/>
          <w:szCs w:val="24"/>
          <w:highlight w:val="none"/>
          <w:lang w:eastAsia="zh-CN"/>
        </w:rPr>
        <w:t>供应商</w:t>
      </w:r>
      <w:r>
        <w:rPr>
          <w:rFonts w:hint="eastAsia" w:ascii="仿宋" w:hAnsi="仿宋" w:eastAsia="仿宋" w:cs="仿宋"/>
          <w:b w:val="0"/>
          <w:color w:val="auto"/>
          <w:sz w:val="24"/>
          <w:szCs w:val="24"/>
          <w:highlight w:val="none"/>
        </w:rPr>
        <w:t>不得以任何方式干扰、影响评标工作。</w:t>
      </w:r>
    </w:p>
    <w:p>
      <w:pPr>
        <w:spacing w:line="360" w:lineRule="auto"/>
        <w:rPr>
          <w:rFonts w:hint="eastAsia" w:ascii="仿宋" w:hAnsi="仿宋" w:eastAsia="仿宋" w:cs="仿宋"/>
          <w:color w:val="auto"/>
          <w:highlight w:val="none"/>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pStyle w:val="4"/>
        <w:bidi w:val="0"/>
        <w:spacing w:line="360" w:lineRule="auto"/>
        <w:rPr>
          <w:rFonts w:hint="eastAsia"/>
          <w:color w:val="auto"/>
          <w:lang w:eastAsia="zh-CN"/>
        </w:rPr>
      </w:pPr>
    </w:p>
    <w:p>
      <w:pPr>
        <w:rPr>
          <w:rFonts w:hint="eastAsia"/>
          <w:color w:val="auto"/>
          <w:lang w:eastAsia="zh-CN"/>
        </w:rPr>
      </w:pPr>
    </w:p>
    <w:p>
      <w:pPr>
        <w:pStyle w:val="2"/>
        <w:numPr>
          <w:ilvl w:val="2"/>
          <w:numId w:val="0"/>
        </w:numPr>
        <w:ind w:leftChars="0"/>
        <w:rPr>
          <w:rFonts w:hint="eastAsia"/>
          <w:lang w:eastAsia="zh-CN"/>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eastAsia="zh-CN"/>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bookmarkStart w:id="50" w:name="_Toc24247"/>
      <w:r>
        <w:rPr>
          <w:rFonts w:hint="eastAsia"/>
          <w:color w:val="auto"/>
          <w:lang w:eastAsia="zh-CN"/>
        </w:rPr>
        <w:t>三</w:t>
      </w:r>
      <w:r>
        <w:rPr>
          <w:rFonts w:hint="eastAsia"/>
          <w:color w:val="auto"/>
        </w:rPr>
        <w:t>、磋商文件的说明</w:t>
      </w:r>
      <w:bookmarkEnd w:id="50"/>
    </w:p>
    <w:p>
      <w:pPr>
        <w:pStyle w:val="38"/>
        <w:keepNext w:val="0"/>
        <w:spacing w:beforeLines="0" w:afterLines="0" w:line="360" w:lineRule="auto"/>
        <w:jc w:val="left"/>
        <w:rPr>
          <w:rFonts w:hint="eastAsia" w:ascii="仿宋" w:hAnsi="仿宋" w:eastAsia="仿宋" w:cs="仿宋"/>
          <w:b w:val="0"/>
          <w:color w:val="auto"/>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 w:val="24"/>
          <w:highlight w:val="none"/>
        </w:rPr>
        <w:t>（一）磋商文件的组成</w:t>
      </w:r>
    </w:p>
    <w:p>
      <w:pPr>
        <w:pStyle w:val="38"/>
        <w:keepNext w:val="0"/>
        <w:spacing w:beforeLines="0" w:afterLines="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本磋商文件包括下列文件及所有按本磋商文件有关规定发出的补充资料。</w:t>
      </w:r>
      <w:r>
        <w:rPr>
          <w:rFonts w:hint="eastAsia" w:ascii="仿宋" w:hAnsi="仿宋" w:eastAsia="仿宋" w:cs="仿宋"/>
          <w:b w:val="0"/>
          <w:color w:val="auto"/>
          <w:sz w:val="24"/>
          <w:highlight w:val="none"/>
          <w:lang w:eastAsia="zh-CN"/>
        </w:rPr>
        <w:t>供应商</w:t>
      </w:r>
      <w:r>
        <w:rPr>
          <w:rFonts w:hint="eastAsia" w:ascii="仿宋" w:hAnsi="仿宋" w:eastAsia="仿宋" w:cs="仿宋"/>
          <w:b w:val="0"/>
          <w:color w:val="auto"/>
          <w:sz w:val="24"/>
          <w:highlight w:val="none"/>
        </w:rPr>
        <w:t>获取磋商文件后，应认真阅读磋商文件中的所有说明及条款，若</w:t>
      </w:r>
      <w:r>
        <w:rPr>
          <w:rFonts w:hint="eastAsia" w:ascii="仿宋" w:hAnsi="仿宋" w:eastAsia="仿宋" w:cs="仿宋"/>
          <w:b w:val="0"/>
          <w:color w:val="auto"/>
          <w:sz w:val="24"/>
          <w:highlight w:val="none"/>
          <w:lang w:eastAsia="zh-CN"/>
        </w:rPr>
        <w:t>供应商</w:t>
      </w:r>
      <w:r>
        <w:rPr>
          <w:rFonts w:hint="eastAsia" w:ascii="仿宋" w:hAnsi="仿宋" w:eastAsia="仿宋" w:cs="仿宋"/>
          <w:b w:val="0"/>
          <w:color w:val="auto"/>
          <w:sz w:val="24"/>
          <w:highlight w:val="none"/>
        </w:rPr>
        <w:t>的响应文件没有按照磋商文件的要求提交资料，或响应文件没有对磋商文件作出实质性响应，其风险由</w:t>
      </w:r>
      <w:r>
        <w:rPr>
          <w:rFonts w:hint="eastAsia" w:ascii="仿宋" w:hAnsi="仿宋" w:eastAsia="仿宋" w:cs="仿宋"/>
          <w:b w:val="0"/>
          <w:color w:val="auto"/>
          <w:sz w:val="24"/>
          <w:highlight w:val="none"/>
          <w:lang w:eastAsia="zh-CN"/>
        </w:rPr>
        <w:t>供应商</w:t>
      </w:r>
      <w:r>
        <w:rPr>
          <w:rFonts w:hint="eastAsia" w:ascii="仿宋" w:hAnsi="仿宋" w:eastAsia="仿宋" w:cs="仿宋"/>
          <w:b w:val="0"/>
          <w:color w:val="auto"/>
          <w:sz w:val="24"/>
          <w:highlight w:val="none"/>
        </w:rPr>
        <w:t>自行承担。</w:t>
      </w:r>
    </w:p>
    <w:p>
      <w:pPr>
        <w:pStyle w:val="38"/>
        <w:keepNext w:val="0"/>
        <w:spacing w:beforeLines="0" w:afterLines="0"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（二）磋商文件的修改和澄清</w:t>
      </w:r>
    </w:p>
    <w:p>
      <w:pPr>
        <w:pStyle w:val="38"/>
        <w:keepNext w:val="0"/>
        <w:spacing w:beforeLines="0" w:afterLines="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磋商文件发出后，在提交响应文件前3日，</w:t>
      </w:r>
      <w:r>
        <w:rPr>
          <w:rFonts w:hint="eastAsia" w:ascii="仿宋" w:hAnsi="仿宋" w:eastAsia="仿宋" w:cs="仿宋"/>
          <w:b w:val="0"/>
          <w:color w:val="auto"/>
          <w:sz w:val="24"/>
          <w:highlight w:val="none"/>
          <w:lang w:eastAsia="zh-CN"/>
        </w:rPr>
        <w:t>采购人</w:t>
      </w:r>
      <w:r>
        <w:rPr>
          <w:rFonts w:hint="eastAsia" w:ascii="仿宋" w:hAnsi="仿宋" w:eastAsia="仿宋" w:cs="仿宋"/>
          <w:b w:val="0"/>
          <w:color w:val="auto"/>
          <w:sz w:val="24"/>
          <w:highlight w:val="none"/>
        </w:rPr>
        <w:t>可以对磋商文件进行必要的澄清和修改。</w:t>
      </w:r>
    </w:p>
    <w:p>
      <w:pPr>
        <w:spacing w:line="360" w:lineRule="auto"/>
        <w:ind w:firstLine="480"/>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10"/>
        <w:spacing w:line="360" w:lineRule="auto"/>
        <w:rPr>
          <w:rFonts w:hint="eastAsia" w:ascii="仿宋" w:hAnsi="仿宋" w:eastAsia="仿宋" w:cs="仿宋"/>
          <w:color w:val="auto"/>
          <w:sz w:val="24"/>
          <w:highlight w:val="none"/>
        </w:rPr>
      </w:pPr>
    </w:p>
    <w:p>
      <w:pPr>
        <w:pStyle w:val="4"/>
        <w:numPr>
          <w:ilvl w:val="0"/>
          <w:numId w:val="4"/>
        </w:numPr>
        <w:bidi w:val="0"/>
        <w:spacing w:line="360" w:lineRule="auto"/>
        <w:rPr>
          <w:rFonts w:hint="eastAsia"/>
          <w:color w:val="auto"/>
        </w:rPr>
      </w:pPr>
      <w:bookmarkStart w:id="51" w:name="_Toc17925"/>
      <w:r>
        <w:rPr>
          <w:rFonts w:hint="eastAsia"/>
          <w:color w:val="auto"/>
        </w:rPr>
        <w:t>响应文件的编制</w:t>
      </w:r>
      <w:r>
        <w:rPr>
          <w:rFonts w:hint="eastAsia"/>
          <w:color w:val="auto"/>
          <w:lang w:eastAsia="zh-CN"/>
        </w:rPr>
        <w:t>、上传及递交要求</w:t>
      </w:r>
      <w:bookmarkEnd w:id="51"/>
      <w:r>
        <w:rPr>
          <w:rFonts w:hint="eastAsia"/>
          <w:color w:val="auto"/>
        </w:rPr>
        <w:t xml:space="preserve"> </w:t>
      </w:r>
    </w:p>
    <w:p>
      <w:pPr>
        <w:pStyle w:val="43"/>
        <w:numPr>
          <w:ilvl w:val="2"/>
          <w:numId w:val="0"/>
        </w:numPr>
        <w:spacing w:line="360" w:lineRule="auto"/>
        <w:ind w:leftChars="900"/>
        <w:outlineLvl w:val="9"/>
        <w:rPr>
          <w:rFonts w:hint="eastAsia" w:ascii="仿宋" w:hAnsi="仿宋" w:eastAsia="仿宋" w:cs="仿宋"/>
          <w:b/>
          <w:bCs w:val="0"/>
          <w:color w:val="auto"/>
          <w:sz w:val="30"/>
          <w:szCs w:val="30"/>
          <w:highlight w:val="none"/>
        </w:rPr>
      </w:pPr>
    </w:p>
    <w:p>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w:t>
      </w:r>
      <w:r>
        <w:rPr>
          <w:rFonts w:hint="eastAsia" w:ascii="仿宋" w:hAnsi="仿宋" w:eastAsia="仿宋" w:cs="仿宋"/>
          <w:b/>
          <w:color w:val="auto"/>
          <w:sz w:val="24"/>
          <w:highlight w:val="none"/>
          <w:lang w:eastAsia="zh-CN"/>
        </w:rPr>
        <w:t>磋商</w:t>
      </w:r>
      <w:r>
        <w:rPr>
          <w:rFonts w:hint="eastAsia" w:ascii="仿宋" w:hAnsi="仿宋" w:eastAsia="仿宋" w:cs="仿宋"/>
          <w:b/>
          <w:color w:val="auto"/>
          <w:sz w:val="24"/>
          <w:highlight w:val="none"/>
        </w:rPr>
        <w:t>有效期</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从提交响应文件截止之日起</w:t>
      </w:r>
      <w:r>
        <w:rPr>
          <w:rFonts w:hint="eastAsia" w:ascii="仿宋" w:hAnsi="仿宋" w:eastAsia="仿宋" w:cs="仿宋"/>
          <w:color w:val="auto"/>
          <w:sz w:val="24"/>
          <w:highlight w:val="none"/>
          <w:u w:val="single"/>
        </w:rPr>
        <w:t xml:space="preserve"> 60 </w:t>
      </w:r>
      <w:r>
        <w:rPr>
          <w:rFonts w:hint="eastAsia" w:ascii="仿宋" w:hAnsi="仿宋" w:eastAsia="仿宋" w:cs="仿宋"/>
          <w:color w:val="auto"/>
          <w:sz w:val="24"/>
          <w:highlight w:val="none"/>
        </w:rPr>
        <w:t>（日历日）天内，响应文件保持有效。</w:t>
      </w:r>
    </w:p>
    <w:p>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（二）、响应文件编制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1.响应文件的语言：汉语</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中所提供的格式填写齐全，其综合说明部分应根据要求对应阐述（表格可以按同样格式扩展）。</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3.响应文件一般应无涂改和行间插字现象。表面整洁，如确需涂改或插字，应在修改处加盖法定代表人或者法定代表人委托印章。</w:t>
      </w:r>
    </w:p>
    <w:p>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（三）、响应文件由以下内容组成</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1、响应函</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报价单</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3、报价明细表</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4、法定代表人身份证明</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5、授权委托书</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基本情况表</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资格声明及相关证明文件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8、联合体协议书(</w:t>
      </w:r>
      <w:r>
        <w:rPr>
          <w:rFonts w:hint="eastAsia" w:ascii="仿宋" w:hAnsi="仿宋" w:eastAsia="仿宋" w:cs="仿宋"/>
          <w:color w:val="auto"/>
          <w:sz w:val="24"/>
          <w:highlight w:val="none"/>
          <w:lang w:eastAsia="zh-CN"/>
        </w:rPr>
        <w:t>无</w:t>
      </w:r>
      <w:r>
        <w:rPr>
          <w:rFonts w:hint="eastAsia" w:ascii="仿宋" w:hAnsi="仿宋" w:eastAsia="仿宋" w:cs="仿宋"/>
          <w:color w:val="auto"/>
          <w:sz w:val="24"/>
          <w:highlight w:val="none"/>
        </w:rPr>
        <w:t>)</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交纳凭证</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10.中小企业声明函（如有时提供）</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11.监狱企业声明函（如有时提供）</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12.残疾人福利性单位声明函（如有时提供）</w:t>
      </w:r>
    </w:p>
    <w:p>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13、商务</w:t>
      </w:r>
      <w:r>
        <w:rPr>
          <w:rFonts w:hint="eastAsia" w:ascii="仿宋" w:hAnsi="仿宋" w:eastAsia="仿宋" w:cs="仿宋"/>
          <w:color w:val="auto"/>
          <w:sz w:val="24"/>
          <w:highlight w:val="none"/>
          <w:lang w:eastAsia="zh-CN"/>
        </w:rPr>
        <w:t>偏离表</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14、技术偏离表</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15、类似项目业绩</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自行编写的技术文件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自行编写的服务文件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认为需要提供的其他文件和资料</w:t>
      </w:r>
    </w:p>
    <w:p>
      <w:pPr>
        <w:pStyle w:val="25"/>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rPr>
        <w:t>的内容包括但不仅限于上述内容，如有不足请自行补充。</w:t>
      </w:r>
    </w:p>
    <w:p>
      <w:pPr>
        <w:pStyle w:val="25"/>
        <w:spacing w:line="360" w:lineRule="auto"/>
        <w:rPr>
          <w:rFonts w:hint="eastAsia" w:ascii="仿宋" w:hAnsi="仿宋" w:eastAsia="仿宋" w:cs="仿宋"/>
          <w:color w:val="auto"/>
          <w:highlight w:val="none"/>
        </w:rPr>
      </w:pPr>
    </w:p>
    <w:p>
      <w:pPr>
        <w:pStyle w:val="45"/>
        <w:keepNext w:val="0"/>
        <w:spacing w:beforeLines="0" w:afterLines="0" w:line="360" w:lineRule="auto"/>
        <w:ind w:firstLine="482"/>
        <w:rPr>
          <w:rFonts w:hint="eastAsia" w:ascii="仿宋" w:hAnsi="仿宋" w:eastAsia="仿宋" w:cs="仿宋"/>
          <w:color w:val="auto"/>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的签署</w:t>
      </w:r>
    </w:p>
    <w:p>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的正本和副本均需打印或使用不褪色的墨水笔书写，字迹应清晰易于辨认。并应清楚地注</w:t>
      </w:r>
      <w:r>
        <w:rPr>
          <w:rFonts w:hint="eastAsia" w:ascii="仿宋" w:hAnsi="仿宋" w:eastAsia="仿宋" w:cs="仿宋"/>
          <w:color w:val="auto"/>
          <w:sz w:val="24"/>
          <w:highlight w:val="none"/>
          <w:lang w:eastAsia="zh-CN"/>
        </w:rPr>
        <w:t>明“正本”或“副本”。正本和副本如有不一致之处，以正本为准。</w:t>
      </w:r>
    </w:p>
    <w:p>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全套响应文件应无涂改或行间插字和增删，如有修改，修改处应由供应商加盖公章或由法定代表人授权代表签字。修改处应按要求签字或盖章。响应文件封面均应加盖供应商印章并经法定代表人或其委托代理人签字或盖章。</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的制作要求</w:t>
      </w:r>
    </w:p>
    <w:p>
      <w:pPr>
        <w:pStyle w:val="7"/>
        <w:shd w:val="clear" w:color="auto" w:fill="auto"/>
        <w:snapToGrid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应按照</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，不按</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的将视情况处理（拒收等），由此产生的责任由</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自行承担。</w:t>
      </w:r>
    </w:p>
    <w:p>
      <w:pPr>
        <w:pStyle w:val="7"/>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部分：</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应根据“政采云</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项目采购-电子招投标操作指南”及本</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规定的格式和顺序编制电子</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 xml:space="preserve">并进行关联定位。本文件《第六章 </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格式》中有提供格式的，</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应按照格式进行编制（格式中要求提供相关证明材料的还需后附相关证明材料），并按格式要求在指定位置根据要求进行签章，否则视为未提供；本文件《第六章</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格式》未提供格式的，请</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自行拟定格式，并加盖单位公章，否则视为未提供。</w:t>
      </w:r>
    </w:p>
    <w:p>
      <w:pPr>
        <w:pStyle w:val="7"/>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：通过“政采云”平台电子投标工具制作</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所产生的备份文件。</w:t>
      </w:r>
    </w:p>
    <w:p>
      <w:pPr>
        <w:pStyle w:val="7"/>
        <w:shd w:val="clear" w:color="auto" w:fill="auto"/>
        <w:snapToGrid w:val="0"/>
        <w:spacing w:line="360" w:lineRule="auto"/>
        <w:ind w:left="0" w:leftChars="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应对所提供的全部资料的真实性、有效性承担法律责任，电子</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中所须加盖公章部分均采用CA签章。</w:t>
      </w:r>
    </w:p>
    <w:p>
      <w:pPr>
        <w:pStyle w:val="7"/>
        <w:shd w:val="clear" w:color="auto" w:fill="auto"/>
        <w:snapToGrid w:val="0"/>
        <w:spacing w:line="360" w:lineRule="auto"/>
        <w:ind w:left="0" w:leftChars="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以及</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与</w:t>
      </w:r>
      <w:r>
        <w:rPr>
          <w:rFonts w:hint="eastAsia" w:ascii="仿宋" w:hAnsi="仿宋" w:eastAsia="仿宋" w:cs="仿宋"/>
          <w:b w:val="0"/>
          <w:bCs/>
          <w:color w:val="auto"/>
          <w:sz w:val="24"/>
          <w:szCs w:val="24"/>
          <w:highlight w:val="none"/>
          <w:lang w:eastAsia="zh-CN"/>
        </w:rPr>
        <w:t>采购代理机构</w:t>
      </w:r>
      <w:r>
        <w:rPr>
          <w:rFonts w:hint="eastAsia" w:ascii="仿宋" w:hAnsi="仿宋" w:eastAsia="仿宋" w:cs="仿宋"/>
          <w:b w:val="0"/>
          <w:bCs/>
          <w:color w:val="auto"/>
          <w:sz w:val="24"/>
          <w:szCs w:val="24"/>
          <w:highlight w:val="none"/>
        </w:rPr>
        <w:t>就有关投标事宜的所有来往函电，均应以中文汉语书写。除签字、盖章、专用名称等特殊情形外，以中文汉语以外的文字表述的</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视同未提供。</w:t>
      </w:r>
    </w:p>
    <w:p>
      <w:pPr>
        <w:pStyle w:val="7"/>
        <w:shd w:val="clear" w:color="auto" w:fill="auto"/>
        <w:snapToGrid w:val="0"/>
        <w:spacing w:line="360" w:lineRule="auto"/>
        <w:ind w:left="0" w:leftChars="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投标计量单位，</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已有明确规定的，使用</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规定的计量单位；</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没有规定的，应采用中华人民共和国法定计量单位（货币单位：人民币元）。</w:t>
      </w:r>
    </w:p>
    <w:p>
      <w:pPr>
        <w:pStyle w:val="7"/>
        <w:shd w:val="clear" w:color="auto" w:fill="auto"/>
        <w:snapToGrid w:val="0"/>
        <w:spacing w:line="360" w:lineRule="auto"/>
        <w:ind w:left="0" w:leftChars="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若</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不按</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的要求提供资格审查材料，其风险由</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自行承担。</w:t>
      </w:r>
    </w:p>
    <w:p>
      <w:pPr>
        <w:pStyle w:val="7"/>
        <w:shd w:val="clear" w:color="auto" w:fill="auto"/>
        <w:snapToGrid w:val="0"/>
        <w:spacing w:line="360" w:lineRule="auto"/>
        <w:ind w:left="0" w:leftChars="0"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与本次投标无关的内容请不要制作在内，确保</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有针对性、简洁明了。</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的上传</w:t>
      </w:r>
    </w:p>
    <w:p>
      <w:pPr>
        <w:pStyle w:val="7"/>
        <w:shd w:val="clear" w:color="auto" w:fill="auto"/>
        <w:snapToGrid w:val="0"/>
        <w:spacing w:line="360" w:lineRule="auto"/>
        <w:ind w:left="0" w:leftChars="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bidi="zh-CN"/>
        </w:rPr>
        <w:t>电子加密响应文件（“.jmbs”格式）</w:t>
      </w:r>
      <w:r>
        <w:rPr>
          <w:rFonts w:hint="eastAsia" w:ascii="仿宋" w:hAnsi="仿宋" w:eastAsia="仿宋" w:cs="仿宋"/>
          <w:b/>
          <w:bCs/>
          <w:color w:val="auto"/>
          <w:sz w:val="24"/>
          <w:szCs w:val="24"/>
          <w:highlight w:val="none"/>
        </w:rPr>
        <w:t>：</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供应商应在投标截止时间前将电子加密响应文件成功上传递交至新疆政府采购云平台，否则投标无效；</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b.供应商成功上传电子加密响应文件后，可自行打印响应文件接收回执。</w:t>
      </w:r>
    </w:p>
    <w:p>
      <w:pPr>
        <w:pStyle w:val="7"/>
        <w:shd w:val="clear" w:color="auto" w:fill="auto"/>
        <w:snapToGrid w:val="0"/>
        <w:spacing w:line="360" w:lineRule="auto"/>
        <w:ind w:left="0" w:leftChars="0" w:firstLine="482" w:firstLineChars="200"/>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bidi="zh-CN"/>
        </w:rPr>
        <w:t>备份响应文件（“.bfbs”格式）：</w:t>
      </w:r>
    </w:p>
    <w:p>
      <w:pPr>
        <w:pStyle w:val="7"/>
        <w:shd w:val="clear" w:color="auto" w:fill="auto"/>
        <w:snapToGrid w:val="0"/>
        <w:spacing w:line="360" w:lineRule="auto"/>
        <w:ind w:firstLine="600" w:firstLineChars="250"/>
        <w:rPr>
          <w:rFonts w:hint="eastAsia" w:ascii="仿宋" w:hAnsi="仿宋" w:eastAsia="仿宋" w:cs="仿宋"/>
          <w:color w:val="auto"/>
          <w:sz w:val="24"/>
          <w:szCs w:val="24"/>
          <w:highlight w:val="none"/>
          <w:u w:val="none"/>
          <w:lang w:bidi="zh-CN"/>
        </w:rPr>
      </w:pPr>
      <w:r>
        <w:rPr>
          <w:rFonts w:hint="eastAsia" w:ascii="仿宋" w:hAnsi="仿宋" w:eastAsia="仿宋" w:cs="仿宋"/>
          <w:b w:val="0"/>
          <w:bCs/>
          <w:color w:val="auto"/>
          <w:sz w:val="24"/>
          <w:szCs w:val="24"/>
          <w:highlight w:val="none"/>
          <w:lang w:bidi="zh-CN"/>
        </w:rPr>
        <w:t>a.供应商可以将备份响应文件打包压缩并加密，压缩包命名为“XX公司备份响应文件”，加密密码由供应商自行保管；送达时间以采购代理机构实际接收时间为准。</w:t>
      </w:r>
      <w:r>
        <w:rPr>
          <w:rFonts w:hint="eastAsia" w:ascii="仿宋" w:hAnsi="仿宋" w:eastAsia="仿宋" w:cs="仿宋"/>
          <w:color w:val="auto"/>
          <w:sz w:val="24"/>
          <w:szCs w:val="24"/>
          <w:highlight w:val="none"/>
          <w:lang w:bidi="zh-CN"/>
        </w:rPr>
        <w:t>“备份响应文件”以投标截止时间前指定接收邮箱最终收到的文件为准，逾期或未按要求提供的视为未提供，建议供应商提前1日办理邮件提供事宜（接收人邮箱：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none"/>
          <w:lang w:bidi="zh-CN"/>
        </w:rPr>
        <w:fldChar w:fldCharType="begin"/>
      </w:r>
      <w:r>
        <w:rPr>
          <w:rFonts w:hint="eastAsia" w:ascii="仿宋" w:hAnsi="仿宋" w:eastAsia="仿宋" w:cs="仿宋"/>
          <w:color w:val="auto"/>
          <w:sz w:val="24"/>
          <w:szCs w:val="24"/>
          <w:highlight w:val="none"/>
          <w:u w:val="non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none"/>
          <w:lang w:bidi="zh-CN"/>
        </w:rPr>
        <w:fldChar w:fldCharType="separate"/>
      </w:r>
      <w:r>
        <w:rPr>
          <w:rFonts w:hint="eastAsia" w:ascii="仿宋" w:hAnsi="仿宋" w:eastAsia="仿宋" w:cs="仿宋"/>
          <w:color w:val="auto"/>
          <w:sz w:val="24"/>
          <w:szCs w:val="24"/>
          <w:highlight w:val="none"/>
          <w:u w:val="none"/>
          <w:lang w:val="en-US" w:bidi="zh-CN"/>
        </w:rPr>
        <w:t>942281669@qq.com</w:t>
      </w:r>
      <w:r>
        <w:rPr>
          <w:rStyle w:val="32"/>
          <w:rFonts w:hint="eastAsia" w:ascii="仿宋" w:hAnsi="仿宋" w:eastAsia="仿宋" w:cs="仿宋"/>
          <w:color w:val="auto"/>
          <w:sz w:val="24"/>
          <w:szCs w:val="24"/>
          <w:highlight w:val="none"/>
          <w:u w:val="none"/>
          <w:lang w:bidi="zh-CN"/>
        </w:rPr>
        <w:t>，接收人：</w:t>
      </w:r>
      <w:r>
        <w:rPr>
          <w:rFonts w:hint="eastAsia" w:ascii="仿宋" w:hAnsi="仿宋" w:eastAsia="仿宋" w:cs="仿宋"/>
          <w:color w:val="auto"/>
          <w:sz w:val="24"/>
          <w:szCs w:val="24"/>
          <w:highlight w:val="none"/>
          <w:u w:val="none"/>
          <w:lang w:bidi="zh-CN"/>
        </w:rPr>
        <w:t>杨培文</w:t>
      </w:r>
      <w:r>
        <w:rPr>
          <w:rStyle w:val="32"/>
          <w:rFonts w:hint="eastAsia" w:ascii="仿宋" w:hAnsi="仿宋" w:eastAsia="仿宋" w:cs="仿宋"/>
          <w:color w:val="auto"/>
          <w:sz w:val="24"/>
          <w:szCs w:val="24"/>
          <w:highlight w:val="none"/>
          <w:u w:val="none"/>
          <w:lang w:bidi="zh-CN"/>
        </w:rPr>
        <w:t>，电话：</w:t>
      </w:r>
      <w:r>
        <w:rPr>
          <w:rFonts w:hint="eastAsia" w:ascii="仿宋" w:hAnsi="仿宋" w:eastAsia="仿宋" w:cs="仿宋"/>
          <w:color w:val="auto"/>
          <w:sz w:val="24"/>
          <w:szCs w:val="24"/>
          <w:highlight w:val="none"/>
          <w:u w:val="none"/>
          <w:lang w:val="en-US" w:bidi="zh-CN"/>
        </w:rPr>
        <w:t>1</w:t>
      </w:r>
      <w:r>
        <w:rPr>
          <w:rFonts w:hint="eastAsia" w:ascii="仿宋" w:hAnsi="仿宋" w:eastAsia="仿宋" w:cs="仿宋"/>
          <w:color w:val="auto"/>
          <w:sz w:val="24"/>
          <w:szCs w:val="24"/>
          <w:highlight w:val="none"/>
          <w:u w:val="none"/>
          <w:lang w:bidi="zh-CN"/>
        </w:rPr>
        <w:fldChar w:fldCharType="end"/>
      </w:r>
      <w:r>
        <w:rPr>
          <w:rFonts w:hint="eastAsia" w:ascii="仿宋" w:hAnsi="仿宋" w:eastAsia="仿宋" w:cs="仿宋"/>
          <w:color w:val="auto"/>
          <w:sz w:val="24"/>
          <w:szCs w:val="24"/>
          <w:highlight w:val="none"/>
          <w:u w:val="none"/>
          <w:lang w:val="en-US" w:bidi="zh-CN"/>
        </w:rPr>
        <w:t>7690715919</w:t>
      </w:r>
      <w:r>
        <w:rPr>
          <w:rFonts w:hint="eastAsia" w:ascii="仿宋" w:hAnsi="仿宋" w:eastAsia="仿宋" w:cs="仿宋"/>
          <w:color w:val="auto"/>
          <w:sz w:val="24"/>
          <w:szCs w:val="24"/>
          <w:highlight w:val="none"/>
          <w:u w:val="none"/>
          <w:lang w:bidi="zh-CN"/>
        </w:rPr>
        <w:t>）；</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b.通过“新疆政府采购云平台”成功上传递交的“电子加密响应文件”已按时解密的，“备份响应文件”自动失效。</w:t>
      </w:r>
      <w:r>
        <w:rPr>
          <w:rFonts w:hint="eastAsia" w:ascii="仿宋" w:hAnsi="仿宋" w:eastAsia="仿宋" w:cs="仿宋"/>
          <w:b/>
          <w:bCs w:val="0"/>
          <w:color w:val="auto"/>
          <w:sz w:val="24"/>
          <w:szCs w:val="24"/>
          <w:highlight w:val="none"/>
          <w:lang w:bidi="zh-CN"/>
        </w:rPr>
        <w:t>投标截止时间前，供应商仅递交了“备份响应文件”而未将“电子加密响应文件”成功上传至“政府采购云平台”的，投标无效</w:t>
      </w:r>
      <w:r>
        <w:rPr>
          <w:rFonts w:hint="eastAsia" w:ascii="仿宋" w:hAnsi="仿宋" w:eastAsia="仿宋" w:cs="仿宋"/>
          <w:b w:val="0"/>
          <w:bCs/>
          <w:color w:val="auto"/>
          <w:sz w:val="24"/>
          <w:szCs w:val="24"/>
          <w:highlight w:val="none"/>
          <w:lang w:bidi="zh-CN"/>
        </w:rPr>
        <w:t>。</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（七）响应文件</w:t>
      </w:r>
      <w:r>
        <w:rPr>
          <w:rFonts w:hint="eastAsia" w:ascii="仿宋" w:hAnsi="仿宋" w:eastAsia="仿宋" w:cs="仿宋"/>
          <w:b/>
          <w:color w:val="auto"/>
          <w:sz w:val="24"/>
          <w:szCs w:val="24"/>
          <w:highlight w:val="none"/>
        </w:rPr>
        <w:t>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和政采云平台的要求编制并加密</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递交截止时间以前完成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的传输递交，截止时间后递交的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备份电子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必须在投标截止时间前送达指定的投标地点。备份电子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在截止时间后提交，</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如有特殊情况，</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延长截止时间和开标时间，</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的权利和义务将受到新的截止时间和开标时间的约束。</w:t>
      </w:r>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（八）响应文件的补充、修改与撤回</w:t>
      </w:r>
    </w:p>
    <w:p>
      <w:pPr>
        <w:shd w:val="clear" w:color="auto" w:fill="auto"/>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撤回。投标截止时间后传输递交的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，“政府采购云平台”将予以拒收。投标截止时间后，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不得修改（补充）或撤回其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900" w:firstLine="1205" w:firstLineChars="400"/>
        <w:textAlignment w:val="baseline"/>
        <w:outlineLvl w:val="1"/>
        <w:rPr>
          <w:rFonts w:hint="eastAsia" w:ascii="仿宋" w:hAnsi="仿宋" w:eastAsia="仿宋" w:cs="仿宋"/>
          <w:b/>
          <w:bCs w:val="0"/>
          <w:color w:val="auto"/>
          <w:sz w:val="30"/>
          <w:szCs w:val="30"/>
          <w:highlight w:val="none"/>
          <w:lang w:eastAsia="zh-CN"/>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900" w:firstLine="1205" w:firstLineChars="400"/>
        <w:textAlignment w:val="baseline"/>
        <w:outlineLvl w:val="1"/>
        <w:rPr>
          <w:rFonts w:hint="eastAsia" w:ascii="仿宋" w:hAnsi="仿宋" w:eastAsia="仿宋" w:cs="仿宋"/>
          <w:b/>
          <w:bCs w:val="0"/>
          <w:color w:val="auto"/>
          <w:sz w:val="30"/>
          <w:szCs w:val="30"/>
          <w:highlight w:val="none"/>
          <w:lang w:eastAsia="zh-CN"/>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900" w:firstLine="1205" w:firstLineChars="400"/>
        <w:textAlignment w:val="baseline"/>
        <w:outlineLvl w:val="1"/>
        <w:rPr>
          <w:rFonts w:hint="eastAsia" w:ascii="仿宋" w:hAnsi="仿宋" w:eastAsia="仿宋" w:cs="仿宋"/>
          <w:b/>
          <w:bCs w:val="0"/>
          <w:color w:val="auto"/>
          <w:sz w:val="30"/>
          <w:szCs w:val="30"/>
          <w:highlight w:val="none"/>
          <w:lang w:eastAsia="zh-CN"/>
        </w:rPr>
      </w:pPr>
    </w:p>
    <w:p>
      <w:pPr>
        <w:pStyle w:val="43"/>
        <w:keepNext w:val="0"/>
        <w:keepLines/>
        <w:pageBreakBefore w:val="0"/>
        <w:widowControl w:val="0"/>
        <w:numPr>
          <w:ilvl w:val="0"/>
          <w:numId w:val="4"/>
        </w:numPr>
        <w:kinsoku/>
        <w:wordWrap/>
        <w:overflowPunct/>
        <w:topLinePunct w:val="0"/>
        <w:autoSpaceDE/>
        <w:autoSpaceDN/>
        <w:bidi w:val="0"/>
        <w:adjustRightInd w:val="0"/>
        <w:snapToGrid/>
        <w:spacing w:line="360" w:lineRule="auto"/>
        <w:ind w:left="0" w:leftChars="0" w:firstLine="0" w:firstLineChars="0"/>
        <w:jc w:val="center"/>
        <w:textAlignment w:val="baseline"/>
        <w:outlineLvl w:val="1"/>
        <w:rPr>
          <w:rFonts w:hint="eastAsia" w:ascii="仿宋" w:hAnsi="仿宋" w:eastAsia="仿宋" w:cs="仿宋"/>
          <w:b/>
          <w:bCs w:val="0"/>
          <w:color w:val="auto"/>
          <w:sz w:val="30"/>
          <w:szCs w:val="30"/>
          <w:highlight w:val="none"/>
          <w:lang w:eastAsia="zh-CN"/>
        </w:rPr>
      </w:pPr>
      <w:bookmarkStart w:id="52" w:name="_Toc11950"/>
      <w:r>
        <w:rPr>
          <w:rFonts w:hint="eastAsia" w:ascii="仿宋" w:hAnsi="仿宋" w:eastAsia="仿宋" w:cs="仿宋"/>
          <w:b/>
          <w:bCs w:val="0"/>
          <w:color w:val="auto"/>
          <w:sz w:val="30"/>
          <w:szCs w:val="30"/>
          <w:highlight w:val="none"/>
          <w:lang w:eastAsia="zh-CN"/>
        </w:rPr>
        <w:t>开标</w:t>
      </w:r>
      <w:bookmarkEnd w:id="52"/>
    </w:p>
    <w:p>
      <w:pPr>
        <w:spacing w:line="360" w:lineRule="auto"/>
        <w:ind w:firstLine="458" w:firstLineChars="200"/>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r>
        <w:rPr>
          <w:rStyle w:val="51"/>
          <w:rFonts w:hint="eastAsia" w:ascii="仿宋" w:hAnsi="仿宋" w:eastAsia="仿宋" w:cs="仿宋"/>
          <w:b/>
          <w:color w:val="000000" w:themeColor="text1"/>
          <w:w w:val="95"/>
          <w:sz w:val="24"/>
          <w:szCs w:val="24"/>
          <w:highlight w:val="none"/>
          <w:lang w:val="en-US" w:eastAsia="zh-CN"/>
          <w14:textFill>
            <w14:solidFill>
              <w14:schemeClr w14:val="tx1"/>
            </w14:solidFill>
          </w14:textFill>
        </w:rPr>
        <w:t>1.</w:t>
      </w:r>
      <w:r>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t>供应商须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360" w:lineRule="auto"/>
        <w:ind w:firstLine="458" w:firstLineChars="200"/>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r>
        <w:rPr>
          <w:rStyle w:val="51"/>
          <w:rFonts w:hint="eastAsia" w:ascii="仿宋" w:hAnsi="仿宋" w:eastAsia="仿宋" w:cs="仿宋"/>
          <w:b/>
          <w:color w:val="000000" w:themeColor="text1"/>
          <w:w w:val="95"/>
          <w:sz w:val="24"/>
          <w:szCs w:val="24"/>
          <w:highlight w:val="none"/>
          <w:lang w:val="en-US" w:eastAsia="zh-CN"/>
          <w14:textFill>
            <w14:solidFill>
              <w14:schemeClr w14:val="tx1"/>
            </w14:solidFill>
          </w14:textFill>
        </w:rPr>
        <w:t>2.</w:t>
      </w:r>
      <w:r>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t>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bookmarkStart w:id="53" w:name="_Toc3401"/>
      <w:bookmarkStart w:id="54" w:name="_Toc8806"/>
      <w:r>
        <w:rPr>
          <w:rStyle w:val="51"/>
          <w:rFonts w:hint="eastAsia" w:ascii="仿宋" w:hAnsi="仿宋" w:eastAsia="仿宋" w:cs="仿宋"/>
          <w:b/>
          <w:color w:val="000000" w:themeColor="text1"/>
          <w:w w:val="95"/>
          <w:sz w:val="24"/>
          <w:szCs w:val="24"/>
          <w:highlight w:val="none"/>
          <w:lang w:val="en-US" w:eastAsia="zh-CN"/>
          <w14:textFill>
            <w14:solidFill>
              <w14:schemeClr w14:val="tx1"/>
            </w14:solidFill>
          </w14:textFill>
        </w:rPr>
        <w:t>3.</w:t>
      </w:r>
      <w:r>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t>参与竞争性谈判和竞争性磋商项目供应商，开标结束后，请及时进入“网上报价”页面（详见操作手册），等待最终报价通知。如未在系统提示的报价时限内报价，则视为上一轮报价为最终报价。</w:t>
      </w:r>
      <w:bookmarkEnd w:id="53"/>
      <w:bookmarkEnd w:id="54"/>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2"/>
          <w:numId w:val="0"/>
        </w:numPr>
        <w:kinsoku/>
        <w:wordWrap/>
        <w:overflowPunct/>
        <w:topLinePunct w:val="0"/>
        <w:autoSpaceDE/>
        <w:autoSpaceDN/>
        <w:bidi w:val="0"/>
        <w:adjustRightInd w:val="0"/>
        <w:snapToGrid/>
        <w:spacing w:line="360" w:lineRule="auto"/>
        <w:ind w:leftChars="0" w:firstLine="457"/>
        <w:textAlignment w:val="baseline"/>
        <w:outlineLvl w:val="1"/>
        <w:rPr>
          <w:rStyle w:val="51"/>
          <w:rFonts w:hint="eastAsia" w:ascii="仿宋" w:hAnsi="仿宋" w:eastAsia="仿宋" w:cs="仿宋"/>
          <w:b/>
          <w:color w:val="000000" w:themeColor="text1"/>
          <w:w w:val="95"/>
          <w:sz w:val="24"/>
          <w:szCs w:val="24"/>
          <w:highlight w:val="none"/>
          <w:lang w:eastAsia="zh-CN"/>
          <w14:textFill>
            <w14:solidFill>
              <w14:schemeClr w14:val="tx1"/>
            </w14:solidFill>
          </w14:textFill>
        </w:rPr>
      </w:pPr>
    </w:p>
    <w:p>
      <w:pPr>
        <w:pStyle w:val="43"/>
        <w:keepNext w:val="0"/>
        <w:keepLines/>
        <w:pageBreakBefore w:val="0"/>
        <w:widowControl w:val="0"/>
        <w:numPr>
          <w:ilvl w:val="0"/>
          <w:numId w:val="4"/>
        </w:numPr>
        <w:kinsoku/>
        <w:wordWrap/>
        <w:overflowPunct/>
        <w:topLinePunct w:val="0"/>
        <w:autoSpaceDE/>
        <w:autoSpaceDN/>
        <w:bidi w:val="0"/>
        <w:adjustRightInd w:val="0"/>
        <w:snapToGrid/>
        <w:spacing w:line="360" w:lineRule="auto"/>
        <w:ind w:left="0" w:leftChars="0" w:firstLine="0" w:firstLineChars="0"/>
        <w:jc w:val="center"/>
        <w:textAlignment w:val="baseline"/>
        <w:outlineLvl w:val="1"/>
        <w:rPr>
          <w:rFonts w:hint="eastAsia" w:ascii="仿宋" w:hAnsi="仿宋" w:eastAsia="仿宋" w:cs="仿宋"/>
          <w:b/>
          <w:bCs w:val="0"/>
          <w:color w:val="auto"/>
          <w:sz w:val="30"/>
          <w:szCs w:val="30"/>
          <w:highlight w:val="none"/>
        </w:rPr>
      </w:pPr>
      <w:bookmarkStart w:id="55" w:name="_Toc25039"/>
      <w:r>
        <w:rPr>
          <w:rFonts w:hint="eastAsia" w:ascii="仿宋" w:hAnsi="仿宋" w:eastAsia="仿宋" w:cs="仿宋"/>
          <w:b/>
          <w:bCs w:val="0"/>
          <w:color w:val="auto"/>
          <w:sz w:val="30"/>
          <w:szCs w:val="30"/>
          <w:highlight w:val="none"/>
        </w:rPr>
        <w:t>磋商会议</w:t>
      </w:r>
      <w:bookmarkEnd w:id="55"/>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5.1磋商小组的组成</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5.1.1磋商小组由采购人代表和有关技术、经济等方面的专家组成。全面负责对响应文件的审查、评审、磋商、打分等全部评审工作。磋商小组人数以及技术、经济方面的专家组成见</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HYPERLINK "D:\\WordForm\\e944b4b1-01b6-4e42-b170-f783fcf7903a.doc" \l "_评标委员会"</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供应商须知前附表</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5.2磋商方法</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5.2.1磋商小组将按照磋商文件确定的评审方法进行评审。磋商小组对响应文件的评审分为响应文件初审、澄清有关问题、比较与评价响应文件、推荐中标候选人名单。</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5.2.1项目评审方法详见磋商文件“第四章 评审方法、步骤及标准”。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5.3响应文件的初审</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初审分为资格性检查和符合性检查。</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5.3.1资格性检查</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（1）磋商小组根据评审办法前附表规定的评审因素和评审标准，对供应商的响应文件进行资格评审。资格性检查不合格的供应商的响应文件作无效文件处理。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（2）磋商小组在进行资格检查时，不得改变磋商文件中已载明的资格条件、标准和办法。资格性检查不合格的供应商的响应文件作无效文件处理。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（3）供应商在递交响应文件的同时，应逐项对照上述资格性检查要求提交相应的原件和资格证明文件供磋商小组核查，否则评委将不予采信。</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（4）磋商小组在评审中必要时可按供应商提供的联系方式就有关问题进行查询核实，或要求供应商做出书面澄清，查询及澄清结果将作为审查的依据。</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（5）资格性检查全部合格的供应商才能通过资格检查，其响应文件方可进入下一个检查阶段。</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5.3.2符合性检查</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磋商小组根据评审办法前附表规定的评审因素和评审标准，对供应商的响应文件进行符合性检查。符合性检查不合格的供应商的响应文件作无效文件处理。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5.4违法违规行为 </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5.4.1在评审过程中，磋商小组发现供应商有下列情形之一的，作无效文件处理：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（1）属于同一集团下属单位的供应商；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（2）不同供应商委托同一单位或者个人办理投标事宜；</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（3）不同供应商的响应文件载明的项目管理成员为同一人；</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（4）不同供应商的响应文件异常一致或者</w:t>
      </w:r>
      <w:r>
        <w:rPr>
          <w:rFonts w:hint="eastAsia" w:ascii="仿宋" w:hAnsi="仿宋" w:eastAsia="仿宋" w:cs="仿宋"/>
          <w:color w:val="auto"/>
          <w:sz w:val="24"/>
          <w:highlight w:val="none"/>
          <w:lang w:eastAsia="zh-CN"/>
        </w:rPr>
        <w:t>磋商报价</w:t>
      </w:r>
      <w:r>
        <w:rPr>
          <w:rFonts w:hint="eastAsia" w:ascii="仿宋" w:hAnsi="仿宋" w:eastAsia="仿宋" w:cs="仿宋"/>
          <w:color w:val="auto"/>
          <w:sz w:val="24"/>
          <w:highlight w:val="none"/>
        </w:rPr>
        <w:t>呈规律性差异；</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从同一单位或者个人的账户转出；</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（7）使用伪造、变造的行政许可证件；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（8）提供虚假的财务状况或者业绩；</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（9）提供虚假的信用状况；</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（10）其他弄虚作假的行为。</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 磋商小组审查响应文件是否完整、有无计算上的错误等。</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5.5.1 响应文件的修正及澄清</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（1）磋商小组对确定为实质上响应磋商文件要求的响应文件进行校核，看其是否有计算或表达上的错误。</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内容的除外。</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5.5.3实质上没有响应磋商文件要求的响应文件将被视为无效文件。供应商不得通过修正或撤销不合要求的偏离从而使其成为实质上响应的文件。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w:t>
      </w:r>
      <w:r>
        <w:rPr>
          <w:rFonts w:hint="eastAsia" w:ascii="仿宋" w:hAnsi="仿宋" w:eastAsia="仿宋" w:cs="仿宋"/>
          <w:color w:val="auto"/>
          <w:sz w:val="24"/>
          <w:highlight w:val="none"/>
          <w:lang w:eastAsia="zh-CN"/>
        </w:rPr>
        <w:t>磋商报价</w:t>
      </w:r>
      <w:r>
        <w:rPr>
          <w:rFonts w:hint="eastAsia" w:ascii="仿宋" w:hAnsi="仿宋" w:eastAsia="仿宋" w:cs="仿宋"/>
          <w:color w:val="auto"/>
          <w:sz w:val="24"/>
          <w:highlight w:val="none"/>
        </w:rPr>
        <w:t>等实质性内容做任何更改。有关澄清的答复均应由供应商的法定代表人或授权代表以书面形式作出并签字。</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5.5.5供应商的澄清文件是其响应文件的组成部分。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5.6磋商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5.6.1磋商小组根据需要可以与单一供应商分别进行磋商，并给予所有参加磋商的供应商平等的磋商机会。</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5.6.2在磋商过程中，磋商小组可以根据磋商文件和磋商情况实质性变动，采购需求中的技术、服务要求以及合同草案条款，但不得变动磋商文件中的其他内容。实质性变动的内容，须经采购人代表确认。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5.6.3对磋商文件作出的实质性变动是磋商文件的有效组成部分，磋商小组应当及时以书面形式同时通知所有参加磋商的供应商。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5.6.5磋商文件能够详细列明采购标的技术、服务要求的，磋商结束后，磋商小组应当要求所有实质性响应的供应商在规定时间内提交最后报价，提交最后报价的供应商不得少于3家。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5.5.6磋商文件不能详细列明采购标的技术、服务要求，需供应商提供最终设计方案或解决方案，磋商结束后，磋商小组应当按照少数服从多数的原则投票推荐3家或以上供应商的设计方案或者解决方案，并要求其在规定时间内提交最后报价。</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5.6.7已提交响应文件的供应商，在提交最后报价之前，可以根据磋商情况退出磋商。其磋商保证金将予以退还。</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5.6.8经磋商确定最终采购需求和提交最后报价的供应商后，由磋商小组采用综合评分法对提交最后报价的供应商的响应文件和最后报价进行综合评分。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5.6.9采购结果确认</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5.7.公示或公告</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color w:val="auto"/>
        </w:rPr>
      </w:pPr>
      <w:bookmarkStart w:id="56" w:name="_Toc17108"/>
      <w:bookmarkStart w:id="57" w:name="_Toc73617365"/>
      <w:bookmarkStart w:id="58" w:name="_Toc10452"/>
      <w:r>
        <w:rPr>
          <w:rFonts w:hint="eastAsia"/>
          <w:color w:val="auto"/>
          <w:lang w:eastAsia="zh-CN"/>
        </w:rPr>
        <w:t>七、</w:t>
      </w:r>
      <w:r>
        <w:rPr>
          <w:rFonts w:hint="eastAsia"/>
          <w:color w:val="auto"/>
        </w:rPr>
        <w:t>授予合同</w:t>
      </w:r>
      <w:bookmarkEnd w:id="56"/>
      <w:bookmarkEnd w:id="57"/>
      <w:bookmarkEnd w:id="58"/>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6.1 签订合同</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6.1.1采购人应在成交通知书发出后5日内，根据成交结果和磋商文件、响应文件及有关补遗文件签订合同。</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6.1.2采购人应按磋商文件要求和中标人的响应文件承诺订立书面合同，不得超出磋商文件和中标人响应文件的范围，也不得再另行订立背离合同实质性内容的其他协议。</w:t>
      </w:r>
    </w:p>
    <w:p>
      <w:pPr>
        <w:pStyle w:val="4"/>
        <w:bidi w:val="0"/>
        <w:spacing w:line="360" w:lineRule="auto"/>
        <w:rPr>
          <w:rFonts w:hint="eastAsia"/>
          <w:color w:val="auto"/>
        </w:rPr>
      </w:pPr>
      <w:bookmarkStart w:id="59" w:name="_Toc446599316"/>
      <w:bookmarkStart w:id="60" w:name="_Toc293736059"/>
      <w:bookmarkStart w:id="61" w:name="_Toc293738997"/>
      <w:bookmarkStart w:id="62" w:name="_Toc293736016"/>
      <w:bookmarkStart w:id="63" w:name="_Toc73617366"/>
      <w:bookmarkStart w:id="64" w:name="_Toc30278"/>
      <w:bookmarkStart w:id="65" w:name="_Toc1336"/>
      <w:r>
        <w:rPr>
          <w:rFonts w:hint="eastAsia"/>
          <w:color w:val="auto"/>
          <w:lang w:eastAsia="zh-CN"/>
        </w:rPr>
        <w:t>八、</w:t>
      </w:r>
      <w:r>
        <w:rPr>
          <w:rFonts w:hint="eastAsia"/>
          <w:color w:val="auto"/>
        </w:rPr>
        <w:t>质疑</w:t>
      </w:r>
      <w:bookmarkEnd w:id="59"/>
      <w:bookmarkEnd w:id="60"/>
      <w:bookmarkEnd w:id="61"/>
      <w:bookmarkEnd w:id="62"/>
      <w:r>
        <w:rPr>
          <w:rFonts w:hint="eastAsia"/>
          <w:color w:val="auto"/>
        </w:rPr>
        <w:t>和投诉</w:t>
      </w:r>
      <w:bookmarkEnd w:id="63"/>
      <w:bookmarkEnd w:id="64"/>
      <w:bookmarkEnd w:id="65"/>
    </w:p>
    <w:p>
      <w:pPr>
        <w:spacing w:line="360" w:lineRule="auto"/>
        <w:ind w:firstLine="480"/>
        <w:rPr>
          <w:rFonts w:hint="eastAsia" w:ascii="仿宋" w:hAnsi="仿宋" w:eastAsia="仿宋" w:cs="仿宋"/>
          <w:color w:val="auto"/>
          <w:sz w:val="24"/>
          <w:highlight w:val="none"/>
        </w:rPr>
      </w:pPr>
      <w:bookmarkStart w:id="66" w:name="_Toc446599317"/>
      <w:bookmarkStart w:id="67" w:name="_Toc294515577"/>
      <w:bookmarkStart w:id="68" w:name="_Toc293736060"/>
      <w:bookmarkStart w:id="69" w:name="_Toc293738998"/>
      <w:bookmarkStart w:id="70" w:name="_Toc293736017"/>
      <w:r>
        <w:rPr>
          <w:rFonts w:hint="eastAsia" w:ascii="仿宋" w:hAnsi="仿宋" w:eastAsia="仿宋" w:cs="仿宋"/>
          <w:color w:val="auto"/>
          <w:sz w:val="24"/>
          <w:highlight w:val="none"/>
        </w:rPr>
        <w:t>7.1质疑</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7.1.1供应商提出质疑应当符合以下条件：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如果供应商对此次采购活动有疑问，可依据《中华人民共和国政府采购法》等相关规定，在规定的时间内以书面形式向采购人或代理机构提出质疑。质疑书应当包括下列主要内容：</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（1）质疑人的名称、地址、电话等；</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（2）质疑人法人签章和单位公章；</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（3）具体的质疑事项及事实依据；</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（4）明确的请求和必要合法来源的证明材料；</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（5）以联合体形式参与资格预审的，则必须联合体各方共同签署、盖章；</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（6）提起质疑的日期。</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特注：未按上述程序规定的必备内容进行质疑的，采购人或代理机构将不予以受理。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7.1.4被质疑人应当在受理质疑后7个工作日内作出答复，并以书面形式通知质疑人和其他有关供应商，答复内容仅限于供应商所质疑的内容，不得涉及国家秘密和商业秘密。</w:t>
      </w:r>
    </w:p>
    <w:p>
      <w:pPr>
        <w:spacing w:line="360" w:lineRule="auto"/>
        <w:ind w:firstLine="480"/>
        <w:rPr>
          <w:rFonts w:hint="eastAsia" w:ascii="仿宋" w:hAnsi="仿宋" w:eastAsia="仿宋" w:cs="仿宋"/>
          <w:color w:val="auto"/>
          <w:sz w:val="24"/>
          <w:highlight w:val="none"/>
        </w:rPr>
      </w:pPr>
      <w:bookmarkStart w:id="71" w:name="_Toc450546725"/>
      <w:bookmarkStart w:id="72" w:name="_Toc483174929"/>
      <w:bookmarkStart w:id="73" w:name="_Toc456336161"/>
      <w:bookmarkStart w:id="74" w:name="_Toc9365"/>
      <w:r>
        <w:rPr>
          <w:rFonts w:hint="eastAsia" w:ascii="仿宋" w:hAnsi="仿宋" w:eastAsia="仿宋" w:cs="仿宋"/>
          <w:color w:val="auto"/>
          <w:sz w:val="24"/>
          <w:highlight w:val="none"/>
        </w:rPr>
        <w:t>7.2投诉</w:t>
      </w:r>
      <w:bookmarkEnd w:id="71"/>
      <w:bookmarkEnd w:id="72"/>
      <w:bookmarkEnd w:id="73"/>
      <w:bookmarkEnd w:id="74"/>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7.2.2投诉人提起投诉应符合以下条件：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(1)投诉人应是参与项目的供应商；</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(2)投诉前已依法进行质疑；</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(3)投诉书内容必须符合国家相关法律、法规的规定；</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(4)在投诉有效期内；</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(5)同一投诉事项未经处理的；</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GB"/>
        </w:rPr>
        <w:t>(6)</w:t>
      </w:r>
      <w:r>
        <w:rPr>
          <w:rFonts w:hint="eastAsia" w:ascii="仿宋" w:hAnsi="仿宋" w:eastAsia="仿宋" w:cs="仿宋"/>
          <w:color w:val="auto"/>
          <w:sz w:val="24"/>
          <w:highlight w:val="none"/>
        </w:rPr>
        <w:t>相关法律、法规和省级以上人民政府财政部门规定的其他条件。</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7.2.3供应商投诉时，应当面提交投诉书，投诉书应当包括下列主要内容：</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(1)投诉人的姓名或者名称、住所、联系方式及相关证明；</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(2)被投诉人的名称、住所、联系方式；</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(3)具体的投诉事项、事实根据和法律依据；</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(4)质疑和质疑答复情况及相关证明材料；</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(5)提起投诉的日期。</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投诉人为自然人的，应当由本人签字。投诉人为法人的，应当由其法定代表人签字并加盖单位公章。投诉人为其他组织的，应当由其主要负责人签字盖章并加盖单位公章。</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7.2.4投诉人可以授权代理人办理投诉事务。代理人办理投诉事务时，除提交投诉书外，还应当向监督部门提交投诉人的授权委托书，授权委托书应当载明委托代理的具体权限和事项。</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7.2.5投诉人不符合上述规定提起的投诉，政府采购监督部门不予受理。</w:t>
      </w:r>
    </w:p>
    <w:bookmarkEnd w:id="66"/>
    <w:bookmarkEnd w:id="67"/>
    <w:bookmarkEnd w:id="68"/>
    <w:bookmarkEnd w:id="69"/>
    <w:bookmarkEnd w:id="70"/>
    <w:p>
      <w:pPr>
        <w:pStyle w:val="43"/>
        <w:numPr>
          <w:ilvl w:val="2"/>
          <w:numId w:val="0"/>
        </w:numPr>
        <w:spacing w:line="360" w:lineRule="auto"/>
        <w:ind w:left="1260" w:leftChars="600" w:firstLine="1205" w:firstLineChars="400"/>
        <w:outlineLvl w:val="9"/>
        <w:rPr>
          <w:rFonts w:hint="eastAsia" w:ascii="仿宋" w:hAnsi="仿宋" w:eastAsia="仿宋" w:cs="仿宋"/>
          <w:b/>
          <w:bCs w:val="0"/>
          <w:color w:val="auto"/>
          <w:sz w:val="30"/>
          <w:szCs w:val="30"/>
          <w:highlight w:val="none"/>
        </w:rPr>
      </w:pPr>
    </w:p>
    <w:p>
      <w:pPr>
        <w:spacing w:line="360" w:lineRule="auto"/>
        <w:jc w:val="left"/>
        <w:rPr>
          <w:rFonts w:hint="eastAsia" w:ascii="仿宋" w:hAnsi="仿宋" w:eastAsia="仿宋" w:cs="仿宋"/>
          <w:color w:val="auto"/>
          <w:sz w:val="32"/>
          <w:szCs w:val="32"/>
          <w:highlight w:val="none"/>
        </w:rPr>
      </w:pPr>
    </w:p>
    <w:p>
      <w:pPr>
        <w:pStyle w:val="10"/>
        <w:spacing w:line="360" w:lineRule="auto"/>
        <w:rPr>
          <w:rFonts w:hint="eastAsia" w:ascii="仿宋" w:hAnsi="仿宋" w:eastAsia="仿宋" w:cs="仿宋"/>
          <w:color w:val="auto"/>
          <w:sz w:val="32"/>
          <w:szCs w:val="32"/>
          <w:highlight w:val="none"/>
        </w:rPr>
      </w:pPr>
    </w:p>
    <w:p>
      <w:pPr>
        <w:pStyle w:val="10"/>
        <w:spacing w:line="360" w:lineRule="auto"/>
        <w:rPr>
          <w:rFonts w:hint="eastAsia" w:ascii="仿宋" w:hAnsi="仿宋" w:eastAsia="仿宋" w:cs="仿宋"/>
          <w:color w:val="auto"/>
          <w:sz w:val="32"/>
          <w:szCs w:val="32"/>
          <w:highlight w:val="none"/>
        </w:rPr>
      </w:pPr>
    </w:p>
    <w:p>
      <w:pPr>
        <w:pStyle w:val="3"/>
        <w:numPr>
          <w:ilvl w:val="0"/>
          <w:numId w:val="5"/>
        </w:numPr>
        <w:bidi w:val="0"/>
        <w:spacing w:line="360" w:lineRule="auto"/>
        <w:rPr>
          <w:rFonts w:hint="eastAsia"/>
          <w:color w:val="auto"/>
          <w:lang w:val="en-US" w:eastAsia="zh-CN"/>
        </w:rPr>
      </w:pPr>
      <w:r>
        <w:rPr>
          <w:rFonts w:hint="eastAsia"/>
          <w:color w:val="auto"/>
          <w:lang w:val="en-US" w:eastAsia="zh-CN"/>
        </w:rPr>
        <w:t xml:space="preserve">  </w:t>
      </w:r>
      <w:bookmarkStart w:id="75" w:name="_Toc22561"/>
      <w:r>
        <w:rPr>
          <w:rFonts w:hint="eastAsia"/>
          <w:color w:val="auto"/>
          <w:lang w:val="en-US" w:eastAsia="zh-CN"/>
        </w:rPr>
        <w:t>项目概况及技术要求</w:t>
      </w:r>
      <w:bookmarkEnd w:id="75"/>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一、</w:t>
      </w:r>
      <w:r>
        <w:rPr>
          <w:rFonts w:hint="eastAsia" w:ascii="仿宋" w:hAnsi="仿宋" w:eastAsia="仿宋" w:cs="仿宋"/>
          <w:b/>
          <w:bCs/>
          <w:i w:val="0"/>
          <w:iCs w:val="0"/>
          <w:caps w:val="0"/>
          <w:color w:val="000000"/>
          <w:spacing w:val="0"/>
          <w:sz w:val="24"/>
          <w:szCs w:val="24"/>
        </w:rPr>
        <w:t>项目基本概况介绍、用途：</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sz w:val="24"/>
          <w:szCs w:val="24"/>
          <w:lang w:val="en-US" w:eastAsia="zh-CN"/>
        </w:rPr>
        <w:t>对县域内和布克赛尔国家湿地公园、布伦河、叶尔盖河、比钦诺鲁矗他塔尔河、喀尔勒克河、夏尔哈尔盖河、松树沟、和布克河的自然资源确权登记工作资料收集加工处理、编制工作底图、预划登记单元（含实地核实）、自然状况信息提取统计、获取并关联公共管制和特殊保护信息、地籍调查、调查数据成果上图、数据库建设、配合登记部门开展登记审核、公告、登簿、证书发放等工作。</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i w:val="0"/>
          <w:iCs w:val="0"/>
          <w:caps w:val="0"/>
          <w:color w:val="000000"/>
          <w:spacing w:val="0"/>
          <w:sz w:val="24"/>
          <w:szCs w:val="24"/>
          <w:lang w:val="en-US" w:eastAsia="zh-CN"/>
        </w:rPr>
      </w:pPr>
      <w:r>
        <w:rPr>
          <w:rFonts w:hint="eastAsia" w:ascii="仿宋" w:hAnsi="仿宋" w:eastAsia="仿宋" w:cs="仿宋"/>
          <w:b/>
          <w:bCs/>
          <w:i w:val="0"/>
          <w:iCs w:val="0"/>
          <w:caps w:val="0"/>
          <w:color w:val="000000"/>
          <w:spacing w:val="0"/>
          <w:sz w:val="24"/>
          <w:szCs w:val="24"/>
          <w:lang w:val="en-US" w:eastAsia="zh-CN"/>
        </w:rPr>
        <w:t>二、质量要求：</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在项目实施过程中，提供完整的质量服务保障，确保成果达到自治区“自然资源统一确权登记”相关规程规范要求。完成确权登记工作后须达到塔城地区及自治区对确权登记工作的验收标准并通过验收。</w:t>
      </w:r>
    </w:p>
    <w:p>
      <w:pPr>
        <w:spacing w:line="360" w:lineRule="auto"/>
        <w:rPr>
          <w:rFonts w:hint="eastAsia"/>
          <w:color w:val="auto"/>
          <w:lang w:val="en-US" w:eastAsia="zh-CN"/>
        </w:rPr>
      </w:pPr>
    </w:p>
    <w:p>
      <w:pPr>
        <w:pStyle w:val="10"/>
        <w:rPr>
          <w:rFonts w:hint="eastAsia"/>
          <w:color w:val="auto"/>
          <w:lang w:val="en-US" w:eastAsia="zh-CN"/>
        </w:rPr>
      </w:pPr>
    </w:p>
    <w:p>
      <w:pPr>
        <w:pStyle w:val="16"/>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pStyle w:val="16"/>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pStyle w:val="16"/>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pStyle w:val="16"/>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pStyle w:val="16"/>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pStyle w:val="16"/>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pStyle w:val="16"/>
        <w:rPr>
          <w:rFonts w:hint="eastAsia"/>
          <w:lang w:val="en-US" w:eastAsia="zh-CN"/>
        </w:rPr>
      </w:pPr>
    </w:p>
    <w:p>
      <w:pPr>
        <w:pStyle w:val="16"/>
        <w:rPr>
          <w:rFonts w:hint="eastAsia"/>
          <w:lang w:val="en-US" w:eastAsia="zh-CN"/>
        </w:rPr>
      </w:pPr>
    </w:p>
    <w:p>
      <w:pPr>
        <w:pStyle w:val="3"/>
        <w:numPr>
          <w:ilvl w:val="0"/>
          <w:numId w:val="5"/>
        </w:numPr>
        <w:bidi w:val="0"/>
        <w:spacing w:line="360" w:lineRule="auto"/>
        <w:rPr>
          <w:rFonts w:hint="eastAsia" w:ascii="仿宋" w:hAnsi="仿宋" w:eastAsia="仿宋" w:cs="仿宋"/>
          <w:color w:val="auto"/>
          <w:highlight w:val="none"/>
        </w:rPr>
      </w:pPr>
      <w:r>
        <w:rPr>
          <w:rFonts w:hint="eastAsia"/>
          <w:color w:val="auto"/>
          <w:lang w:val="en-US" w:eastAsia="zh-CN"/>
        </w:rPr>
        <w:t xml:space="preserve">  </w:t>
      </w:r>
      <w:bookmarkStart w:id="76" w:name="_Toc29148"/>
      <w:r>
        <w:rPr>
          <w:rFonts w:hint="eastAsia"/>
          <w:color w:val="auto"/>
          <w:lang w:val="en-US" w:eastAsia="zh-CN"/>
        </w:rPr>
        <w:t>详细评审</w:t>
      </w:r>
      <w:bookmarkEnd w:id="76"/>
    </w:p>
    <w:p>
      <w:pPr>
        <w:spacing w:line="360" w:lineRule="auto"/>
        <w:jc w:val="left"/>
        <w:outlineLvl w:val="1"/>
        <w:rPr>
          <w:rFonts w:hint="eastAsia" w:ascii="仿宋" w:hAnsi="仿宋" w:eastAsia="仿宋" w:cs="仿宋"/>
          <w:b/>
          <w:bCs/>
          <w:color w:val="auto"/>
          <w:sz w:val="24"/>
          <w:szCs w:val="22"/>
          <w:highlight w:val="none"/>
        </w:rPr>
      </w:pPr>
      <w:bookmarkStart w:id="77" w:name="_Toc19765"/>
      <w:r>
        <w:rPr>
          <w:rFonts w:hint="eastAsia" w:ascii="仿宋" w:hAnsi="仿宋" w:eastAsia="仿宋" w:cs="仿宋"/>
          <w:b/>
          <w:bCs/>
          <w:color w:val="auto"/>
          <w:sz w:val="24"/>
          <w:szCs w:val="22"/>
          <w:highlight w:val="none"/>
        </w:rPr>
        <w:t>1</w:t>
      </w: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rPr>
        <w:t>资格性审查</w:t>
      </w:r>
      <w:bookmarkEnd w:id="77"/>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2791" w:type="dxa"/>
            <w:gridSpan w:val="4"/>
            <w:tcBorders>
              <w:top w:val="single" w:color="auto" w:sz="12" w:space="0"/>
              <w:left w:val="single" w:color="auto" w:sz="4" w:space="0"/>
              <w:bottom w:val="single" w:color="auto" w:sz="4"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778" w:type="dxa"/>
            <w:tcBorders>
              <w:top w:val="single" w:color="auto" w:sz="4" w:space="0"/>
              <w:left w:val="single" w:color="auto" w:sz="4" w:space="0"/>
              <w:right w:val="single" w:color="auto" w:sz="4" w:space="0"/>
            </w:tcBorders>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78" w:type="dxa"/>
            <w:tcBorders>
              <w:top w:val="single" w:color="auto" w:sz="4" w:space="0"/>
              <w:left w:val="single" w:color="auto" w:sz="4" w:space="0"/>
            </w:tcBorders>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78"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57"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415" w:type="dxa"/>
            <w:tcBorders>
              <w:right w:val="single" w:color="auto" w:sz="4" w:space="0"/>
            </w:tcBorders>
            <w:vAlign w:val="center"/>
          </w:tcPr>
          <w:p>
            <w:pPr>
              <w:pStyle w:val="33"/>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Times New Roman"/>
                <w:color w:val="auto"/>
                <w:sz w:val="24"/>
                <w:szCs w:val="24"/>
                <w:lang w:val="en-US" w:eastAsia="zh-CN"/>
              </w:rPr>
              <w:t>有效的营业执照或事业单位法人证书（如三证合一，只需提供营业执照即可）；</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415" w:type="dxa"/>
            <w:tcBorders>
              <w:right w:val="single" w:color="auto" w:sz="4" w:space="0"/>
            </w:tcBorders>
            <w:vAlign w:val="center"/>
          </w:tcPr>
          <w:p>
            <w:pPr>
              <w:pStyle w:val="33"/>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lang w:val="en-US" w:eastAsia="zh-CN" w:bidi="ar-SA"/>
              </w:rPr>
              <w:t>供应商</w:t>
            </w:r>
            <w:r>
              <w:rPr>
                <w:rFonts w:hint="eastAsia" w:ascii="仿宋" w:hAnsi="仿宋" w:eastAsia="仿宋" w:cs="仿宋"/>
                <w:b/>
                <w:bCs/>
                <w:color w:val="auto"/>
                <w:sz w:val="24"/>
                <w:highlight w:val="none"/>
              </w:rPr>
              <w:t>须</w:t>
            </w:r>
            <w:r>
              <w:rPr>
                <w:rFonts w:hint="eastAsia" w:ascii="仿宋" w:hAnsi="仿宋" w:eastAsia="仿宋" w:cs="仿宋"/>
                <w:b/>
                <w:bCs/>
                <w:color w:val="auto"/>
                <w:sz w:val="24"/>
                <w:highlight w:val="none"/>
                <w:lang w:val="en-US" w:eastAsia="zh-CN"/>
              </w:rPr>
              <w:t>具有测绘地理信息行政主管部门核发的有效期内的测绘资质（工程测量）乙级及以上资质</w:t>
            </w:r>
            <w:r>
              <w:rPr>
                <w:rFonts w:hint="eastAsia" w:ascii="仿宋" w:hAnsi="仿宋" w:eastAsia="仿宋" w:cs="仿宋"/>
                <w:b/>
                <w:bCs/>
                <w:color w:val="auto"/>
                <w:kern w:val="2"/>
                <w:sz w:val="24"/>
                <w:szCs w:val="24"/>
                <w:lang w:val="en-US" w:eastAsia="zh-CN" w:bidi="ar-SA"/>
              </w:rPr>
              <w:t>；拟投入的项目负责人须具备测绘工程师中级及以上职称；外省投标企业须提供《新疆维吾尔自治区区外建设工程企业信息登记册》或新疆工程建设云下载审核通过的信息报送册；</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415" w:type="dxa"/>
            <w:tcBorders>
              <w:right w:val="single" w:color="auto" w:sz="4" w:space="0"/>
            </w:tcBorders>
            <w:vAlign w:val="center"/>
          </w:tcPr>
          <w:p>
            <w:pPr>
              <w:pStyle w:val="33"/>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Times New Roman"/>
                <w:color w:val="auto"/>
                <w:sz w:val="24"/>
                <w:szCs w:val="24"/>
                <w:lang w:val="en-US" w:eastAsia="zh-CN"/>
              </w:rPr>
              <w:t>法人代表或其委托代理人应携带本人身份证原件及复印件，委托代理人还应携带《法人代表授权委托书》；</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415" w:type="dxa"/>
            <w:tcBorders>
              <w:right w:val="single" w:color="auto" w:sz="4" w:space="0"/>
            </w:tcBorders>
            <w:vAlign w:val="center"/>
          </w:tcPr>
          <w:p>
            <w:pPr>
              <w:pStyle w:val="33"/>
              <w:spacing w:line="360" w:lineRule="auto"/>
              <w:ind w:left="0" w:leftChars="0" w:firstLine="0" w:firstLineChars="0"/>
              <w:rPr>
                <w:rFonts w:hint="eastAsia" w:ascii="仿宋" w:hAnsi="仿宋" w:eastAsia="仿宋" w:cs="Times New Roman"/>
                <w:color w:val="auto"/>
                <w:sz w:val="24"/>
                <w:szCs w:val="24"/>
                <w:lang w:val="en-US" w:eastAsia="zh-CN"/>
              </w:rPr>
            </w:pPr>
            <w:r>
              <w:rPr>
                <w:rFonts w:hint="eastAsia" w:ascii="仿宋" w:hAnsi="仿宋" w:eastAsia="仿宋" w:cs="仿宋"/>
                <w:color w:val="auto"/>
                <w:kern w:val="2"/>
                <w:sz w:val="24"/>
                <w:szCs w:val="24"/>
                <w:highlight w:val="none"/>
                <w:lang w:val="en-US" w:eastAsia="zh-CN" w:bidi="ar-SA"/>
              </w:rPr>
              <w:t>供应商需提供上一年度（2021年度或2022年度）的财务审计报告或开标日前三个月内银行出具的资信证明。审计报告复印件至少应包括资产负债表、利润表、现金流量表加盖会计师事务所公章页；</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415" w:type="dxa"/>
            <w:tcBorders>
              <w:right w:val="single" w:color="auto" w:sz="4" w:space="0"/>
            </w:tcBorders>
            <w:vAlign w:val="center"/>
          </w:tcPr>
          <w:p>
            <w:pPr>
              <w:pStyle w:val="33"/>
              <w:spacing w:line="360" w:lineRule="auto"/>
              <w:ind w:left="0" w:leftChars="0" w:firstLine="0" w:firstLineChars="0"/>
              <w:rPr>
                <w:rFonts w:hint="eastAsia" w:ascii="仿宋" w:hAnsi="仿宋" w:eastAsia="仿宋" w:cs="Times New Roman"/>
                <w:color w:val="auto"/>
                <w:sz w:val="24"/>
                <w:szCs w:val="24"/>
                <w:lang w:val="en-US" w:eastAsia="zh-CN"/>
              </w:rPr>
            </w:pPr>
            <w:r>
              <w:rPr>
                <w:rFonts w:hint="eastAsia" w:ascii="仿宋" w:hAnsi="仿宋" w:eastAsia="仿宋" w:cs="仿宋"/>
                <w:color w:val="auto"/>
                <w:kern w:val="2"/>
                <w:sz w:val="24"/>
                <w:szCs w:val="24"/>
                <w:highlight w:val="none"/>
                <w:lang w:val="en-US" w:eastAsia="zh-CN" w:bidi="ar-SA"/>
              </w:rPr>
              <w:t>供应商需提供近六个月内（（2022年11月-2023年4月）任意一月份供应商社会保障资金缴纳有效票据凭证及税务缴纳有效票据凭证；</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6415" w:type="dxa"/>
            <w:tcBorders>
              <w:right w:val="single" w:color="auto" w:sz="4" w:space="0"/>
            </w:tcBorders>
            <w:vAlign w:val="center"/>
          </w:tcPr>
          <w:p>
            <w:pPr>
              <w:pStyle w:val="33"/>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Times New Roman"/>
                <w:color w:val="auto"/>
                <w:sz w:val="24"/>
                <w:szCs w:val="24"/>
                <w:lang w:val="en-US" w:eastAsia="zh-CN"/>
              </w:rPr>
              <w:t>供应商须提供通过“信用中国”网站（www.creditchina.gov.cn）和中国政府采购网（www.ccgp.gov.cn）渠道查询的本单位信用记录的网页，并加盖供应商公章，被列入失信被执行人、重大税收违法案件当事人名单、政府采购严重违法失信行为记录名单的单位及其他不符合《中华人民共和国政府采购法》第二十二条规定条件的供应商，将被拒绝参与本次政府采购活动；</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6415" w:type="dxa"/>
            <w:tcBorders>
              <w:right w:val="single" w:color="auto" w:sz="4" w:space="0"/>
            </w:tcBorders>
            <w:vAlign w:val="center"/>
          </w:tcPr>
          <w:p>
            <w:pPr>
              <w:pStyle w:val="33"/>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Times New Roman"/>
                <w:color w:val="auto"/>
                <w:sz w:val="24"/>
                <w:szCs w:val="24"/>
                <w:lang w:val="en-US" w:eastAsia="zh-CN"/>
              </w:rPr>
              <w:t>单位负责人为同一人或者存在直接控股、管理关系的不同供应商，不得参加同一合同项下的政府采购活动；</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6415" w:type="dxa"/>
            <w:tcBorders>
              <w:right w:val="single" w:color="auto" w:sz="4" w:space="0"/>
            </w:tcBorders>
            <w:vAlign w:val="center"/>
          </w:tcPr>
          <w:p>
            <w:pPr>
              <w:pStyle w:val="33"/>
              <w:numPr>
                <w:ilvl w:val="0"/>
                <w:numId w:val="0"/>
              </w:numPr>
              <w:spacing w:line="360" w:lineRule="auto"/>
              <w:rPr>
                <w:rFonts w:hint="eastAsia" w:ascii="仿宋" w:hAnsi="仿宋" w:eastAsia="仿宋" w:cs="仿宋"/>
                <w:color w:val="auto"/>
                <w:sz w:val="24"/>
                <w:szCs w:val="24"/>
                <w:highlight w:val="none"/>
              </w:rPr>
            </w:pPr>
            <w:r>
              <w:rPr>
                <w:rFonts w:hint="eastAsia" w:ascii="仿宋" w:hAnsi="仿宋" w:eastAsia="仿宋" w:cs="Times New Roman"/>
                <w:color w:val="auto"/>
                <w:sz w:val="24"/>
                <w:szCs w:val="24"/>
                <w:lang w:val="en-US" w:eastAsia="zh-CN"/>
              </w:rPr>
              <w:t>为采购项目提供整体设计、规范编制或者项目管理、监理、检测等服务的供应商，不得再参加该采购项目的其他采购活动；</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6415" w:type="dxa"/>
            <w:tcBorders>
              <w:right w:val="single" w:color="auto" w:sz="4" w:space="0"/>
            </w:tcBorders>
            <w:vAlign w:val="center"/>
          </w:tcPr>
          <w:p>
            <w:pPr>
              <w:pStyle w:val="33"/>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Times New Roman"/>
                <w:color w:val="auto"/>
                <w:sz w:val="24"/>
                <w:szCs w:val="24"/>
                <w:lang w:val="en-US" w:eastAsia="zh-CN"/>
              </w:rPr>
              <w:t>本项目接受联合体投标（如为联合体投标，须提供联合体协议书）；</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415" w:type="dxa"/>
            <w:tcBorders>
              <w:right w:val="single" w:color="auto" w:sz="4" w:space="0"/>
            </w:tcBorders>
            <w:vAlign w:val="center"/>
          </w:tcPr>
          <w:p>
            <w:pPr>
              <w:pStyle w:val="33"/>
              <w:numPr>
                <w:ilvl w:val="0"/>
                <w:numId w:val="0"/>
              </w:numPr>
              <w:spacing w:line="360" w:lineRule="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磋商保证金凭证</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6415"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Times New Roman"/>
                <w:color w:val="auto"/>
                <w:sz w:val="24"/>
                <w:szCs w:val="24"/>
                <w:lang w:val="en-US" w:eastAsia="zh-CN"/>
              </w:rPr>
              <w:t>法律、行政法规规定的其他条件。</w:t>
            </w:r>
          </w:p>
        </w:tc>
        <w:tc>
          <w:tcPr>
            <w:tcW w:w="778" w:type="dxa"/>
            <w:tcBorders>
              <w:left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tcBorders>
            <w:vAlign w:val="center"/>
          </w:tcPr>
          <w:p>
            <w:pPr>
              <w:spacing w:line="360" w:lineRule="auto"/>
              <w:jc w:val="left"/>
              <w:rPr>
                <w:rFonts w:hint="eastAsia" w:ascii="仿宋" w:hAnsi="仿宋" w:eastAsia="仿宋" w:cs="仿宋"/>
                <w:color w:val="auto"/>
                <w:sz w:val="24"/>
                <w:szCs w:val="24"/>
                <w:highlight w:val="none"/>
              </w:rPr>
            </w:pPr>
          </w:p>
        </w:tc>
        <w:tc>
          <w:tcPr>
            <w:tcW w:w="778" w:type="dxa"/>
            <w:tcBorders>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457" w:type="dxa"/>
            <w:tcBorders>
              <w:left w:val="single" w:color="auto" w:sz="4" w:space="0"/>
            </w:tcBorders>
          </w:tcPr>
          <w:p>
            <w:pPr>
              <w:spacing w:line="360" w:lineRule="auto"/>
              <w:jc w:val="lef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w:t>
            </w:r>
          </w:p>
        </w:tc>
        <w:tc>
          <w:tcPr>
            <w:tcW w:w="778" w:type="dxa"/>
            <w:tcBorders>
              <w:left w:val="single" w:color="auto" w:sz="4" w:space="0"/>
              <w:bottom w:val="single" w:color="auto" w:sz="12" w:space="0"/>
              <w:right w:val="single" w:color="auto" w:sz="4" w:space="0"/>
            </w:tcBorders>
          </w:tcPr>
          <w:p>
            <w:pPr>
              <w:spacing w:line="360" w:lineRule="auto"/>
              <w:jc w:val="left"/>
              <w:rPr>
                <w:rFonts w:hint="eastAsia" w:ascii="仿宋" w:hAnsi="仿宋" w:eastAsia="仿宋" w:cs="仿宋"/>
                <w:color w:val="auto"/>
                <w:sz w:val="24"/>
                <w:szCs w:val="24"/>
                <w:highlight w:val="none"/>
              </w:rPr>
            </w:pPr>
          </w:p>
        </w:tc>
        <w:tc>
          <w:tcPr>
            <w:tcW w:w="778" w:type="dxa"/>
            <w:tcBorders>
              <w:left w:val="single" w:color="auto" w:sz="4" w:space="0"/>
              <w:bottom w:val="single" w:color="auto" w:sz="12" w:space="0"/>
            </w:tcBorders>
          </w:tcPr>
          <w:p>
            <w:pPr>
              <w:spacing w:line="360" w:lineRule="auto"/>
              <w:jc w:val="left"/>
              <w:rPr>
                <w:rFonts w:hint="eastAsia" w:ascii="仿宋" w:hAnsi="仿宋" w:eastAsia="仿宋" w:cs="仿宋"/>
                <w:color w:val="auto"/>
                <w:sz w:val="24"/>
                <w:szCs w:val="24"/>
                <w:highlight w:val="none"/>
              </w:rPr>
            </w:pPr>
          </w:p>
        </w:tc>
        <w:tc>
          <w:tcPr>
            <w:tcW w:w="778" w:type="dxa"/>
            <w:tcBorders>
              <w:bottom w:val="single" w:color="auto" w:sz="12" w:space="0"/>
            </w:tcBorders>
          </w:tcPr>
          <w:p>
            <w:pPr>
              <w:spacing w:line="360" w:lineRule="auto"/>
              <w:jc w:val="left"/>
              <w:rPr>
                <w:rFonts w:hint="eastAsia" w:ascii="仿宋" w:hAnsi="仿宋" w:eastAsia="仿宋" w:cs="仿宋"/>
                <w:color w:val="auto"/>
                <w:sz w:val="24"/>
                <w:szCs w:val="24"/>
                <w:highlight w:val="none"/>
              </w:rPr>
            </w:pPr>
          </w:p>
        </w:tc>
        <w:tc>
          <w:tcPr>
            <w:tcW w:w="457" w:type="dxa"/>
            <w:tcBorders>
              <w:bottom w:val="single" w:color="auto" w:sz="12" w:space="0"/>
            </w:tcBorders>
          </w:tcPr>
          <w:p>
            <w:pPr>
              <w:spacing w:line="360" w:lineRule="auto"/>
              <w:jc w:val="left"/>
              <w:rPr>
                <w:rFonts w:hint="eastAsia" w:ascii="仿宋" w:hAnsi="仿宋" w:eastAsia="仿宋" w:cs="仿宋"/>
                <w:color w:val="auto"/>
                <w:sz w:val="24"/>
                <w:szCs w:val="24"/>
                <w:highlight w:val="none"/>
              </w:rPr>
            </w:pPr>
          </w:p>
        </w:tc>
      </w:tr>
    </w:tbl>
    <w:p>
      <w:pPr>
        <w:spacing w:line="360" w:lineRule="auto"/>
        <w:jc w:val="left"/>
        <w:outlineLvl w:val="1"/>
        <w:rPr>
          <w:rFonts w:hint="eastAsia" w:ascii="仿宋" w:hAnsi="仿宋" w:eastAsia="仿宋" w:cs="仿宋"/>
          <w:b/>
          <w:bCs/>
          <w:color w:val="auto"/>
          <w:sz w:val="24"/>
          <w:szCs w:val="22"/>
          <w:highlight w:val="none"/>
        </w:rPr>
      </w:pPr>
      <w:bookmarkStart w:id="78" w:name="_Toc25020"/>
      <w:r>
        <w:rPr>
          <w:rFonts w:hint="eastAsia" w:ascii="仿宋" w:hAnsi="仿宋" w:eastAsia="仿宋" w:cs="仿宋"/>
          <w:b/>
          <w:bCs/>
          <w:color w:val="auto"/>
          <w:sz w:val="24"/>
          <w:szCs w:val="22"/>
          <w:highlight w:val="none"/>
        </w:rPr>
        <w:t>2</w:t>
      </w: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rPr>
        <w:t>符合性审查</w:t>
      </w:r>
      <w:bookmarkEnd w:id="78"/>
    </w:p>
    <w:tbl>
      <w:tblPr>
        <w:tblStyle w:val="27"/>
        <w:tblW w:w="9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748"/>
        <w:gridCol w:w="651"/>
        <w:gridCol w:w="651"/>
        <w:gridCol w:w="651"/>
        <w:gridCol w:w="6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398" w:type="dxa"/>
            <w:gridSpan w:val="2"/>
            <w:vMerge w:val="restart"/>
            <w:tcBorders>
              <w:top w:val="single" w:color="auto" w:sz="12"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2561" w:type="dxa"/>
            <w:gridSpan w:val="4"/>
            <w:tcBorders>
              <w:top w:val="single" w:color="auto" w:sz="12" w:space="0"/>
              <w:left w:val="single" w:color="auto" w:sz="4" w:space="0"/>
              <w:bottom w:val="single" w:color="auto" w:sz="4"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7398" w:type="dxa"/>
            <w:gridSpan w:val="2"/>
            <w:vMerge w:val="continue"/>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right w:val="single" w:color="auto" w:sz="4" w:space="0"/>
            </w:tcBorders>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51" w:type="dxa"/>
            <w:tcBorders>
              <w:top w:val="single" w:color="auto" w:sz="4" w:space="0"/>
              <w:left w:val="single" w:color="auto" w:sz="4" w:space="0"/>
            </w:tcBorders>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51"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08"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65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48"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服务期限是否满足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w:t>
            </w:r>
          </w:p>
        </w:tc>
        <w:tc>
          <w:tcPr>
            <w:tcW w:w="651" w:type="dxa"/>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36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650"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748"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磋商有效期是否满足磋商文件要求；</w:t>
            </w:r>
          </w:p>
        </w:tc>
        <w:tc>
          <w:tcPr>
            <w:tcW w:w="651" w:type="dxa"/>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36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650" w:type="dxa"/>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p>
        </w:tc>
        <w:tc>
          <w:tcPr>
            <w:tcW w:w="6748"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磋商报价</w:t>
            </w:r>
            <w:r>
              <w:rPr>
                <w:rFonts w:hint="eastAsia" w:ascii="仿宋" w:hAnsi="仿宋" w:eastAsia="仿宋" w:cs="仿宋"/>
                <w:color w:val="auto"/>
                <w:sz w:val="24"/>
                <w:szCs w:val="24"/>
                <w:highlight w:val="none"/>
              </w:rPr>
              <w:t>是否超过采购预算金额（或最高限价）；</w:t>
            </w:r>
          </w:p>
        </w:tc>
        <w:tc>
          <w:tcPr>
            <w:tcW w:w="651" w:type="dxa"/>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36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650" w:type="dxa"/>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6748"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对同一招标项目作出两个以上报价未明确效力的；</w:t>
            </w:r>
          </w:p>
        </w:tc>
        <w:tc>
          <w:tcPr>
            <w:tcW w:w="651" w:type="dxa"/>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36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650" w:type="dxa"/>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6748"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是否按规定的格式填写，内容不全或关键字迹模糊、无法辨认的；</w:t>
            </w:r>
          </w:p>
        </w:tc>
        <w:tc>
          <w:tcPr>
            <w:tcW w:w="651" w:type="dxa"/>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36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650" w:type="dxa"/>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6748"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文件是否附有</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人不能接受的条件；</w:t>
            </w:r>
          </w:p>
        </w:tc>
        <w:tc>
          <w:tcPr>
            <w:tcW w:w="651" w:type="dxa"/>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36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650" w:type="dxa"/>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7</w:t>
            </w:r>
          </w:p>
        </w:tc>
        <w:tc>
          <w:tcPr>
            <w:tcW w:w="6748"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是否有不符合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中规定的其他实质性要求；</w:t>
            </w:r>
          </w:p>
        </w:tc>
        <w:tc>
          <w:tcPr>
            <w:tcW w:w="651" w:type="dxa"/>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36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650"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748" w:type="dxa"/>
            <w:tcBorders>
              <w:right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是否有违法招标投标纪律的。</w:t>
            </w:r>
          </w:p>
        </w:tc>
        <w:tc>
          <w:tcPr>
            <w:tcW w:w="651" w:type="dxa"/>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tcBorders>
            <w:vAlign w:val="center"/>
          </w:tcPr>
          <w:p>
            <w:pPr>
              <w:spacing w:line="360" w:lineRule="auto"/>
              <w:jc w:val="center"/>
              <w:rPr>
                <w:rFonts w:hint="eastAsia" w:ascii="仿宋" w:hAnsi="仿宋" w:eastAsia="仿宋" w:cs="仿宋"/>
                <w:color w:val="auto"/>
                <w:sz w:val="24"/>
                <w:szCs w:val="24"/>
                <w:highlight w:val="none"/>
              </w:rPr>
            </w:pPr>
          </w:p>
        </w:tc>
        <w:tc>
          <w:tcPr>
            <w:tcW w:w="651" w:type="dxa"/>
            <w:tcBorders>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08" w:type="dxa"/>
            <w:tcBorders>
              <w:left w:val="single" w:color="auto" w:sz="4" w:space="0"/>
            </w:tcBorders>
          </w:tcPr>
          <w:p>
            <w:pPr>
              <w:spacing w:line="360" w:lineRule="auto"/>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7398" w:type="dxa"/>
            <w:gridSpan w:val="2"/>
            <w:tcBorders>
              <w:bottom w:val="single" w:color="auto" w:sz="12" w:space="0"/>
              <w:right w:val="single" w:color="auto" w:sz="4" w:space="0"/>
            </w:tcBorders>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w:t>
            </w:r>
          </w:p>
        </w:tc>
        <w:tc>
          <w:tcPr>
            <w:tcW w:w="651" w:type="dxa"/>
            <w:tcBorders>
              <w:left w:val="single" w:color="auto" w:sz="4" w:space="0"/>
              <w:bottom w:val="single" w:color="auto" w:sz="12" w:space="0"/>
              <w:right w:val="single" w:color="auto" w:sz="4" w:space="0"/>
            </w:tcBorders>
          </w:tcPr>
          <w:p>
            <w:pPr>
              <w:spacing w:line="360" w:lineRule="auto"/>
              <w:jc w:val="center"/>
              <w:rPr>
                <w:rFonts w:hint="eastAsia" w:ascii="仿宋" w:hAnsi="仿宋" w:eastAsia="仿宋" w:cs="仿宋"/>
                <w:color w:val="auto"/>
                <w:sz w:val="24"/>
                <w:szCs w:val="24"/>
                <w:highlight w:val="none"/>
              </w:rPr>
            </w:pPr>
          </w:p>
        </w:tc>
        <w:tc>
          <w:tcPr>
            <w:tcW w:w="651" w:type="dxa"/>
            <w:tcBorders>
              <w:left w:val="single" w:color="auto" w:sz="4" w:space="0"/>
              <w:bottom w:val="single" w:color="auto" w:sz="12" w:space="0"/>
            </w:tcBorders>
          </w:tcPr>
          <w:p>
            <w:pPr>
              <w:spacing w:line="360" w:lineRule="auto"/>
              <w:jc w:val="center"/>
              <w:rPr>
                <w:rFonts w:hint="eastAsia" w:ascii="仿宋" w:hAnsi="仿宋" w:eastAsia="仿宋" w:cs="仿宋"/>
                <w:color w:val="auto"/>
                <w:sz w:val="24"/>
                <w:szCs w:val="24"/>
                <w:highlight w:val="none"/>
              </w:rPr>
            </w:pPr>
          </w:p>
        </w:tc>
        <w:tc>
          <w:tcPr>
            <w:tcW w:w="651" w:type="dxa"/>
            <w:tcBorders>
              <w:bottom w:val="single" w:color="auto" w:sz="12" w:space="0"/>
            </w:tcBorders>
          </w:tcPr>
          <w:p>
            <w:pPr>
              <w:spacing w:line="360" w:lineRule="auto"/>
              <w:jc w:val="center"/>
              <w:rPr>
                <w:rFonts w:hint="eastAsia" w:ascii="仿宋" w:hAnsi="仿宋" w:eastAsia="仿宋" w:cs="仿宋"/>
                <w:color w:val="auto"/>
                <w:sz w:val="24"/>
                <w:szCs w:val="24"/>
                <w:highlight w:val="none"/>
              </w:rPr>
            </w:pPr>
          </w:p>
        </w:tc>
        <w:tc>
          <w:tcPr>
            <w:tcW w:w="608" w:type="dxa"/>
            <w:tcBorders>
              <w:bottom w:val="single" w:color="auto" w:sz="12" w:space="0"/>
            </w:tcBorders>
          </w:tcPr>
          <w:p>
            <w:pPr>
              <w:spacing w:line="360" w:lineRule="auto"/>
              <w:jc w:val="center"/>
              <w:rPr>
                <w:rFonts w:hint="eastAsia" w:ascii="仿宋" w:hAnsi="仿宋" w:eastAsia="仿宋" w:cs="仿宋"/>
                <w:color w:val="auto"/>
                <w:sz w:val="24"/>
                <w:szCs w:val="24"/>
                <w:highlight w:val="none"/>
              </w:rPr>
            </w:pPr>
          </w:p>
        </w:tc>
      </w:tr>
    </w:tbl>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响应程度初步审查通过的投标企业，进入下一步详细评审阶段，未通过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响应程度初步审查的企业，其投标作为无效标，不进入后期评审阶段。</w:t>
      </w:r>
    </w:p>
    <w:p>
      <w:pPr>
        <w:numPr>
          <w:ilvl w:val="0"/>
          <w:numId w:val="0"/>
        </w:numPr>
        <w:spacing w:line="360" w:lineRule="auto"/>
        <w:ind w:leftChars="0"/>
        <w:jc w:val="left"/>
        <w:outlineLvl w:val="1"/>
        <w:rPr>
          <w:rFonts w:hint="eastAsia" w:ascii="仿宋" w:hAnsi="仿宋" w:eastAsia="仿宋" w:cs="仿宋"/>
          <w:b/>
          <w:bCs/>
          <w:color w:val="auto"/>
          <w:sz w:val="24"/>
          <w:szCs w:val="22"/>
          <w:highlight w:val="none"/>
        </w:rPr>
      </w:pPr>
      <w:bookmarkStart w:id="79" w:name="_Toc4069"/>
      <w:r>
        <w:rPr>
          <w:rFonts w:hint="eastAsia" w:ascii="仿宋" w:hAnsi="仿宋" w:eastAsia="仿宋" w:cs="仿宋"/>
          <w:b/>
          <w:bCs/>
          <w:color w:val="auto"/>
          <w:sz w:val="24"/>
          <w:szCs w:val="22"/>
          <w:highlight w:val="none"/>
          <w:lang w:val="en-US" w:eastAsia="zh-CN"/>
        </w:rPr>
        <w:t>3、</w:t>
      </w:r>
      <w:r>
        <w:rPr>
          <w:rFonts w:hint="eastAsia" w:ascii="仿宋" w:hAnsi="仿宋" w:eastAsia="仿宋" w:cs="仿宋"/>
          <w:b/>
          <w:bCs/>
          <w:color w:val="auto"/>
          <w:sz w:val="24"/>
          <w:szCs w:val="22"/>
          <w:highlight w:val="none"/>
        </w:rPr>
        <w:t>详细评审</w:t>
      </w:r>
      <w:bookmarkEnd w:id="79"/>
    </w:p>
    <w:p>
      <w:pPr>
        <w:pStyle w:val="35"/>
        <w:spacing w:line="360" w:lineRule="auto"/>
        <w:jc w:val="both"/>
        <w:rPr>
          <w:rFonts w:hint="eastAsia" w:ascii="仿宋" w:hAnsi="仿宋" w:eastAsia="仿宋" w:cs="仿宋"/>
          <w:color w:val="auto"/>
          <w:sz w:val="28"/>
          <w:szCs w:val="28"/>
          <w:highlight w:val="none"/>
        </w:rPr>
      </w:pPr>
      <w:r>
        <w:rPr>
          <w:rFonts w:hint="eastAsia" w:ascii="仿宋" w:hAnsi="仿宋" w:eastAsia="仿宋" w:cs="仿宋"/>
          <w:b/>
          <w:bCs/>
          <w:color w:val="auto"/>
          <w:sz w:val="24"/>
          <w:szCs w:val="22"/>
          <w:highlight w:val="none"/>
          <w:lang w:val="en-US" w:eastAsia="zh-CN"/>
        </w:rPr>
        <w:t>3.1 商务技术评审表（90分）</w:t>
      </w:r>
    </w:p>
    <w:p>
      <w:pPr>
        <w:pStyle w:val="35"/>
        <w:spacing w:line="360" w:lineRule="auto"/>
        <w:jc w:val="both"/>
        <w:rPr>
          <w:rFonts w:hint="eastAsia" w:ascii="仿宋" w:hAnsi="仿宋" w:eastAsia="仿宋" w:cs="仿宋"/>
          <w:color w:val="auto"/>
          <w:sz w:val="28"/>
          <w:szCs w:val="28"/>
          <w:highlight w:val="none"/>
        </w:rPr>
      </w:pPr>
    </w:p>
    <w:p>
      <w:pPr>
        <w:pStyle w:val="35"/>
        <w:spacing w:line="360" w:lineRule="auto"/>
        <w:jc w:val="both"/>
        <w:rPr>
          <w:rFonts w:hint="eastAsia" w:ascii="仿宋" w:hAnsi="仿宋" w:eastAsia="仿宋" w:cs="仿宋"/>
          <w:color w:val="auto"/>
          <w:sz w:val="28"/>
          <w:szCs w:val="28"/>
          <w:highlight w:val="none"/>
        </w:rPr>
      </w:pPr>
    </w:p>
    <w:p>
      <w:pPr>
        <w:pStyle w:val="35"/>
        <w:spacing w:line="360" w:lineRule="auto"/>
        <w:jc w:val="both"/>
        <w:rPr>
          <w:rFonts w:hint="eastAsia" w:ascii="仿宋" w:hAnsi="仿宋" w:eastAsia="仿宋" w:cs="仿宋"/>
          <w:color w:val="auto"/>
          <w:sz w:val="28"/>
          <w:szCs w:val="28"/>
          <w:highlight w:val="none"/>
        </w:rPr>
      </w:pPr>
    </w:p>
    <w:p>
      <w:pPr>
        <w:pStyle w:val="35"/>
        <w:spacing w:line="360" w:lineRule="auto"/>
        <w:jc w:val="both"/>
        <w:rPr>
          <w:rFonts w:hint="eastAsia" w:ascii="仿宋" w:hAnsi="仿宋" w:eastAsia="仿宋" w:cs="仿宋"/>
          <w:color w:val="auto"/>
          <w:sz w:val="28"/>
          <w:szCs w:val="28"/>
          <w:highlight w:val="none"/>
        </w:rPr>
      </w:pPr>
      <w:bookmarkStart w:id="200" w:name="_GoBack"/>
      <w:bookmarkEnd w:id="200"/>
    </w:p>
    <w:tbl>
      <w:tblPr>
        <w:tblStyle w:val="27"/>
        <w:tblpPr w:leftFromText="180" w:rightFromText="180" w:vertAnchor="text" w:horzAnchor="page" w:tblpX="1424" w:tblpY="96"/>
        <w:tblOverlap w:val="never"/>
        <w:tblW w:w="52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194"/>
        <w:gridCol w:w="1110"/>
        <w:gridCol w:w="5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62" w:type="dxa"/>
            <w:tcBorders>
              <w:top w:val="single" w:color="auto" w:sz="4" w:space="0"/>
              <w:left w:val="single" w:color="auto" w:sz="4" w:space="0"/>
              <w:bottom w:val="single" w:color="auto" w:sz="4" w:space="0"/>
              <w:right w:val="single" w:color="auto" w:sz="4" w:space="0"/>
            </w:tcBorders>
            <w:vAlign w:val="center"/>
          </w:tcPr>
          <w:p>
            <w:pPr>
              <w:widowControl/>
              <w:spacing w:after="100" w:afterAutospacing="1"/>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spacing w:after="100" w:afterAutospacing="1"/>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评标项目</w:t>
            </w:r>
          </w:p>
        </w:tc>
        <w:tc>
          <w:tcPr>
            <w:tcW w:w="1110" w:type="dxa"/>
            <w:tcBorders>
              <w:top w:val="single" w:color="auto" w:sz="4" w:space="0"/>
              <w:left w:val="nil"/>
              <w:bottom w:val="single" w:color="auto" w:sz="4" w:space="0"/>
              <w:right w:val="single" w:color="auto" w:sz="4" w:space="0"/>
            </w:tcBorders>
            <w:vAlign w:val="center"/>
          </w:tcPr>
          <w:p>
            <w:pPr>
              <w:widowControl/>
              <w:spacing w:after="100" w:afterAutospacing="1"/>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分值</w:t>
            </w:r>
          </w:p>
        </w:tc>
        <w:tc>
          <w:tcPr>
            <w:tcW w:w="5751" w:type="dxa"/>
            <w:tcBorders>
              <w:top w:val="single" w:color="auto" w:sz="4" w:space="0"/>
              <w:left w:val="nil"/>
              <w:bottom w:val="single" w:color="auto" w:sz="4" w:space="0"/>
              <w:right w:val="single" w:color="auto" w:sz="4" w:space="0"/>
            </w:tcBorders>
            <w:vAlign w:val="center"/>
          </w:tcPr>
          <w:p>
            <w:pPr>
              <w:widowControl/>
              <w:spacing w:after="100" w:afterAutospacing="1"/>
              <w:ind w:firstLine="480" w:firstLineChars="20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vMerge w:val="restart"/>
            <w:tcBorders>
              <w:top w:val="single" w:color="auto" w:sz="4" w:space="0"/>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商务部分（40）</w:t>
            </w:r>
          </w:p>
        </w:tc>
        <w:tc>
          <w:tcPr>
            <w:tcW w:w="1194" w:type="dxa"/>
            <w:tcBorders>
              <w:top w:val="single" w:color="auto" w:sz="8" w:space="0"/>
              <w:left w:val="single" w:color="auto" w:sz="4" w:space="0"/>
              <w:bottom w:val="single" w:color="auto" w:sz="4" w:space="0"/>
              <w:right w:val="single" w:color="auto" w:sz="8" w:space="0"/>
            </w:tcBorders>
            <w:tcMar>
              <w:top w:w="60" w:type="dxa"/>
              <w:left w:w="60" w:type="dxa"/>
              <w:bottom w:w="60" w:type="dxa"/>
              <w:right w:w="60" w:type="dxa"/>
            </w:tcMar>
            <w:vAlign w:val="center"/>
          </w:tcPr>
          <w:p>
            <w:pPr>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类似项目业绩</w:t>
            </w:r>
          </w:p>
        </w:tc>
        <w:tc>
          <w:tcPr>
            <w:tcW w:w="1110" w:type="dxa"/>
            <w:tcBorders>
              <w:top w:val="single" w:color="auto" w:sz="4" w:space="0"/>
              <w:left w:val="nil"/>
              <w:bottom w:val="single" w:color="auto" w:sz="4" w:space="0"/>
              <w:right w:val="single" w:color="auto" w:sz="8" w:space="0"/>
            </w:tcBorders>
            <w:tcMar>
              <w:top w:w="60" w:type="dxa"/>
              <w:left w:w="60" w:type="dxa"/>
              <w:bottom w:w="60" w:type="dxa"/>
              <w:right w:w="60" w:type="dxa"/>
            </w:tcMar>
            <w:vAlign w:val="center"/>
          </w:tcPr>
          <w:p>
            <w:pPr>
              <w:spacing w:line="28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p>
        </w:tc>
        <w:tc>
          <w:tcPr>
            <w:tcW w:w="5751" w:type="dxa"/>
            <w:tcBorders>
              <w:top w:val="single" w:color="auto" w:sz="4" w:space="0"/>
              <w:left w:val="nil"/>
              <w:bottom w:val="single" w:color="auto" w:sz="4" w:space="0"/>
              <w:right w:val="single" w:color="auto" w:sz="8" w:space="0"/>
            </w:tcBorders>
            <w:tcMar>
              <w:top w:w="60" w:type="dxa"/>
              <w:left w:w="60" w:type="dxa"/>
              <w:bottom w:w="60" w:type="dxa"/>
              <w:right w:w="60" w:type="dxa"/>
            </w:tcMar>
            <w:vAlign w:val="center"/>
          </w:tcPr>
          <w:p>
            <w:pPr>
              <w:widowControl/>
              <w:rPr>
                <w:rFonts w:hint="eastAsia" w:ascii="仿宋" w:hAnsi="仿宋" w:eastAsia="仿宋" w:cs="仿宋"/>
                <w:color w:val="auto"/>
                <w:sz w:val="24"/>
                <w:szCs w:val="24"/>
              </w:rPr>
            </w:pPr>
            <w:r>
              <w:rPr>
                <w:rFonts w:hint="eastAsia" w:ascii="仿宋" w:hAnsi="仿宋" w:eastAsia="仿宋" w:cs="仿宋"/>
                <w:color w:val="auto"/>
                <w:sz w:val="24"/>
                <w:szCs w:val="24"/>
              </w:rPr>
              <w:t>近三年（2020年至今）承担过类似项目业绩如承担过自然资源确权登记类、登记确权类、及大中型土地勘测定界项目。每个业绩得1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分，最高得1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vMerge w:val="continue"/>
            <w:tcBorders>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拟投入</w:t>
            </w:r>
            <w:r>
              <w:rPr>
                <w:rFonts w:hint="eastAsia" w:ascii="仿宋" w:hAnsi="仿宋" w:eastAsia="仿宋" w:cs="仿宋"/>
                <w:color w:val="auto"/>
                <w:kern w:val="0"/>
                <w:sz w:val="24"/>
                <w:szCs w:val="24"/>
              </w:rPr>
              <w:t>仪器设备</w:t>
            </w: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分</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pStyle w:val="18"/>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SA"/>
              </w:rPr>
              <w:t>拟投入仪器设备数量能满足需求并保证能同时使用，分配合理、提前完成任务的得9分；拟投入仪器设备数量能满足需求并保证能同时使用，分配合理、按时完成任务的得5分；拟投入仪器设备数量能满足需求不保证能同时使用，分配不合理、按时完成任务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vMerge w:val="continue"/>
            <w:tcBorders>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项目负责人</w:t>
            </w: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4分</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pStyle w:val="18"/>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项目</w:t>
            </w:r>
            <w:r>
              <w:rPr>
                <w:rFonts w:hint="eastAsia" w:ascii="仿宋" w:hAnsi="仿宋" w:eastAsia="仿宋" w:cs="仿宋"/>
                <w:color w:val="auto"/>
                <w:sz w:val="24"/>
                <w:szCs w:val="24"/>
                <w:lang w:val="en-US" w:eastAsia="zh-CN"/>
              </w:rPr>
              <w:t>负责人</w:t>
            </w:r>
            <w:r>
              <w:rPr>
                <w:rFonts w:hint="eastAsia" w:ascii="仿宋" w:hAnsi="仿宋" w:eastAsia="仿宋" w:cs="仿宋"/>
                <w:color w:val="auto"/>
                <w:sz w:val="24"/>
                <w:szCs w:val="24"/>
              </w:rPr>
              <w:t>具有测绘高级工程师职称、核心涉密人员保密培训合格证书的得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vMerge w:val="continue"/>
            <w:tcBorders>
              <w:left w:val="single" w:color="auto" w:sz="4" w:space="0"/>
              <w:bottom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项目组成员</w:t>
            </w: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2</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、驻场技术负责人具有高级工程师职称、注册测绘师资格证书、安全生产知识和管理能力考核合格证书的得3分，缺一项不得分；</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、投入的其他人员具有测绘高级工程师职称，每有</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人得1分，该项最高得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pStyle w:val="1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、投入的其他人员具有</w:t>
            </w:r>
            <w:r>
              <w:rPr>
                <w:rFonts w:hint="eastAsia" w:ascii="仿宋" w:hAnsi="仿宋" w:eastAsia="仿宋" w:cs="仿宋"/>
                <w:color w:val="auto"/>
                <w:sz w:val="24"/>
                <w:szCs w:val="24"/>
                <w:lang w:val="en-US" w:eastAsia="zh-CN"/>
              </w:rPr>
              <w:t>测绘工程师每2人</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分，最高4分</w:t>
            </w:r>
            <w:r>
              <w:rPr>
                <w:rFonts w:hint="eastAsia" w:ascii="仿宋" w:hAnsi="仿宋" w:eastAsia="仿宋" w:cs="仿宋"/>
                <w:color w:val="auto"/>
                <w:sz w:val="24"/>
                <w:szCs w:val="24"/>
                <w:lang w:eastAsia="zh-CN"/>
              </w:rPr>
              <w:t>；</w:t>
            </w:r>
          </w:p>
          <w:p>
            <w:pPr>
              <w:rPr>
                <w:rFonts w:hint="eastAsia" w:ascii="仿宋" w:hAnsi="仿宋" w:eastAsia="仿宋" w:cs="仿宋"/>
                <w:color w:val="auto"/>
                <w:sz w:val="24"/>
                <w:szCs w:val="24"/>
              </w:rPr>
            </w:pPr>
            <w:r>
              <w:rPr>
                <w:rFonts w:hint="eastAsia" w:ascii="仿宋" w:hAnsi="仿宋" w:eastAsia="仿宋" w:cs="仿宋"/>
                <w:b/>
                <w:bCs/>
                <w:color w:val="auto"/>
                <w:sz w:val="24"/>
                <w:szCs w:val="24"/>
              </w:rPr>
              <w:t>注：提供以上人员相关证书及近三个月社保缴纳证明。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vMerge w:val="restart"/>
            <w:tcBorders>
              <w:top w:val="single" w:color="auto" w:sz="4" w:space="0"/>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技术部分（50分）</w:t>
            </w: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项目理解</w:t>
            </w: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供应商对自然资源统一确权登记工作背景、必要性、可行性及目标的理解，对招标文件提供的业务需求书进行分析。</w:t>
            </w:r>
          </w:p>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1、需求分析理解全面，目标任务清晰明确，具有规范性和可行性得10分；</w:t>
            </w:r>
          </w:p>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2、需求分析理解全面，部分目标任务描述明确，具有一定的规范性和可操作性得6分；</w:t>
            </w:r>
          </w:p>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3、需求分析理解片面，部分目标任务存在描述不明确和不可操作性得2分；</w:t>
            </w:r>
          </w:p>
          <w:p>
            <w:pPr>
              <w:pStyle w:val="10"/>
              <w:rPr>
                <w:rFonts w:hint="eastAsia" w:ascii="仿宋" w:hAnsi="仿宋" w:eastAsia="仿宋" w:cs="仿宋"/>
                <w:color w:val="auto"/>
                <w:sz w:val="24"/>
                <w:szCs w:val="24"/>
              </w:rPr>
            </w:pPr>
            <w:r>
              <w:rPr>
                <w:rFonts w:hint="eastAsia" w:ascii="仿宋" w:hAnsi="仿宋" w:eastAsia="仿宋" w:cs="仿宋"/>
                <w:b w:val="0"/>
                <w:bCs/>
                <w:color w:val="auto"/>
                <w:kern w:val="2"/>
                <w:sz w:val="24"/>
                <w:szCs w:val="24"/>
                <w:lang w:val="en-US" w:eastAsia="zh-CN" w:bidi="ar-SA"/>
              </w:rPr>
              <w:t>4、整体需求理解不正确，分析不合理，不具有可操作性或未提供得0分。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62" w:type="dxa"/>
            <w:vMerge w:val="continue"/>
            <w:tcBorders>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技术方案</w:t>
            </w: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结合项目实际，针对本项目中自然资源确权登记工作具有符合《自然资源确权登记操作指南（试行）》要求的技术路线图（框架图），对自然资源确权登记工作步骤、技术流程描述得完整、具体、可操作及相互衔接的程度，主要工作内容把握得正确/详细程度，结合各项目具体实际情况提出的技术路线的可执行程度。</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1、工作步骤、技术流程完整、相互衔接、可操作，主要内容细化具体、把握准确，结合项目具体实际可执行，得14-10分；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2、工作步骤、技术流程完整、相互衔接、可操作，主要内容不突出，具有一定可执行性，得10-5分；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3、工作步骤、技术流程相对完整、能衔接、具有一定操作性，但主要内容泛化，未结合项目具体实际进行细化，可执行性不强，得5-1分；</w:t>
            </w:r>
          </w:p>
          <w:p>
            <w:pPr>
              <w:widowControl/>
              <w:jc w:val="left"/>
              <w:rPr>
                <w:rFonts w:hint="eastAsia" w:ascii="仿宋" w:hAnsi="仿宋" w:eastAsia="仿宋" w:cs="仿宋"/>
                <w:color w:val="auto"/>
                <w:kern w:val="0"/>
                <w:sz w:val="24"/>
                <w:szCs w:val="24"/>
              </w:rPr>
            </w:pPr>
            <w:r>
              <w:rPr>
                <w:rFonts w:hint="eastAsia" w:ascii="仿宋" w:hAnsi="仿宋" w:eastAsia="仿宋" w:cs="仿宋"/>
                <w:b w:val="0"/>
                <w:bCs/>
                <w:color w:val="auto"/>
                <w:kern w:val="2"/>
                <w:sz w:val="24"/>
                <w:szCs w:val="24"/>
                <w:lang w:val="en-US" w:eastAsia="zh-CN" w:bidi="ar-SA"/>
              </w:rPr>
              <w:t>4、整体逻辑混乱、矛盾，设计不合理，不具备可执行性或未提供，得0分。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62" w:type="dxa"/>
            <w:vMerge w:val="continue"/>
            <w:tcBorders>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重点难点问题分析及应对措施</w:t>
            </w:r>
          </w:p>
          <w:p>
            <w:pPr>
              <w:widowControl/>
              <w:spacing w:after="100" w:afterAutospacing="1"/>
              <w:jc w:val="center"/>
              <w:rPr>
                <w:rFonts w:hint="eastAsia" w:ascii="仿宋" w:hAnsi="仿宋" w:eastAsia="仿宋" w:cs="仿宋"/>
                <w:color w:val="auto"/>
                <w:kern w:val="0"/>
                <w:sz w:val="24"/>
                <w:szCs w:val="24"/>
              </w:rPr>
            </w:pP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8分</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对项目可能存在的问题进行重点难点分析，提出解决方案或合理化建议，整体分析和措施理解深入、逻辑清晰、重点难点定位准确，具有可执行性和可操作性。</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1、重点难点问题理解正确、把握准确，解决思路清晰，方案措施可执行、可操作得8-5分；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2、重点难点问题把握基本准确，解决思路基本清晰，提出方案措施，但未结合具体实际，可执行和可操作不强得5-3分；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3、提出重点难点问题，但大而化之，解决思路不够清晰，方案措施缺乏可执行、可操作性得3-1分；</w:t>
            </w:r>
          </w:p>
          <w:p>
            <w:pPr>
              <w:widowControl/>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4、重点难点问题把握不准确、不全面，解决思路不清晰，方案措施不具有可执行、可操作性得0分。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2" w:type="dxa"/>
            <w:vMerge w:val="continue"/>
            <w:tcBorders>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质量保证</w:t>
            </w: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8分</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1、质量控制有总目标，质量保障体系措施完善具有可行性，对各阶段的质量进行了准确的目标分解，对质量控制各分解目标有明确的控制点且合理得8-5分；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2、质量控制有总目标，质量保障体系措施完善具有可行性，对各阶段的质量进行了目标分解，但对质量控制各分解目标明确的控制点缺乏合理性得5-3分；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3、质量控制有总目标或未提供总目标，质量保障体系措施不完善，缺少对各阶段的质量目标分解和控制点或目标分解和控制点缺乏合理性得3-1分；</w:t>
            </w:r>
          </w:p>
          <w:p>
            <w:pPr>
              <w:rPr>
                <w:rFonts w:hint="eastAsia" w:ascii="仿宋" w:hAnsi="仿宋" w:eastAsia="仿宋" w:cs="仿宋"/>
                <w:color w:val="auto"/>
                <w:sz w:val="24"/>
                <w:szCs w:val="24"/>
              </w:rPr>
            </w:pPr>
            <w:r>
              <w:rPr>
                <w:rFonts w:hint="eastAsia" w:ascii="仿宋" w:hAnsi="仿宋" w:eastAsia="仿宋" w:cs="仿宋"/>
                <w:b w:val="0"/>
                <w:bCs/>
                <w:color w:val="auto"/>
                <w:kern w:val="2"/>
                <w:sz w:val="24"/>
                <w:szCs w:val="24"/>
                <w:lang w:val="en-US" w:eastAsia="zh-CN" w:bidi="ar-SA"/>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2" w:type="dxa"/>
            <w:vMerge w:val="continue"/>
            <w:tcBorders>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售后服务</w:t>
            </w: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提供的售后服务方案应包含：售后服务内容、服务措施、服务体系、现场技术支持方案、培训方案、及时响应时间等内容。从方案内容的全面性、完整性进行横向比较。</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bCs/>
                <w:color w:val="auto"/>
                <w:sz w:val="24"/>
                <w:szCs w:val="24"/>
                <w:lang w:val="en-US" w:eastAsia="zh-CN"/>
              </w:rPr>
              <w:t>1、</w:t>
            </w:r>
            <w:r>
              <w:rPr>
                <w:rFonts w:hint="eastAsia" w:ascii="仿宋" w:hAnsi="仿宋" w:eastAsia="仿宋" w:cs="仿宋"/>
                <w:b w:val="0"/>
                <w:bCs/>
                <w:color w:val="auto"/>
                <w:kern w:val="2"/>
                <w:sz w:val="24"/>
                <w:szCs w:val="24"/>
                <w:lang w:val="en-US" w:eastAsia="zh-CN" w:bidi="ar-SA"/>
              </w:rPr>
              <w:t>售后服务方案切实可行、内容完整，提供的现场技术支持方案内容充实，可操作性强；培训方案包括培训目的，培训内容，培训计划等内容。优秀：得5-3分；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2、售后服务方案可行、内容较完整，提供的现场技术支持方案内容简单，基本可行；培训方案包括培训目的，培训内容，培训计划等内容。良好：得3-1分；</w:t>
            </w:r>
          </w:p>
          <w:p>
            <w:pPr>
              <w:rPr>
                <w:rFonts w:hint="eastAsia" w:ascii="仿宋" w:hAnsi="仿宋" w:eastAsia="仿宋" w:cs="仿宋"/>
                <w:color w:val="auto"/>
                <w:sz w:val="24"/>
                <w:szCs w:val="24"/>
              </w:rPr>
            </w:pPr>
            <w:r>
              <w:rPr>
                <w:rFonts w:hint="eastAsia" w:ascii="仿宋" w:hAnsi="仿宋" w:eastAsia="仿宋" w:cs="仿宋"/>
                <w:b w:val="0"/>
                <w:bCs/>
                <w:color w:val="auto"/>
                <w:kern w:val="2"/>
                <w:sz w:val="24"/>
                <w:szCs w:val="24"/>
                <w:lang w:val="en-US" w:eastAsia="zh-CN" w:bidi="ar-SA"/>
              </w:rPr>
              <w:t>3、售后服务方案一般、内容简单，提供的现场技术支持方案无具体内容，可行性差；培训方案仅简述培训目的，培训内容，培训计划等内容。差：得0分；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2" w:type="dxa"/>
            <w:vMerge w:val="continue"/>
            <w:tcBorders>
              <w:left w:val="single" w:color="auto" w:sz="4" w:space="0"/>
              <w:right w:val="single" w:color="auto" w:sz="4"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p>
        </w:tc>
        <w:tc>
          <w:tcPr>
            <w:tcW w:w="1194" w:type="dxa"/>
            <w:tcBorders>
              <w:top w:val="single" w:color="auto" w:sz="8" w:space="0"/>
              <w:left w:val="single" w:color="auto" w:sz="4" w:space="0"/>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进度安排及保证措施</w:t>
            </w:r>
          </w:p>
        </w:tc>
        <w:tc>
          <w:tcPr>
            <w:tcW w:w="1110"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widowControl/>
              <w:spacing w:after="100" w:afterAutospacing="1"/>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w:t>
            </w:r>
          </w:p>
        </w:tc>
        <w:tc>
          <w:tcPr>
            <w:tcW w:w="5751" w:type="dxa"/>
            <w:tcBorders>
              <w:top w:val="single" w:color="auto" w:sz="8" w:space="0"/>
              <w:left w:val="nil"/>
              <w:bottom w:val="single" w:color="auto" w:sz="8" w:space="0"/>
              <w:right w:val="single" w:color="auto" w:sz="8" w:space="0"/>
            </w:tcBorders>
            <w:tcMar>
              <w:top w:w="60" w:type="dxa"/>
              <w:left w:w="60" w:type="dxa"/>
              <w:bottom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供应商根据项目任务和时限要求，提供了详细可行、科学合理的项目实施计划和方案，实施计划和方案中对项目工作进度进行了工作分解并对分解的工作明确了时间控制点，整个项目进度时间点优于招标文件要求得5-3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供应商根据项目任务和时限要求，提供了符合的项目实施计划和方案，但部分内容缺少可行性和合理性，提供的实施计划和方案中对项目工作进度进行了工作分解并对分解的工作明确了时间控制点，整个项目进度时间点优于招标文件要求得3-1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仿宋" w:hAnsi="仿宋" w:eastAsia="仿宋" w:cs="仿宋"/>
                <w:color w:val="auto"/>
                <w:sz w:val="24"/>
                <w:szCs w:val="24"/>
              </w:rPr>
            </w:pPr>
            <w:r>
              <w:rPr>
                <w:rFonts w:hint="eastAsia" w:ascii="仿宋" w:hAnsi="仿宋" w:eastAsia="仿宋" w:cs="仿宋"/>
                <w:b w:val="0"/>
                <w:bCs/>
                <w:color w:val="auto"/>
                <w:kern w:val="2"/>
                <w:sz w:val="24"/>
                <w:szCs w:val="24"/>
                <w:lang w:val="en-US" w:eastAsia="zh-CN" w:bidi="ar-SA"/>
              </w:rPr>
              <w:t>3、供应商根据项目任务和时限要求，提供了符合的项目实施计划和方案，但部分内容缺少可行性和合理性，提供的实施计划和方案中对项目的工作分解和时间控制点不明确或缺乏可执行性，整个项目进度时间满足招标文件要求得1-0分。</w:t>
            </w:r>
          </w:p>
        </w:tc>
      </w:tr>
    </w:tbl>
    <w:p>
      <w:pPr>
        <w:pStyle w:val="35"/>
        <w:spacing w:line="360" w:lineRule="auto"/>
        <w:jc w:val="both"/>
        <w:rPr>
          <w:rFonts w:hint="eastAsia" w:ascii="仿宋" w:hAnsi="仿宋" w:eastAsia="仿宋" w:cs="仿宋"/>
          <w:b/>
          <w:bCs/>
          <w:color w:val="auto"/>
          <w:sz w:val="24"/>
          <w:szCs w:val="22"/>
          <w:highlight w:val="none"/>
          <w:lang w:val="en-US" w:eastAsia="zh-CN"/>
        </w:rPr>
      </w:pPr>
    </w:p>
    <w:p>
      <w:pPr>
        <w:pStyle w:val="35"/>
        <w:spacing w:line="360" w:lineRule="auto"/>
        <w:jc w:val="both"/>
        <w:rPr>
          <w:rFonts w:hint="eastAsia" w:ascii="仿宋" w:hAnsi="仿宋" w:eastAsia="仿宋" w:cs="仿宋"/>
          <w:color w:val="auto"/>
          <w:sz w:val="28"/>
          <w:szCs w:val="28"/>
          <w:highlight w:val="none"/>
        </w:rPr>
      </w:pPr>
      <w:r>
        <w:rPr>
          <w:rFonts w:hint="eastAsia" w:ascii="仿宋" w:hAnsi="仿宋" w:eastAsia="仿宋" w:cs="仿宋"/>
          <w:b/>
          <w:bCs/>
          <w:color w:val="auto"/>
          <w:sz w:val="24"/>
          <w:szCs w:val="22"/>
          <w:highlight w:val="none"/>
          <w:lang w:val="en-US" w:eastAsia="zh-CN"/>
        </w:rPr>
        <w:t>3.2 报价评审表（10分）</w:t>
      </w:r>
    </w:p>
    <w:tbl>
      <w:tblPr>
        <w:tblStyle w:val="28"/>
        <w:tblW w:w="9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2793"/>
        <w:gridCol w:w="3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0" w:type="dxa"/>
            <w:vMerge w:val="restart"/>
            <w:vAlign w:val="center"/>
          </w:tcPr>
          <w:p>
            <w:pPr>
              <w:spacing w:line="36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投标报价评分标准</w:t>
            </w:r>
          </w:p>
          <w:p>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（满分 10 分）</w:t>
            </w:r>
          </w:p>
        </w:tc>
        <w:tc>
          <w:tcPr>
            <w:tcW w:w="2793" w:type="dxa"/>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评标基准价</w:t>
            </w:r>
          </w:p>
        </w:tc>
        <w:tc>
          <w:tcPr>
            <w:tcW w:w="3910" w:type="dxa"/>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满足磋商文件要求且最终价格最低的投标报价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0" w:type="dxa"/>
            <w:vMerge w:val="continue"/>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p>
        </w:tc>
        <w:tc>
          <w:tcPr>
            <w:tcW w:w="2793" w:type="dxa"/>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投标报价得分</w:t>
            </w:r>
          </w:p>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计算方法</w:t>
            </w:r>
          </w:p>
        </w:tc>
        <w:tc>
          <w:tcPr>
            <w:tcW w:w="3910" w:type="dxa"/>
            <w:vAlign w:val="center"/>
          </w:tcPr>
          <w:p>
            <w:pPr>
              <w:spacing w:line="360" w:lineRule="auto"/>
              <w:ind w:firstLine="482" w:firstLineChars="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价格得分=（评标基准价÷投标报价）×10</w:t>
            </w:r>
          </w:p>
        </w:tc>
      </w:tr>
    </w:tbl>
    <w:p>
      <w:pPr>
        <w:spacing w:line="360" w:lineRule="auto"/>
        <w:ind w:firstLine="472" w:firstLineChars="200"/>
        <w:rPr>
          <w:rFonts w:hint="eastAsia" w:ascii="仿宋" w:hAnsi="仿宋" w:eastAsia="仿宋" w:cs="仿宋"/>
          <w:color w:val="auto"/>
          <w:spacing w:val="-2"/>
          <w:sz w:val="24"/>
          <w:highlight w:val="none"/>
        </w:rPr>
      </w:pPr>
    </w:p>
    <w:p>
      <w:pPr>
        <w:spacing w:line="360" w:lineRule="auto"/>
        <w:ind w:firstLine="472" w:firstLineChars="20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 xml:space="preserve"> 说明：1、经初步评审合格的响应文件，评标委员会应当根据</w:t>
      </w:r>
      <w:r>
        <w:rPr>
          <w:rFonts w:hint="eastAsia" w:ascii="仿宋" w:hAnsi="仿宋" w:eastAsia="仿宋" w:cs="仿宋"/>
          <w:color w:val="auto"/>
          <w:spacing w:val="-2"/>
          <w:sz w:val="24"/>
          <w:highlight w:val="none"/>
          <w:lang w:eastAsia="zh-CN"/>
        </w:rPr>
        <w:t>磋商文件</w:t>
      </w:r>
      <w:r>
        <w:rPr>
          <w:rFonts w:hint="eastAsia" w:ascii="仿宋" w:hAnsi="仿宋" w:eastAsia="仿宋" w:cs="仿宋"/>
          <w:color w:val="auto"/>
          <w:spacing w:val="-2"/>
          <w:sz w:val="24"/>
          <w:highlight w:val="none"/>
        </w:rPr>
        <w:t>确定的评标标准和方法，对其技术和商务部分作进一步的评审和比较。</w:t>
      </w:r>
    </w:p>
    <w:p>
      <w:pPr>
        <w:spacing w:line="360" w:lineRule="auto"/>
        <w:ind w:firstLine="472" w:firstLineChars="20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2、在评审过程中，为了有助于对</w:t>
      </w:r>
      <w:r>
        <w:rPr>
          <w:rFonts w:hint="eastAsia" w:ascii="仿宋" w:hAnsi="仿宋" w:eastAsia="仿宋" w:cs="仿宋"/>
          <w:color w:val="auto"/>
          <w:spacing w:val="-2"/>
          <w:sz w:val="24"/>
          <w:highlight w:val="none"/>
          <w:lang w:eastAsia="zh-CN"/>
        </w:rPr>
        <w:t>响应文件</w:t>
      </w:r>
      <w:r>
        <w:rPr>
          <w:rFonts w:hint="eastAsia" w:ascii="仿宋" w:hAnsi="仿宋" w:eastAsia="仿宋" w:cs="仿宋"/>
          <w:color w:val="auto"/>
          <w:spacing w:val="-2"/>
          <w:sz w:val="24"/>
          <w:highlight w:val="none"/>
        </w:rPr>
        <w:t>进行审查、评估和比较，招标方有权向</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质疑，请</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澄清投标内容。</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有责任按照采购方通知的时间、地点指派专人进行答疑和澄清。评标委员会可能要求</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就响应文件中的内容进行答辩，采购方将以书面形式通知</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应按要求进行答辩。</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rPr>
          <w:rFonts w:hint="eastAsia" w:ascii="仿宋" w:hAnsi="仿宋" w:eastAsia="仿宋" w:cs="仿宋"/>
          <w:b/>
          <w:color w:val="auto"/>
          <w:sz w:val="24"/>
          <w:highlight w:val="none"/>
        </w:rPr>
      </w:pPr>
    </w:p>
    <w:p>
      <w:pPr>
        <w:pStyle w:val="25"/>
        <w:rPr>
          <w:rFonts w:hint="eastAsia" w:ascii="仿宋" w:hAnsi="仿宋" w:eastAsia="仿宋" w:cs="仿宋"/>
          <w:b/>
          <w:color w:val="auto"/>
          <w:sz w:val="24"/>
          <w:highlight w:val="none"/>
        </w:rPr>
      </w:pPr>
    </w:p>
    <w:p>
      <w:pPr>
        <w:pStyle w:val="25"/>
        <w:ind w:left="0" w:leftChars="0" w:firstLine="0" w:firstLineChars="0"/>
        <w:rPr>
          <w:rFonts w:hint="eastAsia"/>
        </w:rPr>
      </w:pPr>
    </w:p>
    <w:p>
      <w:pPr>
        <w:pStyle w:val="43"/>
        <w:numPr>
          <w:ilvl w:val="0"/>
          <w:numId w:val="0"/>
        </w:numPr>
        <w:spacing w:line="360" w:lineRule="auto"/>
        <w:ind w:firstLine="3915" w:firstLineChars="1300"/>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定标</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1、确定</w:t>
      </w:r>
      <w:r>
        <w:rPr>
          <w:rFonts w:hint="eastAsia" w:ascii="仿宋" w:hAnsi="仿宋" w:eastAsia="仿宋" w:cs="仿宋"/>
          <w:color w:val="auto"/>
          <w:kern w:val="0"/>
          <w:sz w:val="24"/>
          <w:szCs w:val="24"/>
          <w:highlight w:val="none"/>
          <w:lang w:eastAsia="zh-CN"/>
        </w:rPr>
        <w:t>成交单位</w:t>
      </w:r>
      <w:r>
        <w:rPr>
          <w:rFonts w:hint="eastAsia" w:ascii="仿宋" w:hAnsi="仿宋" w:eastAsia="仿宋" w:cs="仿宋"/>
          <w:color w:val="auto"/>
          <w:kern w:val="0"/>
          <w:sz w:val="24"/>
          <w:szCs w:val="24"/>
          <w:highlight w:val="none"/>
        </w:rPr>
        <w:t xml:space="preserve">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 评委会根据本竞争性磋商文件规定评分办法与评分标准向采购人推荐</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 xml:space="preserve">候选人排名。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 采购单位公示期限1个工作日。</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1.3若有充分证据证明，入围单位出现下列情况之一的，一经查实，将被取消入围资格：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（1）提供虚假材料谋取入围的。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（2）向采购单位或招标代理公司行贿或者提供其他不正当利益的。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（3）恶意竞争，</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 xml:space="preserve">总报价明显低于其自身合理成本且又无法提供证明的。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（4）属于本文件规定的无效条件，但在评标过程中又未被评委会发现的。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（5）与采购人或者其他供应商恶意串通的。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（6）采取不正当手段诋毁、排挤其他供应商的。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有下列情形之一的，视为</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 xml:space="preserve">串通投标，投标无效：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由同一单位或者个人编制。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 xml:space="preserve">委托同一单位或者个人办理投标事宜。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载明的项目管理成员或者联系人员为同一人。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异常一致或者</w:t>
      </w:r>
      <w:r>
        <w:rPr>
          <w:rFonts w:hint="eastAsia" w:ascii="仿宋" w:hAnsi="仿宋" w:eastAsia="仿宋" w:cs="仿宋"/>
          <w:color w:val="auto"/>
          <w:kern w:val="0"/>
          <w:sz w:val="24"/>
          <w:szCs w:val="24"/>
          <w:highlight w:val="none"/>
          <w:lang w:eastAsia="zh-CN"/>
        </w:rPr>
        <w:t>磋商报价</w:t>
      </w:r>
      <w:r>
        <w:rPr>
          <w:rFonts w:hint="eastAsia" w:ascii="仿宋" w:hAnsi="仿宋" w:eastAsia="仿宋" w:cs="仿宋"/>
          <w:color w:val="auto"/>
          <w:kern w:val="0"/>
          <w:sz w:val="24"/>
          <w:szCs w:val="24"/>
          <w:highlight w:val="none"/>
        </w:rPr>
        <w:t xml:space="preserve">呈规律性差异。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相互混装。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不同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磋商保证金</w:t>
      </w:r>
      <w:r>
        <w:rPr>
          <w:rFonts w:hint="eastAsia" w:ascii="仿宋" w:hAnsi="仿宋" w:eastAsia="仿宋" w:cs="仿宋"/>
          <w:color w:val="auto"/>
          <w:kern w:val="0"/>
          <w:sz w:val="24"/>
          <w:szCs w:val="24"/>
          <w:highlight w:val="none"/>
        </w:rPr>
        <w:t xml:space="preserve">从同一单位或者个人的账户转出。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3、如磋商小组认为有必要，可以对第一成交候选人就</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所提供的内容进行资格后审。如果确定第一成交候选人无法履行合同，将依次对其他成交候选人进行类似的审查。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4不接受最终审查或在最终审查过程中提供虚假资料的成交候选人，成交候选人资格将被取消，同时按照政府采购的相关法律、法规子以处罚。</w:t>
      </w:r>
    </w:p>
    <w:p>
      <w:pPr>
        <w:spacing w:line="360" w:lineRule="auto"/>
        <w:rPr>
          <w:rFonts w:hint="eastAsia" w:ascii="仿宋" w:hAnsi="仿宋" w:eastAsia="仿宋" w:cs="仿宋"/>
          <w:b/>
          <w:color w:val="auto"/>
          <w:sz w:val="24"/>
          <w:highlight w:val="none"/>
        </w:rPr>
      </w:pPr>
    </w:p>
    <w:p>
      <w:pPr>
        <w:pStyle w:val="43"/>
        <w:numPr>
          <w:ilvl w:val="0"/>
          <w:numId w:val="0"/>
        </w:numPr>
        <w:spacing w:line="360" w:lineRule="auto"/>
        <w:ind w:firstLine="3012" w:firstLineChars="1000"/>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t>成交公示</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lang w:eastAsia="zh-CN"/>
        </w:rPr>
        <w:t>成交通知书</w:t>
      </w:r>
      <w:r>
        <w:rPr>
          <w:rFonts w:hint="eastAsia" w:ascii="仿宋" w:hAnsi="仿宋" w:eastAsia="仿宋" w:cs="仿宋"/>
          <w:color w:val="auto"/>
          <w:kern w:val="0"/>
          <w:sz w:val="24"/>
          <w:szCs w:val="24"/>
          <w:highlight w:val="none"/>
        </w:rPr>
        <w:t>发出前，</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将</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的情况在政采云平台https://www.zcygov.cn上予以公示，公示期为一个工作日。</w:t>
      </w:r>
    </w:p>
    <w:p>
      <w:pPr>
        <w:pStyle w:val="7"/>
        <w:spacing w:line="360" w:lineRule="auto"/>
        <w:ind w:firstLine="0"/>
        <w:rPr>
          <w:rFonts w:hint="eastAsia" w:ascii="仿宋" w:hAnsi="仿宋" w:eastAsia="仿宋" w:cs="仿宋"/>
          <w:color w:val="auto"/>
          <w:sz w:val="24"/>
          <w:highlight w:val="none"/>
        </w:rPr>
      </w:pPr>
    </w:p>
    <w:p>
      <w:pPr>
        <w:pStyle w:val="7"/>
        <w:spacing w:line="360" w:lineRule="auto"/>
        <w:ind w:firstLine="0"/>
        <w:rPr>
          <w:rFonts w:hint="eastAsia" w:ascii="仿宋" w:hAnsi="仿宋" w:eastAsia="仿宋" w:cs="仿宋"/>
          <w:color w:val="auto"/>
          <w:sz w:val="24"/>
          <w:highlight w:val="none"/>
        </w:rPr>
      </w:pPr>
    </w:p>
    <w:p>
      <w:pPr>
        <w:pStyle w:val="43"/>
        <w:numPr>
          <w:ilvl w:val="0"/>
          <w:numId w:val="0"/>
        </w:numPr>
        <w:spacing w:line="360" w:lineRule="auto"/>
        <w:ind w:firstLine="3012" w:firstLineChars="1000"/>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lang w:eastAsia="zh-CN"/>
        </w:rPr>
        <w:t>成交通知书</w:t>
      </w:r>
      <w:r>
        <w:rPr>
          <w:rFonts w:hint="eastAsia" w:ascii="仿宋" w:hAnsi="仿宋" w:eastAsia="仿宋" w:cs="仿宋"/>
          <w:b/>
          <w:bCs w:val="0"/>
          <w:color w:val="auto"/>
          <w:sz w:val="30"/>
          <w:szCs w:val="30"/>
          <w:highlight w:val="none"/>
        </w:rPr>
        <w:t>的发放</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拟</w:t>
      </w:r>
      <w:r>
        <w:rPr>
          <w:rFonts w:hint="eastAsia" w:ascii="仿宋" w:hAnsi="仿宋" w:eastAsia="仿宋" w:cs="仿宋"/>
          <w:color w:val="auto"/>
          <w:sz w:val="24"/>
          <w:highlight w:val="none"/>
          <w:lang w:eastAsia="zh-CN"/>
        </w:rPr>
        <w:t>成交单位</w:t>
      </w:r>
      <w:r>
        <w:rPr>
          <w:rFonts w:hint="eastAsia" w:ascii="仿宋" w:hAnsi="仿宋" w:eastAsia="仿宋" w:cs="仿宋"/>
          <w:color w:val="auto"/>
          <w:sz w:val="24"/>
          <w:highlight w:val="none"/>
        </w:rPr>
        <w:t>确定后，由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签发</w:t>
      </w:r>
      <w:r>
        <w:rPr>
          <w:rFonts w:hint="eastAsia" w:ascii="仿宋" w:hAnsi="仿宋" w:eastAsia="仿宋" w:cs="仿宋"/>
          <w:color w:val="auto"/>
          <w:sz w:val="24"/>
          <w:highlight w:val="none"/>
          <w:lang w:eastAsia="zh-CN"/>
        </w:rPr>
        <w:t>成交通知书</w:t>
      </w:r>
      <w:r>
        <w:rPr>
          <w:rFonts w:hint="eastAsia" w:ascii="仿宋" w:hAnsi="仿宋" w:eastAsia="仿宋" w:cs="仿宋"/>
          <w:color w:val="auto"/>
          <w:sz w:val="24"/>
          <w:highlight w:val="none"/>
        </w:rPr>
        <w:t>。</w:t>
      </w: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bookmarkStart w:id="80" w:name="_Toc25572"/>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3"/>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lang w:val="en-US" w:eastAsia="zh-CN"/>
        </w:rPr>
        <w:t xml:space="preserve">第五章   </w:t>
      </w:r>
      <w:r>
        <w:rPr>
          <w:rFonts w:hint="eastAsia"/>
          <w:color w:val="auto"/>
        </w:rPr>
        <w:t>政府采购合同</w:t>
      </w:r>
      <w:bookmarkEnd w:id="80"/>
    </w:p>
    <w:p>
      <w:pPr>
        <w:spacing w:line="360" w:lineRule="auto"/>
        <w:jc w:val="center"/>
        <w:outlineLvl w:val="1"/>
        <w:rPr>
          <w:rFonts w:hint="eastAsia" w:ascii="仿宋" w:hAnsi="仿宋" w:eastAsia="仿宋" w:cs="仿宋"/>
          <w:b/>
          <w:bCs/>
          <w:color w:val="auto"/>
          <w:sz w:val="32"/>
          <w:szCs w:val="32"/>
          <w:highlight w:val="none"/>
        </w:rPr>
      </w:pPr>
      <w:bookmarkStart w:id="81" w:name="_Toc3086"/>
      <w:bookmarkStart w:id="82" w:name="_Toc31944"/>
      <w:bookmarkStart w:id="83" w:name="_Toc10089"/>
      <w:r>
        <w:rPr>
          <w:rFonts w:hint="eastAsia" w:ascii="仿宋" w:hAnsi="仿宋" w:eastAsia="仿宋" w:cs="仿宋"/>
          <w:b/>
          <w:bCs/>
          <w:color w:val="auto"/>
          <w:sz w:val="32"/>
          <w:szCs w:val="32"/>
          <w:highlight w:val="none"/>
        </w:rPr>
        <w:t>合同协议书（供参考）</w:t>
      </w:r>
      <w:bookmarkEnd w:id="81"/>
      <w:bookmarkEnd w:id="82"/>
      <w:bookmarkEnd w:id="83"/>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甲方委托乙方实施</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，并支付服务报酬。双方经过平等协商，在真实、充分地表达各自意愿的基础上，根据《中华人民共和国民法典》的规定，</w:t>
      </w:r>
      <w:r>
        <w:rPr>
          <w:rFonts w:hint="eastAsia" w:ascii="仿宋" w:hAnsi="仿宋" w:eastAsia="仿宋" w:cs="仿宋"/>
          <w:bCs/>
          <w:color w:val="auto"/>
          <w:sz w:val="24"/>
          <w:highlight w:val="none"/>
        </w:rPr>
        <w:t>达成</w:t>
      </w:r>
      <w:r>
        <w:rPr>
          <w:rFonts w:hint="eastAsia" w:ascii="仿宋" w:hAnsi="仿宋" w:eastAsia="仿宋" w:cs="仿宋"/>
          <w:color w:val="auto"/>
          <w:sz w:val="24"/>
          <w:highlight w:val="none"/>
        </w:rPr>
        <w:t>如下协议，并由双方共同恪守。 </w:t>
      </w:r>
    </w:p>
    <w:p>
      <w:pPr>
        <w:spacing w:line="360" w:lineRule="auto"/>
        <w:ind w:firstLine="480" w:firstLineChars="200"/>
        <w:outlineLvl w:val="1"/>
        <w:rPr>
          <w:rFonts w:hint="eastAsia" w:ascii="仿宋" w:hAnsi="仿宋" w:eastAsia="仿宋" w:cs="仿宋"/>
          <w:color w:val="auto"/>
          <w:sz w:val="24"/>
          <w:highlight w:val="none"/>
        </w:rPr>
      </w:pPr>
      <w:bookmarkStart w:id="84" w:name="_Toc32082"/>
      <w:bookmarkStart w:id="85" w:name="_Toc26603"/>
      <w:bookmarkStart w:id="86" w:name="_Toc22724"/>
      <w:bookmarkStart w:id="87" w:name="_Toc19843"/>
      <w:r>
        <w:rPr>
          <w:rFonts w:hint="eastAsia" w:ascii="仿宋" w:hAnsi="仿宋" w:eastAsia="仿宋" w:cs="仿宋"/>
          <w:color w:val="auto"/>
          <w:sz w:val="24"/>
          <w:highlight w:val="none"/>
        </w:rPr>
        <w:t>第一条：乙方进行项目服务的内容和要求： </w:t>
      </w:r>
      <w:bookmarkEnd w:id="84"/>
      <w:bookmarkEnd w:id="85"/>
      <w:bookmarkEnd w:id="86"/>
      <w:bookmarkEnd w:id="87"/>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1．内容：</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2．要求：</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xml:space="preserve"> 。     </w:t>
      </w:r>
    </w:p>
    <w:p>
      <w:pPr>
        <w:spacing w:line="360" w:lineRule="auto"/>
        <w:ind w:firstLine="480" w:firstLineChars="200"/>
        <w:outlineLvl w:val="1"/>
        <w:rPr>
          <w:rFonts w:hint="eastAsia" w:ascii="仿宋" w:hAnsi="仿宋" w:eastAsia="仿宋" w:cs="仿宋"/>
          <w:color w:val="auto"/>
          <w:sz w:val="24"/>
          <w:highlight w:val="none"/>
        </w:rPr>
      </w:pPr>
      <w:bookmarkStart w:id="88" w:name="_Toc24908"/>
      <w:bookmarkStart w:id="89" w:name="_Toc8902"/>
      <w:bookmarkStart w:id="90" w:name="_Toc28619"/>
      <w:bookmarkStart w:id="91" w:name="_Toc15270"/>
      <w:r>
        <w:rPr>
          <w:rFonts w:hint="eastAsia" w:ascii="仿宋" w:hAnsi="仿宋" w:eastAsia="仿宋" w:cs="仿宋"/>
          <w:color w:val="auto"/>
          <w:sz w:val="24"/>
          <w:highlight w:val="none"/>
        </w:rPr>
        <w:t>第二条：乙方应当按照下列进度要求进行本合同项目的服务工作： </w:t>
      </w:r>
      <w:bookmarkEnd w:id="88"/>
      <w:bookmarkEnd w:id="89"/>
      <w:bookmarkEnd w:id="90"/>
      <w:bookmarkEnd w:id="91"/>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     （2）</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（3）</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第三条：为保证乙方有效进行项目服务工作，甲方应当向乙方提供下列协作事项：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第四条：甲方向乙方支付项目服务报酬及支付方式为：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1．项目服务报酬为：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2．项目服务报酬由甲方 </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（一次或分期）支付乙方。  具体支付方式和时间如下：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日前，金额：</w:t>
      </w:r>
      <w:r>
        <w:rPr>
          <w:rFonts w:hint="eastAsia" w:ascii="仿宋" w:hAnsi="仿宋" w:eastAsia="仿宋" w:cs="仿宋"/>
          <w:i/>
          <w:iCs/>
          <w:color w:val="auto"/>
          <w:sz w:val="24"/>
          <w:highlight w:val="none"/>
          <w:u w:val="single"/>
        </w:rPr>
        <w:t xml:space="preserve">       </w:t>
      </w:r>
      <w:r>
        <w:rPr>
          <w:rFonts w:hint="eastAsia" w:ascii="仿宋" w:hAnsi="仿宋" w:eastAsia="仿宋" w:cs="仿宋"/>
          <w:color w:val="auto"/>
          <w:sz w:val="24"/>
          <w:highlight w:val="none"/>
        </w:rPr>
        <w:t>元整。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元整。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第五条：双方确定因履行本合同应遵守的保密义务如下：</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甲方：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保密内容（包括技术信息和经营信息）: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保密期限：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泄密责任：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保密内容（包括技术信息和经营信息）: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2．保密期限：</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泄密责任：</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第六条：本合同的变更必须由双方协商一致，并以书面形式确定。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第七条：双方确定，按以下标准和方式对乙方提交的项目服务工作成果进行验收：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1．乙方提交项目服务工作成果的形式：</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2．项目服务工作成果的验收方法：</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3．验收的时间和地点：</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第八条：双方确定，按以下约定承担各自的违约责任：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方违反本合同第</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条约定，应当 </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方违反本合同第</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条约定，应当 </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第九条：双方确定，甲方按照乙方符合本合同约定标准和方式完成的项目服务工作成果做出决策并予以实施所造成的损失，按以下第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种方式处理：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1．乙方不承担责任。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2．乙方承担部分责任。具体承担方式为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3．乙方承担全部责任。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第十条：双方确定：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1．在本合同有效期内，甲方利用乙方提交的项目服务工作成果所完成的新的技术成果，归</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（甲、双）方所有。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2．在本合同有效期内，乙方利用甲方提供的技术资料和工作条件所完成的新的技术成果，归</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（乙、双）方所有。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第十一条：双方确定，在本合同有效期内，甲方指定</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为甲方项目联系人，乙方指定</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为乙方项目联系人。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一方变更项目联系人的，应当及时以书面形式通知另一方。未及时通知并影响本合同履行或造成损失的，应承担相应的责任。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第十二条：双方确定，出现下列情形，致使本合同的履行成为不必要或不可能的，可以解除本合同：发生不可抗力；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第十三条：双方因履行本合同而发生的争议，应协商、调解解决。协商、调解不成的，确定按以下第</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种方式处理：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1．提交</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仲裁委员会仲裁；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2．依法向人民法院起诉。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第十四条：双方约定本合同其他相关事项为：</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第十五条：本合同一式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份，双方各执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份，具有同等法律效力。</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第十六条：本合同经双方签字盖章后生效。</w:t>
      </w:r>
    </w:p>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     方：</w:t>
      </w:r>
      <w:r>
        <w:rPr>
          <w:rFonts w:hint="eastAsia" w:ascii="仿宋" w:hAnsi="仿宋" w:eastAsia="仿宋" w:cs="仿宋"/>
          <w:color w:val="auto"/>
          <w:sz w:val="24"/>
          <w:highlight w:val="none"/>
          <w:u w:val="single"/>
        </w:rPr>
        <w:t xml:space="preserve">（盖章）  </w:t>
      </w:r>
      <w:r>
        <w:rPr>
          <w:rFonts w:hint="eastAsia" w:ascii="仿宋" w:hAnsi="仿宋" w:eastAsia="仿宋" w:cs="仿宋"/>
          <w:color w:val="auto"/>
          <w:sz w:val="24"/>
          <w:highlight w:val="none"/>
        </w:rPr>
        <w:t xml:space="preserve">           乙     方：</w:t>
      </w:r>
      <w:r>
        <w:rPr>
          <w:rFonts w:hint="eastAsia" w:ascii="仿宋" w:hAnsi="仿宋" w:eastAsia="仿宋" w:cs="仿宋"/>
          <w:color w:val="auto"/>
          <w:sz w:val="24"/>
          <w:highlight w:val="none"/>
          <w:u w:val="single"/>
        </w:rPr>
        <w:t xml:space="preserve"> （盖章）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                    法定代表人：</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或授权代表：</w:t>
      </w:r>
      <w:r>
        <w:rPr>
          <w:rFonts w:hint="eastAsia" w:ascii="仿宋" w:hAnsi="仿宋" w:eastAsia="仿宋" w:cs="仿宋"/>
          <w:color w:val="auto"/>
          <w:sz w:val="24"/>
          <w:highlight w:val="none"/>
          <w:u w:val="single"/>
        </w:rPr>
        <w:t xml:space="preserve">（签字或盖章） </w:t>
      </w:r>
      <w:r>
        <w:rPr>
          <w:rFonts w:hint="eastAsia" w:ascii="仿宋" w:hAnsi="仿宋" w:eastAsia="仿宋" w:cs="仿宋"/>
          <w:color w:val="auto"/>
          <w:sz w:val="24"/>
          <w:highlight w:val="none"/>
        </w:rPr>
        <w:t xml:space="preserve">     或授权代表：</w:t>
      </w:r>
      <w:r>
        <w:rPr>
          <w:rFonts w:hint="eastAsia" w:ascii="仿宋" w:hAnsi="仿宋" w:eastAsia="仿宋" w:cs="仿宋"/>
          <w:color w:val="auto"/>
          <w:sz w:val="24"/>
          <w:highlight w:val="none"/>
          <w:u w:val="single"/>
        </w:rPr>
        <w:t xml:space="preserve"> （签字或盖章）</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帐    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    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tabs>
          <w:tab w:val="left" w:pos="567"/>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          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pPr>
        <w:pStyle w:val="7"/>
        <w:spacing w:line="360" w:lineRule="auto"/>
        <w:rPr>
          <w:rFonts w:hint="eastAsia" w:ascii="仿宋" w:hAnsi="仿宋" w:eastAsia="仿宋" w:cs="仿宋"/>
          <w:color w:val="auto"/>
          <w:sz w:val="24"/>
          <w:highlight w:val="none"/>
        </w:rPr>
      </w:pPr>
    </w:p>
    <w:p>
      <w:pPr>
        <w:pStyle w:val="7"/>
        <w:spacing w:line="360" w:lineRule="auto"/>
        <w:rPr>
          <w:rFonts w:hint="eastAsia" w:ascii="仿宋" w:hAnsi="仿宋" w:eastAsia="仿宋" w:cs="仿宋"/>
          <w:color w:val="auto"/>
          <w:sz w:val="24"/>
          <w:highlight w:val="none"/>
        </w:rPr>
      </w:pPr>
    </w:p>
    <w:p>
      <w:pPr>
        <w:pStyle w:val="7"/>
        <w:spacing w:line="360" w:lineRule="auto"/>
        <w:rPr>
          <w:rFonts w:hint="eastAsia" w:ascii="仿宋" w:hAnsi="仿宋" w:eastAsia="仿宋" w:cs="仿宋"/>
          <w:color w:val="auto"/>
          <w:sz w:val="24"/>
          <w:highlight w:val="none"/>
        </w:rPr>
      </w:pPr>
    </w:p>
    <w:p>
      <w:pPr>
        <w:pStyle w:val="7"/>
        <w:spacing w:line="360" w:lineRule="auto"/>
        <w:rPr>
          <w:rFonts w:hint="eastAsia" w:ascii="仿宋" w:hAnsi="仿宋" w:eastAsia="仿宋" w:cs="仿宋"/>
          <w:color w:val="auto"/>
          <w:sz w:val="24"/>
          <w:highlight w:val="none"/>
        </w:rPr>
      </w:pPr>
    </w:p>
    <w:p>
      <w:pPr>
        <w:spacing w:line="360" w:lineRule="auto"/>
        <w:ind w:firstLine="2168" w:firstLineChars="600"/>
        <w:outlineLvl w:val="0"/>
        <w:rPr>
          <w:rFonts w:hint="eastAsia" w:ascii="仿宋" w:hAnsi="仿宋" w:eastAsia="仿宋" w:cs="仿宋"/>
          <w:b/>
          <w:color w:val="auto"/>
          <w:sz w:val="36"/>
          <w:highlight w:val="none"/>
        </w:rPr>
      </w:pPr>
      <w:bookmarkStart w:id="92" w:name="_Toc30872"/>
    </w:p>
    <w:p>
      <w:pPr>
        <w:spacing w:line="360" w:lineRule="auto"/>
        <w:ind w:firstLine="2168" w:firstLineChars="600"/>
        <w:outlineLvl w:val="0"/>
        <w:rPr>
          <w:rFonts w:hint="eastAsia" w:ascii="仿宋" w:hAnsi="仿宋" w:eastAsia="仿宋" w:cs="仿宋"/>
          <w:b/>
          <w:color w:val="auto"/>
          <w:sz w:val="36"/>
          <w:highlight w:val="none"/>
        </w:rPr>
      </w:pPr>
    </w:p>
    <w:p>
      <w:pPr>
        <w:spacing w:line="360" w:lineRule="auto"/>
        <w:ind w:firstLine="2168" w:firstLineChars="600"/>
        <w:outlineLvl w:val="0"/>
        <w:rPr>
          <w:rFonts w:hint="eastAsia" w:ascii="仿宋" w:hAnsi="仿宋" w:eastAsia="仿宋" w:cs="仿宋"/>
          <w:b/>
          <w:color w:val="auto"/>
          <w:sz w:val="36"/>
          <w:highlight w:val="none"/>
        </w:rPr>
      </w:pPr>
    </w:p>
    <w:p>
      <w:pPr>
        <w:spacing w:line="360" w:lineRule="auto"/>
        <w:ind w:firstLine="2168" w:firstLineChars="600"/>
        <w:outlineLvl w:val="0"/>
        <w:rPr>
          <w:rFonts w:hint="eastAsia" w:ascii="仿宋" w:hAnsi="仿宋" w:eastAsia="仿宋" w:cs="仿宋"/>
          <w:b/>
          <w:color w:val="auto"/>
          <w:sz w:val="36"/>
          <w:highlight w:val="none"/>
        </w:rPr>
      </w:pPr>
    </w:p>
    <w:p>
      <w:pPr>
        <w:spacing w:line="360" w:lineRule="auto"/>
        <w:ind w:firstLine="2168" w:firstLineChars="600"/>
        <w:outlineLvl w:val="0"/>
        <w:rPr>
          <w:rFonts w:hint="eastAsia" w:ascii="仿宋" w:hAnsi="仿宋" w:eastAsia="仿宋" w:cs="仿宋"/>
          <w:b/>
          <w:color w:val="auto"/>
          <w:sz w:val="36"/>
          <w:highlight w:val="none"/>
        </w:rPr>
      </w:pPr>
    </w:p>
    <w:p>
      <w:pPr>
        <w:spacing w:line="360" w:lineRule="auto"/>
        <w:ind w:firstLine="2168" w:firstLineChars="600"/>
        <w:outlineLvl w:val="0"/>
        <w:rPr>
          <w:rFonts w:hint="eastAsia" w:ascii="仿宋" w:hAnsi="仿宋" w:eastAsia="仿宋" w:cs="仿宋"/>
          <w:b/>
          <w:color w:val="auto"/>
          <w:sz w:val="36"/>
          <w:highlight w:val="none"/>
        </w:rPr>
      </w:pPr>
    </w:p>
    <w:p>
      <w:pPr>
        <w:spacing w:line="360" w:lineRule="auto"/>
        <w:ind w:firstLine="2168" w:firstLineChars="600"/>
        <w:outlineLvl w:val="0"/>
        <w:rPr>
          <w:rFonts w:hint="eastAsia" w:ascii="仿宋" w:hAnsi="仿宋" w:eastAsia="仿宋" w:cs="仿宋"/>
          <w:b/>
          <w:color w:val="auto"/>
          <w:sz w:val="36"/>
          <w:highlight w:val="none"/>
        </w:rPr>
      </w:pPr>
    </w:p>
    <w:p>
      <w:pPr>
        <w:spacing w:line="360" w:lineRule="auto"/>
        <w:ind w:firstLine="2168" w:firstLineChars="600"/>
        <w:outlineLvl w:val="0"/>
        <w:rPr>
          <w:rFonts w:hint="eastAsia" w:ascii="仿宋" w:hAnsi="仿宋" w:eastAsia="仿宋" w:cs="仿宋"/>
          <w:b/>
          <w:color w:val="auto"/>
          <w:sz w:val="36"/>
          <w:highlight w:val="none"/>
        </w:rPr>
      </w:pPr>
    </w:p>
    <w:p>
      <w:pPr>
        <w:spacing w:line="360" w:lineRule="auto"/>
        <w:ind w:firstLine="2168" w:firstLineChars="600"/>
        <w:outlineLvl w:val="0"/>
        <w:rPr>
          <w:rFonts w:hint="eastAsia" w:ascii="仿宋" w:hAnsi="仿宋" w:eastAsia="仿宋" w:cs="仿宋"/>
          <w:b/>
          <w:color w:val="auto"/>
          <w:sz w:val="36"/>
          <w:highlight w:val="none"/>
        </w:rPr>
      </w:pPr>
    </w:p>
    <w:p>
      <w:pPr>
        <w:spacing w:line="360" w:lineRule="auto"/>
        <w:ind w:firstLine="2168" w:firstLineChars="600"/>
        <w:outlineLvl w:val="0"/>
        <w:rPr>
          <w:rFonts w:hint="eastAsia" w:ascii="仿宋" w:hAnsi="仿宋" w:eastAsia="仿宋" w:cs="仿宋"/>
          <w:color w:val="auto"/>
          <w:sz w:val="24"/>
          <w:highlight w:val="none"/>
        </w:rPr>
      </w:pPr>
      <w:r>
        <w:rPr>
          <w:rFonts w:hint="eastAsia" w:ascii="仿宋" w:hAnsi="仿宋" w:eastAsia="仿宋" w:cs="仿宋"/>
          <w:b/>
          <w:color w:val="auto"/>
          <w:sz w:val="36"/>
          <w:highlight w:val="none"/>
        </w:rPr>
        <w:t>第</w:t>
      </w:r>
      <w:r>
        <w:rPr>
          <w:rFonts w:hint="eastAsia" w:ascii="仿宋" w:hAnsi="仿宋" w:eastAsia="仿宋" w:cs="仿宋"/>
          <w:b/>
          <w:color w:val="auto"/>
          <w:sz w:val="36"/>
          <w:highlight w:val="none"/>
          <w:lang w:eastAsia="zh-CN"/>
        </w:rPr>
        <w:t>六</w:t>
      </w:r>
      <w:r>
        <w:rPr>
          <w:rFonts w:hint="eastAsia" w:ascii="仿宋" w:hAnsi="仿宋" w:eastAsia="仿宋" w:cs="仿宋"/>
          <w:b/>
          <w:color w:val="auto"/>
          <w:sz w:val="36"/>
          <w:highlight w:val="none"/>
        </w:rPr>
        <w:t>章   响应文件格式附件</w:t>
      </w:r>
      <w:bookmarkEnd w:id="92"/>
      <w:r>
        <w:rPr>
          <w:rFonts w:hint="eastAsia" w:ascii="仿宋" w:hAnsi="仿宋" w:eastAsia="仿宋" w:cs="仿宋"/>
          <w:b/>
          <w:color w:val="auto"/>
          <w:sz w:val="36"/>
          <w:highlight w:val="none"/>
        </w:rPr>
        <w:t xml:space="preserve"> </w:t>
      </w:r>
      <w:r>
        <w:rPr>
          <w:rFonts w:hint="eastAsia" w:ascii="仿宋" w:hAnsi="仿宋" w:eastAsia="仿宋" w:cs="仿宋"/>
          <w:color w:val="auto"/>
          <w:sz w:val="44"/>
          <w:szCs w:val="44"/>
          <w:highlight w:val="none"/>
        </w:rPr>
        <w:t xml:space="preserve"> </w:t>
      </w:r>
      <w:r>
        <w:rPr>
          <w:rFonts w:hint="eastAsia" w:ascii="仿宋" w:hAnsi="仿宋" w:eastAsia="仿宋" w:cs="仿宋"/>
          <w:color w:val="auto"/>
          <w:sz w:val="24"/>
          <w:highlight w:val="none"/>
        </w:rPr>
        <w:t xml:space="preserve"> </w:t>
      </w:r>
    </w:p>
    <w:p>
      <w:pPr>
        <w:spacing w:line="360" w:lineRule="auto"/>
        <w:ind w:firstLine="2240" w:firstLineChars="800"/>
        <w:rPr>
          <w:rFonts w:hint="eastAsia" w:ascii="仿宋" w:hAnsi="仿宋" w:eastAsia="仿宋" w:cs="仿宋"/>
          <w:color w:val="auto"/>
          <w:sz w:val="28"/>
          <w:szCs w:val="28"/>
          <w:highlight w:val="none"/>
        </w:rPr>
      </w:pPr>
    </w:p>
    <w:p>
      <w:pPr>
        <w:pStyle w:val="7"/>
        <w:spacing w:line="360" w:lineRule="auto"/>
        <w:ind w:firstLine="3817" w:firstLineChars="1193"/>
        <w:jc w:val="both"/>
        <w:outlineLvl w:val="0"/>
        <w:rPr>
          <w:rFonts w:hint="eastAsia" w:ascii="仿宋" w:hAnsi="仿宋" w:eastAsia="仿宋" w:cs="仿宋"/>
          <w:color w:val="auto"/>
          <w:sz w:val="32"/>
          <w:szCs w:val="32"/>
          <w:highlight w:val="none"/>
        </w:rPr>
      </w:pPr>
      <w:bookmarkStart w:id="93" w:name="_Toc29095"/>
      <w:r>
        <w:rPr>
          <w:rFonts w:hint="eastAsia" w:ascii="仿宋" w:hAnsi="仿宋" w:eastAsia="仿宋" w:cs="仿宋"/>
          <w:color w:val="auto"/>
          <w:sz w:val="32"/>
          <w:szCs w:val="32"/>
          <w:highlight w:val="none"/>
        </w:rPr>
        <w:t>目</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录</w:t>
      </w:r>
      <w:bookmarkEnd w:id="93"/>
    </w:p>
    <w:p>
      <w:pPr>
        <w:pStyle w:val="7"/>
        <w:spacing w:line="360" w:lineRule="auto"/>
        <w:ind w:firstLine="2223" w:firstLineChars="794"/>
        <w:rPr>
          <w:rFonts w:hint="eastAsia" w:ascii="仿宋" w:hAnsi="仿宋" w:eastAsia="仿宋" w:cs="仿宋"/>
          <w:color w:val="auto"/>
          <w:sz w:val="28"/>
          <w:szCs w:val="28"/>
          <w:highlight w:val="none"/>
        </w:rPr>
      </w:pPr>
    </w:p>
    <w:p>
      <w:pPr>
        <w:spacing w:line="360" w:lineRule="auto"/>
        <w:ind w:firstLine="480"/>
        <w:outlineLvl w:val="0"/>
        <w:rPr>
          <w:rFonts w:hint="eastAsia" w:ascii="仿宋" w:hAnsi="仿宋" w:eastAsia="仿宋" w:cs="仿宋"/>
          <w:color w:val="auto"/>
          <w:sz w:val="24"/>
          <w:highlight w:val="none"/>
        </w:rPr>
      </w:pPr>
      <w:bookmarkStart w:id="94" w:name="_Toc11003"/>
      <w:bookmarkStart w:id="95" w:name="_Toc4882"/>
      <w:bookmarkStart w:id="96" w:name="_Toc18245"/>
      <w:bookmarkStart w:id="97" w:name="_Toc25848"/>
      <w:r>
        <w:rPr>
          <w:rFonts w:hint="eastAsia" w:ascii="仿宋" w:hAnsi="仿宋" w:eastAsia="仿宋" w:cs="仿宋"/>
          <w:color w:val="auto"/>
          <w:sz w:val="24"/>
          <w:highlight w:val="none"/>
        </w:rPr>
        <w:t>1、响应函</w:t>
      </w:r>
      <w:bookmarkEnd w:id="94"/>
      <w:bookmarkEnd w:id="95"/>
      <w:bookmarkEnd w:id="96"/>
      <w:bookmarkEnd w:id="97"/>
    </w:p>
    <w:p>
      <w:pPr>
        <w:spacing w:line="360" w:lineRule="auto"/>
        <w:ind w:firstLine="480"/>
        <w:outlineLvl w:val="0"/>
        <w:rPr>
          <w:rFonts w:hint="eastAsia" w:ascii="仿宋" w:hAnsi="仿宋" w:eastAsia="仿宋" w:cs="仿宋"/>
          <w:color w:val="auto"/>
          <w:sz w:val="24"/>
          <w:highlight w:val="none"/>
        </w:rPr>
      </w:pPr>
      <w:bookmarkStart w:id="98" w:name="_Toc5220"/>
      <w:bookmarkStart w:id="99" w:name="_Toc17055"/>
      <w:bookmarkStart w:id="100" w:name="_Toc19415"/>
      <w:bookmarkStart w:id="101" w:name="_Toc14030"/>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报价单</w:t>
      </w:r>
      <w:bookmarkEnd w:id="98"/>
      <w:bookmarkEnd w:id="99"/>
      <w:bookmarkEnd w:id="100"/>
      <w:bookmarkEnd w:id="101"/>
    </w:p>
    <w:p>
      <w:pPr>
        <w:spacing w:line="360" w:lineRule="auto"/>
        <w:ind w:firstLine="480"/>
        <w:outlineLvl w:val="0"/>
        <w:rPr>
          <w:rFonts w:hint="eastAsia" w:ascii="仿宋" w:hAnsi="仿宋" w:eastAsia="仿宋" w:cs="仿宋"/>
          <w:color w:val="auto"/>
          <w:sz w:val="24"/>
          <w:highlight w:val="none"/>
        </w:rPr>
      </w:pPr>
      <w:bookmarkStart w:id="102" w:name="_Toc20493"/>
      <w:bookmarkStart w:id="103" w:name="_Toc10335"/>
      <w:bookmarkStart w:id="104" w:name="_Toc28892"/>
      <w:bookmarkStart w:id="105" w:name="_Toc27840"/>
      <w:r>
        <w:rPr>
          <w:rFonts w:hint="eastAsia" w:ascii="仿宋" w:hAnsi="仿宋" w:eastAsia="仿宋" w:cs="仿宋"/>
          <w:color w:val="auto"/>
          <w:sz w:val="24"/>
          <w:highlight w:val="none"/>
        </w:rPr>
        <w:t>3、报价明细表</w:t>
      </w:r>
      <w:bookmarkEnd w:id="102"/>
      <w:bookmarkEnd w:id="103"/>
      <w:bookmarkEnd w:id="104"/>
      <w:bookmarkEnd w:id="105"/>
    </w:p>
    <w:p>
      <w:pPr>
        <w:spacing w:line="360" w:lineRule="auto"/>
        <w:ind w:firstLine="480"/>
        <w:outlineLvl w:val="0"/>
        <w:rPr>
          <w:rFonts w:hint="eastAsia" w:ascii="仿宋" w:hAnsi="仿宋" w:eastAsia="仿宋" w:cs="仿宋"/>
          <w:color w:val="auto"/>
          <w:sz w:val="24"/>
          <w:highlight w:val="none"/>
        </w:rPr>
      </w:pPr>
      <w:bookmarkStart w:id="106" w:name="_Toc19451"/>
      <w:bookmarkStart w:id="107" w:name="_Toc3119"/>
      <w:bookmarkStart w:id="108" w:name="_Toc10891"/>
      <w:bookmarkStart w:id="109" w:name="_Toc9657"/>
      <w:r>
        <w:rPr>
          <w:rFonts w:hint="eastAsia" w:ascii="仿宋" w:hAnsi="仿宋" w:eastAsia="仿宋" w:cs="仿宋"/>
          <w:color w:val="auto"/>
          <w:sz w:val="24"/>
          <w:highlight w:val="none"/>
        </w:rPr>
        <w:t>4、法定代表人身份证明</w:t>
      </w:r>
      <w:bookmarkEnd w:id="106"/>
      <w:bookmarkEnd w:id="107"/>
      <w:bookmarkEnd w:id="108"/>
      <w:bookmarkEnd w:id="109"/>
    </w:p>
    <w:p>
      <w:pPr>
        <w:spacing w:line="360" w:lineRule="auto"/>
        <w:ind w:firstLine="480"/>
        <w:outlineLvl w:val="0"/>
        <w:rPr>
          <w:rFonts w:hint="eastAsia" w:ascii="仿宋" w:hAnsi="仿宋" w:eastAsia="仿宋" w:cs="仿宋"/>
          <w:color w:val="auto"/>
          <w:sz w:val="24"/>
          <w:highlight w:val="none"/>
        </w:rPr>
      </w:pPr>
      <w:bookmarkStart w:id="110" w:name="_Toc4591"/>
      <w:bookmarkStart w:id="111" w:name="_Toc16500"/>
      <w:bookmarkStart w:id="112" w:name="_Toc119"/>
      <w:bookmarkStart w:id="113" w:name="_Toc4817"/>
      <w:r>
        <w:rPr>
          <w:rFonts w:hint="eastAsia" w:ascii="仿宋" w:hAnsi="仿宋" w:eastAsia="仿宋" w:cs="仿宋"/>
          <w:color w:val="auto"/>
          <w:sz w:val="24"/>
          <w:highlight w:val="none"/>
        </w:rPr>
        <w:t>5、授权委托书</w:t>
      </w:r>
      <w:bookmarkEnd w:id="110"/>
      <w:bookmarkEnd w:id="111"/>
      <w:bookmarkEnd w:id="112"/>
      <w:bookmarkEnd w:id="113"/>
    </w:p>
    <w:p>
      <w:pPr>
        <w:spacing w:line="360" w:lineRule="auto"/>
        <w:ind w:firstLine="480"/>
        <w:outlineLvl w:val="0"/>
        <w:rPr>
          <w:rFonts w:hint="eastAsia" w:ascii="仿宋" w:hAnsi="仿宋" w:eastAsia="仿宋" w:cs="仿宋"/>
          <w:color w:val="auto"/>
          <w:sz w:val="24"/>
          <w:highlight w:val="none"/>
        </w:rPr>
      </w:pPr>
      <w:bookmarkStart w:id="114" w:name="_Toc32618"/>
      <w:bookmarkStart w:id="115" w:name="_Toc26584"/>
      <w:bookmarkStart w:id="116" w:name="_Toc15931"/>
      <w:bookmarkStart w:id="117" w:name="_Toc18993"/>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基本情况表</w:t>
      </w:r>
      <w:bookmarkEnd w:id="114"/>
      <w:bookmarkEnd w:id="115"/>
      <w:bookmarkEnd w:id="116"/>
      <w:bookmarkEnd w:id="117"/>
    </w:p>
    <w:p>
      <w:pPr>
        <w:spacing w:line="360" w:lineRule="auto"/>
        <w:ind w:firstLine="480"/>
        <w:outlineLvl w:val="0"/>
        <w:rPr>
          <w:rFonts w:hint="eastAsia" w:ascii="仿宋" w:hAnsi="仿宋" w:eastAsia="仿宋" w:cs="仿宋"/>
          <w:color w:val="auto"/>
          <w:sz w:val="24"/>
          <w:highlight w:val="none"/>
        </w:rPr>
      </w:pPr>
      <w:bookmarkStart w:id="118" w:name="_Toc27268"/>
      <w:bookmarkStart w:id="119" w:name="_Toc17382"/>
      <w:bookmarkStart w:id="120" w:name="_Toc11521"/>
      <w:bookmarkStart w:id="121" w:name="_Toc5123"/>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资格声明及相关证明文件</w:t>
      </w:r>
      <w:bookmarkEnd w:id="118"/>
      <w:bookmarkEnd w:id="119"/>
      <w:bookmarkEnd w:id="120"/>
      <w:bookmarkEnd w:id="121"/>
    </w:p>
    <w:p>
      <w:pPr>
        <w:spacing w:line="360" w:lineRule="auto"/>
        <w:ind w:firstLine="480"/>
        <w:outlineLvl w:val="0"/>
        <w:rPr>
          <w:rFonts w:hint="eastAsia" w:ascii="仿宋" w:hAnsi="仿宋" w:eastAsia="仿宋" w:cs="仿宋"/>
          <w:color w:val="auto"/>
          <w:sz w:val="24"/>
          <w:highlight w:val="none"/>
        </w:rPr>
      </w:pPr>
      <w:bookmarkStart w:id="122" w:name="_Toc11992"/>
      <w:bookmarkStart w:id="123" w:name="_Toc26536"/>
      <w:bookmarkStart w:id="124" w:name="_Toc29800"/>
      <w:bookmarkStart w:id="125" w:name="_Toc25322"/>
      <w:r>
        <w:rPr>
          <w:rFonts w:hint="eastAsia" w:ascii="仿宋" w:hAnsi="仿宋" w:eastAsia="仿宋" w:cs="仿宋"/>
          <w:color w:val="auto"/>
          <w:sz w:val="24"/>
          <w:highlight w:val="none"/>
        </w:rPr>
        <w:t>8、联合体协议书</w:t>
      </w:r>
      <w:bookmarkEnd w:id="122"/>
      <w:bookmarkEnd w:id="123"/>
      <w:bookmarkEnd w:id="124"/>
      <w:bookmarkEnd w:id="125"/>
    </w:p>
    <w:p>
      <w:pPr>
        <w:spacing w:line="360" w:lineRule="auto"/>
        <w:ind w:firstLine="480"/>
        <w:outlineLvl w:val="0"/>
        <w:rPr>
          <w:rFonts w:hint="eastAsia" w:ascii="仿宋" w:hAnsi="仿宋" w:eastAsia="仿宋" w:cs="仿宋"/>
          <w:color w:val="auto"/>
          <w:sz w:val="24"/>
          <w:highlight w:val="none"/>
        </w:rPr>
      </w:pPr>
      <w:bookmarkStart w:id="126" w:name="_Toc26431"/>
      <w:bookmarkStart w:id="127" w:name="_Toc20917"/>
      <w:bookmarkStart w:id="128" w:name="_Toc32568"/>
      <w:bookmarkStart w:id="129" w:name="_Toc15505"/>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交纳凭证</w:t>
      </w:r>
      <w:bookmarkEnd w:id="126"/>
      <w:bookmarkEnd w:id="127"/>
      <w:bookmarkEnd w:id="128"/>
      <w:bookmarkEnd w:id="129"/>
    </w:p>
    <w:p>
      <w:pPr>
        <w:spacing w:line="360" w:lineRule="auto"/>
        <w:ind w:firstLine="480"/>
        <w:outlineLvl w:val="0"/>
        <w:rPr>
          <w:rFonts w:hint="eastAsia" w:ascii="仿宋" w:hAnsi="仿宋" w:eastAsia="仿宋" w:cs="仿宋"/>
          <w:color w:val="auto"/>
          <w:sz w:val="24"/>
          <w:highlight w:val="none"/>
          <w:lang w:eastAsia="zh-CN"/>
        </w:rPr>
      </w:pPr>
      <w:bookmarkStart w:id="130" w:name="_Toc30276"/>
      <w:bookmarkStart w:id="131" w:name="_Toc8016"/>
      <w:bookmarkStart w:id="132" w:name="_Toc3073"/>
      <w:bookmarkStart w:id="133" w:name="_Toc14903"/>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、商务</w:t>
      </w:r>
      <w:r>
        <w:rPr>
          <w:rFonts w:hint="eastAsia" w:ascii="仿宋" w:hAnsi="仿宋" w:eastAsia="仿宋" w:cs="仿宋"/>
          <w:color w:val="auto"/>
          <w:sz w:val="24"/>
          <w:highlight w:val="none"/>
          <w:lang w:eastAsia="zh-CN"/>
        </w:rPr>
        <w:t>偏离表</w:t>
      </w:r>
      <w:bookmarkEnd w:id="130"/>
      <w:bookmarkEnd w:id="131"/>
      <w:bookmarkEnd w:id="132"/>
      <w:bookmarkEnd w:id="133"/>
    </w:p>
    <w:p>
      <w:pPr>
        <w:spacing w:line="360" w:lineRule="auto"/>
        <w:ind w:firstLine="480"/>
        <w:outlineLvl w:val="0"/>
        <w:rPr>
          <w:rFonts w:hint="eastAsia" w:ascii="仿宋" w:hAnsi="仿宋" w:eastAsia="仿宋" w:cs="仿宋"/>
          <w:color w:val="auto"/>
          <w:sz w:val="24"/>
          <w:highlight w:val="none"/>
        </w:rPr>
      </w:pPr>
      <w:bookmarkStart w:id="134" w:name="_Toc2987"/>
      <w:bookmarkStart w:id="135" w:name="_Toc26797"/>
      <w:bookmarkStart w:id="136" w:name="_Toc16141"/>
      <w:bookmarkStart w:id="137" w:name="_Toc18526"/>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、技术偏离表</w:t>
      </w:r>
      <w:bookmarkEnd w:id="134"/>
      <w:bookmarkEnd w:id="135"/>
      <w:bookmarkEnd w:id="136"/>
      <w:bookmarkEnd w:id="137"/>
    </w:p>
    <w:p>
      <w:pPr>
        <w:spacing w:line="360" w:lineRule="auto"/>
        <w:ind w:firstLine="480"/>
        <w:outlineLvl w:val="0"/>
        <w:rPr>
          <w:rFonts w:hint="eastAsia" w:ascii="仿宋" w:hAnsi="仿宋" w:eastAsia="仿宋" w:cs="仿宋"/>
          <w:color w:val="auto"/>
          <w:sz w:val="24"/>
          <w:highlight w:val="none"/>
        </w:rPr>
      </w:pPr>
      <w:bookmarkStart w:id="138" w:name="_Toc31188"/>
      <w:bookmarkStart w:id="139" w:name="_Toc15960"/>
      <w:bookmarkStart w:id="140" w:name="_Toc18108"/>
      <w:bookmarkStart w:id="141" w:name="_Toc21454"/>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、类似项目业绩</w:t>
      </w:r>
      <w:bookmarkEnd w:id="138"/>
      <w:bookmarkEnd w:id="139"/>
      <w:bookmarkEnd w:id="140"/>
      <w:bookmarkEnd w:id="141"/>
    </w:p>
    <w:p>
      <w:pPr>
        <w:spacing w:line="360" w:lineRule="auto"/>
        <w:ind w:firstLine="480"/>
        <w:outlineLvl w:val="0"/>
        <w:rPr>
          <w:rFonts w:hint="eastAsia" w:ascii="仿宋" w:hAnsi="仿宋" w:eastAsia="仿宋" w:cs="仿宋"/>
          <w:color w:val="auto"/>
          <w:sz w:val="24"/>
          <w:highlight w:val="none"/>
        </w:rPr>
      </w:pPr>
      <w:bookmarkStart w:id="142" w:name="_Toc11459"/>
      <w:bookmarkStart w:id="143" w:name="_Toc6761"/>
      <w:bookmarkStart w:id="144" w:name="_Toc16164"/>
      <w:bookmarkStart w:id="145" w:name="_Toc28225"/>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自行编写的技术文件</w:t>
      </w:r>
      <w:bookmarkEnd w:id="142"/>
      <w:bookmarkEnd w:id="143"/>
      <w:bookmarkEnd w:id="144"/>
      <w:bookmarkEnd w:id="145"/>
    </w:p>
    <w:p>
      <w:pPr>
        <w:spacing w:line="360" w:lineRule="auto"/>
        <w:ind w:firstLine="480"/>
        <w:outlineLvl w:val="0"/>
        <w:rPr>
          <w:rFonts w:hint="eastAsia" w:ascii="仿宋" w:hAnsi="仿宋" w:eastAsia="仿宋" w:cs="仿宋"/>
          <w:color w:val="auto"/>
          <w:sz w:val="24"/>
          <w:highlight w:val="none"/>
        </w:rPr>
      </w:pPr>
      <w:bookmarkStart w:id="146" w:name="_Toc17694"/>
      <w:bookmarkStart w:id="147" w:name="_Toc21752"/>
      <w:bookmarkStart w:id="148" w:name="_Toc4542"/>
      <w:bookmarkStart w:id="149" w:name="_Toc3412"/>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自行编写的服务文件</w:t>
      </w:r>
      <w:bookmarkEnd w:id="146"/>
      <w:bookmarkEnd w:id="147"/>
      <w:bookmarkEnd w:id="148"/>
      <w:bookmarkEnd w:id="149"/>
    </w:p>
    <w:p>
      <w:pPr>
        <w:spacing w:line="360" w:lineRule="auto"/>
        <w:ind w:firstLine="480"/>
        <w:outlineLvl w:val="0"/>
        <w:rPr>
          <w:rFonts w:hint="eastAsia" w:ascii="仿宋" w:hAnsi="仿宋" w:eastAsia="仿宋" w:cs="仿宋"/>
          <w:color w:val="auto"/>
          <w:sz w:val="24"/>
          <w:highlight w:val="none"/>
        </w:rPr>
      </w:pPr>
      <w:bookmarkStart w:id="150" w:name="_Toc11366"/>
      <w:bookmarkStart w:id="151" w:name="_Toc18194"/>
      <w:bookmarkStart w:id="152" w:name="_Toc26606"/>
      <w:bookmarkStart w:id="153" w:name="_Toc14023"/>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认为需要提供的其他文件和资料</w:t>
      </w:r>
      <w:bookmarkEnd w:id="150"/>
      <w:bookmarkEnd w:id="151"/>
      <w:bookmarkEnd w:id="152"/>
      <w:bookmarkEnd w:id="153"/>
    </w:p>
    <w:p>
      <w:pPr>
        <w:pStyle w:val="7"/>
        <w:spacing w:line="360" w:lineRule="auto"/>
        <w:ind w:firstLine="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p>
    <w:p>
      <w:pPr>
        <w:pStyle w:val="7"/>
        <w:numPr>
          <w:ilvl w:val="0"/>
          <w:numId w:val="6"/>
        </w:numPr>
        <w:tabs>
          <w:tab w:val="left" w:pos="1000"/>
        </w:tabs>
        <w:spacing w:line="360" w:lineRule="auto"/>
        <w:ind w:firstLine="42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目录、序号和页码由供应商自行编列；</w:t>
      </w:r>
    </w:p>
    <w:p>
      <w:pPr>
        <w:pStyle w:val="7"/>
        <w:numPr>
          <w:ilvl w:val="0"/>
          <w:numId w:val="6"/>
        </w:numPr>
        <w:tabs>
          <w:tab w:val="left" w:pos="1000"/>
        </w:tabs>
        <w:spacing w:line="360" w:lineRule="auto"/>
        <w:ind w:firstLine="422"/>
        <w:rPr>
          <w:rFonts w:hint="eastAsia" w:ascii="仿宋" w:hAnsi="仿宋" w:eastAsia="仿宋" w:cs="仿宋"/>
          <w:b/>
          <w:color w:val="auto"/>
          <w:sz w:val="24"/>
          <w:szCs w:val="24"/>
          <w:highlight w:val="none"/>
        </w:rPr>
      </w:pPr>
      <w:r>
        <w:rPr>
          <w:rFonts w:hint="eastAsia" w:ascii="仿宋" w:hAnsi="仿宋" w:eastAsia="仿宋" w:cs="仿宋"/>
          <w:b/>
          <w:bCs/>
          <w:color w:val="auto"/>
          <w:kern w:val="1"/>
          <w:sz w:val="24"/>
          <w:szCs w:val="24"/>
          <w:highlight w:val="none"/>
        </w:rPr>
        <w:t>使用本文件提供的表格格式附件时，可以按同样格式扩展。没有提供制式格式的，供应商可以自行设计。</w:t>
      </w:r>
    </w:p>
    <w:p>
      <w:pPr>
        <w:pStyle w:val="7"/>
        <w:numPr>
          <w:ilvl w:val="0"/>
          <w:numId w:val="6"/>
        </w:numPr>
        <w:tabs>
          <w:tab w:val="left" w:pos="1000"/>
        </w:tabs>
        <w:spacing w:line="360" w:lineRule="auto"/>
        <w:ind w:firstLine="422"/>
        <w:rPr>
          <w:rFonts w:hint="eastAsia"/>
          <w:color w:val="auto"/>
          <w:sz w:val="24"/>
          <w:szCs w:val="24"/>
        </w:rPr>
      </w:pPr>
      <w:r>
        <w:rPr>
          <w:rFonts w:hint="eastAsia" w:ascii="仿宋" w:hAnsi="仿宋" w:eastAsia="仿宋" w:cs="仿宋"/>
          <w:b/>
          <w:color w:val="auto"/>
          <w:sz w:val="24"/>
          <w:szCs w:val="24"/>
          <w:highlight w:val="none"/>
          <w:lang w:val="en-US" w:eastAsia="zh-CN"/>
        </w:rPr>
        <w:t>响应文件</w:t>
      </w:r>
      <w:r>
        <w:rPr>
          <w:rFonts w:hint="eastAsia" w:ascii="仿宋" w:hAnsi="仿宋" w:eastAsia="仿宋" w:cs="仿宋"/>
          <w:b/>
          <w:color w:val="auto"/>
          <w:sz w:val="24"/>
          <w:szCs w:val="24"/>
          <w:highlight w:val="none"/>
        </w:rPr>
        <w:t>的内容包括但不仅限于上述内容，如有不足请自行补充。</w:t>
      </w:r>
    </w:p>
    <w:p>
      <w:pPr>
        <w:spacing w:line="360" w:lineRule="auto"/>
        <w:ind w:firstLine="482" w:firstLineChars="200"/>
        <w:rPr>
          <w:rFonts w:hint="eastAsia"/>
          <w:color w:val="auto"/>
          <w:sz w:val="24"/>
          <w:szCs w:val="24"/>
        </w:rPr>
      </w:pPr>
      <w:r>
        <w:rPr>
          <w:rFonts w:hint="eastAsia" w:ascii="仿宋" w:hAnsi="仿宋" w:eastAsia="仿宋" w:cs="仿宋"/>
          <w:b/>
          <w:bCs/>
          <w:color w:val="auto"/>
          <w:sz w:val="24"/>
          <w:szCs w:val="24"/>
          <w:highlight w:val="none"/>
          <w:lang w:val="en-US" w:eastAsia="zh-CN"/>
        </w:rPr>
        <w:t>4、响应文件</w:t>
      </w:r>
      <w:r>
        <w:rPr>
          <w:rFonts w:hint="eastAsia" w:ascii="仿宋" w:hAnsi="仿宋" w:eastAsia="仿宋" w:cs="仿宋"/>
          <w:b/>
          <w:bCs/>
          <w:color w:val="auto"/>
          <w:sz w:val="24"/>
          <w:szCs w:val="24"/>
          <w:highlight w:val="none"/>
        </w:rPr>
        <w:t>的内容包括但不仅限于上述内容，如有不足请自行补充。</w:t>
      </w:r>
    </w:p>
    <w:p>
      <w:pPr>
        <w:pStyle w:val="7"/>
        <w:tabs>
          <w:tab w:val="left" w:pos="1000"/>
        </w:tabs>
        <w:spacing w:line="360" w:lineRule="auto"/>
        <w:ind w:left="0" w:leftChars="0" w:firstLine="0" w:firstLineChars="0"/>
        <w:rPr>
          <w:rFonts w:hint="eastAsia" w:ascii="仿宋" w:hAnsi="仿宋" w:eastAsia="仿宋" w:cs="仿宋"/>
          <w:b/>
          <w:color w:val="auto"/>
          <w:sz w:val="24"/>
          <w:szCs w:val="24"/>
          <w:highlight w:val="none"/>
        </w:rPr>
        <w:sectPr>
          <w:footerReference r:id="rId6" w:type="first"/>
          <w:footerReference r:id="rId5" w:type="default"/>
          <w:pgSz w:w="11906" w:h="16838"/>
          <w:pgMar w:top="1402" w:right="1418" w:bottom="1400" w:left="1418" w:header="851" w:footer="992" w:gutter="0"/>
          <w:pgNumType w:fmt="decimal" w:start="1"/>
          <w:cols w:space="720" w:num="1"/>
          <w:titlePg/>
        </w:sectPr>
      </w:pPr>
    </w:p>
    <w:p>
      <w:pPr>
        <w:pStyle w:val="4"/>
        <w:bidi w:val="0"/>
        <w:spacing w:line="360" w:lineRule="auto"/>
        <w:outlineLvl w:val="0"/>
        <w:rPr>
          <w:rFonts w:hint="eastAsia"/>
          <w:color w:val="auto"/>
        </w:rPr>
      </w:pPr>
      <w:r>
        <w:rPr>
          <w:rFonts w:hint="eastAsia"/>
          <w:color w:val="auto"/>
        </w:rPr>
        <w:t xml:space="preserve">  </w:t>
      </w:r>
      <w:bookmarkStart w:id="154" w:name="_Toc28824"/>
      <w:r>
        <w:rPr>
          <w:rFonts w:hint="eastAsia"/>
          <w:color w:val="auto"/>
        </w:rPr>
        <w:t>1、响 应 函</w:t>
      </w:r>
      <w:bookmarkEnd w:id="154"/>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pacing w:val="-10"/>
          <w:sz w:val="24"/>
          <w:highlight w:val="none"/>
          <w:u w:val="single"/>
        </w:rPr>
        <w:t xml:space="preserve">                             </w:t>
      </w:r>
      <w:r>
        <w:rPr>
          <w:rFonts w:hint="eastAsia" w:ascii="仿宋" w:hAnsi="仿宋" w:eastAsia="仿宋" w:cs="仿宋"/>
          <w:color w:val="auto"/>
          <w:sz w:val="24"/>
          <w:highlight w:val="none"/>
          <w:u w:val="single"/>
        </w:rPr>
        <w:t>：</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我们收到你们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和布克赛尔县自然资源统一确权登记工作项目</w:t>
      </w:r>
      <w:r>
        <w:rPr>
          <w:rFonts w:hint="eastAsia" w:ascii="仿宋" w:hAnsi="仿宋" w:eastAsia="仿宋" w:cs="仿宋"/>
          <w:color w:val="auto"/>
          <w:spacing w:val="-10"/>
          <w:sz w:val="24"/>
          <w:highlight w:val="none"/>
          <w:u w:val="single"/>
        </w:rPr>
        <w:t xml:space="preserve"> </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，经认真研究，我们决定参加投标。</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⒈ 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中的一切要求服务。</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 xml:space="preserve">总报价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元（用阿拉伯数字书写）人民币，明细见报价明细表。</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⒉ 如果我们的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被接受，我们将履行</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中规定的每一项要求，按期、按质、按量完成测量、定级、确权、估价服务等任务。</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⒊ 我们同意按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的有效期为投标截止期后</w:t>
      </w:r>
      <w:r>
        <w:rPr>
          <w:rFonts w:hint="eastAsia" w:ascii="仿宋" w:hAnsi="仿宋" w:eastAsia="仿宋" w:cs="仿宋"/>
          <w:color w:val="auto"/>
          <w:sz w:val="24"/>
          <w:highlight w:val="none"/>
          <w:u w:val="single"/>
        </w:rPr>
        <w:t xml:space="preserve"> </w:t>
      </w:r>
      <w:r>
        <w:rPr>
          <w:rFonts w:hint="eastAsia" w:ascii="仿宋" w:hAnsi="仿宋" w:eastAsia="仿宋" w:cs="仿宋"/>
          <w:b/>
          <w:color w:val="auto"/>
          <w:sz w:val="24"/>
          <w:highlight w:val="none"/>
          <w:u w:val="single"/>
        </w:rPr>
        <w:t>60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⒋ 我们愿意提供采购人在</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中要求的所有资料。</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⒌ 我们认为你们有选择或拒绝任何供应商的权力。我们理解，最低报价不是成交的唯一条件。</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⒍ 我们愿按合同法履行自己的全部责任。</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⒎ 我方愿意遵守国家有关规定及</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中规定的收费标准，承付成交服务费。</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⒏ 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在投标截止期后的有效期内保持有效，不作任何更改和变动。</w:t>
      </w:r>
    </w:p>
    <w:p>
      <w:pPr>
        <w:spacing w:line="360" w:lineRule="auto"/>
        <w:ind w:firstLine="567"/>
        <w:outlineLvl w:val="0"/>
        <w:rPr>
          <w:rFonts w:hint="eastAsia" w:ascii="仿宋" w:hAnsi="仿宋" w:eastAsia="仿宋" w:cs="仿宋"/>
          <w:color w:val="auto"/>
          <w:sz w:val="24"/>
          <w:highlight w:val="none"/>
        </w:rPr>
      </w:pPr>
      <w:bookmarkStart w:id="155" w:name="_Toc14791"/>
      <w:bookmarkStart w:id="156" w:name="_Toc20169"/>
      <w:bookmarkStart w:id="157" w:name="_Toc24901"/>
      <w:bookmarkStart w:id="158" w:name="_Toc536"/>
      <w:r>
        <w:rPr>
          <w:rFonts w:hint="eastAsia" w:ascii="仿宋" w:hAnsi="仿宋" w:eastAsia="仿宋" w:cs="仿宋"/>
          <w:color w:val="auto"/>
          <w:sz w:val="24"/>
          <w:highlight w:val="none"/>
        </w:rPr>
        <w:t>9. 综合说明：</w:t>
      </w:r>
      <w:bookmarkEnd w:id="155"/>
      <w:bookmarkEnd w:id="156"/>
      <w:bookmarkEnd w:id="157"/>
      <w:bookmarkEnd w:id="158"/>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（1）项目的详细技术参数、技术条件、技术标准、拟达到的质量标准和保险期限。</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（2）培训计划及人员安排。</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（3）技术服务。</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（4）要求项目单位提供的配合。</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（5）对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内容有不同意见的偏离说明。</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（6）其它。</w:t>
      </w:r>
    </w:p>
    <w:p>
      <w:pPr>
        <w:spacing w:line="360" w:lineRule="auto"/>
        <w:ind w:firstLine="567"/>
        <w:outlineLvl w:val="0"/>
        <w:rPr>
          <w:rFonts w:hint="eastAsia" w:ascii="仿宋" w:hAnsi="仿宋" w:eastAsia="仿宋" w:cs="仿宋"/>
          <w:color w:val="auto"/>
          <w:sz w:val="24"/>
          <w:highlight w:val="none"/>
        </w:rPr>
      </w:pPr>
      <w:bookmarkStart w:id="159" w:name="_Toc13532"/>
      <w:bookmarkStart w:id="160" w:name="_Toc31486"/>
      <w:bookmarkStart w:id="161" w:name="_Toc11374"/>
      <w:bookmarkStart w:id="162" w:name="_Toc21698"/>
      <w:r>
        <w:rPr>
          <w:rFonts w:hint="eastAsia" w:ascii="仿宋" w:hAnsi="仿宋" w:eastAsia="仿宋" w:cs="仿宋"/>
          <w:color w:val="auto"/>
          <w:sz w:val="24"/>
          <w:highlight w:val="none"/>
        </w:rPr>
        <w:t>10.所有有关本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的函电，请按下列地址联系：</w:t>
      </w:r>
      <w:bookmarkEnd w:id="159"/>
      <w:bookmarkEnd w:id="160"/>
      <w:bookmarkEnd w:id="161"/>
      <w:bookmarkEnd w:id="162"/>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单       位：</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w:t>
      </w:r>
    </w:p>
    <w:p>
      <w:pPr>
        <w:spacing w:line="360" w:lineRule="auto"/>
        <w:ind w:firstLine="567"/>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p>
    <w:p>
      <w:pPr>
        <w:spacing w:line="360" w:lineRule="auto"/>
        <w:ind w:firstLine="567"/>
        <w:rPr>
          <w:rFonts w:hint="eastAsia" w:ascii="仿宋" w:hAnsi="仿宋" w:eastAsia="仿宋" w:cs="仿宋"/>
          <w:color w:val="auto"/>
          <w:sz w:val="24"/>
          <w:highlight w:val="none"/>
        </w:rPr>
      </w:pPr>
    </w:p>
    <w:p>
      <w:pPr>
        <w:spacing w:line="360"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pPr>
        <w:spacing w:line="360" w:lineRule="auto"/>
        <w:ind w:firstLine="432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pPr>
        <w:spacing w:line="360" w:lineRule="auto"/>
        <w:ind w:firstLine="5176" w:firstLineChars="2157"/>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  月  日</w:t>
      </w:r>
    </w:p>
    <w:p>
      <w:pPr>
        <w:spacing w:line="360" w:lineRule="auto"/>
        <w:rPr>
          <w:rFonts w:hint="eastAsia" w:ascii="仿宋" w:hAnsi="仿宋" w:eastAsia="仿宋" w:cs="仿宋"/>
          <w:color w:val="auto"/>
          <w:sz w:val="24"/>
          <w:highlight w:val="none"/>
        </w:rPr>
        <w:sectPr>
          <w:pgSz w:w="11906" w:h="16838"/>
          <w:pgMar w:top="1418" w:right="1418" w:bottom="1418" w:left="1418" w:header="851" w:footer="992" w:gutter="0"/>
          <w:pgNumType w:fmt="decimal"/>
          <w:cols w:space="720" w:num="1"/>
          <w:docGrid w:linePitch="312" w:charSpace="0"/>
        </w:sectPr>
      </w:pPr>
    </w:p>
    <w:p>
      <w:pPr>
        <w:pStyle w:val="4"/>
        <w:bidi w:val="0"/>
        <w:spacing w:line="360" w:lineRule="auto"/>
        <w:outlineLvl w:val="0"/>
        <w:rPr>
          <w:rFonts w:hint="eastAsia"/>
          <w:color w:val="auto"/>
        </w:rPr>
      </w:pPr>
      <w:bookmarkStart w:id="163" w:name="_Toc32218"/>
      <w:r>
        <w:rPr>
          <w:rFonts w:hint="eastAsia"/>
          <w:color w:val="auto"/>
          <w:lang w:val="en-US" w:eastAsia="zh-CN"/>
        </w:rPr>
        <w:t>2、</w:t>
      </w:r>
      <w:r>
        <w:rPr>
          <w:rFonts w:hint="eastAsia"/>
          <w:color w:val="auto"/>
          <w:lang w:eastAsia="zh-CN"/>
        </w:rPr>
        <w:t>磋商</w:t>
      </w:r>
      <w:r>
        <w:rPr>
          <w:rFonts w:hint="eastAsia"/>
          <w:color w:val="auto"/>
        </w:rPr>
        <w:t>报价单</w:t>
      </w:r>
      <w:bookmarkEnd w:id="163"/>
    </w:p>
    <w:p>
      <w:pPr>
        <w:spacing w:line="360" w:lineRule="auto"/>
        <w:rPr>
          <w:rFonts w:hint="eastAsia" w:ascii="仿宋" w:hAnsi="仿宋" w:eastAsia="仿宋" w:cs="仿宋"/>
          <w:color w:val="auto"/>
          <w:kern w:val="1"/>
          <w:szCs w:val="28"/>
          <w:highlight w:val="none"/>
        </w:rPr>
      </w:pPr>
      <w:r>
        <w:rPr>
          <w:rFonts w:hint="eastAsia" w:ascii="仿宋" w:hAnsi="仿宋" w:eastAsia="仿宋" w:cs="仿宋"/>
          <w:color w:val="auto"/>
          <w:kern w:val="1"/>
          <w:szCs w:val="28"/>
          <w:highlight w:val="none"/>
        </w:rPr>
        <w:t>项目名称：</w:t>
      </w:r>
    </w:p>
    <w:tbl>
      <w:tblPr>
        <w:tblStyle w:val="27"/>
        <w:tblW w:w="0" w:type="auto"/>
        <w:tblInd w:w="0" w:type="dxa"/>
        <w:tblLayout w:type="fixed"/>
        <w:tblCellMar>
          <w:top w:w="0" w:type="dxa"/>
          <w:left w:w="108" w:type="dxa"/>
          <w:bottom w:w="0" w:type="dxa"/>
          <w:right w:w="108" w:type="dxa"/>
        </w:tblCellMar>
      </w:tblPr>
      <w:tblGrid>
        <w:gridCol w:w="2293"/>
        <w:gridCol w:w="2293"/>
        <w:gridCol w:w="2294"/>
        <w:gridCol w:w="2294"/>
      </w:tblGrid>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color w:val="auto"/>
                <w:kern w:val="1"/>
                <w:highlight w:val="none"/>
              </w:rPr>
            </w:pPr>
            <w:r>
              <w:rPr>
                <w:rFonts w:hint="eastAsia" w:ascii="仿宋" w:hAnsi="仿宋" w:eastAsia="仿宋" w:cs="仿宋"/>
                <w:color w:val="auto"/>
                <w:highlight w:val="none"/>
              </w:rPr>
              <w:t>序号</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tabs>
                <w:tab w:val="left" w:pos="1090"/>
              </w:tabs>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名称</w:t>
            </w:r>
          </w:p>
        </w:tc>
        <w:tc>
          <w:tcPr>
            <w:tcW w:w="22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磋商报价</w:t>
            </w:r>
            <w:r>
              <w:rPr>
                <w:rFonts w:hint="eastAsia" w:ascii="仿宋" w:hAnsi="仿宋" w:eastAsia="仿宋" w:cs="仿宋"/>
                <w:color w:val="auto"/>
                <w:highlight w:val="none"/>
              </w:rPr>
              <w:t>（元）</w:t>
            </w:r>
          </w:p>
        </w:tc>
        <w:tc>
          <w:tcPr>
            <w:tcW w:w="22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rPr>
              <w:t>1</w:t>
            </w:r>
          </w:p>
        </w:tc>
        <w:tc>
          <w:tcPr>
            <w:tcW w:w="2293"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3"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c>
          <w:tcPr>
            <w:tcW w:w="229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rPr>
              <w:t>合计</w:t>
            </w:r>
          </w:p>
        </w:tc>
        <w:tc>
          <w:tcPr>
            <w:tcW w:w="6881" w:type="dxa"/>
            <w:gridSpan w:val="3"/>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r>
              <w:rPr>
                <w:rFonts w:hint="eastAsia" w:ascii="仿宋" w:hAnsi="仿宋" w:eastAsia="仿宋" w:cs="仿宋"/>
                <w:color w:val="auto"/>
                <w:kern w:val="1"/>
                <w:highlight w:val="none"/>
              </w:rPr>
              <w:t>小写：</w:t>
            </w:r>
            <w:r>
              <w:rPr>
                <w:rFonts w:hint="eastAsia" w:ascii="仿宋" w:hAnsi="仿宋" w:eastAsia="仿宋" w:cs="仿宋"/>
                <w:color w:val="auto"/>
                <w:kern w:val="1"/>
                <w:highlight w:val="none"/>
                <w:u w:val="single"/>
              </w:rPr>
              <w:t xml:space="preserve">            </w:t>
            </w:r>
            <w:r>
              <w:rPr>
                <w:rFonts w:hint="eastAsia" w:ascii="仿宋" w:hAnsi="仿宋" w:eastAsia="仿宋" w:cs="仿宋"/>
                <w:color w:val="auto"/>
                <w:kern w:val="1"/>
                <w:highlight w:val="none"/>
              </w:rPr>
              <w:t>元；大写：</w:t>
            </w:r>
            <w:r>
              <w:rPr>
                <w:rFonts w:hint="eastAsia" w:ascii="仿宋" w:hAnsi="仿宋" w:eastAsia="仿宋" w:cs="仿宋"/>
                <w:color w:val="auto"/>
                <w:kern w:val="1"/>
                <w:highlight w:val="none"/>
                <w:u w:val="single"/>
              </w:rPr>
              <w:t xml:space="preserve">              </w:t>
            </w:r>
            <w:r>
              <w:rPr>
                <w:rFonts w:hint="eastAsia" w:ascii="仿宋" w:hAnsi="仿宋" w:eastAsia="仿宋" w:cs="仿宋"/>
                <w:color w:val="auto"/>
                <w:kern w:val="1"/>
                <w:highlight w:val="none"/>
              </w:rPr>
              <w:t>元整</w:t>
            </w: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仿宋" w:hAnsi="仿宋" w:eastAsia="仿宋" w:cs="仿宋"/>
                <w:color w:val="auto"/>
                <w:kern w:val="1"/>
                <w:highlight w:val="none"/>
              </w:rPr>
            </w:pPr>
            <w:r>
              <w:rPr>
                <w:rFonts w:hint="eastAsia" w:ascii="仿宋" w:hAnsi="仿宋" w:eastAsia="仿宋" w:cs="仿宋"/>
                <w:color w:val="auto"/>
                <w:kern w:val="1"/>
                <w:highlight w:val="none"/>
              </w:rPr>
              <w:t>服务期限</w:t>
            </w:r>
          </w:p>
        </w:tc>
        <w:tc>
          <w:tcPr>
            <w:tcW w:w="6881" w:type="dxa"/>
            <w:gridSpan w:val="3"/>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 w:hAnsi="仿宋" w:eastAsia="仿宋" w:cs="仿宋"/>
                <w:color w:val="auto"/>
                <w:kern w:val="1"/>
                <w:highlight w:val="none"/>
              </w:rPr>
            </w:pPr>
          </w:p>
        </w:tc>
      </w:tr>
    </w:tbl>
    <w:p>
      <w:pPr>
        <w:spacing w:line="360" w:lineRule="auto"/>
        <w:ind w:firstLine="491" w:firstLineChars="205"/>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kern w:val="1"/>
          <w:szCs w:val="28"/>
          <w:highlight w:val="none"/>
        </w:rPr>
      </w:pPr>
      <w:r>
        <w:rPr>
          <w:rFonts w:hint="eastAsia" w:ascii="仿宋" w:hAnsi="仿宋" w:eastAsia="仿宋" w:cs="仿宋"/>
          <w:color w:val="auto"/>
          <w:kern w:val="1"/>
          <w:szCs w:val="28"/>
          <w:highlight w:val="none"/>
        </w:rPr>
        <w:t xml:space="preserve">注：1. </w:t>
      </w:r>
      <w:r>
        <w:rPr>
          <w:rFonts w:hint="eastAsia" w:ascii="仿宋" w:hAnsi="仿宋" w:eastAsia="仿宋" w:cs="仿宋"/>
          <w:color w:val="auto"/>
          <w:highlight w:val="none"/>
          <w:lang w:eastAsia="zh-CN"/>
        </w:rPr>
        <w:t>磋商报价</w:t>
      </w:r>
      <w:r>
        <w:rPr>
          <w:rFonts w:hint="eastAsia" w:ascii="仿宋" w:hAnsi="仿宋" w:eastAsia="仿宋" w:cs="仿宋"/>
          <w:color w:val="auto"/>
          <w:kern w:val="1"/>
          <w:szCs w:val="28"/>
          <w:highlight w:val="none"/>
        </w:rPr>
        <w:t>应是完成合同条款上所列招标范围及服务期所需的全部费用（包含人工费、交通费、食宿费、通讯费、成果编制费、印刷费、设备使用与购置费、专家咨询劳务费、管理费、风险费、税金。完成包括但不限于以下工作内容:成果编制、印刷、咨询等所有内容），不得以任何理由予以重复，未列和没有填写的项目费用，采购人将视为已包含在报价总价中。</w:t>
      </w:r>
    </w:p>
    <w:p>
      <w:pPr>
        <w:tabs>
          <w:tab w:val="left" w:pos="1365"/>
        </w:tabs>
        <w:spacing w:line="360" w:lineRule="auto"/>
        <w:ind w:firstLine="420"/>
        <w:outlineLvl w:val="0"/>
        <w:rPr>
          <w:rFonts w:hint="eastAsia" w:ascii="仿宋" w:hAnsi="仿宋" w:eastAsia="仿宋" w:cs="仿宋"/>
          <w:color w:val="auto"/>
          <w:kern w:val="1"/>
          <w:szCs w:val="28"/>
          <w:highlight w:val="none"/>
        </w:rPr>
      </w:pPr>
      <w:bookmarkStart w:id="164" w:name="_Toc8128"/>
      <w:bookmarkStart w:id="165" w:name="_Toc6862"/>
      <w:bookmarkStart w:id="166" w:name="_Toc5622"/>
      <w:bookmarkStart w:id="167" w:name="_Toc4478"/>
      <w:r>
        <w:rPr>
          <w:rFonts w:hint="eastAsia" w:ascii="仿宋" w:hAnsi="仿宋" w:eastAsia="仿宋" w:cs="仿宋"/>
          <w:color w:val="auto"/>
          <w:kern w:val="1"/>
          <w:szCs w:val="28"/>
          <w:highlight w:val="none"/>
        </w:rPr>
        <w:t>2. 本表中的</w:t>
      </w:r>
      <w:r>
        <w:rPr>
          <w:rFonts w:hint="eastAsia" w:ascii="仿宋" w:hAnsi="仿宋" w:eastAsia="仿宋" w:cs="仿宋"/>
          <w:color w:val="auto"/>
          <w:kern w:val="1"/>
          <w:szCs w:val="28"/>
          <w:highlight w:val="none"/>
          <w:lang w:eastAsia="zh-CN"/>
        </w:rPr>
        <w:t>磋商报价</w:t>
      </w:r>
      <w:r>
        <w:rPr>
          <w:rFonts w:hint="eastAsia" w:ascii="仿宋" w:hAnsi="仿宋" w:eastAsia="仿宋" w:cs="仿宋"/>
          <w:color w:val="auto"/>
          <w:kern w:val="1"/>
          <w:szCs w:val="28"/>
          <w:highlight w:val="none"/>
        </w:rPr>
        <w:t>应与分项报价表中的总价相一致。</w:t>
      </w:r>
      <w:bookmarkEnd w:id="164"/>
      <w:bookmarkEnd w:id="165"/>
      <w:bookmarkEnd w:id="166"/>
      <w:bookmarkEnd w:id="167"/>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spacing w:line="360" w:lineRule="auto"/>
        <w:ind w:firstLine="491" w:firstLineChars="205"/>
        <w:rPr>
          <w:rFonts w:hint="eastAsia" w:ascii="仿宋" w:hAnsi="仿宋" w:eastAsia="仿宋" w:cs="仿宋"/>
          <w:color w:val="auto"/>
          <w:sz w:val="24"/>
          <w:highlight w:val="none"/>
        </w:rPr>
      </w:pPr>
    </w:p>
    <w:p>
      <w:pPr>
        <w:spacing w:line="360" w:lineRule="auto"/>
        <w:ind w:firstLine="491" w:firstLineChars="205"/>
        <w:rPr>
          <w:rFonts w:hint="eastAsia" w:ascii="仿宋" w:hAnsi="仿宋" w:eastAsia="仿宋" w:cs="仿宋"/>
          <w:color w:val="auto"/>
          <w:sz w:val="24"/>
          <w:highlight w:val="none"/>
        </w:rPr>
      </w:pPr>
    </w:p>
    <w:p>
      <w:pPr>
        <w:spacing w:line="360" w:lineRule="auto"/>
        <w:ind w:firstLine="491" w:firstLineChars="205"/>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bookmarkStart w:id="168" w:name="OLE_LINK7"/>
      <w:r>
        <w:rPr>
          <w:rFonts w:hint="eastAsia" w:ascii="仿宋" w:hAnsi="仿宋" w:eastAsia="仿宋" w:cs="仿宋"/>
          <w:color w:val="auto"/>
          <w:sz w:val="24"/>
          <w:highlight w:val="none"/>
        </w:rPr>
        <w:t>签字或盖章</w:t>
      </w:r>
      <w:bookmarkEnd w:id="168"/>
      <w:r>
        <w:rPr>
          <w:rFonts w:hint="eastAsia" w:ascii="仿宋" w:hAnsi="仿宋" w:eastAsia="仿宋" w:cs="仿宋"/>
          <w:color w:val="auto"/>
          <w:sz w:val="24"/>
          <w:highlight w:val="none"/>
        </w:rPr>
        <w:t>）：                           年   月   日</w:t>
      </w:r>
    </w:p>
    <w:p>
      <w:pPr>
        <w:spacing w:line="360" w:lineRule="auto"/>
        <w:ind w:firstLine="491" w:firstLineChars="205"/>
        <w:rPr>
          <w:rFonts w:hint="eastAsia" w:ascii="仿宋" w:hAnsi="仿宋" w:eastAsia="仿宋" w:cs="仿宋"/>
          <w:color w:val="auto"/>
          <w:sz w:val="24"/>
          <w:highlight w:val="none"/>
        </w:rPr>
      </w:pPr>
    </w:p>
    <w:p>
      <w:pPr>
        <w:spacing w:line="360" w:lineRule="auto"/>
        <w:ind w:firstLine="491" w:firstLineChars="205"/>
        <w:rPr>
          <w:rFonts w:hint="eastAsia" w:ascii="仿宋" w:hAnsi="仿宋" w:eastAsia="仿宋" w:cs="仿宋"/>
          <w:color w:val="auto"/>
          <w:sz w:val="24"/>
          <w:highlight w:val="none"/>
        </w:rPr>
      </w:pPr>
    </w:p>
    <w:p>
      <w:pPr>
        <w:spacing w:line="360" w:lineRule="auto"/>
        <w:ind w:firstLine="491" w:firstLineChars="205"/>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法人委托代理人（签字或盖章）：                      年   月   日</w:t>
      </w:r>
    </w:p>
    <w:p>
      <w:pPr>
        <w:spacing w:line="360" w:lineRule="auto"/>
        <w:rPr>
          <w:rFonts w:hint="eastAsia" w:ascii="仿宋" w:hAnsi="仿宋" w:eastAsia="仿宋" w:cs="仿宋"/>
          <w:color w:val="auto"/>
          <w:sz w:val="24"/>
          <w:highlight w:val="none"/>
        </w:rPr>
        <w:sectPr>
          <w:headerReference r:id="rId7" w:type="default"/>
          <w:footerReference r:id="rId8" w:type="default"/>
          <w:footerReference r:id="rId9" w:type="even"/>
          <w:pgSz w:w="11906" w:h="16838"/>
          <w:pgMar w:top="1402" w:right="926" w:bottom="1712" w:left="1985" w:header="851" w:footer="992" w:gutter="0"/>
          <w:pgNumType w:fmt="decimal"/>
          <w:cols w:space="720" w:num="1"/>
          <w:docGrid w:linePitch="312" w:charSpace="0"/>
        </w:sectPr>
      </w:pPr>
    </w:p>
    <w:p>
      <w:pPr>
        <w:pStyle w:val="4"/>
        <w:bidi w:val="0"/>
        <w:spacing w:line="360" w:lineRule="auto"/>
        <w:outlineLvl w:val="0"/>
        <w:rPr>
          <w:rFonts w:hint="eastAsia"/>
          <w:color w:val="auto"/>
        </w:rPr>
      </w:pPr>
      <w:bookmarkStart w:id="169" w:name="_Toc4932"/>
      <w:r>
        <w:rPr>
          <w:rFonts w:hint="eastAsia"/>
          <w:color w:val="auto"/>
        </w:rPr>
        <w:t>3、 报价明细表</w:t>
      </w:r>
      <w:bookmarkEnd w:id="169"/>
    </w:p>
    <w:p>
      <w:pPr>
        <w:spacing w:line="360" w:lineRule="auto"/>
        <w:rPr>
          <w:rFonts w:hint="eastAsia" w:ascii="仿宋" w:hAnsi="仿宋" w:eastAsia="仿宋" w:cs="仿宋"/>
          <w:b/>
          <w:color w:val="auto"/>
          <w:szCs w:val="21"/>
          <w:highlight w:val="none"/>
        </w:rPr>
      </w:pPr>
    </w:p>
    <w:p>
      <w:pPr>
        <w:spacing w:line="360" w:lineRule="auto"/>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项目名称：</w:t>
      </w:r>
      <w:r>
        <w:rPr>
          <w:rFonts w:hint="eastAsia" w:ascii="仿宋" w:hAnsi="仿宋" w:eastAsia="仿宋" w:cs="仿宋"/>
          <w:color w:val="auto"/>
          <w:kern w:val="1"/>
          <w:szCs w:val="21"/>
          <w:highlight w:val="none"/>
          <w:u w:val="single"/>
        </w:rPr>
        <w:t xml:space="preserve">                     </w:t>
      </w:r>
      <w:r>
        <w:rPr>
          <w:rFonts w:hint="eastAsia" w:ascii="仿宋" w:hAnsi="仿宋" w:eastAsia="仿宋" w:cs="仿宋"/>
          <w:color w:val="auto"/>
          <w:kern w:val="1"/>
          <w:szCs w:val="21"/>
          <w:highlight w:val="none"/>
        </w:rPr>
        <w:t xml:space="preserve">                       </w:t>
      </w:r>
    </w:p>
    <w:tbl>
      <w:tblPr>
        <w:tblStyle w:val="27"/>
        <w:tblW w:w="0" w:type="auto"/>
        <w:tblInd w:w="-34" w:type="dxa"/>
        <w:tblLayout w:type="fixed"/>
        <w:tblCellMar>
          <w:top w:w="0" w:type="dxa"/>
          <w:left w:w="108" w:type="dxa"/>
          <w:bottom w:w="0" w:type="dxa"/>
          <w:right w:w="108" w:type="dxa"/>
        </w:tblCellMar>
      </w:tblPr>
      <w:tblGrid>
        <w:gridCol w:w="851"/>
        <w:gridCol w:w="2126"/>
        <w:gridCol w:w="2127"/>
        <w:gridCol w:w="850"/>
        <w:gridCol w:w="992"/>
        <w:gridCol w:w="1105"/>
        <w:gridCol w:w="1022"/>
      </w:tblGrid>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明细名称</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简要说明</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单价</w:t>
            </w: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合计</w:t>
            </w: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4"/>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服务1</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4"/>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服务2</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4"/>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服务3</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4"/>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4"/>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其他</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4"/>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4"/>
              <w:spacing w:line="360" w:lineRule="auto"/>
              <w:jc w:val="center"/>
              <w:rPr>
                <w:rFonts w:hint="eastAsia" w:ascii="仿宋" w:hAnsi="仿宋" w:eastAsia="仿宋" w:cs="仿宋"/>
                <w:color w:val="auto"/>
                <w:highlight w:val="none"/>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jc w:val="left"/>
              <w:rPr>
                <w:rFonts w:hint="eastAsia" w:ascii="仿宋" w:hAnsi="仿宋" w:eastAsia="仿宋" w:cs="仿宋"/>
                <w:color w:val="auto"/>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center"/>
              <w:rPr>
                <w:rFonts w:hint="eastAsia" w:ascii="仿宋" w:hAnsi="仿宋" w:eastAsia="仿宋" w:cs="仿宋"/>
                <w:color w:val="auto"/>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rPr>
                <w:rFonts w:hint="eastAsia" w:ascii="仿宋" w:hAnsi="仿宋" w:eastAsia="仿宋" w:cs="仿宋"/>
                <w:color w:val="auto"/>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auto"/>
              <w:ind w:left="1260" w:hanging="420"/>
              <w:rPr>
                <w:rFonts w:hint="eastAsia" w:ascii="仿宋" w:hAnsi="仿宋" w:eastAsia="仿宋" w:cs="仿宋"/>
                <w:color w:val="auto"/>
                <w:sz w:val="21"/>
                <w:szCs w:val="21"/>
                <w:highlight w:val="none"/>
                <w:lang w:val="en-US"/>
              </w:rPr>
            </w:pPr>
          </w:p>
        </w:tc>
      </w:tr>
      <w:tr>
        <w:tblPrEx>
          <w:tblCellMar>
            <w:top w:w="0" w:type="dxa"/>
            <w:left w:w="108" w:type="dxa"/>
            <w:bottom w:w="0" w:type="dxa"/>
            <w:right w:w="108" w:type="dxa"/>
          </w:tblCellMar>
        </w:tblPrEx>
        <w:trPr>
          <w:trHeight w:val="510" w:hRule="atLeast"/>
        </w:trPr>
        <w:tc>
          <w:tcPr>
            <w:tcW w:w="9073" w:type="dxa"/>
            <w:gridSpan w:val="7"/>
            <w:tcBorders>
              <w:top w:val="single" w:color="000000" w:sz="4" w:space="0"/>
              <w:left w:val="single" w:color="000000" w:sz="4" w:space="0"/>
              <w:bottom w:val="single" w:color="000000" w:sz="4" w:space="0"/>
              <w:right w:val="single" w:color="000000" w:sz="4" w:space="0"/>
            </w:tcBorders>
            <w:vAlign w:val="center"/>
          </w:tcPr>
          <w:p>
            <w:pPr>
              <w:pStyle w:val="17"/>
              <w:spacing w:line="360" w:lineRule="auto"/>
              <w:jc w:val="left"/>
              <w:rPr>
                <w:rFonts w:hint="eastAsia" w:ascii="仿宋" w:hAnsi="仿宋" w:eastAsia="仿宋" w:cs="仿宋"/>
                <w:b/>
                <w:color w:val="auto"/>
                <w:sz w:val="21"/>
                <w:szCs w:val="21"/>
                <w:highlight w:val="none"/>
                <w:lang w:val="en-US"/>
              </w:rPr>
            </w:pPr>
            <w:r>
              <w:rPr>
                <w:rFonts w:hint="eastAsia" w:ascii="仿宋" w:hAnsi="仿宋" w:eastAsia="仿宋" w:cs="仿宋"/>
                <w:b/>
                <w:color w:val="auto"/>
                <w:sz w:val="21"/>
                <w:szCs w:val="21"/>
                <w:highlight w:val="none"/>
                <w:lang w:val="en-US"/>
              </w:rPr>
              <w:t>总价：</w:t>
            </w:r>
          </w:p>
        </w:tc>
      </w:tr>
    </w:tbl>
    <w:p>
      <w:pPr>
        <w:pStyle w:val="1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 1.如果不提供详细分项报价将视为没有实质性响应</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w:t>
      </w:r>
    </w:p>
    <w:p>
      <w:pPr>
        <w:pStyle w:val="14"/>
        <w:spacing w:line="360" w:lineRule="auto"/>
        <w:ind w:firstLine="525"/>
        <w:rPr>
          <w:rFonts w:hint="eastAsia" w:ascii="仿宋" w:hAnsi="仿宋" w:eastAsia="仿宋" w:cs="仿宋"/>
          <w:color w:val="auto"/>
          <w:highlight w:val="none"/>
        </w:rPr>
      </w:pPr>
      <w:r>
        <w:rPr>
          <w:rFonts w:hint="eastAsia" w:ascii="仿宋" w:hAnsi="仿宋" w:eastAsia="仿宋" w:cs="仿宋"/>
          <w:color w:val="auto"/>
          <w:highlight w:val="none"/>
        </w:rPr>
        <w:t>2.上述各项的详细分项报价，可另页描述。</w:t>
      </w:r>
    </w:p>
    <w:p>
      <w:pPr>
        <w:pStyle w:val="14"/>
        <w:spacing w:line="360" w:lineRule="auto"/>
        <w:ind w:firstLine="525"/>
        <w:rPr>
          <w:rFonts w:hint="eastAsia" w:ascii="仿宋" w:hAnsi="仿宋" w:eastAsia="仿宋" w:cs="仿宋"/>
          <w:color w:val="auto"/>
          <w:highlight w:val="none"/>
        </w:rPr>
      </w:pPr>
      <w:r>
        <w:rPr>
          <w:rFonts w:hint="eastAsia" w:ascii="仿宋" w:hAnsi="仿宋" w:eastAsia="仿宋" w:cs="仿宋"/>
          <w:color w:val="auto"/>
          <w:highlight w:val="none"/>
        </w:rPr>
        <w:t>3.本报价中应包含供应商在执行本项目中所发生的所有费用，采购人将不再支付其他费用。</w:t>
      </w:r>
    </w:p>
    <w:p>
      <w:pPr>
        <w:pStyle w:val="14"/>
        <w:spacing w:line="360" w:lineRule="auto"/>
        <w:ind w:firstLine="525"/>
        <w:rPr>
          <w:rFonts w:hint="eastAsia" w:ascii="仿宋" w:hAnsi="仿宋" w:eastAsia="仿宋" w:cs="仿宋"/>
          <w:color w:val="auto"/>
          <w:highlight w:val="none"/>
        </w:rPr>
      </w:pPr>
      <w:r>
        <w:rPr>
          <w:rFonts w:hint="eastAsia" w:ascii="仿宋" w:hAnsi="仿宋" w:eastAsia="仿宋" w:cs="仿宋"/>
          <w:color w:val="auto"/>
          <w:highlight w:val="none"/>
        </w:rPr>
        <w:t>4.供应商应严格按照上述分项内容进行报价，各分项所需附加费用应含在该分项报价中，</w:t>
      </w:r>
      <w:r>
        <w:rPr>
          <w:rFonts w:hint="eastAsia" w:ascii="仿宋" w:hAnsi="仿宋" w:eastAsia="仿宋" w:cs="仿宋"/>
          <w:b/>
          <w:color w:val="auto"/>
          <w:highlight w:val="none"/>
        </w:rPr>
        <w:t>不得再单独列出</w:t>
      </w:r>
      <w:r>
        <w:rPr>
          <w:rFonts w:hint="eastAsia" w:ascii="仿宋" w:hAnsi="仿宋" w:eastAsia="仿宋" w:cs="仿宋"/>
          <w:color w:val="auto"/>
          <w:highlight w:val="none"/>
        </w:rPr>
        <w:t>进行报价（如税费、利润、差旅费、管理费、中标服务费等）。</w:t>
      </w:r>
    </w:p>
    <w:p>
      <w:pPr>
        <w:spacing w:line="360" w:lineRule="auto"/>
        <w:rPr>
          <w:rFonts w:hint="eastAsia" w:ascii="仿宋" w:hAnsi="仿宋" w:eastAsia="仿宋" w:cs="仿宋"/>
          <w:color w:val="auto"/>
          <w:kern w:val="1"/>
          <w:szCs w:val="21"/>
          <w:highlight w:val="none"/>
        </w:rPr>
      </w:pPr>
    </w:p>
    <w:p>
      <w:pPr>
        <w:spacing w:line="360" w:lineRule="auto"/>
        <w:rPr>
          <w:rFonts w:hint="eastAsia" w:ascii="仿宋" w:hAnsi="仿宋" w:eastAsia="仿宋" w:cs="仿宋"/>
          <w:color w:val="auto"/>
          <w:kern w:val="1"/>
          <w:highlight w:val="none"/>
        </w:rPr>
      </w:pPr>
      <w:r>
        <w:rPr>
          <w:rFonts w:hint="eastAsia" w:ascii="仿宋" w:hAnsi="仿宋" w:eastAsia="仿宋" w:cs="仿宋"/>
          <w:color w:val="auto"/>
          <w:kern w:val="1"/>
          <w:szCs w:val="21"/>
          <w:highlight w:val="none"/>
        </w:rPr>
        <w:t>供应商</w:t>
      </w:r>
      <w:r>
        <w:rPr>
          <w:rFonts w:hint="eastAsia" w:ascii="仿宋" w:hAnsi="仿宋" w:eastAsia="仿宋" w:cs="仿宋"/>
          <w:color w:val="auto"/>
          <w:kern w:val="1"/>
          <w:highlight w:val="none"/>
        </w:rPr>
        <w:t>：（加盖公章）</w:t>
      </w:r>
    </w:p>
    <w:p>
      <w:pPr>
        <w:spacing w:line="360" w:lineRule="auto"/>
        <w:rPr>
          <w:rFonts w:hint="eastAsia" w:ascii="仿宋" w:hAnsi="仿宋" w:eastAsia="仿宋" w:cs="仿宋"/>
          <w:color w:val="auto"/>
          <w:kern w:val="1"/>
          <w:highlight w:val="none"/>
        </w:rPr>
      </w:pPr>
      <w:r>
        <w:rPr>
          <w:rFonts w:hint="eastAsia" w:ascii="仿宋" w:hAnsi="仿宋" w:eastAsia="仿宋" w:cs="仿宋"/>
          <w:color w:val="auto"/>
          <w:kern w:val="1"/>
          <w:highlight w:val="none"/>
        </w:rPr>
        <w:t>法定代表人或其全权代表：（签字或印章）</w:t>
      </w:r>
    </w:p>
    <w:p>
      <w:pPr>
        <w:spacing w:line="360" w:lineRule="auto"/>
        <w:rPr>
          <w:rFonts w:hint="eastAsia" w:ascii="仿宋" w:hAnsi="仿宋" w:eastAsia="仿宋" w:cs="仿宋"/>
          <w:color w:val="auto"/>
          <w:kern w:val="1"/>
          <w:szCs w:val="21"/>
          <w:highlight w:val="none"/>
        </w:rPr>
        <w:sectPr>
          <w:headerReference r:id="rId11" w:type="first"/>
          <w:footerReference r:id="rId13" w:type="first"/>
          <w:headerReference r:id="rId10" w:type="default"/>
          <w:footerReference r:id="rId12" w:type="default"/>
          <w:pgSz w:w="11906" w:h="16838"/>
          <w:pgMar w:top="1402" w:right="1418" w:bottom="1400" w:left="1418" w:header="851" w:footer="992" w:gutter="0"/>
          <w:pgNumType w:fmt="decimal"/>
          <w:cols w:space="720" w:num="1"/>
          <w:titlePg/>
        </w:sectPr>
      </w:pPr>
      <w:r>
        <w:rPr>
          <w:rFonts w:hint="eastAsia" w:ascii="仿宋" w:hAnsi="仿宋" w:eastAsia="仿宋" w:cs="仿宋"/>
          <w:color w:val="auto"/>
          <w:kern w:val="1"/>
          <w:highlight w:val="none"/>
        </w:rPr>
        <w:t xml:space="preserve">日  期：    年  月 </w:t>
      </w:r>
    </w:p>
    <w:p>
      <w:pPr>
        <w:pStyle w:val="4"/>
        <w:bidi w:val="0"/>
        <w:spacing w:line="360" w:lineRule="auto"/>
        <w:outlineLvl w:val="0"/>
        <w:rPr>
          <w:rFonts w:hint="eastAsia"/>
          <w:color w:val="auto"/>
        </w:rPr>
      </w:pPr>
      <w:bookmarkStart w:id="170" w:name="_Toc6800"/>
      <w:r>
        <w:rPr>
          <w:rFonts w:hint="eastAsia"/>
          <w:color w:val="auto"/>
        </w:rPr>
        <w:t>4、法定代表人身份证明</w:t>
      </w:r>
      <w:bookmarkEnd w:id="170"/>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名称）的法定代表人。</w:t>
      </w:r>
    </w:p>
    <w:p>
      <w:pPr>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附：法定代表人身份证复印件</w:t>
      </w:r>
    </w:p>
    <w:p>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zh-CN"/>
        </w:rPr>
        <mc:AlternateContent>
          <mc:Choice Requires="wps">
            <w:drawing>
              <wp:anchor distT="0" distB="0" distL="114300" distR="114300" simplePos="0" relativeHeight="251660288" behindDoc="0" locked="0" layoutInCell="1" allowOverlap="1">
                <wp:simplePos x="0" y="0"/>
                <wp:positionH relativeFrom="column">
                  <wp:posOffset>2894330</wp:posOffset>
                </wp:positionH>
                <wp:positionV relativeFrom="paragraph">
                  <wp:posOffset>268605</wp:posOffset>
                </wp:positionV>
                <wp:extent cx="2350770" cy="1276985"/>
                <wp:effectExtent l="5080" t="4445" r="6350" b="13970"/>
                <wp:wrapNone/>
                <wp:docPr id="3" name="文本框 3"/>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27.9pt;margin-top:21.15pt;height:100.55pt;width:185.1pt;z-index:251660288;mso-width-relative:page;mso-height-relative:page;" fillcolor="#FFFFFF" filled="t" stroked="t" coordsize="21600,21600" o:gfxdata="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XyEttoAAAAKAQAADwAAAAAAAAAB&#10;ACAAAAAiAAAAZHJzL2Rvd25yZXYueG1sUEsBAhQAFAAAAAgAh07iQHqUXeQOAgAANwQAAA4AAAAA&#10;AAAAAQAgAAAAKQEAAGRycy9lMm9Eb2MueG1sUEsFBgAAAAAGAAYAWQEAAKkFA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v:textbox>
              </v:shape>
            </w:pict>
          </mc:Fallback>
        </mc:AlternateContent>
      </w:r>
      <w:r>
        <w:rPr>
          <w:rFonts w:hint="eastAsia" w:ascii="仿宋" w:hAnsi="仿宋" w:eastAsia="仿宋" w:cs="仿宋"/>
          <w:bCs/>
          <w:color w:val="auto"/>
          <w:sz w:val="24"/>
          <w:highlight w:val="none"/>
          <w:lang w:val="zh-CN"/>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287655</wp:posOffset>
                </wp:positionV>
                <wp:extent cx="2350770" cy="1276985"/>
                <wp:effectExtent l="5080" t="4445" r="6350" b="13970"/>
                <wp:wrapNone/>
                <wp:docPr id="4" name="文本框 4"/>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Pr>
                              <w:rPr>
                                <w:rFonts w:ascii="仿宋" w:hAnsi="仿宋" w:eastAsia="仿宋"/>
                                <w:sz w:val="36"/>
                                <w:szCs w:val="36"/>
                              </w:rPr>
                            </w:pPr>
                            <w:r>
                              <w:rPr>
                                <w:rFonts w:hint="eastAsia" w:ascii="仿宋" w:hAnsi="仿宋" w:eastAsia="仿宋"/>
                                <w:sz w:val="36"/>
                                <w:szCs w:val="36"/>
                              </w:rPr>
                              <w:t xml:space="preserve">        </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9pt;margin-top:22.65pt;height:100.55pt;width:185.1pt;z-index:251661312;mso-width-relative:page;mso-height-relative:page;" fillcolor="#FFFFFF" filled="t" stroked="t" coordsize="21600,21600" o:gfxdata="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C/fsXZAAAACAEAAA8AAAAAAAAAAQAg&#10;AAAAIgAAAGRycy9kb3ducmV2LnhtbFBLAQIUABQAAAAIAIdO4kCN86obDQIAADcEAAAOAAAAAAAA&#10;AAEAIAAAACgBAABkcnMvZTJvRG9jLnhtbFBLBQYAAAAABgAGAFkBAACnBQAAAAA=&#10;">
                <v:fill on="t" focussize="0,0"/>
                <v:stroke color="#000000" joinstyle="miter" dashstyle="1 1" endcap="round"/>
                <v:imagedata o:title=""/>
                <o:lock v:ext="edit" aspectratio="f"/>
                <v:textbox>
                  <w:txbxContent>
                    <w:p/>
                    <w:p>
                      <w:pPr>
                        <w:rPr>
                          <w:rFonts w:ascii="仿宋" w:hAnsi="仿宋" w:eastAsia="仿宋"/>
                          <w:sz w:val="36"/>
                          <w:szCs w:val="36"/>
                        </w:rPr>
                      </w:pPr>
                      <w:r>
                        <w:rPr>
                          <w:rFonts w:hint="eastAsia" w:ascii="仿宋" w:hAnsi="仿宋" w:eastAsia="仿宋"/>
                          <w:sz w:val="36"/>
                          <w:szCs w:val="36"/>
                        </w:rPr>
                        <w:t xml:space="preserve">        </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pStyle w:val="4"/>
        <w:bidi w:val="0"/>
        <w:spacing w:line="360" w:lineRule="auto"/>
        <w:outlineLvl w:val="0"/>
        <w:rPr>
          <w:rFonts w:hint="eastAsia"/>
          <w:color w:val="auto"/>
        </w:rPr>
      </w:pPr>
      <w:bookmarkStart w:id="171" w:name="_Toc22212"/>
      <w:r>
        <w:rPr>
          <w:rFonts w:hint="eastAsia"/>
          <w:color w:val="auto"/>
        </w:rPr>
        <w:t>5、法定代表人的授权委托书</w:t>
      </w:r>
      <w:bookmarkEnd w:id="171"/>
    </w:p>
    <w:p>
      <w:pPr>
        <w:spacing w:line="360" w:lineRule="auto"/>
        <w:rPr>
          <w:rFonts w:hint="eastAsia" w:ascii="仿宋" w:hAnsi="仿宋" w:eastAsia="仿宋" w:cs="仿宋"/>
          <w:color w:val="auto"/>
          <w:szCs w:val="21"/>
          <w:highlight w:val="none"/>
        </w:rPr>
      </w:pPr>
    </w:p>
    <w:p>
      <w:pPr>
        <w:topLinePunct/>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名称）的法定代表人，现委托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（姓名）为我方代理人。代理人根据授权，以我方名义签署、澄清、说明、补正、递交、撤回、修改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标段项目</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、签订合同和处理有关事宜，其法律后果由我方承担。</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委托期限：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代理人无转委托权。</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附：委托代理人身份证复印件</w:t>
      </w:r>
    </w:p>
    <w:p>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2989580</wp:posOffset>
                </wp:positionH>
                <wp:positionV relativeFrom="paragraph">
                  <wp:posOffset>127635</wp:posOffset>
                </wp:positionV>
                <wp:extent cx="2350770" cy="1276985"/>
                <wp:effectExtent l="5080" t="4445" r="6350" b="13970"/>
                <wp:wrapNone/>
                <wp:docPr id="2" name="文本框 2"/>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5.4pt;margin-top:10.05pt;height:100.55pt;width:185.1pt;z-index:251663360;mso-width-relative:page;mso-height-relative:page;" fillcolor="#FFFFFF" filled="t" stroked="t" coordsize="21600,21600" o:gfxdata="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BIVYPZAAAACgEAAA8AAAAAAAAAAQAg&#10;AAAAIgAAAGRycy9kb3ducmV2LnhtbFBLAQIUABQAAAAIAIdO4kDGNvwPDQIAADcEAAAOAAAAAAAA&#10;AAEAIAAAACgBAABkcnMvZTJvRG9jLnhtbFBLBQYAAAAABgAGAFkBAACnBQ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v:textbox>
              </v:shape>
            </w:pict>
          </mc:Fallback>
        </mc:AlternateContent>
      </w:r>
      <w:r>
        <w:rPr>
          <w:rFonts w:hint="eastAsia" w:ascii="仿宋" w:hAnsi="仿宋" w:eastAsia="仿宋" w:cs="仿宋"/>
          <w:bCs/>
          <w:color w:val="auto"/>
          <w:sz w:val="24"/>
          <w:highlight w:val="none"/>
          <w:lang w:val="zh-CN"/>
        </w:rPr>
        <mc:AlternateContent>
          <mc:Choice Requires="wps">
            <w:drawing>
              <wp:anchor distT="0" distB="0" distL="114300" distR="114300" simplePos="0" relativeHeight="251662336" behindDoc="0" locked="0" layoutInCell="1" allowOverlap="1">
                <wp:simplePos x="0" y="0"/>
                <wp:positionH relativeFrom="column">
                  <wp:posOffset>222250</wp:posOffset>
                </wp:positionH>
                <wp:positionV relativeFrom="paragraph">
                  <wp:posOffset>149860</wp:posOffset>
                </wp:positionV>
                <wp:extent cx="2350770" cy="1276985"/>
                <wp:effectExtent l="5080" t="4445" r="6350" b="13970"/>
                <wp:wrapNone/>
                <wp:docPr id="1" name="文本框 1"/>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7.5pt;margin-top:11.8pt;height:100.55pt;width:185.1pt;z-index:251662336;mso-width-relative:page;mso-height-relative:page;" fillcolor="#FFFFFF" filled="t" stroked="t" coordsize="21600,21600" o:gfxdata="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QB/2LaAAAACQEAAA8AAAAAAAAAAQAg&#10;AAAAIgAAAGRycy9kb3ducmV2LnhtbFBLAQIUABQAAAAIAIdO4kBD12/oDAIAADcEAAAOAAAAAAAA&#10;AAEAIAAAACkBAABkcnMvZTJvRG9jLnhtbFBLBQYAAAAABgAGAFkBAACnBQ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（正面）</w:t>
                      </w:r>
                    </w:p>
                    <w:p/>
                    <w:p/>
                    <w:p/>
                    <w:p/>
                    <w:p/>
                    <w:p/>
                    <w:p>
                      <w:pPr>
                        <w:rPr>
                          <w:sz w:val="32"/>
                          <w:szCs w:val="32"/>
                        </w:rPr>
                      </w:pPr>
                    </w:p>
                  </w:txbxContent>
                </v:textbox>
              </v:shape>
            </w:pict>
          </mc:Fallback>
        </mc:AlternateConten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（盖章或签字）</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（盖章或签字） </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Start w:id="172" w:name="_Toc460703987"/>
      <w:bookmarkStart w:id="173" w:name="_Toc424212009"/>
    </w:p>
    <w:p>
      <w:pPr>
        <w:spacing w:line="360" w:lineRule="auto"/>
        <w:rPr>
          <w:rFonts w:hint="eastAsia" w:ascii="仿宋" w:hAnsi="仿宋" w:eastAsia="仿宋" w:cs="仿宋"/>
          <w:color w:val="auto"/>
          <w:sz w:val="24"/>
          <w:highlight w:val="none"/>
        </w:rPr>
      </w:pPr>
    </w:p>
    <w:p>
      <w:pPr>
        <w:pStyle w:val="4"/>
        <w:bidi w:val="0"/>
        <w:spacing w:line="360" w:lineRule="auto"/>
        <w:outlineLvl w:val="0"/>
        <w:rPr>
          <w:rFonts w:hint="eastAsia"/>
          <w:color w:val="auto"/>
        </w:rPr>
      </w:pPr>
      <w:bookmarkStart w:id="174" w:name="_Toc1040"/>
      <w:r>
        <w:rPr>
          <w:rFonts w:hint="eastAsia"/>
          <w:color w:val="auto"/>
        </w:rPr>
        <w:t>6.</w:t>
      </w:r>
      <w:r>
        <w:rPr>
          <w:rFonts w:hint="eastAsia"/>
          <w:color w:val="auto"/>
          <w:lang w:eastAsia="zh-CN"/>
        </w:rPr>
        <w:t>供应商</w:t>
      </w:r>
      <w:r>
        <w:rPr>
          <w:rFonts w:hint="eastAsia"/>
          <w:color w:val="auto"/>
        </w:rPr>
        <w:t>基本情况表</w:t>
      </w:r>
      <w:bookmarkEnd w:id="174"/>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502"/>
        <w:gridCol w:w="1524"/>
        <w:gridCol w:w="1524"/>
        <w:gridCol w:w="541"/>
        <w:gridCol w:w="996"/>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p>
        </w:tc>
        <w:tc>
          <w:tcPr>
            <w:tcW w:w="7637" w:type="dxa"/>
            <w:gridSpan w:val="6"/>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p>
        </w:tc>
        <w:tc>
          <w:tcPr>
            <w:tcW w:w="7637" w:type="dxa"/>
            <w:gridSpan w:val="6"/>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1502" w:type="dxa"/>
            <w:vAlign w:val="center"/>
          </w:tcPr>
          <w:p>
            <w:pPr>
              <w:spacing w:line="360" w:lineRule="auto"/>
              <w:rPr>
                <w:rFonts w:hint="eastAsia" w:ascii="仿宋" w:hAnsi="仿宋" w:eastAsia="仿宋" w:cs="仿宋"/>
                <w:color w:val="auto"/>
                <w:sz w:val="24"/>
                <w:highlight w:val="none"/>
              </w:rPr>
            </w:pPr>
          </w:p>
        </w:tc>
        <w:tc>
          <w:tcPr>
            <w:tcW w:w="1524"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524" w:type="dxa"/>
            <w:vAlign w:val="center"/>
          </w:tcPr>
          <w:p>
            <w:pPr>
              <w:spacing w:line="360" w:lineRule="auto"/>
              <w:rPr>
                <w:rFonts w:hint="eastAsia" w:ascii="仿宋" w:hAnsi="仿宋" w:eastAsia="仿宋" w:cs="仿宋"/>
                <w:color w:val="auto"/>
                <w:sz w:val="24"/>
                <w:highlight w:val="none"/>
              </w:rPr>
            </w:pPr>
          </w:p>
        </w:tc>
        <w:tc>
          <w:tcPr>
            <w:tcW w:w="1537" w:type="dxa"/>
            <w:gridSpan w:val="2"/>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1550" w:type="dxa"/>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注册时间</w:t>
            </w:r>
          </w:p>
        </w:tc>
        <w:tc>
          <w:tcPr>
            <w:tcW w:w="3026" w:type="dxa"/>
            <w:gridSpan w:val="2"/>
          </w:tcPr>
          <w:p>
            <w:pPr>
              <w:spacing w:line="360" w:lineRule="auto"/>
              <w:rPr>
                <w:rFonts w:hint="eastAsia" w:ascii="仿宋" w:hAnsi="仿宋" w:eastAsia="仿宋" w:cs="仿宋"/>
                <w:color w:val="auto"/>
                <w:sz w:val="24"/>
                <w:highlight w:val="none"/>
              </w:rPr>
            </w:pPr>
          </w:p>
        </w:tc>
        <w:tc>
          <w:tcPr>
            <w:tcW w:w="1524"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经济类型</w:t>
            </w:r>
          </w:p>
        </w:tc>
        <w:tc>
          <w:tcPr>
            <w:tcW w:w="3087" w:type="dxa"/>
            <w:gridSpan w:val="3"/>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558" w:type="dxa"/>
            <w:gridSpan w:val="3"/>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近三年内有经营活动中有无重大违法纪录</w:t>
            </w:r>
          </w:p>
        </w:tc>
        <w:tc>
          <w:tcPr>
            <w:tcW w:w="4611" w:type="dxa"/>
            <w:gridSpan w:val="4"/>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是否依法缴纳税收</w:t>
            </w:r>
          </w:p>
        </w:tc>
        <w:tc>
          <w:tcPr>
            <w:tcW w:w="3026" w:type="dxa"/>
            <w:gridSpan w:val="2"/>
            <w:vAlign w:val="center"/>
          </w:tcPr>
          <w:p>
            <w:pPr>
              <w:spacing w:line="360" w:lineRule="auto"/>
              <w:rPr>
                <w:rFonts w:hint="eastAsia" w:ascii="仿宋" w:hAnsi="仿宋" w:eastAsia="仿宋" w:cs="仿宋"/>
                <w:color w:val="auto"/>
                <w:sz w:val="24"/>
                <w:highlight w:val="none"/>
              </w:rPr>
            </w:pPr>
          </w:p>
        </w:tc>
        <w:tc>
          <w:tcPr>
            <w:tcW w:w="2065" w:type="dxa"/>
            <w:gridSpan w:val="2"/>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是否依法缴纳社会保障资金</w:t>
            </w:r>
          </w:p>
        </w:tc>
        <w:tc>
          <w:tcPr>
            <w:tcW w:w="2546" w:type="dxa"/>
            <w:gridSpan w:val="2"/>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32" w:type="dxa"/>
            <w:vMerge w:val="restart"/>
          </w:tcPr>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位</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概</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况</w:t>
            </w:r>
          </w:p>
        </w:tc>
        <w:tc>
          <w:tcPr>
            <w:tcW w:w="150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注册资本</w:t>
            </w:r>
          </w:p>
        </w:tc>
        <w:tc>
          <w:tcPr>
            <w:tcW w:w="1524"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万元</w:t>
            </w:r>
          </w:p>
        </w:tc>
        <w:tc>
          <w:tcPr>
            <w:tcW w:w="1524" w:type="dxa"/>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占地面积</w:t>
            </w:r>
          </w:p>
        </w:tc>
        <w:tc>
          <w:tcPr>
            <w:tcW w:w="3087" w:type="dxa"/>
            <w:gridSpan w:val="3"/>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atLeast"/>
        </w:trPr>
        <w:tc>
          <w:tcPr>
            <w:tcW w:w="1532" w:type="dxa"/>
            <w:vMerge w:val="continue"/>
          </w:tcPr>
          <w:p>
            <w:pPr>
              <w:spacing w:line="360" w:lineRule="auto"/>
              <w:rPr>
                <w:rFonts w:hint="eastAsia" w:ascii="仿宋" w:hAnsi="仿宋" w:eastAsia="仿宋" w:cs="仿宋"/>
                <w:color w:val="auto"/>
                <w:sz w:val="24"/>
                <w:highlight w:val="none"/>
              </w:rPr>
            </w:pPr>
          </w:p>
        </w:tc>
        <w:tc>
          <w:tcPr>
            <w:tcW w:w="150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职工总数</w:t>
            </w:r>
          </w:p>
          <w:p>
            <w:pPr>
              <w:spacing w:line="360" w:lineRule="auto"/>
              <w:rPr>
                <w:rFonts w:hint="eastAsia" w:ascii="仿宋" w:hAnsi="仿宋" w:eastAsia="仿宋" w:cs="仿宋"/>
                <w:color w:val="auto"/>
                <w:sz w:val="24"/>
                <w:highlight w:val="none"/>
              </w:rPr>
            </w:pPr>
          </w:p>
        </w:tc>
        <w:tc>
          <w:tcPr>
            <w:tcW w:w="15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人</w:t>
            </w:r>
          </w:p>
        </w:tc>
        <w:tc>
          <w:tcPr>
            <w:tcW w:w="15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建筑面积</w:t>
            </w:r>
          </w:p>
        </w:tc>
        <w:tc>
          <w:tcPr>
            <w:tcW w:w="3087" w:type="dxa"/>
            <w:gridSpan w:val="3"/>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trPr>
        <w:tc>
          <w:tcPr>
            <w:tcW w:w="1532"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财务状况</w:t>
            </w:r>
          </w:p>
          <w:p>
            <w:pPr>
              <w:spacing w:line="360" w:lineRule="auto"/>
              <w:rPr>
                <w:rFonts w:hint="eastAsia" w:ascii="仿宋" w:hAnsi="仿宋" w:eastAsia="仿宋" w:cs="仿宋"/>
                <w:color w:val="auto"/>
                <w:sz w:val="24"/>
                <w:highlight w:val="none"/>
              </w:rPr>
            </w:pPr>
          </w:p>
        </w:tc>
        <w:tc>
          <w:tcPr>
            <w:tcW w:w="7637" w:type="dxa"/>
            <w:gridSpan w:val="6"/>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说明：1、在按要求填写此表格后，各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可以用其它的方式，就公司整体情况作出详细的介绍。</w:t>
      </w: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供应商名称（加盖公章）：</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法定代表人或授权代表（签字或盖章）：</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pStyle w:val="4"/>
        <w:bidi w:val="0"/>
        <w:spacing w:line="360" w:lineRule="auto"/>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75" w:name="_Toc3559"/>
      <w:r>
        <w:rPr>
          <w:rFonts w:hint="eastAsia" w:ascii="仿宋" w:hAnsi="仿宋" w:eastAsia="仿宋" w:cs="仿宋"/>
          <w:b/>
          <w:color w:val="auto"/>
          <w:sz w:val="32"/>
          <w:szCs w:val="32"/>
          <w:highlight w:val="none"/>
        </w:rPr>
        <w:t>7.</w:t>
      </w:r>
      <w:r>
        <w:rPr>
          <w:rFonts w:hint="eastAsia" w:ascii="仿宋" w:hAnsi="仿宋" w:eastAsia="仿宋" w:cs="仿宋"/>
          <w:b/>
          <w:color w:val="auto"/>
          <w:sz w:val="32"/>
          <w:szCs w:val="32"/>
          <w:highlight w:val="none"/>
          <w:lang w:eastAsia="zh-CN"/>
        </w:rPr>
        <w:t>供应商</w:t>
      </w:r>
      <w:r>
        <w:rPr>
          <w:rFonts w:hint="eastAsia" w:ascii="仿宋" w:hAnsi="仿宋" w:eastAsia="仿宋" w:cs="仿宋"/>
          <w:b/>
          <w:color w:val="auto"/>
          <w:sz w:val="32"/>
          <w:szCs w:val="32"/>
          <w:highlight w:val="none"/>
        </w:rPr>
        <w:t>资格声明及相关证明文件</w:t>
      </w:r>
      <w:bookmarkEnd w:id="175"/>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资格声明文件</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贵单位组织的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，我公司自愿参加，并证明提交的下列文件、证明和陈述均是准确的、真实的。若与真实情况不符，我公司愿意承担由此而产生的一切后果。</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（1）营业执照；</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（2）未被“信用中国”（www.creditchina.gov.cn）、中国政府采购网（www.ccgp.gov.cn）列入失信被执行人、重大税收违法案件当事人名单、政府采购严重违法失信行为记录名单截屏；</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（3）相关主管部门核发的</w:t>
      </w:r>
      <w:r>
        <w:rPr>
          <w:rFonts w:hint="eastAsia" w:ascii="仿宋" w:hAnsi="仿宋" w:eastAsia="仿宋" w:cs="仿宋"/>
          <w:color w:val="auto"/>
          <w:sz w:val="24"/>
          <w:szCs w:val="24"/>
          <w:highlight w:val="none"/>
          <w:lang w:val="en-US" w:eastAsia="zh-CN"/>
        </w:rPr>
        <w:t>资质证书</w:t>
      </w:r>
      <w:r>
        <w:rPr>
          <w:rFonts w:hint="eastAsia" w:ascii="仿宋" w:hAnsi="仿宋" w:eastAsia="仿宋" w:cs="仿宋"/>
          <w:color w:val="auto"/>
          <w:sz w:val="24"/>
          <w:szCs w:val="24"/>
          <w:highlight w:val="none"/>
        </w:rPr>
        <w:t>；</w:t>
      </w:r>
    </w:p>
    <w:p>
      <w:pPr>
        <w:spacing w:line="360" w:lineRule="auto"/>
        <w:rPr>
          <w:rFonts w:hint="eastAsia"/>
          <w:lang w:eastAsia="zh-CN"/>
        </w:rPr>
      </w:pPr>
      <w:r>
        <w:rPr>
          <w:rFonts w:hint="eastAsia" w:ascii="仿宋" w:hAnsi="仿宋" w:eastAsia="仿宋" w:cs="仿宋"/>
          <w:color w:val="auto"/>
          <w:sz w:val="24"/>
          <w:szCs w:val="24"/>
          <w:highlight w:val="none"/>
        </w:rPr>
        <w:t>（4）项目负责人相关证书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所要求的及我单位认为有必要提供的其他证明文件。</w:t>
      </w: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供应商名称（加盖公章）：</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pStyle w:val="4"/>
        <w:bidi w:val="0"/>
        <w:spacing w:line="360" w:lineRule="auto"/>
        <w:outlineLvl w:val="0"/>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color w:val="auto"/>
        </w:rPr>
      </w:pPr>
    </w:p>
    <w:p>
      <w:pPr>
        <w:pStyle w:val="2"/>
        <w:numPr>
          <w:ilvl w:val="2"/>
          <w:numId w:val="0"/>
        </w:numPr>
        <w:ind w:leftChars="0"/>
        <w:rPr>
          <w:rFonts w:hint="eastAsia"/>
        </w:rPr>
      </w:pPr>
    </w:p>
    <w:p>
      <w:pPr>
        <w:rPr>
          <w:rFonts w:hint="eastAsia"/>
        </w:rPr>
      </w:pPr>
    </w:p>
    <w:p>
      <w:pPr>
        <w:pStyle w:val="14"/>
        <w:spacing w:line="360" w:lineRule="auto"/>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8、政府采购联合体协议书</w:t>
      </w: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rPr>
        <w:t>　　</w:t>
      </w:r>
      <w:r>
        <w:rPr>
          <w:rFonts w:hint="eastAsia" w:ascii="仿宋" w:hAnsi="仿宋" w:eastAsia="仿宋" w:cs="仿宋"/>
          <w:kern w:val="0"/>
          <w:sz w:val="24"/>
          <w:szCs w:val="24"/>
        </w:rPr>
        <w:t xml:space="preserve">     </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（所有成员单位名称）自愿组成联合体，共同参加</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（采购代理机构名称）组织的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kern w:val="0"/>
          <w:sz w:val="24"/>
          <w:szCs w:val="24"/>
        </w:rPr>
        <w:t>竞标。现就联合体竞标事宜订立如下协议：</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（某成员单位名称）为联合体的牵头人。</w:t>
      </w: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2、联合体牵头人合法代表联合体各成员负责本采购项目竞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3、联合体将严格按照竞争性谈判采购文件的各项要求，递交竞标文件，履行合同，并对外承担连带责任。</w:t>
      </w:r>
    </w:p>
    <w:p>
      <w:pPr>
        <w:autoSpaceDE w:val="0"/>
        <w:autoSpaceDN w:val="0"/>
        <w:adjustRightInd w:val="0"/>
        <w:spacing w:line="360" w:lineRule="auto"/>
        <w:ind w:firstLine="42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4、联合体各成员单位内部的职责分工如下：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5、本协议书自签署之日起生效，合同履行完毕后自动失效。</w:t>
      </w: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6、本协议书一式</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份，联合体成员和采购代理机构各执一份。</w:t>
      </w:r>
    </w:p>
    <w:p>
      <w:pPr>
        <w:autoSpaceDE w:val="0"/>
        <w:autoSpaceDN w:val="0"/>
        <w:adjustRightInd w:val="0"/>
        <w:spacing w:line="360" w:lineRule="auto"/>
        <w:ind w:firstLine="420"/>
        <w:jc w:val="left"/>
        <w:rPr>
          <w:rFonts w:hint="eastAsia" w:ascii="仿宋" w:hAnsi="仿宋" w:eastAsia="仿宋" w:cs="仿宋"/>
          <w:kern w:val="0"/>
          <w:sz w:val="24"/>
          <w:szCs w:val="24"/>
        </w:rPr>
      </w:pP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牵头人名称：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（盖单位公章）</w:t>
      </w: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法定代表人（负责人）或其委托代理人：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pPr>
        <w:autoSpaceDE w:val="0"/>
        <w:autoSpaceDN w:val="0"/>
        <w:adjustRightInd w:val="0"/>
        <w:spacing w:line="360" w:lineRule="auto"/>
        <w:jc w:val="left"/>
        <w:rPr>
          <w:rFonts w:hint="eastAsia" w:ascii="仿宋" w:hAnsi="仿宋" w:eastAsia="仿宋" w:cs="仿宋"/>
          <w:kern w:val="0"/>
          <w:sz w:val="24"/>
          <w:szCs w:val="24"/>
        </w:rPr>
      </w:pP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成员一名称：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（盖单位公章）</w:t>
      </w: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法定代表人（负责人）或其委托代理人：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pPr>
        <w:autoSpaceDE w:val="0"/>
        <w:autoSpaceDN w:val="0"/>
        <w:adjustRightInd w:val="0"/>
        <w:spacing w:line="360" w:lineRule="auto"/>
        <w:jc w:val="left"/>
        <w:rPr>
          <w:rFonts w:hint="eastAsia" w:ascii="仿宋" w:hAnsi="仿宋" w:eastAsia="仿宋" w:cs="仿宋"/>
          <w:kern w:val="0"/>
          <w:sz w:val="24"/>
          <w:szCs w:val="24"/>
        </w:rPr>
      </w:pP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成员二名称：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（盖单位公章）</w:t>
      </w:r>
    </w:p>
    <w:p>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法定代表人（负责人）或其委托代理人：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pPr>
        <w:autoSpaceDE w:val="0"/>
        <w:autoSpaceDN w:val="0"/>
        <w:adjustRightInd w:val="0"/>
        <w:spacing w:line="360" w:lineRule="auto"/>
        <w:jc w:val="left"/>
        <w:rPr>
          <w:rFonts w:hint="eastAsia" w:ascii="仿宋" w:hAnsi="仿宋" w:eastAsia="仿宋" w:cs="仿宋"/>
          <w:kern w:val="0"/>
          <w:sz w:val="24"/>
          <w:szCs w:val="24"/>
        </w:rPr>
      </w:pPr>
    </w:p>
    <w:p>
      <w:pPr>
        <w:autoSpaceDE w:val="0"/>
        <w:autoSpaceDN w:val="0"/>
        <w:adjustRightIn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注：本协议书由委托代理人签字的，应附法定代表人（负责人）授权委托书。</w:t>
      </w:r>
    </w:p>
    <w:p>
      <w:pPr>
        <w:autoSpaceDE w:val="0"/>
        <w:autoSpaceDN w:val="0"/>
        <w:adjustRightInd w:val="0"/>
        <w:spacing w:line="360" w:lineRule="auto"/>
        <w:jc w:val="left"/>
        <w:rPr>
          <w:rFonts w:hint="eastAsia" w:ascii="仿宋" w:hAnsi="仿宋" w:eastAsia="仿宋" w:cs="仿宋"/>
          <w:kern w:val="0"/>
          <w:sz w:val="24"/>
          <w:szCs w:val="24"/>
        </w:rPr>
      </w:pPr>
    </w:p>
    <w:p>
      <w:pPr>
        <w:spacing w:line="360" w:lineRule="auto"/>
        <w:jc w:val="right"/>
        <w:rPr>
          <w:rFonts w:hint="eastAsia"/>
          <w:color w:val="auto"/>
        </w:rPr>
      </w:pP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jc w:val="both"/>
        <w:textAlignment w:val="auto"/>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highlight w:val="none"/>
        </w:rPr>
      </w:pPr>
      <w:bookmarkStart w:id="176" w:name="_Toc21730"/>
      <w:r>
        <w:rPr>
          <w:rFonts w:hint="eastAsia"/>
          <w:color w:val="auto"/>
          <w:lang w:val="en-US" w:eastAsia="zh-CN"/>
        </w:rPr>
        <w:t>9</w:t>
      </w:r>
      <w:r>
        <w:rPr>
          <w:rFonts w:hint="eastAsia"/>
          <w:color w:val="auto"/>
        </w:rPr>
        <w:t>.</w:t>
      </w:r>
      <w:r>
        <w:rPr>
          <w:rFonts w:hint="eastAsia" w:ascii="仿宋" w:hAnsi="仿宋" w:eastAsia="仿宋" w:cs="仿宋"/>
          <w:b/>
          <w:color w:val="auto"/>
          <w:sz w:val="32"/>
          <w:highlight w:val="none"/>
          <w:lang w:eastAsia="zh-CN"/>
        </w:rPr>
        <w:t>磋商保证金</w:t>
      </w:r>
      <w:r>
        <w:rPr>
          <w:rFonts w:hint="eastAsia" w:ascii="仿宋" w:hAnsi="仿宋" w:eastAsia="仿宋" w:cs="仿宋"/>
          <w:b/>
          <w:color w:val="auto"/>
          <w:sz w:val="32"/>
          <w:highlight w:val="none"/>
        </w:rPr>
        <w:t>交纳凭证</w:t>
      </w:r>
      <w:bookmarkEnd w:id="172"/>
      <w:bookmarkEnd w:id="173"/>
      <w:r>
        <w:rPr>
          <w:rFonts w:hint="eastAsia" w:ascii="仿宋" w:hAnsi="仿宋" w:eastAsia="仿宋" w:cs="仿宋"/>
          <w:b/>
          <w:color w:val="auto"/>
          <w:sz w:val="32"/>
          <w:highlight w:val="none"/>
          <w:lang w:eastAsia="zh-CN"/>
        </w:rPr>
        <w:t>或投标担保函</w:t>
      </w:r>
      <w:bookmarkEnd w:id="176"/>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center"/>
          </w:tcPr>
          <w:p>
            <w:pPr>
              <w:shd w:val="clear" w:color="auto" w:fill="auto"/>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投标保证金缴纳凭证</w:t>
            </w:r>
          </w:p>
        </w:tc>
      </w:tr>
    </w:tbl>
    <w:p>
      <w:pPr>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widowControl w:val="0"/>
        <w:numPr>
          <w:ilvl w:val="0"/>
          <w:numId w:val="0"/>
        </w:numPr>
        <w:jc w:val="both"/>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rPr>
          <w:rFonts w:hint="eastAsia"/>
        </w:rPr>
      </w:pPr>
    </w:p>
    <w:p>
      <w:pPr>
        <w:pStyle w:val="2"/>
        <w:numPr>
          <w:ilvl w:val="2"/>
          <w:numId w:val="0"/>
        </w:numPr>
        <w:ind w:leftChars="0"/>
        <w:rPr>
          <w:rFonts w:hint="eastAsia"/>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政府采购投标担保函（格式）</w:t>
      </w:r>
    </w:p>
    <w:p>
      <w:pPr>
        <w:shd w:val="clear" w:color="auto" w:fill="auto"/>
        <w:spacing w:line="360" w:lineRule="auto"/>
        <w:ind w:firstLine="6720" w:firstLineChars="3200"/>
        <w:rPr>
          <w:rFonts w:hint="eastAsia" w:ascii="仿宋" w:hAnsi="仿宋" w:eastAsia="仿宋" w:cs="仿宋"/>
          <w:color w:val="auto"/>
          <w:highlight w:val="none"/>
        </w:rPr>
      </w:pPr>
      <w:r>
        <w:rPr>
          <w:rFonts w:hint="eastAsia" w:ascii="仿宋" w:hAnsi="仿宋" w:eastAsia="仿宋" w:cs="仿宋"/>
          <w:color w:val="auto"/>
          <w:highlight w:val="none"/>
        </w:rPr>
        <w:t>编号：</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t xml:space="preserve"> </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（采购人或采购代理机构）：</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”）拟参加编号为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项目（以下简称“本项目”）投标，根据本项目招标文件，</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参加投标时应向你方交纳投标保证金，且可以投标担保函的形式交纳投标保证金。应</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的申请，我方以保证的方式向你方提供如下投标保证金担保：</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177" w:name="_Toc16224"/>
      <w:bookmarkStart w:id="178" w:name="_Toc17759"/>
      <w:r>
        <w:rPr>
          <w:rFonts w:hint="eastAsia" w:ascii="仿宋" w:hAnsi="仿宋" w:eastAsia="仿宋" w:cs="仿宋"/>
          <w:color w:val="auto"/>
          <w:sz w:val="24"/>
          <w:szCs w:val="24"/>
          <w:highlight w:val="none"/>
        </w:rPr>
        <w:t>一、保证责任的情形及保证金额</w:t>
      </w:r>
      <w:bookmarkEnd w:id="177"/>
      <w:bookmarkEnd w:id="178"/>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出现下列情形之一时，我方承担保证责任：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无正当理由不与采购人或者采购代理机构签订《政府采购合同》；</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2．招标文件规定的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应当缴纳保证金的其他情形。</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（二）我方承担保证责任的最高金额为人民币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），即本项目的投标保证金金额。</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179" w:name="_Toc32683"/>
      <w:bookmarkStart w:id="180" w:name="_Toc2760"/>
      <w:r>
        <w:rPr>
          <w:rFonts w:hint="eastAsia" w:ascii="仿宋" w:hAnsi="仿宋" w:eastAsia="仿宋" w:cs="仿宋"/>
          <w:color w:val="auto"/>
          <w:sz w:val="24"/>
          <w:szCs w:val="24"/>
          <w:highlight w:val="none"/>
        </w:rPr>
        <w:t>二、保证的方式及保证期间</w:t>
      </w:r>
      <w:bookmarkEnd w:id="179"/>
      <w:bookmarkEnd w:id="180"/>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我方保证的方式为：连带责任保证。</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我方的保证期间为：自本保函生效之日起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181" w:name="_Toc17730"/>
      <w:bookmarkStart w:id="182" w:name="_Toc95"/>
      <w:r>
        <w:rPr>
          <w:rFonts w:hint="eastAsia" w:ascii="仿宋" w:hAnsi="仿宋" w:eastAsia="仿宋" w:cs="仿宋"/>
          <w:color w:val="auto"/>
          <w:sz w:val="24"/>
          <w:szCs w:val="24"/>
          <w:highlight w:val="none"/>
        </w:rPr>
        <w:t>三、承担保证责任的程序</w:t>
      </w:r>
      <w:bookmarkEnd w:id="181"/>
      <w:bookmarkEnd w:id="182"/>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1．你方要求我方承担保证责任的，应在本保函保证期间内向我方发出书面索赔通知。索赔通知应写明要求索赔的金额，支付款项应到达的账号，并附有证明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发生我方应承担保证责任情形的事实材料。</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2．我方在收到索赔通知及相关证明材料后，在</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个工作日内进行审查，符合应承担保证责任情形的，我方应按照你方的要求代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向你方支付投标保证金。</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183" w:name="_Toc20677"/>
      <w:bookmarkStart w:id="184" w:name="_Toc28377"/>
      <w:r>
        <w:rPr>
          <w:rFonts w:hint="eastAsia" w:ascii="仿宋" w:hAnsi="仿宋" w:eastAsia="仿宋" w:cs="仿宋"/>
          <w:color w:val="auto"/>
          <w:sz w:val="24"/>
          <w:szCs w:val="24"/>
          <w:highlight w:val="none"/>
        </w:rPr>
        <w:t>四、保证责任的终止</w:t>
      </w:r>
      <w:bookmarkEnd w:id="183"/>
      <w:bookmarkEnd w:id="184"/>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1．保证期间届满你方未向我方书面主张保证责任的，自保证期间届满次日起，我方保证责任自动终止。</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2．我方按照本保函向你贵方履行了保证责任后，自我方向你贵方支付款项（支付款项从我方账户划出）之日起，保证责任终止。</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3．按照法律法规的规定或出现我方保证责任终止的其它情形的，我方在本保函项下的保证责任亦终止。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185" w:name="_Toc2647"/>
      <w:bookmarkStart w:id="186" w:name="_Toc5022"/>
      <w:r>
        <w:rPr>
          <w:rFonts w:hint="eastAsia" w:ascii="仿宋" w:hAnsi="仿宋" w:eastAsia="仿宋" w:cs="仿宋"/>
          <w:color w:val="auto"/>
          <w:sz w:val="24"/>
          <w:szCs w:val="24"/>
          <w:highlight w:val="none"/>
        </w:rPr>
        <w:t>五、免责条款</w:t>
      </w:r>
      <w:bookmarkEnd w:id="185"/>
      <w:bookmarkEnd w:id="186"/>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1．依照法律规定或你方与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的另行约定，全部或者部分免除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投标保证金义务时，我方亦免除相应的保证责任。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2．因你方原因致使</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发生本保函第一条第（一）款约定情形的，我方不承担保证责任。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3．因不可抗力造成</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发生本保函第一条约定情形的，我方不承担保证责任。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4．你方或其他有权机关对招标文件进行任何澄清或修改，加重我方保证责任的，我方对加重部分不承担保证责任，但该澄清或修改经我方事先书面同意的除外。</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187" w:name="_Toc13954"/>
      <w:bookmarkStart w:id="188" w:name="_Toc31458"/>
      <w:r>
        <w:rPr>
          <w:rFonts w:hint="eastAsia" w:ascii="仿宋" w:hAnsi="仿宋" w:eastAsia="仿宋" w:cs="仿宋"/>
          <w:color w:val="auto"/>
          <w:sz w:val="24"/>
          <w:szCs w:val="24"/>
          <w:highlight w:val="none"/>
        </w:rPr>
        <w:t>六、争议的解决</w:t>
      </w:r>
      <w:bookmarkEnd w:id="187"/>
      <w:bookmarkEnd w:id="188"/>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因本保函发生的纠纷，由你我双方协商解决，协商不成的，通过诉讼程序解决，诉讼管辖地法院为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189" w:name="_Toc8135"/>
      <w:bookmarkStart w:id="190" w:name="_Toc4554"/>
      <w:r>
        <w:rPr>
          <w:rFonts w:hint="eastAsia" w:ascii="仿宋" w:hAnsi="仿宋" w:eastAsia="仿宋" w:cs="仿宋"/>
          <w:color w:val="auto"/>
          <w:sz w:val="24"/>
          <w:szCs w:val="24"/>
          <w:highlight w:val="none"/>
        </w:rPr>
        <w:t>七、保函的生效</w:t>
      </w:r>
      <w:bookmarkEnd w:id="189"/>
      <w:bookmarkEnd w:id="190"/>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本保函自我方加盖公章之日起生效。</w:t>
      </w:r>
    </w:p>
    <w:p>
      <w:pPr>
        <w:shd w:val="clear" w:color="auto" w:fill="auto"/>
        <w:spacing w:line="360" w:lineRule="auto"/>
        <w:ind w:firstLine="6360" w:firstLineChars="26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保证人：（公章）</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hd w:val="clear" w:color="auto" w:fill="auto"/>
        <w:spacing w:line="360" w:lineRule="auto"/>
        <w:ind w:firstLine="6600" w:firstLineChars="2750"/>
        <w:rPr>
          <w:rFonts w:hint="eastAsia" w:ascii="仿宋" w:hAnsi="仿宋" w:eastAsia="仿宋" w:cs="仿宋"/>
          <w:color w:val="auto"/>
          <w:sz w:val="24"/>
          <w:szCs w:val="24"/>
          <w:highlight w:val="none"/>
          <w:lang w:eastAsia="zh-CN"/>
        </w:rPr>
        <w:sectPr>
          <w:footerReference r:id="rId14" w:type="default"/>
          <w:pgSz w:w="11905" w:h="16838"/>
          <w:pgMar w:top="1134" w:right="1134" w:bottom="1134" w:left="1417" w:header="567" w:footer="737" w:gutter="0"/>
          <w:pgNumType w:fmt="decimal"/>
          <w:cols w:space="720" w:num="1"/>
          <w:rtlGutter w:val="0"/>
          <w:docGrid w:linePitch="319" w:charSpace="0"/>
        </w:sectPr>
      </w:pPr>
      <w:r>
        <w:rPr>
          <w:rFonts w:hint="eastAsia" w:ascii="仿宋" w:hAnsi="仿宋" w:eastAsia="仿宋" w:cs="仿宋"/>
          <w:color w:val="auto"/>
          <w:sz w:val="24"/>
          <w:szCs w:val="24"/>
          <w:highlight w:val="none"/>
        </w:rPr>
        <w:t xml:space="preserve">年     月      </w:t>
      </w:r>
      <w:r>
        <w:rPr>
          <w:rFonts w:hint="eastAsia" w:ascii="仿宋" w:hAnsi="仿宋" w:eastAsia="仿宋" w:cs="仿宋"/>
          <w:color w:val="auto"/>
          <w:sz w:val="24"/>
          <w:szCs w:val="24"/>
          <w:highlight w:val="none"/>
          <w:lang w:eastAsia="zh-CN"/>
        </w:rPr>
        <w:t>日</w:t>
      </w:r>
    </w:p>
    <w:p>
      <w:pPr>
        <w:pStyle w:val="4"/>
        <w:bidi w:val="0"/>
        <w:spacing w:line="360" w:lineRule="auto"/>
        <w:rPr>
          <w:rFonts w:hint="eastAsia"/>
          <w:color w:val="auto"/>
        </w:rPr>
      </w:pPr>
      <w:bookmarkStart w:id="191" w:name="_Toc16043"/>
      <w:r>
        <w:rPr>
          <w:rFonts w:hint="eastAsia"/>
          <w:color w:val="auto"/>
        </w:rPr>
        <w:t>1</w:t>
      </w:r>
      <w:r>
        <w:rPr>
          <w:rFonts w:hint="eastAsia"/>
          <w:color w:val="auto"/>
          <w:lang w:val="en-US" w:eastAsia="zh-CN"/>
        </w:rPr>
        <w:t>0</w:t>
      </w:r>
      <w:r>
        <w:rPr>
          <w:rFonts w:hint="eastAsia"/>
          <w:color w:val="auto"/>
        </w:rPr>
        <w:t>、商务偏离表</w:t>
      </w:r>
      <w:bookmarkEnd w:id="191"/>
    </w:p>
    <w:p>
      <w:pPr>
        <w:spacing w:line="360" w:lineRule="auto"/>
        <w:ind w:hanging="23"/>
        <w:jc w:val="distribute"/>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年     月    日</w:t>
      </w:r>
    </w:p>
    <w:tbl>
      <w:tblPr>
        <w:tblStyle w:val="27"/>
        <w:tblW w:w="0" w:type="auto"/>
        <w:tblInd w:w="108" w:type="dxa"/>
        <w:tblLayout w:type="fixed"/>
        <w:tblCellMar>
          <w:top w:w="0" w:type="dxa"/>
          <w:left w:w="108" w:type="dxa"/>
          <w:bottom w:w="0" w:type="dxa"/>
          <w:right w:w="108" w:type="dxa"/>
        </w:tblCellMar>
      </w:tblPr>
      <w:tblGrid>
        <w:gridCol w:w="920"/>
        <w:gridCol w:w="3770"/>
        <w:gridCol w:w="4510"/>
        <w:gridCol w:w="5111"/>
      </w:tblGrid>
      <w:tr>
        <w:tblPrEx>
          <w:tblCellMar>
            <w:top w:w="0" w:type="dxa"/>
            <w:left w:w="108" w:type="dxa"/>
            <w:bottom w:w="0" w:type="dxa"/>
            <w:right w:w="108" w:type="dxa"/>
          </w:tblCellMar>
        </w:tblPrEx>
        <w:trPr>
          <w:trHeight w:val="554" w:hRule="atLeast"/>
        </w:trPr>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37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招标规格</w:t>
            </w:r>
          </w:p>
        </w:tc>
        <w:tc>
          <w:tcPr>
            <w:tcW w:w="4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投标规格</w:t>
            </w:r>
          </w:p>
        </w:tc>
        <w:tc>
          <w:tcPr>
            <w:tcW w:w="5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highlight w:val="none"/>
              </w:rPr>
            </w:pPr>
          </w:p>
        </w:tc>
        <w:tc>
          <w:tcPr>
            <w:tcW w:w="377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highlight w:val="none"/>
              </w:rPr>
            </w:pPr>
          </w:p>
        </w:tc>
        <w:tc>
          <w:tcPr>
            <w:tcW w:w="451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highlight w:val="none"/>
              </w:rPr>
            </w:pPr>
          </w:p>
        </w:tc>
        <w:tc>
          <w:tcPr>
            <w:tcW w:w="511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6" w:space="0"/>
              <w:right w:val="single" w:color="auto" w:sz="4" w:space="0"/>
            </w:tcBorders>
          </w:tcPr>
          <w:p>
            <w:pPr>
              <w:spacing w:line="360" w:lineRule="auto"/>
              <w:rPr>
                <w:rFonts w:hint="eastAsia" w:ascii="仿宋" w:hAnsi="仿宋" w:eastAsia="仿宋" w:cs="仿宋"/>
                <w:color w:val="auto"/>
                <w:highlight w:val="none"/>
              </w:rPr>
            </w:pPr>
          </w:p>
        </w:tc>
        <w:tc>
          <w:tcPr>
            <w:tcW w:w="3770" w:type="dxa"/>
            <w:tcBorders>
              <w:top w:val="single" w:color="auto" w:sz="4" w:space="0"/>
              <w:left w:val="single" w:color="auto" w:sz="4" w:space="0"/>
              <w:bottom w:val="single" w:color="auto" w:sz="6" w:space="0"/>
              <w:right w:val="single" w:color="auto" w:sz="4" w:space="0"/>
            </w:tcBorders>
          </w:tcPr>
          <w:p>
            <w:pPr>
              <w:spacing w:line="360" w:lineRule="auto"/>
              <w:rPr>
                <w:rFonts w:hint="eastAsia" w:ascii="仿宋" w:hAnsi="仿宋" w:eastAsia="仿宋" w:cs="仿宋"/>
                <w:color w:val="auto"/>
                <w:highlight w:val="none"/>
              </w:rPr>
            </w:pPr>
          </w:p>
        </w:tc>
        <w:tc>
          <w:tcPr>
            <w:tcW w:w="4510" w:type="dxa"/>
            <w:tcBorders>
              <w:top w:val="single" w:color="auto" w:sz="4" w:space="0"/>
              <w:left w:val="single" w:color="auto" w:sz="4" w:space="0"/>
              <w:bottom w:val="single" w:color="auto" w:sz="6" w:space="0"/>
              <w:right w:val="single" w:color="auto" w:sz="4" w:space="0"/>
            </w:tcBorders>
          </w:tcPr>
          <w:p>
            <w:pPr>
              <w:spacing w:line="360" w:lineRule="auto"/>
              <w:rPr>
                <w:rFonts w:hint="eastAsia" w:ascii="仿宋" w:hAnsi="仿宋" w:eastAsia="仿宋" w:cs="仿宋"/>
                <w:color w:val="auto"/>
                <w:highlight w:val="none"/>
              </w:rPr>
            </w:pPr>
          </w:p>
        </w:tc>
        <w:tc>
          <w:tcPr>
            <w:tcW w:w="5111" w:type="dxa"/>
            <w:tcBorders>
              <w:top w:val="single" w:color="auto" w:sz="4" w:space="0"/>
              <w:left w:val="single" w:color="auto" w:sz="4" w:space="0"/>
              <w:bottom w:val="single" w:color="auto" w:sz="6" w:space="0"/>
              <w:right w:val="single" w:color="auto" w:sz="4"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377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4510"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c>
          <w:tcPr>
            <w:tcW w:w="5111" w:type="dxa"/>
            <w:tcBorders>
              <w:top w:val="single" w:color="auto" w:sz="6" w:space="0"/>
              <w:left w:val="single" w:color="auto" w:sz="6" w:space="0"/>
              <w:bottom w:val="single" w:color="auto" w:sz="6" w:space="0"/>
              <w:right w:val="single" w:color="auto" w:sz="6" w:space="0"/>
            </w:tcBorders>
          </w:tcPr>
          <w:p>
            <w:pPr>
              <w:spacing w:line="360" w:lineRule="auto"/>
              <w:rPr>
                <w:rFonts w:hint="eastAsia" w:ascii="仿宋" w:hAnsi="仿宋" w:eastAsia="仿宋" w:cs="仿宋"/>
                <w:color w:val="auto"/>
                <w:highlight w:val="none"/>
              </w:rPr>
            </w:pPr>
          </w:p>
        </w:tc>
      </w:tr>
    </w:tbl>
    <w:p>
      <w:pPr>
        <w:spacing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供应商（盖章）：</w:t>
      </w:r>
    </w:p>
    <w:p>
      <w:pPr>
        <w:spacing w:before="240" w:beforeLines="100" w:after="120" w:afterLines="50"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法定代表人（盖章或签字）：</w:t>
      </w:r>
    </w:p>
    <w:p>
      <w:pPr>
        <w:spacing w:before="240" w:beforeLines="100" w:after="120" w:afterLines="50" w:line="360" w:lineRule="auto"/>
        <w:jc w:val="right"/>
        <w:rPr>
          <w:rFonts w:hint="eastAsia" w:ascii="仿宋" w:hAnsi="仿宋" w:eastAsia="仿宋" w:cs="仿宋"/>
          <w:b/>
          <w:color w:val="auto"/>
          <w:sz w:val="36"/>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4"/>
        <w:bidi w:val="0"/>
        <w:spacing w:line="360" w:lineRule="auto"/>
        <w:rPr>
          <w:rFonts w:hint="eastAsia"/>
          <w:color w:val="auto"/>
        </w:rPr>
      </w:pPr>
      <w:bookmarkStart w:id="192" w:name="_Toc7212"/>
      <w:r>
        <w:rPr>
          <w:rFonts w:hint="eastAsia"/>
          <w:color w:val="auto"/>
        </w:rPr>
        <w:t>1</w:t>
      </w:r>
      <w:r>
        <w:rPr>
          <w:rFonts w:hint="eastAsia"/>
          <w:color w:val="auto"/>
          <w:lang w:val="en-US" w:eastAsia="zh-CN"/>
        </w:rPr>
        <w:t>1</w:t>
      </w:r>
      <w:r>
        <w:rPr>
          <w:rFonts w:hint="eastAsia"/>
          <w:color w:val="auto"/>
        </w:rPr>
        <w:t>、</w:t>
      </w:r>
      <w:r>
        <w:rPr>
          <w:rFonts w:hint="eastAsia"/>
          <w:color w:val="auto"/>
          <w:lang w:eastAsia="zh-CN"/>
        </w:rPr>
        <w:t>技术</w:t>
      </w:r>
      <w:r>
        <w:rPr>
          <w:rFonts w:hint="eastAsia"/>
          <w:color w:val="auto"/>
        </w:rPr>
        <w:t>偏离表</w:t>
      </w:r>
      <w:bookmarkEnd w:id="192"/>
    </w:p>
    <w:p>
      <w:pPr>
        <w:spacing w:line="360" w:lineRule="auto"/>
        <w:ind w:right="352" w:hanging="23"/>
        <w:jc w:val="distribute"/>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年   月    日 </w:t>
      </w:r>
    </w:p>
    <w:tbl>
      <w:tblPr>
        <w:tblStyle w:val="27"/>
        <w:tblW w:w="0" w:type="auto"/>
        <w:tblInd w:w="108" w:type="dxa"/>
        <w:tblLayout w:type="fixed"/>
        <w:tblCellMar>
          <w:top w:w="0" w:type="dxa"/>
          <w:left w:w="108" w:type="dxa"/>
          <w:bottom w:w="0" w:type="dxa"/>
          <w:right w:w="108" w:type="dxa"/>
        </w:tblCellMar>
      </w:tblPr>
      <w:tblGrid>
        <w:gridCol w:w="918"/>
        <w:gridCol w:w="1806"/>
        <w:gridCol w:w="3576"/>
        <w:gridCol w:w="4320"/>
        <w:gridCol w:w="3474"/>
      </w:tblGrid>
      <w:tr>
        <w:trPr>
          <w:trHeight w:val="62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条款序号</w:t>
            </w: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34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4" w:space="0"/>
              <w:left w:val="single" w:color="auto" w:sz="4" w:space="0"/>
              <w:bottom w:val="single" w:color="auto" w:sz="6" w:space="0"/>
              <w:right w:val="single" w:color="auto" w:sz="4"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r>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c>
          <w:tcPr>
            <w:tcW w:w="3474"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auto"/>
                <w:highlight w:val="none"/>
              </w:rPr>
            </w:pPr>
          </w:p>
        </w:tc>
      </w:tr>
    </w:tbl>
    <w:p>
      <w:pPr>
        <w:spacing w:line="360" w:lineRule="auto"/>
        <w:ind w:firstLine="105" w:firstLineChars="50"/>
        <w:rPr>
          <w:rFonts w:hint="eastAsia" w:ascii="仿宋" w:hAnsi="仿宋" w:eastAsia="仿宋" w:cs="仿宋"/>
          <w:color w:val="auto"/>
          <w:highlight w:val="none"/>
        </w:rPr>
      </w:pPr>
      <w:r>
        <w:rPr>
          <w:rFonts w:hint="eastAsia" w:ascii="仿宋" w:hAnsi="仿宋" w:eastAsia="仿宋" w:cs="仿宋"/>
          <w:color w:val="auto"/>
          <w:highlight w:val="none"/>
        </w:rPr>
        <w:t>供应商（盖章）：</w:t>
      </w:r>
    </w:p>
    <w:p>
      <w:pPr>
        <w:spacing w:before="240" w:beforeLines="100" w:after="120" w:afterLines="50" w:line="360" w:lineRule="auto"/>
        <w:ind w:firstLine="105" w:firstLineChars="50"/>
        <w:rPr>
          <w:rFonts w:hint="eastAsia" w:ascii="仿宋" w:hAnsi="仿宋" w:eastAsia="仿宋" w:cs="仿宋"/>
          <w:color w:val="auto"/>
          <w:highlight w:val="none"/>
        </w:rPr>
      </w:pPr>
      <w:r>
        <w:rPr>
          <w:rFonts w:hint="eastAsia" w:ascii="仿宋" w:hAnsi="仿宋" w:eastAsia="仿宋" w:cs="仿宋"/>
          <w:color w:val="auto"/>
          <w:highlight w:val="none"/>
        </w:rPr>
        <w:t>法定代表人（盖章或签字）：</w:t>
      </w:r>
    </w:p>
    <w:p>
      <w:pPr>
        <w:spacing w:before="240" w:beforeLines="100" w:after="120" w:afterLines="50" w:line="360" w:lineRule="auto"/>
        <w:ind w:firstLine="120" w:firstLineChars="5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4"/>
        <w:bidi w:val="0"/>
        <w:spacing w:line="360" w:lineRule="auto"/>
        <w:rPr>
          <w:rFonts w:hint="eastAsia"/>
          <w:color w:val="auto"/>
        </w:rPr>
      </w:pPr>
      <w:bookmarkStart w:id="193" w:name="_Toc27757"/>
      <w:r>
        <w:rPr>
          <w:rFonts w:hint="eastAsia"/>
          <w:color w:val="auto"/>
        </w:rPr>
        <w:t>1</w:t>
      </w:r>
      <w:r>
        <w:rPr>
          <w:rFonts w:hint="eastAsia"/>
          <w:color w:val="auto"/>
          <w:lang w:val="en-US" w:eastAsia="zh-CN"/>
        </w:rPr>
        <w:t>2</w:t>
      </w:r>
      <w:r>
        <w:rPr>
          <w:rFonts w:hint="eastAsia"/>
          <w:color w:val="auto"/>
        </w:rPr>
        <w:t>、供应商近五年类似项目业绩情况一览表</w:t>
      </w:r>
      <w:bookmarkEnd w:id="193"/>
    </w:p>
    <w:tbl>
      <w:tblPr>
        <w:tblStyle w:val="27"/>
        <w:tblpPr w:leftFromText="180" w:rightFromText="180" w:vertAnchor="text" w:horzAnchor="page" w:tblpX="1742" w:tblpY="484"/>
        <w:tblOverlap w:val="never"/>
        <w:tblW w:w="0" w:type="auto"/>
        <w:tblInd w:w="0" w:type="dxa"/>
        <w:tblLayout w:type="fixed"/>
        <w:tblCellMar>
          <w:top w:w="0" w:type="dxa"/>
          <w:left w:w="108" w:type="dxa"/>
          <w:bottom w:w="0" w:type="dxa"/>
          <w:right w:w="108" w:type="dxa"/>
        </w:tblCellMar>
      </w:tblPr>
      <w:tblGrid>
        <w:gridCol w:w="3005"/>
        <w:gridCol w:w="3420"/>
        <w:gridCol w:w="1080"/>
        <w:gridCol w:w="1975"/>
        <w:gridCol w:w="1236"/>
        <w:gridCol w:w="2916"/>
      </w:tblGrid>
      <w:tr>
        <w:tblPrEx>
          <w:tblCellMar>
            <w:top w:w="0" w:type="dxa"/>
            <w:left w:w="108" w:type="dxa"/>
            <w:bottom w:w="0" w:type="dxa"/>
            <w:right w:w="108" w:type="dxa"/>
          </w:tblCellMar>
        </w:tblPrEx>
        <w:trPr>
          <w:cantSplit/>
          <w:trHeight w:val="646" w:hRule="atLeast"/>
        </w:trPr>
        <w:tc>
          <w:tcPr>
            <w:tcW w:w="300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采购单位名称</w:t>
            </w:r>
          </w:p>
        </w:tc>
        <w:tc>
          <w:tcPr>
            <w:tcW w:w="342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项目时间/地点</w:t>
            </w:r>
          </w:p>
        </w:tc>
        <w:tc>
          <w:tcPr>
            <w:tcW w:w="197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项目主要内容</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合同金额</w:t>
            </w:r>
          </w:p>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（元）</w:t>
            </w:r>
          </w:p>
        </w:tc>
        <w:tc>
          <w:tcPr>
            <w:tcW w:w="291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采购单位联系人及</w:t>
            </w:r>
          </w:p>
          <w:p>
            <w:pPr>
              <w:spacing w:before="50" w:after="120" w:line="360" w:lineRule="auto"/>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联系电话</w:t>
            </w:r>
          </w:p>
        </w:tc>
      </w:tr>
      <w:tr>
        <w:tblPrEx>
          <w:tblCellMar>
            <w:top w:w="0" w:type="dxa"/>
            <w:left w:w="108" w:type="dxa"/>
            <w:bottom w:w="0" w:type="dxa"/>
            <w:right w:w="108" w:type="dxa"/>
          </w:tblCellMar>
        </w:tblPrEx>
        <w:trPr>
          <w:cantSplit/>
          <w:trHeight w:val="760" w:hRule="atLeast"/>
        </w:trPr>
        <w:tc>
          <w:tcPr>
            <w:tcW w:w="30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34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仿宋" w:hAnsi="仿宋" w:eastAsia="仿宋" w:cs="仿宋"/>
                <w:color w:val="auto"/>
                <w:kern w:val="1"/>
                <w:szCs w:val="21"/>
                <w:highlight w:val="none"/>
              </w:rPr>
            </w:pPr>
          </w:p>
        </w:tc>
        <w:tc>
          <w:tcPr>
            <w:tcW w:w="2916" w:type="dxa"/>
            <w:vMerge w:val="continue"/>
            <w:tcBorders>
              <w:left w:val="single" w:color="000000" w:sz="4" w:space="0"/>
              <w:bottom w:val="single" w:color="000000" w:sz="4" w:space="0"/>
              <w:right w:val="single" w:color="000000" w:sz="4" w:space="0"/>
            </w:tcBorders>
          </w:tcPr>
          <w:p>
            <w:pPr>
              <w:spacing w:line="360" w:lineRule="auto"/>
              <w:jc w:val="center"/>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rPr>
          <w:trHeight w:val="710" w:hRule="atLeast"/>
        </w:trPr>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360" w:lineRule="auto"/>
              <w:ind w:firstLine="840" w:firstLineChars="400"/>
              <w:jc w:val="left"/>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备注</w:t>
            </w:r>
          </w:p>
        </w:tc>
        <w:tc>
          <w:tcPr>
            <w:tcW w:w="10627" w:type="dxa"/>
            <w:gridSpan w:val="5"/>
            <w:tcBorders>
              <w:top w:val="single" w:color="000000" w:sz="4" w:space="0"/>
              <w:left w:val="single" w:color="000000" w:sz="4" w:space="0"/>
              <w:bottom w:val="single" w:color="000000" w:sz="4" w:space="0"/>
              <w:right w:val="single" w:color="000000" w:sz="4" w:space="0"/>
            </w:tcBorders>
          </w:tcPr>
          <w:p>
            <w:pPr>
              <w:spacing w:before="50" w:after="120" w:line="360" w:lineRule="auto"/>
              <w:jc w:val="left"/>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须提供类似项目合同复印件或</w:t>
            </w:r>
            <w:r>
              <w:rPr>
                <w:rFonts w:hint="eastAsia" w:ascii="仿宋" w:hAnsi="仿宋" w:eastAsia="仿宋" w:cs="仿宋"/>
                <w:color w:val="auto"/>
                <w:kern w:val="1"/>
                <w:szCs w:val="21"/>
                <w:highlight w:val="none"/>
                <w:lang w:eastAsia="zh-CN"/>
              </w:rPr>
              <w:t>中标</w:t>
            </w:r>
            <w:r>
              <w:rPr>
                <w:rFonts w:hint="eastAsia" w:ascii="仿宋" w:hAnsi="仿宋" w:eastAsia="仿宋" w:cs="仿宋"/>
                <w:color w:val="auto"/>
                <w:kern w:val="1"/>
                <w:szCs w:val="21"/>
                <w:highlight w:val="none"/>
                <w:lang w:val="en-US" w:eastAsia="zh-CN"/>
              </w:rPr>
              <w:t>/成交</w:t>
            </w:r>
            <w:r>
              <w:rPr>
                <w:rFonts w:hint="eastAsia" w:ascii="仿宋" w:hAnsi="仿宋" w:eastAsia="仿宋" w:cs="仿宋"/>
                <w:color w:val="auto"/>
                <w:kern w:val="1"/>
                <w:szCs w:val="21"/>
                <w:highlight w:val="none"/>
                <w:lang w:eastAsia="zh-CN"/>
              </w:rPr>
              <w:t>通知书</w:t>
            </w:r>
            <w:r>
              <w:rPr>
                <w:rFonts w:hint="eastAsia" w:ascii="仿宋" w:hAnsi="仿宋" w:eastAsia="仿宋" w:cs="仿宋"/>
                <w:color w:val="auto"/>
                <w:kern w:val="1"/>
                <w:szCs w:val="21"/>
                <w:highlight w:val="none"/>
              </w:rPr>
              <w:t>复印件</w:t>
            </w:r>
          </w:p>
        </w:tc>
      </w:tr>
    </w:tbl>
    <w:p>
      <w:pPr>
        <w:spacing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项目名称：</w:t>
      </w:r>
    </w:p>
    <w:p>
      <w:pPr>
        <w:spacing w:line="360" w:lineRule="auto"/>
        <w:ind w:firstLine="315" w:firstLineChars="150"/>
        <w:rPr>
          <w:rFonts w:hint="eastAsia" w:ascii="仿宋" w:hAnsi="仿宋" w:eastAsia="仿宋" w:cs="仿宋"/>
          <w:color w:val="auto"/>
          <w:highlight w:val="none"/>
        </w:rPr>
      </w:pPr>
    </w:p>
    <w:p>
      <w:pPr>
        <w:spacing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供应商（盖章）：</w:t>
      </w:r>
    </w:p>
    <w:p>
      <w:pPr>
        <w:spacing w:line="360" w:lineRule="auto"/>
        <w:rPr>
          <w:rFonts w:hint="eastAsia" w:ascii="仿宋" w:hAnsi="仿宋" w:eastAsia="仿宋" w:cs="仿宋"/>
          <w:color w:val="auto"/>
          <w:highlight w:val="none"/>
        </w:rPr>
      </w:pPr>
    </w:p>
    <w:p>
      <w:pPr>
        <w:spacing w:line="360" w:lineRule="auto"/>
        <w:ind w:firstLine="315" w:firstLineChars="150"/>
        <w:rPr>
          <w:rFonts w:hint="eastAsia" w:ascii="仿宋" w:hAnsi="仿宋" w:eastAsia="仿宋" w:cs="仿宋"/>
          <w:color w:val="auto"/>
          <w:highlight w:val="none"/>
        </w:rPr>
      </w:pPr>
      <w:r>
        <w:rPr>
          <w:rFonts w:hint="eastAsia" w:ascii="仿宋" w:hAnsi="仿宋" w:eastAsia="仿宋" w:cs="仿宋"/>
          <w:color w:val="auto"/>
          <w:highlight w:val="none"/>
        </w:rPr>
        <w:t>法定代表人（盖章或签字）：</w:t>
      </w:r>
    </w:p>
    <w:p>
      <w:pPr>
        <w:spacing w:line="360" w:lineRule="auto"/>
        <w:ind w:firstLine="315" w:firstLineChars="150"/>
        <w:jc w:val="right"/>
        <w:rPr>
          <w:rFonts w:hint="eastAsia" w:ascii="仿宋" w:hAnsi="仿宋" w:eastAsia="仿宋" w:cs="仿宋"/>
          <w:color w:val="auto"/>
          <w:highlight w:val="none"/>
        </w:rPr>
        <w:sectPr>
          <w:headerReference r:id="rId15" w:type="default"/>
          <w:footerReference r:id="rId16" w:type="default"/>
          <w:pgSz w:w="16838" w:h="11906" w:orient="landscape"/>
          <w:pgMar w:top="1418" w:right="1418" w:bottom="1418" w:left="1418" w:header="851" w:footer="992" w:gutter="0"/>
          <w:pgNumType w:fmt="decimal"/>
          <w:cols w:space="720" w:num="1"/>
          <w:docGrid w:linePitch="312" w:charSpace="0"/>
        </w:sect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   月    日</w:t>
      </w:r>
    </w:p>
    <w:p>
      <w:pPr>
        <w:pStyle w:val="4"/>
        <w:bidi w:val="0"/>
        <w:spacing w:line="360" w:lineRule="auto"/>
        <w:rPr>
          <w:rFonts w:hint="eastAsia"/>
          <w:color w:val="auto"/>
        </w:rPr>
      </w:pPr>
      <w:bookmarkStart w:id="194" w:name="_Toc16841"/>
      <w:r>
        <w:rPr>
          <w:rFonts w:hint="eastAsia"/>
          <w:color w:val="auto"/>
        </w:rPr>
        <w:t>1</w:t>
      </w:r>
      <w:r>
        <w:rPr>
          <w:rFonts w:hint="eastAsia"/>
          <w:color w:val="auto"/>
          <w:lang w:val="en-US" w:eastAsia="zh-CN"/>
        </w:rPr>
        <w:t>3</w:t>
      </w:r>
      <w:r>
        <w:rPr>
          <w:rFonts w:hint="eastAsia"/>
          <w:color w:val="auto"/>
        </w:rPr>
        <w:t>.</w:t>
      </w:r>
      <w:r>
        <w:rPr>
          <w:rFonts w:hint="eastAsia"/>
          <w:color w:val="auto"/>
          <w:lang w:eastAsia="zh-CN"/>
        </w:rPr>
        <w:t>供应商</w:t>
      </w:r>
      <w:r>
        <w:rPr>
          <w:rFonts w:hint="eastAsia"/>
          <w:color w:val="auto"/>
        </w:rPr>
        <w:t>自行编写的技术文件</w:t>
      </w:r>
      <w:bookmarkEnd w:id="194"/>
    </w:p>
    <w:p>
      <w:pPr>
        <w:pStyle w:val="26"/>
        <w:spacing w:line="360" w:lineRule="auto"/>
        <w:ind w:firstLine="0" w:firstLineChars="0"/>
        <w:outlineLvl w:val="0"/>
        <w:rPr>
          <w:rFonts w:hint="eastAsia" w:ascii="仿宋" w:hAnsi="仿宋" w:eastAsia="仿宋" w:cs="仿宋"/>
          <w:color w:val="auto"/>
          <w:highlight w:val="none"/>
        </w:rPr>
      </w:pPr>
      <w:bookmarkStart w:id="195" w:name="_Toc11782"/>
      <w:bookmarkStart w:id="196" w:name="_Toc14016"/>
      <w:bookmarkStart w:id="197" w:name="_Toc9595"/>
      <w:r>
        <w:rPr>
          <w:rFonts w:hint="eastAsia" w:ascii="仿宋" w:hAnsi="仿宋" w:eastAsia="仿宋" w:cs="仿宋"/>
          <w:b/>
          <w:bCs/>
          <w:i w:val="0"/>
          <w:iCs w:val="0"/>
          <w:color w:val="auto"/>
          <w:highlight w:val="none"/>
          <w:lang w:val="en-US" w:eastAsia="zh-CN"/>
        </w:rPr>
        <w:t>供应商应按磋商文件要求的内容和顺序编写，格式自拟。</w:t>
      </w:r>
      <w:bookmarkEnd w:id="195"/>
      <w:bookmarkEnd w:id="196"/>
      <w:bookmarkEnd w:id="197"/>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①针对本项目的理解（</w:t>
      </w:r>
      <w:r>
        <w:rPr>
          <w:rFonts w:hint="eastAsia" w:ascii="仿宋" w:hAnsi="仿宋" w:eastAsia="仿宋" w:cs="仿宋"/>
          <w:color w:val="auto"/>
          <w:kern w:val="0"/>
          <w:sz w:val="24"/>
          <w:szCs w:val="24"/>
          <w:highlight w:val="none"/>
        </w:rPr>
        <w:t>对项目理解和熟悉程度</w:t>
      </w:r>
      <w:r>
        <w:rPr>
          <w:rFonts w:hint="eastAsia" w:ascii="仿宋" w:hAnsi="仿宋" w:eastAsia="仿宋" w:cs="仿宋"/>
          <w:color w:val="auto"/>
          <w:kern w:val="0"/>
          <w:sz w:val="24"/>
          <w:szCs w:val="24"/>
          <w:highlight w:val="none"/>
          <w:lang w:eastAsia="zh-CN"/>
        </w:rPr>
        <w:t>；</w:t>
      </w:r>
      <w:r>
        <w:rPr>
          <w:rFonts w:hint="eastAsia" w:ascii="仿宋" w:hAnsi="仿宋" w:eastAsia="仿宋" w:cs="仿宋"/>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②具体</w:t>
      </w:r>
      <w:r>
        <w:rPr>
          <w:rFonts w:hint="eastAsia" w:ascii="仿宋" w:hAnsi="仿宋" w:eastAsia="仿宋" w:cs="仿宋"/>
          <w:color w:val="auto"/>
          <w:kern w:val="0"/>
          <w:sz w:val="24"/>
          <w:szCs w:val="24"/>
          <w:highlight w:val="none"/>
        </w:rPr>
        <w:t>项目总体方案</w:t>
      </w:r>
      <w:r>
        <w:rPr>
          <w:rFonts w:hint="eastAsia" w:ascii="仿宋" w:hAnsi="仿宋" w:eastAsia="仿宋" w:cs="仿宋"/>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③</w:t>
      </w:r>
      <w:r>
        <w:rPr>
          <w:rFonts w:hint="eastAsia" w:ascii="仿宋" w:hAnsi="仿宋" w:eastAsia="仿宋" w:cs="仿宋"/>
          <w:color w:val="auto"/>
          <w:kern w:val="0"/>
          <w:sz w:val="24"/>
          <w:szCs w:val="24"/>
          <w:highlight w:val="none"/>
        </w:rPr>
        <w:t>项目关键技术问题</w:t>
      </w:r>
      <w:r>
        <w:rPr>
          <w:rFonts w:hint="eastAsia" w:ascii="仿宋" w:hAnsi="仿宋" w:eastAsia="仿宋" w:cs="仿宋"/>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④质量、进度、安全、成果文件编制相关保障措施；</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⑤技术服务能力</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⑥后期服务保障措施</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⑦完成服务所需的工具、设备等资源配置；</w:t>
      </w:r>
    </w:p>
    <w:p>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bCs/>
          <w:color w:val="auto"/>
          <w:sz w:val="24"/>
          <w:highlight w:val="none"/>
        </w:rPr>
        <w:t>⑧拟投入人员</w:t>
      </w:r>
    </w:p>
    <w:p>
      <w:pPr>
        <w:spacing w:line="360" w:lineRule="auto"/>
        <w:rPr>
          <w:rFonts w:hint="eastAsia" w:ascii="仿宋" w:hAnsi="仿宋" w:eastAsia="仿宋" w:cs="仿宋"/>
          <w:b/>
          <w:color w:val="auto"/>
          <w:spacing w:val="-6"/>
          <w:kern w:val="1"/>
          <w:szCs w:val="21"/>
          <w:highlight w:val="none"/>
        </w:rPr>
      </w:pPr>
      <w:r>
        <w:rPr>
          <w:rFonts w:hint="eastAsia" w:ascii="仿宋" w:hAnsi="仿宋" w:eastAsia="仿宋" w:cs="仿宋"/>
          <w:b/>
          <w:color w:val="auto"/>
          <w:spacing w:val="-6"/>
          <w:kern w:val="1"/>
          <w:szCs w:val="21"/>
          <w:highlight w:val="none"/>
        </w:rPr>
        <mc:AlternateContent>
          <mc:Choice Requires="wps">
            <w:drawing>
              <wp:anchor distT="0" distB="0" distL="114300" distR="114300" simplePos="0" relativeHeight="251664384" behindDoc="0" locked="0" layoutInCell="0" allowOverlap="1">
                <wp:simplePos x="0" y="0"/>
                <wp:positionH relativeFrom="page">
                  <wp:posOffset>815340</wp:posOffset>
                </wp:positionH>
                <wp:positionV relativeFrom="paragraph">
                  <wp:posOffset>247650</wp:posOffset>
                </wp:positionV>
                <wp:extent cx="5759450" cy="509714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5759450" cy="5097145"/>
                        </a:xfrm>
                        <a:prstGeom prst="rect">
                          <a:avLst/>
                        </a:prstGeom>
                        <a:noFill/>
                        <a:ln>
                          <a:noFill/>
                        </a:ln>
                      </wps:spPr>
                      <wps:txbx>
                        <w:txbxContent>
                          <w:tbl>
                            <w:tblPr>
                              <w:tblStyle w:val="27"/>
                              <w:tblW w:w="88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79"/>
                              <w:gridCol w:w="1203"/>
                              <w:gridCol w:w="1265"/>
                              <w:gridCol w:w="1608"/>
                              <w:gridCol w:w="1165"/>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序号</w:t>
                                  </w:r>
                                </w:p>
                              </w:tc>
                              <w:tc>
                                <w:tcPr>
                                  <w:tcW w:w="1179"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姓名</w:t>
                                  </w:r>
                                </w:p>
                              </w:tc>
                              <w:tc>
                                <w:tcPr>
                                  <w:tcW w:w="1203"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职称</w:t>
                                  </w:r>
                                </w:p>
                              </w:tc>
                              <w:tc>
                                <w:tcPr>
                                  <w:tcW w:w="1265"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专业</w:t>
                                  </w:r>
                                </w:p>
                              </w:tc>
                              <w:tc>
                                <w:tcPr>
                                  <w:tcW w:w="1608" w:type="dxa"/>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执业资格及</w:t>
                                  </w:r>
                                </w:p>
                                <w:p>
                                  <w:pPr>
                                    <w:jc w:val="center"/>
                                    <w:rPr>
                                      <w:rFonts w:hint="eastAsia" w:ascii="仿宋" w:hAnsi="仿宋" w:eastAsia="仿宋" w:cs="仿宋"/>
                                      <w:kern w:val="1"/>
                                      <w:sz w:val="24"/>
                                      <w:szCs w:val="24"/>
                                    </w:rPr>
                                  </w:pPr>
                                  <w:r>
                                    <w:rPr>
                                      <w:rFonts w:hint="eastAsia" w:ascii="仿宋" w:hAnsi="仿宋" w:eastAsia="仿宋" w:cs="仿宋"/>
                                      <w:kern w:val="1"/>
                                      <w:sz w:val="24"/>
                                      <w:szCs w:val="24"/>
                                    </w:rPr>
                                    <w:t>证书编号</w:t>
                                  </w:r>
                                </w:p>
                                <w:p>
                                  <w:pPr>
                                    <w:jc w:val="center"/>
                                    <w:rPr>
                                      <w:rFonts w:hint="eastAsia" w:ascii="仿宋" w:hAnsi="仿宋" w:eastAsia="仿宋" w:cs="仿宋"/>
                                      <w:kern w:val="1"/>
                                      <w:sz w:val="24"/>
                                      <w:szCs w:val="24"/>
                                    </w:rPr>
                                  </w:pPr>
                                  <w:r>
                                    <w:rPr>
                                      <w:rFonts w:hint="eastAsia" w:ascii="仿宋" w:hAnsi="仿宋" w:eastAsia="仿宋" w:cs="仿宋"/>
                                      <w:kern w:val="1"/>
                                      <w:sz w:val="24"/>
                                      <w:szCs w:val="24"/>
                                    </w:rPr>
                                    <w:t>（若有）</w:t>
                                  </w:r>
                                </w:p>
                              </w:tc>
                              <w:tc>
                                <w:tcPr>
                                  <w:tcW w:w="1165"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职责分工</w:t>
                                  </w:r>
                                </w:p>
                              </w:tc>
                              <w:tc>
                                <w:tcPr>
                                  <w:tcW w:w="1644"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bl>
                          <w:p/>
                        </w:txbxContent>
                      </wps:txbx>
                      <wps:bodyPr wrap="none" lIns="3175" tIns="3175" rIns="3175" bIns="3175" upright="1">
                        <a:spAutoFit/>
                      </wps:bodyPr>
                    </wps:wsp>
                  </a:graphicData>
                </a:graphic>
              </wp:anchor>
            </w:drawing>
          </mc:Choice>
          <mc:Fallback>
            <w:pict>
              <v:shape id="_x0000_s1026" o:spid="_x0000_s1026" o:spt="202" type="#_x0000_t202" style="position:absolute;left:0pt;margin-left:64.2pt;margin-top:19.5pt;height:401.35pt;width:453.5pt;mso-position-horizontal-relative:page;mso-wrap-distance-bottom:0pt;mso-wrap-distance-left:9pt;mso-wrap-distance-right:9pt;mso-wrap-distance-top:0pt;mso-wrap-style:none;z-index:251664384;mso-width-relative:page;mso-height-relative:page;" filled="f" stroked="f" coordsize="21600,21600" o:allowincell="f" o:gfxdata="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ENRytgAAAALAQAADwAAAAAAAAABACAA&#10;AAAiAAAAZHJzL2Rvd25yZXYueG1sUEsBAhQAFAAAAAgAh07iQCKlR1nUAQAApQMAAA4AAAAAAAAA&#10;AQAgAAAAJwEAAGRycy9lMm9Eb2MueG1sUEsFBgAAAAAGAAYAWQEAAG0FAAAAAA==&#10;">
                <v:fill on="f" focussize="0,0"/>
                <v:stroke on="f"/>
                <v:imagedata o:title=""/>
                <o:lock v:ext="edit" aspectratio="f"/>
                <v:textbox inset="0.25pt,0.25pt,0.25pt,0.25pt" style="mso-fit-shape-to-text:t;">
                  <w:txbxContent>
                    <w:tbl>
                      <w:tblPr>
                        <w:tblStyle w:val="27"/>
                        <w:tblW w:w="88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79"/>
                        <w:gridCol w:w="1203"/>
                        <w:gridCol w:w="1265"/>
                        <w:gridCol w:w="1608"/>
                        <w:gridCol w:w="1165"/>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序号</w:t>
                            </w:r>
                          </w:p>
                        </w:tc>
                        <w:tc>
                          <w:tcPr>
                            <w:tcW w:w="1179"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姓名</w:t>
                            </w:r>
                          </w:p>
                        </w:tc>
                        <w:tc>
                          <w:tcPr>
                            <w:tcW w:w="1203"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职称</w:t>
                            </w:r>
                          </w:p>
                        </w:tc>
                        <w:tc>
                          <w:tcPr>
                            <w:tcW w:w="1265"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专业</w:t>
                            </w:r>
                          </w:p>
                        </w:tc>
                        <w:tc>
                          <w:tcPr>
                            <w:tcW w:w="1608" w:type="dxa"/>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执业资格及</w:t>
                            </w:r>
                          </w:p>
                          <w:p>
                            <w:pPr>
                              <w:jc w:val="center"/>
                              <w:rPr>
                                <w:rFonts w:hint="eastAsia" w:ascii="仿宋" w:hAnsi="仿宋" w:eastAsia="仿宋" w:cs="仿宋"/>
                                <w:kern w:val="1"/>
                                <w:sz w:val="24"/>
                                <w:szCs w:val="24"/>
                              </w:rPr>
                            </w:pPr>
                            <w:r>
                              <w:rPr>
                                <w:rFonts w:hint="eastAsia" w:ascii="仿宋" w:hAnsi="仿宋" w:eastAsia="仿宋" w:cs="仿宋"/>
                                <w:kern w:val="1"/>
                                <w:sz w:val="24"/>
                                <w:szCs w:val="24"/>
                              </w:rPr>
                              <w:t>证书编号</w:t>
                            </w:r>
                          </w:p>
                          <w:p>
                            <w:pPr>
                              <w:jc w:val="center"/>
                              <w:rPr>
                                <w:rFonts w:hint="eastAsia" w:ascii="仿宋" w:hAnsi="仿宋" w:eastAsia="仿宋" w:cs="仿宋"/>
                                <w:kern w:val="1"/>
                                <w:sz w:val="24"/>
                                <w:szCs w:val="24"/>
                              </w:rPr>
                            </w:pPr>
                            <w:r>
                              <w:rPr>
                                <w:rFonts w:hint="eastAsia" w:ascii="仿宋" w:hAnsi="仿宋" w:eastAsia="仿宋" w:cs="仿宋"/>
                                <w:kern w:val="1"/>
                                <w:sz w:val="24"/>
                                <w:szCs w:val="24"/>
                              </w:rPr>
                              <w:t>（若有）</w:t>
                            </w:r>
                          </w:p>
                        </w:tc>
                        <w:tc>
                          <w:tcPr>
                            <w:tcW w:w="1165"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职责分工</w:t>
                            </w:r>
                          </w:p>
                        </w:tc>
                        <w:tc>
                          <w:tcPr>
                            <w:tcW w:w="1644" w:type="dxa"/>
                            <w:vAlign w:val="center"/>
                          </w:tcPr>
                          <w:p>
                            <w:pPr>
                              <w:jc w:val="center"/>
                              <w:rPr>
                                <w:rFonts w:hint="eastAsia" w:ascii="仿宋" w:hAnsi="仿宋" w:eastAsia="仿宋" w:cs="仿宋"/>
                                <w:kern w:val="1"/>
                                <w:sz w:val="24"/>
                                <w:szCs w:val="24"/>
                              </w:rPr>
                            </w:pPr>
                            <w:r>
                              <w:rPr>
                                <w:rFonts w:hint="eastAsia" w:ascii="仿宋" w:hAnsi="仿宋" w:eastAsia="仿宋" w:cs="仿宋"/>
                                <w:kern w:val="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hint="eastAsia" w:ascii="仿宋" w:hAnsi="仿宋" w:eastAsia="仿宋" w:cs="仿宋"/>
                                <w:kern w:val="1"/>
                                <w:sz w:val="24"/>
                                <w:szCs w:val="24"/>
                              </w:rPr>
                            </w:pPr>
                          </w:p>
                        </w:tc>
                        <w:tc>
                          <w:tcPr>
                            <w:tcW w:w="1179" w:type="dxa"/>
                            <w:vAlign w:val="center"/>
                          </w:tcPr>
                          <w:p>
                            <w:pPr>
                              <w:jc w:val="center"/>
                              <w:rPr>
                                <w:rFonts w:hint="eastAsia" w:ascii="仿宋" w:hAnsi="仿宋" w:eastAsia="仿宋" w:cs="仿宋"/>
                                <w:kern w:val="1"/>
                                <w:sz w:val="24"/>
                                <w:szCs w:val="24"/>
                              </w:rPr>
                            </w:pPr>
                          </w:p>
                        </w:tc>
                        <w:tc>
                          <w:tcPr>
                            <w:tcW w:w="1203" w:type="dxa"/>
                            <w:vAlign w:val="center"/>
                          </w:tcPr>
                          <w:p>
                            <w:pPr>
                              <w:jc w:val="center"/>
                              <w:rPr>
                                <w:rFonts w:hint="eastAsia" w:ascii="仿宋" w:hAnsi="仿宋" w:eastAsia="仿宋" w:cs="仿宋"/>
                                <w:kern w:val="1"/>
                                <w:sz w:val="24"/>
                                <w:szCs w:val="24"/>
                              </w:rPr>
                            </w:pPr>
                          </w:p>
                        </w:tc>
                        <w:tc>
                          <w:tcPr>
                            <w:tcW w:w="1265" w:type="dxa"/>
                            <w:vAlign w:val="center"/>
                          </w:tcPr>
                          <w:p>
                            <w:pPr>
                              <w:jc w:val="center"/>
                              <w:rPr>
                                <w:rFonts w:hint="eastAsia" w:ascii="仿宋" w:hAnsi="仿宋" w:eastAsia="仿宋" w:cs="仿宋"/>
                                <w:kern w:val="1"/>
                                <w:sz w:val="24"/>
                                <w:szCs w:val="24"/>
                              </w:rPr>
                            </w:pPr>
                          </w:p>
                        </w:tc>
                        <w:tc>
                          <w:tcPr>
                            <w:tcW w:w="1608" w:type="dxa"/>
                          </w:tcPr>
                          <w:p>
                            <w:pPr>
                              <w:jc w:val="center"/>
                              <w:rPr>
                                <w:rFonts w:hint="eastAsia" w:ascii="仿宋" w:hAnsi="仿宋" w:eastAsia="仿宋" w:cs="仿宋"/>
                                <w:kern w:val="1"/>
                                <w:sz w:val="24"/>
                                <w:szCs w:val="24"/>
                              </w:rPr>
                            </w:pPr>
                          </w:p>
                        </w:tc>
                        <w:tc>
                          <w:tcPr>
                            <w:tcW w:w="1165" w:type="dxa"/>
                            <w:vAlign w:val="center"/>
                          </w:tcPr>
                          <w:p>
                            <w:pPr>
                              <w:jc w:val="center"/>
                              <w:rPr>
                                <w:rFonts w:hint="eastAsia" w:ascii="仿宋" w:hAnsi="仿宋" w:eastAsia="仿宋" w:cs="仿宋"/>
                                <w:kern w:val="1"/>
                                <w:sz w:val="24"/>
                                <w:szCs w:val="24"/>
                              </w:rPr>
                            </w:pPr>
                          </w:p>
                        </w:tc>
                        <w:tc>
                          <w:tcPr>
                            <w:tcW w:w="1644" w:type="dxa"/>
                          </w:tcPr>
                          <w:p>
                            <w:pPr>
                              <w:jc w:val="center"/>
                              <w:rPr>
                                <w:rFonts w:hint="eastAsia" w:ascii="仿宋" w:hAnsi="仿宋" w:eastAsia="仿宋" w:cs="仿宋"/>
                                <w:kern w:val="1"/>
                                <w:sz w:val="24"/>
                                <w:szCs w:val="24"/>
                              </w:rPr>
                            </w:pPr>
                          </w:p>
                        </w:tc>
                      </w:tr>
                    </w:tbl>
                    <w:p/>
                  </w:txbxContent>
                </v:textbox>
                <w10:wrap type="square"/>
              </v:shape>
            </w:pict>
          </mc:Fallback>
        </mc:AlternateContent>
      </w:r>
    </w:p>
    <w:p>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pacing w:val="-6"/>
          <w:kern w:val="1"/>
          <w:sz w:val="24"/>
          <w:szCs w:val="24"/>
          <w:highlight w:val="none"/>
        </w:rPr>
        <w:t>注：</w:t>
      </w:r>
      <w:r>
        <w:rPr>
          <w:rFonts w:hint="eastAsia" w:ascii="仿宋" w:hAnsi="仿宋" w:eastAsia="仿宋" w:cs="仿宋"/>
          <w:color w:val="auto"/>
          <w:sz w:val="24"/>
          <w:szCs w:val="24"/>
          <w:highlight w:val="none"/>
        </w:rPr>
        <w:t>具备注册资格证书的人员，须在本单位注册登记执业。（需提供人员名单、基本信息资料、社保证明、注册证书或执业资格证书以及职称证书等证明材料）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8"/>
          <w:highlight w:val="none"/>
        </w:rPr>
        <w:tab/>
      </w:r>
      <w:r>
        <w:rPr>
          <w:rFonts w:hint="eastAsia" w:ascii="仿宋" w:hAnsi="仿宋" w:eastAsia="仿宋" w:cs="仿宋"/>
          <w:color w:val="auto"/>
          <w:sz w:val="24"/>
          <w:szCs w:val="28"/>
          <w:highlight w:val="none"/>
        </w:rPr>
        <w:tab/>
      </w:r>
      <w:r>
        <w:rPr>
          <w:rFonts w:hint="eastAsia" w:ascii="仿宋" w:hAnsi="仿宋" w:eastAsia="仿宋" w:cs="仿宋"/>
          <w:color w:val="auto"/>
          <w:sz w:val="24"/>
          <w:szCs w:val="28"/>
          <w:highlight w:val="none"/>
        </w:rPr>
        <w:tab/>
      </w:r>
    </w:p>
    <w:p>
      <w:pPr>
        <w:spacing w:line="360" w:lineRule="auto"/>
        <w:rPr>
          <w:rFonts w:hint="eastAsia" w:ascii="仿宋" w:hAnsi="仿宋" w:eastAsia="仿宋" w:cs="仿宋"/>
          <w:b/>
          <w:color w:val="auto"/>
          <w:sz w:val="24"/>
          <w:szCs w:val="28"/>
          <w:highlight w:val="none"/>
        </w:rPr>
      </w:pPr>
    </w:p>
    <w:p>
      <w:pPr>
        <w:pStyle w:val="26"/>
        <w:spacing w:line="360" w:lineRule="auto"/>
        <w:ind w:firstLine="560"/>
        <w:rPr>
          <w:rFonts w:hint="eastAsia" w:ascii="仿宋" w:hAnsi="仿宋" w:eastAsia="仿宋" w:cs="仿宋"/>
          <w:color w:val="auto"/>
          <w:highlight w:val="none"/>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bookmarkStart w:id="198" w:name="_Toc10320"/>
      <w:r>
        <w:rPr>
          <w:rFonts w:hint="eastAsia"/>
          <w:color w:val="auto"/>
        </w:rPr>
        <w:t>1</w:t>
      </w:r>
      <w:r>
        <w:rPr>
          <w:rFonts w:hint="eastAsia"/>
          <w:color w:val="auto"/>
          <w:lang w:val="en-US" w:eastAsia="zh-CN"/>
        </w:rPr>
        <w:t>4</w:t>
      </w:r>
      <w:r>
        <w:rPr>
          <w:rFonts w:hint="eastAsia"/>
          <w:color w:val="auto"/>
        </w:rPr>
        <w:t>.</w:t>
      </w:r>
      <w:r>
        <w:rPr>
          <w:rFonts w:hint="eastAsia"/>
          <w:color w:val="auto"/>
          <w:lang w:eastAsia="zh-CN"/>
        </w:rPr>
        <w:t>供应商</w:t>
      </w:r>
      <w:r>
        <w:rPr>
          <w:rFonts w:hint="eastAsia"/>
          <w:color w:val="auto"/>
        </w:rPr>
        <w:t>自行编写的服务文件</w:t>
      </w:r>
      <w:bookmarkEnd w:id="198"/>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①后续服务:</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&lt;1&gt;后续服务的程序、内容、措施以及合理化建议；</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&lt;2&gt;响应时间和技术支持情况；</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&lt;3&gt;培训方案及内容；</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②后续服务网点明细表（包括联系人、详细地址、电话、传真）及</w:t>
      </w:r>
      <w:r>
        <w:rPr>
          <w:rFonts w:hint="eastAsia" w:ascii="仿宋" w:hAnsi="仿宋" w:eastAsia="仿宋" w:cs="仿宋"/>
          <w:color w:val="auto"/>
          <w:sz w:val="24"/>
          <w:highlight w:val="none"/>
          <w:lang w:eastAsia="zh-CN"/>
        </w:rPr>
        <w:t>相关便捷式</w:t>
      </w:r>
      <w:r>
        <w:rPr>
          <w:rFonts w:hint="eastAsia" w:ascii="仿宋" w:hAnsi="仿宋" w:eastAsia="仿宋" w:cs="仿宋"/>
          <w:color w:val="auto"/>
          <w:sz w:val="24"/>
          <w:highlight w:val="none"/>
        </w:rPr>
        <w:t>服务情况一览表；</w:t>
      </w:r>
    </w:p>
    <w:p>
      <w:pPr>
        <w:pStyle w:val="10"/>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w:t xml:space="preserve">  </w:t>
      </w:r>
    </w:p>
    <w:p>
      <w:pPr>
        <w:pStyle w:val="4"/>
        <w:keepNext w:val="0"/>
        <w:keepLines/>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4"/>
        <w:keepNext w:val="0"/>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color w:val="auto"/>
        </w:rPr>
      </w:pPr>
    </w:p>
    <w:p>
      <w:pPr>
        <w:rPr>
          <w:rFonts w:hint="eastAsia"/>
        </w:rPr>
      </w:pPr>
    </w:p>
    <w:p>
      <w:pPr>
        <w:pStyle w:val="25"/>
        <w:rPr>
          <w:rFonts w:hint="eastAsia"/>
        </w:rPr>
      </w:pPr>
    </w:p>
    <w:p>
      <w:pPr>
        <w:pStyle w:val="26"/>
        <w:rPr>
          <w:rFonts w:hint="eastAsia"/>
        </w:rPr>
      </w:pPr>
    </w:p>
    <w:p>
      <w:pPr>
        <w:pStyle w:val="25"/>
        <w:rPr>
          <w:rFonts w:hint="eastAsia"/>
        </w:rPr>
      </w:pPr>
    </w:p>
    <w:p>
      <w:pPr>
        <w:pStyle w:val="26"/>
        <w:rPr>
          <w:rFonts w:hint="eastAsia"/>
        </w:rPr>
      </w:pPr>
    </w:p>
    <w:p>
      <w:pPr>
        <w:pStyle w:val="25"/>
        <w:rPr>
          <w:rFonts w:hint="eastAsia"/>
        </w:rPr>
      </w:pPr>
    </w:p>
    <w:p>
      <w:pPr>
        <w:pStyle w:val="26"/>
        <w:rPr>
          <w:rFonts w:hint="eastAsia"/>
        </w:rPr>
      </w:pPr>
    </w:p>
    <w:p>
      <w:pPr>
        <w:pStyle w:val="25"/>
        <w:rPr>
          <w:rFonts w:hint="eastAsia"/>
        </w:rPr>
      </w:pPr>
    </w:p>
    <w:p>
      <w:pPr>
        <w:pStyle w:val="26"/>
        <w:rPr>
          <w:rFonts w:hint="eastAsia"/>
        </w:rPr>
      </w:pPr>
    </w:p>
    <w:p>
      <w:pPr>
        <w:pStyle w:val="25"/>
        <w:rPr>
          <w:rFonts w:hint="eastAsia"/>
        </w:rPr>
      </w:pPr>
    </w:p>
    <w:p>
      <w:pPr>
        <w:pStyle w:val="26"/>
        <w:rPr>
          <w:rFonts w:hint="eastAsia"/>
        </w:rPr>
      </w:pPr>
    </w:p>
    <w:p>
      <w:pPr>
        <w:pStyle w:val="25"/>
        <w:rPr>
          <w:rFonts w:hint="eastAsia"/>
        </w:rPr>
      </w:pPr>
    </w:p>
    <w:p>
      <w:pPr>
        <w:pStyle w:val="26"/>
        <w:rPr>
          <w:rFonts w:hint="eastAsia"/>
        </w:rPr>
      </w:pPr>
    </w:p>
    <w:p>
      <w:pPr>
        <w:pStyle w:val="25"/>
        <w:rPr>
          <w:rFonts w:hint="eastAsia"/>
        </w:rPr>
      </w:pPr>
    </w:p>
    <w:p>
      <w:pPr>
        <w:pStyle w:val="26"/>
        <w:rPr>
          <w:rFonts w:hint="eastAsia"/>
        </w:rPr>
      </w:pPr>
    </w:p>
    <w:p>
      <w:pPr>
        <w:pStyle w:val="25"/>
        <w:rPr>
          <w:rFonts w:hint="eastAsia"/>
        </w:rPr>
      </w:pPr>
    </w:p>
    <w:p>
      <w:pPr>
        <w:pStyle w:val="26"/>
        <w:rPr>
          <w:rFonts w:hint="eastAsia"/>
        </w:rPr>
      </w:pPr>
    </w:p>
    <w:p>
      <w:pPr>
        <w:pStyle w:val="4"/>
        <w:keepNext w:val="0"/>
        <w:keepLines/>
        <w:pageBreakBefore w:val="0"/>
        <w:widowControl w:val="0"/>
        <w:kinsoku/>
        <w:wordWrap/>
        <w:overflowPunct/>
        <w:topLinePunct w:val="0"/>
        <w:autoSpaceDE/>
        <w:autoSpaceDN/>
        <w:bidi w:val="0"/>
        <w:adjustRightInd/>
        <w:snapToGrid/>
        <w:spacing w:line="360" w:lineRule="auto"/>
        <w:textAlignment w:val="auto"/>
        <w:rPr>
          <w:rFonts w:hint="eastAsia"/>
          <w:color w:val="auto"/>
        </w:rPr>
      </w:pPr>
      <w:bookmarkStart w:id="199" w:name="_Toc12451"/>
      <w:r>
        <w:rPr>
          <w:rFonts w:hint="eastAsia"/>
          <w:color w:val="auto"/>
        </w:rPr>
        <w:t>1</w:t>
      </w:r>
      <w:r>
        <w:rPr>
          <w:rFonts w:hint="eastAsia"/>
          <w:color w:val="auto"/>
          <w:lang w:val="en-US" w:eastAsia="zh-CN"/>
        </w:rPr>
        <w:t>5</w:t>
      </w:r>
      <w:r>
        <w:rPr>
          <w:rFonts w:hint="eastAsia"/>
          <w:color w:val="auto"/>
        </w:rPr>
        <w:t>.</w:t>
      </w:r>
      <w:r>
        <w:rPr>
          <w:rFonts w:hint="eastAsia"/>
          <w:color w:val="auto"/>
          <w:lang w:eastAsia="zh-CN"/>
        </w:rPr>
        <w:t>供应商</w:t>
      </w:r>
      <w:r>
        <w:rPr>
          <w:rFonts w:hint="eastAsia"/>
          <w:color w:val="auto"/>
        </w:rPr>
        <w:t>认为需要提供的其他文件和资料</w:t>
      </w:r>
      <w:bookmarkEnd w:id="199"/>
    </w:p>
    <w:p>
      <w:pPr>
        <w:pStyle w:val="3"/>
        <w:spacing w:line="360" w:lineRule="auto"/>
        <w:outlineLvl w:val="9"/>
        <w:rPr>
          <w:rFonts w:hint="eastAsia" w:ascii="仿宋" w:hAnsi="仿宋" w:eastAsia="仿宋" w:cs="仿宋"/>
          <w:color w:val="auto"/>
          <w:highlight w:val="none"/>
        </w:rPr>
      </w:pPr>
    </w:p>
    <w:sect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20"/>
        <w:tab w:val="right" w:pos="8640"/>
        <w:tab w:val="clear" w:pos="4153"/>
        <w:tab w:val="clear" w:pos="8306"/>
      </w:tabs>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kern w:val="1"/>
      </w:rPr>
    </w:pPr>
    <w:r>
      <w:rPr>
        <w:kern w:val="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b/>
        <w:bCs w:val="0"/>
        <w:kern w:val="1"/>
        <w:u w:val="none"/>
      </w:rPr>
      <w:t xml:space="preserve"> </w:t>
    </w:r>
    <w:r>
      <w:rPr>
        <w:kern w:val="1"/>
      </w:rPr>
      <w:t xml:space="preserve">                                                              </w:t>
    </w:r>
  </w:p>
  <w:p>
    <w:pP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p>
    <w:pPr>
      <w:rPr>
        <w:kern w:val="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54772AA"/>
    <w:multiLevelType w:val="singleLevel"/>
    <w:tmpl w:val="A54772AA"/>
    <w:lvl w:ilvl="0" w:tentative="0">
      <w:start w:val="1"/>
      <w:numFmt w:val="decimal"/>
      <w:suff w:val="nothing"/>
      <w:lvlText w:val="%1、"/>
      <w:lvlJc w:val="left"/>
    </w:lvl>
  </w:abstractNum>
  <w:abstractNum w:abstractNumId="2">
    <w:nsid w:val="131B0413"/>
    <w:multiLevelType w:val="singleLevel"/>
    <w:tmpl w:val="131B0413"/>
    <w:lvl w:ilvl="0" w:tentative="0">
      <w:start w:val="3"/>
      <w:numFmt w:val="chineseCounting"/>
      <w:suff w:val="space"/>
      <w:lvlText w:val="第%1章"/>
      <w:lvlJc w:val="left"/>
      <w:rPr>
        <w:rFonts w:hint="eastAsia"/>
      </w:rPr>
    </w:lvl>
  </w:abstractNum>
  <w:abstractNum w:abstractNumId="3">
    <w:nsid w:val="24E9233C"/>
    <w:multiLevelType w:val="singleLevel"/>
    <w:tmpl w:val="24E9233C"/>
    <w:lvl w:ilvl="0" w:tentative="0">
      <w:start w:val="1"/>
      <w:numFmt w:val="decimal"/>
      <w:suff w:val="nothing"/>
      <w:lvlText w:val="%1、"/>
      <w:lvlJc w:val="left"/>
    </w:lvl>
  </w:abstractNum>
  <w:abstractNum w:abstractNumId="4">
    <w:nsid w:val="641FA9ED"/>
    <w:multiLevelType w:val="singleLevel"/>
    <w:tmpl w:val="641FA9ED"/>
    <w:lvl w:ilvl="0" w:tentative="0">
      <w:start w:val="4"/>
      <w:numFmt w:val="chineseCounting"/>
      <w:suff w:val="nothing"/>
      <w:lvlText w:val="%1、"/>
      <w:lvlJc w:val="left"/>
      <w:rPr>
        <w:rFonts w:hint="eastAsia"/>
      </w:rPr>
    </w:lvl>
  </w:abstractNum>
  <w:abstractNum w:abstractNumId="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YzZmNTlmODlmZTcxYjczNTRmYjIwMTEyZTUxMmMifQ=="/>
  </w:docVars>
  <w:rsids>
    <w:rsidRoot w:val="533A3374"/>
    <w:rsid w:val="00124F3D"/>
    <w:rsid w:val="001B1EC5"/>
    <w:rsid w:val="00421B21"/>
    <w:rsid w:val="00484594"/>
    <w:rsid w:val="005728A8"/>
    <w:rsid w:val="006C3971"/>
    <w:rsid w:val="008C6DF1"/>
    <w:rsid w:val="00967BCA"/>
    <w:rsid w:val="00AA5CF9"/>
    <w:rsid w:val="00B9558D"/>
    <w:rsid w:val="00B97AED"/>
    <w:rsid w:val="00DD59FC"/>
    <w:rsid w:val="00E233BD"/>
    <w:rsid w:val="00F9793A"/>
    <w:rsid w:val="013B1C11"/>
    <w:rsid w:val="01D01DB8"/>
    <w:rsid w:val="023854ED"/>
    <w:rsid w:val="031A2974"/>
    <w:rsid w:val="03F434D0"/>
    <w:rsid w:val="050C5501"/>
    <w:rsid w:val="0580326D"/>
    <w:rsid w:val="065E20A8"/>
    <w:rsid w:val="07312F52"/>
    <w:rsid w:val="09CA6827"/>
    <w:rsid w:val="0DB461AA"/>
    <w:rsid w:val="0F016FE0"/>
    <w:rsid w:val="109E6C9D"/>
    <w:rsid w:val="119A6379"/>
    <w:rsid w:val="166322A5"/>
    <w:rsid w:val="1690716B"/>
    <w:rsid w:val="16DD54C7"/>
    <w:rsid w:val="175B432E"/>
    <w:rsid w:val="17712A16"/>
    <w:rsid w:val="179621B0"/>
    <w:rsid w:val="1A1D1D2E"/>
    <w:rsid w:val="1BF82D82"/>
    <w:rsid w:val="1BFE752C"/>
    <w:rsid w:val="1C1E4A30"/>
    <w:rsid w:val="1D77484D"/>
    <w:rsid w:val="22EF2C15"/>
    <w:rsid w:val="2316038C"/>
    <w:rsid w:val="234A5EC9"/>
    <w:rsid w:val="23B51EDC"/>
    <w:rsid w:val="255F47F5"/>
    <w:rsid w:val="2659224D"/>
    <w:rsid w:val="277A47F9"/>
    <w:rsid w:val="29751E9B"/>
    <w:rsid w:val="2ADC0829"/>
    <w:rsid w:val="2B0B3387"/>
    <w:rsid w:val="2B385120"/>
    <w:rsid w:val="2B66432B"/>
    <w:rsid w:val="2C464AB7"/>
    <w:rsid w:val="2D18713E"/>
    <w:rsid w:val="2D711A28"/>
    <w:rsid w:val="2DFA6B3A"/>
    <w:rsid w:val="2E732966"/>
    <w:rsid w:val="2F2D28C9"/>
    <w:rsid w:val="30077F63"/>
    <w:rsid w:val="30C63421"/>
    <w:rsid w:val="31701DBA"/>
    <w:rsid w:val="325823C7"/>
    <w:rsid w:val="32B17DD0"/>
    <w:rsid w:val="32E92893"/>
    <w:rsid w:val="33581A44"/>
    <w:rsid w:val="34E16FD5"/>
    <w:rsid w:val="35742332"/>
    <w:rsid w:val="37162159"/>
    <w:rsid w:val="387805F3"/>
    <w:rsid w:val="3B4A3736"/>
    <w:rsid w:val="3E6B3A3F"/>
    <w:rsid w:val="3F774737"/>
    <w:rsid w:val="3FFC7B78"/>
    <w:rsid w:val="416165F9"/>
    <w:rsid w:val="424E1A22"/>
    <w:rsid w:val="42A62FC5"/>
    <w:rsid w:val="42BD4343"/>
    <w:rsid w:val="43FD177C"/>
    <w:rsid w:val="4648236F"/>
    <w:rsid w:val="47087C64"/>
    <w:rsid w:val="47DE004F"/>
    <w:rsid w:val="48115850"/>
    <w:rsid w:val="49A6613E"/>
    <w:rsid w:val="49AE29D1"/>
    <w:rsid w:val="4B1F2E32"/>
    <w:rsid w:val="4BB8527C"/>
    <w:rsid w:val="4DDC6EDC"/>
    <w:rsid w:val="4FB45AFF"/>
    <w:rsid w:val="50BE38D4"/>
    <w:rsid w:val="533A3374"/>
    <w:rsid w:val="539F3CEC"/>
    <w:rsid w:val="543E4774"/>
    <w:rsid w:val="57A37F5C"/>
    <w:rsid w:val="581B5557"/>
    <w:rsid w:val="5AC706A9"/>
    <w:rsid w:val="5BFA410C"/>
    <w:rsid w:val="5CCB6D1C"/>
    <w:rsid w:val="5CFD1BAE"/>
    <w:rsid w:val="5DEC23C3"/>
    <w:rsid w:val="5E2F295A"/>
    <w:rsid w:val="5F260587"/>
    <w:rsid w:val="622F6D22"/>
    <w:rsid w:val="63ED24AC"/>
    <w:rsid w:val="646D3B32"/>
    <w:rsid w:val="650B613E"/>
    <w:rsid w:val="663D275F"/>
    <w:rsid w:val="68D40935"/>
    <w:rsid w:val="68D83051"/>
    <w:rsid w:val="6ADC2B0C"/>
    <w:rsid w:val="6BBC2F66"/>
    <w:rsid w:val="6C8451E8"/>
    <w:rsid w:val="6CF80D92"/>
    <w:rsid w:val="6DB81668"/>
    <w:rsid w:val="6FCF4A33"/>
    <w:rsid w:val="702F108A"/>
    <w:rsid w:val="704E3B2F"/>
    <w:rsid w:val="706343D8"/>
    <w:rsid w:val="73831A70"/>
    <w:rsid w:val="73D3144D"/>
    <w:rsid w:val="749F2F69"/>
    <w:rsid w:val="76852BB8"/>
    <w:rsid w:val="772B0AD4"/>
    <w:rsid w:val="783005B3"/>
    <w:rsid w:val="78F5087A"/>
    <w:rsid w:val="79946D25"/>
    <w:rsid w:val="7B8A1461"/>
    <w:rsid w:val="7BCA3407"/>
    <w:rsid w:val="7D4E2978"/>
    <w:rsid w:val="7E266DD3"/>
    <w:rsid w:val="7E3B33A4"/>
    <w:rsid w:val="7E460D3B"/>
    <w:rsid w:val="7ECF4F07"/>
    <w:rsid w:val="7F1A6D50"/>
    <w:rsid w:val="7FF2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Times New Roman" w:hAnsi="Times New Roman" w:eastAsia="仿宋"/>
      <w:b/>
      <w:bCs/>
      <w:kern w:val="44"/>
      <w:sz w:val="32"/>
      <w:szCs w:val="44"/>
    </w:rPr>
  </w:style>
  <w:style w:type="paragraph" w:styleId="4">
    <w:name w:val="heading 2"/>
    <w:basedOn w:val="1"/>
    <w:next w:val="1"/>
    <w:unhideWhenUsed/>
    <w:qFormat/>
    <w:uiPriority w:val="0"/>
    <w:pPr>
      <w:keepNext/>
      <w:keepLines/>
      <w:spacing w:before="260" w:after="260" w:line="413" w:lineRule="auto"/>
      <w:jc w:val="center"/>
      <w:outlineLvl w:val="1"/>
    </w:pPr>
    <w:rPr>
      <w:rFonts w:ascii="Arial" w:hAnsi="Arial" w:eastAsia="仿宋"/>
      <w:b/>
      <w:bCs/>
      <w:sz w:val="30"/>
      <w:szCs w:val="32"/>
    </w:rPr>
  </w:style>
  <w:style w:type="paragraph" w:styleId="2">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unhideWhenUsed/>
    <w:qFormat/>
    <w:uiPriority w:val="9"/>
    <w:pPr>
      <w:keepNext/>
      <w:spacing w:before="240" w:after="60"/>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260" w:hanging="420"/>
    </w:pPr>
    <w:rPr>
      <w:szCs w:val="20"/>
    </w:rPr>
  </w:style>
  <w:style w:type="paragraph" w:styleId="7">
    <w:name w:val="Normal Indent"/>
    <w:basedOn w:val="1"/>
    <w:next w:val="1"/>
    <w:qFormat/>
    <w:uiPriority w:val="0"/>
    <w:pPr>
      <w:adjustRightInd w:val="0"/>
      <w:spacing w:line="312" w:lineRule="atLeast"/>
      <w:ind w:firstLine="200"/>
      <w:textAlignment w:val="baseline"/>
    </w:pPr>
    <w:rPr>
      <w:kern w:val="0"/>
    </w:rPr>
  </w:style>
  <w:style w:type="paragraph" w:styleId="8">
    <w:name w:val="caption"/>
    <w:basedOn w:val="1"/>
    <w:next w:val="1"/>
    <w:qFormat/>
    <w:uiPriority w:val="0"/>
    <w:rPr>
      <w:rFonts w:ascii="Arial" w:hAnsi="Arial" w:eastAsia="黑体" w:cs="Arial"/>
      <w:kern w:val="1"/>
      <w:sz w:val="20"/>
      <w:szCs w:val="20"/>
    </w:rPr>
  </w:style>
  <w:style w:type="paragraph" w:styleId="9">
    <w:name w:val="Body Text 3"/>
    <w:basedOn w:val="1"/>
    <w:qFormat/>
    <w:uiPriority w:val="0"/>
    <w:pPr>
      <w:spacing w:after="120"/>
    </w:pPr>
    <w:rPr>
      <w:sz w:val="16"/>
      <w:szCs w:val="16"/>
    </w:rPr>
  </w:style>
  <w:style w:type="paragraph" w:styleId="10">
    <w:name w:val="Body Text"/>
    <w:basedOn w:val="1"/>
    <w:next w:val="11"/>
    <w:unhideWhenUsed/>
    <w:qFormat/>
    <w:uiPriority w:val="99"/>
    <w:rPr>
      <w:rFonts w:eastAsia="黑体"/>
      <w:sz w:val="36"/>
    </w:rPr>
  </w:style>
  <w:style w:type="paragraph" w:styleId="11">
    <w:name w:val="Body Text 2"/>
    <w:basedOn w:val="1"/>
    <w:unhideWhenUsed/>
    <w:qFormat/>
    <w:uiPriority w:val="0"/>
    <w:pPr>
      <w:spacing w:after="120" w:line="480" w:lineRule="auto"/>
    </w:pPr>
  </w:style>
  <w:style w:type="paragraph" w:styleId="12">
    <w:name w:val="Body Text Indent"/>
    <w:basedOn w:val="1"/>
    <w:next w:val="1"/>
    <w:qFormat/>
    <w:uiPriority w:val="0"/>
    <w:pPr>
      <w:spacing w:line="360" w:lineRule="auto"/>
      <w:ind w:firstLine="570"/>
    </w:pPr>
    <w:rPr>
      <w:rFonts w:ascii="宋体" w:hAnsi="宋体"/>
      <w:i/>
      <w:iCs/>
      <w:sz w:val="28"/>
      <w:szCs w:val="20"/>
    </w:rPr>
  </w:style>
  <w:style w:type="paragraph" w:styleId="13">
    <w:name w:val="List 2"/>
    <w:basedOn w:val="1"/>
    <w:qFormat/>
    <w:uiPriority w:val="0"/>
    <w:pPr>
      <w:ind w:left="840" w:hanging="420"/>
    </w:pPr>
    <w:rPr>
      <w:szCs w:val="20"/>
    </w:rPr>
  </w:style>
  <w:style w:type="paragraph" w:styleId="14">
    <w:name w:val="Plain Text"/>
    <w:basedOn w:val="1"/>
    <w:next w:val="15"/>
    <w:qFormat/>
    <w:uiPriority w:val="0"/>
    <w:rPr>
      <w:rFonts w:ascii="宋体" w:hAnsi="Courier New"/>
      <w:szCs w:val="21"/>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qFormat/>
    <w:uiPriority w:val="0"/>
    <w:rPr>
      <w:rFonts w:ascii="宋体"/>
      <w:szCs w:val="20"/>
    </w:rPr>
  </w:style>
  <w:style w:type="paragraph" w:styleId="17">
    <w:name w:val="Balloon Text"/>
    <w:basedOn w:val="1"/>
    <w:qFormat/>
    <w:uiPriority w:val="0"/>
    <w:rPr>
      <w:kern w:val="1"/>
      <w:sz w:val="18"/>
      <w:szCs w:val="18"/>
      <w:lang w:val="zh-CN"/>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line="440" w:lineRule="exact"/>
      <w:ind w:firstLine="480" w:firstLineChars="200"/>
    </w:pPr>
    <w:rPr>
      <w:sz w:val="24"/>
      <w:szCs w:val="20"/>
    </w:rPr>
  </w:style>
  <w:style w:type="paragraph" w:styleId="22">
    <w:name w:val="toc 2"/>
    <w:basedOn w:val="1"/>
    <w:next w:val="1"/>
    <w:qFormat/>
    <w:uiPriority w:val="0"/>
    <w:pPr>
      <w:ind w:left="420" w:leftChars="200"/>
    </w:pPr>
  </w:style>
  <w:style w:type="paragraph" w:styleId="23">
    <w:name w:val="Normal (Web)"/>
    <w:basedOn w:val="1"/>
    <w:next w:val="1"/>
    <w:qFormat/>
    <w:uiPriority w:val="0"/>
    <w:pPr>
      <w:widowControl/>
      <w:spacing w:before="100" w:beforeAutospacing="1" w:after="100" w:afterAutospacing="1"/>
      <w:jc w:val="left"/>
    </w:pPr>
    <w:rPr>
      <w:rFonts w:ascii="宋体" w:hAnsi="宋体" w:cs="宋体"/>
      <w:color w:val="000000"/>
      <w:kern w:val="0"/>
      <w:sz w:val="24"/>
    </w:rPr>
  </w:style>
  <w:style w:type="paragraph" w:styleId="24">
    <w:name w:val="Title"/>
    <w:basedOn w:val="1"/>
    <w:next w:val="1"/>
    <w:qFormat/>
    <w:uiPriority w:val="10"/>
    <w:pPr>
      <w:spacing w:before="240" w:after="60"/>
      <w:jc w:val="center"/>
      <w:outlineLvl w:val="0"/>
    </w:pPr>
    <w:rPr>
      <w:rFonts w:ascii="等线 Light" w:hAnsi="等线 Light" w:eastAsia="等线 Light"/>
      <w:b/>
      <w:bCs/>
      <w:sz w:val="32"/>
      <w:szCs w:val="32"/>
    </w:rPr>
  </w:style>
  <w:style w:type="paragraph" w:styleId="25">
    <w:name w:val="Body Text First Indent"/>
    <w:basedOn w:val="10"/>
    <w:next w:val="26"/>
    <w:qFormat/>
    <w:uiPriority w:val="0"/>
    <w:pPr>
      <w:widowControl/>
      <w:ind w:firstLine="420"/>
      <w:jc w:val="left"/>
    </w:pPr>
    <w:rPr>
      <w:kern w:val="0"/>
      <w:sz w:val="20"/>
    </w:rPr>
  </w:style>
  <w:style w:type="paragraph" w:styleId="26">
    <w:name w:val="Body Text First Indent 2"/>
    <w:basedOn w:val="12"/>
    <w:next w:val="25"/>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basedOn w:val="29"/>
    <w:qFormat/>
    <w:uiPriority w:val="0"/>
    <w:rPr>
      <w:color w:val="0000FF"/>
      <w:u w:val="single"/>
    </w:rPr>
  </w:style>
  <w:style w:type="paragraph" w:styleId="33">
    <w:name w:val="List Paragraph"/>
    <w:basedOn w:val="1"/>
    <w:qFormat/>
    <w:uiPriority w:val="34"/>
    <w:pPr>
      <w:ind w:firstLine="420" w:firstLineChars="200"/>
    </w:pPr>
  </w:style>
  <w:style w:type="paragraph" w:customStyle="1" w:styleId="34">
    <w:name w:val="2）二级标题 段前分页"/>
    <w:basedOn w:val="1"/>
    <w:qFormat/>
    <w:uiPriority w:val="0"/>
    <w:pPr>
      <w:pageBreakBefore/>
      <w:spacing w:before="156" w:beforeLines="50" w:after="156" w:afterLines="50"/>
      <w:jc w:val="center"/>
      <w:outlineLvl w:val="1"/>
    </w:pPr>
    <w:rPr>
      <w:rFonts w:eastAsia="仿宋_GB2312"/>
      <w:b/>
      <w:sz w:val="36"/>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8">
    <w:name w:val="3）三级标题 与下段同页"/>
    <w:basedOn w:val="1"/>
    <w:qFormat/>
    <w:uiPriority w:val="0"/>
    <w:pPr>
      <w:keepNext/>
      <w:spacing w:before="156" w:beforeLines="50" w:after="156" w:afterLines="50"/>
      <w:jc w:val="center"/>
      <w:outlineLvl w:val="2"/>
    </w:pPr>
    <w:rPr>
      <w:rFonts w:eastAsia="仿宋_GB2312"/>
      <w:b/>
      <w:sz w:val="32"/>
    </w:rPr>
  </w:style>
  <w:style w:type="paragraph" w:customStyle="1" w:styleId="39">
    <w:name w:val="5）标书正文 首行缩进2字符"/>
    <w:basedOn w:val="1"/>
    <w:qFormat/>
    <w:uiPriority w:val="0"/>
    <w:pPr>
      <w:spacing w:line="520" w:lineRule="exact"/>
      <w:ind w:firstLine="560" w:firstLineChars="200"/>
    </w:pPr>
    <w:rPr>
      <w:rFonts w:eastAsia="仿宋_GB2312"/>
      <w:sz w:val="28"/>
    </w:rPr>
  </w:style>
  <w:style w:type="paragraph" w:customStyle="1" w:styleId="40">
    <w:name w:val="正文1"/>
    <w:qFormat/>
    <w:uiPriority w:val="0"/>
    <w:rPr>
      <w:rFonts w:ascii="Times New Roman" w:hAnsi="Times New Roman" w:eastAsia="Times New Roman" w:cs="Times New Roman"/>
      <w:sz w:val="24"/>
      <w:szCs w:val="24"/>
      <w:lang w:val="en-US" w:eastAsia="zh-CN" w:bidi="ar-SA"/>
    </w:rPr>
  </w:style>
  <w:style w:type="paragraph" w:customStyle="1" w:styleId="41">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样式 标题 3 + (中文) 黑体 小四 非加粗 段前: 7.8 磅 段后: 0 磅 行距: 固定值 20 磅"/>
    <w:basedOn w:val="2"/>
    <w:qFormat/>
    <w:uiPriority w:val="0"/>
    <w:pPr>
      <w:spacing w:before="0" w:after="0" w:line="400" w:lineRule="exact"/>
    </w:pPr>
    <w:rPr>
      <w:rFonts w:eastAsia="黑体"/>
      <w:b w:val="0"/>
      <w:sz w:val="24"/>
      <w:szCs w:val="20"/>
    </w:rPr>
  </w:style>
  <w:style w:type="paragraph" w:customStyle="1" w:styleId="4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4）小标题 加黑 左对齐"/>
    <w:basedOn w:val="1"/>
    <w:next w:val="39"/>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46">
    <w:name w:val="偏离"/>
    <w:basedOn w:val="1"/>
    <w:unhideWhenUsed/>
    <w:qFormat/>
    <w:uiPriority w:val="1"/>
    <w:pPr>
      <w:widowControl/>
      <w:spacing w:line="360" w:lineRule="auto"/>
      <w:jc w:val="center"/>
    </w:p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 w:type="paragraph" w:customStyle="1" w:styleId="49">
    <w:name w:val="3"/>
    <w:basedOn w:val="2"/>
    <w:qFormat/>
    <w:uiPriority w:val="0"/>
    <w:pPr>
      <w:keepNext/>
      <w:keepLines/>
      <w:widowControl w:val="0"/>
      <w:pBdr>
        <w:bottom w:val="none" w:color="auto" w:sz="0" w:space="0"/>
      </w:pBdr>
      <w:spacing w:before="120" w:beforeLines="0" w:after="120" w:afterLines="0" w:line="360" w:lineRule="auto"/>
      <w:jc w:val="both"/>
    </w:pPr>
    <w:rPr>
      <w:rFonts w:ascii="Calibri" w:hAnsi="Calibri"/>
      <w:color w:val="000000"/>
      <w:kern w:val="2"/>
      <w:sz w:val="28"/>
      <w:szCs w:val="32"/>
      <w:lang w:val="de-DE"/>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1">
    <w:name w:val="NormalCharacter"/>
    <w:qFormat/>
    <w:uiPriority w:val="0"/>
  </w:style>
  <w:style w:type="paragraph" w:customStyle="1" w:styleId="5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23528</Words>
  <Characters>24602</Characters>
  <Lines>178</Lines>
  <Paragraphs>50</Paragraphs>
  <TotalTime>3</TotalTime>
  <ScaleCrop>false</ScaleCrop>
  <LinksUpToDate>false</LinksUpToDate>
  <CharactersWithSpaces>28535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2020-12-14T05:10:00Z</dcterms:created>
  <dc:creator>1209????</dc:creator>
  <cp:lastModifiedBy>听见你的背影</cp:lastModifiedBy>
  <cp:lastPrinted>2022-06-06T03:56:00Z</cp:lastPrinted>
  <dcterms:modified xsi:type="dcterms:W3CDTF">2023-05-17T05:50:13Z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2252F8B744DA49A0932EC92AEFC32CD6</vt:lpwstr>
  </property>
</Properties>
</file>