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5"/>
        <w:rPr>
          <w:rFonts w:hint="eastAsia" w:ascii="宋体" w:hAnsi="宋体" w:eastAsia="宋体" w:cs="宋体"/>
          <w:color w:val="auto"/>
          <w:highlight w:val="none"/>
        </w:rPr>
      </w:pPr>
      <w:bookmarkStart w:id="0" w:name="_Hlk83600134"/>
      <w:bookmarkEnd w:id="0"/>
      <w:r>
        <w:rPr>
          <w:rFonts w:ascii="宋体" w:hAnsi="宋体"/>
          <w:color w:val="auto"/>
          <w:sz w:val="72"/>
          <w:szCs w:val="72"/>
          <w:highlight w:val="none"/>
        </w:rPr>
        <w:drawing>
          <wp:anchor distT="0" distB="0" distL="0" distR="0" simplePos="0" relativeHeight="251659264" behindDoc="0" locked="0" layoutInCell="1" allowOverlap="1">
            <wp:simplePos x="0" y="0"/>
            <wp:positionH relativeFrom="column">
              <wp:posOffset>-94615</wp:posOffset>
            </wp:positionH>
            <wp:positionV relativeFrom="paragraph">
              <wp:posOffset>54610</wp:posOffset>
            </wp:positionV>
            <wp:extent cx="720090" cy="796925"/>
            <wp:effectExtent l="0" t="0" r="3810" b="3175"/>
            <wp:wrapSquare wrapText="bothSides"/>
            <wp:docPr id="1026" name="Picture 5" descr="logo"/>
            <wp:cNvGraphicFramePr/>
            <a:graphic xmlns:a="http://schemas.openxmlformats.org/drawingml/2006/main">
              <a:graphicData uri="http://schemas.openxmlformats.org/drawingml/2006/picture">
                <pic:pic xmlns:pic="http://schemas.openxmlformats.org/drawingml/2006/picture">
                  <pic:nvPicPr>
                    <pic:cNvPr id="1026" name="Picture 5" descr="logo"/>
                    <pic:cNvPicPr/>
                  </pic:nvPicPr>
                  <pic:blipFill>
                    <a:blip r:embed="rId7" cstate="print"/>
                    <a:srcRect/>
                    <a:stretch>
                      <a:fillRect/>
                    </a:stretch>
                  </pic:blipFill>
                  <pic:spPr>
                    <a:xfrm>
                      <a:off x="0" y="0"/>
                      <a:ext cx="720090" cy="796925"/>
                    </a:xfrm>
                    <a:prstGeom prst="rect">
                      <a:avLst/>
                    </a:prstGeom>
                    <a:ln>
                      <a:noFill/>
                    </a:ln>
                  </pic:spPr>
                </pic:pic>
              </a:graphicData>
            </a:graphic>
          </wp:anchor>
        </w:drawing>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
        <w:keepNext w:val="0"/>
        <w:keepLines w:val="0"/>
        <w:widowControl/>
        <w:suppressLineNumbers w:val="0"/>
        <w:spacing w:line="450" w:lineRule="atLeast"/>
        <w:ind w:left="0" w:firstLine="0"/>
        <w:jc w:val="both"/>
        <w:rPr>
          <w:rFonts w:ascii="宋体" w:hAnsi="宋体" w:cs="宋体"/>
          <w:b/>
          <w:bCs/>
          <w:color w:val="auto"/>
          <w:sz w:val="24"/>
          <w:szCs w:val="24"/>
          <w:highlight w:val="none"/>
        </w:rPr>
      </w:pPr>
      <w:r>
        <w:rPr>
          <w:rFonts w:ascii="黑体" w:hAnsi="宋体" w:eastAsia="黑体"/>
          <w:b/>
          <w:bCs/>
          <w:color w:val="auto"/>
          <w:sz w:val="52"/>
          <w:highlight w:val="none"/>
        </w:rPr>
        <w:drawing>
          <wp:anchor distT="0" distB="0" distL="0" distR="0" simplePos="0" relativeHeight="251659264" behindDoc="1" locked="0" layoutInCell="1" allowOverlap="1">
            <wp:simplePos x="0" y="0"/>
            <wp:positionH relativeFrom="margin">
              <wp:posOffset>311785</wp:posOffset>
            </wp:positionH>
            <wp:positionV relativeFrom="paragraph">
              <wp:posOffset>1120140</wp:posOffset>
            </wp:positionV>
            <wp:extent cx="4537710" cy="1930400"/>
            <wp:effectExtent l="255270" t="0" r="236220" b="887730"/>
            <wp:wrapNone/>
            <wp:docPr id="1027" name="图片 98" descr="C:\Users\Administrator\Desktop\登山.jpg"/>
            <wp:cNvGraphicFramePr/>
            <a:graphic xmlns:a="http://schemas.openxmlformats.org/drawingml/2006/main">
              <a:graphicData uri="http://schemas.openxmlformats.org/drawingml/2006/picture">
                <pic:pic xmlns:pic="http://schemas.openxmlformats.org/drawingml/2006/picture">
                  <pic:nvPicPr>
                    <pic:cNvPr id="1027" name="图片 98" descr="C:\Users\Administrator\Desktop\登山.jpg"/>
                    <pic:cNvPicPr/>
                  </pic:nvPicPr>
                  <pic:blipFill>
                    <a:blip r:embed="rId8" cstate="print"/>
                    <a:srcRect r="313" b="9343"/>
                    <a:stretch>
                      <a:fillRect/>
                    </a:stretch>
                  </pic:blipFill>
                  <pic:spPr>
                    <a:xfrm>
                      <a:off x="0" y="0"/>
                      <a:ext cx="4537710" cy="1930400"/>
                    </a:xfrm>
                    <a:prstGeom prst="rect">
                      <a:avLst/>
                    </a:prstGeom>
                    <a:ln>
                      <a:noFill/>
                    </a:ln>
                    <a:effectLst>
                      <a:reflection blurRad="6350" stA="50000" endA="300" endPos="55500" dist="101600" dir="5400000" sy="-100000" algn="bl" rotWithShape="0"/>
                    </a:effectLst>
                  </pic:spPr>
                </pic:pic>
              </a:graphicData>
            </a:graphic>
          </wp:anchor>
        </w:drawing>
      </w:r>
      <w:r>
        <w:rPr>
          <w:rFonts w:hint="eastAsia" w:ascii="宋体" w:hAnsi="宋体" w:eastAsia="宋体" w:cs="宋体"/>
          <w:b/>
          <w:bCs/>
          <w:color w:val="auto"/>
          <w:sz w:val="84"/>
          <w:szCs w:val="84"/>
          <w:highlight w:val="none"/>
        </w:rPr>
        <w:t>竞争性磋商文件</w:t>
      </w:r>
    </w:p>
    <w:p>
      <w:pPr>
        <w:spacing w:line="360" w:lineRule="exact"/>
        <w:jc w:val="left"/>
        <w:rPr>
          <w:rFonts w:ascii="宋体" w:hAnsi="宋体" w:cs="宋体"/>
          <w:b/>
          <w:bCs/>
          <w:color w:val="auto"/>
          <w:sz w:val="24"/>
          <w:szCs w:val="24"/>
          <w:highlight w:val="none"/>
        </w:rPr>
      </w:pPr>
    </w:p>
    <w:p>
      <w:pPr>
        <w:spacing w:line="360" w:lineRule="exact"/>
        <w:jc w:val="left"/>
        <w:rPr>
          <w:rFonts w:ascii="宋体" w:hAnsi="宋体" w:cs="宋体"/>
          <w:b/>
          <w:bCs/>
          <w:color w:val="auto"/>
          <w:sz w:val="24"/>
          <w:szCs w:val="24"/>
          <w:highlight w:val="none"/>
        </w:rPr>
      </w:pPr>
    </w:p>
    <w:p>
      <w:pPr>
        <w:spacing w:line="360" w:lineRule="exact"/>
        <w:jc w:val="left"/>
        <w:rPr>
          <w:rFonts w:ascii="宋体" w:hAnsi="宋体" w:cs="宋体"/>
          <w:b/>
          <w:bCs/>
          <w:color w:val="auto"/>
          <w:sz w:val="24"/>
          <w:szCs w:val="24"/>
          <w:highlight w:val="none"/>
        </w:rPr>
      </w:pPr>
    </w:p>
    <w:p>
      <w:pPr>
        <w:spacing w:line="360" w:lineRule="exact"/>
        <w:jc w:val="left"/>
        <w:rPr>
          <w:rFonts w:ascii="宋体" w:hAnsi="宋体" w:cs="宋体"/>
          <w:b/>
          <w:bCs/>
          <w:color w:val="auto"/>
          <w:sz w:val="24"/>
          <w:szCs w:val="24"/>
          <w:highlight w:val="none"/>
        </w:rPr>
      </w:pPr>
    </w:p>
    <w:p>
      <w:pPr>
        <w:spacing w:line="360" w:lineRule="exact"/>
        <w:jc w:val="left"/>
        <w:rPr>
          <w:rFonts w:ascii="宋体" w:hAnsi="宋体" w:cs="宋体"/>
          <w:b/>
          <w:bCs/>
          <w:color w:val="auto"/>
          <w:sz w:val="24"/>
          <w:szCs w:val="24"/>
          <w:highlight w:val="none"/>
        </w:rPr>
      </w:pPr>
    </w:p>
    <w:p>
      <w:pPr>
        <w:spacing w:line="360" w:lineRule="exact"/>
        <w:jc w:val="left"/>
        <w:rPr>
          <w:rFonts w:ascii="宋体" w:hAnsi="宋体" w:cs="宋体"/>
          <w:b/>
          <w:bCs/>
          <w:color w:val="auto"/>
          <w:sz w:val="24"/>
          <w:szCs w:val="24"/>
          <w:highlight w:val="none"/>
        </w:rPr>
      </w:pPr>
    </w:p>
    <w:p>
      <w:pPr>
        <w:spacing w:line="360" w:lineRule="exact"/>
        <w:jc w:val="left"/>
        <w:rPr>
          <w:rFonts w:ascii="宋体" w:hAnsi="宋体" w:cs="宋体"/>
          <w:b/>
          <w:bCs/>
          <w:color w:val="auto"/>
          <w:sz w:val="24"/>
          <w:szCs w:val="24"/>
          <w:highlight w:val="none"/>
        </w:rPr>
      </w:pPr>
    </w:p>
    <w:p>
      <w:pPr>
        <w:spacing w:line="360" w:lineRule="exact"/>
        <w:jc w:val="left"/>
        <w:rPr>
          <w:rFonts w:ascii="宋体" w:hAnsi="宋体" w:cs="宋体"/>
          <w:b/>
          <w:bCs/>
          <w:color w:val="auto"/>
          <w:sz w:val="24"/>
          <w:szCs w:val="24"/>
          <w:highlight w:val="none"/>
        </w:rPr>
      </w:pPr>
    </w:p>
    <w:p>
      <w:pPr>
        <w:spacing w:line="360" w:lineRule="exact"/>
        <w:jc w:val="left"/>
        <w:rPr>
          <w:rFonts w:ascii="宋体" w:hAnsi="宋体" w:cs="宋体"/>
          <w:b/>
          <w:bCs/>
          <w:color w:val="auto"/>
          <w:sz w:val="24"/>
          <w:szCs w:val="24"/>
          <w:highlight w:val="none"/>
        </w:rPr>
      </w:pPr>
    </w:p>
    <w:p>
      <w:pPr>
        <w:spacing w:line="360" w:lineRule="exact"/>
        <w:jc w:val="left"/>
        <w:rPr>
          <w:rFonts w:ascii="宋体" w:hAnsi="宋体" w:cs="宋体"/>
          <w:b/>
          <w:bCs/>
          <w:color w:val="auto"/>
          <w:sz w:val="24"/>
          <w:szCs w:val="24"/>
          <w:highlight w:val="none"/>
        </w:rPr>
      </w:pPr>
    </w:p>
    <w:p>
      <w:pPr>
        <w:spacing w:line="360" w:lineRule="exact"/>
        <w:jc w:val="left"/>
        <w:rPr>
          <w:rFonts w:ascii="宋体" w:hAnsi="宋体" w:cs="宋体"/>
          <w:b/>
          <w:bCs/>
          <w:color w:val="auto"/>
          <w:sz w:val="24"/>
          <w:szCs w:val="24"/>
          <w:highlight w:val="none"/>
        </w:rPr>
      </w:pPr>
    </w:p>
    <w:p>
      <w:pPr>
        <w:pStyle w:val="7"/>
        <w:rPr>
          <w:rFonts w:ascii="宋体" w:hAnsi="宋体" w:cs="宋体"/>
          <w:b/>
          <w:bCs/>
          <w:color w:val="auto"/>
          <w:szCs w:val="24"/>
          <w:highlight w:val="none"/>
        </w:rPr>
      </w:pPr>
    </w:p>
    <w:p>
      <w:pPr>
        <w:rPr>
          <w:rFonts w:ascii="宋体" w:hAnsi="宋体" w:cs="宋体"/>
          <w:b/>
          <w:bCs/>
          <w:color w:val="auto"/>
          <w:sz w:val="24"/>
          <w:szCs w:val="24"/>
          <w:highlight w:val="none"/>
        </w:rPr>
      </w:pPr>
    </w:p>
    <w:p>
      <w:pPr>
        <w:pStyle w:val="7"/>
        <w:rPr>
          <w:rFonts w:ascii="宋体" w:hAnsi="宋体" w:cs="宋体"/>
          <w:b/>
          <w:bCs/>
          <w:color w:val="auto"/>
          <w:szCs w:val="24"/>
          <w:highlight w:val="none"/>
        </w:rPr>
      </w:pPr>
    </w:p>
    <w:p>
      <w:pPr>
        <w:snapToGrid w:val="0"/>
        <w:spacing w:line="600" w:lineRule="exact"/>
        <w:ind w:right="-191" w:firstLine="643" w:firstLineChars="200"/>
        <w:rPr>
          <w:rFonts w:hint="eastAsia" w:ascii="宋体" w:hAnsi="宋体" w:eastAsia="宋体" w:cs="宋体"/>
          <w:b/>
          <w:color w:val="auto"/>
          <w:sz w:val="32"/>
          <w:szCs w:val="32"/>
          <w:highlight w:val="none"/>
        </w:rPr>
      </w:pPr>
    </w:p>
    <w:p>
      <w:pPr>
        <w:snapToGrid w:val="0"/>
        <w:spacing w:line="600" w:lineRule="exact"/>
        <w:ind w:left="2319" w:leftChars="347" w:right="-191" w:hanging="1590" w:hangingChars="495"/>
        <w:rPr>
          <w:rFonts w:hint="eastAsia" w:ascii="宋体" w:hAnsi="宋体" w:eastAsia="宋体" w:cs="宋体"/>
          <w:b/>
          <w:color w:val="auto"/>
          <w:sz w:val="32"/>
          <w:szCs w:val="32"/>
          <w:highlight w:val="none"/>
        </w:rPr>
      </w:pPr>
    </w:p>
    <w:p>
      <w:pPr>
        <w:snapToGrid w:val="0"/>
        <w:spacing w:line="600" w:lineRule="exact"/>
        <w:ind w:left="2319" w:leftChars="347" w:right="-191" w:hanging="1590" w:hangingChars="495"/>
        <w:rPr>
          <w:rFonts w:hint="default"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lang w:eastAsia="zh-CN"/>
        </w:rPr>
        <w:t>TC239H0D7</w:t>
      </w:r>
      <w:r>
        <w:rPr>
          <w:rFonts w:hint="default" w:ascii="宋体" w:hAnsi="宋体" w:eastAsia="宋体" w:cs="宋体"/>
          <w:b/>
          <w:color w:val="auto"/>
          <w:sz w:val="32"/>
          <w:szCs w:val="32"/>
          <w:highlight w:val="none"/>
          <w:lang w:eastAsia="zh-CN"/>
        </w:rPr>
        <w:t xml:space="preserve"> </w:t>
      </w:r>
    </w:p>
    <w:p>
      <w:pPr>
        <w:snapToGrid w:val="0"/>
        <w:spacing w:line="600" w:lineRule="exact"/>
        <w:ind w:left="2319" w:leftChars="347" w:right="-191" w:hanging="1590" w:hangingChars="495"/>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z w:val="32"/>
          <w:szCs w:val="32"/>
          <w:highlight w:val="none"/>
          <w:lang w:eastAsia="zh-CN"/>
        </w:rPr>
        <w:t>新疆文物新媒体传播作品评选推介项目</w:t>
      </w:r>
    </w:p>
    <w:p>
      <w:pPr>
        <w:snapToGrid w:val="0"/>
        <w:spacing w:line="600" w:lineRule="exact"/>
        <w:ind w:right="-191" w:firstLine="733"/>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采 购 人： </w:t>
      </w:r>
      <w:r>
        <w:rPr>
          <w:rFonts w:hint="eastAsia" w:ascii="宋体" w:hAnsi="宋体" w:eastAsia="宋体" w:cs="宋体"/>
          <w:b/>
          <w:color w:val="auto"/>
          <w:sz w:val="32"/>
          <w:szCs w:val="32"/>
          <w:highlight w:val="none"/>
          <w:lang w:val="en-US" w:eastAsia="zh-CN"/>
        </w:rPr>
        <w:t>新疆维吾尔自治区文博院</w:t>
      </w:r>
    </w:p>
    <w:p>
      <w:pPr>
        <w:pStyle w:val="22"/>
        <w:rPr>
          <w:rFonts w:hint="eastAsia" w:ascii="宋体" w:hAnsi="宋体" w:eastAsia="宋体" w:cs="宋体"/>
          <w:color w:val="auto"/>
          <w:highlight w:val="none"/>
        </w:rPr>
      </w:pPr>
    </w:p>
    <w:p>
      <w:pPr>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中招国际招标有限公司</w:t>
      </w:r>
    </w:p>
    <w:p>
      <w:pPr>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202</w:t>
      </w: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rPr>
        <w:t>月</w:t>
      </w:r>
    </w:p>
    <w:p>
      <w:pPr>
        <w:pStyle w:val="5"/>
        <w:rPr>
          <w:rFonts w:hint="eastAsia" w:ascii="宋体" w:hAnsi="宋体" w:eastAsia="宋体" w:cs="宋体"/>
          <w:b/>
          <w:color w:val="auto"/>
          <w:sz w:val="32"/>
          <w:szCs w:val="32"/>
          <w:highlight w:val="none"/>
        </w:rPr>
      </w:pPr>
    </w:p>
    <w:p>
      <w:pPr>
        <w:pStyle w:val="5"/>
        <w:rPr>
          <w:rFonts w:hint="eastAsia" w:ascii="宋体" w:hAnsi="宋体" w:eastAsia="宋体" w:cs="宋体"/>
          <w:b/>
          <w:color w:val="auto"/>
          <w:sz w:val="32"/>
          <w:szCs w:val="32"/>
          <w:highlight w:val="none"/>
        </w:rPr>
        <w:sectPr>
          <w:pgSz w:w="11906" w:h="16838"/>
          <w:pgMar w:top="1440" w:right="1106" w:bottom="1440" w:left="1800" w:header="851" w:footer="752" w:gutter="0"/>
          <w:pgNumType w:fmt="numberInDash" w:start="1"/>
          <w:cols w:space="720" w:num="1"/>
          <w:docGrid w:type="lines" w:linePitch="312" w:charSpace="0"/>
        </w:sectPr>
      </w:pPr>
    </w:p>
    <w:p>
      <w:pPr>
        <w:jc w:val="cente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pPr>
        <w:pStyle w:val="22"/>
        <w:rPr>
          <w:rFonts w:hint="eastAsia" w:ascii="宋体" w:hAnsi="宋体" w:eastAsia="宋体" w:cs="宋体"/>
          <w:color w:val="auto"/>
          <w:highlight w:val="none"/>
        </w:rPr>
      </w:pPr>
    </w:p>
    <w:p>
      <w:pPr>
        <w:pStyle w:val="11"/>
        <w:tabs>
          <w:tab w:val="right" w:leader="dot" w:pos="9000"/>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\z \u</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_Toc18505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_Toc18505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1"/>
        <w:tabs>
          <w:tab w:val="right" w:leader="dot" w:pos="9000"/>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_Toc5674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_Toc5674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2"/>
        <w:tabs>
          <w:tab w:val="right" w:leader="dot" w:pos="9000"/>
        </w:tabs>
        <w:spacing w:line="56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_Toc24799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6"/>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_Toc24799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1"/>
        <w:tabs>
          <w:tab w:val="right" w:leader="dot" w:pos="9000"/>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_Toc27504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合同条款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_Toc27504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2"/>
        <w:tabs>
          <w:tab w:val="right" w:leader="dot" w:pos="9000"/>
        </w:tabs>
        <w:spacing w:line="56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_Toc28125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评审办法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_Toc28125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2"/>
        <w:tabs>
          <w:tab w:val="right" w:leader="dot" w:pos="9000"/>
        </w:tabs>
        <w:spacing w:line="56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_Toc28603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6"/>
          <w:sz w:val="28"/>
          <w:szCs w:val="28"/>
          <w:highlight w:val="none"/>
        </w:rPr>
        <w:t>第六章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_Toc28603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1"/>
        <w:tabs>
          <w:tab w:val="right" w:leader="dot" w:pos="9000"/>
        </w:tabs>
        <w:spacing w:line="560" w:lineRule="exact"/>
        <w:ind w:left="420" w:leftChars="200"/>
        <w:rPr>
          <w:rFonts w:hint="eastAsia" w:ascii="宋体" w:hAnsi="宋体" w:eastAsia="宋体" w:cs="宋体"/>
          <w:color w:val="auto"/>
          <w:sz w:val="28"/>
          <w:szCs w:val="28"/>
          <w:highlight w:val="none"/>
        </w:rPr>
      </w:pPr>
    </w:p>
    <w:p>
      <w:pPr>
        <w:pStyle w:val="24"/>
        <w:tabs>
          <w:tab w:val="right" w:leader="dot" w:pos="9016"/>
        </w:tabs>
        <w:spacing w:line="560" w:lineRule="exact"/>
        <w:ind w:lef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pPr>
        <w:pStyle w:val="24"/>
        <w:tabs>
          <w:tab w:val="right" w:leader="dot" w:pos="9016"/>
        </w:tabs>
        <w:spacing w:line="600" w:lineRule="exact"/>
        <w:ind w:left="0"/>
        <w:rPr>
          <w:rFonts w:hint="eastAsia" w:ascii="宋体" w:hAnsi="宋体" w:eastAsia="宋体" w:cs="宋体"/>
          <w:color w:val="auto"/>
          <w:highlight w:val="none"/>
        </w:rPr>
        <w:sectPr>
          <w:headerReference r:id="rId3" w:type="default"/>
          <w:footerReference r:id="rId4" w:type="default"/>
          <w:pgSz w:w="11906" w:h="16838"/>
          <w:pgMar w:top="1440" w:right="1106" w:bottom="1440" w:left="1800" w:header="851" w:footer="752" w:gutter="0"/>
          <w:pgNumType w:fmt="numberInDash"/>
          <w:cols w:space="720" w:num="1"/>
          <w:docGrid w:type="lines" w:linePitch="312" w:charSpace="0"/>
        </w:sectPr>
      </w:pPr>
    </w:p>
    <w:p>
      <w:pPr>
        <w:rPr>
          <w:rFonts w:hint="eastAsia" w:ascii="宋体" w:hAnsi="宋体" w:eastAsia="宋体" w:cs="宋体"/>
          <w:color w:val="auto"/>
          <w:highlight w:val="none"/>
        </w:rPr>
      </w:pPr>
    </w:p>
    <w:p>
      <w:pPr>
        <w:widowControl/>
        <w:numPr>
          <w:ilvl w:val="0"/>
          <w:numId w:val="2"/>
        </w:numPr>
        <w:spacing w:line="480" w:lineRule="exact"/>
        <w:jc w:val="center"/>
        <w:outlineLvl w:val="0"/>
        <w:rPr>
          <w:rStyle w:val="25"/>
          <w:rFonts w:hint="eastAsia" w:ascii="宋体" w:hAnsi="宋体" w:eastAsia="宋体" w:cs="宋体"/>
          <w:color w:val="auto"/>
          <w:highlight w:val="none"/>
        </w:rPr>
      </w:pPr>
      <w:bookmarkStart w:id="1" w:name="_Toc18505"/>
      <w:r>
        <w:rPr>
          <w:rStyle w:val="25"/>
          <w:rFonts w:hint="eastAsia" w:ascii="宋体" w:hAnsi="宋体" w:eastAsia="宋体" w:cs="宋体"/>
          <w:color w:val="auto"/>
          <w:highlight w:val="none"/>
        </w:rPr>
        <w:t xml:space="preserve"> 竞争性磋商公告</w:t>
      </w:r>
      <w:bookmarkEnd w:id="1"/>
    </w:p>
    <w:p>
      <w:pPr>
        <w:pStyle w:val="3"/>
        <w:tabs>
          <w:tab w:val="left" w:pos="0"/>
          <w:tab w:val="left" w:pos="3165"/>
          <w:tab w:val="center" w:pos="4153"/>
        </w:tabs>
        <w:autoSpaceDE w:val="0"/>
        <w:autoSpaceDN w:val="0"/>
        <w:spacing w:before="0" w:after="0" w:line="360" w:lineRule="auto"/>
        <w:rPr>
          <w:rFonts w:ascii="仿宋" w:hAnsi="仿宋" w:eastAsia="仿宋"/>
          <w:bCs w:val="0"/>
          <w:color w:val="auto"/>
          <w:kern w:val="2"/>
          <w:sz w:val="28"/>
          <w:szCs w:val="28"/>
          <w:highlight w:val="none"/>
        </w:rPr>
      </w:pPr>
      <w:bookmarkStart w:id="2" w:name="_Toc1240731392"/>
      <w:bookmarkStart w:id="3" w:name="_Toc69378859"/>
      <w:r>
        <w:rPr>
          <w:rFonts w:hint="eastAsia" w:ascii="仿宋" w:hAnsi="仿宋" w:eastAsia="仿宋"/>
          <w:bCs w:val="0"/>
          <w:color w:val="auto"/>
          <w:kern w:val="2"/>
          <w:sz w:val="28"/>
          <w:szCs w:val="28"/>
          <w:highlight w:val="none"/>
        </w:rPr>
        <w:t>招标公告</w:t>
      </w:r>
      <w:bookmarkEnd w:id="2"/>
      <w:bookmarkEnd w:id="3"/>
    </w:p>
    <w:p>
      <w:pPr>
        <w:pBdr>
          <w:top w:val="single" w:color="auto" w:sz="4" w:space="1"/>
          <w:left w:val="single" w:color="auto" w:sz="4" w:space="4"/>
          <w:bottom w:val="single" w:color="auto" w:sz="4" w:space="1"/>
          <w:right w:val="single" w:color="auto" w:sz="4" w:space="4"/>
        </w:pBdr>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Times New Roman"/>
          <w:color w:val="auto"/>
          <w:sz w:val="28"/>
          <w:szCs w:val="28"/>
          <w:highlight w:val="none"/>
        </w:rPr>
      </w:pPr>
      <w:r>
        <w:rPr>
          <w:rFonts w:hint="eastAsia" w:ascii="仿宋" w:hAnsi="仿宋" w:eastAsia="仿宋"/>
          <w:color w:val="auto"/>
          <w:sz w:val="28"/>
          <w:szCs w:val="28"/>
          <w:highlight w:val="none"/>
          <w:u w:val="single"/>
          <w:lang w:eastAsia="zh-CN"/>
        </w:rPr>
        <w:t>新疆文物新媒体传播作品评选推介项目</w:t>
      </w:r>
      <w:r>
        <w:rPr>
          <w:rFonts w:hint="eastAsia" w:ascii="仿宋" w:hAnsi="仿宋" w:eastAsia="仿宋" w:cs="Times New Roman"/>
          <w:color w:val="auto"/>
          <w:sz w:val="28"/>
          <w:szCs w:val="28"/>
          <w:highlight w:val="none"/>
        </w:rPr>
        <w:t>的潜在供应商应在政采云平台https://www.zcygov.cn/线上获取获取采购文件，并于2023年</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rPr>
        <w:t>月</w:t>
      </w:r>
      <w:r>
        <w:rPr>
          <w:rFonts w:hint="eastAsia" w:ascii="仿宋" w:hAnsi="仿宋" w:eastAsia="仿宋" w:cs="Times New Roman"/>
          <w:color w:val="auto"/>
          <w:sz w:val="28"/>
          <w:szCs w:val="28"/>
          <w:highlight w:val="none"/>
          <w:lang w:val="en-US" w:eastAsia="zh-CN"/>
        </w:rPr>
        <w:t>28</w:t>
      </w:r>
      <w:r>
        <w:rPr>
          <w:rFonts w:hint="eastAsia" w:ascii="仿宋" w:hAnsi="仿宋" w:eastAsia="仿宋" w:cs="Times New Roman"/>
          <w:color w:val="auto"/>
          <w:sz w:val="28"/>
          <w:szCs w:val="28"/>
          <w:highlight w:val="none"/>
        </w:rPr>
        <w:t>日 1</w:t>
      </w: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rPr>
        <w:t>:00（北京时间）前提交响应文件。 </w:t>
      </w:r>
    </w:p>
    <w:p>
      <w:pPr>
        <w:pStyle w:val="4"/>
        <w:spacing w:line="360" w:lineRule="auto"/>
        <w:rPr>
          <w:rFonts w:ascii="黑体" w:hAnsi="黑体" w:cs="宋体"/>
          <w:b w:val="0"/>
          <w:color w:val="auto"/>
          <w:sz w:val="28"/>
          <w:szCs w:val="28"/>
          <w:highlight w:val="none"/>
        </w:rPr>
      </w:pPr>
      <w:bookmarkStart w:id="4" w:name="_Toc906292974"/>
      <w:bookmarkStart w:id="5" w:name="_Toc69378860"/>
      <w:r>
        <w:rPr>
          <w:rFonts w:hint="eastAsia" w:ascii="黑体" w:hAnsi="黑体" w:cs="宋体"/>
          <w:b w:val="0"/>
          <w:color w:val="auto"/>
          <w:sz w:val="28"/>
          <w:szCs w:val="28"/>
          <w:highlight w:val="none"/>
        </w:rPr>
        <w:t>项目基本情况</w:t>
      </w:r>
      <w:bookmarkEnd w:id="4"/>
      <w:bookmarkEnd w:id="5"/>
    </w:p>
    <w:p>
      <w:pPr>
        <w:ind w:firstLine="560" w:firstLineChars="200"/>
        <w:rPr>
          <w:rFonts w:hint="default" w:ascii="仿宋" w:hAnsi="仿宋" w:eastAsia="仿宋"/>
          <w:color w:val="auto"/>
          <w:sz w:val="28"/>
          <w:szCs w:val="28"/>
          <w:highlight w:val="none"/>
          <w:lang w:eastAsia="zh-CN"/>
        </w:rPr>
      </w:pPr>
      <w:r>
        <w:rPr>
          <w:rFonts w:hint="eastAsia" w:ascii="仿宋" w:hAnsi="仿宋" w:eastAsia="仿宋"/>
          <w:color w:val="auto"/>
          <w:sz w:val="28"/>
          <w:szCs w:val="28"/>
          <w:highlight w:val="none"/>
        </w:rPr>
        <w:t>项目编号：</w:t>
      </w:r>
      <w:r>
        <w:rPr>
          <w:rFonts w:hint="default" w:ascii="仿宋" w:hAnsi="仿宋" w:eastAsia="仿宋"/>
          <w:color w:val="auto"/>
          <w:sz w:val="28"/>
          <w:szCs w:val="28"/>
          <w:highlight w:val="none"/>
          <w:lang w:eastAsia="zh-CN"/>
        </w:rPr>
        <w:t xml:space="preserve"> </w:t>
      </w:r>
      <w:r>
        <w:rPr>
          <w:rFonts w:hint="eastAsia" w:ascii="仿宋" w:hAnsi="仿宋" w:eastAsia="仿宋"/>
          <w:color w:val="auto"/>
          <w:sz w:val="28"/>
          <w:szCs w:val="28"/>
          <w:highlight w:val="none"/>
          <w:lang w:eastAsia="zh-CN"/>
        </w:rPr>
        <w:t>TC239H0D7</w:t>
      </w:r>
    </w:p>
    <w:p>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新疆文物新媒体传播作品评选推介项目</w:t>
      </w:r>
    </w:p>
    <w:p>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eastAsia="zh-CN"/>
        </w:rPr>
        <w:t>380000.00</w:t>
      </w:r>
    </w:p>
    <w:p>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最高限价（如有）：</w:t>
      </w:r>
      <w:r>
        <w:rPr>
          <w:rFonts w:hint="eastAsia" w:ascii="仿宋" w:hAnsi="仿宋" w:eastAsia="仿宋"/>
          <w:color w:val="auto"/>
          <w:sz w:val="28"/>
          <w:szCs w:val="28"/>
          <w:highlight w:val="none"/>
          <w:lang w:eastAsia="zh-CN"/>
        </w:rPr>
        <w:t>380000.00</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采购需求：新疆文物新媒体传播作品评选推介项目</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详见采购需求</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自合同签订起8月底完成。</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i/>
          <w:color w:val="auto"/>
          <w:sz w:val="28"/>
          <w:szCs w:val="28"/>
          <w:highlight w:val="none"/>
        </w:rPr>
        <w:t>是</w:t>
      </w:r>
      <w:r>
        <w:rPr>
          <w:rFonts w:ascii="仿宋" w:hAnsi="仿宋" w:eastAsia="仿宋"/>
          <w:i/>
          <w:color w:val="auto"/>
          <w:sz w:val="28"/>
          <w:szCs w:val="28"/>
          <w:highlight w:val="none"/>
        </w:rPr>
        <w:t>/否</w:t>
      </w:r>
      <w:r>
        <w:rPr>
          <w:rFonts w:hint="eastAsia" w:ascii="仿宋" w:hAnsi="仿宋" w:eastAsia="仿宋"/>
          <w:color w:val="auto"/>
          <w:sz w:val="28"/>
          <w:szCs w:val="28"/>
          <w:highlight w:val="none"/>
        </w:rPr>
        <w:t>）接受联合体投标：否</w:t>
      </w:r>
    </w:p>
    <w:p>
      <w:pPr>
        <w:pStyle w:val="4"/>
        <w:numPr>
          <w:ilvl w:val="0"/>
          <w:numId w:val="0"/>
        </w:numPr>
        <w:spacing w:line="360" w:lineRule="auto"/>
        <w:ind w:left="240"/>
        <w:rPr>
          <w:rFonts w:ascii="黑体" w:hAnsi="黑体" w:cs="宋体"/>
          <w:b w:val="0"/>
          <w:color w:val="auto"/>
          <w:sz w:val="28"/>
          <w:szCs w:val="28"/>
          <w:highlight w:val="none"/>
        </w:rPr>
      </w:pPr>
      <w:bookmarkStart w:id="6" w:name="_Toc69378861"/>
      <w:bookmarkStart w:id="7" w:name="_Toc2111989494"/>
      <w:r>
        <w:rPr>
          <w:rFonts w:hint="eastAsia" w:ascii="黑体" w:hAnsi="黑体" w:cs="宋体"/>
          <w:b w:val="0"/>
          <w:color w:val="auto"/>
          <w:sz w:val="28"/>
          <w:szCs w:val="28"/>
          <w:highlight w:val="none"/>
        </w:rPr>
        <w:t>二、申请人的资格要求：</w:t>
      </w:r>
      <w:bookmarkEnd w:id="6"/>
      <w:bookmarkEnd w:id="7"/>
    </w:p>
    <w:p>
      <w:pPr>
        <w:keepNext w:val="0"/>
        <w:keepLines w:val="0"/>
        <w:pageBreakBefore w:val="0"/>
        <w:widowControl w:val="0"/>
        <w:kinsoku/>
        <w:wordWrap/>
        <w:overflowPunct/>
        <w:topLinePunct w:val="0"/>
        <w:autoSpaceDE/>
        <w:autoSpaceDN/>
        <w:bidi w:val="0"/>
        <w:adjustRightInd/>
        <w:snapToGrid w:val="0"/>
        <w:spacing w:line="324"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324"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2.落实政府采购政策需满足的资格要求：本项目专门面向中小企业采购。</w:t>
      </w:r>
    </w:p>
    <w:p>
      <w:pPr>
        <w:keepNext w:val="0"/>
        <w:keepLines w:val="0"/>
        <w:pageBreakBefore w:val="0"/>
        <w:widowControl w:val="0"/>
        <w:kinsoku/>
        <w:wordWrap/>
        <w:overflowPunct/>
        <w:topLinePunct w:val="0"/>
        <w:autoSpaceDE/>
        <w:autoSpaceDN/>
        <w:bidi w:val="0"/>
        <w:adjustRightInd/>
        <w:snapToGrid w:val="0"/>
        <w:spacing w:line="324"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（1）符合《中华人民共和国政府采购法》第二十二条相关规定且有承担本项目能力的投标人； </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（2）投标人未被列入“信用中国”网站(www.creditchina.gov.cn)“记录失信被执行人或重大税收违法案件当事人名单或政府采购严重违法失信行为”记录名单；未处于中国政府采购 网(www.ccgp.gov.cn)“政府采购严重违法失信行为信息记录”中（以采购代理机构于递交投标文件截止日当天在“信用中国”网站（www.creditchina.gov.cn） 及中国政府采购网(www.ccgp.gov.cn)查询结果为准，如相关失信记录已失效，投标人需提供相关证明资料）；</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（3）单位负责人为同一人或者存在直接控股、管理关系的不同投标人，不得参加同一合同项下的政府采购活动；</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（4）本项目不接受联合体投标；</w:t>
      </w:r>
      <w:bookmarkStart w:id="8" w:name="_Toc69378862"/>
      <w:bookmarkStart w:id="9" w:name="_Toc450224395"/>
    </w:p>
    <w:p>
      <w:pPr>
        <w:ind w:firstLine="562" w:firstLineChars="200"/>
        <w:rPr>
          <w:rFonts w:hint="eastAsia" w:ascii="仿宋" w:hAnsi="仿宋" w:eastAsia="仿宋" w:cs="宋体"/>
          <w:i/>
          <w:color w:val="auto"/>
          <w:sz w:val="28"/>
          <w:szCs w:val="28"/>
          <w:highlight w:val="none"/>
          <w:u w:val="single"/>
        </w:rPr>
      </w:pPr>
      <w:r>
        <w:rPr>
          <w:rFonts w:hint="eastAsia" w:ascii="黑体" w:hAnsi="黑体" w:cs="宋体"/>
          <w:b/>
          <w:color w:val="auto"/>
          <w:sz w:val="28"/>
          <w:szCs w:val="28"/>
          <w:highlight w:val="none"/>
        </w:rPr>
        <w:t>三、获取招标文件</w:t>
      </w:r>
      <w:bookmarkEnd w:id="8"/>
      <w:bookmarkEnd w:id="9"/>
    </w:p>
    <w:p>
      <w:pPr>
        <w:ind w:firstLine="560" w:firstLineChars="200"/>
        <w:rPr>
          <w:rFonts w:hint="eastAsia" w:ascii="仿宋" w:hAnsi="仿宋" w:eastAsia="仿宋" w:cs="仿宋"/>
          <w:color w:val="auto"/>
          <w:sz w:val="28"/>
          <w:szCs w:val="28"/>
          <w:highlight w:val="none"/>
        </w:rPr>
      </w:pPr>
      <w:bookmarkStart w:id="10" w:name="_Toc69378863"/>
      <w:bookmarkStart w:id="11" w:name="_Toc1336518384"/>
      <w:r>
        <w:rPr>
          <w:rFonts w:hint="eastAsia" w:ascii="仿宋" w:hAnsi="仿宋" w:eastAsia="仿宋" w:cs="仿宋"/>
          <w:color w:val="auto"/>
          <w:sz w:val="28"/>
          <w:szCs w:val="28"/>
          <w:highlight w:val="none"/>
        </w:rPr>
        <w:t>时间：2023年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日至2023年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日，每天上午10:00至12:00，下午12:00至19:00（北京时间，法定节假日除外）</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地点：政采云平台https://www.zcygov.cn/线上获取 </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方式：供应商登录政采云平台https://www.zcygov.cn/在线申请获取采购文件（进入“项目采购”应用，在获取采购文件菜单中选择项目，申请获取采购文件） </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售价（元）： 0 </w:t>
      </w:r>
    </w:p>
    <w:p>
      <w:pPr>
        <w:ind w:firstLine="562" w:firstLineChars="200"/>
        <w:rPr>
          <w:rFonts w:ascii="黑体" w:hAnsi="黑体" w:cs="宋体"/>
          <w:b/>
          <w:color w:val="auto"/>
          <w:sz w:val="28"/>
          <w:szCs w:val="28"/>
          <w:highlight w:val="none"/>
        </w:rPr>
      </w:pPr>
      <w:r>
        <w:rPr>
          <w:rFonts w:hint="eastAsia" w:ascii="黑体" w:hAnsi="黑体" w:cs="宋体"/>
          <w:b/>
          <w:color w:val="auto"/>
          <w:sz w:val="28"/>
          <w:szCs w:val="28"/>
          <w:highlight w:val="none"/>
        </w:rPr>
        <w:t>四、提交投标文件截止时间、开标时间和地点</w:t>
      </w:r>
      <w:bookmarkEnd w:id="10"/>
      <w:bookmarkEnd w:id="11"/>
    </w:p>
    <w:p>
      <w:pPr>
        <w:ind w:firstLine="560" w:firstLineChars="200"/>
        <w:rPr>
          <w:rFonts w:hint="eastAsia" w:ascii="仿宋" w:hAnsi="仿宋" w:eastAsia="仿宋" w:cs="宋体"/>
          <w:color w:val="auto"/>
          <w:kern w:val="0"/>
          <w:sz w:val="28"/>
          <w:szCs w:val="28"/>
          <w:highlight w:val="none"/>
        </w:rPr>
      </w:pPr>
      <w:bookmarkStart w:id="12" w:name="_Toc185532268"/>
      <w:bookmarkStart w:id="13" w:name="_Toc69378864"/>
      <w:r>
        <w:rPr>
          <w:rFonts w:hint="eastAsia" w:ascii="仿宋" w:hAnsi="仿宋" w:eastAsia="仿宋" w:cs="宋体"/>
          <w:color w:val="auto"/>
          <w:kern w:val="0"/>
          <w:sz w:val="28"/>
          <w:szCs w:val="28"/>
          <w:highlight w:val="none"/>
        </w:rPr>
        <w:t>截止时间：2023年5月28日 11:00（北京时间）</w:t>
      </w:r>
    </w:p>
    <w:p>
      <w:pPr>
        <w:ind w:firstLine="560" w:firstLineChars="200"/>
        <w:rPr>
          <w:rFonts w:hint="eastAsia" w:ascii="黑体" w:hAnsi="黑体" w:cs="宋体"/>
          <w:b/>
          <w:color w:val="auto"/>
          <w:sz w:val="28"/>
          <w:szCs w:val="28"/>
          <w:highlight w:val="none"/>
        </w:rPr>
      </w:pPr>
      <w:r>
        <w:rPr>
          <w:rFonts w:hint="eastAsia" w:ascii="仿宋" w:hAnsi="仿宋" w:eastAsia="仿宋" w:cs="宋体"/>
          <w:color w:val="auto"/>
          <w:kern w:val="0"/>
          <w:sz w:val="28"/>
          <w:szCs w:val="28"/>
          <w:highlight w:val="none"/>
        </w:rPr>
        <w:t>地点：请登录政采云平台线上投标</w:t>
      </w:r>
      <w:r>
        <w:rPr>
          <w:rFonts w:hint="eastAsia" w:ascii="黑体" w:hAnsi="黑体" w:cs="宋体"/>
          <w:b/>
          <w:color w:val="auto"/>
          <w:sz w:val="28"/>
          <w:szCs w:val="28"/>
          <w:highlight w:val="none"/>
        </w:rPr>
        <w:t xml:space="preserve"> </w:t>
      </w:r>
    </w:p>
    <w:p>
      <w:pPr>
        <w:ind w:firstLine="562" w:firstLineChars="200"/>
        <w:rPr>
          <w:rFonts w:ascii="黑体" w:hAnsi="黑体" w:cs="宋体"/>
          <w:b/>
          <w:color w:val="auto"/>
          <w:sz w:val="28"/>
          <w:szCs w:val="28"/>
          <w:highlight w:val="none"/>
        </w:rPr>
      </w:pPr>
      <w:r>
        <w:rPr>
          <w:rFonts w:hint="eastAsia" w:ascii="黑体" w:hAnsi="黑体" w:cs="宋体"/>
          <w:b/>
          <w:color w:val="auto"/>
          <w:sz w:val="28"/>
          <w:szCs w:val="28"/>
          <w:highlight w:val="none"/>
        </w:rPr>
        <w:t>五、公告期限</w:t>
      </w:r>
      <w:bookmarkEnd w:id="12"/>
      <w:bookmarkEnd w:id="13"/>
    </w:p>
    <w:p>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自本公告发布之日起5个工作日。</w:t>
      </w:r>
    </w:p>
    <w:p>
      <w:pPr>
        <w:pStyle w:val="4"/>
        <w:numPr>
          <w:ilvl w:val="0"/>
          <w:numId w:val="0"/>
        </w:numPr>
        <w:spacing w:line="360" w:lineRule="auto"/>
        <w:ind w:left="240"/>
        <w:rPr>
          <w:rFonts w:ascii="黑体" w:hAnsi="黑体" w:cs="宋体"/>
          <w:b w:val="0"/>
          <w:color w:val="auto"/>
          <w:sz w:val="28"/>
          <w:szCs w:val="28"/>
          <w:highlight w:val="none"/>
        </w:rPr>
      </w:pPr>
      <w:bookmarkStart w:id="14" w:name="_Toc94572832"/>
      <w:bookmarkStart w:id="15" w:name="_Toc69378865"/>
      <w:r>
        <w:rPr>
          <w:rFonts w:hint="eastAsia" w:ascii="黑体" w:hAnsi="黑体" w:cs="宋体"/>
          <w:b w:val="0"/>
          <w:color w:val="auto"/>
          <w:sz w:val="28"/>
          <w:szCs w:val="28"/>
          <w:highlight w:val="none"/>
        </w:rPr>
        <w:t>六、其他补充事宜</w:t>
      </w:r>
      <w:bookmarkEnd w:id="14"/>
      <w:bookmarkEnd w:id="15"/>
    </w:p>
    <w:p>
      <w:pPr>
        <w:pStyle w:val="26"/>
        <w:ind w:firstLine="772" w:firstLineChars="276"/>
        <w:rPr>
          <w:rFonts w:ascii="仿宋" w:hAnsi="仿宋" w:eastAsia="仿宋" w:cs="宋体"/>
          <w:color w:val="auto"/>
          <w:kern w:val="0"/>
          <w:sz w:val="28"/>
          <w:szCs w:val="28"/>
          <w:highlight w:val="none"/>
        </w:rPr>
      </w:pPr>
      <w:r>
        <w:rPr>
          <w:rFonts w:ascii="仿宋" w:hAnsi="仿宋" w:eastAsia="仿宋" w:cs="宋体"/>
          <w:color w:val="auto"/>
          <w:kern w:val="0"/>
          <w:sz w:val="28"/>
          <w:szCs w:val="28"/>
          <w:highlight w:val="none"/>
        </w:rPr>
        <w:t>/</w:t>
      </w:r>
    </w:p>
    <w:p>
      <w:pPr>
        <w:pStyle w:val="4"/>
        <w:numPr>
          <w:ilvl w:val="0"/>
          <w:numId w:val="0"/>
        </w:numPr>
        <w:spacing w:line="360" w:lineRule="auto"/>
        <w:ind w:left="240"/>
        <w:rPr>
          <w:rFonts w:ascii="黑体" w:hAnsi="黑体" w:cs="宋体"/>
          <w:b w:val="0"/>
          <w:color w:val="auto"/>
          <w:sz w:val="28"/>
          <w:szCs w:val="28"/>
          <w:highlight w:val="none"/>
        </w:rPr>
      </w:pPr>
      <w:bookmarkStart w:id="16" w:name="_Toc347688644"/>
      <w:bookmarkStart w:id="17" w:name="_Toc69378866"/>
      <w:r>
        <w:rPr>
          <w:rFonts w:hint="eastAsia" w:ascii="黑体" w:hAnsi="黑体" w:cs="宋体"/>
          <w:b w:val="0"/>
          <w:color w:val="auto"/>
          <w:sz w:val="28"/>
          <w:szCs w:val="28"/>
          <w:highlight w:val="none"/>
        </w:rPr>
        <w:t>七、对本次招标提出询问，请按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16"/>
      <w:bookmarkEnd w:id="17"/>
    </w:p>
    <w:p>
      <w:pPr>
        <w:widowControl/>
        <w:jc w:val="left"/>
        <w:rPr>
          <w:rFonts w:ascii="仿宋_GB2312" w:eastAsia="仿宋_GB2312"/>
          <w:color w:val="auto"/>
          <w:sz w:val="28"/>
          <w:szCs w:val="28"/>
          <w:highlight w:val="none"/>
        </w:rPr>
      </w:pPr>
      <w:r>
        <w:rPr>
          <w:rFonts w:hint="eastAsia" w:ascii="仿宋" w:hAnsi="仿宋" w:eastAsia="仿宋" w:cs="宋体"/>
          <w:color w:val="auto"/>
          <w:sz w:val="28"/>
          <w:szCs w:val="28"/>
          <w:highlight w:val="none"/>
        </w:rPr>
        <w:t>　　　1.采购人信息</w:t>
      </w:r>
    </w:p>
    <w:p>
      <w:pPr>
        <w:spacing w:line="360" w:lineRule="auto"/>
        <w:ind w:left="1129" w:leftChars="371" w:hanging="350" w:hangingChars="125"/>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eastAsia="zh-CN"/>
        </w:rPr>
        <w:t>新疆维吾尔自治区文博院</w:t>
      </w:r>
    </w:p>
    <w:p>
      <w:pPr>
        <w:spacing w:line="360" w:lineRule="auto"/>
        <w:ind w:left="1129" w:leftChars="371" w:hanging="350" w:hangingChars="125"/>
        <w:jc w:val="left"/>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地址：乌鲁木齐市沙依巴克区友好北路 167 号自治区文博院</w:t>
      </w:r>
    </w:p>
    <w:p>
      <w:pPr>
        <w:spacing w:line="360" w:lineRule="auto"/>
        <w:ind w:left="1129" w:leftChars="371" w:hanging="350" w:hangingChars="125"/>
        <w:jc w:val="left"/>
        <w:rPr>
          <w:rFonts w:hint="default" w:ascii="仿宋" w:hAnsi="仿宋" w:eastAsia="仿宋"/>
          <w:color w:val="auto"/>
          <w:sz w:val="28"/>
          <w:szCs w:val="28"/>
          <w:highlight w:val="none"/>
          <w:u w:val="single"/>
          <w:lang w:val="en-US" w:eastAsia="zh-CN"/>
        </w:rPr>
      </w:pPr>
      <w:r>
        <w:rPr>
          <w:rFonts w:hint="eastAsia" w:ascii="仿宋" w:hAnsi="仿宋" w:eastAsia="仿宋" w:cs="Times New Roman"/>
          <w:color w:val="auto"/>
          <w:sz w:val="28"/>
          <w:szCs w:val="28"/>
          <w:highlight w:val="none"/>
          <w:lang w:val="en-US" w:eastAsia="zh-CN"/>
        </w:rPr>
        <w:t>联系人：</w:t>
      </w:r>
      <w:r>
        <w:rPr>
          <w:rFonts w:hint="eastAsia" w:ascii="仿宋" w:hAnsi="仿宋" w:eastAsia="仿宋"/>
          <w:color w:val="auto"/>
          <w:sz w:val="28"/>
          <w:szCs w:val="28"/>
          <w:highlight w:val="none"/>
          <w:u w:val="single"/>
          <w:lang w:eastAsia="zh-CN"/>
        </w:rPr>
        <w:t>刘</w:t>
      </w:r>
      <w:r>
        <w:rPr>
          <w:rFonts w:hint="eastAsia" w:ascii="仿宋" w:hAnsi="仿宋" w:eastAsia="仿宋"/>
          <w:color w:val="auto"/>
          <w:sz w:val="28"/>
          <w:szCs w:val="28"/>
          <w:highlight w:val="none"/>
          <w:u w:val="single"/>
          <w:lang w:val="en-US" w:eastAsia="zh-CN"/>
        </w:rPr>
        <w:t>老师</w:t>
      </w:r>
    </w:p>
    <w:p>
      <w:pPr>
        <w:spacing w:line="360" w:lineRule="auto"/>
        <w:ind w:left="1129" w:leftChars="371" w:hanging="350" w:hangingChars="125"/>
        <w:jc w:val="left"/>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eastAsia="zh-CN"/>
        </w:rPr>
        <w:t>0991-</w:t>
      </w:r>
      <w:r>
        <w:rPr>
          <w:rFonts w:hint="eastAsia" w:ascii="仿宋" w:hAnsi="仿宋" w:eastAsia="仿宋"/>
          <w:color w:val="auto"/>
          <w:sz w:val="28"/>
          <w:szCs w:val="28"/>
          <w:highlight w:val="none"/>
          <w:u w:val="single"/>
          <w:lang w:val="en-US" w:eastAsia="zh-CN"/>
        </w:rPr>
        <w:t>5515930</w:t>
      </w:r>
    </w:p>
    <w:p>
      <w:pPr>
        <w:spacing w:line="360" w:lineRule="auto"/>
        <w:ind w:left="1129" w:leftChars="371" w:hanging="350" w:hangingChars="125"/>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2.采购代理机构信息（如有）</w:t>
      </w:r>
    </w:p>
    <w:p>
      <w:pPr>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rPr>
        <w:t>中招国际招标有限公司新疆分公司</w:t>
      </w:r>
    </w:p>
    <w:p>
      <w:pPr>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地</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址</w:t>
      </w:r>
      <w:r>
        <w:rPr>
          <w:rFonts w:ascii="仿宋" w:hAnsi="仿宋" w:eastAsia="仿宋"/>
          <w:color w:val="auto"/>
          <w:sz w:val="28"/>
          <w:szCs w:val="28"/>
          <w:highlight w:val="none"/>
        </w:rPr>
        <w:t xml:space="preserve">: </w:t>
      </w:r>
      <w:r>
        <w:rPr>
          <w:rFonts w:ascii="仿宋" w:hAnsi="仿宋" w:eastAsia="仿宋"/>
          <w:color w:val="auto"/>
          <w:sz w:val="28"/>
          <w:szCs w:val="28"/>
          <w:highlight w:val="none"/>
          <w:u w:val="single"/>
        </w:rPr>
        <w:t>新疆乌鲁木齐市水磨沟区南湖北路486号南湖明珠二期14栋商业写字综合楼8楼</w:t>
      </w:r>
    </w:p>
    <w:p>
      <w:pPr>
        <w:spacing w:line="360" w:lineRule="auto"/>
        <w:ind w:firstLine="840" w:firstLineChars="300"/>
        <w:rPr>
          <w:rFonts w:hint="eastAsia" w:ascii="仿宋" w:hAnsi="仿宋" w:eastAsia="仿宋" w:cs="宋体"/>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13699387229</w:t>
      </w:r>
      <w:r>
        <w:rPr>
          <w:rFonts w:hint="eastAsia" w:ascii="仿宋" w:hAnsi="仿宋" w:eastAsia="仿宋" w:cs="宋体"/>
          <w:color w:val="auto"/>
          <w:sz w:val="28"/>
          <w:szCs w:val="28"/>
          <w:highlight w:val="none"/>
        </w:rPr>
        <w:t>3</w:t>
      </w:r>
    </w:p>
    <w:p>
      <w:pPr>
        <w:pStyle w:val="8"/>
        <w:spacing w:line="360" w:lineRule="auto"/>
        <w:ind w:firstLine="840" w:firstLineChars="3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项目联系人：</w:t>
      </w:r>
      <w:r>
        <w:rPr>
          <w:rFonts w:hint="eastAsia" w:ascii="仿宋" w:hAnsi="仿宋" w:eastAsia="仿宋"/>
          <w:color w:val="auto"/>
          <w:sz w:val="28"/>
          <w:szCs w:val="28"/>
          <w:highlight w:val="none"/>
          <w:u w:val="single"/>
          <w:lang w:val="en-US" w:eastAsia="zh-CN"/>
        </w:rPr>
        <w:t>师翠婷、杨芳</w:t>
      </w:r>
    </w:p>
    <w:p>
      <w:pPr>
        <w:pStyle w:val="14"/>
        <w:numPr>
          <w:ilvl w:val="0"/>
          <w:numId w:val="3"/>
        </w:numPr>
        <w:jc w:val="center"/>
        <w:outlineLvl w:val="0"/>
        <w:rPr>
          <w:rStyle w:val="25"/>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8" w:name="_Toc37090958"/>
      <w:r>
        <w:rPr>
          <w:rStyle w:val="25"/>
          <w:rFonts w:hint="eastAsia" w:ascii="宋体" w:hAnsi="宋体" w:eastAsia="宋体" w:cs="宋体"/>
          <w:color w:val="auto"/>
          <w:highlight w:val="none"/>
        </w:rPr>
        <w:t xml:space="preserve"> </w:t>
      </w:r>
      <w:bookmarkEnd w:id="18"/>
      <w:bookmarkStart w:id="19" w:name="_Toc5674"/>
      <w:r>
        <w:rPr>
          <w:rStyle w:val="25"/>
          <w:rFonts w:hint="eastAsia" w:ascii="宋体" w:hAnsi="宋体" w:eastAsia="宋体" w:cs="宋体"/>
          <w:color w:val="auto"/>
          <w:highlight w:val="none"/>
        </w:rPr>
        <w:t>供应商须知</w:t>
      </w:r>
      <w:bookmarkEnd w:id="19"/>
    </w:p>
    <w:p>
      <w:pPr>
        <w:pStyle w:val="4"/>
        <w:spacing w:before="0" w:after="0" w:line="440" w:lineRule="exact"/>
        <w:jc w:val="center"/>
        <w:rPr>
          <w:rFonts w:hint="eastAsia" w:ascii="宋体" w:hAnsi="宋体" w:eastAsia="宋体" w:cs="宋体"/>
          <w:color w:val="auto"/>
          <w:sz w:val="30"/>
          <w:szCs w:val="30"/>
          <w:highlight w:val="none"/>
        </w:rPr>
      </w:pPr>
      <w:bookmarkStart w:id="20" w:name="_Toc22248"/>
      <w:bookmarkStart w:id="21" w:name="_Toc16991"/>
      <w:r>
        <w:rPr>
          <w:rFonts w:hint="eastAsia" w:ascii="宋体" w:hAnsi="宋体" w:eastAsia="宋体" w:cs="宋体"/>
          <w:color w:val="auto"/>
          <w:sz w:val="30"/>
          <w:szCs w:val="30"/>
          <w:highlight w:val="none"/>
        </w:rPr>
        <w:t>一、供应商须知前附表</w:t>
      </w:r>
      <w:bookmarkEnd w:id="20"/>
      <w:bookmarkEnd w:id="21"/>
    </w:p>
    <w:p>
      <w:pPr>
        <w:rPr>
          <w:rFonts w:hint="eastAsia" w:ascii="宋体" w:hAnsi="宋体" w:eastAsia="宋体" w:cs="宋体"/>
          <w:color w:val="auto"/>
          <w:highlight w:val="none"/>
        </w:rPr>
      </w:pPr>
    </w:p>
    <w:tbl>
      <w:tblPr>
        <w:tblStyle w:val="16"/>
        <w:tblW w:w="98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30"/>
        <w:gridCol w:w="7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12"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rPr>
                <w:rFonts w:hint="eastAsia" w:ascii="宋体" w:hAnsi="宋体" w:eastAsia="宋体" w:cs="宋体"/>
                <w:color w:val="auto"/>
                <w:kern w:val="0"/>
                <w:sz w:val="24"/>
                <w:szCs w:val="24"/>
                <w:highlight w:val="none"/>
              </w:rPr>
            </w:pPr>
            <w:bookmarkStart w:id="22" w:name="_Toc37090959"/>
            <w:bookmarkStart w:id="23" w:name="_Toc14359"/>
            <w:r>
              <w:rPr>
                <w:rFonts w:hint="eastAsia" w:ascii="宋体" w:hAnsi="宋体" w:eastAsia="宋体" w:cs="宋体"/>
                <w:color w:val="auto"/>
                <w:kern w:val="0"/>
                <w:sz w:val="24"/>
                <w:szCs w:val="24"/>
                <w:highlight w:val="none"/>
              </w:rPr>
              <w:t>项号</w:t>
            </w:r>
          </w:p>
        </w:tc>
        <w:tc>
          <w:tcPr>
            <w:tcW w:w="1930" w:type="dxa"/>
            <w:tcBorders>
              <w:top w:val="single" w:color="auto" w:sz="12"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  容</w:t>
            </w:r>
          </w:p>
        </w:tc>
        <w:tc>
          <w:tcPr>
            <w:tcW w:w="7243" w:type="dxa"/>
            <w:tcBorders>
              <w:top w:val="single" w:color="auto" w:sz="12"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restart"/>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１</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新疆文物新媒体传播作品评选推介项目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9" w:type="dxa"/>
            <w:vMerge w:val="continue"/>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项目编号</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TC239H0D7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财政性资金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资格审查方式</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w:t>
            </w:r>
          </w:p>
        </w:tc>
        <w:tc>
          <w:tcPr>
            <w:tcW w:w="7243" w:type="dxa"/>
            <w:tcBorders>
              <w:top w:val="single" w:color="auto" w:sz="4" w:space="0"/>
              <w:left w:val="single" w:color="auto" w:sz="4" w:space="0"/>
              <w:bottom w:val="single" w:color="auto" w:sz="4" w:space="0"/>
              <w:right w:val="single" w:color="auto" w:sz="12" w:space="0"/>
            </w:tcBorders>
            <w:vAlign w:val="center"/>
          </w:tcPr>
          <w:p>
            <w:pPr>
              <w:widowControl/>
              <w:shd w:val="clear" w:color="auto" w:fill="FFFFFF"/>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新疆文物新媒体传播作品评选推介项目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w:t>
            </w:r>
            <w:r>
              <w:rPr>
                <w:rFonts w:hint="eastAsia" w:ascii="宋体" w:hAnsi="宋体" w:eastAsia="宋体" w:cs="宋体"/>
                <w:color w:val="auto"/>
                <w:sz w:val="24"/>
                <w:szCs w:val="24"/>
                <w:highlight w:val="none"/>
              </w:rPr>
              <w:t>及最高限价</w:t>
            </w:r>
          </w:p>
        </w:tc>
        <w:tc>
          <w:tcPr>
            <w:tcW w:w="7243" w:type="dxa"/>
            <w:tcBorders>
              <w:top w:val="single" w:color="auto" w:sz="4" w:space="0"/>
              <w:left w:val="single" w:color="auto" w:sz="4" w:space="0"/>
              <w:bottom w:val="single" w:color="auto" w:sz="4" w:space="0"/>
              <w:right w:val="single" w:color="auto" w:sz="12" w:space="0"/>
            </w:tcBorders>
            <w:vAlign w:val="center"/>
          </w:tcPr>
          <w:p>
            <w:pPr>
              <w:widowControl/>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38</w:t>
            </w:r>
            <w:r>
              <w:rPr>
                <w:rFonts w:hint="eastAsia" w:ascii="宋体" w:hAnsi="宋体" w:eastAsia="宋体" w:cs="宋体"/>
                <w:color w:val="auto"/>
                <w:kern w:val="0"/>
                <w:sz w:val="24"/>
                <w:szCs w:val="24"/>
                <w:highlight w:val="none"/>
                <w:u w:val="single"/>
                <w:lang w:eastAsia="zh-CN"/>
              </w:rPr>
              <w:t>万元</w:t>
            </w:r>
            <w:r>
              <w:rPr>
                <w:rFonts w:hint="eastAsia" w:ascii="宋体" w:hAnsi="宋体" w:eastAsia="宋体" w:cs="宋体"/>
                <w:color w:val="auto"/>
                <w:sz w:val="24"/>
                <w:szCs w:val="24"/>
                <w:highlight w:val="none"/>
              </w:rPr>
              <w:t>，最高限价：</w:t>
            </w:r>
            <w:r>
              <w:rPr>
                <w:rFonts w:hint="eastAsia" w:ascii="宋体" w:hAnsi="宋体" w:eastAsia="宋体" w:cs="宋体"/>
                <w:color w:val="auto"/>
                <w:kern w:val="0"/>
                <w:sz w:val="24"/>
                <w:szCs w:val="24"/>
                <w:highlight w:val="none"/>
                <w:u w:val="single"/>
                <w:lang w:val="en-US" w:eastAsia="zh-CN"/>
              </w:rPr>
              <w:t>38</w:t>
            </w:r>
            <w:r>
              <w:rPr>
                <w:rFonts w:hint="eastAsia" w:ascii="宋体" w:hAnsi="宋体" w:eastAsia="宋体" w:cs="宋体"/>
                <w:color w:val="auto"/>
                <w:kern w:val="0"/>
                <w:sz w:val="24"/>
                <w:szCs w:val="24"/>
                <w:highlight w:val="none"/>
                <w:u w:val="single"/>
                <w:lang w:eastAsia="zh-CN"/>
              </w:rPr>
              <w:t>万元</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供应商磋商报价若超过本项目采购预算或最高限价的，将视为未实质性响应竞争性磋商文件要求。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质量标准</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1.满足《中华人民共和国政府采购法》第二十二条规定；</w:t>
            </w:r>
          </w:p>
          <w:p>
            <w:pPr>
              <w:shd w:val="clear" w:color="auto" w:fill="FFFFFF"/>
              <w:autoSpaceDE w:val="0"/>
              <w:autoSpaceDN w:val="0"/>
              <w:spacing w:line="360" w:lineRule="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2.落实政府采购政策需满足的资格要求：本项目专门面向中小企业采购。</w:t>
            </w:r>
          </w:p>
          <w:p>
            <w:pPr>
              <w:shd w:val="clear" w:color="auto" w:fill="FFFFFF"/>
              <w:autoSpaceDE w:val="0"/>
              <w:autoSpaceDN w:val="0"/>
              <w:spacing w:line="360" w:lineRule="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3.本项目的特定资格要求:</w:t>
            </w:r>
          </w:p>
          <w:p>
            <w:pPr>
              <w:shd w:val="clear" w:color="auto" w:fill="FFFFFF"/>
              <w:autoSpaceDE w:val="0"/>
              <w:autoSpaceDN w:val="0"/>
              <w:spacing w:line="360" w:lineRule="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（1）符合《中华人民共和国政府采购法》第二十二条相关规定且有承担本项目能力的投标人； </w:t>
            </w:r>
          </w:p>
          <w:p>
            <w:pPr>
              <w:shd w:val="clear" w:color="auto" w:fill="FFFFFF"/>
              <w:autoSpaceDE w:val="0"/>
              <w:autoSpaceDN w:val="0"/>
              <w:spacing w:line="360" w:lineRule="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（2）投标人未被列入“信用中国”网站(www.creditchina.gov.cn)“记录失信被执行人或重大税收违法案件当事人名单或政府采购严重违法失信行为”记录名单；未处于中国政府采购 网(www.ccgp.gov.cn)“政府采购严重违法失信行为信息记录”中（以采购代理机构于递交投标文件截止日当天在“信用中国”网站（www.creditchina.gov.cn） 及中国政府采购网(www.ccgp.gov.cn)查询结果为准，如相关失信记录已失效，投标人需提供相关证明资料）；</w:t>
            </w:r>
          </w:p>
          <w:p>
            <w:pPr>
              <w:shd w:val="clear" w:color="auto" w:fill="FFFFFF"/>
              <w:autoSpaceDE w:val="0"/>
              <w:autoSpaceDN w:val="0"/>
              <w:spacing w:line="360" w:lineRule="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（3）单位负责人为同一人或者存在直接控股、管理关系的不同投标人，不得参加同一合同项下的政府采购活动；</w:t>
            </w:r>
          </w:p>
          <w:p>
            <w:pPr>
              <w:shd w:val="clear" w:color="auto" w:fill="FFFFFF"/>
              <w:autoSpaceDE w:val="0"/>
              <w:autoSpaceDN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（4）本项目不接受联合体投标；</w:t>
            </w:r>
            <w:r>
              <w:rPr>
                <w:rFonts w:hint="eastAsia" w:ascii="宋体" w:hAnsi="宋体" w:eastAsia="宋体" w:cs="宋体"/>
                <w:b/>
                <w:color w:val="auto"/>
                <w:kern w:val="0"/>
                <w:sz w:val="24"/>
                <w:szCs w:val="24"/>
                <w:highlight w:val="none"/>
                <w:lang w:val="en-US" w:eastAsia="zh-CN"/>
              </w:rPr>
              <w:br w:type="textWrapping"/>
            </w:r>
            <w:r>
              <w:rPr>
                <w:rFonts w:hint="eastAsia" w:ascii="宋体" w:hAnsi="宋体" w:eastAsia="宋体" w:cs="宋体"/>
                <w:b/>
                <w:color w:val="auto"/>
                <w:kern w:val="0"/>
                <w:sz w:val="24"/>
                <w:szCs w:val="24"/>
                <w:highlight w:val="none"/>
                <w:lang w:val="en-US" w:eastAsia="zh-CN"/>
              </w:rPr>
              <w:t>注：企业负责人为同一人或者存在直接控股、管理关系的不同投标人，不得参加同一合同项下的政府采购活动。否则，皆取消投标资格；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响应文件份数</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（1）本项目采用远程不见面电子标的方式开标/磋商，供应商开标/磋商时无需提供纸质响应文件，须在响应文件递交截止时间前通过</w:t>
            </w:r>
            <w:r>
              <w:rPr>
                <w:rFonts w:hint="default" w:ascii="宋体" w:hAnsi="宋体" w:eastAsia="宋体" w:cs="宋体"/>
                <w:b/>
                <w:color w:val="auto"/>
                <w:kern w:val="0"/>
                <w:sz w:val="24"/>
                <w:szCs w:val="24"/>
                <w:highlight w:val="none"/>
                <w:lang w:eastAsia="zh-CN"/>
              </w:rPr>
              <w:t>新疆政府采购</w:t>
            </w:r>
            <w:r>
              <w:rPr>
                <w:rFonts w:hint="eastAsia" w:ascii="宋体" w:hAnsi="宋体" w:eastAsia="宋体" w:cs="宋体"/>
                <w:b/>
                <w:color w:val="auto"/>
                <w:kern w:val="0"/>
                <w:sz w:val="24"/>
                <w:szCs w:val="24"/>
                <w:highlight w:val="none"/>
                <w:lang w:eastAsia="zh-CN"/>
              </w:rPr>
              <w:t>网</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http://www.ccgp-xinjiang.gov.cn/</w:t>
            </w:r>
            <w:r>
              <w:rPr>
                <w:rFonts w:hint="eastAsia" w:ascii="宋体" w:hAnsi="宋体" w:eastAsia="宋体" w:cs="宋体"/>
                <w:b/>
                <w:color w:val="auto"/>
                <w:kern w:val="0"/>
                <w:sz w:val="24"/>
                <w:szCs w:val="24"/>
                <w:highlight w:val="none"/>
              </w:rPr>
              <w:t>）的”政采云登录入口”登录后，将加密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rPr>
              <w:t>响应文件</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为.jmbs后缀格式</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p>
            <w:pPr>
              <w:shd w:val="clear" w:color="auto" w:fill="FFFFFF"/>
              <w:autoSpaceDE w:val="0"/>
              <w:autoSpaceDN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w:t>
            </w:r>
            <w:r>
              <w:rPr>
                <w:rFonts w:hint="eastAsia" w:ascii="宋体" w:hAnsi="宋体" w:eastAsia="宋体" w:cs="宋体"/>
                <w:b/>
                <w:color w:val="auto"/>
                <w:kern w:val="0"/>
                <w:sz w:val="24"/>
                <w:szCs w:val="24"/>
                <w:highlight w:val="none"/>
                <w:lang w:val="zh-CN"/>
              </w:rPr>
              <w:t>成交</w:t>
            </w:r>
            <w:r>
              <w:rPr>
                <w:rFonts w:hint="eastAsia" w:ascii="宋体" w:hAnsi="宋体" w:eastAsia="宋体" w:cs="宋体"/>
                <w:b/>
                <w:color w:val="auto"/>
                <w:kern w:val="0"/>
                <w:sz w:val="24"/>
                <w:szCs w:val="24"/>
                <w:highlight w:val="none"/>
              </w:rPr>
              <w:t>的供应商</w:t>
            </w:r>
            <w:r>
              <w:rPr>
                <w:rFonts w:hint="eastAsia" w:ascii="宋体" w:hAnsi="宋体" w:eastAsia="宋体" w:cs="宋体"/>
                <w:b/>
                <w:color w:val="auto"/>
                <w:kern w:val="0"/>
                <w:sz w:val="24"/>
                <w:szCs w:val="24"/>
                <w:highlight w:val="none"/>
                <w:lang w:val="zh-CN"/>
              </w:rPr>
              <w:t>在领取成交通知书时须向</w:t>
            </w:r>
            <w:r>
              <w:rPr>
                <w:rFonts w:hint="eastAsia" w:ascii="宋体" w:hAnsi="宋体" w:eastAsia="宋体" w:cs="宋体"/>
                <w:b/>
                <w:color w:val="auto"/>
                <w:kern w:val="0"/>
                <w:sz w:val="24"/>
                <w:szCs w:val="24"/>
                <w:highlight w:val="none"/>
              </w:rPr>
              <w:t>采购</w:t>
            </w:r>
            <w:r>
              <w:rPr>
                <w:rFonts w:hint="eastAsia" w:ascii="宋体" w:hAnsi="宋体" w:eastAsia="宋体" w:cs="宋体"/>
                <w:b/>
                <w:color w:val="auto"/>
                <w:kern w:val="0"/>
                <w:sz w:val="24"/>
                <w:szCs w:val="24"/>
                <w:highlight w:val="none"/>
                <w:lang w:val="zh-CN"/>
              </w:rPr>
              <w:t>代理机构递交纸质响应文件三份（</w:t>
            </w:r>
            <w:r>
              <w:rPr>
                <w:rFonts w:hint="eastAsia" w:ascii="宋体" w:hAnsi="宋体" w:eastAsia="宋体" w:cs="宋体"/>
                <w:b/>
                <w:color w:val="auto"/>
                <w:kern w:val="0"/>
                <w:sz w:val="24"/>
                <w:szCs w:val="24"/>
                <w:highlight w:val="none"/>
                <w:lang w:val="en-US" w:eastAsia="zh-CN"/>
              </w:rPr>
              <w:t>一正两副</w:t>
            </w:r>
            <w:r>
              <w:rPr>
                <w:rFonts w:hint="eastAsia" w:ascii="宋体" w:hAnsi="宋体" w:eastAsia="宋体" w:cs="宋体"/>
                <w:b/>
                <w:color w:val="auto"/>
                <w:kern w:val="0"/>
                <w:sz w:val="24"/>
                <w:szCs w:val="24"/>
                <w:highlight w:val="none"/>
                <w:lang w:val="zh-CN"/>
              </w:rPr>
              <w:t>）。</w:t>
            </w:r>
            <w:bookmarkStart w:id="237" w:name="_GoBack"/>
            <w:bookmarkEnd w:id="2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响应文件递交截止时间</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年5月28日11:00时（北京时间）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磋商有效期限</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响应文件递交截止后</w:t>
            </w:r>
            <w:r>
              <w:rPr>
                <w:rFonts w:hint="eastAsia" w:ascii="宋体" w:hAnsi="宋体" w:eastAsia="宋体" w:cs="宋体"/>
                <w:color w:val="auto"/>
                <w:kern w:val="0"/>
                <w:sz w:val="24"/>
                <w:szCs w:val="24"/>
                <w:highlight w:val="none"/>
                <w:u w:val="single"/>
              </w:rPr>
              <w:t>90</w:t>
            </w:r>
            <w:r>
              <w:rPr>
                <w:rFonts w:hint="eastAsia" w:ascii="宋体" w:hAnsi="宋体" w:eastAsia="宋体" w:cs="宋体"/>
                <w:color w:val="auto"/>
                <w:kern w:val="0"/>
                <w:sz w:val="24"/>
                <w:szCs w:val="24"/>
                <w:highlight w:val="none"/>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响应文件递交地点</w:t>
            </w:r>
          </w:p>
        </w:tc>
        <w:tc>
          <w:tcPr>
            <w:tcW w:w="7243" w:type="dxa"/>
            <w:tcBorders>
              <w:top w:val="single" w:color="auto" w:sz="4" w:space="0"/>
              <w:left w:val="single" w:color="auto" w:sz="4" w:space="0"/>
              <w:bottom w:val="single" w:color="auto" w:sz="4" w:space="0"/>
              <w:right w:val="single" w:color="auto" w:sz="12" w:space="0"/>
            </w:tcBorders>
            <w:vAlign w:val="center"/>
          </w:tcPr>
          <w:p>
            <w:pPr>
              <w:widowControl/>
              <w:shd w:val="clear" w:color="auto" w:fill="FFFFFF"/>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线上递交，通过</w:t>
            </w:r>
            <w:r>
              <w:rPr>
                <w:rFonts w:hint="default" w:ascii="宋体" w:hAnsi="宋体" w:eastAsia="宋体" w:cs="宋体"/>
                <w:b/>
                <w:color w:val="auto"/>
                <w:kern w:val="0"/>
                <w:sz w:val="24"/>
                <w:szCs w:val="24"/>
                <w:highlight w:val="none"/>
                <w:lang w:eastAsia="zh-CN"/>
              </w:rPr>
              <w:t>新疆政府采购</w:t>
            </w:r>
            <w:r>
              <w:rPr>
                <w:rFonts w:hint="eastAsia" w:ascii="宋体" w:hAnsi="宋体" w:eastAsia="宋体" w:cs="宋体"/>
                <w:b/>
                <w:color w:val="auto"/>
                <w:kern w:val="0"/>
                <w:sz w:val="24"/>
                <w:szCs w:val="24"/>
                <w:highlight w:val="none"/>
                <w:lang w:eastAsia="zh-CN"/>
              </w:rPr>
              <w:t>网</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http://www.ccgp-xinjiang.gov.cn/</w:t>
            </w:r>
            <w:r>
              <w:rPr>
                <w:rFonts w:hint="eastAsia" w:ascii="宋体" w:hAnsi="宋体" w:eastAsia="宋体" w:cs="宋体"/>
                <w:b/>
                <w:color w:val="auto"/>
                <w:kern w:val="0"/>
                <w:sz w:val="24"/>
                <w:szCs w:val="24"/>
                <w:highlight w:val="none"/>
              </w:rPr>
              <w:t>）的”政采云登录入口”登录后，将加密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rPr>
              <w:t>响应文件上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磋商时间、磋商地点</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rPr>
              <w:t>磋商</w:t>
            </w:r>
            <w:r>
              <w:rPr>
                <w:rFonts w:hint="eastAsia" w:ascii="宋体" w:hAnsi="宋体" w:eastAsia="宋体" w:cs="宋体"/>
                <w:color w:val="auto"/>
                <w:kern w:val="0"/>
                <w:sz w:val="24"/>
                <w:szCs w:val="24"/>
                <w:highlight w:val="none"/>
                <w:lang w:val="en-US"/>
              </w:rPr>
              <w:t>时间</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rPr>
              <w:t>同</w:t>
            </w:r>
            <w:r>
              <w:rPr>
                <w:rFonts w:hint="eastAsia" w:ascii="宋体" w:hAnsi="宋体" w:eastAsia="宋体" w:cs="宋体"/>
                <w:color w:val="auto"/>
                <w:kern w:val="0"/>
                <w:sz w:val="24"/>
                <w:szCs w:val="24"/>
                <w:highlight w:val="none"/>
              </w:rPr>
              <w:t>响应文件递交截止时间</w:t>
            </w:r>
          </w:p>
          <w:p>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磋商地址：</w:t>
            </w:r>
            <w:r>
              <w:rPr>
                <w:rFonts w:hint="eastAsia" w:ascii="宋体" w:hAnsi="宋体" w:eastAsia="宋体" w:cs="宋体"/>
                <w:bCs/>
                <w:color w:val="auto"/>
                <w:kern w:val="0"/>
                <w:sz w:val="24"/>
                <w:szCs w:val="24"/>
                <w:highlight w:val="none"/>
              </w:rPr>
              <w:t>通过</w:t>
            </w:r>
            <w:r>
              <w:rPr>
                <w:rFonts w:hint="default" w:ascii="宋体" w:hAnsi="宋体" w:eastAsia="宋体" w:cs="宋体"/>
                <w:bCs/>
                <w:color w:val="auto"/>
                <w:kern w:val="0"/>
                <w:sz w:val="24"/>
                <w:szCs w:val="24"/>
                <w:highlight w:val="none"/>
                <w:lang w:eastAsia="zh-CN"/>
              </w:rPr>
              <w:t>新疆政府采购</w:t>
            </w:r>
            <w:r>
              <w:rPr>
                <w:rFonts w:hint="eastAsia" w:ascii="宋体" w:hAnsi="宋体" w:eastAsia="宋体" w:cs="宋体"/>
                <w:bCs/>
                <w:color w:val="auto"/>
                <w:kern w:val="0"/>
                <w:sz w:val="24"/>
                <w:szCs w:val="24"/>
                <w:highlight w:val="none"/>
                <w:lang w:eastAsia="zh-CN"/>
              </w:rPr>
              <w:t>网</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eastAsia="zh-CN"/>
              </w:rPr>
              <w:t>http://www.ccgp-xinjiang.gov.cn/</w:t>
            </w:r>
            <w:r>
              <w:rPr>
                <w:rFonts w:hint="eastAsia" w:ascii="宋体" w:hAnsi="宋体" w:eastAsia="宋体" w:cs="宋体"/>
                <w:bCs/>
                <w:color w:val="auto"/>
                <w:kern w:val="0"/>
                <w:sz w:val="24"/>
                <w:szCs w:val="24"/>
                <w:highlight w:val="none"/>
              </w:rPr>
              <w:t>）的”政采云登录入口”登录后，进入“</w:t>
            </w:r>
            <w:r>
              <w:rPr>
                <w:rFonts w:hint="eastAsia" w:ascii="宋体" w:hAnsi="宋体" w:eastAsia="宋体" w:cs="宋体"/>
                <w:color w:val="auto"/>
                <w:kern w:val="0"/>
                <w:sz w:val="24"/>
                <w:szCs w:val="24"/>
                <w:highlight w:val="none"/>
              </w:rPr>
              <w:t>政采云远程开标大厅</w:t>
            </w:r>
            <w:r>
              <w:rPr>
                <w:rFonts w:hint="eastAsia" w:ascii="宋体" w:hAnsi="宋体" w:eastAsia="宋体" w:cs="宋体"/>
                <w:bCs/>
                <w:color w:val="auto"/>
                <w:kern w:val="0"/>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7243" w:type="dxa"/>
            <w:tcBorders>
              <w:top w:val="single" w:color="auto" w:sz="4" w:space="0"/>
              <w:left w:val="single" w:color="auto" w:sz="4" w:space="0"/>
              <w:bottom w:val="single" w:color="auto" w:sz="4" w:space="0"/>
              <w:right w:val="single" w:color="auto" w:sz="12" w:space="0"/>
            </w:tcBorders>
            <w:vAlign w:val="center"/>
          </w:tcPr>
          <w:p>
            <w:pPr>
              <w:pStyle w:val="22"/>
              <w:spacing w:line="360" w:lineRule="auto"/>
              <w:ind w:firstLine="0"/>
              <w:rPr>
                <w:rFonts w:hint="eastAsia" w:ascii="宋体" w:hAnsi="宋体" w:eastAsia="宋体" w:cs="宋体"/>
                <w:color w:val="auto"/>
                <w:highlight w:val="none"/>
              </w:rPr>
            </w:pPr>
            <w:r>
              <w:rPr>
                <w:rFonts w:hint="eastAsia" w:ascii="宋体" w:hAnsi="宋体" w:eastAsia="宋体" w:cs="宋体"/>
                <w:color w:val="auto"/>
                <w:spacing w:val="0"/>
                <w:sz w:val="24"/>
                <w:szCs w:val="24"/>
                <w:highlight w:val="none"/>
              </w:rPr>
              <w:t>本项目的评审方法为：综合评分法，即供应商在通过初步审查，且提供最后报价的供应商进行商务、技术评审，磋商小组根据综合得分由高到低进行排序，推荐前三名为成交候选单位。经采购人确认后确定排名第一的供应商为本项目的成交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磋商保证金</w:t>
            </w:r>
          </w:p>
        </w:tc>
        <w:tc>
          <w:tcPr>
            <w:tcW w:w="7243" w:type="dxa"/>
            <w:tcBorders>
              <w:top w:val="single" w:color="auto" w:sz="4" w:space="0"/>
              <w:left w:val="single" w:color="auto" w:sz="4" w:space="0"/>
              <w:bottom w:val="single" w:color="auto" w:sz="4" w:space="0"/>
              <w:right w:val="single" w:color="auto" w:sz="12" w:space="0"/>
            </w:tcBorders>
            <w:vAlign w:val="center"/>
          </w:tcPr>
          <w:p>
            <w:pPr>
              <w:pStyle w:val="27"/>
              <w:shd w:val="clear" w:color="auto" w:fill="FFFFFF"/>
              <w:spacing w:line="360" w:lineRule="auto"/>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磋商保证金金额：</w:t>
            </w:r>
            <w:r>
              <w:rPr>
                <w:rFonts w:hint="eastAsia" w:ascii="宋体" w:eastAsia="宋体" w:cs="宋体"/>
                <w:color w:val="auto"/>
                <w:sz w:val="24"/>
                <w:highlight w:val="none"/>
                <w:lang w:val="en-US" w:eastAsia="zh-CN"/>
              </w:rPr>
              <w:t>40</w:t>
            </w:r>
            <w:r>
              <w:rPr>
                <w:rFonts w:hint="eastAsia" w:ascii="宋体" w:eastAsia="宋体" w:cs="宋体"/>
                <w:color w:val="auto"/>
                <w:sz w:val="24"/>
                <w:highlight w:val="none"/>
              </w:rPr>
              <w:t>00.00元（</w:t>
            </w:r>
            <w:r>
              <w:rPr>
                <w:rFonts w:hint="eastAsia" w:ascii="宋体" w:eastAsia="宋体" w:cs="宋体"/>
                <w:color w:val="auto"/>
                <w:sz w:val="24"/>
                <w:highlight w:val="none"/>
                <w:lang w:val="en-US" w:eastAsia="zh-CN"/>
              </w:rPr>
              <w:t>肆仟</w:t>
            </w:r>
            <w:r>
              <w:rPr>
                <w:rFonts w:hint="eastAsia" w:ascii="宋体" w:eastAsia="宋体" w:cs="宋体"/>
                <w:color w:val="auto"/>
                <w:sz w:val="24"/>
                <w:highlight w:val="none"/>
              </w:rPr>
              <w:t>元整）</w:t>
            </w:r>
          </w:p>
          <w:p>
            <w:pPr>
              <w:pStyle w:val="27"/>
              <w:shd w:val="clear" w:color="auto" w:fill="FFFFFF"/>
              <w:spacing w:line="360" w:lineRule="auto"/>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供应商应于20</w:t>
            </w:r>
            <w:r>
              <w:rPr>
                <w:rFonts w:hint="eastAsia" w:ascii="宋体" w:eastAsia="宋体" w:cs="宋体"/>
                <w:color w:val="auto"/>
                <w:sz w:val="24"/>
                <w:highlight w:val="none"/>
                <w:lang w:val="en-US" w:eastAsia="zh-CN"/>
              </w:rPr>
              <w:t>23</w:t>
            </w:r>
            <w:r>
              <w:rPr>
                <w:rFonts w:hint="eastAsia" w:ascii="宋体" w:eastAsia="宋体" w:cs="宋体"/>
                <w:color w:val="auto"/>
                <w:sz w:val="24"/>
                <w:highlight w:val="none"/>
              </w:rPr>
              <w:t>年5月28日11:00时前，将磋商保证金缴纳至采购代理机构指定账户。磋商保证金应采用人民币，以非现金形式的电汇、网银、银行保函等形式由供应商的账户汇出(个体工商户除外)提交。</w:t>
            </w:r>
          </w:p>
          <w:p>
            <w:pPr>
              <w:pStyle w:val="27"/>
              <w:shd w:val="clear" w:color="auto" w:fill="FFFFFF"/>
              <w:spacing w:line="360" w:lineRule="auto"/>
              <w:ind w:left="216" w:leftChars="103" w:firstLine="0" w:firstLineChars="0"/>
              <w:rPr>
                <w:rFonts w:hint="eastAsia" w:ascii="宋体" w:eastAsia="宋体" w:cs="宋体"/>
                <w:color w:val="auto"/>
                <w:sz w:val="24"/>
                <w:highlight w:val="none"/>
              </w:rPr>
            </w:pPr>
            <w:r>
              <w:rPr>
                <w:rFonts w:hint="eastAsia" w:ascii="宋体" w:eastAsia="宋体" w:cs="宋体"/>
                <w:color w:val="auto"/>
                <w:sz w:val="24"/>
                <w:highlight w:val="none"/>
              </w:rPr>
              <w:t>账户名称：中招国际招标有限公司新疆分公司</w:t>
            </w:r>
            <w:r>
              <w:rPr>
                <w:rFonts w:hint="eastAsia" w:ascii="宋体" w:eastAsia="宋体" w:cs="宋体"/>
                <w:color w:val="auto"/>
                <w:sz w:val="24"/>
                <w:highlight w:val="none"/>
              </w:rPr>
              <w:br w:type="textWrapping"/>
            </w:r>
            <w:r>
              <w:rPr>
                <w:rFonts w:hint="eastAsia" w:ascii="宋体" w:eastAsia="宋体" w:cs="宋体"/>
                <w:color w:val="auto"/>
                <w:sz w:val="24"/>
                <w:highlight w:val="none"/>
              </w:rPr>
              <w:t>开户行名称：中国光大银行乌鲁木齐民主路支行</w:t>
            </w:r>
            <w:r>
              <w:rPr>
                <w:rFonts w:hint="eastAsia" w:ascii="宋体" w:eastAsia="宋体" w:cs="宋体"/>
                <w:color w:val="auto"/>
                <w:sz w:val="24"/>
                <w:highlight w:val="none"/>
              </w:rPr>
              <w:br w:type="textWrapping"/>
            </w:r>
            <w:r>
              <w:rPr>
                <w:rFonts w:hint="eastAsia" w:ascii="宋体" w:eastAsia="宋体" w:cs="宋体"/>
                <w:color w:val="auto"/>
                <w:sz w:val="24"/>
                <w:highlight w:val="none"/>
              </w:rPr>
              <w:t>账号：5084 0188 0000 0014 6</w:t>
            </w:r>
          </w:p>
          <w:p>
            <w:pPr>
              <w:pStyle w:val="27"/>
              <w:shd w:val="clear" w:color="auto" w:fill="FFFFFF"/>
              <w:spacing w:line="360" w:lineRule="auto"/>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注：1.如果发现供应商有围标、串标行为，其响应无效，且磋商保证金将被没收，不予退还；</w:t>
            </w:r>
          </w:p>
          <w:p>
            <w:pPr>
              <w:pStyle w:val="27"/>
              <w:shd w:val="clear" w:color="auto" w:fill="FFFFFF"/>
              <w:spacing w:line="360" w:lineRule="auto"/>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2.磋商保证金未按规定时间缴纳或提交金额不足的，将被视为无效响应,其响应文件将不予接受。供应商应充分考虑资金在途时间）；</w:t>
            </w:r>
          </w:p>
          <w:p>
            <w:pPr>
              <w:pStyle w:val="27"/>
              <w:shd w:val="clear" w:color="auto" w:fill="FFFFFF"/>
              <w:spacing w:line="360" w:lineRule="auto"/>
              <w:ind w:firstLine="0" w:firstLineChars="0"/>
              <w:rPr>
                <w:rFonts w:hint="eastAsia" w:ascii="宋体" w:eastAsia="宋体" w:cs="宋体"/>
                <w:b/>
                <w:bCs/>
                <w:color w:val="auto"/>
                <w:sz w:val="24"/>
                <w:highlight w:val="none"/>
              </w:rPr>
            </w:pPr>
            <w:r>
              <w:rPr>
                <w:rFonts w:hint="eastAsia" w:ascii="宋体" w:eastAsia="宋体" w:cs="宋体"/>
                <w:color w:val="auto"/>
                <w:sz w:val="24"/>
                <w:highlight w:val="none"/>
              </w:rPr>
              <w:t>3.</w:t>
            </w:r>
            <w:r>
              <w:rPr>
                <w:rFonts w:hint="eastAsia" w:ascii="宋体" w:eastAsia="宋体" w:cs="宋体"/>
                <w:b/>
                <w:bCs/>
                <w:color w:val="auto"/>
                <w:sz w:val="24"/>
                <w:highlight w:val="none"/>
              </w:rPr>
              <w:t>供应商递交保证金时请在汇款时注明“</w:t>
            </w:r>
            <w:r>
              <w:rPr>
                <w:rFonts w:hint="eastAsia" w:ascii="宋体" w:eastAsia="宋体" w:cs="宋体"/>
                <w:b/>
                <w:bCs/>
                <w:color w:val="auto"/>
                <w:sz w:val="24"/>
                <w:highlight w:val="none"/>
                <w:lang w:val="en-US" w:eastAsia="zh-CN"/>
              </w:rPr>
              <w:t>项目简称+编号</w:t>
            </w:r>
            <w:r>
              <w:rPr>
                <w:rFonts w:hint="eastAsia" w:ascii="宋体" w:eastAsia="宋体" w:cs="宋体"/>
                <w:b/>
                <w:bCs/>
                <w:color w:val="auto"/>
                <w:sz w:val="24"/>
                <w:highlight w:val="none"/>
              </w:rPr>
              <w:t>”，对因未注明项目简称及汇款事由而造成保证金不能及时到账的，后果由供应商自负。</w:t>
            </w:r>
          </w:p>
          <w:p>
            <w:pPr>
              <w:pStyle w:val="27"/>
              <w:shd w:val="clear" w:color="auto" w:fill="FFFFFF"/>
              <w:spacing w:line="360" w:lineRule="auto"/>
              <w:ind w:firstLine="0" w:firstLineChars="0"/>
              <w:rPr>
                <w:rFonts w:hint="eastAsia" w:ascii="宋体" w:eastAsia="宋体" w:cs="宋体"/>
                <w:b/>
                <w:bCs/>
                <w:color w:val="auto"/>
                <w:sz w:val="24"/>
                <w:highlight w:val="none"/>
              </w:rPr>
            </w:pPr>
            <w:r>
              <w:rPr>
                <w:rFonts w:hint="eastAsia" w:ascii="宋体" w:hAnsi="宋体" w:eastAsia="宋体"/>
                <w:bCs/>
                <w:color w:val="auto"/>
                <w:sz w:val="24"/>
                <w:szCs w:val="22"/>
                <w:highlight w:val="none"/>
                <w:lang w:eastAsia="zh-CN"/>
              </w:rPr>
              <w:t>（</w:t>
            </w:r>
            <w:r>
              <w:rPr>
                <w:rFonts w:hint="eastAsia" w:ascii="宋体" w:hAnsi="宋体" w:eastAsia="宋体"/>
                <w:bCs/>
                <w:color w:val="auto"/>
                <w:sz w:val="24"/>
                <w:szCs w:val="22"/>
                <w:highlight w:val="none"/>
                <w:lang w:val="en-US" w:eastAsia="zh-CN"/>
              </w:rPr>
              <w:t>4</w:t>
            </w:r>
            <w:r>
              <w:rPr>
                <w:rFonts w:hint="eastAsia" w:ascii="宋体" w:hAnsi="宋体" w:eastAsia="宋体"/>
                <w:bCs/>
                <w:color w:val="auto"/>
                <w:sz w:val="24"/>
                <w:szCs w:val="22"/>
                <w:highlight w:val="none"/>
                <w:lang w:eastAsia="zh-CN"/>
              </w:rPr>
              <w:t>）供应商自主选择政采云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930" w:type="dxa"/>
            <w:tcBorders>
              <w:top w:val="single" w:color="auto" w:sz="4" w:space="0"/>
              <w:left w:val="single" w:color="auto" w:sz="4" w:space="0"/>
              <w:bottom w:val="single" w:color="auto" w:sz="4" w:space="0"/>
              <w:right w:val="single" w:color="auto" w:sz="4" w:space="0"/>
            </w:tcBorders>
            <w:vAlign w:val="center"/>
          </w:tcPr>
          <w:p>
            <w:pPr>
              <w:pStyle w:val="27"/>
              <w:shd w:val="clear" w:color="auto" w:fill="FFFFFF"/>
              <w:spacing w:line="360" w:lineRule="auto"/>
              <w:ind w:firstLine="0" w:firstLineChars="0"/>
              <w:jc w:val="center"/>
              <w:rPr>
                <w:rFonts w:hint="eastAsia" w:ascii="宋体" w:eastAsia="宋体" w:cs="宋体"/>
                <w:color w:val="auto"/>
                <w:sz w:val="24"/>
                <w:highlight w:val="none"/>
              </w:rPr>
            </w:pPr>
            <w:r>
              <w:rPr>
                <w:rFonts w:hint="eastAsia" w:ascii="宋体" w:eastAsia="宋体" w:cs="宋体"/>
                <w:color w:val="auto"/>
                <w:sz w:val="24"/>
                <w:highlight w:val="none"/>
              </w:rPr>
              <w:t>对竞争性磋商文件的质疑</w:t>
            </w:r>
          </w:p>
        </w:tc>
        <w:tc>
          <w:tcPr>
            <w:tcW w:w="7243" w:type="dxa"/>
            <w:tcBorders>
              <w:top w:val="single" w:color="auto" w:sz="4" w:space="0"/>
              <w:left w:val="single" w:color="auto" w:sz="4" w:space="0"/>
              <w:bottom w:val="single" w:color="auto" w:sz="4" w:space="0"/>
              <w:right w:val="single" w:color="auto" w:sz="12" w:space="0"/>
            </w:tcBorders>
            <w:vAlign w:val="center"/>
          </w:tcPr>
          <w:p>
            <w:pPr>
              <w:pStyle w:val="27"/>
              <w:shd w:val="clear" w:color="auto" w:fill="FFFFFF"/>
              <w:spacing w:line="360" w:lineRule="auto"/>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供应商若对竞争性磋商文件内容质疑，须按以下要求提出：</w:t>
            </w:r>
          </w:p>
          <w:p>
            <w:pPr>
              <w:pStyle w:val="27"/>
              <w:shd w:val="clear" w:color="auto" w:fill="FFFFFF"/>
              <w:spacing w:line="360" w:lineRule="auto"/>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①质疑函应以书面形式（详见 供应商须知 第14.1款）通知采购代理机构。采购代理机构将在收到质疑函后7个工作日内作出答复，并以书面形式通知质疑供应商和其他有关供应商。</w:t>
            </w:r>
          </w:p>
          <w:p>
            <w:pPr>
              <w:pStyle w:val="27"/>
              <w:shd w:val="clear" w:color="auto" w:fill="FFFFFF"/>
              <w:spacing w:line="360" w:lineRule="auto"/>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②供应商应在法定质疑期内一次性提出所有质疑内容。</w:t>
            </w:r>
          </w:p>
          <w:p>
            <w:pPr>
              <w:pStyle w:val="27"/>
              <w:shd w:val="clear" w:color="auto" w:fill="FFFFFF"/>
              <w:spacing w:line="360" w:lineRule="auto"/>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③联系部门：中招国际招标有限公司</w:t>
            </w:r>
          </w:p>
          <w:p>
            <w:pPr>
              <w:pStyle w:val="27"/>
              <w:shd w:val="clear" w:color="auto" w:fill="FFFFFF"/>
              <w:spacing w:line="360" w:lineRule="auto"/>
              <w:ind w:firstLine="0" w:firstLineChars="0"/>
              <w:rPr>
                <w:rFonts w:ascii="宋体" w:eastAsia="宋体" w:cs="宋体"/>
                <w:color w:val="auto"/>
                <w:sz w:val="24"/>
                <w:highlight w:val="none"/>
              </w:rPr>
            </w:pPr>
            <w:r>
              <w:rPr>
                <w:rFonts w:hint="eastAsia" w:ascii="宋体" w:eastAsia="宋体" w:cs="宋体"/>
                <w:color w:val="auto"/>
                <w:sz w:val="24"/>
                <w:highlight w:val="none"/>
              </w:rPr>
              <w:t>④联系电话：师翠婷 13699387229</w:t>
            </w:r>
          </w:p>
          <w:p>
            <w:pPr>
              <w:pStyle w:val="27"/>
              <w:shd w:val="clear" w:color="auto" w:fill="FFFFFF"/>
              <w:spacing w:line="360" w:lineRule="auto"/>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⑤通讯地址：乌鲁木齐市水磨沟区南湖北路486号南湖明珠大厦南区8楼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243" w:type="dxa"/>
            <w:tcBorders>
              <w:top w:val="single" w:color="auto" w:sz="4" w:space="0"/>
              <w:left w:val="single" w:color="auto" w:sz="4" w:space="0"/>
              <w:bottom w:val="single" w:color="auto" w:sz="4" w:space="0"/>
              <w:right w:val="single" w:color="auto" w:sz="12" w:space="0"/>
            </w:tcBorders>
            <w:vAlign w:val="center"/>
          </w:tcPr>
          <w:p>
            <w:pPr>
              <w:pStyle w:val="27"/>
              <w:shd w:val="clear" w:color="auto" w:fill="FFFFFF"/>
              <w:spacing w:line="360" w:lineRule="auto"/>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restart"/>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服务期限</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自合同签订起8月底完成。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9" w:type="dxa"/>
            <w:vMerge w:val="continue"/>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服务地点</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Times New Roman"/>
                <w:color w:val="auto"/>
                <w:kern w:val="0"/>
                <w:sz w:val="24"/>
                <w:szCs w:val="22"/>
                <w:highlight w:val="none"/>
                <w:lang w:val="en-US" w:eastAsia="zh-CN" w:bidi="ar-SA"/>
              </w:rPr>
              <w:t>签订合同后，预付合同额的5</w:t>
            </w:r>
            <w:r>
              <w:rPr>
                <w:rFonts w:hint="default" w:ascii="宋体" w:hAnsi="宋体" w:eastAsia="宋体" w:cs="Times New Roman"/>
                <w:color w:val="auto"/>
                <w:kern w:val="0"/>
                <w:sz w:val="24"/>
                <w:szCs w:val="22"/>
                <w:highlight w:val="none"/>
                <w:lang w:eastAsia="zh-CN" w:bidi="ar-SA"/>
              </w:rPr>
              <w:t>0</w:t>
            </w:r>
            <w:r>
              <w:rPr>
                <w:rFonts w:hint="eastAsia" w:ascii="宋体" w:hAnsi="宋体" w:eastAsia="宋体" w:cs="Times New Roman"/>
                <w:color w:val="auto"/>
                <w:kern w:val="0"/>
                <w:sz w:val="24"/>
                <w:szCs w:val="22"/>
                <w:highlight w:val="none"/>
                <w:lang w:val="en-US" w:eastAsia="zh-CN" w:bidi="ar-SA"/>
              </w:rPr>
              <w:t>%，</w:t>
            </w:r>
            <w:r>
              <w:rPr>
                <w:rFonts w:hint="eastAsia" w:ascii="宋体" w:hAnsi="宋体" w:eastAsia="宋体" w:cs="Times New Roman"/>
                <w:color w:val="auto"/>
                <w:kern w:val="0"/>
                <w:sz w:val="24"/>
                <w:szCs w:val="22"/>
                <w:highlight w:val="none"/>
                <w:lang w:val="en-US" w:bidi="ar-SA"/>
              </w:rPr>
              <w:t>实施方案经由甲方确认且开始实施</w:t>
            </w:r>
            <w:r>
              <w:rPr>
                <w:rFonts w:hint="eastAsia" w:ascii="宋体" w:hAnsi="宋体" w:eastAsia="宋体" w:cs="Times New Roman"/>
                <w:color w:val="auto"/>
                <w:kern w:val="0"/>
                <w:sz w:val="24"/>
                <w:szCs w:val="22"/>
                <w:highlight w:val="none"/>
                <w:lang w:val="en-US" w:eastAsia="zh-CN" w:bidi="ar-SA"/>
              </w:rPr>
              <w:t>后支付合同总额的30%，</w:t>
            </w:r>
            <w:r>
              <w:rPr>
                <w:rFonts w:hint="eastAsia" w:ascii="宋体" w:hAnsi="宋体" w:eastAsia="宋体" w:cs="Times New Roman"/>
                <w:color w:val="auto"/>
                <w:kern w:val="0"/>
                <w:sz w:val="24"/>
                <w:szCs w:val="22"/>
                <w:highlight w:val="none"/>
                <w:lang w:val="en-US" w:bidi="ar-SA"/>
              </w:rPr>
              <w:t>项目实施完成且</w:t>
            </w:r>
            <w:r>
              <w:rPr>
                <w:rFonts w:hint="eastAsia" w:ascii="宋体" w:hAnsi="宋体" w:eastAsia="宋体" w:cs="Times New Roman"/>
                <w:color w:val="auto"/>
                <w:kern w:val="0"/>
                <w:sz w:val="24"/>
                <w:szCs w:val="22"/>
                <w:highlight w:val="none"/>
                <w:lang w:val="en-US" w:eastAsia="zh-CN" w:bidi="ar-SA"/>
              </w:rPr>
              <w:t>验收合格后支付合同额的20%，并提供全额的发票（税率6%）。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jc w:val="left"/>
              <w:rPr>
                <w:rFonts w:hint="eastAsia" w:ascii="宋体" w:hAnsi="宋体" w:eastAsia="宋体" w:cs="宋体"/>
                <w:color w:val="auto"/>
                <w:kern w:val="0"/>
                <w:sz w:val="24"/>
                <w:szCs w:val="24"/>
                <w:highlight w:val="none"/>
                <w:lang w:val="en-US"/>
              </w:rPr>
            </w:pPr>
            <w:r>
              <w:rPr>
                <w:rFonts w:hint="default"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930" w:type="dxa"/>
            <w:tcBorders>
              <w:top w:val="single" w:color="auto" w:sz="4" w:space="0"/>
              <w:left w:val="single" w:color="auto" w:sz="4"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政府采购政策</w:t>
            </w:r>
          </w:p>
        </w:tc>
        <w:tc>
          <w:tcPr>
            <w:tcW w:w="7243" w:type="dxa"/>
            <w:tcBorders>
              <w:top w:val="single" w:color="auto" w:sz="4" w:space="0"/>
              <w:left w:val="single" w:color="auto" w:sz="4" w:space="0"/>
              <w:bottom w:val="single" w:color="auto" w:sz="4" w:space="0"/>
              <w:right w:val="single" w:color="auto" w:sz="12" w:space="0"/>
            </w:tcBorders>
            <w:vAlign w:val="center"/>
          </w:tcPr>
          <w:p>
            <w:pPr>
              <w:shd w:val="clear" w:color="auto" w:fill="FFFFFF"/>
              <w:autoSpaceDE w:val="0"/>
              <w:autoSpaceDN w:val="0"/>
              <w:spacing w:line="360" w:lineRule="auto"/>
              <w:jc w:val="left"/>
              <w:rPr>
                <w:rFonts w:hint="default"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本项目专门面向中小企业采购</w:t>
            </w:r>
            <w:r>
              <w:rPr>
                <w:rFonts w:hint="eastAsia" w:ascii="宋体" w:hAnsi="宋体" w:eastAsia="宋体" w:cs="宋体"/>
                <w:color w:val="auto"/>
                <w:kern w:val="1"/>
                <w:sz w:val="24"/>
                <w:szCs w:val="24"/>
                <w:highlight w:val="none"/>
                <w:lang w:val="en-US" w:eastAsia="zh-CN"/>
              </w:rPr>
              <w:br w:type="textWrapping"/>
            </w:r>
            <w:r>
              <w:rPr>
                <w:rFonts w:hint="eastAsia" w:ascii="宋体" w:hAnsi="宋体" w:eastAsia="宋体" w:cs="宋体"/>
                <w:color w:val="auto"/>
                <w:kern w:val="1"/>
                <w:sz w:val="24"/>
                <w:szCs w:val="24"/>
                <w:highlight w:val="none"/>
                <w:lang w:val="en-US" w:eastAsia="zh-CN"/>
              </w:rPr>
              <w:t>本项目所属行业：其他未列明行业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930" w:type="dxa"/>
            <w:tcBorders>
              <w:top w:val="single" w:color="auto" w:sz="4" w:space="0"/>
              <w:left w:val="single" w:color="auto" w:sz="4" w:space="0"/>
              <w:bottom w:val="single" w:color="auto" w:sz="4" w:space="0"/>
              <w:right w:val="single" w:color="auto" w:sz="4" w:space="0"/>
            </w:tcBorders>
            <w:vAlign w:val="center"/>
          </w:tcPr>
          <w:p>
            <w:pPr>
              <w:pStyle w:val="28"/>
              <w:spacing w:line="360" w:lineRule="auto"/>
              <w:rPr>
                <w:rFonts w:hint="eastAsia" w:ascii="宋体" w:hAnsi="宋体"/>
                <w:color w:val="auto"/>
                <w:kern w:val="0"/>
                <w:sz w:val="24"/>
                <w:highlight w:val="none"/>
              </w:rPr>
            </w:pPr>
            <w:r>
              <w:rPr>
                <w:rFonts w:hint="eastAsia" w:ascii="宋体" w:hAnsi="宋体"/>
                <w:color w:val="auto"/>
                <w:kern w:val="0"/>
                <w:sz w:val="24"/>
                <w:highlight w:val="none"/>
              </w:rPr>
              <w:t>其他说明</w:t>
            </w:r>
          </w:p>
        </w:tc>
        <w:tc>
          <w:tcPr>
            <w:tcW w:w="7243" w:type="dxa"/>
            <w:tcBorders>
              <w:top w:val="single" w:color="auto" w:sz="4" w:space="0"/>
              <w:left w:val="single" w:color="auto" w:sz="4" w:space="0"/>
              <w:bottom w:val="single" w:color="auto" w:sz="4" w:space="0"/>
              <w:right w:val="single" w:color="auto" w:sz="12" w:space="0"/>
            </w:tcBorders>
            <w:vAlign w:val="center"/>
          </w:tcPr>
          <w:p>
            <w:pPr>
              <w:pStyle w:val="28"/>
              <w:spacing w:line="360" w:lineRule="auto"/>
              <w:jc w:val="left"/>
              <w:rPr>
                <w:rFonts w:hint="eastAsia" w:ascii="宋体" w:hAnsi="宋体"/>
                <w:color w:val="auto"/>
                <w:kern w:val="0"/>
                <w:sz w:val="24"/>
                <w:highlight w:val="none"/>
              </w:rPr>
            </w:pPr>
            <w:r>
              <w:rPr>
                <w:rFonts w:hint="eastAsia" w:ascii="宋体" w:hAnsi="宋体"/>
                <w:color w:val="auto"/>
                <w:kern w:val="0"/>
                <w:sz w:val="24"/>
                <w:highlight w:val="none"/>
              </w:rPr>
              <w:t>在本次采购项目中供应商所投内容若涉及商品包装和快递包装的须满足《财政部等三部门联合印发商品包装和快递包装政府采购需求标准》（试行）(财办库〔2020〕123号文)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9173" w:type="dxa"/>
            <w:gridSpan w:val="2"/>
            <w:tcBorders>
              <w:top w:val="single" w:color="auto" w:sz="4" w:space="0"/>
              <w:left w:val="single" w:color="auto" w:sz="4" w:space="0"/>
              <w:bottom w:val="single" w:color="auto" w:sz="4" w:space="0"/>
              <w:right w:val="single" w:color="auto" w:sz="12" w:space="0"/>
            </w:tcBorders>
            <w:vAlign w:val="center"/>
          </w:tcPr>
          <w:p>
            <w:pPr>
              <w:pStyle w:val="29"/>
              <w:spacing w:line="360" w:lineRule="auto"/>
              <w:jc w:val="both"/>
              <w:rPr>
                <w:rFonts w:hint="eastAsia" w:ascii="宋体" w:hAnsi="宋体" w:eastAsia="宋体" w:cs="宋体"/>
                <w:color w:val="auto"/>
                <w:kern w:val="2"/>
                <w:highlight w:val="none"/>
              </w:rPr>
            </w:pPr>
            <w:r>
              <w:rPr>
                <w:rFonts w:hint="eastAsia" w:ascii="宋体" w:hAnsi="宋体" w:eastAsia="宋体" w:cs="宋体"/>
                <w:color w:val="auto"/>
                <w:kern w:val="1"/>
                <w:highlight w:val="none"/>
              </w:rPr>
              <w:t>在评审过程直至签订合同前的任何时间，如经证实发现供应商提供虚假投标资料(包括技术支持资料)或信息骗取成交的，或者未按本竞争性磋商文件要求提交履约保证金的（如有要求），将取消其成交资格，没收其磋商保证金，并报主管部门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09" w:type="dxa"/>
            <w:tcBorders>
              <w:top w:val="single" w:color="auto" w:sz="4" w:space="0"/>
              <w:left w:val="single" w:color="auto" w:sz="12" w:space="0"/>
              <w:bottom w:val="single" w:color="auto" w:sz="4" w:space="0"/>
              <w:right w:val="single" w:color="auto" w:sz="4" w:space="0"/>
            </w:tcBorders>
            <w:vAlign w:val="center"/>
          </w:tcPr>
          <w:p>
            <w:pPr>
              <w:shd w:val="clear" w:color="auto" w:fill="FFFFFF"/>
              <w:autoSpaceDE w:val="0"/>
              <w:autoSpaceDN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9173" w:type="dxa"/>
            <w:gridSpan w:val="2"/>
            <w:tcBorders>
              <w:top w:val="single" w:color="auto" w:sz="4" w:space="0"/>
              <w:left w:val="single" w:color="auto" w:sz="4" w:space="0"/>
              <w:bottom w:val="single" w:color="auto" w:sz="4" w:space="0"/>
              <w:right w:val="single" w:color="auto" w:sz="12" w:space="0"/>
            </w:tcBorders>
            <w:vAlign w:val="center"/>
          </w:tcPr>
          <w:p>
            <w:pPr>
              <w:pStyle w:val="29"/>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注意事项：</w:t>
            </w:r>
          </w:p>
          <w:p>
            <w:pPr>
              <w:pStyle w:val="29"/>
              <w:numPr>
                <w:ilvl w:val="0"/>
                <w:numId w:val="4"/>
              </w:numPr>
              <w:spacing w:line="360" w:lineRule="auto"/>
              <w:jc w:val="both"/>
              <w:rPr>
                <w:rFonts w:hint="eastAsia" w:ascii="宋体" w:hAnsi="宋体" w:eastAsia="宋体" w:cs="宋体"/>
                <w:b/>
                <w:color w:val="auto"/>
                <w:kern w:val="1"/>
                <w:highlight w:val="none"/>
              </w:rPr>
            </w:pPr>
            <w:r>
              <w:rPr>
                <w:rFonts w:hint="eastAsia" w:ascii="宋体" w:hAnsi="宋体" w:eastAsia="宋体" w:cs="宋体"/>
                <w:b/>
                <w:color w:val="auto"/>
                <w:kern w:val="1"/>
                <w:highlight w:val="none"/>
              </w:rPr>
              <w:t>电子标书加盖</w:t>
            </w:r>
            <w:r>
              <w:rPr>
                <w:rFonts w:hint="eastAsia" w:ascii="宋体" w:hAnsi="宋体" w:eastAsia="宋体" w:cs="宋体"/>
                <w:b/>
                <w:color w:val="auto"/>
                <w:kern w:val="1"/>
                <w:highlight w:val="none"/>
                <w:lang w:val="en-US" w:eastAsia="zh-CN"/>
              </w:rPr>
              <w:t>印</w:t>
            </w:r>
            <w:r>
              <w:rPr>
                <w:rFonts w:hint="eastAsia" w:ascii="宋体" w:hAnsi="宋体" w:eastAsia="宋体" w:cs="宋体"/>
                <w:b/>
                <w:color w:val="auto"/>
                <w:kern w:val="1"/>
                <w:highlight w:val="none"/>
              </w:rPr>
              <w:t>章的两种方式:一种为电子章；另一种为纸质版盖章后扫描，两种方式的任意一种在评审时均予认可。</w:t>
            </w:r>
          </w:p>
          <w:p>
            <w:pPr>
              <w:pStyle w:val="29"/>
              <w:numPr>
                <w:ilvl w:val="0"/>
                <w:numId w:val="4"/>
              </w:numPr>
              <w:spacing w:line="360" w:lineRule="auto"/>
              <w:jc w:val="both"/>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rPr>
              <w:t>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新疆政务通”或新疆CA网点办理CA数字证书和电子签章；若单位已经办理过新疆CA证书且证书符合国产密码算法要求，可直接联系发证机构，申请增加“政采云”招投标电子签章，无需重新办理。</w:t>
            </w:r>
          </w:p>
          <w:p>
            <w:pPr>
              <w:pStyle w:val="29"/>
              <w:numPr>
                <w:ilvl w:val="0"/>
                <w:numId w:val="4"/>
              </w:numPr>
              <w:spacing w:line="360" w:lineRule="auto"/>
              <w:jc w:val="both"/>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rPr>
              <w:t>供应商操作指南详见</w:t>
            </w:r>
            <w:r>
              <w:rPr>
                <w:rFonts w:hint="default" w:ascii="宋体" w:hAnsi="宋体" w:eastAsia="宋体" w:cs="宋体"/>
                <w:b/>
                <w:bCs/>
                <w:color w:val="auto"/>
                <w:kern w:val="2"/>
                <w:highlight w:val="none"/>
                <w:lang w:eastAsia="zh-CN"/>
              </w:rPr>
              <w:t>新疆政府采购</w:t>
            </w:r>
            <w:r>
              <w:rPr>
                <w:rFonts w:hint="eastAsia" w:ascii="宋体" w:hAnsi="宋体" w:eastAsia="宋体" w:cs="宋体"/>
                <w:b/>
                <w:bCs/>
                <w:color w:val="auto"/>
                <w:kern w:val="2"/>
                <w:highlight w:val="none"/>
                <w:lang w:eastAsia="zh-CN"/>
              </w:rPr>
              <w:t>网</w:t>
            </w:r>
            <w:r>
              <w:rPr>
                <w:rFonts w:hint="eastAsia" w:ascii="宋体" w:hAnsi="宋体" w:eastAsia="宋体" w:cs="宋体"/>
                <w:b/>
                <w:bCs/>
                <w:color w:val="auto"/>
                <w:kern w:val="2"/>
                <w:highlight w:val="none"/>
              </w:rPr>
              <w:t>（</w:t>
            </w:r>
            <w:r>
              <w:rPr>
                <w:rFonts w:hint="eastAsia" w:ascii="宋体" w:hAnsi="宋体" w:eastAsia="宋体" w:cs="宋体"/>
                <w:b/>
                <w:bCs/>
                <w:color w:val="auto"/>
                <w:kern w:val="2"/>
                <w:highlight w:val="none"/>
                <w:lang w:eastAsia="zh-CN"/>
              </w:rPr>
              <w:t>http://www.ccgp-xinjiang.gov.cn/</w:t>
            </w:r>
            <w:r>
              <w:rPr>
                <w:rFonts w:hint="eastAsia" w:ascii="宋体" w:hAnsi="宋体" w:eastAsia="宋体" w:cs="宋体"/>
                <w:b/>
                <w:bCs/>
                <w:color w:val="auto"/>
                <w:kern w:val="2"/>
                <w:highlight w:val="none"/>
              </w:rPr>
              <w:t>）—办事指南—操作指南</w:t>
            </w:r>
          </w:p>
          <w:p>
            <w:pPr>
              <w:pStyle w:val="29"/>
              <w:numPr>
                <w:ilvl w:val="0"/>
                <w:numId w:val="4"/>
              </w:numPr>
              <w:spacing w:line="360" w:lineRule="auto"/>
              <w:jc w:val="both"/>
              <w:rPr>
                <w:rFonts w:hint="eastAsia" w:ascii="宋体" w:hAnsi="宋体" w:eastAsia="宋体" w:cs="宋体"/>
                <w:color w:val="auto"/>
                <w:kern w:val="2"/>
                <w:highlight w:val="none"/>
              </w:rPr>
            </w:pPr>
            <w:r>
              <w:rPr>
                <w:rFonts w:hint="eastAsia" w:ascii="宋体" w:hAnsi="宋体" w:eastAsia="宋体" w:cs="宋体"/>
                <w:b/>
                <w:bCs/>
                <w:color w:val="auto"/>
                <w:kern w:val="2"/>
                <w:highlight w:val="none"/>
              </w:rPr>
              <w:t>系统操作问题请咨询技术支持电话0991-2899144，CA办理问题请咨询新疆CA服务电话0991-2819290，或加QQ号800175577。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tcBorders>
              <w:top w:val="single" w:color="auto" w:sz="4" w:space="0"/>
              <w:left w:val="single" w:color="auto" w:sz="12" w:space="0"/>
              <w:bottom w:val="single" w:color="auto" w:sz="12" w:space="0"/>
              <w:right w:val="single" w:color="auto" w:sz="4" w:space="0"/>
            </w:tcBorders>
            <w:vAlign w:val="center"/>
          </w:tcPr>
          <w:p>
            <w:pPr>
              <w:shd w:val="clear" w:color="auto" w:fill="FFFFFF"/>
              <w:autoSpaceDE w:val="0"/>
              <w:autoSpaceDN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9173" w:type="dxa"/>
            <w:gridSpan w:val="2"/>
            <w:tcBorders>
              <w:top w:val="single" w:color="auto" w:sz="4" w:space="0"/>
              <w:left w:val="single" w:color="auto" w:sz="4" w:space="0"/>
              <w:bottom w:val="single" w:color="auto" w:sz="12" w:space="0"/>
              <w:right w:val="single" w:color="auto" w:sz="12" w:space="0"/>
            </w:tcBorders>
            <w:vAlign w:val="center"/>
          </w:tcPr>
          <w:p>
            <w:pPr>
              <w:pStyle w:val="29"/>
              <w:spacing w:line="360" w:lineRule="auto"/>
              <w:jc w:val="both"/>
              <w:rPr>
                <w:rFonts w:hint="eastAsia" w:ascii="宋体" w:hAnsi="宋体" w:eastAsia="宋体" w:cs="宋体"/>
                <w:b/>
                <w:color w:val="auto"/>
                <w:kern w:val="1"/>
                <w:highlight w:val="none"/>
                <w:lang w:eastAsia="zh-CN"/>
              </w:rPr>
            </w:pPr>
            <w:r>
              <w:rPr>
                <w:rFonts w:hint="eastAsia" w:ascii="宋体" w:hAnsi="宋体" w:eastAsia="宋体" w:cs="宋体"/>
                <w:b/>
                <w:color w:val="auto"/>
                <w:kern w:val="1"/>
                <w:highlight w:val="none"/>
              </w:rPr>
              <w:t>成交服务费：由成交供应商支付，在领取《成交通知书》时向采购代理机构一次性支付成交服务费。其计算标准和方法：以成交单位的中标金额为基准，按计价格【2002】1980号及发改办价格【2011】534号文</w:t>
            </w:r>
            <w:r>
              <w:rPr>
                <w:rFonts w:hint="eastAsia" w:ascii="宋体" w:hAnsi="宋体" w:eastAsia="宋体" w:cs="宋体"/>
                <w:b/>
                <w:color w:val="auto"/>
                <w:kern w:val="1"/>
                <w:highlight w:val="none"/>
                <w:lang w:val="en-US" w:eastAsia="zh-CN"/>
              </w:rPr>
              <w:t>下浮20%</w:t>
            </w:r>
            <w:r>
              <w:rPr>
                <w:rFonts w:hint="eastAsia" w:ascii="宋体" w:hAnsi="宋体" w:eastAsia="宋体" w:cs="宋体"/>
                <w:b/>
                <w:color w:val="auto"/>
                <w:kern w:val="1"/>
                <w:highlight w:val="none"/>
              </w:rPr>
              <w:t>计取，</w:t>
            </w:r>
            <w:r>
              <w:rPr>
                <w:rFonts w:hint="eastAsia" w:ascii="宋体" w:hAnsi="宋体" w:eastAsia="宋体" w:cs="宋体"/>
                <w:b/>
                <w:color w:val="auto"/>
                <w:kern w:val="1"/>
                <w:highlight w:val="none"/>
                <w:lang w:val="en-US" w:eastAsia="zh-CN"/>
              </w:rPr>
              <w:t>不足4000按4000计取，</w:t>
            </w:r>
            <w:r>
              <w:rPr>
                <w:rFonts w:hint="eastAsia" w:ascii="宋体" w:hAnsi="宋体" w:eastAsia="宋体" w:cs="宋体"/>
                <w:b/>
                <w:color w:val="auto"/>
                <w:kern w:val="1"/>
                <w:highlight w:val="none"/>
              </w:rPr>
              <w:t>由成交单位支付招标代理服务费</w:t>
            </w:r>
            <w:r>
              <w:rPr>
                <w:rFonts w:hint="eastAsia" w:ascii="宋体" w:hAnsi="宋体" w:eastAsia="宋体" w:cs="宋体"/>
                <w:b/>
                <w:color w:val="auto"/>
                <w:kern w:val="1"/>
                <w:highlight w:val="none"/>
                <w:lang w:eastAsia="zh-CN"/>
              </w:rPr>
              <w:t>。</w:t>
            </w:r>
          </w:p>
        </w:tc>
      </w:tr>
      <w:bookmarkEnd w:id="22"/>
      <w:bookmarkEnd w:id="23"/>
    </w:tbl>
    <w:p>
      <w:pPr>
        <w:pStyle w:val="30"/>
        <w:spacing w:before="0"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24" w:name="_Toc13766989"/>
      <w:bookmarkStart w:id="25" w:name="_Toc28642"/>
      <w:bookmarkStart w:id="26" w:name="_Toc1898"/>
      <w:r>
        <w:rPr>
          <w:rFonts w:hint="eastAsia" w:ascii="宋体" w:hAnsi="宋体" w:eastAsia="宋体" w:cs="宋体"/>
          <w:color w:val="auto"/>
          <w:sz w:val="28"/>
          <w:szCs w:val="28"/>
          <w:highlight w:val="none"/>
        </w:rPr>
        <w:t>二、</w:t>
      </w:r>
      <w:bookmarkEnd w:id="24"/>
      <w:r>
        <w:rPr>
          <w:rFonts w:hint="eastAsia" w:ascii="宋体" w:hAnsi="宋体" w:eastAsia="宋体" w:cs="宋体"/>
          <w:color w:val="auto"/>
          <w:sz w:val="28"/>
          <w:szCs w:val="24"/>
          <w:highlight w:val="none"/>
        </w:rPr>
        <w:t>供应商须知</w:t>
      </w:r>
      <w:bookmarkEnd w:id="25"/>
      <w:bookmarkEnd w:id="26"/>
    </w:p>
    <w:p>
      <w:pPr>
        <w:spacing w:before="156" w:beforeLines="50" w:after="156" w:afterLines="50" w:line="440" w:lineRule="exact"/>
        <w:jc w:val="center"/>
        <w:rPr>
          <w:rFonts w:hint="eastAsia" w:ascii="宋体" w:hAnsi="宋体" w:eastAsia="宋体" w:cs="宋体"/>
          <w:b/>
          <w:color w:val="auto"/>
          <w:kern w:val="0"/>
          <w:sz w:val="24"/>
          <w:szCs w:val="24"/>
          <w:highlight w:val="none"/>
          <w:lang w:val="zh-CN"/>
        </w:rPr>
      </w:pPr>
      <w:bookmarkStart w:id="27" w:name="_Toc37090625"/>
      <w:bookmarkStart w:id="28" w:name="_Toc37090961"/>
      <w:bookmarkStart w:id="29" w:name="_Toc21030"/>
      <w:bookmarkStart w:id="30" w:name="_Toc13766990"/>
      <w:r>
        <w:rPr>
          <w:rFonts w:hint="eastAsia" w:ascii="宋体" w:hAnsi="宋体" w:eastAsia="宋体" w:cs="宋体"/>
          <w:b/>
          <w:color w:val="auto"/>
          <w:kern w:val="0"/>
          <w:sz w:val="24"/>
          <w:szCs w:val="24"/>
          <w:highlight w:val="none"/>
          <w:lang w:val="zh-CN"/>
        </w:rPr>
        <w:t>（一）总则</w:t>
      </w:r>
      <w:bookmarkEnd w:id="27"/>
      <w:bookmarkEnd w:id="28"/>
      <w:bookmarkEnd w:id="29"/>
    </w:p>
    <w:p>
      <w:pPr>
        <w:spacing w:line="440" w:lineRule="exact"/>
        <w:ind w:firstLine="482" w:firstLineChars="200"/>
        <w:rPr>
          <w:rFonts w:hint="eastAsia" w:ascii="宋体" w:hAnsi="宋体" w:eastAsia="宋体" w:cs="宋体"/>
          <w:b/>
          <w:bCs/>
          <w:color w:val="auto"/>
          <w:sz w:val="24"/>
          <w:szCs w:val="24"/>
          <w:highlight w:val="none"/>
        </w:rPr>
      </w:pPr>
      <w:bookmarkStart w:id="31" w:name="_Toc29497"/>
      <w:bookmarkStart w:id="32" w:name="_Toc37090962"/>
      <w:bookmarkStart w:id="33" w:name="_Toc37090626"/>
      <w:r>
        <w:rPr>
          <w:rFonts w:hint="eastAsia" w:ascii="宋体" w:hAnsi="宋体" w:eastAsia="宋体" w:cs="宋体"/>
          <w:b/>
          <w:bCs/>
          <w:color w:val="auto"/>
          <w:sz w:val="24"/>
          <w:szCs w:val="24"/>
          <w:highlight w:val="none"/>
        </w:rPr>
        <w:t>1. 项目说明</w:t>
      </w:r>
      <w:bookmarkEnd w:id="31"/>
      <w:bookmarkEnd w:id="32"/>
      <w:bookmarkEnd w:id="33"/>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本项目的说明详见供应商须知前附表（以下简称“前附表”）所述。</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1.2本采购项目已经批准，采购人为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新疆维吾尔自治区文博院</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，该项目已具备采购条件，现对该项目进行竞争性磋商。</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r>
        <w:rPr>
          <w:rFonts w:hint="eastAsia" w:ascii="宋体" w:hAnsi="宋体" w:eastAsia="宋体" w:cs="宋体"/>
          <w:color w:val="auto"/>
          <w:sz w:val="24"/>
          <w:szCs w:val="24"/>
          <w:highlight w:val="none"/>
        </w:rPr>
        <w:t>本采购项目供应商的资格审查采取资格后审方式。本次磋商</w:t>
      </w:r>
      <w:r>
        <w:rPr>
          <w:rFonts w:hint="eastAsia" w:ascii="宋体" w:hAnsi="宋体" w:eastAsia="宋体" w:cs="宋体"/>
          <w:color w:val="auto"/>
          <w:sz w:val="24"/>
          <w:szCs w:val="24"/>
          <w:highlight w:val="none"/>
          <w:u w:val="single"/>
        </w:rPr>
        <w:t>不接受</w:t>
      </w:r>
      <w:r>
        <w:rPr>
          <w:rFonts w:hint="eastAsia" w:ascii="宋体" w:hAnsi="宋体" w:eastAsia="宋体" w:cs="宋体"/>
          <w:color w:val="auto"/>
          <w:sz w:val="24"/>
          <w:szCs w:val="24"/>
          <w:highlight w:val="none"/>
        </w:rPr>
        <w:t>联合体、不接受备选方案。</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供应商资格必须符合供应商须知前附表说明，通过资格后审的供应商为合格的供应商。合格的供应商必须符合竞争性磋商文件中对供应商的规定，且具备独立完成所投项目或所投标项的</w:t>
      </w:r>
      <w:r>
        <w:rPr>
          <w:rFonts w:hint="eastAsia" w:ascii="宋体" w:hAnsi="宋体" w:eastAsia="宋体" w:cs="宋体"/>
          <w:color w:val="auto"/>
          <w:kern w:val="10"/>
          <w:sz w:val="24"/>
          <w:szCs w:val="24"/>
          <w:highlight w:val="none"/>
        </w:rPr>
        <w:t>能</w:t>
      </w:r>
      <w:r>
        <w:rPr>
          <w:rFonts w:hint="eastAsia" w:ascii="宋体" w:hAnsi="宋体" w:eastAsia="宋体" w:cs="宋体"/>
          <w:color w:val="auto"/>
          <w:sz w:val="24"/>
          <w:szCs w:val="24"/>
          <w:highlight w:val="none"/>
        </w:rPr>
        <w:t>力，成交后不允许转包、违法分包。</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资格后审包括下列的内容</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供应商具有独立法人资格并满足“前附表”规定的资格要求；</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kern w:val="0"/>
          <w:sz w:val="24"/>
          <w:szCs w:val="24"/>
          <w:highlight w:val="none"/>
        </w:rPr>
        <w:t>竞争性磋商文件有要求供应商法定代表人或其授权代表签字或盖章和加盖供应商公章要求的，供应商须按竞争性磋商文件要求签署；</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1.4.3服务期限符合竞争性磋商文件要求；</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1.4.4服务地点符合竞争性磋商文件规定；</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1.4.5投标内容质量、服务等满足竞争性磋商文件要求；</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1.4.6响应文件中所提条件均须符合采购人的要求；</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1.4.7符合竞争性磋商文件中规定的其他实质性要求；</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1.4.8无法律、法规和规章禁止的其他情况。</w:t>
      </w:r>
    </w:p>
    <w:p>
      <w:pPr>
        <w:spacing w:line="440" w:lineRule="exact"/>
        <w:ind w:firstLine="482" w:firstLineChars="200"/>
        <w:rPr>
          <w:rFonts w:hint="eastAsia" w:ascii="宋体" w:hAnsi="宋体" w:eastAsia="宋体" w:cs="宋体"/>
          <w:b/>
          <w:bCs/>
          <w:color w:val="auto"/>
          <w:sz w:val="24"/>
          <w:szCs w:val="24"/>
          <w:highlight w:val="none"/>
        </w:rPr>
      </w:pPr>
      <w:bookmarkStart w:id="34" w:name="_Toc37090963"/>
      <w:bookmarkStart w:id="35" w:name="_Toc37090627"/>
      <w:bookmarkStart w:id="36" w:name="_Toc17644"/>
      <w:r>
        <w:rPr>
          <w:rFonts w:hint="eastAsia" w:ascii="宋体" w:hAnsi="宋体" w:eastAsia="宋体" w:cs="宋体"/>
          <w:b/>
          <w:bCs/>
          <w:color w:val="auto"/>
          <w:sz w:val="24"/>
          <w:szCs w:val="24"/>
          <w:highlight w:val="none"/>
        </w:rPr>
        <w:t xml:space="preserve">2. </w:t>
      </w:r>
      <w:bookmarkEnd w:id="34"/>
      <w:bookmarkEnd w:id="35"/>
      <w:bookmarkEnd w:id="36"/>
      <w:r>
        <w:rPr>
          <w:rFonts w:hint="eastAsia" w:ascii="宋体" w:hAnsi="宋体" w:eastAsia="宋体" w:cs="宋体"/>
          <w:b/>
          <w:bCs/>
          <w:color w:val="auto"/>
          <w:sz w:val="24"/>
          <w:szCs w:val="24"/>
          <w:highlight w:val="none"/>
        </w:rPr>
        <w:t>采购范围</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2.1本采购项目的采购范围</w:t>
      </w:r>
      <w:r>
        <w:rPr>
          <w:rFonts w:hint="eastAsia" w:ascii="宋体" w:hAnsi="宋体" w:eastAsia="宋体" w:cs="宋体"/>
          <w:color w:val="auto"/>
          <w:kern w:val="0"/>
          <w:sz w:val="24"/>
          <w:szCs w:val="24"/>
          <w:highlight w:val="none"/>
        </w:rPr>
        <w:t>已通过“前附表”第1项</w:t>
      </w:r>
      <w:r>
        <w:rPr>
          <w:rFonts w:hint="eastAsia" w:ascii="宋体" w:hAnsi="宋体" w:eastAsia="宋体" w:cs="宋体"/>
          <w:color w:val="auto"/>
          <w:sz w:val="24"/>
          <w:szCs w:val="24"/>
          <w:highlight w:val="none"/>
        </w:rPr>
        <w:t>采购内容</w:t>
      </w:r>
      <w:r>
        <w:rPr>
          <w:rFonts w:hint="eastAsia" w:ascii="宋体" w:hAnsi="宋体" w:eastAsia="宋体" w:cs="宋体"/>
          <w:color w:val="auto"/>
          <w:kern w:val="0"/>
          <w:sz w:val="24"/>
          <w:szCs w:val="24"/>
          <w:highlight w:val="none"/>
        </w:rPr>
        <w:t>所述，</w:t>
      </w:r>
      <w:r>
        <w:rPr>
          <w:rFonts w:hint="eastAsia" w:ascii="宋体" w:hAnsi="宋体" w:eastAsia="宋体" w:cs="宋体"/>
          <w:color w:val="auto"/>
          <w:sz w:val="24"/>
          <w:szCs w:val="24"/>
          <w:highlight w:val="none"/>
        </w:rPr>
        <w:t>指本项目竞争性磋商文件中范围内所要求的所有工作内容。</w:t>
      </w:r>
    </w:p>
    <w:p>
      <w:pPr>
        <w:spacing w:line="440" w:lineRule="exact"/>
        <w:ind w:firstLine="482" w:firstLineChars="200"/>
        <w:rPr>
          <w:rFonts w:hint="eastAsia" w:ascii="宋体" w:hAnsi="宋体" w:eastAsia="宋体" w:cs="宋体"/>
          <w:b/>
          <w:bCs/>
          <w:color w:val="auto"/>
          <w:sz w:val="24"/>
          <w:szCs w:val="24"/>
          <w:highlight w:val="none"/>
        </w:rPr>
      </w:pPr>
      <w:bookmarkStart w:id="37" w:name="_Toc26876"/>
      <w:bookmarkStart w:id="38" w:name="_Toc37090964"/>
      <w:bookmarkStart w:id="39" w:name="_Toc37090628"/>
      <w:r>
        <w:rPr>
          <w:rFonts w:hint="eastAsia" w:ascii="宋体" w:hAnsi="宋体" w:eastAsia="宋体" w:cs="宋体"/>
          <w:b/>
          <w:bCs/>
          <w:color w:val="auto"/>
          <w:sz w:val="24"/>
          <w:szCs w:val="24"/>
          <w:highlight w:val="none"/>
        </w:rPr>
        <w:t>3. 适用法律及约束力</w:t>
      </w:r>
      <w:bookmarkEnd w:id="37"/>
      <w:bookmarkEnd w:id="38"/>
      <w:bookmarkEnd w:id="39"/>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本次磋商及由本次磋商产生的合同受中华人民共和国的相关法律、法规制约和保护。供应商一旦领取了竞争性磋商文件并参加本项目，即被认为接受了竞争性磋商文件中的所有条件和规定。</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3.2供应商应保证，在中华人民共和国境内使用投标成果、服务或其任何一部分时，不会产生因第三方提出侵犯其专利权或其它知识产权而引起的法律和经济纠纷。</w:t>
      </w:r>
    </w:p>
    <w:p>
      <w:pPr>
        <w:spacing w:line="440" w:lineRule="exact"/>
        <w:ind w:firstLine="482" w:firstLineChars="200"/>
        <w:rPr>
          <w:rFonts w:hint="eastAsia" w:ascii="宋体" w:hAnsi="宋体" w:eastAsia="宋体" w:cs="宋体"/>
          <w:b/>
          <w:bCs/>
          <w:color w:val="auto"/>
          <w:sz w:val="24"/>
          <w:szCs w:val="24"/>
          <w:highlight w:val="none"/>
        </w:rPr>
      </w:pPr>
      <w:bookmarkStart w:id="40" w:name="_Toc37090965"/>
      <w:bookmarkStart w:id="41" w:name="_Toc18819"/>
      <w:bookmarkStart w:id="42" w:name="_Toc37090629"/>
      <w:r>
        <w:rPr>
          <w:rFonts w:hint="eastAsia" w:ascii="宋体" w:hAnsi="宋体" w:eastAsia="宋体" w:cs="宋体"/>
          <w:b/>
          <w:bCs/>
          <w:color w:val="auto"/>
          <w:sz w:val="24"/>
          <w:szCs w:val="24"/>
          <w:highlight w:val="none"/>
        </w:rPr>
        <w:t>4. 采购项目实施要求</w:t>
      </w:r>
      <w:bookmarkEnd w:id="40"/>
      <w:bookmarkEnd w:id="41"/>
      <w:bookmarkEnd w:id="42"/>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4.1质量标准已通过“前附表”第3项所述，本采购项目的质量等级标准为合格（通过采购人及有关部门组织的项目验收）。</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4.2 供应方与采购人签订合同后，按照竞争性磋商文件及合同相关的要求编制现场服务计划。</w:t>
      </w:r>
    </w:p>
    <w:p>
      <w:pPr>
        <w:spacing w:line="440" w:lineRule="exact"/>
        <w:ind w:firstLine="482" w:firstLineChars="200"/>
        <w:rPr>
          <w:rFonts w:hint="eastAsia" w:ascii="宋体" w:hAnsi="宋体" w:eastAsia="宋体" w:cs="宋体"/>
          <w:b/>
          <w:bCs/>
          <w:color w:val="auto"/>
          <w:sz w:val="24"/>
          <w:szCs w:val="24"/>
          <w:highlight w:val="none"/>
        </w:rPr>
      </w:pPr>
      <w:bookmarkStart w:id="43" w:name="_Toc14650"/>
      <w:bookmarkStart w:id="44" w:name="_Toc37090630"/>
      <w:bookmarkStart w:id="45" w:name="_Toc37090966"/>
      <w:r>
        <w:rPr>
          <w:rFonts w:hint="eastAsia" w:ascii="宋体" w:hAnsi="宋体" w:eastAsia="宋体" w:cs="宋体"/>
          <w:b/>
          <w:bCs/>
          <w:color w:val="auto"/>
          <w:sz w:val="24"/>
          <w:szCs w:val="24"/>
          <w:highlight w:val="none"/>
        </w:rPr>
        <w:t>5. 服务期限及服务地点</w:t>
      </w:r>
      <w:bookmarkEnd w:id="43"/>
      <w:bookmarkEnd w:id="44"/>
      <w:bookmarkEnd w:id="45"/>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服务期限已</w:t>
      </w:r>
      <w:r>
        <w:rPr>
          <w:rFonts w:hint="eastAsia" w:ascii="宋体" w:hAnsi="宋体" w:eastAsia="宋体" w:cs="宋体"/>
          <w:color w:val="auto"/>
          <w:kern w:val="0"/>
          <w:sz w:val="24"/>
          <w:szCs w:val="24"/>
          <w:highlight w:val="none"/>
        </w:rPr>
        <w:t>通过“前附表”所述，</w:t>
      </w:r>
      <w:r>
        <w:rPr>
          <w:rFonts w:hint="eastAsia" w:ascii="宋体" w:hAnsi="宋体" w:eastAsia="宋体" w:cs="宋体"/>
          <w:color w:val="auto"/>
          <w:sz w:val="24"/>
          <w:szCs w:val="24"/>
          <w:highlight w:val="none"/>
        </w:rPr>
        <w:t>是指完成本项目采购内容及配套服务工作、验收合格并移交采购人的时间；服务地点已</w:t>
      </w:r>
      <w:r>
        <w:rPr>
          <w:rFonts w:hint="eastAsia" w:ascii="宋体" w:hAnsi="宋体" w:eastAsia="宋体" w:cs="宋体"/>
          <w:color w:val="auto"/>
          <w:kern w:val="0"/>
          <w:sz w:val="24"/>
          <w:szCs w:val="24"/>
          <w:highlight w:val="none"/>
        </w:rPr>
        <w:t>通过“前附表”所述</w:t>
      </w:r>
      <w:r>
        <w:rPr>
          <w:rFonts w:hint="eastAsia" w:ascii="宋体" w:hAnsi="宋体" w:eastAsia="宋体" w:cs="宋体"/>
          <w:color w:val="auto"/>
          <w:sz w:val="24"/>
          <w:szCs w:val="24"/>
          <w:highlight w:val="none"/>
        </w:rPr>
        <w:t>。</w:t>
      </w:r>
    </w:p>
    <w:p>
      <w:pPr>
        <w:spacing w:line="440" w:lineRule="exact"/>
        <w:ind w:firstLine="482" w:firstLineChars="200"/>
        <w:rPr>
          <w:rFonts w:hint="eastAsia" w:ascii="宋体" w:hAnsi="宋体" w:eastAsia="宋体" w:cs="宋体"/>
          <w:b/>
          <w:bCs/>
          <w:color w:val="auto"/>
          <w:sz w:val="24"/>
          <w:szCs w:val="24"/>
          <w:highlight w:val="none"/>
        </w:rPr>
      </w:pPr>
      <w:bookmarkStart w:id="46" w:name="_Toc37090967"/>
      <w:bookmarkStart w:id="47" w:name="_Toc4069"/>
      <w:bookmarkStart w:id="48" w:name="_Toc37090631"/>
      <w:r>
        <w:rPr>
          <w:rFonts w:hint="eastAsia" w:ascii="宋体" w:hAnsi="宋体" w:eastAsia="宋体" w:cs="宋体"/>
          <w:b/>
          <w:bCs/>
          <w:color w:val="auto"/>
          <w:sz w:val="24"/>
          <w:szCs w:val="24"/>
          <w:highlight w:val="none"/>
        </w:rPr>
        <w:t>6. 资金来源</w:t>
      </w:r>
      <w:bookmarkEnd w:id="46"/>
      <w:bookmarkEnd w:id="47"/>
      <w:bookmarkEnd w:id="48"/>
    </w:p>
    <w:p>
      <w:pPr>
        <w:shd w:val="clear" w:color="auto" w:fill="FFFFFF"/>
        <w:spacing w:line="440" w:lineRule="exact"/>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6.1采购单位的资金通过“前附表”第1项所述的方式获得，并将部分资金用于本项目合同下的合格支付。</w:t>
      </w:r>
    </w:p>
    <w:p>
      <w:pPr>
        <w:spacing w:line="440" w:lineRule="exact"/>
        <w:ind w:firstLine="482" w:firstLineChars="200"/>
        <w:rPr>
          <w:rFonts w:hint="eastAsia" w:ascii="宋体" w:hAnsi="宋体" w:eastAsia="宋体" w:cs="宋体"/>
          <w:b/>
          <w:bCs/>
          <w:color w:val="auto"/>
          <w:sz w:val="24"/>
          <w:szCs w:val="24"/>
          <w:highlight w:val="none"/>
        </w:rPr>
      </w:pPr>
      <w:bookmarkStart w:id="49" w:name="_Toc37090968"/>
      <w:bookmarkStart w:id="50" w:name="_Toc19811"/>
      <w:bookmarkStart w:id="51" w:name="_Toc37090632"/>
      <w:r>
        <w:rPr>
          <w:rFonts w:hint="eastAsia" w:ascii="宋体" w:hAnsi="宋体" w:eastAsia="宋体" w:cs="宋体"/>
          <w:b/>
          <w:bCs/>
          <w:color w:val="auto"/>
          <w:sz w:val="24"/>
          <w:szCs w:val="24"/>
          <w:highlight w:val="none"/>
        </w:rPr>
        <w:t>7. 供应商资格要求</w:t>
      </w:r>
      <w:bookmarkEnd w:id="49"/>
      <w:bookmarkEnd w:id="50"/>
      <w:bookmarkEnd w:id="51"/>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供应商资格要求须满足“前附表”第4项要求。</w:t>
      </w:r>
    </w:p>
    <w:p>
      <w:pPr>
        <w:spacing w:line="440" w:lineRule="exact"/>
        <w:ind w:firstLine="482" w:firstLineChars="200"/>
        <w:rPr>
          <w:rFonts w:hint="eastAsia" w:ascii="宋体" w:hAnsi="宋体" w:eastAsia="宋体" w:cs="宋体"/>
          <w:b/>
          <w:bCs/>
          <w:color w:val="auto"/>
          <w:sz w:val="24"/>
          <w:szCs w:val="24"/>
          <w:highlight w:val="none"/>
        </w:rPr>
      </w:pPr>
      <w:bookmarkStart w:id="52" w:name="_Toc37090633"/>
      <w:bookmarkStart w:id="53" w:name="_Toc37090969"/>
      <w:bookmarkStart w:id="54" w:name="_Toc30617"/>
      <w:r>
        <w:rPr>
          <w:rFonts w:hint="eastAsia" w:ascii="宋体" w:hAnsi="宋体" w:eastAsia="宋体" w:cs="宋体"/>
          <w:b/>
          <w:bCs/>
          <w:color w:val="auto"/>
          <w:sz w:val="24"/>
          <w:szCs w:val="24"/>
          <w:highlight w:val="none"/>
        </w:rPr>
        <w:t>8. 投标费用</w:t>
      </w:r>
      <w:bookmarkEnd w:id="52"/>
      <w:bookmarkEnd w:id="53"/>
      <w:bookmarkEnd w:id="54"/>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供应商应承担其编制响应文件与递交响应文件所涉及的一切费用，不论投标结果如何，采购人或采购代理机构均无义务和责任承担这些费用。</w:t>
      </w:r>
    </w:p>
    <w:p>
      <w:pPr>
        <w:pStyle w:val="31"/>
        <w:spacing w:line="44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9.合格供应商的条件</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9.1具有本项目实施能力，符合、承认并承诺履行本文件各项规定的国内法人、其他组织或自然人均可参加投标。</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 遵守有关的国家法律、法规和条例，具备《中华人民共和国政府采购法》和本文件中规定的条件：</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9.2.1具有独立承担民事责任的能力； </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9.2.2具有良好的商业信誉和健全的财务会计制度；</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9.2.3具有履行合同所必需的设备和专业技术能力；</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9.2.4具有依法缴纳税收和社会保障资金的良好记录；</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9.2.5参加政府采购活动前三年内，在经营活动中没有重大违法记录；</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9.2.6法律、行政法规规定的其他条件；</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9.2.7具有本竞争性磋商文件第二部分“供应商须知前附表”中第4项规定的资格条件。</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9.3供应商之间如果存在下列情形之一的，不得同时参加同一包（标段）或者不分包（标段）的同一项目投标：</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9.3.1法定代表人为同一个人的两个及两个以上法人；</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9.3.2母公司、全资子公司及其控股公司；</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9.3.3参加投标的其他组织之间存在特殊的利害关系的；</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9.3.4法律和行政法规规定的其他情形。</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9.4供应商授权代表须持有《法定代表人授权委托书》。</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9.5供应商</w:t>
      </w:r>
      <w:r>
        <w:rPr>
          <w:rFonts w:hint="eastAsia" w:ascii="宋体" w:hAnsi="宋体" w:cs="宋体"/>
          <w:bCs/>
          <w:color w:val="auto"/>
          <w:kern w:val="0"/>
          <w:sz w:val="24"/>
          <w:szCs w:val="24"/>
          <w:highlight w:val="none"/>
        </w:rPr>
        <w:t>通过</w:t>
      </w:r>
      <w:r>
        <w:rPr>
          <w:rFonts w:hint="default" w:ascii="宋体" w:hAnsi="宋体" w:cs="宋体"/>
          <w:bCs/>
          <w:color w:val="auto"/>
          <w:kern w:val="0"/>
          <w:sz w:val="24"/>
          <w:szCs w:val="24"/>
          <w:highlight w:val="none"/>
          <w:lang w:eastAsia="zh-CN"/>
        </w:rPr>
        <w:t>新疆政府采购</w:t>
      </w:r>
      <w:r>
        <w:rPr>
          <w:rFonts w:hint="eastAsia" w:ascii="宋体" w:hAnsi="宋体" w:cs="宋体"/>
          <w:bCs/>
          <w:color w:val="auto"/>
          <w:kern w:val="0"/>
          <w:sz w:val="24"/>
          <w:szCs w:val="24"/>
          <w:highlight w:val="none"/>
          <w:lang w:eastAsia="zh-CN"/>
        </w:rPr>
        <w:t>网</w:t>
      </w:r>
      <w:r>
        <w:rPr>
          <w:rFonts w:hint="eastAsia" w:ascii="宋体" w:hAnsi="宋体" w:cs="宋体"/>
          <w:bCs/>
          <w:color w:val="auto"/>
          <w:kern w:val="0"/>
          <w:sz w:val="24"/>
          <w:szCs w:val="24"/>
          <w:highlight w:val="none"/>
        </w:rPr>
        <w:t>（</w:t>
      </w:r>
      <w:r>
        <w:rPr>
          <w:rFonts w:hint="eastAsia" w:ascii="宋体" w:hAnsi="宋体" w:cs="宋体"/>
          <w:bCs/>
          <w:color w:val="auto"/>
          <w:kern w:val="0"/>
          <w:sz w:val="24"/>
          <w:szCs w:val="24"/>
          <w:highlight w:val="none"/>
          <w:lang w:eastAsia="zh-CN"/>
        </w:rPr>
        <w:t>http://www.ccgp-xinjiang.gov.cn/</w:t>
      </w:r>
      <w:r>
        <w:rPr>
          <w:rFonts w:hint="eastAsia" w:ascii="宋体" w:hAnsi="宋体" w:cs="宋体"/>
          <w:bCs/>
          <w:color w:val="auto"/>
          <w:kern w:val="0"/>
          <w:sz w:val="24"/>
          <w:szCs w:val="24"/>
          <w:highlight w:val="none"/>
        </w:rPr>
        <w:t>）的”政采云登录入口”登录后，在</w:t>
      </w:r>
      <w:r>
        <w:rPr>
          <w:rFonts w:hint="eastAsia" w:ascii="宋体" w:hAnsi="宋体" w:cs="宋体"/>
          <w:color w:val="auto"/>
          <w:sz w:val="24"/>
          <w:highlight w:val="none"/>
        </w:rPr>
        <w:t>“项目采购”项下的“获取采购文件”自行领取竞争性磋商文件。</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9.6供应商按时足额交纳磋商保证金。</w:t>
      </w:r>
    </w:p>
    <w:p>
      <w:pPr>
        <w:spacing w:line="440" w:lineRule="exact"/>
        <w:ind w:firstLine="482" w:firstLineChars="200"/>
        <w:rPr>
          <w:rFonts w:hint="eastAsia" w:ascii="宋体" w:hAnsi="宋体" w:eastAsia="宋体" w:cs="宋体"/>
          <w:b/>
          <w:bCs/>
          <w:color w:val="auto"/>
          <w:sz w:val="24"/>
          <w:szCs w:val="24"/>
          <w:highlight w:val="none"/>
        </w:rPr>
      </w:pPr>
      <w:bookmarkStart w:id="55" w:name="_Toc37090971"/>
      <w:bookmarkStart w:id="56" w:name="_Toc37090635"/>
      <w:bookmarkStart w:id="57" w:name="_Toc6998"/>
      <w:r>
        <w:rPr>
          <w:rFonts w:hint="eastAsia" w:ascii="宋体" w:hAnsi="宋体" w:eastAsia="宋体" w:cs="宋体"/>
          <w:b/>
          <w:bCs/>
          <w:color w:val="auto"/>
          <w:sz w:val="24"/>
          <w:szCs w:val="24"/>
          <w:highlight w:val="none"/>
        </w:rPr>
        <w:t>10. 联合体</w:t>
      </w:r>
      <w:bookmarkEnd w:id="55"/>
      <w:bookmarkEnd w:id="56"/>
      <w:bookmarkEnd w:id="57"/>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10.1供应商须知前附表中接受联合体的，供应商可以联合体形式参加磋商，否则联合体投标视为无效响应；接受联合体的，除应符合本章第7</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kern w:val="0"/>
          <w:sz w:val="24"/>
          <w:szCs w:val="24"/>
          <w:highlight w:val="none"/>
        </w:rPr>
        <w:t xml:space="preserve">规定外，还应遵守以下规定： </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10.1.1联合体各方应按竞争性磋商文件提供的格式签订</w:t>
      </w:r>
      <w:r>
        <w:rPr>
          <w:rFonts w:hint="eastAsia" w:ascii="宋体" w:hAnsi="宋体" w:eastAsia="宋体" w:cs="宋体"/>
          <w:color w:val="auto"/>
          <w:kern w:val="0"/>
          <w:sz w:val="24"/>
          <w:szCs w:val="24"/>
          <w:highlight w:val="none"/>
          <w:u w:val="single"/>
        </w:rPr>
        <w:t>联合体协议</w:t>
      </w:r>
      <w:r>
        <w:rPr>
          <w:rFonts w:hint="eastAsia" w:ascii="宋体" w:hAnsi="宋体" w:eastAsia="宋体" w:cs="宋体"/>
          <w:color w:val="auto"/>
          <w:kern w:val="0"/>
          <w:sz w:val="24"/>
          <w:szCs w:val="24"/>
          <w:highlight w:val="none"/>
        </w:rPr>
        <w:t>，明确联合体牵头人和各方的权利义务、合同工作量比例；</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10.1.2联合体各方签订联合体协议书后，不得再单独参加或者与其他供应商组成新的联合体参加同一项目的采购活动。</w:t>
      </w:r>
    </w:p>
    <w:p>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11.信用信息查询</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11.1查询渠道：“信用中国”网站（www.creditchina.gov.cn）、中国政府采购网（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w:instrText>
      </w:r>
      <w:r>
        <w:rPr>
          <w:rFonts w:hint="eastAsia" w:ascii="宋体" w:hAnsi="宋体" w:eastAsia="宋体" w:cs="宋体"/>
          <w:color w:val="auto"/>
          <w:szCs w:val="24"/>
          <w:highlight w:val="none"/>
        </w:rPr>
        <w:fldChar w:fldCharType="separate"/>
      </w:r>
      <w:r>
        <w:rPr>
          <w:rStyle w:val="18"/>
          <w:rFonts w:hint="eastAsia" w:ascii="宋体" w:hAnsi="宋体" w:eastAsia="宋体" w:cs="宋体"/>
          <w:color w:val="auto"/>
          <w:kern w:val="0"/>
          <w:sz w:val="24"/>
          <w:szCs w:val="24"/>
          <w:highlight w:val="none"/>
          <w:u w:val="none"/>
        </w:rPr>
        <w:t>www.ccgp.gov.cn</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11.2查询截止时间：</w:t>
      </w:r>
      <w:r>
        <w:rPr>
          <w:rFonts w:hint="eastAsia" w:ascii="宋体" w:hAnsi="宋体" w:eastAsia="宋体" w:cs="宋体"/>
          <w:color w:val="auto"/>
          <w:sz w:val="24"/>
          <w:szCs w:val="24"/>
          <w:highlight w:val="none"/>
          <w:lang w:val="en-US" w:eastAsia="zh-CN"/>
        </w:rPr>
        <w:t>同投标截止时间</w:t>
      </w:r>
      <w:r>
        <w:rPr>
          <w:rFonts w:hint="eastAsia" w:ascii="宋体" w:hAnsi="宋体" w:eastAsia="宋体" w:cs="宋体"/>
          <w:color w:val="auto"/>
          <w:sz w:val="24"/>
          <w:szCs w:val="24"/>
          <w:highlight w:val="none"/>
        </w:rPr>
        <w:t>。</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11.4信用信息查询由采购代理机构在开标/磋商后通过本须知11.1所述渠道进行网上查询，对存在本须知11.3所述情形的供应商，将对其查询结果的网页截图作为查询记录和证据留存。</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11.5两个以上的自然人、法人或者其他组织组成一个联合体，以一个供应商的身份共同参加政府采购活动的，将对所有联合体成员进行信用记录查询，联合体成员存在不良信用记录的，视同联合体存在不良信用记录。</w:t>
      </w:r>
    </w:p>
    <w:bookmarkEnd w:id="30"/>
    <w:p>
      <w:pPr>
        <w:spacing w:before="156" w:beforeLines="50" w:after="156" w:afterLines="50" w:line="440" w:lineRule="exact"/>
        <w:jc w:val="center"/>
        <w:rPr>
          <w:rFonts w:hint="eastAsia" w:ascii="宋体" w:hAnsi="宋体" w:eastAsia="宋体" w:cs="宋体"/>
          <w:b/>
          <w:color w:val="auto"/>
          <w:kern w:val="0"/>
          <w:sz w:val="24"/>
          <w:szCs w:val="24"/>
          <w:highlight w:val="none"/>
          <w:lang w:val="zh-CN"/>
        </w:rPr>
      </w:pPr>
      <w:bookmarkStart w:id="58" w:name="_Toc37090972"/>
      <w:bookmarkStart w:id="59" w:name="_Toc37090636"/>
      <w:r>
        <w:rPr>
          <w:rFonts w:hint="eastAsia" w:ascii="宋体" w:hAnsi="宋体" w:eastAsia="宋体" w:cs="宋体"/>
          <w:b/>
          <w:color w:val="auto"/>
          <w:kern w:val="0"/>
          <w:sz w:val="24"/>
          <w:szCs w:val="24"/>
          <w:highlight w:val="none"/>
          <w:lang w:val="zh-CN"/>
        </w:rPr>
        <w:t>（二）</w:t>
      </w:r>
      <w:bookmarkEnd w:id="58"/>
      <w:bookmarkEnd w:id="59"/>
      <w:r>
        <w:rPr>
          <w:rFonts w:hint="eastAsia" w:ascii="宋体" w:hAnsi="宋体" w:eastAsia="宋体" w:cs="宋体"/>
          <w:b/>
          <w:color w:val="auto"/>
          <w:kern w:val="0"/>
          <w:sz w:val="24"/>
          <w:szCs w:val="24"/>
          <w:highlight w:val="none"/>
          <w:lang w:val="zh-CN"/>
        </w:rPr>
        <w:t>竞争性磋商文件</w:t>
      </w:r>
    </w:p>
    <w:p>
      <w:pPr>
        <w:spacing w:line="440" w:lineRule="exact"/>
        <w:ind w:firstLine="482" w:firstLineChars="200"/>
        <w:rPr>
          <w:rFonts w:hint="eastAsia" w:ascii="宋体" w:hAnsi="宋体" w:eastAsia="宋体" w:cs="宋体"/>
          <w:b/>
          <w:bCs/>
          <w:color w:val="auto"/>
          <w:sz w:val="24"/>
          <w:szCs w:val="24"/>
          <w:highlight w:val="none"/>
        </w:rPr>
      </w:pPr>
      <w:bookmarkStart w:id="60" w:name="_Toc37090973"/>
      <w:bookmarkStart w:id="61" w:name="_Toc37090637"/>
      <w:bookmarkStart w:id="62" w:name="_Toc10669"/>
      <w:r>
        <w:rPr>
          <w:rFonts w:hint="eastAsia" w:ascii="宋体" w:hAnsi="宋体" w:eastAsia="宋体" w:cs="宋体"/>
          <w:b/>
          <w:bCs/>
          <w:color w:val="auto"/>
          <w:sz w:val="24"/>
          <w:szCs w:val="24"/>
          <w:highlight w:val="none"/>
        </w:rPr>
        <w:t>12. 竞争性磋商文件的组成</w:t>
      </w:r>
      <w:bookmarkEnd w:id="60"/>
      <w:bookmarkEnd w:id="61"/>
      <w:bookmarkEnd w:id="62"/>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竞争性磋商文件包括下列内容</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第一章 竞争性磋商公告</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第二章 供应商须知</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第三章 合同条款</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第四章 采购需求</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第五章 评审办法</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第六章 响应文件格式</w:t>
      </w:r>
    </w:p>
    <w:p>
      <w:pPr>
        <w:shd w:val="clear" w:color="auto" w:fill="FFFFFF"/>
        <w:autoSpaceDE w:val="0"/>
        <w:autoSpaceDN w:val="0"/>
        <w:adjustRightInd w:val="0"/>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12.2 </w:t>
      </w:r>
      <w:r>
        <w:rPr>
          <w:rFonts w:hint="eastAsia" w:ascii="宋体" w:hAnsi="宋体" w:eastAsia="宋体" w:cs="宋体"/>
          <w:b/>
          <w:bCs/>
          <w:color w:val="auto"/>
          <w:sz w:val="24"/>
          <w:szCs w:val="24"/>
          <w:highlight w:val="none"/>
        </w:rPr>
        <w:t>本次磋商</w:t>
      </w:r>
      <w:r>
        <w:rPr>
          <w:rFonts w:hint="eastAsia" w:ascii="宋体" w:hAnsi="宋体" w:eastAsia="宋体" w:cs="宋体"/>
          <w:b/>
          <w:color w:val="auto"/>
          <w:sz w:val="24"/>
          <w:szCs w:val="24"/>
          <w:highlight w:val="none"/>
          <w:lang w:val="zh-CN"/>
        </w:rPr>
        <w:t>的最小单位是标项。竞争性磋商文件未分标项的，供应商须对全部</w:t>
      </w:r>
      <w:r>
        <w:rPr>
          <w:rFonts w:hint="eastAsia" w:ascii="宋体" w:hAnsi="宋体" w:eastAsia="宋体" w:cs="宋体"/>
          <w:b/>
          <w:color w:val="auto"/>
          <w:sz w:val="24"/>
          <w:szCs w:val="24"/>
          <w:highlight w:val="none"/>
        </w:rPr>
        <w:t>采购</w:t>
      </w:r>
      <w:r>
        <w:rPr>
          <w:rFonts w:hint="eastAsia" w:ascii="宋体" w:hAnsi="宋体" w:eastAsia="宋体" w:cs="宋体"/>
          <w:b/>
          <w:color w:val="auto"/>
          <w:sz w:val="24"/>
          <w:szCs w:val="24"/>
          <w:highlight w:val="none"/>
          <w:lang w:val="zh-CN"/>
        </w:rPr>
        <w:t>内容投标，不得部分投标；竞争性磋商文件分标项的，供应商应当以标项为单位编制并提交响应文件</w:t>
      </w:r>
      <w:r>
        <w:rPr>
          <w:rFonts w:hint="eastAsia" w:ascii="宋体" w:hAnsi="宋体" w:eastAsia="宋体" w:cs="宋体"/>
          <w:color w:val="auto"/>
          <w:sz w:val="24"/>
          <w:szCs w:val="24"/>
          <w:highlight w:val="none"/>
          <w:lang w:val="zh-CN"/>
        </w:rPr>
        <w:t>。</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12.3 竞争性磋商文件如果要求供应商提交备选投标方案的，供应商可以提交备选方案；否则，备选方案将被拒绝。</w:t>
      </w:r>
    </w:p>
    <w:p>
      <w:pPr>
        <w:shd w:val="clear" w:color="auto" w:fill="FFFFFF"/>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12.4 竞争性磋商文件由本文件及由采购人按竞争性磋商文件有关规定发出的竞争性磋商文件补充构成。</w:t>
      </w:r>
    </w:p>
    <w:p>
      <w:pPr>
        <w:shd w:val="clear" w:color="auto" w:fill="FFFFFF"/>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12.5 竞争性磋商文件的澄清、修改、</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答疑会纪要等书面材料在本采购项目中均称竞争性磋商文件补充。</w:t>
      </w:r>
    </w:p>
    <w:p>
      <w:pPr>
        <w:shd w:val="clear" w:color="auto" w:fill="FFFFFF"/>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12.6 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pPr>
        <w:shd w:val="clear" w:color="auto" w:fill="FFFFFF"/>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12.7 供应商应认真审阅和理解竞争性磋商文件所有内容，尤其注意可能引起“否决投标”、“拒绝评审”、“无效响应”、“评审不予通过”等的条款，按照竞争性磋商文件要求编制响应文件。任何对竞争性磋商文件的忽略或误解不能作为响应文件存在缺陷或瑕疵的理由，其风险由供应商承担。</w:t>
      </w:r>
    </w:p>
    <w:p>
      <w:pPr>
        <w:spacing w:line="440" w:lineRule="exact"/>
        <w:ind w:firstLine="482" w:firstLineChars="200"/>
        <w:rPr>
          <w:rFonts w:hint="eastAsia" w:ascii="宋体" w:hAnsi="宋体" w:eastAsia="宋体" w:cs="宋体"/>
          <w:b/>
          <w:bCs/>
          <w:color w:val="auto"/>
          <w:sz w:val="24"/>
          <w:szCs w:val="24"/>
          <w:highlight w:val="none"/>
          <w:lang w:val="zh-CN"/>
        </w:rPr>
      </w:pPr>
      <w:bookmarkStart w:id="63" w:name="_Toc37090638"/>
      <w:bookmarkStart w:id="64" w:name="_Toc37090974"/>
      <w:bookmarkStart w:id="65" w:name="_Toc12268"/>
      <w:r>
        <w:rPr>
          <w:rFonts w:hint="eastAsia" w:ascii="宋体" w:hAnsi="宋体" w:eastAsia="宋体" w:cs="宋体"/>
          <w:b/>
          <w:bCs/>
          <w:color w:val="auto"/>
          <w:sz w:val="24"/>
          <w:szCs w:val="24"/>
          <w:highlight w:val="none"/>
          <w:lang w:val="zh-CN"/>
        </w:rPr>
        <w:t>13. 竞争性磋商文件的获取</w:t>
      </w:r>
      <w:bookmarkEnd w:id="63"/>
      <w:bookmarkEnd w:id="64"/>
      <w:bookmarkEnd w:id="65"/>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13.1竞争性磋商文件的提供期限自开始发出之日起不得少于五个工作日。具体提供期限见</w:t>
      </w:r>
      <w:r>
        <w:rPr>
          <w:rFonts w:hint="eastAsia" w:ascii="宋体" w:hAnsi="宋体" w:eastAsia="宋体" w:cs="宋体"/>
          <w:b/>
          <w:color w:val="auto"/>
          <w:kern w:val="0"/>
          <w:sz w:val="24"/>
          <w:szCs w:val="24"/>
          <w:highlight w:val="none"/>
        </w:rPr>
        <w:t>竞争性磋商公告</w:t>
      </w:r>
      <w:r>
        <w:rPr>
          <w:rFonts w:hint="eastAsia" w:ascii="宋体" w:hAnsi="宋体" w:eastAsia="宋体" w:cs="宋体"/>
          <w:color w:val="auto"/>
          <w:kern w:val="0"/>
          <w:sz w:val="24"/>
          <w:szCs w:val="24"/>
          <w:highlight w:val="none"/>
        </w:rPr>
        <w:t>。</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13.2凡符合资格要求并有意参加磋商的供应商,</w:t>
      </w:r>
      <w:r>
        <w:rPr>
          <w:rFonts w:hint="eastAsia" w:ascii="宋体" w:hAnsi="宋体" w:eastAsia="宋体" w:cs="宋体"/>
          <w:bCs/>
          <w:color w:val="auto"/>
          <w:kern w:val="0"/>
          <w:sz w:val="24"/>
          <w:szCs w:val="24"/>
          <w:highlight w:val="none"/>
        </w:rPr>
        <w:t>通过</w:t>
      </w:r>
      <w:r>
        <w:rPr>
          <w:rFonts w:hint="default" w:ascii="宋体" w:hAnsi="宋体" w:eastAsia="宋体" w:cs="宋体"/>
          <w:bCs/>
          <w:color w:val="auto"/>
          <w:kern w:val="0"/>
          <w:sz w:val="24"/>
          <w:szCs w:val="24"/>
          <w:highlight w:val="none"/>
          <w:lang w:eastAsia="zh-CN"/>
        </w:rPr>
        <w:t>新疆政府采购</w:t>
      </w:r>
      <w:r>
        <w:rPr>
          <w:rFonts w:hint="eastAsia" w:ascii="宋体" w:hAnsi="宋体" w:eastAsia="宋体" w:cs="宋体"/>
          <w:bCs/>
          <w:color w:val="auto"/>
          <w:kern w:val="0"/>
          <w:sz w:val="24"/>
          <w:szCs w:val="24"/>
          <w:highlight w:val="none"/>
          <w:lang w:eastAsia="zh-CN"/>
        </w:rPr>
        <w:t>网</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eastAsia="zh-CN"/>
        </w:rPr>
        <w:t>http://www.ccgp-xinjiang.gov.cn/</w:t>
      </w:r>
      <w:r>
        <w:rPr>
          <w:rFonts w:hint="eastAsia" w:ascii="宋体" w:hAnsi="宋体" w:eastAsia="宋体" w:cs="宋体"/>
          <w:bCs/>
          <w:color w:val="auto"/>
          <w:kern w:val="0"/>
          <w:sz w:val="24"/>
          <w:szCs w:val="24"/>
          <w:highlight w:val="none"/>
        </w:rPr>
        <w:t>）的”政采云登录入口”登录递交申请资料，经采购代理机构审核通过后，在</w:t>
      </w:r>
      <w:r>
        <w:rPr>
          <w:rFonts w:hint="eastAsia" w:ascii="宋体" w:hAnsi="宋体" w:eastAsia="宋体" w:cs="宋体"/>
          <w:color w:val="auto"/>
          <w:sz w:val="24"/>
          <w:highlight w:val="none"/>
        </w:rPr>
        <w:t>“项目采购”项下的“获取采购文件”自行领取竞争性磋商文件。</w:t>
      </w:r>
    </w:p>
    <w:p>
      <w:pPr>
        <w:spacing w:line="440" w:lineRule="exact"/>
        <w:ind w:firstLine="482" w:firstLineChars="200"/>
        <w:rPr>
          <w:rFonts w:hint="eastAsia" w:ascii="宋体" w:hAnsi="宋体" w:eastAsia="宋体" w:cs="宋体"/>
          <w:b/>
          <w:bCs/>
          <w:color w:val="auto"/>
          <w:sz w:val="24"/>
          <w:szCs w:val="24"/>
          <w:highlight w:val="none"/>
          <w:lang w:val="zh-CN"/>
        </w:rPr>
      </w:pPr>
      <w:bookmarkStart w:id="66" w:name="_Toc28565"/>
      <w:bookmarkStart w:id="67" w:name="_Toc37090975"/>
      <w:bookmarkStart w:id="68" w:name="_Toc37090639"/>
      <w:r>
        <w:rPr>
          <w:rFonts w:hint="eastAsia" w:ascii="宋体" w:hAnsi="宋体" w:eastAsia="宋体" w:cs="宋体"/>
          <w:b/>
          <w:bCs/>
          <w:color w:val="auto"/>
          <w:sz w:val="24"/>
          <w:szCs w:val="24"/>
          <w:highlight w:val="none"/>
          <w:lang w:val="zh-CN"/>
        </w:rPr>
        <w:t>14. 竞争性磋商文件的澄清或修改</w:t>
      </w:r>
      <w:bookmarkEnd w:id="66"/>
      <w:bookmarkEnd w:id="67"/>
      <w:bookmarkEnd w:id="68"/>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供应商若对竞争性磋商文件有任何疑问，应当在获取竞争性磋商文件或者竞争性磋商文件公告期限届满之日起7个工作日内提出。本项目接受对竞争性磋商文件质疑的截止时间见“前附表”第12项，供应商须在截止时间前一次性提出对竞争性磋商文件质疑内容。供应商提出质疑应当提交质疑函和必要的证明材料。质疑函应当包括下列内容：</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14.1.1供应商的姓名或者名称、地址、邮编、联系人及联系电话；</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14.1.2质疑项目的名称、编号；</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14.1.3具体、明确的质疑事项和与质疑事项相关的请求；</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14.1.4事实依据；</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14.1.5必要的法律依据；</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14.1.6提出质疑的日期。</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14.2</w:t>
      </w:r>
      <w:r>
        <w:rPr>
          <w:rFonts w:hint="eastAsia" w:ascii="宋体" w:hAnsi="宋体" w:eastAsia="宋体" w:cs="宋体"/>
          <w:color w:val="auto"/>
          <w:sz w:val="24"/>
          <w:szCs w:val="24"/>
          <w:highlight w:val="none"/>
        </w:rPr>
        <w:t xml:space="preserve"> 在响应文件递交截止期前的任何时候，无论出于何种原因，采购人均可主动地或在解答供应商提出的澄清问题时对竞争性磋商文件进行修改。</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竞争性磋商文件的修改将以书面形式通知所有参与磋商的供应商，并对其具有约束力，供应商应立即以传真形式回复采购人，确认已收到修改文件。</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14.4为使供应商有充分的时间对竞争性磋商文件的修改文件进行研究，采购人有权推迟磋商时间，并将此变更书面通知所有参与磋商的供应商。</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在上述情况下，采购人与供应商响应文件递交截止日前的全部权利、责任和义务，将适用于延长后的响应文件递交截止期。</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14.6 </w:t>
      </w:r>
      <w:r>
        <w:rPr>
          <w:rFonts w:hint="eastAsia" w:ascii="宋体" w:hAnsi="宋体" w:eastAsia="宋体" w:cs="宋体"/>
          <w:color w:val="auto"/>
          <w:sz w:val="24"/>
          <w:szCs w:val="24"/>
          <w:highlight w:val="none"/>
        </w:rPr>
        <w:t>供应商领取竞争性磋商文件后，应仔细检查竞争性磋商文件的所有内容，如有残缺应在领到竞争性磋商文件后5日内向采购代理机构提出，否则，由此引起的损失自负；供应商同时应认真审阅竞争性磋商文件所有的事项、格式、条款和规范要求等，如果供应商没有按竞争性磋商文件要求提交全部资料或者没有对竞争性磋商文件做出实质性响应，其风险应由供应商自行承担。</w:t>
      </w:r>
    </w:p>
    <w:p>
      <w:pPr>
        <w:shd w:val="clear" w:color="auto" w:fill="FFFFFF"/>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14.6响应文件递交截止时间前，供应商须随时关注本项目竞争性磋商公告发布网站（</w:t>
      </w:r>
      <w:r>
        <w:rPr>
          <w:rFonts w:hint="default" w:ascii="宋体" w:hAnsi="宋体" w:eastAsia="宋体" w:cs="宋体"/>
          <w:color w:val="auto"/>
          <w:kern w:val="0"/>
          <w:sz w:val="24"/>
          <w:szCs w:val="24"/>
          <w:highlight w:val="none"/>
          <w:lang w:eastAsia="zh-CN"/>
        </w:rPr>
        <w:t>新疆政府采购</w:t>
      </w:r>
      <w:r>
        <w:rPr>
          <w:rFonts w:hint="eastAsia" w:ascii="宋体" w:hAnsi="宋体" w:eastAsia="宋体" w:cs="宋体"/>
          <w:color w:val="auto"/>
          <w:kern w:val="0"/>
          <w:sz w:val="24"/>
          <w:szCs w:val="24"/>
          <w:highlight w:val="none"/>
          <w:lang w:eastAsia="zh-CN"/>
        </w:rPr>
        <w:t>网</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http://www.ccgp-xinjiang.gov.cn/</w:t>
      </w:r>
      <w:r>
        <w:rPr>
          <w:rFonts w:hint="eastAsia" w:ascii="宋体" w:hAnsi="宋体" w:eastAsia="宋体" w:cs="宋体"/>
          <w:color w:val="auto"/>
          <w:kern w:val="0"/>
          <w:sz w:val="24"/>
          <w:szCs w:val="24"/>
          <w:highlight w:val="none"/>
        </w:rPr>
        <w:t>））上本项目的最新</w:t>
      </w:r>
      <w:r>
        <w:rPr>
          <w:rFonts w:hint="eastAsia" w:ascii="宋体" w:hAnsi="宋体" w:eastAsia="宋体" w:cs="宋体"/>
          <w:color w:val="auto"/>
          <w:sz w:val="24"/>
          <w:szCs w:val="24"/>
          <w:highlight w:val="none"/>
        </w:rPr>
        <w:t>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pPr>
        <w:spacing w:line="440" w:lineRule="exact"/>
        <w:ind w:firstLine="482" w:firstLineChars="200"/>
        <w:rPr>
          <w:rFonts w:hint="eastAsia" w:ascii="宋体" w:hAnsi="宋体" w:eastAsia="宋体" w:cs="宋体"/>
          <w:b/>
          <w:bCs/>
          <w:color w:val="auto"/>
          <w:sz w:val="24"/>
          <w:szCs w:val="24"/>
          <w:highlight w:val="none"/>
          <w:lang w:val="zh-CN"/>
        </w:rPr>
      </w:pPr>
      <w:bookmarkStart w:id="69" w:name="_Toc37090640"/>
      <w:bookmarkStart w:id="70" w:name="_Toc37090976"/>
      <w:bookmarkStart w:id="71" w:name="_Toc18141"/>
      <w:r>
        <w:rPr>
          <w:rFonts w:hint="eastAsia" w:ascii="宋体" w:hAnsi="宋体" w:eastAsia="宋体" w:cs="宋体"/>
          <w:b/>
          <w:bCs/>
          <w:color w:val="auto"/>
          <w:sz w:val="24"/>
          <w:szCs w:val="24"/>
          <w:highlight w:val="none"/>
          <w:lang w:val="zh-CN"/>
        </w:rPr>
        <w:t xml:space="preserve">15. </w:t>
      </w:r>
      <w:r>
        <w:rPr>
          <w:rFonts w:hint="eastAsia" w:ascii="宋体" w:hAnsi="宋体" w:eastAsia="宋体" w:cs="宋体"/>
          <w:b/>
          <w:bCs/>
          <w:color w:val="auto"/>
          <w:sz w:val="24"/>
          <w:szCs w:val="24"/>
          <w:highlight w:val="none"/>
        </w:rPr>
        <w:t xml:space="preserve"> 磋商</w:t>
      </w:r>
      <w:r>
        <w:rPr>
          <w:rFonts w:hint="eastAsia" w:ascii="宋体" w:hAnsi="宋体" w:eastAsia="宋体" w:cs="宋体"/>
          <w:b/>
          <w:bCs/>
          <w:color w:val="auto"/>
          <w:sz w:val="24"/>
          <w:szCs w:val="24"/>
          <w:highlight w:val="none"/>
          <w:lang w:val="zh-CN"/>
        </w:rPr>
        <w:t>报价</w:t>
      </w:r>
      <w:bookmarkEnd w:id="69"/>
      <w:bookmarkEnd w:id="70"/>
      <w:bookmarkEnd w:id="71"/>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本采购项目使用的货币为</w:t>
      </w:r>
      <w:r>
        <w:rPr>
          <w:rFonts w:hint="eastAsia" w:ascii="宋体" w:hAnsi="宋体" w:eastAsia="宋体" w:cs="宋体"/>
          <w:color w:val="auto"/>
          <w:kern w:val="0"/>
          <w:sz w:val="24"/>
          <w:szCs w:val="24"/>
          <w:highlight w:val="none"/>
          <w:u w:val="single"/>
        </w:rPr>
        <w:t xml:space="preserve"> 人民币 </w:t>
      </w:r>
      <w:r>
        <w:rPr>
          <w:rFonts w:hint="eastAsia" w:ascii="宋体" w:hAnsi="宋体" w:eastAsia="宋体" w:cs="宋体"/>
          <w:color w:val="auto"/>
          <w:kern w:val="0"/>
          <w:sz w:val="24"/>
          <w:szCs w:val="24"/>
          <w:highlight w:val="none"/>
        </w:rPr>
        <w:t>，实施时亦以</w:t>
      </w:r>
      <w:r>
        <w:rPr>
          <w:rFonts w:hint="eastAsia" w:ascii="宋体" w:hAnsi="宋体" w:eastAsia="宋体" w:cs="宋体"/>
          <w:color w:val="auto"/>
          <w:kern w:val="0"/>
          <w:sz w:val="24"/>
          <w:szCs w:val="24"/>
          <w:highlight w:val="none"/>
          <w:u w:val="single"/>
        </w:rPr>
        <w:t xml:space="preserve"> 人民币 </w:t>
      </w:r>
      <w:r>
        <w:rPr>
          <w:rFonts w:hint="eastAsia" w:ascii="宋体" w:hAnsi="宋体" w:eastAsia="宋体" w:cs="宋体"/>
          <w:color w:val="auto"/>
          <w:kern w:val="0"/>
          <w:sz w:val="24"/>
          <w:szCs w:val="24"/>
          <w:highlight w:val="none"/>
        </w:rPr>
        <w:t>支付。</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15.2 磋商报价为本竞争性磋商文件所确定的采购范围内的全部工作内容的价格体现。任何有选</w:t>
      </w:r>
      <w:r>
        <w:rPr>
          <w:rFonts w:hint="eastAsia" w:ascii="宋体" w:hAnsi="宋体" w:eastAsia="宋体" w:cs="宋体"/>
          <w:color w:val="auto"/>
          <w:sz w:val="24"/>
          <w:szCs w:val="24"/>
          <w:highlight w:val="none"/>
        </w:rPr>
        <w:t>择的报价将不予接受（除非采购人另有约定），否则，在评审时将其视为无效响应。</w:t>
      </w:r>
    </w:p>
    <w:p>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磋商价格应包括：价格部分是对磋商服务价格构成的说明，每一项服务仅接受一个价格。磋商报价包括供应商为实施本项目提供全部服务内容所包括的全部价格的体现。</w:t>
      </w:r>
    </w:p>
    <w:p>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15.3.1磋商报价为含税价，应是完成竞争性磋商文件及合同条款上所列采购范围及所需的全部服务费用，供应商不得以任何理由予以重复，未列和没有填写的项目费用，视为已考虑在磋商总报价中。</w:t>
      </w:r>
    </w:p>
    <w:p>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15.3.3供应商应在《响应文件报价一览表》标明供应商磋商报价；在《报价明细表》提供明细报价。</w:t>
      </w:r>
    </w:p>
    <w:p>
      <w:pPr>
        <w:pStyle w:val="15"/>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15.3.4本</w:t>
      </w:r>
      <w:r>
        <w:rPr>
          <w:rFonts w:hint="eastAsia" w:ascii="宋体" w:hAnsi="宋体" w:eastAsia="宋体" w:cs="宋体"/>
          <w:b/>
          <w:bCs/>
          <w:color w:val="auto"/>
          <w:sz w:val="24"/>
          <w:szCs w:val="24"/>
          <w:highlight w:val="none"/>
        </w:rPr>
        <w:t>次磋商实行两次报价，加密的响应文件中提供的供应商报价为一次报价，在磋商小组对各供应商的响应文件进行初步评审（资格评审、符合性评审）后，由磋商小组开启二次报价，各供应商须在二次报价开启后的</w:t>
      </w:r>
      <w:r>
        <w:rPr>
          <w:rFonts w:hint="eastAsia" w:ascii="宋体" w:hAnsi="宋体" w:eastAsia="宋体" w:cs="宋体"/>
          <w:b/>
          <w:bCs/>
          <w:color w:val="auto"/>
          <w:sz w:val="24"/>
          <w:szCs w:val="24"/>
          <w:highlight w:val="none"/>
          <w:lang w:eastAsia="zh-CN"/>
        </w:rPr>
        <w:t>30分钟</w:t>
      </w:r>
      <w:r>
        <w:rPr>
          <w:rFonts w:hint="eastAsia" w:ascii="宋体" w:hAnsi="宋体" w:eastAsia="宋体" w:cs="宋体"/>
          <w:b/>
          <w:bCs/>
          <w:color w:val="auto"/>
          <w:sz w:val="24"/>
          <w:szCs w:val="24"/>
          <w:highlight w:val="none"/>
        </w:rPr>
        <w:t>内登录政采云系统进行二次（最后）报价。因供应商自身原因未在系统内及时填报二次报价的，其责任由供应商承担。</w:t>
      </w:r>
    </w:p>
    <w:p>
      <w:pPr>
        <w:shd w:val="clear" w:color="auto" w:fill="FFFFFF"/>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示：开标/磋商时，请供应商随时关注政采云账号内的站内信；注册时留下的注册人的手机短息（系统会推送短信至注册联系人的手机），但此短信仅系友情提示，并不具有任何约束性和必要性，采购代理机构不承担供应商未收到短信而引起的一切后果和法律责任。</w:t>
      </w:r>
    </w:p>
    <w:p>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16.磋商保证金</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磋商保证金是为了保护采购人和采购代理机构免遭因供应商的违规、违约行为而引起的风险，采购人/代理机构在受到损害时可根据本须知的有关规定没收供应商的磋商保证金。成交供应商如未能按竞争性磋商文件要求与采购人签署项目合同并提交建设履约保证金，视为供应商违约，则采购人有权提取成交供应商磋商保证金。</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供应商应提交磋商保证金，并作为其响应文件的一部分。竞争性磋商文件前附表规定交纳磋商保证金的，供应商应按竞争性磋商文件前附表规定的要求提交保证金，磋商保证金有效期应与竞争性磋商文件规定的磋商有效期一致。供应商未按照竞争性磋商文件要求提交磋商保证金的，投标无效。</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磋商保证金缴纳方式要求见供应商须知前附表。</w:t>
      </w:r>
      <w:r>
        <w:rPr>
          <w:rFonts w:hint="eastAsia" w:ascii="宋体" w:hAnsi="宋体" w:eastAsia="宋体" w:cs="宋体"/>
          <w:b/>
          <w:bCs/>
          <w:color w:val="auto"/>
          <w:kern w:val="0"/>
          <w:sz w:val="24"/>
          <w:szCs w:val="24"/>
          <w:highlight w:val="none"/>
        </w:rPr>
        <w:t>凡未按竞争性磋商文件要求提交磋商保证金的，将视为非实质性响应性磋商文件要求，其响应文件将被拒绝。</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16.4竞争性磋商文件接受联合体投标的，可以由联合体中的一方或者共同提交磋商保证金。以一方名义提交磋商保证金的，对联合体各方均具有约束力。</w:t>
      </w:r>
    </w:p>
    <w:p>
      <w:pPr>
        <w:shd w:val="clear" w:color="auto" w:fill="FFFFFF"/>
        <w:spacing w:line="440" w:lineRule="exact"/>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16.5 未成交供应商的磋商保证金，将在《成交通知书》发出5个工作日内退还。因违反规定被没收的磋商保证金不予退回。</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16.6 成交供应商的磋商保证金自采购合同签订之日起5个工作日内退还。</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16.7 </w:t>
      </w:r>
      <w:r>
        <w:rPr>
          <w:rFonts w:hint="eastAsia" w:ascii="宋体" w:hAnsi="宋体" w:eastAsia="宋体" w:cs="宋体"/>
          <w:b/>
          <w:color w:val="auto"/>
          <w:kern w:val="0"/>
          <w:sz w:val="24"/>
          <w:szCs w:val="24"/>
          <w:highlight w:val="none"/>
        </w:rPr>
        <w:t>下列任何情况发生时，磋商保证金将可能被没收：</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16.7.1 供应商在规定的磋商有效期内撤回其响应文件的；</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16.7.2 成交供应商无正当理由拒绝按规定与采购人签订合同或未能在规定期限内签署合同的或未按竞争性磋商文件要求提交履约保证金的；</w:t>
      </w:r>
    </w:p>
    <w:p>
      <w:pPr>
        <w:shd w:val="clear" w:color="auto" w:fill="FFFFFF"/>
        <w:autoSpaceDE w:val="0"/>
        <w:autoSpaceDN w:val="0"/>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16.8 </w:t>
      </w:r>
      <w:r>
        <w:rPr>
          <w:rFonts w:hint="eastAsia" w:ascii="宋体" w:hAnsi="宋体" w:eastAsia="宋体" w:cs="宋体"/>
          <w:b/>
          <w:color w:val="auto"/>
          <w:kern w:val="0"/>
          <w:sz w:val="24"/>
          <w:szCs w:val="24"/>
          <w:highlight w:val="none"/>
        </w:rPr>
        <w:t>供应商办理磋商保证金退款申请手续须提供以下资料：</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16.8.1供应商须给采购代理机构提供账户信息（单位名称、开户银行名称、银行账号、银行行号）</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16.8.2 成交供应商办理磋商保证金退款申请时，除16.8.1项要求外，还须提供与采购人签订的已加盖成交供应商公章的合同全本复印件一份及PDF扫描件一份（代理机构存档备查）。</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特殊说明：成交供应商须自项目验收合格后5个工作日内，将经采购人签章确认的《验收书》原件壹份（及复印件壹份加盖成交供应商公章）提交至采购代理机构。</w:t>
      </w:r>
    </w:p>
    <w:p>
      <w:pPr>
        <w:spacing w:line="440" w:lineRule="exact"/>
        <w:ind w:firstLine="482" w:firstLineChars="200"/>
        <w:rPr>
          <w:rFonts w:hint="eastAsia" w:ascii="宋体" w:hAnsi="宋体" w:eastAsia="宋体" w:cs="宋体"/>
          <w:b/>
          <w:bCs/>
          <w:color w:val="auto"/>
          <w:sz w:val="24"/>
          <w:szCs w:val="24"/>
          <w:highlight w:val="none"/>
          <w:lang w:val="zh-CN"/>
        </w:rPr>
      </w:pPr>
      <w:bookmarkStart w:id="72" w:name="_Toc37090977"/>
      <w:bookmarkStart w:id="73" w:name="_Toc5612"/>
      <w:bookmarkStart w:id="74" w:name="_Toc37090641"/>
      <w:r>
        <w:rPr>
          <w:rFonts w:hint="eastAsia" w:ascii="宋体" w:hAnsi="宋体" w:eastAsia="宋体" w:cs="宋体"/>
          <w:b/>
          <w:bCs/>
          <w:color w:val="auto"/>
          <w:sz w:val="24"/>
          <w:szCs w:val="24"/>
          <w:highlight w:val="none"/>
          <w:lang w:val="zh-CN"/>
        </w:rPr>
        <w:t xml:space="preserve">17. </w:t>
      </w:r>
      <w:r>
        <w:rPr>
          <w:rFonts w:hint="eastAsia" w:ascii="宋体" w:hAnsi="宋体" w:eastAsia="宋体" w:cs="宋体"/>
          <w:b/>
          <w:bCs/>
          <w:color w:val="auto"/>
          <w:sz w:val="24"/>
          <w:szCs w:val="24"/>
          <w:highlight w:val="none"/>
        </w:rPr>
        <w:t>磋商</w:t>
      </w:r>
      <w:r>
        <w:rPr>
          <w:rFonts w:hint="eastAsia" w:ascii="宋体" w:hAnsi="宋体" w:eastAsia="宋体" w:cs="宋体"/>
          <w:b/>
          <w:bCs/>
          <w:color w:val="auto"/>
          <w:sz w:val="24"/>
          <w:szCs w:val="24"/>
          <w:highlight w:val="none"/>
          <w:lang w:val="zh-CN"/>
        </w:rPr>
        <w:t>答疑会和现场踏勘</w:t>
      </w:r>
      <w:bookmarkEnd w:id="72"/>
      <w:bookmarkEnd w:id="73"/>
      <w:bookmarkEnd w:id="74"/>
    </w:p>
    <w:p>
      <w:pPr>
        <w:spacing w:line="440" w:lineRule="exact"/>
        <w:ind w:firstLine="480" w:firstLineChars="200"/>
        <w:rPr>
          <w:rFonts w:hint="eastAsia" w:ascii="宋体" w:hAnsi="宋体" w:eastAsia="宋体" w:cs="宋体"/>
          <w:color w:val="auto"/>
          <w:sz w:val="24"/>
          <w:szCs w:val="24"/>
          <w:highlight w:val="none"/>
          <w:lang w:val="zh-CN"/>
        </w:rPr>
      </w:pPr>
      <w:bookmarkStart w:id="75" w:name="_Toc8947"/>
      <w:bookmarkStart w:id="76" w:name="_Toc37090978"/>
      <w:bookmarkStart w:id="77" w:name="_Toc37090642"/>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zh-CN"/>
        </w:rPr>
        <w:t xml:space="preserve"> 磋商须知前附表规定组织磋商答疑会和现场踏勘的，采购人按磋商须知前附表规定的时间、地点组织供应商</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答疑会</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zh-CN"/>
        </w:rPr>
        <w:t xml:space="preserve">踏勘项目现场。 </w:t>
      </w:r>
    </w:p>
    <w:p>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lang w:val="zh-CN"/>
        </w:rPr>
        <w:t xml:space="preserve"> 供应商踏勘现场发生的费用自理。</w:t>
      </w:r>
    </w:p>
    <w:p>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lang w:val="zh-CN"/>
        </w:rPr>
        <w:t xml:space="preserve"> 除采购人的原因外，供应商自行负责在踏勘现场中所发生的人员伤亡和财产损失。</w:t>
      </w:r>
    </w:p>
    <w:p>
      <w:pPr>
        <w:spacing w:line="440" w:lineRule="exact"/>
        <w:ind w:firstLine="480" w:firstLineChars="2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lang w:val="zh-CN"/>
        </w:rPr>
        <w:t xml:space="preserve"> 采购人在踏勘现场中介绍的工程场地和相关的周边环境情况，供应商在编制响应文件时参考，采购人不对供应商据此作出的判断和决策负责</w:t>
      </w:r>
      <w:r>
        <w:rPr>
          <w:rFonts w:hint="eastAsia" w:ascii="宋体" w:hAnsi="宋体" w:eastAsia="宋体" w:cs="宋体"/>
          <w:b/>
          <w:bCs/>
          <w:color w:val="auto"/>
          <w:sz w:val="24"/>
          <w:szCs w:val="24"/>
          <w:highlight w:val="none"/>
          <w:lang w:val="zh-CN"/>
        </w:rPr>
        <w:t>。</w:t>
      </w:r>
    </w:p>
    <w:p>
      <w:pPr>
        <w:spacing w:line="44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 xml:space="preserve">18. </w:t>
      </w:r>
      <w:bookmarkEnd w:id="75"/>
      <w:bookmarkEnd w:id="76"/>
      <w:bookmarkEnd w:id="77"/>
      <w:r>
        <w:rPr>
          <w:rFonts w:hint="eastAsia" w:ascii="宋体" w:hAnsi="宋体" w:eastAsia="宋体" w:cs="宋体"/>
          <w:b/>
          <w:bCs/>
          <w:color w:val="auto"/>
          <w:sz w:val="24"/>
          <w:szCs w:val="24"/>
          <w:highlight w:val="none"/>
          <w:lang w:val="zh-CN"/>
        </w:rPr>
        <w:t>磋商有效期</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磋商有效期见本须知前附表所规定的期限，在此期限内，凡符合本竞争性磋商文件要求的响应文件均保持有效。磋商有效期不足的，在评审时将其视为无效响应。</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在特殊情况下，采购人在原定的磋商有效期内，可以根据需要以书面形式向供应商提出延长磋商有效期的要求，对此要求供应商须以书面形式予以答复。供应商拒绝延长的，其投标在原磋商有效期期届满后将不再有效，但有权收回其磋商保证金；同意延长磋商有效期的供应商既不能要求也不允许修改或撤回其响应文件。</w:t>
      </w:r>
    </w:p>
    <w:p>
      <w:pPr>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78" w:name="_Toc25205"/>
      <w:bookmarkStart w:id="79" w:name="_Toc37090979"/>
      <w:bookmarkStart w:id="80" w:name="_Toc37090643"/>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三</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响应文件的编制</w:t>
      </w:r>
      <w:bookmarkEnd w:id="78"/>
    </w:p>
    <w:p>
      <w:pPr>
        <w:spacing w:line="440" w:lineRule="exact"/>
        <w:ind w:firstLine="482" w:firstLineChars="200"/>
        <w:rPr>
          <w:rFonts w:hint="eastAsia" w:ascii="宋体" w:hAnsi="宋体" w:eastAsia="宋体" w:cs="宋体"/>
          <w:b/>
          <w:bCs/>
          <w:color w:val="auto"/>
          <w:sz w:val="24"/>
          <w:szCs w:val="24"/>
          <w:highlight w:val="none"/>
          <w:lang w:val="zh-CN"/>
        </w:rPr>
      </w:pPr>
      <w:bookmarkStart w:id="81" w:name="_Toc12448"/>
      <w:r>
        <w:rPr>
          <w:rFonts w:hint="eastAsia" w:ascii="宋体" w:hAnsi="宋体" w:eastAsia="宋体" w:cs="宋体"/>
          <w:b/>
          <w:bCs/>
          <w:color w:val="auto"/>
          <w:sz w:val="24"/>
          <w:szCs w:val="24"/>
          <w:highlight w:val="none"/>
          <w:lang w:val="zh-CN"/>
        </w:rPr>
        <w:t>19. 响应文件编制要求</w:t>
      </w:r>
      <w:bookmarkEnd w:id="79"/>
      <w:bookmarkEnd w:id="80"/>
      <w:bookmarkEnd w:id="81"/>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19.1供应商提交的响应文件及供应商与采购代理机构就有关投标的所有来往函电均使用中文。</w:t>
      </w:r>
    </w:p>
    <w:p>
      <w:pPr>
        <w:spacing w:line="440" w:lineRule="exact"/>
        <w:ind w:firstLine="482" w:firstLineChars="200"/>
        <w:rPr>
          <w:rFonts w:hint="eastAsia" w:ascii="宋体" w:hAnsi="宋体" w:eastAsia="宋体" w:cs="宋体"/>
          <w:b/>
          <w:bCs/>
          <w:color w:val="auto"/>
          <w:sz w:val="24"/>
          <w:szCs w:val="24"/>
          <w:highlight w:val="none"/>
          <w:lang w:val="zh-CN"/>
        </w:rPr>
      </w:pPr>
      <w:bookmarkStart w:id="82" w:name="_Toc37090644"/>
      <w:bookmarkStart w:id="83" w:name="_Toc7871"/>
      <w:bookmarkStart w:id="84" w:name="_Toc37090980"/>
      <w:r>
        <w:rPr>
          <w:rFonts w:hint="eastAsia" w:ascii="宋体" w:hAnsi="宋体" w:eastAsia="宋体" w:cs="宋体"/>
          <w:b/>
          <w:bCs/>
          <w:color w:val="auto"/>
          <w:sz w:val="24"/>
          <w:szCs w:val="24"/>
          <w:highlight w:val="none"/>
          <w:lang w:val="zh-CN"/>
        </w:rPr>
        <w:t>20. 响应文件编制的依据</w:t>
      </w:r>
      <w:bookmarkEnd w:id="82"/>
      <w:bookmarkEnd w:id="83"/>
      <w:bookmarkEnd w:id="84"/>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20.1 采购人提供的采购需求及有关资料；</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 本竞争性磋商文件及竞争性磋商文件的修改或者澄清；</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 相关的法律、法规和规定。</w:t>
      </w:r>
    </w:p>
    <w:p>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响应文件的组成：响应书、资格证明文件、商务部分、技术部分。</w:t>
      </w:r>
    </w:p>
    <w:p>
      <w:pPr>
        <w:spacing w:line="440" w:lineRule="exact"/>
        <w:ind w:firstLine="482" w:firstLineChars="200"/>
        <w:rPr>
          <w:rFonts w:hint="eastAsia" w:ascii="宋体" w:hAnsi="宋体" w:eastAsia="宋体" w:cs="宋体"/>
          <w:b/>
          <w:bCs/>
          <w:color w:val="auto"/>
          <w:sz w:val="24"/>
          <w:szCs w:val="24"/>
          <w:highlight w:val="none"/>
          <w:lang w:val="zh-CN"/>
        </w:rPr>
      </w:pPr>
      <w:bookmarkStart w:id="85" w:name="_Toc37090981"/>
      <w:bookmarkStart w:id="86" w:name="_Toc3695"/>
      <w:bookmarkStart w:id="87" w:name="_Toc37090645"/>
      <w:r>
        <w:rPr>
          <w:rFonts w:hint="eastAsia" w:ascii="宋体" w:hAnsi="宋体" w:eastAsia="宋体" w:cs="宋体"/>
          <w:b/>
          <w:bCs/>
          <w:color w:val="auto"/>
          <w:sz w:val="24"/>
          <w:szCs w:val="24"/>
          <w:highlight w:val="none"/>
          <w:lang w:val="zh-CN"/>
        </w:rPr>
        <w:t>22. 响应文件的编制及格式</w:t>
      </w:r>
      <w:bookmarkEnd w:id="85"/>
      <w:bookmarkEnd w:id="86"/>
      <w:bookmarkEnd w:id="87"/>
    </w:p>
    <w:p>
      <w:pPr>
        <w:shd w:val="clear" w:color="auto" w:fill="FFFFFF"/>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22.1 供应商提供的响应文件应按照本须知第21条规定的内容编制，供应商在响应文件中必须提供有关材料，如果缺项，或不符合要求，将导致响应文件无效。</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22.2供应商提供的响应文件应当使用竞争性磋商文件所提供响应文件格式（表格可按照同样格式扩展），并保证所提供的资料的真实性。未提供格式的，供应商可自行编制。</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w:t>
      </w:r>
      <w:r>
        <w:rPr>
          <w:rFonts w:hint="eastAsia" w:ascii="宋体" w:hAnsi="宋体" w:eastAsia="宋体" w:cs="宋体"/>
          <w:color w:val="auto"/>
          <w:sz w:val="24"/>
          <w:szCs w:val="24"/>
          <w:highlight w:val="none"/>
        </w:rPr>
        <w:t>本竞争性磋商文件规定的响应文件编制中所需提交的证明材料须加盖供应商电子公章，且内容须清晰可辩</w:t>
      </w:r>
      <w:r>
        <w:rPr>
          <w:rFonts w:hint="eastAsia" w:ascii="宋体" w:hAnsi="宋体" w:eastAsia="宋体" w:cs="宋体"/>
          <w:b/>
          <w:color w:val="auto"/>
          <w:sz w:val="24"/>
          <w:szCs w:val="24"/>
          <w:highlight w:val="none"/>
        </w:rPr>
        <w:t>。</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22.4 响应文件严禁涂改或行间插字和增删。除非这些修改是根据采购人的指示进行的，或者是供应商造成的必须修改的错误，</w:t>
      </w:r>
      <w:r>
        <w:rPr>
          <w:rFonts w:hint="eastAsia" w:ascii="宋体" w:hAnsi="宋体" w:eastAsia="宋体" w:cs="宋体"/>
          <w:color w:val="auto"/>
          <w:sz w:val="24"/>
          <w:szCs w:val="24"/>
          <w:highlight w:val="none"/>
        </w:rPr>
        <w:t>必要的修改处必须有供应商法人代表或其授权代表人签字。</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竞争性磋商文件中分标段的，</w:t>
      </w:r>
      <w:r>
        <w:rPr>
          <w:rFonts w:hint="eastAsia" w:ascii="宋体" w:hAnsi="宋体" w:eastAsia="宋体" w:cs="宋体"/>
          <w:color w:val="auto"/>
          <w:sz w:val="24"/>
          <w:szCs w:val="24"/>
          <w:highlight w:val="none"/>
          <w:lang w:val="zh-CN"/>
        </w:rPr>
        <w:t>供应商须针对本单位所投标段分别编制响应文件并单独提交。</w:t>
      </w:r>
      <w:r>
        <w:rPr>
          <w:rFonts w:hint="eastAsia" w:ascii="宋体" w:hAnsi="宋体" w:eastAsia="宋体" w:cs="宋体"/>
          <w:color w:val="auto"/>
          <w:sz w:val="24"/>
          <w:szCs w:val="24"/>
          <w:highlight w:val="none"/>
        </w:rPr>
        <w:t>供应商应当按照竞争性磋商文件的要求编制响应文件。响应文件应当对竞争性磋商文件提出的要求和条件作出明确响应。</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22.6电子响应文件制作时，按照竞争性磋商文件中明确的响应文件目录和格式进行编制，保证目录清晰、内容完整。操作方法详见本须知前附表第24项。           </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22.7电子响应文件须使用供应商电子公章以及法定代表人的电子签名（或手写签名的扫描件）。</w:t>
      </w:r>
      <w:r>
        <w:rPr>
          <w:rFonts w:hint="eastAsia" w:ascii="宋体" w:hAnsi="宋体" w:cs="宋体"/>
          <w:b/>
          <w:color w:val="auto"/>
          <w:sz w:val="24"/>
          <w:highlight w:val="none"/>
        </w:rPr>
        <w:t>若无电子签章/签名，则视为无效响应。</w:t>
      </w:r>
    </w:p>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22.8电子招响应文件具有法律效力，与其他形式的招响应文件在内容和格式上等同，若响应文件与竞争性磋商文件要求不一致，其内容影响成交结果时，责任由供应商自行承担。</w:t>
      </w:r>
      <w:r>
        <w:rPr>
          <w:rFonts w:hint="eastAsia" w:ascii="宋体" w:hAnsi="宋体" w:cs="宋体"/>
          <w:b/>
          <w:color w:val="auto"/>
          <w:sz w:val="24"/>
          <w:highlight w:val="none"/>
        </w:rPr>
        <w:t>供应商递交的电子响应文件因供应商自身原因而导致无法导入电子辅助评审系统，该响应文件视为无效响应文件，将导致其投标被拒绝。</w:t>
      </w:r>
    </w:p>
    <w:p>
      <w:pPr>
        <w:spacing w:line="440" w:lineRule="exact"/>
        <w:ind w:firstLine="482" w:firstLineChars="200"/>
        <w:rPr>
          <w:rFonts w:hint="eastAsia" w:ascii="宋体" w:hAnsi="宋体" w:eastAsia="宋体" w:cs="宋体"/>
          <w:b/>
          <w:bCs/>
          <w:color w:val="auto"/>
          <w:sz w:val="24"/>
          <w:szCs w:val="24"/>
          <w:highlight w:val="none"/>
          <w:lang w:val="zh-CN"/>
        </w:rPr>
      </w:pPr>
      <w:bookmarkStart w:id="88" w:name="_Toc37090982"/>
      <w:bookmarkStart w:id="89" w:name="_Toc1377"/>
      <w:bookmarkStart w:id="90" w:name="_Toc37090646"/>
      <w:r>
        <w:rPr>
          <w:rFonts w:hint="eastAsia" w:ascii="宋体" w:hAnsi="宋体" w:eastAsia="宋体" w:cs="宋体"/>
          <w:b/>
          <w:bCs/>
          <w:color w:val="auto"/>
          <w:sz w:val="24"/>
          <w:szCs w:val="24"/>
          <w:highlight w:val="none"/>
          <w:lang w:val="zh-CN"/>
        </w:rPr>
        <w:t>23. 响应文件的份数和签署</w:t>
      </w:r>
      <w:bookmarkEnd w:id="88"/>
      <w:bookmarkEnd w:id="89"/>
      <w:bookmarkEnd w:id="90"/>
    </w:p>
    <w:p>
      <w:pPr>
        <w:shd w:val="clear" w:color="auto" w:fill="FFFFFF"/>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23.1 供应商应当按照本须知前附表第</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项规定的</w:t>
      </w:r>
      <w:r>
        <w:rPr>
          <w:rFonts w:hint="eastAsia" w:ascii="宋体" w:hAnsi="宋体" w:eastAsia="宋体" w:cs="宋体"/>
          <w:color w:val="auto"/>
          <w:sz w:val="24"/>
          <w:szCs w:val="24"/>
          <w:highlight w:val="none"/>
        </w:rPr>
        <w:t>响应文件递交截止时间前</w:t>
      </w:r>
      <w:r>
        <w:rPr>
          <w:rFonts w:hint="eastAsia" w:ascii="宋体" w:hAnsi="宋体" w:eastAsia="宋体" w:cs="宋体"/>
          <w:b/>
          <w:color w:val="auto"/>
          <w:kern w:val="0"/>
          <w:sz w:val="24"/>
          <w:szCs w:val="24"/>
          <w:highlight w:val="none"/>
        </w:rPr>
        <w:t>通过</w:t>
      </w:r>
      <w:r>
        <w:rPr>
          <w:rFonts w:hint="default" w:ascii="宋体" w:hAnsi="宋体" w:eastAsia="宋体" w:cs="宋体"/>
          <w:b/>
          <w:color w:val="auto"/>
          <w:kern w:val="0"/>
          <w:sz w:val="24"/>
          <w:szCs w:val="24"/>
          <w:highlight w:val="none"/>
          <w:lang w:eastAsia="zh-CN"/>
        </w:rPr>
        <w:t>新疆政府采购</w:t>
      </w:r>
      <w:r>
        <w:rPr>
          <w:rFonts w:hint="eastAsia" w:ascii="宋体" w:hAnsi="宋体" w:eastAsia="宋体" w:cs="宋体"/>
          <w:b/>
          <w:color w:val="auto"/>
          <w:kern w:val="0"/>
          <w:sz w:val="24"/>
          <w:szCs w:val="24"/>
          <w:highlight w:val="none"/>
          <w:lang w:eastAsia="zh-CN"/>
        </w:rPr>
        <w:t>网</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http://www.ccgp-xinjiang.gov.cn/</w:t>
      </w:r>
      <w:r>
        <w:rPr>
          <w:rFonts w:hint="eastAsia" w:ascii="宋体" w:hAnsi="宋体" w:eastAsia="宋体" w:cs="宋体"/>
          <w:b/>
          <w:color w:val="auto"/>
          <w:kern w:val="0"/>
          <w:sz w:val="24"/>
          <w:szCs w:val="24"/>
          <w:highlight w:val="none"/>
        </w:rPr>
        <w:t>）的”政采云登录入口”登录后，将加密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rPr>
        <w:t>响应文件</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为.jmbs后缀格式</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p>
      <w:pPr>
        <w:pStyle w:val="31"/>
        <w:spacing w:line="440" w:lineRule="exact"/>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23.2</w:t>
      </w:r>
      <w:r>
        <w:rPr>
          <w:rFonts w:hint="eastAsia" w:ascii="宋体" w:hAnsi="宋体" w:cs="宋体"/>
          <w:color w:val="auto"/>
          <w:sz w:val="24"/>
          <w:szCs w:val="24"/>
          <w:highlight w:val="none"/>
          <w:lang w:val="zh-CN"/>
        </w:rPr>
        <w:t>成交</w:t>
      </w:r>
      <w:r>
        <w:rPr>
          <w:rFonts w:hint="eastAsia" w:ascii="宋体" w:hAnsi="宋体" w:cs="宋体"/>
          <w:color w:val="auto"/>
          <w:sz w:val="24"/>
          <w:szCs w:val="24"/>
          <w:highlight w:val="none"/>
        </w:rPr>
        <w:t>的供应商</w:t>
      </w:r>
      <w:r>
        <w:rPr>
          <w:rFonts w:hint="eastAsia" w:ascii="宋体" w:hAnsi="宋体" w:cs="宋体"/>
          <w:color w:val="auto"/>
          <w:sz w:val="24"/>
          <w:szCs w:val="24"/>
          <w:highlight w:val="none"/>
          <w:lang w:val="zh-CN"/>
        </w:rPr>
        <w:t>在领取成交通知书时须向</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代理机构递交纸质响应文件三份、格式为PDF的电子响应文件一份（U盘存储）。</w:t>
      </w:r>
    </w:p>
    <w:p>
      <w:pPr>
        <w:pStyle w:val="31"/>
        <w:spacing w:line="440" w:lineRule="exact"/>
        <w:ind w:firstLine="482"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（四） 响应文件的递交</w:t>
      </w:r>
    </w:p>
    <w:p>
      <w:pPr>
        <w:spacing w:line="440" w:lineRule="exact"/>
        <w:ind w:firstLine="482" w:firstLineChars="200"/>
        <w:rPr>
          <w:rFonts w:hint="eastAsia" w:ascii="宋体" w:hAnsi="宋体" w:eastAsia="宋体" w:cs="宋体"/>
          <w:b/>
          <w:bCs/>
          <w:color w:val="auto"/>
          <w:sz w:val="24"/>
          <w:szCs w:val="24"/>
          <w:highlight w:val="none"/>
          <w:lang w:val="zh-CN"/>
        </w:rPr>
      </w:pPr>
      <w:bookmarkStart w:id="91" w:name="_Toc37090648"/>
      <w:bookmarkStart w:id="92" w:name="_Toc12789"/>
      <w:bookmarkStart w:id="93" w:name="_Toc37090984"/>
      <w:r>
        <w:rPr>
          <w:rFonts w:hint="eastAsia" w:ascii="宋体" w:hAnsi="宋体" w:eastAsia="宋体" w:cs="宋体"/>
          <w:b/>
          <w:bCs/>
          <w:color w:val="auto"/>
          <w:sz w:val="24"/>
          <w:szCs w:val="24"/>
          <w:highlight w:val="none"/>
        </w:rPr>
        <w:t>24</w:t>
      </w:r>
      <w:r>
        <w:rPr>
          <w:rFonts w:hint="eastAsia" w:ascii="宋体" w:hAnsi="宋体" w:eastAsia="宋体" w:cs="宋体"/>
          <w:b/>
          <w:bCs/>
          <w:color w:val="auto"/>
          <w:sz w:val="24"/>
          <w:szCs w:val="24"/>
          <w:highlight w:val="none"/>
          <w:lang w:val="zh-CN"/>
        </w:rPr>
        <w:t>. 响应文件的提交</w:t>
      </w:r>
      <w:bookmarkEnd w:id="91"/>
      <w:bookmarkEnd w:id="92"/>
      <w:bookmarkEnd w:id="93"/>
    </w:p>
    <w:p>
      <w:pPr>
        <w:shd w:val="clear" w:color="auto" w:fill="FFFFFF"/>
        <w:spacing w:line="440" w:lineRule="exact"/>
        <w:ind w:firstLine="480" w:firstLineChars="200"/>
        <w:jc w:val="left"/>
        <w:rPr>
          <w:rFonts w:hint="eastAsia" w:ascii="宋体" w:hAnsi="宋体" w:eastAsia="宋体" w:cs="宋体"/>
          <w:color w:val="auto"/>
          <w:kern w:val="0"/>
          <w:sz w:val="24"/>
          <w:szCs w:val="24"/>
          <w:highlight w:val="none"/>
        </w:rPr>
      </w:pPr>
      <w:bookmarkStart w:id="94" w:name="_Toc3502"/>
      <w:bookmarkStart w:id="95" w:name="_Toc37090649"/>
      <w:bookmarkStart w:id="96" w:name="_Toc37090985"/>
      <w:r>
        <w:rPr>
          <w:rFonts w:hint="eastAsia" w:ascii="宋体" w:hAnsi="宋体" w:eastAsia="宋体" w:cs="宋体"/>
          <w:color w:val="auto"/>
          <w:kern w:val="0"/>
          <w:sz w:val="24"/>
          <w:szCs w:val="24"/>
          <w:highlight w:val="none"/>
        </w:rPr>
        <w:t>24.1 供应商在响应文件递交截至时间前</w:t>
      </w:r>
      <w:bookmarkEnd w:id="94"/>
      <w:r>
        <w:rPr>
          <w:rFonts w:hint="eastAsia" w:ascii="宋体" w:hAnsi="宋体" w:eastAsia="宋体" w:cs="宋体"/>
          <w:color w:val="auto"/>
          <w:kern w:val="0"/>
          <w:sz w:val="24"/>
          <w:szCs w:val="24"/>
          <w:highlight w:val="none"/>
        </w:rPr>
        <w:t>通过</w:t>
      </w:r>
      <w:r>
        <w:rPr>
          <w:rFonts w:hint="eastAsia" w:ascii="宋体" w:hAnsi="宋体" w:eastAsia="宋体" w:cs="宋体"/>
          <w:color w:val="auto"/>
          <w:kern w:val="0"/>
          <w:sz w:val="24"/>
          <w:szCs w:val="24"/>
          <w:highlight w:val="none"/>
          <w:lang w:eastAsia="zh-CN"/>
        </w:rPr>
        <w:t>新</w:t>
      </w:r>
      <w:r>
        <w:rPr>
          <w:rFonts w:hint="eastAsia" w:ascii="宋体" w:hAnsi="宋体" w:eastAsia="宋体" w:cs="宋体"/>
          <w:color w:val="auto"/>
          <w:kern w:val="0"/>
          <w:sz w:val="24"/>
          <w:szCs w:val="24"/>
          <w:highlight w:val="none"/>
          <w:lang w:val="en-US"/>
        </w:rPr>
        <w:t>疆</w:t>
      </w:r>
      <w:r>
        <w:rPr>
          <w:rFonts w:hint="eastAsia" w:ascii="宋体" w:hAnsi="宋体" w:eastAsia="宋体" w:cs="宋体"/>
          <w:color w:val="auto"/>
          <w:kern w:val="0"/>
          <w:sz w:val="24"/>
          <w:szCs w:val="24"/>
          <w:highlight w:val="none"/>
          <w:lang w:eastAsia="zh-CN"/>
        </w:rPr>
        <w:t>政府采购网</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http://www.ccgp-xinjiang.gov.cn/</w:t>
      </w:r>
      <w:r>
        <w:rPr>
          <w:rFonts w:hint="eastAsia" w:ascii="宋体" w:hAnsi="宋体" w:eastAsia="宋体" w:cs="宋体"/>
          <w:color w:val="auto"/>
          <w:kern w:val="0"/>
          <w:sz w:val="24"/>
          <w:szCs w:val="24"/>
          <w:highlight w:val="none"/>
        </w:rPr>
        <w:t>）的”政采云登录入口”登录后，将加密电子响应文件（为.jmbs后缀格式）上传到对应项目的的指定位置</w:t>
      </w:r>
    </w:p>
    <w:p>
      <w:pPr>
        <w:spacing w:line="440" w:lineRule="exact"/>
        <w:ind w:firstLine="482" w:firstLineChars="200"/>
        <w:rPr>
          <w:rFonts w:hint="eastAsia" w:ascii="宋体" w:hAnsi="宋体" w:eastAsia="宋体" w:cs="宋体"/>
          <w:b/>
          <w:bCs/>
          <w:color w:val="auto"/>
          <w:sz w:val="24"/>
          <w:szCs w:val="24"/>
          <w:highlight w:val="none"/>
        </w:rPr>
      </w:pPr>
      <w:bookmarkStart w:id="97" w:name="_Toc21786"/>
      <w:r>
        <w:rPr>
          <w:rFonts w:hint="eastAsia" w:ascii="宋体" w:hAnsi="宋体" w:eastAsia="宋体" w:cs="宋体"/>
          <w:b/>
          <w:bCs/>
          <w:color w:val="auto"/>
          <w:sz w:val="24"/>
          <w:szCs w:val="24"/>
          <w:highlight w:val="none"/>
        </w:rPr>
        <w:t>25. 响应文件提交的截止时间</w:t>
      </w:r>
      <w:bookmarkEnd w:id="95"/>
      <w:bookmarkEnd w:id="96"/>
      <w:bookmarkEnd w:id="97"/>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 响应文件提交的截止时间详见本供应商须知前附表规定。</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25.2 采购人可按本须知第14条规定以修改补充通知的方式，酌情延长提交投标书的截止时间。在上述情况下，采购人与供应商在原响应文件递交截止时间前的全部权力和义务，将适用于延长后新的响应文件递交截止时间。</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 截至响应文件递交截止时间，采购人收到的响应文件少于3个的，采购人将依法重新组织采购活动。评审过程中有效供应商少于3个的，应终止评审，由采购人依法重新组织采购活动，政府购买服务项目（含政府和社会资本合作项目），在采购过程中符合要求的供应商（社会资本）只有2家的，竞争性磋商采购活动可以继续进行。</w:t>
      </w:r>
    </w:p>
    <w:p>
      <w:pPr>
        <w:spacing w:line="440" w:lineRule="exact"/>
        <w:ind w:firstLine="482" w:firstLineChars="200"/>
        <w:rPr>
          <w:rFonts w:hint="eastAsia" w:ascii="宋体" w:hAnsi="宋体" w:eastAsia="宋体" w:cs="宋体"/>
          <w:b/>
          <w:bCs/>
          <w:color w:val="auto"/>
          <w:sz w:val="24"/>
          <w:szCs w:val="24"/>
          <w:highlight w:val="none"/>
        </w:rPr>
      </w:pPr>
      <w:bookmarkStart w:id="98" w:name="_Toc37090986"/>
      <w:bookmarkStart w:id="99" w:name="_Toc12863"/>
      <w:bookmarkStart w:id="100" w:name="_Toc37090650"/>
      <w:r>
        <w:rPr>
          <w:rFonts w:hint="eastAsia" w:ascii="宋体" w:hAnsi="宋体" w:eastAsia="宋体" w:cs="宋体"/>
          <w:b/>
          <w:bCs/>
          <w:color w:val="auto"/>
          <w:sz w:val="24"/>
          <w:szCs w:val="24"/>
          <w:highlight w:val="none"/>
        </w:rPr>
        <w:t>26. 迟交的</w:t>
      </w:r>
      <w:bookmarkEnd w:id="98"/>
      <w:bookmarkEnd w:id="99"/>
      <w:bookmarkEnd w:id="100"/>
      <w:r>
        <w:rPr>
          <w:rFonts w:hint="eastAsia" w:ascii="宋体" w:hAnsi="宋体" w:eastAsia="宋体" w:cs="宋体"/>
          <w:b/>
          <w:bCs/>
          <w:color w:val="auto"/>
          <w:sz w:val="24"/>
          <w:szCs w:val="24"/>
          <w:highlight w:val="none"/>
        </w:rPr>
        <w:t>响应文件</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供应商在本供应商须知前附表规定的响应文件递交截止时间以后送达的响应文件，“政采云平台”将拒绝接受，采购人对于逾期未上传到指定位置的响应文件不予受理。</w:t>
      </w:r>
    </w:p>
    <w:p>
      <w:pPr>
        <w:spacing w:line="440" w:lineRule="exact"/>
        <w:ind w:firstLine="482" w:firstLineChars="200"/>
        <w:rPr>
          <w:rFonts w:hint="eastAsia" w:ascii="宋体" w:hAnsi="宋体" w:eastAsia="宋体" w:cs="宋体"/>
          <w:b/>
          <w:bCs/>
          <w:color w:val="auto"/>
          <w:sz w:val="24"/>
          <w:szCs w:val="24"/>
          <w:highlight w:val="none"/>
        </w:rPr>
      </w:pPr>
      <w:bookmarkStart w:id="101" w:name="_Toc30465"/>
      <w:r>
        <w:rPr>
          <w:rFonts w:hint="eastAsia" w:ascii="宋体" w:hAnsi="宋体" w:eastAsia="宋体" w:cs="宋体"/>
          <w:b/>
          <w:bCs/>
          <w:color w:val="auto"/>
          <w:sz w:val="24"/>
          <w:szCs w:val="24"/>
          <w:highlight w:val="none"/>
        </w:rPr>
        <w:t>27. 响应文件的补充、修改与撤回</w:t>
      </w:r>
      <w:bookmarkEnd w:id="101"/>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 供应商在供应商须知前附表规定的响应文件递交截止时间之前，可在政采云平台上随时撤回已上传的电子响应文件，将修改好的电子响应文件在响应文件递交截止时间前重新上传到政采云平台的制定位置。</w:t>
      </w:r>
    </w:p>
    <w:p>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 开标/磋商</w:t>
      </w:r>
    </w:p>
    <w:p>
      <w:pPr>
        <w:spacing w:line="440" w:lineRule="exact"/>
        <w:ind w:firstLine="482" w:firstLineChars="200"/>
        <w:rPr>
          <w:rFonts w:hint="eastAsia" w:ascii="宋体" w:hAnsi="宋体" w:eastAsia="宋体" w:cs="宋体"/>
          <w:b/>
          <w:bCs/>
          <w:color w:val="auto"/>
          <w:sz w:val="24"/>
          <w:szCs w:val="24"/>
          <w:highlight w:val="none"/>
        </w:rPr>
      </w:pPr>
      <w:bookmarkStart w:id="102" w:name="_Toc28893"/>
      <w:bookmarkStart w:id="103" w:name="_Toc37090652"/>
      <w:bookmarkStart w:id="104" w:name="_Toc37090988"/>
      <w:r>
        <w:rPr>
          <w:rFonts w:hint="eastAsia" w:ascii="宋体" w:hAnsi="宋体" w:eastAsia="宋体" w:cs="宋体"/>
          <w:b/>
          <w:bCs/>
          <w:color w:val="auto"/>
          <w:sz w:val="24"/>
          <w:szCs w:val="24"/>
          <w:highlight w:val="none"/>
        </w:rPr>
        <w:t>28.</w:t>
      </w:r>
      <w:bookmarkEnd w:id="102"/>
      <w:r>
        <w:rPr>
          <w:rFonts w:hint="eastAsia" w:ascii="宋体" w:hAnsi="宋体" w:eastAsia="宋体" w:cs="宋体"/>
          <w:b/>
          <w:bCs/>
          <w:color w:val="auto"/>
          <w:sz w:val="24"/>
          <w:szCs w:val="24"/>
          <w:highlight w:val="none"/>
        </w:rPr>
        <w:t>开标/磋商</w:t>
      </w:r>
    </w:p>
    <w:p>
      <w:pPr>
        <w:shd w:val="clear" w:color="auto" w:fill="FFFFFF"/>
        <w:spacing w:line="440" w:lineRule="exact"/>
        <w:ind w:firstLine="480" w:firstLineChars="200"/>
        <w:rPr>
          <w:rFonts w:hint="eastAsia" w:ascii="宋体" w:hAnsi="宋体" w:eastAsia="宋体" w:cs="宋体"/>
          <w:color w:val="auto"/>
          <w:sz w:val="24"/>
          <w:highlight w:val="none"/>
        </w:rPr>
      </w:pPr>
      <w:bookmarkStart w:id="105" w:name="_Toc21715"/>
      <w:r>
        <w:rPr>
          <w:rFonts w:hint="eastAsia" w:ascii="宋体" w:hAnsi="宋体" w:eastAsia="宋体" w:cs="宋体"/>
          <w:color w:val="auto"/>
          <w:sz w:val="24"/>
          <w:highlight w:val="none"/>
        </w:rPr>
        <w:t>28.1采购人在规定的响应文件递交截止时间（开标/磋商时间）和供应商须知前附表规定的地点进行不见面远程开标/磋商。供应商的法定代表人或其委托代理人无需到达开标/磋商现场，仅需在任意地点</w:t>
      </w:r>
      <w:r>
        <w:rPr>
          <w:rFonts w:hint="eastAsia" w:ascii="宋体" w:hAnsi="宋体" w:eastAsia="宋体" w:cs="宋体"/>
          <w:b/>
          <w:color w:val="auto"/>
          <w:kern w:val="0"/>
          <w:sz w:val="24"/>
          <w:szCs w:val="24"/>
          <w:highlight w:val="none"/>
        </w:rPr>
        <w:t>通过</w:t>
      </w:r>
      <w:r>
        <w:rPr>
          <w:rFonts w:hint="default" w:ascii="宋体" w:hAnsi="宋体" w:eastAsia="宋体" w:cs="宋体"/>
          <w:b/>
          <w:color w:val="auto"/>
          <w:kern w:val="0"/>
          <w:sz w:val="24"/>
          <w:szCs w:val="24"/>
          <w:highlight w:val="none"/>
          <w:lang w:eastAsia="zh-CN"/>
        </w:rPr>
        <w:t>新疆政府采购</w:t>
      </w:r>
      <w:r>
        <w:rPr>
          <w:rFonts w:hint="eastAsia" w:ascii="宋体" w:hAnsi="宋体" w:eastAsia="宋体" w:cs="宋体"/>
          <w:b/>
          <w:color w:val="auto"/>
          <w:kern w:val="0"/>
          <w:sz w:val="24"/>
          <w:szCs w:val="24"/>
          <w:highlight w:val="none"/>
          <w:lang w:eastAsia="zh-CN"/>
        </w:rPr>
        <w:t>网</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http://www.ccgp-xinjiang.gov.cn/</w:t>
      </w:r>
      <w:r>
        <w:rPr>
          <w:rFonts w:hint="eastAsia" w:ascii="宋体" w:hAnsi="宋体" w:eastAsia="宋体" w:cs="宋体"/>
          <w:b/>
          <w:color w:val="auto"/>
          <w:kern w:val="0"/>
          <w:sz w:val="24"/>
          <w:szCs w:val="24"/>
          <w:highlight w:val="none"/>
        </w:rPr>
        <w:t>）的”政采云登录入口”登录后，进入“</w:t>
      </w:r>
      <w:r>
        <w:rPr>
          <w:rFonts w:hint="eastAsia" w:ascii="宋体" w:hAnsi="宋体" w:eastAsia="宋体" w:cs="宋体"/>
          <w:color w:val="auto"/>
          <w:sz w:val="24"/>
          <w:highlight w:val="none"/>
        </w:rPr>
        <w:t>政采云远程开标大厅”参加开标/磋商会议，并使用CA密钥完成远程解密、提疑澄清、开标/磋商唱标、二次报价、结果公布等交互环节。</w:t>
      </w:r>
      <w:bookmarkEnd w:id="105"/>
    </w:p>
    <w:p>
      <w:pPr>
        <w:shd w:val="clear" w:color="auto" w:fill="FFFFFF"/>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28.2开标/磋商时，各供应商应在规定的解密时间（</w:t>
      </w:r>
      <w:r>
        <w:rPr>
          <w:rFonts w:hint="eastAsia" w:ascii="宋体" w:hAnsi="宋体" w:eastAsia="宋体" w:cs="宋体"/>
          <w:color w:val="auto"/>
          <w:sz w:val="24"/>
          <w:highlight w:val="none"/>
          <w:lang w:eastAsia="zh-CN"/>
        </w:rPr>
        <w:t>30分钟</w:t>
      </w:r>
      <w:r>
        <w:rPr>
          <w:rFonts w:hint="eastAsia" w:ascii="宋体" w:hAnsi="宋体" w:eastAsia="宋体" w:cs="宋体"/>
          <w:color w:val="auto"/>
          <w:sz w:val="24"/>
          <w:highlight w:val="none"/>
        </w:rPr>
        <w:t>）内对本单位加密的电子响应文件进行解密，如在规定的解密时间内仍有供应商未解密，采购代理机构将采取“异常处理”，开启该单位的备份标书。采购代理机构工作人员在监督人员或公证人员监督下开启响应文件。</w:t>
      </w:r>
    </w:p>
    <w:bookmarkEnd w:id="103"/>
    <w:bookmarkEnd w:id="104"/>
    <w:p>
      <w:pPr>
        <w:pStyle w:val="31"/>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28.3公证员对开标/磋商过程进行全程公证。</w:t>
      </w:r>
    </w:p>
    <w:p>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 磋商小组与评审</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29.评审工作由采购人依法组建的磋商小组负责。磋商小组的名单在评审结果公告前应当保密。</w:t>
      </w:r>
    </w:p>
    <w:p>
      <w:pPr>
        <w:shd w:val="clear" w:color="auto" w:fill="FFFFFF"/>
        <w:spacing w:line="440" w:lineRule="exact"/>
        <w:ind w:firstLine="480" w:firstLineChars="200"/>
        <w:rPr>
          <w:rFonts w:hint="eastAsia"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29.1 本项目磋商小组由</w:t>
      </w:r>
      <w:r>
        <w:rPr>
          <w:rFonts w:hint="eastAsia" w:ascii="宋体" w:hAnsi="宋体" w:eastAsia="宋体" w:cs="宋体"/>
          <w:color w:val="FF0000"/>
          <w:kern w:val="0"/>
          <w:sz w:val="24"/>
          <w:szCs w:val="24"/>
          <w:highlight w:val="none"/>
          <w:u w:val="single"/>
        </w:rPr>
        <w:t xml:space="preserve"> 3 </w:t>
      </w:r>
      <w:r>
        <w:rPr>
          <w:rFonts w:hint="eastAsia" w:ascii="宋体" w:hAnsi="宋体" w:eastAsia="宋体" w:cs="宋体"/>
          <w:color w:val="FF0000"/>
          <w:kern w:val="0"/>
          <w:sz w:val="24"/>
          <w:szCs w:val="24"/>
          <w:highlight w:val="none"/>
        </w:rPr>
        <w:t>人组成，其中：专家库中随机抽取专家</w:t>
      </w:r>
      <w:r>
        <w:rPr>
          <w:rFonts w:hint="eastAsia" w:ascii="宋体" w:hAnsi="宋体" w:eastAsia="宋体" w:cs="宋体"/>
          <w:color w:val="FF0000"/>
          <w:kern w:val="0"/>
          <w:sz w:val="24"/>
          <w:szCs w:val="24"/>
          <w:highlight w:val="none"/>
          <w:u w:val="single"/>
        </w:rPr>
        <w:t xml:space="preserve"> 2 </w:t>
      </w:r>
      <w:r>
        <w:rPr>
          <w:rFonts w:hint="eastAsia" w:ascii="宋体" w:hAnsi="宋体" w:eastAsia="宋体" w:cs="宋体"/>
          <w:color w:val="FF0000"/>
          <w:kern w:val="0"/>
          <w:sz w:val="24"/>
          <w:szCs w:val="24"/>
          <w:highlight w:val="none"/>
        </w:rPr>
        <w:t>人,采购人代表</w:t>
      </w:r>
      <w:r>
        <w:rPr>
          <w:rFonts w:hint="eastAsia" w:ascii="宋体" w:hAnsi="宋体" w:eastAsia="宋体" w:cs="宋体"/>
          <w:color w:val="FF0000"/>
          <w:kern w:val="0"/>
          <w:sz w:val="24"/>
          <w:szCs w:val="24"/>
          <w:highlight w:val="none"/>
          <w:u w:val="single"/>
        </w:rPr>
        <w:t xml:space="preserve"> 1 </w:t>
      </w:r>
      <w:r>
        <w:rPr>
          <w:rFonts w:hint="eastAsia" w:ascii="宋体" w:hAnsi="宋体" w:eastAsia="宋体" w:cs="宋体"/>
          <w:color w:val="FF0000"/>
          <w:kern w:val="0"/>
          <w:sz w:val="24"/>
          <w:szCs w:val="24"/>
          <w:highlight w:val="none"/>
        </w:rPr>
        <w:t>人。</w:t>
      </w:r>
    </w:p>
    <w:p>
      <w:pPr>
        <w:shd w:val="clear" w:color="auto" w:fill="FFFFFF"/>
        <w:spacing w:line="440" w:lineRule="exact"/>
        <w:ind w:firstLine="480" w:firstLineChars="200"/>
        <w:rPr>
          <w:rFonts w:hint="eastAsia" w:ascii="宋体" w:hAnsi="宋体" w:eastAsia="宋体" w:cs="宋体"/>
          <w:color w:val="0000FF"/>
          <w:kern w:val="0"/>
          <w:sz w:val="24"/>
          <w:szCs w:val="24"/>
          <w:highlight w:val="none"/>
        </w:rPr>
      </w:pPr>
      <w:r>
        <w:rPr>
          <w:rFonts w:hint="eastAsia" w:ascii="宋体" w:hAnsi="宋体" w:eastAsia="宋体" w:cs="宋体"/>
          <w:color w:val="0000FF"/>
          <w:kern w:val="0"/>
          <w:sz w:val="24"/>
          <w:szCs w:val="24"/>
          <w:highlight w:val="none"/>
        </w:rPr>
        <w:t>29.2参与过本项目的论证专家不得作为评审专家参加评审，采购人不得以专家身份参与评审。</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29.3 磋商小组主任由磋商小组成员推举产生，并与磋商小组其他成员有同等的权利和义务。采购人代表不得担任磋商小组组长。</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29.4 磋商小组成员应当客观、公正地履行职责，遵守职业道德，对所提出的评审意见承担个人责任。</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29.5 磋商小组根据竞争性磋商文件确定的评比标准和方法，对响应文件进行系统地评审和比较。竞争性磋商文件中没有规定的标准和方法不得作为评审的依据。</w:t>
      </w:r>
    </w:p>
    <w:p>
      <w:pPr>
        <w:shd w:val="clear" w:color="auto" w:fill="FFFFFF"/>
        <w:spacing w:line="440" w:lineRule="exac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29.6在评审过程中，磋商小组发现有证据表明供应商以他人的名义投标、串通投标、以行贿手段谋取成交或者以其他弄虚作假方式参加磋商的，该供应商的响应文件作无效处理。并在评审报告中说明。</w:t>
      </w:r>
    </w:p>
    <w:p>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 授予合同</w:t>
      </w:r>
    </w:p>
    <w:p>
      <w:pPr>
        <w:spacing w:line="440" w:lineRule="exact"/>
        <w:ind w:firstLine="482" w:firstLineChars="200"/>
        <w:rPr>
          <w:rFonts w:hint="eastAsia" w:ascii="宋体" w:hAnsi="宋体" w:eastAsia="宋体" w:cs="宋体"/>
          <w:b/>
          <w:bCs/>
          <w:color w:val="auto"/>
          <w:sz w:val="24"/>
          <w:szCs w:val="24"/>
          <w:highlight w:val="none"/>
        </w:rPr>
      </w:pPr>
      <w:bookmarkStart w:id="106" w:name="_Toc37090661"/>
      <w:bookmarkStart w:id="107" w:name="_Toc30338"/>
      <w:bookmarkStart w:id="108" w:name="_Toc37090997"/>
      <w:r>
        <w:rPr>
          <w:rFonts w:hint="eastAsia" w:ascii="宋体" w:hAnsi="宋体" w:eastAsia="宋体" w:cs="宋体"/>
          <w:b/>
          <w:bCs/>
          <w:color w:val="auto"/>
          <w:sz w:val="24"/>
          <w:szCs w:val="24"/>
          <w:highlight w:val="none"/>
        </w:rPr>
        <w:t>30. 确定</w:t>
      </w:r>
      <w:bookmarkEnd w:id="106"/>
      <w:bookmarkEnd w:id="107"/>
      <w:bookmarkEnd w:id="108"/>
      <w:r>
        <w:rPr>
          <w:rFonts w:hint="eastAsia" w:ascii="宋体" w:hAnsi="宋体" w:eastAsia="宋体" w:cs="宋体"/>
          <w:b/>
          <w:bCs/>
          <w:color w:val="auto"/>
          <w:sz w:val="24"/>
          <w:szCs w:val="24"/>
          <w:highlight w:val="none"/>
        </w:rPr>
        <w:t>成交供应商</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 成交的标准</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30.1.1响应文件满足竞争性磋商文件全部实质性要求；</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30.1.2 具有良好的履行合同的能力和条件；</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30.1.3 能够最大限度满足竞争性磋商文件的各项要求；</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30.2 采购人将确定资格合格的成交候选人为成交供应商。</w:t>
      </w:r>
    </w:p>
    <w:p>
      <w:pPr>
        <w:spacing w:line="440" w:lineRule="exact"/>
        <w:ind w:firstLine="482" w:firstLineChars="200"/>
        <w:rPr>
          <w:rFonts w:hint="eastAsia" w:ascii="宋体" w:hAnsi="宋体" w:eastAsia="宋体" w:cs="宋体"/>
          <w:b/>
          <w:bCs/>
          <w:color w:val="auto"/>
          <w:sz w:val="24"/>
          <w:szCs w:val="24"/>
          <w:highlight w:val="none"/>
        </w:rPr>
      </w:pPr>
      <w:bookmarkStart w:id="109" w:name="_Toc37090998"/>
      <w:bookmarkStart w:id="110" w:name="_Toc37090662"/>
      <w:bookmarkStart w:id="111" w:name="_Toc8758"/>
      <w:r>
        <w:rPr>
          <w:rFonts w:hint="eastAsia" w:ascii="宋体" w:hAnsi="宋体" w:eastAsia="宋体" w:cs="宋体"/>
          <w:b/>
          <w:bCs/>
          <w:color w:val="auto"/>
          <w:sz w:val="24"/>
          <w:szCs w:val="24"/>
          <w:highlight w:val="none"/>
        </w:rPr>
        <w:t>31. 授予合同的准则</w:t>
      </w:r>
      <w:bookmarkEnd w:id="109"/>
      <w:bookmarkEnd w:id="110"/>
      <w:bookmarkEnd w:id="111"/>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采购人将把合同授予经确认的成交供应商。</w:t>
      </w:r>
    </w:p>
    <w:p>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112" w:name="_Toc37090999"/>
      <w:bookmarkStart w:id="113" w:name="_Toc37090663"/>
      <w:bookmarkStart w:id="114" w:name="_Toc16518"/>
      <w:r>
        <w:rPr>
          <w:rFonts w:hint="eastAsia" w:ascii="宋体" w:hAnsi="宋体" w:eastAsia="宋体" w:cs="宋体"/>
          <w:b/>
          <w:color w:val="auto"/>
          <w:kern w:val="0"/>
          <w:sz w:val="24"/>
          <w:szCs w:val="24"/>
          <w:highlight w:val="none"/>
        </w:rPr>
        <w:t>（九） 成交通知书</w:t>
      </w:r>
      <w:bookmarkEnd w:id="112"/>
      <w:bookmarkEnd w:id="113"/>
      <w:bookmarkEnd w:id="114"/>
    </w:p>
    <w:p>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32.成交通知书</w:t>
      </w:r>
    </w:p>
    <w:p>
      <w:pPr>
        <w:shd w:val="clear" w:color="auto" w:fill="FFFFFF"/>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32.1采购人依据磋商小组推荐的成交候选人排序确定排名第一的成交候选人为成交供应商后，将</w:t>
      </w:r>
      <w:r>
        <w:rPr>
          <w:rFonts w:hint="eastAsia" w:ascii="宋体" w:hAnsi="宋体" w:eastAsia="宋体" w:cs="宋体"/>
          <w:color w:val="auto"/>
          <w:sz w:val="24"/>
          <w:szCs w:val="24"/>
          <w:highlight w:val="none"/>
        </w:rPr>
        <w:t>对成交结果公示1工作日，同时向成交供应商发出《成交通知书》。</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32.2《成交通知书》对成交供应商和成交供应商具有法律约束力。《成交通知书》发出后，采购人不得违法改变成交结果，成交供应商无正当理由不得放弃成交。 </w:t>
      </w:r>
    </w:p>
    <w:p>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115" w:name="_Toc17984"/>
      <w:bookmarkStart w:id="116" w:name="_Toc37090664"/>
      <w:bookmarkStart w:id="117" w:name="_Toc37091000"/>
      <w:r>
        <w:rPr>
          <w:rFonts w:hint="eastAsia" w:ascii="宋体" w:hAnsi="宋体" w:eastAsia="宋体" w:cs="宋体"/>
          <w:b/>
          <w:color w:val="auto"/>
          <w:kern w:val="0"/>
          <w:sz w:val="24"/>
          <w:szCs w:val="24"/>
          <w:highlight w:val="none"/>
        </w:rPr>
        <w:t>（九）合同的签订</w:t>
      </w:r>
      <w:bookmarkEnd w:id="115"/>
    </w:p>
    <w:p>
      <w:pPr>
        <w:spacing w:line="440" w:lineRule="exact"/>
        <w:ind w:firstLine="482" w:firstLineChars="200"/>
        <w:rPr>
          <w:rFonts w:hint="eastAsia" w:ascii="宋体" w:hAnsi="宋体" w:eastAsia="宋体" w:cs="宋体"/>
          <w:b/>
          <w:bCs/>
          <w:color w:val="auto"/>
          <w:sz w:val="24"/>
          <w:szCs w:val="24"/>
          <w:highlight w:val="none"/>
        </w:rPr>
      </w:pPr>
      <w:bookmarkStart w:id="118" w:name="_Toc1090"/>
      <w:r>
        <w:rPr>
          <w:rFonts w:hint="eastAsia" w:ascii="宋体" w:hAnsi="宋体" w:eastAsia="宋体" w:cs="宋体"/>
          <w:b/>
          <w:bCs/>
          <w:color w:val="auto"/>
          <w:sz w:val="24"/>
          <w:szCs w:val="24"/>
          <w:highlight w:val="none"/>
        </w:rPr>
        <w:t>33. 合同的签订</w:t>
      </w:r>
      <w:bookmarkEnd w:id="116"/>
      <w:bookmarkEnd w:id="117"/>
      <w:bookmarkEnd w:id="118"/>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采购人应当自《成交通知书》发出之日起30日内，按照竞争性磋商文件和成交供应商响应文件的规定，与成交供应商签订书面合同。所签订的合同不得对竞争性磋商文件确定的事项和成交供应商响应文件作实质性修改。</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竞争性磋商文件要求成交供应商提交履约保证金或者其他形式履约担保的，成交供应商应当提交；拒绝提交的，视为放弃成交项目。</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竞争性磋商文件和成交供应商的响应文件均是该书面合同的附件。</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 成交供应商因不可抗力或自身原因不能履行采购合同的，采购人可以与排位在成交供应商之后第一位的成交候选人签订采购合同，以此类推。或采购人重新组织采购活动。</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33.5 政府采购项目的采购合同自签订之日起七个工作日内，采购人应当将合同副本报同级政府采购监督管理部门和有关部门备案。</w:t>
      </w:r>
    </w:p>
    <w:p>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（十）买方授标时更改采购服务数量的权利</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34.采购人在授予合同时有权按“供应商须知前附表”第17项约定的内容对采购需求中规定物资数量予以局部增加或减少，但不得实质性内容做任何改变，对增减的数量按同类型成交服务价结算。</w:t>
      </w:r>
    </w:p>
    <w:p>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（十一）质疑与投诉</w:t>
      </w:r>
    </w:p>
    <w:p>
      <w:pPr>
        <w:shd w:val="clear" w:color="auto" w:fill="FFFFFF"/>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35.质疑与投诉</w:t>
      </w:r>
    </w:p>
    <w:p>
      <w:pPr>
        <w:shd w:val="clear" w:color="auto" w:fill="FFFFFF"/>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供应商认为竞争性磋商文件、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35.2质疑函的必备内容</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35.2.1供应商提交的质疑函必须注明单位名称、地址、邮编、可供查询的单位和法定代表人的电话号码、联系人电话；</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35.2.2质疑项目的名称、编号；</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35.2.3具体质疑事项和与质疑事项相关的请求；</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35.2.4事实依据；</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35.2.5提起质疑的日期；</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35.2.6质疑函须加盖单位公章，由法定代表人签章。</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35.2.7委托代理人递交质疑函的，还须提交委托质疑事项的授权委托书（附法定代表人和被授权人的身份证正反面），加盖单位公章和法定代表人签章和被授权人签字，同时出示被授权人身份证。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35.3质疑应符合下列条件：</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35.3.1质疑人是参与所质疑项目的采购活动的供应商；</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35.3.2质疑函内容符合相关的规定；</w:t>
      </w:r>
    </w:p>
    <w:p>
      <w:pPr>
        <w:shd w:val="clear" w:color="auto" w:fill="FFFFFF"/>
        <w:tabs>
          <w:tab w:val="left" w:pos="929"/>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35.3.3在规定的有效期限内提起质疑；</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35.3.4招投标监管部门规定的其他条件。</w:t>
      </w:r>
    </w:p>
    <w:p>
      <w:pPr>
        <w:shd w:val="clear" w:color="auto" w:fill="FFFFFF"/>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35.4采购人在收到供应商的书面质疑后七个工作日内作出答复，并以书面形式通知质疑供应商和其他有关供应商，但答复的内容不涉及商业秘密。作出答复前，将暂停招标采购活动。</w:t>
      </w:r>
    </w:p>
    <w:p>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35.5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119" w:name="_Toc37090665"/>
      <w:bookmarkStart w:id="120" w:name="_Toc37091001"/>
      <w:r>
        <w:rPr>
          <w:rFonts w:hint="eastAsia" w:ascii="宋体" w:hAnsi="宋体" w:eastAsia="宋体" w:cs="宋体"/>
          <w:b/>
          <w:color w:val="auto"/>
          <w:kern w:val="0"/>
          <w:sz w:val="24"/>
          <w:szCs w:val="24"/>
          <w:highlight w:val="none"/>
        </w:rPr>
        <w:t>（十二）履约担保（本项目不适用）</w:t>
      </w:r>
    </w:p>
    <w:p>
      <w:pPr>
        <w:spacing w:line="440" w:lineRule="exact"/>
        <w:ind w:firstLine="482" w:firstLineChars="200"/>
        <w:rPr>
          <w:rFonts w:hint="eastAsia" w:ascii="宋体" w:hAnsi="宋体" w:eastAsia="宋体" w:cs="宋体"/>
          <w:b/>
          <w:bCs/>
          <w:color w:val="auto"/>
          <w:sz w:val="24"/>
          <w:szCs w:val="24"/>
          <w:highlight w:val="none"/>
        </w:rPr>
      </w:pPr>
      <w:bookmarkStart w:id="121" w:name="_Toc18714"/>
      <w:r>
        <w:rPr>
          <w:rFonts w:hint="eastAsia" w:ascii="宋体" w:hAnsi="宋体" w:eastAsia="宋体" w:cs="宋体"/>
          <w:b/>
          <w:bCs/>
          <w:color w:val="auto"/>
          <w:sz w:val="24"/>
          <w:szCs w:val="24"/>
          <w:highlight w:val="none"/>
        </w:rPr>
        <w:t>36. 履约担保</w:t>
      </w:r>
      <w:bookmarkEnd w:id="119"/>
      <w:bookmarkEnd w:id="120"/>
      <w:bookmarkEnd w:id="121"/>
    </w:p>
    <w:p>
      <w:pPr>
        <w:shd w:val="clear" w:color="auto" w:fill="FFFFFF"/>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成交供应商须在与采购人签署合同前按竞争性磋商文件有关要求提交履约担保。成交供应商应按照下列规定的方式和金额向采购人提交履约担保。</w:t>
      </w:r>
    </w:p>
    <w:p>
      <w:pPr>
        <w:shd w:val="clear" w:color="auto" w:fill="FFFFFF"/>
        <w:adjustRightInd w:val="0"/>
        <w:snapToGrid w:val="0"/>
        <w:spacing w:line="440" w:lineRule="exact"/>
        <w:ind w:firstLine="480" w:firstLineChars="200"/>
        <w:rPr>
          <w:rFonts w:hint="eastAsia" w:ascii="宋体" w:hAnsi="宋体" w:eastAsia="宋体" w:cs="宋体"/>
          <w:color w:val="auto"/>
          <w:sz w:val="24"/>
          <w:szCs w:val="24"/>
          <w:highlight w:val="none"/>
        </w:rPr>
      </w:pPr>
      <w:bookmarkStart w:id="122" w:name="_Toc37090666"/>
      <w:bookmarkStart w:id="123" w:name="_Toc30886"/>
      <w:bookmarkStart w:id="124" w:name="_Toc37091002"/>
      <w:r>
        <w:rPr>
          <w:rFonts w:hint="eastAsia" w:ascii="宋体" w:hAnsi="宋体" w:eastAsia="宋体" w:cs="宋体"/>
          <w:color w:val="auto"/>
          <w:sz w:val="24"/>
          <w:szCs w:val="24"/>
          <w:highlight w:val="none"/>
        </w:rPr>
        <w:t>36.2 履约担保采用下列</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方式</w:t>
      </w:r>
      <w:bookmarkEnd w:id="122"/>
      <w:bookmarkEnd w:id="123"/>
      <w:bookmarkEnd w:id="124"/>
    </w:p>
    <w:p>
      <w:pPr>
        <w:shd w:val="clear" w:color="auto" w:fill="FFFFFF"/>
        <w:adjustRightInd w:val="0"/>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36.2.1 履约保证金担保方式：</w:t>
      </w:r>
      <w:r>
        <w:rPr>
          <w:rFonts w:hint="eastAsia" w:ascii="宋体" w:hAnsi="宋体" w:eastAsia="宋体" w:cs="宋体"/>
          <w:color w:val="auto"/>
          <w:sz w:val="24"/>
          <w:szCs w:val="24"/>
          <w:highlight w:val="none"/>
          <w:u w:val="single"/>
        </w:rPr>
        <w:t xml:space="preserve"> / </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 银行汇票；2） 支票；</w:t>
      </w:r>
      <w:r>
        <w:rPr>
          <w:rFonts w:hint="eastAsia" w:ascii="宋体" w:hAnsi="宋体" w:eastAsia="宋体" w:cs="宋体"/>
          <w:color w:val="auto"/>
          <w:kern w:val="0"/>
          <w:sz w:val="24"/>
          <w:szCs w:val="24"/>
          <w:highlight w:val="none"/>
        </w:rPr>
        <w:t>3）银行转账；4）担保公司担保；</w:t>
      </w:r>
      <w:r>
        <w:rPr>
          <w:rFonts w:hint="eastAsia" w:ascii="宋体" w:hAnsi="宋体" w:eastAsia="宋体" w:cs="宋体"/>
          <w:color w:val="auto"/>
          <w:sz w:val="24"/>
          <w:szCs w:val="24"/>
          <w:highlight w:val="none"/>
        </w:rPr>
        <w:t>5）采购人与供应商协商确定的其他担保方式。</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36.2.3 如成交供应商不能按照供应商须知第35条的规定执行，采购人将视为成交供应商放弃成交项目；已经订立合同的，采购人有充分理由解除合同，给采购人造成损失的，放弃成交项目的成交供应商应当赔偿。</w:t>
      </w:r>
    </w:p>
    <w:p>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125" w:name="_Toc228180139"/>
      <w:r>
        <w:rPr>
          <w:rFonts w:hint="eastAsia" w:ascii="宋体" w:hAnsi="宋体" w:eastAsia="宋体" w:cs="宋体"/>
          <w:b/>
          <w:color w:val="auto"/>
          <w:kern w:val="0"/>
          <w:sz w:val="24"/>
          <w:szCs w:val="24"/>
          <w:highlight w:val="none"/>
        </w:rPr>
        <w:t>（十三）其他</w:t>
      </w:r>
    </w:p>
    <w:p>
      <w:pPr>
        <w:shd w:val="clear" w:color="auto" w:fill="FFFFFF"/>
        <w:spacing w:line="440" w:lineRule="exact"/>
        <w:ind w:firstLine="487" w:firstLineChars="20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w:t>
      </w:r>
      <w:bookmarkEnd w:id="125"/>
      <w:r>
        <w:rPr>
          <w:rFonts w:hint="eastAsia" w:ascii="宋体" w:hAnsi="宋体" w:eastAsia="宋体" w:cs="宋体"/>
          <w:b/>
          <w:color w:val="auto"/>
          <w:kern w:val="0"/>
          <w:sz w:val="24"/>
          <w:szCs w:val="24"/>
          <w:highlight w:val="none"/>
        </w:rPr>
        <w:t>成交服务费</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 成交供应商应按本竞争性磋商文件的规定，在领取成交通知书时向采购代理机构一次性支付成交服务费。其计算标准和方法</w:t>
      </w:r>
      <w:r>
        <w:rPr>
          <w:rFonts w:hint="eastAsia" w:ascii="宋体" w:hAnsi="宋体" w:eastAsia="宋体" w:cs="宋体"/>
          <w:color w:val="auto"/>
          <w:sz w:val="24"/>
          <w:szCs w:val="24"/>
          <w:highlight w:val="none"/>
        </w:rPr>
        <w:t>：以中标单位的中标金额为基准，按计价格【2002】1980号及发改办价格【2011】534号文计取，由成交单位支付招标代理服务费.</w:t>
      </w:r>
      <w:r>
        <w:rPr>
          <w:rFonts w:hint="eastAsia" w:ascii="宋体" w:hAnsi="宋体" w:eastAsia="宋体" w:cs="宋体"/>
          <w:color w:val="auto"/>
          <w:kern w:val="0"/>
          <w:sz w:val="24"/>
          <w:szCs w:val="24"/>
          <w:highlight w:val="none"/>
        </w:rPr>
        <w:t>；</w:t>
      </w:r>
    </w:p>
    <w:p>
      <w:pPr>
        <w:shd w:val="clear" w:color="auto" w:fill="FFFFFF"/>
        <w:spacing w:line="440" w:lineRule="exact"/>
        <w:ind w:firstLine="487" w:firstLineChars="20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37.2 成交服务费的计算基数是成交供应商成交总金额，即成交通知书中载明的成交金额。如需要开具增值税专用发票，供应商请提供增值税专用发票开票信息（需加盖财务专用章）。</w:t>
      </w:r>
    </w:p>
    <w:p>
      <w:pPr>
        <w:spacing w:line="440" w:lineRule="exact"/>
        <w:ind w:firstLine="482" w:firstLineChars="200"/>
        <w:rPr>
          <w:rFonts w:hint="eastAsia" w:ascii="宋体" w:hAnsi="宋体" w:eastAsia="宋体" w:cs="宋体"/>
          <w:b/>
          <w:bCs/>
          <w:color w:val="auto"/>
          <w:sz w:val="24"/>
          <w:szCs w:val="24"/>
          <w:highlight w:val="none"/>
        </w:rPr>
      </w:pPr>
      <w:bookmarkStart w:id="126" w:name="_Toc37091004"/>
      <w:bookmarkStart w:id="127" w:name="_Toc37090668"/>
      <w:bookmarkStart w:id="128" w:name="_Toc16311"/>
      <w:r>
        <w:rPr>
          <w:rFonts w:hint="eastAsia" w:ascii="宋体" w:hAnsi="宋体" w:eastAsia="宋体" w:cs="宋体"/>
          <w:b/>
          <w:bCs/>
          <w:color w:val="auto"/>
          <w:sz w:val="24"/>
          <w:szCs w:val="24"/>
          <w:highlight w:val="none"/>
        </w:rPr>
        <w:t xml:space="preserve">38. </w:t>
      </w:r>
      <w:bookmarkEnd w:id="126"/>
      <w:bookmarkEnd w:id="127"/>
      <w:r>
        <w:rPr>
          <w:rFonts w:hint="eastAsia" w:ascii="宋体" w:hAnsi="宋体" w:eastAsia="宋体" w:cs="宋体"/>
          <w:b/>
          <w:bCs/>
          <w:color w:val="auto"/>
          <w:sz w:val="24"/>
          <w:szCs w:val="24"/>
          <w:highlight w:val="none"/>
        </w:rPr>
        <w:t>竞争性磋商文件的解释权</w:t>
      </w:r>
      <w:bookmarkEnd w:id="128"/>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竞争性磋商文件是根据《中华人民共和国政府采购法》及其实施条例（658号令）及《关于印发&lt;政府采购竞争性磋商采购方式管理暂行办法&gt;的通知》（财库〔2014〕214号）及《财政部关于政府采购竞争性磋商采购方式管理暂行办法有关问题的补充通知》（财库〔2015〕124号）的规定编制的，解释权属中招国际招标有限公司。</w:t>
      </w:r>
    </w:p>
    <w:p>
      <w:pPr>
        <w:pStyle w:val="22"/>
        <w:spacing w:line="440" w:lineRule="exact"/>
        <w:ind w:firstLine="0"/>
        <w:rPr>
          <w:rFonts w:hint="eastAsia" w:ascii="宋体" w:hAnsi="宋体" w:eastAsia="宋体" w:cs="宋体"/>
          <w:color w:val="auto"/>
          <w:highlight w:val="none"/>
        </w:rPr>
      </w:pPr>
    </w:p>
    <w:p>
      <w:pPr>
        <w:pStyle w:val="30"/>
        <w:numPr>
          <w:ilvl w:val="0"/>
          <w:numId w:val="3"/>
        </w:numPr>
        <w:jc w:val="center"/>
        <w:outlineLvl w:val="0"/>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br w:type="page"/>
      </w:r>
      <w:bookmarkStart w:id="129" w:name="_Toc24799"/>
      <w:bookmarkStart w:id="130" w:name="_Toc14275"/>
      <w:r>
        <w:rPr>
          <w:rFonts w:hint="eastAsia" w:ascii="宋体" w:hAnsi="宋体" w:eastAsia="宋体" w:cs="宋体"/>
          <w:color w:val="auto"/>
          <w:spacing w:val="6"/>
          <w:sz w:val="32"/>
          <w:szCs w:val="32"/>
          <w:highlight w:val="none"/>
        </w:rPr>
        <w:t xml:space="preserve"> 采购需求</w:t>
      </w:r>
      <w:bookmarkEnd w:id="129"/>
      <w:bookmarkEnd w:id="130"/>
    </w:p>
    <w:p>
      <w:pPr>
        <w:pStyle w:val="23"/>
        <w:spacing w:line="360" w:lineRule="auto"/>
        <w:ind w:firstLine="424" w:firstLineChars="177"/>
        <w:outlineLvl w:val="9"/>
        <w:rPr>
          <w:rFonts w:hint="eastAsia" w:ascii="宋体" w:hAnsi="宋体" w:eastAsia="宋体" w:cs="Times New Roman"/>
          <w:color w:val="auto"/>
          <w:kern w:val="0"/>
          <w:sz w:val="24"/>
          <w:szCs w:val="22"/>
          <w:highlight w:val="none"/>
          <w:lang w:val="en-US" w:eastAsia="zh-CN" w:bidi="ar-SA"/>
        </w:rPr>
      </w:pPr>
      <w:bookmarkStart w:id="131" w:name="_Toc504646862"/>
      <w:bookmarkStart w:id="132" w:name="_Toc504646867"/>
      <w:bookmarkStart w:id="133" w:name="_Toc44417614"/>
      <w:bookmarkStart w:id="134" w:name="_Toc58751373"/>
      <w:bookmarkStart w:id="135" w:name="_Toc69378885"/>
      <w:bookmarkStart w:id="136" w:name="EBcc1e85494f644b18a0cfdeea10c8765e"/>
      <w:bookmarkStart w:id="137" w:name="_Toc44006004"/>
      <w:bookmarkStart w:id="138" w:name="_Toc58931895"/>
      <w:r>
        <w:rPr>
          <w:rFonts w:hint="eastAsia" w:ascii="宋体" w:hAnsi="宋体" w:eastAsia="宋体" w:cs="Times New Roman"/>
          <w:color w:val="auto"/>
          <w:kern w:val="0"/>
          <w:sz w:val="24"/>
          <w:szCs w:val="22"/>
          <w:highlight w:val="none"/>
          <w:lang w:val="en-US" w:eastAsia="zh-CN" w:bidi="ar-SA"/>
        </w:rPr>
        <w:t>为深入贯彻落实党的二十大、第三次中央新疆工作座谈会精神、习近平总书记关于文物工作重要指示批示和视察新疆重要讲话重要指示精神，贯彻落实全国文物工作会议精神和自治区党委、自治区人民政府要求，加强文物保护利用和文化遗产保护传承，提高文物研究阐释和展示传播水平，展现文物时代价值，充分发挥文物实证历史、铸牢中华民族共同体意识重要作用，提升文化遗产影响力，增强全社会文物 保护意识，现就开展“让历史照亮未来——新疆文物全媒体传播作品(新媒体)推介展示”活动的组织实施单位进行竞争性采购：</w:t>
      </w:r>
    </w:p>
    <w:p>
      <w:pPr>
        <w:pStyle w:val="23"/>
        <w:numPr>
          <w:ilvl w:val="0"/>
          <w:numId w:val="5"/>
        </w:numPr>
        <w:spacing w:line="360" w:lineRule="auto"/>
        <w:ind w:firstLine="424" w:firstLineChars="177"/>
        <w:outlineLvl w:val="9"/>
        <w:rPr>
          <w:rFonts w:hint="eastAsia" w:ascii="宋体" w:hAnsi="宋体" w:eastAsia="宋体" w:cs="Times New Roman"/>
          <w:color w:val="auto"/>
          <w:kern w:val="0"/>
          <w:sz w:val="24"/>
          <w:szCs w:val="22"/>
          <w:highlight w:val="none"/>
          <w:lang w:val="en-US" w:eastAsia="zh-CN" w:bidi="ar-SA"/>
        </w:rPr>
      </w:pPr>
      <w:r>
        <w:rPr>
          <w:rFonts w:hint="eastAsia" w:ascii="宋体" w:hAnsi="宋体" w:eastAsia="宋体" w:cs="Times New Roman"/>
          <w:color w:val="auto"/>
          <w:kern w:val="0"/>
          <w:sz w:val="24"/>
          <w:szCs w:val="22"/>
          <w:highlight w:val="none"/>
          <w:lang w:val="en-US" w:eastAsia="zh-CN" w:bidi="ar-SA"/>
        </w:rPr>
        <w:t>活动目标</w:t>
      </w:r>
    </w:p>
    <w:p>
      <w:pPr>
        <w:pStyle w:val="23"/>
        <w:spacing w:line="360" w:lineRule="auto"/>
        <w:ind w:firstLine="424" w:firstLineChars="177"/>
        <w:outlineLvl w:val="9"/>
        <w:rPr>
          <w:rFonts w:hint="eastAsia" w:ascii="宋体" w:hAnsi="宋体" w:eastAsia="宋体" w:cs="Times New Roman"/>
          <w:color w:val="auto"/>
          <w:kern w:val="0"/>
          <w:sz w:val="24"/>
          <w:szCs w:val="22"/>
          <w:highlight w:val="none"/>
          <w:lang w:val="en-US" w:eastAsia="zh-CN" w:bidi="ar-SA"/>
        </w:rPr>
      </w:pPr>
      <w:r>
        <w:rPr>
          <w:rFonts w:hint="eastAsia" w:ascii="宋体" w:hAnsi="宋体" w:eastAsia="宋体" w:cs="Times New Roman"/>
          <w:color w:val="auto"/>
          <w:kern w:val="0"/>
          <w:sz w:val="24"/>
          <w:szCs w:val="22"/>
          <w:highlight w:val="none"/>
          <w:lang w:val="en-US" w:eastAsia="zh-CN" w:bidi="ar-SA"/>
        </w:rPr>
        <w:t>以“让历史照亮未来”为主题，以铸牢中华民族共同体意识为主线，为推进“文化润疆”工程和“旅游兴疆”战略 提供有效载体，面向文物文博单位和全社会征集以新疆文物为主要内容的短视频作品，文物包含“可移动文物”与“不可移动文物”。征集作品为展现新疆文物的悠久历史，见证反映各民族交往交流交融、中华民族多元一体历史进程、蕴含优秀传统文化的文物故事、文物景点的短视频。鼓励引导文博单位、社会各界融合文物资源优势和新媒体传播优势，推出一批导向正确、内容优质、形式新颖、传播效果突出的文博新媒体传播作品，推动让文物活起来，让文物说话，让历史说话，让文化说话，为铸牢中华民族共同体意识发挥重要作用。</w:t>
      </w:r>
    </w:p>
    <w:p>
      <w:pPr>
        <w:pStyle w:val="23"/>
        <w:spacing w:line="360" w:lineRule="auto"/>
        <w:ind w:firstLine="424" w:firstLineChars="177"/>
        <w:outlineLvl w:val="9"/>
        <w:rPr>
          <w:rFonts w:hint="default" w:ascii="宋体" w:hAnsi="宋体" w:eastAsia="宋体" w:cs="Times New Roman"/>
          <w:color w:val="auto"/>
          <w:kern w:val="0"/>
          <w:sz w:val="24"/>
          <w:szCs w:val="22"/>
          <w:highlight w:val="none"/>
          <w:lang w:val="en-US" w:eastAsia="zh-CN" w:bidi="ar-SA"/>
        </w:rPr>
      </w:pPr>
      <w:r>
        <w:rPr>
          <w:rFonts w:hint="eastAsia" w:ascii="宋体" w:hAnsi="宋体" w:eastAsia="宋体" w:cs="Times New Roman"/>
          <w:color w:val="auto"/>
          <w:kern w:val="0"/>
          <w:sz w:val="24"/>
          <w:szCs w:val="22"/>
          <w:highlight w:val="none"/>
          <w:lang w:val="en-US" w:eastAsia="zh-CN" w:bidi="ar-SA"/>
        </w:rPr>
        <w:t>二、 本项目服务内容</w:t>
      </w:r>
    </w:p>
    <w:p>
      <w:pPr>
        <w:pStyle w:val="23"/>
        <w:spacing w:line="360" w:lineRule="auto"/>
        <w:ind w:firstLine="424" w:firstLineChars="177"/>
        <w:outlineLvl w:val="9"/>
        <w:rPr>
          <w:rFonts w:hint="default" w:ascii="宋体" w:hAnsi="宋体" w:eastAsia="宋体" w:cs="宋体"/>
          <w:color w:val="FF0000"/>
          <w:sz w:val="24"/>
          <w:highlight w:val="none"/>
        </w:rPr>
      </w:pPr>
      <w:r>
        <w:rPr>
          <w:rFonts w:hint="eastAsia" w:ascii="宋体" w:hAnsi="宋体" w:eastAsia="宋体" w:cs="Times New Roman"/>
          <w:color w:val="FF0000"/>
          <w:kern w:val="0"/>
          <w:sz w:val="24"/>
          <w:szCs w:val="22"/>
          <w:highlight w:val="none"/>
          <w:lang w:val="en-US" w:eastAsia="zh-CN" w:bidi="ar-SA"/>
        </w:rPr>
        <w:t>主要建设内容包括：1.媒体宣传推广；2.短视频</w:t>
      </w:r>
      <w:r>
        <w:rPr>
          <w:rFonts w:hint="eastAsia" w:ascii="宋体" w:hAnsi="宋体" w:eastAsia="宋体" w:cs="Times New Roman"/>
          <w:color w:val="FF0000"/>
          <w:kern w:val="0"/>
          <w:sz w:val="24"/>
          <w:szCs w:val="22"/>
          <w:highlight w:val="none"/>
          <w:lang w:val="en-US" w:bidi="ar-SA"/>
        </w:rPr>
        <w:t>、海报、</w:t>
      </w:r>
      <w:r>
        <w:rPr>
          <w:rFonts w:hint="default" w:ascii="宋体" w:hAnsi="宋体" w:eastAsia="宋体" w:cs="Times New Roman"/>
          <w:color w:val="FF0000"/>
          <w:kern w:val="0"/>
          <w:sz w:val="24"/>
          <w:szCs w:val="22"/>
          <w:highlight w:val="none"/>
          <w:lang w:bidi="ar-SA"/>
        </w:rPr>
        <w:t>H5</w:t>
      </w:r>
      <w:r>
        <w:rPr>
          <w:rFonts w:hint="eastAsia" w:ascii="宋体" w:hAnsi="宋体" w:eastAsia="宋体" w:cs="Times New Roman"/>
          <w:color w:val="FF0000"/>
          <w:kern w:val="0"/>
          <w:sz w:val="24"/>
          <w:szCs w:val="22"/>
          <w:highlight w:val="none"/>
          <w:lang w:val="en-US" w:bidi="ar-SA"/>
        </w:rPr>
        <w:t>等新媒体产品的</w:t>
      </w:r>
      <w:r>
        <w:rPr>
          <w:rFonts w:hint="eastAsia" w:ascii="宋体" w:hAnsi="宋体" w:eastAsia="宋体" w:cs="Times New Roman"/>
          <w:color w:val="FF0000"/>
          <w:kern w:val="0"/>
          <w:sz w:val="24"/>
          <w:szCs w:val="22"/>
          <w:highlight w:val="none"/>
          <w:lang w:val="en-US" w:eastAsia="zh-CN" w:bidi="ar-SA"/>
        </w:rPr>
        <w:t>拍摄制作；3.新疆文物新媒体传播作品专家评选活动；4.获奖者奖励；5.“文化和自然遗产日”活动展示场地布置、项目作品展示、宣传、推介等。</w:t>
      </w:r>
    </w:p>
    <w:bookmarkEnd w:id="131"/>
    <w:bookmarkEnd w:id="132"/>
    <w:bookmarkEnd w:id="133"/>
    <w:bookmarkEnd w:id="134"/>
    <w:bookmarkEnd w:id="135"/>
    <w:bookmarkEnd w:id="136"/>
    <w:bookmarkEnd w:id="137"/>
    <w:bookmarkEnd w:id="138"/>
    <w:p>
      <w:pPr>
        <w:tabs>
          <w:tab w:val="left" w:pos="6958"/>
        </w:tabs>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ab/>
      </w:r>
    </w:p>
    <w:p>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br w:type="page"/>
      </w: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widowControl/>
        <w:numPr>
          <w:ilvl w:val="0"/>
          <w:numId w:val="3"/>
        </w:numPr>
        <w:suppressAutoHyphens w:val="0"/>
        <w:spacing w:line="480" w:lineRule="exact"/>
        <w:ind w:left="0" w:leftChars="0" w:firstLine="0" w:firstLineChars="0"/>
        <w:jc w:val="center"/>
        <w:outlineLvl w:val="0"/>
        <w:rPr>
          <w:rStyle w:val="25"/>
          <w:rFonts w:hint="eastAsia" w:ascii="宋体" w:hAnsi="宋体" w:eastAsia="宋体" w:cs="宋体"/>
          <w:color w:val="auto"/>
          <w:highlight w:val="none"/>
        </w:rPr>
      </w:pPr>
      <w:bookmarkStart w:id="139" w:name="_Toc27504"/>
      <w:r>
        <w:rPr>
          <w:rStyle w:val="25"/>
          <w:rFonts w:hint="eastAsia" w:ascii="宋体" w:hAnsi="宋体" w:eastAsia="宋体" w:cs="宋体"/>
          <w:color w:val="auto"/>
          <w:highlight w:val="none"/>
        </w:rPr>
        <w:t>合同条款</w:t>
      </w:r>
      <w:bookmarkEnd w:id="139"/>
    </w:p>
    <w:p>
      <w:pPr>
        <w:pStyle w:val="15"/>
        <w:widowControl w:val="0"/>
        <w:numPr>
          <w:ilvl w:val="0"/>
          <w:numId w:val="0"/>
        </w:numPr>
        <w:suppressAutoHyphens/>
        <w:spacing w:after="120"/>
        <w:jc w:val="both"/>
        <w:rPr>
          <w:rFonts w:hint="eastAsia"/>
          <w:color w:val="auto"/>
          <w:highlight w:val="none"/>
        </w:rPr>
      </w:pPr>
    </w:p>
    <w:p>
      <w:pPr>
        <w:pStyle w:val="15"/>
        <w:widowControl w:val="0"/>
        <w:numPr>
          <w:ilvl w:val="0"/>
          <w:numId w:val="0"/>
        </w:numPr>
        <w:suppressAutoHyphens/>
        <w:spacing w:after="120"/>
        <w:jc w:val="both"/>
        <w:rPr>
          <w:rFonts w:hint="eastAsia"/>
          <w:color w:val="auto"/>
          <w:highlight w:val="none"/>
        </w:rPr>
      </w:pPr>
    </w:p>
    <w:p>
      <w:pPr>
        <w:pStyle w:val="3"/>
        <w:tabs>
          <w:tab w:val="left" w:pos="360"/>
        </w:tabs>
        <w:spacing w:line="400" w:lineRule="atLeast"/>
        <w:jc w:val="center"/>
        <w:rPr>
          <w:rFonts w:hint="eastAsia"/>
          <w:b w:val="0"/>
          <w:color w:val="auto"/>
          <w:sz w:val="36"/>
          <w:szCs w:val="36"/>
          <w:highlight w:val="none"/>
        </w:rPr>
      </w:pPr>
      <w:bookmarkStart w:id="140" w:name="_Toc12064"/>
      <w:r>
        <w:rPr>
          <w:color w:val="auto"/>
          <w:sz w:val="36"/>
          <w:szCs w:val="36"/>
          <w:highlight w:val="none"/>
        </w:rPr>
        <w:t>合同一般条款</w:t>
      </w:r>
      <w:r>
        <w:rPr>
          <w:rFonts w:hint="eastAsia"/>
          <w:color w:val="auto"/>
          <w:sz w:val="36"/>
          <w:szCs w:val="36"/>
          <w:highlight w:val="none"/>
        </w:rPr>
        <w:t>（仅供参考，具体以实际签订为准）</w:t>
      </w:r>
      <w:bookmarkEnd w:id="140"/>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1、定义</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1.1 “合同”系指甲方和乙方(以下简称合同双方)已达成的协议，即由双方签订的合同格式文件，包括所有的磋商文件、响应文件、招标答疑纪录、澄清说明、附件、附录和组成合同的所有其他文件。</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1.2 “合同价格”系指根据合同规定，在乙方全面正确地履行合同义务时，甲方应支付给乙方的款项。</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1.3“服务”系指按谈判文件要求的服务。</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1.4 “甲方”、“采购人”均系指通过竞争性谈判采购，接受合同服务的新疆维吾尔自治区中小企业服务中心（</w:t>
      </w:r>
      <w:r>
        <w:rPr>
          <w:rFonts w:hint="eastAsia" w:ascii="宋体" w:hAnsi="宋体" w:cs="Arial"/>
          <w:color w:val="auto"/>
          <w:sz w:val="24"/>
          <w:szCs w:val="24"/>
          <w:highlight w:val="none"/>
          <w:lang w:eastAsia="zh-CN"/>
        </w:rPr>
        <w:t>新疆维吾尔自治区文博院</w:t>
      </w:r>
      <w:r>
        <w:rPr>
          <w:rFonts w:hint="eastAsia" w:ascii="宋体" w:hAnsi="宋体" w:cs="Arial"/>
          <w:color w:val="auto"/>
          <w:sz w:val="24"/>
          <w:szCs w:val="24"/>
          <w:highlight w:val="none"/>
        </w:rPr>
        <w:t>）。</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1.5 “乙方”系指成交后提供合同服务的中介机构。</w:t>
      </w:r>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2、适用范围</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2.1 本合同条款仅适用于本次谈判活动。</w:t>
      </w:r>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3、合同价款的支付方式</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3.1 合同约定（特别注明：乙方必须提供国家税务机关开具的正规发票，货款支付至乙方对公账户，不得以任何理由支付至个人账户）。具体按合同约定付款。</w:t>
      </w:r>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4、价格</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4.1除合同中另有规定者外，乙方为其所提供的服务而要求甲方支付的金额应与其投标报价一致。　</w:t>
      </w:r>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5、不可抗力</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5.1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5.2 受阻一方应在不可抗力事故发生后尽快用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6、仲裁</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6.1在执行本合同中发生的或与本合同有关的争端，双方应通过友好协商解决，经协商在30天内不能达成协议时，应提交仲裁。</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6.2仲裁应由甲方所在地仲裁机构，根据其仲裁程序和规则进行。</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6.3仲裁裁决为最终决定，并对双方具有约束力。</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6.4除另有裁决外，仲裁费应由败诉方负担。</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6.5在仲裁期间，除正在进行的仲裁部分外，合同其它部分继续执行。</w:t>
      </w:r>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7、违约终止合同</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7.1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    (1)如果乙方未能在合同规定的期限内或甲方准许的任何延期内交付部分成果或全部成果。</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    (2)乙方未能履行合同项下的其它义务。</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7.2一旦甲方根据合同约定条款终止部分或全部合同，甲方可以按其认为适当的条件和方式采购类似未交付部分的成果。乙方应承担甲方购买类似服务成果的额外费用。但是，乙方应继续履行合同中未终止的部分。</w:t>
      </w:r>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8、合同修改</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8.1欲对合同条款做出任何改动或偏离，均须由甲乙双方签署书面的合同修改书。</w:t>
      </w:r>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9、适用法律</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9.1本合同应按中华人民共和国的相关法律解释。</w:t>
      </w:r>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10、通知</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10.1本合同任何一方给另一方的通知都应以书面或电传、电报、传真的形式发送，而另一方应以书面形式确认并发送到对方明确的地址。</w:t>
      </w:r>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11、合同生效及其他</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11.1本合同应在甲方和乙方签字盖章后生效。</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11.2下述文件将作为合同附件，为本合同不可分割的组成部分，并与本合具有同等效力；</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（1）谈判文件</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（2）成交通知书</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（3）乙方的谈判响应文件及谈判过程中的书面答疑记录</w:t>
      </w:r>
    </w:p>
    <w:p>
      <w:pPr>
        <w:spacing w:line="480" w:lineRule="exact"/>
        <w:rPr>
          <w:rFonts w:hint="eastAsia" w:ascii="宋体" w:hAnsi="宋体" w:cs="Arial"/>
          <w:color w:val="auto"/>
          <w:sz w:val="24"/>
          <w:szCs w:val="24"/>
          <w:highlight w:val="none"/>
        </w:rPr>
      </w:pPr>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付款币种及方式</w:t>
      </w:r>
    </w:p>
    <w:p>
      <w:pPr>
        <w:spacing w:line="480" w:lineRule="exact"/>
        <w:rPr>
          <w:rFonts w:hint="eastAsia" w:ascii="宋体" w:hAnsi="宋体" w:cs="Arial"/>
          <w:b/>
          <w:bCs/>
          <w:color w:val="auto"/>
          <w:sz w:val="24"/>
          <w:szCs w:val="24"/>
          <w:highlight w:val="none"/>
        </w:rPr>
      </w:pPr>
      <w:r>
        <w:rPr>
          <w:rFonts w:hint="eastAsia" w:ascii="宋体" w:hAnsi="宋体" w:cs="Arial"/>
          <w:b/>
          <w:bCs/>
          <w:color w:val="auto"/>
          <w:sz w:val="24"/>
          <w:szCs w:val="24"/>
          <w:highlight w:val="none"/>
        </w:rPr>
        <w:t>1、付款币种</w:t>
      </w:r>
    </w:p>
    <w:p>
      <w:pPr>
        <w:spacing w:line="480" w:lineRule="exact"/>
        <w:rPr>
          <w:rFonts w:hint="eastAsia" w:ascii="宋体" w:hAnsi="宋体" w:cs="Arial"/>
          <w:color w:val="auto"/>
          <w:sz w:val="24"/>
          <w:szCs w:val="24"/>
          <w:highlight w:val="none"/>
        </w:rPr>
      </w:pPr>
      <w:r>
        <w:rPr>
          <w:rFonts w:hint="eastAsia" w:ascii="宋体" w:hAnsi="宋体" w:cs="Arial"/>
          <w:color w:val="auto"/>
          <w:sz w:val="24"/>
          <w:szCs w:val="24"/>
          <w:highlight w:val="none"/>
        </w:rPr>
        <w:t>本次招标所述的项目资金均以人民币支付。</w:t>
      </w:r>
    </w:p>
    <w:p>
      <w:pPr>
        <w:spacing w:line="480" w:lineRule="exact"/>
        <w:rPr>
          <w:rFonts w:hint="eastAsia" w:ascii="宋体" w:hAnsi="宋体" w:cs="Arial"/>
          <w:b/>
          <w:bCs/>
          <w:color w:val="auto"/>
          <w:sz w:val="24"/>
          <w:szCs w:val="24"/>
          <w:highlight w:val="lightGray"/>
        </w:rPr>
      </w:pPr>
      <w:r>
        <w:rPr>
          <w:rFonts w:hint="eastAsia" w:ascii="宋体" w:hAnsi="宋体" w:cs="Arial"/>
          <w:b/>
          <w:bCs/>
          <w:color w:val="auto"/>
          <w:sz w:val="24"/>
          <w:szCs w:val="24"/>
          <w:highlight w:val="lightGray"/>
        </w:rPr>
        <w:t>2、付款方式：</w:t>
      </w:r>
    </w:p>
    <w:p>
      <w:pPr>
        <w:spacing w:line="480" w:lineRule="exact"/>
        <w:ind w:firstLine="480" w:firstLineChars="200"/>
        <w:rPr>
          <w:rFonts w:hint="eastAsia" w:ascii="宋体" w:hAnsi="宋体" w:eastAsia="宋体;SimSun" w:cs="Arial"/>
          <w:color w:val="auto"/>
          <w:sz w:val="24"/>
          <w:szCs w:val="24"/>
          <w:highlight w:val="lightGray"/>
        </w:rPr>
      </w:pPr>
      <w:r>
        <w:rPr>
          <w:rFonts w:hint="eastAsia" w:ascii="宋体" w:hAnsi="宋体" w:cs="Arial"/>
          <w:color w:val="auto"/>
          <w:sz w:val="24"/>
          <w:szCs w:val="24"/>
          <w:highlight w:val="lightGray"/>
          <w:lang w:val="en-US"/>
        </w:rPr>
        <w:t>签订合同后，预付合同额的50%，实施方案经由甲方确认且开始实施后支付合同总额的30%，项目实施完成且验收合格后支付合同额的20%，并提供全额的发票。</w:t>
      </w:r>
    </w:p>
    <w:p>
      <w:pPr>
        <w:pStyle w:val="3"/>
        <w:jc w:val="center"/>
        <w:rPr>
          <w:rFonts w:hint="eastAsia" w:ascii="宋体" w:hAnsi="宋体" w:cs="宋体"/>
          <w:color w:val="auto"/>
          <w:highlight w:val="none"/>
        </w:rPr>
      </w:pPr>
      <w:bookmarkStart w:id="141" w:name="_Toc28125"/>
      <w:r>
        <w:rPr>
          <w:rFonts w:hint="eastAsia" w:ascii="宋体" w:hAnsi="宋体" w:cs="宋体"/>
          <w:color w:val="auto"/>
          <w:highlight w:val="none"/>
        </w:rPr>
        <w:br w:type="page"/>
      </w:r>
      <w:r>
        <w:rPr>
          <w:rFonts w:hint="eastAsia" w:ascii="宋体" w:hAnsi="宋体" w:cs="宋体"/>
          <w:color w:val="auto"/>
          <w:highlight w:val="none"/>
        </w:rPr>
        <w:t>第五章 评审办法</w:t>
      </w:r>
      <w:bookmarkEnd w:id="141"/>
    </w:p>
    <w:p>
      <w:pPr>
        <w:pStyle w:val="15"/>
        <w:numPr>
          <w:ilvl w:val="0"/>
          <w:numId w:val="6"/>
        </w:numPr>
        <w:snapToGrid w:val="0"/>
        <w:spacing w:after="0" w:line="440" w:lineRule="exact"/>
        <w:ind w:firstLine="480"/>
        <w:rPr>
          <w:rFonts w:hint="eastAsia" w:ascii="宋体" w:hAnsi="宋体" w:eastAsia="宋体" w:cs="宋体"/>
          <w:b/>
          <w:bCs/>
          <w:color w:val="auto"/>
          <w:sz w:val="24"/>
          <w:szCs w:val="24"/>
          <w:highlight w:val="none"/>
        </w:rPr>
      </w:pPr>
      <w:bookmarkStart w:id="142" w:name="_Toc37090656"/>
      <w:bookmarkStart w:id="143" w:name="_Toc37090992"/>
      <w:bookmarkStart w:id="144" w:name="_Toc37090651"/>
      <w:bookmarkStart w:id="145" w:name="_Toc37090987"/>
      <w:r>
        <w:rPr>
          <w:rFonts w:hint="eastAsia" w:ascii="宋体" w:hAnsi="宋体" w:eastAsia="宋体" w:cs="宋体"/>
          <w:b/>
          <w:bCs/>
          <w:color w:val="auto"/>
          <w:sz w:val="24"/>
          <w:szCs w:val="24"/>
          <w:highlight w:val="none"/>
        </w:rPr>
        <w:t>评审说明</w:t>
      </w:r>
    </w:p>
    <w:p>
      <w:pPr>
        <w:pStyle w:val="15"/>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次磋商实行两次报价，加密的响应文件中提供的供应商报价为一次报价，在磋商小组对各供应商的响应文件进行初步评审（资格评审、符合性评审）后，由磋商小组开启二次报价，各供应商须在二次报价开启后的</w:t>
      </w:r>
      <w:r>
        <w:rPr>
          <w:rFonts w:hint="eastAsia" w:ascii="宋体" w:hAnsi="宋体" w:eastAsia="宋体" w:cs="宋体"/>
          <w:color w:val="auto"/>
          <w:sz w:val="24"/>
          <w:szCs w:val="24"/>
          <w:highlight w:val="none"/>
          <w:lang w:eastAsia="zh-CN"/>
        </w:rPr>
        <w:t>30分钟</w:t>
      </w:r>
      <w:r>
        <w:rPr>
          <w:rFonts w:hint="eastAsia" w:ascii="宋体" w:hAnsi="宋体" w:eastAsia="宋体" w:cs="宋体"/>
          <w:color w:val="auto"/>
          <w:sz w:val="24"/>
          <w:szCs w:val="24"/>
          <w:highlight w:val="none"/>
        </w:rPr>
        <w:t>内登录政采云系统进行二次（最后）报价。因供应商自身原因未在系统内及时填报二次报价的，其责任由供应商承担。</w:t>
      </w:r>
    </w:p>
    <w:p>
      <w:pPr>
        <w:pStyle w:val="15"/>
        <w:snapToGrid w:val="0"/>
        <w:spacing w:after="0"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1.2本次磋商采用综合评分法进行评审。</w:t>
      </w:r>
      <w:r>
        <w:rPr>
          <w:rFonts w:hint="eastAsia" w:ascii="宋体" w:hAnsi="宋体" w:eastAsia="宋体" w:cs="宋体"/>
          <w:color w:val="auto"/>
          <w:kern w:val="0"/>
          <w:sz w:val="24"/>
          <w:szCs w:val="24"/>
          <w:highlight w:val="none"/>
        </w:rPr>
        <w:t>综合评分法是指响应文件满足竞争性磋商文件全部实质性要求，且按照评审因素的量化指标评审综合得分（即对各供应商响应文件的商务、技术、最后报价进行综合评审。磋商小组将按供应商综合得分顺序由高到低依次排名，得分相同的，按最后报价由低到高顺序排列。综合得分及报价均相同的，按技术指标优劣顺序排列。推荐前三名为成交候选单位。经采购人确认后确定排名第一的供应商为本项目的成交供应商。</w:t>
      </w:r>
    </w:p>
    <w:p>
      <w:pPr>
        <w:pStyle w:val="15"/>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根据财政部发布的《政府采购促进中小企业发展管理办法》（财库〔2020〕46号）规定，对小微企业报价给予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%（工程项目为 3%—5%）的扣除，用扣除后的价格参加评审。在服务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p>
    <w:p>
      <w:pPr>
        <w:pStyle w:val="15"/>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w:t>
      </w:r>
    </w:p>
    <w:p>
      <w:pPr>
        <w:pStyle w:val="15"/>
        <w:snapToGrid w:val="0"/>
        <w:spacing w:after="0" w:line="48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2.1 </w:t>
      </w:r>
      <w:r>
        <w:rPr>
          <w:rFonts w:hint="eastAsia" w:ascii="宋体" w:hAnsi="宋体" w:eastAsia="宋体" w:cs="宋体"/>
          <w:b/>
          <w:bCs/>
          <w:color w:val="auto"/>
          <w:sz w:val="24"/>
          <w:szCs w:val="24"/>
          <w:highlight w:val="none"/>
        </w:rPr>
        <w:t>本次磋商采用综合评分法进行评审。评审分初步评审和详细评审两个阶段。初步评审分为资格性检查和符合性检查，只有通过初步评审且递交最后报价的的供应商才</w:t>
      </w:r>
      <w:r>
        <w:rPr>
          <w:rFonts w:hint="eastAsia" w:ascii="宋体" w:hAnsi="宋体" w:eastAsia="宋体" w:cs="宋体"/>
          <w:b/>
          <w:color w:val="auto"/>
          <w:sz w:val="24"/>
          <w:szCs w:val="24"/>
          <w:highlight w:val="none"/>
        </w:rPr>
        <w:t>可进入详细评审阶段。</w:t>
      </w:r>
    </w:p>
    <w:p>
      <w:pPr>
        <w:pStyle w:val="15"/>
        <w:snapToGrid w:val="0"/>
        <w:spacing w:after="0" w:line="48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2.2评审方法</w:t>
      </w:r>
    </w:p>
    <w:p>
      <w:pPr>
        <w:pStyle w:val="15"/>
        <w:snapToGrid w:val="0"/>
        <w:spacing w:after="0" w:line="480" w:lineRule="exact"/>
        <w:ind w:firstLine="482"/>
        <w:rPr>
          <w:rFonts w:hint="eastAsia" w:ascii="宋体" w:hAnsi="宋体" w:eastAsia="宋体" w:cs="宋体"/>
          <w:b/>
          <w:bCs/>
          <w:color w:val="auto"/>
          <w:sz w:val="24"/>
          <w:szCs w:val="24"/>
          <w:highlight w:val="darkGray"/>
        </w:rPr>
      </w:pPr>
      <w:r>
        <w:rPr>
          <w:rFonts w:hint="eastAsia" w:ascii="宋体" w:hAnsi="宋体" w:eastAsia="宋体" w:cs="宋体"/>
          <w:b/>
          <w:bCs/>
          <w:color w:val="auto"/>
          <w:sz w:val="24"/>
          <w:szCs w:val="24"/>
          <w:highlight w:val="none"/>
        </w:rPr>
        <w:t>磋商小组将对下述评审因素进行量化，并根据磋商小组每个成员对响应文件的评审和理解进行打分，满分为100分。价格部分满分为10分，商务部分满分为</w:t>
      </w:r>
      <w:r>
        <w:rPr>
          <w:rFonts w:hint="default" w:ascii="宋体" w:hAnsi="宋体" w:eastAsia="宋体" w:cs="宋体"/>
          <w:b/>
          <w:bCs/>
          <w:color w:val="auto"/>
          <w:sz w:val="24"/>
          <w:szCs w:val="24"/>
          <w:highlight w:val="none"/>
          <w:lang w:eastAsia="zh-CN"/>
        </w:rPr>
        <w:t>30</w:t>
      </w:r>
      <w:r>
        <w:rPr>
          <w:rFonts w:hint="eastAsia" w:ascii="宋体" w:hAnsi="宋体" w:eastAsia="宋体" w:cs="宋体"/>
          <w:b/>
          <w:bCs/>
          <w:color w:val="auto"/>
          <w:sz w:val="24"/>
          <w:szCs w:val="24"/>
          <w:highlight w:val="none"/>
        </w:rPr>
        <w:t>分，技术部分满分为</w:t>
      </w:r>
      <w:r>
        <w:rPr>
          <w:rFonts w:hint="default" w:ascii="宋体" w:hAnsi="宋体" w:eastAsia="宋体" w:cs="宋体"/>
          <w:b/>
          <w:bCs/>
          <w:color w:val="auto"/>
          <w:sz w:val="24"/>
          <w:szCs w:val="24"/>
          <w:highlight w:val="none"/>
          <w:lang w:eastAsia="zh-CN"/>
        </w:rPr>
        <w:t>60</w:t>
      </w:r>
      <w:r>
        <w:rPr>
          <w:rFonts w:hint="eastAsia" w:ascii="宋体" w:hAnsi="宋体" w:eastAsia="宋体" w:cs="宋体"/>
          <w:b/>
          <w:bCs/>
          <w:color w:val="auto"/>
          <w:sz w:val="24"/>
          <w:szCs w:val="24"/>
          <w:highlight w:val="none"/>
        </w:rPr>
        <w:t>分。供应商各部分的分值相加，即为该供应商的综合评估分。</w:t>
      </w:r>
    </w:p>
    <w:p>
      <w:pPr>
        <w:snapToGrid w:val="0"/>
        <w:spacing w:after="120"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2.3评审办法附表</w:t>
      </w:r>
    </w:p>
    <w:tbl>
      <w:tblPr>
        <w:tblStyle w:val="16"/>
        <w:tblW w:w="9915"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614"/>
        <w:gridCol w:w="1124"/>
        <w:gridCol w:w="1524"/>
        <w:gridCol w:w="5374"/>
        <w:gridCol w:w="636"/>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73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评分因素</w:t>
            </w:r>
          </w:p>
        </w:tc>
        <w:tc>
          <w:tcPr>
            <w:tcW w:w="152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评分点</w:t>
            </w:r>
          </w:p>
        </w:tc>
        <w:tc>
          <w:tcPr>
            <w:tcW w:w="537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评分标准</w:t>
            </w:r>
          </w:p>
        </w:tc>
        <w:tc>
          <w:tcPr>
            <w:tcW w:w="127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360" w:lineRule="auto"/>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7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spacing w:line="360" w:lineRule="auto"/>
              <w:jc w:val="left"/>
              <w:rPr>
                <w:rFonts w:hint="eastAsia" w:ascii="宋体" w:hAnsi="宋体" w:eastAsia="宋体" w:cs="宋体"/>
                <w:b/>
                <w:bCs/>
                <w:color w:val="auto"/>
                <w:kern w:val="0"/>
                <w:highlight w:val="none"/>
              </w:rPr>
            </w:pPr>
          </w:p>
        </w:tc>
        <w:tc>
          <w:tcPr>
            <w:tcW w:w="15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spacing w:line="360" w:lineRule="auto"/>
              <w:jc w:val="left"/>
              <w:rPr>
                <w:rFonts w:hint="eastAsia" w:ascii="宋体" w:hAnsi="宋体" w:eastAsia="宋体" w:cs="宋体"/>
                <w:b/>
                <w:bCs/>
                <w:color w:val="auto"/>
                <w:kern w:val="0"/>
                <w:highlight w:val="none"/>
              </w:rPr>
            </w:pPr>
          </w:p>
        </w:tc>
        <w:tc>
          <w:tcPr>
            <w:tcW w:w="53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uppressAutoHyphens w:val="0"/>
              <w:spacing w:line="360" w:lineRule="auto"/>
              <w:jc w:val="left"/>
              <w:rPr>
                <w:rFonts w:hint="eastAsia" w:ascii="宋体" w:hAnsi="宋体" w:eastAsia="宋体" w:cs="宋体"/>
                <w:b/>
                <w:bCs/>
                <w:color w:val="auto"/>
                <w:kern w:val="0"/>
                <w:highlight w:val="none"/>
              </w:rPr>
            </w:pPr>
          </w:p>
        </w:tc>
        <w:tc>
          <w:tcPr>
            <w:tcW w:w="63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360" w:lineRule="auto"/>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是</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360" w:lineRule="auto"/>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初步评审</w:t>
            </w:r>
          </w:p>
        </w:tc>
        <w:tc>
          <w:tcPr>
            <w:tcW w:w="112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资格检查</w:t>
            </w: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val="0"/>
                <w:bCs/>
                <w:color w:val="auto"/>
                <w:sz w:val="21"/>
                <w:szCs w:val="21"/>
                <w:highlight w:val="none"/>
              </w:rPr>
              <w:t>具有独立承担民事责任的能力</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val="0"/>
                <w:bCs/>
                <w:color w:val="auto"/>
                <w:sz w:val="21"/>
                <w:szCs w:val="21"/>
                <w:highlight w:val="none"/>
              </w:rPr>
              <w:t>如供应商是企业（包括合伙企业），应提供在工商部门注册的有效“企业法人营业执照”或“营业执照”（三证或五证合一）；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val="0"/>
                <w:bCs/>
                <w:color w:val="auto"/>
                <w:sz w:val="21"/>
                <w:szCs w:val="21"/>
                <w:highlight w:val="none"/>
              </w:rPr>
              <w:t>具有良好的商业信誉和健全的财务会计制度</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val="0"/>
                <w:bCs/>
                <w:color w:val="auto"/>
                <w:sz w:val="21"/>
                <w:szCs w:val="21"/>
                <w:highlight w:val="none"/>
              </w:rPr>
              <w:t>供应商是法人的，法人单位成立一年以上的须提供投标截止日前</w:t>
            </w:r>
            <w:r>
              <w:rPr>
                <w:rFonts w:hint="eastAsia" w:ascii="宋体" w:hAnsi="宋体" w:eastAsia="宋体" w:cs="宋体"/>
                <w:b w:val="0"/>
                <w:bCs/>
                <w:color w:val="auto"/>
                <w:sz w:val="21"/>
                <w:szCs w:val="21"/>
                <w:highlight w:val="none"/>
                <w:lang w:val="en-US" w:eastAsia="zh-CN"/>
              </w:rPr>
              <w:t>近三年任一年度</w:t>
            </w:r>
            <w:r>
              <w:rPr>
                <w:rFonts w:hint="eastAsia" w:ascii="宋体" w:hAnsi="宋体" w:eastAsia="宋体" w:cs="宋体"/>
                <w:b w:val="0"/>
                <w:bCs/>
                <w:color w:val="auto"/>
                <w:sz w:val="21"/>
                <w:szCs w:val="21"/>
                <w:highlight w:val="none"/>
              </w:rPr>
              <w:t>经审计的财务审计报告复印件加盖公章</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法人单位成立一年以内的须提供成立当月至投标截止日前上个月的财务报表复印件加盖公章（须包括资产负债表、利润表、现金流量表等）或基本开户银行在投标截止日前三个月内开具的资信证明（原件或该原件的复印件，复印件须加盖供应商公章，银行存款证明无效）；法人单位成立三个月以内的须提供基本开户银行开具的资信证明（原件或该原件的复印件，复印件须加盖供应商公章，银行存款证明无效），或自行编写具有良好的商业信誉和健全的财务会计制度的承诺书；供应商是其他组织或自然人的，须提供银行出具的资信证明原件或自行编写具有良好的商业信誉和健全的财务会计制度的承诺书。</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color w:val="auto"/>
                <w:highlight w:val="none"/>
              </w:rPr>
            </w:pPr>
          </w:p>
          <w:p>
            <w:pPr>
              <w:pStyle w:val="5"/>
              <w:spacing w:line="360" w:lineRule="auto"/>
              <w:rPr>
                <w:rFonts w:hint="eastAsia"/>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val="0"/>
                <w:bCs/>
                <w:color w:val="auto"/>
                <w:sz w:val="21"/>
                <w:szCs w:val="21"/>
                <w:highlight w:val="none"/>
              </w:rPr>
              <w:t>有依法缴纳税收和社会保障资金的良好记录</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numPr>
                <w:ilvl w:val="0"/>
                <w:numId w:val="7"/>
              </w:num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供应商依法缴纳税收的证明材料：本项目投标截止时间前6个月内（至少提供1个月）缴纳税收的凭据（完税证、缴款书、印花税票、银行代扣（代缴）转账凭证等均可）；</w:t>
            </w:r>
          </w:p>
          <w:p>
            <w:pPr>
              <w:pStyle w:val="32"/>
              <w:numPr>
                <w:ilvl w:val="0"/>
                <w:numId w:val="7"/>
              </w:num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依法免税的供应商，须提供相应文件证明其依法免税。</w:t>
            </w:r>
          </w:p>
          <w:p>
            <w:pPr>
              <w:pStyle w:val="32"/>
              <w:numPr>
                <w:ilvl w:val="0"/>
                <w:numId w:val="7"/>
              </w:num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供应商依法缴纳社会保障资金的证明材料：本项目投标截止时间时间前6个月内（至少提供1个月）缴纳社会保险的凭据（专用收据或社会保险交纳清单）；</w:t>
            </w:r>
          </w:p>
          <w:p>
            <w:pPr>
              <w:pStyle w:val="32"/>
              <w:numPr>
                <w:ilvl w:val="0"/>
                <w:numId w:val="7"/>
              </w:num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供应商为其他组织或自然人的，也需要按此项规定提供缴纳税收的凭据和交纳社会保险的凭据。</w:t>
            </w:r>
          </w:p>
          <w:p>
            <w:pPr>
              <w:pStyle w:val="32"/>
              <w:spacing w:line="360" w:lineRule="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val="0"/>
                <w:bCs/>
                <w:color w:val="auto"/>
                <w:sz w:val="21"/>
                <w:szCs w:val="21"/>
                <w:highlight w:val="none"/>
              </w:rPr>
              <w:t>5、依法不需要缴纳社会保障资金的供应商，须提供相应文件证明其依法不需要缴纳社会保障资金。</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pStyle w:val="5"/>
              <w:spacing w:line="360" w:lineRule="auto"/>
              <w:rPr>
                <w:rFonts w:hint="eastAsia"/>
                <w:color w:val="auto"/>
                <w:highlight w:val="none"/>
              </w:rPr>
            </w:pPr>
          </w:p>
          <w:p>
            <w:pPr>
              <w:pStyle w:val="5"/>
              <w:spacing w:line="360" w:lineRule="auto"/>
              <w:rPr>
                <w:rFonts w:hint="eastAsia"/>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val="0"/>
                <w:bCs/>
                <w:color w:val="auto"/>
                <w:sz w:val="21"/>
                <w:szCs w:val="21"/>
                <w:highlight w:val="none"/>
              </w:rPr>
              <w:t>具有履行合同所必需的设备和专业技术能力</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val="0"/>
                <w:bCs/>
                <w:color w:val="auto"/>
                <w:sz w:val="21"/>
                <w:szCs w:val="21"/>
                <w:highlight w:val="none"/>
              </w:rPr>
              <w:t>供应商履行合同所必须的设备和专业技术能力的证明材料或声明</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pStyle w:val="5"/>
              <w:spacing w:line="360" w:lineRule="auto"/>
              <w:rPr>
                <w:rFonts w:hint="eastAsia"/>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val="0"/>
                <w:bCs/>
                <w:color w:val="auto"/>
                <w:sz w:val="21"/>
                <w:szCs w:val="21"/>
                <w:highlight w:val="none"/>
              </w:rPr>
              <w:t>参加政府采购活动前三年内，在经营活动中没有重大违法记录</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val="0"/>
                <w:bCs/>
                <w:color w:val="auto"/>
                <w:sz w:val="21"/>
                <w:szCs w:val="21"/>
                <w:highlight w:val="none"/>
              </w:rPr>
              <w:t>参加政府采购活动前 3 年内在经营活动中没有重大违法记录的书面声明</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pStyle w:val="5"/>
              <w:spacing w:line="360" w:lineRule="auto"/>
              <w:rPr>
                <w:rFonts w:hint="eastAsia"/>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供应商未列入失信被执行人、重大税收违法案件当事人名单、政府采购严重违法失信行为记录名单</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“信用中国”网站或“中国政府采购网”查询信息：1）未被列入失信被执行人； 2）不是重大税收违法案件当事人名单的供应商； 3）未被列入政府采购严重违法失信行为记录名单。</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pStyle w:val="5"/>
              <w:spacing w:line="360" w:lineRule="auto"/>
              <w:rPr>
                <w:rFonts w:hint="eastAsia"/>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采购政策</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本项目专门面向中小企业采购，《中小企业声明函》格式按采购文件要求填写。</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0"/>
                <w:highlight w:val="none"/>
              </w:rPr>
              <w:t>磋商保证金</w:t>
            </w:r>
          </w:p>
        </w:tc>
        <w:tc>
          <w:tcPr>
            <w:tcW w:w="537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0"/>
                <w:highlight w:val="none"/>
              </w:rPr>
              <w:t>按时足额缴纳磋商保证金</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符合性检查</w:t>
            </w: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供应商名称</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与营业执照、资质证书一致</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响应文件按磋商文件规定格式完整提供</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响应文件的格式</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color w:val="auto"/>
                <w:highlight w:val="none"/>
              </w:rPr>
            </w:pPr>
          </w:p>
          <w:p>
            <w:pPr>
              <w:pStyle w:val="5"/>
              <w:spacing w:line="360" w:lineRule="auto"/>
              <w:rPr>
                <w:rFonts w:hint="eastAsia"/>
                <w:color w:val="auto"/>
                <w:highlight w:val="none"/>
              </w:rPr>
            </w:pPr>
          </w:p>
        </w:tc>
        <w:tc>
          <w:tcPr>
            <w:tcW w:w="1124"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2"/>
                <w:sz w:val="21"/>
                <w:szCs w:val="21"/>
                <w:highlight w:val="none"/>
              </w:rPr>
              <w:t>法人授权</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2"/>
                <w:sz w:val="21"/>
                <w:szCs w:val="21"/>
                <w:highlight w:val="none"/>
              </w:rPr>
              <w:t>响应文件提供法定代表人授权委托书或提供法定代表人身份证明</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响应文件签署</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响应文件上法定代表人或其授权代理人的签字、供应商的单位章齐全符合磋商文件规定</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投标方案</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每个分包只能有一个方案投标。</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32"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服务期</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满足磋商文件要求。</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color w:val="auto"/>
                <w:highlight w:val="none"/>
              </w:rPr>
            </w:pPr>
          </w:p>
          <w:p>
            <w:pPr>
              <w:pStyle w:val="2"/>
              <w:spacing w:line="360" w:lineRule="auto"/>
              <w:rPr>
                <w:rFonts w:hint="eastAsia"/>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付款方式</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响应文件承诺的的付款方式满足磋商文件要求</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color w:val="auto"/>
                <w:highlight w:val="none"/>
              </w:rPr>
            </w:pPr>
          </w:p>
          <w:p>
            <w:pPr>
              <w:pStyle w:val="2"/>
              <w:spacing w:line="360" w:lineRule="auto"/>
              <w:rPr>
                <w:rFonts w:hint="eastAsia"/>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报价唯一</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其报价未超过采购预算金额，且只有一个有效报价，不得提交选择性报价</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auto"/>
              <w:rPr>
                <w:rFonts w:hint="eastAsia"/>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2"/>
                <w:sz w:val="21"/>
                <w:szCs w:val="21"/>
                <w:highlight w:val="none"/>
              </w:rPr>
              <w:t>采购范围</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2"/>
                <w:sz w:val="21"/>
                <w:szCs w:val="21"/>
                <w:highlight w:val="none"/>
              </w:rPr>
              <w:t>响应文件载明的采购范围是否符合磋商文件的要求，无重大偏离或保留</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其他</w:t>
            </w:r>
          </w:p>
        </w:tc>
        <w:tc>
          <w:tcPr>
            <w:tcW w:w="537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响应文件未附有招标人不能接受的附加条件或法律、法规和磋商文件规定的其他无效情形。</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37" w:hRule="atLeast"/>
        </w:trPr>
        <w:tc>
          <w:tcPr>
            <w:tcW w:w="173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360" w:lineRule="auto"/>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评分因素</w:t>
            </w:r>
          </w:p>
        </w:tc>
        <w:tc>
          <w:tcPr>
            <w:tcW w:w="8177"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360" w:lineRule="auto"/>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p>
          <w:p>
            <w:pPr>
              <w:widowControl/>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详细评审</w:t>
            </w:r>
          </w:p>
        </w:tc>
        <w:tc>
          <w:tcPr>
            <w:tcW w:w="112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Cs/>
                <w:color w:val="auto"/>
                <w:kern w:val="0"/>
                <w:highlight w:val="none"/>
              </w:rPr>
            </w:pPr>
            <w:r>
              <w:rPr>
                <w:rFonts w:hint="eastAsia" w:ascii="宋体" w:hAnsi="宋体" w:eastAsia="宋体" w:cs="宋体"/>
                <w:color w:val="auto"/>
                <w:kern w:val="0"/>
                <w:highlight w:val="none"/>
              </w:rPr>
              <w:t>价格评审（10分）</w:t>
            </w:r>
          </w:p>
        </w:tc>
        <w:tc>
          <w:tcPr>
            <w:tcW w:w="152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投标报价</w:t>
            </w:r>
          </w:p>
        </w:tc>
        <w:tc>
          <w:tcPr>
            <w:tcW w:w="6653" w:type="dxa"/>
            <w:gridSpan w:val="3"/>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评标基准价=有效投标报价的最低值，有效投标报价等于基准值的得满分，投标报价得分=（评标基准价/投标报价）×价格权重×100。有效投标报价为通过初步审查的供应商报价。</w:t>
            </w:r>
          </w:p>
          <w:p>
            <w:pPr>
              <w:pStyle w:val="32"/>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w:t>
            </w:r>
          </w:p>
          <w:p>
            <w:pPr>
              <w:pStyle w:val="32"/>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本项目采购标的对应的中小企业划分标准所属行业为“</w:t>
            </w:r>
            <w:r>
              <w:rPr>
                <w:rFonts w:hint="eastAsia" w:ascii="宋体" w:hAnsi="宋体" w:eastAsia="宋体" w:cs="宋体"/>
                <w:b w:val="0"/>
                <w:bCs/>
                <w:color w:val="auto"/>
                <w:sz w:val="21"/>
                <w:szCs w:val="21"/>
                <w:highlight w:val="none"/>
                <w:lang w:val="en-US" w:eastAsia="zh-CN"/>
              </w:rPr>
              <w:t>其他未列明服务</w:t>
            </w:r>
            <w:r>
              <w:rPr>
                <w:rFonts w:hint="eastAsia" w:ascii="宋体" w:hAnsi="宋体" w:eastAsia="宋体" w:cs="宋体"/>
                <w:b w:val="0"/>
                <w:bCs/>
                <w:color w:val="auto"/>
                <w:sz w:val="21"/>
                <w:szCs w:val="21"/>
                <w:highlight w:val="none"/>
              </w:rPr>
              <w:t>”。行业划分标准按《国民经济行业分类》执行。中小企业划分标准按《中小企业划型标准规定》（工信部联企业[2011]300号）文件规定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商务部分</w:t>
            </w:r>
          </w:p>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highlight w:val="none"/>
              </w:rPr>
              <w:t>（</w:t>
            </w:r>
            <w:r>
              <w:rPr>
                <w:rFonts w:hint="default" w:ascii="宋体" w:hAnsi="宋体" w:eastAsia="宋体" w:cs="宋体"/>
                <w:color w:val="auto"/>
                <w:kern w:val="0"/>
                <w:highlight w:val="none"/>
                <w:lang w:eastAsia="zh-CN"/>
              </w:rPr>
              <w:t>30</w:t>
            </w:r>
            <w:r>
              <w:rPr>
                <w:rFonts w:hint="eastAsia" w:ascii="宋体" w:hAnsi="宋体" w:eastAsia="宋体" w:cs="宋体"/>
                <w:color w:val="auto"/>
                <w:kern w:val="0"/>
                <w:highlight w:val="none"/>
              </w:rPr>
              <w:t>分）</w:t>
            </w:r>
          </w:p>
        </w:tc>
        <w:tc>
          <w:tcPr>
            <w:tcW w:w="1524"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类似项目业绩（0-</w:t>
            </w:r>
            <w:r>
              <w:rPr>
                <w:rFonts w:hint="default"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分）</w:t>
            </w:r>
          </w:p>
        </w:tc>
        <w:tc>
          <w:tcPr>
            <w:tcW w:w="6653" w:type="dxa"/>
            <w:gridSpan w:val="3"/>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近三年（2020年1月1日-至今）供应商已完成类似网络宣传活动案例业绩，每提供1项得2分，满分8分。（以签订合同日期为准，需提供合同或中标（成交）通知书加盖公章复印件，项目不得重复得分）。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2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pStyle w:val="5"/>
              <w:rPr>
                <w:rFonts w:hint="eastAsia"/>
              </w:rPr>
            </w:pPr>
          </w:p>
        </w:tc>
        <w:tc>
          <w:tcPr>
            <w:tcW w:w="1124"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p>
        </w:tc>
        <w:tc>
          <w:tcPr>
            <w:tcW w:w="1524" w:type="dxa"/>
            <w:tcBorders>
              <w:top w:val="single" w:color="auto" w:sz="4" w:space="0"/>
              <w:left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媒体宣传</w:t>
            </w:r>
            <w:r>
              <w:rPr>
                <w:rFonts w:hint="eastAsia" w:ascii="宋体" w:hAnsi="宋体" w:eastAsia="宋体" w:cs="宋体"/>
                <w:b w:val="0"/>
                <w:bCs/>
                <w:color w:val="auto"/>
                <w:sz w:val="21"/>
                <w:szCs w:val="21"/>
                <w:highlight w:val="none"/>
                <w:lang w:val="en-US" w:eastAsia="zh-CN"/>
              </w:rPr>
              <w:br w:type="textWrapping"/>
            </w:r>
            <w:r>
              <w:rPr>
                <w:rFonts w:hint="eastAsia" w:ascii="宋体" w:hAnsi="宋体" w:eastAsia="宋体" w:cs="宋体"/>
                <w:b w:val="0"/>
                <w:bCs/>
                <w:color w:val="auto"/>
                <w:sz w:val="21"/>
                <w:szCs w:val="21"/>
                <w:highlight w:val="none"/>
                <w:lang w:val="en-US" w:eastAsia="zh-CN"/>
              </w:rPr>
              <w:t>（0-</w:t>
            </w:r>
            <w:r>
              <w:rPr>
                <w:rFonts w:hint="default"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分）</w:t>
            </w:r>
          </w:p>
        </w:tc>
        <w:tc>
          <w:tcPr>
            <w:tcW w:w="6653" w:type="dxa"/>
            <w:gridSpan w:val="3"/>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在至少10家媒体进行宣传推广，其中中央级媒体不少于3家，自治区级媒体不少于3家；</w:t>
            </w:r>
            <w:r>
              <w:rPr>
                <w:rFonts w:hint="eastAsia" w:ascii="宋体" w:hAnsi="宋体" w:eastAsia="宋体" w:cs="宋体"/>
                <w:b w:val="0"/>
                <w:bCs/>
                <w:color w:val="auto"/>
                <w:sz w:val="21"/>
                <w:szCs w:val="21"/>
                <w:highlight w:val="none"/>
                <w:lang w:val="en-US" w:eastAsia="zh-CN"/>
              </w:rPr>
              <w:t>每少一家减1分。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2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pStyle w:val="5"/>
              <w:rPr>
                <w:rFonts w:hint="eastAsia"/>
              </w:rPr>
            </w:pPr>
          </w:p>
        </w:tc>
        <w:tc>
          <w:tcPr>
            <w:tcW w:w="1124"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p>
        </w:tc>
        <w:tc>
          <w:tcPr>
            <w:tcW w:w="1524" w:type="dxa"/>
            <w:tcBorders>
              <w:top w:val="single" w:color="auto" w:sz="4" w:space="0"/>
              <w:left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人员配备</w:t>
            </w:r>
          </w:p>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（0-10分）</w:t>
            </w:r>
          </w:p>
        </w:tc>
        <w:tc>
          <w:tcPr>
            <w:tcW w:w="6653" w:type="dxa"/>
            <w:gridSpan w:val="3"/>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Hans"/>
              </w:rPr>
            </w:pPr>
            <w:r>
              <w:rPr>
                <w:rFonts w:hint="eastAsia" w:ascii="宋体" w:hAnsi="宋体" w:eastAsia="宋体" w:cs="宋体"/>
                <w:b w:val="0"/>
                <w:bCs/>
                <w:color w:val="auto"/>
                <w:sz w:val="21"/>
                <w:szCs w:val="21"/>
                <w:highlight w:val="none"/>
                <w:lang w:val="en-US" w:eastAsia="zh-CN"/>
              </w:rPr>
              <w:t>配备至少6人（含项目负责人）的活动策划服务团队得6分，每多一人加2分，本项最多10</w:t>
            </w:r>
            <w:r>
              <w:rPr>
                <w:rFonts w:hint="eastAsia" w:ascii="宋体" w:hAnsi="宋体" w:eastAsia="宋体" w:cs="宋体"/>
                <w:b w:val="0"/>
                <w:bCs/>
                <w:color w:val="auto"/>
                <w:sz w:val="21"/>
                <w:szCs w:val="21"/>
                <w:highlight w:val="none"/>
                <w:lang w:val="en-US" w:eastAsia="zh-Hans"/>
              </w:rPr>
              <w:t>分</w:t>
            </w:r>
          </w:p>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注：须提供人员身份证、劳动合同、近3个月在缴纳社保的证明材料，未提供不得分。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2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p>
        </w:tc>
        <w:tc>
          <w:tcPr>
            <w:tcW w:w="1524" w:type="dxa"/>
            <w:tcBorders>
              <w:left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服务保障能力证明（</w:t>
            </w:r>
            <w:r>
              <w:rPr>
                <w:rFonts w:hint="default" w:ascii="宋体" w:hAnsi="宋体" w:eastAsia="宋体" w:cs="宋体"/>
                <w:b w:val="0"/>
                <w:bCs/>
                <w:color w:val="auto"/>
                <w:sz w:val="21"/>
                <w:szCs w:val="21"/>
                <w:highlight w:val="none"/>
                <w:lang w:val="en-US" w:eastAsia="zh-CN"/>
              </w:rPr>
              <w:t>0-2</w:t>
            </w:r>
            <w:r>
              <w:rPr>
                <w:rFonts w:hint="eastAsia" w:ascii="宋体" w:hAnsi="宋体" w:eastAsia="宋体" w:cs="宋体"/>
                <w:b w:val="0"/>
                <w:bCs/>
                <w:color w:val="auto"/>
                <w:sz w:val="21"/>
                <w:szCs w:val="21"/>
                <w:highlight w:val="none"/>
                <w:lang w:val="en-US" w:eastAsia="zh-CN"/>
              </w:rPr>
              <w:t>分</w:t>
            </w:r>
            <w:r>
              <w:rPr>
                <w:rFonts w:hint="default" w:ascii="宋体" w:hAnsi="宋体" w:eastAsia="宋体" w:cs="宋体"/>
                <w:b w:val="0"/>
                <w:bCs/>
                <w:color w:val="auto"/>
                <w:sz w:val="21"/>
                <w:szCs w:val="21"/>
                <w:highlight w:val="none"/>
                <w:lang w:val="en-US" w:eastAsia="zh-CN"/>
              </w:rPr>
              <w:t>)</w:t>
            </w:r>
          </w:p>
        </w:tc>
        <w:tc>
          <w:tcPr>
            <w:tcW w:w="6653" w:type="dxa"/>
            <w:gridSpan w:val="3"/>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具有网络文化经营许可证，得</w:t>
            </w:r>
            <w:r>
              <w:rPr>
                <w:rFonts w:hint="default"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分。（提供证书复印件并加盖投标单位公章）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54"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技术部分（</w:t>
            </w:r>
            <w:r>
              <w:rPr>
                <w:rFonts w:hint="eastAsia" w:ascii="宋体" w:hAnsi="宋体" w:eastAsia="宋体" w:cs="宋体"/>
                <w:color w:val="auto"/>
                <w:kern w:val="0"/>
                <w:highlight w:val="none"/>
                <w:lang w:val="en-US" w:eastAsia="zh-CN"/>
              </w:rPr>
              <w:t xml:space="preserve"> </w:t>
            </w:r>
            <w:r>
              <w:rPr>
                <w:rFonts w:hint="default" w:ascii="宋体" w:hAnsi="宋体" w:eastAsia="宋体" w:cs="宋体"/>
                <w:color w:val="auto"/>
                <w:kern w:val="0"/>
                <w:highlight w:val="none"/>
                <w:lang w:eastAsia="zh-CN"/>
              </w:rPr>
              <w:t>60</w:t>
            </w:r>
            <w:r>
              <w:rPr>
                <w:rFonts w:hint="eastAsia" w:ascii="宋体" w:hAnsi="宋体" w:eastAsia="宋体" w:cs="宋体"/>
                <w:color w:val="auto"/>
                <w:kern w:val="0"/>
                <w:highlight w:val="none"/>
              </w:rPr>
              <w:t>分）</w:t>
            </w:r>
          </w:p>
        </w:tc>
        <w:tc>
          <w:tcPr>
            <w:tcW w:w="1524" w:type="dxa"/>
            <w:tcBorders>
              <w:top w:val="single" w:color="auto" w:sz="4" w:space="0"/>
              <w:left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对项目整体的理解及需求认识程度</w:t>
            </w:r>
          </w:p>
          <w:p>
            <w:pPr>
              <w:pStyle w:val="32"/>
              <w:spacing w:line="360" w:lineRule="auto"/>
              <w:rPr>
                <w:rFonts w:hint="eastAsia" w:ascii="宋体" w:hAnsi="宋体" w:eastAsia="宋体" w:cs="宋体"/>
                <w:b w:val="0"/>
                <w:bCs/>
                <w:color w:val="auto"/>
                <w:sz w:val="21"/>
                <w:szCs w:val="21"/>
                <w:highlight w:val="none"/>
                <w:lang w:val="en-US"/>
              </w:rPr>
            </w:pPr>
            <w:r>
              <w:rPr>
                <w:rFonts w:hint="default" w:ascii="宋体" w:hAnsi="宋体" w:eastAsia="宋体" w:cs="宋体"/>
                <w:b w:val="0"/>
                <w:bCs/>
                <w:color w:val="auto"/>
                <w:sz w:val="21"/>
                <w:szCs w:val="21"/>
                <w:highlight w:val="none"/>
                <w:lang w:val="en-US" w:eastAsia="zh-CN"/>
              </w:rPr>
              <w:t>(0-9</w:t>
            </w:r>
            <w:r>
              <w:rPr>
                <w:rFonts w:hint="eastAsia" w:ascii="宋体" w:hAnsi="宋体" w:eastAsia="宋体" w:cs="宋体"/>
                <w:b w:val="0"/>
                <w:bCs/>
                <w:color w:val="auto"/>
                <w:sz w:val="21"/>
                <w:szCs w:val="21"/>
                <w:highlight w:val="none"/>
                <w:lang w:val="en-US"/>
              </w:rPr>
              <w:t>分）</w:t>
            </w:r>
          </w:p>
        </w:tc>
        <w:tc>
          <w:tcPr>
            <w:tcW w:w="6653" w:type="dxa"/>
            <w:gridSpan w:val="3"/>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对项目整体的理解及需求认识程度</w:t>
            </w:r>
          </w:p>
          <w:p>
            <w:pPr>
              <w:pStyle w:val="32"/>
              <w:spacing w:line="360" w:lineRule="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内容包括：①需求的分析②项目整体的理解③活动的主题、时间、内容</w:t>
            </w:r>
          </w:p>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全部提供得9分，每缺一项扣3分（每有一项表述混乱或不完善扣1分）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54"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p>
        </w:tc>
        <w:tc>
          <w:tcPr>
            <w:tcW w:w="1524" w:type="dxa"/>
            <w:tcBorders>
              <w:left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对短视频、互动H5、海报等新媒体投放产品定位认识程度</w:t>
            </w:r>
          </w:p>
          <w:p>
            <w:pPr>
              <w:pStyle w:val="32"/>
              <w:spacing w:line="360" w:lineRule="auto"/>
              <w:rPr>
                <w:rFonts w:hint="default"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w:t>
            </w:r>
            <w:r>
              <w:rPr>
                <w:rFonts w:hint="default" w:ascii="宋体" w:hAnsi="宋体" w:eastAsia="宋体" w:cs="宋体"/>
                <w:b w:val="0"/>
                <w:bCs/>
                <w:color w:val="auto"/>
                <w:sz w:val="21"/>
                <w:szCs w:val="21"/>
                <w:highlight w:val="none"/>
                <w:lang w:val="en-US"/>
              </w:rPr>
              <w:t>0-9</w:t>
            </w:r>
            <w:r>
              <w:rPr>
                <w:rFonts w:hint="eastAsia" w:ascii="宋体" w:hAnsi="宋体" w:eastAsia="宋体" w:cs="宋体"/>
                <w:b w:val="0"/>
                <w:bCs/>
                <w:color w:val="auto"/>
                <w:sz w:val="21"/>
                <w:szCs w:val="21"/>
                <w:highlight w:val="none"/>
                <w:lang w:val="en-US"/>
              </w:rPr>
              <w:t>分）</w:t>
            </w:r>
          </w:p>
        </w:tc>
        <w:tc>
          <w:tcPr>
            <w:tcW w:w="6653" w:type="dxa"/>
            <w:gridSpan w:val="3"/>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对短视频、互动H5、海报等新媒体投放产品定位认识程度</w:t>
            </w:r>
          </w:p>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1、定位精准，有明确的引导性，整体创意、风格、表现形式能较好结合宣传工作实际，满足工作发展需要的得9分；</w:t>
            </w:r>
          </w:p>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2、定位比较清晰，具有一定操作性，整体创意、风格、表现形式基本工作发展需求的得5分；</w:t>
            </w:r>
          </w:p>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3、定位不明，表达不清，创意不足，得0分。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54"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p>
        </w:tc>
        <w:tc>
          <w:tcPr>
            <w:tcW w:w="1524" w:type="dxa"/>
            <w:tcBorders>
              <w:left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项目工作开展程序</w:t>
            </w:r>
          </w:p>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及流程</w:t>
            </w:r>
          </w:p>
          <w:p>
            <w:pPr>
              <w:pStyle w:val="32"/>
              <w:spacing w:line="360" w:lineRule="auto"/>
              <w:rPr>
                <w:rFonts w:hint="default"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w:t>
            </w:r>
            <w:r>
              <w:rPr>
                <w:rFonts w:hint="default" w:ascii="宋体" w:hAnsi="宋体" w:eastAsia="宋体" w:cs="宋体"/>
                <w:b w:val="0"/>
                <w:bCs/>
                <w:color w:val="auto"/>
                <w:sz w:val="21"/>
                <w:szCs w:val="21"/>
                <w:highlight w:val="none"/>
                <w:lang w:val="en-US"/>
              </w:rPr>
              <w:t>0-5</w:t>
            </w:r>
            <w:r>
              <w:rPr>
                <w:rFonts w:hint="eastAsia" w:ascii="宋体" w:hAnsi="宋体" w:eastAsia="宋体" w:cs="宋体"/>
                <w:b w:val="0"/>
                <w:bCs/>
                <w:color w:val="auto"/>
                <w:sz w:val="21"/>
                <w:szCs w:val="21"/>
                <w:highlight w:val="none"/>
                <w:lang w:val="en-US"/>
              </w:rPr>
              <w:t>分）</w:t>
            </w:r>
          </w:p>
        </w:tc>
        <w:tc>
          <w:tcPr>
            <w:tcW w:w="6653" w:type="dxa"/>
            <w:gridSpan w:val="3"/>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ru-RU" w:eastAsia="zh-CN"/>
              </w:rPr>
            </w:pPr>
            <w:r>
              <w:rPr>
                <w:rFonts w:hint="eastAsia" w:ascii="宋体" w:hAnsi="宋体" w:eastAsia="宋体" w:cs="宋体"/>
                <w:b w:val="0"/>
                <w:bCs/>
                <w:color w:val="auto"/>
                <w:sz w:val="21"/>
                <w:szCs w:val="21"/>
                <w:highlight w:val="none"/>
                <w:lang w:val="ru-RU" w:eastAsia="zh-CN"/>
              </w:rPr>
              <w:t>项目工作开展程序及流程包括但不限于工作开展的安排的紧凑性，</w:t>
            </w:r>
            <w:r>
              <w:rPr>
                <w:rFonts w:hint="eastAsia" w:ascii="宋体" w:hAnsi="宋体" w:eastAsia="宋体" w:cs="宋体"/>
                <w:b w:val="0"/>
                <w:bCs/>
                <w:color w:val="auto"/>
                <w:sz w:val="21"/>
                <w:szCs w:val="21"/>
                <w:highlight w:val="none"/>
                <w:lang w:val="en-US" w:eastAsia="zh-CN"/>
              </w:rPr>
              <w:t>内容包括：①活动启动阶段②活动进行阶段③活动后期阶段④</w:t>
            </w:r>
            <w:r>
              <w:rPr>
                <w:rFonts w:hint="eastAsia" w:ascii="宋体" w:hAnsi="宋体" w:eastAsia="宋体" w:cs="宋体"/>
                <w:b w:val="0"/>
                <w:bCs/>
                <w:color w:val="auto"/>
                <w:sz w:val="21"/>
                <w:szCs w:val="21"/>
                <w:highlight w:val="none"/>
                <w:lang w:val="ru-RU" w:eastAsia="zh-CN"/>
              </w:rPr>
              <w:t>人员分工</w:t>
            </w:r>
            <w:r>
              <w:rPr>
                <w:rFonts w:hint="eastAsia" w:ascii="宋体" w:hAnsi="宋体" w:eastAsia="宋体" w:cs="宋体"/>
                <w:b w:val="0"/>
                <w:bCs/>
                <w:color w:val="auto"/>
                <w:sz w:val="21"/>
                <w:szCs w:val="21"/>
                <w:highlight w:val="none"/>
                <w:lang w:val="en-US" w:eastAsia="zh-CN"/>
              </w:rPr>
              <w:t>⑤工作流程图</w:t>
            </w:r>
            <w:r>
              <w:rPr>
                <w:rFonts w:hint="eastAsia" w:ascii="宋体" w:hAnsi="宋体" w:eastAsia="宋体" w:cs="宋体"/>
                <w:b w:val="0"/>
                <w:bCs/>
                <w:color w:val="auto"/>
                <w:sz w:val="21"/>
                <w:szCs w:val="21"/>
                <w:highlight w:val="none"/>
                <w:lang w:val="ru-RU" w:eastAsia="zh-CN"/>
              </w:rPr>
              <w:t xml:space="preserve"> </w:t>
            </w:r>
          </w:p>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全部提供得5分，每缺一项扣1分（每有一项表述混乱或不完善扣0.5分）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295"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p>
        </w:tc>
        <w:tc>
          <w:tcPr>
            <w:tcW w:w="1524" w:type="dxa"/>
            <w:tcBorders>
              <w:top w:val="single" w:color="auto" w:sz="4" w:space="0"/>
              <w:left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项目实施规划方案</w:t>
            </w:r>
          </w:p>
          <w:p>
            <w:pPr>
              <w:pStyle w:val="32"/>
              <w:spacing w:line="360" w:lineRule="auto"/>
              <w:rPr>
                <w:rFonts w:hint="default"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w:t>
            </w:r>
            <w:r>
              <w:rPr>
                <w:rFonts w:hint="default" w:ascii="宋体" w:hAnsi="宋体" w:eastAsia="宋体" w:cs="宋体"/>
                <w:b w:val="0"/>
                <w:bCs/>
                <w:color w:val="auto"/>
                <w:sz w:val="21"/>
                <w:szCs w:val="21"/>
                <w:highlight w:val="none"/>
                <w:lang w:val="en-US"/>
              </w:rPr>
              <w:t>0-25</w:t>
            </w:r>
            <w:r>
              <w:rPr>
                <w:rFonts w:hint="eastAsia" w:ascii="宋体" w:hAnsi="宋体" w:eastAsia="宋体" w:cs="宋体"/>
                <w:b w:val="0"/>
                <w:bCs/>
                <w:color w:val="auto"/>
                <w:sz w:val="21"/>
                <w:szCs w:val="21"/>
                <w:highlight w:val="none"/>
                <w:lang w:val="en-US"/>
              </w:rPr>
              <w:t>分）</w:t>
            </w:r>
          </w:p>
        </w:tc>
        <w:tc>
          <w:tcPr>
            <w:tcW w:w="6653" w:type="dxa"/>
            <w:gridSpan w:val="3"/>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项目实施规划方案内容包括：①对项目整体的</w:t>
            </w:r>
            <w:r>
              <w:rPr>
                <w:rFonts w:hint="eastAsia" w:ascii="宋体" w:hAnsi="宋体" w:eastAsia="宋体" w:cs="宋体"/>
                <w:b w:val="0"/>
                <w:bCs/>
                <w:color w:val="auto"/>
                <w:sz w:val="21"/>
                <w:szCs w:val="21"/>
                <w:highlight w:val="none"/>
                <w:lang w:val="ru-RU" w:eastAsia="zh-CN"/>
              </w:rPr>
              <w:t>设计制作</w:t>
            </w:r>
            <w:r>
              <w:rPr>
                <w:rFonts w:hint="eastAsia" w:ascii="宋体" w:hAnsi="宋体" w:eastAsia="宋体" w:cs="宋体"/>
                <w:b w:val="0"/>
                <w:bCs/>
                <w:color w:val="auto"/>
                <w:sz w:val="21"/>
                <w:szCs w:val="21"/>
                <w:highlight w:val="none"/>
                <w:lang w:val="en-US" w:eastAsia="zh-CN"/>
              </w:rPr>
              <w:t>②</w:t>
            </w:r>
            <w:r>
              <w:rPr>
                <w:rFonts w:hint="eastAsia" w:ascii="宋体" w:hAnsi="宋体" w:eastAsia="宋体" w:cs="宋体"/>
                <w:b w:val="0"/>
                <w:bCs/>
                <w:color w:val="auto"/>
                <w:sz w:val="21"/>
                <w:szCs w:val="21"/>
                <w:highlight w:val="none"/>
                <w:lang w:val="ru-RU" w:eastAsia="zh-CN"/>
              </w:rPr>
              <w:t>符合高效传播要求</w:t>
            </w:r>
            <w:r>
              <w:rPr>
                <w:rFonts w:hint="eastAsia" w:ascii="宋体" w:hAnsi="宋体" w:eastAsia="宋体" w:cs="宋体"/>
                <w:b w:val="0"/>
                <w:bCs/>
                <w:color w:val="auto"/>
                <w:sz w:val="21"/>
                <w:szCs w:val="21"/>
                <w:highlight w:val="none"/>
                <w:lang w:val="en-US" w:eastAsia="zh-CN"/>
              </w:rPr>
              <w:t>③</w:t>
            </w:r>
            <w:r>
              <w:rPr>
                <w:rFonts w:hint="eastAsia" w:ascii="宋体" w:hAnsi="宋体" w:eastAsia="宋体" w:cs="宋体"/>
                <w:b w:val="0"/>
                <w:bCs/>
                <w:color w:val="auto"/>
                <w:sz w:val="21"/>
                <w:szCs w:val="21"/>
                <w:highlight w:val="none"/>
                <w:lang w:val="ru-RU" w:eastAsia="zh-CN"/>
              </w:rPr>
              <w:t>具有活动推进功能的新媒体产品</w:t>
            </w:r>
            <w:r>
              <w:rPr>
                <w:rFonts w:hint="eastAsia" w:ascii="宋体" w:hAnsi="宋体" w:eastAsia="宋体" w:cs="宋体"/>
                <w:b w:val="0"/>
                <w:bCs/>
                <w:color w:val="auto"/>
                <w:sz w:val="21"/>
                <w:szCs w:val="21"/>
                <w:highlight w:val="none"/>
                <w:lang w:val="en-US" w:eastAsia="zh-CN"/>
              </w:rPr>
              <w:t>④</w:t>
            </w:r>
            <w:r>
              <w:rPr>
                <w:rFonts w:hint="eastAsia" w:ascii="宋体" w:hAnsi="宋体" w:eastAsia="宋体" w:cs="宋体"/>
                <w:b w:val="0"/>
                <w:bCs/>
                <w:color w:val="auto"/>
                <w:sz w:val="21"/>
                <w:szCs w:val="21"/>
                <w:highlight w:val="none"/>
                <w:lang w:val="ru-RU" w:eastAsia="zh-CN"/>
              </w:rPr>
              <w:t>所涉及的活动项目都需在全社会进行推广</w:t>
            </w:r>
            <w:r>
              <w:rPr>
                <w:rFonts w:hint="eastAsia" w:ascii="宋体" w:hAnsi="宋体" w:eastAsia="宋体" w:cs="宋体"/>
                <w:b w:val="0"/>
                <w:bCs/>
                <w:color w:val="auto"/>
                <w:sz w:val="21"/>
                <w:szCs w:val="21"/>
                <w:highlight w:val="none"/>
                <w:lang w:val="en-US" w:eastAsia="zh-CN"/>
              </w:rPr>
              <w:t>⑤保障投放信息的服务措施</w:t>
            </w:r>
          </w:p>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全部提供得</w:t>
            </w:r>
            <w:r>
              <w:rPr>
                <w:rFonts w:hint="default" w:ascii="宋体" w:hAnsi="宋体" w:eastAsia="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lang w:val="en-US" w:eastAsia="zh-CN"/>
              </w:rPr>
              <w:t>分，每缺一项扣</w:t>
            </w:r>
            <w:r>
              <w:rPr>
                <w:rFonts w:hint="default"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分（每有一项表述混乱或不完善扣1分）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21"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p>
        </w:tc>
        <w:tc>
          <w:tcPr>
            <w:tcW w:w="1524" w:type="dxa"/>
            <w:tcBorders>
              <w:top w:val="single" w:color="auto" w:sz="4" w:space="0"/>
              <w:left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应急方案</w:t>
            </w:r>
          </w:p>
          <w:p>
            <w:pPr>
              <w:pStyle w:val="32"/>
              <w:spacing w:line="360" w:lineRule="auto"/>
              <w:rPr>
                <w:rFonts w:hint="default"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w:t>
            </w:r>
            <w:r>
              <w:rPr>
                <w:rFonts w:hint="default" w:ascii="宋体" w:hAnsi="宋体" w:eastAsia="宋体" w:cs="宋体"/>
                <w:b w:val="0"/>
                <w:bCs/>
                <w:color w:val="auto"/>
                <w:sz w:val="21"/>
                <w:szCs w:val="21"/>
                <w:highlight w:val="none"/>
              </w:rPr>
              <w:t>0-8</w:t>
            </w:r>
            <w:r>
              <w:rPr>
                <w:rFonts w:hint="eastAsia" w:ascii="宋体" w:hAnsi="宋体" w:eastAsia="宋体" w:cs="宋体"/>
                <w:b w:val="0"/>
                <w:bCs/>
                <w:color w:val="auto"/>
                <w:sz w:val="21"/>
                <w:szCs w:val="21"/>
                <w:highlight w:val="none"/>
                <w:lang w:val="en-US"/>
              </w:rPr>
              <w:t>分）</w:t>
            </w:r>
          </w:p>
        </w:tc>
        <w:tc>
          <w:tcPr>
            <w:tcW w:w="6653" w:type="dxa"/>
            <w:gridSpan w:val="3"/>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ru-RU" w:eastAsia="zh-CN"/>
              </w:rPr>
              <w:t>应急方案包括：</w:t>
            </w:r>
            <w:r>
              <w:rPr>
                <w:rFonts w:hint="eastAsia" w:ascii="宋体" w:hAnsi="宋体" w:eastAsia="宋体" w:cs="宋体"/>
                <w:b w:val="0"/>
                <w:bCs/>
                <w:color w:val="auto"/>
                <w:sz w:val="21"/>
                <w:szCs w:val="21"/>
                <w:highlight w:val="none"/>
                <w:lang w:val="en-US" w:eastAsia="zh-CN"/>
              </w:rPr>
              <w:t>①应急措施②应急要求③</w:t>
            </w:r>
            <w:r>
              <w:rPr>
                <w:rFonts w:hint="eastAsia" w:ascii="宋体" w:hAnsi="宋体" w:eastAsia="宋体" w:cs="宋体"/>
                <w:b w:val="0"/>
                <w:bCs/>
                <w:color w:val="auto"/>
                <w:sz w:val="21"/>
                <w:szCs w:val="21"/>
                <w:highlight w:val="none"/>
                <w:lang w:val="ru-RU" w:eastAsia="zh-CN"/>
              </w:rPr>
              <w:t>人员的调配流程图</w:t>
            </w:r>
            <w:r>
              <w:rPr>
                <w:rFonts w:hint="eastAsia" w:ascii="宋体" w:hAnsi="宋体" w:eastAsia="宋体" w:cs="宋体"/>
                <w:b w:val="0"/>
                <w:bCs/>
                <w:color w:val="auto"/>
                <w:sz w:val="21"/>
                <w:szCs w:val="21"/>
                <w:highlight w:val="none"/>
                <w:lang w:val="en-US" w:eastAsia="zh-CN"/>
              </w:rPr>
              <w:t>④</w:t>
            </w:r>
            <w:r>
              <w:rPr>
                <w:rFonts w:hint="eastAsia" w:ascii="宋体" w:hAnsi="宋体" w:eastAsia="宋体" w:cs="宋体"/>
                <w:b w:val="0"/>
                <w:bCs/>
                <w:color w:val="auto"/>
                <w:sz w:val="21"/>
                <w:szCs w:val="21"/>
                <w:highlight w:val="none"/>
                <w:lang w:val="ru-RU" w:eastAsia="zh-CN"/>
              </w:rPr>
              <w:t>紧急联系人</w:t>
            </w:r>
            <w:r>
              <w:rPr>
                <w:rFonts w:hint="eastAsia" w:ascii="宋体" w:hAnsi="宋体" w:eastAsia="宋体" w:cs="宋体"/>
                <w:b w:val="0"/>
                <w:bCs/>
                <w:color w:val="auto"/>
                <w:sz w:val="21"/>
                <w:szCs w:val="21"/>
                <w:highlight w:val="none"/>
                <w:lang w:val="en-US" w:eastAsia="zh-CN"/>
              </w:rPr>
              <w:t>及联系方式</w:t>
            </w:r>
          </w:p>
          <w:p>
            <w:pPr>
              <w:pStyle w:val="32"/>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全部提供得8分，每缺一项扣2分（每有一项表述混乱或不完善扣0.5分）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21"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pPr>
              <w:widowControl/>
              <w:suppressAutoHyphens w:val="0"/>
              <w:spacing w:line="360" w:lineRule="auto"/>
              <w:jc w:val="left"/>
              <w:rPr>
                <w:rFonts w:hint="eastAsia" w:ascii="宋体" w:hAnsi="宋体" w:eastAsia="宋体" w:cs="宋体"/>
                <w:color w:val="auto"/>
                <w:kern w:val="0"/>
                <w:highlight w:val="none"/>
              </w:rPr>
            </w:pPr>
          </w:p>
        </w:tc>
        <w:tc>
          <w:tcPr>
            <w:tcW w:w="1124" w:type="dxa"/>
            <w:vMerge w:val="continue"/>
            <w:tcBorders>
              <w:left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highlight w:val="none"/>
              </w:rPr>
            </w:pPr>
          </w:p>
        </w:tc>
        <w:tc>
          <w:tcPr>
            <w:tcW w:w="1524" w:type="dxa"/>
            <w:tcBorders>
              <w:top w:val="single" w:color="auto" w:sz="4" w:space="0"/>
              <w:left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其他服务承诺</w:t>
            </w:r>
          </w:p>
          <w:p>
            <w:pPr>
              <w:pStyle w:val="32"/>
              <w:spacing w:line="360" w:lineRule="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w:t>
            </w:r>
            <w:r>
              <w:rPr>
                <w:rFonts w:hint="default" w:ascii="宋体" w:hAnsi="宋体" w:eastAsia="宋体" w:cs="宋体"/>
                <w:b w:val="0"/>
                <w:bCs/>
                <w:color w:val="auto"/>
                <w:sz w:val="21"/>
                <w:szCs w:val="21"/>
                <w:highlight w:val="none"/>
              </w:rPr>
              <w:t>0-4</w:t>
            </w:r>
            <w:r>
              <w:rPr>
                <w:rFonts w:hint="eastAsia" w:ascii="宋体" w:hAnsi="宋体" w:eastAsia="宋体" w:cs="宋体"/>
                <w:b w:val="0"/>
                <w:bCs/>
                <w:color w:val="auto"/>
                <w:sz w:val="21"/>
                <w:szCs w:val="21"/>
                <w:highlight w:val="none"/>
                <w:lang w:val="en-US"/>
              </w:rPr>
              <w:t>分）</w:t>
            </w:r>
          </w:p>
        </w:tc>
        <w:tc>
          <w:tcPr>
            <w:tcW w:w="6653" w:type="dxa"/>
            <w:gridSpan w:val="3"/>
            <w:tcBorders>
              <w:top w:val="single" w:color="auto" w:sz="4" w:space="0"/>
              <w:left w:val="single" w:color="auto" w:sz="4" w:space="0"/>
              <w:bottom w:val="single" w:color="auto" w:sz="4" w:space="0"/>
              <w:right w:val="single" w:color="auto" w:sz="4" w:space="0"/>
            </w:tcBorders>
            <w:noWrap/>
            <w:vAlign w:val="center"/>
          </w:tcPr>
          <w:p>
            <w:pPr>
              <w:pStyle w:val="32"/>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项目基本服务要求以外的，对项目开展有利的资源、技术支撑手段或服务等，提供额外的增值服务承诺。每提供1条有价值的服务承诺加</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分，满分</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分，未提供不得分</w:t>
            </w:r>
          </w:p>
        </w:tc>
      </w:tr>
      <w:bookmarkEnd w:id="142"/>
      <w:bookmarkEnd w:id="143"/>
      <w:bookmarkEnd w:id="144"/>
      <w:bookmarkEnd w:id="145"/>
    </w:tbl>
    <w:p>
      <w:pPr>
        <w:pStyle w:val="15"/>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2.4算数性修正</w:t>
      </w:r>
    </w:p>
    <w:p>
      <w:pPr>
        <w:pStyle w:val="15"/>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最后报价有算术错误及其他错误的，磋商小组会按以下原则要求供应商对磋商报价进行修正，并要求供应商书面澄清确认。供应商拒不澄清确认的，视为未实质响应磋商文件要求，其响应文件做无效处理：</w:t>
      </w:r>
    </w:p>
    <w:p>
      <w:pPr>
        <w:pStyle w:val="15"/>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（1）响应文件中的大写金额与小写金额不一致的，以大写金额为准；</w:t>
      </w:r>
    </w:p>
    <w:p>
      <w:pPr>
        <w:pStyle w:val="15"/>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（2）项目综合单价合计金额与单价金额不一致的，以单价金额为准，但单价金额小数点有明显错误的除外；</w:t>
      </w:r>
    </w:p>
    <w:p>
      <w:pPr>
        <w:pStyle w:val="15"/>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（3）如果分项报价中存在缺漏项，则视为缺漏项价格已包含在其他分项报价。</w:t>
      </w:r>
    </w:p>
    <w:p>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同时出现两种以上不一致的，按照前款规定的顺序修正。</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修正后的报价遵照如下规定处理：磋商小组在政采云系统中发出澄清、答疑，供应商在规定时间（</w:t>
      </w:r>
      <w:r>
        <w:rPr>
          <w:rFonts w:hint="eastAsia" w:ascii="宋体" w:hAnsi="宋体" w:eastAsia="宋体" w:cs="宋体"/>
          <w:color w:val="auto"/>
          <w:kern w:val="0"/>
          <w:sz w:val="24"/>
          <w:szCs w:val="24"/>
          <w:highlight w:val="none"/>
          <w:lang w:eastAsia="zh-CN"/>
        </w:rPr>
        <w:t>30分钟</w:t>
      </w:r>
      <w:r>
        <w:rPr>
          <w:rFonts w:hint="eastAsia" w:ascii="宋体" w:hAnsi="宋体" w:eastAsia="宋体" w:cs="宋体"/>
          <w:color w:val="auto"/>
          <w:kern w:val="0"/>
          <w:sz w:val="24"/>
          <w:szCs w:val="24"/>
          <w:highlight w:val="none"/>
        </w:rPr>
        <w:t>）内系统内回复，修正后的报价经供应商确认后产生约束力，供应商不确认的，其响应文件无效。</w:t>
      </w:r>
    </w:p>
    <w:p>
      <w:pPr>
        <w:shd w:val="clear" w:color="auto" w:fill="FFFFFF"/>
        <w:spacing w:line="44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3.磋商小组的权利</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磋商小组发现竞争性磋商文件存在歧义、重大缺陷导致评审工作无法进行，或者竞争性磋商文件内容违反国家有关强制性规定的，应当停止评审工作，与采购人或者采购代理机构沟通并作书面记录。采购人或者采购代理机构确认后，应当修改竞争性磋商文件，重新组织采购活动。</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评审报告由磋商小组全体成员签字。磋商小组成员对需要共同认定的事项存在争议的，应当按照少数服从多数的原则作出结论。持不同意见的磋商小组成员应当在评审报告上签署不同意见及理由，否则视为同意评审报告。</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3.3.1评审结果汇总完成后，除下列情形外，任何人不得修改评审结果：</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3.3.1.1分值汇总计算错误的；</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3.3.1.2分项评分超出评分标准范围的；</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3.3.1.3磋商小组成员对客观评审因素评分不一致的；</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3.3.1.4经磋商小组认定评分畸高、畸低的。</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磋商小组依据供应商须知前附表规定的评审方法，对供应商的响应文件进行评审和比较，供应商最终得分等于商务部分、技术部分、报价部分得分之和。磋商小组确定供应商最终得分和排名向采购人提出书面报告，并推荐合格的成交候选人。</w:t>
      </w:r>
    </w:p>
    <w:p>
      <w:pPr>
        <w:shd w:val="clear" w:color="auto" w:fill="FFFFFF"/>
        <w:spacing w:line="440" w:lineRule="exact"/>
        <w:ind w:firstLine="482" w:firstLineChars="200"/>
        <w:rPr>
          <w:rFonts w:hint="eastAsia" w:ascii="宋体" w:hAnsi="宋体" w:eastAsia="宋体" w:cs="宋体"/>
          <w:b/>
          <w:bCs/>
          <w:color w:val="auto"/>
          <w:kern w:val="0"/>
          <w:sz w:val="24"/>
          <w:szCs w:val="24"/>
          <w:highlight w:val="none"/>
        </w:rPr>
      </w:pPr>
      <w:bookmarkStart w:id="146" w:name="_Toc31479"/>
      <w:bookmarkStart w:id="147" w:name="_Toc37090996"/>
      <w:bookmarkStart w:id="148" w:name="_Toc37090660"/>
      <w:bookmarkStart w:id="149" w:name="_Toc37090995"/>
      <w:bookmarkStart w:id="150" w:name="_Toc37090659"/>
      <w:r>
        <w:rPr>
          <w:rFonts w:hint="eastAsia" w:ascii="宋体" w:hAnsi="宋体" w:eastAsia="宋体" w:cs="宋体"/>
          <w:b/>
          <w:bCs/>
          <w:color w:val="auto"/>
          <w:kern w:val="0"/>
          <w:sz w:val="24"/>
          <w:szCs w:val="24"/>
          <w:highlight w:val="none"/>
        </w:rPr>
        <w:t>4. 评审过程的保密</w:t>
      </w:r>
      <w:bookmarkEnd w:id="146"/>
      <w:bookmarkEnd w:id="147"/>
      <w:bookmarkEnd w:id="148"/>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4.1凡属于对响应文件的审查、澄清、评价和比较有关的资料、成交候选人的推荐情况以及与评审有关的其他任何情况，磋商小组成员和与评审活动有关的工作人员不得对任何单位和个人透露。</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在响应文件的评审和比较、成交候选人推荐以及授予合同的过程中，供应商向采购人或者磋商小组施加影响的任何行为，都将会导致其响应文件被拒绝。</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4.3成交供应商确定后，采购人不对未成交供应商就评审过程以及未能成交原因做出任何解释。未成交供应商不得向磋商小组组成人员或者其他有关人员索问评审过程的情况和材料。</w:t>
      </w:r>
    </w:p>
    <w:p>
      <w:pPr>
        <w:shd w:val="clear" w:color="auto" w:fill="FFFFFF"/>
        <w:spacing w:line="440" w:lineRule="exact"/>
        <w:ind w:firstLine="482" w:firstLineChars="200"/>
        <w:rPr>
          <w:rFonts w:hint="eastAsia" w:ascii="宋体" w:hAnsi="宋体" w:eastAsia="宋体" w:cs="宋体"/>
          <w:b/>
          <w:bCs/>
          <w:color w:val="auto"/>
          <w:kern w:val="0"/>
          <w:sz w:val="24"/>
          <w:szCs w:val="24"/>
          <w:highlight w:val="none"/>
        </w:rPr>
      </w:pPr>
      <w:bookmarkStart w:id="151" w:name="_Toc24415"/>
      <w:r>
        <w:rPr>
          <w:rFonts w:hint="eastAsia" w:ascii="宋体" w:hAnsi="宋体" w:eastAsia="宋体" w:cs="宋体"/>
          <w:b/>
          <w:bCs/>
          <w:color w:val="auto"/>
          <w:kern w:val="0"/>
          <w:sz w:val="24"/>
          <w:szCs w:val="24"/>
          <w:highlight w:val="none"/>
        </w:rPr>
        <w:t>4. 定标原则</w:t>
      </w:r>
      <w:bookmarkEnd w:id="149"/>
      <w:bookmarkEnd w:id="150"/>
      <w:bookmarkEnd w:id="151"/>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磋商小组依据供应商须知前附表规定的评审方法和标准，按照得分由高到低的顺序进行排序，最终将前三名作为成交候选人推荐给采购人。</w:t>
      </w:r>
    </w:p>
    <w:p>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采购代理机构应当在评审结束后2个工作日内将评审报告送采购人。采购人应当自收到评审报告之日起５个工作日内，在评审报告确定的成交候选人名单中按顺序确定成交供应商。</w:t>
      </w:r>
    </w:p>
    <w:p>
      <w:pPr>
        <w:pStyle w:val="15"/>
        <w:snapToGrid w:val="0"/>
        <w:spacing w:after="0" w:line="44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4.3成交供应商拒绝与采购人签订合同的，采购人可以按照评审报告推荐的成交供应商名单排序，确定下一候选人为成交供应商，也可以重新开展政府采购活动。</w:t>
      </w:r>
    </w:p>
    <w:p>
      <w:pPr>
        <w:pStyle w:val="15"/>
        <w:snapToGrid w:val="0"/>
        <w:spacing w:after="0" w:line="44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4.4 出现下列情形之一的，本项目予以废标，重新开展采购活动。</w:t>
      </w:r>
    </w:p>
    <w:p>
      <w:pPr>
        <w:pStyle w:val="15"/>
        <w:snapToGrid w:val="0"/>
        <w:spacing w:after="0" w:line="44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4.4.1 符合专业条件的供应商或者对竞争性磋商文件作实质响应的供应商不足法定家数的；</w:t>
      </w:r>
    </w:p>
    <w:p>
      <w:pPr>
        <w:pStyle w:val="15"/>
        <w:snapToGrid w:val="0"/>
        <w:spacing w:after="0" w:line="44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4.4.2出现影响采购公正的违法、违规行为的；</w:t>
      </w:r>
    </w:p>
    <w:p>
      <w:pPr>
        <w:pStyle w:val="15"/>
        <w:snapToGrid w:val="0"/>
        <w:spacing w:after="0" w:line="44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4.4.3 因重大变故，采购任务取消的。</w:t>
      </w:r>
    </w:p>
    <w:p>
      <w:pPr>
        <w:pStyle w:val="30"/>
        <w:jc w:val="center"/>
        <w:outlineLvl w:val="0"/>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br w:type="page"/>
      </w:r>
      <w:bookmarkStart w:id="152" w:name="_Toc28603"/>
      <w:r>
        <w:rPr>
          <w:rFonts w:hint="eastAsia" w:ascii="宋体" w:hAnsi="宋体" w:eastAsia="宋体" w:cs="宋体"/>
          <w:color w:val="auto"/>
          <w:spacing w:val="6"/>
          <w:sz w:val="32"/>
          <w:szCs w:val="32"/>
          <w:highlight w:val="none"/>
        </w:rPr>
        <w:t>第六章 响应文件格式</w:t>
      </w:r>
      <w:bookmarkEnd w:id="152"/>
    </w:p>
    <w:p>
      <w:pPr>
        <w:rPr>
          <w:rFonts w:hint="eastAsia" w:ascii="宋体" w:hAnsi="宋体" w:eastAsia="宋体" w:cs="宋体"/>
          <w:color w:val="auto"/>
          <w:spacing w:val="6"/>
          <w:sz w:val="32"/>
          <w:szCs w:val="32"/>
          <w:highlight w:val="none"/>
        </w:rPr>
      </w:pPr>
    </w:p>
    <w:p>
      <w:pPr>
        <w:pStyle w:val="22"/>
        <w:rPr>
          <w:rFonts w:hint="eastAsia" w:ascii="宋体" w:hAnsi="宋体" w:eastAsia="宋体" w:cs="宋体"/>
          <w:color w:val="auto"/>
          <w:spacing w:val="6"/>
          <w:sz w:val="32"/>
          <w:szCs w:val="32"/>
          <w:highlight w:val="none"/>
        </w:rPr>
      </w:pPr>
    </w:p>
    <w:p>
      <w:pPr>
        <w:pStyle w:val="22"/>
        <w:rPr>
          <w:rFonts w:hint="eastAsia" w:ascii="宋体" w:hAnsi="宋体" w:eastAsia="宋体" w:cs="宋体"/>
          <w:color w:val="auto"/>
          <w:spacing w:val="6"/>
          <w:sz w:val="32"/>
          <w:szCs w:val="32"/>
          <w:highlight w:val="none"/>
        </w:rPr>
      </w:pPr>
    </w:p>
    <w:p>
      <w:pPr>
        <w:pStyle w:val="22"/>
        <w:rPr>
          <w:rFonts w:hint="eastAsia" w:ascii="宋体" w:hAnsi="宋体" w:eastAsia="宋体" w:cs="宋体"/>
          <w:color w:val="auto"/>
          <w:spacing w:val="6"/>
          <w:sz w:val="32"/>
          <w:szCs w:val="32"/>
          <w:highlight w:val="none"/>
        </w:rPr>
      </w:pPr>
    </w:p>
    <w:p>
      <w:pPr>
        <w:pStyle w:val="22"/>
        <w:rPr>
          <w:rFonts w:hint="eastAsia" w:ascii="宋体" w:hAnsi="宋体" w:eastAsia="宋体" w:cs="宋体"/>
          <w:color w:val="auto"/>
          <w:spacing w:val="6"/>
          <w:sz w:val="32"/>
          <w:szCs w:val="32"/>
          <w:highlight w:val="none"/>
        </w:rPr>
      </w:pPr>
    </w:p>
    <w:p>
      <w:pPr>
        <w:rPr>
          <w:rFonts w:hint="eastAsia" w:ascii="宋体" w:hAnsi="宋体" w:eastAsia="宋体" w:cs="宋体"/>
          <w:color w:val="auto"/>
          <w:highlight w:val="none"/>
        </w:rPr>
      </w:pPr>
    </w:p>
    <w:p>
      <w:pPr>
        <w:tabs>
          <w:tab w:val="left" w:pos="828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tabs>
          <w:tab w:val="left" w:pos="8280"/>
        </w:tabs>
        <w:spacing w:line="360" w:lineRule="auto"/>
        <w:rPr>
          <w:rFonts w:hint="eastAsia" w:ascii="宋体" w:hAnsi="宋体" w:eastAsia="宋体" w:cs="宋体"/>
          <w:b/>
          <w:bCs/>
          <w:color w:val="auto"/>
          <w:sz w:val="28"/>
          <w:szCs w:val="28"/>
          <w:highlight w:val="none"/>
        </w:rPr>
      </w:pPr>
    </w:p>
    <w:p>
      <w:pPr>
        <w:tabs>
          <w:tab w:val="left" w:pos="8280"/>
        </w:tabs>
        <w:spacing w:line="360" w:lineRule="auto"/>
        <w:rPr>
          <w:rFonts w:hint="eastAsia" w:ascii="宋体" w:hAnsi="宋体" w:eastAsia="宋体" w:cs="宋体"/>
          <w:b/>
          <w:bCs/>
          <w:color w:val="auto"/>
          <w:sz w:val="28"/>
          <w:szCs w:val="28"/>
          <w:highlight w:val="none"/>
        </w:rPr>
      </w:pPr>
    </w:p>
    <w:p>
      <w:pPr>
        <w:tabs>
          <w:tab w:val="left" w:pos="8280"/>
        </w:tabs>
        <w:spacing w:line="360" w:lineRule="auto"/>
        <w:rPr>
          <w:rFonts w:hint="eastAsia" w:ascii="宋体" w:hAnsi="宋体" w:eastAsia="宋体" w:cs="宋体"/>
          <w:b/>
          <w:bCs/>
          <w:color w:val="auto"/>
          <w:sz w:val="28"/>
          <w:szCs w:val="28"/>
          <w:highlight w:val="none"/>
        </w:rPr>
      </w:pPr>
    </w:p>
    <w:p>
      <w:pPr>
        <w:tabs>
          <w:tab w:val="left" w:pos="8280"/>
        </w:tabs>
        <w:spacing w:line="360" w:lineRule="auto"/>
        <w:rPr>
          <w:rFonts w:hint="eastAsia" w:ascii="宋体" w:hAnsi="宋体" w:eastAsia="宋体" w:cs="宋体"/>
          <w:b/>
          <w:bCs/>
          <w:color w:val="auto"/>
          <w:sz w:val="28"/>
          <w:szCs w:val="28"/>
          <w:highlight w:val="none"/>
        </w:rPr>
      </w:pPr>
    </w:p>
    <w:p>
      <w:pPr>
        <w:tabs>
          <w:tab w:val="left" w:pos="8280"/>
        </w:tabs>
        <w:spacing w:line="360" w:lineRule="auto"/>
        <w:rPr>
          <w:rFonts w:hint="eastAsia" w:ascii="宋体" w:hAnsi="宋体" w:eastAsia="宋体" w:cs="宋体"/>
          <w:b/>
          <w:bCs/>
          <w:color w:val="auto"/>
          <w:sz w:val="28"/>
          <w:szCs w:val="28"/>
          <w:highlight w:val="none"/>
        </w:rPr>
      </w:pPr>
    </w:p>
    <w:p>
      <w:pPr>
        <w:tabs>
          <w:tab w:val="left" w:pos="8280"/>
        </w:tabs>
        <w:spacing w:line="360" w:lineRule="auto"/>
        <w:rPr>
          <w:rFonts w:hint="eastAsia" w:ascii="宋体" w:hAnsi="宋体" w:eastAsia="宋体" w:cs="宋体"/>
          <w:b/>
          <w:bCs/>
          <w:color w:val="auto"/>
          <w:sz w:val="28"/>
          <w:szCs w:val="28"/>
          <w:highlight w:val="none"/>
        </w:rPr>
      </w:pPr>
      <w:bookmarkStart w:id="153" w:name="_Toc8140"/>
      <w:r>
        <w:rPr>
          <w:rFonts w:hint="eastAsia" w:ascii="宋体" w:hAnsi="宋体" w:eastAsia="宋体" w:cs="宋体"/>
          <w:b/>
          <w:bCs/>
          <w:color w:val="auto"/>
          <w:sz w:val="28"/>
          <w:szCs w:val="28"/>
          <w:highlight w:val="none"/>
        </w:rPr>
        <w:t>封    面：</w:t>
      </w:r>
      <w:bookmarkEnd w:id="153"/>
    </w:p>
    <w:p>
      <w:pPr>
        <w:tabs>
          <w:tab w:val="left" w:pos="450"/>
          <w:tab w:val="left" w:pos="8280"/>
        </w:tabs>
        <w:spacing w:line="720" w:lineRule="exact"/>
        <w:rPr>
          <w:rFonts w:hint="eastAsia" w:ascii="宋体" w:hAnsi="宋体" w:eastAsia="宋体" w:cs="宋体"/>
          <w:b/>
          <w:bCs/>
          <w:color w:val="auto"/>
          <w:sz w:val="36"/>
          <w:szCs w:val="36"/>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36"/>
          <w:szCs w:val="36"/>
          <w:highlight w:val="none"/>
        </w:rPr>
        <w:t xml:space="preserve"> </w:t>
      </w:r>
    </w:p>
    <w:p>
      <w:pPr>
        <w:tabs>
          <w:tab w:val="left" w:pos="450"/>
          <w:tab w:val="left" w:pos="8280"/>
        </w:tabs>
        <w:spacing w:line="720" w:lineRule="exact"/>
        <w:ind w:firstLine="723" w:firstLineChars="2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u w:val="single"/>
        </w:rPr>
        <w:t xml:space="preserve">                               </w:t>
      </w:r>
      <w:r>
        <w:rPr>
          <w:rFonts w:hint="eastAsia" w:ascii="宋体" w:hAnsi="宋体" w:eastAsia="宋体" w:cs="宋体"/>
          <w:b/>
          <w:bCs/>
          <w:color w:val="auto"/>
          <w:sz w:val="36"/>
          <w:szCs w:val="36"/>
          <w:highlight w:val="none"/>
        </w:rPr>
        <w:t>项目</w:t>
      </w:r>
    </w:p>
    <w:p>
      <w:pPr>
        <w:tabs>
          <w:tab w:val="left" w:pos="8280"/>
        </w:tabs>
        <w:spacing w:line="7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响应文件</w:t>
      </w:r>
    </w:p>
    <w:p>
      <w:pPr>
        <w:tabs>
          <w:tab w:val="left" w:pos="275"/>
          <w:tab w:val="left" w:pos="828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p>
    <w:p>
      <w:pPr>
        <w:tabs>
          <w:tab w:val="left" w:pos="275"/>
          <w:tab w:val="left" w:pos="8280"/>
        </w:tabs>
        <w:spacing w:line="360" w:lineRule="auto"/>
        <w:rPr>
          <w:rFonts w:hint="eastAsia" w:ascii="宋体" w:hAnsi="宋体" w:eastAsia="宋体" w:cs="宋体"/>
          <w:b/>
          <w:bCs/>
          <w:color w:val="auto"/>
          <w:sz w:val="28"/>
          <w:szCs w:val="28"/>
          <w:highlight w:val="none"/>
        </w:rPr>
      </w:pPr>
    </w:p>
    <w:p>
      <w:pPr>
        <w:tabs>
          <w:tab w:val="left" w:pos="275"/>
          <w:tab w:val="left" w:pos="8280"/>
        </w:tabs>
        <w:spacing w:line="360" w:lineRule="auto"/>
        <w:rPr>
          <w:rFonts w:hint="eastAsia" w:ascii="宋体" w:hAnsi="宋体" w:eastAsia="宋体" w:cs="宋体"/>
          <w:b/>
          <w:bCs/>
          <w:color w:val="auto"/>
          <w:sz w:val="28"/>
          <w:szCs w:val="28"/>
          <w:highlight w:val="none"/>
        </w:rPr>
      </w:pPr>
    </w:p>
    <w:p>
      <w:pPr>
        <w:tabs>
          <w:tab w:val="left" w:pos="275"/>
          <w:tab w:val="left" w:pos="8280"/>
        </w:tabs>
        <w:spacing w:line="360" w:lineRule="auto"/>
        <w:rPr>
          <w:rFonts w:hint="eastAsia" w:ascii="宋体" w:hAnsi="宋体" w:eastAsia="宋体" w:cs="宋体"/>
          <w:b/>
          <w:bCs/>
          <w:color w:val="auto"/>
          <w:sz w:val="28"/>
          <w:szCs w:val="28"/>
          <w:highlight w:val="none"/>
        </w:rPr>
      </w:pPr>
    </w:p>
    <w:p>
      <w:pPr>
        <w:tabs>
          <w:tab w:val="left" w:pos="275"/>
          <w:tab w:val="left" w:pos="8280"/>
        </w:tabs>
        <w:spacing w:line="360" w:lineRule="auto"/>
        <w:rPr>
          <w:rFonts w:hint="eastAsia" w:ascii="宋体" w:hAnsi="宋体" w:eastAsia="宋体" w:cs="宋体"/>
          <w:b/>
          <w:bCs/>
          <w:color w:val="auto"/>
          <w:sz w:val="28"/>
          <w:szCs w:val="28"/>
          <w:highlight w:val="none"/>
        </w:rPr>
      </w:pPr>
    </w:p>
    <w:p>
      <w:pPr>
        <w:tabs>
          <w:tab w:val="left" w:pos="275"/>
          <w:tab w:val="left" w:pos="8280"/>
        </w:tabs>
        <w:spacing w:line="360" w:lineRule="auto"/>
        <w:rPr>
          <w:rFonts w:hint="eastAsia" w:ascii="宋体" w:hAnsi="宋体" w:eastAsia="宋体" w:cs="宋体"/>
          <w:b/>
          <w:bCs/>
          <w:color w:val="auto"/>
          <w:sz w:val="28"/>
          <w:szCs w:val="28"/>
          <w:highlight w:val="none"/>
        </w:rPr>
      </w:pPr>
      <w:bookmarkStart w:id="154" w:name="_Toc10502"/>
      <w:r>
        <w:rPr>
          <w:rFonts w:hint="eastAsia" w:ascii="宋体" w:hAnsi="宋体" w:eastAsia="宋体" w:cs="宋体"/>
          <w:b/>
          <w:bCs/>
          <w:color w:val="auto"/>
          <w:sz w:val="28"/>
          <w:szCs w:val="28"/>
          <w:highlight w:val="none"/>
        </w:rPr>
        <w:t>项目编号：</w:t>
      </w:r>
      <w:bookmarkEnd w:id="154"/>
      <w:r>
        <w:rPr>
          <w:rFonts w:hint="eastAsia" w:ascii="宋体" w:hAnsi="宋体" w:eastAsia="宋体" w:cs="宋体"/>
          <w:b/>
          <w:bCs/>
          <w:color w:val="auto"/>
          <w:sz w:val="28"/>
          <w:szCs w:val="28"/>
          <w:highlight w:val="none"/>
          <w:u w:val="single"/>
        </w:rPr>
        <w:t xml:space="preserve">                                                </w:t>
      </w:r>
    </w:p>
    <w:p>
      <w:pPr>
        <w:tabs>
          <w:tab w:val="left" w:pos="765"/>
          <w:tab w:val="left" w:pos="828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b/>
      </w:r>
    </w:p>
    <w:p>
      <w:pPr>
        <w:tabs>
          <w:tab w:val="left" w:pos="765"/>
          <w:tab w:val="left" w:pos="8280"/>
        </w:tabs>
        <w:spacing w:line="360" w:lineRule="auto"/>
        <w:rPr>
          <w:rFonts w:hint="eastAsia" w:ascii="宋体" w:hAnsi="宋体" w:eastAsia="宋体" w:cs="宋体"/>
          <w:b/>
          <w:bCs/>
          <w:color w:val="auto"/>
          <w:sz w:val="28"/>
          <w:szCs w:val="28"/>
          <w:highlight w:val="none"/>
        </w:rPr>
      </w:pPr>
      <w:bookmarkStart w:id="155" w:name="_Toc20930"/>
      <w:r>
        <w:rPr>
          <w:rFonts w:hint="eastAsia" w:ascii="宋体" w:hAnsi="宋体" w:eastAsia="宋体" w:cs="宋体"/>
          <w:b/>
          <w:bCs/>
          <w:color w:val="auto"/>
          <w:sz w:val="28"/>
          <w:szCs w:val="28"/>
          <w:highlight w:val="none"/>
        </w:rPr>
        <w:t>响应文件递交人（电子公章）：</w:t>
      </w:r>
      <w:bookmarkEnd w:id="155"/>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u w:val="single"/>
        </w:rPr>
        <w:t xml:space="preserve">                                  </w:t>
      </w:r>
    </w:p>
    <w:p>
      <w:pPr>
        <w:tabs>
          <w:tab w:val="left" w:pos="8280"/>
        </w:tabs>
        <w:spacing w:line="360" w:lineRule="auto"/>
        <w:jc w:val="center"/>
        <w:rPr>
          <w:rFonts w:hint="eastAsia" w:ascii="宋体" w:hAnsi="宋体" w:eastAsia="宋体" w:cs="宋体"/>
          <w:b/>
          <w:bCs/>
          <w:color w:val="auto"/>
          <w:sz w:val="28"/>
          <w:szCs w:val="28"/>
          <w:highlight w:val="none"/>
        </w:rPr>
      </w:pPr>
    </w:p>
    <w:p>
      <w:pPr>
        <w:tabs>
          <w:tab w:val="left" w:pos="350"/>
          <w:tab w:val="left" w:pos="8280"/>
        </w:tabs>
        <w:spacing w:line="360" w:lineRule="auto"/>
        <w:rPr>
          <w:rFonts w:hint="eastAsia" w:ascii="宋体" w:hAnsi="宋体" w:eastAsia="宋体" w:cs="宋体"/>
          <w:b/>
          <w:bCs/>
          <w:color w:val="auto"/>
          <w:sz w:val="28"/>
          <w:szCs w:val="28"/>
          <w:highlight w:val="none"/>
        </w:rPr>
      </w:pPr>
      <w:bookmarkStart w:id="156" w:name="_Toc6206"/>
      <w:r>
        <w:rPr>
          <w:rFonts w:hint="eastAsia" w:ascii="宋体" w:hAnsi="宋体" w:eastAsia="宋体" w:cs="宋体"/>
          <w:b/>
          <w:bCs/>
          <w:color w:val="auto"/>
          <w:sz w:val="28"/>
          <w:szCs w:val="28"/>
          <w:highlight w:val="none"/>
        </w:rPr>
        <w:t>供应商法定代表人</w:t>
      </w:r>
      <w:bookmarkEnd w:id="156"/>
    </w:p>
    <w:p>
      <w:pPr>
        <w:tabs>
          <w:tab w:val="left" w:pos="840"/>
          <w:tab w:val="left" w:pos="8280"/>
        </w:tabs>
        <w:spacing w:line="360" w:lineRule="auto"/>
        <w:rPr>
          <w:rFonts w:hint="eastAsia" w:ascii="宋体" w:hAnsi="宋体" w:eastAsia="宋体" w:cs="宋体"/>
          <w:b/>
          <w:bCs/>
          <w:color w:val="auto"/>
          <w:sz w:val="28"/>
          <w:szCs w:val="28"/>
          <w:highlight w:val="none"/>
        </w:rPr>
      </w:pPr>
      <w:bookmarkStart w:id="157" w:name="_Toc6379"/>
      <w:r>
        <w:rPr>
          <w:rFonts w:hint="eastAsia" w:ascii="宋体" w:hAnsi="宋体" w:eastAsia="宋体" w:cs="宋体"/>
          <w:b/>
          <w:bCs/>
          <w:color w:val="auto"/>
          <w:sz w:val="28"/>
          <w:szCs w:val="28"/>
          <w:highlight w:val="none"/>
        </w:rPr>
        <w:t>或其委托人（签章）：</w:t>
      </w:r>
      <w:bookmarkEnd w:id="157"/>
      <w:r>
        <w:rPr>
          <w:rFonts w:hint="eastAsia" w:ascii="宋体" w:hAnsi="宋体" w:eastAsia="宋体" w:cs="宋体"/>
          <w:b/>
          <w:bCs/>
          <w:color w:val="auto"/>
          <w:sz w:val="28"/>
          <w:szCs w:val="28"/>
          <w:highlight w:val="none"/>
          <w:u w:val="single"/>
        </w:rPr>
        <w:t xml:space="preserve">                                       </w:t>
      </w:r>
    </w:p>
    <w:p>
      <w:pPr>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jc w:val="center"/>
        <w:rPr>
          <w:rFonts w:hint="eastAsia" w:ascii="宋体" w:hAnsi="宋体" w:eastAsia="宋体" w:cs="宋体"/>
          <w:b/>
          <w:bCs/>
          <w:color w:val="auto"/>
          <w:sz w:val="28"/>
          <w:szCs w:val="28"/>
          <w:highlight w:val="none"/>
        </w:rPr>
      </w:pPr>
      <w:bookmarkStart w:id="158" w:name="_Toc6131"/>
      <w:r>
        <w:rPr>
          <w:rFonts w:hint="eastAsia" w:ascii="宋体" w:hAnsi="宋体" w:eastAsia="宋体" w:cs="宋体"/>
          <w:b/>
          <w:bCs/>
          <w:color w:val="auto"/>
          <w:sz w:val="28"/>
          <w:szCs w:val="28"/>
          <w:highlight w:val="none"/>
        </w:rPr>
        <w:t>年     月     日</w:t>
      </w:r>
      <w:bookmarkEnd w:id="158"/>
    </w:p>
    <w:p>
      <w:pPr>
        <w:pStyle w:val="22"/>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br w:type="page"/>
      </w:r>
    </w:p>
    <w:p>
      <w:pPr>
        <w:autoSpaceDE w:val="0"/>
        <w:autoSpaceDN w:val="0"/>
        <w:adjustRightInd w:val="0"/>
        <w:spacing w:line="427" w:lineRule="exact"/>
        <w:ind w:left="20" w:right="-40" w:hanging="19" w:hangingChars="7"/>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目  录</w:t>
      </w:r>
    </w:p>
    <w:p>
      <w:pPr>
        <w:numPr>
          <w:ilvl w:val="0"/>
          <w:numId w:val="8"/>
        </w:numPr>
        <w:autoSpaceDE w:val="0"/>
        <w:autoSpaceDN w:val="0"/>
        <w:adjustRightInd w:val="0"/>
        <w:spacing w:line="440" w:lineRule="exact"/>
        <w:ind w:left="17" w:right="-40" w:hanging="17" w:hangingChars="7"/>
        <w:outlineLvl w:val="1"/>
        <w:rPr>
          <w:rFonts w:hint="eastAsia" w:ascii="宋体" w:hAnsi="宋体" w:eastAsia="宋体" w:cs="宋体"/>
          <w:b/>
          <w:color w:val="auto"/>
          <w:sz w:val="24"/>
          <w:highlight w:val="none"/>
        </w:rPr>
      </w:pPr>
      <w:bookmarkStart w:id="159" w:name="_Toc24416"/>
      <w:bookmarkStart w:id="160" w:name="_Toc24620"/>
      <w:bookmarkStart w:id="161" w:name="_Hlk78804305"/>
      <w:r>
        <w:rPr>
          <w:rFonts w:hint="eastAsia" w:ascii="宋体" w:hAnsi="宋体" w:eastAsia="宋体" w:cs="宋体"/>
          <w:b/>
          <w:color w:val="auto"/>
          <w:sz w:val="24"/>
          <w:highlight w:val="none"/>
        </w:rPr>
        <w:t>响应书</w:t>
      </w:r>
      <w:bookmarkEnd w:id="159"/>
      <w:bookmarkEnd w:id="160"/>
    </w:p>
    <w:bookmarkEnd w:id="161"/>
    <w:p>
      <w:pPr>
        <w:autoSpaceDE w:val="0"/>
        <w:autoSpaceDN w:val="0"/>
        <w:adjustRightInd w:val="0"/>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二、资格证明文件</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bCs/>
          <w:color w:val="auto"/>
          <w:highlight w:val="none"/>
        </w:rPr>
        <w:t>具有独立承担民事责任的能力（营业执照）</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（三）有依法缴纳税收和社会保障资金的良好记录</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（四）具有履行合同所必需的设备和专业技术能力</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（五）参加政府采购活动前三年内，在经营活动中没有重大违法记录</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（六）供应商未列入失信被执行人、重大税收违法案件当事人名单、政府采购严重违法失信行为记录名单</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（七）联合体</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（八）投标保证金</w:t>
      </w:r>
    </w:p>
    <w:p>
      <w:pPr>
        <w:autoSpaceDE w:val="0"/>
        <w:autoSpaceDN w:val="0"/>
        <w:adjustRightIn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val="en-US" w:eastAsia="zh-CN"/>
        </w:rPr>
        <w:t>资质条件</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其他声明及文件材料</w:t>
      </w:r>
    </w:p>
    <w:p>
      <w:pPr>
        <w:autoSpaceDE w:val="0"/>
        <w:autoSpaceDN w:val="0"/>
        <w:adjustRightInd w:val="0"/>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三、商务文件</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(一)法定代表人资格证明书及法定代表人授权委托书</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(二)开标一览表及报价明细表</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bookmarkStart w:id="162" w:name="_Hlk78745738"/>
      <w:r>
        <w:rPr>
          <w:rFonts w:hint="eastAsia" w:ascii="宋体" w:hAnsi="宋体" w:eastAsia="宋体" w:cs="宋体"/>
          <w:color w:val="auto"/>
          <w:sz w:val="24"/>
          <w:highlight w:val="none"/>
        </w:rPr>
        <w:t xml:space="preserve"> 合同、商务条款偏离说明表</w:t>
      </w:r>
    </w:p>
    <w:bookmarkEnd w:id="162"/>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(四)公司资质</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（五）项目负责人基本情况及项目组成人员</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 财务状况</w:t>
      </w:r>
    </w:p>
    <w:p>
      <w:pPr>
        <w:autoSpaceDE w:val="0"/>
        <w:autoSpaceDN w:val="0"/>
        <w:adjustRightInd w:val="0"/>
        <w:spacing w:line="44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（七）近年同类项目业绩</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w:t>
      </w:r>
      <w:bookmarkStart w:id="163" w:name="_Hlk78745962"/>
      <w:r>
        <w:rPr>
          <w:rFonts w:hint="eastAsia" w:ascii="宋体" w:hAnsi="宋体" w:eastAsia="宋体" w:cs="宋体"/>
          <w:color w:val="auto"/>
          <w:sz w:val="24"/>
          <w:highlight w:val="none"/>
        </w:rPr>
        <w:t>中小微企业、残疾人福利性单位、监狱企业声明函（如有）</w:t>
      </w:r>
      <w:bookmarkEnd w:id="163"/>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w:t>
      </w:r>
      <w:bookmarkStart w:id="164" w:name="_Hlk78745979"/>
      <w:r>
        <w:rPr>
          <w:rFonts w:hint="eastAsia" w:ascii="宋体" w:hAnsi="宋体" w:eastAsia="宋体" w:cs="宋体"/>
          <w:color w:val="auto"/>
          <w:sz w:val="24"/>
          <w:highlight w:val="none"/>
        </w:rPr>
        <w:t>节能、环保产品明细表（如有）</w:t>
      </w:r>
      <w:bookmarkEnd w:id="164"/>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bookmarkStart w:id="165" w:name="_Hlk78745997"/>
      <w:r>
        <w:rPr>
          <w:rFonts w:hint="eastAsia" w:ascii="宋体" w:hAnsi="宋体" w:eastAsia="宋体" w:cs="宋体"/>
          <w:color w:val="auto"/>
          <w:sz w:val="24"/>
          <w:highlight w:val="none"/>
        </w:rPr>
        <w:t>供应商认为有必要提供的其他商务资料</w:t>
      </w:r>
    </w:p>
    <w:bookmarkEnd w:id="165"/>
    <w:p>
      <w:pPr>
        <w:autoSpaceDE w:val="0"/>
        <w:autoSpaceDN w:val="0"/>
        <w:adjustRightInd w:val="0"/>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四、技术文件</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（一）、供应商自行编写的服务方案及相关文件</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（二）、技术规范偏离表</w:t>
      </w:r>
    </w:p>
    <w:p>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（三）、供应商认为应该提供的有利于招标人的其他技术内容 </w:t>
      </w:r>
    </w:p>
    <w:p>
      <w:pPr>
        <w:autoSpaceDE w:val="0"/>
        <w:autoSpaceDN w:val="0"/>
        <w:adjustRightInd w:val="0"/>
        <w:spacing w:line="44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t>五、其他资料</w:t>
      </w:r>
    </w:p>
    <w:p>
      <w:pPr>
        <w:spacing w:line="480" w:lineRule="exact"/>
        <w:jc w:val="center"/>
        <w:rPr>
          <w:rFonts w:hint="eastAsia" w:ascii="宋体" w:hAnsi="宋体" w:eastAsia="宋体" w:cs="宋体"/>
          <w:color w:val="auto"/>
          <w:sz w:val="24"/>
          <w:highlight w:val="none"/>
        </w:rPr>
        <w:sectPr>
          <w:footerReference r:id="rId5" w:type="default"/>
          <w:pgSz w:w="11906" w:h="16838"/>
          <w:pgMar w:top="1440" w:right="1106" w:bottom="1440" w:left="1800" w:header="851" w:footer="752" w:gutter="0"/>
          <w:pgNumType w:fmt="decimal" w:start="1"/>
          <w:cols w:space="720" w:num="1"/>
          <w:docGrid w:type="lines" w:linePitch="312" w:charSpace="0"/>
        </w:sectPr>
      </w:pPr>
    </w:p>
    <w:p>
      <w:pPr>
        <w:pStyle w:val="2"/>
        <w:rPr>
          <w:rFonts w:hint="eastAsia" w:ascii="宋体" w:hAnsi="宋体" w:eastAsia="宋体" w:cs="宋体"/>
          <w:color w:val="auto"/>
          <w:highlight w:val="none"/>
        </w:rPr>
      </w:pPr>
    </w:p>
    <w:p>
      <w:pPr>
        <w:jc w:val="center"/>
        <w:rPr>
          <w:rStyle w:val="33"/>
          <w:rFonts w:hint="eastAsia" w:ascii="宋体" w:hAnsi="宋体" w:eastAsia="宋体" w:cs="宋体"/>
          <w:color w:val="auto"/>
          <w:highlight w:val="none"/>
        </w:rPr>
      </w:pPr>
      <w:bookmarkStart w:id="166" w:name="_Toc12503"/>
      <w:r>
        <w:rPr>
          <w:rStyle w:val="33"/>
          <w:rFonts w:hint="eastAsia" w:ascii="宋体" w:hAnsi="宋体" w:eastAsia="宋体" w:cs="宋体"/>
          <w:color w:val="auto"/>
          <w:highlight w:val="none"/>
        </w:rPr>
        <w:t>一、响应书</w:t>
      </w:r>
    </w:p>
    <w:bookmarkEnd w:id="166"/>
    <w:p>
      <w:pPr>
        <w:jc w:val="center"/>
        <w:rPr>
          <w:rFonts w:hint="eastAsia" w:ascii="宋体" w:hAnsi="宋体" w:eastAsia="宋体" w:cs="宋体"/>
          <w:b/>
          <w:bCs/>
          <w:color w:val="auto"/>
          <w:sz w:val="28"/>
          <w:szCs w:val="28"/>
          <w:highlight w:val="none"/>
        </w:rPr>
      </w:pPr>
      <w:bookmarkStart w:id="167" w:name="_Toc2115"/>
      <w:bookmarkStart w:id="168" w:name="_Hlk78744634"/>
      <w:bookmarkStart w:id="169" w:name="_Toc53602922"/>
      <w:r>
        <w:rPr>
          <w:rFonts w:hint="eastAsia" w:ascii="宋体" w:hAnsi="宋体" w:eastAsia="宋体" w:cs="宋体"/>
          <w:b/>
          <w:bCs/>
          <w:color w:val="auto"/>
          <w:sz w:val="28"/>
          <w:szCs w:val="28"/>
          <w:highlight w:val="none"/>
        </w:rPr>
        <w:t>响 应 书</w:t>
      </w:r>
      <w:bookmarkEnd w:id="167"/>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我们收到你们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号竞争性磋商文件，经认真研究，我们决定参加本次磋商。愿意按照竞争性磋商文件规定的内容承担该项目的采购任务，严格执行我方所承诺的责任和义务。为此，我方郑重声明以下诸点，并负法律责任。</w:t>
      </w:r>
    </w:p>
    <w:p>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⒈按照竞争性磋商文件中的一切要求，提供采购服务，磋商总价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元（用阿拉伯数字书写）人民币，明细见明细报价表。</w:t>
      </w:r>
    </w:p>
    <w:p>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⒉如果我们的响应文件被接受，我们将履行竞争性磋商文件  中规定的每一项要求，按期、按质、按量完成本次采购项目。</w:t>
      </w:r>
    </w:p>
    <w:p>
      <w:pPr>
        <w:spacing w:line="440" w:lineRule="exact"/>
        <w:ind w:firstLine="480" w:firstLineChars="200"/>
        <w:rPr>
          <w:rFonts w:hint="eastAsia" w:ascii="宋体" w:hAnsi="宋体" w:eastAsia="宋体" w:cs="宋体"/>
          <w:color w:val="auto"/>
          <w:sz w:val="24"/>
          <w:highlight w:val="none"/>
        </w:rPr>
      </w:pPr>
      <w:bookmarkStart w:id="170" w:name="_Toc29726"/>
      <w:r>
        <w:rPr>
          <w:rFonts w:hint="eastAsia" w:ascii="宋体" w:hAnsi="宋体" w:eastAsia="宋体" w:cs="宋体"/>
          <w:color w:val="auto"/>
          <w:sz w:val="24"/>
          <w:highlight w:val="none"/>
        </w:rPr>
        <w:t>3.我方承诺提供服务的质保期为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年。</w:t>
      </w:r>
      <w:bookmarkEnd w:id="170"/>
    </w:p>
    <w:p>
      <w:pPr>
        <w:spacing w:line="440" w:lineRule="exact"/>
        <w:ind w:firstLine="480" w:firstLineChars="200"/>
        <w:rPr>
          <w:rFonts w:hint="eastAsia" w:ascii="宋体" w:hAnsi="宋体" w:eastAsia="宋体" w:cs="宋体"/>
          <w:color w:val="auto"/>
          <w:sz w:val="24"/>
          <w:highlight w:val="none"/>
        </w:rPr>
      </w:pPr>
      <w:bookmarkStart w:id="171" w:name="_Toc6537"/>
      <w:r>
        <w:rPr>
          <w:rFonts w:hint="eastAsia" w:ascii="宋体" w:hAnsi="宋体" w:eastAsia="宋体" w:cs="宋体"/>
          <w:color w:val="auto"/>
          <w:sz w:val="24"/>
          <w:highlight w:val="none"/>
        </w:rPr>
        <w:t>4.我方承诺服务期限按照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执行。</w:t>
      </w:r>
      <w:bookmarkEnd w:id="171"/>
    </w:p>
    <w:p>
      <w:pPr>
        <w:spacing w:line="440" w:lineRule="exact"/>
        <w:ind w:firstLine="480" w:firstLineChars="200"/>
        <w:rPr>
          <w:rFonts w:hint="eastAsia" w:ascii="宋体" w:hAnsi="宋体" w:eastAsia="宋体" w:cs="宋体"/>
          <w:color w:val="auto"/>
          <w:highlight w:val="none"/>
        </w:rPr>
      </w:pPr>
      <w:bookmarkStart w:id="172" w:name="_Toc8772"/>
      <w:r>
        <w:rPr>
          <w:rFonts w:hint="eastAsia" w:ascii="宋体" w:hAnsi="宋体" w:eastAsia="宋体" w:cs="宋体"/>
          <w:color w:val="auto"/>
          <w:sz w:val="24"/>
          <w:highlight w:val="none"/>
        </w:rPr>
        <w:t>5.我方承诺付款方式按照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执行。</w:t>
      </w:r>
      <w:bookmarkEnd w:id="172"/>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6.如果我方成交，我方将在竞争性磋商文件规定的时间内签订委托合同并按采购要求提供履约担保。如果我方违约，除磋商保证金不予退还外，贵方有权终止我方成交并选择其它成交供应商。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如果我方成交，我方将在竞争性磋商文件规定的时间内签订服务合同。如果我方违约，借故拒签合同或拖延签订的，则采购人将废除授标，磋商保证金不予退还，给采购人造成的损失超过投保证金保数额的，还应当对超过部分予以赔偿，同时依法承担相应法律责任，采购人可另行选择成交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8.我方同意在磋商有效期内遵守本响应文件，在此期限期满前的任何时间，本响应文件一直对我们具有约束力，本项目磋商有效期为响应文件递交截止时间后</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9.我们愿意提供采购人在竞争性磋商文件中要求的所有资料。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10.我们认为采购人有选择或拒绝任何参与供应商成交的权力。我们理解，最低报价不是成交的唯一条件。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11.我们愿按合同法履行自己的全部责任。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12.我方愿意按照竞争性磋商文件中规定的收费标准，承付成交服务费。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13.该响应书在开标/磋商后的全过程中保持有效，不作任何更改和变动。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14.我们同意按竞争性磋商文件规定，交纳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元的磋商保证金。并同意在确定最终成交供应商、发出《成交通知书》之后5个工作日内退还我公司的磋商保证金。（如因特殊原因，在磋商有效期之后确定成交供应商，本承诺依然有效。）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15.综合说明：</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（1）设备的详细技术参数、技术条件、技术标准、拟达到的质量标准和保险期限。</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（2）易损件、配件及供应方式。</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（3）工程安装计划、组织机构及人员安排。</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（5）技术服务。</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（6）运输方式。</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（7）要求项目单位提供的配合。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（8）对竞争性磋商文件内容有不同意见的偏离说明。</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（9）其它。</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13.所有有关本响应书的函电，请按下列地址联系：</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       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 政 编 码：</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szCs w:val="24"/>
          <w:highlight w:val="none"/>
        </w:rPr>
        <w:t>电子公章</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1200" w:firstLineChars="5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二○二二年   月    日</w:t>
      </w:r>
    </w:p>
    <w:bookmarkEnd w:id="168"/>
    <w:p>
      <w:pPr>
        <w:pStyle w:val="32"/>
        <w:outlineLvl w:val="2"/>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End w:id="169"/>
      <w:bookmarkStart w:id="173" w:name="_Toc10119"/>
      <w:bookmarkStart w:id="174" w:name="_Toc24798"/>
      <w:r>
        <w:rPr>
          <w:rFonts w:hint="eastAsia" w:ascii="宋体" w:hAnsi="宋体" w:eastAsia="宋体" w:cs="宋体"/>
          <w:color w:val="auto"/>
          <w:highlight w:val="none"/>
        </w:rPr>
        <w:t>二、资格证明文件</w:t>
      </w:r>
      <w:bookmarkEnd w:id="173"/>
      <w:bookmarkEnd w:id="174"/>
    </w:p>
    <w:p>
      <w:pPr>
        <w:pStyle w:val="32"/>
        <w:outlineLvl w:val="2"/>
        <w:rPr>
          <w:rFonts w:hint="eastAsia" w:ascii="宋体" w:hAnsi="宋体" w:eastAsia="宋体" w:cs="宋体"/>
          <w:color w:val="auto"/>
          <w:highlight w:val="none"/>
        </w:rPr>
      </w:pPr>
      <w:bookmarkStart w:id="175" w:name="_Toc29475"/>
      <w:bookmarkStart w:id="176" w:name="_Toc31792"/>
      <w:r>
        <w:rPr>
          <w:rFonts w:hint="eastAsia" w:ascii="宋体" w:hAnsi="宋体" w:eastAsia="宋体" w:cs="宋体"/>
          <w:color w:val="auto"/>
          <w:highlight w:val="none"/>
        </w:rPr>
        <w:t>（一）营业执照</w:t>
      </w:r>
      <w:bookmarkEnd w:id="175"/>
      <w:bookmarkEnd w:id="176"/>
    </w:p>
    <w:p>
      <w:pPr>
        <w:pStyle w:val="34"/>
        <w:ind w:firstLine="560" w:firstLineChars="200"/>
        <w:rPr>
          <w:rFonts w:hint="eastAsia" w:ascii="宋体" w:hAnsi="宋体" w:cs="宋体"/>
          <w:color w:val="auto"/>
          <w:highlight w:val="none"/>
        </w:rPr>
      </w:pPr>
      <w:r>
        <w:rPr>
          <w:rFonts w:hint="eastAsia" w:ascii="宋体" w:hAnsi="宋体" w:cs="宋体"/>
          <w:color w:val="auto"/>
          <w:highlight w:val="none"/>
        </w:rPr>
        <w:t>说明：如供应商是企业（包括合伙企业），应提供在工商部门注册的有效“企业法人营业执照”或“营业执照”（三证或五证合一）；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p>
      <w:pPr>
        <w:pStyle w:val="35"/>
        <w:jc w:val="center"/>
        <w:rPr>
          <w:rFonts w:hint="eastAsia" w:ascii="宋体" w:hAnsi="宋体" w:eastAsia="宋体" w:cs="宋体"/>
          <w:color w:val="auto"/>
          <w:highlight w:val="none"/>
        </w:rPr>
      </w:pPr>
      <w:bookmarkStart w:id="177" w:name="_Toc256000045"/>
      <w:bookmarkStart w:id="178" w:name="_Toc256000058"/>
      <w:r>
        <w:rPr>
          <w:rFonts w:hint="eastAsia" w:ascii="宋体" w:hAnsi="宋体" w:eastAsia="宋体" w:cs="宋体"/>
          <w:color w:val="auto"/>
          <w:highlight w:val="none"/>
        </w:rPr>
        <w:br w:type="page"/>
      </w:r>
      <w:r>
        <w:rPr>
          <w:rFonts w:hint="eastAsia" w:ascii="宋体" w:hAnsi="宋体" w:eastAsia="宋体" w:cs="宋体"/>
          <w:color w:val="auto"/>
          <w:highlight w:val="none"/>
        </w:rPr>
        <w:t>供应商基本情况表</w:t>
      </w:r>
      <w:bookmarkEnd w:id="177"/>
      <w:bookmarkEnd w:id="178"/>
    </w:p>
    <w:p>
      <w:pPr>
        <w:pStyle w:val="36"/>
        <w:tabs>
          <w:tab w:val="left" w:pos="5570"/>
        </w:tabs>
        <w:spacing w:before="123"/>
        <w:ind w:left="217"/>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rPr>
        <w:tab/>
      </w:r>
    </w:p>
    <w:p>
      <w:pPr>
        <w:pStyle w:val="36"/>
        <w:tabs>
          <w:tab w:val="left" w:pos="5570"/>
        </w:tabs>
        <w:spacing w:before="123"/>
        <w:ind w:left="217"/>
        <w:rPr>
          <w:rFonts w:hint="eastAsia" w:ascii="宋体" w:hAnsi="宋体" w:cs="宋体"/>
          <w:color w:val="auto"/>
          <w:sz w:val="24"/>
          <w:highlight w:val="none"/>
        </w:rPr>
      </w:pPr>
      <w:r>
        <w:rPr>
          <w:rFonts w:hint="eastAsia" w:ascii="宋体" w:hAnsi="宋体" w:cs="宋体"/>
          <w:color w:val="auto"/>
          <w:sz w:val="24"/>
          <w:highlight w:val="none"/>
        </w:rPr>
        <w:t>项目编号：</w:t>
      </w:r>
    </w:p>
    <w:p>
      <w:pPr>
        <w:pStyle w:val="37"/>
        <w:spacing w:before="9"/>
        <w:rPr>
          <w:rFonts w:hint="eastAsia" w:ascii="宋体" w:hAnsi="宋体" w:cs="宋体"/>
          <w:color w:val="auto"/>
          <w:sz w:val="24"/>
          <w:highlight w:val="none"/>
        </w:rPr>
      </w:pPr>
    </w:p>
    <w:tbl>
      <w:tblPr>
        <w:tblStyle w:val="16"/>
        <w:tblW w:w="0" w:type="auto"/>
        <w:jc w:val="center"/>
        <w:tblLayout w:type="fixed"/>
        <w:tblCellMar>
          <w:top w:w="0" w:type="dxa"/>
          <w:left w:w="0" w:type="dxa"/>
          <w:bottom w:w="0" w:type="dxa"/>
          <w:right w:w="0" w:type="dxa"/>
        </w:tblCellMar>
      </w:tblPr>
      <w:tblGrid>
        <w:gridCol w:w="1986"/>
        <w:gridCol w:w="3577"/>
        <w:gridCol w:w="3556"/>
      </w:tblGrid>
      <w:tr>
        <w:tblPrEx>
          <w:tblCellMar>
            <w:top w:w="0" w:type="dxa"/>
            <w:left w:w="0" w:type="dxa"/>
            <w:bottom w:w="0" w:type="dxa"/>
            <w:right w:w="0" w:type="dxa"/>
          </w:tblCellMar>
        </w:tblPrEx>
        <w:trPr>
          <w:trHeight w:val="485" w:hRule="exact"/>
          <w:jc w:val="center"/>
        </w:trPr>
        <w:tc>
          <w:tcPr>
            <w:tcW w:w="1986" w:type="dxa"/>
            <w:tcBorders>
              <w:top w:val="single" w:color="000000" w:sz="4" w:space="0"/>
              <w:left w:val="single" w:color="000000" w:sz="4" w:space="0"/>
              <w:bottom w:val="single" w:color="000000" w:sz="4" w:space="0"/>
              <w:right w:val="single" w:color="000000" w:sz="4" w:space="0"/>
            </w:tcBorders>
          </w:tcPr>
          <w:p>
            <w:pPr>
              <w:pStyle w:val="38"/>
              <w:spacing w:before="84"/>
              <w:ind w:left="587"/>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供应商名称</w:t>
            </w:r>
          </w:p>
        </w:tc>
        <w:tc>
          <w:tcPr>
            <w:tcW w:w="7133" w:type="dxa"/>
            <w:gridSpan w:val="2"/>
            <w:tcBorders>
              <w:top w:val="single" w:color="000000" w:sz="4" w:space="0"/>
              <w:left w:val="single" w:color="000000" w:sz="4" w:space="0"/>
              <w:bottom w:val="single" w:color="000000" w:sz="4" w:space="0"/>
              <w:right w:val="single" w:color="000000" w:sz="4" w:space="0"/>
            </w:tcBorders>
          </w:tcPr>
          <w:p>
            <w:pPr>
              <w:pStyle w:val="37"/>
              <w:rPr>
                <w:rFonts w:hint="eastAsia" w:ascii="宋体" w:hAnsi="宋体" w:cs="宋体"/>
                <w:color w:val="auto"/>
                <w:szCs w:val="21"/>
                <w:highlight w:val="none"/>
              </w:rPr>
            </w:pPr>
          </w:p>
        </w:tc>
      </w:tr>
      <w:tr>
        <w:tblPrEx>
          <w:tblCellMar>
            <w:top w:w="0" w:type="dxa"/>
            <w:left w:w="0" w:type="dxa"/>
            <w:bottom w:w="0" w:type="dxa"/>
            <w:right w:w="0" w:type="dxa"/>
          </w:tblCellMar>
        </w:tblPrEx>
        <w:trPr>
          <w:trHeight w:val="486" w:hRule="exact"/>
          <w:jc w:val="center"/>
        </w:trPr>
        <w:tc>
          <w:tcPr>
            <w:tcW w:w="1986" w:type="dxa"/>
            <w:tcBorders>
              <w:top w:val="single" w:color="000000" w:sz="4" w:space="0"/>
              <w:left w:val="single" w:color="000000" w:sz="4" w:space="0"/>
              <w:bottom w:val="single" w:color="000000" w:sz="4" w:space="0"/>
              <w:right w:val="single" w:color="000000" w:sz="4" w:space="0"/>
            </w:tcBorders>
          </w:tcPr>
          <w:p>
            <w:pPr>
              <w:pStyle w:val="38"/>
              <w:spacing w:before="86"/>
              <w:ind w:left="692"/>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联系地址</w:t>
            </w:r>
          </w:p>
        </w:tc>
        <w:tc>
          <w:tcPr>
            <w:tcW w:w="7133" w:type="dxa"/>
            <w:gridSpan w:val="2"/>
            <w:tcBorders>
              <w:top w:val="single" w:color="000000" w:sz="4" w:space="0"/>
              <w:left w:val="single" w:color="000000" w:sz="4" w:space="0"/>
              <w:bottom w:val="single" w:color="000000" w:sz="4" w:space="0"/>
              <w:right w:val="single" w:color="000000" w:sz="4" w:space="0"/>
            </w:tcBorders>
          </w:tcPr>
          <w:p>
            <w:pPr>
              <w:pStyle w:val="37"/>
              <w:rPr>
                <w:rFonts w:hint="eastAsia" w:ascii="宋体" w:hAnsi="宋体" w:cs="宋体"/>
                <w:color w:val="auto"/>
                <w:szCs w:val="21"/>
                <w:highlight w:val="none"/>
              </w:rPr>
            </w:pPr>
          </w:p>
        </w:tc>
      </w:tr>
      <w:tr>
        <w:tblPrEx>
          <w:tblCellMar>
            <w:top w:w="0" w:type="dxa"/>
            <w:left w:w="0" w:type="dxa"/>
            <w:bottom w:w="0" w:type="dxa"/>
            <w:right w:w="0" w:type="dxa"/>
          </w:tblCellMar>
        </w:tblPrEx>
        <w:trPr>
          <w:trHeight w:val="452" w:hRule="exact"/>
          <w:jc w:val="center"/>
        </w:trPr>
        <w:tc>
          <w:tcPr>
            <w:tcW w:w="1986" w:type="dxa"/>
            <w:tcBorders>
              <w:top w:val="single" w:color="000000" w:sz="4" w:space="0"/>
              <w:left w:val="single" w:color="000000" w:sz="4" w:space="0"/>
              <w:bottom w:val="single" w:color="000000" w:sz="4" w:space="0"/>
              <w:right w:val="single" w:color="000000" w:sz="4" w:space="0"/>
            </w:tcBorders>
          </w:tcPr>
          <w:p>
            <w:pPr>
              <w:pStyle w:val="38"/>
              <w:spacing w:before="84"/>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供应商从业人员数量</w:t>
            </w:r>
          </w:p>
        </w:tc>
        <w:tc>
          <w:tcPr>
            <w:tcW w:w="7133" w:type="dxa"/>
            <w:gridSpan w:val="2"/>
            <w:tcBorders>
              <w:top w:val="single" w:color="000000" w:sz="4" w:space="0"/>
              <w:left w:val="single" w:color="000000" w:sz="4" w:space="0"/>
              <w:bottom w:val="single" w:color="000000" w:sz="4" w:space="0"/>
              <w:right w:val="single" w:color="000000" w:sz="4" w:space="0"/>
            </w:tcBorders>
          </w:tcPr>
          <w:p>
            <w:pPr>
              <w:pStyle w:val="37"/>
              <w:rPr>
                <w:rFonts w:hint="eastAsia" w:ascii="宋体" w:hAnsi="宋体" w:cs="宋体"/>
                <w:color w:val="auto"/>
                <w:szCs w:val="21"/>
                <w:highlight w:val="none"/>
              </w:rPr>
            </w:pPr>
          </w:p>
        </w:tc>
      </w:tr>
      <w:tr>
        <w:tblPrEx>
          <w:tblCellMar>
            <w:top w:w="0" w:type="dxa"/>
            <w:left w:w="0" w:type="dxa"/>
            <w:bottom w:w="0" w:type="dxa"/>
            <w:right w:w="0" w:type="dxa"/>
          </w:tblCellMar>
        </w:tblPrEx>
        <w:trPr>
          <w:trHeight w:val="485" w:hRule="exact"/>
          <w:jc w:val="center"/>
        </w:trPr>
        <w:tc>
          <w:tcPr>
            <w:tcW w:w="1986" w:type="dxa"/>
            <w:tcBorders>
              <w:top w:val="single" w:color="000000" w:sz="4" w:space="0"/>
              <w:left w:val="single" w:color="000000" w:sz="4" w:space="0"/>
              <w:bottom w:val="single" w:color="000000" w:sz="4" w:space="0"/>
              <w:right w:val="single" w:color="000000" w:sz="4" w:space="0"/>
            </w:tcBorders>
          </w:tcPr>
          <w:p>
            <w:pPr>
              <w:pStyle w:val="38"/>
              <w:spacing w:before="84"/>
              <w:ind w:left="587"/>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法定代表人</w:t>
            </w:r>
          </w:p>
        </w:tc>
        <w:tc>
          <w:tcPr>
            <w:tcW w:w="3577" w:type="dxa"/>
            <w:tcBorders>
              <w:top w:val="single" w:color="000000" w:sz="4" w:space="0"/>
              <w:left w:val="single" w:color="000000" w:sz="4" w:space="0"/>
              <w:bottom w:val="single" w:color="000000" w:sz="4" w:space="0"/>
              <w:right w:val="nil"/>
            </w:tcBorders>
          </w:tcPr>
          <w:p>
            <w:pPr>
              <w:pStyle w:val="38"/>
              <w:spacing w:before="84"/>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姓名：      职务：    职称：</w:t>
            </w:r>
          </w:p>
        </w:tc>
        <w:tc>
          <w:tcPr>
            <w:tcW w:w="3556" w:type="dxa"/>
            <w:tcBorders>
              <w:top w:val="single" w:color="000000" w:sz="4" w:space="0"/>
              <w:left w:val="nil"/>
              <w:bottom w:val="single" w:color="000000" w:sz="4" w:space="0"/>
              <w:right w:val="single" w:color="000000" w:sz="4" w:space="0"/>
            </w:tcBorders>
          </w:tcPr>
          <w:p>
            <w:pPr>
              <w:pStyle w:val="38"/>
              <w:spacing w:before="84"/>
              <w:ind w:left="42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电话：</w:t>
            </w:r>
          </w:p>
        </w:tc>
      </w:tr>
      <w:tr>
        <w:tblPrEx>
          <w:tblCellMar>
            <w:top w:w="0" w:type="dxa"/>
            <w:left w:w="0" w:type="dxa"/>
            <w:bottom w:w="0" w:type="dxa"/>
            <w:right w:w="0" w:type="dxa"/>
          </w:tblCellMar>
        </w:tblPrEx>
        <w:trPr>
          <w:trHeight w:val="486" w:hRule="exact"/>
          <w:jc w:val="center"/>
        </w:trPr>
        <w:tc>
          <w:tcPr>
            <w:tcW w:w="1986" w:type="dxa"/>
            <w:tcBorders>
              <w:top w:val="single" w:color="000000" w:sz="4" w:space="0"/>
              <w:left w:val="single" w:color="000000" w:sz="4" w:space="0"/>
              <w:bottom w:val="single" w:color="000000" w:sz="4" w:space="0"/>
              <w:right w:val="single" w:color="000000" w:sz="4" w:space="0"/>
            </w:tcBorders>
          </w:tcPr>
          <w:p>
            <w:pPr>
              <w:pStyle w:val="38"/>
              <w:spacing w:before="86"/>
              <w:ind w:left="587"/>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技术负责人</w:t>
            </w:r>
          </w:p>
        </w:tc>
        <w:tc>
          <w:tcPr>
            <w:tcW w:w="3577" w:type="dxa"/>
            <w:tcBorders>
              <w:top w:val="single" w:color="000000" w:sz="4" w:space="0"/>
              <w:left w:val="single" w:color="000000" w:sz="4" w:space="0"/>
              <w:bottom w:val="single" w:color="000000" w:sz="4" w:space="0"/>
              <w:right w:val="nil"/>
            </w:tcBorders>
          </w:tcPr>
          <w:p>
            <w:pPr>
              <w:pStyle w:val="38"/>
              <w:spacing w:before="86"/>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姓名：      职务：    职称：</w:t>
            </w:r>
          </w:p>
        </w:tc>
        <w:tc>
          <w:tcPr>
            <w:tcW w:w="3556" w:type="dxa"/>
            <w:tcBorders>
              <w:top w:val="single" w:color="000000" w:sz="4" w:space="0"/>
              <w:left w:val="nil"/>
              <w:bottom w:val="single" w:color="000000" w:sz="4" w:space="0"/>
              <w:right w:val="single" w:color="000000" w:sz="4" w:space="0"/>
            </w:tcBorders>
          </w:tcPr>
          <w:p>
            <w:pPr>
              <w:pStyle w:val="38"/>
              <w:spacing w:before="86"/>
              <w:ind w:left="42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电话：</w:t>
            </w:r>
          </w:p>
        </w:tc>
      </w:tr>
      <w:tr>
        <w:tblPrEx>
          <w:tblCellMar>
            <w:top w:w="0" w:type="dxa"/>
            <w:left w:w="0" w:type="dxa"/>
            <w:bottom w:w="0" w:type="dxa"/>
            <w:right w:w="0" w:type="dxa"/>
          </w:tblCellMar>
        </w:tblPrEx>
        <w:trPr>
          <w:trHeight w:val="678" w:hRule="exact"/>
          <w:jc w:val="center"/>
        </w:trPr>
        <w:tc>
          <w:tcPr>
            <w:tcW w:w="1986" w:type="dxa"/>
            <w:tcBorders>
              <w:top w:val="single" w:color="000000" w:sz="4" w:space="0"/>
              <w:left w:val="single" w:color="000000" w:sz="4" w:space="0"/>
              <w:bottom w:val="single" w:color="000000" w:sz="4" w:space="0"/>
              <w:right w:val="single" w:color="000000" w:sz="4" w:space="0"/>
            </w:tcBorders>
          </w:tcPr>
          <w:p>
            <w:pPr>
              <w:pStyle w:val="38"/>
              <w:spacing w:before="5"/>
              <w:rPr>
                <w:rFonts w:hint="eastAsia" w:ascii="宋体" w:hAnsi="宋体" w:cs="宋体"/>
                <w:color w:val="auto"/>
                <w:kern w:val="2"/>
                <w:sz w:val="21"/>
                <w:szCs w:val="21"/>
                <w:highlight w:val="none"/>
              </w:rPr>
            </w:pPr>
          </w:p>
          <w:p>
            <w:pPr>
              <w:pStyle w:val="38"/>
              <w:ind w:left="692"/>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联系方式</w:t>
            </w:r>
          </w:p>
        </w:tc>
        <w:tc>
          <w:tcPr>
            <w:tcW w:w="7133" w:type="dxa"/>
            <w:gridSpan w:val="2"/>
            <w:tcBorders>
              <w:top w:val="single" w:color="000000" w:sz="4" w:space="0"/>
              <w:left w:val="single" w:color="000000" w:sz="4" w:space="0"/>
              <w:bottom w:val="single" w:color="000000" w:sz="4" w:space="0"/>
              <w:right w:val="single" w:color="000000" w:sz="4" w:space="0"/>
            </w:tcBorders>
          </w:tcPr>
          <w:p>
            <w:pPr>
              <w:pStyle w:val="38"/>
              <w:tabs>
                <w:tab w:val="left" w:pos="3735"/>
              </w:tabs>
              <w:spacing w:before="9"/>
              <w:ind w:left="101"/>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联系人：</w:t>
            </w:r>
            <w:r>
              <w:rPr>
                <w:rFonts w:hint="eastAsia" w:ascii="宋体" w:hAnsi="宋体" w:cs="宋体"/>
                <w:color w:val="auto"/>
                <w:kern w:val="2"/>
                <w:sz w:val="21"/>
                <w:szCs w:val="21"/>
                <w:highlight w:val="none"/>
                <w:lang w:eastAsia="zh-CN"/>
              </w:rPr>
              <w:tab/>
            </w:r>
            <w:r>
              <w:rPr>
                <w:rFonts w:hint="eastAsia" w:ascii="宋体" w:hAnsi="宋体" w:cs="宋体"/>
                <w:color w:val="auto"/>
                <w:kern w:val="2"/>
                <w:sz w:val="21"/>
                <w:szCs w:val="21"/>
                <w:highlight w:val="none"/>
                <w:lang w:eastAsia="zh-CN"/>
              </w:rPr>
              <w:t>电</w:t>
            </w:r>
            <w:r>
              <w:rPr>
                <w:rFonts w:hint="eastAsia" w:ascii="宋体" w:hAnsi="宋体" w:cs="宋体"/>
                <w:color w:val="auto"/>
                <w:spacing w:val="103"/>
                <w:kern w:val="2"/>
                <w:sz w:val="21"/>
                <w:szCs w:val="21"/>
                <w:highlight w:val="none"/>
                <w:lang w:eastAsia="zh-CN"/>
              </w:rPr>
              <w:t xml:space="preserve"> </w:t>
            </w:r>
            <w:r>
              <w:rPr>
                <w:rFonts w:hint="eastAsia" w:ascii="宋体" w:hAnsi="宋体" w:cs="宋体"/>
                <w:color w:val="auto"/>
                <w:kern w:val="2"/>
                <w:sz w:val="21"/>
                <w:szCs w:val="21"/>
                <w:highlight w:val="none"/>
                <w:lang w:eastAsia="zh-CN"/>
              </w:rPr>
              <w:t>话：</w:t>
            </w:r>
          </w:p>
          <w:p>
            <w:pPr>
              <w:pStyle w:val="38"/>
              <w:tabs>
                <w:tab w:val="left" w:pos="3673"/>
              </w:tabs>
              <w:spacing w:before="84"/>
              <w:ind w:left="102"/>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传  真：                      邮</w:t>
            </w:r>
            <w:r>
              <w:rPr>
                <w:rFonts w:hint="eastAsia" w:ascii="宋体" w:hAnsi="宋体" w:cs="宋体"/>
                <w:color w:val="auto"/>
                <w:kern w:val="2"/>
                <w:sz w:val="21"/>
                <w:szCs w:val="21"/>
                <w:highlight w:val="none"/>
                <w:lang w:eastAsia="zh-CN"/>
              </w:rPr>
              <w:tab/>
            </w:r>
            <w:r>
              <w:rPr>
                <w:rFonts w:hint="eastAsia" w:ascii="宋体" w:hAnsi="宋体" w:cs="宋体"/>
                <w:color w:val="auto"/>
                <w:kern w:val="2"/>
                <w:sz w:val="21"/>
                <w:szCs w:val="21"/>
                <w:highlight w:val="none"/>
                <w:lang w:eastAsia="zh-CN"/>
              </w:rPr>
              <w:t>箱：</w:t>
            </w:r>
          </w:p>
        </w:tc>
      </w:tr>
      <w:tr>
        <w:tblPrEx>
          <w:tblCellMar>
            <w:top w:w="0" w:type="dxa"/>
            <w:left w:w="0" w:type="dxa"/>
            <w:bottom w:w="0" w:type="dxa"/>
            <w:right w:w="0" w:type="dxa"/>
          </w:tblCellMar>
        </w:tblPrEx>
        <w:trPr>
          <w:trHeight w:val="627" w:hRule="exact"/>
          <w:jc w:val="center"/>
        </w:trPr>
        <w:tc>
          <w:tcPr>
            <w:tcW w:w="1986" w:type="dxa"/>
            <w:tcBorders>
              <w:top w:val="single" w:color="000000" w:sz="4" w:space="0"/>
              <w:left w:val="single" w:color="000000" w:sz="4" w:space="0"/>
              <w:bottom w:val="single" w:color="000000" w:sz="4" w:space="0"/>
              <w:right w:val="single" w:color="000000" w:sz="4" w:space="0"/>
            </w:tcBorders>
          </w:tcPr>
          <w:p>
            <w:pPr>
              <w:pStyle w:val="38"/>
              <w:spacing w:before="84"/>
              <w:ind w:left="692"/>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基本账户</w:t>
            </w:r>
          </w:p>
        </w:tc>
        <w:tc>
          <w:tcPr>
            <w:tcW w:w="3577" w:type="dxa"/>
            <w:tcBorders>
              <w:top w:val="single" w:color="000000" w:sz="4" w:space="0"/>
              <w:left w:val="single" w:color="000000" w:sz="4" w:space="0"/>
              <w:bottom w:val="single" w:color="000000" w:sz="4" w:space="0"/>
              <w:right w:val="nil"/>
            </w:tcBorders>
          </w:tcPr>
          <w:p>
            <w:pPr>
              <w:pStyle w:val="38"/>
              <w:spacing w:before="84"/>
              <w:ind w:left="3041" w:leftChars="48" w:hanging="2940" w:hangingChars="14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名  称：          </w:t>
            </w:r>
          </w:p>
        </w:tc>
        <w:tc>
          <w:tcPr>
            <w:tcW w:w="3556" w:type="dxa"/>
            <w:tcBorders>
              <w:top w:val="single" w:color="000000" w:sz="4" w:space="0"/>
              <w:left w:val="nil"/>
              <w:bottom w:val="single" w:color="000000" w:sz="4" w:space="0"/>
              <w:right w:val="single" w:color="000000" w:sz="4" w:space="0"/>
            </w:tcBorders>
          </w:tcPr>
          <w:p>
            <w:pPr>
              <w:pStyle w:val="38"/>
              <w:spacing w:before="84"/>
              <w:ind w:left="105" w:firstLine="210" w:firstLineChars="1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账号：</w:t>
            </w:r>
          </w:p>
        </w:tc>
      </w:tr>
      <w:tr>
        <w:tblPrEx>
          <w:tblCellMar>
            <w:top w:w="0" w:type="dxa"/>
            <w:left w:w="0" w:type="dxa"/>
            <w:bottom w:w="0" w:type="dxa"/>
            <w:right w:w="0" w:type="dxa"/>
          </w:tblCellMar>
        </w:tblPrEx>
        <w:trPr>
          <w:trHeight w:val="278" w:hRule="exact"/>
          <w:jc w:val="center"/>
        </w:trPr>
        <w:tc>
          <w:tcPr>
            <w:tcW w:w="1986" w:type="dxa"/>
            <w:vMerge w:val="restart"/>
            <w:tcBorders>
              <w:top w:val="single" w:color="000000" w:sz="4" w:space="0"/>
              <w:left w:val="single" w:color="000000" w:sz="4" w:space="0"/>
              <w:bottom w:val="single" w:color="000000" w:sz="4" w:space="0"/>
              <w:right w:val="single" w:color="000000" w:sz="4" w:space="0"/>
            </w:tcBorders>
          </w:tcPr>
          <w:p>
            <w:pPr>
              <w:pStyle w:val="38"/>
              <w:rPr>
                <w:rFonts w:hint="eastAsia" w:ascii="宋体" w:hAnsi="宋体" w:cs="宋体"/>
                <w:color w:val="auto"/>
                <w:kern w:val="2"/>
                <w:sz w:val="21"/>
                <w:szCs w:val="21"/>
                <w:highlight w:val="none"/>
              </w:rPr>
            </w:pPr>
          </w:p>
          <w:p>
            <w:pPr>
              <w:pStyle w:val="38"/>
              <w:rPr>
                <w:rFonts w:hint="eastAsia" w:ascii="宋体" w:hAnsi="宋体" w:cs="宋体"/>
                <w:color w:val="auto"/>
                <w:kern w:val="2"/>
                <w:sz w:val="21"/>
                <w:szCs w:val="21"/>
                <w:highlight w:val="none"/>
              </w:rPr>
            </w:pPr>
          </w:p>
          <w:p>
            <w:pPr>
              <w:pStyle w:val="38"/>
              <w:rPr>
                <w:rFonts w:hint="eastAsia" w:ascii="宋体" w:hAnsi="宋体" w:cs="宋体"/>
                <w:color w:val="auto"/>
                <w:kern w:val="2"/>
                <w:sz w:val="21"/>
                <w:szCs w:val="21"/>
                <w:highlight w:val="none"/>
              </w:rPr>
            </w:pPr>
          </w:p>
          <w:p>
            <w:pPr>
              <w:pStyle w:val="38"/>
              <w:rPr>
                <w:rFonts w:hint="eastAsia" w:ascii="宋体" w:hAnsi="宋体" w:cs="宋体"/>
                <w:color w:val="auto"/>
                <w:kern w:val="2"/>
                <w:sz w:val="21"/>
                <w:szCs w:val="21"/>
                <w:highlight w:val="none"/>
              </w:rPr>
            </w:pPr>
          </w:p>
          <w:p>
            <w:pPr>
              <w:pStyle w:val="38"/>
              <w:rPr>
                <w:rFonts w:hint="eastAsia" w:ascii="宋体" w:hAnsi="宋体" w:cs="宋体"/>
                <w:color w:val="auto"/>
                <w:kern w:val="2"/>
                <w:sz w:val="21"/>
                <w:szCs w:val="21"/>
                <w:highlight w:val="none"/>
              </w:rPr>
            </w:pPr>
          </w:p>
          <w:p>
            <w:pPr>
              <w:pStyle w:val="38"/>
              <w:spacing w:before="6"/>
              <w:rPr>
                <w:rFonts w:hint="eastAsia" w:ascii="宋体" w:hAnsi="宋体" w:cs="宋体"/>
                <w:color w:val="auto"/>
                <w:kern w:val="2"/>
                <w:sz w:val="21"/>
                <w:szCs w:val="21"/>
                <w:highlight w:val="none"/>
              </w:rPr>
            </w:pPr>
          </w:p>
          <w:p>
            <w:pPr>
              <w:pStyle w:val="38"/>
              <w:ind w:left="108"/>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供应商关联情况</w:t>
            </w:r>
          </w:p>
        </w:tc>
        <w:tc>
          <w:tcPr>
            <w:tcW w:w="7133" w:type="dxa"/>
            <w:gridSpan w:val="2"/>
            <w:tcBorders>
              <w:top w:val="single" w:color="000000" w:sz="4" w:space="0"/>
              <w:left w:val="single" w:color="000000" w:sz="4" w:space="0"/>
              <w:bottom w:val="nil"/>
              <w:right w:val="single" w:color="000000" w:sz="4" w:space="0"/>
            </w:tcBorders>
          </w:tcPr>
          <w:p>
            <w:pPr>
              <w:pStyle w:val="38"/>
              <w:spacing w:line="242" w:lineRule="exact"/>
              <w:ind w:left="101"/>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 xml:space="preserve">1：与我公司单位负责人为同一人的其他单位名称： </w:t>
            </w:r>
          </w:p>
        </w:tc>
      </w:tr>
      <w:tr>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nil"/>
              <w:right w:val="single" w:color="000000" w:sz="4" w:space="0"/>
            </w:tcBorders>
          </w:tcPr>
          <w:p>
            <w:pPr>
              <w:pStyle w:val="38"/>
              <w:spacing w:line="262" w:lineRule="exact"/>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□无； </w:t>
            </w:r>
          </w:p>
        </w:tc>
      </w:tr>
      <w:tr>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pPr>
              <w:pStyle w:val="38"/>
              <w:spacing w:line="262" w:lineRule="exact"/>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u w:val="single" w:color="000000"/>
              </w:rPr>
              <w:t>□</w:t>
            </w:r>
            <w:r>
              <w:rPr>
                <w:rFonts w:hint="eastAsia" w:ascii="宋体" w:hAnsi="宋体" w:cs="宋体"/>
                <w:color w:val="auto"/>
                <w:kern w:val="2"/>
                <w:sz w:val="21"/>
                <w:szCs w:val="21"/>
                <w:highlight w:val="none"/>
              </w:rPr>
              <w:t xml:space="preserve">有：                                  </w:t>
            </w:r>
            <w:r>
              <w:rPr>
                <w:rFonts w:hint="eastAsia" w:ascii="宋体" w:hAnsi="宋体" w:cs="宋体"/>
                <w:color w:val="auto"/>
                <w:spacing w:val="68"/>
                <w:kern w:val="2"/>
                <w:sz w:val="21"/>
                <w:szCs w:val="21"/>
                <w:highlight w:val="none"/>
              </w:rPr>
              <w:t xml:space="preserve"> </w:t>
            </w:r>
            <w:r>
              <w:rPr>
                <w:rFonts w:hint="eastAsia" w:ascii="宋体" w:hAnsi="宋体" w:cs="宋体"/>
                <w:color w:val="auto"/>
                <w:kern w:val="2"/>
                <w:sz w:val="21"/>
                <w:szCs w:val="21"/>
                <w:highlight w:val="none"/>
              </w:rPr>
              <w:t xml:space="preserve">。 </w:t>
            </w:r>
          </w:p>
        </w:tc>
      </w:tr>
      <w:tr>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pPr>
              <w:pStyle w:val="38"/>
              <w:spacing w:line="262" w:lineRule="exact"/>
              <w:ind w:left="101"/>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 xml:space="preserve">2、与我公司存在控股、管理关系的其他单位的名称： </w:t>
            </w:r>
          </w:p>
        </w:tc>
      </w:tr>
      <w:tr>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nil"/>
              <w:right w:val="single" w:color="000000" w:sz="4" w:space="0"/>
            </w:tcBorders>
          </w:tcPr>
          <w:p>
            <w:pPr>
              <w:pStyle w:val="38"/>
              <w:spacing w:line="262" w:lineRule="exact"/>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□无； </w:t>
            </w:r>
          </w:p>
        </w:tc>
      </w:tr>
      <w:tr>
        <w:tblPrEx>
          <w:tblCellMar>
            <w:top w:w="0" w:type="dxa"/>
            <w:left w:w="0" w:type="dxa"/>
            <w:bottom w:w="0" w:type="dxa"/>
            <w:right w:w="0" w:type="dxa"/>
          </w:tblCellMar>
        </w:tblPrEx>
        <w:trPr>
          <w:trHeight w:val="33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pPr>
              <w:pStyle w:val="38"/>
              <w:spacing w:line="262" w:lineRule="exact"/>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u w:val="single" w:color="000000"/>
              </w:rPr>
              <w:t>□</w:t>
            </w:r>
            <w:r>
              <w:rPr>
                <w:rFonts w:hint="eastAsia" w:ascii="宋体" w:hAnsi="宋体" w:cs="宋体"/>
                <w:color w:val="auto"/>
                <w:kern w:val="2"/>
                <w:sz w:val="21"/>
                <w:szCs w:val="21"/>
                <w:highlight w:val="none"/>
              </w:rPr>
              <w:t xml:space="preserve">有：                                   </w:t>
            </w:r>
            <w:r>
              <w:rPr>
                <w:rFonts w:hint="eastAsia" w:ascii="宋体" w:hAnsi="宋体" w:cs="宋体"/>
                <w:color w:val="auto"/>
                <w:spacing w:val="68"/>
                <w:kern w:val="2"/>
                <w:sz w:val="21"/>
                <w:szCs w:val="21"/>
                <w:highlight w:val="none"/>
              </w:rPr>
              <w:t xml:space="preserve"> </w:t>
            </w:r>
            <w:r>
              <w:rPr>
                <w:rFonts w:hint="eastAsia" w:ascii="宋体" w:hAnsi="宋体" w:cs="宋体"/>
                <w:color w:val="auto"/>
                <w:kern w:val="2"/>
                <w:sz w:val="21"/>
                <w:szCs w:val="21"/>
                <w:highlight w:val="none"/>
              </w:rPr>
              <w:t xml:space="preserve">。 </w:t>
            </w:r>
          </w:p>
        </w:tc>
      </w:tr>
      <w:tr>
        <w:tblPrEx>
          <w:tblCellMar>
            <w:top w:w="0" w:type="dxa"/>
            <w:left w:w="0" w:type="dxa"/>
            <w:bottom w:w="0" w:type="dxa"/>
            <w:right w:w="0" w:type="dxa"/>
          </w:tblCellMar>
        </w:tblPrEx>
        <w:trPr>
          <w:trHeight w:val="353"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pPr>
              <w:pStyle w:val="38"/>
              <w:spacing w:before="8"/>
              <w:ind w:left="101"/>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备注：</w:t>
            </w:r>
          </w:p>
        </w:tc>
      </w:tr>
      <w:tr>
        <w:tblPrEx>
          <w:tblCellMar>
            <w:top w:w="0" w:type="dxa"/>
            <w:left w:w="0" w:type="dxa"/>
            <w:bottom w:w="0" w:type="dxa"/>
            <w:right w:w="0" w:type="dxa"/>
          </w:tblCellMar>
        </w:tblPrEx>
        <w:trPr>
          <w:trHeight w:val="358"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pPr>
              <w:pStyle w:val="38"/>
              <w:spacing w:before="9"/>
              <w:ind w:left="101"/>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1、“单位负责人”是指单位法定代表人或者法律、行政法规规定代表</w:t>
            </w:r>
          </w:p>
        </w:tc>
      </w:tr>
      <w:tr>
        <w:tblPrEx>
          <w:tblCellMar>
            <w:top w:w="0" w:type="dxa"/>
            <w:left w:w="0" w:type="dxa"/>
            <w:bottom w:w="0" w:type="dxa"/>
            <w:right w:w="0" w:type="dxa"/>
          </w:tblCellMar>
        </w:tblPrEx>
        <w:trPr>
          <w:trHeight w:val="349"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nil"/>
              <w:right w:val="single" w:color="000000" w:sz="4" w:space="0"/>
            </w:tcBorders>
          </w:tcPr>
          <w:p>
            <w:pPr>
              <w:pStyle w:val="38"/>
              <w:spacing w:before="4"/>
              <w:ind w:left="101"/>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单位行使职权的主要负责人。</w:t>
            </w:r>
          </w:p>
        </w:tc>
      </w:tr>
      <w:tr>
        <w:tblPrEx>
          <w:tblCellMar>
            <w:top w:w="0" w:type="dxa"/>
            <w:left w:w="0" w:type="dxa"/>
            <w:bottom w:w="0" w:type="dxa"/>
            <w:right w:w="0" w:type="dxa"/>
          </w:tblCellMar>
        </w:tblPrEx>
        <w:trPr>
          <w:trHeight w:val="358"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nil"/>
              <w:right w:val="single" w:color="000000" w:sz="4" w:space="0"/>
            </w:tcBorders>
          </w:tcPr>
          <w:p>
            <w:pPr>
              <w:pStyle w:val="38"/>
              <w:spacing w:before="9"/>
              <w:ind w:left="102"/>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2、本条所规定的控股、管理关系仅限于直接控股、直接管理关系，不</w:t>
            </w:r>
          </w:p>
        </w:tc>
      </w:tr>
      <w:tr>
        <w:tblPrEx>
          <w:tblCellMar>
            <w:top w:w="0" w:type="dxa"/>
            <w:left w:w="0" w:type="dxa"/>
            <w:bottom w:w="0" w:type="dxa"/>
            <w:right w:w="0" w:type="dxa"/>
          </w:tblCellMar>
        </w:tblPrEx>
        <w:trPr>
          <w:trHeight w:val="372"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single" w:color="000000" w:sz="4" w:space="0"/>
              <w:right w:val="single" w:color="000000" w:sz="4" w:space="0"/>
            </w:tcBorders>
          </w:tcPr>
          <w:p>
            <w:pPr>
              <w:pStyle w:val="38"/>
              <w:spacing w:before="4"/>
              <w:ind w:left="102"/>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包括间接的控股或管理关系。</w:t>
            </w:r>
          </w:p>
        </w:tc>
      </w:tr>
    </w:tbl>
    <w:p>
      <w:pPr>
        <w:pStyle w:val="39"/>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pPr>
        <w:pStyle w:val="39"/>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供应商名称（签章）：</w:t>
      </w:r>
      <w:r>
        <w:rPr>
          <w:rFonts w:hint="eastAsia" w:ascii="宋体" w:hAnsi="宋体" w:cs="宋体"/>
          <w:color w:val="auto"/>
          <w:sz w:val="24"/>
          <w:szCs w:val="24"/>
          <w:highlight w:val="none"/>
          <w:u w:val="single"/>
        </w:rPr>
        <w:t xml:space="preserve">                       </w:t>
      </w:r>
    </w:p>
    <w:p>
      <w:pPr>
        <w:pStyle w:val="39"/>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pPr>
        <w:pStyle w:val="32"/>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79" w:name="_Toc6986"/>
      <w:bookmarkStart w:id="180" w:name="_Toc31735"/>
      <w:r>
        <w:rPr>
          <w:rFonts w:hint="eastAsia" w:ascii="宋体" w:hAnsi="宋体" w:eastAsia="宋体" w:cs="宋体"/>
          <w:color w:val="auto"/>
          <w:highlight w:val="none"/>
        </w:rPr>
        <w:t>（二）具有良好的商业信誉和健全的财务会计制度；</w:t>
      </w:r>
      <w:bookmarkEnd w:id="179"/>
      <w:bookmarkEnd w:id="180"/>
    </w:p>
    <w:p>
      <w:pPr>
        <w:pStyle w:val="40"/>
        <w:adjustRightInd w:val="0"/>
        <w:snapToGrid w:val="0"/>
        <w:spacing w:line="360" w:lineRule="auto"/>
        <w:ind w:firstLine="420" w:firstLineChars="200"/>
        <w:jc w:val="left"/>
        <w:rPr>
          <w:rFonts w:hint="eastAsia" w:ascii="宋体" w:hAnsi="宋体" w:cs="宋体"/>
          <w:b/>
          <w:color w:val="auto"/>
          <w:sz w:val="24"/>
          <w:szCs w:val="24"/>
          <w:highlight w:val="none"/>
        </w:rPr>
      </w:pPr>
      <w:r>
        <w:rPr>
          <w:rFonts w:hint="eastAsia" w:ascii="宋体" w:hAnsi="宋体" w:eastAsia="宋体" w:cs="宋体"/>
          <w:b w:val="0"/>
          <w:bCs/>
          <w:color w:val="auto"/>
          <w:sz w:val="21"/>
          <w:szCs w:val="21"/>
          <w:highlight w:val="none"/>
        </w:rPr>
        <w:t>供应商是法人的，法人单位成立一年以上的须提供投标截止日前</w:t>
      </w:r>
      <w:r>
        <w:rPr>
          <w:rFonts w:hint="eastAsia" w:ascii="宋体" w:hAnsi="宋体" w:eastAsia="宋体" w:cs="宋体"/>
          <w:b w:val="0"/>
          <w:bCs/>
          <w:color w:val="auto"/>
          <w:sz w:val="21"/>
          <w:szCs w:val="21"/>
          <w:highlight w:val="none"/>
          <w:lang w:val="en-US" w:eastAsia="zh-CN"/>
        </w:rPr>
        <w:t>近三年任一年度</w:t>
      </w:r>
      <w:r>
        <w:rPr>
          <w:rFonts w:hint="eastAsia" w:ascii="宋体" w:hAnsi="宋体" w:eastAsia="宋体" w:cs="宋体"/>
          <w:b w:val="0"/>
          <w:bCs/>
          <w:color w:val="auto"/>
          <w:sz w:val="21"/>
          <w:szCs w:val="21"/>
          <w:highlight w:val="none"/>
        </w:rPr>
        <w:t>经审计的财务审计报告复印件加盖公章</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法人单位成立一年以内的须提供成立当月至投标截止日前上个月的财务报表复印件加盖公章（须包括资产负债表、利润表、现金流量表等）或基本开户银行在投标截止日前三个月内开具的资信证明（原件或该原件的复印件，复印件须加盖供应商公章，银行存款证明无效）；法人单位成立三个月以内的须提供基本开户银行开具的资信证明（原件或该原件的复印件，复印件须加盖供应商公章，银行存款证明无效），或自行编写具有良好的商业信誉和健全的财务会计制度的承诺书；供应商是其他组织或自然人的，须提供银行出具的资信证明原件或自行编写具有良好的商业信誉和健全的财务会计制度的承诺书。</w:t>
      </w:r>
    </w:p>
    <w:p>
      <w:pPr>
        <w:pStyle w:val="32"/>
        <w:outlineLvl w:val="2"/>
        <w:rPr>
          <w:rFonts w:hint="eastAsia" w:ascii="宋体" w:hAnsi="宋体" w:eastAsia="宋体" w:cs="宋体"/>
          <w:color w:val="auto"/>
          <w:highlight w:val="none"/>
        </w:rPr>
      </w:pPr>
      <w:bookmarkStart w:id="181" w:name="_Toc28292"/>
      <w:bookmarkStart w:id="182" w:name="_Toc11370"/>
      <w:r>
        <w:rPr>
          <w:rFonts w:hint="eastAsia" w:ascii="宋体" w:hAnsi="宋体" w:eastAsia="宋体" w:cs="宋体"/>
          <w:color w:val="auto"/>
          <w:highlight w:val="none"/>
        </w:rPr>
        <w:t>（三）有依法缴纳税收和社会保障资金的良好记录</w:t>
      </w:r>
      <w:bookmarkEnd w:id="181"/>
      <w:bookmarkEnd w:id="182"/>
    </w:p>
    <w:p>
      <w:pPr>
        <w:pStyle w:val="40"/>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供应商依法缴纳税收的证明材料：本项目投标截止时间前6个月内（至少提供1个月）缴纳税收的凭据（完税证、缴款书、印花税票、银行代扣（代缴）转账凭证等均可）；</w:t>
      </w:r>
    </w:p>
    <w:p>
      <w:pPr>
        <w:pStyle w:val="40"/>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依法免税的供应商，须提供相应文件证明其依法免税。</w:t>
      </w:r>
    </w:p>
    <w:p>
      <w:pPr>
        <w:pStyle w:val="40"/>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供应商依法缴纳社会保障资金的证明材料：本项目投标截止时间时间前6个月内（至少提供1个月）缴纳社会保险的凭据（专用收据或社会保险交纳清单）；</w:t>
      </w:r>
    </w:p>
    <w:p>
      <w:pPr>
        <w:pStyle w:val="40"/>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供应商为其他组织或自然人的，也需要按此项规定提供缴纳税收的凭据和交纳社会保险的凭据。</w:t>
      </w:r>
    </w:p>
    <w:p>
      <w:pPr>
        <w:pStyle w:val="40"/>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sectPr>
          <w:pgSz w:w="11906" w:h="16838"/>
          <w:pgMar w:top="1440" w:right="1797" w:bottom="1440" w:left="1797" w:header="851" w:footer="992" w:gutter="0"/>
          <w:pgNumType w:fmt="decimal"/>
          <w:cols w:space="720" w:num="1"/>
        </w:sectPr>
      </w:pPr>
      <w:r>
        <w:rPr>
          <w:rFonts w:hint="eastAsia" w:ascii="宋体" w:hAnsi="宋体" w:eastAsia="宋体" w:cs="宋体"/>
          <w:b w:val="0"/>
          <w:bCs/>
          <w:color w:val="auto"/>
          <w:sz w:val="21"/>
          <w:szCs w:val="21"/>
          <w:highlight w:val="none"/>
        </w:rPr>
        <w:t>依法不需要缴纳社会保障资金的供应商，须提供相应文件证明其依法不需要缴纳社会保障资金。</w:t>
      </w:r>
    </w:p>
    <w:p>
      <w:pPr>
        <w:pStyle w:val="32"/>
        <w:outlineLvl w:val="2"/>
        <w:rPr>
          <w:rFonts w:hint="eastAsia" w:ascii="宋体" w:hAnsi="宋体" w:eastAsia="宋体" w:cs="宋体"/>
          <w:color w:val="auto"/>
          <w:highlight w:val="none"/>
        </w:rPr>
      </w:pPr>
      <w:bookmarkStart w:id="183" w:name="_Toc19442"/>
      <w:bookmarkStart w:id="184" w:name="_Toc7342"/>
      <w:r>
        <w:rPr>
          <w:rFonts w:hint="eastAsia" w:ascii="宋体" w:hAnsi="宋体" w:eastAsia="宋体" w:cs="宋体"/>
          <w:color w:val="auto"/>
          <w:highlight w:val="none"/>
        </w:rPr>
        <w:t>（四）供应商须具有履行合同所必需的设备和专业技术能力，须附相关证明材料或声明：</w:t>
      </w:r>
      <w:bookmarkEnd w:id="183"/>
      <w:bookmarkEnd w:id="184"/>
    </w:p>
    <w:p>
      <w:pPr>
        <w:pStyle w:val="40"/>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pPr>
        <w:pStyle w:val="40"/>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本供应商郑重声明：</w:t>
      </w:r>
    </w:p>
    <w:p>
      <w:pPr>
        <w:pStyle w:val="40"/>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pPr>
        <w:pStyle w:val="39"/>
        <w:adjustRightInd w:val="0"/>
        <w:snapToGrid w:val="0"/>
        <w:spacing w:line="500" w:lineRule="exact"/>
        <w:rPr>
          <w:rFonts w:hint="eastAsia" w:ascii="宋体" w:hAnsi="宋体" w:cs="宋体"/>
          <w:color w:val="auto"/>
          <w:sz w:val="24"/>
          <w:szCs w:val="24"/>
          <w:highlight w:val="none"/>
        </w:rPr>
      </w:pPr>
    </w:p>
    <w:p>
      <w:pPr>
        <w:pStyle w:val="39"/>
        <w:adjustRightInd w:val="0"/>
        <w:snapToGrid w:val="0"/>
        <w:spacing w:line="500" w:lineRule="exact"/>
        <w:rPr>
          <w:rFonts w:hint="eastAsia" w:ascii="宋体" w:hAnsi="宋体" w:cs="宋体"/>
          <w:color w:val="auto"/>
          <w:sz w:val="24"/>
          <w:szCs w:val="24"/>
          <w:highlight w:val="none"/>
        </w:rPr>
      </w:pPr>
    </w:p>
    <w:p>
      <w:pPr>
        <w:pStyle w:val="39"/>
        <w:adjustRightInd w:val="0"/>
        <w:snapToGrid w:val="0"/>
        <w:spacing w:line="500" w:lineRule="exact"/>
        <w:rPr>
          <w:rFonts w:hint="eastAsia" w:ascii="宋体" w:hAnsi="宋体" w:cs="宋体"/>
          <w:color w:val="auto"/>
          <w:sz w:val="24"/>
          <w:szCs w:val="24"/>
          <w:highlight w:val="none"/>
        </w:rPr>
      </w:pPr>
    </w:p>
    <w:p>
      <w:pPr>
        <w:pStyle w:val="39"/>
        <w:adjustRightInd w:val="0"/>
        <w:snapToGrid w:val="0"/>
        <w:spacing w:line="500" w:lineRule="exact"/>
        <w:rPr>
          <w:rFonts w:hint="eastAsia" w:ascii="宋体" w:hAnsi="宋体" w:cs="宋体"/>
          <w:color w:val="auto"/>
          <w:sz w:val="24"/>
          <w:szCs w:val="24"/>
          <w:highlight w:val="none"/>
        </w:rPr>
      </w:pPr>
    </w:p>
    <w:p>
      <w:pPr>
        <w:pStyle w:val="39"/>
        <w:adjustRightInd w:val="0"/>
        <w:snapToGrid w:val="0"/>
        <w:spacing w:line="500" w:lineRule="exact"/>
        <w:rPr>
          <w:rFonts w:hint="eastAsia" w:ascii="宋体" w:hAnsi="宋体" w:cs="宋体"/>
          <w:color w:val="auto"/>
          <w:sz w:val="24"/>
          <w:szCs w:val="24"/>
          <w:highlight w:val="none"/>
        </w:rPr>
      </w:pPr>
    </w:p>
    <w:p>
      <w:pPr>
        <w:pStyle w:val="39"/>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pPr>
        <w:pStyle w:val="39"/>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供应商名称（签章）：</w:t>
      </w:r>
      <w:r>
        <w:rPr>
          <w:rFonts w:hint="eastAsia" w:ascii="宋体" w:hAnsi="宋体" w:cs="宋体"/>
          <w:color w:val="auto"/>
          <w:sz w:val="24"/>
          <w:szCs w:val="24"/>
          <w:highlight w:val="none"/>
          <w:u w:val="single"/>
        </w:rPr>
        <w:t xml:space="preserve">                       </w:t>
      </w:r>
    </w:p>
    <w:p>
      <w:pPr>
        <w:pStyle w:val="39"/>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pPr>
        <w:pStyle w:val="40"/>
        <w:adjustRightInd w:val="0"/>
        <w:snapToGrid w:val="0"/>
        <w:spacing w:line="360" w:lineRule="auto"/>
        <w:jc w:val="left"/>
        <w:rPr>
          <w:rFonts w:hint="eastAsia" w:ascii="宋体" w:hAnsi="宋体" w:cs="宋体"/>
          <w:b/>
          <w:color w:val="auto"/>
          <w:sz w:val="24"/>
          <w:szCs w:val="24"/>
          <w:highlight w:val="none"/>
        </w:rPr>
      </w:pPr>
    </w:p>
    <w:p>
      <w:pPr>
        <w:pStyle w:val="32"/>
        <w:outlineLvl w:val="2"/>
        <w:rPr>
          <w:rFonts w:hint="eastAsia" w:ascii="宋体" w:hAnsi="宋体" w:eastAsia="宋体" w:cs="宋体"/>
          <w:color w:val="auto"/>
          <w:highlight w:val="none"/>
        </w:rPr>
        <w:sectPr>
          <w:pgSz w:w="11906" w:h="16838"/>
          <w:pgMar w:top="1440" w:right="1797" w:bottom="1440" w:left="1797" w:header="851" w:footer="992" w:gutter="0"/>
          <w:pgNumType w:fmt="decimal"/>
          <w:cols w:space="720" w:num="1"/>
        </w:sectPr>
      </w:pPr>
    </w:p>
    <w:p>
      <w:pPr>
        <w:pStyle w:val="32"/>
        <w:outlineLvl w:val="2"/>
        <w:rPr>
          <w:rFonts w:hint="eastAsia" w:ascii="宋体" w:hAnsi="宋体" w:eastAsia="宋体" w:cs="宋体"/>
          <w:color w:val="auto"/>
          <w:highlight w:val="none"/>
        </w:rPr>
      </w:pPr>
      <w:bookmarkStart w:id="185" w:name="_Toc16347"/>
      <w:bookmarkStart w:id="186" w:name="_Toc21544"/>
      <w:r>
        <w:rPr>
          <w:rFonts w:hint="eastAsia" w:ascii="宋体" w:hAnsi="宋体" w:eastAsia="宋体" w:cs="宋体"/>
          <w:color w:val="auto"/>
          <w:highlight w:val="none"/>
        </w:rPr>
        <w:t>（五）参加政府采购活动前三年内，在经营活动中没有重大违法记录的书面声明：</w:t>
      </w:r>
      <w:bookmarkEnd w:id="185"/>
      <w:bookmarkEnd w:id="186"/>
    </w:p>
    <w:p>
      <w:pPr>
        <w:pStyle w:val="40"/>
        <w:adjustRightInd w:val="0"/>
        <w:snapToGrid w:val="0"/>
        <w:spacing w:line="360" w:lineRule="auto"/>
        <w:rPr>
          <w:rFonts w:hint="eastAsia" w:ascii="宋体" w:hAnsi="宋体" w:cs="宋体"/>
          <w:color w:val="auto"/>
          <w:sz w:val="24"/>
          <w:szCs w:val="24"/>
          <w:highlight w:val="none"/>
        </w:rPr>
      </w:pPr>
    </w:p>
    <w:p>
      <w:pPr>
        <w:pStyle w:val="40"/>
        <w:adjustRightInd w:val="0"/>
        <w:snapToGrid w:val="0"/>
        <w:spacing w:line="360" w:lineRule="auto"/>
        <w:rPr>
          <w:rFonts w:hint="eastAsia" w:ascii="宋体" w:hAnsi="宋体" w:cs="宋体"/>
          <w:color w:val="auto"/>
          <w:sz w:val="24"/>
          <w:szCs w:val="24"/>
          <w:highlight w:val="none"/>
        </w:rPr>
      </w:pPr>
    </w:p>
    <w:p>
      <w:pPr>
        <w:pStyle w:val="4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pPr>
        <w:pStyle w:val="41"/>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pPr>
        <w:pStyle w:val="40"/>
        <w:adjustRightInd w:val="0"/>
        <w:snapToGrid w:val="0"/>
        <w:spacing w:line="360" w:lineRule="auto"/>
        <w:rPr>
          <w:rFonts w:hint="eastAsia" w:ascii="宋体" w:hAnsi="宋体" w:cs="宋体"/>
          <w:color w:val="auto"/>
          <w:sz w:val="24"/>
          <w:szCs w:val="24"/>
          <w:highlight w:val="none"/>
        </w:rPr>
      </w:pPr>
    </w:p>
    <w:p>
      <w:pPr>
        <w:pStyle w:val="4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pPr>
        <w:pStyle w:val="4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pPr>
        <w:pStyle w:val="4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pPr>
        <w:pStyle w:val="39"/>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pPr>
        <w:pStyle w:val="39"/>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供应商名称（签章）：</w:t>
      </w:r>
      <w:r>
        <w:rPr>
          <w:rFonts w:hint="eastAsia" w:ascii="宋体" w:hAnsi="宋体" w:cs="宋体"/>
          <w:color w:val="auto"/>
          <w:sz w:val="24"/>
          <w:szCs w:val="24"/>
          <w:highlight w:val="none"/>
          <w:u w:val="single"/>
        </w:rPr>
        <w:t xml:space="preserve">                       </w:t>
      </w:r>
    </w:p>
    <w:p>
      <w:pPr>
        <w:pStyle w:val="39"/>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pPr>
        <w:pStyle w:val="40"/>
        <w:adjustRightInd w:val="0"/>
        <w:snapToGrid w:val="0"/>
        <w:spacing w:line="360" w:lineRule="auto"/>
        <w:jc w:val="left"/>
        <w:rPr>
          <w:rFonts w:hint="eastAsia" w:ascii="宋体" w:hAnsi="宋体" w:cs="宋体"/>
          <w:color w:val="auto"/>
          <w:sz w:val="24"/>
          <w:szCs w:val="24"/>
          <w:highlight w:val="none"/>
        </w:rPr>
      </w:pPr>
    </w:p>
    <w:p>
      <w:pPr>
        <w:pStyle w:val="40"/>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NumType w:fmt="decimal"/>
          <w:cols w:space="720" w:num="1"/>
        </w:sectPr>
      </w:pPr>
    </w:p>
    <w:p>
      <w:pPr>
        <w:pStyle w:val="32"/>
        <w:outlineLvl w:val="2"/>
        <w:rPr>
          <w:rFonts w:hint="eastAsia" w:ascii="宋体" w:hAnsi="宋体" w:eastAsia="宋体" w:cs="宋体"/>
          <w:color w:val="auto"/>
          <w:highlight w:val="none"/>
        </w:rPr>
      </w:pPr>
      <w:bookmarkStart w:id="187" w:name="_Toc31574"/>
      <w:bookmarkStart w:id="188" w:name="_Toc32053"/>
      <w:r>
        <w:rPr>
          <w:rFonts w:hint="eastAsia" w:ascii="宋体" w:hAnsi="宋体" w:eastAsia="宋体" w:cs="宋体"/>
          <w:color w:val="auto"/>
          <w:highlight w:val="none"/>
        </w:rPr>
        <w:t>（六）供应商未列入失信被执行人、重大税收违法案件当事人名单、政府采购严重违法失信行为记录名单</w:t>
      </w:r>
      <w:bookmarkEnd w:id="187"/>
      <w:bookmarkEnd w:id="188"/>
    </w:p>
    <w:p>
      <w:pPr>
        <w:pStyle w:val="34"/>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“信用中国”网站或“中国政府采购网”查询信息：</w:t>
      </w:r>
    </w:p>
    <w:p>
      <w:pPr>
        <w:pStyle w:val="34"/>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pPr>
        <w:pStyle w:val="34"/>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②不是重大税收违法案件当事人名单的供应商； </w:t>
      </w:r>
    </w:p>
    <w:p>
      <w:pPr>
        <w:pStyle w:val="34"/>
        <w:spacing w:line="360" w:lineRule="auto"/>
        <w:ind w:firstLine="504" w:firstLineChars="200"/>
        <w:jc w:val="left"/>
        <w:rPr>
          <w:rFonts w:hint="eastAsia" w:ascii="宋体" w:hAnsi="宋体" w:cs="宋体"/>
          <w:color w:val="auto"/>
          <w:spacing w:val="6"/>
          <w:kern w:val="0"/>
          <w:sz w:val="24"/>
          <w:szCs w:val="24"/>
          <w:highlight w:val="none"/>
        </w:rPr>
        <w:sectPr>
          <w:pgSz w:w="11906" w:h="16838"/>
          <w:pgMar w:top="1440" w:right="1800" w:bottom="1440" w:left="1800" w:header="851" w:footer="992" w:gutter="0"/>
          <w:pgNumType w:fmt="decimal"/>
          <w:cols w:space="720" w:num="1"/>
        </w:sectPr>
      </w:pPr>
      <w:r>
        <w:rPr>
          <w:rFonts w:hint="eastAsia" w:ascii="宋体" w:hAnsi="宋体" w:cs="宋体"/>
          <w:color w:val="auto"/>
          <w:spacing w:val="6"/>
          <w:kern w:val="0"/>
          <w:sz w:val="24"/>
          <w:szCs w:val="24"/>
          <w:highlight w:val="none"/>
        </w:rPr>
        <w:t>③未被列入政府采购严重违法失信行为记录名单。</w:t>
      </w:r>
    </w:p>
    <w:p>
      <w:pPr>
        <w:pStyle w:val="32"/>
        <w:outlineLvl w:val="2"/>
        <w:rPr>
          <w:rFonts w:hint="eastAsia" w:ascii="宋体" w:hAnsi="宋体" w:eastAsia="宋体" w:cs="宋体"/>
          <w:color w:val="auto"/>
          <w:highlight w:val="none"/>
        </w:rPr>
      </w:pPr>
      <w:bookmarkStart w:id="189" w:name="_Toc215"/>
      <w:bookmarkStart w:id="190" w:name="_Toc10667"/>
      <w:r>
        <w:rPr>
          <w:rFonts w:hint="eastAsia" w:ascii="宋体" w:hAnsi="宋体" w:eastAsia="宋体" w:cs="宋体"/>
          <w:color w:val="auto"/>
          <w:highlight w:val="none"/>
        </w:rPr>
        <w:t>（七）联合投标协议书</w:t>
      </w:r>
      <w:bookmarkEnd w:id="189"/>
      <w:bookmarkEnd w:id="190"/>
    </w:p>
    <w:p>
      <w:pPr>
        <w:pStyle w:val="34"/>
        <w:spacing w:line="360" w:lineRule="auto"/>
        <w:ind w:firstLine="482" w:firstLineChars="200"/>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联合投标协议书</w:t>
      </w:r>
    </w:p>
    <w:p>
      <w:pPr>
        <w:pStyle w:val="42"/>
        <w:spacing w:line="360" w:lineRule="auto"/>
        <w:ind w:firstLine="36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标段投标。现就联合体投标事宜订立如下协议。</w:t>
      </w:r>
    </w:p>
    <w:p>
      <w:pPr>
        <w:pStyle w:val="42"/>
        <w:spacing w:line="360" w:lineRule="auto"/>
        <w:ind w:firstLine="567"/>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pPr>
        <w:pStyle w:val="42"/>
        <w:spacing w:line="360" w:lineRule="auto"/>
        <w:ind w:firstLine="567"/>
        <w:rPr>
          <w:rFonts w:hint="eastAsia"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pStyle w:val="42"/>
        <w:spacing w:line="360" w:lineRule="auto"/>
        <w:ind w:firstLine="567"/>
        <w:rPr>
          <w:rFonts w:hint="eastAsia"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3.联合体牵头人在本项目中签署的一切文件和处理的一切事宜，联合体各成员均予以承认。联合体各成员将严格按照磋商文件、响应文件和合同的要求全面履行义务，并向招标人承担连带责任。</w:t>
      </w:r>
    </w:p>
    <w:p>
      <w:pPr>
        <w:pStyle w:val="42"/>
        <w:topLinePunct/>
        <w:spacing w:line="360" w:lineRule="auto"/>
        <w:ind w:left="141" w:leftChars="67"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（牵头人名称）</w:t>
      </w:r>
      <w:r>
        <w:rPr>
          <w:rFonts w:hint="eastAsia" w:ascii="宋体" w:hAnsi="宋体" w:cs="宋体"/>
          <w:color w:val="auto"/>
          <w:sz w:val="24"/>
          <w:szCs w:val="24"/>
          <w:highlight w:val="none"/>
        </w:rPr>
        <w:t>承担</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专业工程；</w:t>
      </w:r>
      <w:r>
        <w:rPr>
          <w:rFonts w:hint="eastAsia" w:ascii="宋体" w:hAnsi="宋体" w:cs="宋体"/>
          <w:color w:val="auto"/>
          <w:sz w:val="24"/>
          <w:szCs w:val="24"/>
          <w:highlight w:val="none"/>
          <w:u w:val="single"/>
        </w:rPr>
        <w:t>（成员一名称）</w:t>
      </w:r>
      <w:r>
        <w:rPr>
          <w:rFonts w:hint="eastAsia" w:ascii="宋体" w:hAnsi="宋体" w:cs="宋体"/>
          <w:color w:val="auto"/>
          <w:sz w:val="24"/>
          <w:szCs w:val="24"/>
          <w:highlight w:val="none"/>
        </w:rPr>
        <w:t>承担</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专业工程；……。</w:t>
      </w:r>
    </w:p>
    <w:p>
      <w:pPr>
        <w:pStyle w:val="42"/>
        <w:topLinePunct/>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5.投标工作和联合体在中标后项目服务过程中的有关费用按各自承担的工作量分摊。</w:t>
      </w:r>
    </w:p>
    <w:p>
      <w:pPr>
        <w:pStyle w:val="42"/>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6.本协议书自所有成员单位法定代表人签字并加盖单位章之日起生效，合同履行完毕后自动失效。</w:t>
      </w:r>
    </w:p>
    <w:p>
      <w:pPr>
        <w:pStyle w:val="42"/>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份，联合体成员和招标人各执一份。</w:t>
      </w:r>
    </w:p>
    <w:p>
      <w:pPr>
        <w:pStyle w:val="42"/>
        <w:spacing w:line="360" w:lineRule="auto"/>
        <w:ind w:firstLine="480" w:firstLineChars="200"/>
        <w:rPr>
          <w:rFonts w:hint="eastAsia" w:ascii="宋体" w:hAnsi="宋体" w:cs="宋体"/>
          <w:color w:val="auto"/>
          <w:sz w:val="24"/>
          <w:szCs w:val="24"/>
          <w:highlight w:val="none"/>
        </w:rPr>
      </w:pPr>
    </w:p>
    <w:p>
      <w:pPr>
        <w:pStyle w:val="42"/>
        <w:topLinePunct/>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联合体牵头人名称：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pStyle w:val="42"/>
        <w:topLinePunct/>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pStyle w:val="42"/>
        <w:topLinePunct/>
        <w:spacing w:line="360" w:lineRule="auto"/>
        <w:ind w:firstLine="470" w:firstLineChars="196"/>
        <w:rPr>
          <w:rFonts w:hint="eastAsia" w:ascii="宋体" w:hAnsi="宋体" w:cs="宋体"/>
          <w:color w:val="auto"/>
          <w:sz w:val="24"/>
          <w:szCs w:val="24"/>
          <w:highlight w:val="none"/>
        </w:rPr>
      </w:pPr>
    </w:p>
    <w:p>
      <w:pPr>
        <w:pStyle w:val="42"/>
        <w:topLinePunct/>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联合体成员名称：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pStyle w:val="42"/>
        <w:topLinePunct/>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pStyle w:val="42"/>
        <w:topLinePunct/>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42"/>
        <w:topLinePunct/>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联合体成员名称：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pStyle w:val="42"/>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pStyle w:val="42"/>
        <w:spacing w:line="360" w:lineRule="auto"/>
        <w:ind w:firstLine="480" w:firstLineChars="200"/>
        <w:rPr>
          <w:rFonts w:hint="eastAsia" w:ascii="宋体" w:hAnsi="宋体" w:cs="宋体"/>
          <w:color w:val="auto"/>
          <w:sz w:val="24"/>
          <w:szCs w:val="24"/>
          <w:highlight w:val="none"/>
        </w:rPr>
      </w:pPr>
    </w:p>
    <w:p>
      <w:pPr>
        <w:pStyle w:val="43"/>
        <w:spacing w:line="360" w:lineRule="auto"/>
        <w:ind w:firstLine="709"/>
        <w:jc w:val="right"/>
        <w:rPr>
          <w:rFonts w:hint="eastAsia"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32"/>
        <w:outlineLvl w:val="2"/>
        <w:rPr>
          <w:rFonts w:hint="eastAsia" w:ascii="宋体" w:hAnsi="宋体" w:eastAsia="宋体" w:cs="宋体"/>
          <w:color w:val="auto"/>
          <w:highlight w:val="none"/>
        </w:rPr>
      </w:pPr>
      <w:bookmarkStart w:id="191" w:name="_Toc19714"/>
      <w:bookmarkStart w:id="192" w:name="_Toc28173"/>
      <w:r>
        <w:rPr>
          <w:rFonts w:hint="eastAsia" w:ascii="宋体" w:hAnsi="宋体" w:eastAsia="宋体" w:cs="宋体"/>
          <w:color w:val="auto"/>
          <w:highlight w:val="none"/>
        </w:rPr>
        <w:t>(八)磋商保证金</w:t>
      </w:r>
      <w:bookmarkEnd w:id="191"/>
      <w:bookmarkEnd w:id="192"/>
    </w:p>
    <w:p>
      <w:pPr>
        <w:pStyle w:val="45"/>
        <w:spacing w:line="360" w:lineRule="auto"/>
        <w:rPr>
          <w:rFonts w:hint="eastAsia" w:ascii="宋体" w:hAnsi="宋体" w:eastAsia="宋体" w:cs="宋体"/>
          <w:color w:val="auto"/>
          <w:highlight w:val="none"/>
        </w:rPr>
      </w:pPr>
    </w:p>
    <w:p>
      <w:pPr>
        <w:pStyle w:val="45"/>
        <w:spacing w:line="360" w:lineRule="auto"/>
        <w:rPr>
          <w:rFonts w:hint="eastAsia" w:ascii="宋体" w:hAnsi="宋体" w:eastAsia="宋体" w:cs="宋体"/>
          <w:color w:val="auto"/>
          <w:highlight w:val="none"/>
        </w:rPr>
      </w:pPr>
    </w:p>
    <w:p>
      <w:pPr>
        <w:pStyle w:val="46"/>
        <w:spacing w:line="360" w:lineRule="auto"/>
        <w:rPr>
          <w:rFonts w:hint="eastAsia" w:ascii="宋体" w:hAnsi="宋体" w:eastAsia="宋体" w:cs="宋体"/>
          <w:color w:val="auto"/>
          <w:highlight w:val="none"/>
        </w:rPr>
      </w:pPr>
      <w:r>
        <w:rPr>
          <w:rFonts w:hint="eastAsia" w:ascii="宋体" w:hAnsi="宋体" w:eastAsia="宋体" w:cs="宋体"/>
          <w:b w:val="0"/>
          <w:color w:val="auto"/>
          <w:spacing w:val="6"/>
          <w:sz w:val="24"/>
          <w:highlight w:val="none"/>
        </w:rPr>
        <w:t>说明：电汇、转账形式，附投磋商证金汇款底单复印件（要求复印件内容清晰，能看清采购代理机构、响应人的名称、账号、金额等）</w:t>
      </w:r>
      <w:r>
        <w:rPr>
          <w:rFonts w:hint="eastAsia" w:ascii="宋体" w:hAnsi="宋体" w:eastAsia="宋体" w:cs="宋体"/>
          <w:color w:val="auto"/>
          <w:highlight w:val="none"/>
        </w:rPr>
        <w:br w:type="page"/>
      </w:r>
    </w:p>
    <w:p>
      <w:pPr>
        <w:pStyle w:val="32"/>
        <w:outlineLvl w:val="2"/>
        <w:rPr>
          <w:rFonts w:hint="eastAsia" w:ascii="宋体" w:hAnsi="宋体" w:eastAsia="宋体" w:cs="宋体"/>
          <w:color w:val="auto"/>
          <w:highlight w:val="none"/>
        </w:rPr>
      </w:pPr>
      <w:bookmarkStart w:id="193" w:name="_Toc31877"/>
      <w:r>
        <w:rPr>
          <w:rFonts w:hint="eastAsia" w:ascii="宋体" w:hAnsi="宋体" w:eastAsia="宋体" w:cs="宋体"/>
          <w:color w:val="auto"/>
          <w:highlight w:val="none"/>
        </w:rPr>
        <w:t>（九）</w:t>
      </w:r>
      <w:r>
        <w:rPr>
          <w:rFonts w:hint="eastAsia" w:ascii="宋体" w:hAnsi="宋体" w:eastAsia="宋体" w:cs="宋体"/>
          <w:color w:val="auto"/>
          <w:highlight w:val="none"/>
          <w:lang w:val="en-US" w:eastAsia="zh-CN"/>
        </w:rPr>
        <w:t>资质条件：</w:t>
      </w:r>
      <w:bookmarkEnd w:id="193"/>
    </w:p>
    <w:p>
      <w:pPr>
        <w:adjustRightInd w:val="0"/>
        <w:snapToGrid w:val="0"/>
        <w:rPr>
          <w:rFonts w:hint="eastAsia" w:ascii="宋体" w:hAnsi="宋体" w:eastAsia="宋体" w:cs="宋体"/>
          <w:b/>
          <w:color w:val="auto"/>
          <w:highlight w:val="none"/>
        </w:rPr>
      </w:pPr>
    </w:p>
    <w:p>
      <w:pPr>
        <w:spacing w:line="360" w:lineRule="auto"/>
        <w:ind w:left="540" w:leftChars="257" w:firstLine="210"/>
        <w:rPr>
          <w:rFonts w:hint="eastAsia" w:ascii="宋体" w:hAnsi="宋体" w:eastAsia="宋体" w:cs="宋体"/>
          <w:b/>
          <w:bCs/>
          <w:color w:val="auto"/>
          <w:spacing w:val="6"/>
          <w:kern w:val="0"/>
          <w:sz w:val="28"/>
          <w:szCs w:val="28"/>
          <w:highlight w:val="none"/>
        </w:rPr>
        <w:sectPr>
          <w:pgSz w:w="11906" w:h="16838"/>
          <w:pgMar w:top="1440" w:right="1800" w:bottom="1440" w:left="1800" w:header="851" w:footer="992" w:gutter="0"/>
          <w:pgNumType w:fmt="decimal"/>
          <w:cols w:space="720" w:num="1"/>
        </w:sectPr>
      </w:pPr>
      <w:bookmarkStart w:id="194" w:name="_Toc70004534"/>
      <w:bookmarkStart w:id="195" w:name="_Toc82686381"/>
    </w:p>
    <w:p>
      <w:pPr>
        <w:pStyle w:val="32"/>
        <w:outlineLvl w:val="2"/>
        <w:rPr>
          <w:rFonts w:hint="eastAsia" w:ascii="Calibri" w:hAnsi="Calibri" w:eastAsia="宋体"/>
          <w:color w:val="auto"/>
          <w:kern w:val="2"/>
          <w:highlight w:val="none"/>
          <w:lang w:eastAsia="zh-CN"/>
        </w:rPr>
      </w:pPr>
      <w:r>
        <w:rPr>
          <w:rFonts w:hint="eastAsia" w:ascii="Calibri" w:hAnsi="Calibri" w:eastAsia="宋体"/>
          <w:color w:val="auto"/>
          <w:kern w:val="2"/>
          <w:highlight w:val="none"/>
          <w:lang w:val="en-US" w:eastAsia="zh-CN"/>
        </w:rPr>
        <w:t>（十）其他声明</w:t>
      </w:r>
      <w:r>
        <w:rPr>
          <w:rFonts w:hint="eastAsia" w:ascii="Calibri" w:hAnsi="Calibri" w:eastAsia="宋体"/>
          <w:color w:val="auto"/>
          <w:kern w:val="2"/>
          <w:highlight w:val="none"/>
          <w:lang w:eastAsia="zh-CN"/>
        </w:rPr>
        <w:t>及文件材料</w:t>
      </w:r>
    </w:p>
    <w:p>
      <w:pPr>
        <w:numPr>
          <w:ilvl w:val="0"/>
          <w:numId w:val="0"/>
        </w:numPr>
        <w:spacing w:line="360" w:lineRule="auto"/>
        <w:ind w:leftChars="257"/>
        <w:rPr>
          <w:rFonts w:hint="eastAsia" w:ascii="宋体" w:hAnsi="宋体" w:eastAsia="宋体" w:cs="宋体"/>
          <w:color w:val="auto"/>
          <w:highlight w:val="none"/>
        </w:rPr>
      </w:pPr>
      <w:r>
        <w:rPr>
          <w:rFonts w:hint="eastAsia" w:ascii="宋体" w:hAnsi="宋体" w:eastAsia="宋体" w:cs="宋体"/>
          <w:b/>
          <w:bCs/>
          <w:color w:val="auto"/>
          <w:spacing w:val="6"/>
          <w:kern w:val="0"/>
          <w:sz w:val="28"/>
          <w:szCs w:val="28"/>
          <w:highlight w:val="none"/>
        </w:rPr>
        <w:t>政府采购履约担保函（若有，成交后提供）</w:t>
      </w:r>
      <w:bookmarkEnd w:id="194"/>
      <w:bookmarkEnd w:id="195"/>
    </w:p>
    <w:p>
      <w:pPr>
        <w:spacing w:line="360"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p>
      <w:pPr>
        <w:spacing w:line="360" w:lineRule="auto"/>
        <w:ind w:firstLine="21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鉴于你方与（以下简称供应商）于  年   月   日签定编号为   的《政府采购合同》（以下简称主合同），且依据该合同的约定，供应商应在年</w:t>
      </w:r>
    </w:p>
    <w:p>
      <w:pPr>
        <w:spacing w:line="360"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月日前向你方交纳履约保证金，且可以履约担保函的形式交纳履约保证金。应供应商的申请，我方以保证的方式向你方提供如下履约保证金担保：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一、保证责任的情形及保证金额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（一）在供应商出现下列情形之一时，我方承担保证责任：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1．将中标项目转让给他人，或者在响应文件中未说明，且未经采购招标机构人同意，将中标项目分包给他人的；</w:t>
      </w:r>
    </w:p>
    <w:p>
      <w:pPr>
        <w:spacing w:line="360"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2．主合同约定的应当缴纳履约保证金的情形: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（1）未按主合同约定的质量、数量和期限供应货物/提供服务/完成工程的；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（二）我方的保证范围是主合同约定的合同价款总额的%数额为元（大写），币种为。（即主合同履约保证金金额）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二、保证的方式及保证期间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我方保证的方式为：连带责任保证。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我方保证的期间为：自本合同生效之日起至供应商按照主合同约定的供货/完工期限届满后日内。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如果供应商未按主合同约定向贵方供应货物/提供服务/完成工程的，由我方在保证金额内向你方支付上述款项。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三、承担保证责任的程序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我方收到你方的书面索赔通知及相应证明材料，在工作日内进行核定后按照本保函的承诺承担保证责任。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四、保证责任的终止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2．我方按照本保函向你方履行了保证责任后，自我方向你方支付款项（支付款项从我方账户划出）之日起，保证责任即终止。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3．按照法律法规的规定或出现应终止我方保证责任的其它情形的，我方在本保函项下的保证责任亦终止。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五、免责条款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1．因你方违反主合同约定致使供应商不能履行义务的，我方不承担保证责任。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2．依照法律法规的规定或你方与供应商的另行约定，全部或者部分免除供应商应缴纳的保证金义务的，我方亦免除相应的保证责任。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3．因不可抗力造成供应商不能履行供货义务的，我方不承担保证责任。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六、争议的解决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因本保函发生的纠纷，由你我双方协商解决，协商不成的，通过诉讼程序解决，诉讼管辖地法院为法院。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七、保函的生效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本保函自我方加盖公章之日起生效。</w:t>
      </w:r>
    </w:p>
    <w:p>
      <w:pPr>
        <w:spacing w:line="360"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保证人：（公章）</w:t>
      </w:r>
    </w:p>
    <w:p>
      <w:pPr>
        <w:pStyle w:val="47"/>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page"/>
      </w:r>
      <w:r>
        <w:rPr>
          <w:rFonts w:hint="eastAsia" w:ascii="宋体" w:hAnsi="宋体" w:eastAsia="宋体" w:cs="宋体"/>
          <w:color w:val="auto"/>
          <w:highlight w:val="none"/>
        </w:rPr>
        <w:t>2、不参与围标串标承诺书</w:t>
      </w:r>
    </w:p>
    <w:p>
      <w:pPr>
        <w:pStyle w:val="48"/>
        <w:spacing w:line="640" w:lineRule="exact"/>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本人作为</w:t>
      </w:r>
      <w:r>
        <w:rPr>
          <w:rFonts w:hint="eastAsia" w:ascii="宋体" w:hAnsi="宋体" w:eastAsia="宋体" w:cs="宋体"/>
          <w:b w:val="0"/>
          <w:color w:val="auto"/>
          <w:sz w:val="24"/>
          <w:highlight w:val="none"/>
          <w:u w:val="single"/>
        </w:rPr>
        <w:t xml:space="preserve">（单位名称）                    </w:t>
      </w:r>
      <w:r>
        <w:rPr>
          <w:rFonts w:hint="eastAsia" w:ascii="宋体" w:hAnsi="宋体" w:eastAsia="宋体" w:cs="宋体"/>
          <w:b w:val="0"/>
          <w:color w:val="auto"/>
          <w:sz w:val="24"/>
          <w:highlight w:val="none"/>
        </w:rPr>
        <w:t>的法人，清楚知晓我公司本项目投标活动，对以下事项作出承诺：</w:t>
      </w:r>
    </w:p>
    <w:p>
      <w:pPr>
        <w:pStyle w:val="48"/>
        <w:spacing w:line="640" w:lineRule="exact"/>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一、我单位遵循公开、公平、公正、诚实守信的原则，依法依规参与本项目竞标。</w:t>
      </w:r>
    </w:p>
    <w:p>
      <w:pPr>
        <w:pStyle w:val="48"/>
        <w:spacing w:line="640" w:lineRule="exact"/>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二、我单位在本项目招标投标活动中，未参与围标串标。</w:t>
      </w:r>
    </w:p>
    <w:p>
      <w:pPr>
        <w:pStyle w:val="48"/>
        <w:spacing w:line="640" w:lineRule="exact"/>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三、我单位如被查实在本项目招标投标活动中存在围标串标的，递交响应文件行为作为实施串通投标违法行为的关键环节，本人承担直接责任人员法律责任，接受相应行政处罚和失信惩戒。</w:t>
      </w:r>
    </w:p>
    <w:p>
      <w:pPr>
        <w:pStyle w:val="48"/>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项目编号：    </w:t>
      </w:r>
    </w:p>
    <w:p>
      <w:pPr>
        <w:pStyle w:val="48"/>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标段号：    </w:t>
      </w:r>
    </w:p>
    <w:p>
      <w:pPr>
        <w:pStyle w:val="48"/>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供应商单位名称：</w:t>
      </w:r>
    </w:p>
    <w:p>
      <w:pPr>
        <w:pStyle w:val="48"/>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供应商法人签名：</w:t>
      </w:r>
    </w:p>
    <w:p>
      <w:pPr>
        <w:pStyle w:val="48"/>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w:t>
      </w:r>
    </w:p>
    <w:p>
      <w:pPr>
        <w:pStyle w:val="48"/>
        <w:spacing w:line="640" w:lineRule="exact"/>
        <w:rPr>
          <w:rFonts w:hint="eastAsia" w:ascii="宋体" w:hAnsi="宋体" w:eastAsia="宋体" w:cs="宋体"/>
          <w:b w:val="0"/>
          <w:color w:val="auto"/>
          <w:sz w:val="24"/>
          <w:highlight w:val="none"/>
        </w:rPr>
      </w:pPr>
    </w:p>
    <w:p>
      <w:pPr>
        <w:pStyle w:val="48"/>
        <w:spacing w:line="640" w:lineRule="exact"/>
        <w:ind w:firstLine="4080" w:firstLineChars="17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盖  章</w:t>
      </w:r>
    </w:p>
    <w:p>
      <w:pPr>
        <w:pStyle w:val="48"/>
        <w:spacing w:line="640" w:lineRule="exact"/>
        <w:ind w:firstLine="4320" w:firstLineChars="18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年   月   日</w:t>
      </w:r>
    </w:p>
    <w:p>
      <w:pPr>
        <w:pStyle w:val="49"/>
        <w:outlineLvl w:val="1"/>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96" w:name="_Toc18984"/>
      <w:bookmarkStart w:id="197" w:name="_Toc82686382"/>
      <w:bookmarkStart w:id="198" w:name="_Toc21378"/>
      <w:r>
        <w:rPr>
          <w:rFonts w:hint="eastAsia" w:ascii="宋体" w:hAnsi="宋体" w:eastAsia="宋体" w:cs="宋体"/>
          <w:color w:val="auto"/>
          <w:highlight w:val="none"/>
        </w:rPr>
        <w:t>三、商务文件</w:t>
      </w:r>
      <w:bookmarkEnd w:id="196"/>
      <w:bookmarkEnd w:id="197"/>
      <w:bookmarkEnd w:id="198"/>
    </w:p>
    <w:p>
      <w:pPr>
        <w:pStyle w:val="50"/>
        <w:outlineLvl w:val="2"/>
        <w:rPr>
          <w:rFonts w:hint="eastAsia" w:ascii="宋体" w:hAnsi="宋体" w:eastAsia="宋体" w:cs="宋体"/>
          <w:color w:val="auto"/>
          <w:highlight w:val="none"/>
        </w:rPr>
      </w:pPr>
      <w:bookmarkStart w:id="199" w:name="_Toc31055"/>
      <w:bookmarkStart w:id="200" w:name="_Toc1700"/>
      <w:r>
        <w:rPr>
          <w:rFonts w:hint="eastAsia" w:ascii="宋体" w:hAnsi="宋体" w:eastAsia="宋体" w:cs="宋体"/>
          <w:color w:val="auto"/>
          <w:highlight w:val="none"/>
        </w:rPr>
        <w:t>（一）法定代表人身份证明及授权委托书</w:t>
      </w:r>
      <w:bookmarkEnd w:id="199"/>
      <w:bookmarkEnd w:id="200"/>
    </w:p>
    <w:p>
      <w:pPr>
        <w:pStyle w:val="51"/>
        <w:adjustRightInd w:val="0"/>
        <w:snapToGrid w:val="0"/>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法定代表人资格证明文件</w:t>
      </w:r>
    </w:p>
    <w:p>
      <w:pPr>
        <w:pStyle w:val="51"/>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（代理机构名称）</w:t>
      </w:r>
      <w:r>
        <w:rPr>
          <w:rFonts w:hint="eastAsia" w:ascii="宋体" w:hAnsi="宋体" w:cs="宋体"/>
          <w:color w:val="auto"/>
          <w:sz w:val="24"/>
          <w:szCs w:val="24"/>
          <w:highlight w:val="none"/>
        </w:rPr>
        <w:t>：</w:t>
      </w:r>
    </w:p>
    <w:p>
      <w:pPr>
        <w:pStyle w:val="51"/>
        <w:adjustRightInd w:val="0"/>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兹有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同志为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公司法定代表人，代表我公司办理一切社会公务事宜，具有法律效力。 </w:t>
      </w:r>
    </w:p>
    <w:p>
      <w:pPr>
        <w:pStyle w:val="51"/>
        <w:adjustRightInd w:val="0"/>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附法定代表人基本情况： </w:t>
      </w:r>
    </w:p>
    <w:p>
      <w:pPr>
        <w:pStyle w:val="51"/>
        <w:adjustRightInd w:val="0"/>
        <w:snapToGrid w:val="0"/>
        <w:spacing w:line="500" w:lineRule="exact"/>
        <w:ind w:firstLine="480" w:firstLineChars="200"/>
        <w:rPr>
          <w:rFonts w:hint="eastAsia" w:ascii="宋体" w:hAnsi="宋体" w:cs="宋体"/>
          <w:color w:val="auto"/>
          <w:sz w:val="24"/>
          <w:szCs w:val="24"/>
          <w:highlight w:val="none"/>
        </w:rPr>
      </w:pPr>
    </w:p>
    <w:p>
      <w:pPr>
        <w:pStyle w:val="51"/>
        <w:adjustRightInd w:val="0"/>
        <w:snapToGrid w:val="0"/>
        <w:spacing w:line="5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pPr>
        <w:pStyle w:val="51"/>
        <w:adjustRightInd w:val="0"/>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pStyle w:val="51"/>
        <w:adjustRightInd w:val="0"/>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通讯地址：</w:t>
      </w:r>
      <w:r>
        <w:rPr>
          <w:rFonts w:hint="eastAsia" w:ascii="宋体" w:hAnsi="宋体" w:cs="宋体"/>
          <w:color w:val="auto"/>
          <w:sz w:val="24"/>
          <w:szCs w:val="24"/>
          <w:highlight w:val="none"/>
          <w:u w:val="single"/>
        </w:rPr>
        <w:t xml:space="preserve">                       </w:t>
      </w:r>
    </w:p>
    <w:p>
      <w:pPr>
        <w:pStyle w:val="51"/>
        <w:adjustRightInd w:val="0"/>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电话号码：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p>
    <w:p>
      <w:pPr>
        <w:pStyle w:val="51"/>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tbl>
      <w:tblPr>
        <w:tblStyle w:val="16"/>
        <w:tblW w:w="0" w:type="auto"/>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7449" w:type="dxa"/>
            <w:tcBorders>
              <w:top w:val="single" w:color="auto" w:sz="4" w:space="0"/>
              <w:left w:val="single" w:color="auto" w:sz="4" w:space="0"/>
              <w:bottom w:val="single" w:color="auto" w:sz="4" w:space="0"/>
              <w:right w:val="single" w:color="auto" w:sz="4" w:space="0"/>
            </w:tcBorders>
          </w:tcPr>
          <w:p>
            <w:pPr>
              <w:pStyle w:val="51"/>
              <w:adjustRightInd w:val="0"/>
              <w:snapToGrid w:val="0"/>
              <w:spacing w:line="500" w:lineRule="exact"/>
              <w:jc w:val="center"/>
              <w:rPr>
                <w:rFonts w:hint="eastAsia" w:ascii="宋体" w:hAnsi="宋体" w:cs="宋体"/>
                <w:color w:val="auto"/>
                <w:sz w:val="24"/>
                <w:szCs w:val="24"/>
                <w:highlight w:val="none"/>
              </w:rPr>
            </w:pPr>
          </w:p>
          <w:p>
            <w:pPr>
              <w:pStyle w:val="51"/>
              <w:adjustRightInd w:val="0"/>
              <w:snapToGrid w:val="0"/>
              <w:spacing w:line="500" w:lineRule="exact"/>
              <w:jc w:val="center"/>
              <w:rPr>
                <w:rFonts w:hint="eastAsia" w:ascii="宋体" w:hAnsi="宋体" w:cs="宋体"/>
                <w:color w:val="auto"/>
                <w:sz w:val="24"/>
                <w:szCs w:val="24"/>
                <w:highlight w:val="none"/>
              </w:rPr>
            </w:pPr>
          </w:p>
          <w:p>
            <w:pPr>
              <w:pStyle w:val="51"/>
              <w:adjustRightInd w:val="0"/>
              <w:snapToGrid w:val="0"/>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法定代表人《居民身份证》扫描件</w:t>
            </w:r>
          </w:p>
        </w:tc>
      </w:tr>
    </w:tbl>
    <w:p>
      <w:pPr>
        <w:pStyle w:val="51"/>
        <w:adjustRightInd w:val="0"/>
        <w:snapToGrid w:val="0"/>
        <w:spacing w:line="500" w:lineRule="exact"/>
        <w:rPr>
          <w:rFonts w:hint="eastAsia" w:ascii="宋体" w:hAnsi="宋体" w:cs="宋体"/>
          <w:color w:val="auto"/>
          <w:sz w:val="24"/>
          <w:szCs w:val="24"/>
          <w:highlight w:val="none"/>
        </w:rPr>
      </w:pPr>
    </w:p>
    <w:p>
      <w:pPr>
        <w:pStyle w:val="51"/>
        <w:tabs>
          <w:tab w:val="left" w:pos="750"/>
        </w:tabs>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ab/>
      </w:r>
      <w:r>
        <w:rPr>
          <w:rFonts w:hint="eastAsia" w:ascii="宋体" w:hAnsi="宋体" w:cs="宋体"/>
          <w:color w:val="auto"/>
          <w:sz w:val="24"/>
          <w:szCs w:val="24"/>
          <w:highlight w:val="none"/>
        </w:rPr>
        <w:t>供应商名称（签章）：</w:t>
      </w:r>
      <w:r>
        <w:rPr>
          <w:rFonts w:hint="eastAsia" w:ascii="宋体" w:hAnsi="宋体" w:cs="宋体"/>
          <w:color w:val="auto"/>
          <w:sz w:val="24"/>
          <w:szCs w:val="24"/>
          <w:highlight w:val="none"/>
          <w:u w:val="single"/>
        </w:rPr>
        <w:t xml:space="preserve">           </w:t>
      </w:r>
    </w:p>
    <w:p>
      <w:pPr>
        <w:pStyle w:val="51"/>
        <w:tabs>
          <w:tab w:val="left" w:pos="750"/>
        </w:tabs>
        <w:adjustRightInd w:val="0"/>
        <w:snapToGrid w:val="0"/>
        <w:spacing w:line="500" w:lineRule="exact"/>
        <w:rPr>
          <w:rFonts w:hint="eastAsia" w:ascii="宋体" w:hAnsi="宋体" w:cs="宋体"/>
          <w:color w:val="auto"/>
          <w:sz w:val="24"/>
          <w:szCs w:val="24"/>
          <w:highlight w:val="none"/>
        </w:rPr>
      </w:pPr>
    </w:p>
    <w:p>
      <w:pPr>
        <w:pStyle w:val="51"/>
        <w:tabs>
          <w:tab w:val="left" w:pos="750"/>
        </w:tabs>
        <w:adjustRightInd w:val="0"/>
        <w:snapToGrid w:val="0"/>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法定代表人（签字或电子签章）：</w:t>
      </w:r>
      <w:r>
        <w:rPr>
          <w:rFonts w:hint="eastAsia" w:ascii="宋体" w:hAnsi="宋体" w:cs="宋体"/>
          <w:color w:val="auto"/>
          <w:sz w:val="24"/>
          <w:szCs w:val="24"/>
          <w:highlight w:val="none"/>
          <w:u w:val="single"/>
        </w:rPr>
        <w:t xml:space="preserve">           </w:t>
      </w:r>
    </w:p>
    <w:p>
      <w:pPr>
        <w:pStyle w:val="51"/>
        <w:tabs>
          <w:tab w:val="left" w:pos="750"/>
        </w:tabs>
        <w:adjustRightInd w:val="0"/>
        <w:snapToGrid w:val="0"/>
        <w:spacing w:line="500" w:lineRule="exact"/>
        <w:rPr>
          <w:rFonts w:hint="eastAsia" w:ascii="宋体" w:hAnsi="宋体" w:cs="宋体"/>
          <w:color w:val="auto"/>
          <w:sz w:val="24"/>
          <w:szCs w:val="24"/>
          <w:highlight w:val="none"/>
        </w:rPr>
      </w:pPr>
    </w:p>
    <w:p>
      <w:pPr>
        <w:pStyle w:val="51"/>
        <w:tabs>
          <w:tab w:val="left" w:pos="750"/>
        </w:tabs>
        <w:adjustRightInd w:val="0"/>
        <w:snapToGrid w:val="0"/>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52"/>
        <w:outlineLvl w:val="9"/>
        <w:rPr>
          <w:rFonts w:hint="eastAsia" w:cs="宋体"/>
          <w:color w:val="auto"/>
          <w:highlight w:val="none"/>
        </w:rPr>
      </w:pPr>
      <w:r>
        <w:rPr>
          <w:rFonts w:hint="eastAsia" w:cs="宋体"/>
          <w:color w:val="auto"/>
          <w:highlight w:val="none"/>
        </w:rPr>
        <w:t xml:space="preserve"> </w:t>
      </w:r>
    </w:p>
    <w:p>
      <w:pPr>
        <w:pStyle w:val="52"/>
        <w:outlineLvl w:val="9"/>
        <w:rPr>
          <w:rFonts w:hint="eastAsia" w:cs="宋体"/>
          <w:color w:val="auto"/>
          <w:highlight w:val="none"/>
        </w:rPr>
      </w:pPr>
    </w:p>
    <w:p>
      <w:pPr>
        <w:pStyle w:val="52"/>
        <w:outlineLvl w:val="9"/>
        <w:rPr>
          <w:rFonts w:hint="eastAsia" w:cs="宋体"/>
          <w:color w:val="auto"/>
          <w:highlight w:val="none"/>
        </w:rPr>
      </w:pPr>
    </w:p>
    <w:p>
      <w:pPr>
        <w:pStyle w:val="51"/>
        <w:rPr>
          <w:rFonts w:hint="eastAsia" w:ascii="宋体" w:hAnsi="宋体" w:cs="宋体"/>
          <w:color w:val="auto"/>
          <w:highlight w:val="none"/>
        </w:rPr>
      </w:pPr>
    </w:p>
    <w:p>
      <w:pPr>
        <w:pStyle w:val="51"/>
        <w:rPr>
          <w:rFonts w:hint="eastAsia" w:ascii="宋体" w:hAnsi="宋体" w:cs="宋体"/>
          <w:color w:val="auto"/>
          <w:highlight w:val="none"/>
        </w:rPr>
      </w:pPr>
    </w:p>
    <w:p>
      <w:pPr>
        <w:pStyle w:val="51"/>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法定代表人授权书</w:t>
      </w:r>
    </w:p>
    <w:p>
      <w:pPr>
        <w:pStyle w:val="51"/>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（代理机构名称）</w:t>
      </w:r>
      <w:r>
        <w:rPr>
          <w:rFonts w:hint="eastAsia" w:ascii="宋体" w:hAnsi="宋体" w:cs="宋体"/>
          <w:color w:val="auto"/>
          <w:sz w:val="24"/>
          <w:szCs w:val="24"/>
          <w:highlight w:val="none"/>
        </w:rPr>
        <w:t>：</w:t>
      </w:r>
    </w:p>
    <w:p>
      <w:pPr>
        <w:pStyle w:val="51"/>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同志为我公司参加贵单位组织的编号为</w:t>
      </w:r>
      <w:r>
        <w:rPr>
          <w:rFonts w:hint="eastAsia" w:ascii="宋体" w:hAnsi="宋体" w:cs="宋体"/>
          <w:color w:val="auto"/>
          <w:sz w:val="24"/>
          <w:szCs w:val="24"/>
          <w:highlight w:val="none"/>
          <w:u w:val="single"/>
        </w:rPr>
        <w:t>（项目编号）</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 目 名 称）</w:t>
      </w:r>
      <w:r>
        <w:rPr>
          <w:rFonts w:hint="eastAsia" w:ascii="宋体" w:hAnsi="宋体" w:cs="宋体"/>
          <w:color w:val="auto"/>
          <w:sz w:val="24"/>
          <w:szCs w:val="24"/>
          <w:highlight w:val="none"/>
        </w:rPr>
        <w:t>采购活动的投标代表人，全权代表我公司处理在该项目采购活动中的一切事宜。代理期限从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日起至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日止。 </w:t>
      </w:r>
    </w:p>
    <w:p>
      <w:pPr>
        <w:pStyle w:val="51"/>
        <w:spacing w:line="500" w:lineRule="exact"/>
        <w:rPr>
          <w:rFonts w:hint="eastAsia" w:ascii="宋体" w:hAnsi="宋体" w:cs="宋体"/>
          <w:color w:val="auto"/>
          <w:sz w:val="24"/>
          <w:szCs w:val="24"/>
          <w:highlight w:val="none"/>
        </w:rPr>
      </w:pPr>
    </w:p>
    <w:p>
      <w:pPr>
        <w:pStyle w:val="51"/>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供应商（签章）：</w:t>
      </w:r>
      <w:r>
        <w:rPr>
          <w:rFonts w:hint="eastAsia" w:ascii="宋体" w:hAnsi="宋体" w:cs="宋体"/>
          <w:color w:val="auto"/>
          <w:sz w:val="24"/>
          <w:szCs w:val="24"/>
          <w:highlight w:val="none"/>
          <w:u w:val="single"/>
        </w:rPr>
        <w:t xml:space="preserve">               </w:t>
      </w:r>
    </w:p>
    <w:p>
      <w:pPr>
        <w:pStyle w:val="51"/>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法定代表人（签字或电子签章）：</w:t>
      </w:r>
      <w:r>
        <w:rPr>
          <w:rFonts w:hint="eastAsia" w:ascii="宋体" w:hAnsi="宋体" w:cs="宋体"/>
          <w:color w:val="auto"/>
          <w:sz w:val="24"/>
          <w:szCs w:val="24"/>
          <w:highlight w:val="none"/>
          <w:u w:val="single"/>
        </w:rPr>
        <w:t xml:space="preserve">       </w:t>
      </w:r>
    </w:p>
    <w:p>
      <w:pPr>
        <w:pStyle w:val="51"/>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签发日期：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51"/>
        <w:spacing w:line="500" w:lineRule="exact"/>
        <w:rPr>
          <w:rFonts w:hint="eastAsia" w:ascii="宋体" w:hAnsi="宋体" w:cs="宋体"/>
          <w:color w:val="auto"/>
          <w:sz w:val="24"/>
          <w:szCs w:val="24"/>
          <w:highlight w:val="none"/>
        </w:rPr>
      </w:pPr>
    </w:p>
    <w:p>
      <w:pPr>
        <w:pStyle w:val="51"/>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附：</w:t>
      </w:r>
    </w:p>
    <w:p>
      <w:pPr>
        <w:pStyle w:val="51"/>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代理人工作单位：</w:t>
      </w:r>
      <w:r>
        <w:rPr>
          <w:rFonts w:hint="eastAsia" w:ascii="宋体" w:hAnsi="宋体" w:cs="宋体"/>
          <w:color w:val="auto"/>
          <w:sz w:val="24"/>
          <w:szCs w:val="24"/>
          <w:highlight w:val="none"/>
          <w:u w:val="single"/>
        </w:rPr>
        <w:t xml:space="preserve">                          </w:t>
      </w:r>
    </w:p>
    <w:p>
      <w:pPr>
        <w:pStyle w:val="51"/>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p>
    <w:p>
      <w:pPr>
        <w:pStyle w:val="51"/>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pStyle w:val="51"/>
        <w:tabs>
          <w:tab w:val="left" w:pos="750"/>
        </w:tabs>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 ：</w:t>
      </w:r>
      <w:r>
        <w:rPr>
          <w:rFonts w:hint="eastAsia" w:ascii="宋体" w:hAnsi="宋体" w:cs="宋体"/>
          <w:color w:val="auto"/>
          <w:sz w:val="24"/>
          <w:szCs w:val="24"/>
          <w:highlight w:val="none"/>
          <w:u w:val="single"/>
        </w:rPr>
        <w:t xml:space="preserve">           </w:t>
      </w:r>
    </w:p>
    <w:p>
      <w:pPr>
        <w:pStyle w:val="51"/>
        <w:adjustRightInd w:val="0"/>
        <w:snapToGrid w:val="0"/>
        <w:spacing w:line="500" w:lineRule="exact"/>
        <w:ind w:left="-88" w:leftChars="-42" w:firstLine="600" w:firstLineChars="250"/>
        <w:rPr>
          <w:rFonts w:hint="eastAsia" w:ascii="宋体" w:hAnsi="宋体" w:cs="宋体"/>
          <w:color w:val="auto"/>
          <w:sz w:val="24"/>
          <w:szCs w:val="24"/>
          <w:highlight w:val="none"/>
          <w:u w:val="single"/>
        </w:rPr>
      </w:pPr>
    </w:p>
    <w:tbl>
      <w:tblPr>
        <w:tblStyle w:val="1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7668" w:type="dxa"/>
            <w:tcBorders>
              <w:top w:val="single" w:color="auto" w:sz="4" w:space="0"/>
              <w:left w:val="single" w:color="auto" w:sz="4" w:space="0"/>
              <w:bottom w:val="single" w:color="auto" w:sz="4" w:space="0"/>
              <w:right w:val="single" w:color="auto" w:sz="4" w:space="0"/>
            </w:tcBorders>
          </w:tcPr>
          <w:p>
            <w:pPr>
              <w:pStyle w:val="51"/>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粘贴被授权人身份证（扫描件）</w:t>
            </w:r>
          </w:p>
        </w:tc>
      </w:tr>
    </w:tbl>
    <w:p>
      <w:pPr>
        <w:pStyle w:val="53"/>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rPr>
          <w:rFonts w:hint="eastAsia" w:ascii="宋体" w:hAnsi="宋体" w:eastAsia="宋体" w:cs="宋体"/>
          <w:color w:val="auto"/>
          <w:highlight w:val="none"/>
        </w:rPr>
      </w:pPr>
    </w:p>
    <w:p>
      <w:pPr>
        <w:pStyle w:val="50"/>
        <w:outlineLvl w:val="2"/>
        <w:rPr>
          <w:rFonts w:hint="eastAsia" w:ascii="宋体" w:hAnsi="宋体" w:eastAsia="宋体" w:cs="宋体"/>
          <w:color w:val="auto"/>
          <w:highlight w:val="none"/>
        </w:rPr>
      </w:pPr>
      <w:bookmarkStart w:id="201" w:name="_Toc14617"/>
      <w:bookmarkStart w:id="202" w:name="_Toc12747"/>
      <w:r>
        <w:rPr>
          <w:rFonts w:hint="eastAsia" w:ascii="宋体" w:hAnsi="宋体" w:eastAsia="宋体" w:cs="宋体"/>
          <w:color w:val="auto"/>
          <w:highlight w:val="none"/>
        </w:rPr>
        <w:t>（二）、开标一览表</w:t>
      </w:r>
      <w:bookmarkEnd w:id="201"/>
      <w:bookmarkEnd w:id="202"/>
    </w:p>
    <w:p>
      <w:pPr>
        <w:pStyle w:val="54"/>
        <w:spacing w:line="360" w:lineRule="auto"/>
        <w:rPr>
          <w:rFonts w:hint="eastAsia" w:ascii="宋体" w:hAnsi="宋体" w:eastAsia="宋体" w:cs="宋体"/>
          <w:b/>
          <w:bCs/>
          <w:color w:val="auto"/>
          <w:kern w:val="44"/>
          <w:sz w:val="32"/>
          <w:szCs w:val="32"/>
          <w:highlight w:val="none"/>
        </w:rPr>
      </w:pPr>
    </w:p>
    <w:p>
      <w:pPr>
        <w:pStyle w:val="5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pStyle w:val="54"/>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项目名称</w:t>
            </w:r>
          </w:p>
        </w:tc>
        <w:tc>
          <w:tcPr>
            <w:tcW w:w="6784" w:type="dxa"/>
            <w:tcBorders>
              <w:top w:val="single" w:color="auto" w:sz="4" w:space="0"/>
              <w:left w:val="single" w:color="auto" w:sz="4" w:space="0"/>
              <w:bottom w:val="single" w:color="auto" w:sz="4" w:space="0"/>
              <w:right w:val="single" w:color="auto" w:sz="4" w:space="0"/>
            </w:tcBorders>
            <w:vAlign w:val="center"/>
          </w:tcPr>
          <w:p>
            <w:pPr>
              <w:pStyle w:val="54"/>
              <w:tabs>
                <w:tab w:val="left" w:pos="1337"/>
              </w:tabs>
              <w:spacing w:line="360" w:lineRule="auto"/>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pStyle w:val="54"/>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 标 报 价（元）</w:t>
            </w:r>
          </w:p>
        </w:tc>
        <w:tc>
          <w:tcPr>
            <w:tcW w:w="6784" w:type="dxa"/>
            <w:tcBorders>
              <w:top w:val="single" w:color="auto" w:sz="4" w:space="0"/>
              <w:left w:val="single" w:color="auto" w:sz="4" w:space="0"/>
              <w:bottom w:val="single" w:color="auto" w:sz="4" w:space="0"/>
              <w:right w:val="single" w:color="auto" w:sz="4" w:space="0"/>
            </w:tcBorders>
            <w:vAlign w:val="center"/>
          </w:tcPr>
          <w:p>
            <w:pPr>
              <w:pStyle w:val="54"/>
              <w:tabs>
                <w:tab w:val="left" w:pos="1337"/>
              </w:tabs>
              <w:spacing w:line="360" w:lineRule="auto"/>
              <w:rPr>
                <w:rFonts w:hint="eastAsia" w:ascii="宋体" w:hAnsi="宋体" w:eastAsia="宋体" w:cs="宋体"/>
                <w:bCs/>
                <w:color w:val="auto"/>
                <w:sz w:val="24"/>
                <w:szCs w:val="24"/>
                <w:highlight w:val="none"/>
              </w:rPr>
            </w:pPr>
          </w:p>
          <w:p>
            <w:pPr>
              <w:pStyle w:val="54"/>
              <w:tabs>
                <w:tab w:val="left" w:pos="1337"/>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pPr>
              <w:pStyle w:val="54"/>
              <w:tabs>
                <w:tab w:val="left" w:pos="1337"/>
              </w:tabs>
              <w:spacing w:line="360" w:lineRule="auto"/>
              <w:rPr>
                <w:rFonts w:hint="eastAsia" w:ascii="宋体" w:hAnsi="宋体" w:eastAsia="宋体" w:cs="宋体"/>
                <w:bCs/>
                <w:color w:val="auto"/>
                <w:sz w:val="24"/>
                <w:szCs w:val="24"/>
                <w:highlight w:val="none"/>
              </w:rPr>
            </w:pPr>
          </w:p>
          <w:p>
            <w:pPr>
              <w:pStyle w:val="54"/>
              <w:tabs>
                <w:tab w:val="left" w:pos="1337"/>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pPr>
              <w:pStyle w:val="54"/>
              <w:tabs>
                <w:tab w:val="left" w:pos="1337"/>
              </w:tabs>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pStyle w:val="54"/>
              <w:tabs>
                <w:tab w:val="left" w:pos="1337"/>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服务地点</w:t>
            </w:r>
          </w:p>
        </w:tc>
        <w:tc>
          <w:tcPr>
            <w:tcW w:w="6784" w:type="dxa"/>
            <w:tcBorders>
              <w:top w:val="single" w:color="auto" w:sz="4" w:space="0"/>
              <w:left w:val="single" w:color="auto" w:sz="4" w:space="0"/>
              <w:bottom w:val="single" w:color="auto" w:sz="4" w:space="0"/>
              <w:right w:val="single" w:color="auto" w:sz="4" w:space="0"/>
            </w:tcBorders>
            <w:vAlign w:val="center"/>
          </w:tcPr>
          <w:p>
            <w:pPr>
              <w:pStyle w:val="54"/>
              <w:tabs>
                <w:tab w:val="left" w:pos="1337"/>
              </w:tabs>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pStyle w:val="54"/>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合同履约期限</w:t>
            </w:r>
          </w:p>
        </w:tc>
        <w:tc>
          <w:tcPr>
            <w:tcW w:w="6784" w:type="dxa"/>
            <w:tcBorders>
              <w:top w:val="single" w:color="auto" w:sz="4" w:space="0"/>
              <w:left w:val="single" w:color="auto" w:sz="4" w:space="0"/>
              <w:bottom w:val="single" w:color="auto" w:sz="4" w:space="0"/>
              <w:right w:val="single" w:color="auto" w:sz="4" w:space="0"/>
            </w:tcBorders>
            <w:vAlign w:val="center"/>
          </w:tcPr>
          <w:p>
            <w:pPr>
              <w:pStyle w:val="54"/>
              <w:tabs>
                <w:tab w:val="left" w:pos="1337"/>
              </w:tabs>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pPr>
              <w:pStyle w:val="54"/>
              <w:tabs>
                <w:tab w:val="left" w:pos="1337"/>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6784" w:type="dxa"/>
            <w:tcBorders>
              <w:top w:val="single" w:color="auto" w:sz="4" w:space="0"/>
              <w:left w:val="single" w:color="auto" w:sz="4" w:space="0"/>
              <w:bottom w:val="single" w:color="auto" w:sz="4" w:space="0"/>
              <w:right w:val="single" w:color="auto" w:sz="4" w:space="0"/>
            </w:tcBorders>
            <w:vAlign w:val="center"/>
          </w:tcPr>
          <w:p>
            <w:pPr>
              <w:pStyle w:val="54"/>
              <w:tabs>
                <w:tab w:val="left" w:pos="1337"/>
              </w:tabs>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9199" w:type="dxa"/>
            <w:gridSpan w:val="2"/>
            <w:tcBorders>
              <w:top w:val="single" w:color="auto" w:sz="4" w:space="0"/>
              <w:left w:val="single" w:color="auto" w:sz="4" w:space="0"/>
              <w:bottom w:val="single" w:color="auto" w:sz="4" w:space="0"/>
              <w:right w:val="single" w:color="auto" w:sz="4" w:space="0"/>
            </w:tcBorders>
            <w:vAlign w:val="center"/>
          </w:tcPr>
          <w:p>
            <w:pPr>
              <w:pStyle w:val="54"/>
              <w:tabs>
                <w:tab w:val="left" w:pos="1337"/>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备注：</w:t>
            </w:r>
          </w:p>
        </w:tc>
      </w:tr>
    </w:tbl>
    <w:p>
      <w:pPr>
        <w:pStyle w:val="54"/>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pStyle w:val="54"/>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1、供应商严格按照规定的格式填写。投标报价为优惠后报价，并作为评审及定标的依据。</w:t>
      </w:r>
    </w:p>
    <w:p>
      <w:pPr>
        <w:pStyle w:val="54"/>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2、任何有选择或有条件的投标报价或表中某一包填写多个报价，均将导致投标被拒绝。</w:t>
      </w:r>
    </w:p>
    <w:p>
      <w:pPr>
        <w:pStyle w:val="54"/>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3、报价一经涂改，应在涂改处加盖单位公章或者由法定代表人或授权委托人签字或盖章，否则其磋商作无效处理。</w:t>
      </w:r>
    </w:p>
    <w:p>
      <w:pPr>
        <w:pStyle w:val="54"/>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4、须附详细的报价明细表，报价明细表中总金额和报价表金额一致。</w:t>
      </w:r>
    </w:p>
    <w:p>
      <w:pPr>
        <w:pStyle w:val="54"/>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供应商（盖单位章）：</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法定代表人或其委托代理人（签字或电子签章）：</w:t>
      </w:r>
      <w:r>
        <w:rPr>
          <w:rFonts w:hint="eastAsia" w:ascii="宋体" w:hAnsi="宋体" w:eastAsia="宋体" w:cs="宋体"/>
          <w:color w:val="auto"/>
          <w:sz w:val="24"/>
          <w:szCs w:val="24"/>
          <w:highlight w:val="none"/>
          <w:u w:val="single"/>
        </w:rPr>
        <w:t xml:space="preserve">       </w:t>
      </w:r>
    </w:p>
    <w:p>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55"/>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6"/>
        <w:jc w:val="center"/>
        <w:outlineLvl w:val="2"/>
        <w:rPr>
          <w:rFonts w:hint="eastAsia" w:ascii="宋体" w:hAnsi="宋体" w:eastAsia="宋体" w:cs="宋体"/>
          <w:color w:val="auto"/>
          <w:highlight w:val="none"/>
        </w:rPr>
      </w:pPr>
      <w:bookmarkStart w:id="203" w:name="_Toc7918"/>
      <w:bookmarkStart w:id="204" w:name="_Toc19489"/>
      <w:r>
        <w:rPr>
          <w:rFonts w:hint="eastAsia" w:ascii="宋体" w:hAnsi="宋体" w:eastAsia="宋体" w:cs="宋体"/>
          <w:color w:val="auto"/>
          <w:highlight w:val="none"/>
        </w:rPr>
        <w:t>投标报价明细表</w:t>
      </w:r>
      <w:bookmarkEnd w:id="203"/>
      <w:bookmarkEnd w:id="204"/>
    </w:p>
    <w:p>
      <w:pPr>
        <w:pStyle w:val="57"/>
        <w:spacing w:line="360" w:lineRule="auto"/>
        <w:ind w:left="0" w:leftChars="0"/>
        <w:rPr>
          <w:rFonts w:hint="eastAsia" w:ascii="宋体" w:hAnsi="宋体" w:cs="宋体"/>
          <w:color w:val="auto"/>
          <w:highlight w:val="none"/>
        </w:rPr>
      </w:pPr>
      <w:r>
        <w:rPr>
          <w:rFonts w:hint="eastAsia" w:ascii="宋体" w:hAnsi="宋体" w:cs="宋体"/>
          <w:color w:val="auto"/>
          <w:highlight w:val="none"/>
        </w:rPr>
        <w:t>项目编号、包号：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价格单位：元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587"/>
        <w:gridCol w:w="1701"/>
        <w:gridCol w:w="1560"/>
        <w:gridCol w:w="2163"/>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9" w:type="dxa"/>
            <w:vAlign w:val="center"/>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587" w:type="dxa"/>
            <w:vAlign w:val="center"/>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报价项目</w:t>
            </w:r>
          </w:p>
        </w:tc>
        <w:tc>
          <w:tcPr>
            <w:tcW w:w="1701" w:type="dxa"/>
            <w:vAlign w:val="center"/>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内容</w:t>
            </w:r>
          </w:p>
        </w:tc>
        <w:tc>
          <w:tcPr>
            <w:tcW w:w="1560" w:type="dxa"/>
            <w:vAlign w:val="center"/>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总价</w:t>
            </w:r>
          </w:p>
        </w:tc>
        <w:tc>
          <w:tcPr>
            <w:tcW w:w="2163" w:type="dxa"/>
            <w:vAlign w:val="center"/>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取费标准</w:t>
            </w:r>
          </w:p>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说明</w:t>
            </w:r>
          </w:p>
        </w:tc>
        <w:tc>
          <w:tcPr>
            <w:tcW w:w="728" w:type="dxa"/>
            <w:vAlign w:val="center"/>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89" w:type="dxa"/>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587" w:type="dxa"/>
          </w:tcPr>
          <w:p>
            <w:pPr>
              <w:pStyle w:val="58"/>
              <w:spacing w:line="360" w:lineRule="auto"/>
              <w:jc w:val="center"/>
              <w:rPr>
                <w:rFonts w:hint="eastAsia" w:ascii="宋体" w:hAnsi="宋体" w:cs="宋体"/>
                <w:color w:val="auto"/>
                <w:sz w:val="24"/>
                <w:highlight w:val="none"/>
              </w:rPr>
            </w:pPr>
          </w:p>
        </w:tc>
        <w:tc>
          <w:tcPr>
            <w:tcW w:w="1701" w:type="dxa"/>
          </w:tcPr>
          <w:p>
            <w:pPr>
              <w:pStyle w:val="58"/>
              <w:spacing w:line="360" w:lineRule="auto"/>
              <w:jc w:val="center"/>
              <w:rPr>
                <w:rFonts w:hint="eastAsia" w:ascii="宋体" w:hAnsi="宋体" w:cs="宋体"/>
                <w:color w:val="auto"/>
                <w:sz w:val="24"/>
                <w:highlight w:val="none"/>
              </w:rPr>
            </w:pPr>
          </w:p>
        </w:tc>
        <w:tc>
          <w:tcPr>
            <w:tcW w:w="1560" w:type="dxa"/>
          </w:tcPr>
          <w:p>
            <w:pPr>
              <w:pStyle w:val="58"/>
              <w:spacing w:line="360" w:lineRule="auto"/>
              <w:jc w:val="center"/>
              <w:rPr>
                <w:rFonts w:hint="eastAsia" w:ascii="宋体" w:hAnsi="宋体" w:cs="宋体"/>
                <w:color w:val="auto"/>
                <w:sz w:val="24"/>
                <w:highlight w:val="none"/>
              </w:rPr>
            </w:pPr>
          </w:p>
        </w:tc>
        <w:tc>
          <w:tcPr>
            <w:tcW w:w="2163" w:type="dxa"/>
          </w:tcPr>
          <w:p>
            <w:pPr>
              <w:pStyle w:val="58"/>
              <w:spacing w:line="360" w:lineRule="auto"/>
              <w:jc w:val="center"/>
              <w:rPr>
                <w:rFonts w:hint="eastAsia" w:ascii="宋体" w:hAnsi="宋体" w:cs="宋体"/>
                <w:color w:val="auto"/>
                <w:sz w:val="24"/>
                <w:highlight w:val="none"/>
              </w:rPr>
            </w:pPr>
          </w:p>
        </w:tc>
        <w:tc>
          <w:tcPr>
            <w:tcW w:w="728" w:type="dxa"/>
          </w:tcPr>
          <w:p>
            <w:pPr>
              <w:pStyle w:val="58"/>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587" w:type="dxa"/>
          </w:tcPr>
          <w:p>
            <w:pPr>
              <w:pStyle w:val="58"/>
              <w:spacing w:line="360" w:lineRule="auto"/>
              <w:jc w:val="center"/>
              <w:rPr>
                <w:rFonts w:hint="eastAsia" w:ascii="宋体" w:hAnsi="宋体" w:cs="宋体"/>
                <w:color w:val="auto"/>
                <w:sz w:val="24"/>
                <w:highlight w:val="none"/>
              </w:rPr>
            </w:pPr>
          </w:p>
        </w:tc>
        <w:tc>
          <w:tcPr>
            <w:tcW w:w="1701" w:type="dxa"/>
          </w:tcPr>
          <w:p>
            <w:pPr>
              <w:pStyle w:val="58"/>
              <w:spacing w:line="360" w:lineRule="auto"/>
              <w:jc w:val="center"/>
              <w:rPr>
                <w:rFonts w:hint="eastAsia" w:ascii="宋体" w:hAnsi="宋体" w:cs="宋体"/>
                <w:color w:val="auto"/>
                <w:sz w:val="24"/>
                <w:highlight w:val="none"/>
              </w:rPr>
            </w:pPr>
          </w:p>
        </w:tc>
        <w:tc>
          <w:tcPr>
            <w:tcW w:w="1560" w:type="dxa"/>
          </w:tcPr>
          <w:p>
            <w:pPr>
              <w:pStyle w:val="58"/>
              <w:spacing w:line="360" w:lineRule="auto"/>
              <w:jc w:val="center"/>
              <w:rPr>
                <w:rFonts w:hint="eastAsia" w:ascii="宋体" w:hAnsi="宋体" w:cs="宋体"/>
                <w:color w:val="auto"/>
                <w:sz w:val="24"/>
                <w:highlight w:val="none"/>
              </w:rPr>
            </w:pPr>
          </w:p>
        </w:tc>
        <w:tc>
          <w:tcPr>
            <w:tcW w:w="2163" w:type="dxa"/>
          </w:tcPr>
          <w:p>
            <w:pPr>
              <w:pStyle w:val="58"/>
              <w:spacing w:line="360" w:lineRule="auto"/>
              <w:jc w:val="center"/>
              <w:rPr>
                <w:rFonts w:hint="eastAsia" w:ascii="宋体" w:hAnsi="宋体" w:cs="宋体"/>
                <w:color w:val="auto"/>
                <w:sz w:val="24"/>
                <w:highlight w:val="none"/>
              </w:rPr>
            </w:pPr>
          </w:p>
        </w:tc>
        <w:tc>
          <w:tcPr>
            <w:tcW w:w="728" w:type="dxa"/>
          </w:tcPr>
          <w:p>
            <w:pPr>
              <w:pStyle w:val="58"/>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587" w:type="dxa"/>
          </w:tcPr>
          <w:p>
            <w:pPr>
              <w:pStyle w:val="58"/>
              <w:spacing w:line="360" w:lineRule="auto"/>
              <w:jc w:val="center"/>
              <w:rPr>
                <w:rFonts w:hint="eastAsia" w:ascii="宋体" w:hAnsi="宋体" w:cs="宋体"/>
                <w:color w:val="auto"/>
                <w:sz w:val="24"/>
                <w:highlight w:val="none"/>
              </w:rPr>
            </w:pPr>
          </w:p>
        </w:tc>
        <w:tc>
          <w:tcPr>
            <w:tcW w:w="1701" w:type="dxa"/>
          </w:tcPr>
          <w:p>
            <w:pPr>
              <w:pStyle w:val="58"/>
              <w:spacing w:line="360" w:lineRule="auto"/>
              <w:jc w:val="center"/>
              <w:rPr>
                <w:rFonts w:hint="eastAsia" w:ascii="宋体" w:hAnsi="宋体" w:cs="宋体"/>
                <w:color w:val="auto"/>
                <w:sz w:val="24"/>
                <w:highlight w:val="none"/>
              </w:rPr>
            </w:pPr>
          </w:p>
        </w:tc>
        <w:tc>
          <w:tcPr>
            <w:tcW w:w="1560" w:type="dxa"/>
          </w:tcPr>
          <w:p>
            <w:pPr>
              <w:pStyle w:val="58"/>
              <w:spacing w:line="360" w:lineRule="auto"/>
              <w:jc w:val="center"/>
              <w:rPr>
                <w:rFonts w:hint="eastAsia" w:ascii="宋体" w:hAnsi="宋体" w:cs="宋体"/>
                <w:color w:val="auto"/>
                <w:sz w:val="24"/>
                <w:highlight w:val="none"/>
              </w:rPr>
            </w:pPr>
          </w:p>
        </w:tc>
        <w:tc>
          <w:tcPr>
            <w:tcW w:w="2163" w:type="dxa"/>
          </w:tcPr>
          <w:p>
            <w:pPr>
              <w:pStyle w:val="58"/>
              <w:spacing w:line="360" w:lineRule="auto"/>
              <w:jc w:val="center"/>
              <w:rPr>
                <w:rFonts w:hint="eastAsia" w:ascii="宋体" w:hAnsi="宋体" w:cs="宋体"/>
                <w:color w:val="auto"/>
                <w:sz w:val="24"/>
                <w:highlight w:val="none"/>
              </w:rPr>
            </w:pPr>
          </w:p>
        </w:tc>
        <w:tc>
          <w:tcPr>
            <w:tcW w:w="728" w:type="dxa"/>
          </w:tcPr>
          <w:p>
            <w:pPr>
              <w:pStyle w:val="58"/>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587" w:type="dxa"/>
          </w:tcPr>
          <w:p>
            <w:pPr>
              <w:pStyle w:val="58"/>
              <w:spacing w:line="360" w:lineRule="auto"/>
              <w:jc w:val="center"/>
              <w:rPr>
                <w:rFonts w:hint="eastAsia" w:ascii="宋体" w:hAnsi="宋体" w:cs="宋体"/>
                <w:color w:val="auto"/>
                <w:sz w:val="24"/>
                <w:highlight w:val="none"/>
              </w:rPr>
            </w:pPr>
          </w:p>
        </w:tc>
        <w:tc>
          <w:tcPr>
            <w:tcW w:w="1701" w:type="dxa"/>
          </w:tcPr>
          <w:p>
            <w:pPr>
              <w:pStyle w:val="58"/>
              <w:spacing w:line="360" w:lineRule="auto"/>
              <w:jc w:val="center"/>
              <w:rPr>
                <w:rFonts w:hint="eastAsia" w:ascii="宋体" w:hAnsi="宋体" w:cs="宋体"/>
                <w:color w:val="auto"/>
                <w:sz w:val="24"/>
                <w:highlight w:val="none"/>
              </w:rPr>
            </w:pPr>
          </w:p>
        </w:tc>
        <w:tc>
          <w:tcPr>
            <w:tcW w:w="1560" w:type="dxa"/>
          </w:tcPr>
          <w:p>
            <w:pPr>
              <w:pStyle w:val="58"/>
              <w:spacing w:line="360" w:lineRule="auto"/>
              <w:jc w:val="center"/>
              <w:rPr>
                <w:rFonts w:hint="eastAsia" w:ascii="宋体" w:hAnsi="宋体" w:cs="宋体"/>
                <w:color w:val="auto"/>
                <w:sz w:val="24"/>
                <w:highlight w:val="none"/>
              </w:rPr>
            </w:pPr>
          </w:p>
        </w:tc>
        <w:tc>
          <w:tcPr>
            <w:tcW w:w="2163" w:type="dxa"/>
          </w:tcPr>
          <w:p>
            <w:pPr>
              <w:pStyle w:val="58"/>
              <w:spacing w:line="360" w:lineRule="auto"/>
              <w:jc w:val="center"/>
              <w:rPr>
                <w:rFonts w:hint="eastAsia" w:ascii="宋体" w:hAnsi="宋体" w:cs="宋体"/>
                <w:color w:val="auto"/>
                <w:sz w:val="24"/>
                <w:highlight w:val="none"/>
              </w:rPr>
            </w:pPr>
          </w:p>
        </w:tc>
        <w:tc>
          <w:tcPr>
            <w:tcW w:w="728" w:type="dxa"/>
          </w:tcPr>
          <w:p>
            <w:pPr>
              <w:pStyle w:val="58"/>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587" w:type="dxa"/>
          </w:tcPr>
          <w:p>
            <w:pPr>
              <w:pStyle w:val="58"/>
              <w:spacing w:line="360" w:lineRule="auto"/>
              <w:jc w:val="center"/>
              <w:rPr>
                <w:rFonts w:hint="eastAsia" w:ascii="宋体" w:hAnsi="宋体" w:cs="宋体"/>
                <w:color w:val="auto"/>
                <w:sz w:val="24"/>
                <w:highlight w:val="none"/>
              </w:rPr>
            </w:pPr>
          </w:p>
        </w:tc>
        <w:tc>
          <w:tcPr>
            <w:tcW w:w="1701" w:type="dxa"/>
          </w:tcPr>
          <w:p>
            <w:pPr>
              <w:pStyle w:val="58"/>
              <w:spacing w:line="360" w:lineRule="auto"/>
              <w:jc w:val="center"/>
              <w:rPr>
                <w:rFonts w:hint="eastAsia" w:ascii="宋体" w:hAnsi="宋体" w:cs="宋体"/>
                <w:color w:val="auto"/>
                <w:sz w:val="24"/>
                <w:highlight w:val="none"/>
              </w:rPr>
            </w:pPr>
          </w:p>
        </w:tc>
        <w:tc>
          <w:tcPr>
            <w:tcW w:w="1560" w:type="dxa"/>
          </w:tcPr>
          <w:p>
            <w:pPr>
              <w:pStyle w:val="58"/>
              <w:spacing w:line="360" w:lineRule="auto"/>
              <w:jc w:val="center"/>
              <w:rPr>
                <w:rFonts w:hint="eastAsia" w:ascii="宋体" w:hAnsi="宋体" w:cs="宋体"/>
                <w:color w:val="auto"/>
                <w:sz w:val="24"/>
                <w:highlight w:val="none"/>
              </w:rPr>
            </w:pPr>
          </w:p>
        </w:tc>
        <w:tc>
          <w:tcPr>
            <w:tcW w:w="2163" w:type="dxa"/>
          </w:tcPr>
          <w:p>
            <w:pPr>
              <w:pStyle w:val="58"/>
              <w:spacing w:line="360" w:lineRule="auto"/>
              <w:jc w:val="center"/>
              <w:rPr>
                <w:rFonts w:hint="eastAsia" w:ascii="宋体" w:hAnsi="宋体" w:cs="宋体"/>
                <w:color w:val="auto"/>
                <w:sz w:val="24"/>
                <w:highlight w:val="none"/>
              </w:rPr>
            </w:pPr>
          </w:p>
        </w:tc>
        <w:tc>
          <w:tcPr>
            <w:tcW w:w="728" w:type="dxa"/>
          </w:tcPr>
          <w:p>
            <w:pPr>
              <w:pStyle w:val="58"/>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587" w:type="dxa"/>
          </w:tcPr>
          <w:p>
            <w:pPr>
              <w:pStyle w:val="58"/>
              <w:spacing w:line="360" w:lineRule="auto"/>
              <w:jc w:val="center"/>
              <w:rPr>
                <w:rFonts w:hint="eastAsia" w:ascii="宋体" w:hAnsi="宋体" w:cs="宋体"/>
                <w:color w:val="auto"/>
                <w:sz w:val="24"/>
                <w:highlight w:val="none"/>
              </w:rPr>
            </w:pPr>
          </w:p>
        </w:tc>
        <w:tc>
          <w:tcPr>
            <w:tcW w:w="1701" w:type="dxa"/>
          </w:tcPr>
          <w:p>
            <w:pPr>
              <w:pStyle w:val="58"/>
              <w:spacing w:line="360" w:lineRule="auto"/>
              <w:jc w:val="center"/>
              <w:rPr>
                <w:rFonts w:hint="eastAsia" w:ascii="宋体" w:hAnsi="宋体" w:cs="宋体"/>
                <w:color w:val="auto"/>
                <w:sz w:val="24"/>
                <w:highlight w:val="none"/>
              </w:rPr>
            </w:pPr>
          </w:p>
        </w:tc>
        <w:tc>
          <w:tcPr>
            <w:tcW w:w="1560" w:type="dxa"/>
          </w:tcPr>
          <w:p>
            <w:pPr>
              <w:pStyle w:val="58"/>
              <w:spacing w:line="360" w:lineRule="auto"/>
              <w:jc w:val="center"/>
              <w:rPr>
                <w:rFonts w:hint="eastAsia" w:ascii="宋体" w:hAnsi="宋体" w:cs="宋体"/>
                <w:color w:val="auto"/>
                <w:sz w:val="24"/>
                <w:highlight w:val="none"/>
              </w:rPr>
            </w:pPr>
          </w:p>
        </w:tc>
        <w:tc>
          <w:tcPr>
            <w:tcW w:w="2163" w:type="dxa"/>
          </w:tcPr>
          <w:p>
            <w:pPr>
              <w:pStyle w:val="58"/>
              <w:spacing w:line="360" w:lineRule="auto"/>
              <w:jc w:val="center"/>
              <w:rPr>
                <w:rFonts w:hint="eastAsia" w:ascii="宋体" w:hAnsi="宋体" w:cs="宋体"/>
                <w:color w:val="auto"/>
                <w:sz w:val="24"/>
                <w:highlight w:val="none"/>
              </w:rPr>
            </w:pPr>
          </w:p>
        </w:tc>
        <w:tc>
          <w:tcPr>
            <w:tcW w:w="728" w:type="dxa"/>
          </w:tcPr>
          <w:p>
            <w:pPr>
              <w:pStyle w:val="58"/>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587" w:type="dxa"/>
          </w:tcPr>
          <w:p>
            <w:pPr>
              <w:pStyle w:val="58"/>
              <w:spacing w:line="360" w:lineRule="auto"/>
              <w:jc w:val="center"/>
              <w:rPr>
                <w:rFonts w:hint="eastAsia" w:ascii="宋体" w:hAnsi="宋体" w:cs="宋体"/>
                <w:color w:val="auto"/>
                <w:sz w:val="24"/>
                <w:highlight w:val="none"/>
              </w:rPr>
            </w:pPr>
          </w:p>
        </w:tc>
        <w:tc>
          <w:tcPr>
            <w:tcW w:w="1701" w:type="dxa"/>
          </w:tcPr>
          <w:p>
            <w:pPr>
              <w:pStyle w:val="58"/>
              <w:spacing w:line="360" w:lineRule="auto"/>
              <w:jc w:val="center"/>
              <w:rPr>
                <w:rFonts w:hint="eastAsia" w:ascii="宋体" w:hAnsi="宋体" w:cs="宋体"/>
                <w:color w:val="auto"/>
                <w:sz w:val="24"/>
                <w:highlight w:val="none"/>
              </w:rPr>
            </w:pPr>
          </w:p>
        </w:tc>
        <w:tc>
          <w:tcPr>
            <w:tcW w:w="1560" w:type="dxa"/>
          </w:tcPr>
          <w:p>
            <w:pPr>
              <w:pStyle w:val="58"/>
              <w:spacing w:line="360" w:lineRule="auto"/>
              <w:jc w:val="center"/>
              <w:rPr>
                <w:rFonts w:hint="eastAsia" w:ascii="宋体" w:hAnsi="宋体" w:cs="宋体"/>
                <w:b/>
                <w:color w:val="auto"/>
                <w:sz w:val="24"/>
                <w:highlight w:val="none"/>
              </w:rPr>
            </w:pPr>
          </w:p>
        </w:tc>
        <w:tc>
          <w:tcPr>
            <w:tcW w:w="2163" w:type="dxa"/>
          </w:tcPr>
          <w:p>
            <w:pPr>
              <w:pStyle w:val="58"/>
              <w:spacing w:line="360" w:lineRule="auto"/>
              <w:jc w:val="center"/>
              <w:rPr>
                <w:rFonts w:hint="eastAsia" w:ascii="宋体" w:hAnsi="宋体" w:cs="宋体"/>
                <w:b/>
                <w:color w:val="auto"/>
                <w:sz w:val="24"/>
                <w:highlight w:val="none"/>
              </w:rPr>
            </w:pPr>
          </w:p>
        </w:tc>
        <w:tc>
          <w:tcPr>
            <w:tcW w:w="728" w:type="dxa"/>
          </w:tcPr>
          <w:p>
            <w:pPr>
              <w:pStyle w:val="58"/>
              <w:spacing w:line="360" w:lineRule="auto"/>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gridSpan w:val="2"/>
            <w:vAlign w:val="center"/>
          </w:tcPr>
          <w:p>
            <w:pPr>
              <w:pStyle w:val="58"/>
              <w:spacing w:line="360" w:lineRule="auto"/>
              <w:rPr>
                <w:rFonts w:hint="eastAsia" w:ascii="宋体" w:hAnsi="宋体" w:cs="宋体"/>
                <w:color w:val="auto"/>
                <w:sz w:val="24"/>
                <w:highlight w:val="none"/>
              </w:rPr>
            </w:pPr>
            <w:r>
              <w:rPr>
                <w:rFonts w:hint="eastAsia" w:ascii="宋体" w:hAnsi="宋体" w:cs="宋体"/>
                <w:color w:val="auto"/>
                <w:sz w:val="24"/>
                <w:highlight w:val="none"/>
              </w:rPr>
              <w:t>总计</w:t>
            </w:r>
          </w:p>
        </w:tc>
        <w:tc>
          <w:tcPr>
            <w:tcW w:w="6152" w:type="dxa"/>
            <w:gridSpan w:val="4"/>
          </w:tcPr>
          <w:p>
            <w:pPr>
              <w:pStyle w:val="58"/>
              <w:spacing w:line="360" w:lineRule="auto"/>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gridSpan w:val="2"/>
            <w:vAlign w:val="center"/>
          </w:tcPr>
          <w:p>
            <w:pPr>
              <w:pStyle w:val="58"/>
              <w:spacing w:line="360" w:lineRule="auto"/>
              <w:jc w:val="center"/>
              <w:rPr>
                <w:rFonts w:hint="eastAsia" w:ascii="宋体" w:hAnsi="宋体" w:cs="宋体"/>
                <w:b/>
                <w:color w:val="auto"/>
                <w:sz w:val="24"/>
                <w:highlight w:val="none"/>
              </w:rPr>
            </w:pPr>
            <w:r>
              <w:rPr>
                <w:rFonts w:hint="eastAsia" w:ascii="宋体" w:hAnsi="宋体" w:cs="宋体"/>
                <w:color w:val="auto"/>
                <w:sz w:val="24"/>
                <w:highlight w:val="none"/>
              </w:rPr>
              <w:t>投标总价</w:t>
            </w:r>
          </w:p>
        </w:tc>
        <w:tc>
          <w:tcPr>
            <w:tcW w:w="6152" w:type="dxa"/>
            <w:gridSpan w:val="4"/>
            <w:vAlign w:val="center"/>
          </w:tcPr>
          <w:p>
            <w:pPr>
              <w:pStyle w:val="58"/>
              <w:spacing w:line="360" w:lineRule="auto"/>
              <w:rPr>
                <w:rFonts w:hint="eastAsia" w:ascii="宋体" w:hAnsi="宋体" w:cs="宋体"/>
                <w:color w:val="auto"/>
                <w:sz w:val="24"/>
                <w:highlight w:val="none"/>
              </w:rPr>
            </w:pPr>
          </w:p>
          <w:p>
            <w:pPr>
              <w:pStyle w:val="58"/>
              <w:spacing w:line="360" w:lineRule="auto"/>
              <w:rPr>
                <w:rFonts w:hint="eastAsia" w:ascii="宋体" w:hAnsi="宋体" w:cs="宋体"/>
                <w:color w:val="auto"/>
                <w:sz w:val="24"/>
                <w:highlight w:val="none"/>
              </w:rPr>
            </w:pPr>
          </w:p>
          <w:p>
            <w:pPr>
              <w:pStyle w:val="58"/>
              <w:spacing w:line="360" w:lineRule="auto"/>
              <w:rPr>
                <w:rFonts w:hint="eastAsia" w:ascii="宋体" w:hAnsi="宋体" w:cs="宋体"/>
                <w:color w:val="auto"/>
                <w:sz w:val="24"/>
                <w:highlight w:val="non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pPr>
              <w:pStyle w:val="58"/>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pStyle w:val="58"/>
              <w:spacing w:line="360" w:lineRule="auto"/>
              <w:rPr>
                <w:rFonts w:hint="eastAsia" w:ascii="宋体" w:hAnsi="宋体" w:cs="宋体"/>
                <w:color w:val="auto"/>
                <w:sz w:val="24"/>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pPr>
              <w:pStyle w:val="58"/>
              <w:spacing w:line="360" w:lineRule="auto"/>
              <w:rPr>
                <w:rFonts w:hint="eastAsia" w:ascii="宋体" w:hAnsi="宋体" w:cs="宋体"/>
                <w:color w:val="auto"/>
                <w:sz w:val="24"/>
                <w:highlight w:val="none"/>
              </w:rPr>
            </w:pPr>
          </w:p>
          <w:p>
            <w:pPr>
              <w:pStyle w:val="58"/>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gridSpan w:val="2"/>
            <w:vAlign w:val="center"/>
          </w:tcPr>
          <w:p>
            <w:pPr>
              <w:pStyle w:val="58"/>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6152" w:type="dxa"/>
            <w:gridSpan w:val="4"/>
          </w:tcPr>
          <w:p>
            <w:pPr>
              <w:pStyle w:val="58"/>
              <w:spacing w:line="360" w:lineRule="auto"/>
              <w:rPr>
                <w:rFonts w:hint="eastAsia" w:ascii="宋体" w:hAnsi="宋体" w:cs="宋体"/>
                <w:b/>
                <w:color w:val="auto"/>
                <w:sz w:val="24"/>
                <w:highlight w:val="none"/>
              </w:rPr>
            </w:pPr>
          </w:p>
        </w:tc>
      </w:tr>
    </w:tbl>
    <w:p>
      <w:pPr>
        <w:pStyle w:val="58"/>
        <w:spacing w:line="360" w:lineRule="auto"/>
        <w:rPr>
          <w:rFonts w:hint="eastAsia" w:ascii="宋体" w:hAnsi="宋体" w:cs="宋体"/>
          <w:color w:val="auto"/>
          <w:sz w:val="24"/>
          <w:highlight w:val="none"/>
        </w:rPr>
      </w:pPr>
      <w:r>
        <w:rPr>
          <w:rFonts w:hint="eastAsia" w:ascii="宋体" w:hAnsi="宋体" w:cs="宋体"/>
          <w:color w:val="auto"/>
          <w:sz w:val="24"/>
          <w:highlight w:val="none"/>
        </w:rPr>
        <w:t>说明：1、</w:t>
      </w:r>
      <w:r>
        <w:rPr>
          <w:rFonts w:hint="eastAsia" w:ascii="宋体" w:hAnsi="宋体" w:cs="宋体"/>
          <w:bCs/>
          <w:color w:val="auto"/>
          <w:sz w:val="24"/>
          <w:highlight w:val="none"/>
        </w:rPr>
        <w:t>供应商必须填写</w:t>
      </w:r>
      <w:r>
        <w:rPr>
          <w:rFonts w:hint="eastAsia" w:ascii="宋体" w:hAnsi="宋体" w:cs="宋体"/>
          <w:color w:val="auto"/>
          <w:sz w:val="24"/>
          <w:highlight w:val="none"/>
        </w:rPr>
        <w:t>报价明细表</w:t>
      </w:r>
      <w:r>
        <w:rPr>
          <w:rFonts w:hint="eastAsia" w:ascii="宋体" w:hAnsi="宋体" w:cs="宋体"/>
          <w:bCs/>
          <w:color w:val="auto"/>
          <w:sz w:val="24"/>
          <w:highlight w:val="none"/>
        </w:rPr>
        <w:t>，否则将导致投标被拒绝。</w:t>
      </w:r>
    </w:p>
    <w:p>
      <w:pPr>
        <w:pStyle w:val="58"/>
        <w:spacing w:line="360" w:lineRule="auto"/>
        <w:ind w:left="720"/>
        <w:rPr>
          <w:rFonts w:hint="eastAsia" w:ascii="宋体" w:hAnsi="宋体" w:cs="宋体"/>
          <w:color w:val="auto"/>
          <w:sz w:val="24"/>
          <w:highlight w:val="none"/>
        </w:rPr>
      </w:pPr>
      <w:r>
        <w:rPr>
          <w:rFonts w:hint="eastAsia" w:ascii="宋体" w:hAnsi="宋体" w:cs="宋体"/>
          <w:color w:val="auto"/>
          <w:sz w:val="24"/>
          <w:highlight w:val="none"/>
        </w:rPr>
        <w:t>2、报价分析表中的“投标总价”应等于“开标一览表”中的“投标总价”。</w:t>
      </w:r>
    </w:p>
    <w:p>
      <w:pPr>
        <w:pStyle w:val="58"/>
        <w:spacing w:line="360" w:lineRule="auto"/>
        <w:ind w:left="720"/>
        <w:rPr>
          <w:rFonts w:hint="eastAsia" w:ascii="宋体" w:hAnsi="宋体" w:cs="宋体"/>
          <w:color w:val="auto"/>
          <w:sz w:val="24"/>
          <w:highlight w:val="none"/>
        </w:rPr>
      </w:pPr>
      <w:r>
        <w:rPr>
          <w:rFonts w:hint="eastAsia" w:ascii="宋体" w:hAnsi="宋体" w:cs="宋体"/>
          <w:color w:val="auto"/>
          <w:sz w:val="24"/>
          <w:highlight w:val="none"/>
        </w:rPr>
        <w:t>3、报价项目填报不下的，可自行扩展。</w:t>
      </w:r>
    </w:p>
    <w:p>
      <w:pPr>
        <w:pStyle w:val="58"/>
        <w:spacing w:line="360" w:lineRule="auto"/>
        <w:ind w:left="720"/>
        <w:rPr>
          <w:rFonts w:hint="eastAsia" w:ascii="宋体" w:hAnsi="宋体" w:cs="宋体"/>
          <w:color w:val="auto"/>
          <w:sz w:val="24"/>
          <w:highlight w:val="none"/>
        </w:rPr>
      </w:pP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供应商（盖单位章）：</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法定代表人或其委托代理人（签字或电子签章）：</w:t>
      </w:r>
      <w:r>
        <w:rPr>
          <w:rFonts w:hint="eastAsia" w:ascii="宋体" w:hAnsi="宋体" w:eastAsia="宋体" w:cs="宋体"/>
          <w:color w:val="auto"/>
          <w:sz w:val="24"/>
          <w:szCs w:val="24"/>
          <w:highlight w:val="none"/>
          <w:u w:val="single"/>
        </w:rPr>
        <w:t xml:space="preserve">       </w:t>
      </w:r>
    </w:p>
    <w:p>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58"/>
        <w:spacing w:line="360" w:lineRule="auto"/>
        <w:ind w:left="720"/>
        <w:rPr>
          <w:rFonts w:hint="eastAsia" w:ascii="宋体" w:hAnsi="宋体" w:cs="宋体"/>
          <w:color w:val="auto"/>
          <w:sz w:val="24"/>
          <w:highlight w:val="none"/>
        </w:rPr>
        <w:sectPr>
          <w:pgSz w:w="11906" w:h="16838"/>
          <w:pgMar w:top="1440" w:right="1800" w:bottom="1440" w:left="1800" w:header="851" w:footer="992" w:gutter="0"/>
          <w:pgNumType w:fmt="decimal"/>
          <w:cols w:space="720" w:num="1"/>
        </w:sectPr>
      </w:pPr>
    </w:p>
    <w:p>
      <w:pPr>
        <w:pStyle w:val="50"/>
        <w:outlineLvl w:val="2"/>
        <w:rPr>
          <w:rFonts w:hint="eastAsia" w:ascii="宋体" w:hAnsi="宋体" w:eastAsia="宋体" w:cs="宋体"/>
          <w:color w:val="auto"/>
          <w:highlight w:val="none"/>
        </w:rPr>
      </w:pPr>
      <w:bookmarkStart w:id="205" w:name="_Toc256000072"/>
      <w:bookmarkStart w:id="206" w:name="_Toc5884"/>
      <w:bookmarkStart w:id="207" w:name="_Toc11629"/>
      <w:r>
        <w:rPr>
          <w:rFonts w:hint="eastAsia" w:ascii="宋体" w:hAnsi="宋体" w:eastAsia="宋体" w:cs="宋体"/>
          <w:color w:val="auto"/>
          <w:highlight w:val="none"/>
        </w:rPr>
        <w:t>（三）</w:t>
      </w:r>
      <w:bookmarkEnd w:id="205"/>
      <w:bookmarkStart w:id="208" w:name="_Toc256000073"/>
      <w:r>
        <w:rPr>
          <w:rFonts w:hint="eastAsia" w:ascii="宋体" w:hAnsi="宋体" w:eastAsia="宋体" w:cs="宋体"/>
          <w:color w:val="auto"/>
          <w:highlight w:val="none"/>
        </w:rPr>
        <w:t>合同、商务条款偏离说明表</w:t>
      </w:r>
      <w:bookmarkEnd w:id="206"/>
      <w:bookmarkEnd w:id="207"/>
      <w:bookmarkEnd w:id="208"/>
    </w:p>
    <w:p>
      <w:pPr>
        <w:pStyle w:val="59"/>
        <w:adjustRightInd w:val="0"/>
        <w:snapToGrid w:val="0"/>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合同、商务响应偏离说明表</w:t>
      </w:r>
    </w:p>
    <w:p>
      <w:pPr>
        <w:pStyle w:val="59"/>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采购项目编号：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pStyle w:val="59"/>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采购项目名称：</w:t>
      </w:r>
      <w:r>
        <w:rPr>
          <w:rFonts w:hint="eastAsia" w:ascii="宋体" w:hAnsi="宋体" w:cs="宋体"/>
          <w:color w:val="auto"/>
          <w:sz w:val="24"/>
          <w:szCs w:val="24"/>
          <w:highlight w:val="none"/>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投标服务</w:t>
            </w:r>
          </w:p>
          <w:p>
            <w:pPr>
              <w:pStyle w:val="59"/>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pPr>
              <w:pStyle w:val="59"/>
              <w:spacing w:line="500" w:lineRule="exact"/>
              <w:rPr>
                <w:rFonts w:hint="eastAsia" w:ascii="宋体" w:hAnsi="宋体" w:cs="宋体"/>
                <w:color w:val="auto"/>
                <w:sz w:val="24"/>
                <w:szCs w:val="24"/>
                <w:highlight w:val="none"/>
              </w:rPr>
            </w:pPr>
          </w:p>
        </w:tc>
      </w:tr>
    </w:tbl>
    <w:p>
      <w:pPr>
        <w:pStyle w:val="59"/>
        <w:adjustRightInd w:val="0"/>
        <w:snapToGrid w:val="0"/>
        <w:spacing w:line="500" w:lineRule="exact"/>
        <w:rPr>
          <w:rFonts w:hint="eastAsia" w:ascii="宋体" w:hAnsi="宋体" w:cs="宋体"/>
          <w:color w:val="auto"/>
          <w:sz w:val="24"/>
          <w:szCs w:val="24"/>
          <w:highlight w:val="none"/>
        </w:rPr>
      </w:pPr>
    </w:p>
    <w:p>
      <w:pPr>
        <w:pStyle w:val="59"/>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pPr>
        <w:pStyle w:val="59"/>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供应商名称（签章）：</w:t>
      </w:r>
      <w:r>
        <w:rPr>
          <w:rFonts w:hint="eastAsia" w:ascii="宋体" w:hAnsi="宋体" w:cs="宋体"/>
          <w:color w:val="auto"/>
          <w:sz w:val="24"/>
          <w:szCs w:val="24"/>
          <w:highlight w:val="none"/>
          <w:u w:val="single"/>
        </w:rPr>
        <w:t xml:space="preserve">                       </w:t>
      </w:r>
    </w:p>
    <w:p>
      <w:pPr>
        <w:pStyle w:val="59"/>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pPr>
        <w:pStyle w:val="60"/>
        <w:spacing w:after="0" w:line="360" w:lineRule="auto"/>
        <w:rPr>
          <w:rFonts w:hint="eastAsia" w:ascii="宋体" w:hAnsi="宋体" w:cs="宋体"/>
          <w:color w:val="auto"/>
          <w:sz w:val="24"/>
          <w:highlight w:val="none"/>
        </w:rPr>
      </w:pPr>
    </w:p>
    <w:p>
      <w:pPr>
        <w:pStyle w:val="60"/>
        <w:spacing w:after="0" w:line="360" w:lineRule="auto"/>
        <w:rPr>
          <w:rFonts w:hint="eastAsia" w:ascii="宋体" w:hAnsi="宋体" w:cs="宋体"/>
          <w:color w:val="auto"/>
          <w:sz w:val="24"/>
          <w:highlight w:val="none"/>
        </w:rPr>
      </w:pPr>
    </w:p>
    <w:p>
      <w:pPr>
        <w:pStyle w:val="50"/>
        <w:outlineLvl w:val="2"/>
        <w:rPr>
          <w:rFonts w:hint="eastAsia" w:ascii="宋体" w:hAnsi="宋体" w:eastAsia="宋体" w:cs="宋体"/>
          <w:color w:val="auto"/>
          <w:highlight w:val="none"/>
        </w:rPr>
      </w:pPr>
      <w:bookmarkStart w:id="209" w:name="_Toc3742"/>
      <w:bookmarkStart w:id="210" w:name="_Toc17807"/>
      <w:r>
        <w:rPr>
          <w:rFonts w:hint="eastAsia" w:ascii="宋体" w:hAnsi="宋体" w:eastAsia="宋体" w:cs="宋体"/>
          <w:color w:val="auto"/>
          <w:highlight w:val="none"/>
        </w:rPr>
        <w:t>（四）、公司资质</w:t>
      </w:r>
      <w:bookmarkEnd w:id="209"/>
      <w:bookmarkEnd w:id="210"/>
    </w:p>
    <w:p>
      <w:pPr>
        <w:autoSpaceDE w:val="0"/>
        <w:autoSpaceDN w:val="0"/>
        <w:adjustRightInd w:val="0"/>
        <w:spacing w:line="440" w:lineRule="exact"/>
        <w:ind w:firstLine="480" w:firstLineChars="200"/>
        <w:rPr>
          <w:rFonts w:hint="eastAsia" w:ascii="宋体" w:hAnsi="宋体" w:eastAsia="宋体" w:cs="宋体"/>
          <w:color w:val="auto"/>
          <w:sz w:val="24"/>
          <w:highlight w:val="none"/>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color w:val="auto"/>
          <w:sz w:val="24"/>
          <w:highlight w:val="none"/>
        </w:rPr>
        <w:t>建议按照评审标准提供相应资料</w:t>
      </w:r>
    </w:p>
    <w:p>
      <w:pPr>
        <w:pStyle w:val="50"/>
        <w:ind w:firstLine="321" w:firstLineChars="100"/>
        <w:outlineLvl w:val="2"/>
        <w:rPr>
          <w:rFonts w:hint="eastAsia" w:ascii="宋体" w:hAnsi="宋体" w:eastAsia="宋体" w:cs="宋体"/>
          <w:color w:val="auto"/>
          <w:highlight w:val="none"/>
        </w:rPr>
      </w:pPr>
      <w:bookmarkStart w:id="211" w:name="_Toc8777"/>
      <w:bookmarkStart w:id="212" w:name="_Toc13064"/>
      <w:r>
        <w:rPr>
          <w:rFonts w:hint="eastAsia" w:ascii="宋体" w:hAnsi="宋体" w:eastAsia="宋体" w:cs="宋体"/>
          <w:color w:val="auto"/>
          <w:highlight w:val="none"/>
        </w:rPr>
        <w:t>(五)、项目负责人信息表、项目组成人员信息</w:t>
      </w:r>
      <w:bookmarkEnd w:id="211"/>
      <w:bookmarkEnd w:id="212"/>
    </w:p>
    <w:p>
      <w:pPr>
        <w:pStyle w:val="59"/>
        <w:spacing w:line="500" w:lineRule="exact"/>
        <w:rPr>
          <w:rFonts w:hint="eastAsia" w:ascii="宋体" w:hAnsi="宋体" w:cs="宋体"/>
          <w:color w:val="auto"/>
          <w:highlight w:val="none"/>
        </w:rPr>
      </w:pPr>
      <w:r>
        <w:rPr>
          <w:rFonts w:hint="eastAsia" w:ascii="宋体" w:hAnsi="宋体" w:cs="宋体"/>
          <w:color w:val="auto"/>
          <w:highlight w:val="none"/>
        </w:rPr>
        <w:t>人员基本信息、资质证书、人员业绩等内容，格式自拟</w:t>
      </w:r>
    </w:p>
    <w:p>
      <w:pPr>
        <w:pStyle w:val="59"/>
        <w:spacing w:line="500" w:lineRule="exact"/>
        <w:rPr>
          <w:rFonts w:hint="eastAsia" w:ascii="宋体" w:hAnsi="宋体" w:cs="宋体"/>
          <w:color w:val="auto"/>
          <w:highlight w:val="none"/>
        </w:rPr>
      </w:pPr>
      <w:r>
        <w:rPr>
          <w:rFonts w:hint="eastAsia" w:ascii="宋体" w:hAnsi="宋体" w:cs="宋体"/>
          <w:color w:val="auto"/>
          <w:highlight w:val="none"/>
        </w:rPr>
        <w:t>（建议按照评审标准提供相应资料）。</w:t>
      </w:r>
    </w:p>
    <w:p>
      <w:pPr>
        <w:pStyle w:val="62"/>
        <w:outlineLvl w:val="1"/>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p>
    <w:p>
      <w:pPr>
        <w:pStyle w:val="50"/>
        <w:ind w:firstLine="321" w:firstLineChars="100"/>
        <w:outlineLvl w:val="2"/>
        <w:rPr>
          <w:rFonts w:hint="eastAsia" w:ascii="宋体" w:hAnsi="宋体" w:eastAsia="宋体" w:cs="宋体"/>
          <w:color w:val="auto"/>
          <w:highlight w:val="none"/>
        </w:rPr>
      </w:pPr>
      <w:bookmarkStart w:id="213" w:name="_Toc25548"/>
      <w:bookmarkStart w:id="214" w:name="_Toc20772"/>
      <w:r>
        <w:rPr>
          <w:rFonts w:hint="eastAsia" w:ascii="宋体" w:hAnsi="宋体" w:eastAsia="宋体" w:cs="宋体"/>
          <w:color w:val="auto"/>
          <w:highlight w:val="none"/>
        </w:rPr>
        <w:t>（六）、财务状况</w:t>
      </w:r>
      <w:bookmarkEnd w:id="213"/>
      <w:bookmarkEnd w:id="214"/>
    </w:p>
    <w:p>
      <w:pPr>
        <w:autoSpaceDE w:val="0"/>
        <w:autoSpaceDN w:val="0"/>
        <w:adjustRightInd w:val="0"/>
        <w:spacing w:line="440" w:lineRule="exact"/>
        <w:ind w:firstLine="480" w:firstLineChars="200"/>
        <w:rPr>
          <w:rFonts w:hint="eastAsia" w:ascii="宋体" w:hAnsi="宋体" w:eastAsia="宋体" w:cs="宋体"/>
          <w:color w:val="auto"/>
          <w:sz w:val="24"/>
          <w:highlight w:val="none"/>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color w:val="auto"/>
          <w:sz w:val="24"/>
          <w:highlight w:val="none"/>
        </w:rPr>
        <w:t>（建议按照评审标准提供相应资料）</w:t>
      </w:r>
    </w:p>
    <w:p>
      <w:pPr>
        <w:pStyle w:val="50"/>
        <w:ind w:firstLine="321" w:firstLineChars="100"/>
        <w:outlineLvl w:val="2"/>
        <w:rPr>
          <w:rFonts w:hint="eastAsia" w:ascii="宋体" w:hAnsi="宋体" w:eastAsia="宋体" w:cs="宋体"/>
          <w:color w:val="auto"/>
          <w:highlight w:val="none"/>
        </w:rPr>
      </w:pPr>
      <w:bookmarkStart w:id="215" w:name="_Toc6185"/>
      <w:bookmarkStart w:id="216" w:name="_Toc30633"/>
      <w:r>
        <w:rPr>
          <w:rFonts w:hint="eastAsia" w:ascii="宋体" w:hAnsi="宋体" w:eastAsia="宋体" w:cs="宋体"/>
          <w:color w:val="auto"/>
          <w:highlight w:val="none"/>
        </w:rPr>
        <w:t>（七）、近年同类项目业绩</w:t>
      </w:r>
      <w:bookmarkEnd w:id="215"/>
      <w:bookmarkEnd w:id="216"/>
    </w:p>
    <w:p>
      <w:pPr>
        <w:pStyle w:val="39"/>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附：类似项目业绩表（</w:t>
      </w:r>
      <w:r>
        <w:rPr>
          <w:rFonts w:hint="eastAsia" w:ascii="宋体" w:hAnsi="宋体" w:cs="宋体"/>
          <w:color w:val="auto"/>
          <w:sz w:val="24"/>
          <w:highlight w:val="none"/>
        </w:rPr>
        <w:t>建议按照评审标准提供相应资料</w:t>
      </w:r>
      <w:r>
        <w:rPr>
          <w:rFonts w:hint="eastAsia" w:ascii="宋体" w:hAnsi="宋体" w:cs="宋体"/>
          <w:color w:val="auto"/>
          <w:sz w:val="24"/>
          <w:szCs w:val="24"/>
          <w:highlight w:val="none"/>
        </w:rPr>
        <w:t>）</w:t>
      </w:r>
    </w:p>
    <w:p>
      <w:pPr>
        <w:pStyle w:val="39"/>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采购项目编号：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pStyle w:val="39"/>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采购项目名称：</w:t>
      </w:r>
      <w:r>
        <w:rPr>
          <w:rFonts w:hint="eastAsia" w:ascii="宋体" w:hAnsi="宋体" w:cs="宋体"/>
          <w:color w:val="auto"/>
          <w:sz w:val="24"/>
          <w:szCs w:val="24"/>
          <w:highlight w:val="none"/>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vAlign w:val="center"/>
          </w:tcPr>
          <w:p>
            <w:pPr>
              <w:pStyle w:val="3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200" w:type="dxa"/>
          </w:tcPr>
          <w:p>
            <w:pPr>
              <w:pStyle w:val="39"/>
              <w:tabs>
                <w:tab w:val="left" w:pos="2265"/>
              </w:tabs>
              <w:rPr>
                <w:rFonts w:hint="eastAsia" w:ascii="宋体" w:hAnsi="宋体" w:cs="宋体"/>
                <w:color w:val="auto"/>
                <w:sz w:val="24"/>
                <w:szCs w:val="24"/>
                <w:highlight w:val="none"/>
              </w:rPr>
            </w:pPr>
            <w:r>
              <w:rPr>
                <w:rFonts w:hint="eastAsia" w:ascii="宋体" w:hAnsi="宋体" w:cs="宋体"/>
                <w:color w:val="auto"/>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vAlign w:val="center"/>
          </w:tcPr>
          <w:p>
            <w:pPr>
              <w:pStyle w:val="3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项目单位名称</w:t>
            </w:r>
          </w:p>
        </w:tc>
        <w:tc>
          <w:tcPr>
            <w:tcW w:w="7200" w:type="dxa"/>
          </w:tcPr>
          <w:p>
            <w:pPr>
              <w:pStyle w:val="39"/>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vAlign w:val="center"/>
          </w:tcPr>
          <w:p>
            <w:pPr>
              <w:pStyle w:val="3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项目单位联系人姓名及联系方式</w:t>
            </w:r>
          </w:p>
        </w:tc>
        <w:tc>
          <w:tcPr>
            <w:tcW w:w="7200" w:type="dxa"/>
          </w:tcPr>
          <w:p>
            <w:pPr>
              <w:pStyle w:val="39"/>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vAlign w:val="center"/>
          </w:tcPr>
          <w:p>
            <w:pPr>
              <w:pStyle w:val="3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合同金额</w:t>
            </w:r>
          </w:p>
        </w:tc>
        <w:tc>
          <w:tcPr>
            <w:tcW w:w="7200" w:type="dxa"/>
          </w:tcPr>
          <w:p>
            <w:pPr>
              <w:pStyle w:val="39"/>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vAlign w:val="center"/>
          </w:tcPr>
          <w:p>
            <w:pPr>
              <w:pStyle w:val="3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p>
            <w:pPr>
              <w:pStyle w:val="3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7200" w:type="dxa"/>
          </w:tcPr>
          <w:p>
            <w:pPr>
              <w:pStyle w:val="39"/>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vAlign w:val="center"/>
          </w:tcPr>
          <w:p>
            <w:pPr>
              <w:pStyle w:val="3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项目实施时间</w:t>
            </w:r>
          </w:p>
        </w:tc>
        <w:tc>
          <w:tcPr>
            <w:tcW w:w="7200" w:type="dxa"/>
          </w:tcPr>
          <w:p>
            <w:pPr>
              <w:pStyle w:val="39"/>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vAlign w:val="center"/>
          </w:tcPr>
          <w:p>
            <w:pPr>
              <w:pStyle w:val="3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项目内容说明</w:t>
            </w:r>
          </w:p>
        </w:tc>
        <w:tc>
          <w:tcPr>
            <w:tcW w:w="7200" w:type="dxa"/>
          </w:tcPr>
          <w:p>
            <w:pPr>
              <w:pStyle w:val="39"/>
              <w:jc w:val="center"/>
              <w:rPr>
                <w:rFonts w:hint="eastAsia" w:ascii="宋体" w:hAnsi="宋体" w:cs="宋体"/>
                <w:color w:val="auto"/>
                <w:sz w:val="24"/>
                <w:szCs w:val="24"/>
                <w:highlight w:val="none"/>
              </w:rPr>
            </w:pPr>
          </w:p>
        </w:tc>
      </w:tr>
    </w:tbl>
    <w:p>
      <w:pPr>
        <w:pStyle w:val="39"/>
        <w:autoSpaceDE w:val="0"/>
        <w:autoSpaceDN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说明：1．每个合同须单独附表，并附上相关证明材料，否则专家在评审时将不予采信；</w:t>
      </w:r>
    </w:p>
    <w:p>
      <w:pPr>
        <w:pStyle w:val="39"/>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2．项目内容请简单说明所承担的具体工作内容；</w:t>
      </w:r>
    </w:p>
    <w:p>
      <w:pPr>
        <w:pStyle w:val="39"/>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pPr>
        <w:pStyle w:val="39"/>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供应商名称（签章）：</w:t>
      </w:r>
      <w:r>
        <w:rPr>
          <w:rFonts w:hint="eastAsia" w:ascii="宋体" w:hAnsi="宋体" w:cs="宋体"/>
          <w:color w:val="auto"/>
          <w:sz w:val="24"/>
          <w:szCs w:val="24"/>
          <w:highlight w:val="none"/>
          <w:u w:val="single"/>
        </w:rPr>
        <w:t xml:space="preserve">                       </w:t>
      </w:r>
    </w:p>
    <w:p>
      <w:pPr>
        <w:pStyle w:val="39"/>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pPr>
        <w:pStyle w:val="35"/>
        <w:outlineLvl w:val="2"/>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bookmarkStart w:id="217" w:name="_Toc256000075"/>
    </w:p>
    <w:p>
      <w:pPr>
        <w:pStyle w:val="35"/>
        <w:outlineLvl w:val="2"/>
        <w:rPr>
          <w:rFonts w:hint="eastAsia" w:ascii="宋体" w:hAnsi="宋体" w:eastAsia="宋体" w:cs="宋体"/>
          <w:color w:val="auto"/>
          <w:highlight w:val="none"/>
        </w:rPr>
      </w:pPr>
      <w:bookmarkStart w:id="218" w:name="_Toc8269"/>
      <w:bookmarkStart w:id="219" w:name="_Toc2309"/>
      <w:r>
        <w:rPr>
          <w:rFonts w:hint="eastAsia" w:ascii="宋体" w:hAnsi="宋体" w:eastAsia="宋体" w:cs="宋体"/>
          <w:color w:val="auto"/>
          <w:highlight w:val="none"/>
        </w:rPr>
        <w:t>（八）、中小微企业、残疾人福利性单位、监狱企业声明函（如有）</w:t>
      </w:r>
      <w:bookmarkEnd w:id="218"/>
      <w:bookmarkEnd w:id="219"/>
    </w:p>
    <w:p>
      <w:pPr>
        <w:pStyle w:val="13"/>
        <w:shd w:val="clear" w:color="auto" w:fill="FFFFFF"/>
        <w:spacing w:line="360" w:lineRule="auto"/>
        <w:jc w:val="center"/>
        <w:rPr>
          <w:rFonts w:hint="eastAsia" w:ascii="宋体" w:hAnsi="宋体" w:eastAsia="宋体" w:cs="宋体"/>
          <w:b/>
          <w:color w:val="auto"/>
          <w:sz w:val="28"/>
          <w:szCs w:val="28"/>
          <w:highlight w:val="none"/>
          <w:shd w:val="clear" w:color="auto" w:fill="FFFFFF"/>
        </w:rPr>
      </w:pPr>
      <w:r>
        <w:rPr>
          <w:rFonts w:hint="eastAsia" w:ascii="宋体" w:hAnsi="宋体" w:eastAsia="宋体" w:cs="宋体"/>
          <w:b/>
          <w:color w:val="auto"/>
          <w:sz w:val="28"/>
          <w:szCs w:val="28"/>
          <w:highlight w:val="none"/>
          <w:shd w:val="clear" w:color="auto" w:fill="FFFFFF"/>
        </w:rPr>
        <w:t>1、中小企业声明函</w:t>
      </w:r>
    </w:p>
    <w:p>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bCs/>
          <w:i/>
          <w:iCs/>
          <w:color w:val="auto"/>
          <w:sz w:val="24"/>
          <w:szCs w:val="24"/>
          <w:highlight w:val="none"/>
          <w:u w:val="single"/>
        </w:rPr>
        <w:t>单位名称</w:t>
      </w:r>
      <w:r>
        <w:rPr>
          <w:rFonts w:hint="eastAsia" w:ascii="宋体" w:hAnsi="宋体" w:eastAsia="宋体" w:cs="宋体"/>
          <w:bCs/>
          <w:color w:val="auto"/>
          <w:sz w:val="24"/>
          <w:szCs w:val="24"/>
          <w:highlight w:val="none"/>
        </w:rPr>
        <w:t>）的（</w:t>
      </w:r>
      <w:r>
        <w:rPr>
          <w:rFonts w:hint="eastAsia" w:ascii="宋体" w:hAnsi="宋体" w:eastAsia="宋体" w:cs="宋体"/>
          <w:bCs/>
          <w:i/>
          <w:iCs/>
          <w:color w:val="auto"/>
          <w:sz w:val="24"/>
          <w:szCs w:val="24"/>
          <w:highlight w:val="none"/>
          <w:u w:val="single"/>
        </w:rPr>
        <w:t>项目名称</w:t>
      </w:r>
      <w:r>
        <w:rPr>
          <w:rFonts w:hint="eastAsia" w:ascii="宋体" w:hAnsi="宋体" w:eastAsia="宋体" w:cs="宋体"/>
          <w:bCs/>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w:t>
      </w:r>
      <w:r>
        <w:rPr>
          <w:rFonts w:hint="eastAsia" w:ascii="宋体" w:hAnsi="宋体" w:eastAsia="宋体" w:cs="宋体"/>
          <w:bCs/>
          <w:i/>
          <w:iCs/>
          <w:color w:val="auto"/>
          <w:sz w:val="24"/>
          <w:szCs w:val="24"/>
          <w:highlight w:val="none"/>
          <w:u w:val="single"/>
        </w:rPr>
        <w:t>标的名称</w:t>
      </w:r>
      <w:r>
        <w:rPr>
          <w:rFonts w:hint="eastAsia" w:ascii="宋体" w:hAnsi="宋体" w:eastAsia="宋体" w:cs="宋体"/>
          <w:bCs/>
          <w:color w:val="auto"/>
          <w:sz w:val="24"/>
          <w:szCs w:val="24"/>
          <w:highlight w:val="none"/>
        </w:rPr>
        <w:t>） ，属于</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采购文件中所明确的行业</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；承建（承接）企业为（</w:t>
      </w:r>
      <w:r>
        <w:rPr>
          <w:rFonts w:hint="eastAsia" w:ascii="宋体" w:hAnsi="宋体" w:eastAsia="宋体" w:cs="宋体"/>
          <w:bCs/>
          <w:i/>
          <w:i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i/>
          <w:i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p>
    <w:p>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w:t>
      </w:r>
      <w:r>
        <w:rPr>
          <w:rFonts w:hint="eastAsia" w:ascii="宋体" w:hAnsi="宋体" w:eastAsia="宋体" w:cs="宋体"/>
          <w:bCs/>
          <w:i/>
          <w:iCs/>
          <w:color w:val="auto"/>
          <w:sz w:val="24"/>
          <w:szCs w:val="24"/>
          <w:highlight w:val="none"/>
          <w:u w:val="single"/>
        </w:rPr>
        <w:t>标的名称</w:t>
      </w:r>
      <w:r>
        <w:rPr>
          <w:rFonts w:hint="eastAsia" w:ascii="宋体" w:hAnsi="宋体" w:eastAsia="宋体" w:cs="宋体"/>
          <w:bCs/>
          <w:color w:val="auto"/>
          <w:sz w:val="24"/>
          <w:szCs w:val="24"/>
          <w:highlight w:val="none"/>
        </w:rPr>
        <w:t>） ，属于</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采购文件中所明确的行业</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；承建（承接）企业为（</w:t>
      </w:r>
      <w:r>
        <w:rPr>
          <w:rFonts w:hint="eastAsia" w:ascii="宋体" w:hAnsi="宋体" w:eastAsia="宋体" w:cs="宋体"/>
          <w:bCs/>
          <w:i/>
          <w:i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i/>
          <w:i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p>
    <w:p>
      <w:pPr>
        <w:spacing w:before="145" w:beforeLines="50" w:after="145" w:afterLines="50" w:line="3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以上企业，不属于大企业的分支机构，不存在控股股东为大企业的情形，也不存在与大企业的负责人为同一人的情形。</w:t>
      </w:r>
    </w:p>
    <w:p>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本企业对上述声明内容的真实性负责。如有虚假，将依法承担相应责任。</w:t>
      </w:r>
    </w:p>
    <w:p>
      <w:pPr>
        <w:spacing w:before="145" w:beforeLines="50" w:after="145" w:afterLines="50" w:line="300" w:lineRule="auto"/>
        <w:rPr>
          <w:rFonts w:hint="eastAsia" w:ascii="宋体" w:hAnsi="宋体" w:eastAsia="宋体" w:cs="宋体"/>
          <w:bCs/>
          <w:color w:val="auto"/>
          <w:sz w:val="24"/>
          <w:szCs w:val="24"/>
          <w:highlight w:val="none"/>
        </w:rPr>
      </w:pPr>
    </w:p>
    <w:p>
      <w:pPr>
        <w:spacing w:before="145" w:beforeLines="50" w:after="145" w:afterLines="50" w:line="300" w:lineRule="auto"/>
        <w:rPr>
          <w:rFonts w:hint="eastAsia" w:ascii="宋体" w:hAnsi="宋体" w:eastAsia="宋体" w:cs="宋体"/>
          <w:bCs/>
          <w:color w:val="auto"/>
          <w:sz w:val="24"/>
          <w:szCs w:val="24"/>
          <w:highlight w:val="none"/>
        </w:rPr>
      </w:pPr>
    </w:p>
    <w:p>
      <w:pPr>
        <w:spacing w:before="145" w:beforeLines="50" w:after="145" w:afterLines="50" w:line="300" w:lineRule="auto"/>
        <w:ind w:firstLine="4320" w:firstLineChars="18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企业名称（盖章）：</w:t>
      </w:r>
    </w:p>
    <w:p>
      <w:pPr>
        <w:spacing w:before="145" w:beforeLines="50" w:after="145" w:afterLines="50" w:line="300" w:lineRule="auto"/>
        <w:ind w:firstLine="4320" w:firstLineChars="18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pPr>
        <w:pStyle w:val="13"/>
        <w:shd w:val="clear" w:color="auto" w:fill="auto"/>
        <w:spacing w:line="360" w:lineRule="auto"/>
        <w:ind w:right="1785" w:firstLine="5760" w:firstLineChars="2400"/>
        <w:rPr>
          <w:rFonts w:hint="eastAsia" w:ascii="宋体" w:hAnsi="宋体" w:eastAsia="宋体" w:cs="宋体"/>
          <w:bCs/>
          <w:color w:val="auto"/>
          <w:highlight w:val="none"/>
          <w:shd w:val="clear" w:color="auto" w:fill="FFFFFF"/>
        </w:rPr>
      </w:pPr>
      <w:r>
        <w:rPr>
          <w:rFonts w:hint="eastAsia" w:ascii="宋体" w:hAnsi="宋体" w:eastAsia="宋体" w:cs="宋体"/>
          <w:bCs/>
          <w:color w:val="auto"/>
          <w:highlight w:val="none"/>
          <w:shd w:val="clear" w:color="auto" w:fill="FFFFFF"/>
        </w:rPr>
        <w:t xml:space="preserve">            </w:t>
      </w:r>
    </w:p>
    <w:p>
      <w:pPr>
        <w:pStyle w:val="13"/>
        <w:shd w:val="clear" w:color="auto" w:fill="auto"/>
        <w:spacing w:line="360" w:lineRule="auto"/>
        <w:ind w:firstLine="480" w:firstLineChars="200"/>
        <w:rPr>
          <w:rFonts w:hint="eastAsia" w:ascii="宋体" w:hAnsi="宋体" w:eastAsia="宋体" w:cs="宋体"/>
          <w:bCs/>
          <w:color w:val="auto"/>
          <w:highlight w:val="none"/>
          <w:shd w:val="clear" w:color="auto" w:fill="FFFFFF"/>
        </w:rPr>
      </w:pPr>
    </w:p>
    <w:p>
      <w:pPr>
        <w:pStyle w:val="13"/>
        <w:shd w:val="clear" w:color="auto" w:fill="auto"/>
        <w:spacing w:line="360" w:lineRule="auto"/>
        <w:ind w:firstLine="480" w:firstLineChars="200"/>
        <w:rPr>
          <w:rFonts w:hint="eastAsia" w:ascii="宋体" w:hAnsi="宋体" w:eastAsia="宋体" w:cs="宋体"/>
          <w:bCs/>
          <w:color w:val="auto"/>
          <w:highlight w:val="none"/>
          <w:shd w:val="clear" w:color="auto" w:fill="FFFFFF"/>
        </w:rPr>
      </w:pPr>
      <w:r>
        <w:rPr>
          <w:rFonts w:hint="eastAsia" w:ascii="宋体" w:hAnsi="宋体" w:eastAsia="宋体" w:cs="宋体"/>
          <w:bCs/>
          <w:color w:val="auto"/>
          <w:highlight w:val="none"/>
          <w:shd w:val="clear" w:color="auto" w:fill="FFFFFF"/>
        </w:rPr>
        <w:t>注：从业人员、营业收入、资产总额填报上一年度数据，无上一年度数据的新成立企业可不填报。</w:t>
      </w:r>
    </w:p>
    <w:p>
      <w:pPr>
        <w:pStyle w:val="63"/>
        <w:shd w:val="clear" w:color="auto" w:fill="auto"/>
        <w:adjustRightInd w:val="0"/>
        <w:snapToGrid w:val="0"/>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说明：1、填写前请认真阅读</w:t>
      </w:r>
      <w:r>
        <w:rPr>
          <w:rFonts w:hint="eastAsia" w:ascii="宋体" w:hAnsi="宋体" w:cs="宋体"/>
          <w:color w:val="auto"/>
          <w:spacing w:val="6"/>
          <w:kern w:val="0"/>
          <w:sz w:val="24"/>
          <w:szCs w:val="24"/>
          <w:highlight w:val="none"/>
        </w:rPr>
        <w:t>《工业和信息化部、国家统计局、国家发展和改革委员会、财政部关于印发中小企业划型标准规定的通知》（工信部联企业</w:t>
      </w:r>
      <w:r>
        <w:rPr>
          <w:rFonts w:hint="eastAsia" w:ascii="宋体" w:hAnsi="宋体" w:cs="宋体"/>
          <w:color w:val="auto"/>
          <w:spacing w:val="6"/>
          <w:sz w:val="24"/>
          <w:szCs w:val="24"/>
          <w:highlight w:val="none"/>
        </w:rPr>
        <w:t>〔2011〕</w:t>
      </w:r>
      <w:r>
        <w:rPr>
          <w:rFonts w:hint="eastAsia" w:ascii="宋体" w:hAnsi="宋体" w:cs="宋体"/>
          <w:color w:val="auto"/>
          <w:spacing w:val="6"/>
          <w:kern w:val="0"/>
          <w:sz w:val="24"/>
          <w:szCs w:val="24"/>
          <w:highlight w:val="none"/>
        </w:rPr>
        <w:t>300号）和</w:t>
      </w:r>
      <w:r>
        <w:rPr>
          <w:rFonts w:hint="eastAsia" w:ascii="宋体" w:hAnsi="宋体" w:cs="宋体"/>
          <w:color w:val="auto"/>
          <w:spacing w:val="6"/>
          <w:sz w:val="24"/>
          <w:szCs w:val="24"/>
          <w:highlight w:val="none"/>
        </w:rPr>
        <w:t>财政部、工业和信息化部《关于印发&lt;政府采购促进中小企业发展管理办法&gt;的通知》（财库〔2020〕46号）</w:t>
      </w:r>
      <w:r>
        <w:rPr>
          <w:rFonts w:hint="eastAsia" w:ascii="宋体" w:hAnsi="宋体" w:cs="宋体"/>
          <w:color w:val="auto"/>
          <w:sz w:val="24"/>
          <w:szCs w:val="24"/>
          <w:highlight w:val="none"/>
        </w:rPr>
        <w:t>相关规定。</w:t>
      </w:r>
    </w:p>
    <w:p>
      <w:pPr>
        <w:pStyle w:val="63"/>
        <w:shd w:val="clear" w:color="auto" w:fill="auto"/>
        <w:adjustRightInd w:val="0"/>
        <w:snapToGrid w:val="0"/>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2、中小企业部分提供其他中小企业制造货物的应另附说明，并与后面的报价一栏表保持一致。</w:t>
      </w:r>
    </w:p>
    <w:p>
      <w:pPr>
        <w:pStyle w:val="63"/>
        <w:shd w:val="clear" w:color="auto" w:fill="auto"/>
        <w:adjustRightInd w:val="0"/>
        <w:snapToGrid w:val="0"/>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3、未按上述要求提供、填写的，评审时不予以考虑。</w:t>
      </w:r>
    </w:p>
    <w:p>
      <w:pPr>
        <w:pStyle w:val="63"/>
        <w:adjustRightInd w:val="0"/>
        <w:snapToGrid w:val="0"/>
        <w:spacing w:line="360" w:lineRule="auto"/>
        <w:ind w:firstLine="600" w:firstLineChars="250"/>
        <w:rPr>
          <w:rFonts w:hint="eastAsia" w:ascii="宋体" w:hAnsi="宋体" w:cs="宋体"/>
          <w:color w:val="auto"/>
          <w:sz w:val="24"/>
          <w:szCs w:val="24"/>
          <w:highlight w:val="none"/>
        </w:rPr>
      </w:pPr>
    </w:p>
    <w:p>
      <w:pPr>
        <w:pStyle w:val="64"/>
        <w:spacing w:line="360" w:lineRule="auto"/>
        <w:ind w:firstLine="6000" w:firstLineChars="2500"/>
        <w:jc w:val="right"/>
        <w:rPr>
          <w:rFonts w:hint="eastAsia" w:ascii="宋体" w:hAnsi="宋体" w:cs="宋体"/>
          <w:color w:val="auto"/>
          <w:sz w:val="24"/>
          <w:highlight w:val="none"/>
        </w:rPr>
      </w:pPr>
    </w:p>
    <w:p>
      <w:pPr>
        <w:pStyle w:val="63"/>
        <w:spacing w:line="440" w:lineRule="exact"/>
        <w:ind w:firstLine="420"/>
        <w:jc w:val="center"/>
        <w:rPr>
          <w:rFonts w:hint="eastAsia" w:ascii="宋体" w:hAnsi="宋体" w:cs="宋体"/>
          <w:b/>
          <w:bCs/>
          <w:color w:val="auto"/>
          <w:spacing w:val="6"/>
          <w:kern w:val="0"/>
          <w:sz w:val="28"/>
          <w:szCs w:val="28"/>
          <w:highlight w:val="none"/>
        </w:rPr>
        <w:sectPr>
          <w:pgSz w:w="11906" w:h="16838"/>
          <w:pgMar w:top="1440" w:right="1797" w:bottom="1440" w:left="1797" w:header="851" w:footer="992" w:gutter="0"/>
          <w:pgNumType w:fmt="decimal"/>
          <w:cols w:space="720" w:num="1"/>
          <w:titlePg/>
          <w:docGrid w:type="lines" w:linePitch="312" w:charSpace="0"/>
        </w:sectPr>
      </w:pPr>
    </w:p>
    <w:p>
      <w:pPr>
        <w:pStyle w:val="63"/>
        <w:spacing w:line="440" w:lineRule="exact"/>
        <w:ind w:firstLine="420"/>
        <w:jc w:val="center"/>
        <w:rPr>
          <w:rFonts w:hint="eastAsia" w:ascii="宋体" w:hAnsi="宋体" w:cs="宋体"/>
          <w:b/>
          <w:bCs/>
          <w:color w:val="auto"/>
          <w:spacing w:val="6"/>
          <w:kern w:val="0"/>
          <w:sz w:val="28"/>
          <w:szCs w:val="28"/>
          <w:highlight w:val="none"/>
        </w:rPr>
      </w:pPr>
      <w:r>
        <w:rPr>
          <w:rFonts w:hint="eastAsia" w:ascii="宋体" w:hAnsi="宋体" w:cs="宋体"/>
          <w:b/>
          <w:bCs/>
          <w:color w:val="auto"/>
          <w:spacing w:val="6"/>
          <w:kern w:val="0"/>
          <w:sz w:val="28"/>
          <w:szCs w:val="28"/>
          <w:highlight w:val="none"/>
        </w:rPr>
        <w:t>2、残疾人福利性单位声明函</w:t>
      </w:r>
    </w:p>
    <w:p>
      <w:pPr>
        <w:pStyle w:val="64"/>
        <w:spacing w:line="588" w:lineRule="exact"/>
        <w:rPr>
          <w:rFonts w:hint="eastAsia" w:ascii="宋体" w:hAnsi="宋体" w:cs="宋体"/>
          <w:b/>
          <w:color w:val="auto"/>
          <w:spacing w:val="6"/>
          <w:sz w:val="30"/>
          <w:szCs w:val="30"/>
          <w:highlight w:val="none"/>
        </w:rPr>
      </w:pPr>
    </w:p>
    <w:p>
      <w:pPr>
        <w:pStyle w:val="64"/>
        <w:widowControl/>
        <w:adjustRightInd w:val="0"/>
        <w:snapToGrid w:val="0"/>
        <w:spacing w:before="156" w:beforeLines="50" w:line="360" w:lineRule="auto"/>
        <w:ind w:firstLine="504" w:firstLineChars="200"/>
        <w:jc w:val="left"/>
        <w:rPr>
          <w:rFonts w:hint="eastAsia" w:ascii="宋体" w:hAnsi="宋体" w:cs="宋体"/>
          <w:color w:val="auto"/>
          <w:spacing w:val="6"/>
          <w:kern w:val="0"/>
          <w:sz w:val="24"/>
          <w:highlight w:val="none"/>
        </w:rPr>
      </w:pPr>
      <w:r>
        <w:rPr>
          <w:rFonts w:hint="eastAsia" w:ascii="宋体" w:hAnsi="宋体" w:cs="宋体"/>
          <w:color w:val="auto"/>
          <w:spacing w:val="6"/>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64"/>
        <w:widowControl/>
        <w:adjustRightInd w:val="0"/>
        <w:snapToGrid w:val="0"/>
        <w:spacing w:before="156" w:beforeLines="50" w:line="360" w:lineRule="auto"/>
        <w:ind w:firstLine="504" w:firstLineChars="200"/>
        <w:jc w:val="left"/>
        <w:rPr>
          <w:rFonts w:hint="eastAsia" w:ascii="宋体" w:hAnsi="宋体" w:cs="宋体"/>
          <w:color w:val="auto"/>
          <w:spacing w:val="6"/>
          <w:kern w:val="0"/>
          <w:sz w:val="24"/>
          <w:highlight w:val="none"/>
        </w:rPr>
      </w:pPr>
      <w:r>
        <w:rPr>
          <w:rFonts w:hint="eastAsia" w:ascii="宋体" w:hAnsi="宋体" w:cs="宋体"/>
          <w:color w:val="auto"/>
          <w:spacing w:val="6"/>
          <w:kern w:val="0"/>
          <w:sz w:val="24"/>
          <w:highlight w:val="none"/>
        </w:rPr>
        <w:t>本单位对上述声明的真实性负责。如有虚假，将依法承担相应责任。</w:t>
      </w:r>
    </w:p>
    <w:p>
      <w:pPr>
        <w:pStyle w:val="64"/>
        <w:spacing w:line="588" w:lineRule="exact"/>
        <w:ind w:firstLine="504" w:firstLineChars="200"/>
        <w:rPr>
          <w:rFonts w:hint="eastAsia" w:ascii="宋体" w:hAnsi="宋体" w:cs="宋体"/>
          <w:color w:val="auto"/>
          <w:spacing w:val="6"/>
          <w:sz w:val="24"/>
          <w:highlight w:val="none"/>
        </w:rPr>
      </w:pPr>
    </w:p>
    <w:p>
      <w:pPr>
        <w:pStyle w:val="64"/>
        <w:widowControl/>
        <w:adjustRightInd w:val="0"/>
        <w:snapToGrid w:val="0"/>
        <w:spacing w:line="360" w:lineRule="auto"/>
        <w:rPr>
          <w:rFonts w:hint="eastAsia" w:ascii="宋体" w:hAnsi="宋体" w:cs="宋体"/>
          <w:color w:val="auto"/>
          <w:spacing w:val="6"/>
          <w:sz w:val="24"/>
          <w:highlight w:val="none"/>
        </w:rPr>
      </w:pPr>
    </w:p>
    <w:p>
      <w:pPr>
        <w:pStyle w:val="64"/>
        <w:widowControl/>
        <w:adjustRightInd w:val="0"/>
        <w:snapToGrid w:val="0"/>
        <w:spacing w:line="360" w:lineRule="auto"/>
        <w:ind w:firstLine="1386" w:firstLineChars="550"/>
        <w:rPr>
          <w:rFonts w:hint="eastAsia" w:ascii="宋体" w:hAnsi="宋体" w:cs="宋体"/>
          <w:color w:val="auto"/>
          <w:spacing w:val="6"/>
          <w:kern w:val="0"/>
          <w:sz w:val="24"/>
          <w:highlight w:val="none"/>
        </w:rPr>
      </w:pPr>
      <w:r>
        <w:rPr>
          <w:rFonts w:hint="eastAsia" w:ascii="宋体" w:hAnsi="宋体" w:cs="宋体"/>
          <w:color w:val="auto"/>
          <w:spacing w:val="6"/>
          <w:kern w:val="0"/>
          <w:sz w:val="24"/>
          <w:highlight w:val="none"/>
        </w:rPr>
        <w:t xml:space="preserve">供应商名称（盖单位章）： </w:t>
      </w:r>
    </w:p>
    <w:p>
      <w:pPr>
        <w:pStyle w:val="64"/>
        <w:spacing w:line="360" w:lineRule="auto"/>
        <w:ind w:right="504" w:firstLine="3654" w:firstLineChars="1450"/>
        <w:rPr>
          <w:rFonts w:hint="eastAsia" w:ascii="宋体" w:hAnsi="宋体" w:cs="宋体"/>
          <w:color w:val="auto"/>
          <w:sz w:val="24"/>
          <w:highlight w:val="none"/>
        </w:rPr>
      </w:pPr>
      <w:r>
        <w:rPr>
          <w:rFonts w:hint="eastAsia" w:ascii="宋体" w:hAnsi="宋体" w:cs="宋体"/>
          <w:color w:val="auto"/>
          <w:spacing w:val="6"/>
          <w:kern w:val="0"/>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63"/>
        <w:adjustRightInd w:val="0"/>
        <w:snapToGrid w:val="0"/>
        <w:spacing w:line="360" w:lineRule="auto"/>
        <w:ind w:right="24"/>
        <w:rPr>
          <w:rFonts w:hint="eastAsia" w:ascii="宋体" w:hAnsi="宋体" w:cs="宋体"/>
          <w:b/>
          <w:color w:val="auto"/>
          <w:highlight w:val="none"/>
        </w:rPr>
      </w:pPr>
    </w:p>
    <w:p>
      <w:pPr>
        <w:pStyle w:val="63"/>
        <w:spacing w:line="440" w:lineRule="exact"/>
        <w:ind w:firstLine="420"/>
        <w:jc w:val="center"/>
        <w:rPr>
          <w:rFonts w:hint="eastAsia" w:ascii="宋体" w:hAnsi="宋体" w:cs="宋体"/>
          <w:b/>
          <w:color w:val="auto"/>
          <w:highlight w:val="none"/>
        </w:rPr>
      </w:pPr>
    </w:p>
    <w:p>
      <w:pPr>
        <w:pStyle w:val="63"/>
        <w:spacing w:line="440" w:lineRule="exact"/>
        <w:ind w:firstLine="420"/>
        <w:jc w:val="center"/>
        <w:rPr>
          <w:rFonts w:hint="eastAsia" w:ascii="宋体" w:hAnsi="宋体" w:cs="宋体"/>
          <w:b/>
          <w:bCs/>
          <w:color w:val="auto"/>
          <w:spacing w:val="6"/>
          <w:kern w:val="0"/>
          <w:sz w:val="28"/>
          <w:szCs w:val="28"/>
          <w:highlight w:val="none"/>
        </w:rPr>
        <w:sectPr>
          <w:pgSz w:w="11906" w:h="16838"/>
          <w:pgMar w:top="1440" w:right="1797" w:bottom="1440" w:left="1797" w:header="851" w:footer="992" w:gutter="0"/>
          <w:pgNumType w:fmt="decimal"/>
          <w:cols w:space="720" w:num="1"/>
          <w:titlePg/>
          <w:docGrid w:type="lines" w:linePitch="312" w:charSpace="0"/>
        </w:sectPr>
      </w:pPr>
    </w:p>
    <w:p>
      <w:pPr>
        <w:pStyle w:val="63"/>
        <w:spacing w:line="440" w:lineRule="exact"/>
        <w:ind w:firstLine="420"/>
        <w:jc w:val="center"/>
        <w:rPr>
          <w:rFonts w:hint="eastAsia" w:ascii="宋体" w:hAnsi="宋体" w:cs="宋体"/>
          <w:b/>
          <w:color w:val="auto"/>
          <w:sz w:val="28"/>
          <w:szCs w:val="28"/>
          <w:highlight w:val="none"/>
        </w:rPr>
      </w:pPr>
      <w:r>
        <w:rPr>
          <w:rFonts w:hint="eastAsia" w:ascii="宋体" w:hAnsi="宋体" w:cs="宋体"/>
          <w:b/>
          <w:bCs/>
          <w:color w:val="auto"/>
          <w:spacing w:val="6"/>
          <w:kern w:val="0"/>
          <w:sz w:val="28"/>
          <w:szCs w:val="28"/>
          <w:highlight w:val="none"/>
        </w:rPr>
        <w:t>3、监狱企业证明材料</w:t>
      </w:r>
    </w:p>
    <w:p>
      <w:pPr>
        <w:pStyle w:val="63"/>
        <w:spacing w:line="440" w:lineRule="exact"/>
        <w:ind w:firstLine="420"/>
        <w:rPr>
          <w:rFonts w:hint="eastAsia" w:ascii="宋体" w:hAnsi="宋体" w:cs="宋体"/>
          <w:b/>
          <w:color w:val="auto"/>
          <w:highlight w:val="none"/>
        </w:rPr>
      </w:pPr>
    </w:p>
    <w:p>
      <w:pPr>
        <w:pStyle w:val="63"/>
        <w:spacing w:line="4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1.如属于监狱企业，需提供由省级以上监狱管理局、戒毒管理局（含新疆生产建设兵团）出具的属于监狱企业的证明文件；</w:t>
      </w:r>
    </w:p>
    <w:p>
      <w:pPr>
        <w:pStyle w:val="63"/>
        <w:spacing w:line="4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2.证明材料加盖供应商公章。</w:t>
      </w:r>
    </w:p>
    <w:p>
      <w:pPr>
        <w:pStyle w:val="35"/>
        <w:outlineLvl w:val="2"/>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p>
    <w:p>
      <w:pPr>
        <w:pStyle w:val="35"/>
        <w:outlineLvl w:val="2"/>
        <w:rPr>
          <w:rFonts w:hint="eastAsia" w:ascii="宋体" w:hAnsi="宋体" w:eastAsia="宋体" w:cs="宋体"/>
          <w:color w:val="auto"/>
          <w:highlight w:val="none"/>
        </w:rPr>
      </w:pPr>
      <w:bookmarkStart w:id="220" w:name="_Toc28611"/>
      <w:bookmarkStart w:id="221" w:name="_Toc10368"/>
      <w:r>
        <w:rPr>
          <w:rFonts w:hint="eastAsia" w:ascii="宋体" w:hAnsi="宋体" w:eastAsia="宋体" w:cs="宋体"/>
          <w:color w:val="auto"/>
          <w:highlight w:val="none"/>
        </w:rPr>
        <w:t>（九）、节能、环保产品明细表（如有）</w:t>
      </w:r>
      <w:bookmarkEnd w:id="220"/>
      <w:bookmarkEnd w:id="221"/>
    </w:p>
    <w:p>
      <w:pPr>
        <w:pStyle w:val="63"/>
        <w:spacing w:line="440" w:lineRule="exact"/>
        <w:ind w:firstLine="420"/>
        <w:rPr>
          <w:rFonts w:hint="eastAsia" w:ascii="宋体" w:hAnsi="宋体" w:cs="宋体"/>
          <w:color w:val="auto"/>
          <w:highlight w:val="none"/>
        </w:rPr>
      </w:pPr>
    </w:p>
    <w:p>
      <w:pPr>
        <w:pStyle w:val="63"/>
        <w:spacing w:line="440" w:lineRule="exact"/>
        <w:ind w:firstLine="420"/>
        <w:rPr>
          <w:rFonts w:hint="eastAsia" w:ascii="宋体" w:hAnsi="宋体" w:cs="宋体"/>
          <w:color w:val="auto"/>
          <w:highlight w:val="none"/>
        </w:rPr>
      </w:pPr>
    </w:p>
    <w:p>
      <w:pPr>
        <w:pStyle w:val="63"/>
        <w:spacing w:line="440" w:lineRule="exact"/>
        <w:ind w:firstLine="420"/>
        <w:rPr>
          <w:rFonts w:hint="eastAsia" w:ascii="宋体" w:hAnsi="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cs="宋体"/>
          <w:color w:val="auto"/>
          <w:highlight w:val="none"/>
        </w:rPr>
        <w:t>格式自拟</w:t>
      </w:r>
    </w:p>
    <w:p>
      <w:pPr>
        <w:pStyle w:val="35"/>
        <w:outlineLvl w:val="2"/>
        <w:rPr>
          <w:rFonts w:hint="eastAsia" w:ascii="宋体" w:hAnsi="宋体" w:eastAsia="宋体" w:cs="宋体"/>
          <w:color w:val="auto"/>
          <w:highlight w:val="none"/>
        </w:rPr>
      </w:pPr>
      <w:bookmarkStart w:id="222" w:name="_Toc9733"/>
      <w:bookmarkStart w:id="223" w:name="_Toc17785"/>
      <w:r>
        <w:rPr>
          <w:rFonts w:hint="eastAsia" w:ascii="宋体" w:hAnsi="宋体" w:eastAsia="宋体" w:cs="宋体"/>
          <w:color w:val="auto"/>
          <w:highlight w:val="none"/>
        </w:rPr>
        <w:t>（十）、供应商认为有必要提供的其他商务资料</w:t>
      </w:r>
      <w:bookmarkEnd w:id="222"/>
      <w:bookmarkEnd w:id="223"/>
    </w:p>
    <w:p>
      <w:pPr>
        <w:pStyle w:val="13"/>
        <w:shd w:val="clear" w:color="auto" w:fill="FFFFFF"/>
        <w:spacing w:line="360" w:lineRule="auto"/>
        <w:ind w:firstLine="480" w:firstLineChars="200"/>
        <w:rPr>
          <w:rFonts w:hint="eastAsia" w:ascii="宋体" w:hAnsi="宋体" w:eastAsia="宋体" w:cs="宋体"/>
          <w:color w:val="auto"/>
          <w:highlight w:val="none"/>
        </w:rPr>
      </w:pPr>
    </w:p>
    <w:p>
      <w:pPr>
        <w:pStyle w:val="13"/>
        <w:shd w:val="clear" w:color="auto" w:fill="FFFFFF"/>
        <w:spacing w:line="360" w:lineRule="auto"/>
        <w:ind w:firstLine="480" w:firstLineChars="200"/>
        <w:rPr>
          <w:rFonts w:hint="eastAsia" w:ascii="宋体" w:hAnsi="宋体" w:eastAsia="宋体" w:cs="宋体"/>
          <w:color w:val="auto"/>
          <w:highlight w:val="none"/>
        </w:rPr>
      </w:pPr>
    </w:p>
    <w:p>
      <w:pPr>
        <w:pStyle w:val="13"/>
        <w:shd w:val="clear" w:color="auto" w:fill="FFFFFF"/>
        <w:spacing w:line="360" w:lineRule="auto"/>
        <w:ind w:firstLine="480" w:firstLineChars="200"/>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color w:val="auto"/>
          <w:highlight w:val="none"/>
        </w:rPr>
        <w:t>格式自拟</w:t>
      </w:r>
    </w:p>
    <w:p>
      <w:pPr>
        <w:pStyle w:val="49"/>
        <w:outlineLvl w:val="1"/>
        <w:rPr>
          <w:rFonts w:hint="eastAsia" w:ascii="宋体" w:hAnsi="宋体" w:eastAsia="宋体" w:cs="宋体"/>
          <w:color w:val="auto"/>
          <w:highlight w:val="none"/>
        </w:rPr>
      </w:pPr>
      <w:bookmarkStart w:id="224" w:name="_Toc18309"/>
      <w:bookmarkStart w:id="225" w:name="_Toc21249"/>
      <w:r>
        <w:rPr>
          <w:rFonts w:hint="eastAsia" w:ascii="宋体" w:hAnsi="宋体" w:eastAsia="宋体" w:cs="宋体"/>
          <w:color w:val="auto"/>
          <w:highlight w:val="none"/>
        </w:rPr>
        <w:t>四、技术文件</w:t>
      </w:r>
      <w:bookmarkEnd w:id="224"/>
      <w:bookmarkEnd w:id="225"/>
    </w:p>
    <w:p>
      <w:pPr>
        <w:pStyle w:val="35"/>
        <w:outlineLvl w:val="2"/>
        <w:rPr>
          <w:rFonts w:hint="eastAsia" w:ascii="宋体" w:hAnsi="宋体" w:eastAsia="宋体" w:cs="宋体"/>
          <w:color w:val="auto"/>
          <w:highlight w:val="none"/>
        </w:rPr>
      </w:pPr>
      <w:bookmarkStart w:id="226" w:name="_Toc2410"/>
      <w:bookmarkStart w:id="227" w:name="_Toc28471"/>
      <w:r>
        <w:rPr>
          <w:rFonts w:hint="eastAsia" w:ascii="宋体" w:hAnsi="宋体" w:eastAsia="宋体" w:cs="宋体"/>
          <w:color w:val="auto"/>
          <w:highlight w:val="none"/>
        </w:rPr>
        <w:t>（一）、</w:t>
      </w:r>
      <w:bookmarkEnd w:id="217"/>
      <w:bookmarkStart w:id="228" w:name="_Hlk78746225"/>
      <w:r>
        <w:rPr>
          <w:rFonts w:hint="eastAsia" w:ascii="宋体" w:hAnsi="宋体" w:eastAsia="宋体" w:cs="宋体"/>
          <w:color w:val="auto"/>
          <w:highlight w:val="none"/>
        </w:rPr>
        <w:t>供应商自行编写的服务方案及相关文件</w:t>
      </w:r>
      <w:bookmarkEnd w:id="226"/>
      <w:bookmarkEnd w:id="227"/>
      <w:bookmarkEnd w:id="228"/>
    </w:p>
    <w:p>
      <w:pPr>
        <w:pStyle w:val="65"/>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包括但不限于以下内容、</w:t>
      </w:r>
      <w:r>
        <w:rPr>
          <w:rFonts w:hint="eastAsia" w:ascii="宋体" w:hAnsi="宋体" w:cs="宋体"/>
          <w:b/>
          <w:color w:val="auto"/>
          <w:sz w:val="24"/>
          <w:highlight w:val="none"/>
          <w:u w:val="single"/>
        </w:rPr>
        <w:t>建议按照评审标准提供相应资料</w:t>
      </w:r>
    </w:p>
    <w:p>
      <w:pPr>
        <w:pStyle w:val="65"/>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①针对本项目的项目需求理解（含项目背景、现状及存在问题、业务需求理解等）；</w:t>
      </w:r>
    </w:p>
    <w:p>
      <w:pPr>
        <w:pStyle w:val="65"/>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②简单方案说明及总体方案设计（按照技术服务要求提供整体及分项方案）；</w:t>
      </w:r>
    </w:p>
    <w:p>
      <w:pPr>
        <w:pStyle w:val="65"/>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③项目组织和管理；</w:t>
      </w:r>
    </w:p>
    <w:p>
      <w:pPr>
        <w:pStyle w:val="65"/>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④质量、进度、安全相关保障措施；</w:t>
      </w:r>
    </w:p>
    <w:p>
      <w:pPr>
        <w:pStyle w:val="65"/>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⑤项目管理机构：要求提供项目管理机构框图、人员配备方案及岗位职责和职业资格（含管理层的设置，主要技术人员的人数和职责，各部门的设置、职责和拟安排的人数）；</w:t>
      </w:r>
    </w:p>
    <w:p>
      <w:pPr>
        <w:pStyle w:val="65"/>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⑥完成服务所需的工具、设备等资源配置；</w:t>
      </w:r>
    </w:p>
    <w:p>
      <w:pPr>
        <w:pStyle w:val="66"/>
        <w:spacing w:line="360" w:lineRule="auto"/>
        <w:rPr>
          <w:rFonts w:hint="eastAsia" w:ascii="宋体" w:hAnsi="宋体" w:cs="宋体"/>
          <w:color w:val="auto"/>
          <w:sz w:val="24"/>
          <w:highlight w:val="none"/>
        </w:rPr>
      </w:pPr>
      <w:r>
        <w:rPr>
          <w:rFonts w:hint="eastAsia" w:ascii="宋体" w:hAnsi="宋体" w:cs="宋体"/>
          <w:color w:val="auto"/>
          <w:sz w:val="24"/>
          <w:highlight w:val="none"/>
        </w:rPr>
        <w:t>⑦后续服务的程序、内容、措施以及合理化建议；</w:t>
      </w:r>
    </w:p>
    <w:p>
      <w:pPr>
        <w:pStyle w:val="66"/>
        <w:spacing w:line="360" w:lineRule="auto"/>
        <w:rPr>
          <w:rFonts w:hint="eastAsia" w:ascii="宋体" w:hAnsi="宋体" w:cs="宋体"/>
          <w:color w:val="auto"/>
          <w:sz w:val="24"/>
          <w:highlight w:val="none"/>
        </w:rPr>
      </w:pPr>
      <w:r>
        <w:rPr>
          <w:rFonts w:hint="eastAsia" w:ascii="宋体" w:hAnsi="宋体" w:cs="宋体"/>
          <w:color w:val="auto"/>
          <w:sz w:val="24"/>
          <w:highlight w:val="none"/>
        </w:rPr>
        <w:t>⑧响应时间和技术支持情况；</w:t>
      </w: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sectPr>
          <w:pgSz w:w="11906" w:h="16838"/>
          <w:pgMar w:top="1440" w:right="1106" w:bottom="1440" w:left="1800" w:header="851" w:footer="752" w:gutter="0"/>
          <w:pgNumType w:fmt="decimal"/>
          <w:cols w:space="720" w:num="1"/>
          <w:docGrid w:type="lines" w:linePitch="312" w:charSpace="0"/>
        </w:sect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65"/>
        <w:spacing w:line="360" w:lineRule="auto"/>
        <w:rPr>
          <w:rFonts w:hint="eastAsia" w:ascii="宋体" w:hAnsi="宋体" w:cs="宋体"/>
          <w:bCs/>
          <w:color w:val="auto"/>
          <w:sz w:val="24"/>
          <w:highlight w:val="none"/>
        </w:rPr>
      </w:pPr>
    </w:p>
    <w:p>
      <w:pPr>
        <w:pStyle w:val="35"/>
        <w:outlineLvl w:val="2"/>
        <w:rPr>
          <w:rFonts w:hint="eastAsia" w:ascii="宋体" w:hAnsi="宋体" w:eastAsia="宋体" w:cs="宋体"/>
          <w:color w:val="auto"/>
          <w:highlight w:val="none"/>
        </w:rPr>
      </w:pPr>
      <w:bookmarkStart w:id="229" w:name="_Toc14789"/>
      <w:bookmarkStart w:id="230" w:name="_Toc13009"/>
      <w:r>
        <w:rPr>
          <w:rFonts w:hint="eastAsia" w:ascii="宋体" w:hAnsi="宋体" w:eastAsia="宋体" w:cs="宋体"/>
          <w:color w:val="auto"/>
          <w:highlight w:val="none"/>
        </w:rPr>
        <w:t>（二）、</w:t>
      </w:r>
      <w:bookmarkStart w:id="231" w:name="_Hlk78746508"/>
      <w:r>
        <w:rPr>
          <w:rFonts w:hint="eastAsia" w:ascii="宋体" w:hAnsi="宋体" w:eastAsia="宋体" w:cs="宋体"/>
          <w:color w:val="auto"/>
          <w:highlight w:val="none"/>
        </w:rPr>
        <w:t>技术规范偏离表</w:t>
      </w:r>
      <w:bookmarkEnd w:id="231"/>
      <w:r>
        <w:rPr>
          <w:rFonts w:hint="eastAsia" w:ascii="宋体" w:hAnsi="宋体" w:eastAsia="宋体" w:cs="宋体"/>
          <w:color w:val="auto"/>
          <w:highlight w:val="none"/>
        </w:rPr>
        <w:t>；</w:t>
      </w:r>
      <w:bookmarkEnd w:id="229"/>
      <w:bookmarkEnd w:id="230"/>
    </w:p>
    <w:p>
      <w:pPr>
        <w:pStyle w:val="67"/>
        <w:spacing w:line="360" w:lineRule="auto"/>
        <w:ind w:left="0" w:leftChars="0"/>
        <w:rPr>
          <w:rFonts w:hint="eastAsia" w:ascii="宋体" w:hAnsi="宋体" w:cs="宋体"/>
          <w:color w:val="auto"/>
          <w:highlight w:val="none"/>
        </w:rPr>
      </w:pPr>
      <w:r>
        <w:rPr>
          <w:rFonts w:hint="eastAsia" w:ascii="宋体" w:hAnsi="宋体" w:cs="宋体"/>
          <w:color w:val="auto"/>
          <w:highlight w:val="none"/>
        </w:rPr>
        <w:t>项目编号、包号：</w:t>
      </w:r>
      <w:r>
        <w:rPr>
          <w:rFonts w:hint="eastAsia" w:ascii="宋体" w:hAnsi="宋体" w:cs="宋体"/>
          <w:color w:val="auto"/>
          <w:highlight w:val="none"/>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pPr>
              <w:pStyle w:val="65"/>
              <w:tabs>
                <w:tab w:val="left" w:pos="1337"/>
              </w:tabs>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2101" w:type="dxa"/>
            <w:tcBorders>
              <w:top w:val="single" w:color="auto" w:sz="12" w:space="0"/>
            </w:tcBorders>
            <w:vAlign w:val="center"/>
          </w:tcPr>
          <w:p>
            <w:pPr>
              <w:pStyle w:val="65"/>
              <w:tabs>
                <w:tab w:val="left" w:pos="1337"/>
              </w:tabs>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服务名称及编号</w:t>
            </w:r>
          </w:p>
        </w:tc>
        <w:tc>
          <w:tcPr>
            <w:tcW w:w="1021" w:type="dxa"/>
            <w:tcBorders>
              <w:top w:val="single" w:color="auto" w:sz="12" w:space="0"/>
            </w:tcBorders>
            <w:vAlign w:val="center"/>
          </w:tcPr>
          <w:p>
            <w:pPr>
              <w:pStyle w:val="65"/>
              <w:tabs>
                <w:tab w:val="left" w:pos="1337"/>
              </w:tabs>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数量</w:t>
            </w:r>
          </w:p>
        </w:tc>
        <w:tc>
          <w:tcPr>
            <w:tcW w:w="1707" w:type="dxa"/>
            <w:tcBorders>
              <w:top w:val="single" w:color="auto" w:sz="12" w:space="0"/>
            </w:tcBorders>
            <w:vAlign w:val="center"/>
          </w:tcPr>
          <w:p>
            <w:pPr>
              <w:pStyle w:val="65"/>
              <w:tabs>
                <w:tab w:val="left" w:pos="1337"/>
              </w:tabs>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磋商文件技术规范、要求</w:t>
            </w:r>
          </w:p>
        </w:tc>
        <w:tc>
          <w:tcPr>
            <w:tcW w:w="1337" w:type="dxa"/>
            <w:tcBorders>
              <w:top w:val="single" w:color="auto" w:sz="12" w:space="0"/>
            </w:tcBorders>
            <w:vAlign w:val="center"/>
          </w:tcPr>
          <w:p>
            <w:pPr>
              <w:pStyle w:val="65"/>
              <w:tabs>
                <w:tab w:val="left" w:pos="1337"/>
              </w:tabs>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响应文件对应规范</w:t>
            </w:r>
          </w:p>
        </w:tc>
        <w:tc>
          <w:tcPr>
            <w:tcW w:w="1337" w:type="dxa"/>
            <w:tcBorders>
              <w:top w:val="single" w:color="auto" w:sz="12" w:space="0"/>
            </w:tcBorders>
            <w:vAlign w:val="center"/>
          </w:tcPr>
          <w:p>
            <w:pPr>
              <w:pStyle w:val="65"/>
              <w:tabs>
                <w:tab w:val="left" w:pos="1337"/>
              </w:tabs>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偏差</w:t>
            </w:r>
          </w:p>
        </w:tc>
        <w:tc>
          <w:tcPr>
            <w:tcW w:w="977" w:type="dxa"/>
            <w:tcBorders>
              <w:top w:val="single" w:color="auto" w:sz="12" w:space="0"/>
              <w:right w:val="single" w:color="auto" w:sz="12" w:space="0"/>
            </w:tcBorders>
            <w:vAlign w:val="center"/>
          </w:tcPr>
          <w:p>
            <w:pPr>
              <w:pStyle w:val="65"/>
              <w:tabs>
                <w:tab w:val="left" w:pos="1337"/>
              </w:tabs>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pPr>
              <w:pStyle w:val="65"/>
              <w:tabs>
                <w:tab w:val="left" w:pos="1337"/>
              </w:tabs>
              <w:spacing w:line="360" w:lineRule="auto"/>
              <w:jc w:val="center"/>
              <w:rPr>
                <w:rFonts w:hint="eastAsia" w:ascii="宋体" w:hAnsi="宋体" w:cs="宋体"/>
                <w:color w:val="auto"/>
                <w:sz w:val="24"/>
                <w:highlight w:val="none"/>
              </w:rPr>
            </w:pPr>
          </w:p>
        </w:tc>
        <w:tc>
          <w:tcPr>
            <w:tcW w:w="2101" w:type="dxa"/>
            <w:vAlign w:val="center"/>
          </w:tcPr>
          <w:p>
            <w:pPr>
              <w:pStyle w:val="65"/>
              <w:tabs>
                <w:tab w:val="left" w:pos="1337"/>
              </w:tabs>
              <w:spacing w:line="360" w:lineRule="auto"/>
              <w:jc w:val="center"/>
              <w:rPr>
                <w:rFonts w:hint="eastAsia" w:ascii="宋体" w:hAnsi="宋体" w:cs="宋体"/>
                <w:color w:val="auto"/>
                <w:sz w:val="24"/>
                <w:highlight w:val="none"/>
              </w:rPr>
            </w:pPr>
          </w:p>
        </w:tc>
        <w:tc>
          <w:tcPr>
            <w:tcW w:w="1021" w:type="dxa"/>
            <w:vAlign w:val="center"/>
          </w:tcPr>
          <w:p>
            <w:pPr>
              <w:pStyle w:val="65"/>
              <w:tabs>
                <w:tab w:val="left" w:pos="1337"/>
              </w:tabs>
              <w:spacing w:line="360" w:lineRule="auto"/>
              <w:jc w:val="center"/>
              <w:rPr>
                <w:rFonts w:hint="eastAsia" w:ascii="宋体" w:hAnsi="宋体" w:cs="宋体"/>
                <w:color w:val="auto"/>
                <w:sz w:val="24"/>
                <w:highlight w:val="none"/>
              </w:rPr>
            </w:pPr>
          </w:p>
        </w:tc>
        <w:tc>
          <w:tcPr>
            <w:tcW w:w="1707" w:type="dxa"/>
            <w:vAlign w:val="center"/>
          </w:tcPr>
          <w:p>
            <w:pPr>
              <w:pStyle w:val="65"/>
              <w:tabs>
                <w:tab w:val="left" w:pos="1337"/>
              </w:tabs>
              <w:spacing w:line="360" w:lineRule="auto"/>
              <w:jc w:val="center"/>
              <w:rPr>
                <w:rFonts w:hint="eastAsia" w:ascii="宋体" w:hAnsi="宋体" w:cs="宋体"/>
                <w:color w:val="auto"/>
                <w:sz w:val="24"/>
                <w:highlight w:val="none"/>
              </w:rPr>
            </w:pPr>
          </w:p>
        </w:tc>
        <w:tc>
          <w:tcPr>
            <w:tcW w:w="1337" w:type="dxa"/>
            <w:vAlign w:val="center"/>
          </w:tcPr>
          <w:p>
            <w:pPr>
              <w:pStyle w:val="65"/>
              <w:tabs>
                <w:tab w:val="left" w:pos="1337"/>
              </w:tabs>
              <w:spacing w:line="360" w:lineRule="auto"/>
              <w:jc w:val="center"/>
              <w:rPr>
                <w:rFonts w:hint="eastAsia" w:ascii="宋体" w:hAnsi="宋体" w:cs="宋体"/>
                <w:color w:val="auto"/>
                <w:sz w:val="24"/>
                <w:highlight w:val="none"/>
              </w:rPr>
            </w:pPr>
          </w:p>
        </w:tc>
        <w:tc>
          <w:tcPr>
            <w:tcW w:w="1337" w:type="dxa"/>
            <w:vAlign w:val="center"/>
          </w:tcPr>
          <w:p>
            <w:pPr>
              <w:pStyle w:val="65"/>
              <w:tabs>
                <w:tab w:val="left" w:pos="1337"/>
              </w:tabs>
              <w:spacing w:line="360" w:lineRule="auto"/>
              <w:jc w:val="center"/>
              <w:rPr>
                <w:rFonts w:hint="eastAsia" w:ascii="宋体" w:hAnsi="宋体" w:cs="宋体"/>
                <w:color w:val="auto"/>
                <w:sz w:val="24"/>
                <w:highlight w:val="none"/>
              </w:rPr>
            </w:pPr>
          </w:p>
        </w:tc>
        <w:tc>
          <w:tcPr>
            <w:tcW w:w="977" w:type="dxa"/>
            <w:tcBorders>
              <w:right w:val="single" w:color="auto" w:sz="12" w:space="0"/>
            </w:tcBorders>
            <w:vAlign w:val="center"/>
          </w:tcPr>
          <w:p>
            <w:pPr>
              <w:pStyle w:val="65"/>
              <w:tabs>
                <w:tab w:val="left" w:pos="1337"/>
              </w:tabs>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pPr>
              <w:pStyle w:val="65"/>
              <w:tabs>
                <w:tab w:val="left" w:pos="1337"/>
              </w:tabs>
              <w:spacing w:line="360" w:lineRule="auto"/>
              <w:jc w:val="center"/>
              <w:rPr>
                <w:rFonts w:hint="eastAsia" w:ascii="宋体" w:hAnsi="宋体" w:cs="宋体"/>
                <w:color w:val="auto"/>
                <w:sz w:val="24"/>
                <w:highlight w:val="none"/>
              </w:rPr>
            </w:pPr>
          </w:p>
        </w:tc>
        <w:tc>
          <w:tcPr>
            <w:tcW w:w="2101" w:type="dxa"/>
            <w:vAlign w:val="center"/>
          </w:tcPr>
          <w:p>
            <w:pPr>
              <w:pStyle w:val="65"/>
              <w:tabs>
                <w:tab w:val="left" w:pos="1337"/>
              </w:tabs>
              <w:spacing w:line="360" w:lineRule="auto"/>
              <w:jc w:val="center"/>
              <w:rPr>
                <w:rFonts w:hint="eastAsia" w:ascii="宋体" w:hAnsi="宋体" w:cs="宋体"/>
                <w:color w:val="auto"/>
                <w:sz w:val="24"/>
                <w:highlight w:val="none"/>
              </w:rPr>
            </w:pPr>
          </w:p>
        </w:tc>
        <w:tc>
          <w:tcPr>
            <w:tcW w:w="1021" w:type="dxa"/>
            <w:vAlign w:val="center"/>
          </w:tcPr>
          <w:p>
            <w:pPr>
              <w:pStyle w:val="65"/>
              <w:tabs>
                <w:tab w:val="left" w:pos="1337"/>
              </w:tabs>
              <w:spacing w:line="360" w:lineRule="auto"/>
              <w:jc w:val="center"/>
              <w:rPr>
                <w:rFonts w:hint="eastAsia" w:ascii="宋体" w:hAnsi="宋体" w:cs="宋体"/>
                <w:color w:val="auto"/>
                <w:sz w:val="24"/>
                <w:highlight w:val="none"/>
              </w:rPr>
            </w:pPr>
          </w:p>
        </w:tc>
        <w:tc>
          <w:tcPr>
            <w:tcW w:w="1707" w:type="dxa"/>
            <w:vAlign w:val="center"/>
          </w:tcPr>
          <w:p>
            <w:pPr>
              <w:pStyle w:val="65"/>
              <w:tabs>
                <w:tab w:val="left" w:pos="1337"/>
              </w:tabs>
              <w:spacing w:line="360" w:lineRule="auto"/>
              <w:jc w:val="center"/>
              <w:rPr>
                <w:rFonts w:hint="eastAsia" w:ascii="宋体" w:hAnsi="宋体" w:cs="宋体"/>
                <w:color w:val="auto"/>
                <w:sz w:val="24"/>
                <w:highlight w:val="none"/>
              </w:rPr>
            </w:pPr>
          </w:p>
        </w:tc>
        <w:tc>
          <w:tcPr>
            <w:tcW w:w="1337" w:type="dxa"/>
            <w:vAlign w:val="center"/>
          </w:tcPr>
          <w:p>
            <w:pPr>
              <w:pStyle w:val="65"/>
              <w:tabs>
                <w:tab w:val="left" w:pos="1337"/>
              </w:tabs>
              <w:spacing w:line="360" w:lineRule="auto"/>
              <w:jc w:val="center"/>
              <w:rPr>
                <w:rFonts w:hint="eastAsia" w:ascii="宋体" w:hAnsi="宋体" w:cs="宋体"/>
                <w:color w:val="auto"/>
                <w:sz w:val="24"/>
                <w:highlight w:val="none"/>
              </w:rPr>
            </w:pPr>
          </w:p>
        </w:tc>
        <w:tc>
          <w:tcPr>
            <w:tcW w:w="1337" w:type="dxa"/>
            <w:vAlign w:val="center"/>
          </w:tcPr>
          <w:p>
            <w:pPr>
              <w:pStyle w:val="65"/>
              <w:tabs>
                <w:tab w:val="left" w:pos="1337"/>
              </w:tabs>
              <w:spacing w:line="360" w:lineRule="auto"/>
              <w:jc w:val="center"/>
              <w:rPr>
                <w:rFonts w:hint="eastAsia" w:ascii="宋体" w:hAnsi="宋体" w:cs="宋体"/>
                <w:color w:val="auto"/>
                <w:sz w:val="24"/>
                <w:highlight w:val="none"/>
              </w:rPr>
            </w:pPr>
          </w:p>
        </w:tc>
        <w:tc>
          <w:tcPr>
            <w:tcW w:w="977" w:type="dxa"/>
            <w:tcBorders>
              <w:right w:val="single" w:color="auto" w:sz="12" w:space="0"/>
            </w:tcBorders>
            <w:vAlign w:val="center"/>
          </w:tcPr>
          <w:p>
            <w:pPr>
              <w:pStyle w:val="65"/>
              <w:tabs>
                <w:tab w:val="left" w:pos="1337"/>
              </w:tabs>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bottom w:val="single" w:color="auto" w:sz="12" w:space="0"/>
            </w:tcBorders>
            <w:vAlign w:val="center"/>
          </w:tcPr>
          <w:p>
            <w:pPr>
              <w:pStyle w:val="65"/>
              <w:tabs>
                <w:tab w:val="left" w:pos="1337"/>
              </w:tabs>
              <w:spacing w:line="360" w:lineRule="auto"/>
              <w:jc w:val="center"/>
              <w:rPr>
                <w:rFonts w:hint="eastAsia" w:ascii="宋体" w:hAnsi="宋体" w:cs="宋体"/>
                <w:color w:val="auto"/>
                <w:sz w:val="24"/>
                <w:highlight w:val="none"/>
              </w:rPr>
            </w:pPr>
          </w:p>
        </w:tc>
        <w:tc>
          <w:tcPr>
            <w:tcW w:w="2101" w:type="dxa"/>
            <w:tcBorders>
              <w:bottom w:val="single" w:color="auto" w:sz="12" w:space="0"/>
            </w:tcBorders>
            <w:vAlign w:val="center"/>
          </w:tcPr>
          <w:p>
            <w:pPr>
              <w:pStyle w:val="65"/>
              <w:tabs>
                <w:tab w:val="left" w:pos="1337"/>
              </w:tabs>
              <w:spacing w:line="360" w:lineRule="auto"/>
              <w:jc w:val="center"/>
              <w:rPr>
                <w:rFonts w:hint="eastAsia" w:ascii="宋体" w:hAnsi="宋体" w:cs="宋体"/>
                <w:color w:val="auto"/>
                <w:sz w:val="24"/>
                <w:highlight w:val="none"/>
              </w:rPr>
            </w:pPr>
          </w:p>
        </w:tc>
        <w:tc>
          <w:tcPr>
            <w:tcW w:w="1021" w:type="dxa"/>
            <w:tcBorders>
              <w:bottom w:val="single" w:color="auto" w:sz="12" w:space="0"/>
            </w:tcBorders>
            <w:vAlign w:val="center"/>
          </w:tcPr>
          <w:p>
            <w:pPr>
              <w:pStyle w:val="65"/>
              <w:tabs>
                <w:tab w:val="left" w:pos="1337"/>
              </w:tabs>
              <w:spacing w:line="360" w:lineRule="auto"/>
              <w:jc w:val="center"/>
              <w:rPr>
                <w:rFonts w:hint="eastAsia" w:ascii="宋体" w:hAnsi="宋体" w:cs="宋体"/>
                <w:color w:val="auto"/>
                <w:sz w:val="24"/>
                <w:highlight w:val="none"/>
              </w:rPr>
            </w:pPr>
          </w:p>
        </w:tc>
        <w:tc>
          <w:tcPr>
            <w:tcW w:w="1707" w:type="dxa"/>
            <w:tcBorders>
              <w:bottom w:val="single" w:color="auto" w:sz="12" w:space="0"/>
            </w:tcBorders>
            <w:vAlign w:val="center"/>
          </w:tcPr>
          <w:p>
            <w:pPr>
              <w:pStyle w:val="65"/>
              <w:tabs>
                <w:tab w:val="left" w:pos="1337"/>
              </w:tabs>
              <w:spacing w:line="360" w:lineRule="auto"/>
              <w:jc w:val="center"/>
              <w:rPr>
                <w:rFonts w:hint="eastAsia" w:ascii="宋体" w:hAnsi="宋体" w:cs="宋体"/>
                <w:color w:val="auto"/>
                <w:sz w:val="24"/>
                <w:highlight w:val="none"/>
              </w:rPr>
            </w:pPr>
          </w:p>
        </w:tc>
        <w:tc>
          <w:tcPr>
            <w:tcW w:w="1337" w:type="dxa"/>
            <w:tcBorders>
              <w:bottom w:val="single" w:color="auto" w:sz="12" w:space="0"/>
            </w:tcBorders>
            <w:vAlign w:val="center"/>
          </w:tcPr>
          <w:p>
            <w:pPr>
              <w:pStyle w:val="65"/>
              <w:tabs>
                <w:tab w:val="left" w:pos="1337"/>
              </w:tabs>
              <w:spacing w:line="360" w:lineRule="auto"/>
              <w:jc w:val="center"/>
              <w:rPr>
                <w:rFonts w:hint="eastAsia" w:ascii="宋体" w:hAnsi="宋体" w:cs="宋体"/>
                <w:color w:val="auto"/>
                <w:sz w:val="24"/>
                <w:highlight w:val="none"/>
              </w:rPr>
            </w:pPr>
          </w:p>
        </w:tc>
        <w:tc>
          <w:tcPr>
            <w:tcW w:w="1337" w:type="dxa"/>
            <w:tcBorders>
              <w:bottom w:val="single" w:color="auto" w:sz="12" w:space="0"/>
            </w:tcBorders>
            <w:vAlign w:val="center"/>
          </w:tcPr>
          <w:p>
            <w:pPr>
              <w:pStyle w:val="65"/>
              <w:tabs>
                <w:tab w:val="left" w:pos="1337"/>
              </w:tabs>
              <w:spacing w:line="360" w:lineRule="auto"/>
              <w:jc w:val="center"/>
              <w:rPr>
                <w:rFonts w:hint="eastAsia" w:ascii="宋体" w:hAnsi="宋体" w:cs="宋体"/>
                <w:color w:val="auto"/>
                <w:sz w:val="24"/>
                <w:highlight w:val="none"/>
              </w:rPr>
            </w:pPr>
          </w:p>
        </w:tc>
        <w:tc>
          <w:tcPr>
            <w:tcW w:w="977" w:type="dxa"/>
            <w:tcBorders>
              <w:bottom w:val="single" w:color="auto" w:sz="12" w:space="0"/>
              <w:right w:val="single" w:color="auto" w:sz="12" w:space="0"/>
            </w:tcBorders>
            <w:vAlign w:val="center"/>
          </w:tcPr>
          <w:p>
            <w:pPr>
              <w:pStyle w:val="65"/>
              <w:tabs>
                <w:tab w:val="left" w:pos="1337"/>
              </w:tabs>
              <w:spacing w:line="360" w:lineRule="auto"/>
              <w:jc w:val="center"/>
              <w:rPr>
                <w:rFonts w:hint="eastAsia" w:ascii="宋体" w:hAnsi="宋体" w:cs="宋体"/>
                <w:color w:val="auto"/>
                <w:sz w:val="24"/>
                <w:highlight w:val="none"/>
              </w:rPr>
            </w:pPr>
          </w:p>
        </w:tc>
      </w:tr>
    </w:tbl>
    <w:p>
      <w:pPr>
        <w:pStyle w:val="65"/>
        <w:spacing w:line="360" w:lineRule="auto"/>
        <w:ind w:left="2"/>
        <w:rPr>
          <w:rFonts w:hint="eastAsia" w:ascii="宋体" w:hAnsi="宋体" w:cs="宋体"/>
          <w:color w:val="auto"/>
          <w:sz w:val="24"/>
          <w:highlight w:val="none"/>
        </w:rPr>
      </w:pPr>
      <w:r>
        <w:rPr>
          <w:rFonts w:hint="eastAsia" w:ascii="宋体" w:hAnsi="宋体" w:cs="宋体"/>
          <w:color w:val="auto"/>
          <w:sz w:val="24"/>
          <w:highlight w:val="none"/>
        </w:rPr>
        <w:t>说明：如供应商提交的服务技术规范与磋商文件的要求存在偏离，需逐项填写《技术规范偏离表》。</w:t>
      </w:r>
    </w:p>
    <w:p>
      <w:pPr>
        <w:pStyle w:val="68"/>
        <w:spacing w:before="0" w:after="0" w:line="360" w:lineRule="auto"/>
        <w:ind w:right="960"/>
        <w:rPr>
          <w:rFonts w:hint="eastAsia" w:ascii="宋体" w:hAnsi="宋体" w:eastAsia="宋体" w:cs="宋体"/>
          <w:color w:val="auto"/>
          <w:sz w:val="24"/>
          <w:szCs w:val="24"/>
          <w:highlight w:val="none"/>
        </w:rPr>
      </w:pPr>
    </w:p>
    <w:p>
      <w:pPr>
        <w:pStyle w:val="68"/>
        <w:spacing w:before="0" w:after="0" w:line="360" w:lineRule="auto"/>
        <w:ind w:right="17"/>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69"/>
        <w:outlineLvl w:val="2"/>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Start w:id="232" w:name="_Toc8825"/>
      <w:bookmarkStart w:id="233" w:name="_Toc21446"/>
      <w:r>
        <w:rPr>
          <w:rFonts w:hint="eastAsia" w:ascii="宋体" w:hAnsi="宋体" w:eastAsia="宋体" w:cs="宋体"/>
          <w:color w:val="auto"/>
          <w:highlight w:val="none"/>
        </w:rPr>
        <w:t>（三）、</w:t>
      </w:r>
      <w:bookmarkStart w:id="234" w:name="_Hlk78746520"/>
      <w:r>
        <w:rPr>
          <w:rFonts w:hint="eastAsia" w:ascii="宋体" w:hAnsi="宋体" w:eastAsia="宋体" w:cs="宋体"/>
          <w:color w:val="auto"/>
          <w:highlight w:val="none"/>
        </w:rPr>
        <w:t>供应商认为有必要提供的其他技术内容</w:t>
      </w:r>
      <w:bookmarkEnd w:id="232"/>
      <w:bookmarkEnd w:id="233"/>
      <w:r>
        <w:rPr>
          <w:rFonts w:hint="eastAsia" w:ascii="宋体" w:hAnsi="宋体" w:eastAsia="宋体" w:cs="宋体"/>
          <w:color w:val="auto"/>
          <w:sz w:val="24"/>
          <w:highlight w:val="none"/>
        </w:rPr>
        <w:t xml:space="preserve"> </w:t>
      </w:r>
    </w:p>
    <w:bookmarkEnd w:id="234"/>
    <w:p>
      <w:pPr>
        <w:pStyle w:val="66"/>
        <w:spacing w:line="360" w:lineRule="auto"/>
        <w:rPr>
          <w:rFonts w:hint="eastAsia" w:ascii="宋体" w:hAnsi="宋体" w:cs="宋体"/>
          <w:color w:val="auto"/>
          <w:sz w:val="24"/>
          <w:highlight w:val="none"/>
        </w:rPr>
      </w:pPr>
      <w:r>
        <w:rPr>
          <w:rFonts w:hint="eastAsia" w:ascii="宋体" w:hAnsi="宋体" w:cs="宋体"/>
          <w:color w:val="auto"/>
          <w:sz w:val="24"/>
          <w:highlight w:val="none"/>
        </w:rPr>
        <w:t>格式内容自拟</w:t>
      </w:r>
    </w:p>
    <w:p>
      <w:pPr>
        <w:pStyle w:val="49"/>
        <w:outlineLvl w:val="1"/>
        <w:rPr>
          <w:rFonts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35" w:name="_Toc23924"/>
      <w:bookmarkStart w:id="236" w:name="_Toc6685"/>
      <w:r>
        <w:rPr>
          <w:rFonts w:hint="eastAsia" w:ascii="宋体" w:hAnsi="宋体" w:eastAsia="宋体" w:cs="宋体"/>
          <w:color w:val="auto"/>
          <w:highlight w:val="none"/>
        </w:rPr>
        <w:t>五、其他资料</w:t>
      </w:r>
      <w:bookmarkEnd w:id="235"/>
      <w:bookmarkEnd w:id="236"/>
    </w:p>
    <w:p>
      <w:pPr>
        <w:pStyle w:val="66"/>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供应商认为有必要提供的其他资料，格式自拟</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color w:val="auto"/>
          <w:highlight w:val="none"/>
        </w:rPr>
      </w:pPr>
    </w:p>
    <w:sectPr>
      <w:pgSz w:w="11906" w:h="16838"/>
      <w:pgMar w:top="1440" w:right="1106" w:bottom="1440" w:left="1800" w:header="851" w:footer="75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SimSun">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黑体;SimHei">
    <w:altName w:val="黑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rect>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2"/>
      <w:numFmt w:val="chineseCounting"/>
      <w:suff w:val="space"/>
      <w:lvlText w:val="第%1章"/>
      <w:lvlJc w:val="left"/>
      <w:rPr>
        <w:rFonts w:hint="eastAsia"/>
      </w:rPr>
    </w:lvl>
  </w:abstractNum>
  <w:abstractNum w:abstractNumId="4">
    <w:nsid w:val="00000004"/>
    <w:multiLevelType w:val="multilevel"/>
    <w:tmpl w:val="00000004"/>
    <w:lvl w:ilvl="0" w:tentative="0">
      <w:start w:val="1"/>
      <w:numFmt w:val="none"/>
      <w:suff w:val="nothing"/>
      <w:lvlText w:val=""/>
      <w:lvlJc w:val="left"/>
    </w:lvl>
    <w:lvl w:ilvl="1" w:tentative="0">
      <w:start w:val="1"/>
      <w:numFmt w:val="none"/>
      <w:pStyle w:val="30"/>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chineseCounting"/>
      <w:suff w:val="space"/>
      <w:lvlText w:val="第%1章"/>
      <w:lvlJc w:val="left"/>
      <w:rPr>
        <w:rFonts w:hint="eastAsia"/>
      </w:rPr>
    </w:lvl>
  </w:abstractNum>
  <w:abstractNum w:abstractNumId="7">
    <w:nsid w:val="00000007"/>
    <w:multiLevelType w:val="singleLevel"/>
    <w:tmpl w:val="00000007"/>
    <w:lvl w:ilvl="0" w:tentative="0">
      <w:start w:val="1"/>
      <w:numFmt w:val="chineseCounting"/>
      <w:suff w:val="space"/>
      <w:lvlText w:val="%1、"/>
      <w:lvlJc w:val="left"/>
      <w:rPr>
        <w:rFonts w:hint="eastAsia"/>
      </w:rPr>
    </w:lvl>
  </w:abstractNum>
  <w:num w:numId="1">
    <w:abstractNumId w:val="4"/>
  </w:num>
  <w:num w:numId="2">
    <w:abstractNumId w:val="6"/>
  </w:num>
  <w:num w:numId="3">
    <w:abstractNumId w:val="3"/>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MjllMzBjNzU2MzRmNWMwZmY5ODE4ZDQxOTFjMWIifQ=="/>
  </w:docVars>
  <w:rsids>
    <w:rsidRoot w:val="00000000"/>
    <w:rsid w:val="06224324"/>
    <w:rsid w:val="1B4D5548"/>
    <w:rsid w:val="3A5B2DF8"/>
    <w:rsid w:val="3E3B8660"/>
    <w:rsid w:val="3F666394"/>
    <w:rsid w:val="3FFDEA7B"/>
    <w:rsid w:val="415D6A70"/>
    <w:rsid w:val="50957795"/>
    <w:rsid w:val="536A6745"/>
    <w:rsid w:val="5F6EEB2E"/>
    <w:rsid w:val="5FD62856"/>
    <w:rsid w:val="6BDEACFD"/>
    <w:rsid w:val="75D35882"/>
    <w:rsid w:val="77935205"/>
    <w:rsid w:val="77FBD999"/>
    <w:rsid w:val="7F344FAA"/>
    <w:rsid w:val="BFFF76E1"/>
    <w:rsid w:val="EF73B802"/>
    <w:rsid w:val="F6E6CAD1"/>
    <w:rsid w:val="FE6CB105"/>
    <w:rsid w:val="FFFF7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styleId="3">
    <w:name w:val="heading 1"/>
    <w:basedOn w:val="1"/>
    <w:next w:val="1"/>
    <w:qFormat/>
    <w:uiPriority w:val="0"/>
    <w:pPr>
      <w:keepNext/>
      <w:keepLines/>
      <w:suppressAutoHyphens w:val="0"/>
      <w:spacing w:before="340" w:after="330" w:line="578" w:lineRule="auto"/>
      <w:outlineLvl w:val="0"/>
    </w:pPr>
    <w:rPr>
      <w:rFonts w:eastAsia="宋体"/>
      <w:b/>
      <w:bCs/>
      <w:kern w:val="44"/>
      <w:sz w:val="44"/>
      <w:szCs w:val="44"/>
    </w:rPr>
  </w:style>
  <w:style w:type="paragraph" w:styleId="4">
    <w:name w:val="heading 2"/>
    <w:basedOn w:val="1"/>
    <w:next w:val="5"/>
    <w:link w:val="33"/>
    <w:qFormat/>
    <w:uiPriority w:val="0"/>
    <w:pPr>
      <w:keepNext/>
      <w:keepLines/>
      <w:spacing w:before="260" w:beforeAutospacing="0" w:after="260" w:afterAutospacing="0" w:line="413" w:lineRule="auto"/>
      <w:outlineLvl w:val="1"/>
    </w:pPr>
    <w:rPr>
      <w:rFonts w:ascii="Arial" w:hAnsi="Arial" w:eastAsia="黑体"/>
      <w:b/>
      <w:sz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qFormat/>
    <w:uiPriority w:val="0"/>
  </w:style>
  <w:style w:type="table" w:default="1" w:styleId="16">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7">
    <w:name w:val="toa heading"/>
    <w:basedOn w:val="1"/>
    <w:next w:val="1"/>
    <w:qFormat/>
    <w:uiPriority w:val="0"/>
    <w:pPr>
      <w:spacing w:before="120"/>
    </w:pPr>
    <w:rPr>
      <w:rFonts w:ascii="Cambria" w:hAnsi="Cambria"/>
      <w:sz w:val="24"/>
    </w:rPr>
  </w:style>
  <w:style w:type="paragraph" w:styleId="8">
    <w:name w:val="Plain Text"/>
    <w:basedOn w:val="1"/>
    <w:qFormat/>
    <w:uiPriority w:val="0"/>
    <w:rPr>
      <w:rFonts w:ascii="宋体;SimSun" w:hAnsi="宋体;SimSun" w:cs="宋体;SimSun"/>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280" w:after="280"/>
      <w:jc w:val="left"/>
    </w:pPr>
    <w:rPr>
      <w:kern w:val="0"/>
      <w:sz w:val="24"/>
      <w:szCs w:val="24"/>
    </w:rPr>
  </w:style>
  <w:style w:type="paragraph" w:styleId="14">
    <w:name w:val="Title"/>
    <w:basedOn w:val="1"/>
    <w:next w:val="1"/>
    <w:qFormat/>
    <w:uiPriority w:val="0"/>
  </w:style>
  <w:style w:type="paragraph" w:styleId="15">
    <w:name w:val="Body Text First Indent"/>
    <w:basedOn w:val="2"/>
    <w:qFormat/>
    <w:uiPriority w:val="0"/>
    <w:pPr>
      <w:ind w:firstLine="420"/>
    </w:pPr>
  </w:style>
  <w:style w:type="character" w:styleId="18">
    <w:name w:val="Hyperlink"/>
    <w:qFormat/>
    <w:uiPriority w:val="0"/>
    <w:rPr>
      <w:color w:val="0000FF"/>
      <w:u w:val="single"/>
    </w:rPr>
  </w:style>
  <w:style w:type="paragraph" w:customStyle="1" w:styleId="19">
    <w:name w:val="样式1"/>
    <w:basedOn w:val="1"/>
    <w:next w:val="6"/>
    <w:qFormat/>
    <w:uiPriority w:val="0"/>
    <w:pPr>
      <w:ind w:firstLine="420"/>
    </w:pPr>
    <w:rPr>
      <w:rFonts w:ascii="宋体" w:hAnsi="宋体"/>
      <w:szCs w:val="21"/>
    </w:rPr>
  </w:style>
  <w:style w:type="paragraph" w:customStyle="1" w:styleId="20">
    <w:name w:val="style4"/>
    <w:basedOn w:val="1"/>
    <w:next w:val="21"/>
    <w:qFormat/>
    <w:uiPriority w:val="0"/>
    <w:pPr>
      <w:widowControl/>
      <w:spacing w:before="280" w:after="280"/>
    </w:pPr>
    <w:rPr>
      <w:rFonts w:ascii="宋体"/>
      <w:sz w:val="18"/>
    </w:rPr>
  </w:style>
  <w:style w:type="paragraph" w:customStyle="1" w:styleId="21">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2">
    <w:name w:val="正"/>
    <w:basedOn w:val="23"/>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23">
    <w:name w:val="正文_1"/>
    <w:next w:val="22"/>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24">
    <w:name w:val="TOC 21"/>
    <w:basedOn w:val="1"/>
    <w:next w:val="1"/>
    <w:qFormat/>
    <w:uiPriority w:val="0"/>
    <w:pPr>
      <w:ind w:left="420"/>
    </w:pPr>
  </w:style>
  <w:style w:type="character" w:customStyle="1" w:styleId="25">
    <w:name w:val="标题 2 字符"/>
    <w:link w:val="4"/>
    <w:qFormat/>
    <w:uiPriority w:val="0"/>
    <w:rPr>
      <w:rFonts w:ascii="Arial" w:hAnsi="Arial" w:eastAsia="黑体"/>
      <w:b/>
      <w:sz w:val="32"/>
    </w:rPr>
  </w:style>
  <w:style w:type="paragraph" w:customStyle="1" w:styleId="26">
    <w:name w:val="List Paragraph_b291becb-3792-4fdf-bc34-a5dd9e608fde"/>
    <w:basedOn w:val="1"/>
    <w:qFormat/>
    <w:uiPriority w:val="0"/>
    <w:pPr>
      <w:suppressAutoHyphens w:val="0"/>
      <w:spacing w:after="120"/>
      <w:ind w:firstLine="420" w:firstLineChars="200"/>
    </w:pPr>
    <w:rPr>
      <w:rFonts w:eastAsia="宋体"/>
      <w:szCs w:val="24"/>
    </w:rPr>
  </w:style>
  <w:style w:type="paragraph" w:customStyle="1" w:styleId="27">
    <w:name w:val="正文缩进2格"/>
    <w:basedOn w:val="1"/>
    <w:qFormat/>
    <w:uiPriority w:val="99"/>
    <w:pPr>
      <w:spacing w:line="600" w:lineRule="exact"/>
      <w:ind w:firstLine="639" w:firstLineChars="206"/>
    </w:pPr>
    <w:rPr>
      <w:rFonts w:hint="default" w:hAnsi="宋体" w:eastAsia="Times New Roman"/>
      <w:sz w:val="31"/>
      <w:szCs w:val="24"/>
    </w:rPr>
  </w:style>
  <w:style w:type="paragraph" w:customStyle="1" w:styleId="28">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30">
    <w:name w:val="Heading 21"/>
    <w:basedOn w:val="1"/>
    <w:next w:val="1"/>
    <w:qFormat/>
    <w:uiPriority w:val="0"/>
    <w:pPr>
      <w:widowControl/>
      <w:numPr>
        <w:ilvl w:val="1"/>
        <w:numId w:val="1"/>
      </w:numPr>
      <w:spacing w:before="280" w:after="280"/>
      <w:jc w:val="left"/>
      <w:outlineLvl w:val="1"/>
    </w:pPr>
    <w:rPr>
      <w:rFonts w:ascii="宋体;SimSun" w:hAnsi="宋体;SimSun" w:cs="宋体;SimSun"/>
      <w:b/>
      <w:bCs/>
      <w:kern w:val="0"/>
      <w:sz w:val="36"/>
      <w:szCs w:val="36"/>
    </w:rPr>
  </w:style>
  <w:style w:type="paragraph" w:customStyle="1" w:styleId="3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Normal_3"/>
    <w:qFormat/>
    <w:uiPriority w:val="0"/>
    <w:rPr>
      <w:rFonts w:ascii="黑体" w:hAnsi="黑体" w:eastAsia="黑体" w:cs="Times New Roman"/>
      <w:b/>
      <w:sz w:val="32"/>
      <w:szCs w:val="24"/>
      <w:lang w:val="en-US" w:eastAsia="zh-CN" w:bidi="ar-SA"/>
    </w:rPr>
  </w:style>
  <w:style w:type="character" w:customStyle="1" w:styleId="33">
    <w:name w:val="标题 2 Char"/>
    <w:link w:val="4"/>
    <w:qFormat/>
    <w:uiPriority w:val="0"/>
    <w:rPr>
      <w:rFonts w:ascii="Arial" w:hAnsi="Arial" w:eastAsia="黑体"/>
      <w:b/>
      <w:sz w:val="32"/>
    </w:rPr>
  </w:style>
  <w:style w:type="paragraph" w:customStyle="1" w:styleId="34">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35">
    <w:name w:val="Normal_17"/>
    <w:qFormat/>
    <w:uiPriority w:val="0"/>
    <w:rPr>
      <w:rFonts w:ascii="黑体" w:hAnsi="黑体" w:eastAsia="黑体" w:cs="Times New Roman"/>
      <w:b/>
      <w:sz w:val="32"/>
      <w:szCs w:val="24"/>
      <w:lang w:val="en-US" w:eastAsia="zh-CN" w:bidi="ar-SA"/>
    </w:rPr>
  </w:style>
  <w:style w:type="paragraph" w:customStyle="1" w:styleId="36">
    <w:name w:val="正文文本_1_0"/>
    <w:basedOn w:val="37"/>
    <w:qFormat/>
    <w:uiPriority w:val="0"/>
    <w:pPr>
      <w:spacing w:after="120"/>
    </w:pPr>
    <w:rPr>
      <w:szCs w:val="22"/>
    </w:rPr>
  </w:style>
  <w:style w:type="paragraph" w:customStyle="1" w:styleId="37">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Table Paragraph"/>
    <w:basedOn w:val="37"/>
    <w:qFormat/>
    <w:uiPriority w:val="0"/>
    <w:pPr>
      <w:jc w:val="left"/>
    </w:pPr>
    <w:rPr>
      <w:kern w:val="0"/>
      <w:sz w:val="22"/>
      <w:szCs w:val="22"/>
      <w:lang w:eastAsia="en-US"/>
    </w:rPr>
  </w:style>
  <w:style w:type="paragraph" w:customStyle="1" w:styleId="39">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0">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0_1"/>
    <w:next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文本_0"/>
    <w:basedOn w:val="28"/>
    <w:qFormat/>
    <w:uiPriority w:val="0"/>
    <w:pPr>
      <w:spacing w:after="120"/>
    </w:pPr>
    <w:rPr>
      <w:rFonts w:ascii="Times New Roman" w:hAnsi="Times New Roman"/>
      <w:szCs w:val="24"/>
    </w:rPr>
  </w:style>
  <w:style w:type="paragraph" w:customStyle="1" w:styleId="45">
    <w:name w:val="Normal_4"/>
    <w:qFormat/>
    <w:uiPriority w:val="0"/>
    <w:rPr>
      <w:rFonts w:ascii="黑体" w:hAnsi="黑体" w:eastAsia="黑体" w:cs="Times New Roman"/>
      <w:b/>
      <w:sz w:val="32"/>
      <w:szCs w:val="24"/>
      <w:lang w:val="en-US" w:eastAsia="zh-CN" w:bidi="ar-SA"/>
    </w:rPr>
  </w:style>
  <w:style w:type="paragraph" w:customStyle="1" w:styleId="46">
    <w:name w:val="Normal_5"/>
    <w:qFormat/>
    <w:uiPriority w:val="0"/>
    <w:rPr>
      <w:rFonts w:ascii="黑体" w:hAnsi="黑体" w:eastAsia="黑体" w:cs="Times New Roman"/>
      <w:b/>
      <w:sz w:val="32"/>
      <w:szCs w:val="24"/>
      <w:lang w:val="en-US" w:eastAsia="zh-CN" w:bidi="ar-SA"/>
    </w:rPr>
  </w:style>
  <w:style w:type="paragraph" w:customStyle="1" w:styleId="47">
    <w:name w:val="Normal_6"/>
    <w:qFormat/>
    <w:uiPriority w:val="0"/>
    <w:rPr>
      <w:rFonts w:ascii="黑体" w:hAnsi="黑体" w:eastAsia="黑体" w:cs="Times New Roman"/>
      <w:b/>
      <w:sz w:val="32"/>
      <w:szCs w:val="24"/>
      <w:lang w:val="en-US" w:eastAsia="zh-CN" w:bidi="ar-SA"/>
    </w:rPr>
  </w:style>
  <w:style w:type="paragraph" w:customStyle="1" w:styleId="48">
    <w:name w:val="Normal_7"/>
    <w:qFormat/>
    <w:uiPriority w:val="0"/>
    <w:pPr>
      <w:suppressAutoHyphens/>
    </w:pPr>
    <w:rPr>
      <w:rFonts w:ascii="黑体;SimHei" w:hAnsi="黑体;SimHei" w:eastAsia="黑体;SimHei" w:cs="黑体;SimHei"/>
      <w:b/>
      <w:bCs/>
      <w:sz w:val="32"/>
      <w:szCs w:val="32"/>
      <w:lang w:val="en-US" w:eastAsia="zh-CN" w:bidi="ar-SA"/>
    </w:rPr>
  </w:style>
  <w:style w:type="paragraph" w:customStyle="1" w:styleId="49">
    <w:name w:val="Normal_8"/>
    <w:qFormat/>
    <w:uiPriority w:val="0"/>
    <w:rPr>
      <w:rFonts w:ascii="黑体" w:hAnsi="黑体" w:eastAsia="黑体" w:cs="Times New Roman"/>
      <w:b/>
      <w:sz w:val="32"/>
      <w:szCs w:val="24"/>
      <w:lang w:val="en-US" w:eastAsia="zh-CN" w:bidi="ar-SA"/>
    </w:rPr>
  </w:style>
  <w:style w:type="paragraph" w:customStyle="1" w:styleId="50">
    <w:name w:val="Normal_14"/>
    <w:qFormat/>
    <w:uiPriority w:val="0"/>
    <w:rPr>
      <w:rFonts w:ascii="黑体" w:hAnsi="黑体" w:eastAsia="黑体" w:cs="Times New Roman"/>
      <w:b/>
      <w:sz w:val="32"/>
      <w:szCs w:val="24"/>
      <w:lang w:val="en-US" w:eastAsia="zh-CN" w:bidi="ar-SA"/>
    </w:rPr>
  </w:style>
  <w:style w:type="paragraph" w:customStyle="1" w:styleId="51">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2">
    <w:name w:val="标题 3_0_0"/>
    <w:basedOn w:val="51"/>
    <w:next w:val="51"/>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53">
    <w:name w:val="Normal_10"/>
    <w:qFormat/>
    <w:uiPriority w:val="0"/>
    <w:rPr>
      <w:rFonts w:ascii="黑体" w:hAnsi="黑体" w:eastAsia="黑体" w:cs="Times New Roman"/>
      <w:b/>
      <w:sz w:val="32"/>
      <w:szCs w:val="24"/>
      <w:lang w:val="en-US" w:eastAsia="zh-CN" w:bidi="ar-SA"/>
    </w:rPr>
  </w:style>
  <w:style w:type="paragraph" w:customStyle="1" w:styleId="54">
    <w:name w:val="正文_4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5">
    <w:name w:val="Normal_11"/>
    <w:qFormat/>
    <w:uiPriority w:val="0"/>
    <w:rPr>
      <w:rFonts w:ascii="黑体" w:hAnsi="黑体" w:eastAsia="黑体" w:cs="Times New Roman"/>
      <w:b/>
      <w:sz w:val="32"/>
      <w:szCs w:val="24"/>
      <w:lang w:val="en-US" w:eastAsia="zh-CN" w:bidi="ar-SA"/>
    </w:rPr>
  </w:style>
  <w:style w:type="paragraph" w:customStyle="1" w:styleId="56">
    <w:name w:val="Normal_13"/>
    <w:qFormat/>
    <w:uiPriority w:val="0"/>
    <w:rPr>
      <w:rFonts w:ascii="黑体" w:hAnsi="黑体" w:eastAsia="黑体" w:cs="Times New Roman"/>
      <w:b/>
      <w:sz w:val="32"/>
      <w:szCs w:val="24"/>
      <w:lang w:val="en-US" w:eastAsia="zh-CN" w:bidi="ar-SA"/>
    </w:rPr>
  </w:style>
  <w:style w:type="paragraph" w:customStyle="1" w:styleId="57">
    <w:name w:val="正文文本缩进_1_0"/>
    <w:basedOn w:val="58"/>
    <w:qFormat/>
    <w:uiPriority w:val="99"/>
    <w:pPr>
      <w:spacing w:after="120"/>
      <w:ind w:left="420" w:leftChars="200"/>
    </w:pPr>
    <w:rPr>
      <w:rFonts w:ascii="Calibri" w:hAnsi="Calibri" w:eastAsia="宋体"/>
    </w:rPr>
  </w:style>
  <w:style w:type="paragraph" w:customStyle="1" w:styleId="5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0_0_2"/>
    <w:qFormat/>
    <w:uiPriority w:val="0"/>
    <w:pPr>
      <w:widowControl w:val="0"/>
      <w:jc w:val="both"/>
    </w:pPr>
    <w:rPr>
      <w:rFonts w:ascii="Calibri" w:hAnsi="Calibri" w:eastAsia="宋体" w:cs="Times New Roman"/>
      <w:kern w:val="2"/>
      <w:sz w:val="28"/>
      <w:szCs w:val="22"/>
      <w:lang w:val="en-US" w:eastAsia="zh-CN" w:bidi="ar-SA"/>
    </w:rPr>
  </w:style>
  <w:style w:type="paragraph" w:customStyle="1" w:styleId="60">
    <w:name w:val="正文文本_4"/>
    <w:basedOn w:val="61"/>
    <w:qFormat/>
    <w:uiPriority w:val="0"/>
    <w:pPr>
      <w:spacing w:after="120"/>
    </w:pPr>
    <w:rPr>
      <w:rFonts w:ascii="Times New Roman" w:hAnsi="Times New Roman" w:eastAsia="宋体"/>
      <w:szCs w:val="24"/>
    </w:rPr>
  </w:style>
  <w:style w:type="paragraph" w:customStyle="1" w:styleId="6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Normal_16"/>
    <w:qFormat/>
    <w:uiPriority w:val="0"/>
    <w:rPr>
      <w:rFonts w:ascii="黑体" w:hAnsi="黑体" w:eastAsia="黑体" w:cs="Times New Roman"/>
      <w:b/>
      <w:sz w:val="32"/>
      <w:szCs w:val="24"/>
      <w:lang w:val="en-US" w:eastAsia="zh-CN" w:bidi="ar-SA"/>
    </w:rPr>
  </w:style>
  <w:style w:type="paragraph" w:customStyle="1" w:styleId="63">
    <w:name w:val="正文_1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4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文本缩进_2_0"/>
    <w:basedOn w:val="65"/>
    <w:qFormat/>
    <w:uiPriority w:val="99"/>
    <w:pPr>
      <w:spacing w:after="120"/>
      <w:ind w:left="420" w:leftChars="200"/>
    </w:pPr>
    <w:rPr>
      <w:rFonts w:ascii="Calibri" w:hAnsi="Calibri" w:eastAsia="宋体"/>
    </w:rPr>
  </w:style>
  <w:style w:type="paragraph" w:customStyle="1" w:styleId="68">
    <w:name w:val="题注_0"/>
    <w:basedOn w:val="65"/>
    <w:next w:val="65"/>
    <w:qFormat/>
    <w:uiPriority w:val="0"/>
    <w:pPr>
      <w:spacing w:before="152" w:after="160"/>
    </w:pPr>
    <w:rPr>
      <w:rFonts w:ascii="Arial" w:hAnsi="Arial" w:eastAsia="黑体" w:cs="Arial"/>
      <w:sz w:val="20"/>
      <w:szCs w:val="20"/>
    </w:rPr>
  </w:style>
  <w:style w:type="paragraph" w:customStyle="1" w:styleId="69">
    <w:name w:val="Normal_19"/>
    <w:qFormat/>
    <w:uiPriority w:val="0"/>
    <w:rPr>
      <w:rFonts w:ascii="黑体" w:hAnsi="黑体" w:eastAsia="黑体" w:cs="Times New Roman"/>
      <w:b/>
      <w:sz w:val="32"/>
      <w:szCs w:val="24"/>
      <w:lang w:val="en-US" w:eastAsia="zh-CN" w:bidi="ar-SA"/>
    </w:rPr>
  </w:style>
  <w:style w:type="paragraph" w:customStyle="1" w:styleId="7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71">
    <w:name w:val="Normal_36b807a6-4032-40ed-9e09-eb01aeaa7f6f"/>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28133</Words>
  <Characters>29909</Characters>
  <Paragraphs>1469</Paragraphs>
  <TotalTime>5</TotalTime>
  <ScaleCrop>false</ScaleCrop>
  <LinksUpToDate>false</LinksUpToDate>
  <CharactersWithSpaces>32264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2023-04-25T01:34:00Z</dcterms:created>
  <dc:creator>师翠婷</dc:creator>
  <cp:lastModifiedBy>师翠婷</cp:lastModifiedBy>
  <dcterms:modified xsi:type="dcterms:W3CDTF">2023-05-17T07:57:46Z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1EF962D8FB074A1898CB821A3B05D1CA_13</vt:lpwstr>
  </property>
</Properties>
</file>