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5"/>
        </w:rPr>
      </w:pPr>
    </w:p>
    <w:p>
      <w:pPr>
        <w:spacing w:line="242" w:lineRule="auto"/>
        <w:ind w:left="447" w:right="596"/>
        <w:jc w:val="center"/>
        <w:rPr>
          <w:rFonts w:hint="default"/>
          <w:b/>
          <w:w w:val="95"/>
          <w:sz w:val="48"/>
          <w:szCs w:val="48"/>
          <w:lang w:val="en-US" w:eastAsia="zh-CN"/>
        </w:rPr>
      </w:pPr>
      <w:r>
        <w:rPr>
          <w:rFonts w:hint="eastAsia"/>
          <w:b/>
          <w:w w:val="95"/>
          <w:sz w:val="48"/>
          <w:szCs w:val="48"/>
          <w:lang w:eastAsia="zh-CN"/>
        </w:rPr>
        <w:t>于田县津和示范班建设及优秀学生资助项目</w:t>
      </w:r>
      <w:r>
        <w:rPr>
          <w:rFonts w:hint="eastAsia"/>
          <w:b/>
          <w:w w:val="95"/>
          <w:sz w:val="48"/>
          <w:szCs w:val="48"/>
          <w:lang w:val="en-US" w:eastAsia="zh-CN"/>
        </w:rPr>
        <w:t>(</w:t>
      </w:r>
      <w:r>
        <w:rPr>
          <w:rFonts w:hint="eastAsia"/>
          <w:b/>
          <w:w w:val="95"/>
          <w:sz w:val="48"/>
          <w:szCs w:val="48"/>
          <w:lang w:eastAsia="zh-CN"/>
        </w:rPr>
        <w:t>二次</w:t>
      </w:r>
      <w:r>
        <w:rPr>
          <w:rFonts w:hint="eastAsia"/>
          <w:b/>
          <w:w w:val="95"/>
          <w:sz w:val="48"/>
          <w:szCs w:val="48"/>
          <w:lang w:val="en-US" w:eastAsia="zh-CN"/>
        </w:rPr>
        <w:t>)</w:t>
      </w:r>
    </w:p>
    <w:p>
      <w:pPr>
        <w:spacing w:line="242" w:lineRule="auto"/>
        <w:ind w:left="447" w:right="596"/>
        <w:jc w:val="center"/>
        <w:rPr>
          <w:b/>
          <w:sz w:val="72"/>
          <w:lang w:eastAsia="zh-CN"/>
        </w:rPr>
      </w:pPr>
      <w:r>
        <w:rPr>
          <w:rFonts w:hint="eastAsia" w:ascii="黑体" w:hAnsi="黑体" w:eastAsia="黑体" w:cs="黑体"/>
          <w:b/>
          <w:sz w:val="72"/>
          <w:lang w:eastAsia="zh-CN"/>
        </w:rPr>
        <w:t>招标文件</w:t>
      </w:r>
    </w:p>
    <w:p>
      <w:pPr>
        <w:pStyle w:val="8"/>
        <w:rPr>
          <w:b/>
          <w:sz w:val="72"/>
          <w:lang w:eastAsia="zh-CN"/>
        </w:rPr>
      </w:pPr>
    </w:p>
    <w:p>
      <w:pPr>
        <w:pStyle w:val="8"/>
        <w:rPr>
          <w:b/>
          <w:sz w:val="72"/>
          <w:lang w:eastAsia="zh-CN"/>
        </w:rPr>
      </w:pPr>
    </w:p>
    <w:p>
      <w:pPr>
        <w:pStyle w:val="8"/>
        <w:spacing w:before="8"/>
        <w:rPr>
          <w:b/>
          <w:sz w:val="65"/>
          <w:lang w:eastAsia="zh-CN"/>
        </w:rPr>
      </w:pPr>
    </w:p>
    <w:p>
      <w:pPr>
        <w:spacing w:before="1"/>
        <w:ind w:left="100"/>
        <w:rPr>
          <w:rFonts w:hint="default"/>
          <w:sz w:val="32"/>
          <w:lang w:val="en-US" w:eastAsia="zh-CN"/>
        </w:rPr>
      </w:pPr>
      <w:r>
        <w:rPr>
          <w:sz w:val="32"/>
          <w:lang w:eastAsia="zh-CN"/>
        </w:rPr>
        <w:t>项目名称：</w:t>
      </w:r>
      <w:r>
        <w:rPr>
          <w:rFonts w:hint="eastAsia"/>
          <w:sz w:val="32"/>
          <w:lang w:eastAsia="zh-CN"/>
        </w:rPr>
        <w:t>于田县津和示范班建设及优秀学生资助项目</w:t>
      </w:r>
      <w:r>
        <w:rPr>
          <w:rFonts w:hint="eastAsia"/>
          <w:sz w:val="32"/>
          <w:lang w:val="en-US" w:eastAsia="zh-CN"/>
        </w:rPr>
        <w:t>(</w:t>
      </w:r>
      <w:r>
        <w:rPr>
          <w:rFonts w:hint="eastAsia"/>
          <w:sz w:val="32"/>
          <w:lang w:eastAsia="zh-CN"/>
        </w:rPr>
        <w:t>二次</w:t>
      </w:r>
      <w:r>
        <w:rPr>
          <w:rFonts w:hint="eastAsia"/>
          <w:sz w:val="32"/>
          <w:lang w:val="en-US" w:eastAsia="zh-CN"/>
        </w:rPr>
        <w:t>)</w:t>
      </w:r>
    </w:p>
    <w:p>
      <w:pPr>
        <w:pStyle w:val="8"/>
        <w:spacing w:before="2"/>
        <w:rPr>
          <w:sz w:val="33"/>
          <w:lang w:eastAsia="zh-CN"/>
        </w:rPr>
      </w:pPr>
    </w:p>
    <w:p>
      <w:pPr>
        <w:ind w:left="100"/>
        <w:rPr>
          <w:rFonts w:hint="default"/>
          <w:color w:val="auto"/>
          <w:sz w:val="32"/>
          <w:lang w:val="en-US" w:eastAsia="zh-CN"/>
        </w:rPr>
      </w:pPr>
      <w:r>
        <w:rPr>
          <w:sz w:val="32"/>
          <w:lang w:eastAsia="zh-CN"/>
        </w:rPr>
        <w:t>采购编号</w:t>
      </w:r>
      <w:r>
        <w:rPr>
          <w:sz w:val="32"/>
          <w:highlight w:val="none"/>
          <w:lang w:eastAsia="zh-CN"/>
        </w:rPr>
        <w:t>：</w:t>
      </w:r>
      <w:r>
        <w:rPr>
          <w:rFonts w:hint="eastAsia"/>
          <w:color w:val="auto"/>
          <w:sz w:val="32"/>
          <w:highlight w:val="none"/>
          <w:lang w:eastAsia="zh-CN"/>
        </w:rPr>
        <w:t>YTCGD-JZ-2023-037-</w:t>
      </w:r>
      <w:r>
        <w:rPr>
          <w:rFonts w:hint="eastAsia"/>
          <w:color w:val="auto"/>
          <w:sz w:val="32"/>
          <w:highlight w:val="none"/>
          <w:lang w:val="en-US" w:eastAsia="zh-CN"/>
        </w:rPr>
        <w:t>01</w:t>
      </w:r>
    </w:p>
    <w:p>
      <w:pPr>
        <w:pStyle w:val="8"/>
        <w:spacing w:before="8"/>
        <w:rPr>
          <w:sz w:val="32"/>
          <w:lang w:eastAsia="zh-CN"/>
        </w:rPr>
      </w:pPr>
    </w:p>
    <w:p>
      <w:pPr>
        <w:tabs>
          <w:tab w:val="left" w:pos="740"/>
        </w:tabs>
        <w:spacing w:line="477" w:lineRule="auto"/>
        <w:ind w:left="100" w:right="6819"/>
        <w:rPr>
          <w:sz w:val="32"/>
          <w:lang w:eastAsia="zh-CN"/>
        </w:rPr>
      </w:pPr>
      <w:r>
        <w:rPr>
          <w:sz w:val="32"/>
          <w:lang w:eastAsia="zh-CN"/>
        </w:rPr>
        <w:t xml:space="preserve">采购人：于田县教育局 </w:t>
      </w:r>
    </w:p>
    <w:p>
      <w:pPr>
        <w:tabs>
          <w:tab w:val="left" w:pos="740"/>
        </w:tabs>
        <w:spacing w:line="477" w:lineRule="auto"/>
        <w:ind w:left="100" w:right="6819"/>
        <w:rPr>
          <w:sz w:val="33"/>
          <w:lang w:eastAsia="zh-CN"/>
        </w:rPr>
      </w:pPr>
      <w:r>
        <w:rPr>
          <w:sz w:val="32"/>
          <w:lang w:eastAsia="zh-CN"/>
        </w:rPr>
        <w:t>日</w:t>
      </w:r>
      <w:r>
        <w:rPr>
          <w:sz w:val="32"/>
          <w:lang w:eastAsia="zh-CN"/>
        </w:rPr>
        <w:tab/>
      </w:r>
      <w:r>
        <w:rPr>
          <w:w w:val="95"/>
          <w:sz w:val="32"/>
          <w:lang w:eastAsia="zh-CN"/>
        </w:rPr>
        <w:t>期</w:t>
      </w:r>
      <w:r>
        <w:rPr>
          <w:w w:val="95"/>
          <w:sz w:val="32"/>
          <w:highlight w:val="none"/>
          <w:lang w:eastAsia="zh-CN"/>
        </w:rPr>
        <w:t>：</w:t>
      </w:r>
      <w:r>
        <w:rPr>
          <w:rFonts w:hint="eastAsia"/>
          <w:w w:val="95"/>
          <w:sz w:val="32"/>
          <w:highlight w:val="none"/>
          <w:lang w:eastAsia="zh-CN"/>
        </w:rPr>
        <w:t>2023</w:t>
      </w:r>
      <w:r>
        <w:rPr>
          <w:w w:val="95"/>
          <w:sz w:val="32"/>
          <w:highlight w:val="none"/>
          <w:lang w:eastAsia="zh-CN"/>
        </w:rPr>
        <w:t>年</w:t>
      </w:r>
      <w:r>
        <w:rPr>
          <w:rFonts w:hint="eastAsia"/>
          <w:w w:val="95"/>
          <w:sz w:val="32"/>
          <w:highlight w:val="none"/>
          <w:lang w:val="en-US" w:eastAsia="zh-CN"/>
        </w:rPr>
        <w:t>05</w:t>
      </w:r>
      <w:r>
        <w:rPr>
          <w:w w:val="95"/>
          <w:sz w:val="32"/>
          <w:highlight w:val="none"/>
          <w:lang w:eastAsia="zh-CN"/>
        </w:rPr>
        <w:t>月</w:t>
      </w:r>
      <w:r>
        <w:rPr>
          <w:rFonts w:hint="eastAsia"/>
          <w:w w:val="95"/>
          <w:sz w:val="32"/>
          <w:highlight w:val="none"/>
          <w:lang w:val="en-US" w:eastAsia="zh-CN"/>
        </w:rPr>
        <w:t>18</w:t>
      </w:r>
      <w:r>
        <w:rPr>
          <w:w w:val="95"/>
          <w:sz w:val="32"/>
          <w:highlight w:val="none"/>
          <w:lang w:eastAsia="zh-CN"/>
        </w:rPr>
        <w:t>日</w:t>
      </w:r>
    </w:p>
    <w:p>
      <w:pPr>
        <w:tabs>
          <w:tab w:val="left" w:pos="740"/>
        </w:tabs>
        <w:spacing w:line="487" w:lineRule="auto"/>
        <w:ind w:left="100" w:right="2979"/>
        <w:rPr>
          <w:sz w:val="32"/>
          <w:lang w:eastAsia="zh-CN"/>
        </w:rPr>
      </w:pPr>
      <w:r>
        <w:rPr>
          <w:sz w:val="32"/>
          <w:lang w:eastAsia="zh-CN"/>
        </w:rPr>
        <w:t>采购代理机构：</w:t>
      </w:r>
      <w:r>
        <w:rPr>
          <w:rFonts w:hint="eastAsia"/>
          <w:sz w:val="32"/>
          <w:lang w:eastAsia="zh-CN"/>
        </w:rPr>
        <w:t>新疆浩诚致远项目管理咨询有限公</w:t>
      </w:r>
      <w:bookmarkStart w:id="35" w:name="_GoBack"/>
      <w:bookmarkEnd w:id="35"/>
      <w:r>
        <w:rPr>
          <w:rFonts w:hint="eastAsia"/>
          <w:sz w:val="32"/>
          <w:lang w:eastAsia="zh-CN"/>
        </w:rPr>
        <w:t>司</w:t>
      </w:r>
    </w:p>
    <w:p>
      <w:pPr>
        <w:tabs>
          <w:tab w:val="left" w:pos="740"/>
        </w:tabs>
        <w:spacing w:line="487" w:lineRule="auto"/>
        <w:ind w:left="100" w:right="2979"/>
        <w:rPr>
          <w:rFonts w:hint="default"/>
          <w:highlight w:val="none"/>
          <w:lang w:val="en-US" w:eastAsia="zh-CN"/>
        </w:rPr>
        <w:sectPr>
          <w:headerReference r:id="rId4" w:type="default"/>
          <w:pgSz w:w="12240" w:h="15840"/>
          <w:pgMar w:top="1320" w:right="820" w:bottom="280" w:left="980" w:header="721" w:footer="1100" w:gutter="0"/>
          <w:cols w:space="720" w:num="1"/>
        </w:sectPr>
      </w:pPr>
      <w:r>
        <w:rPr>
          <w:sz w:val="32"/>
          <w:lang w:eastAsia="zh-CN"/>
        </w:rPr>
        <w:t>日</w:t>
      </w:r>
      <w:r>
        <w:rPr>
          <w:sz w:val="32"/>
          <w:lang w:eastAsia="zh-CN"/>
        </w:rPr>
        <w:tab/>
      </w:r>
      <w:r>
        <w:rPr>
          <w:sz w:val="32"/>
          <w:lang w:eastAsia="zh-CN"/>
        </w:rPr>
        <w:t>期</w:t>
      </w:r>
      <w:r>
        <w:rPr>
          <w:sz w:val="32"/>
          <w:highlight w:val="none"/>
          <w:lang w:eastAsia="zh-CN"/>
        </w:rPr>
        <w:t>：</w:t>
      </w:r>
      <w:r>
        <w:rPr>
          <w:rFonts w:hint="eastAsia"/>
          <w:sz w:val="32"/>
          <w:highlight w:val="none"/>
          <w:lang w:eastAsia="zh-CN"/>
        </w:rPr>
        <w:t>2023</w:t>
      </w:r>
      <w:r>
        <w:rPr>
          <w:sz w:val="32"/>
          <w:highlight w:val="none"/>
          <w:lang w:eastAsia="zh-CN"/>
        </w:rPr>
        <w:t>年</w:t>
      </w:r>
      <w:r>
        <w:rPr>
          <w:rFonts w:hint="eastAsia"/>
          <w:sz w:val="32"/>
          <w:highlight w:val="none"/>
          <w:lang w:val="en-US" w:eastAsia="zh-CN"/>
        </w:rPr>
        <w:t>05</w:t>
      </w:r>
      <w:r>
        <w:rPr>
          <w:sz w:val="32"/>
          <w:highlight w:val="none"/>
          <w:lang w:eastAsia="zh-CN"/>
        </w:rPr>
        <w:t>月</w:t>
      </w:r>
      <w:r>
        <w:rPr>
          <w:rFonts w:hint="eastAsia"/>
          <w:sz w:val="32"/>
          <w:highlight w:val="none"/>
          <w:lang w:val="en-US" w:eastAsia="zh-CN"/>
        </w:rPr>
        <w:t>18日</w:t>
      </w:r>
    </w:p>
    <w:p>
      <w:pPr>
        <w:ind w:left="0" w:leftChars="0" w:firstLine="0" w:firstLineChars="0"/>
        <w:rPr>
          <w:rFonts w:ascii="宋体" w:hAnsi="宋体"/>
          <w:b/>
          <w:bCs/>
          <w:color w:val="000000"/>
          <w:sz w:val="32"/>
          <w:szCs w:val="32"/>
        </w:rPr>
      </w:pPr>
      <w:r>
        <w:rPr>
          <w:rFonts w:hint="eastAsia" w:ascii="宋体" w:hAnsi="宋体"/>
          <w:b/>
          <w:bCs/>
          <w:color w:val="000000"/>
          <w:sz w:val="32"/>
          <w:szCs w:val="32"/>
        </w:rPr>
        <w:t>招投标监督管理机构备案登记栏</w:t>
      </w:r>
    </w:p>
    <w:p>
      <w:pPr>
        <w:spacing w:line="360" w:lineRule="auto"/>
        <w:ind w:firstLine="472" w:firstLineChars="196"/>
        <w:rPr>
          <w:rFonts w:hint="eastAsia" w:ascii="宋体" w:hAnsi="宋体" w:eastAsia="宋体" w:cs="宋体"/>
          <w:b/>
          <w:color w:val="0C0C0C"/>
          <w:sz w:val="24"/>
          <w:szCs w:val="24"/>
          <w:highlight w:val="none"/>
        </w:rPr>
      </w:pPr>
    </w:p>
    <w:tbl>
      <w:tblPr>
        <w:tblStyle w:val="16"/>
        <w:tblW w:w="8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9" w:hRule="atLeast"/>
          <w:jc w:val="center"/>
        </w:trPr>
        <w:tc>
          <w:tcPr>
            <w:tcW w:w="8462" w:type="dxa"/>
            <w:noWrap w:val="0"/>
            <w:vAlign w:val="top"/>
          </w:tcPr>
          <w:p>
            <w:pPr>
              <w:jc w:val="center"/>
              <w:rPr>
                <w:rFonts w:hint="eastAsia" w:ascii="宋体" w:hAnsi="宋体"/>
                <w:sz w:val="28"/>
                <w:szCs w:val="28"/>
              </w:rPr>
            </w:pPr>
          </w:p>
          <w:p>
            <w:pPr>
              <w:jc w:val="center"/>
              <w:rPr>
                <w:rFonts w:hint="eastAsia" w:ascii="宋体" w:hAnsi="宋体"/>
                <w:sz w:val="28"/>
                <w:szCs w:val="28"/>
              </w:rPr>
            </w:pPr>
          </w:p>
          <w:p>
            <w:pPr>
              <w:autoSpaceDE w:val="0"/>
              <w:autoSpaceDN w:val="0"/>
              <w:jc w:val="both"/>
              <w:rPr>
                <w:rFonts w:hint="eastAsia" w:ascii="宋体" w:hAnsi="宋体"/>
                <w:bCs/>
                <w:sz w:val="32"/>
                <w:lang w:val="zh-CN" w:eastAsia="zh-CN"/>
              </w:rPr>
            </w:pPr>
          </w:p>
          <w:p>
            <w:pPr>
              <w:autoSpaceDE w:val="0"/>
              <w:autoSpaceDN w:val="0"/>
              <w:jc w:val="center"/>
              <w:rPr>
                <w:rFonts w:hint="eastAsia" w:ascii="宋体" w:hAnsi="宋体"/>
                <w:bCs/>
                <w:sz w:val="32"/>
                <w:lang w:val="zh-CN" w:eastAsia="zh-CN"/>
              </w:rPr>
            </w:pPr>
          </w:p>
          <w:p>
            <w:pPr>
              <w:autoSpaceDE w:val="0"/>
              <w:autoSpaceDN w:val="0"/>
              <w:jc w:val="center"/>
              <w:rPr>
                <w:rFonts w:hint="eastAsia" w:ascii="宋体" w:hAnsi="宋体"/>
                <w:bCs/>
                <w:sz w:val="32"/>
                <w:lang w:val="zh-CN" w:eastAsia="zh-CN"/>
              </w:rPr>
            </w:pPr>
          </w:p>
          <w:p>
            <w:pPr>
              <w:autoSpaceDE w:val="0"/>
              <w:autoSpaceDN w:val="0"/>
              <w:jc w:val="center"/>
              <w:rPr>
                <w:rFonts w:hint="eastAsia" w:ascii="宋体" w:hAnsi="宋体"/>
                <w:bCs/>
                <w:sz w:val="32"/>
                <w:lang w:val="zh-CN" w:eastAsia="zh-CN"/>
              </w:rPr>
            </w:pPr>
            <w:r>
              <w:rPr>
                <w:rFonts w:hint="eastAsia" w:ascii="宋体" w:hAnsi="宋体"/>
                <w:bCs/>
                <w:sz w:val="32"/>
                <w:lang w:val="zh-CN" w:eastAsia="zh-CN"/>
              </w:rPr>
              <w:t>本招标文件已报备</w:t>
            </w:r>
          </w:p>
          <w:p>
            <w:pPr>
              <w:jc w:val="center"/>
              <w:rPr>
                <w:rFonts w:hint="eastAsia" w:ascii="宋体" w:hAnsi="宋体"/>
                <w:sz w:val="28"/>
                <w:szCs w:val="28"/>
              </w:rPr>
            </w:pPr>
          </w:p>
          <w:p>
            <w:pPr>
              <w:jc w:val="center"/>
              <w:rPr>
                <w:rFonts w:hint="eastAsia" w:ascii="宋体" w:hAnsi="宋体"/>
                <w:sz w:val="28"/>
                <w:szCs w:val="28"/>
              </w:rPr>
            </w:pPr>
          </w:p>
          <w:p>
            <w:pPr>
              <w:jc w:val="center"/>
              <w:rPr>
                <w:rFonts w:hint="eastAsia" w:ascii="宋体" w:hAnsi="宋体"/>
                <w:sz w:val="28"/>
                <w:szCs w:val="28"/>
              </w:rPr>
            </w:pPr>
          </w:p>
          <w:p>
            <w:pPr>
              <w:jc w:val="both"/>
              <w:rPr>
                <w:rFonts w:hint="eastAsia" w:ascii="宋体" w:hAnsi="宋体"/>
                <w:sz w:val="28"/>
                <w:szCs w:val="28"/>
              </w:rPr>
            </w:pPr>
          </w:p>
          <w:p>
            <w:pPr>
              <w:spacing w:before="1"/>
              <w:ind w:left="100"/>
              <w:rPr>
                <w:sz w:val="32"/>
                <w:lang w:eastAsia="zh-CN"/>
              </w:rPr>
            </w:pPr>
            <w:r>
              <w:rPr>
                <w:rFonts w:hint="eastAsia" w:ascii="宋体" w:hAnsi="宋体" w:eastAsia="宋体" w:cs="Times New Roman"/>
                <w:kern w:val="2"/>
                <w:sz w:val="28"/>
                <w:szCs w:val="28"/>
                <w:lang w:val="en-US" w:eastAsia="zh-CN" w:bidi="ar-SA"/>
              </w:rPr>
              <w:t>项目名称：</w:t>
            </w:r>
            <w:r>
              <w:rPr>
                <w:rFonts w:hint="eastAsia"/>
                <w:sz w:val="32"/>
                <w:lang w:eastAsia="zh-CN"/>
              </w:rPr>
              <w:t>于田县津和示范班建设及优秀学生资助项目二次</w:t>
            </w:r>
          </w:p>
          <w:p>
            <w:pPr>
              <w:pStyle w:val="6"/>
              <w:ind w:left="0" w:leftChars="0" w:firstLine="0" w:firstLineChars="0"/>
              <w:rPr>
                <w:rFonts w:hint="default" w:ascii="宋体" w:hAnsi="宋体" w:eastAsia="宋体" w:cs="Times New Roman"/>
                <w:kern w:val="2"/>
                <w:sz w:val="28"/>
                <w:szCs w:val="28"/>
                <w:lang w:val="en-US" w:eastAsia="zh-CN" w:bidi="ar-SA"/>
              </w:rPr>
            </w:pPr>
          </w:p>
          <w:p>
            <w:pPr>
              <w:pStyle w:val="28"/>
              <w:rPr>
                <w:rFonts w:hint="eastAsia"/>
              </w:rPr>
            </w:pPr>
          </w:p>
          <w:p>
            <w:pPr>
              <w:jc w:val="center"/>
              <w:rPr>
                <w:rFonts w:hint="eastAsia" w:ascii="宋体" w:hAnsi="宋体"/>
                <w:b/>
                <w:bCs/>
                <w:sz w:val="28"/>
                <w:szCs w:val="28"/>
              </w:rPr>
            </w:pPr>
          </w:p>
          <w:p>
            <w:pPr>
              <w:pStyle w:val="28"/>
              <w:rPr>
                <w:rFonts w:hint="eastAsia" w:ascii="宋体" w:hAnsi="宋体"/>
                <w:b/>
                <w:bCs/>
                <w:sz w:val="28"/>
                <w:szCs w:val="28"/>
              </w:rPr>
            </w:pPr>
          </w:p>
          <w:p>
            <w:pPr>
              <w:pStyle w:val="28"/>
              <w:rPr>
                <w:rFonts w:hint="eastAsia" w:ascii="宋体" w:hAnsi="宋体"/>
                <w:b/>
                <w:bCs/>
                <w:sz w:val="28"/>
                <w:szCs w:val="28"/>
              </w:rPr>
            </w:pPr>
          </w:p>
          <w:p>
            <w:pPr>
              <w:pStyle w:val="28"/>
              <w:rPr>
                <w:rFonts w:hint="eastAsia" w:ascii="宋体" w:hAnsi="宋体"/>
                <w:b/>
                <w:bCs/>
                <w:sz w:val="28"/>
                <w:szCs w:val="28"/>
              </w:rPr>
            </w:pPr>
          </w:p>
          <w:p>
            <w:pPr>
              <w:pStyle w:val="28"/>
              <w:rPr>
                <w:rFonts w:hint="eastAsia" w:ascii="宋体" w:hAnsi="宋体"/>
                <w:b/>
                <w:bCs/>
                <w:sz w:val="28"/>
                <w:szCs w:val="28"/>
              </w:rPr>
            </w:pPr>
          </w:p>
          <w:p>
            <w:pPr>
              <w:pStyle w:val="28"/>
              <w:rPr>
                <w:rFonts w:hint="eastAsia" w:ascii="宋体" w:hAnsi="宋体"/>
                <w:b/>
                <w:bCs/>
                <w:sz w:val="28"/>
                <w:szCs w:val="28"/>
              </w:rPr>
            </w:pPr>
          </w:p>
          <w:p>
            <w:pPr>
              <w:rPr>
                <w:rFonts w:hint="default" w:ascii="宋体" w:hAnsi="宋体" w:eastAsia="仿宋_GB2312"/>
                <w:b/>
                <w:bCs/>
                <w:sz w:val="28"/>
                <w:szCs w:val="28"/>
                <w:lang w:val="en-US" w:eastAsia="zh-CN"/>
              </w:rPr>
            </w:pPr>
            <w:r>
              <w:rPr>
                <w:rFonts w:hint="eastAsia" w:ascii="宋体" w:hAnsi="宋体"/>
                <w:sz w:val="28"/>
                <w:szCs w:val="28"/>
              </w:rPr>
              <w:t>备 案 人：               备案日期：</w:t>
            </w:r>
            <w:r>
              <w:rPr>
                <w:rFonts w:hint="eastAsia" w:ascii="宋体" w:hAnsi="宋体"/>
                <w:color w:val="auto"/>
                <w:sz w:val="28"/>
                <w:szCs w:val="28"/>
                <w:lang w:val="en-US" w:eastAsia="zh-CN"/>
              </w:rPr>
              <w:t>2023</w:t>
            </w:r>
            <w:r>
              <w:rPr>
                <w:rFonts w:hint="eastAsia" w:ascii="宋体" w:hAnsi="宋体"/>
                <w:color w:val="auto"/>
                <w:sz w:val="28"/>
                <w:szCs w:val="28"/>
                <w:highlight w:val="none"/>
                <w:lang w:val="en-US" w:eastAsia="zh-CN"/>
              </w:rPr>
              <w:t>年</w:t>
            </w:r>
            <w:r>
              <w:rPr>
                <w:rFonts w:hint="eastAsia"/>
                <w:color w:val="auto"/>
                <w:sz w:val="28"/>
                <w:szCs w:val="28"/>
                <w:highlight w:val="none"/>
                <w:lang w:val="en-US" w:eastAsia="zh-CN"/>
              </w:rPr>
              <w:t>05</w:t>
            </w:r>
            <w:r>
              <w:rPr>
                <w:rFonts w:hint="eastAsia" w:ascii="宋体" w:hAnsi="宋体"/>
                <w:color w:val="auto"/>
                <w:sz w:val="28"/>
                <w:szCs w:val="28"/>
                <w:highlight w:val="none"/>
                <w:lang w:val="en-US" w:eastAsia="zh-CN"/>
              </w:rPr>
              <w:t>月</w:t>
            </w:r>
            <w:r>
              <w:rPr>
                <w:rFonts w:hint="eastAsia"/>
                <w:color w:val="auto"/>
                <w:sz w:val="28"/>
                <w:szCs w:val="28"/>
                <w:highlight w:val="none"/>
                <w:lang w:val="en-US" w:eastAsia="zh-CN"/>
              </w:rPr>
              <w:t>18</w:t>
            </w:r>
            <w:r>
              <w:rPr>
                <w:rFonts w:hint="eastAsia" w:ascii="宋体" w:hAnsi="宋体"/>
                <w:color w:val="auto"/>
                <w:sz w:val="28"/>
                <w:szCs w:val="28"/>
                <w:highlight w:val="none"/>
                <w:lang w:val="en-US" w:eastAsia="zh-CN"/>
              </w:rPr>
              <w:t>日</w:t>
            </w:r>
          </w:p>
        </w:tc>
      </w:tr>
    </w:tbl>
    <w:p>
      <w:pPr>
        <w:ind w:right="560"/>
        <w:jc w:val="center"/>
        <w:rPr>
          <w:rFonts w:hint="eastAsia" w:ascii="宋体" w:hAnsi="宋体" w:eastAsia="宋体" w:cs="宋体"/>
          <w:b/>
          <w:color w:val="0C0C0C"/>
          <w:sz w:val="24"/>
          <w:szCs w:val="24"/>
          <w:highlight w:val="none"/>
        </w:rPr>
      </w:pPr>
      <w:r>
        <w:rPr>
          <w:rFonts w:hint="eastAsia" w:ascii="宋体" w:hAnsi="宋体"/>
          <w:b/>
          <w:bCs/>
          <w:sz w:val="28"/>
          <w:szCs w:val="28"/>
          <w:lang w:val="en-US" w:eastAsia="zh-CN"/>
        </w:rPr>
        <w:t xml:space="preserve">                             于田县人民政府采购办备案</w:t>
      </w:r>
    </w:p>
    <w:p>
      <w:pPr>
        <w:tabs>
          <w:tab w:val="left" w:pos="902"/>
        </w:tabs>
        <w:spacing w:before="39"/>
        <w:ind w:right="158"/>
        <w:jc w:val="center"/>
        <w:rPr>
          <w:b/>
          <w:sz w:val="36"/>
          <w:lang w:eastAsia="zh-CN"/>
        </w:rPr>
      </w:pPr>
    </w:p>
    <w:p>
      <w:pPr>
        <w:tabs>
          <w:tab w:val="left" w:pos="902"/>
        </w:tabs>
        <w:spacing w:before="39"/>
        <w:ind w:right="158"/>
        <w:jc w:val="center"/>
        <w:rPr>
          <w:b/>
          <w:sz w:val="36"/>
          <w:lang w:eastAsia="zh-CN"/>
        </w:rPr>
      </w:pPr>
    </w:p>
    <w:p>
      <w:pPr>
        <w:tabs>
          <w:tab w:val="left" w:pos="902"/>
        </w:tabs>
        <w:spacing w:before="39"/>
        <w:ind w:right="158"/>
        <w:jc w:val="center"/>
        <w:rPr>
          <w:b/>
          <w:sz w:val="36"/>
          <w:lang w:eastAsia="zh-CN"/>
        </w:rPr>
      </w:pPr>
    </w:p>
    <w:p>
      <w:pPr>
        <w:tabs>
          <w:tab w:val="left" w:pos="902"/>
        </w:tabs>
        <w:spacing w:before="39"/>
        <w:ind w:right="158"/>
        <w:jc w:val="center"/>
        <w:rPr>
          <w:b/>
          <w:sz w:val="36"/>
          <w:lang w:eastAsia="zh-CN"/>
        </w:rPr>
      </w:pPr>
    </w:p>
    <w:p>
      <w:pPr>
        <w:tabs>
          <w:tab w:val="left" w:pos="902"/>
        </w:tabs>
        <w:spacing w:before="39"/>
        <w:ind w:right="158"/>
        <w:jc w:val="center"/>
        <w:rPr>
          <w:b/>
          <w:sz w:val="36"/>
          <w:lang w:eastAsia="zh-CN"/>
        </w:rPr>
      </w:pPr>
      <w:r>
        <w:rPr>
          <w:b/>
          <w:sz w:val="36"/>
          <w:lang w:eastAsia="zh-CN"/>
        </w:rPr>
        <w:t>目</w:t>
      </w:r>
      <w:r>
        <w:rPr>
          <w:b/>
          <w:sz w:val="36"/>
          <w:lang w:eastAsia="zh-CN"/>
        </w:rPr>
        <w:tab/>
      </w:r>
      <w:r>
        <w:rPr>
          <w:b/>
          <w:sz w:val="36"/>
          <w:lang w:eastAsia="zh-CN"/>
        </w:rPr>
        <w:t>录</w:t>
      </w:r>
    </w:p>
    <w:sdt>
      <w:sdtPr>
        <w:id w:val="-180276670"/>
        <w:docPartObj>
          <w:docPartGallery w:val="Table of Contents"/>
          <w:docPartUnique/>
        </w:docPartObj>
      </w:sdtPr>
      <w:sdtContent>
        <w:p>
          <w:pPr>
            <w:pStyle w:val="12"/>
            <w:tabs>
              <w:tab w:val="left" w:pos="1539"/>
              <w:tab w:val="right" w:leader="dot" w:pos="10178"/>
            </w:tabs>
            <w:spacing w:before="572"/>
            <w:rPr>
              <w:rFonts w:ascii="Times New Roman" w:eastAsia="Times New Roman"/>
              <w:lang w:eastAsia="zh-CN"/>
            </w:rPr>
          </w:pPr>
          <w:r>
            <w:fldChar w:fldCharType="begin"/>
          </w:r>
          <w:r>
            <w:instrText xml:space="preserve"> HYPERLINK \l "_bookmark0" </w:instrText>
          </w:r>
          <w:r>
            <w:fldChar w:fldCharType="separate"/>
          </w:r>
          <w:r>
            <w:rPr>
              <w:lang w:eastAsia="zh-CN"/>
            </w:rPr>
            <w:t>第一章</w:t>
          </w:r>
          <w:r>
            <w:rPr>
              <w:lang w:eastAsia="zh-CN"/>
            </w:rPr>
            <w:tab/>
          </w:r>
          <w:r>
            <w:rPr>
              <w:lang w:eastAsia="zh-CN"/>
            </w:rPr>
            <w:t>竞争性磋商公告</w:t>
          </w:r>
          <w:r>
            <w:rPr>
              <w:lang w:eastAsia="zh-CN"/>
            </w:rPr>
            <w:tab/>
          </w:r>
          <w:r>
            <w:rPr>
              <w:rFonts w:ascii="Times New Roman" w:eastAsia="Times New Roman"/>
              <w:lang w:eastAsia="zh-CN"/>
            </w:rPr>
            <w:t>1</w:t>
          </w:r>
          <w:r>
            <w:rPr>
              <w:rFonts w:ascii="Times New Roman" w:eastAsia="Times New Roman"/>
              <w:lang w:eastAsia="zh-CN"/>
            </w:rPr>
            <w:fldChar w:fldCharType="end"/>
          </w:r>
        </w:p>
        <w:p>
          <w:pPr>
            <w:pStyle w:val="12"/>
            <w:tabs>
              <w:tab w:val="left" w:pos="1379"/>
              <w:tab w:val="right" w:leader="dot" w:pos="10178"/>
            </w:tabs>
            <w:spacing w:before="6"/>
            <w:rPr>
              <w:rFonts w:ascii="Times New Roman" w:eastAsia="Times New Roman"/>
              <w:lang w:eastAsia="zh-CN"/>
            </w:rPr>
          </w:pPr>
          <w:r>
            <w:fldChar w:fldCharType="begin"/>
          </w:r>
          <w:r>
            <w:instrText xml:space="preserve"> HYPERLINK \l "_bookmark1" </w:instrText>
          </w:r>
          <w:r>
            <w:fldChar w:fldCharType="separate"/>
          </w:r>
          <w:r>
            <w:rPr>
              <w:lang w:eastAsia="zh-CN"/>
            </w:rPr>
            <w:t>第二章</w:t>
          </w:r>
          <w:r>
            <w:rPr>
              <w:lang w:eastAsia="zh-CN"/>
            </w:rPr>
            <w:tab/>
          </w:r>
          <w:r>
            <w:rPr>
              <w:lang w:eastAsia="zh-CN"/>
            </w:rPr>
            <w:t>供应商须知</w:t>
          </w:r>
          <w:r>
            <w:rPr>
              <w:lang w:eastAsia="zh-CN"/>
            </w:rPr>
            <w:tab/>
          </w:r>
          <w:r>
            <w:rPr>
              <w:rFonts w:hint="eastAsia" w:ascii="Times New Roman" w:eastAsia="Times New Roman"/>
              <w:lang w:val="en-US" w:eastAsia="zh-CN"/>
            </w:rPr>
            <w:t>4</w:t>
          </w:r>
          <w:r>
            <w:rPr>
              <w:rFonts w:ascii="Times New Roman" w:eastAsia="Times New Roman"/>
              <w:lang w:eastAsia="zh-CN"/>
            </w:rPr>
            <w:fldChar w:fldCharType="end"/>
          </w:r>
        </w:p>
        <w:p>
          <w:pPr>
            <w:pStyle w:val="12"/>
            <w:tabs>
              <w:tab w:val="left" w:pos="1379"/>
              <w:tab w:val="right" w:leader="dot" w:pos="10181"/>
            </w:tabs>
            <w:rPr>
              <w:rFonts w:ascii="Times New Roman" w:eastAsia="Times New Roman"/>
              <w:lang w:eastAsia="zh-CN"/>
            </w:rPr>
          </w:pPr>
          <w:r>
            <w:fldChar w:fldCharType="begin"/>
          </w:r>
          <w:r>
            <w:instrText xml:space="preserve"> HYPERLINK \l "_bookmark2" </w:instrText>
          </w:r>
          <w:r>
            <w:fldChar w:fldCharType="separate"/>
          </w:r>
          <w:r>
            <w:rPr>
              <w:lang w:eastAsia="zh-CN"/>
            </w:rPr>
            <w:t>第三章</w:t>
          </w:r>
          <w:r>
            <w:rPr>
              <w:lang w:eastAsia="zh-CN"/>
            </w:rPr>
            <w:tab/>
          </w:r>
          <w:r>
            <w:rPr>
              <w:lang w:eastAsia="zh-CN"/>
            </w:rPr>
            <w:t>磋商办法</w:t>
          </w:r>
          <w:r>
            <w:rPr>
              <w:lang w:eastAsia="zh-CN"/>
            </w:rPr>
            <w:tab/>
          </w:r>
          <w:r>
            <w:rPr>
              <w:rFonts w:ascii="Times New Roman" w:eastAsia="Times New Roman"/>
              <w:lang w:eastAsia="zh-CN"/>
            </w:rPr>
            <w:t>2</w:t>
          </w:r>
          <w:r>
            <w:rPr>
              <w:rFonts w:hint="eastAsia" w:ascii="Times New Roman" w:eastAsia="Times New Roman"/>
              <w:lang w:val="en-US" w:eastAsia="zh-CN"/>
            </w:rPr>
            <w:t>0</w:t>
          </w:r>
          <w:r>
            <w:rPr>
              <w:rFonts w:ascii="Times New Roman" w:eastAsia="Times New Roman"/>
              <w:lang w:eastAsia="zh-CN"/>
            </w:rPr>
            <w:fldChar w:fldCharType="end"/>
          </w:r>
        </w:p>
        <w:p>
          <w:pPr>
            <w:pStyle w:val="12"/>
            <w:tabs>
              <w:tab w:val="right" w:leader="dot" w:pos="10181"/>
            </w:tabs>
            <w:rPr>
              <w:rFonts w:ascii="Times New Roman" w:eastAsia="Times New Roman"/>
              <w:lang w:eastAsia="zh-CN"/>
            </w:rPr>
          </w:pPr>
          <w:r>
            <w:fldChar w:fldCharType="begin"/>
          </w:r>
          <w:r>
            <w:instrText xml:space="preserve"> HYPERLINK \l "_bookmark3" </w:instrText>
          </w:r>
          <w:r>
            <w:fldChar w:fldCharType="separate"/>
          </w:r>
          <w:r>
            <w:rPr>
              <w:lang w:eastAsia="zh-CN"/>
            </w:rPr>
            <w:t>第四章 合同附件格式及条款</w:t>
          </w:r>
          <w:r>
            <w:rPr>
              <w:lang w:eastAsia="zh-CN"/>
            </w:rPr>
            <w:tab/>
          </w:r>
          <w:r>
            <w:rPr>
              <w:rFonts w:ascii="Times New Roman" w:eastAsia="Times New Roman"/>
              <w:lang w:eastAsia="zh-CN"/>
            </w:rPr>
            <w:t>2</w:t>
          </w:r>
          <w:r>
            <w:rPr>
              <w:rFonts w:hint="eastAsia" w:ascii="Times New Roman" w:eastAsia="Times New Roman"/>
              <w:lang w:val="en-US" w:eastAsia="zh-CN"/>
            </w:rPr>
            <w:t>7</w:t>
          </w:r>
          <w:r>
            <w:rPr>
              <w:rFonts w:ascii="Times New Roman" w:eastAsia="Times New Roman"/>
              <w:lang w:eastAsia="zh-CN"/>
            </w:rPr>
            <w:fldChar w:fldCharType="end"/>
          </w:r>
        </w:p>
        <w:p>
          <w:pPr>
            <w:pStyle w:val="12"/>
            <w:tabs>
              <w:tab w:val="right" w:leader="dot" w:pos="10181"/>
            </w:tabs>
            <w:rPr>
              <w:rFonts w:ascii="Times New Roman" w:eastAsia="Times New Roman"/>
              <w:lang w:eastAsia="zh-CN"/>
            </w:rPr>
          </w:pPr>
          <w:r>
            <w:fldChar w:fldCharType="begin"/>
          </w:r>
          <w:r>
            <w:instrText xml:space="preserve"> HYPERLINK \l "_bookmark4" </w:instrText>
          </w:r>
          <w:r>
            <w:fldChar w:fldCharType="separate"/>
          </w:r>
          <w:r>
            <w:rPr>
              <w:lang w:eastAsia="zh-CN"/>
            </w:rPr>
            <w:t>第五章 采购服务要求</w:t>
          </w:r>
          <w:r>
            <w:rPr>
              <w:lang w:eastAsia="zh-CN"/>
            </w:rPr>
            <w:tab/>
          </w:r>
          <w:r>
            <w:rPr>
              <w:rFonts w:ascii="Times New Roman" w:eastAsia="Times New Roman"/>
              <w:lang w:eastAsia="zh-CN"/>
            </w:rPr>
            <w:t>3</w:t>
          </w:r>
          <w:r>
            <w:rPr>
              <w:rFonts w:hint="eastAsia" w:ascii="Times New Roman" w:eastAsia="Times New Roman"/>
              <w:lang w:val="en-US" w:eastAsia="zh-CN"/>
            </w:rPr>
            <w:t>2</w:t>
          </w:r>
          <w:r>
            <w:rPr>
              <w:rFonts w:ascii="Times New Roman" w:eastAsia="Times New Roman"/>
              <w:lang w:eastAsia="zh-CN"/>
            </w:rPr>
            <w:fldChar w:fldCharType="end"/>
          </w:r>
        </w:p>
        <w:p>
          <w:pPr>
            <w:pStyle w:val="12"/>
            <w:tabs>
              <w:tab w:val="left" w:pos="1379"/>
              <w:tab w:val="right" w:leader="dot" w:pos="10181"/>
            </w:tabs>
            <w:rPr>
              <w:rFonts w:ascii="Times New Roman" w:eastAsia="Times New Roman"/>
              <w:lang w:eastAsia="zh-CN"/>
            </w:rPr>
          </w:pPr>
          <w:r>
            <w:fldChar w:fldCharType="begin"/>
          </w:r>
          <w:r>
            <w:instrText xml:space="preserve"> HYPERLINK \l "_bookmark5" </w:instrText>
          </w:r>
          <w:r>
            <w:fldChar w:fldCharType="separate"/>
          </w:r>
          <w:r>
            <w:rPr>
              <w:lang w:eastAsia="zh-CN"/>
            </w:rPr>
            <w:t>第六章</w:t>
          </w:r>
          <w:r>
            <w:rPr>
              <w:rFonts w:hint="eastAsia"/>
              <w:lang w:val="en-US" w:eastAsia="zh-CN"/>
            </w:rPr>
            <w:t xml:space="preserve"> </w:t>
          </w:r>
          <w:r>
            <w:rPr>
              <w:lang w:eastAsia="zh-CN"/>
            </w:rPr>
            <w:t>响应文件格式</w:t>
          </w:r>
          <w:r>
            <w:rPr>
              <w:lang w:eastAsia="zh-CN"/>
            </w:rPr>
            <w:tab/>
          </w:r>
          <w:r>
            <w:rPr>
              <w:rFonts w:ascii="Times New Roman" w:eastAsia="Times New Roman"/>
              <w:lang w:eastAsia="zh-CN"/>
            </w:rPr>
            <w:t>3</w:t>
          </w:r>
          <w:r>
            <w:rPr>
              <w:rFonts w:hint="eastAsia" w:ascii="Times New Roman" w:eastAsia="Times New Roman"/>
              <w:lang w:val="en-US" w:eastAsia="zh-CN"/>
            </w:rPr>
            <w:t>5</w:t>
          </w:r>
          <w:r>
            <w:rPr>
              <w:rFonts w:ascii="Times New Roman" w:eastAsia="Times New Roman"/>
              <w:lang w:eastAsia="zh-CN"/>
            </w:rPr>
            <w:fldChar w:fldCharType="end"/>
          </w:r>
        </w:p>
        <w:p>
          <w:pPr>
            <w:pStyle w:val="12"/>
            <w:tabs>
              <w:tab w:val="left" w:pos="1379"/>
              <w:tab w:val="right" w:leader="dot" w:pos="10181"/>
            </w:tabs>
            <w:spacing w:before="6"/>
            <w:rPr>
              <w:rFonts w:ascii="Times New Roman" w:eastAsia="Times New Roman"/>
              <w:lang w:eastAsia="zh-CN"/>
            </w:rPr>
            <w:sectPr>
              <w:pgSz w:w="12240" w:h="15840"/>
              <w:pgMar w:top="1320" w:right="820" w:bottom="280" w:left="980" w:header="721" w:footer="0" w:gutter="0"/>
              <w:cols w:space="720" w:num="1"/>
            </w:sectPr>
          </w:pPr>
        </w:p>
      </w:sdtContent>
    </w:sdt>
    <w:p>
      <w:pPr>
        <w:pStyle w:val="3"/>
        <w:numPr>
          <w:ilvl w:val="0"/>
          <w:numId w:val="3"/>
        </w:numPr>
        <w:tabs>
          <w:tab w:val="left" w:pos="1264"/>
        </w:tabs>
        <w:spacing w:before="229"/>
        <w:ind w:right="155"/>
        <w:rPr>
          <w:lang w:eastAsia="zh-CN"/>
        </w:rPr>
      </w:pPr>
      <w:bookmarkStart w:id="0" w:name="_bookmark0"/>
      <w:bookmarkEnd w:id="0"/>
      <w:bookmarkStart w:id="1" w:name="第一章___竞争性磋商公告"/>
      <w:bookmarkEnd w:id="1"/>
      <w:r>
        <w:rPr>
          <w:lang w:eastAsia="zh-CN"/>
        </w:rPr>
        <w:t>竞争性磋商公告</w:t>
      </w:r>
    </w:p>
    <w:p>
      <w:pPr>
        <w:numPr>
          <w:ilvl w:val="0"/>
          <w:numId w:val="0"/>
        </w:numPr>
        <w:rPr>
          <w:lang w:eastAsia="zh-CN"/>
        </w:rPr>
      </w:pPr>
    </w:p>
    <w:p>
      <w:pPr>
        <w:spacing w:before="5"/>
        <w:ind w:left="1064"/>
        <w:rPr>
          <w:b/>
          <w:sz w:val="32"/>
          <w:lang w:eastAsia="zh-CN"/>
        </w:rPr>
      </w:pPr>
      <w:r>
        <w:rPr>
          <w:rFonts w:hint="eastAsia"/>
          <w:b/>
          <w:sz w:val="28"/>
          <w:lang w:eastAsia="zh-CN"/>
        </w:rPr>
        <w:t>于田县津和示范班建设及优秀学生资助项目</w:t>
      </w:r>
      <w:r>
        <w:rPr>
          <w:rFonts w:hint="eastAsia"/>
          <w:b/>
          <w:sz w:val="28"/>
          <w:lang w:val="en-US" w:eastAsia="zh-CN"/>
        </w:rPr>
        <w:t>(</w:t>
      </w:r>
      <w:r>
        <w:rPr>
          <w:rFonts w:hint="eastAsia"/>
          <w:b/>
          <w:sz w:val="28"/>
          <w:lang w:eastAsia="zh-CN"/>
        </w:rPr>
        <w:t>二次</w:t>
      </w:r>
      <w:r>
        <w:rPr>
          <w:rFonts w:hint="eastAsia"/>
          <w:b/>
          <w:sz w:val="28"/>
          <w:lang w:val="en-US" w:eastAsia="zh-CN"/>
        </w:rPr>
        <w:t>)</w:t>
      </w:r>
      <w:r>
        <w:rPr>
          <w:rFonts w:hint="eastAsia"/>
          <w:b/>
          <w:sz w:val="28"/>
          <w:lang w:eastAsia="zh-CN"/>
        </w:rPr>
        <w:t>竞争性磋商公告</w:t>
      </w:r>
    </w:p>
    <w:p>
      <w:pPr>
        <w:pStyle w:val="8"/>
        <w:pBdr>
          <w:top w:val="none" w:color="auto" w:sz="0" w:space="0"/>
          <w:left w:val="none" w:color="auto" w:sz="0" w:space="0"/>
          <w:bottom w:val="none" w:color="auto" w:sz="0" w:space="0"/>
          <w:right w:val="none" w:color="auto" w:sz="0" w:space="0"/>
          <w:between w:val="none" w:color="auto" w:sz="0" w:space="0"/>
        </w:pBdr>
        <w:spacing w:before="7"/>
        <w:rPr>
          <w:b/>
          <w:sz w:val="22"/>
          <w:lang w:eastAsia="zh-CN"/>
        </w:rPr>
      </w:pPr>
    </w:p>
    <w:p>
      <w:pPr>
        <w:pStyle w:val="8"/>
        <w:keepNext w:val="0"/>
        <w:keepLines w:val="0"/>
        <w:widowControl/>
        <w:suppressLineNumbers w:val="0"/>
        <w:pBdr>
          <w:top w:val="single" w:color="auto" w:sz="4" w:space="0"/>
          <w:left w:val="single" w:color="auto" w:sz="4" w:space="0"/>
          <w:bottom w:val="single" w:color="auto" w:sz="4" w:space="0"/>
          <w:right w:val="single" w:color="auto" w:sz="4" w:space="0"/>
          <w:between w:val="none" w:color="auto" w:sz="0" w:space="0"/>
        </w:pBdr>
        <w:spacing w:beforeAutospacing="0" w:afterAutospacing="0" w:line="312" w:lineRule="auto"/>
        <w:ind w:left="0" w:right="139" w:firstLine="0"/>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lang w:val="en-US" w:eastAsia="zh-CN"/>
        </w:rPr>
        <w:t>项目概况：</w:t>
      </w:r>
    </w:p>
    <w:p>
      <w:pPr>
        <w:pStyle w:val="8"/>
        <w:keepNext w:val="0"/>
        <w:keepLines w:val="0"/>
        <w:widowControl/>
        <w:suppressLineNumbers w:val="0"/>
        <w:pBdr>
          <w:top w:val="single" w:color="auto" w:sz="4" w:space="0"/>
          <w:left w:val="single" w:color="auto" w:sz="4" w:space="0"/>
          <w:bottom w:val="single" w:color="auto" w:sz="4" w:space="0"/>
          <w:right w:val="single" w:color="auto" w:sz="4" w:space="0"/>
          <w:between w:val="none" w:color="auto" w:sz="0" w:space="0"/>
        </w:pBdr>
        <w:spacing w:beforeAutospacing="0" w:afterAutospacing="0" w:line="312" w:lineRule="auto"/>
        <w:ind w:left="0" w:right="139" w:firstLine="540" w:firstLineChars="200"/>
        <w:rPr>
          <w:rFonts w:hint="eastAsia" w:ascii="仿宋" w:hAnsi="仿宋" w:eastAsia="仿宋" w:cs="仿宋"/>
          <w:i w:val="0"/>
          <w:iCs w:val="0"/>
          <w:caps w:val="0"/>
          <w:color w:val="000000"/>
          <w:spacing w:val="0"/>
          <w:sz w:val="27"/>
          <w:szCs w:val="27"/>
          <w:highlight w:val="none"/>
        </w:rPr>
      </w:pPr>
      <w:r>
        <w:rPr>
          <w:rFonts w:hint="eastAsia" w:ascii="仿宋" w:hAnsi="仿宋" w:eastAsia="仿宋" w:cs="仿宋"/>
          <w:i w:val="0"/>
          <w:iCs w:val="0"/>
          <w:caps w:val="0"/>
          <w:color w:val="000000"/>
          <w:spacing w:val="0"/>
          <w:sz w:val="27"/>
          <w:szCs w:val="27"/>
          <w:lang w:eastAsia="zh-CN"/>
        </w:rPr>
        <w:t>于田县津和示范班建设及优秀学生资助项目二次</w:t>
      </w:r>
      <w:r>
        <w:rPr>
          <w:rFonts w:hint="eastAsia" w:ascii="仿宋" w:hAnsi="仿宋" w:eastAsia="仿宋" w:cs="仿宋"/>
          <w:i w:val="0"/>
          <w:iCs w:val="0"/>
          <w:caps w:val="0"/>
          <w:color w:val="000000"/>
          <w:spacing w:val="0"/>
          <w:sz w:val="27"/>
          <w:szCs w:val="27"/>
        </w:rPr>
        <w:t>招标项目的潜在</w:t>
      </w:r>
      <w:r>
        <w:rPr>
          <w:rFonts w:hint="eastAsia" w:ascii="仿宋" w:hAnsi="仿宋" w:eastAsia="仿宋" w:cs="仿宋"/>
          <w:i w:val="0"/>
          <w:iCs w:val="0"/>
          <w:caps w:val="0"/>
          <w:color w:val="000000"/>
          <w:spacing w:val="0"/>
          <w:sz w:val="27"/>
          <w:szCs w:val="27"/>
          <w:lang w:val="en-US" w:eastAsia="zh-CN"/>
        </w:rPr>
        <w:t>供应商登录政采云平台https://www.zcygov.cn/在线申请获取采购文件（进入“项目采购”应用，在获取采购文件菜单中选择项目，申请获取采购文件）</w:t>
      </w:r>
      <w:r>
        <w:rPr>
          <w:rFonts w:hint="eastAsia" w:ascii="仿宋" w:hAnsi="仿宋" w:eastAsia="仿宋" w:cs="仿宋"/>
          <w:i w:val="0"/>
          <w:iCs w:val="0"/>
          <w:caps w:val="0"/>
          <w:color w:val="000000"/>
          <w:spacing w:val="0"/>
          <w:sz w:val="27"/>
          <w:szCs w:val="27"/>
        </w:rPr>
        <w:t>，并于2</w:t>
      </w:r>
      <w:r>
        <w:rPr>
          <w:rFonts w:hint="eastAsia" w:ascii="仿宋" w:hAnsi="仿宋" w:eastAsia="仿宋" w:cs="仿宋"/>
          <w:i w:val="0"/>
          <w:iCs w:val="0"/>
          <w:caps w:val="0"/>
          <w:color w:val="000000"/>
          <w:spacing w:val="0"/>
          <w:sz w:val="27"/>
          <w:szCs w:val="27"/>
          <w:highlight w:val="none"/>
        </w:rPr>
        <w:t>023年05月</w:t>
      </w:r>
      <w:r>
        <w:rPr>
          <w:rFonts w:hint="eastAsia" w:ascii="仿宋" w:hAnsi="仿宋" w:eastAsia="仿宋" w:cs="仿宋"/>
          <w:i w:val="0"/>
          <w:iCs w:val="0"/>
          <w:caps w:val="0"/>
          <w:color w:val="000000"/>
          <w:spacing w:val="0"/>
          <w:sz w:val="27"/>
          <w:szCs w:val="27"/>
          <w:highlight w:val="none"/>
          <w:lang w:val="en-US" w:eastAsia="zh-CN"/>
        </w:rPr>
        <w:t>30</w:t>
      </w:r>
      <w:r>
        <w:rPr>
          <w:rFonts w:hint="eastAsia" w:ascii="仿宋" w:hAnsi="仿宋" w:eastAsia="仿宋" w:cs="仿宋"/>
          <w:i w:val="0"/>
          <w:iCs w:val="0"/>
          <w:caps w:val="0"/>
          <w:color w:val="000000"/>
          <w:spacing w:val="0"/>
          <w:sz w:val="27"/>
          <w:szCs w:val="27"/>
          <w:highlight w:val="none"/>
        </w:rPr>
        <w:t>日 11:0</w:t>
      </w:r>
      <w:r>
        <w:rPr>
          <w:rFonts w:hint="eastAsia" w:ascii="仿宋" w:hAnsi="仿宋" w:eastAsia="仿宋" w:cs="仿宋"/>
          <w:i w:val="0"/>
          <w:iCs w:val="0"/>
          <w:caps w:val="0"/>
          <w:color w:val="000000"/>
          <w:spacing w:val="0"/>
          <w:sz w:val="27"/>
          <w:szCs w:val="27"/>
        </w:rPr>
        <w:t>0（北京时间）前递交</w:t>
      </w:r>
      <w:r>
        <w:rPr>
          <w:rFonts w:hint="eastAsia" w:ascii="仿宋" w:hAnsi="仿宋" w:eastAsia="仿宋" w:cs="仿宋"/>
          <w:i w:val="0"/>
          <w:iCs w:val="0"/>
          <w:caps w:val="0"/>
          <w:color w:val="000000"/>
          <w:spacing w:val="0"/>
          <w:sz w:val="27"/>
          <w:szCs w:val="27"/>
          <w:lang w:eastAsia="zh-CN"/>
        </w:rPr>
        <w:t>响应文件</w:t>
      </w:r>
      <w:r>
        <w:rPr>
          <w:rFonts w:hint="eastAsia" w:ascii="仿宋" w:hAnsi="仿宋" w:eastAsia="仿宋" w:cs="仿宋"/>
          <w:i w:val="0"/>
          <w:iCs w:val="0"/>
          <w:caps w:val="0"/>
          <w:color w:val="000000"/>
          <w:spacing w:val="0"/>
          <w:sz w:val="27"/>
          <w:szCs w:val="27"/>
        </w:rPr>
        <w:t>。</w:t>
      </w:r>
    </w:p>
    <w:p>
      <w:pPr>
        <w:pStyle w:val="8"/>
        <w:spacing w:line="312" w:lineRule="auto"/>
        <w:ind w:right="139"/>
        <w:rPr>
          <w:color w:val="FF0000"/>
          <w:lang w:eastAsia="zh-CN"/>
        </w:rPr>
      </w:pPr>
      <w:r>
        <w:rPr>
          <w:lang w:eastAsia="zh-CN"/>
        </w:rPr>
        <w:t>一、磋商文件编号：</w:t>
      </w:r>
      <w:r>
        <w:rPr>
          <w:rFonts w:hint="eastAsia"/>
          <w:highlight w:val="none"/>
          <w:lang w:eastAsia="zh-CN"/>
        </w:rPr>
        <w:t>YTCGD-JZ-2023-037-01</w:t>
      </w:r>
    </w:p>
    <w:p>
      <w:pPr>
        <w:pStyle w:val="8"/>
        <w:spacing w:before="1" w:line="312" w:lineRule="auto"/>
        <w:ind w:left="100" w:right="3619"/>
        <w:rPr>
          <w:rFonts w:hint="default"/>
          <w:lang w:val="en-US" w:eastAsia="zh-CN"/>
        </w:rPr>
      </w:pPr>
      <w:r>
        <w:rPr>
          <w:lang w:eastAsia="zh-CN"/>
        </w:rPr>
        <w:t>二、项目名称：</w:t>
      </w:r>
      <w:r>
        <w:rPr>
          <w:rFonts w:hint="eastAsia"/>
          <w:lang w:eastAsia="zh-CN"/>
        </w:rPr>
        <w:t>于田县津和示范班建设及优秀学生资助项目</w:t>
      </w:r>
      <w:r>
        <w:rPr>
          <w:rFonts w:hint="eastAsia"/>
          <w:lang w:val="en-US" w:eastAsia="zh-CN"/>
        </w:rPr>
        <w:t>(</w:t>
      </w:r>
      <w:r>
        <w:rPr>
          <w:rFonts w:hint="eastAsia"/>
          <w:lang w:eastAsia="zh-CN"/>
        </w:rPr>
        <w:t>二次</w:t>
      </w:r>
      <w:r>
        <w:rPr>
          <w:rFonts w:hint="eastAsia"/>
          <w:lang w:val="en-US" w:eastAsia="zh-CN"/>
        </w:rPr>
        <w:t>)</w:t>
      </w:r>
    </w:p>
    <w:p>
      <w:pPr>
        <w:pStyle w:val="8"/>
        <w:spacing w:before="1" w:line="312" w:lineRule="auto"/>
        <w:ind w:left="100" w:right="3619"/>
        <w:rPr>
          <w:lang w:eastAsia="zh-CN"/>
        </w:rPr>
      </w:pPr>
      <w:r>
        <w:rPr>
          <w:lang w:eastAsia="zh-CN"/>
        </w:rPr>
        <w:t>三、采购类型：竞争性磋商</w:t>
      </w:r>
    </w:p>
    <w:p>
      <w:pPr>
        <w:pStyle w:val="8"/>
        <w:spacing w:before="2"/>
        <w:ind w:left="100"/>
        <w:rPr>
          <w:lang w:eastAsia="zh-CN"/>
        </w:rPr>
      </w:pPr>
      <w:r>
        <w:rPr>
          <w:lang w:eastAsia="zh-CN"/>
        </w:rPr>
        <w:t>四、资金来源：</w:t>
      </w:r>
      <w:r>
        <w:rPr>
          <w:rFonts w:hint="eastAsia"/>
          <w:lang w:eastAsia="zh-CN"/>
        </w:rPr>
        <w:t>天津</w:t>
      </w:r>
      <w:r>
        <w:rPr>
          <w:lang w:eastAsia="zh-CN"/>
        </w:rPr>
        <w:t>援疆资金</w:t>
      </w:r>
    </w:p>
    <w:p>
      <w:pPr>
        <w:pStyle w:val="8"/>
        <w:spacing w:before="91" w:line="312" w:lineRule="auto"/>
        <w:ind w:left="100" w:right="259"/>
        <w:rPr>
          <w:rFonts w:hint="default"/>
          <w:lang w:val="en-US" w:eastAsia="zh-CN"/>
        </w:rPr>
      </w:pPr>
      <w:r>
        <w:rPr>
          <w:spacing w:val="-10"/>
          <w:lang w:eastAsia="zh-CN"/>
        </w:rPr>
        <w:t>五、采购内容：</w:t>
      </w:r>
      <w:r>
        <w:rPr>
          <w:rFonts w:hint="eastAsia"/>
          <w:spacing w:val="-10"/>
          <w:lang w:val="en-US" w:eastAsia="zh-CN"/>
        </w:rPr>
        <w:t>打造10个</w:t>
      </w:r>
      <w:r>
        <w:rPr>
          <w:rFonts w:hint="eastAsia"/>
          <w:spacing w:val="-10"/>
          <w:highlight w:val="none"/>
          <w:lang w:val="en-US" w:eastAsia="zh-CN"/>
        </w:rPr>
        <w:t>“津和示范班”其中，在于田县CEC希望学校，开设8个“津和示范班”</w:t>
      </w:r>
      <w:r>
        <w:rPr>
          <w:rFonts w:hint="eastAsia"/>
          <w:highlight w:val="none"/>
          <w:lang w:eastAsia="zh-CN"/>
        </w:rPr>
        <w:t>、</w:t>
      </w:r>
      <w:r>
        <w:rPr>
          <w:rFonts w:hint="eastAsia"/>
          <w:highlight w:val="none"/>
          <w:lang w:val="en-US" w:eastAsia="zh-CN"/>
        </w:rPr>
        <w:t>在于田县第一中学开设2个</w:t>
      </w:r>
      <w:r>
        <w:rPr>
          <w:rFonts w:hint="eastAsia"/>
          <w:spacing w:val="-10"/>
          <w:highlight w:val="none"/>
          <w:lang w:val="en-US" w:eastAsia="zh-CN"/>
        </w:rPr>
        <w:t>“津和示范班”。小学语文、数学；中学语文、数学、英语任课教师由教育局公开招标、招聘有资质的骨干教师或名师担任，全程通过运用优质的师资力量、先进教育理念、科学高效的教学方法全力促进于田县教育质量突破性提升和进步，除以上学科外的其他任课教师由本校教师担任。</w:t>
      </w:r>
    </w:p>
    <w:p>
      <w:pPr>
        <w:pStyle w:val="8"/>
        <w:spacing w:before="91" w:line="312" w:lineRule="auto"/>
        <w:ind w:left="100" w:right="259"/>
        <w:rPr>
          <w:lang w:eastAsia="zh-CN"/>
        </w:rPr>
      </w:pPr>
      <w:r>
        <w:rPr>
          <w:lang w:eastAsia="zh-CN"/>
        </w:rPr>
        <w:t>六、预算价</w:t>
      </w:r>
      <w:r>
        <w:rPr>
          <w:highlight w:val="none"/>
          <w:lang w:eastAsia="zh-CN"/>
        </w:rPr>
        <w:t>：</w:t>
      </w:r>
      <w:r>
        <w:rPr>
          <w:rFonts w:hint="eastAsia"/>
          <w:highlight w:val="none"/>
          <w:lang w:eastAsia="zh-CN"/>
        </w:rPr>
        <w:t>150</w:t>
      </w:r>
      <w:r>
        <w:rPr>
          <w:rFonts w:hint="eastAsia"/>
          <w:highlight w:val="none"/>
          <w:lang w:val="en-US" w:eastAsia="zh-CN"/>
        </w:rPr>
        <w:t>0000</w:t>
      </w:r>
      <w:r>
        <w:rPr>
          <w:rFonts w:hint="eastAsia"/>
          <w:highlight w:val="none"/>
          <w:lang w:eastAsia="zh-CN"/>
        </w:rPr>
        <w:t>元（大写：壹佰伍拾万元整）</w:t>
      </w:r>
      <w:r>
        <w:rPr>
          <w:lang w:eastAsia="zh-CN"/>
        </w:rPr>
        <w:t>（此采购预算为最高限价、如超过预算价的报价为无效报价）。</w:t>
      </w:r>
    </w:p>
    <w:p>
      <w:pPr>
        <w:pStyle w:val="8"/>
        <w:spacing w:before="91" w:line="312" w:lineRule="auto"/>
        <w:ind w:left="100" w:right="259"/>
        <w:rPr>
          <w:lang w:eastAsia="zh-CN"/>
        </w:rPr>
      </w:pPr>
      <w:r>
        <w:rPr>
          <w:lang w:eastAsia="zh-CN"/>
        </w:rPr>
        <w:t>七、招标范围：</w:t>
      </w:r>
      <w:r>
        <w:rPr>
          <w:rFonts w:hint="eastAsia"/>
          <w:spacing w:val="-10"/>
          <w:lang w:eastAsia="zh-CN"/>
        </w:rPr>
        <w:t>提供学科培训服务</w:t>
      </w:r>
      <w:r>
        <w:rPr>
          <w:lang w:eastAsia="zh-CN"/>
        </w:rPr>
        <w:t>。</w:t>
      </w:r>
    </w:p>
    <w:p>
      <w:pPr>
        <w:pStyle w:val="8"/>
        <w:spacing w:line="307" w:lineRule="exact"/>
        <w:ind w:left="100"/>
        <w:rPr>
          <w:lang w:eastAsia="zh-CN"/>
        </w:rPr>
      </w:pPr>
      <w:r>
        <w:rPr>
          <w:lang w:eastAsia="zh-CN"/>
        </w:rPr>
        <w:t>八、服务期限</w:t>
      </w:r>
      <w:r>
        <w:rPr>
          <w:highlight w:val="none"/>
          <w:lang w:eastAsia="zh-CN"/>
        </w:rPr>
        <w:t>：一年。</w:t>
      </w:r>
    </w:p>
    <w:p>
      <w:pPr>
        <w:pStyle w:val="8"/>
        <w:spacing w:before="93"/>
        <w:ind w:left="100"/>
        <w:rPr>
          <w:lang w:eastAsia="zh-CN"/>
        </w:rPr>
      </w:pPr>
      <w:r>
        <w:rPr>
          <w:lang w:eastAsia="zh-CN"/>
        </w:rPr>
        <w:t>九、投标供应商的资格要求：</w:t>
      </w:r>
    </w:p>
    <w:p>
      <w:pPr>
        <w:pStyle w:val="14"/>
        <w:keepNext w:val="0"/>
        <w:keepLines w:val="0"/>
        <w:widowControl/>
        <w:numPr>
          <w:ilvl w:val="0"/>
          <w:numId w:val="0"/>
        </w:numPr>
        <w:suppressLineNumbers w:val="0"/>
        <w:spacing w:before="75" w:beforeAutospacing="0" w:after="75" w:afterAutospacing="0" w:line="300" w:lineRule="atLeast"/>
        <w:ind w:left="440" w:leftChars="0" w:right="0" w:rightChars="0"/>
        <w:rPr>
          <w:rFonts w:ascii="宋体" w:hAnsi="宋体" w:eastAsia="宋体" w:cs="宋体"/>
          <w:spacing w:val="-1"/>
          <w:lang w:eastAsia="zh-CN"/>
        </w:rPr>
      </w:pPr>
      <w:r>
        <w:rPr>
          <w:rFonts w:hint="eastAsia" w:ascii="宋体" w:hAnsi="宋体" w:eastAsia="宋体" w:cs="宋体"/>
          <w:spacing w:val="-1"/>
          <w:lang w:eastAsia="zh-CN"/>
        </w:rPr>
        <w:t>1.满足《中华人民共和国政府采购法》第二十二条规定；</w:t>
      </w:r>
    </w:p>
    <w:p>
      <w:pPr>
        <w:pStyle w:val="14"/>
        <w:keepNext w:val="0"/>
        <w:keepLines w:val="0"/>
        <w:widowControl/>
        <w:numPr>
          <w:ilvl w:val="0"/>
          <w:numId w:val="0"/>
        </w:numPr>
        <w:suppressLineNumbers w:val="0"/>
        <w:spacing w:before="75" w:beforeAutospacing="0" w:after="75" w:afterAutospacing="0" w:line="240" w:lineRule="auto"/>
        <w:ind w:left="440" w:leftChars="0" w:right="0" w:rightChars="0"/>
        <w:rPr>
          <w:rFonts w:hint="eastAsia" w:ascii="宋体" w:hAnsi="宋体" w:eastAsia="宋体" w:cs="宋体"/>
          <w:spacing w:val="-1"/>
          <w:lang w:eastAsia="zh-CN"/>
        </w:rPr>
      </w:pPr>
      <w:r>
        <w:rPr>
          <w:rFonts w:hint="eastAsia" w:ascii="宋体" w:hAnsi="宋体" w:eastAsia="宋体" w:cs="宋体"/>
          <w:spacing w:val="-1"/>
          <w:lang w:eastAsia="zh-CN"/>
        </w:rPr>
        <w:t>2.落实政府采购政策需满足的资格要求：</w:t>
      </w:r>
    </w:p>
    <w:p>
      <w:pPr>
        <w:keepNext w:val="0"/>
        <w:keepLines w:val="0"/>
        <w:pageBreakBefore w:val="0"/>
        <w:kinsoku/>
        <w:wordWrap/>
        <w:overflowPunct/>
        <w:topLinePunct w:val="0"/>
        <w:autoSpaceDE/>
        <w:autoSpaceDN/>
        <w:bidi w:val="0"/>
        <w:adjustRightInd/>
        <w:snapToGrid/>
        <w:spacing w:line="240" w:lineRule="auto"/>
        <w:ind w:left="719" w:leftChars="327" w:firstLine="0" w:firstLineChars="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根据《政府采购促进中小企业发展暂行办法》（财库〔2020〕46号）的规定（200万元以下的货物、服务采购项目</w:t>
      </w:r>
      <w:r>
        <w:rPr>
          <w:rFonts w:hint="eastAsia" w:cs="宋体"/>
          <w:color w:val="auto"/>
          <w:kern w:val="0"/>
          <w:sz w:val="24"/>
          <w:szCs w:val="24"/>
          <w:lang w:val="en-US" w:eastAsia="zh-CN" w:bidi="ar-SA"/>
        </w:rPr>
        <w:t>）</w:t>
      </w:r>
      <w:r>
        <w:rPr>
          <w:rFonts w:hint="eastAsia" w:ascii="宋体" w:hAnsi="宋体" w:eastAsia="宋体" w:cs="宋体"/>
          <w:color w:val="auto"/>
          <w:kern w:val="0"/>
          <w:sz w:val="24"/>
          <w:szCs w:val="24"/>
          <w:lang w:val="en-US" w:eastAsia="zh-CN" w:bidi="ar-SA"/>
        </w:rPr>
        <w:t>全部预留给中小企业。</w:t>
      </w:r>
    </w:p>
    <w:p>
      <w:pPr>
        <w:pStyle w:val="14"/>
        <w:keepNext w:val="0"/>
        <w:keepLines w:val="0"/>
        <w:widowControl/>
        <w:numPr>
          <w:ilvl w:val="0"/>
          <w:numId w:val="0"/>
        </w:numPr>
        <w:suppressLineNumbers w:val="0"/>
        <w:spacing w:before="75" w:beforeAutospacing="0" w:after="75" w:afterAutospacing="0" w:line="240" w:lineRule="auto"/>
        <w:ind w:right="0" w:rightChars="0" w:firstLine="476" w:firstLineChars="200"/>
        <w:rPr>
          <w:rFonts w:hint="eastAsia"/>
          <w:spacing w:val="-1"/>
          <w:lang w:eastAsia="zh-CN"/>
        </w:rPr>
      </w:pPr>
      <w:r>
        <w:rPr>
          <w:rFonts w:hint="eastAsia" w:ascii="宋体" w:hAnsi="宋体" w:eastAsia="宋体" w:cs="宋体"/>
          <w:spacing w:val="-1"/>
          <w:lang w:eastAsia="zh-CN"/>
        </w:rPr>
        <w:t>3.本项目的特定资格要求：</w:t>
      </w:r>
    </w:p>
    <w:p>
      <w:pPr>
        <w:pStyle w:val="14"/>
        <w:keepNext w:val="0"/>
        <w:keepLines w:val="0"/>
        <w:widowControl/>
        <w:numPr>
          <w:ilvl w:val="0"/>
          <w:numId w:val="0"/>
        </w:numPr>
        <w:suppressLineNumbers w:val="0"/>
        <w:spacing w:before="75" w:beforeAutospacing="0" w:after="75" w:afterAutospacing="0" w:line="300" w:lineRule="atLeast"/>
        <w:ind w:left="660" w:leftChars="0" w:right="0" w:rightChars="0"/>
        <w:rPr>
          <w:rFonts w:hint="eastAsia"/>
          <w:spacing w:val="-1"/>
          <w:lang w:eastAsia="zh-CN"/>
        </w:rPr>
      </w:pPr>
      <w:r>
        <w:rPr>
          <w:rFonts w:hint="eastAsia" w:ascii="宋体" w:hAnsi="宋体" w:eastAsia="宋体" w:cs="宋体"/>
          <w:spacing w:val="-1"/>
          <w:lang w:val="en-US" w:eastAsia="zh-CN"/>
        </w:rPr>
        <w:t>（1）</w:t>
      </w:r>
      <w:r>
        <w:rPr>
          <w:rFonts w:hint="eastAsia" w:ascii="宋体" w:hAnsi="宋体" w:eastAsia="宋体" w:cs="宋体"/>
          <w:spacing w:val="-1"/>
          <w:lang w:eastAsia="zh-CN"/>
        </w:rPr>
        <w:t>符合《中华人民共和国政府采购法》第二十二条的相关规定，国内注册（指按国家有关规定要求注册的）依法能提供本次采购货物和服务，具有法人资格的供应商；</w:t>
      </w:r>
      <w:r>
        <w:rPr>
          <w:rFonts w:hint="eastAsia" w:ascii="宋体" w:hAnsi="宋体" w:eastAsia="宋体" w:cs="宋体"/>
          <w:spacing w:val="-1"/>
          <w:lang w:eastAsia="zh-CN"/>
        </w:rPr>
        <w:br w:type="textWrapping"/>
      </w:r>
      <w:r>
        <w:rPr>
          <w:rFonts w:hint="eastAsia" w:ascii="宋体" w:hAnsi="宋体" w:eastAsia="宋体" w:cs="宋体"/>
          <w:spacing w:val="-1"/>
          <w:lang w:val="en-US" w:eastAsia="zh-CN"/>
        </w:rPr>
        <w:t>（2）</w:t>
      </w:r>
      <w:r>
        <w:rPr>
          <w:rFonts w:hint="eastAsia" w:ascii="宋体" w:hAnsi="宋体" w:eastAsia="宋体" w:cs="宋体"/>
          <w:spacing w:val="-1"/>
          <w:lang w:eastAsia="zh-CN"/>
        </w:rPr>
        <w:t>有效的“三证合一”的营业执照；</w:t>
      </w:r>
      <w:r>
        <w:rPr>
          <w:rFonts w:hint="eastAsia" w:ascii="宋体" w:hAnsi="宋体" w:eastAsia="宋体" w:cs="宋体"/>
          <w:spacing w:val="-1"/>
          <w:lang w:eastAsia="zh-CN"/>
        </w:rPr>
        <w:br w:type="textWrapping"/>
      </w:r>
      <w:r>
        <w:rPr>
          <w:rFonts w:hint="eastAsia" w:ascii="宋体" w:hAnsi="宋体" w:eastAsia="宋体" w:cs="宋体"/>
          <w:spacing w:val="-1"/>
          <w:lang w:val="en-US" w:eastAsia="zh-CN"/>
        </w:rPr>
        <w:t>（3）</w:t>
      </w:r>
      <w:r>
        <w:rPr>
          <w:rFonts w:hint="eastAsia" w:ascii="宋体" w:hAnsi="宋体" w:eastAsia="宋体" w:cs="宋体"/>
          <w:spacing w:val="-1"/>
          <w:lang w:eastAsia="zh-CN"/>
        </w:rPr>
        <w:t>具有良好的商业信誉和健全的财务会计制度（提供</w:t>
      </w:r>
      <w:r>
        <w:rPr>
          <w:rFonts w:hint="eastAsia" w:ascii="宋体" w:hAnsi="宋体" w:eastAsia="宋体" w:cs="宋体"/>
          <w:spacing w:val="-1"/>
          <w:lang w:val="en-US" w:eastAsia="zh-CN"/>
        </w:rPr>
        <w:t>2022</w:t>
      </w:r>
      <w:r>
        <w:rPr>
          <w:rFonts w:hint="eastAsia" w:ascii="宋体" w:hAnsi="宋体" w:eastAsia="宋体" w:cs="宋体"/>
          <w:spacing w:val="-1"/>
          <w:lang w:eastAsia="zh-CN"/>
        </w:rPr>
        <w:t>年的财务审计报告，</w:t>
      </w:r>
      <w:r>
        <w:rPr>
          <w:rFonts w:hint="eastAsia"/>
          <w:spacing w:val="-1"/>
          <w:lang w:val="en-US" w:eastAsia="zh-CN"/>
        </w:rPr>
        <w:t>会计周期不满一年的公司</w:t>
      </w:r>
      <w:r>
        <w:rPr>
          <w:rFonts w:hint="eastAsia"/>
          <w:spacing w:val="-1"/>
          <w:lang w:eastAsia="zh-CN"/>
        </w:rPr>
        <w:t>可不提供</w:t>
      </w:r>
      <w:r>
        <w:rPr>
          <w:rFonts w:hint="eastAsia"/>
          <w:spacing w:val="-1"/>
          <w:lang w:val="en-US" w:eastAsia="zh-CN"/>
        </w:rPr>
        <w:t>财务审计报告但需提供近三个月2023年2月-2023年4月银行出具的资信证明</w:t>
      </w:r>
      <w:r>
        <w:rPr>
          <w:rFonts w:hint="eastAsia"/>
          <w:spacing w:val="-1"/>
          <w:lang w:eastAsia="zh-CN"/>
        </w:rPr>
        <w:t>）；</w:t>
      </w:r>
    </w:p>
    <w:p>
      <w:pPr>
        <w:pStyle w:val="14"/>
        <w:keepNext w:val="0"/>
        <w:keepLines w:val="0"/>
        <w:widowControl/>
        <w:numPr>
          <w:ilvl w:val="0"/>
          <w:numId w:val="0"/>
        </w:numPr>
        <w:suppressLineNumbers w:val="0"/>
        <w:spacing w:before="75" w:beforeAutospacing="0" w:after="75" w:afterAutospacing="0" w:line="300" w:lineRule="atLeast"/>
        <w:ind w:left="660" w:leftChars="0" w:right="0" w:rightChars="0"/>
        <w:rPr>
          <w:rFonts w:hint="eastAsia"/>
          <w:spacing w:val="-1"/>
          <w:lang w:val="en-US" w:eastAsia="zh-CN"/>
        </w:rPr>
      </w:pPr>
      <w:r>
        <w:rPr>
          <w:rFonts w:hint="eastAsia"/>
          <w:spacing w:val="-1"/>
          <w:lang w:val="en-US" w:eastAsia="zh-CN"/>
        </w:rPr>
        <w:t>4.提供税务部门出具近3个月（2023年2月-2023年4月）依法缴纳税收的完税证明或报税材料（依法免缴的，应提供依法免缴的相关证明文件）</w:t>
      </w:r>
    </w:p>
    <w:p>
      <w:pPr>
        <w:pStyle w:val="14"/>
        <w:keepNext w:val="0"/>
        <w:keepLines w:val="0"/>
        <w:widowControl/>
        <w:numPr>
          <w:ilvl w:val="0"/>
          <w:numId w:val="0"/>
        </w:numPr>
        <w:suppressLineNumbers w:val="0"/>
        <w:spacing w:before="75" w:beforeAutospacing="0" w:after="75" w:afterAutospacing="0" w:line="300" w:lineRule="atLeast"/>
        <w:ind w:left="660" w:leftChars="0" w:right="0" w:rightChars="0"/>
        <w:rPr>
          <w:rFonts w:hint="eastAsia"/>
          <w:spacing w:val="-1"/>
          <w:lang w:eastAsia="zh-CN"/>
        </w:rPr>
      </w:pPr>
      <w:r>
        <w:rPr>
          <w:rFonts w:hint="eastAsia"/>
          <w:spacing w:val="-1"/>
          <w:lang w:val="en-US" w:eastAsia="zh-CN"/>
        </w:rPr>
        <w:t>5.提供法定代表人身份证明及身份证复印件或法定代表人授权委托书或和委托代理人的身份证原件（授权书需附法人身份证及委托人身份证复印件正反面），注：法定代表人授权委托书应当单独提供（须附法人及委托代理人身份证复印件并加盖鲜公章），并与响应文件中所提供的相一致；</w:t>
      </w:r>
    </w:p>
    <w:p>
      <w:pPr>
        <w:pStyle w:val="14"/>
        <w:keepNext w:val="0"/>
        <w:keepLines w:val="0"/>
        <w:widowControl/>
        <w:numPr>
          <w:ilvl w:val="0"/>
          <w:numId w:val="0"/>
        </w:numPr>
        <w:suppressLineNumbers w:val="0"/>
        <w:spacing w:before="75" w:beforeAutospacing="0" w:after="75" w:afterAutospacing="0" w:line="300" w:lineRule="atLeast"/>
        <w:ind w:left="660" w:leftChars="0" w:right="0" w:rightChars="0"/>
        <w:rPr>
          <w:rFonts w:hint="eastAsia"/>
          <w:spacing w:val="-1"/>
          <w:lang w:val="en-US" w:eastAsia="zh-CN"/>
        </w:rPr>
      </w:pPr>
      <w:r>
        <w:rPr>
          <w:rFonts w:hint="eastAsia"/>
          <w:spacing w:val="-1"/>
          <w:lang w:val="en-US" w:eastAsia="zh-CN"/>
        </w:rPr>
        <w:t>6.提供法人或委托人在本公司缴纳的近三个月（2023年2月-2023年4月）社保缴纳证明（出具缴费个人明细）；</w:t>
      </w:r>
    </w:p>
    <w:p>
      <w:pPr>
        <w:pStyle w:val="14"/>
        <w:keepNext w:val="0"/>
        <w:keepLines w:val="0"/>
        <w:widowControl/>
        <w:numPr>
          <w:ilvl w:val="0"/>
          <w:numId w:val="0"/>
        </w:numPr>
        <w:suppressLineNumbers w:val="0"/>
        <w:spacing w:before="75" w:beforeAutospacing="0" w:after="75" w:afterAutospacing="0" w:line="300" w:lineRule="atLeast"/>
        <w:ind w:left="660" w:leftChars="0" w:right="0" w:rightChars="0"/>
        <w:rPr>
          <w:rFonts w:hint="eastAsia" w:ascii="宋体" w:hAnsi="宋体" w:eastAsia="宋体" w:cs="宋体"/>
          <w:spacing w:val="-1"/>
          <w:lang w:val="en-US" w:eastAsia="zh-CN"/>
        </w:rPr>
      </w:pPr>
      <w:r>
        <w:rPr>
          <w:rFonts w:hint="eastAsia" w:ascii="宋体" w:hAnsi="宋体" w:eastAsia="宋体" w:cs="宋体"/>
          <w:spacing w:val="-1"/>
          <w:lang w:val="en-US" w:eastAsia="zh-CN"/>
        </w:rPr>
        <w:t>7.</w:t>
      </w:r>
      <w:r>
        <w:rPr>
          <w:rFonts w:hint="eastAsia" w:cs="宋体"/>
          <w:spacing w:val="-1"/>
          <w:lang w:val="en-US" w:eastAsia="zh-CN"/>
        </w:rPr>
        <w:t>凡拟</w:t>
      </w:r>
      <w:r>
        <w:rPr>
          <w:rFonts w:hint="eastAsia" w:ascii="宋体" w:hAnsi="宋体" w:eastAsia="宋体" w:cs="宋体"/>
          <w:spacing w:val="-1"/>
          <w:lang w:val="en-US" w:eastAsia="zh-CN"/>
        </w:rPr>
        <w:t>参加本次招标项目的投标人，如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尚在处罚期内的）、经营异常名录的，将拒绝其参本次政府采购活动；</w:t>
      </w:r>
    </w:p>
    <w:p>
      <w:pPr>
        <w:pStyle w:val="14"/>
        <w:keepNext w:val="0"/>
        <w:keepLines w:val="0"/>
        <w:widowControl/>
        <w:numPr>
          <w:ilvl w:val="0"/>
          <w:numId w:val="0"/>
        </w:numPr>
        <w:suppressLineNumbers w:val="0"/>
        <w:spacing w:before="75" w:beforeAutospacing="0" w:after="75" w:afterAutospacing="0" w:line="300" w:lineRule="atLeast"/>
        <w:ind w:left="660" w:leftChars="0" w:right="0" w:rightChars="0"/>
        <w:rPr>
          <w:rFonts w:hint="eastAsia" w:ascii="宋体" w:hAnsi="宋体" w:eastAsia="宋体" w:cs="宋体"/>
          <w:spacing w:val="-1"/>
          <w:lang w:val="en-US" w:eastAsia="zh-CN"/>
        </w:rPr>
      </w:pPr>
      <w:r>
        <w:rPr>
          <w:rFonts w:hint="eastAsia" w:ascii="宋体" w:hAnsi="宋体" w:eastAsia="宋体" w:cs="宋体"/>
          <w:spacing w:val="-1"/>
          <w:lang w:val="en-US" w:eastAsia="zh-CN"/>
        </w:rPr>
        <w:t>8.企业负责人为同一人或者存在直接控股、管理关系的不同投标人，不得参加同一合同项下的政府采购活动，否则，皆取消投标资格；</w:t>
      </w:r>
    </w:p>
    <w:p>
      <w:pPr>
        <w:pStyle w:val="14"/>
        <w:keepNext w:val="0"/>
        <w:keepLines w:val="0"/>
        <w:widowControl/>
        <w:numPr>
          <w:ilvl w:val="0"/>
          <w:numId w:val="0"/>
        </w:numPr>
        <w:suppressLineNumbers w:val="0"/>
        <w:spacing w:before="75" w:beforeAutospacing="0" w:after="75" w:afterAutospacing="0" w:line="300" w:lineRule="atLeast"/>
        <w:ind w:left="660" w:leftChars="0" w:right="0" w:rightChars="0"/>
        <w:rPr>
          <w:rFonts w:hint="eastAsia" w:ascii="宋体" w:hAnsi="宋体" w:eastAsia="宋体" w:cs="宋体"/>
          <w:spacing w:val="-1"/>
          <w:lang w:val="en-US" w:eastAsia="zh-CN"/>
        </w:rPr>
      </w:pPr>
      <w:r>
        <w:rPr>
          <w:rFonts w:hint="eastAsia" w:ascii="宋体" w:hAnsi="宋体" w:eastAsia="宋体" w:cs="宋体"/>
          <w:spacing w:val="-1"/>
          <w:lang w:val="en-US" w:eastAsia="zh-CN"/>
        </w:rPr>
        <w:t>9.本项目不接受联合体投标。</w:t>
      </w:r>
    </w:p>
    <w:p>
      <w:pPr>
        <w:pStyle w:val="14"/>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spacing w:val="-1"/>
          <w:lang w:eastAsia="zh-CN"/>
        </w:rPr>
      </w:pPr>
      <w:r>
        <w:rPr>
          <w:rFonts w:hint="eastAsia" w:ascii="宋体" w:hAnsi="宋体" w:eastAsia="宋体" w:cs="宋体"/>
          <w:spacing w:val="-1"/>
          <w:lang w:val="en-US" w:eastAsia="zh-CN"/>
        </w:rPr>
        <w:t>十、</w:t>
      </w:r>
      <w:r>
        <w:rPr>
          <w:rFonts w:hint="eastAsia" w:ascii="宋体" w:hAnsi="宋体" w:eastAsia="宋体" w:cs="宋体"/>
          <w:spacing w:val="-1"/>
          <w:lang w:eastAsia="zh-CN"/>
        </w:rPr>
        <w:t>报名及磋商文件领取时间：</w:t>
      </w:r>
    </w:p>
    <w:p>
      <w:pPr>
        <w:pStyle w:val="14"/>
        <w:keepNext w:val="0"/>
        <w:keepLines w:val="0"/>
        <w:widowControl/>
        <w:suppressLineNumbers w:val="0"/>
        <w:spacing w:before="75" w:beforeAutospacing="0" w:after="75" w:afterAutospacing="0" w:line="300" w:lineRule="atLeast"/>
        <w:ind w:left="0" w:right="0" w:firstLine="420"/>
        <w:rPr>
          <w:rFonts w:ascii="宋体" w:hAnsi="宋体" w:eastAsia="宋体" w:cs="宋体"/>
          <w:spacing w:val="-1"/>
          <w:lang w:eastAsia="zh-CN"/>
        </w:rPr>
      </w:pPr>
      <w:r>
        <w:rPr>
          <w:rFonts w:hint="eastAsia" w:ascii="宋体" w:hAnsi="宋体" w:eastAsia="宋体" w:cs="宋体"/>
          <w:spacing w:val="-1"/>
          <w:lang w:eastAsia="zh-CN"/>
        </w:rPr>
        <w:t>时间：</w:t>
      </w:r>
      <w:r>
        <w:rPr>
          <w:rFonts w:hint="eastAsia" w:cs="宋体"/>
          <w:spacing w:val="-1"/>
          <w:highlight w:val="none"/>
          <w:lang w:eastAsia="zh-CN"/>
        </w:rPr>
        <w:t>2023</w:t>
      </w:r>
      <w:r>
        <w:rPr>
          <w:rFonts w:hint="eastAsia" w:ascii="宋体" w:hAnsi="宋体" w:eastAsia="宋体" w:cs="宋体"/>
          <w:spacing w:val="-1"/>
          <w:highlight w:val="none"/>
          <w:lang w:eastAsia="zh-CN"/>
        </w:rPr>
        <w:t>年0</w:t>
      </w:r>
      <w:r>
        <w:rPr>
          <w:rFonts w:hint="eastAsia" w:cs="宋体"/>
          <w:spacing w:val="-1"/>
          <w:highlight w:val="none"/>
          <w:lang w:val="en-US" w:eastAsia="zh-CN"/>
        </w:rPr>
        <w:t>5</w:t>
      </w:r>
      <w:r>
        <w:rPr>
          <w:rFonts w:hint="eastAsia" w:ascii="宋体" w:hAnsi="宋体" w:eastAsia="宋体" w:cs="宋体"/>
          <w:spacing w:val="-1"/>
          <w:highlight w:val="none"/>
          <w:lang w:eastAsia="zh-CN"/>
        </w:rPr>
        <w:t>月</w:t>
      </w:r>
      <w:r>
        <w:rPr>
          <w:rFonts w:hint="eastAsia" w:cs="宋体"/>
          <w:spacing w:val="-1"/>
          <w:highlight w:val="none"/>
          <w:lang w:val="en-US" w:eastAsia="zh-CN"/>
        </w:rPr>
        <w:t>19</w:t>
      </w:r>
      <w:r>
        <w:rPr>
          <w:rFonts w:hint="eastAsia" w:ascii="宋体" w:hAnsi="宋体" w:eastAsia="宋体" w:cs="宋体"/>
          <w:spacing w:val="-1"/>
          <w:highlight w:val="none"/>
          <w:lang w:eastAsia="zh-CN"/>
        </w:rPr>
        <w:t>日至</w:t>
      </w:r>
      <w:r>
        <w:rPr>
          <w:rFonts w:hint="eastAsia" w:cs="宋体"/>
          <w:spacing w:val="-1"/>
          <w:highlight w:val="none"/>
          <w:lang w:eastAsia="zh-CN"/>
        </w:rPr>
        <w:t>2023年05月</w:t>
      </w:r>
      <w:r>
        <w:rPr>
          <w:rFonts w:hint="eastAsia" w:cs="宋体"/>
          <w:spacing w:val="-1"/>
          <w:highlight w:val="none"/>
          <w:lang w:val="en-US" w:eastAsia="zh-CN"/>
        </w:rPr>
        <w:t>29</w:t>
      </w:r>
      <w:r>
        <w:rPr>
          <w:rFonts w:hint="eastAsia" w:cs="宋体"/>
          <w:spacing w:val="-1"/>
          <w:highlight w:val="none"/>
          <w:lang w:eastAsia="zh-CN"/>
        </w:rPr>
        <w:t>日</w:t>
      </w:r>
      <w:r>
        <w:rPr>
          <w:rFonts w:hint="eastAsia" w:ascii="宋体" w:hAnsi="宋体" w:eastAsia="宋体" w:cs="宋体"/>
          <w:spacing w:val="-1"/>
          <w:highlight w:val="none"/>
          <w:lang w:eastAsia="zh-CN"/>
        </w:rPr>
        <w:t>，每天上午</w:t>
      </w:r>
      <w:r>
        <w:rPr>
          <w:rFonts w:hint="eastAsia" w:ascii="宋体" w:hAnsi="宋体" w:eastAsia="宋体" w:cs="宋体"/>
          <w:spacing w:val="-1"/>
          <w:highlight w:val="none"/>
          <w:lang w:val="en-US" w:eastAsia="zh-CN"/>
        </w:rPr>
        <w:t>1</w:t>
      </w:r>
      <w:r>
        <w:rPr>
          <w:rFonts w:hint="eastAsia" w:ascii="宋体" w:hAnsi="宋体" w:eastAsia="宋体" w:cs="宋体"/>
          <w:spacing w:val="-1"/>
          <w:highlight w:val="none"/>
          <w:lang w:eastAsia="zh-CN"/>
        </w:rPr>
        <w:t>0:00至1</w:t>
      </w:r>
      <w:r>
        <w:rPr>
          <w:rFonts w:hint="eastAsia" w:ascii="宋体" w:hAnsi="宋体" w:eastAsia="宋体" w:cs="宋体"/>
          <w:spacing w:val="-1"/>
          <w:highlight w:val="none"/>
          <w:lang w:val="en-US" w:eastAsia="zh-CN"/>
        </w:rPr>
        <w:t>4</w:t>
      </w:r>
      <w:r>
        <w:rPr>
          <w:rFonts w:hint="eastAsia" w:ascii="宋体" w:hAnsi="宋体" w:eastAsia="宋体" w:cs="宋体"/>
          <w:spacing w:val="-1"/>
          <w:highlight w:val="none"/>
          <w:lang w:eastAsia="zh-CN"/>
        </w:rPr>
        <w:t>:00，下午1</w:t>
      </w:r>
      <w:r>
        <w:rPr>
          <w:rFonts w:hint="eastAsia" w:ascii="宋体" w:hAnsi="宋体" w:eastAsia="宋体" w:cs="宋体"/>
          <w:spacing w:val="-1"/>
          <w:highlight w:val="none"/>
          <w:lang w:val="en-US" w:eastAsia="zh-CN"/>
        </w:rPr>
        <w:t>6</w:t>
      </w:r>
      <w:r>
        <w:rPr>
          <w:rFonts w:hint="eastAsia" w:ascii="宋体" w:hAnsi="宋体" w:eastAsia="宋体" w:cs="宋体"/>
          <w:spacing w:val="-1"/>
          <w:highlight w:val="none"/>
          <w:lang w:eastAsia="zh-CN"/>
        </w:rPr>
        <w:t>:00至</w:t>
      </w:r>
      <w:r>
        <w:rPr>
          <w:rFonts w:hint="eastAsia" w:cs="宋体"/>
          <w:spacing w:val="-1"/>
          <w:highlight w:val="none"/>
          <w:lang w:val="en-US" w:eastAsia="zh-CN"/>
        </w:rPr>
        <w:t>23</w:t>
      </w:r>
      <w:r>
        <w:rPr>
          <w:rFonts w:hint="eastAsia" w:ascii="宋体" w:hAnsi="宋体" w:eastAsia="宋体" w:cs="宋体"/>
          <w:spacing w:val="-1"/>
          <w:highlight w:val="none"/>
          <w:lang w:eastAsia="zh-CN"/>
        </w:rPr>
        <w:t>:</w:t>
      </w:r>
      <w:r>
        <w:rPr>
          <w:rFonts w:hint="eastAsia" w:cs="宋体"/>
          <w:spacing w:val="-1"/>
          <w:highlight w:val="none"/>
          <w:lang w:val="en-US" w:eastAsia="zh-CN"/>
        </w:rPr>
        <w:t>59</w:t>
      </w:r>
      <w:r>
        <w:rPr>
          <w:rFonts w:hint="eastAsia" w:ascii="宋体" w:hAnsi="宋体" w:eastAsia="宋体" w:cs="宋体"/>
          <w:spacing w:val="-1"/>
          <w:highlight w:val="none"/>
          <w:lang w:eastAsia="zh-CN"/>
        </w:rPr>
        <w:t>（</w:t>
      </w:r>
      <w:r>
        <w:rPr>
          <w:rFonts w:hint="eastAsia" w:ascii="宋体" w:hAnsi="宋体" w:eastAsia="宋体" w:cs="宋体"/>
          <w:spacing w:val="-1"/>
          <w:lang w:eastAsia="zh-CN"/>
        </w:rPr>
        <w:t>北京时间，法定节假日除外）</w:t>
      </w:r>
    </w:p>
    <w:p>
      <w:pPr>
        <w:pStyle w:val="14"/>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spacing w:val="-1"/>
          <w:lang w:eastAsia="zh-CN"/>
        </w:rPr>
      </w:pPr>
      <w:r>
        <w:rPr>
          <w:rFonts w:hint="eastAsia" w:ascii="宋体" w:hAnsi="宋体" w:eastAsia="宋体" w:cs="宋体"/>
          <w:spacing w:val="-1"/>
          <w:lang w:eastAsia="zh-CN"/>
        </w:rPr>
        <w:t>地点：政采云平台（https://www.zcygov.cn/）线上获取。</w:t>
      </w:r>
    </w:p>
    <w:p>
      <w:pPr>
        <w:pStyle w:val="14"/>
        <w:keepNext w:val="0"/>
        <w:keepLines w:val="0"/>
        <w:widowControl/>
        <w:suppressLineNumbers w:val="0"/>
        <w:spacing w:before="75" w:beforeAutospacing="0" w:after="75" w:afterAutospacing="0" w:line="300" w:lineRule="atLeast"/>
        <w:ind w:left="0" w:right="0" w:firstLine="420"/>
        <w:rPr>
          <w:rFonts w:ascii="宋体" w:hAnsi="宋体" w:eastAsia="宋体" w:cs="宋体"/>
          <w:spacing w:val="-1"/>
          <w:lang w:eastAsia="zh-CN"/>
        </w:rPr>
      </w:pPr>
      <w:r>
        <w:rPr>
          <w:rFonts w:hint="eastAsia" w:ascii="宋体" w:hAnsi="宋体" w:eastAsia="宋体" w:cs="宋体"/>
          <w:spacing w:val="-1"/>
          <w:lang w:eastAsia="zh-CN"/>
        </w:rPr>
        <w:t>方式：供应商登录政采云平台https://www.zcygov.cn/在线申请获取采购文件（进入“项目采购”应用，在获取采购文件菜单中选择项目，申请获取采购文件）</w:t>
      </w:r>
    </w:p>
    <w:p>
      <w:pPr>
        <w:pStyle w:val="14"/>
        <w:keepNext w:val="0"/>
        <w:keepLines w:val="0"/>
        <w:widowControl/>
        <w:numPr>
          <w:ilvl w:val="0"/>
          <w:numId w:val="4"/>
        </w:numPr>
        <w:suppressLineNumbers w:val="0"/>
        <w:spacing w:before="75" w:beforeAutospacing="0" w:after="75" w:afterAutospacing="0" w:line="315" w:lineRule="atLeast"/>
        <w:ind w:left="0" w:right="0" w:firstLine="420"/>
        <w:rPr>
          <w:rFonts w:hint="eastAsia" w:cs="宋体"/>
          <w:spacing w:val="-1"/>
          <w:highlight w:val="none"/>
          <w:lang w:val="en-US" w:eastAsia="zh-CN"/>
        </w:rPr>
      </w:pPr>
      <w:r>
        <w:rPr>
          <w:highlight w:val="none"/>
          <w:lang w:eastAsia="zh-CN"/>
        </w:rPr>
        <w:t>磋商保证金：</w:t>
      </w:r>
      <w:r>
        <w:rPr>
          <w:rFonts w:hint="eastAsia"/>
          <w:highlight w:val="none"/>
          <w:lang w:val="en-US" w:eastAsia="zh-CN"/>
        </w:rPr>
        <w:t>3</w:t>
      </w:r>
      <w:r>
        <w:rPr>
          <w:rFonts w:hint="eastAsia"/>
          <w:lang w:val="en-US" w:eastAsia="zh-CN"/>
        </w:rPr>
        <w:t>0000</w:t>
      </w:r>
      <w:r>
        <w:rPr>
          <w:spacing w:val="-9"/>
          <w:lang w:eastAsia="zh-CN"/>
        </w:rPr>
        <w:t>元</w:t>
      </w:r>
      <w:r>
        <w:rPr>
          <w:rFonts w:hint="eastAsia"/>
          <w:spacing w:val="-9"/>
          <w:lang w:eastAsia="zh-CN"/>
        </w:rPr>
        <w:t>（大写：</w:t>
      </w:r>
      <w:r>
        <w:rPr>
          <w:rFonts w:hint="eastAsia"/>
          <w:spacing w:val="-9"/>
          <w:lang w:val="en-US" w:eastAsia="zh-CN"/>
        </w:rPr>
        <w:t>叁万</w:t>
      </w:r>
      <w:r>
        <w:rPr>
          <w:rFonts w:hint="eastAsia"/>
          <w:spacing w:val="-9"/>
          <w:lang w:eastAsia="zh-CN"/>
        </w:rPr>
        <w:t>元整）</w:t>
      </w:r>
      <w:r>
        <w:rPr>
          <w:spacing w:val="-9"/>
          <w:lang w:eastAsia="zh-CN"/>
        </w:rPr>
        <w:t>；</w:t>
      </w:r>
      <w:r>
        <w:rPr>
          <w:rFonts w:hint="eastAsia"/>
          <w:spacing w:val="-1"/>
          <w:lang w:eastAsia="zh-CN"/>
        </w:rPr>
        <w:t>开户名称：</w:t>
      </w:r>
      <w:r>
        <w:rPr>
          <w:rFonts w:hint="eastAsia" w:ascii="仿宋" w:hAnsi="仿宋" w:eastAsia="仿宋" w:cs="仿宋"/>
          <w:i w:val="0"/>
          <w:iCs w:val="0"/>
          <w:caps w:val="0"/>
          <w:color w:val="000000"/>
          <w:spacing w:val="0"/>
          <w:sz w:val="27"/>
          <w:szCs w:val="27"/>
        </w:rPr>
        <w:t>：</w:t>
      </w:r>
      <w:r>
        <w:rPr>
          <w:rFonts w:hint="eastAsia" w:ascii="宋体" w:hAnsi="宋体" w:eastAsia="宋体" w:cs="宋体"/>
          <w:spacing w:val="-1"/>
          <w:lang w:eastAsia="zh-CN"/>
        </w:rPr>
        <w:t>于田县行政服务和公共资源交易中心，开户银行：</w:t>
      </w:r>
      <w:r>
        <w:rPr>
          <w:rFonts w:hint="eastAsia" w:ascii="宋体" w:hAnsi="宋体" w:eastAsia="宋体" w:cs="宋体"/>
          <w:spacing w:val="-1"/>
          <w:highlight w:val="none"/>
          <w:lang w:eastAsia="zh-CN"/>
        </w:rPr>
        <w:t>中国农业银行股份有限公司于田县支行，账号：30582101040040596。【投标保证金缴纳的截止时间为</w:t>
      </w:r>
      <w:r>
        <w:rPr>
          <w:rFonts w:hint="eastAsia" w:cs="宋体"/>
          <w:spacing w:val="-1"/>
          <w:highlight w:val="none"/>
          <w:lang w:eastAsia="zh-CN"/>
        </w:rPr>
        <w:t>2023</w:t>
      </w:r>
      <w:r>
        <w:rPr>
          <w:rFonts w:hint="eastAsia" w:ascii="宋体" w:hAnsi="宋体" w:eastAsia="宋体" w:cs="宋体"/>
          <w:spacing w:val="-1"/>
          <w:highlight w:val="none"/>
          <w:lang w:eastAsia="zh-CN"/>
        </w:rPr>
        <w:t>年</w:t>
      </w:r>
      <w:r>
        <w:rPr>
          <w:rFonts w:hint="eastAsia" w:ascii="宋体" w:hAnsi="宋体" w:eastAsia="宋体" w:cs="宋体"/>
          <w:spacing w:val="-1"/>
          <w:highlight w:val="none"/>
          <w:lang w:val="en-US" w:eastAsia="zh-CN"/>
        </w:rPr>
        <w:t>05</w:t>
      </w:r>
      <w:r>
        <w:rPr>
          <w:rFonts w:hint="eastAsia" w:ascii="宋体" w:hAnsi="宋体" w:eastAsia="宋体" w:cs="宋体"/>
          <w:spacing w:val="-1"/>
          <w:highlight w:val="none"/>
          <w:lang w:eastAsia="zh-CN"/>
        </w:rPr>
        <w:t>月</w:t>
      </w:r>
      <w:r>
        <w:rPr>
          <w:rFonts w:hint="eastAsia" w:cs="宋体"/>
          <w:spacing w:val="-1"/>
          <w:highlight w:val="none"/>
          <w:lang w:val="en-US" w:eastAsia="zh-CN"/>
        </w:rPr>
        <w:t>30</w:t>
      </w:r>
      <w:r>
        <w:rPr>
          <w:rFonts w:hint="eastAsia" w:ascii="宋体" w:hAnsi="宋体" w:eastAsia="宋体" w:cs="宋体"/>
          <w:spacing w:val="-1"/>
          <w:highlight w:val="none"/>
          <w:lang w:eastAsia="zh-CN"/>
        </w:rPr>
        <w:t>日1</w:t>
      </w:r>
      <w:r>
        <w:rPr>
          <w:rFonts w:hint="eastAsia" w:ascii="宋体" w:hAnsi="宋体" w:eastAsia="宋体" w:cs="宋体"/>
          <w:spacing w:val="-1"/>
          <w:highlight w:val="none"/>
          <w:lang w:val="en-US" w:eastAsia="zh-CN"/>
        </w:rPr>
        <w:t>1</w:t>
      </w:r>
      <w:r>
        <w:rPr>
          <w:rFonts w:hint="eastAsia" w:ascii="宋体" w:hAnsi="宋体" w:eastAsia="宋体" w:cs="宋体"/>
          <w:spacing w:val="-1"/>
          <w:highlight w:val="none"/>
          <w:lang w:eastAsia="zh-CN"/>
        </w:rPr>
        <w:t>：00（北京时间），缴纳投标保证金时应在付款用途里标明项目名称、标包及用途。投标保证金以进账时间</w:t>
      </w:r>
      <w:r>
        <w:rPr>
          <w:rFonts w:hint="eastAsia" w:ascii="宋体" w:hAnsi="宋体" w:eastAsia="宋体" w:cs="宋体"/>
          <w:spacing w:val="-1"/>
          <w:lang w:eastAsia="zh-CN"/>
        </w:rPr>
        <w:t>为准，投标人在缴纳投标保证金时，应充分考虑资金在途时间。投标保证金以其进账时间确定其有效性，在规定时间内未进如到指定账户</w:t>
      </w:r>
      <w:r>
        <w:rPr>
          <w:rFonts w:hint="eastAsia" w:ascii="宋体" w:hAnsi="宋体" w:eastAsia="宋体" w:cs="宋体"/>
          <w:spacing w:val="-1"/>
          <w:highlight w:val="none"/>
          <w:lang w:eastAsia="zh-CN"/>
        </w:rPr>
        <w:t>，否则按废标处理。开标前投标单位不需至于田县</w:t>
      </w:r>
      <w:r>
        <w:rPr>
          <w:rFonts w:hint="eastAsia" w:cs="宋体"/>
          <w:spacing w:val="-1"/>
          <w:highlight w:val="none"/>
          <w:lang w:val="en-US" w:eastAsia="zh-CN"/>
        </w:rPr>
        <w:t>行政服务和公共资源交易中心</w:t>
      </w:r>
      <w:r>
        <w:rPr>
          <w:rFonts w:hint="eastAsia" w:ascii="宋体" w:hAnsi="宋体" w:eastAsia="宋体" w:cs="宋体"/>
          <w:spacing w:val="-1"/>
          <w:highlight w:val="none"/>
          <w:lang w:eastAsia="zh-CN"/>
        </w:rPr>
        <w:t>换取保证金收据原件</w:t>
      </w:r>
      <w:r>
        <w:rPr>
          <w:rFonts w:hint="eastAsia" w:cs="宋体"/>
          <w:spacing w:val="-1"/>
          <w:highlight w:val="none"/>
          <w:lang w:eastAsia="zh-CN"/>
        </w:rPr>
        <w:t>。</w:t>
      </w:r>
      <w:r>
        <w:rPr>
          <w:rFonts w:hint="eastAsia" w:ascii="宋体" w:hAnsi="宋体" w:eastAsia="宋体" w:cs="宋体"/>
          <w:spacing w:val="-1"/>
          <w:highlight w:val="none"/>
          <w:lang w:eastAsia="zh-CN"/>
        </w:rPr>
        <w:t>开标结束后</w:t>
      </w:r>
      <w:r>
        <w:rPr>
          <w:rFonts w:hint="eastAsia" w:cs="宋体"/>
          <w:spacing w:val="-1"/>
          <w:highlight w:val="none"/>
          <w:lang w:val="en-US" w:eastAsia="zh-CN"/>
        </w:rPr>
        <w:t>各投标供应商将</w:t>
      </w:r>
      <w:r>
        <w:rPr>
          <w:rFonts w:hint="eastAsia" w:ascii="宋体" w:hAnsi="宋体" w:eastAsia="宋体" w:cs="宋体"/>
          <w:spacing w:val="-1"/>
          <w:highlight w:val="none"/>
          <w:lang w:eastAsia="zh-CN"/>
        </w:rPr>
        <w:t>开户许可证</w:t>
      </w:r>
      <w:r>
        <w:rPr>
          <w:rFonts w:hint="eastAsia" w:cs="宋体"/>
          <w:spacing w:val="-1"/>
          <w:highlight w:val="none"/>
          <w:lang w:val="en-US" w:eastAsia="zh-CN"/>
        </w:rPr>
        <w:t>扫描件发至招标代理QQ邮箱（2330951835@qq.com）退投标保证金。</w:t>
      </w:r>
    </w:p>
    <w:p>
      <w:pPr>
        <w:pStyle w:val="14"/>
        <w:keepNext w:val="0"/>
        <w:keepLines w:val="0"/>
        <w:widowControl/>
        <w:numPr>
          <w:ilvl w:val="0"/>
          <w:numId w:val="0"/>
        </w:numPr>
        <w:suppressLineNumbers w:val="0"/>
        <w:spacing w:before="75" w:beforeAutospacing="0" w:after="75" w:afterAutospacing="0" w:line="315" w:lineRule="atLeast"/>
        <w:ind w:left="420" w:leftChars="0" w:right="0" w:rightChars="0"/>
        <w:rPr>
          <w:rFonts w:hint="default" w:ascii="宋体" w:hAnsi="宋体" w:eastAsia="宋体" w:cs="宋体"/>
          <w:spacing w:val="-1"/>
          <w:lang w:val="en-US" w:eastAsia="zh-CN"/>
        </w:rPr>
      </w:pPr>
      <w:r>
        <w:rPr>
          <w:rFonts w:hint="default" w:ascii="宋体" w:hAnsi="宋体" w:eastAsia="宋体" w:cs="宋体"/>
          <w:spacing w:val="-1"/>
          <w:highlight w:val="none"/>
          <w:lang w:val="en-US" w:eastAsia="zh-CN"/>
        </w:rPr>
        <w:t>本项目实行网上投标，采用电子</w:t>
      </w:r>
      <w:r>
        <w:rPr>
          <w:rFonts w:hint="eastAsia" w:cs="宋体"/>
          <w:spacing w:val="-1"/>
          <w:highlight w:val="none"/>
          <w:lang w:val="en-US" w:eastAsia="zh-CN"/>
        </w:rPr>
        <w:t>响应文件</w:t>
      </w:r>
      <w:r>
        <w:rPr>
          <w:rFonts w:hint="default" w:ascii="宋体" w:hAnsi="宋体" w:eastAsia="宋体" w:cs="宋体"/>
          <w:spacing w:val="-1"/>
          <w:highlight w:val="none"/>
          <w:lang w:val="en-US" w:eastAsia="zh-CN"/>
        </w:rPr>
        <w:t>。若供应商参与投标，自行承担投标一切费</w:t>
      </w:r>
      <w:r>
        <w:rPr>
          <w:rFonts w:hint="default" w:ascii="宋体" w:hAnsi="宋体" w:eastAsia="宋体" w:cs="宋体"/>
          <w:spacing w:val="-1"/>
          <w:lang w:val="en-US" w:eastAsia="zh-CN"/>
        </w:rPr>
        <w:t xml:space="preserve">用。 </w:t>
      </w:r>
    </w:p>
    <w:p>
      <w:pPr>
        <w:pStyle w:val="14"/>
        <w:keepNext w:val="0"/>
        <w:keepLines w:val="0"/>
        <w:widowControl/>
        <w:suppressLineNumbers w:val="0"/>
        <w:spacing w:before="75" w:beforeAutospacing="0" w:after="75" w:afterAutospacing="0" w:line="315" w:lineRule="atLeast"/>
        <w:ind w:left="0" w:right="0" w:firstLine="420"/>
        <w:rPr>
          <w:rFonts w:hint="default" w:ascii="宋体" w:hAnsi="宋体" w:eastAsia="宋体" w:cs="宋体"/>
          <w:spacing w:val="-1"/>
          <w:lang w:val="en-US" w:eastAsia="zh-CN"/>
        </w:rPr>
      </w:pPr>
      <w:r>
        <w:rPr>
          <w:rFonts w:hint="eastAsia" w:cs="宋体"/>
          <w:spacing w:val="-1"/>
          <w:lang w:val="en-US" w:eastAsia="zh-CN"/>
        </w:rPr>
        <w:t>注意：</w:t>
      </w:r>
      <w:r>
        <w:rPr>
          <w:rFonts w:hint="default" w:ascii="宋体" w:hAnsi="宋体" w:eastAsia="宋体" w:cs="宋体"/>
          <w:spacing w:val="-1"/>
          <w:lang w:val="en-US" w:eastAsia="zh-CN"/>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pPr>
        <w:pStyle w:val="14"/>
        <w:keepNext w:val="0"/>
        <w:keepLines w:val="0"/>
        <w:widowControl/>
        <w:suppressLineNumbers w:val="0"/>
        <w:spacing w:before="75" w:beforeAutospacing="0" w:after="75" w:afterAutospacing="0" w:line="315" w:lineRule="atLeast"/>
        <w:ind w:left="0" w:right="0" w:firstLine="420"/>
        <w:rPr>
          <w:rFonts w:hint="default" w:ascii="宋体" w:hAnsi="宋体" w:eastAsia="宋体" w:cs="宋体"/>
          <w:spacing w:val="-1"/>
          <w:lang w:val="en-US" w:eastAsia="zh-CN"/>
        </w:rPr>
      </w:pPr>
      <w:r>
        <w:rPr>
          <w:rFonts w:hint="default" w:ascii="宋体" w:hAnsi="宋体" w:eastAsia="宋体" w:cs="宋体"/>
          <w:spacing w:val="-1"/>
          <w:lang w:val="en-US" w:eastAsia="zh-CN"/>
        </w:rPr>
        <w:t>供应商将政采云电子交易客户端下载、安装完成后，可通过账号密码或CA登录客户端进行</w:t>
      </w:r>
      <w:r>
        <w:rPr>
          <w:rFonts w:hint="eastAsia" w:cs="宋体"/>
          <w:spacing w:val="-1"/>
          <w:lang w:val="en-US" w:eastAsia="zh-CN"/>
        </w:rPr>
        <w:t>响应文件</w:t>
      </w:r>
      <w:r>
        <w:rPr>
          <w:rFonts w:hint="default" w:ascii="宋体" w:hAnsi="宋体" w:eastAsia="宋体" w:cs="宋体"/>
          <w:spacing w:val="-1"/>
          <w:lang w:val="en-US" w:eastAsia="zh-CN"/>
        </w:rPr>
        <w:t>制作。在使用政采云投标客户端时，建议使用WIN7及以上操作系统。客户端请至新疆政府采购网（http://www.ccgp-xinjiang.gov.cn/）下载专区查看，如有问题可拨打政采云客户服务热线</w:t>
      </w:r>
      <w:r>
        <w:rPr>
          <w:rFonts w:hint="eastAsia" w:cs="宋体"/>
          <w:spacing w:val="-1"/>
          <w:lang w:val="en-US" w:eastAsia="zh-CN"/>
        </w:rPr>
        <w:t>95763</w:t>
      </w:r>
      <w:r>
        <w:rPr>
          <w:rFonts w:hint="default" w:ascii="宋体" w:hAnsi="宋体" w:eastAsia="宋体" w:cs="宋体"/>
          <w:spacing w:val="-1"/>
          <w:lang w:val="en-US" w:eastAsia="zh-CN"/>
        </w:rPr>
        <w:t xml:space="preserve">进行咨询。 </w:t>
      </w:r>
    </w:p>
    <w:p>
      <w:pPr>
        <w:pStyle w:val="14"/>
        <w:keepNext w:val="0"/>
        <w:keepLines w:val="0"/>
        <w:widowControl/>
        <w:suppressLineNumbers w:val="0"/>
        <w:spacing w:before="75" w:beforeAutospacing="0" w:after="75" w:afterAutospacing="0" w:line="315" w:lineRule="atLeast"/>
        <w:ind w:right="0" w:firstLine="476" w:firstLineChars="200"/>
        <w:rPr>
          <w:rFonts w:hint="default" w:ascii="宋体" w:hAnsi="宋体" w:eastAsia="宋体" w:cs="宋体"/>
          <w:spacing w:val="-1"/>
          <w:lang w:eastAsia="zh-CN"/>
        </w:rPr>
      </w:pPr>
      <w:r>
        <w:rPr>
          <w:rFonts w:hint="default" w:ascii="宋体" w:hAnsi="宋体" w:eastAsia="宋体" w:cs="宋体"/>
          <w:spacing w:val="-1"/>
          <w:lang w:val="en-US" w:eastAsia="zh-CN"/>
        </w:rPr>
        <w:t>有意向参与新疆区域电子开评标的供应商，可访问新疆数字证书认证中心官方网站（https://www.xjca.com.cn/）或下载“新疆政务通”APP自行进行申领。如需咨询，请联系新疆CA服务热线0991-2819290</w:t>
      </w:r>
    </w:p>
    <w:p>
      <w:pPr>
        <w:pStyle w:val="8"/>
        <w:numPr>
          <w:ilvl w:val="0"/>
          <w:numId w:val="5"/>
        </w:numPr>
        <w:spacing w:before="1" w:line="240" w:lineRule="auto"/>
        <w:ind w:right="259"/>
        <w:rPr>
          <w:spacing w:val="-24"/>
          <w:sz w:val="24"/>
          <w:szCs w:val="24"/>
          <w:highlight w:val="none"/>
          <w:lang w:eastAsia="zh-CN"/>
        </w:rPr>
      </w:pPr>
      <w:r>
        <w:rPr>
          <w:spacing w:val="-5"/>
          <w:sz w:val="24"/>
          <w:szCs w:val="24"/>
          <w:lang w:eastAsia="zh-CN"/>
        </w:rPr>
        <w:t>响应</w:t>
      </w:r>
      <w:r>
        <w:rPr>
          <w:rFonts w:hint="eastAsia"/>
          <w:spacing w:val="-5"/>
          <w:sz w:val="24"/>
          <w:szCs w:val="24"/>
          <w:lang w:val="en-US" w:eastAsia="zh-CN"/>
        </w:rPr>
        <w:t>文件提交</w:t>
      </w:r>
      <w:r>
        <w:rPr>
          <w:spacing w:val="-5"/>
          <w:sz w:val="24"/>
          <w:szCs w:val="24"/>
          <w:lang w:eastAsia="zh-CN"/>
        </w:rPr>
        <w:t>截止日期</w:t>
      </w:r>
      <w:r>
        <w:rPr>
          <w:spacing w:val="-5"/>
          <w:sz w:val="24"/>
          <w:szCs w:val="24"/>
          <w:highlight w:val="none"/>
          <w:lang w:eastAsia="zh-CN"/>
        </w:rPr>
        <w:t>：</w:t>
      </w:r>
      <w:r>
        <w:rPr>
          <w:rFonts w:hint="eastAsia"/>
          <w:spacing w:val="-5"/>
          <w:sz w:val="24"/>
          <w:szCs w:val="24"/>
          <w:highlight w:val="none"/>
          <w:lang w:eastAsia="zh-CN"/>
        </w:rPr>
        <w:t>2023年05月30日</w:t>
      </w:r>
      <w:r>
        <w:rPr>
          <w:spacing w:val="-4"/>
          <w:sz w:val="24"/>
          <w:szCs w:val="24"/>
          <w:highlight w:val="none"/>
          <w:lang w:eastAsia="zh-CN"/>
        </w:rPr>
        <w:t>1</w:t>
      </w:r>
      <w:r>
        <w:rPr>
          <w:rFonts w:hint="eastAsia"/>
          <w:spacing w:val="-4"/>
          <w:sz w:val="24"/>
          <w:szCs w:val="24"/>
          <w:highlight w:val="none"/>
          <w:lang w:val="en-US" w:eastAsia="zh-CN"/>
        </w:rPr>
        <w:t>1</w:t>
      </w:r>
      <w:r>
        <w:rPr>
          <w:spacing w:val="-4"/>
          <w:sz w:val="24"/>
          <w:szCs w:val="24"/>
          <w:highlight w:val="none"/>
          <w:lang w:eastAsia="zh-CN"/>
        </w:rPr>
        <w:t>:00（</w:t>
      </w:r>
      <w:r>
        <w:rPr>
          <w:sz w:val="24"/>
          <w:szCs w:val="24"/>
          <w:highlight w:val="none"/>
          <w:lang w:eastAsia="zh-CN"/>
        </w:rPr>
        <w:t>北京时间</w:t>
      </w:r>
      <w:r>
        <w:rPr>
          <w:spacing w:val="-24"/>
          <w:sz w:val="24"/>
          <w:szCs w:val="24"/>
          <w:highlight w:val="none"/>
          <w:lang w:eastAsia="zh-CN"/>
        </w:rPr>
        <w:t>）</w:t>
      </w:r>
    </w:p>
    <w:p>
      <w:pPr>
        <w:numPr>
          <w:ilvl w:val="0"/>
          <w:numId w:val="5"/>
        </w:numPr>
        <w:spacing w:line="240" w:lineRule="auto"/>
        <w:rPr>
          <w:sz w:val="24"/>
          <w:szCs w:val="24"/>
          <w:highlight w:val="none"/>
          <w:lang w:eastAsia="zh-CN"/>
        </w:rPr>
      </w:pPr>
      <w:r>
        <w:rPr>
          <w:rFonts w:hint="eastAsia"/>
          <w:sz w:val="24"/>
          <w:szCs w:val="24"/>
          <w:highlight w:val="none"/>
          <w:lang w:eastAsia="zh-CN"/>
        </w:rPr>
        <w:t>投标地点（网址）：投标人应于2023年</w:t>
      </w:r>
      <w:r>
        <w:rPr>
          <w:rFonts w:hint="eastAsia"/>
          <w:sz w:val="24"/>
          <w:szCs w:val="24"/>
          <w:highlight w:val="none"/>
          <w:lang w:val="en-US" w:eastAsia="zh-CN"/>
        </w:rPr>
        <w:t>0</w:t>
      </w:r>
      <w:r>
        <w:rPr>
          <w:rFonts w:hint="eastAsia"/>
          <w:sz w:val="24"/>
          <w:szCs w:val="24"/>
          <w:highlight w:val="none"/>
          <w:lang w:eastAsia="zh-CN"/>
        </w:rPr>
        <w:t>5月</w:t>
      </w:r>
      <w:r>
        <w:rPr>
          <w:rFonts w:hint="eastAsia"/>
          <w:sz w:val="24"/>
          <w:szCs w:val="24"/>
          <w:highlight w:val="none"/>
          <w:lang w:val="en-US" w:eastAsia="zh-CN"/>
        </w:rPr>
        <w:t>30</w:t>
      </w:r>
      <w:r>
        <w:rPr>
          <w:rFonts w:hint="eastAsia"/>
          <w:sz w:val="24"/>
          <w:szCs w:val="24"/>
          <w:highlight w:val="none"/>
          <w:lang w:eastAsia="zh-CN"/>
        </w:rPr>
        <w:t>日11:00(北京时间）之前将电子响应文件上传到“政采云”平台。应按照本项目磋商文件和政采云平台的要求编制、加密传输响应文件。</w:t>
      </w:r>
    </w:p>
    <w:p>
      <w:pPr>
        <w:numPr>
          <w:ilvl w:val="0"/>
          <w:numId w:val="5"/>
        </w:numPr>
        <w:spacing w:line="240" w:lineRule="auto"/>
        <w:rPr>
          <w:sz w:val="24"/>
          <w:szCs w:val="24"/>
          <w:lang w:eastAsia="zh-CN"/>
        </w:rPr>
      </w:pPr>
      <w:r>
        <w:rPr>
          <w:rFonts w:hint="eastAsia"/>
          <w:sz w:val="24"/>
          <w:szCs w:val="24"/>
          <w:highlight w:val="none"/>
          <w:lang w:eastAsia="zh-CN"/>
        </w:rPr>
        <w:t>开标时间：</w:t>
      </w:r>
      <w:r>
        <w:rPr>
          <w:rFonts w:hint="eastAsia"/>
          <w:spacing w:val="-5"/>
          <w:sz w:val="24"/>
          <w:szCs w:val="24"/>
          <w:highlight w:val="none"/>
          <w:lang w:eastAsia="zh-CN"/>
        </w:rPr>
        <w:t>2023年05月30日</w:t>
      </w:r>
      <w:r>
        <w:rPr>
          <w:rFonts w:hint="eastAsia"/>
          <w:sz w:val="24"/>
          <w:szCs w:val="24"/>
          <w:highlight w:val="none"/>
          <w:lang w:eastAsia="zh-CN"/>
        </w:rPr>
        <w:t xml:space="preserve"> 1</w:t>
      </w:r>
      <w:r>
        <w:rPr>
          <w:rFonts w:hint="eastAsia"/>
          <w:sz w:val="24"/>
          <w:szCs w:val="24"/>
          <w:highlight w:val="none"/>
          <w:lang w:val="en-US" w:eastAsia="zh-CN"/>
        </w:rPr>
        <w:t>1</w:t>
      </w:r>
      <w:r>
        <w:rPr>
          <w:rFonts w:hint="eastAsia"/>
          <w:sz w:val="24"/>
          <w:szCs w:val="24"/>
          <w:highlight w:val="none"/>
          <w:lang w:eastAsia="zh-CN"/>
        </w:rPr>
        <w:t>:00</w:t>
      </w:r>
      <w:r>
        <w:rPr>
          <w:rFonts w:hint="eastAsia"/>
          <w:sz w:val="24"/>
          <w:szCs w:val="24"/>
          <w:lang w:eastAsia="zh-CN"/>
        </w:rPr>
        <w:t>（北京时间）</w:t>
      </w:r>
    </w:p>
    <w:p>
      <w:pPr>
        <w:numPr>
          <w:ilvl w:val="0"/>
          <w:numId w:val="5"/>
        </w:numPr>
        <w:spacing w:line="240" w:lineRule="auto"/>
        <w:rPr>
          <w:rFonts w:hint="eastAsia"/>
          <w:sz w:val="24"/>
          <w:szCs w:val="24"/>
          <w:lang w:val="en-US" w:eastAsia="zh-CN"/>
        </w:rPr>
      </w:pPr>
      <w:r>
        <w:rPr>
          <w:rFonts w:hint="eastAsia"/>
          <w:sz w:val="24"/>
          <w:szCs w:val="24"/>
          <w:lang w:eastAsia="zh-CN"/>
        </w:rPr>
        <w:t>开标地点：</w:t>
      </w:r>
      <w:r>
        <w:rPr>
          <w:rFonts w:hint="eastAsia"/>
          <w:sz w:val="24"/>
          <w:szCs w:val="24"/>
          <w:lang w:val="en-US" w:eastAsia="zh-CN"/>
        </w:rPr>
        <w:t>政采云平台不见面开标大厅（网址：https://www.zcygov.cn/）</w:t>
      </w:r>
    </w:p>
    <w:p>
      <w:pPr>
        <w:numPr>
          <w:ilvl w:val="0"/>
          <w:numId w:val="0"/>
        </w:numPr>
        <w:spacing w:line="240" w:lineRule="auto"/>
        <w:rPr>
          <w:rFonts w:hint="eastAsia"/>
          <w:sz w:val="24"/>
          <w:szCs w:val="24"/>
          <w:lang w:val="en-US" w:eastAsia="zh-CN"/>
        </w:rPr>
      </w:pPr>
      <w:r>
        <w:rPr>
          <w:rFonts w:hint="eastAsia"/>
          <w:sz w:val="24"/>
          <w:szCs w:val="24"/>
          <w:lang w:val="en-US" w:eastAsia="zh-CN"/>
        </w:rPr>
        <w:t>各投标企业通过政采云平台上传响应文件。应按照本项目磋商文件和政采云平台的要求编制、加密传输响应文件。</w:t>
      </w:r>
    </w:p>
    <w:p>
      <w:pPr>
        <w:numPr>
          <w:ilvl w:val="0"/>
          <w:numId w:val="5"/>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w:t>
      </w:r>
    </w:p>
    <w:p>
      <w:pPr>
        <w:pStyle w:val="14"/>
        <w:keepNext w:val="0"/>
        <w:keepLines w:val="0"/>
        <w:widowControl/>
        <w:suppressLineNumbers w:val="0"/>
        <w:spacing w:before="75" w:beforeAutospacing="0" w:after="75" w:afterAutospacing="0"/>
        <w:ind w:left="0" w:right="0" w:firstLine="42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1.采购人信息</w:t>
      </w:r>
    </w:p>
    <w:p>
      <w:pPr>
        <w:pStyle w:val="14"/>
        <w:keepNext w:val="0"/>
        <w:keepLines w:val="0"/>
        <w:widowControl/>
        <w:suppressLineNumbers w:val="0"/>
        <w:spacing w:before="75" w:beforeAutospacing="0" w:after="75" w:afterAutospacing="0"/>
        <w:ind w:left="0" w:right="0" w:firstLine="42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名 称：于田县教育局</w:t>
      </w:r>
    </w:p>
    <w:p>
      <w:pPr>
        <w:pStyle w:val="14"/>
        <w:keepNext w:val="0"/>
        <w:keepLines w:val="0"/>
        <w:widowControl/>
        <w:suppressLineNumbers w:val="0"/>
        <w:spacing w:before="75" w:beforeAutospacing="0" w:after="75" w:afterAutospacing="0"/>
        <w:ind w:left="0" w:right="0" w:firstLine="42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地 址：于田县团结路143号</w:t>
      </w:r>
    </w:p>
    <w:p>
      <w:pPr>
        <w:pStyle w:val="14"/>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27"/>
          <w:szCs w:val="27"/>
          <w:lang w:val="en-US" w:eastAsia="zh-CN"/>
        </w:rPr>
      </w:pPr>
      <w:r>
        <w:rPr>
          <w:rFonts w:hint="eastAsia" w:ascii="宋体" w:hAnsi="宋体" w:eastAsia="宋体" w:cs="宋体"/>
          <w:kern w:val="0"/>
          <w:sz w:val="24"/>
          <w:szCs w:val="24"/>
          <w:lang w:val="en-US" w:eastAsia="zh-CN" w:bidi="ar-SA"/>
        </w:rPr>
        <w:t>联系方式：</w:t>
      </w:r>
      <w:r>
        <w:rPr>
          <w:rFonts w:hint="eastAsia" w:ascii="宋体" w:hAnsi="宋体" w:eastAsia="宋体" w:cs="宋体"/>
          <w:bCs/>
          <w:color w:val="000000"/>
          <w:sz w:val="24"/>
          <w:szCs w:val="24"/>
          <w:highlight w:val="none"/>
          <w:lang w:val="zh-CN"/>
        </w:rPr>
        <w:t>0903-6818951</w:t>
      </w:r>
    </w:p>
    <w:p>
      <w:pPr>
        <w:pStyle w:val="14"/>
        <w:keepNext w:val="0"/>
        <w:keepLines w:val="0"/>
        <w:widowControl/>
        <w:suppressLineNumbers w:val="0"/>
        <w:spacing w:before="75" w:beforeAutospacing="0" w:after="75" w:afterAutospacing="0"/>
        <w:ind w:left="0" w:right="0" w:firstLine="42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2.采购代理机构信息</w:t>
      </w:r>
    </w:p>
    <w:p>
      <w:pPr>
        <w:pStyle w:val="14"/>
        <w:keepNext w:val="0"/>
        <w:keepLines w:val="0"/>
        <w:widowControl/>
        <w:suppressLineNumbers w:val="0"/>
        <w:spacing w:before="75" w:beforeAutospacing="0" w:after="75" w:afterAutospacing="0"/>
        <w:ind w:left="0" w:right="0" w:firstLine="420"/>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名 称：新疆浩诚致远项目管理咨询有限公司</w:t>
      </w:r>
    </w:p>
    <w:p>
      <w:pPr>
        <w:pStyle w:val="14"/>
        <w:keepNext w:val="0"/>
        <w:keepLines w:val="0"/>
        <w:widowControl/>
        <w:suppressLineNumbers w:val="0"/>
        <w:spacing w:before="75" w:beforeAutospacing="0" w:after="75" w:afterAutospacing="0"/>
        <w:ind w:left="0" w:right="0" w:firstLine="420"/>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地 址：和田市屯垦路33号</w:t>
      </w:r>
    </w:p>
    <w:p>
      <w:pPr>
        <w:pStyle w:val="14"/>
        <w:keepNext w:val="0"/>
        <w:keepLines w:val="0"/>
        <w:widowControl/>
        <w:suppressLineNumbers w:val="0"/>
        <w:spacing w:before="75" w:beforeAutospacing="0" w:after="75" w:afterAutospacing="0"/>
        <w:ind w:left="0" w:right="0" w:firstLine="420"/>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联系方式：0903-2062911</w:t>
      </w:r>
    </w:p>
    <w:p>
      <w:pPr>
        <w:pStyle w:val="14"/>
        <w:keepNext w:val="0"/>
        <w:keepLines w:val="0"/>
        <w:widowControl/>
        <w:suppressLineNumbers w:val="0"/>
        <w:spacing w:before="75" w:beforeAutospacing="0" w:after="75" w:afterAutospacing="0"/>
        <w:ind w:left="0" w:right="0" w:firstLine="420"/>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w:t>
      </w:r>
      <w:r>
        <w:rPr>
          <w:rFonts w:hint="eastAsia" w:cs="宋体"/>
          <w:kern w:val="0"/>
          <w:sz w:val="24"/>
          <w:szCs w:val="24"/>
          <w:lang w:val="en-US" w:eastAsia="zh-CN" w:bidi="ar-SA"/>
        </w:rPr>
        <w:t xml:space="preserve">监督投诉联系方式 </w:t>
      </w:r>
    </w:p>
    <w:p>
      <w:pPr>
        <w:pStyle w:val="14"/>
        <w:keepNext w:val="0"/>
        <w:keepLines w:val="0"/>
        <w:widowControl/>
        <w:suppressLineNumbers w:val="0"/>
        <w:spacing w:before="75" w:beforeAutospacing="0" w:after="75" w:afterAutospacing="0"/>
        <w:ind w:left="0" w:right="0" w:firstLine="420"/>
        <w:rPr>
          <w:rFonts w:hint="eastAsia" w:cs="宋体"/>
          <w:kern w:val="0"/>
          <w:sz w:val="24"/>
          <w:szCs w:val="24"/>
          <w:lang w:val="en-US" w:eastAsia="zh-CN" w:bidi="ar-SA"/>
        </w:rPr>
      </w:pPr>
      <w:r>
        <w:rPr>
          <w:rFonts w:hint="eastAsia" w:cs="宋体"/>
          <w:kern w:val="0"/>
          <w:sz w:val="24"/>
          <w:szCs w:val="24"/>
          <w:lang w:val="en-US" w:eastAsia="zh-CN" w:bidi="ar-SA"/>
        </w:rPr>
        <w:t>名称：于田县政府采购办公室</w:t>
      </w:r>
    </w:p>
    <w:p>
      <w:pPr>
        <w:pStyle w:val="14"/>
        <w:keepNext w:val="0"/>
        <w:keepLines w:val="0"/>
        <w:widowControl/>
        <w:suppressLineNumbers w:val="0"/>
        <w:spacing w:before="75" w:beforeAutospacing="0" w:after="75" w:afterAutospacing="0"/>
        <w:ind w:left="0" w:right="0" w:firstLine="420"/>
        <w:rPr>
          <w:rFonts w:hint="default" w:cs="宋体"/>
          <w:kern w:val="0"/>
          <w:sz w:val="24"/>
          <w:szCs w:val="24"/>
          <w:lang w:val="en-US" w:eastAsia="zh-CN" w:bidi="ar-SA"/>
        </w:rPr>
      </w:pPr>
      <w:r>
        <w:rPr>
          <w:rFonts w:hint="eastAsia" w:cs="宋体"/>
          <w:kern w:val="0"/>
          <w:sz w:val="24"/>
          <w:szCs w:val="24"/>
          <w:lang w:val="en-US" w:eastAsia="zh-CN" w:bidi="ar-SA"/>
        </w:rPr>
        <w:t>地址：于田县文化北路6号</w:t>
      </w:r>
    </w:p>
    <w:p>
      <w:pPr>
        <w:pStyle w:val="14"/>
        <w:keepNext w:val="0"/>
        <w:keepLines w:val="0"/>
        <w:widowControl/>
        <w:suppressLineNumbers w:val="0"/>
        <w:spacing w:before="75" w:beforeAutospacing="0" w:after="75" w:afterAutospacing="0"/>
        <w:ind w:left="0" w:right="0" w:firstLine="420"/>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电 话：0903-</w:t>
      </w:r>
      <w:r>
        <w:rPr>
          <w:rFonts w:hint="eastAsia" w:cs="宋体"/>
          <w:kern w:val="0"/>
          <w:sz w:val="24"/>
          <w:szCs w:val="24"/>
          <w:lang w:val="en-US" w:eastAsia="zh-CN" w:bidi="ar-SA"/>
        </w:rPr>
        <w:t>6811110</w:t>
      </w:r>
    </w:p>
    <w:p>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sz w:val="21"/>
          <w:szCs w:val="21"/>
          <w:highlight w:val="none"/>
        </w:rPr>
      </w:pPr>
      <w:r>
        <w:rPr>
          <w:rFonts w:hint="eastAsia" w:ascii="宋体" w:hAnsi="宋体" w:eastAsia="宋体" w:cs="宋体"/>
          <w:sz w:val="24"/>
          <w:szCs w:val="24"/>
          <w:highlight w:val="none"/>
        </w:rPr>
        <w:t>202</w:t>
      </w:r>
      <w:r>
        <w:rPr>
          <w:rFonts w:hint="eastAsia" w:cs="宋体"/>
          <w:sz w:val="24"/>
          <w:szCs w:val="24"/>
          <w:highlight w:val="none"/>
          <w:lang w:val="en-US" w:eastAsia="zh-CN"/>
        </w:rPr>
        <w:t>3</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w:t>
      </w:r>
      <w:r>
        <w:rPr>
          <w:rFonts w:hint="eastAsia" w:cs="宋体"/>
          <w:sz w:val="24"/>
          <w:szCs w:val="24"/>
          <w:highlight w:val="none"/>
          <w:lang w:val="en-US" w:eastAsia="zh-CN"/>
        </w:rPr>
        <w:t>5</w:t>
      </w:r>
      <w:r>
        <w:rPr>
          <w:rFonts w:hint="eastAsia" w:ascii="宋体" w:hAnsi="宋体" w:eastAsia="宋体" w:cs="宋体"/>
          <w:sz w:val="24"/>
          <w:szCs w:val="24"/>
          <w:highlight w:val="none"/>
        </w:rPr>
        <w:t>月</w:t>
      </w:r>
      <w:r>
        <w:rPr>
          <w:rFonts w:hint="eastAsia" w:cs="宋体"/>
          <w:sz w:val="24"/>
          <w:szCs w:val="24"/>
          <w:highlight w:val="none"/>
          <w:lang w:val="en-US" w:eastAsia="zh-CN"/>
        </w:rPr>
        <w:t>18</w:t>
      </w:r>
      <w:r>
        <w:rPr>
          <w:rFonts w:hint="eastAsia" w:ascii="宋体" w:hAnsi="宋体" w:eastAsia="宋体" w:cs="宋体"/>
          <w:sz w:val="24"/>
          <w:szCs w:val="24"/>
          <w:highlight w:val="none"/>
        </w:rPr>
        <w:t>日</w:t>
      </w:r>
    </w:p>
    <w:p>
      <w:pPr>
        <w:pStyle w:val="14"/>
        <w:keepNext w:val="0"/>
        <w:keepLines w:val="0"/>
        <w:widowControl/>
        <w:suppressLineNumbers w:val="0"/>
        <w:spacing w:before="75" w:beforeAutospacing="0" w:after="75" w:afterAutospacing="0"/>
        <w:ind w:left="0" w:right="0" w:firstLine="420"/>
        <w:rPr>
          <w:rFonts w:hint="default" w:ascii="宋体" w:hAnsi="宋体" w:eastAsia="宋体" w:cs="宋体"/>
          <w:kern w:val="0"/>
          <w:sz w:val="24"/>
          <w:szCs w:val="24"/>
          <w:highlight w:val="none"/>
          <w:lang w:val="en-US" w:eastAsia="zh-CN" w:bidi="ar-SA"/>
        </w:rPr>
      </w:pPr>
    </w:p>
    <w:p>
      <w:pPr>
        <w:pStyle w:val="8"/>
        <w:spacing w:before="93" w:line="312" w:lineRule="auto"/>
        <w:ind w:left="100" w:right="259"/>
        <w:jc w:val="both"/>
        <w:rPr>
          <w:rFonts w:ascii="宋体" w:hAnsi="宋体" w:eastAsia="宋体" w:cs="宋体"/>
          <w:kern w:val="0"/>
          <w:sz w:val="24"/>
          <w:szCs w:val="24"/>
          <w:lang w:val="en-US" w:eastAsia="zh-CN" w:bidi="ar-SA"/>
        </w:rPr>
      </w:pPr>
    </w:p>
    <w:p>
      <w:pPr>
        <w:rPr>
          <w:rFonts w:ascii="宋体" w:hAnsi="宋体" w:eastAsia="宋体" w:cs="宋体"/>
          <w:kern w:val="0"/>
          <w:sz w:val="24"/>
          <w:szCs w:val="24"/>
          <w:lang w:val="en-US" w:eastAsia="zh-CN" w:bidi="ar-SA"/>
        </w:rPr>
      </w:pPr>
    </w:p>
    <w:p>
      <w:pPr>
        <w:pStyle w:val="8"/>
        <w:rPr>
          <w:rFonts w:ascii="宋体" w:hAnsi="宋体" w:eastAsia="宋体" w:cs="宋体"/>
          <w:kern w:val="0"/>
          <w:sz w:val="24"/>
          <w:szCs w:val="24"/>
          <w:lang w:val="en-US" w:eastAsia="zh-CN" w:bidi="ar-SA"/>
        </w:rPr>
      </w:pPr>
    </w:p>
    <w:p>
      <w:pPr>
        <w:rPr>
          <w:rFonts w:ascii="宋体" w:hAnsi="宋体" w:eastAsia="宋体" w:cs="宋体"/>
          <w:kern w:val="0"/>
          <w:sz w:val="24"/>
          <w:szCs w:val="24"/>
          <w:lang w:val="en-US" w:eastAsia="zh-CN" w:bidi="ar-SA"/>
        </w:rPr>
      </w:pPr>
    </w:p>
    <w:p>
      <w:pPr>
        <w:pStyle w:val="8"/>
        <w:rPr>
          <w:rFonts w:ascii="宋体" w:hAnsi="宋体" w:eastAsia="宋体" w:cs="宋体"/>
          <w:kern w:val="0"/>
          <w:sz w:val="24"/>
          <w:szCs w:val="24"/>
          <w:lang w:val="en-US" w:eastAsia="zh-CN" w:bidi="ar-SA"/>
        </w:rPr>
      </w:pPr>
    </w:p>
    <w:p>
      <w:pPr>
        <w:rPr>
          <w:rFonts w:ascii="宋体" w:hAnsi="宋体" w:eastAsia="宋体" w:cs="宋体"/>
          <w:kern w:val="0"/>
          <w:sz w:val="24"/>
          <w:szCs w:val="24"/>
          <w:lang w:val="en-US" w:eastAsia="zh-CN" w:bidi="ar-SA"/>
        </w:rPr>
      </w:pPr>
    </w:p>
    <w:p>
      <w:pPr>
        <w:pStyle w:val="8"/>
        <w:rPr>
          <w:rFonts w:ascii="宋体" w:hAnsi="宋体" w:eastAsia="宋体" w:cs="宋体"/>
          <w:kern w:val="0"/>
          <w:sz w:val="24"/>
          <w:szCs w:val="24"/>
          <w:lang w:val="en-US" w:eastAsia="zh-CN" w:bidi="ar-SA"/>
        </w:rPr>
      </w:pPr>
    </w:p>
    <w:p>
      <w:pPr>
        <w:rPr>
          <w:rFonts w:ascii="宋体" w:hAnsi="宋体" w:eastAsia="宋体" w:cs="宋体"/>
          <w:kern w:val="0"/>
          <w:sz w:val="24"/>
          <w:szCs w:val="24"/>
          <w:lang w:val="en-US" w:eastAsia="zh-CN" w:bidi="ar-SA"/>
        </w:rPr>
      </w:pPr>
    </w:p>
    <w:p>
      <w:pPr>
        <w:rPr>
          <w:rFonts w:ascii="宋体" w:hAnsi="宋体" w:eastAsia="宋体" w:cs="宋体"/>
          <w:kern w:val="0"/>
          <w:sz w:val="24"/>
          <w:szCs w:val="24"/>
          <w:lang w:val="en-US" w:eastAsia="zh-CN" w:bidi="ar-SA"/>
        </w:rPr>
      </w:pPr>
    </w:p>
    <w:p>
      <w:pPr>
        <w:pStyle w:val="3"/>
        <w:tabs>
          <w:tab w:val="left" w:pos="1125"/>
        </w:tabs>
        <w:spacing w:before="197"/>
        <w:ind w:right="157"/>
        <w:jc w:val="both"/>
        <w:rPr>
          <w:lang w:eastAsia="zh-CN"/>
        </w:rPr>
      </w:pPr>
    </w:p>
    <w:p>
      <w:pPr>
        <w:pStyle w:val="3"/>
        <w:tabs>
          <w:tab w:val="left" w:pos="1125"/>
        </w:tabs>
        <w:spacing w:before="197"/>
        <w:ind w:right="157" w:firstLine="3935" w:firstLineChars="1400"/>
        <w:jc w:val="both"/>
        <w:rPr>
          <w:lang w:eastAsia="zh-CN"/>
        </w:rPr>
      </w:pPr>
      <w:r>
        <w:rPr>
          <w:lang w:eastAsia="zh-CN"/>
        </w:rPr>
        <w:t>第二章</w:t>
      </w:r>
      <w:r>
        <w:rPr>
          <w:lang w:eastAsia="zh-CN"/>
        </w:rPr>
        <w:tab/>
      </w:r>
      <w:r>
        <w:rPr>
          <w:lang w:eastAsia="zh-CN"/>
        </w:rPr>
        <w:t>供应商须知</w:t>
      </w:r>
    </w:p>
    <w:p>
      <w:pPr>
        <w:pStyle w:val="8"/>
        <w:spacing w:before="68"/>
        <w:ind w:left="437" w:right="596"/>
        <w:jc w:val="center"/>
      </w:pPr>
      <w:r>
        <w:t>须知前附表</w:t>
      </w:r>
    </w:p>
    <w:tbl>
      <w:tblPr>
        <w:tblStyle w:val="25"/>
        <w:tblW w:w="10050"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
        <w:gridCol w:w="1047"/>
        <w:gridCol w:w="1662"/>
        <w:gridCol w:w="73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049" w:type="dxa"/>
            <w:gridSpan w:val="2"/>
            <w:vAlign w:val="top"/>
          </w:tcPr>
          <w:p>
            <w:pPr>
              <w:pStyle w:val="24"/>
              <w:spacing w:before="67"/>
              <w:ind w:left="139" w:right="130"/>
              <w:jc w:val="center"/>
              <w:rPr>
                <w:b/>
                <w:sz w:val="24"/>
              </w:rPr>
            </w:pPr>
            <w:r>
              <w:rPr>
                <w:b/>
                <w:sz w:val="24"/>
              </w:rPr>
              <w:t>条款号</w:t>
            </w:r>
          </w:p>
        </w:tc>
        <w:tc>
          <w:tcPr>
            <w:tcW w:w="1662" w:type="dxa"/>
            <w:vAlign w:val="top"/>
          </w:tcPr>
          <w:p>
            <w:pPr>
              <w:pStyle w:val="24"/>
              <w:spacing w:before="67"/>
              <w:ind w:left="372"/>
              <w:rPr>
                <w:b/>
                <w:sz w:val="24"/>
              </w:rPr>
            </w:pPr>
            <w:r>
              <w:rPr>
                <w:b/>
                <w:sz w:val="24"/>
              </w:rPr>
              <w:t>条款名称</w:t>
            </w:r>
          </w:p>
        </w:tc>
        <w:tc>
          <w:tcPr>
            <w:tcW w:w="7339" w:type="dxa"/>
            <w:vAlign w:val="top"/>
          </w:tcPr>
          <w:p>
            <w:pPr>
              <w:pStyle w:val="24"/>
              <w:spacing w:before="67"/>
              <w:ind w:left="3149" w:right="3137"/>
              <w:jc w:val="center"/>
              <w:rPr>
                <w:b/>
                <w:sz w:val="24"/>
              </w:rPr>
            </w:pPr>
            <w:r>
              <w:rPr>
                <w:b/>
                <w:sz w:val="24"/>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049" w:type="dxa"/>
            <w:gridSpan w:val="2"/>
            <w:vMerge w:val="restart"/>
            <w:vAlign w:val="top"/>
          </w:tcPr>
          <w:p>
            <w:pPr>
              <w:pStyle w:val="8"/>
              <w:spacing w:before="2"/>
              <w:ind w:left="100"/>
              <w:rPr>
                <w:rFonts w:ascii="宋体" w:hAnsi="宋体" w:eastAsia="宋体" w:cs="宋体"/>
                <w:spacing w:val="-13"/>
                <w:kern w:val="0"/>
                <w:sz w:val="24"/>
                <w:szCs w:val="22"/>
                <w:lang w:val="en-US" w:eastAsia="zh-CN" w:bidi="ar"/>
              </w:rPr>
            </w:pPr>
          </w:p>
          <w:p>
            <w:pPr>
              <w:pStyle w:val="8"/>
              <w:spacing w:before="2"/>
              <w:ind w:left="100"/>
              <w:rPr>
                <w:rFonts w:ascii="宋体" w:hAnsi="宋体" w:eastAsia="宋体" w:cs="宋体"/>
                <w:spacing w:val="-13"/>
                <w:kern w:val="0"/>
                <w:sz w:val="24"/>
                <w:szCs w:val="22"/>
                <w:lang w:val="en-US" w:eastAsia="zh-CN" w:bidi="ar"/>
              </w:rPr>
            </w:pPr>
          </w:p>
          <w:p>
            <w:pPr>
              <w:pStyle w:val="8"/>
              <w:spacing w:before="2"/>
              <w:ind w:left="100"/>
              <w:rPr>
                <w:rFonts w:ascii="宋体" w:hAnsi="宋体" w:eastAsia="宋体" w:cs="宋体"/>
                <w:spacing w:val="-13"/>
                <w:kern w:val="0"/>
                <w:sz w:val="24"/>
                <w:szCs w:val="22"/>
                <w:lang w:val="en-US" w:eastAsia="zh-CN" w:bidi="ar"/>
              </w:rPr>
            </w:pPr>
          </w:p>
          <w:p>
            <w:pPr>
              <w:pStyle w:val="8"/>
              <w:spacing w:before="2"/>
              <w:ind w:left="100"/>
              <w:rPr>
                <w:rFonts w:ascii="宋体" w:hAnsi="宋体" w:eastAsia="宋体" w:cs="宋体"/>
                <w:spacing w:val="-13"/>
                <w:kern w:val="0"/>
                <w:sz w:val="24"/>
                <w:szCs w:val="22"/>
                <w:lang w:val="en-US" w:eastAsia="zh-CN" w:bidi="ar"/>
              </w:rPr>
            </w:pPr>
          </w:p>
          <w:p>
            <w:pPr>
              <w:pStyle w:val="8"/>
              <w:spacing w:before="2"/>
              <w:ind w:left="100"/>
              <w:rPr>
                <w:rFonts w:ascii="宋体" w:hAnsi="宋体" w:eastAsia="宋体" w:cs="宋体"/>
                <w:spacing w:val="-13"/>
                <w:kern w:val="0"/>
                <w:sz w:val="24"/>
                <w:szCs w:val="22"/>
                <w:lang w:val="en-US" w:eastAsia="zh-CN" w:bidi="ar"/>
              </w:rPr>
            </w:pPr>
          </w:p>
          <w:p>
            <w:pPr>
              <w:pStyle w:val="8"/>
              <w:spacing w:before="2"/>
              <w:ind w:left="100"/>
              <w:rPr>
                <w:rFonts w:ascii="宋体" w:hAnsi="宋体" w:eastAsia="宋体" w:cs="宋体"/>
                <w:spacing w:val="-13"/>
                <w:kern w:val="0"/>
                <w:sz w:val="24"/>
                <w:szCs w:val="22"/>
                <w:lang w:val="en-US" w:eastAsia="zh-CN" w:bidi="ar"/>
              </w:rPr>
            </w:pPr>
          </w:p>
          <w:p>
            <w:pPr>
              <w:pStyle w:val="8"/>
              <w:spacing w:before="2"/>
              <w:ind w:left="100"/>
              <w:jc w:val="center"/>
              <w:rPr>
                <w:rFonts w:ascii="宋体" w:hAnsi="宋体" w:eastAsia="宋体" w:cs="宋体"/>
                <w:spacing w:val="-13"/>
                <w:kern w:val="0"/>
                <w:sz w:val="24"/>
                <w:szCs w:val="22"/>
                <w:lang w:val="en-US" w:eastAsia="zh-CN" w:bidi="ar"/>
              </w:rPr>
            </w:pPr>
            <w:r>
              <w:rPr>
                <w:rFonts w:ascii="宋体" w:hAnsi="宋体" w:eastAsia="宋体" w:cs="宋体"/>
                <w:spacing w:val="-13"/>
                <w:kern w:val="0"/>
                <w:sz w:val="24"/>
                <w:szCs w:val="22"/>
                <w:lang w:val="en-US" w:eastAsia="zh-CN" w:bidi="ar"/>
              </w:rPr>
              <w:t>1</w:t>
            </w:r>
          </w:p>
        </w:tc>
        <w:tc>
          <w:tcPr>
            <w:tcW w:w="1662" w:type="dxa"/>
            <w:vAlign w:val="top"/>
          </w:tcPr>
          <w:p>
            <w:pPr>
              <w:pStyle w:val="8"/>
              <w:spacing w:before="2"/>
              <w:ind w:left="100"/>
              <w:rPr>
                <w:rFonts w:ascii="宋体" w:hAnsi="宋体" w:eastAsia="宋体" w:cs="宋体"/>
                <w:spacing w:val="-13"/>
                <w:kern w:val="0"/>
                <w:sz w:val="24"/>
                <w:szCs w:val="22"/>
                <w:lang w:val="en-US" w:eastAsia="zh-CN" w:bidi="ar"/>
              </w:rPr>
            </w:pPr>
            <w:r>
              <w:rPr>
                <w:rFonts w:ascii="宋体" w:hAnsi="宋体" w:eastAsia="宋体" w:cs="宋体"/>
                <w:spacing w:val="-13"/>
                <w:kern w:val="0"/>
                <w:sz w:val="24"/>
                <w:szCs w:val="22"/>
                <w:lang w:val="en-US" w:eastAsia="zh-CN" w:bidi="ar"/>
              </w:rPr>
              <w:t>项目名称</w:t>
            </w:r>
          </w:p>
        </w:tc>
        <w:tc>
          <w:tcPr>
            <w:tcW w:w="7339" w:type="dxa"/>
            <w:vAlign w:val="top"/>
          </w:tcPr>
          <w:p>
            <w:pPr>
              <w:pStyle w:val="8"/>
              <w:spacing w:before="2"/>
              <w:ind w:left="100"/>
              <w:rPr>
                <w:rFonts w:hint="default" w:ascii="宋体" w:hAnsi="宋体" w:eastAsia="宋体" w:cs="宋体"/>
                <w:spacing w:val="-13"/>
                <w:kern w:val="0"/>
                <w:sz w:val="24"/>
                <w:szCs w:val="22"/>
                <w:lang w:val="en-US" w:eastAsia="zh-CN" w:bidi="ar"/>
              </w:rPr>
            </w:pPr>
            <w:r>
              <w:rPr>
                <w:rFonts w:hint="eastAsia" w:cs="宋体"/>
                <w:spacing w:val="-13"/>
                <w:kern w:val="0"/>
                <w:sz w:val="24"/>
                <w:szCs w:val="22"/>
                <w:lang w:val="en-US" w:eastAsia="zh-CN" w:bidi="ar"/>
              </w:rPr>
              <w:t>于田县津和示范班建设及优秀学生资助项目(二次)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049" w:type="dxa"/>
            <w:gridSpan w:val="2"/>
            <w:vMerge w:val="continue"/>
            <w:tcBorders>
              <w:top w:val="nil"/>
            </w:tcBorders>
            <w:vAlign w:val="top"/>
          </w:tcPr>
          <w:p>
            <w:pPr>
              <w:pStyle w:val="8"/>
              <w:spacing w:before="2"/>
              <w:ind w:left="100"/>
              <w:rPr>
                <w:rFonts w:ascii="宋体" w:hAnsi="宋体" w:eastAsia="宋体" w:cs="宋体"/>
                <w:spacing w:val="-13"/>
                <w:kern w:val="0"/>
                <w:sz w:val="24"/>
                <w:szCs w:val="22"/>
                <w:lang w:val="en-US" w:eastAsia="zh-CN" w:bidi="ar"/>
              </w:rPr>
            </w:pPr>
          </w:p>
        </w:tc>
        <w:tc>
          <w:tcPr>
            <w:tcW w:w="1662" w:type="dxa"/>
            <w:vAlign w:val="top"/>
          </w:tcPr>
          <w:p>
            <w:pPr>
              <w:pStyle w:val="8"/>
              <w:spacing w:before="2"/>
              <w:ind w:left="100"/>
              <w:rPr>
                <w:rFonts w:ascii="宋体" w:hAnsi="宋体" w:eastAsia="宋体" w:cs="宋体"/>
                <w:spacing w:val="-13"/>
                <w:kern w:val="0"/>
                <w:sz w:val="24"/>
                <w:szCs w:val="22"/>
                <w:lang w:val="en-US" w:eastAsia="zh-CN" w:bidi="ar"/>
              </w:rPr>
            </w:pPr>
            <w:r>
              <w:rPr>
                <w:rFonts w:ascii="宋体" w:hAnsi="宋体" w:eastAsia="宋体" w:cs="宋体"/>
                <w:spacing w:val="-13"/>
                <w:kern w:val="0"/>
                <w:sz w:val="24"/>
                <w:szCs w:val="22"/>
                <w:lang w:val="en-US" w:eastAsia="zh-CN" w:bidi="ar"/>
              </w:rPr>
              <w:t>采购人</w:t>
            </w:r>
          </w:p>
        </w:tc>
        <w:tc>
          <w:tcPr>
            <w:tcW w:w="7339" w:type="dxa"/>
            <w:vAlign w:val="top"/>
          </w:tcPr>
          <w:p>
            <w:pPr>
              <w:pStyle w:val="8"/>
              <w:spacing w:before="2"/>
              <w:ind w:left="100"/>
              <w:rPr>
                <w:rFonts w:ascii="宋体" w:hAnsi="宋体" w:eastAsia="宋体" w:cs="宋体"/>
                <w:spacing w:val="-13"/>
                <w:kern w:val="0"/>
                <w:sz w:val="24"/>
                <w:szCs w:val="22"/>
                <w:lang w:val="en-US" w:eastAsia="zh-CN" w:bidi="ar"/>
              </w:rPr>
            </w:pPr>
            <w:r>
              <w:rPr>
                <w:rFonts w:ascii="宋体" w:hAnsi="宋体" w:eastAsia="宋体" w:cs="宋体"/>
                <w:spacing w:val="-13"/>
                <w:kern w:val="0"/>
                <w:sz w:val="24"/>
                <w:szCs w:val="22"/>
                <w:lang w:val="en-US" w:eastAsia="zh-CN" w:bidi="ar"/>
              </w:rPr>
              <w:t>于田县教育局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049" w:type="dxa"/>
            <w:gridSpan w:val="2"/>
            <w:vMerge w:val="continue"/>
            <w:tcBorders>
              <w:top w:val="nil"/>
            </w:tcBorders>
            <w:vAlign w:val="top"/>
          </w:tcPr>
          <w:p>
            <w:pPr>
              <w:pStyle w:val="8"/>
              <w:spacing w:before="2"/>
              <w:ind w:left="100"/>
              <w:rPr>
                <w:rFonts w:ascii="宋体" w:hAnsi="宋体" w:eastAsia="宋体" w:cs="宋体"/>
                <w:spacing w:val="-13"/>
                <w:kern w:val="0"/>
                <w:sz w:val="24"/>
                <w:szCs w:val="22"/>
                <w:lang w:val="en-US" w:eastAsia="zh-CN" w:bidi="ar"/>
              </w:rPr>
            </w:pPr>
          </w:p>
        </w:tc>
        <w:tc>
          <w:tcPr>
            <w:tcW w:w="1662" w:type="dxa"/>
            <w:vAlign w:val="top"/>
          </w:tcPr>
          <w:p>
            <w:pPr>
              <w:pStyle w:val="8"/>
              <w:spacing w:before="2"/>
              <w:ind w:left="100"/>
              <w:rPr>
                <w:rFonts w:ascii="宋体" w:hAnsi="宋体" w:eastAsia="宋体" w:cs="宋体"/>
                <w:spacing w:val="-13"/>
                <w:kern w:val="0"/>
                <w:sz w:val="24"/>
                <w:szCs w:val="22"/>
                <w:lang w:val="en-US" w:eastAsia="zh-CN" w:bidi="ar"/>
              </w:rPr>
            </w:pPr>
            <w:r>
              <w:rPr>
                <w:rFonts w:ascii="宋体" w:hAnsi="宋体" w:eastAsia="宋体" w:cs="宋体"/>
                <w:spacing w:val="-13"/>
                <w:kern w:val="0"/>
                <w:sz w:val="24"/>
                <w:szCs w:val="22"/>
                <w:lang w:val="en-US" w:eastAsia="zh-CN" w:bidi="ar"/>
              </w:rPr>
              <w:t>采购代理人</w:t>
            </w:r>
          </w:p>
        </w:tc>
        <w:tc>
          <w:tcPr>
            <w:tcW w:w="7339" w:type="dxa"/>
            <w:vAlign w:val="top"/>
          </w:tcPr>
          <w:p>
            <w:pPr>
              <w:pStyle w:val="8"/>
              <w:spacing w:before="2"/>
              <w:ind w:left="100"/>
              <w:rPr>
                <w:rFonts w:ascii="宋体" w:hAnsi="宋体" w:eastAsia="宋体" w:cs="宋体"/>
                <w:spacing w:val="-13"/>
                <w:kern w:val="0"/>
                <w:sz w:val="24"/>
                <w:szCs w:val="22"/>
                <w:lang w:val="en-US" w:eastAsia="zh-CN" w:bidi="ar"/>
              </w:rPr>
            </w:pPr>
            <w:r>
              <w:rPr>
                <w:rFonts w:hint="eastAsia" w:ascii="宋体" w:hAnsi="宋体" w:eastAsia="宋体" w:cs="宋体"/>
                <w:spacing w:val="-13"/>
                <w:kern w:val="0"/>
                <w:sz w:val="24"/>
                <w:szCs w:val="22"/>
                <w:lang w:val="en-US" w:eastAsia="zh-CN" w:bidi="ar"/>
              </w:rPr>
              <w:t>新疆浩诚致远项目管理咨询有限公司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049" w:type="dxa"/>
            <w:gridSpan w:val="2"/>
            <w:vMerge w:val="continue"/>
            <w:tcBorders>
              <w:top w:val="nil"/>
            </w:tcBorders>
            <w:vAlign w:val="top"/>
          </w:tcPr>
          <w:p>
            <w:pPr>
              <w:pStyle w:val="8"/>
              <w:spacing w:before="2"/>
              <w:ind w:left="100"/>
              <w:rPr>
                <w:rFonts w:ascii="宋体" w:hAnsi="宋体" w:eastAsia="宋体" w:cs="宋体"/>
                <w:spacing w:val="-13"/>
                <w:kern w:val="0"/>
                <w:sz w:val="24"/>
                <w:szCs w:val="22"/>
                <w:lang w:val="en-US" w:eastAsia="zh-CN" w:bidi="ar"/>
              </w:rPr>
            </w:pPr>
          </w:p>
        </w:tc>
        <w:tc>
          <w:tcPr>
            <w:tcW w:w="1662" w:type="dxa"/>
            <w:vAlign w:val="top"/>
          </w:tcPr>
          <w:p>
            <w:pPr>
              <w:pStyle w:val="8"/>
              <w:spacing w:before="2"/>
              <w:ind w:left="100"/>
              <w:rPr>
                <w:rFonts w:ascii="宋体" w:hAnsi="宋体" w:eastAsia="宋体" w:cs="宋体"/>
                <w:spacing w:val="-13"/>
                <w:kern w:val="0"/>
                <w:sz w:val="24"/>
                <w:szCs w:val="22"/>
                <w:lang w:val="en-US" w:eastAsia="zh-CN" w:bidi="ar"/>
              </w:rPr>
            </w:pPr>
            <w:r>
              <w:rPr>
                <w:rFonts w:ascii="宋体" w:hAnsi="宋体" w:eastAsia="宋体" w:cs="宋体"/>
                <w:spacing w:val="-13"/>
                <w:kern w:val="0"/>
                <w:sz w:val="24"/>
                <w:szCs w:val="22"/>
                <w:lang w:val="en-US" w:eastAsia="zh-CN" w:bidi="ar"/>
              </w:rPr>
              <w:t>招标范围</w:t>
            </w:r>
          </w:p>
        </w:tc>
        <w:tc>
          <w:tcPr>
            <w:tcW w:w="7339" w:type="dxa"/>
            <w:vAlign w:val="top"/>
          </w:tcPr>
          <w:p>
            <w:pPr>
              <w:pStyle w:val="8"/>
              <w:spacing w:before="2"/>
              <w:ind w:left="100"/>
              <w:rPr>
                <w:rFonts w:ascii="宋体" w:hAnsi="宋体" w:eastAsia="宋体" w:cs="宋体"/>
                <w:spacing w:val="-13"/>
                <w:kern w:val="0"/>
                <w:sz w:val="24"/>
                <w:szCs w:val="22"/>
                <w:lang w:val="en-US" w:eastAsia="zh-CN" w:bidi="ar"/>
              </w:rPr>
            </w:pPr>
            <w:r>
              <w:rPr>
                <w:rFonts w:ascii="宋体" w:hAnsi="宋体" w:eastAsia="宋体" w:cs="宋体"/>
                <w:spacing w:val="-13"/>
                <w:kern w:val="0"/>
                <w:sz w:val="24"/>
                <w:szCs w:val="22"/>
                <w:lang w:val="en-US" w:eastAsia="zh-CN" w:bidi="ar"/>
              </w:rPr>
              <w:t>详见竞争性磋商文件第五章招标内容及要求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049" w:type="dxa"/>
            <w:gridSpan w:val="2"/>
            <w:vMerge w:val="continue"/>
            <w:tcBorders>
              <w:top w:val="nil"/>
            </w:tcBorders>
            <w:vAlign w:val="top"/>
          </w:tcPr>
          <w:p>
            <w:pPr>
              <w:pStyle w:val="8"/>
              <w:spacing w:before="2"/>
              <w:ind w:left="100"/>
              <w:rPr>
                <w:rFonts w:ascii="宋体" w:hAnsi="宋体" w:eastAsia="宋体" w:cs="宋体"/>
                <w:spacing w:val="-13"/>
                <w:kern w:val="0"/>
                <w:sz w:val="24"/>
                <w:szCs w:val="22"/>
                <w:lang w:val="en-US" w:eastAsia="zh-CN" w:bidi="ar"/>
              </w:rPr>
            </w:pPr>
          </w:p>
        </w:tc>
        <w:tc>
          <w:tcPr>
            <w:tcW w:w="1662" w:type="dxa"/>
            <w:vAlign w:val="top"/>
          </w:tcPr>
          <w:p>
            <w:pPr>
              <w:pStyle w:val="8"/>
              <w:spacing w:before="2"/>
              <w:ind w:left="100"/>
              <w:rPr>
                <w:rFonts w:ascii="宋体" w:hAnsi="宋体" w:eastAsia="宋体" w:cs="宋体"/>
                <w:spacing w:val="-13"/>
                <w:kern w:val="0"/>
                <w:sz w:val="24"/>
                <w:szCs w:val="22"/>
                <w:lang w:val="en-US" w:eastAsia="zh-CN" w:bidi="ar"/>
              </w:rPr>
            </w:pPr>
            <w:r>
              <w:rPr>
                <w:rFonts w:ascii="宋体" w:hAnsi="宋体" w:eastAsia="宋体" w:cs="宋体"/>
                <w:spacing w:val="-13"/>
                <w:kern w:val="0"/>
                <w:sz w:val="24"/>
                <w:szCs w:val="22"/>
                <w:lang w:val="en-US" w:eastAsia="zh-CN" w:bidi="ar"/>
              </w:rPr>
              <w:t>项目编号</w:t>
            </w:r>
          </w:p>
        </w:tc>
        <w:tc>
          <w:tcPr>
            <w:tcW w:w="7339" w:type="dxa"/>
            <w:vAlign w:val="top"/>
          </w:tcPr>
          <w:p>
            <w:pPr>
              <w:pStyle w:val="8"/>
              <w:spacing w:before="2"/>
              <w:ind w:left="100"/>
              <w:rPr>
                <w:rFonts w:hint="eastAsia" w:ascii="宋体" w:hAnsi="宋体" w:eastAsia="宋体" w:cs="宋体"/>
                <w:spacing w:val="-13"/>
                <w:kern w:val="0"/>
                <w:sz w:val="24"/>
                <w:szCs w:val="22"/>
                <w:lang w:val="en-US" w:eastAsia="zh-CN" w:bidi="ar"/>
              </w:rPr>
            </w:pPr>
            <w:r>
              <w:rPr>
                <w:rFonts w:hint="eastAsia" w:cs="宋体"/>
                <w:color w:val="auto"/>
                <w:spacing w:val="-13"/>
                <w:kern w:val="0"/>
                <w:sz w:val="24"/>
                <w:szCs w:val="22"/>
                <w:lang w:val="en-US" w:eastAsia="zh-CN" w:bidi="ar"/>
              </w:rPr>
              <w:t>YTCGD-JZ-2023-037-01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049" w:type="dxa"/>
            <w:gridSpan w:val="2"/>
            <w:vMerge w:val="continue"/>
            <w:tcBorders>
              <w:top w:val="nil"/>
            </w:tcBorders>
            <w:vAlign w:val="top"/>
          </w:tcPr>
          <w:p>
            <w:pPr>
              <w:pStyle w:val="8"/>
              <w:spacing w:before="2"/>
              <w:ind w:left="100"/>
              <w:rPr>
                <w:rFonts w:ascii="宋体" w:hAnsi="宋体" w:eastAsia="宋体" w:cs="宋体"/>
                <w:spacing w:val="-13"/>
                <w:kern w:val="0"/>
                <w:sz w:val="24"/>
                <w:szCs w:val="22"/>
                <w:lang w:val="en-US" w:eastAsia="zh-CN" w:bidi="ar"/>
              </w:rPr>
            </w:pPr>
          </w:p>
        </w:tc>
        <w:tc>
          <w:tcPr>
            <w:tcW w:w="1662" w:type="dxa"/>
            <w:vAlign w:val="top"/>
          </w:tcPr>
          <w:p>
            <w:pPr>
              <w:pStyle w:val="8"/>
              <w:spacing w:before="2"/>
              <w:ind w:left="100"/>
              <w:rPr>
                <w:rFonts w:ascii="宋体" w:hAnsi="宋体" w:eastAsia="宋体" w:cs="宋体"/>
                <w:spacing w:val="-13"/>
                <w:kern w:val="0"/>
                <w:sz w:val="24"/>
                <w:szCs w:val="22"/>
                <w:lang w:val="en-US" w:eastAsia="zh-CN" w:bidi="ar"/>
              </w:rPr>
            </w:pPr>
            <w:r>
              <w:rPr>
                <w:rFonts w:ascii="宋体" w:hAnsi="宋体" w:eastAsia="宋体" w:cs="宋体"/>
                <w:spacing w:val="-13"/>
                <w:kern w:val="0"/>
                <w:sz w:val="24"/>
                <w:szCs w:val="22"/>
                <w:lang w:val="en-US" w:eastAsia="zh-CN" w:bidi="ar"/>
              </w:rPr>
              <w:t>资金来源</w:t>
            </w:r>
          </w:p>
        </w:tc>
        <w:tc>
          <w:tcPr>
            <w:tcW w:w="7339" w:type="dxa"/>
            <w:vAlign w:val="top"/>
          </w:tcPr>
          <w:p>
            <w:pPr>
              <w:pStyle w:val="8"/>
              <w:spacing w:before="2"/>
              <w:ind w:left="100"/>
              <w:rPr>
                <w:rFonts w:ascii="宋体" w:hAnsi="宋体" w:eastAsia="宋体" w:cs="宋体"/>
                <w:spacing w:val="-13"/>
                <w:kern w:val="0"/>
                <w:sz w:val="24"/>
                <w:szCs w:val="22"/>
                <w:lang w:val="en-US" w:eastAsia="zh-CN" w:bidi="ar"/>
              </w:rPr>
            </w:pPr>
            <w:r>
              <w:rPr>
                <w:rFonts w:ascii="宋体" w:hAnsi="宋体" w:eastAsia="宋体" w:cs="宋体"/>
                <w:spacing w:val="-13"/>
                <w:kern w:val="0"/>
                <w:sz w:val="24"/>
                <w:szCs w:val="22"/>
                <w:lang w:val="en-US" w:eastAsia="zh-CN" w:bidi="ar"/>
              </w:rPr>
              <w:t>援疆资金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049" w:type="dxa"/>
            <w:gridSpan w:val="2"/>
            <w:vMerge w:val="continue"/>
            <w:tcBorders>
              <w:top w:val="nil"/>
            </w:tcBorders>
            <w:vAlign w:val="top"/>
          </w:tcPr>
          <w:p>
            <w:pPr>
              <w:pStyle w:val="8"/>
              <w:spacing w:before="2"/>
              <w:ind w:left="100"/>
              <w:rPr>
                <w:rFonts w:ascii="宋体" w:hAnsi="宋体" w:eastAsia="宋体" w:cs="宋体"/>
                <w:spacing w:val="-13"/>
                <w:kern w:val="0"/>
                <w:sz w:val="24"/>
                <w:szCs w:val="22"/>
                <w:lang w:val="en-US" w:eastAsia="zh-CN" w:bidi="ar"/>
              </w:rPr>
            </w:pPr>
          </w:p>
        </w:tc>
        <w:tc>
          <w:tcPr>
            <w:tcW w:w="1662" w:type="dxa"/>
            <w:vAlign w:val="top"/>
          </w:tcPr>
          <w:p>
            <w:pPr>
              <w:pStyle w:val="8"/>
              <w:spacing w:before="2"/>
              <w:ind w:left="100"/>
              <w:rPr>
                <w:rFonts w:ascii="宋体" w:hAnsi="宋体" w:eastAsia="宋体" w:cs="宋体"/>
                <w:spacing w:val="-13"/>
                <w:kern w:val="0"/>
                <w:sz w:val="24"/>
                <w:szCs w:val="22"/>
                <w:lang w:val="en-US" w:eastAsia="zh-CN" w:bidi="ar"/>
              </w:rPr>
            </w:pPr>
            <w:r>
              <w:rPr>
                <w:rFonts w:ascii="宋体" w:hAnsi="宋体" w:eastAsia="宋体" w:cs="宋体"/>
                <w:spacing w:val="-13"/>
                <w:kern w:val="0"/>
                <w:sz w:val="24"/>
                <w:szCs w:val="22"/>
                <w:lang w:val="en-US" w:eastAsia="zh-CN" w:bidi="ar"/>
              </w:rPr>
              <w:t>资金落实情况</w:t>
            </w:r>
          </w:p>
        </w:tc>
        <w:tc>
          <w:tcPr>
            <w:tcW w:w="7339" w:type="dxa"/>
            <w:vAlign w:val="top"/>
          </w:tcPr>
          <w:p>
            <w:pPr>
              <w:pStyle w:val="8"/>
              <w:spacing w:before="2"/>
              <w:ind w:left="100"/>
              <w:rPr>
                <w:rFonts w:ascii="宋体" w:hAnsi="宋体" w:eastAsia="宋体" w:cs="宋体"/>
                <w:spacing w:val="-13"/>
                <w:kern w:val="0"/>
                <w:sz w:val="24"/>
                <w:szCs w:val="22"/>
                <w:lang w:val="en-US" w:eastAsia="zh-CN" w:bidi="ar"/>
              </w:rPr>
            </w:pPr>
            <w:r>
              <w:rPr>
                <w:rFonts w:ascii="宋体" w:hAnsi="宋体" w:eastAsia="宋体" w:cs="宋体"/>
                <w:spacing w:val="-13"/>
                <w:kern w:val="0"/>
                <w:sz w:val="24"/>
                <w:szCs w:val="22"/>
                <w:lang w:val="en-US" w:eastAsia="zh-CN" w:bidi="ar"/>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049" w:type="dxa"/>
            <w:gridSpan w:val="2"/>
            <w:vMerge w:val="continue"/>
            <w:tcBorders>
              <w:top w:val="nil"/>
            </w:tcBorders>
            <w:vAlign w:val="top"/>
          </w:tcPr>
          <w:p>
            <w:pPr>
              <w:pStyle w:val="8"/>
              <w:spacing w:before="2"/>
              <w:ind w:left="100"/>
              <w:rPr>
                <w:rFonts w:ascii="宋体" w:hAnsi="宋体" w:eastAsia="宋体" w:cs="宋体"/>
                <w:spacing w:val="-13"/>
                <w:kern w:val="0"/>
                <w:sz w:val="24"/>
                <w:szCs w:val="22"/>
                <w:lang w:val="en-US" w:eastAsia="zh-CN" w:bidi="ar"/>
              </w:rPr>
            </w:pPr>
          </w:p>
        </w:tc>
        <w:tc>
          <w:tcPr>
            <w:tcW w:w="1662" w:type="dxa"/>
            <w:vAlign w:val="top"/>
          </w:tcPr>
          <w:p>
            <w:pPr>
              <w:pStyle w:val="8"/>
              <w:spacing w:before="2"/>
              <w:ind w:left="100"/>
              <w:rPr>
                <w:rFonts w:hint="eastAsia" w:ascii="宋体" w:hAnsi="宋体" w:eastAsia="宋体" w:cs="宋体"/>
                <w:spacing w:val="-13"/>
                <w:kern w:val="0"/>
                <w:sz w:val="24"/>
                <w:szCs w:val="22"/>
                <w:lang w:val="en-US" w:eastAsia="zh-CN" w:bidi="ar"/>
              </w:rPr>
            </w:pPr>
            <w:r>
              <w:rPr>
                <w:rFonts w:ascii="宋体" w:hAnsi="宋体" w:eastAsia="宋体" w:cs="宋体"/>
                <w:spacing w:val="-13"/>
                <w:kern w:val="0"/>
                <w:sz w:val="24"/>
                <w:szCs w:val="22"/>
                <w:lang w:val="en-US" w:eastAsia="zh-CN" w:bidi="ar"/>
              </w:rPr>
              <w:t>是</w:t>
            </w:r>
            <w:r>
              <w:rPr>
                <w:rFonts w:hint="eastAsia" w:ascii="宋体" w:hAnsi="宋体" w:eastAsia="宋体" w:cs="宋体"/>
                <w:spacing w:val="-13"/>
                <w:kern w:val="0"/>
                <w:sz w:val="24"/>
                <w:szCs w:val="22"/>
                <w:lang w:val="en-US" w:eastAsia="zh-CN" w:bidi="ar"/>
              </w:rPr>
              <w:t>否接受联合</w:t>
            </w:r>
          </w:p>
          <w:p>
            <w:pPr>
              <w:pStyle w:val="8"/>
              <w:spacing w:before="2"/>
              <w:ind w:left="100"/>
              <w:rPr>
                <w:rFonts w:ascii="宋体" w:hAnsi="宋体" w:eastAsia="宋体" w:cs="宋体"/>
                <w:spacing w:val="-13"/>
                <w:kern w:val="0"/>
                <w:sz w:val="24"/>
                <w:szCs w:val="22"/>
                <w:lang w:val="en-US" w:eastAsia="zh-CN" w:bidi="ar"/>
              </w:rPr>
            </w:pPr>
            <w:r>
              <w:rPr>
                <w:rFonts w:hint="eastAsia" w:ascii="宋体" w:hAnsi="宋体" w:eastAsia="宋体" w:cs="宋体"/>
                <w:spacing w:val="-13"/>
                <w:kern w:val="0"/>
                <w:sz w:val="24"/>
                <w:szCs w:val="22"/>
                <w:lang w:val="en-US" w:eastAsia="zh-CN" w:bidi="ar"/>
              </w:rPr>
              <w:t>体投标</w:t>
            </w:r>
          </w:p>
        </w:tc>
        <w:tc>
          <w:tcPr>
            <w:tcW w:w="7339" w:type="dxa"/>
            <w:vAlign w:val="top"/>
          </w:tcPr>
          <w:p>
            <w:pPr>
              <w:pStyle w:val="8"/>
              <w:spacing w:before="2"/>
              <w:ind w:left="100"/>
              <w:rPr>
                <w:rFonts w:ascii="宋体" w:hAnsi="宋体" w:eastAsia="宋体" w:cs="宋体"/>
                <w:spacing w:val="-13"/>
                <w:kern w:val="0"/>
                <w:sz w:val="24"/>
                <w:szCs w:val="22"/>
                <w:lang w:val="en-US" w:eastAsia="zh-CN" w:bidi="ar"/>
              </w:rPr>
            </w:pPr>
          </w:p>
          <w:p>
            <w:pPr>
              <w:pStyle w:val="8"/>
              <w:spacing w:before="2"/>
              <w:ind w:left="100"/>
              <w:rPr>
                <w:rFonts w:ascii="宋体" w:hAnsi="宋体" w:eastAsia="宋体" w:cs="宋体"/>
                <w:spacing w:val="-13"/>
                <w:kern w:val="0"/>
                <w:sz w:val="24"/>
                <w:szCs w:val="22"/>
                <w:lang w:val="en-US" w:eastAsia="zh-CN" w:bidi="ar"/>
              </w:rPr>
            </w:pPr>
            <w:r>
              <w:rPr>
                <w:rFonts w:ascii="宋体" w:hAnsi="宋体" w:eastAsia="宋体" w:cs="宋体"/>
                <w:spacing w:val="-13"/>
                <w:kern w:val="0"/>
                <w:sz w:val="24"/>
                <w:szCs w:val="22"/>
                <w:lang w:val="en-US" w:eastAsia="zh-CN" w:bidi="ar"/>
              </w:rPr>
              <w:t>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049" w:type="dxa"/>
            <w:gridSpan w:val="2"/>
            <w:vAlign w:val="top"/>
          </w:tcPr>
          <w:p>
            <w:pPr>
              <w:pStyle w:val="24"/>
              <w:rPr>
                <w:sz w:val="24"/>
              </w:rPr>
            </w:pPr>
          </w:p>
          <w:p>
            <w:pPr>
              <w:pStyle w:val="24"/>
              <w:rPr>
                <w:sz w:val="24"/>
              </w:rPr>
            </w:pPr>
          </w:p>
          <w:p>
            <w:pPr>
              <w:pStyle w:val="24"/>
              <w:rPr>
                <w:sz w:val="24"/>
              </w:rPr>
            </w:pPr>
          </w:p>
          <w:p>
            <w:pPr>
              <w:pStyle w:val="24"/>
              <w:rPr>
                <w:sz w:val="24"/>
              </w:rPr>
            </w:pPr>
          </w:p>
          <w:p>
            <w:pPr>
              <w:pStyle w:val="24"/>
              <w:rPr>
                <w:sz w:val="24"/>
              </w:rPr>
            </w:pPr>
          </w:p>
          <w:p>
            <w:pPr>
              <w:pStyle w:val="24"/>
              <w:rPr>
                <w:sz w:val="24"/>
              </w:rPr>
            </w:pPr>
          </w:p>
          <w:p>
            <w:pPr>
              <w:pStyle w:val="24"/>
              <w:rPr>
                <w:sz w:val="24"/>
              </w:rPr>
            </w:pPr>
          </w:p>
          <w:p>
            <w:pPr>
              <w:pStyle w:val="24"/>
              <w:rPr>
                <w:sz w:val="24"/>
              </w:rPr>
            </w:pPr>
          </w:p>
          <w:p>
            <w:pPr>
              <w:pStyle w:val="24"/>
              <w:rPr>
                <w:sz w:val="24"/>
              </w:rPr>
            </w:pPr>
          </w:p>
          <w:p>
            <w:pPr>
              <w:pStyle w:val="24"/>
              <w:rPr>
                <w:sz w:val="27"/>
              </w:rPr>
            </w:pPr>
          </w:p>
          <w:p>
            <w:pPr>
              <w:pStyle w:val="24"/>
              <w:ind w:left="137" w:right="130"/>
              <w:jc w:val="center"/>
              <w:rPr>
                <w:sz w:val="24"/>
              </w:rPr>
            </w:pPr>
            <w:r>
              <w:rPr>
                <w:sz w:val="24"/>
              </w:rPr>
              <w:t>2</w:t>
            </w:r>
          </w:p>
        </w:tc>
        <w:tc>
          <w:tcPr>
            <w:tcW w:w="1662" w:type="dxa"/>
            <w:vAlign w:val="top"/>
          </w:tcPr>
          <w:p>
            <w:pPr>
              <w:pStyle w:val="24"/>
              <w:rPr>
                <w:sz w:val="24"/>
              </w:rPr>
            </w:pPr>
          </w:p>
          <w:p>
            <w:pPr>
              <w:pStyle w:val="24"/>
              <w:rPr>
                <w:sz w:val="24"/>
              </w:rPr>
            </w:pPr>
          </w:p>
          <w:p>
            <w:pPr>
              <w:pStyle w:val="24"/>
              <w:rPr>
                <w:sz w:val="24"/>
              </w:rPr>
            </w:pPr>
          </w:p>
          <w:p>
            <w:pPr>
              <w:pStyle w:val="24"/>
              <w:rPr>
                <w:sz w:val="24"/>
              </w:rPr>
            </w:pPr>
          </w:p>
          <w:p>
            <w:pPr>
              <w:pStyle w:val="24"/>
              <w:rPr>
                <w:sz w:val="24"/>
              </w:rPr>
            </w:pPr>
          </w:p>
          <w:p>
            <w:pPr>
              <w:pStyle w:val="24"/>
              <w:rPr>
                <w:sz w:val="24"/>
              </w:rPr>
            </w:pPr>
          </w:p>
          <w:p>
            <w:pPr>
              <w:pStyle w:val="24"/>
              <w:rPr>
                <w:sz w:val="24"/>
              </w:rPr>
            </w:pPr>
          </w:p>
          <w:p>
            <w:pPr>
              <w:pStyle w:val="24"/>
              <w:rPr>
                <w:sz w:val="24"/>
              </w:rPr>
            </w:pPr>
          </w:p>
          <w:p>
            <w:pPr>
              <w:pStyle w:val="24"/>
              <w:rPr>
                <w:sz w:val="24"/>
              </w:rPr>
            </w:pPr>
          </w:p>
          <w:p>
            <w:pPr>
              <w:pStyle w:val="24"/>
              <w:rPr>
                <w:sz w:val="27"/>
              </w:rPr>
            </w:pPr>
          </w:p>
          <w:p>
            <w:pPr>
              <w:pStyle w:val="24"/>
              <w:ind w:left="108"/>
              <w:jc w:val="center"/>
              <w:rPr>
                <w:sz w:val="24"/>
              </w:rPr>
            </w:pPr>
            <w:r>
              <w:rPr>
                <w:sz w:val="24"/>
              </w:rPr>
              <w:t>资格要求</w:t>
            </w:r>
          </w:p>
        </w:tc>
        <w:tc>
          <w:tcPr>
            <w:tcW w:w="7339" w:type="dxa"/>
            <w:vAlign w:val="top"/>
          </w:tcPr>
          <w:p>
            <w:pPr>
              <w:pStyle w:val="30"/>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default" w:ascii="宋体" w:hAnsi="宋体" w:eastAsia="宋体" w:cs="宋体"/>
                <w:spacing w:val="-12"/>
                <w:sz w:val="24"/>
                <w:szCs w:val="22"/>
                <w:lang w:val="en-US" w:eastAsia="zh-CN" w:bidi="ar-SA"/>
              </w:rPr>
            </w:pPr>
            <w:r>
              <w:rPr>
                <w:rFonts w:hint="default" w:ascii="宋体" w:hAnsi="宋体" w:eastAsia="宋体" w:cs="宋体"/>
                <w:sz w:val="21"/>
                <w:szCs w:val="21"/>
                <w:lang w:val="en-US" w:eastAsia="zh-CN" w:bidi="ar-SA"/>
              </w:rPr>
              <w:t>1.</w:t>
            </w:r>
            <w:r>
              <w:rPr>
                <w:rFonts w:hint="default" w:ascii="宋体" w:hAnsi="宋体" w:eastAsia="宋体" w:cs="宋体"/>
                <w:spacing w:val="-12"/>
                <w:sz w:val="24"/>
                <w:szCs w:val="22"/>
                <w:lang w:val="en-US" w:eastAsia="zh-CN" w:bidi="ar-SA"/>
              </w:rPr>
              <w:t>满足《中华人民共和国政府采购法》第二十二条规定；</w:t>
            </w:r>
          </w:p>
          <w:p>
            <w:pPr>
              <w:pStyle w:val="30"/>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default" w:ascii="宋体" w:hAnsi="宋体" w:eastAsia="宋体" w:cs="宋体"/>
                <w:spacing w:val="-12"/>
                <w:sz w:val="24"/>
                <w:szCs w:val="22"/>
                <w:lang w:val="en-US" w:eastAsia="zh-CN" w:bidi="ar-SA"/>
              </w:rPr>
            </w:pPr>
            <w:r>
              <w:rPr>
                <w:rFonts w:hint="default" w:ascii="宋体" w:hAnsi="宋体" w:eastAsia="宋体" w:cs="宋体"/>
                <w:spacing w:val="-12"/>
                <w:sz w:val="24"/>
                <w:szCs w:val="22"/>
                <w:lang w:val="en-US" w:eastAsia="zh-CN" w:bidi="ar-SA"/>
              </w:rPr>
              <w:t>2.落实政府采购政策需满足的资格要求：根据《政府采购促进中小企业发展暂行办法》（财库〔2020〕46号）的规定（200万元以下的货物、服务采购项目）全部预留给中小企业。</w:t>
            </w:r>
          </w:p>
          <w:p>
            <w:pPr>
              <w:pStyle w:val="30"/>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default" w:ascii="宋体" w:hAnsi="宋体" w:eastAsia="宋体" w:cs="宋体"/>
                <w:spacing w:val="-12"/>
                <w:sz w:val="24"/>
                <w:szCs w:val="22"/>
                <w:lang w:val="en-US" w:eastAsia="zh-CN" w:bidi="ar-SA"/>
              </w:rPr>
            </w:pPr>
            <w:r>
              <w:rPr>
                <w:rFonts w:hint="default" w:ascii="宋体" w:hAnsi="宋体" w:eastAsia="宋体" w:cs="宋体"/>
                <w:spacing w:val="-12"/>
                <w:sz w:val="24"/>
                <w:szCs w:val="22"/>
                <w:lang w:val="en-US" w:eastAsia="zh-CN" w:bidi="ar-SA"/>
              </w:rPr>
              <w:t>3.本项目的特定资格要求：</w:t>
            </w:r>
            <w:r>
              <w:rPr>
                <w:rFonts w:hint="eastAsia" w:ascii="宋体" w:hAnsi="宋体" w:eastAsia="宋体" w:cs="宋体"/>
                <w:spacing w:val="-12"/>
                <w:sz w:val="24"/>
                <w:szCs w:val="22"/>
                <w:lang w:val="en-US" w:eastAsia="zh-CN" w:bidi="ar-SA"/>
              </w:rPr>
              <w:t>（1）</w:t>
            </w:r>
            <w:r>
              <w:rPr>
                <w:rFonts w:hint="default" w:ascii="宋体" w:hAnsi="宋体" w:eastAsia="宋体" w:cs="宋体"/>
                <w:spacing w:val="-12"/>
                <w:sz w:val="24"/>
                <w:szCs w:val="22"/>
                <w:lang w:val="en-US" w:eastAsia="zh-CN" w:bidi="ar-SA"/>
              </w:rPr>
              <w:t>符合《中华人民共和国政府采购法》第二十二条的相关规定，国内注册（指按国家有关规定要求注册的）依法能提供本次采购货物和服务，具有法人资格的供应商；</w:t>
            </w:r>
            <w:r>
              <w:rPr>
                <w:rFonts w:hint="default" w:ascii="宋体" w:hAnsi="宋体" w:eastAsia="宋体" w:cs="宋体"/>
                <w:spacing w:val="-12"/>
                <w:sz w:val="24"/>
                <w:szCs w:val="22"/>
                <w:lang w:val="en-US" w:eastAsia="zh-CN" w:bidi="ar-SA"/>
              </w:rPr>
              <w:br w:type="textWrapping"/>
            </w:r>
            <w:r>
              <w:rPr>
                <w:rFonts w:hint="eastAsia" w:ascii="宋体" w:hAnsi="宋体" w:eastAsia="宋体" w:cs="宋体"/>
                <w:spacing w:val="-12"/>
                <w:sz w:val="24"/>
                <w:szCs w:val="22"/>
                <w:lang w:val="en-US" w:eastAsia="zh-CN" w:bidi="ar-SA"/>
              </w:rPr>
              <w:t>（2）</w:t>
            </w:r>
            <w:r>
              <w:rPr>
                <w:rFonts w:hint="default" w:ascii="宋体" w:hAnsi="宋体" w:eastAsia="宋体" w:cs="宋体"/>
                <w:spacing w:val="-12"/>
                <w:sz w:val="24"/>
                <w:szCs w:val="22"/>
                <w:lang w:val="en-US" w:eastAsia="zh-CN" w:bidi="ar-SA"/>
              </w:rPr>
              <w:t>有效的“三证合一”的营业执照；</w:t>
            </w:r>
            <w:r>
              <w:rPr>
                <w:rFonts w:hint="default" w:ascii="宋体" w:hAnsi="宋体" w:eastAsia="宋体" w:cs="宋体"/>
                <w:spacing w:val="-12"/>
                <w:sz w:val="24"/>
                <w:szCs w:val="22"/>
                <w:lang w:val="en-US" w:eastAsia="zh-CN" w:bidi="ar-SA"/>
              </w:rPr>
              <w:br w:type="textWrapping"/>
            </w:r>
            <w:r>
              <w:rPr>
                <w:rFonts w:hint="eastAsia" w:ascii="宋体" w:hAnsi="宋体" w:eastAsia="宋体" w:cs="宋体"/>
                <w:spacing w:val="-12"/>
                <w:sz w:val="24"/>
                <w:szCs w:val="22"/>
                <w:lang w:val="en-US" w:eastAsia="zh-CN" w:bidi="ar-SA"/>
              </w:rPr>
              <w:t>（3）</w:t>
            </w:r>
            <w:r>
              <w:rPr>
                <w:rFonts w:hint="default" w:ascii="宋体" w:hAnsi="宋体" w:eastAsia="宋体" w:cs="宋体"/>
                <w:spacing w:val="-12"/>
                <w:sz w:val="24"/>
                <w:szCs w:val="22"/>
                <w:lang w:val="en-US" w:eastAsia="zh-CN" w:bidi="ar-SA"/>
              </w:rPr>
              <w:t>具有良好的商业信誉和健全的财务会计制度（提供202</w:t>
            </w:r>
            <w:r>
              <w:rPr>
                <w:rFonts w:hint="eastAsia" w:ascii="宋体" w:hAnsi="宋体" w:eastAsia="宋体" w:cs="宋体"/>
                <w:spacing w:val="-12"/>
                <w:sz w:val="24"/>
                <w:szCs w:val="22"/>
                <w:lang w:val="en-US" w:eastAsia="zh-CN" w:bidi="ar-SA"/>
              </w:rPr>
              <w:t>2</w:t>
            </w:r>
            <w:r>
              <w:rPr>
                <w:rFonts w:hint="default" w:ascii="宋体" w:hAnsi="宋体" w:eastAsia="宋体" w:cs="宋体"/>
                <w:spacing w:val="-12"/>
                <w:sz w:val="24"/>
                <w:szCs w:val="22"/>
                <w:lang w:val="en-US" w:eastAsia="zh-CN" w:bidi="ar-SA"/>
              </w:rPr>
              <w:t>年的财务审计报告，</w:t>
            </w:r>
            <w:r>
              <w:rPr>
                <w:rFonts w:hint="eastAsia" w:ascii="宋体" w:hAnsi="宋体" w:eastAsia="宋体" w:cs="宋体"/>
                <w:spacing w:val="-12"/>
                <w:sz w:val="24"/>
                <w:szCs w:val="22"/>
                <w:lang w:val="en-US" w:eastAsia="zh-CN" w:bidi="ar-SA"/>
              </w:rPr>
              <w:t>会计周期不满</w:t>
            </w:r>
            <w:r>
              <w:rPr>
                <w:rFonts w:hint="default" w:ascii="宋体" w:hAnsi="宋体" w:eastAsia="宋体" w:cs="宋体"/>
                <w:spacing w:val="-12"/>
                <w:sz w:val="24"/>
                <w:szCs w:val="22"/>
                <w:lang w:val="en-US" w:eastAsia="zh-CN" w:bidi="ar-SA"/>
              </w:rPr>
              <w:t>一年的公司可不提供财务审计报告但需提供近三个月2023年2月-2023年4月银行出具的资信证明）；</w:t>
            </w:r>
          </w:p>
          <w:p>
            <w:pPr>
              <w:pStyle w:val="30"/>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default" w:ascii="宋体" w:hAnsi="宋体" w:eastAsia="宋体" w:cs="宋体"/>
                <w:spacing w:val="-12"/>
                <w:sz w:val="24"/>
                <w:szCs w:val="22"/>
                <w:lang w:val="en-US" w:eastAsia="zh-CN" w:bidi="ar-SA"/>
              </w:rPr>
            </w:pPr>
            <w:r>
              <w:rPr>
                <w:rFonts w:hint="default" w:ascii="宋体" w:hAnsi="宋体" w:eastAsia="宋体" w:cs="宋体"/>
                <w:spacing w:val="-12"/>
                <w:sz w:val="24"/>
                <w:szCs w:val="22"/>
                <w:lang w:val="en-US" w:eastAsia="zh-CN" w:bidi="ar-SA"/>
              </w:rPr>
              <w:t>4、提供税务部门出具近3个月</w:t>
            </w:r>
            <w:r>
              <w:rPr>
                <w:rFonts w:hint="eastAsia" w:ascii="宋体" w:hAnsi="宋体" w:eastAsia="宋体" w:cs="宋体"/>
                <w:spacing w:val="-12"/>
                <w:sz w:val="24"/>
                <w:szCs w:val="22"/>
                <w:lang w:val="en-US" w:eastAsia="zh-CN" w:bidi="ar-SA"/>
              </w:rPr>
              <w:t>(</w:t>
            </w:r>
            <w:r>
              <w:rPr>
                <w:rFonts w:hint="default" w:ascii="宋体" w:hAnsi="宋体" w:eastAsia="宋体" w:cs="宋体"/>
                <w:spacing w:val="-12"/>
                <w:sz w:val="24"/>
                <w:szCs w:val="22"/>
                <w:lang w:val="en-US" w:eastAsia="zh-CN" w:bidi="ar-SA"/>
              </w:rPr>
              <w:t>2023年2月-2023年4月</w:t>
            </w:r>
            <w:r>
              <w:rPr>
                <w:rFonts w:hint="eastAsia" w:ascii="宋体" w:hAnsi="宋体" w:eastAsia="宋体" w:cs="宋体"/>
                <w:spacing w:val="-12"/>
                <w:sz w:val="24"/>
                <w:szCs w:val="22"/>
                <w:lang w:val="en-US" w:eastAsia="zh-CN" w:bidi="ar-SA"/>
              </w:rPr>
              <w:t>)</w:t>
            </w:r>
            <w:r>
              <w:rPr>
                <w:rFonts w:hint="default" w:ascii="宋体" w:hAnsi="宋体" w:eastAsia="宋体" w:cs="宋体"/>
                <w:spacing w:val="-12"/>
                <w:sz w:val="24"/>
                <w:szCs w:val="22"/>
                <w:lang w:val="en-US" w:eastAsia="zh-CN" w:bidi="ar-SA"/>
              </w:rPr>
              <w:t>依法缴纳税收的完税证明或报税材料（依法免缴的，应提供依法免缴的相关证明文件）</w:t>
            </w:r>
            <w:r>
              <w:rPr>
                <w:rFonts w:hint="eastAsia" w:ascii="宋体" w:hAnsi="宋体" w:eastAsia="宋体" w:cs="宋体"/>
                <w:spacing w:val="-12"/>
                <w:sz w:val="24"/>
                <w:szCs w:val="22"/>
                <w:lang w:val="zh-CN" w:eastAsia="zh-CN" w:bidi="ar-SA"/>
              </w:rPr>
              <w:t>；</w:t>
            </w:r>
            <w:r>
              <w:rPr>
                <w:rFonts w:hint="default" w:ascii="宋体" w:hAnsi="宋体" w:eastAsia="宋体" w:cs="宋体"/>
                <w:spacing w:val="-12"/>
                <w:sz w:val="24"/>
                <w:szCs w:val="22"/>
                <w:lang w:val="en-US" w:eastAsia="zh-CN" w:bidi="ar-SA"/>
              </w:rPr>
              <w:br w:type="textWrapping"/>
            </w:r>
            <w:r>
              <w:rPr>
                <w:rFonts w:hint="default" w:ascii="宋体" w:hAnsi="宋体" w:eastAsia="宋体" w:cs="宋体"/>
                <w:spacing w:val="-12"/>
                <w:sz w:val="24"/>
                <w:szCs w:val="22"/>
                <w:lang w:val="en-US" w:eastAsia="zh-CN" w:bidi="ar-SA"/>
              </w:rPr>
              <w:t>5、</w:t>
            </w:r>
            <w:r>
              <w:rPr>
                <w:rFonts w:hint="eastAsia" w:ascii="宋体" w:hAnsi="宋体" w:eastAsia="宋体" w:cs="宋体"/>
                <w:spacing w:val="-12"/>
                <w:sz w:val="24"/>
                <w:szCs w:val="22"/>
                <w:lang w:val="en-US" w:eastAsia="zh-CN" w:bidi="ar-SA"/>
              </w:rPr>
              <w:t>提供</w:t>
            </w:r>
            <w:r>
              <w:rPr>
                <w:rFonts w:hint="default" w:ascii="宋体" w:hAnsi="宋体" w:eastAsia="宋体" w:cs="宋体"/>
                <w:spacing w:val="-12"/>
                <w:sz w:val="24"/>
                <w:szCs w:val="22"/>
                <w:lang w:val="en-US" w:eastAsia="zh-CN" w:bidi="ar-SA"/>
              </w:rPr>
              <w:t>法定代表人身份证明及身份证复印件或法定代表人授权委托书或和委托代理人的身份证原件（授权书需附法人身份证及委托人身份证复印件正反面），注：法定代表人授权委托书应当单独提供（须附法人及委托代理人身份证复印件并加盖鲜公章），并与</w:t>
            </w:r>
            <w:r>
              <w:rPr>
                <w:rFonts w:hint="eastAsia" w:hAnsi="宋体" w:cs="宋体"/>
                <w:spacing w:val="-12"/>
                <w:sz w:val="24"/>
                <w:szCs w:val="22"/>
                <w:lang w:val="en-US" w:eastAsia="zh-CN" w:bidi="ar-SA"/>
              </w:rPr>
              <w:t>响应文件</w:t>
            </w:r>
            <w:r>
              <w:rPr>
                <w:rFonts w:hint="default" w:ascii="宋体" w:hAnsi="宋体" w:eastAsia="宋体" w:cs="宋体"/>
                <w:spacing w:val="-12"/>
                <w:sz w:val="24"/>
                <w:szCs w:val="22"/>
                <w:lang w:val="en-US" w:eastAsia="zh-CN" w:bidi="ar-SA"/>
              </w:rPr>
              <w:t>中所提供的相一致；</w:t>
            </w:r>
          </w:p>
          <w:p>
            <w:pPr>
              <w:pStyle w:val="30"/>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default" w:ascii="宋体" w:hAnsi="宋体" w:eastAsia="宋体" w:cs="宋体"/>
                <w:spacing w:val="-12"/>
                <w:sz w:val="24"/>
                <w:szCs w:val="22"/>
                <w:highlight w:val="red"/>
                <w:lang w:val="en-US" w:eastAsia="zh-CN" w:bidi="ar-SA"/>
              </w:rPr>
            </w:pPr>
            <w:r>
              <w:rPr>
                <w:rFonts w:hint="eastAsia" w:ascii="宋体" w:hAnsi="宋体" w:eastAsia="宋体" w:cs="宋体"/>
                <w:spacing w:val="-12"/>
                <w:sz w:val="24"/>
                <w:szCs w:val="22"/>
                <w:lang w:val="en-US" w:eastAsia="zh-CN" w:bidi="ar-SA"/>
              </w:rPr>
              <w:t>6</w:t>
            </w:r>
            <w:r>
              <w:rPr>
                <w:rFonts w:hint="default" w:ascii="宋体" w:hAnsi="宋体" w:eastAsia="宋体" w:cs="宋体"/>
                <w:spacing w:val="-12"/>
                <w:sz w:val="24"/>
                <w:szCs w:val="22"/>
                <w:lang w:val="en-US" w:eastAsia="zh-CN" w:bidi="ar-SA"/>
              </w:rPr>
              <w:t>、提供法人或委托人在本公司缴纳的近三个月（2023年2月-2023年4月）社保缴纳证明（出具缴费个人明细）</w:t>
            </w:r>
            <w:r>
              <w:rPr>
                <w:rFonts w:hint="eastAsia" w:ascii="宋体" w:hAnsi="宋体" w:eastAsia="宋体" w:cs="宋体"/>
                <w:spacing w:val="-12"/>
                <w:sz w:val="24"/>
                <w:szCs w:val="22"/>
                <w:lang w:val="zh-CN" w:eastAsia="zh-CN" w:bidi="ar-SA"/>
              </w:rPr>
              <w:t>；</w:t>
            </w:r>
          </w:p>
          <w:p>
            <w:pPr>
              <w:pStyle w:val="14"/>
              <w:keepNext w:val="0"/>
              <w:keepLines w:val="0"/>
              <w:widowControl/>
              <w:suppressLineNumbers w:val="0"/>
              <w:spacing w:before="75" w:beforeAutospacing="0" w:after="75" w:afterAutospacing="0" w:line="300" w:lineRule="atLeast"/>
              <w:ind w:right="0"/>
              <w:rPr>
                <w:sz w:val="24"/>
                <w:lang w:eastAsia="zh-CN"/>
              </w:rPr>
            </w:pPr>
            <w:r>
              <w:rPr>
                <w:rFonts w:hint="eastAsia" w:cs="宋体"/>
                <w:spacing w:val="-12"/>
                <w:sz w:val="24"/>
                <w:szCs w:val="22"/>
                <w:lang w:val="en-US" w:eastAsia="zh-CN" w:bidi="ar-SA"/>
              </w:rPr>
              <w:t>7</w:t>
            </w:r>
            <w:r>
              <w:rPr>
                <w:rFonts w:hint="default" w:ascii="宋体" w:hAnsi="宋体" w:eastAsia="宋体" w:cs="宋体"/>
                <w:spacing w:val="-12"/>
                <w:sz w:val="24"/>
                <w:szCs w:val="22"/>
                <w:lang w:val="en-US" w:eastAsia="zh-CN" w:bidi="ar-SA"/>
              </w:rPr>
              <w:t>、凡拟参加本次招标项目的投标人，如在“信用中国”网站</w:t>
            </w:r>
            <w:r>
              <w:rPr>
                <w:rFonts w:hint="eastAsia" w:ascii="宋体" w:hAnsi="宋体" w:eastAsia="宋体" w:cs="宋体"/>
                <w:spacing w:val="-12"/>
                <w:sz w:val="24"/>
                <w:szCs w:val="22"/>
                <w:lang w:val="zh-CN" w:eastAsia="zh-CN" w:bidi="ar-SA"/>
              </w:rPr>
              <w:t>；</w:t>
            </w:r>
            <w:r>
              <w:rPr>
                <w:rFonts w:hint="default" w:ascii="宋体" w:hAnsi="宋体" w:eastAsia="宋体" w:cs="宋体"/>
                <w:spacing w:val="-12"/>
                <w:sz w:val="24"/>
                <w:szCs w:val="22"/>
                <w:lang w:val="en-US" w:eastAsia="zh-CN" w:bidi="ar-SA"/>
              </w:rPr>
              <w:t>（www.creditchina.gov.cn）、中国政府采购网（www.ccgp.gov.cn）、国家企业信用信息公示系统（http://www.gsxt.gov.cn）、中国裁判文书网（http://wenshu.court.gov.cn）被列入失信被执行人、重大税收违法案件当事人名单、政府采购严重违法失信行为记录名单的（尚在处罚期内的）、经营异常名录的，将拒绝其参本次政府采购活动；</w:t>
            </w:r>
            <w:r>
              <w:rPr>
                <w:rFonts w:hint="default" w:ascii="宋体" w:hAnsi="宋体" w:eastAsia="宋体" w:cs="宋体"/>
                <w:spacing w:val="-12"/>
                <w:sz w:val="24"/>
                <w:szCs w:val="22"/>
                <w:lang w:val="en-US" w:eastAsia="zh-CN" w:bidi="ar-SA"/>
              </w:rPr>
              <w:br w:type="textWrapping"/>
            </w:r>
            <w:r>
              <w:rPr>
                <w:rFonts w:hint="eastAsia" w:ascii="宋体" w:hAnsi="宋体" w:eastAsia="宋体" w:cs="宋体"/>
                <w:spacing w:val="-12"/>
                <w:sz w:val="24"/>
                <w:szCs w:val="22"/>
                <w:lang w:val="en-US" w:eastAsia="zh-CN" w:bidi="ar-SA"/>
              </w:rPr>
              <w:t>9</w:t>
            </w:r>
            <w:r>
              <w:rPr>
                <w:rFonts w:hint="default" w:ascii="宋体" w:hAnsi="宋体" w:eastAsia="宋体" w:cs="宋体"/>
                <w:spacing w:val="-12"/>
                <w:sz w:val="24"/>
                <w:szCs w:val="22"/>
                <w:lang w:val="en-US" w:eastAsia="zh-CN" w:bidi="ar-SA"/>
              </w:rPr>
              <w:t>、企业负责人为同一人或者存在直接控股、管理关系的不同投标人，不得参加同一合同项下的政府采购活动，否则，皆取消投标资格；</w:t>
            </w:r>
            <w:r>
              <w:rPr>
                <w:rFonts w:hint="default" w:ascii="宋体" w:hAnsi="宋体" w:eastAsia="宋体" w:cs="宋体"/>
                <w:spacing w:val="-12"/>
                <w:sz w:val="24"/>
                <w:szCs w:val="22"/>
                <w:lang w:val="en-US" w:eastAsia="zh-CN" w:bidi="ar-SA"/>
              </w:rPr>
              <w:br w:type="textWrapping"/>
            </w:r>
            <w:r>
              <w:rPr>
                <w:rFonts w:hint="eastAsia" w:ascii="宋体" w:hAnsi="宋体" w:eastAsia="宋体" w:cs="宋体"/>
                <w:spacing w:val="-12"/>
                <w:sz w:val="24"/>
                <w:szCs w:val="22"/>
                <w:lang w:val="en-US" w:eastAsia="zh-CN" w:bidi="ar-SA"/>
              </w:rPr>
              <w:t>10</w:t>
            </w:r>
            <w:r>
              <w:rPr>
                <w:rFonts w:hint="default" w:ascii="宋体" w:hAnsi="宋体" w:eastAsia="宋体" w:cs="宋体"/>
                <w:spacing w:val="-12"/>
                <w:sz w:val="24"/>
                <w:szCs w:val="22"/>
                <w:lang w:val="en-US" w:eastAsia="zh-CN" w:bidi="ar-SA"/>
              </w:rPr>
              <w:t>、本项目不接受联合体投标。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049" w:type="dxa"/>
            <w:gridSpan w:val="2"/>
            <w:vAlign w:val="top"/>
          </w:tcPr>
          <w:p>
            <w:pPr>
              <w:pStyle w:val="24"/>
              <w:ind w:left="137" w:right="130"/>
              <w:jc w:val="center"/>
              <w:rPr>
                <w:rFonts w:hint="eastAsia"/>
                <w:sz w:val="24"/>
                <w:lang w:val="en-US" w:eastAsia="zh-CN"/>
              </w:rPr>
            </w:pPr>
          </w:p>
          <w:p>
            <w:pPr>
              <w:pStyle w:val="24"/>
              <w:ind w:left="137" w:right="130"/>
              <w:jc w:val="center"/>
              <w:rPr>
                <w:rFonts w:hint="eastAsia"/>
                <w:sz w:val="24"/>
                <w:lang w:val="en-US" w:eastAsia="zh-CN"/>
              </w:rPr>
            </w:pPr>
          </w:p>
          <w:p>
            <w:pPr>
              <w:pStyle w:val="24"/>
              <w:ind w:left="137" w:right="130"/>
              <w:jc w:val="center"/>
              <w:rPr>
                <w:rFonts w:hint="eastAsia"/>
                <w:sz w:val="24"/>
                <w:lang w:val="en-US" w:eastAsia="zh-CN"/>
              </w:rPr>
            </w:pPr>
          </w:p>
          <w:p>
            <w:pPr>
              <w:pStyle w:val="24"/>
              <w:ind w:left="137" w:right="130"/>
              <w:jc w:val="center"/>
              <w:rPr>
                <w:rFonts w:hint="eastAsia"/>
                <w:sz w:val="24"/>
                <w:lang w:val="en-US" w:eastAsia="zh-CN"/>
              </w:rPr>
            </w:pPr>
          </w:p>
          <w:p>
            <w:pPr>
              <w:pStyle w:val="24"/>
              <w:ind w:left="137" w:right="130"/>
              <w:jc w:val="center"/>
              <w:rPr>
                <w:rFonts w:hint="eastAsia"/>
                <w:sz w:val="24"/>
                <w:lang w:val="en-US" w:eastAsia="zh-CN"/>
              </w:rPr>
            </w:pPr>
          </w:p>
          <w:p>
            <w:pPr>
              <w:pStyle w:val="24"/>
              <w:ind w:left="137" w:right="130"/>
              <w:jc w:val="center"/>
              <w:rPr>
                <w:rFonts w:hint="eastAsia"/>
                <w:sz w:val="24"/>
                <w:lang w:val="en-US" w:eastAsia="zh-CN"/>
              </w:rPr>
            </w:pPr>
          </w:p>
          <w:p>
            <w:pPr>
              <w:pStyle w:val="24"/>
              <w:ind w:left="137" w:right="130"/>
              <w:jc w:val="center"/>
              <w:rPr>
                <w:rFonts w:hint="eastAsia" w:eastAsia="宋体"/>
                <w:sz w:val="24"/>
                <w:lang w:val="en-US" w:eastAsia="zh-CN"/>
              </w:rPr>
            </w:pPr>
            <w:r>
              <w:rPr>
                <w:rFonts w:hint="eastAsia"/>
                <w:sz w:val="24"/>
                <w:lang w:val="en-US" w:eastAsia="zh-CN"/>
              </w:rPr>
              <w:t>3</w:t>
            </w:r>
          </w:p>
        </w:tc>
        <w:tc>
          <w:tcPr>
            <w:tcW w:w="1662" w:type="dxa"/>
            <w:vAlign w:val="top"/>
          </w:tcPr>
          <w:p>
            <w:pPr>
              <w:pStyle w:val="24"/>
              <w:ind w:left="108"/>
              <w:jc w:val="center"/>
              <w:rPr>
                <w:rFonts w:hint="eastAsia" w:ascii="宋体" w:hAnsi="宋体" w:eastAsia="宋体" w:cs="宋体"/>
                <w:sz w:val="21"/>
                <w:szCs w:val="21"/>
                <w:lang w:val="en-US" w:eastAsia="zh-CN" w:bidi="ar-SA"/>
              </w:rPr>
            </w:pPr>
          </w:p>
          <w:p>
            <w:pPr>
              <w:pStyle w:val="24"/>
              <w:ind w:left="108"/>
              <w:jc w:val="center"/>
              <w:rPr>
                <w:rFonts w:hint="eastAsia" w:ascii="宋体" w:hAnsi="宋体" w:eastAsia="宋体" w:cs="宋体"/>
                <w:sz w:val="21"/>
                <w:szCs w:val="21"/>
                <w:lang w:val="en-US" w:eastAsia="zh-CN" w:bidi="ar-SA"/>
              </w:rPr>
            </w:pPr>
          </w:p>
          <w:p>
            <w:pPr>
              <w:pStyle w:val="24"/>
              <w:ind w:left="108"/>
              <w:jc w:val="center"/>
              <w:rPr>
                <w:rFonts w:hint="eastAsia" w:ascii="宋体" w:hAnsi="宋体" w:eastAsia="宋体" w:cs="宋体"/>
                <w:sz w:val="21"/>
                <w:szCs w:val="21"/>
                <w:lang w:val="en-US" w:eastAsia="zh-CN" w:bidi="ar-SA"/>
              </w:rPr>
            </w:pPr>
          </w:p>
          <w:p>
            <w:pPr>
              <w:pStyle w:val="24"/>
              <w:ind w:left="108"/>
              <w:jc w:val="center"/>
              <w:rPr>
                <w:rFonts w:hint="eastAsia" w:ascii="宋体" w:hAnsi="宋体" w:eastAsia="宋体" w:cs="宋体"/>
                <w:sz w:val="21"/>
                <w:szCs w:val="21"/>
                <w:lang w:val="en-US" w:eastAsia="zh-CN" w:bidi="ar-SA"/>
              </w:rPr>
            </w:pPr>
          </w:p>
          <w:p>
            <w:pPr>
              <w:pStyle w:val="24"/>
              <w:ind w:left="108"/>
              <w:jc w:val="center"/>
              <w:rPr>
                <w:rFonts w:hint="eastAsia" w:ascii="宋体" w:hAnsi="宋体" w:eastAsia="宋体" w:cs="宋体"/>
                <w:sz w:val="21"/>
                <w:szCs w:val="21"/>
                <w:lang w:val="en-US" w:eastAsia="zh-CN" w:bidi="ar-SA"/>
              </w:rPr>
            </w:pPr>
          </w:p>
          <w:p>
            <w:pPr>
              <w:pStyle w:val="24"/>
              <w:ind w:left="108"/>
              <w:jc w:val="center"/>
              <w:rPr>
                <w:rFonts w:hint="eastAsia" w:ascii="宋体" w:hAnsi="宋体" w:eastAsia="宋体" w:cs="宋体"/>
                <w:sz w:val="21"/>
                <w:szCs w:val="21"/>
                <w:lang w:val="en-US" w:eastAsia="zh-CN" w:bidi="ar-SA"/>
              </w:rPr>
            </w:pPr>
          </w:p>
          <w:p>
            <w:pPr>
              <w:pStyle w:val="24"/>
              <w:ind w:left="108"/>
              <w:jc w:val="center"/>
              <w:rPr>
                <w:rFonts w:hint="eastAsia" w:ascii="宋体" w:hAnsi="宋体" w:eastAsia="宋体" w:cs="宋体"/>
                <w:sz w:val="21"/>
                <w:szCs w:val="21"/>
                <w:lang w:val="en-US" w:eastAsia="zh-CN" w:bidi="ar-SA"/>
              </w:rPr>
            </w:pPr>
          </w:p>
          <w:p>
            <w:pPr>
              <w:pStyle w:val="24"/>
              <w:ind w:left="108"/>
              <w:jc w:val="center"/>
              <w:rPr>
                <w:sz w:val="24"/>
              </w:rPr>
            </w:pPr>
            <w:r>
              <w:rPr>
                <w:rFonts w:hint="eastAsia" w:ascii="宋体" w:hAnsi="宋体" w:eastAsia="宋体" w:cs="宋体"/>
                <w:sz w:val="24"/>
                <w:lang w:val="en-US" w:eastAsia="zh-CN"/>
              </w:rPr>
              <w:t>信用情况</w:t>
            </w:r>
          </w:p>
        </w:tc>
        <w:tc>
          <w:tcPr>
            <w:tcW w:w="7339" w:type="dxa"/>
            <w:vAlign w:val="top"/>
          </w:tcPr>
          <w:p>
            <w:pPr>
              <w:pStyle w:val="14"/>
              <w:keepNext w:val="0"/>
              <w:keepLines w:val="0"/>
              <w:widowControl/>
              <w:suppressLineNumbers w:val="0"/>
              <w:spacing w:before="75" w:beforeAutospacing="0" w:after="75" w:afterAutospacing="0" w:line="300" w:lineRule="atLeast"/>
              <w:ind w:right="0"/>
              <w:rPr>
                <w:rFonts w:hint="eastAsia" w:ascii="宋体" w:hAnsi="宋体" w:eastAsia="宋体" w:cs="宋体"/>
                <w:spacing w:val="-12"/>
                <w:sz w:val="24"/>
                <w:szCs w:val="22"/>
                <w:lang w:val="en-US" w:eastAsia="zh-CN" w:bidi="ar-SA"/>
              </w:rPr>
            </w:pPr>
            <w:r>
              <w:rPr>
                <w:rFonts w:hint="eastAsia" w:ascii="宋体" w:hAnsi="宋体" w:eastAsia="宋体" w:cs="宋体"/>
                <w:spacing w:val="-12"/>
                <w:sz w:val="24"/>
                <w:szCs w:val="22"/>
                <w:lang w:val="en-US" w:eastAsia="zh-CN" w:bidi="ar-SA"/>
              </w:rPr>
              <w:t>1、信用记录查询时间及方式：</w:t>
            </w:r>
          </w:p>
          <w:p>
            <w:pPr>
              <w:pStyle w:val="14"/>
              <w:keepNext w:val="0"/>
              <w:keepLines w:val="0"/>
              <w:widowControl/>
              <w:suppressLineNumbers w:val="0"/>
              <w:spacing w:before="75" w:beforeAutospacing="0" w:after="75" w:afterAutospacing="0" w:line="300" w:lineRule="atLeast"/>
              <w:ind w:right="0"/>
              <w:rPr>
                <w:rFonts w:hint="eastAsia" w:ascii="宋体" w:hAnsi="宋体" w:eastAsia="宋体" w:cs="宋体"/>
                <w:spacing w:val="-12"/>
                <w:sz w:val="24"/>
                <w:szCs w:val="22"/>
                <w:lang w:val="en-US" w:eastAsia="zh-CN" w:bidi="ar-SA"/>
              </w:rPr>
            </w:pPr>
            <w:r>
              <w:rPr>
                <w:rFonts w:hint="eastAsia" w:ascii="宋体" w:hAnsi="宋体" w:eastAsia="宋体" w:cs="宋体"/>
                <w:spacing w:val="-12"/>
                <w:sz w:val="24"/>
                <w:szCs w:val="22"/>
                <w:lang w:val="en-US" w:eastAsia="zh-CN" w:bidi="ar-SA"/>
              </w:rPr>
              <w:t>（1）查询时间：自招标公告发布日期起至开标日期止，超出此时间范围将被视为无效投标。</w:t>
            </w:r>
          </w:p>
          <w:p>
            <w:pPr>
              <w:pStyle w:val="14"/>
              <w:keepNext w:val="0"/>
              <w:keepLines w:val="0"/>
              <w:widowControl/>
              <w:suppressLineNumbers w:val="0"/>
              <w:spacing w:before="75" w:beforeAutospacing="0" w:after="75" w:afterAutospacing="0" w:line="300" w:lineRule="atLeast"/>
              <w:ind w:right="0"/>
              <w:rPr>
                <w:rFonts w:hint="eastAsia" w:ascii="宋体" w:hAnsi="宋体" w:eastAsia="宋体" w:cs="宋体"/>
                <w:spacing w:val="-12"/>
                <w:sz w:val="24"/>
                <w:szCs w:val="22"/>
                <w:lang w:val="en-US" w:eastAsia="zh-CN" w:bidi="ar-SA"/>
              </w:rPr>
            </w:pPr>
            <w:r>
              <w:rPr>
                <w:rFonts w:hint="eastAsia" w:ascii="宋体" w:hAnsi="宋体" w:eastAsia="宋体" w:cs="宋体"/>
                <w:spacing w:val="-12"/>
                <w:sz w:val="24"/>
                <w:szCs w:val="22"/>
                <w:lang w:val="en-US" w:eastAsia="zh-CN" w:bidi="ar-SA"/>
              </w:rPr>
              <w:t>（2）查询方式：投标人自行通过“信用中国”及“中国政府采购网”查询，并按谈判文件要求提供网页材料。被列入失信被执行人、政府采购严重违法失信行为记录名单,其他不符合《中华人民共和国政府采购法》第二十二条规定条件的供应商，其</w:t>
            </w:r>
            <w:r>
              <w:rPr>
                <w:rFonts w:hint="eastAsia" w:cs="宋体"/>
                <w:spacing w:val="-12"/>
                <w:sz w:val="24"/>
                <w:szCs w:val="22"/>
                <w:lang w:val="en-US" w:eastAsia="zh-CN" w:bidi="ar-SA"/>
              </w:rPr>
              <w:t>响应文件</w:t>
            </w:r>
            <w:r>
              <w:rPr>
                <w:rFonts w:hint="eastAsia" w:ascii="宋体" w:hAnsi="宋体" w:eastAsia="宋体" w:cs="宋体"/>
                <w:spacing w:val="-12"/>
                <w:sz w:val="24"/>
                <w:szCs w:val="22"/>
                <w:lang w:val="en-US" w:eastAsia="zh-CN" w:bidi="ar-SA"/>
              </w:rPr>
              <w:t>将被视为无效投标。未提供证明材料的视为不响应谈判文件。</w:t>
            </w:r>
          </w:p>
          <w:p>
            <w:pPr>
              <w:pStyle w:val="14"/>
              <w:keepNext w:val="0"/>
              <w:keepLines w:val="0"/>
              <w:widowControl/>
              <w:suppressLineNumbers w:val="0"/>
              <w:spacing w:before="75" w:beforeAutospacing="0" w:after="75" w:afterAutospacing="0" w:line="300" w:lineRule="atLeast"/>
              <w:ind w:right="0"/>
              <w:rPr>
                <w:rFonts w:hint="eastAsia" w:ascii="宋体" w:hAnsi="宋体" w:eastAsia="宋体" w:cs="宋体"/>
                <w:spacing w:val="-12"/>
                <w:sz w:val="24"/>
                <w:szCs w:val="22"/>
                <w:lang w:val="en-US" w:eastAsia="zh-CN" w:bidi="ar-SA"/>
              </w:rPr>
            </w:pPr>
            <w:r>
              <w:rPr>
                <w:rFonts w:hint="eastAsia" w:ascii="宋体" w:hAnsi="宋体" w:eastAsia="宋体" w:cs="宋体"/>
                <w:spacing w:val="-12"/>
                <w:sz w:val="24"/>
                <w:szCs w:val="22"/>
                <w:lang w:val="en-US" w:eastAsia="zh-CN" w:bidi="ar-SA"/>
              </w:rPr>
              <w:t>（3）供应商参加政府采购活动时，应当就自己的诚信情况在响应性文件中进行承诺。</w:t>
            </w:r>
          </w:p>
          <w:p>
            <w:pPr>
              <w:pStyle w:val="14"/>
              <w:keepNext w:val="0"/>
              <w:keepLines w:val="0"/>
              <w:widowControl/>
              <w:suppressLineNumbers w:val="0"/>
              <w:spacing w:before="75" w:beforeAutospacing="0" w:after="75" w:afterAutospacing="0" w:line="300" w:lineRule="atLeast"/>
              <w:ind w:right="0"/>
              <w:rPr>
                <w:rFonts w:hint="eastAsia" w:ascii="宋体" w:hAnsi="宋体" w:eastAsia="宋体" w:cs="宋体"/>
                <w:spacing w:val="-12"/>
                <w:sz w:val="24"/>
                <w:szCs w:val="22"/>
                <w:lang w:val="en-US" w:eastAsia="zh-CN" w:bidi="ar-SA"/>
              </w:rPr>
            </w:pPr>
            <w:r>
              <w:rPr>
                <w:rFonts w:hint="eastAsia" w:ascii="宋体" w:hAnsi="宋体" w:eastAsia="宋体" w:cs="宋体"/>
                <w:spacing w:val="-12"/>
                <w:sz w:val="24"/>
                <w:szCs w:val="22"/>
                <w:lang w:val="en-US" w:eastAsia="zh-CN" w:bidi="ar-SA"/>
              </w:rPr>
              <w:t>本项目不接受失信企业投标。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049" w:type="dxa"/>
            <w:gridSpan w:val="2"/>
            <w:vAlign w:val="top"/>
          </w:tcPr>
          <w:p>
            <w:pPr>
              <w:pStyle w:val="24"/>
              <w:spacing w:before="157"/>
              <w:ind w:left="137" w:right="130"/>
              <w:jc w:val="center"/>
              <w:rPr>
                <w:rFonts w:hint="eastAsia" w:eastAsia="宋体"/>
                <w:sz w:val="24"/>
                <w:lang w:eastAsia="zh-CN"/>
              </w:rPr>
            </w:pPr>
            <w:r>
              <w:rPr>
                <w:rFonts w:hint="eastAsia"/>
                <w:sz w:val="24"/>
                <w:lang w:val="en-US" w:eastAsia="zh-CN"/>
              </w:rPr>
              <w:t>4</w:t>
            </w:r>
          </w:p>
        </w:tc>
        <w:tc>
          <w:tcPr>
            <w:tcW w:w="1662" w:type="dxa"/>
            <w:vAlign w:val="top"/>
          </w:tcPr>
          <w:p>
            <w:pPr>
              <w:pStyle w:val="24"/>
              <w:spacing w:before="157"/>
              <w:ind w:left="132"/>
              <w:rPr>
                <w:sz w:val="24"/>
              </w:rPr>
            </w:pPr>
            <w:r>
              <w:rPr>
                <w:sz w:val="24"/>
              </w:rPr>
              <w:t>最高投标限价</w:t>
            </w:r>
          </w:p>
        </w:tc>
        <w:tc>
          <w:tcPr>
            <w:tcW w:w="7339" w:type="dxa"/>
            <w:vAlign w:val="top"/>
          </w:tcPr>
          <w:p>
            <w:pPr>
              <w:pStyle w:val="24"/>
              <w:spacing w:line="310" w:lineRule="atLeast"/>
              <w:ind w:left="107" w:right="233" w:rightChars="106"/>
              <w:jc w:val="left"/>
              <w:rPr>
                <w:sz w:val="24"/>
                <w:lang w:eastAsia="zh-CN"/>
              </w:rPr>
            </w:pPr>
            <w:r>
              <w:rPr>
                <w:spacing w:val="-1"/>
                <w:sz w:val="24"/>
                <w:lang w:eastAsia="zh-CN"/>
              </w:rPr>
              <w:t>本项目的预算价：</w:t>
            </w:r>
            <w:r>
              <w:rPr>
                <w:rFonts w:hint="eastAsia"/>
                <w:spacing w:val="-5"/>
                <w:sz w:val="24"/>
                <w:lang w:eastAsia="zh-CN"/>
              </w:rPr>
              <w:t>1500000元（大写：壹佰伍拾万元整）</w:t>
            </w:r>
            <w:r>
              <w:rPr>
                <w:spacing w:val="-6"/>
                <w:sz w:val="24"/>
                <w:lang w:eastAsia="zh-CN"/>
              </w:rPr>
              <w:t>，报价超过上限价</w:t>
            </w:r>
            <w:r>
              <w:rPr>
                <w:sz w:val="24"/>
                <w:lang w:eastAsia="zh-CN"/>
              </w:rPr>
              <w:t>（预算价</w:t>
            </w:r>
            <w:r>
              <w:rPr>
                <w:spacing w:val="-12"/>
                <w:sz w:val="24"/>
                <w:lang w:eastAsia="zh-CN"/>
              </w:rPr>
              <w:t>）</w:t>
            </w:r>
            <w:r>
              <w:rPr>
                <w:spacing w:val="-5"/>
                <w:sz w:val="24"/>
                <w:lang w:eastAsia="zh-CN"/>
              </w:rPr>
              <w:t>的其投</w:t>
            </w:r>
            <w:r>
              <w:rPr>
                <w:sz w:val="24"/>
                <w:lang w:eastAsia="zh-CN"/>
              </w:rPr>
              <w:t>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049" w:type="dxa"/>
            <w:gridSpan w:val="2"/>
            <w:vAlign w:val="top"/>
          </w:tcPr>
          <w:p>
            <w:pPr>
              <w:pStyle w:val="24"/>
              <w:spacing w:before="54"/>
              <w:ind w:left="137" w:right="130"/>
              <w:jc w:val="center"/>
              <w:rPr>
                <w:rFonts w:hint="eastAsia" w:eastAsia="宋体"/>
                <w:sz w:val="24"/>
                <w:lang w:eastAsia="zh-CN"/>
              </w:rPr>
            </w:pPr>
            <w:r>
              <w:rPr>
                <w:rFonts w:hint="eastAsia"/>
                <w:sz w:val="24"/>
                <w:lang w:val="en-US" w:eastAsia="zh-CN"/>
              </w:rPr>
              <w:t>5</w:t>
            </w:r>
          </w:p>
        </w:tc>
        <w:tc>
          <w:tcPr>
            <w:tcW w:w="1662" w:type="dxa"/>
            <w:vAlign w:val="top"/>
          </w:tcPr>
          <w:p>
            <w:pPr>
              <w:pStyle w:val="24"/>
              <w:spacing w:before="54"/>
              <w:ind w:left="108"/>
              <w:jc w:val="center"/>
              <w:rPr>
                <w:sz w:val="24"/>
              </w:rPr>
            </w:pPr>
            <w:r>
              <w:rPr>
                <w:sz w:val="24"/>
              </w:rPr>
              <w:t>磋商有效期</w:t>
            </w:r>
          </w:p>
        </w:tc>
        <w:tc>
          <w:tcPr>
            <w:tcW w:w="7339" w:type="dxa"/>
            <w:vAlign w:val="top"/>
          </w:tcPr>
          <w:p>
            <w:pPr>
              <w:pStyle w:val="24"/>
              <w:spacing w:before="54"/>
              <w:ind w:left="107" w:right="233" w:rightChars="106"/>
              <w:rPr>
                <w:sz w:val="24"/>
                <w:lang w:eastAsia="zh-CN"/>
              </w:rPr>
            </w:pPr>
            <w:r>
              <w:rPr>
                <w:spacing w:val="-8"/>
                <w:sz w:val="24"/>
                <w:lang w:eastAsia="zh-CN"/>
              </w:rPr>
              <w:t>磋商</w:t>
            </w:r>
            <w:r>
              <w:rPr>
                <w:spacing w:val="-8"/>
                <w:sz w:val="24"/>
                <w:highlight w:val="none"/>
                <w:lang w:eastAsia="zh-CN"/>
              </w:rPr>
              <w:t>时间开始起</w:t>
            </w:r>
            <w:r>
              <w:rPr>
                <w:rFonts w:hint="eastAsia"/>
                <w:spacing w:val="-8"/>
                <w:sz w:val="24"/>
                <w:highlight w:val="none"/>
                <w:lang w:val="en-US" w:eastAsia="zh-CN"/>
              </w:rPr>
              <w:t>90个</w:t>
            </w:r>
            <w:r>
              <w:rPr>
                <w:spacing w:val="-8"/>
                <w:sz w:val="24"/>
                <w:highlight w:val="none"/>
                <w:lang w:eastAsia="zh-CN"/>
              </w:rPr>
              <w:t>工作</w:t>
            </w:r>
            <w:r>
              <w:rPr>
                <w:spacing w:val="-8"/>
                <w:sz w:val="24"/>
                <w:lang w:eastAsia="zh-CN"/>
              </w:rPr>
              <w:t>日，有效期不足将导致其响应文件被拒绝。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049" w:type="dxa"/>
            <w:gridSpan w:val="2"/>
            <w:vAlign w:val="top"/>
          </w:tcPr>
          <w:p>
            <w:pPr>
              <w:pStyle w:val="24"/>
              <w:rPr>
                <w:rFonts w:ascii="Times New Roman"/>
                <w:sz w:val="24"/>
                <w:lang w:eastAsia="zh-CN"/>
              </w:rPr>
            </w:pPr>
          </w:p>
          <w:p>
            <w:pPr>
              <w:pStyle w:val="24"/>
              <w:rPr>
                <w:rFonts w:ascii="Times New Roman"/>
                <w:sz w:val="24"/>
                <w:lang w:eastAsia="zh-CN"/>
              </w:rPr>
            </w:pPr>
          </w:p>
          <w:p>
            <w:pPr>
              <w:pStyle w:val="24"/>
              <w:rPr>
                <w:rFonts w:ascii="Times New Roman"/>
                <w:sz w:val="24"/>
                <w:lang w:eastAsia="zh-CN"/>
              </w:rPr>
            </w:pPr>
          </w:p>
          <w:p>
            <w:pPr>
              <w:pStyle w:val="24"/>
              <w:spacing w:before="8"/>
              <w:rPr>
                <w:rFonts w:ascii="Times New Roman"/>
                <w:lang w:eastAsia="zh-CN"/>
              </w:rPr>
            </w:pPr>
          </w:p>
          <w:p>
            <w:pPr>
              <w:pStyle w:val="24"/>
              <w:ind w:left="137" w:right="130"/>
              <w:jc w:val="center"/>
              <w:rPr>
                <w:rFonts w:hint="eastAsia" w:eastAsia="宋体"/>
                <w:sz w:val="24"/>
                <w:lang w:eastAsia="zh-CN"/>
              </w:rPr>
            </w:pPr>
            <w:r>
              <w:rPr>
                <w:rFonts w:hint="eastAsia"/>
                <w:sz w:val="24"/>
                <w:lang w:val="en-US" w:eastAsia="zh-CN"/>
              </w:rPr>
              <w:t>6</w:t>
            </w:r>
          </w:p>
        </w:tc>
        <w:tc>
          <w:tcPr>
            <w:tcW w:w="1662" w:type="dxa"/>
            <w:vAlign w:val="top"/>
          </w:tcPr>
          <w:p>
            <w:pPr>
              <w:pStyle w:val="24"/>
              <w:rPr>
                <w:rFonts w:ascii="Times New Roman"/>
                <w:sz w:val="24"/>
              </w:rPr>
            </w:pPr>
          </w:p>
          <w:p>
            <w:pPr>
              <w:pStyle w:val="24"/>
              <w:rPr>
                <w:rFonts w:ascii="Times New Roman"/>
                <w:sz w:val="24"/>
              </w:rPr>
            </w:pPr>
          </w:p>
          <w:p>
            <w:pPr>
              <w:pStyle w:val="24"/>
              <w:rPr>
                <w:rFonts w:ascii="Times New Roman"/>
                <w:sz w:val="24"/>
              </w:rPr>
            </w:pPr>
          </w:p>
          <w:p>
            <w:pPr>
              <w:pStyle w:val="24"/>
              <w:spacing w:before="8"/>
              <w:rPr>
                <w:rFonts w:ascii="Times New Roman"/>
              </w:rPr>
            </w:pPr>
          </w:p>
          <w:p>
            <w:pPr>
              <w:pStyle w:val="24"/>
              <w:ind w:left="108"/>
              <w:jc w:val="center"/>
              <w:rPr>
                <w:sz w:val="24"/>
              </w:rPr>
            </w:pPr>
            <w:r>
              <w:rPr>
                <w:sz w:val="24"/>
              </w:rPr>
              <w:t>磋商保证金</w:t>
            </w:r>
          </w:p>
        </w:tc>
        <w:tc>
          <w:tcPr>
            <w:tcW w:w="7339" w:type="dxa"/>
            <w:vAlign w:val="top"/>
          </w:tcPr>
          <w:p>
            <w:pPr>
              <w:pStyle w:val="24"/>
              <w:spacing w:before="2" w:line="242" w:lineRule="auto"/>
              <w:ind w:left="107" w:right="233" w:rightChars="106"/>
              <w:jc w:val="both"/>
              <w:rPr>
                <w:b/>
                <w:spacing w:val="-10"/>
                <w:sz w:val="24"/>
                <w:lang w:eastAsia="zh-CN"/>
              </w:rPr>
            </w:pPr>
            <w:r>
              <w:rPr>
                <w:rFonts w:hint="eastAsia"/>
                <w:b/>
                <w:spacing w:val="-10"/>
                <w:sz w:val="24"/>
                <w:lang w:val="en-US" w:eastAsia="zh-CN"/>
              </w:rPr>
              <w:t>投标</w:t>
            </w:r>
            <w:r>
              <w:rPr>
                <w:rFonts w:hint="default"/>
                <w:b/>
                <w:spacing w:val="-10"/>
                <w:sz w:val="24"/>
                <w:lang w:val="en-US" w:eastAsia="zh-CN"/>
              </w:rPr>
              <w:t>保证金金额：</w:t>
            </w:r>
            <w:r>
              <w:rPr>
                <w:rFonts w:hint="eastAsia"/>
                <w:b/>
                <w:spacing w:val="-10"/>
                <w:sz w:val="24"/>
                <w:lang w:val="en-US" w:eastAsia="zh-CN"/>
              </w:rPr>
              <w:t>30</w:t>
            </w:r>
            <w:r>
              <w:rPr>
                <w:rFonts w:hint="default"/>
                <w:b/>
                <w:spacing w:val="-10"/>
                <w:sz w:val="24"/>
                <w:lang w:val="en-US" w:eastAsia="zh-CN"/>
              </w:rPr>
              <w:t>000元（</w:t>
            </w:r>
            <w:r>
              <w:rPr>
                <w:rFonts w:hint="eastAsia"/>
                <w:b/>
                <w:spacing w:val="-10"/>
                <w:sz w:val="24"/>
                <w:lang w:val="en-US" w:eastAsia="zh-CN"/>
              </w:rPr>
              <w:t>叁万</w:t>
            </w:r>
            <w:r>
              <w:rPr>
                <w:rFonts w:hint="default"/>
                <w:b/>
                <w:spacing w:val="-10"/>
                <w:sz w:val="24"/>
                <w:lang w:val="en-US" w:eastAsia="zh-CN"/>
              </w:rPr>
              <w:t>元整）</w:t>
            </w:r>
          </w:p>
          <w:p>
            <w:pPr>
              <w:pStyle w:val="24"/>
              <w:spacing w:before="2" w:line="242" w:lineRule="auto"/>
              <w:ind w:left="107" w:right="233" w:rightChars="106"/>
              <w:jc w:val="both"/>
              <w:rPr>
                <w:rFonts w:hint="eastAsia"/>
                <w:spacing w:val="-240"/>
                <w:sz w:val="24"/>
                <w:highlight w:val="none"/>
                <w:u w:val="single"/>
                <w:lang w:val="en-US" w:eastAsia="zh-CN"/>
              </w:rPr>
            </w:pPr>
            <w:r>
              <w:rPr>
                <w:b/>
                <w:spacing w:val="-10"/>
                <w:sz w:val="24"/>
                <w:lang w:eastAsia="zh-CN"/>
              </w:rPr>
              <w:t>缴纳的形式：</w:t>
            </w:r>
            <w:r>
              <w:rPr>
                <w:sz w:val="24"/>
                <w:lang w:eastAsia="zh-CN"/>
              </w:rPr>
              <w:t>供应商</w:t>
            </w:r>
            <w:r>
              <w:rPr>
                <w:spacing w:val="-12"/>
                <w:sz w:val="24"/>
                <w:u w:val="single"/>
                <w:lang w:eastAsia="zh-CN"/>
              </w:rPr>
              <w:t>应必</w:t>
            </w:r>
            <w:r>
              <w:rPr>
                <w:spacing w:val="-12"/>
                <w:sz w:val="24"/>
                <w:highlight w:val="none"/>
                <w:u w:val="single"/>
                <w:lang w:eastAsia="zh-CN"/>
              </w:rPr>
              <w:t xml:space="preserve">须在 </w:t>
            </w:r>
            <w:r>
              <w:rPr>
                <w:sz w:val="24"/>
                <w:highlight w:val="none"/>
                <w:u w:val="single"/>
                <w:lang w:eastAsia="zh-CN"/>
              </w:rPr>
              <w:t>202</w:t>
            </w:r>
            <w:r>
              <w:rPr>
                <w:rFonts w:hint="eastAsia"/>
                <w:sz w:val="24"/>
                <w:highlight w:val="none"/>
                <w:u w:val="single"/>
                <w:lang w:val="en-US" w:eastAsia="zh-CN"/>
              </w:rPr>
              <w:t>3</w:t>
            </w:r>
            <w:r>
              <w:rPr>
                <w:spacing w:val="-40"/>
                <w:sz w:val="24"/>
                <w:highlight w:val="none"/>
                <w:u w:val="single"/>
                <w:lang w:eastAsia="zh-CN"/>
              </w:rPr>
              <w:t>年</w:t>
            </w:r>
            <w:r>
              <w:rPr>
                <w:rFonts w:hint="eastAsia"/>
                <w:spacing w:val="-40"/>
                <w:sz w:val="24"/>
                <w:highlight w:val="none"/>
                <w:u w:val="single"/>
                <w:lang w:val="en-US" w:eastAsia="zh-CN"/>
              </w:rPr>
              <w:t xml:space="preserve"> </w:t>
            </w:r>
            <w:r>
              <w:rPr>
                <w:spacing w:val="-40"/>
                <w:sz w:val="24"/>
                <w:highlight w:val="none"/>
                <w:u w:val="single"/>
                <w:lang w:eastAsia="zh-CN"/>
              </w:rPr>
              <w:t xml:space="preserve"> </w:t>
            </w:r>
            <w:r>
              <w:rPr>
                <w:rFonts w:hint="eastAsia"/>
                <w:sz w:val="24"/>
                <w:highlight w:val="none"/>
                <w:u w:val="single"/>
                <w:lang w:val="en-US" w:eastAsia="zh-CN"/>
              </w:rPr>
              <w:t>05</w:t>
            </w:r>
            <w:r>
              <w:rPr>
                <w:rFonts w:hint="eastAsia"/>
                <w:sz w:val="24"/>
                <w:highlight w:val="none"/>
                <w:u w:val="single"/>
                <w:lang w:eastAsia="zh-CN"/>
              </w:rPr>
              <w:t>月</w:t>
            </w:r>
            <w:r>
              <w:rPr>
                <w:rFonts w:hint="eastAsia"/>
                <w:sz w:val="24"/>
                <w:highlight w:val="none"/>
                <w:u w:val="single"/>
                <w:lang w:val="en-US" w:eastAsia="zh-CN"/>
              </w:rPr>
              <w:t>30</w:t>
            </w:r>
            <w:r>
              <w:rPr>
                <w:spacing w:val="-18"/>
                <w:sz w:val="24"/>
                <w:highlight w:val="none"/>
                <w:u w:val="single"/>
                <w:lang w:eastAsia="zh-CN"/>
              </w:rPr>
              <w:t xml:space="preserve">日北京时间 </w:t>
            </w:r>
            <w:r>
              <w:rPr>
                <w:spacing w:val="-13"/>
                <w:sz w:val="24"/>
                <w:highlight w:val="none"/>
                <w:u w:val="single"/>
                <w:lang w:eastAsia="zh-CN"/>
              </w:rPr>
              <w:t>1</w:t>
            </w:r>
            <w:r>
              <w:rPr>
                <w:rFonts w:hint="eastAsia"/>
                <w:spacing w:val="-13"/>
                <w:sz w:val="24"/>
                <w:highlight w:val="none"/>
                <w:u w:val="single"/>
                <w:lang w:val="en-US" w:eastAsia="zh-CN"/>
              </w:rPr>
              <w:t>1</w:t>
            </w:r>
            <w:r>
              <w:rPr>
                <w:spacing w:val="-13"/>
                <w:sz w:val="24"/>
                <w:highlight w:val="none"/>
                <w:u w:val="single"/>
                <w:lang w:eastAsia="zh-CN"/>
              </w:rPr>
              <w:t>：00</w:t>
            </w:r>
            <w:r>
              <w:rPr>
                <w:spacing w:val="-20"/>
                <w:sz w:val="24"/>
                <w:highlight w:val="none"/>
                <w:u w:val="single"/>
                <w:lang w:eastAsia="zh-CN"/>
              </w:rPr>
              <w:t xml:space="preserve"> 前，</w:t>
            </w:r>
            <w:r>
              <w:rPr>
                <w:spacing w:val="-240"/>
                <w:sz w:val="24"/>
                <w:highlight w:val="none"/>
                <w:u w:val="single"/>
                <w:lang w:eastAsia="zh-CN"/>
              </w:rPr>
              <w:t>从</w:t>
            </w:r>
            <w:r>
              <w:rPr>
                <w:rFonts w:hint="eastAsia"/>
                <w:spacing w:val="-240"/>
                <w:sz w:val="24"/>
                <w:highlight w:val="none"/>
                <w:u w:val="single"/>
                <w:lang w:val="en-US" w:eastAsia="zh-CN"/>
              </w:rPr>
              <w:t xml:space="preserve">    </w:t>
            </w:r>
          </w:p>
          <w:p>
            <w:pPr>
              <w:pStyle w:val="24"/>
              <w:spacing w:before="2" w:line="242" w:lineRule="auto"/>
              <w:ind w:right="233" w:rightChars="106"/>
              <w:jc w:val="both"/>
              <w:rPr>
                <w:sz w:val="24"/>
                <w:lang w:eastAsia="zh-CN"/>
              </w:rPr>
            </w:pPr>
            <w:r>
              <w:rPr>
                <w:sz w:val="24"/>
                <w:u w:val="single"/>
                <w:lang w:eastAsia="zh-CN"/>
              </w:rPr>
              <w:t>其</w:t>
            </w:r>
            <w:r>
              <w:rPr>
                <w:rFonts w:ascii="宋体" w:hAnsi="宋体" w:eastAsia="宋体" w:cs="宋体"/>
                <w:spacing w:val="-17"/>
                <w:sz w:val="24"/>
                <w:u w:val="single"/>
                <w:lang w:eastAsia="zh-CN"/>
              </w:rPr>
              <w:t>基本账户转出提交至下述指定专用账户（并必须注明项目名称、用途，</w:t>
            </w:r>
            <w:r>
              <w:rPr>
                <w:spacing w:val="-17"/>
                <w:sz w:val="24"/>
                <w:u w:val="single"/>
                <w:lang w:eastAsia="zh-CN"/>
              </w:rPr>
              <w:t>且须与所报项目名称相一致，金额以磋商截止时间止到</w:t>
            </w:r>
            <w:r>
              <w:rPr>
                <w:rFonts w:hint="eastAsia"/>
                <w:spacing w:val="-17"/>
                <w:sz w:val="24"/>
                <w:u w:val="single"/>
                <w:lang w:val="en-US" w:eastAsia="zh-CN"/>
              </w:rPr>
              <w:t>账</w:t>
            </w:r>
            <w:r>
              <w:rPr>
                <w:spacing w:val="-17"/>
                <w:sz w:val="24"/>
                <w:u w:val="single"/>
                <w:lang w:eastAsia="zh-CN"/>
              </w:rPr>
              <w:t>为准，否则其缴纳的磋商保证金无效）</w:t>
            </w:r>
            <w:r>
              <w:rPr>
                <w:spacing w:val="-17"/>
                <w:sz w:val="24"/>
                <w:lang w:eastAsia="zh-CN"/>
              </w:rPr>
              <w:t>：</w:t>
            </w:r>
          </w:p>
          <w:p>
            <w:pPr>
              <w:pStyle w:val="24"/>
              <w:spacing w:before="2" w:line="242" w:lineRule="auto"/>
              <w:ind w:right="233" w:rightChars="106"/>
              <w:jc w:val="both"/>
              <w:rPr>
                <w:rFonts w:ascii="宋体" w:hAnsi="宋体" w:eastAsia="宋体" w:cs="宋体"/>
                <w:spacing w:val="-17"/>
                <w:sz w:val="24"/>
                <w:u w:val="single"/>
                <w:lang w:eastAsia="zh-CN"/>
              </w:rPr>
            </w:pPr>
            <w:r>
              <w:rPr>
                <w:sz w:val="24"/>
                <w:lang w:eastAsia="zh-CN"/>
              </w:rPr>
              <w:t>磋</w:t>
            </w:r>
            <w:r>
              <w:rPr>
                <w:rFonts w:ascii="宋体" w:hAnsi="宋体" w:eastAsia="宋体" w:cs="宋体"/>
                <w:spacing w:val="-17"/>
                <w:sz w:val="24"/>
                <w:u w:val="single"/>
                <w:lang w:eastAsia="zh-CN"/>
              </w:rPr>
              <w:t>商保证金金额：</w:t>
            </w:r>
            <w:r>
              <w:rPr>
                <w:rFonts w:hint="eastAsia" w:cs="宋体"/>
                <w:spacing w:val="-17"/>
                <w:sz w:val="24"/>
                <w:u w:val="single"/>
                <w:lang w:val="en-US" w:eastAsia="zh-CN"/>
              </w:rPr>
              <w:t>叁万</w:t>
            </w:r>
            <w:r>
              <w:rPr>
                <w:rFonts w:hint="eastAsia" w:ascii="宋体" w:hAnsi="宋体" w:eastAsia="宋体" w:cs="宋体"/>
                <w:spacing w:val="-17"/>
                <w:sz w:val="24"/>
                <w:u w:val="single"/>
                <w:lang w:eastAsia="zh-CN"/>
              </w:rPr>
              <w:t>元整</w:t>
            </w:r>
          </w:p>
          <w:p>
            <w:pPr>
              <w:pStyle w:val="24"/>
              <w:spacing w:before="2" w:line="242" w:lineRule="auto"/>
              <w:ind w:right="233" w:rightChars="106"/>
              <w:jc w:val="both"/>
              <w:rPr>
                <w:rFonts w:hint="eastAsia" w:ascii="宋体" w:hAnsi="宋体" w:eastAsia="宋体" w:cs="宋体"/>
                <w:spacing w:val="-17"/>
                <w:sz w:val="24"/>
                <w:u w:val="single"/>
                <w:lang w:eastAsia="zh-CN"/>
              </w:rPr>
            </w:pPr>
            <w:r>
              <w:rPr>
                <w:rFonts w:hint="eastAsia" w:ascii="宋体" w:hAnsi="宋体" w:eastAsia="宋体" w:cs="宋体"/>
                <w:spacing w:val="-17"/>
                <w:sz w:val="24"/>
                <w:u w:val="single"/>
                <w:lang w:eastAsia="zh-CN"/>
              </w:rPr>
              <w:t>开户名称：于田县行政服务和公共资源交易中心</w:t>
            </w:r>
          </w:p>
          <w:p>
            <w:pPr>
              <w:pStyle w:val="24"/>
              <w:spacing w:before="2" w:line="242" w:lineRule="auto"/>
              <w:ind w:right="233" w:rightChars="106"/>
              <w:jc w:val="both"/>
              <w:rPr>
                <w:rFonts w:hint="eastAsia" w:ascii="宋体" w:hAnsi="宋体" w:eastAsia="宋体" w:cs="宋体"/>
                <w:spacing w:val="-17"/>
                <w:sz w:val="24"/>
                <w:u w:val="single"/>
                <w:lang w:eastAsia="zh-CN"/>
              </w:rPr>
            </w:pPr>
            <w:r>
              <w:rPr>
                <w:rFonts w:hint="eastAsia" w:ascii="宋体" w:hAnsi="宋体" w:eastAsia="宋体" w:cs="宋体"/>
                <w:spacing w:val="-17"/>
                <w:sz w:val="24"/>
                <w:u w:val="single"/>
                <w:lang w:eastAsia="zh-CN"/>
              </w:rPr>
              <w:t>开户银行：中国农业银行股份有限公司于田县支行</w:t>
            </w:r>
          </w:p>
          <w:p>
            <w:pPr>
              <w:pStyle w:val="24"/>
              <w:spacing w:before="2" w:line="242" w:lineRule="auto"/>
              <w:ind w:right="233" w:rightChars="106"/>
              <w:jc w:val="both"/>
              <w:rPr>
                <w:sz w:val="24"/>
                <w:lang w:eastAsia="zh-CN"/>
              </w:rPr>
            </w:pPr>
            <w:r>
              <w:rPr>
                <w:rFonts w:hint="eastAsia" w:ascii="宋体" w:hAnsi="宋体" w:eastAsia="宋体" w:cs="宋体"/>
                <w:spacing w:val="-17"/>
                <w:sz w:val="24"/>
                <w:u w:val="single"/>
                <w:lang w:eastAsia="zh-CN"/>
              </w:rPr>
              <w:t>账号：30582101040040596。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049" w:type="dxa"/>
            <w:gridSpan w:val="2"/>
            <w:vAlign w:val="top"/>
          </w:tcPr>
          <w:p>
            <w:pPr>
              <w:pStyle w:val="24"/>
              <w:spacing w:before="55"/>
              <w:ind w:left="137" w:right="130"/>
              <w:jc w:val="center"/>
              <w:rPr>
                <w:sz w:val="24"/>
              </w:rPr>
            </w:pPr>
          </w:p>
          <w:p>
            <w:pPr>
              <w:pStyle w:val="24"/>
              <w:spacing w:before="55"/>
              <w:ind w:left="137" w:right="130"/>
              <w:jc w:val="center"/>
              <w:rPr>
                <w:rFonts w:hint="eastAsia"/>
                <w:sz w:val="24"/>
                <w:lang w:val="en-US" w:eastAsia="zh-CN"/>
              </w:rPr>
            </w:pPr>
          </w:p>
          <w:p>
            <w:pPr>
              <w:pStyle w:val="24"/>
              <w:spacing w:before="55"/>
              <w:ind w:left="137" w:right="130"/>
              <w:jc w:val="center"/>
              <w:rPr>
                <w:rFonts w:hint="eastAsia"/>
                <w:sz w:val="24"/>
                <w:lang w:val="en-US" w:eastAsia="zh-CN"/>
              </w:rPr>
            </w:pPr>
          </w:p>
          <w:p>
            <w:pPr>
              <w:pStyle w:val="24"/>
              <w:spacing w:before="55"/>
              <w:ind w:left="137" w:right="130"/>
              <w:jc w:val="center"/>
              <w:rPr>
                <w:rFonts w:hint="eastAsia"/>
                <w:sz w:val="24"/>
                <w:lang w:val="en-US" w:eastAsia="zh-CN"/>
              </w:rPr>
            </w:pPr>
          </w:p>
          <w:p>
            <w:pPr>
              <w:pStyle w:val="24"/>
              <w:spacing w:before="55"/>
              <w:ind w:left="137" w:right="130"/>
              <w:jc w:val="center"/>
              <w:rPr>
                <w:sz w:val="24"/>
              </w:rPr>
            </w:pPr>
            <w:r>
              <w:rPr>
                <w:rFonts w:hint="eastAsia"/>
                <w:sz w:val="24"/>
                <w:lang w:val="en-US" w:eastAsia="zh-CN"/>
              </w:rPr>
              <w:t>7</w:t>
            </w:r>
          </w:p>
          <w:p>
            <w:pPr>
              <w:pStyle w:val="24"/>
              <w:spacing w:before="55"/>
              <w:ind w:right="130"/>
              <w:jc w:val="center"/>
              <w:rPr>
                <w:rFonts w:hint="eastAsia" w:eastAsia="宋体"/>
                <w:sz w:val="24"/>
                <w:lang w:eastAsia="zh-CN"/>
              </w:rPr>
            </w:pPr>
          </w:p>
        </w:tc>
        <w:tc>
          <w:tcPr>
            <w:tcW w:w="1662" w:type="dxa"/>
            <w:vAlign w:val="top"/>
          </w:tcPr>
          <w:p>
            <w:pPr>
              <w:pStyle w:val="24"/>
              <w:spacing w:before="55"/>
              <w:ind w:left="108"/>
              <w:jc w:val="center"/>
              <w:rPr>
                <w:rFonts w:hint="eastAsia"/>
                <w:sz w:val="24"/>
                <w:lang w:val="en-US" w:eastAsia="zh-CN"/>
              </w:rPr>
            </w:pPr>
          </w:p>
          <w:p>
            <w:pPr>
              <w:pStyle w:val="24"/>
              <w:spacing w:before="55"/>
              <w:ind w:left="108"/>
              <w:jc w:val="center"/>
              <w:rPr>
                <w:rFonts w:hint="eastAsia"/>
                <w:sz w:val="24"/>
                <w:lang w:val="en-US" w:eastAsia="zh-CN"/>
              </w:rPr>
            </w:pPr>
          </w:p>
          <w:p>
            <w:pPr>
              <w:pStyle w:val="24"/>
              <w:spacing w:before="55"/>
              <w:ind w:left="108"/>
              <w:jc w:val="center"/>
              <w:rPr>
                <w:rFonts w:hint="eastAsia"/>
                <w:sz w:val="24"/>
                <w:lang w:val="en-US" w:eastAsia="zh-CN"/>
              </w:rPr>
            </w:pPr>
          </w:p>
          <w:p>
            <w:pPr>
              <w:pStyle w:val="24"/>
              <w:spacing w:before="55"/>
              <w:ind w:left="108"/>
              <w:jc w:val="center"/>
              <w:rPr>
                <w:rFonts w:hint="eastAsia"/>
                <w:sz w:val="24"/>
                <w:lang w:val="en-US" w:eastAsia="zh-CN"/>
              </w:rPr>
            </w:pPr>
          </w:p>
          <w:p>
            <w:pPr>
              <w:pStyle w:val="24"/>
              <w:spacing w:before="55"/>
              <w:ind w:left="108"/>
              <w:jc w:val="center"/>
              <w:rPr>
                <w:rFonts w:hint="eastAsia"/>
                <w:sz w:val="24"/>
                <w:lang w:val="en-US" w:eastAsia="zh-CN"/>
              </w:rPr>
            </w:pPr>
            <w:r>
              <w:rPr>
                <w:rFonts w:hint="eastAsia"/>
                <w:sz w:val="24"/>
                <w:lang w:val="en-US" w:eastAsia="zh-CN"/>
              </w:rPr>
              <w:t>标前准备</w:t>
            </w:r>
          </w:p>
          <w:p>
            <w:pPr>
              <w:pStyle w:val="24"/>
              <w:spacing w:before="55"/>
              <w:ind w:left="108"/>
              <w:jc w:val="center"/>
              <w:rPr>
                <w:rFonts w:hint="eastAsia"/>
                <w:sz w:val="24"/>
                <w:lang w:val="en-US" w:eastAsia="zh-CN"/>
              </w:rPr>
            </w:pPr>
          </w:p>
          <w:p>
            <w:pPr>
              <w:pStyle w:val="24"/>
              <w:spacing w:before="55"/>
              <w:ind w:left="108"/>
              <w:jc w:val="center"/>
              <w:rPr>
                <w:rFonts w:hint="eastAsia"/>
                <w:sz w:val="24"/>
                <w:lang w:val="en-US" w:eastAsia="zh-CN"/>
              </w:rPr>
            </w:pPr>
          </w:p>
          <w:p>
            <w:pPr>
              <w:pStyle w:val="24"/>
              <w:spacing w:before="55"/>
              <w:jc w:val="center"/>
              <w:rPr>
                <w:rFonts w:hint="default" w:eastAsia="宋体"/>
                <w:sz w:val="24"/>
                <w:lang w:val="en-US" w:eastAsia="zh-CN"/>
              </w:rPr>
            </w:pPr>
          </w:p>
        </w:tc>
        <w:tc>
          <w:tcPr>
            <w:tcW w:w="7339" w:type="dxa"/>
            <w:vAlign w:val="top"/>
          </w:tcPr>
          <w:p>
            <w:pPr>
              <w:pStyle w:val="24"/>
              <w:spacing w:before="55"/>
              <w:ind w:left="107"/>
              <w:rPr>
                <w:sz w:val="24"/>
                <w:lang w:eastAsia="zh-CN"/>
              </w:rPr>
            </w:pPr>
            <w:r>
              <w:rPr>
                <w:rFonts w:hint="eastAsia"/>
                <w:sz w:val="24"/>
                <w:lang w:eastAsia="zh-CN"/>
              </w:rPr>
              <w:t>1、本项目实行网上投标，采用电子响应文件。若供应商参与投标，自行承担投标一切费用。2、各供应商应在开标前应确保成为新疆维吾尔 自治区政府采购网正式注册入库供应商，并完成 CA 数字证书申领。因 未注册入库、未办理 CA 数字证书等原因造成无法投标或投标失败等后 果由供应商自行承担。3、本项目为电子招投标，投标人需要使用 CA 加 密设备，有意向参与新疆区域电子开评标的供应商，请访问新疆数字证 书认证中心官方网站（https://www.xjca.com.cn/）或下载新疆政务通;APP自行进行申领。如需咨询，请联系新疆</w:t>
            </w:r>
            <w:r>
              <w:rPr>
                <w:rFonts w:hint="eastAsia"/>
                <w:sz w:val="24"/>
                <w:lang w:val="en-US" w:eastAsia="zh-CN"/>
              </w:rPr>
              <w:t xml:space="preserve"> </w:t>
            </w:r>
            <w:r>
              <w:rPr>
                <w:rFonts w:hint="eastAsia"/>
                <w:sz w:val="24"/>
                <w:lang w:eastAsia="zh-CN"/>
              </w:rPr>
              <w:t>CA</w:t>
            </w:r>
            <w:r>
              <w:rPr>
                <w:rFonts w:hint="eastAsia"/>
                <w:sz w:val="24"/>
                <w:lang w:val="en-US" w:eastAsia="zh-CN"/>
              </w:rPr>
              <w:t xml:space="preserve"> </w:t>
            </w:r>
            <w:r>
              <w:rPr>
                <w:rFonts w:hint="eastAsia"/>
                <w:sz w:val="24"/>
                <w:lang w:eastAsia="zh-CN"/>
              </w:rPr>
              <w:t xml:space="preserve">服务热线 0991-28192904、供应商将政采云电子交易客户端下载、安装完成后，可通过账号密码或 CA 登录客户端进行响应文件制作。在使用政采云投标客户端时，建议使用 WIN7 及以上操作系统。客户端请至新疆政府采购网（https://www.zcygov.cn/）下载专区查看，如有问题可拨打政采云客户服务热线 </w:t>
            </w:r>
            <w:r>
              <w:rPr>
                <w:rFonts w:hint="eastAsia"/>
                <w:sz w:val="24"/>
                <w:lang w:val="en-US" w:eastAsia="zh-CN"/>
              </w:rPr>
              <w:t>95763</w:t>
            </w:r>
            <w:r>
              <w:rPr>
                <w:rFonts w:hint="eastAsia"/>
                <w:sz w:val="24"/>
                <w:lang w:eastAsia="zh-CN"/>
              </w:rPr>
              <w:t>行咨询。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049" w:type="dxa"/>
            <w:gridSpan w:val="2"/>
            <w:vAlign w:val="top"/>
          </w:tcPr>
          <w:p>
            <w:pPr>
              <w:pStyle w:val="24"/>
              <w:spacing w:before="157"/>
              <w:ind w:left="137" w:right="130"/>
              <w:jc w:val="center"/>
              <w:rPr>
                <w:sz w:val="24"/>
              </w:rPr>
            </w:pPr>
          </w:p>
          <w:p>
            <w:pPr>
              <w:pStyle w:val="24"/>
              <w:spacing w:before="157"/>
              <w:ind w:left="137" w:right="130"/>
              <w:jc w:val="center"/>
              <w:rPr>
                <w:sz w:val="24"/>
              </w:rPr>
            </w:pPr>
          </w:p>
          <w:p>
            <w:pPr>
              <w:pStyle w:val="24"/>
              <w:spacing w:before="157"/>
              <w:ind w:left="137" w:right="130"/>
              <w:jc w:val="center"/>
              <w:rPr>
                <w:sz w:val="24"/>
              </w:rPr>
            </w:pPr>
          </w:p>
          <w:p>
            <w:pPr>
              <w:pStyle w:val="24"/>
              <w:spacing w:before="157"/>
              <w:ind w:right="130"/>
              <w:jc w:val="center"/>
              <w:rPr>
                <w:rFonts w:hint="eastAsia" w:eastAsia="宋体"/>
                <w:sz w:val="24"/>
                <w:lang w:eastAsia="zh-CN"/>
              </w:rPr>
            </w:pPr>
            <w:r>
              <w:rPr>
                <w:rFonts w:hint="eastAsia"/>
                <w:sz w:val="24"/>
                <w:lang w:val="en-US" w:eastAsia="zh-CN"/>
              </w:rPr>
              <w:t>8</w:t>
            </w:r>
          </w:p>
        </w:tc>
        <w:tc>
          <w:tcPr>
            <w:tcW w:w="1662" w:type="dxa"/>
            <w:vAlign w:val="top"/>
          </w:tcPr>
          <w:p>
            <w:pPr>
              <w:pStyle w:val="24"/>
              <w:spacing w:line="310" w:lineRule="atLeast"/>
              <w:ind w:right="146"/>
              <w:jc w:val="center"/>
              <w:rPr>
                <w:sz w:val="24"/>
              </w:rPr>
            </w:pPr>
          </w:p>
          <w:p>
            <w:pPr>
              <w:pStyle w:val="24"/>
              <w:spacing w:line="310" w:lineRule="atLeast"/>
              <w:ind w:right="146"/>
              <w:jc w:val="center"/>
              <w:rPr>
                <w:sz w:val="24"/>
              </w:rPr>
            </w:pPr>
          </w:p>
          <w:p>
            <w:pPr>
              <w:pStyle w:val="24"/>
              <w:spacing w:line="310" w:lineRule="atLeast"/>
              <w:ind w:right="146"/>
              <w:jc w:val="center"/>
              <w:rPr>
                <w:sz w:val="24"/>
              </w:rPr>
            </w:pPr>
          </w:p>
          <w:p>
            <w:pPr>
              <w:pStyle w:val="24"/>
              <w:spacing w:line="310" w:lineRule="atLeast"/>
              <w:ind w:right="146"/>
              <w:jc w:val="center"/>
              <w:rPr>
                <w:sz w:val="24"/>
              </w:rPr>
            </w:pPr>
          </w:p>
          <w:p>
            <w:pPr>
              <w:pStyle w:val="24"/>
              <w:spacing w:line="310" w:lineRule="atLeast"/>
              <w:ind w:right="146"/>
              <w:jc w:val="center"/>
              <w:rPr>
                <w:rFonts w:hint="eastAsia"/>
                <w:sz w:val="24"/>
                <w:lang w:val="en-US" w:eastAsia="zh-CN"/>
              </w:rPr>
            </w:pPr>
          </w:p>
          <w:p>
            <w:pPr>
              <w:pStyle w:val="24"/>
              <w:spacing w:line="310" w:lineRule="atLeast"/>
              <w:ind w:right="146"/>
              <w:jc w:val="center"/>
              <w:rPr>
                <w:rFonts w:hint="eastAsia" w:eastAsia="宋体"/>
                <w:sz w:val="24"/>
                <w:lang w:eastAsia="zh-CN"/>
              </w:rPr>
            </w:pPr>
            <w:r>
              <w:rPr>
                <w:rFonts w:hint="eastAsia"/>
                <w:sz w:val="24"/>
                <w:lang w:val="en-US" w:eastAsia="zh-CN"/>
              </w:rPr>
              <w:t>响应文件</w:t>
            </w:r>
            <w:r>
              <w:rPr>
                <w:sz w:val="24"/>
              </w:rPr>
              <w:t>递交</w:t>
            </w:r>
            <w:r>
              <w:rPr>
                <w:rFonts w:hint="eastAsia"/>
                <w:sz w:val="24"/>
                <w:lang w:val="en-US" w:eastAsia="zh-CN"/>
              </w:rPr>
              <w:t>时间及地点</w:t>
            </w:r>
          </w:p>
        </w:tc>
        <w:tc>
          <w:tcPr>
            <w:tcW w:w="7339" w:type="dxa"/>
            <w:vAlign w:val="top"/>
          </w:tcPr>
          <w:p>
            <w:pPr>
              <w:pStyle w:val="30"/>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both"/>
              <w:textAlignment w:val="auto"/>
              <w:rPr>
                <w:rFonts w:hint="eastAsia" w:ascii="宋体" w:hAnsi="宋体" w:eastAsia="宋体" w:cs="宋体"/>
                <w:sz w:val="24"/>
                <w:szCs w:val="22"/>
                <w:highlight w:val="none"/>
                <w:lang w:val="zh-CN" w:eastAsia="zh-CN" w:bidi="ar-SA"/>
              </w:rPr>
            </w:pPr>
            <w:r>
              <w:rPr>
                <w:rFonts w:hint="eastAsia"/>
                <w:sz w:val="24"/>
                <w:lang w:val="en-US" w:eastAsia="zh-CN"/>
              </w:rPr>
              <w:t>响应文件</w:t>
            </w:r>
            <w:r>
              <w:rPr>
                <w:rFonts w:hint="eastAsia" w:ascii="宋体" w:hAnsi="宋体" w:eastAsia="宋体" w:cs="宋体"/>
                <w:sz w:val="24"/>
                <w:szCs w:val="22"/>
                <w:lang w:val="zh-CN" w:eastAsia="zh-CN" w:bidi="ar-SA"/>
              </w:rPr>
              <w:t>递交时</w:t>
            </w:r>
            <w:r>
              <w:rPr>
                <w:rFonts w:hint="eastAsia" w:ascii="宋体" w:hAnsi="宋体" w:eastAsia="宋体" w:cs="宋体"/>
                <w:sz w:val="24"/>
                <w:szCs w:val="22"/>
                <w:highlight w:val="none"/>
                <w:lang w:val="zh-CN" w:eastAsia="zh-CN" w:bidi="ar-SA"/>
              </w:rPr>
              <w:t>间：</w:t>
            </w:r>
            <w:r>
              <w:rPr>
                <w:rFonts w:hint="eastAsia"/>
                <w:spacing w:val="-5"/>
                <w:sz w:val="24"/>
                <w:szCs w:val="24"/>
                <w:highlight w:val="none"/>
                <w:lang w:eastAsia="zh-CN"/>
              </w:rPr>
              <w:t>2023年05月30日</w:t>
            </w:r>
            <w:r>
              <w:rPr>
                <w:rFonts w:hint="eastAsia" w:ascii="宋体" w:hAnsi="宋体" w:eastAsia="宋体" w:cs="宋体"/>
                <w:sz w:val="24"/>
                <w:szCs w:val="22"/>
                <w:highlight w:val="none"/>
                <w:lang w:val="en-US" w:eastAsia="zh-CN" w:bidi="ar-SA"/>
              </w:rPr>
              <w:t xml:space="preserve"> 11:00（北京时间）</w:t>
            </w:r>
          </w:p>
          <w:p>
            <w:pPr>
              <w:pStyle w:val="30"/>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both"/>
              <w:textAlignment w:val="auto"/>
              <w:rPr>
                <w:rFonts w:hint="eastAsia" w:ascii="宋体" w:hAnsi="宋体" w:eastAsia="宋体" w:cs="宋体"/>
                <w:sz w:val="24"/>
                <w:szCs w:val="22"/>
                <w:lang w:val="zh-CN" w:eastAsia="zh-CN" w:bidi="ar-SA"/>
              </w:rPr>
            </w:pPr>
            <w:r>
              <w:rPr>
                <w:rFonts w:hint="eastAsia"/>
                <w:sz w:val="24"/>
                <w:highlight w:val="none"/>
                <w:lang w:val="en-US" w:eastAsia="zh-CN"/>
              </w:rPr>
              <w:t>响应文件</w:t>
            </w:r>
            <w:r>
              <w:rPr>
                <w:rFonts w:hint="eastAsia" w:ascii="宋体" w:hAnsi="宋体" w:eastAsia="宋体" w:cs="宋体"/>
                <w:sz w:val="24"/>
                <w:szCs w:val="22"/>
                <w:highlight w:val="none"/>
                <w:lang w:val="zh-CN" w:eastAsia="zh-CN" w:bidi="ar-SA"/>
              </w:rPr>
              <w:t>递交地点：投标人应于</w:t>
            </w:r>
            <w:r>
              <w:rPr>
                <w:rFonts w:hint="eastAsia"/>
                <w:spacing w:val="-5"/>
                <w:sz w:val="24"/>
                <w:szCs w:val="24"/>
                <w:highlight w:val="none"/>
                <w:lang w:eastAsia="zh-CN"/>
              </w:rPr>
              <w:t>2023年05月30日</w:t>
            </w:r>
            <w:r>
              <w:rPr>
                <w:rFonts w:hint="eastAsia" w:ascii="宋体" w:hAnsi="宋体" w:eastAsia="宋体" w:cs="宋体"/>
                <w:sz w:val="24"/>
                <w:szCs w:val="22"/>
                <w:highlight w:val="none"/>
                <w:lang w:val="zh-CN" w:eastAsia="zh-CN" w:bidi="ar-SA"/>
              </w:rPr>
              <w:t>11：00之前将电子</w:t>
            </w:r>
            <w:r>
              <w:rPr>
                <w:rFonts w:hint="eastAsia"/>
                <w:sz w:val="24"/>
                <w:highlight w:val="none"/>
                <w:lang w:val="en-US" w:eastAsia="zh-CN"/>
              </w:rPr>
              <w:t>响应文件</w:t>
            </w:r>
            <w:r>
              <w:rPr>
                <w:rFonts w:hint="eastAsia" w:ascii="宋体" w:hAnsi="宋体" w:eastAsia="宋体" w:cs="宋体"/>
                <w:sz w:val="24"/>
                <w:szCs w:val="22"/>
                <w:highlight w:val="none"/>
                <w:lang w:val="zh-CN" w:eastAsia="zh-CN" w:bidi="ar-SA"/>
              </w:rPr>
              <w:t>上传到“政采云”平台。应按照本项目</w:t>
            </w:r>
            <w:r>
              <w:rPr>
                <w:rFonts w:hint="eastAsia" w:hAnsi="宋体" w:cs="宋体"/>
                <w:sz w:val="24"/>
                <w:szCs w:val="22"/>
                <w:highlight w:val="none"/>
                <w:lang w:val="zh-CN" w:eastAsia="zh-CN" w:bidi="ar-SA"/>
              </w:rPr>
              <w:t>磋商文件</w:t>
            </w:r>
            <w:r>
              <w:rPr>
                <w:rFonts w:hint="eastAsia" w:ascii="宋体" w:hAnsi="宋体" w:eastAsia="宋体" w:cs="宋体"/>
                <w:sz w:val="24"/>
                <w:szCs w:val="22"/>
                <w:highlight w:val="none"/>
                <w:lang w:val="zh-CN" w:eastAsia="zh-CN" w:bidi="ar-SA"/>
              </w:rPr>
              <w:t>和政采云的要求编制、加密传输</w:t>
            </w:r>
            <w:r>
              <w:rPr>
                <w:rFonts w:hint="eastAsia" w:hAnsi="宋体" w:cs="宋体"/>
                <w:sz w:val="24"/>
                <w:szCs w:val="22"/>
                <w:highlight w:val="none"/>
                <w:lang w:val="zh-CN" w:eastAsia="zh-CN" w:bidi="ar-SA"/>
              </w:rPr>
              <w:t>响应文件</w:t>
            </w:r>
            <w:r>
              <w:rPr>
                <w:rFonts w:hint="eastAsia" w:ascii="宋体" w:hAnsi="宋体" w:eastAsia="宋体" w:cs="宋体"/>
                <w:sz w:val="24"/>
                <w:szCs w:val="22"/>
                <w:highlight w:val="none"/>
                <w:lang w:val="zh-CN" w:eastAsia="zh-CN" w:bidi="ar-SA"/>
              </w:rPr>
              <w:t>。供应商在使用系统进行投标</w:t>
            </w:r>
            <w:r>
              <w:rPr>
                <w:rFonts w:hint="eastAsia" w:ascii="宋体" w:hAnsi="宋体" w:eastAsia="宋体" w:cs="宋体"/>
                <w:sz w:val="24"/>
                <w:szCs w:val="22"/>
                <w:lang w:val="zh-CN" w:eastAsia="zh-CN" w:bidi="ar-SA"/>
              </w:rPr>
              <w:t>的过程中遇到涉及平台使用的任何问题，可致电政采云平台技术支持热线咨询，联系方式：95763</w:t>
            </w:r>
          </w:p>
          <w:p>
            <w:pPr>
              <w:pStyle w:val="30"/>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both"/>
              <w:textAlignment w:val="auto"/>
              <w:rPr>
                <w:rFonts w:hint="eastAsia"/>
                <w:sz w:val="24"/>
                <w:lang w:val="zh-CN" w:eastAsia="zh-CN"/>
              </w:rPr>
            </w:pPr>
            <w:r>
              <w:rPr>
                <w:rFonts w:hint="eastAsia" w:ascii="宋体" w:hAnsi="宋体" w:eastAsia="宋体" w:cs="宋体"/>
                <w:sz w:val="24"/>
                <w:szCs w:val="22"/>
                <w:lang w:val="zh-CN" w:eastAsia="zh-CN" w:bidi="ar-SA"/>
              </w:rPr>
              <w:t>开标结束后 5 日内，将</w:t>
            </w:r>
            <w:r>
              <w:rPr>
                <w:rFonts w:hint="eastAsia" w:hAnsi="宋体" w:cs="宋体"/>
                <w:sz w:val="24"/>
                <w:szCs w:val="22"/>
                <w:lang w:val="zh-CN" w:eastAsia="zh-CN" w:bidi="ar-SA"/>
              </w:rPr>
              <w:t>响应文件</w:t>
            </w:r>
            <w:r>
              <w:rPr>
                <w:rFonts w:hint="eastAsia" w:ascii="宋体" w:hAnsi="宋体" w:eastAsia="宋体" w:cs="宋体"/>
                <w:sz w:val="24"/>
                <w:szCs w:val="22"/>
                <w:lang w:val="zh-CN" w:eastAsia="zh-CN" w:bidi="ar-SA"/>
              </w:rPr>
              <w:t>纸质版递交至招标代理处。未递交产生的后果由投标人自行承担。（纸质版</w:t>
            </w:r>
            <w:r>
              <w:rPr>
                <w:rFonts w:hint="eastAsia" w:hAnsi="宋体" w:cs="宋体"/>
                <w:sz w:val="24"/>
                <w:szCs w:val="22"/>
                <w:lang w:val="zh-CN" w:eastAsia="zh-CN" w:bidi="ar-SA"/>
              </w:rPr>
              <w:t>响应文件</w:t>
            </w:r>
            <w:r>
              <w:rPr>
                <w:rFonts w:hint="eastAsia" w:ascii="宋体" w:hAnsi="宋体" w:eastAsia="宋体" w:cs="宋体"/>
                <w:sz w:val="24"/>
                <w:szCs w:val="22"/>
                <w:lang w:val="zh-CN" w:eastAsia="zh-CN" w:bidi="ar-SA"/>
              </w:rPr>
              <w:t>由系统生成打印，无需区分正副本，无需加盖公章）纸质版</w:t>
            </w:r>
            <w:r>
              <w:rPr>
                <w:rFonts w:hint="eastAsia" w:hAnsi="宋体" w:cs="宋体"/>
                <w:sz w:val="24"/>
                <w:szCs w:val="22"/>
                <w:lang w:val="zh-CN" w:eastAsia="zh-CN" w:bidi="ar-SA"/>
              </w:rPr>
              <w:t>响应文件</w:t>
            </w:r>
            <w:r>
              <w:rPr>
                <w:rFonts w:hint="eastAsia" w:ascii="宋体" w:hAnsi="宋体" w:eastAsia="宋体" w:cs="宋体"/>
                <w:sz w:val="24"/>
                <w:szCs w:val="22"/>
                <w:lang w:val="zh-CN" w:eastAsia="zh-CN" w:bidi="ar-SA"/>
              </w:rPr>
              <w:t>3份、电子版光盘 2份、U 盘 1 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049" w:type="dxa"/>
            <w:gridSpan w:val="2"/>
            <w:vAlign w:val="top"/>
          </w:tcPr>
          <w:p>
            <w:pPr>
              <w:pStyle w:val="24"/>
              <w:spacing w:before="155"/>
              <w:ind w:left="137" w:right="130"/>
              <w:jc w:val="center"/>
              <w:rPr>
                <w:rFonts w:hint="eastAsia"/>
                <w:sz w:val="24"/>
                <w:lang w:val="en-US" w:eastAsia="zh-CN"/>
              </w:rPr>
            </w:pPr>
          </w:p>
          <w:p>
            <w:pPr>
              <w:pStyle w:val="24"/>
              <w:spacing w:before="155"/>
              <w:ind w:left="137" w:right="130"/>
              <w:jc w:val="center"/>
              <w:rPr>
                <w:rFonts w:hint="eastAsia"/>
                <w:sz w:val="24"/>
                <w:lang w:val="en-US" w:eastAsia="zh-CN"/>
              </w:rPr>
            </w:pPr>
          </w:p>
          <w:p>
            <w:pPr>
              <w:pStyle w:val="24"/>
              <w:spacing w:before="155"/>
              <w:ind w:left="137" w:right="130"/>
              <w:jc w:val="center"/>
              <w:rPr>
                <w:rFonts w:hint="default" w:eastAsia="宋体"/>
                <w:sz w:val="24"/>
                <w:lang w:val="en-US" w:eastAsia="zh-CN"/>
              </w:rPr>
            </w:pPr>
            <w:r>
              <w:rPr>
                <w:rFonts w:hint="eastAsia"/>
                <w:sz w:val="24"/>
                <w:lang w:val="en-US" w:eastAsia="zh-CN"/>
              </w:rPr>
              <w:t>9</w:t>
            </w:r>
          </w:p>
        </w:tc>
        <w:tc>
          <w:tcPr>
            <w:tcW w:w="1662" w:type="dxa"/>
            <w:vAlign w:val="top"/>
          </w:tcPr>
          <w:p>
            <w:pPr>
              <w:pStyle w:val="24"/>
              <w:spacing w:before="155"/>
              <w:ind w:left="108"/>
              <w:rPr>
                <w:rFonts w:hint="eastAsia"/>
                <w:sz w:val="24"/>
                <w:lang w:val="en-US" w:eastAsia="zh-CN"/>
              </w:rPr>
            </w:pPr>
          </w:p>
          <w:p>
            <w:pPr>
              <w:pStyle w:val="24"/>
              <w:spacing w:before="155"/>
              <w:rPr>
                <w:rFonts w:hint="eastAsia"/>
                <w:sz w:val="24"/>
                <w:lang w:val="en-US" w:eastAsia="zh-CN"/>
              </w:rPr>
            </w:pPr>
          </w:p>
          <w:p>
            <w:pPr>
              <w:pStyle w:val="24"/>
              <w:spacing w:before="155"/>
              <w:ind w:left="108"/>
              <w:jc w:val="center"/>
              <w:rPr>
                <w:sz w:val="24"/>
              </w:rPr>
            </w:pPr>
            <w:r>
              <w:rPr>
                <w:rFonts w:hint="eastAsia"/>
                <w:sz w:val="24"/>
                <w:lang w:val="en-US" w:eastAsia="zh-CN"/>
              </w:rPr>
              <w:t>响应文件解密时间</w:t>
            </w:r>
          </w:p>
        </w:tc>
        <w:tc>
          <w:tcPr>
            <w:tcW w:w="7339" w:type="dxa"/>
            <w:vAlign w:val="top"/>
          </w:tcPr>
          <w:p>
            <w:pPr>
              <w:pStyle w:val="30"/>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both"/>
              <w:textAlignment w:val="auto"/>
              <w:rPr>
                <w:rFonts w:hint="eastAsia" w:ascii="宋体" w:hAnsi="宋体" w:eastAsia="宋体" w:cs="宋体"/>
                <w:sz w:val="24"/>
                <w:szCs w:val="22"/>
                <w:lang w:val="en-US" w:eastAsia="zh-CN" w:bidi="ar-SA"/>
              </w:rPr>
            </w:pPr>
            <w:r>
              <w:rPr>
                <w:rFonts w:hint="eastAsia" w:ascii="宋体" w:hAnsi="宋体" w:eastAsia="宋体" w:cs="宋体"/>
                <w:sz w:val="24"/>
                <w:szCs w:val="22"/>
                <w:lang w:val="en-US" w:eastAsia="zh-CN" w:bidi="ar-SA"/>
              </w:rPr>
              <w:t>1、投标截止时间后，供应商应及时登录“政采云”平台，用“项目采购-开标评标”功能对</w:t>
            </w:r>
            <w:r>
              <w:rPr>
                <w:rFonts w:hint="eastAsia" w:hAnsi="宋体" w:cs="宋体"/>
                <w:sz w:val="24"/>
                <w:szCs w:val="22"/>
                <w:lang w:val="en-US" w:eastAsia="zh-CN" w:bidi="ar-SA"/>
              </w:rPr>
              <w:t>响应文件</w:t>
            </w:r>
            <w:r>
              <w:rPr>
                <w:rFonts w:hint="eastAsia" w:ascii="宋体" w:hAnsi="宋体" w:eastAsia="宋体" w:cs="宋体"/>
                <w:sz w:val="24"/>
                <w:szCs w:val="22"/>
                <w:lang w:val="en-US" w:eastAsia="zh-CN" w:bidi="ar-SA"/>
              </w:rPr>
              <w:t>进行解密。规定的解密时限为：</w:t>
            </w:r>
            <w:r>
              <w:rPr>
                <w:rFonts w:hint="eastAsia"/>
                <w:spacing w:val="-5"/>
                <w:sz w:val="24"/>
                <w:szCs w:val="24"/>
                <w:highlight w:val="none"/>
                <w:lang w:eastAsia="zh-CN"/>
              </w:rPr>
              <w:t>2023年05月30日</w:t>
            </w:r>
            <w:r>
              <w:rPr>
                <w:rFonts w:hint="eastAsia" w:ascii="宋体" w:hAnsi="宋体" w:eastAsia="宋体" w:cs="宋体"/>
                <w:sz w:val="24"/>
                <w:szCs w:val="22"/>
                <w:highlight w:val="none"/>
                <w:lang w:val="en-US" w:eastAsia="zh-CN" w:bidi="ar-SA"/>
              </w:rPr>
              <w:t>11：00-11：30前（30分钟内），若供应商在规定时间内（</w:t>
            </w:r>
            <w:r>
              <w:rPr>
                <w:rFonts w:hint="eastAsia"/>
                <w:spacing w:val="-5"/>
                <w:sz w:val="24"/>
                <w:szCs w:val="24"/>
                <w:highlight w:val="none"/>
                <w:lang w:eastAsia="zh-CN"/>
              </w:rPr>
              <w:t>2023年05月30日</w:t>
            </w:r>
            <w:r>
              <w:rPr>
                <w:rFonts w:hint="eastAsia" w:ascii="宋体" w:hAnsi="宋体" w:eastAsia="宋体" w:cs="宋体"/>
                <w:sz w:val="24"/>
                <w:szCs w:val="22"/>
                <w:lang w:val="en-US" w:eastAsia="zh-CN" w:bidi="ar-SA"/>
              </w:rPr>
              <w:t>11：00-11：30前）未能解密的，视为供应商对其</w:t>
            </w:r>
            <w:r>
              <w:rPr>
                <w:rFonts w:hint="eastAsia" w:hAnsi="宋体" w:cs="宋体"/>
                <w:sz w:val="24"/>
                <w:szCs w:val="22"/>
                <w:lang w:val="en-US" w:eastAsia="zh-CN" w:bidi="ar-SA"/>
              </w:rPr>
              <w:t>响应文件</w:t>
            </w:r>
            <w:r>
              <w:rPr>
                <w:rFonts w:hint="eastAsia" w:ascii="宋体" w:hAnsi="宋体" w:eastAsia="宋体" w:cs="宋体"/>
                <w:sz w:val="24"/>
                <w:szCs w:val="22"/>
                <w:lang w:val="en-US" w:eastAsia="zh-CN" w:bidi="ar-SA"/>
              </w:rPr>
              <w:t>的撤回。</w:t>
            </w:r>
          </w:p>
          <w:p>
            <w:pPr>
              <w:pStyle w:val="30"/>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both"/>
              <w:textAlignment w:val="auto"/>
              <w:rPr>
                <w:rFonts w:hint="default"/>
                <w:sz w:val="24"/>
                <w:lang w:val="en-US" w:eastAsia="zh-CN"/>
              </w:rPr>
            </w:pPr>
            <w:r>
              <w:rPr>
                <w:rFonts w:hint="eastAsia" w:ascii="宋体" w:hAnsi="宋体" w:eastAsia="宋体" w:cs="宋体"/>
                <w:sz w:val="24"/>
                <w:szCs w:val="22"/>
                <w:lang w:val="zh-CN" w:eastAsia="zh-CN" w:bidi="ar-SA"/>
              </w:rPr>
              <w:t>2、因系统（非投标供应商行为）的原因，造成投标供应商未能在规定的解密时限内解密的，请及时与招标代理机构或与新疆政府采购网投标客户端进行联系</w:t>
            </w:r>
            <w:r>
              <w:rPr>
                <w:rFonts w:hint="eastAsia" w:ascii="宋体" w:hAnsi="宋体" w:eastAsia="宋体" w:cs="宋体"/>
                <w:sz w:val="24"/>
                <w:szCs w:val="22"/>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049" w:type="dxa"/>
            <w:gridSpan w:val="2"/>
            <w:vAlign w:val="top"/>
          </w:tcPr>
          <w:p>
            <w:pPr>
              <w:pStyle w:val="24"/>
              <w:spacing w:before="56"/>
              <w:ind w:left="137" w:right="130"/>
              <w:jc w:val="center"/>
              <w:rPr>
                <w:sz w:val="24"/>
              </w:rPr>
            </w:pPr>
          </w:p>
          <w:p>
            <w:pPr>
              <w:pStyle w:val="24"/>
              <w:spacing w:before="56"/>
              <w:ind w:left="137" w:right="130"/>
              <w:jc w:val="center"/>
              <w:rPr>
                <w:rFonts w:hint="default" w:eastAsia="宋体"/>
                <w:sz w:val="24"/>
                <w:lang w:val="en-US" w:eastAsia="zh-CN"/>
              </w:rPr>
            </w:pPr>
            <w:r>
              <w:rPr>
                <w:rFonts w:hint="eastAsia"/>
                <w:sz w:val="24"/>
                <w:lang w:val="en-US" w:eastAsia="zh-CN"/>
              </w:rPr>
              <w:t>10</w:t>
            </w:r>
          </w:p>
        </w:tc>
        <w:tc>
          <w:tcPr>
            <w:tcW w:w="1662" w:type="dxa"/>
            <w:vAlign w:val="top"/>
          </w:tcPr>
          <w:p>
            <w:pPr>
              <w:pStyle w:val="24"/>
              <w:spacing w:before="56"/>
              <w:ind w:left="108"/>
              <w:jc w:val="center"/>
              <w:rPr>
                <w:sz w:val="24"/>
              </w:rPr>
            </w:pPr>
          </w:p>
          <w:p>
            <w:pPr>
              <w:pStyle w:val="24"/>
              <w:spacing w:before="56"/>
              <w:ind w:firstLine="240" w:firstLineChars="100"/>
              <w:jc w:val="center"/>
              <w:rPr>
                <w:sz w:val="24"/>
              </w:rPr>
            </w:pPr>
            <w:r>
              <w:rPr>
                <w:sz w:val="24"/>
              </w:rPr>
              <w:t>磋商小组</w:t>
            </w:r>
          </w:p>
        </w:tc>
        <w:tc>
          <w:tcPr>
            <w:tcW w:w="7339" w:type="dxa"/>
            <w:vAlign w:val="top"/>
          </w:tcPr>
          <w:p>
            <w:pPr>
              <w:pStyle w:val="24"/>
              <w:numPr>
                <w:ilvl w:val="0"/>
                <w:numId w:val="6"/>
              </w:numPr>
              <w:spacing w:before="56"/>
              <w:ind w:left="107"/>
              <w:rPr>
                <w:sz w:val="24"/>
                <w:lang w:eastAsia="zh-CN"/>
              </w:rPr>
            </w:pPr>
            <w:r>
              <w:rPr>
                <w:sz w:val="24"/>
                <w:lang w:eastAsia="zh-CN"/>
              </w:rPr>
              <w:t>构</w:t>
            </w:r>
            <w:r>
              <w:rPr>
                <w:sz w:val="24"/>
                <w:highlight w:val="none"/>
                <w:lang w:eastAsia="zh-CN"/>
              </w:rPr>
              <w:t>成：5 人，其中采购人代表 1 人，专家 4 人</w:t>
            </w:r>
            <w:r>
              <w:rPr>
                <w:sz w:val="24"/>
                <w:lang w:eastAsia="zh-CN"/>
              </w:rPr>
              <w:t>；</w:t>
            </w:r>
          </w:p>
          <w:p>
            <w:pPr>
              <w:pStyle w:val="24"/>
              <w:numPr>
                <w:ilvl w:val="0"/>
                <w:numId w:val="6"/>
              </w:numPr>
              <w:spacing w:before="56"/>
              <w:ind w:left="107"/>
              <w:rPr>
                <w:sz w:val="24"/>
                <w:lang w:eastAsia="zh-CN"/>
              </w:rPr>
            </w:pPr>
            <w:r>
              <w:rPr>
                <w:rFonts w:hint="eastAsia" w:ascii="宋体" w:hAnsi="宋体" w:eastAsia="宋体" w:cs="宋体"/>
                <w:sz w:val="24"/>
                <w:lang w:eastAsia="zh-CN"/>
              </w:rPr>
              <w:t>评标专家确定方式：由招标代理在开标前48小时在政采云专家库中随机抽取此次评标专家。；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049" w:type="dxa"/>
            <w:gridSpan w:val="2"/>
            <w:vAlign w:val="top"/>
          </w:tcPr>
          <w:p>
            <w:pPr>
              <w:pStyle w:val="24"/>
              <w:spacing w:before="167"/>
              <w:ind w:right="-67" w:rightChars="0"/>
              <w:jc w:val="center"/>
              <w:rPr>
                <w:rFonts w:hint="eastAsia" w:eastAsia="宋体"/>
                <w:sz w:val="24"/>
                <w:lang w:val="en-US" w:eastAsia="zh-CN"/>
              </w:rPr>
            </w:pPr>
          </w:p>
          <w:p>
            <w:pPr>
              <w:pStyle w:val="24"/>
              <w:spacing w:before="167"/>
              <w:ind w:right="-67" w:rightChars="0"/>
              <w:jc w:val="center"/>
              <w:rPr>
                <w:rFonts w:hint="eastAsia" w:eastAsia="宋体"/>
                <w:sz w:val="24"/>
                <w:lang w:val="en-US" w:eastAsia="zh-CN"/>
              </w:rPr>
            </w:pPr>
          </w:p>
          <w:p>
            <w:pPr>
              <w:pStyle w:val="24"/>
              <w:spacing w:before="167"/>
              <w:ind w:right="-67" w:rightChars="0"/>
              <w:jc w:val="center"/>
              <w:rPr>
                <w:rFonts w:hint="default" w:ascii="宋体" w:hAnsi="宋体" w:eastAsia="宋体" w:cs="宋体"/>
                <w:sz w:val="24"/>
                <w:szCs w:val="22"/>
                <w:lang w:val="en-US" w:eastAsia="zh-CN" w:bidi="ar-SA"/>
              </w:rPr>
            </w:pPr>
            <w:r>
              <w:rPr>
                <w:rFonts w:hint="eastAsia" w:eastAsia="宋体"/>
                <w:sz w:val="24"/>
                <w:lang w:val="en-US" w:eastAsia="zh-CN"/>
              </w:rPr>
              <w:t>1</w:t>
            </w:r>
            <w:r>
              <w:rPr>
                <w:rFonts w:hint="eastAsia"/>
                <w:sz w:val="24"/>
                <w:lang w:val="en-US" w:eastAsia="zh-CN"/>
              </w:rPr>
              <w:t>1</w:t>
            </w:r>
          </w:p>
        </w:tc>
        <w:tc>
          <w:tcPr>
            <w:tcW w:w="1662" w:type="dxa"/>
            <w:vAlign w:val="top"/>
          </w:tcPr>
          <w:p>
            <w:pPr>
              <w:pStyle w:val="24"/>
              <w:spacing w:before="167"/>
              <w:ind w:firstLine="480" w:firstLineChars="200"/>
              <w:jc w:val="both"/>
              <w:rPr>
                <w:color w:val="auto"/>
                <w:sz w:val="24"/>
                <w:highlight w:val="none"/>
              </w:rPr>
            </w:pPr>
          </w:p>
          <w:p>
            <w:pPr>
              <w:pStyle w:val="24"/>
              <w:spacing w:before="167"/>
              <w:ind w:firstLine="480" w:firstLineChars="200"/>
              <w:jc w:val="both"/>
              <w:rPr>
                <w:color w:val="auto"/>
                <w:sz w:val="24"/>
                <w:highlight w:val="none"/>
              </w:rPr>
            </w:pPr>
          </w:p>
          <w:p>
            <w:pPr>
              <w:pStyle w:val="24"/>
              <w:spacing w:before="167"/>
              <w:ind w:firstLine="480" w:firstLineChars="200"/>
              <w:jc w:val="both"/>
              <w:rPr>
                <w:rFonts w:ascii="宋体" w:hAnsi="宋体" w:eastAsia="宋体" w:cs="宋体"/>
                <w:color w:val="auto"/>
                <w:sz w:val="24"/>
                <w:szCs w:val="22"/>
                <w:highlight w:val="none"/>
                <w:lang w:val="en-US" w:eastAsia="en-US" w:bidi="ar-SA"/>
              </w:rPr>
            </w:pPr>
            <w:r>
              <w:rPr>
                <w:color w:val="auto"/>
                <w:sz w:val="24"/>
                <w:highlight w:val="none"/>
              </w:rPr>
              <w:t>评标办法</w:t>
            </w:r>
          </w:p>
        </w:tc>
        <w:tc>
          <w:tcPr>
            <w:tcW w:w="7339" w:type="dxa"/>
            <w:vAlign w:val="top"/>
          </w:tcPr>
          <w:p>
            <w:pPr>
              <w:pStyle w:val="24"/>
              <w:spacing w:before="167"/>
              <w:rPr>
                <w:rFonts w:hint="eastAsia"/>
                <w:b/>
                <w:color w:val="auto"/>
                <w:sz w:val="24"/>
                <w:highlight w:val="none"/>
                <w:lang w:val="en-US" w:eastAsia="zh-CN"/>
              </w:rPr>
            </w:pPr>
            <w:r>
              <w:rPr>
                <w:rFonts w:hint="eastAsia"/>
                <w:b/>
                <w:color w:val="auto"/>
                <w:sz w:val="24"/>
                <w:highlight w:val="none"/>
                <w:lang w:val="en-US" w:eastAsia="zh-CN"/>
              </w:rPr>
              <w:t>综合评分法</w:t>
            </w:r>
          </w:p>
          <w:p>
            <w:pPr>
              <w:pStyle w:val="24"/>
              <w:spacing w:before="167"/>
              <w:rPr>
                <w:rFonts w:hint="default"/>
                <w:b/>
                <w:color w:val="auto"/>
                <w:sz w:val="24"/>
                <w:highlight w:val="none"/>
                <w:lang w:val="en-US" w:eastAsia="zh-CN"/>
              </w:rPr>
            </w:pPr>
            <w:r>
              <w:rPr>
                <w:rFonts w:hint="eastAsia" w:ascii="宋体" w:hAnsi="Times New Roman" w:eastAsia="宋体" w:cs="宋体"/>
                <w:color w:val="auto"/>
                <w:kern w:val="2"/>
                <w:sz w:val="24"/>
                <w:szCs w:val="24"/>
                <w:highlight w:val="none"/>
                <w:lang w:val="zh-CN" w:eastAsia="zh-CN" w:bidi="ar-SA"/>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Style w:val="24"/>
              <w:spacing w:before="167"/>
              <w:rPr>
                <w:rFonts w:hint="eastAsia"/>
                <w:b/>
                <w:color w:val="auto"/>
                <w:sz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049" w:type="dxa"/>
            <w:gridSpan w:val="2"/>
            <w:vAlign w:val="top"/>
          </w:tcPr>
          <w:p>
            <w:pPr>
              <w:pStyle w:val="24"/>
              <w:jc w:val="center"/>
              <w:rPr>
                <w:rFonts w:ascii="Times New Roman"/>
                <w:sz w:val="24"/>
              </w:rPr>
            </w:pPr>
          </w:p>
          <w:p>
            <w:pPr>
              <w:pStyle w:val="24"/>
              <w:spacing w:before="192"/>
              <w:ind w:right="210"/>
              <w:jc w:val="center"/>
              <w:rPr>
                <w:rFonts w:hint="default" w:eastAsia="宋体"/>
                <w:sz w:val="24"/>
                <w:lang w:val="en-US" w:eastAsia="zh-CN"/>
              </w:rPr>
            </w:pPr>
            <w:r>
              <w:rPr>
                <w:rFonts w:hint="eastAsia"/>
                <w:sz w:val="24"/>
                <w:lang w:val="en-US" w:eastAsia="zh-CN"/>
              </w:rPr>
              <w:t xml:space="preserve"> 12</w:t>
            </w:r>
          </w:p>
        </w:tc>
        <w:tc>
          <w:tcPr>
            <w:tcW w:w="1662" w:type="dxa"/>
            <w:vAlign w:val="top"/>
          </w:tcPr>
          <w:p>
            <w:pPr>
              <w:pStyle w:val="24"/>
              <w:jc w:val="center"/>
              <w:rPr>
                <w:rFonts w:ascii="Times New Roman"/>
                <w:sz w:val="24"/>
              </w:rPr>
            </w:pPr>
          </w:p>
          <w:p>
            <w:pPr>
              <w:pStyle w:val="24"/>
              <w:spacing w:before="192"/>
              <w:ind w:left="108"/>
              <w:jc w:val="center"/>
              <w:rPr>
                <w:sz w:val="24"/>
              </w:rPr>
            </w:pPr>
            <w:r>
              <w:rPr>
                <w:sz w:val="24"/>
              </w:rPr>
              <w:t>评标</w:t>
            </w:r>
          </w:p>
        </w:tc>
        <w:tc>
          <w:tcPr>
            <w:tcW w:w="7339" w:type="dxa"/>
            <w:vAlign w:val="top"/>
          </w:tcPr>
          <w:p>
            <w:pPr>
              <w:pStyle w:val="24"/>
              <w:spacing w:before="2" w:line="242" w:lineRule="auto"/>
              <w:ind w:left="107" w:right="-29"/>
              <w:jc w:val="both"/>
              <w:rPr>
                <w:sz w:val="24"/>
                <w:lang w:eastAsia="zh-CN"/>
              </w:rPr>
            </w:pPr>
            <w:r>
              <w:rPr>
                <w:spacing w:val="-7"/>
                <w:sz w:val="24"/>
                <w:lang w:eastAsia="zh-CN"/>
              </w:rPr>
              <w:t>各供应商的响应文件将提交磋商小组审核；即使供应商所提交的响应</w:t>
            </w:r>
            <w:r>
              <w:rPr>
                <w:spacing w:val="-14"/>
                <w:sz w:val="24"/>
                <w:lang w:eastAsia="zh-CN"/>
              </w:rPr>
              <w:t>文件通过了审核，在评标过程中乃至确定中标人后，如发现供应商所提供的资格类文件不合法或不真实、或响应文件中存在虚假资料的，</w:t>
            </w:r>
          </w:p>
          <w:p>
            <w:pPr>
              <w:pStyle w:val="24"/>
              <w:spacing w:before="2" w:line="289" w:lineRule="exact"/>
              <w:ind w:left="107"/>
              <w:jc w:val="both"/>
              <w:rPr>
                <w:sz w:val="24"/>
                <w:lang w:eastAsia="zh-CN"/>
              </w:rPr>
            </w:pPr>
            <w:r>
              <w:rPr>
                <w:sz w:val="24"/>
                <w:lang w:eastAsia="zh-CN"/>
              </w:rPr>
              <w:t>采购人仍可废除中标人其中标资格并追究其法律责任。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049" w:type="dxa"/>
            <w:gridSpan w:val="2"/>
            <w:vAlign w:val="top"/>
          </w:tcPr>
          <w:p>
            <w:pPr>
              <w:pStyle w:val="24"/>
              <w:rPr>
                <w:rFonts w:ascii="Times New Roman"/>
                <w:sz w:val="24"/>
                <w:lang w:eastAsia="zh-CN"/>
              </w:rPr>
            </w:pPr>
          </w:p>
          <w:p>
            <w:pPr>
              <w:pStyle w:val="24"/>
              <w:rPr>
                <w:rFonts w:ascii="Times New Roman"/>
                <w:sz w:val="24"/>
                <w:lang w:eastAsia="zh-CN"/>
              </w:rPr>
            </w:pPr>
          </w:p>
          <w:p>
            <w:pPr>
              <w:pStyle w:val="24"/>
              <w:rPr>
                <w:rFonts w:ascii="Times New Roman"/>
                <w:sz w:val="24"/>
                <w:lang w:eastAsia="zh-CN"/>
              </w:rPr>
            </w:pPr>
          </w:p>
          <w:p>
            <w:pPr>
              <w:pStyle w:val="24"/>
              <w:rPr>
                <w:rFonts w:ascii="Times New Roman"/>
                <w:sz w:val="24"/>
                <w:lang w:eastAsia="zh-CN"/>
              </w:rPr>
            </w:pPr>
          </w:p>
          <w:p>
            <w:pPr>
              <w:pStyle w:val="24"/>
              <w:rPr>
                <w:rFonts w:ascii="Times New Roman"/>
                <w:sz w:val="24"/>
                <w:lang w:eastAsia="zh-CN"/>
              </w:rPr>
            </w:pPr>
          </w:p>
          <w:p>
            <w:pPr>
              <w:pStyle w:val="24"/>
              <w:rPr>
                <w:rFonts w:ascii="Times New Roman"/>
                <w:sz w:val="24"/>
                <w:lang w:eastAsia="zh-CN"/>
              </w:rPr>
            </w:pPr>
          </w:p>
          <w:p>
            <w:pPr>
              <w:pStyle w:val="24"/>
              <w:rPr>
                <w:rFonts w:ascii="Times New Roman"/>
                <w:sz w:val="24"/>
                <w:lang w:eastAsia="zh-CN"/>
              </w:rPr>
            </w:pPr>
          </w:p>
          <w:p>
            <w:pPr>
              <w:pStyle w:val="24"/>
              <w:rPr>
                <w:rFonts w:ascii="Times New Roman"/>
                <w:sz w:val="24"/>
                <w:lang w:eastAsia="zh-CN"/>
              </w:rPr>
            </w:pPr>
          </w:p>
          <w:p>
            <w:pPr>
              <w:pStyle w:val="24"/>
              <w:rPr>
                <w:rFonts w:ascii="Times New Roman"/>
                <w:sz w:val="24"/>
                <w:lang w:eastAsia="zh-CN"/>
              </w:rPr>
            </w:pPr>
          </w:p>
          <w:p>
            <w:pPr>
              <w:pStyle w:val="24"/>
              <w:rPr>
                <w:rFonts w:ascii="Times New Roman"/>
                <w:sz w:val="24"/>
                <w:lang w:eastAsia="zh-CN"/>
              </w:rPr>
            </w:pPr>
          </w:p>
          <w:p>
            <w:pPr>
              <w:pStyle w:val="24"/>
              <w:spacing w:before="10"/>
              <w:rPr>
                <w:rFonts w:ascii="Times New Roman"/>
                <w:sz w:val="30"/>
                <w:lang w:eastAsia="zh-CN"/>
              </w:rPr>
            </w:pPr>
          </w:p>
          <w:p>
            <w:pPr>
              <w:pStyle w:val="24"/>
              <w:ind w:left="340"/>
              <w:rPr>
                <w:rFonts w:hint="default" w:eastAsia="宋体"/>
                <w:sz w:val="24"/>
                <w:lang w:val="en-US" w:eastAsia="zh-CN"/>
              </w:rPr>
            </w:pPr>
            <w:r>
              <w:rPr>
                <w:rFonts w:hint="eastAsia"/>
                <w:sz w:val="24"/>
                <w:lang w:val="en-US" w:eastAsia="zh-CN"/>
              </w:rPr>
              <w:t>13</w:t>
            </w:r>
          </w:p>
        </w:tc>
        <w:tc>
          <w:tcPr>
            <w:tcW w:w="1662" w:type="dxa"/>
            <w:vAlign w:val="top"/>
          </w:tcPr>
          <w:p>
            <w:pPr>
              <w:pStyle w:val="24"/>
              <w:rPr>
                <w:rFonts w:ascii="Times New Roman"/>
                <w:sz w:val="24"/>
              </w:rPr>
            </w:pPr>
          </w:p>
          <w:p>
            <w:pPr>
              <w:pStyle w:val="24"/>
              <w:rPr>
                <w:rFonts w:ascii="Times New Roman"/>
                <w:sz w:val="24"/>
              </w:rPr>
            </w:pPr>
          </w:p>
          <w:p>
            <w:pPr>
              <w:pStyle w:val="24"/>
              <w:rPr>
                <w:rFonts w:ascii="Times New Roman"/>
                <w:sz w:val="24"/>
              </w:rPr>
            </w:pPr>
          </w:p>
          <w:p>
            <w:pPr>
              <w:pStyle w:val="24"/>
              <w:rPr>
                <w:rFonts w:ascii="Times New Roman"/>
                <w:sz w:val="24"/>
              </w:rPr>
            </w:pPr>
          </w:p>
          <w:p>
            <w:pPr>
              <w:pStyle w:val="24"/>
              <w:rPr>
                <w:rFonts w:ascii="Times New Roman"/>
                <w:sz w:val="24"/>
              </w:rPr>
            </w:pPr>
          </w:p>
          <w:p>
            <w:pPr>
              <w:pStyle w:val="24"/>
              <w:rPr>
                <w:rFonts w:ascii="Times New Roman"/>
                <w:sz w:val="24"/>
              </w:rPr>
            </w:pPr>
          </w:p>
          <w:p>
            <w:pPr>
              <w:pStyle w:val="24"/>
              <w:rPr>
                <w:rFonts w:ascii="Times New Roman"/>
                <w:sz w:val="24"/>
              </w:rPr>
            </w:pPr>
          </w:p>
          <w:p>
            <w:pPr>
              <w:pStyle w:val="24"/>
              <w:rPr>
                <w:rFonts w:ascii="Times New Roman"/>
                <w:sz w:val="24"/>
              </w:rPr>
            </w:pPr>
          </w:p>
          <w:p>
            <w:pPr>
              <w:pStyle w:val="24"/>
              <w:rPr>
                <w:rFonts w:ascii="Times New Roman"/>
                <w:sz w:val="24"/>
              </w:rPr>
            </w:pPr>
          </w:p>
          <w:p>
            <w:pPr>
              <w:pStyle w:val="24"/>
              <w:rPr>
                <w:rFonts w:ascii="Times New Roman"/>
                <w:sz w:val="24"/>
              </w:rPr>
            </w:pPr>
          </w:p>
          <w:p>
            <w:pPr>
              <w:pStyle w:val="24"/>
              <w:spacing w:before="10"/>
              <w:rPr>
                <w:rFonts w:ascii="Times New Roman"/>
                <w:sz w:val="30"/>
              </w:rPr>
            </w:pPr>
          </w:p>
          <w:p>
            <w:pPr>
              <w:pStyle w:val="24"/>
              <w:ind w:left="108"/>
              <w:jc w:val="center"/>
              <w:rPr>
                <w:sz w:val="24"/>
              </w:rPr>
            </w:pPr>
            <w:r>
              <w:rPr>
                <w:sz w:val="24"/>
              </w:rPr>
              <w:t>符合性要求</w:t>
            </w:r>
          </w:p>
        </w:tc>
        <w:tc>
          <w:tcPr>
            <w:tcW w:w="7339" w:type="dxa"/>
            <w:vAlign w:val="top"/>
          </w:tcPr>
          <w:p>
            <w:pPr>
              <w:pStyle w:val="24"/>
              <w:spacing w:before="2" w:line="242" w:lineRule="auto"/>
              <w:ind w:left="107" w:right="193"/>
              <w:rPr>
                <w:b/>
                <w:color w:val="000000" w:themeColor="text1"/>
                <w:sz w:val="24"/>
                <w:lang w:eastAsia="zh-CN"/>
                <w14:textFill>
                  <w14:solidFill>
                    <w14:schemeClr w14:val="tx1"/>
                  </w14:solidFill>
                </w14:textFill>
              </w:rPr>
            </w:pPr>
            <w:r>
              <w:rPr>
                <w:b/>
                <w:color w:val="000000" w:themeColor="text1"/>
                <w:sz w:val="24"/>
                <w:lang w:eastAsia="zh-CN"/>
                <w14:textFill>
                  <w14:solidFill>
                    <w14:schemeClr w14:val="tx1"/>
                  </w14:solidFill>
                </w14:textFill>
              </w:rPr>
              <w:t>供应商存在下列情况之一的，响应文件将被视为未实质性响应竞争性磋商文件要求，其投标无效：</w:t>
            </w:r>
          </w:p>
          <w:p>
            <w:pPr>
              <w:pStyle w:val="24"/>
              <w:numPr>
                <w:ilvl w:val="0"/>
                <w:numId w:val="7"/>
              </w:numPr>
              <w:tabs>
                <w:tab w:val="left" w:pos="709"/>
              </w:tabs>
              <w:spacing w:before="1" w:line="242" w:lineRule="auto"/>
              <w:ind w:right="100" w:firstLine="0"/>
              <w:rPr>
                <w:color w:val="000000" w:themeColor="text1"/>
                <w:sz w:val="24"/>
                <w:lang w:eastAsia="zh-CN"/>
                <w14:textFill>
                  <w14:solidFill>
                    <w14:schemeClr w14:val="tx1"/>
                  </w14:solidFill>
                </w14:textFill>
              </w:rPr>
            </w:pPr>
            <w:r>
              <w:rPr>
                <w:color w:val="000000" w:themeColor="text1"/>
                <w:spacing w:val="-1"/>
                <w:sz w:val="24"/>
                <w:lang w:eastAsia="zh-CN"/>
                <w14:textFill>
                  <w14:solidFill>
                    <w14:schemeClr w14:val="tx1"/>
                  </w14:solidFill>
                </w14:textFill>
              </w:rPr>
              <w:t>不具备竞争性磋商文件中规定的资格要求的，或响应文件中提</w:t>
            </w:r>
            <w:r>
              <w:rPr>
                <w:color w:val="000000" w:themeColor="text1"/>
                <w:sz w:val="24"/>
                <w:lang w:eastAsia="zh-CN"/>
                <w14:textFill>
                  <w14:solidFill>
                    <w14:schemeClr w14:val="tx1"/>
                  </w14:solidFill>
                </w14:textFill>
              </w:rPr>
              <w:t>供的资格证明文件与原件不一致的；</w:t>
            </w:r>
          </w:p>
          <w:p>
            <w:pPr>
              <w:pStyle w:val="24"/>
              <w:numPr>
                <w:ilvl w:val="0"/>
                <w:numId w:val="7"/>
              </w:numPr>
              <w:tabs>
                <w:tab w:val="left" w:pos="709"/>
              </w:tabs>
              <w:spacing w:before="2"/>
              <w:ind w:left="708"/>
              <w:jc w:val="both"/>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响应文件未按竞争性磋商文件要求签署、盖章的；</w:t>
            </w:r>
          </w:p>
          <w:p>
            <w:pPr>
              <w:pStyle w:val="24"/>
              <w:numPr>
                <w:ilvl w:val="0"/>
                <w:numId w:val="7"/>
              </w:numPr>
              <w:tabs>
                <w:tab w:val="left" w:pos="709"/>
              </w:tabs>
              <w:spacing w:before="5"/>
              <w:ind w:left="708"/>
              <w:jc w:val="both"/>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未按照竞争性磋商文件的规定提交投标保证金的；</w:t>
            </w:r>
          </w:p>
          <w:p>
            <w:pPr>
              <w:pStyle w:val="24"/>
              <w:numPr>
                <w:ilvl w:val="0"/>
                <w:numId w:val="7"/>
              </w:numPr>
              <w:tabs>
                <w:tab w:val="left" w:pos="709"/>
              </w:tabs>
              <w:spacing w:before="2"/>
              <w:ind w:left="708"/>
              <w:jc w:val="both"/>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响应文件含有采购人不能接受的附加条件的；</w:t>
            </w:r>
          </w:p>
          <w:p>
            <w:pPr>
              <w:pStyle w:val="24"/>
              <w:numPr>
                <w:ilvl w:val="0"/>
                <w:numId w:val="7"/>
              </w:numPr>
              <w:tabs>
                <w:tab w:val="left" w:pos="709"/>
              </w:tabs>
              <w:spacing w:before="5"/>
              <w:ind w:left="708"/>
              <w:jc w:val="both"/>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投标有效期不满足竞争性磋商文件要求的；</w:t>
            </w:r>
          </w:p>
          <w:p>
            <w:pPr>
              <w:pStyle w:val="24"/>
              <w:numPr>
                <w:ilvl w:val="0"/>
                <w:numId w:val="7"/>
              </w:numPr>
              <w:tabs>
                <w:tab w:val="left" w:pos="709"/>
              </w:tabs>
              <w:spacing w:before="4" w:line="242" w:lineRule="auto"/>
              <w:ind w:right="100" w:firstLine="0"/>
              <w:rPr>
                <w:color w:val="000000" w:themeColor="text1"/>
                <w:sz w:val="24"/>
                <w:lang w:eastAsia="zh-CN"/>
                <w14:textFill>
                  <w14:solidFill>
                    <w14:schemeClr w14:val="tx1"/>
                  </w14:solidFill>
                </w14:textFill>
              </w:rPr>
            </w:pPr>
            <w:r>
              <w:rPr>
                <w:color w:val="000000" w:themeColor="text1"/>
                <w:spacing w:val="-1"/>
                <w:sz w:val="24"/>
                <w:lang w:eastAsia="zh-CN"/>
                <w14:textFill>
                  <w14:solidFill>
                    <w14:schemeClr w14:val="tx1"/>
                  </w14:solidFill>
                </w14:textFill>
              </w:rPr>
              <w:t xml:space="preserve">报价超过竞争性磋商文件中规定的预算金额或者最高限价的； </w:t>
            </w:r>
            <w:r>
              <w:rPr>
                <w:color w:val="000000" w:themeColor="text1"/>
                <w:sz w:val="24"/>
                <w:lang w:eastAsia="zh-CN"/>
                <w14:textFill>
                  <w14:solidFill>
                    <w14:schemeClr w14:val="tx1"/>
                  </w14:solidFill>
                </w14:textFill>
              </w:rPr>
              <w:t>或提供的报价是可供选择的（不是唯一报价）；</w:t>
            </w:r>
          </w:p>
          <w:p>
            <w:pPr>
              <w:pStyle w:val="24"/>
              <w:numPr>
                <w:ilvl w:val="0"/>
                <w:numId w:val="7"/>
              </w:numPr>
              <w:tabs>
                <w:tab w:val="left" w:pos="709"/>
              </w:tabs>
              <w:spacing w:before="1" w:line="242" w:lineRule="auto"/>
              <w:ind w:right="95" w:firstLine="0"/>
              <w:jc w:val="both"/>
              <w:rPr>
                <w:color w:val="000000" w:themeColor="text1"/>
                <w:sz w:val="24"/>
                <w:lang w:eastAsia="zh-CN"/>
                <w14:textFill>
                  <w14:solidFill>
                    <w14:schemeClr w14:val="tx1"/>
                  </w14:solidFill>
                </w14:textFill>
              </w:rPr>
            </w:pPr>
            <w:r>
              <w:rPr>
                <w:color w:val="000000" w:themeColor="text1"/>
                <w:spacing w:val="-1"/>
                <w:sz w:val="24"/>
                <w:lang w:eastAsia="zh-CN"/>
                <w14:textFill>
                  <w14:solidFill>
                    <w14:schemeClr w14:val="tx1"/>
                  </w14:solidFill>
                </w14:textFill>
              </w:rPr>
              <w:t>供应商未进行分项报价或分项报价的构成未能准确全部反映产</w:t>
            </w:r>
            <w:r>
              <w:rPr>
                <w:color w:val="000000" w:themeColor="text1"/>
                <w:spacing w:val="-8"/>
                <w:sz w:val="24"/>
                <w:lang w:eastAsia="zh-CN"/>
                <w14:textFill>
                  <w14:solidFill>
                    <w14:schemeClr w14:val="tx1"/>
                  </w14:solidFill>
                </w14:textFill>
              </w:rPr>
              <w:t>品价格组成或有所隐含，有可能致使在合同履行过程中引起纠纷</w:t>
            </w:r>
            <w:r>
              <w:rPr>
                <w:color w:val="000000" w:themeColor="text1"/>
                <w:sz w:val="24"/>
                <w:lang w:eastAsia="zh-CN"/>
                <w14:textFill>
                  <w14:solidFill>
                    <w14:schemeClr w14:val="tx1"/>
                  </w14:solidFill>
                </w14:textFill>
              </w:rPr>
              <w:t>（</w:t>
            </w:r>
            <w:r>
              <w:rPr>
                <w:color w:val="000000" w:themeColor="text1"/>
                <w:spacing w:val="-16"/>
                <w:sz w:val="24"/>
                <w:lang w:eastAsia="zh-CN"/>
                <w14:textFill>
                  <w14:solidFill>
                    <w14:schemeClr w14:val="tx1"/>
                  </w14:solidFill>
                </w14:textFill>
              </w:rPr>
              <w:t>非</w:t>
            </w:r>
            <w:r>
              <w:rPr>
                <w:color w:val="000000" w:themeColor="text1"/>
                <w:sz w:val="24"/>
                <w:lang w:eastAsia="zh-CN"/>
                <w14:textFill>
                  <w14:solidFill>
                    <w14:schemeClr w14:val="tx1"/>
                  </w14:solidFill>
                </w14:textFill>
              </w:rPr>
              <w:t>正常的追加或索赔等）或不能诚信履约的；</w:t>
            </w:r>
          </w:p>
          <w:p>
            <w:pPr>
              <w:pStyle w:val="24"/>
              <w:numPr>
                <w:ilvl w:val="0"/>
                <w:numId w:val="7"/>
              </w:numPr>
              <w:tabs>
                <w:tab w:val="left" w:pos="709"/>
              </w:tabs>
              <w:spacing w:before="1"/>
              <w:ind w:left="708"/>
              <w:jc w:val="both"/>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响应文件的内容与采购内容及要求有重大偏离或保留的；</w:t>
            </w:r>
          </w:p>
          <w:p>
            <w:pPr>
              <w:pStyle w:val="24"/>
              <w:numPr>
                <w:ilvl w:val="0"/>
                <w:numId w:val="7"/>
              </w:numPr>
              <w:tabs>
                <w:tab w:val="left" w:pos="829"/>
              </w:tabs>
              <w:spacing w:before="5"/>
              <w:ind w:left="828" w:hanging="721"/>
              <w:jc w:val="both"/>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响应文件互相混装的，或其他窜通的；</w:t>
            </w:r>
          </w:p>
          <w:p>
            <w:pPr>
              <w:pStyle w:val="24"/>
              <w:numPr>
                <w:ilvl w:val="0"/>
                <w:numId w:val="7"/>
              </w:numPr>
              <w:tabs>
                <w:tab w:val="left" w:pos="829"/>
              </w:tabs>
              <w:spacing w:before="4"/>
              <w:ind w:left="828" w:hanging="721"/>
              <w:jc w:val="both"/>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响应文件的内容组成不符合竞争性磋商文件要求的；</w:t>
            </w:r>
          </w:p>
          <w:p>
            <w:pPr>
              <w:pStyle w:val="24"/>
              <w:numPr>
                <w:ilvl w:val="0"/>
                <w:numId w:val="7"/>
              </w:numPr>
              <w:tabs>
                <w:tab w:val="left" w:pos="829"/>
              </w:tabs>
              <w:spacing w:before="3"/>
              <w:ind w:left="828" w:hanging="721"/>
              <w:jc w:val="both"/>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响应文件中提供虚假或失实资料的；</w:t>
            </w:r>
          </w:p>
          <w:p>
            <w:pPr>
              <w:pStyle w:val="24"/>
              <w:numPr>
                <w:ilvl w:val="0"/>
                <w:numId w:val="7"/>
              </w:numPr>
              <w:tabs>
                <w:tab w:val="left" w:pos="829"/>
              </w:tabs>
              <w:spacing w:before="4" w:line="242" w:lineRule="auto"/>
              <w:ind w:right="95" w:firstLine="0"/>
              <w:rPr>
                <w:color w:val="000000" w:themeColor="text1"/>
                <w:sz w:val="24"/>
                <w:lang w:eastAsia="zh-CN"/>
                <w14:textFill>
                  <w14:solidFill>
                    <w14:schemeClr w14:val="tx1"/>
                  </w14:solidFill>
                </w14:textFill>
              </w:rPr>
            </w:pPr>
            <w:r>
              <w:rPr>
                <w:color w:val="000000" w:themeColor="text1"/>
                <w:spacing w:val="-3"/>
                <w:sz w:val="24"/>
                <w:lang w:eastAsia="zh-CN"/>
                <w14:textFill>
                  <w14:solidFill>
                    <w14:schemeClr w14:val="tx1"/>
                  </w14:solidFill>
                </w14:textFill>
              </w:rPr>
              <w:t>不同供应商所提交的响应文件的内容（</w:t>
            </w:r>
            <w:r>
              <w:rPr>
                <w:color w:val="000000" w:themeColor="text1"/>
                <w:sz w:val="24"/>
                <w:lang w:eastAsia="zh-CN"/>
                <w14:textFill>
                  <w14:solidFill>
                    <w14:schemeClr w14:val="tx1"/>
                  </w14:solidFill>
                </w14:textFill>
              </w:rPr>
              <w:t>或其单价等</w:t>
            </w:r>
            <w:r>
              <w:rPr>
                <w:color w:val="000000" w:themeColor="text1"/>
                <w:spacing w:val="-36"/>
                <w:sz w:val="24"/>
                <w:lang w:eastAsia="zh-CN"/>
                <w14:textFill>
                  <w14:solidFill>
                    <w14:schemeClr w14:val="tx1"/>
                  </w14:solidFill>
                </w14:textFill>
              </w:rPr>
              <w:t>）</w:t>
            </w:r>
            <w:r>
              <w:rPr>
                <w:color w:val="000000" w:themeColor="text1"/>
                <w:sz w:val="24"/>
                <w:lang w:eastAsia="zh-CN"/>
                <w14:textFill>
                  <w14:solidFill>
                    <w14:schemeClr w14:val="tx1"/>
                  </w14:solidFill>
                </w14:textFill>
              </w:rPr>
              <w:t>存在异</w:t>
            </w:r>
            <w:r>
              <w:rPr>
                <w:color w:val="000000" w:themeColor="text1"/>
                <w:spacing w:val="-4"/>
                <w:sz w:val="24"/>
                <w:lang w:eastAsia="zh-CN"/>
                <w14:textFill>
                  <w14:solidFill>
                    <w14:schemeClr w14:val="tx1"/>
                  </w14:solidFill>
                </w14:textFill>
              </w:rPr>
              <w:t>常一致或其报价呈规律性差异的；</w:t>
            </w:r>
          </w:p>
          <w:p>
            <w:pPr>
              <w:pStyle w:val="24"/>
              <w:numPr>
                <w:ilvl w:val="0"/>
                <w:numId w:val="7"/>
              </w:numPr>
              <w:tabs>
                <w:tab w:val="left" w:pos="829"/>
              </w:tabs>
              <w:spacing w:before="3" w:line="288" w:lineRule="exact"/>
              <w:ind w:left="828" w:hanging="721"/>
              <w:jc w:val="both"/>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法律、法规和竞争性磋商文件规定的其他无效情形。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049" w:type="dxa"/>
            <w:gridSpan w:val="2"/>
            <w:vAlign w:val="top"/>
          </w:tcPr>
          <w:p>
            <w:pPr>
              <w:pStyle w:val="24"/>
              <w:ind w:right="270"/>
              <w:jc w:val="center"/>
              <w:rPr>
                <w:rFonts w:hint="eastAsia"/>
                <w:sz w:val="24"/>
                <w:lang w:val="en-US" w:eastAsia="zh-CN"/>
              </w:rPr>
            </w:pPr>
          </w:p>
          <w:p>
            <w:pPr>
              <w:pStyle w:val="24"/>
              <w:ind w:right="270"/>
              <w:jc w:val="center"/>
              <w:rPr>
                <w:rFonts w:hint="eastAsia"/>
                <w:sz w:val="24"/>
                <w:lang w:val="en-US" w:eastAsia="zh-CN"/>
              </w:rPr>
            </w:pPr>
          </w:p>
          <w:p>
            <w:pPr>
              <w:pStyle w:val="24"/>
              <w:ind w:right="270"/>
              <w:jc w:val="center"/>
              <w:rPr>
                <w:rFonts w:hint="default" w:eastAsia="宋体"/>
                <w:sz w:val="24"/>
                <w:lang w:val="en-US" w:eastAsia="zh-CN"/>
              </w:rPr>
            </w:pPr>
            <w:r>
              <w:rPr>
                <w:rFonts w:hint="eastAsia"/>
                <w:sz w:val="24"/>
                <w:lang w:val="en-US" w:eastAsia="zh-CN"/>
              </w:rPr>
              <w:t xml:space="preserve"> 14</w:t>
            </w:r>
          </w:p>
        </w:tc>
        <w:tc>
          <w:tcPr>
            <w:tcW w:w="1662" w:type="dxa"/>
            <w:vAlign w:val="top"/>
          </w:tcPr>
          <w:p>
            <w:pPr>
              <w:pStyle w:val="24"/>
              <w:ind w:left="108"/>
              <w:jc w:val="center"/>
              <w:rPr>
                <w:rFonts w:hint="eastAsia"/>
                <w:sz w:val="24"/>
                <w:lang w:val="en-US" w:eastAsia="zh-CN"/>
              </w:rPr>
            </w:pPr>
          </w:p>
          <w:p>
            <w:pPr>
              <w:pStyle w:val="24"/>
              <w:ind w:left="108"/>
              <w:jc w:val="center"/>
              <w:rPr>
                <w:rFonts w:hint="eastAsia"/>
                <w:sz w:val="24"/>
                <w:lang w:val="en-US" w:eastAsia="zh-CN"/>
              </w:rPr>
            </w:pPr>
          </w:p>
          <w:p>
            <w:pPr>
              <w:pStyle w:val="24"/>
              <w:ind w:left="108"/>
              <w:jc w:val="center"/>
              <w:rPr>
                <w:rFonts w:hint="eastAsia" w:eastAsia="宋体"/>
                <w:sz w:val="24"/>
                <w:lang w:val="en-US" w:eastAsia="zh-CN"/>
              </w:rPr>
            </w:pPr>
            <w:r>
              <w:rPr>
                <w:rFonts w:hint="eastAsia"/>
                <w:sz w:val="24"/>
                <w:lang w:val="en-US" w:eastAsia="zh-CN"/>
              </w:rPr>
              <w:t>质疑</w:t>
            </w:r>
          </w:p>
        </w:tc>
        <w:tc>
          <w:tcPr>
            <w:tcW w:w="7339" w:type="dxa"/>
            <w:vAlign w:val="top"/>
          </w:tcPr>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供应商认为采购文件、采购过程、中标或者成交结果使自己的权益受到损害的，可以根据中华人民共和国财政部令第94号中第十条，以书面形式向采购人、采购代理机构一次性针对同一采购程序环节提出质疑。</w:t>
            </w:r>
          </w:p>
          <w:p>
            <w:pPr>
              <w:pStyle w:val="24"/>
              <w:spacing w:before="3" w:line="242" w:lineRule="auto"/>
              <w:ind w:left="107" w:right="95"/>
              <w:jc w:val="both"/>
              <w:rPr>
                <w:sz w:val="24"/>
                <w:lang w:eastAsia="zh-CN"/>
              </w:rPr>
            </w:pPr>
            <w:r>
              <w:rPr>
                <w:rFonts w:hint="eastAsia" w:ascii="宋体" w:hAnsi="宋体" w:eastAsia="宋体" w:cs="宋体"/>
                <w:b/>
                <w:bCs/>
                <w:color w:val="auto"/>
                <w:sz w:val="24"/>
                <w:szCs w:val="24"/>
                <w:highlight w:val="none"/>
                <w:lang w:val="en-US" w:eastAsia="zh-CN"/>
              </w:rPr>
              <w:t>注：根据《中华人民共和国政府采购法》的规定，供应商质疑不得超出公开招标文件、公开招标过程及公开招标结果的范围及时效限制。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 w:type="dxa"/>
          <w:trHeight w:val="1195" w:hRule="atLeast"/>
        </w:trPr>
        <w:tc>
          <w:tcPr>
            <w:tcW w:w="1047" w:type="dxa"/>
          </w:tcPr>
          <w:p>
            <w:pPr>
              <w:pStyle w:val="24"/>
              <w:spacing w:before="54"/>
              <w:ind w:left="137" w:right="130"/>
              <w:jc w:val="center"/>
              <w:rPr>
                <w:sz w:val="24"/>
              </w:rPr>
            </w:pPr>
          </w:p>
          <w:p>
            <w:pPr>
              <w:pStyle w:val="24"/>
              <w:spacing w:before="54"/>
              <w:ind w:right="130"/>
              <w:jc w:val="center"/>
              <w:rPr>
                <w:rFonts w:hint="default" w:eastAsia="宋体"/>
                <w:sz w:val="24"/>
                <w:lang w:val="en-US" w:eastAsia="zh-CN"/>
              </w:rPr>
            </w:pPr>
            <w:r>
              <w:rPr>
                <w:rFonts w:hint="eastAsia"/>
                <w:sz w:val="24"/>
                <w:lang w:val="en-US" w:eastAsia="zh-CN"/>
              </w:rPr>
              <w:t>15</w:t>
            </w:r>
          </w:p>
        </w:tc>
        <w:tc>
          <w:tcPr>
            <w:tcW w:w="1662" w:type="dxa"/>
          </w:tcPr>
          <w:p>
            <w:pPr>
              <w:pStyle w:val="24"/>
              <w:spacing w:before="54"/>
              <w:jc w:val="center"/>
              <w:rPr>
                <w:sz w:val="24"/>
              </w:rPr>
            </w:pPr>
            <w:r>
              <w:rPr>
                <w:rFonts w:hint="default" w:ascii="宋体" w:hAnsi="宋体" w:eastAsia="宋体" w:cs="宋体"/>
                <w:sz w:val="24"/>
                <w:lang w:val="en-US" w:eastAsia="zh-CN"/>
              </w:rPr>
              <w:t>落实政府采购政策需满足的资格要求：</w:t>
            </w:r>
          </w:p>
        </w:tc>
        <w:tc>
          <w:tcPr>
            <w:tcW w:w="7339" w:type="dxa"/>
          </w:tcPr>
          <w:p>
            <w:pPr>
              <w:pStyle w:val="24"/>
              <w:spacing w:before="54"/>
              <w:ind w:right="-29"/>
              <w:jc w:val="left"/>
              <w:rPr>
                <w:rFonts w:hint="default"/>
                <w:sz w:val="24"/>
                <w:lang w:val="en-US" w:eastAsia="zh-CN"/>
              </w:rPr>
            </w:pPr>
            <w:r>
              <w:rPr>
                <w:rFonts w:hint="default"/>
                <w:sz w:val="24"/>
                <w:lang w:val="en-US" w:eastAsia="zh-CN"/>
              </w:rPr>
              <w:t>根据《政府采购促进中小企业发展暂行办法》（财库〔2020〕46号）的规定（200万元以下的货物、服务采购项目）全部预留给中小企业。</w:t>
            </w:r>
          </w:p>
          <w:p>
            <w:pPr>
              <w:pStyle w:val="24"/>
              <w:spacing w:before="54"/>
              <w:ind w:right="-29"/>
              <w:rPr>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 w:type="dxa"/>
          <w:trHeight w:val="487" w:hRule="atLeast"/>
        </w:trPr>
        <w:tc>
          <w:tcPr>
            <w:tcW w:w="1047" w:type="dxa"/>
            <w:vAlign w:val="top"/>
          </w:tcPr>
          <w:p>
            <w:pPr>
              <w:pStyle w:val="24"/>
              <w:spacing w:before="78"/>
              <w:ind w:left="137" w:leftChars="0" w:right="130" w:rightChars="0"/>
              <w:jc w:val="center"/>
              <w:rPr>
                <w:rFonts w:hint="default" w:eastAsia="宋体"/>
                <w:sz w:val="24"/>
                <w:lang w:val="en-US" w:eastAsia="zh-CN"/>
              </w:rPr>
            </w:pPr>
            <w:r>
              <w:rPr>
                <w:rFonts w:hint="eastAsia"/>
                <w:sz w:val="24"/>
                <w:lang w:val="en-US" w:eastAsia="zh-CN"/>
              </w:rPr>
              <w:t>16</w:t>
            </w:r>
          </w:p>
        </w:tc>
        <w:tc>
          <w:tcPr>
            <w:tcW w:w="1662" w:type="dxa"/>
            <w:vAlign w:val="top"/>
          </w:tcPr>
          <w:p>
            <w:pPr>
              <w:pStyle w:val="24"/>
              <w:spacing w:before="2"/>
              <w:jc w:val="center"/>
              <w:rPr>
                <w:sz w:val="24"/>
              </w:rPr>
            </w:pPr>
            <w:r>
              <w:rPr>
                <w:sz w:val="24"/>
              </w:rPr>
              <w:t>付款方式</w:t>
            </w:r>
          </w:p>
        </w:tc>
        <w:tc>
          <w:tcPr>
            <w:tcW w:w="7339" w:type="dxa"/>
            <w:vAlign w:val="top"/>
          </w:tcPr>
          <w:p>
            <w:pPr>
              <w:pStyle w:val="24"/>
              <w:spacing w:before="2"/>
              <w:ind w:left="107" w:leftChars="0"/>
              <w:rPr>
                <w:spacing w:val="-8"/>
                <w:sz w:val="24"/>
                <w:lang w:eastAsia="zh-CN"/>
              </w:rPr>
            </w:pPr>
            <w:r>
              <w:rPr>
                <w:sz w:val="24"/>
                <w:lang w:eastAsia="zh-CN"/>
              </w:rPr>
              <w:t>按成交单位与采购单位签订合同的付款方式执行。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 w:type="dxa"/>
          <w:trHeight w:val="696" w:hRule="atLeast"/>
        </w:trPr>
        <w:tc>
          <w:tcPr>
            <w:tcW w:w="1047" w:type="dxa"/>
            <w:vAlign w:val="top"/>
          </w:tcPr>
          <w:p>
            <w:pPr>
              <w:pStyle w:val="24"/>
              <w:spacing w:before="175"/>
              <w:ind w:left="137" w:leftChars="0" w:right="130" w:rightChars="0"/>
              <w:jc w:val="center"/>
              <w:rPr>
                <w:rFonts w:hint="default" w:eastAsia="宋体"/>
                <w:sz w:val="24"/>
                <w:lang w:val="en-US" w:eastAsia="zh-CN"/>
              </w:rPr>
            </w:pPr>
            <w:r>
              <w:rPr>
                <w:rFonts w:hint="eastAsia"/>
                <w:sz w:val="24"/>
                <w:lang w:val="en-US" w:eastAsia="zh-CN"/>
              </w:rPr>
              <w:t>17</w:t>
            </w:r>
          </w:p>
        </w:tc>
        <w:tc>
          <w:tcPr>
            <w:tcW w:w="1662" w:type="dxa"/>
            <w:vAlign w:val="top"/>
          </w:tcPr>
          <w:p>
            <w:pPr>
              <w:pStyle w:val="24"/>
              <w:spacing w:before="5"/>
              <w:rPr>
                <w:rFonts w:ascii="Times New Roman"/>
                <w:sz w:val="20"/>
              </w:rPr>
            </w:pPr>
          </w:p>
          <w:p>
            <w:pPr>
              <w:pStyle w:val="24"/>
              <w:ind w:left="252" w:leftChars="0"/>
              <w:rPr>
                <w:sz w:val="24"/>
              </w:rPr>
            </w:pPr>
            <w:r>
              <w:rPr>
                <w:sz w:val="24"/>
              </w:rPr>
              <w:t>履约保证金</w:t>
            </w:r>
          </w:p>
        </w:tc>
        <w:tc>
          <w:tcPr>
            <w:tcW w:w="7339" w:type="dxa"/>
            <w:vAlign w:val="top"/>
          </w:tcPr>
          <w:p>
            <w:pPr>
              <w:pStyle w:val="24"/>
              <w:ind w:left="107" w:leftChars="0"/>
              <w:rPr>
                <w:spacing w:val="-8"/>
                <w:sz w:val="24"/>
                <w:lang w:eastAsia="zh-CN"/>
              </w:rPr>
            </w:pPr>
            <w:r>
              <w:rPr>
                <w:sz w:val="24"/>
                <w:lang w:eastAsia="zh-CN"/>
              </w:rPr>
              <w:t>履</w:t>
            </w:r>
            <w:r>
              <w:rPr>
                <w:rFonts w:hint="eastAsia"/>
                <w:sz w:val="24"/>
                <w:lang w:val="zh-CN" w:eastAsia="zh-CN"/>
              </w:rPr>
              <w:t>约保证金：履约保证金为中标价的10%，中标人与招标人签订合同的同时提交履约保证金，如中标人提供的服务未满足招标人需求，则招标人有权扣除履约保证金。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 w:type="dxa"/>
          <w:trHeight w:val="696" w:hRule="atLeast"/>
        </w:trPr>
        <w:tc>
          <w:tcPr>
            <w:tcW w:w="1047" w:type="dxa"/>
            <w:vAlign w:val="top"/>
          </w:tcPr>
          <w:p>
            <w:pPr>
              <w:pStyle w:val="24"/>
              <w:spacing w:before="175"/>
              <w:ind w:left="137" w:leftChars="0" w:right="130" w:rightChars="0"/>
              <w:jc w:val="center"/>
              <w:rPr>
                <w:rFonts w:hint="eastAsia"/>
                <w:sz w:val="24"/>
                <w:lang w:val="en-US" w:eastAsia="zh-CN"/>
              </w:rPr>
            </w:pPr>
          </w:p>
          <w:p>
            <w:pPr>
              <w:pStyle w:val="24"/>
              <w:spacing w:before="175"/>
              <w:ind w:left="137" w:leftChars="0" w:right="130" w:rightChars="0"/>
              <w:jc w:val="center"/>
              <w:rPr>
                <w:rFonts w:hint="default"/>
                <w:sz w:val="24"/>
                <w:lang w:val="en-US" w:eastAsia="zh-CN"/>
              </w:rPr>
            </w:pPr>
            <w:r>
              <w:rPr>
                <w:rFonts w:hint="eastAsia"/>
                <w:sz w:val="24"/>
                <w:lang w:val="en-US" w:eastAsia="zh-CN"/>
              </w:rPr>
              <w:t>18</w:t>
            </w:r>
          </w:p>
        </w:tc>
        <w:tc>
          <w:tcPr>
            <w:tcW w:w="1662" w:type="dxa"/>
            <w:vAlign w:val="top"/>
          </w:tcPr>
          <w:p>
            <w:pPr>
              <w:pStyle w:val="24"/>
              <w:ind w:left="252" w:leftChars="0"/>
              <w:rPr>
                <w:rFonts w:hint="eastAsia" w:ascii="宋体" w:hAnsi="宋体" w:eastAsia="宋体" w:cs="宋体"/>
                <w:sz w:val="24"/>
                <w:lang w:val="en-US" w:eastAsia="zh-CN"/>
              </w:rPr>
            </w:pPr>
          </w:p>
          <w:p>
            <w:pPr>
              <w:pStyle w:val="24"/>
              <w:ind w:left="252" w:leftChars="0"/>
              <w:rPr>
                <w:rFonts w:hint="eastAsia" w:ascii="宋体" w:hAnsi="宋体" w:eastAsia="宋体" w:cs="宋体"/>
                <w:sz w:val="24"/>
                <w:lang w:val="en-US" w:eastAsia="zh-CN"/>
              </w:rPr>
            </w:pPr>
          </w:p>
          <w:p>
            <w:pPr>
              <w:pStyle w:val="24"/>
              <w:ind w:left="252" w:leftChars="0"/>
              <w:rPr>
                <w:sz w:val="24"/>
              </w:rPr>
            </w:pPr>
            <w:r>
              <w:rPr>
                <w:rFonts w:hint="eastAsia" w:ascii="宋体" w:hAnsi="宋体" w:eastAsia="宋体" w:cs="宋体"/>
                <w:sz w:val="24"/>
                <w:lang w:val="en-US" w:eastAsia="zh-CN"/>
              </w:rPr>
              <w:t>补充说明</w:t>
            </w:r>
          </w:p>
        </w:tc>
        <w:tc>
          <w:tcPr>
            <w:tcW w:w="7339" w:type="dxa"/>
            <w:vAlign w:val="top"/>
          </w:tcPr>
          <w:p>
            <w:pPr>
              <w:spacing w:line="340" w:lineRule="exact"/>
              <w:ind w:firstLine="241" w:firstLineChars="1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投标供应商制作投标文件的CA锁必须和开标解密的CA锁为同一把锁，在解密过程中因为CA锁不同而导致解密失败的，由投标供应商自行承担。</w:t>
            </w:r>
          </w:p>
          <w:p>
            <w:pPr>
              <w:pStyle w:val="24"/>
              <w:ind w:left="107" w:leftChars="0"/>
              <w:rPr>
                <w:sz w:val="24"/>
                <w:lang w:eastAsia="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 w:type="dxa"/>
          <w:trHeight w:val="696" w:hRule="atLeast"/>
        </w:trPr>
        <w:tc>
          <w:tcPr>
            <w:tcW w:w="1047" w:type="dxa"/>
            <w:vAlign w:val="center"/>
          </w:tcPr>
          <w:p>
            <w:pPr>
              <w:pStyle w:val="30"/>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rPr>
                <w:rFonts w:hint="default" w:ascii="宋体" w:hAnsi="宋体" w:eastAsia="宋体" w:cs="宋体"/>
                <w:sz w:val="21"/>
                <w:szCs w:val="21"/>
                <w:lang w:val="en-US" w:eastAsia="zh-CN" w:bidi="ar-SA"/>
              </w:rPr>
            </w:pPr>
            <w:r>
              <w:rPr>
                <w:rFonts w:hint="eastAsia" w:hAnsi="宋体" w:cs="宋体"/>
                <w:sz w:val="21"/>
                <w:szCs w:val="21"/>
                <w:lang w:val="en-US" w:eastAsia="zh-CN" w:bidi="ar-SA"/>
              </w:rPr>
              <w:t>19</w:t>
            </w:r>
          </w:p>
        </w:tc>
        <w:tc>
          <w:tcPr>
            <w:tcW w:w="1662" w:type="dxa"/>
            <w:vAlign w:val="center"/>
          </w:tcPr>
          <w:p>
            <w:pPr>
              <w:keepNext w:val="0"/>
              <w:keepLines w:val="0"/>
              <w:pageBreakBefore w:val="0"/>
              <w:widowControl w:val="0"/>
              <w:kinsoku/>
              <w:wordWrap/>
              <w:overflowPunct/>
              <w:topLinePunct w:val="0"/>
              <w:bidi w:val="0"/>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重要提示</w:t>
            </w:r>
          </w:p>
        </w:tc>
        <w:tc>
          <w:tcPr>
            <w:tcW w:w="7339" w:type="dxa"/>
            <w:vAlign w:val="center"/>
          </w:tcPr>
          <w:p>
            <w:pPr>
              <w:spacing w:line="34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（1）中标供应商应在规定期限内领取《中标通知书》，若中标供应商未在规定期限内领取《中标通知书》，采购人有权取消中标供应商中标资格，并将相关违约行为报送监管部门，实施信用惩戒； </w:t>
            </w:r>
          </w:p>
          <w:p>
            <w:pPr>
              <w:spacing w:line="34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2）中标供应商应在规定期限内提交履约担保并与采购人签订合同，若中标供应商未能在规定期限内提交履约担保或签订合同，采购人有权取消中标供应商中标资格，并将相关违约行为报送监管部门，实施信用惩戒； </w:t>
            </w:r>
          </w:p>
          <w:p>
            <w:pPr>
              <w:spacing w:line="34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3）合同签订后，中标供应商存在规定时间内不组织人员进场开工，不履行供货、安装或服务义务等情况，采购人有权解除合同，并追究违约责任，同时将相关违约行为报送监管部门，记不良行为记录，实施信用惩戒； </w:t>
            </w:r>
          </w:p>
          <w:p>
            <w:pPr>
              <w:spacing w:line="34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（4）中标供应商中标后被监管部门查实存在违法行为，不满足中标条件的，由采购人取消中标资格，并做好项目后续工作； </w:t>
            </w:r>
          </w:p>
          <w:p>
            <w:pPr>
              <w:tabs>
                <w:tab w:val="left" w:pos="7665"/>
              </w:tabs>
              <w:spacing w:line="240" w:lineRule="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（5）中标供应商在中标项目发生投诉、信访举报案件、履约存在争议时，拒绝协助配合执法部门调查案件的，采购人可以取消其中标资格或解除合同，并追究其违约责任。</w:t>
            </w:r>
          </w:p>
        </w:tc>
      </w:tr>
    </w:tbl>
    <w:p>
      <w:pPr>
        <w:pStyle w:val="8"/>
        <w:spacing w:before="18" w:line="249" w:lineRule="auto"/>
        <w:ind w:left="100" w:right="139"/>
        <w:rPr>
          <w:b/>
          <w:lang w:eastAsia="zh-CN"/>
        </w:rPr>
      </w:pPr>
    </w:p>
    <w:p>
      <w:pPr>
        <w:pStyle w:val="8"/>
        <w:spacing w:before="18" w:line="249" w:lineRule="auto"/>
        <w:ind w:left="100" w:right="139"/>
        <w:rPr>
          <w:b/>
          <w:lang w:eastAsia="zh-CN"/>
        </w:rPr>
      </w:pPr>
    </w:p>
    <w:p>
      <w:pPr>
        <w:bidi w:val="0"/>
        <w:rPr>
          <w:lang w:val="en-US" w:eastAsia="zh-CN"/>
        </w:rPr>
      </w:pPr>
      <w:r>
        <w:rPr>
          <w:b/>
          <w:lang w:eastAsia="zh-CN"/>
        </w:rPr>
        <w:t>注：</w:t>
      </w:r>
      <w:r>
        <w:rPr>
          <w:lang w:eastAsia="zh-CN"/>
        </w:rPr>
        <w:t>本须知前附表的条款号是与《供应商须知》正文中条款的项号相对应的。“供应商须知前附</w:t>
      </w:r>
      <w:r>
        <w:rPr>
          <w:spacing w:val="-12"/>
          <w:lang w:eastAsia="zh-CN"/>
        </w:rPr>
        <w:t xml:space="preserve">表”用于进一步明确“供应商须知”正文中的未尽事宜，但须知前附表中的内容与“供应商须知” </w:t>
      </w:r>
      <w:r>
        <w:rPr>
          <w:lang w:eastAsia="zh-CN"/>
        </w:rPr>
        <w:t>正文内容相抵触的，抵触内容无效。供应商对本竞争性磋商文件有不明之处，欢迎进行必要的咨询或书面提出澄清。</w:t>
      </w: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pStyle w:val="29"/>
        <w:numPr>
          <w:ilvl w:val="0"/>
          <w:numId w:val="0"/>
        </w:numPr>
        <w:rPr>
          <w:lang w:val="en-US" w:eastAsia="zh-CN"/>
        </w:rPr>
        <w:sectPr>
          <w:footerReference r:id="rId5" w:type="default"/>
          <w:pgSz w:w="12240" w:h="15840"/>
          <w:pgMar w:top="1320" w:right="820" w:bottom="1120" w:left="980" w:header="721" w:footer="939" w:gutter="0"/>
          <w:pgNumType w:fmt="decimal" w:start="1"/>
          <w:cols w:space="720" w:num="1"/>
        </w:sectPr>
      </w:pPr>
    </w:p>
    <w:p>
      <w:pPr>
        <w:pStyle w:val="8"/>
        <w:spacing w:line="20" w:lineRule="exact"/>
        <w:ind w:left="110"/>
        <w:rPr>
          <w:sz w:val="2"/>
        </w:rPr>
      </w:pPr>
    </w:p>
    <w:p>
      <w:pPr>
        <w:pStyle w:val="4"/>
        <w:spacing w:before="98"/>
        <w:ind w:left="2579" w:right="3383"/>
        <w:jc w:val="center"/>
      </w:pPr>
      <w:r>
        <w:t>1、总则</w:t>
      </w:r>
    </w:p>
    <w:p>
      <w:pPr>
        <w:pStyle w:val="4"/>
        <w:numPr>
          <w:ilvl w:val="1"/>
          <w:numId w:val="8"/>
        </w:numPr>
        <w:tabs>
          <w:tab w:val="left" w:pos="601"/>
        </w:tabs>
        <w:spacing w:before="29"/>
        <w:ind w:hanging="482"/>
      </w:pPr>
      <w:r>
        <w:t>项目概况</w:t>
      </w:r>
    </w:p>
    <w:p>
      <w:pPr>
        <w:pStyle w:val="26"/>
        <w:numPr>
          <w:ilvl w:val="2"/>
          <w:numId w:val="9"/>
        </w:numPr>
        <w:tabs>
          <w:tab w:val="left" w:pos="839"/>
        </w:tabs>
        <w:spacing w:before="14" w:line="249" w:lineRule="auto"/>
        <w:ind w:left="118" w:leftChars="0" w:right="377" w:rightChars="0"/>
        <w:jc w:val="both"/>
        <w:rPr>
          <w:sz w:val="24"/>
          <w:lang w:eastAsia="zh-CN"/>
        </w:rPr>
      </w:pPr>
      <w:r>
        <w:rPr>
          <w:rFonts w:hint="eastAsia"/>
          <w:spacing w:val="-20"/>
          <w:sz w:val="24"/>
          <w:lang w:val="en-US" w:eastAsia="zh-CN"/>
        </w:rPr>
        <w:t xml:space="preserve"> </w:t>
      </w:r>
      <w:r>
        <w:rPr>
          <w:spacing w:val="-20"/>
          <w:sz w:val="24"/>
          <w:lang w:eastAsia="zh-CN"/>
        </w:rPr>
        <w:t>根据《中华人民共和国政府采购法》、《政府采购非招标采购方式管理办法》</w:t>
      </w:r>
      <w:r>
        <w:rPr>
          <w:sz w:val="24"/>
          <w:lang w:eastAsia="zh-CN"/>
        </w:rPr>
        <w:t>（</w:t>
      </w:r>
      <w:r>
        <w:rPr>
          <w:spacing w:val="-17"/>
          <w:sz w:val="24"/>
          <w:lang w:eastAsia="zh-CN"/>
        </w:rPr>
        <w:t>财</w:t>
      </w:r>
      <w:r>
        <w:rPr>
          <w:spacing w:val="-12"/>
          <w:sz w:val="24"/>
          <w:lang w:eastAsia="zh-CN"/>
        </w:rPr>
        <w:t xml:space="preserve">政部令第 </w:t>
      </w:r>
      <w:r>
        <w:rPr>
          <w:sz w:val="24"/>
          <w:lang w:eastAsia="zh-CN"/>
        </w:rPr>
        <w:t>74</w:t>
      </w:r>
      <w:r>
        <w:rPr>
          <w:spacing w:val="-30"/>
          <w:sz w:val="24"/>
          <w:lang w:eastAsia="zh-CN"/>
        </w:rPr>
        <w:t xml:space="preserve"> 号</w:t>
      </w:r>
      <w:r>
        <w:rPr>
          <w:sz w:val="24"/>
          <w:lang w:eastAsia="zh-CN"/>
        </w:rPr>
        <w:t>）</w:t>
      </w:r>
    </w:p>
    <w:p>
      <w:pPr>
        <w:pStyle w:val="26"/>
        <w:numPr>
          <w:ilvl w:val="0"/>
          <w:numId w:val="0"/>
        </w:numPr>
        <w:tabs>
          <w:tab w:val="left" w:pos="839"/>
        </w:tabs>
        <w:spacing w:before="14" w:line="249" w:lineRule="auto"/>
        <w:ind w:left="118" w:leftChars="0" w:right="377" w:rightChars="0"/>
        <w:jc w:val="both"/>
        <w:rPr>
          <w:sz w:val="24"/>
          <w:lang w:eastAsia="zh-CN"/>
        </w:rPr>
      </w:pPr>
      <w:r>
        <w:rPr>
          <w:rFonts w:hint="eastAsia"/>
          <w:spacing w:val="-20"/>
          <w:sz w:val="24"/>
          <w:lang w:val="en-US" w:eastAsia="zh-CN"/>
        </w:rPr>
        <w:t xml:space="preserve">1.1.2   </w:t>
      </w:r>
      <w:r>
        <w:rPr>
          <w:sz w:val="24"/>
          <w:lang w:eastAsia="zh-CN"/>
        </w:rPr>
        <w:t>等有关法律、法规和规章的规定，本招标项目已具备招标条件，现对本项目进行招标。</w:t>
      </w:r>
    </w:p>
    <w:p>
      <w:pPr>
        <w:pStyle w:val="26"/>
        <w:numPr>
          <w:ilvl w:val="0"/>
          <w:numId w:val="0"/>
        </w:numPr>
        <w:tabs>
          <w:tab w:val="left" w:pos="839"/>
        </w:tabs>
        <w:spacing w:before="1"/>
        <w:ind w:left="118" w:leftChars="0"/>
        <w:rPr>
          <w:sz w:val="24"/>
          <w:lang w:eastAsia="zh-CN"/>
        </w:rPr>
      </w:pPr>
      <w:r>
        <w:rPr>
          <w:rFonts w:hint="eastAsia"/>
          <w:spacing w:val="-20"/>
          <w:sz w:val="24"/>
          <w:lang w:val="en-US" w:eastAsia="zh-CN"/>
        </w:rPr>
        <w:t xml:space="preserve">1.1.3   </w:t>
      </w:r>
      <w:r>
        <w:rPr>
          <w:sz w:val="24"/>
          <w:lang w:eastAsia="zh-CN"/>
        </w:rPr>
        <w:t>本招标项目采购人：见供应商须知前附表。</w:t>
      </w:r>
    </w:p>
    <w:p>
      <w:pPr>
        <w:pStyle w:val="26"/>
        <w:numPr>
          <w:ilvl w:val="0"/>
          <w:numId w:val="0"/>
        </w:numPr>
        <w:tabs>
          <w:tab w:val="left" w:pos="839"/>
        </w:tabs>
        <w:spacing w:before="11"/>
        <w:ind w:left="118" w:leftChars="0"/>
        <w:rPr>
          <w:sz w:val="24"/>
          <w:lang w:eastAsia="zh-CN"/>
        </w:rPr>
      </w:pPr>
      <w:r>
        <w:rPr>
          <w:rFonts w:hint="eastAsia"/>
          <w:spacing w:val="-20"/>
          <w:sz w:val="24"/>
          <w:lang w:val="en-US" w:eastAsia="zh-CN"/>
        </w:rPr>
        <w:t xml:space="preserve">1.1.4   </w:t>
      </w:r>
      <w:r>
        <w:rPr>
          <w:sz w:val="24"/>
          <w:lang w:eastAsia="zh-CN"/>
        </w:rPr>
        <w:t>本标段招标代理机构：见供应商须知前附表。</w:t>
      </w:r>
    </w:p>
    <w:p>
      <w:pPr>
        <w:pStyle w:val="26"/>
        <w:numPr>
          <w:ilvl w:val="0"/>
          <w:numId w:val="0"/>
        </w:numPr>
        <w:tabs>
          <w:tab w:val="left" w:pos="839"/>
        </w:tabs>
        <w:spacing w:before="12"/>
        <w:ind w:left="118" w:leftChars="0"/>
        <w:rPr>
          <w:sz w:val="24"/>
          <w:lang w:eastAsia="zh-CN"/>
        </w:rPr>
      </w:pPr>
      <w:r>
        <w:rPr>
          <w:rFonts w:hint="eastAsia"/>
          <w:spacing w:val="-20"/>
          <w:sz w:val="24"/>
          <w:lang w:val="en-US" w:eastAsia="zh-CN"/>
        </w:rPr>
        <w:t xml:space="preserve">1.1.5   </w:t>
      </w:r>
      <w:r>
        <w:rPr>
          <w:sz w:val="24"/>
          <w:lang w:eastAsia="zh-CN"/>
        </w:rPr>
        <w:t>本招标项目名称：见供应商须知前附表。</w:t>
      </w:r>
    </w:p>
    <w:p>
      <w:pPr>
        <w:pStyle w:val="26"/>
        <w:numPr>
          <w:ilvl w:val="0"/>
          <w:numId w:val="0"/>
        </w:numPr>
        <w:tabs>
          <w:tab w:val="left" w:pos="839"/>
        </w:tabs>
        <w:spacing w:before="14"/>
        <w:ind w:left="118" w:leftChars="0"/>
        <w:rPr>
          <w:sz w:val="24"/>
          <w:lang w:eastAsia="zh-CN"/>
        </w:rPr>
      </w:pPr>
      <w:r>
        <w:rPr>
          <w:rFonts w:hint="eastAsia"/>
          <w:spacing w:val="-20"/>
          <w:sz w:val="24"/>
          <w:lang w:val="en-US" w:eastAsia="zh-CN"/>
        </w:rPr>
        <w:t xml:space="preserve">1.1.6   </w:t>
      </w:r>
      <w:r>
        <w:rPr>
          <w:sz w:val="24"/>
          <w:lang w:eastAsia="zh-CN"/>
        </w:rPr>
        <w:t>适用范围：本竞争性磋商文件仅适用于竞争性磋商文件中所叙述项目的招标。</w:t>
      </w:r>
    </w:p>
    <w:p>
      <w:pPr>
        <w:pStyle w:val="26"/>
        <w:numPr>
          <w:ilvl w:val="0"/>
          <w:numId w:val="0"/>
        </w:numPr>
        <w:tabs>
          <w:tab w:val="left" w:pos="839"/>
        </w:tabs>
        <w:spacing w:before="12"/>
        <w:ind w:left="118" w:leftChars="0"/>
        <w:rPr>
          <w:sz w:val="24"/>
          <w:lang w:eastAsia="zh-CN"/>
        </w:rPr>
      </w:pPr>
      <w:r>
        <w:rPr>
          <w:rFonts w:hint="eastAsia"/>
          <w:spacing w:val="-20"/>
          <w:sz w:val="24"/>
          <w:lang w:val="en-US" w:eastAsia="zh-CN"/>
        </w:rPr>
        <w:t xml:space="preserve">1.1.7   </w:t>
      </w:r>
      <w:r>
        <w:rPr>
          <w:sz w:val="24"/>
          <w:lang w:eastAsia="zh-CN"/>
        </w:rPr>
        <w:t>本招标项目的资金来源：见供应商须知前附表。</w:t>
      </w:r>
    </w:p>
    <w:p>
      <w:pPr>
        <w:pStyle w:val="26"/>
        <w:numPr>
          <w:ilvl w:val="0"/>
          <w:numId w:val="0"/>
        </w:numPr>
        <w:tabs>
          <w:tab w:val="left" w:pos="839"/>
        </w:tabs>
        <w:spacing w:before="11"/>
        <w:ind w:left="118" w:leftChars="0"/>
        <w:rPr>
          <w:sz w:val="24"/>
          <w:lang w:eastAsia="zh-CN"/>
        </w:rPr>
      </w:pPr>
      <w:r>
        <w:rPr>
          <w:rFonts w:hint="eastAsia"/>
          <w:spacing w:val="-20"/>
          <w:sz w:val="24"/>
          <w:lang w:val="en-US" w:eastAsia="zh-CN"/>
        </w:rPr>
        <w:t xml:space="preserve">1.1.8   </w:t>
      </w:r>
      <w:r>
        <w:rPr>
          <w:sz w:val="24"/>
          <w:lang w:eastAsia="zh-CN"/>
        </w:rPr>
        <w:t>本招标项目的资金落实情况：见供应商须知前附表。</w:t>
      </w:r>
    </w:p>
    <w:p>
      <w:pPr>
        <w:pStyle w:val="4"/>
        <w:numPr>
          <w:ilvl w:val="1"/>
          <w:numId w:val="10"/>
        </w:numPr>
        <w:tabs>
          <w:tab w:val="left" w:pos="721"/>
        </w:tabs>
        <w:spacing w:before="15"/>
        <w:ind w:hanging="602"/>
      </w:pPr>
      <w:r>
        <w:t>定义</w:t>
      </w:r>
    </w:p>
    <w:p>
      <w:pPr>
        <w:pStyle w:val="26"/>
        <w:numPr>
          <w:ilvl w:val="2"/>
          <w:numId w:val="10"/>
        </w:numPr>
        <w:tabs>
          <w:tab w:val="left" w:pos="839"/>
        </w:tabs>
        <w:spacing w:before="11"/>
        <w:rPr>
          <w:sz w:val="24"/>
          <w:lang w:eastAsia="zh-CN"/>
        </w:rPr>
      </w:pPr>
      <w:r>
        <w:rPr>
          <w:sz w:val="24"/>
          <w:lang w:eastAsia="zh-CN"/>
        </w:rPr>
        <w:t>“采购代理人”系指组织本次招标活动的招标代理机构。</w:t>
      </w:r>
    </w:p>
    <w:p>
      <w:pPr>
        <w:pStyle w:val="26"/>
        <w:numPr>
          <w:ilvl w:val="2"/>
          <w:numId w:val="10"/>
        </w:numPr>
        <w:tabs>
          <w:tab w:val="left" w:pos="839"/>
        </w:tabs>
        <w:spacing w:before="12"/>
        <w:rPr>
          <w:sz w:val="24"/>
          <w:lang w:eastAsia="zh-CN"/>
        </w:rPr>
      </w:pPr>
      <w:r>
        <w:rPr>
          <w:sz w:val="24"/>
          <w:lang w:eastAsia="zh-CN"/>
        </w:rPr>
        <w:t>“采购人”系指：</w:t>
      </w:r>
      <w:r>
        <w:rPr>
          <w:b/>
          <w:sz w:val="24"/>
          <w:lang w:eastAsia="zh-CN"/>
        </w:rPr>
        <w:t>于田县教育局</w:t>
      </w:r>
      <w:r>
        <w:rPr>
          <w:sz w:val="24"/>
          <w:lang w:eastAsia="zh-CN"/>
        </w:rPr>
        <w:t>。</w:t>
      </w:r>
    </w:p>
    <w:p>
      <w:pPr>
        <w:pStyle w:val="26"/>
        <w:numPr>
          <w:ilvl w:val="2"/>
          <w:numId w:val="10"/>
        </w:numPr>
        <w:tabs>
          <w:tab w:val="left" w:pos="839"/>
        </w:tabs>
        <w:spacing w:before="14"/>
        <w:rPr>
          <w:sz w:val="24"/>
          <w:lang w:eastAsia="zh-CN"/>
        </w:rPr>
      </w:pPr>
      <w:r>
        <w:rPr>
          <w:sz w:val="24"/>
          <w:lang w:eastAsia="zh-CN"/>
        </w:rPr>
        <w:t>“潜在供应商”系指购买了本竞争性磋商文件的供应商。</w:t>
      </w:r>
    </w:p>
    <w:p>
      <w:pPr>
        <w:pStyle w:val="26"/>
        <w:numPr>
          <w:ilvl w:val="2"/>
          <w:numId w:val="10"/>
        </w:numPr>
        <w:tabs>
          <w:tab w:val="left" w:pos="839"/>
        </w:tabs>
        <w:spacing w:before="12"/>
        <w:rPr>
          <w:sz w:val="24"/>
          <w:lang w:eastAsia="zh-CN"/>
        </w:rPr>
      </w:pPr>
      <w:r>
        <w:rPr>
          <w:sz w:val="24"/>
          <w:lang w:eastAsia="zh-CN"/>
        </w:rPr>
        <w:t>“供应商”系指购买了本竞争性磋商文件，且已经提交本次响应文件的供应商。</w:t>
      </w:r>
    </w:p>
    <w:p>
      <w:pPr>
        <w:pStyle w:val="26"/>
        <w:numPr>
          <w:ilvl w:val="2"/>
          <w:numId w:val="10"/>
        </w:numPr>
        <w:tabs>
          <w:tab w:val="left" w:pos="839"/>
        </w:tabs>
        <w:spacing w:before="11" w:line="252" w:lineRule="auto"/>
        <w:ind w:left="118" w:right="325" w:firstLine="0"/>
        <w:rPr>
          <w:sz w:val="24"/>
          <w:lang w:eastAsia="zh-CN"/>
        </w:rPr>
      </w:pPr>
      <w:r>
        <w:rPr>
          <w:spacing w:val="-1"/>
          <w:sz w:val="24"/>
          <w:lang w:eastAsia="zh-CN"/>
        </w:rPr>
        <w:t>“货物或产品”系指供方按竞争性磋商文件规定，须向采购人提供的一切货物、</w:t>
      </w:r>
      <w:r>
        <w:rPr>
          <w:sz w:val="24"/>
          <w:lang w:eastAsia="zh-CN"/>
        </w:rPr>
        <w:t>保险、税金、备品备件、工具、手册及其它有关技术资料和材料。</w:t>
      </w:r>
    </w:p>
    <w:p>
      <w:pPr>
        <w:pStyle w:val="26"/>
        <w:numPr>
          <w:ilvl w:val="2"/>
          <w:numId w:val="10"/>
        </w:numPr>
        <w:tabs>
          <w:tab w:val="left" w:pos="805"/>
        </w:tabs>
        <w:spacing w:line="249" w:lineRule="auto"/>
        <w:ind w:left="118" w:right="257" w:firstLine="0"/>
        <w:rPr>
          <w:sz w:val="24"/>
          <w:lang w:eastAsia="zh-CN"/>
        </w:rPr>
      </w:pPr>
      <w:r>
        <w:rPr>
          <w:spacing w:val="-11"/>
          <w:sz w:val="24"/>
          <w:lang w:eastAsia="zh-CN"/>
        </w:rPr>
        <w:t>“服务”系指竞争性磋商文件规定供应商须承担的安装、调试、技术协助、校准、</w:t>
      </w:r>
      <w:r>
        <w:rPr>
          <w:sz w:val="24"/>
          <w:lang w:eastAsia="zh-CN"/>
        </w:rPr>
        <w:t>培训、保修、保养、提供售后服务以及其他类似的义务。</w:t>
      </w:r>
    </w:p>
    <w:p>
      <w:pPr>
        <w:pStyle w:val="4"/>
        <w:numPr>
          <w:ilvl w:val="1"/>
          <w:numId w:val="10"/>
        </w:numPr>
        <w:tabs>
          <w:tab w:val="left" w:pos="721"/>
        </w:tabs>
        <w:ind w:hanging="602"/>
      </w:pPr>
      <w:r>
        <w:t>合格的供应商</w:t>
      </w:r>
    </w:p>
    <w:p>
      <w:pPr>
        <w:pStyle w:val="26"/>
        <w:numPr>
          <w:ilvl w:val="2"/>
          <w:numId w:val="10"/>
        </w:numPr>
        <w:tabs>
          <w:tab w:val="left" w:pos="779"/>
        </w:tabs>
        <w:spacing w:before="8"/>
        <w:ind w:left="778" w:hanging="660"/>
        <w:rPr>
          <w:sz w:val="24"/>
          <w:lang w:eastAsia="zh-CN"/>
        </w:rPr>
      </w:pPr>
      <w:r>
        <w:rPr>
          <w:sz w:val="24"/>
          <w:lang w:eastAsia="zh-CN"/>
        </w:rPr>
        <w:t>符合第二章供应商须知前附表中资格要求中的各条要求。</w:t>
      </w:r>
    </w:p>
    <w:p>
      <w:pPr>
        <w:pStyle w:val="26"/>
        <w:numPr>
          <w:ilvl w:val="2"/>
          <w:numId w:val="10"/>
        </w:numPr>
        <w:tabs>
          <w:tab w:val="left" w:pos="839"/>
        </w:tabs>
        <w:spacing w:before="12"/>
        <w:rPr>
          <w:sz w:val="24"/>
          <w:lang w:eastAsia="zh-CN"/>
        </w:rPr>
      </w:pPr>
      <w:r>
        <w:rPr>
          <w:sz w:val="24"/>
          <w:lang w:eastAsia="zh-CN"/>
        </w:rPr>
        <w:t>供应商应依法纳税及缴纳社会保障金。</w:t>
      </w:r>
    </w:p>
    <w:p>
      <w:pPr>
        <w:pStyle w:val="26"/>
        <w:numPr>
          <w:ilvl w:val="2"/>
          <w:numId w:val="10"/>
        </w:numPr>
        <w:tabs>
          <w:tab w:val="left" w:pos="779"/>
        </w:tabs>
        <w:spacing w:before="14"/>
        <w:ind w:left="778" w:hanging="660"/>
        <w:rPr>
          <w:sz w:val="24"/>
          <w:lang w:eastAsia="zh-CN"/>
        </w:rPr>
      </w:pPr>
      <w:r>
        <w:rPr>
          <w:sz w:val="24"/>
          <w:lang w:eastAsia="zh-CN"/>
        </w:rPr>
        <w:t>供应商应遵守中国的有关法律、法规和规章的规定。</w:t>
      </w:r>
    </w:p>
    <w:p>
      <w:pPr>
        <w:pStyle w:val="26"/>
        <w:numPr>
          <w:ilvl w:val="2"/>
          <w:numId w:val="10"/>
        </w:numPr>
        <w:tabs>
          <w:tab w:val="left" w:pos="779"/>
        </w:tabs>
        <w:spacing w:before="12" w:line="249" w:lineRule="auto"/>
        <w:ind w:left="118" w:right="385" w:firstLine="0"/>
        <w:rPr>
          <w:sz w:val="24"/>
          <w:lang w:eastAsia="zh-CN"/>
        </w:rPr>
      </w:pPr>
      <w:r>
        <w:rPr>
          <w:spacing w:val="-1"/>
          <w:sz w:val="24"/>
          <w:lang w:eastAsia="zh-CN"/>
        </w:rPr>
        <w:t>一个供应商只能提交一个响应文件。但如果供应商之间存在下列互为关联关系的</w:t>
      </w:r>
      <w:r>
        <w:rPr>
          <w:sz w:val="24"/>
          <w:lang w:eastAsia="zh-CN"/>
        </w:rPr>
        <w:t>情形之一的，不得同时参加本项目投标：</w:t>
      </w:r>
    </w:p>
    <w:p>
      <w:pPr>
        <w:pStyle w:val="26"/>
        <w:numPr>
          <w:ilvl w:val="0"/>
          <w:numId w:val="11"/>
        </w:numPr>
        <w:tabs>
          <w:tab w:val="left" w:pos="839"/>
        </w:tabs>
        <w:spacing w:before="1"/>
        <w:rPr>
          <w:sz w:val="24"/>
          <w:lang w:eastAsia="zh-CN"/>
        </w:rPr>
      </w:pPr>
      <w:r>
        <w:rPr>
          <w:sz w:val="24"/>
          <w:lang w:eastAsia="zh-CN"/>
        </w:rPr>
        <w:t>法定代表人为同一人的两个及两个以上法人；</w:t>
      </w:r>
    </w:p>
    <w:p>
      <w:pPr>
        <w:pStyle w:val="26"/>
        <w:numPr>
          <w:ilvl w:val="0"/>
          <w:numId w:val="11"/>
        </w:numPr>
        <w:tabs>
          <w:tab w:val="left" w:pos="839"/>
        </w:tabs>
        <w:spacing w:before="12"/>
        <w:rPr>
          <w:sz w:val="24"/>
          <w:lang w:eastAsia="zh-CN"/>
        </w:rPr>
      </w:pPr>
      <w:r>
        <w:rPr>
          <w:spacing w:val="-6"/>
          <w:sz w:val="24"/>
          <w:lang w:eastAsia="zh-CN"/>
        </w:rPr>
        <w:t>母公司、直接或间接持股</w:t>
      </w:r>
      <w:r>
        <w:rPr>
          <w:sz w:val="24"/>
          <w:lang w:eastAsia="zh-CN"/>
        </w:rPr>
        <w:t>50％及以上的被投资公司;</w:t>
      </w:r>
    </w:p>
    <w:p>
      <w:pPr>
        <w:pStyle w:val="26"/>
        <w:numPr>
          <w:ilvl w:val="0"/>
          <w:numId w:val="11"/>
        </w:numPr>
        <w:tabs>
          <w:tab w:val="left" w:pos="839"/>
        </w:tabs>
        <w:spacing w:before="11"/>
        <w:rPr>
          <w:sz w:val="24"/>
          <w:lang w:eastAsia="zh-CN"/>
        </w:rPr>
      </w:pPr>
      <w:r>
        <w:rPr>
          <w:spacing w:val="-4"/>
          <w:sz w:val="24"/>
          <w:lang w:eastAsia="zh-CN"/>
        </w:rPr>
        <w:t xml:space="preserve">均为同一家母公司直接或间接持股 </w:t>
      </w:r>
      <w:r>
        <w:rPr>
          <w:sz w:val="24"/>
          <w:lang w:eastAsia="zh-CN"/>
        </w:rPr>
        <w:t>50％及以上的被投资公司。</w:t>
      </w:r>
    </w:p>
    <w:p>
      <w:pPr>
        <w:pStyle w:val="26"/>
        <w:numPr>
          <w:ilvl w:val="2"/>
          <w:numId w:val="10"/>
        </w:numPr>
        <w:tabs>
          <w:tab w:val="left" w:pos="839"/>
        </w:tabs>
        <w:spacing w:before="15" w:line="249" w:lineRule="auto"/>
        <w:ind w:left="118" w:right="377" w:firstLine="0"/>
        <w:rPr>
          <w:sz w:val="24"/>
          <w:lang w:eastAsia="zh-CN"/>
        </w:rPr>
      </w:pPr>
      <w:r>
        <w:rPr>
          <w:spacing w:val="-5"/>
          <w:sz w:val="24"/>
          <w:lang w:eastAsia="zh-CN"/>
        </w:rPr>
        <w:t>供应商不得与本次招标项下设计、编制技术规格和其它文件的公司或提供咨询服</w:t>
      </w:r>
      <w:r>
        <w:rPr>
          <w:sz w:val="24"/>
          <w:lang w:eastAsia="zh-CN"/>
        </w:rPr>
        <w:t>务的公司包括其附属机构有任何关联。</w:t>
      </w:r>
    </w:p>
    <w:p>
      <w:pPr>
        <w:pStyle w:val="26"/>
        <w:numPr>
          <w:ilvl w:val="2"/>
          <w:numId w:val="10"/>
        </w:numPr>
        <w:tabs>
          <w:tab w:val="left" w:pos="839"/>
        </w:tabs>
        <w:spacing w:line="306" w:lineRule="exact"/>
        <w:rPr>
          <w:sz w:val="24"/>
          <w:lang w:eastAsia="zh-CN"/>
        </w:rPr>
      </w:pPr>
      <w:r>
        <w:rPr>
          <w:sz w:val="24"/>
          <w:lang w:eastAsia="zh-CN"/>
        </w:rPr>
        <w:t>本次开标不允许联合体投标。</w:t>
      </w:r>
    </w:p>
    <w:p>
      <w:pPr>
        <w:pStyle w:val="4"/>
        <w:spacing w:before="1"/>
        <w:ind w:left="118"/>
        <w:rPr>
          <w:lang w:eastAsia="zh-CN"/>
        </w:rPr>
      </w:pPr>
      <w:r>
        <w:rPr>
          <w:lang w:eastAsia="zh-CN"/>
        </w:rPr>
        <w:t>1.</w:t>
      </w:r>
      <w:r>
        <w:rPr>
          <w:rFonts w:hint="eastAsia"/>
          <w:lang w:val="en-US" w:eastAsia="zh-CN"/>
        </w:rPr>
        <w:t>4</w:t>
      </w:r>
      <w:r>
        <w:rPr>
          <w:lang w:eastAsia="zh-CN"/>
        </w:rPr>
        <w:t>. 投标费用</w:t>
      </w:r>
    </w:p>
    <w:p>
      <w:pPr>
        <w:pStyle w:val="8"/>
        <w:spacing w:before="12" w:line="252" w:lineRule="auto"/>
        <w:ind w:left="118" w:right="314"/>
        <w:rPr>
          <w:lang w:eastAsia="zh-CN"/>
        </w:rPr>
      </w:pPr>
      <w:r>
        <w:rPr>
          <w:lang w:eastAsia="zh-CN"/>
        </w:rPr>
        <w:t>1.</w:t>
      </w:r>
      <w:r>
        <w:rPr>
          <w:rFonts w:hint="eastAsia"/>
          <w:lang w:val="en-US" w:eastAsia="zh-CN"/>
        </w:rPr>
        <w:t>4</w:t>
      </w:r>
      <w:r>
        <w:rPr>
          <w:lang w:eastAsia="zh-CN"/>
        </w:rPr>
        <w:t>.1 供应商准备和参加投标活动所发生的一切费用（包括竞争性磋商文件购买、代理服务费等）均由供应商自理。</w:t>
      </w:r>
    </w:p>
    <w:p>
      <w:pPr>
        <w:pStyle w:val="4"/>
        <w:numPr>
          <w:ilvl w:val="0"/>
          <w:numId w:val="0"/>
        </w:numPr>
        <w:tabs>
          <w:tab w:val="left" w:pos="601"/>
        </w:tabs>
        <w:spacing w:line="303" w:lineRule="exact"/>
        <w:ind w:left="118" w:leftChars="0"/>
      </w:pPr>
      <w:r>
        <w:rPr>
          <w:rFonts w:hint="eastAsia"/>
          <w:lang w:val="en-US" w:eastAsia="zh-CN"/>
        </w:rPr>
        <w:t xml:space="preserve">1.5  </w:t>
      </w:r>
      <w:r>
        <w:t>踏勘现场投标前答疑会</w:t>
      </w:r>
    </w:p>
    <w:p>
      <w:pPr>
        <w:pStyle w:val="26"/>
        <w:numPr>
          <w:ilvl w:val="2"/>
          <w:numId w:val="0"/>
        </w:numPr>
        <w:tabs>
          <w:tab w:val="left" w:pos="779"/>
        </w:tabs>
        <w:spacing w:before="12" w:line="252" w:lineRule="auto"/>
        <w:ind w:left="172" w:leftChars="78" w:right="325" w:rightChars="0" w:firstLine="0" w:firstLineChars="0"/>
        <w:rPr>
          <w:sz w:val="24"/>
          <w:lang w:eastAsia="zh-CN"/>
        </w:rPr>
      </w:pPr>
      <w:r>
        <w:rPr>
          <w:rFonts w:hint="eastAsia" w:cs="宋体"/>
          <w:w w:val="100"/>
          <w:sz w:val="24"/>
          <w:szCs w:val="24"/>
          <w:lang w:val="en-US" w:eastAsia="zh-CN" w:bidi="ar-SA"/>
        </w:rPr>
        <w:t xml:space="preserve">1.5.1 </w:t>
      </w:r>
      <w:r>
        <w:rPr>
          <w:sz w:val="24"/>
          <w:lang w:eastAsia="zh-CN"/>
        </w:rPr>
        <w:t>采购人、采购代理机构可以视采购项目的具体情况，组织供应商进行现场考察或</w:t>
      </w:r>
      <w:r>
        <w:rPr>
          <w:spacing w:val="-1"/>
          <w:sz w:val="24"/>
          <w:lang w:eastAsia="zh-CN"/>
        </w:rPr>
        <w:t>召开投标前答疑会，但不得单独或分别组织只有一个供应商参加的现场考察和答疑会。</w:t>
      </w:r>
    </w:p>
    <w:p>
      <w:pPr>
        <w:pStyle w:val="26"/>
        <w:numPr>
          <w:ilvl w:val="2"/>
          <w:numId w:val="0"/>
        </w:numPr>
        <w:tabs>
          <w:tab w:val="left" w:pos="779"/>
        </w:tabs>
        <w:spacing w:line="249" w:lineRule="auto"/>
        <w:ind w:left="118" w:leftChars="0" w:right="385" w:rightChars="0" w:firstLine="0" w:firstLineChars="0"/>
        <w:rPr>
          <w:sz w:val="24"/>
          <w:lang w:eastAsia="zh-CN"/>
        </w:rPr>
      </w:pPr>
      <w:r>
        <w:rPr>
          <w:rFonts w:hint="eastAsia" w:cs="宋体"/>
          <w:w w:val="100"/>
          <w:sz w:val="24"/>
          <w:szCs w:val="24"/>
          <w:lang w:val="en-US" w:eastAsia="zh-CN" w:bidi="ar-SA"/>
        </w:rPr>
        <w:t>1.5.2</w:t>
      </w:r>
      <w:r>
        <w:rPr>
          <w:spacing w:val="-1"/>
          <w:sz w:val="24"/>
          <w:lang w:eastAsia="zh-CN"/>
        </w:rPr>
        <w:t>供应商须知前附表规定组织踏勘现场的，采购人应按供应商须知前附表规定的时</w:t>
      </w:r>
      <w:r>
        <w:rPr>
          <w:sz w:val="24"/>
          <w:lang w:eastAsia="zh-CN"/>
        </w:rPr>
        <w:t>间、地点组织供应商踏勘项目现场。</w:t>
      </w:r>
    </w:p>
    <w:p>
      <w:pPr>
        <w:pStyle w:val="26"/>
        <w:numPr>
          <w:ilvl w:val="2"/>
          <w:numId w:val="0"/>
        </w:numPr>
        <w:tabs>
          <w:tab w:val="left" w:pos="839"/>
        </w:tabs>
        <w:ind w:left="838" w:leftChars="0" w:hanging="720" w:firstLineChars="0"/>
        <w:rPr>
          <w:sz w:val="24"/>
          <w:lang w:eastAsia="zh-CN"/>
        </w:rPr>
      </w:pPr>
      <w:r>
        <w:rPr>
          <w:rFonts w:hint="eastAsia" w:cs="宋体"/>
          <w:w w:val="100"/>
          <w:sz w:val="24"/>
          <w:szCs w:val="24"/>
          <w:lang w:val="en-US" w:eastAsia="zh-CN" w:bidi="ar-SA"/>
        </w:rPr>
        <w:t>1.5.3</w:t>
      </w:r>
      <w:r>
        <w:rPr>
          <w:sz w:val="24"/>
          <w:lang w:eastAsia="zh-CN"/>
        </w:rPr>
        <w:t>供应商踏勘现场所发生的一切费用自理。</w:t>
      </w:r>
    </w:p>
    <w:p>
      <w:pPr>
        <w:pStyle w:val="26"/>
        <w:numPr>
          <w:ilvl w:val="2"/>
          <w:numId w:val="0"/>
        </w:numPr>
        <w:tabs>
          <w:tab w:val="left" w:pos="839"/>
        </w:tabs>
        <w:spacing w:before="7" w:line="249" w:lineRule="auto"/>
        <w:ind w:left="118" w:leftChars="0" w:right="565" w:rightChars="0" w:firstLine="0" w:firstLineChars="0"/>
        <w:rPr>
          <w:sz w:val="24"/>
          <w:lang w:eastAsia="zh-CN"/>
        </w:rPr>
      </w:pPr>
      <w:r>
        <w:rPr>
          <w:rFonts w:hint="eastAsia" w:cs="宋体"/>
          <w:w w:val="100"/>
          <w:sz w:val="24"/>
          <w:szCs w:val="24"/>
          <w:lang w:val="en-US" w:eastAsia="zh-CN" w:bidi="ar-SA"/>
        </w:rPr>
        <w:t>1.5.4</w:t>
      </w:r>
      <w:r>
        <w:rPr>
          <w:spacing w:val="-1"/>
          <w:sz w:val="24"/>
          <w:lang w:eastAsia="zh-CN"/>
        </w:rPr>
        <w:t>除采购人的原因外，供应商自行负责在踏勘现场中所发生的人员伤亡和财产损</w:t>
      </w:r>
      <w:r>
        <w:rPr>
          <w:sz w:val="24"/>
          <w:lang w:eastAsia="zh-CN"/>
        </w:rPr>
        <w:t>失。</w:t>
      </w:r>
    </w:p>
    <w:p>
      <w:pPr>
        <w:pStyle w:val="26"/>
        <w:numPr>
          <w:ilvl w:val="2"/>
          <w:numId w:val="0"/>
        </w:numPr>
        <w:tabs>
          <w:tab w:val="left" w:pos="779"/>
        </w:tabs>
        <w:spacing w:before="2" w:line="249" w:lineRule="auto"/>
        <w:ind w:left="118" w:leftChars="0" w:right="385" w:rightChars="0" w:firstLine="0" w:firstLineChars="0"/>
        <w:rPr>
          <w:sz w:val="24"/>
          <w:lang w:eastAsia="zh-CN"/>
        </w:rPr>
      </w:pPr>
      <w:r>
        <w:rPr>
          <w:rFonts w:hint="default" w:ascii="宋体" w:hAnsi="宋体" w:eastAsia="宋体" w:cs="宋体"/>
          <w:w w:val="100"/>
          <w:sz w:val="24"/>
          <w:szCs w:val="24"/>
          <w:lang w:val="en-US" w:eastAsia="zh-CN" w:bidi="ar-SA"/>
        </w:rPr>
        <w:t>1.</w:t>
      </w:r>
      <w:r>
        <w:rPr>
          <w:rFonts w:hint="eastAsia" w:cs="宋体"/>
          <w:w w:val="100"/>
          <w:sz w:val="24"/>
          <w:szCs w:val="24"/>
          <w:lang w:val="en-US" w:eastAsia="zh-CN" w:bidi="ar-SA"/>
        </w:rPr>
        <w:t>5</w:t>
      </w:r>
      <w:r>
        <w:rPr>
          <w:rFonts w:hint="default" w:ascii="宋体" w:hAnsi="宋体" w:eastAsia="宋体" w:cs="宋体"/>
          <w:w w:val="100"/>
          <w:sz w:val="24"/>
          <w:szCs w:val="24"/>
          <w:lang w:val="en-US" w:eastAsia="zh-CN" w:bidi="ar-SA"/>
        </w:rPr>
        <w:t>.5</w:t>
      </w:r>
      <w:r>
        <w:rPr>
          <w:spacing w:val="-1"/>
          <w:sz w:val="24"/>
          <w:lang w:eastAsia="zh-CN"/>
        </w:rPr>
        <w:t>采购人在踏勘现场中介绍的项目情况，仅供供应商在编制响应文件时参考，采购</w:t>
      </w:r>
      <w:r>
        <w:rPr>
          <w:sz w:val="24"/>
          <w:lang w:eastAsia="zh-CN"/>
        </w:rPr>
        <w:t>人不对供应商据此作出的判断和决策负责。</w:t>
      </w:r>
    </w:p>
    <w:p>
      <w:pPr>
        <w:pStyle w:val="26"/>
        <w:numPr>
          <w:ilvl w:val="2"/>
          <w:numId w:val="0"/>
        </w:numPr>
        <w:tabs>
          <w:tab w:val="left" w:pos="839"/>
        </w:tabs>
        <w:spacing w:line="252" w:lineRule="auto"/>
        <w:ind w:left="118" w:leftChars="0" w:right="377" w:rightChars="0" w:firstLine="0" w:firstLineChars="0"/>
        <w:rPr>
          <w:sz w:val="24"/>
          <w:lang w:eastAsia="zh-CN"/>
        </w:rPr>
      </w:pPr>
      <w:r>
        <w:rPr>
          <w:rFonts w:hint="default" w:ascii="宋体" w:hAnsi="宋体" w:eastAsia="宋体" w:cs="宋体"/>
          <w:w w:val="100"/>
          <w:sz w:val="24"/>
          <w:szCs w:val="24"/>
          <w:lang w:val="en-US" w:eastAsia="zh-CN" w:bidi="ar-SA"/>
        </w:rPr>
        <w:t>1.</w:t>
      </w:r>
      <w:r>
        <w:rPr>
          <w:rFonts w:hint="eastAsia" w:cs="宋体"/>
          <w:w w:val="100"/>
          <w:sz w:val="24"/>
          <w:szCs w:val="24"/>
          <w:lang w:val="en-US" w:eastAsia="zh-CN" w:bidi="ar-SA"/>
        </w:rPr>
        <w:t>5</w:t>
      </w:r>
      <w:r>
        <w:rPr>
          <w:rFonts w:hint="default" w:ascii="宋体" w:hAnsi="宋体" w:eastAsia="宋体" w:cs="宋体"/>
          <w:w w:val="100"/>
          <w:sz w:val="24"/>
          <w:szCs w:val="24"/>
          <w:lang w:val="en-US" w:eastAsia="zh-CN" w:bidi="ar-SA"/>
        </w:rPr>
        <w:t>.6</w:t>
      </w:r>
      <w:r>
        <w:rPr>
          <w:spacing w:val="-4"/>
          <w:sz w:val="24"/>
          <w:lang w:eastAsia="zh-CN"/>
        </w:rPr>
        <w:t>供应商须知前附表规定召开投标前答疑会的，采购人按供应商须知前附表规定的</w:t>
      </w:r>
      <w:r>
        <w:rPr>
          <w:sz w:val="24"/>
          <w:lang w:eastAsia="zh-CN"/>
        </w:rPr>
        <w:t>时间和地点召开投标前答疑会，澄清供应商提出的问题。</w:t>
      </w:r>
    </w:p>
    <w:p>
      <w:pPr>
        <w:pStyle w:val="26"/>
        <w:numPr>
          <w:ilvl w:val="2"/>
          <w:numId w:val="0"/>
        </w:numPr>
        <w:tabs>
          <w:tab w:val="left" w:pos="779"/>
        </w:tabs>
        <w:spacing w:line="249" w:lineRule="auto"/>
        <w:ind w:left="118" w:leftChars="0" w:right="257" w:rightChars="0" w:firstLine="0" w:firstLineChars="0"/>
        <w:rPr>
          <w:sz w:val="24"/>
        </w:rPr>
      </w:pPr>
      <w:r>
        <w:rPr>
          <w:rFonts w:hint="default" w:ascii="宋体" w:hAnsi="宋体" w:eastAsia="宋体" w:cs="宋体"/>
          <w:w w:val="100"/>
          <w:sz w:val="24"/>
          <w:szCs w:val="24"/>
          <w:lang w:val="en-US" w:eastAsia="en-US" w:bidi="ar-SA"/>
        </w:rPr>
        <w:t>1.</w:t>
      </w:r>
      <w:r>
        <w:rPr>
          <w:rFonts w:hint="eastAsia" w:cs="宋体"/>
          <w:w w:val="100"/>
          <w:sz w:val="24"/>
          <w:szCs w:val="24"/>
          <w:lang w:val="en-US" w:eastAsia="zh-CN" w:bidi="ar-SA"/>
        </w:rPr>
        <w:t>5</w:t>
      </w:r>
      <w:r>
        <w:rPr>
          <w:rFonts w:hint="default" w:ascii="宋体" w:hAnsi="宋体" w:eastAsia="宋体" w:cs="宋体"/>
          <w:w w:val="100"/>
          <w:sz w:val="24"/>
          <w:szCs w:val="24"/>
          <w:lang w:val="en-US" w:eastAsia="en-US" w:bidi="ar-SA"/>
        </w:rPr>
        <w:t>.7</w:t>
      </w:r>
      <w:r>
        <w:rPr>
          <w:sz w:val="24"/>
          <w:lang w:eastAsia="zh-CN"/>
        </w:rPr>
        <w:t>本采购项目采购人（采购代理机构）不组织供应商进行现场考察或召开投标前答</w:t>
      </w:r>
      <w:r>
        <w:rPr>
          <w:spacing w:val="-15"/>
          <w:sz w:val="24"/>
          <w:lang w:eastAsia="zh-CN"/>
        </w:rPr>
        <w:t xml:space="preserve">疑会。供应商应在投标须知前附表规定的时间前，以书面形式将提出的问题送达采购人， </w:t>
      </w:r>
      <w:r>
        <w:rPr>
          <w:spacing w:val="-2"/>
          <w:sz w:val="24"/>
          <w:lang w:eastAsia="zh-CN"/>
        </w:rPr>
        <w:t>采购人或采购代理机构在供应商须知前附表规定的时间内，将对供应商所提问题的进行</w:t>
      </w:r>
      <w:r>
        <w:rPr>
          <w:spacing w:val="-7"/>
          <w:sz w:val="24"/>
          <w:lang w:eastAsia="zh-CN"/>
        </w:rPr>
        <w:t>澄清，以书面方式在规定的发布渠道通知所有获取响应文件的供应商。</w:t>
      </w:r>
      <w:r>
        <w:rPr>
          <w:spacing w:val="-7"/>
          <w:sz w:val="24"/>
        </w:rPr>
        <w:t>该澄清内容为竞争性磋商文件的组成部分。</w:t>
      </w:r>
    </w:p>
    <w:p>
      <w:pPr>
        <w:pStyle w:val="4"/>
        <w:spacing w:before="10"/>
        <w:ind w:left="3131" w:right="3383"/>
        <w:jc w:val="center"/>
      </w:pPr>
      <w:r>
        <w:t>2.竞争性磋商文件</w:t>
      </w:r>
    </w:p>
    <w:p>
      <w:pPr>
        <w:pStyle w:val="4"/>
        <w:numPr>
          <w:ilvl w:val="1"/>
          <w:numId w:val="12"/>
        </w:numPr>
        <w:tabs>
          <w:tab w:val="left" w:pos="721"/>
        </w:tabs>
        <w:spacing w:before="33"/>
        <w:ind w:hanging="602"/>
      </w:pPr>
      <w:r>
        <w:t>竞争性磋商文件的组成</w:t>
      </w:r>
    </w:p>
    <w:p>
      <w:pPr>
        <w:pStyle w:val="26"/>
        <w:numPr>
          <w:ilvl w:val="2"/>
          <w:numId w:val="12"/>
        </w:numPr>
        <w:tabs>
          <w:tab w:val="left" w:pos="779"/>
        </w:tabs>
        <w:spacing w:before="33" w:line="264" w:lineRule="auto"/>
        <w:ind w:right="385" w:firstLine="0"/>
        <w:rPr>
          <w:sz w:val="24"/>
          <w:lang w:eastAsia="zh-CN"/>
        </w:rPr>
      </w:pPr>
      <w:r>
        <w:rPr>
          <w:spacing w:val="-1"/>
          <w:sz w:val="24"/>
          <w:lang w:eastAsia="zh-CN"/>
        </w:rPr>
        <w:t>竞争性磋商文件用以阐明所需货物及服务磋商程序和合同主要条款。竞争性磋商</w:t>
      </w:r>
      <w:r>
        <w:rPr>
          <w:sz w:val="24"/>
          <w:lang w:eastAsia="zh-CN"/>
        </w:rPr>
        <w:t>文件由下述部分组成：</w:t>
      </w:r>
    </w:p>
    <w:p>
      <w:pPr>
        <w:pStyle w:val="8"/>
        <w:spacing w:before="3"/>
        <w:ind w:left="516"/>
        <w:rPr>
          <w:lang w:eastAsia="zh-CN"/>
        </w:rPr>
      </w:pPr>
      <w:r>
        <w:rPr>
          <w:lang w:eastAsia="zh-CN"/>
        </w:rPr>
        <w:t>（一）磋商公告；</w:t>
      </w:r>
    </w:p>
    <w:p>
      <w:pPr>
        <w:pStyle w:val="8"/>
        <w:spacing w:before="33"/>
        <w:ind w:left="516"/>
        <w:rPr>
          <w:lang w:eastAsia="zh-CN"/>
        </w:rPr>
      </w:pPr>
      <w:r>
        <w:rPr>
          <w:lang w:eastAsia="zh-CN"/>
        </w:rPr>
        <w:t>（二）供应商须知；</w:t>
      </w:r>
    </w:p>
    <w:p>
      <w:pPr>
        <w:pStyle w:val="8"/>
        <w:spacing w:before="31"/>
        <w:ind w:left="516"/>
        <w:rPr>
          <w:lang w:eastAsia="zh-CN"/>
        </w:rPr>
      </w:pPr>
      <w:r>
        <w:rPr>
          <w:lang w:eastAsia="zh-CN"/>
        </w:rPr>
        <w:t>（三）供应商应当提交的资格、资信证明文件；</w:t>
      </w:r>
    </w:p>
    <w:p>
      <w:pPr>
        <w:pStyle w:val="8"/>
        <w:spacing w:before="34" w:line="266" w:lineRule="auto"/>
        <w:ind w:left="276" w:right="407" w:firstLine="240"/>
        <w:rPr>
          <w:lang w:eastAsia="zh-CN"/>
        </w:rPr>
      </w:pPr>
      <w:r>
        <w:rPr>
          <w:lang w:eastAsia="zh-CN"/>
        </w:rPr>
        <w:t>（四）为落实政府有关采购政策，采购标的需满足的要求，以及供应商须提供的有关证明材料；</w:t>
      </w:r>
    </w:p>
    <w:p>
      <w:pPr>
        <w:pStyle w:val="8"/>
        <w:spacing w:line="266" w:lineRule="auto"/>
        <w:ind w:left="276" w:right="407" w:firstLine="240"/>
        <w:rPr>
          <w:lang w:eastAsia="zh-CN"/>
        </w:rPr>
      </w:pPr>
      <w:r>
        <w:rPr>
          <w:lang w:eastAsia="zh-CN"/>
        </w:rPr>
        <w:t>（五）响应文件的编制要求、磋商报价要求和磋商保证金交纳、退还方式以及不予退还磋商保证金的情形；</w:t>
      </w:r>
    </w:p>
    <w:p>
      <w:pPr>
        <w:pStyle w:val="8"/>
        <w:spacing w:line="306" w:lineRule="exact"/>
        <w:ind w:left="516"/>
        <w:rPr>
          <w:lang w:eastAsia="zh-CN"/>
        </w:rPr>
      </w:pPr>
      <w:r>
        <w:rPr>
          <w:lang w:eastAsia="zh-CN"/>
        </w:rPr>
        <w:t>（六）采购项目预算金额，设定最高限价的，还应当公开最高限价；</w:t>
      </w:r>
    </w:p>
    <w:p>
      <w:pPr>
        <w:pStyle w:val="8"/>
        <w:spacing w:before="27" w:line="266" w:lineRule="auto"/>
        <w:ind w:left="276" w:right="257" w:firstLine="228"/>
        <w:rPr>
          <w:lang w:eastAsia="zh-CN"/>
        </w:rPr>
      </w:pPr>
      <w:r>
        <w:rPr>
          <w:lang w:eastAsia="zh-CN"/>
        </w:rPr>
        <w:t>（七</w:t>
      </w:r>
      <w:r>
        <w:rPr>
          <w:spacing w:val="-12"/>
          <w:lang w:eastAsia="zh-CN"/>
        </w:rPr>
        <w:t>）</w:t>
      </w:r>
      <w:r>
        <w:rPr>
          <w:spacing w:val="-7"/>
          <w:lang w:eastAsia="zh-CN"/>
        </w:rPr>
        <w:t>采购项目的技术规格、质量要求、数量、服务标准、验收等要求，包括附件、</w:t>
      </w:r>
      <w:r>
        <w:rPr>
          <w:lang w:eastAsia="zh-CN"/>
        </w:rPr>
        <w:t>图纸等；</w:t>
      </w:r>
    </w:p>
    <w:p>
      <w:pPr>
        <w:pStyle w:val="8"/>
        <w:spacing w:line="20" w:lineRule="exact"/>
        <w:ind w:left="110"/>
        <w:rPr>
          <w:sz w:val="2"/>
        </w:rPr>
      </w:pPr>
    </w:p>
    <w:p>
      <w:pPr>
        <w:pStyle w:val="8"/>
        <w:spacing w:before="50"/>
        <w:ind w:firstLine="480" w:firstLineChars="200"/>
        <w:rPr>
          <w:lang w:eastAsia="zh-CN"/>
        </w:rPr>
      </w:pPr>
      <w:r>
        <w:rPr>
          <w:lang w:eastAsia="zh-CN"/>
        </w:rPr>
        <w:t>（八）拟签订的合同文本；</w:t>
      </w:r>
    </w:p>
    <w:p>
      <w:pPr>
        <w:pStyle w:val="8"/>
        <w:spacing w:before="34"/>
        <w:ind w:left="516"/>
        <w:rPr>
          <w:lang w:eastAsia="zh-CN"/>
        </w:rPr>
      </w:pPr>
      <w:r>
        <w:rPr>
          <w:lang w:eastAsia="zh-CN"/>
        </w:rPr>
        <w:t>（九）货物、服务提供的时间、地点、方式；</w:t>
      </w:r>
    </w:p>
    <w:p>
      <w:pPr>
        <w:pStyle w:val="8"/>
        <w:spacing w:before="33"/>
        <w:ind w:left="516"/>
        <w:rPr>
          <w:lang w:eastAsia="zh-CN"/>
        </w:rPr>
      </w:pPr>
      <w:r>
        <w:rPr>
          <w:lang w:eastAsia="zh-CN"/>
        </w:rPr>
        <w:t>（十）采购资金的支付方式、时间、条件；</w:t>
      </w:r>
    </w:p>
    <w:p>
      <w:pPr>
        <w:pStyle w:val="8"/>
        <w:spacing w:before="31"/>
        <w:ind w:left="516"/>
        <w:rPr>
          <w:lang w:eastAsia="zh-CN"/>
        </w:rPr>
      </w:pPr>
      <w:r>
        <w:rPr>
          <w:lang w:eastAsia="zh-CN"/>
        </w:rPr>
        <w:t>（十一）磋商方法、磋商标准和磋商无效情形；</w:t>
      </w:r>
    </w:p>
    <w:p>
      <w:pPr>
        <w:pStyle w:val="8"/>
        <w:spacing w:before="33"/>
        <w:ind w:left="516"/>
        <w:rPr>
          <w:lang w:eastAsia="zh-CN"/>
        </w:rPr>
      </w:pPr>
      <w:r>
        <w:rPr>
          <w:lang w:eastAsia="zh-CN"/>
        </w:rPr>
        <w:t>（十二）磋商有效期；</w:t>
      </w:r>
    </w:p>
    <w:p>
      <w:pPr>
        <w:pStyle w:val="8"/>
        <w:spacing w:before="33"/>
        <w:ind w:left="516"/>
        <w:rPr>
          <w:lang w:eastAsia="zh-CN"/>
        </w:rPr>
      </w:pPr>
      <w:r>
        <w:rPr>
          <w:lang w:eastAsia="zh-CN"/>
        </w:rPr>
        <w:t>（十三）磋商截止时间、磋商时间及地点；</w:t>
      </w:r>
    </w:p>
    <w:p>
      <w:pPr>
        <w:pStyle w:val="8"/>
        <w:spacing w:before="31"/>
        <w:ind w:left="516"/>
        <w:rPr>
          <w:lang w:eastAsia="zh-CN"/>
        </w:rPr>
      </w:pPr>
      <w:r>
        <w:rPr>
          <w:lang w:eastAsia="zh-CN"/>
        </w:rPr>
        <w:t>（十四）采购代理机构代理费用的收取标准和方式；</w:t>
      </w:r>
    </w:p>
    <w:p>
      <w:pPr>
        <w:pStyle w:val="8"/>
        <w:spacing w:before="34" w:line="266" w:lineRule="auto"/>
        <w:ind w:left="118" w:right="445" w:firstLine="360"/>
        <w:rPr>
          <w:lang w:eastAsia="zh-CN"/>
        </w:rPr>
      </w:pPr>
      <w:r>
        <w:rPr>
          <w:lang w:eastAsia="zh-CN"/>
        </w:rPr>
        <w:t>（十五）供应商信用信息查询渠道及截止时点、信用信息查询记录和证据留存的具体方式、信用信息的使用规则等；</w:t>
      </w:r>
    </w:p>
    <w:p>
      <w:pPr>
        <w:pStyle w:val="8"/>
        <w:spacing w:line="304" w:lineRule="exact"/>
        <w:ind w:left="478"/>
        <w:rPr>
          <w:lang w:eastAsia="zh-CN"/>
        </w:rPr>
      </w:pPr>
      <w:r>
        <w:rPr>
          <w:lang w:eastAsia="zh-CN"/>
        </w:rPr>
        <w:t>（十六）省级以上财政部门规定的其他事项；</w:t>
      </w:r>
    </w:p>
    <w:p>
      <w:pPr>
        <w:pStyle w:val="26"/>
        <w:numPr>
          <w:ilvl w:val="2"/>
          <w:numId w:val="12"/>
        </w:numPr>
        <w:tabs>
          <w:tab w:val="left" w:pos="779"/>
        </w:tabs>
        <w:spacing w:before="33" w:line="266" w:lineRule="auto"/>
        <w:ind w:right="385" w:firstLine="0"/>
        <w:jc w:val="both"/>
        <w:rPr>
          <w:sz w:val="24"/>
          <w:lang w:eastAsia="zh-CN"/>
        </w:rPr>
      </w:pPr>
      <w:r>
        <w:rPr>
          <w:spacing w:val="-1"/>
          <w:sz w:val="24"/>
          <w:lang w:eastAsia="zh-CN"/>
        </w:rPr>
        <w:t>除非有特殊要求，竞争性磋商文件不单独提供磋商货物使用地的自然环境、气候</w:t>
      </w:r>
      <w:r>
        <w:rPr>
          <w:sz w:val="24"/>
          <w:lang w:eastAsia="zh-CN"/>
        </w:rPr>
        <w:t>条件、公用设施等情况，供应商被视为熟悉上述与履行合同有关的一切情况。</w:t>
      </w:r>
    </w:p>
    <w:p>
      <w:pPr>
        <w:pStyle w:val="4"/>
        <w:numPr>
          <w:ilvl w:val="1"/>
          <w:numId w:val="13"/>
        </w:numPr>
        <w:tabs>
          <w:tab w:val="left" w:pos="601"/>
        </w:tabs>
        <w:spacing w:line="304" w:lineRule="exact"/>
        <w:ind w:hanging="482"/>
        <w:jc w:val="both"/>
        <w:rPr>
          <w:lang w:eastAsia="zh-CN"/>
        </w:rPr>
      </w:pPr>
      <w:r>
        <w:rPr>
          <w:lang w:eastAsia="zh-CN"/>
        </w:rPr>
        <w:t>竞争性磋商文件的澄清或修改</w:t>
      </w:r>
    </w:p>
    <w:p>
      <w:pPr>
        <w:pStyle w:val="26"/>
        <w:numPr>
          <w:ilvl w:val="2"/>
          <w:numId w:val="13"/>
        </w:numPr>
        <w:tabs>
          <w:tab w:val="left" w:pos="779"/>
        </w:tabs>
        <w:spacing w:before="33" w:line="264" w:lineRule="auto"/>
        <w:ind w:right="377" w:firstLine="0"/>
        <w:jc w:val="both"/>
        <w:rPr>
          <w:sz w:val="24"/>
          <w:lang w:eastAsia="zh-CN"/>
        </w:rPr>
      </w:pPr>
      <w:r>
        <w:rPr>
          <w:sz w:val="24"/>
          <w:lang w:eastAsia="zh-CN"/>
        </w:rPr>
        <w:t>采购人或者采购代理机构可以对已发出的竞争性磋商文件、磋商公告进行必要的</w:t>
      </w:r>
      <w:r>
        <w:rPr>
          <w:spacing w:val="-6"/>
          <w:sz w:val="24"/>
          <w:lang w:eastAsia="zh-CN"/>
        </w:rPr>
        <w:t>澄清或者修改，但不得改变采购标的和资格条件。澄清或者修改应当在原公告发布媒体</w:t>
      </w:r>
      <w:r>
        <w:rPr>
          <w:sz w:val="24"/>
          <w:lang w:eastAsia="zh-CN"/>
        </w:rPr>
        <w:t>上发布澄清公告。</w:t>
      </w:r>
    </w:p>
    <w:p>
      <w:pPr>
        <w:pStyle w:val="26"/>
        <w:numPr>
          <w:ilvl w:val="2"/>
          <w:numId w:val="13"/>
        </w:numPr>
        <w:tabs>
          <w:tab w:val="left" w:pos="779"/>
        </w:tabs>
        <w:spacing w:before="6" w:line="266" w:lineRule="auto"/>
        <w:ind w:right="377" w:firstLine="0"/>
        <w:jc w:val="both"/>
        <w:rPr>
          <w:sz w:val="24"/>
          <w:highlight w:val="none"/>
          <w:lang w:eastAsia="zh-CN"/>
        </w:rPr>
      </w:pPr>
      <w:r>
        <w:rPr>
          <w:sz w:val="24"/>
          <w:lang w:eastAsia="zh-CN"/>
        </w:rPr>
        <w:t xml:space="preserve">供应商应仔细阅读和检查竞争性磋商文件的全部内容。如发现缺页或附件不全， </w:t>
      </w:r>
      <w:r>
        <w:rPr>
          <w:spacing w:val="-5"/>
          <w:sz w:val="24"/>
          <w:lang w:eastAsia="zh-CN"/>
        </w:rPr>
        <w:t>应及时向招标人提出，以便补齐。如有疑问，应在供应商须知前附表规定的时间前以书</w:t>
      </w:r>
      <w:r>
        <w:rPr>
          <w:spacing w:val="-4"/>
          <w:sz w:val="24"/>
          <w:lang w:eastAsia="zh-CN"/>
        </w:rPr>
        <w:t>面形式</w:t>
      </w:r>
      <w:r>
        <w:rPr>
          <w:sz w:val="24"/>
          <w:lang w:eastAsia="zh-CN"/>
        </w:rPr>
        <w:t>（</w:t>
      </w:r>
      <w:r>
        <w:rPr>
          <w:spacing w:val="-4"/>
          <w:sz w:val="24"/>
          <w:lang w:eastAsia="zh-CN"/>
        </w:rPr>
        <w:t>包</w:t>
      </w:r>
      <w:r>
        <w:rPr>
          <w:spacing w:val="-4"/>
          <w:sz w:val="24"/>
          <w:highlight w:val="none"/>
          <w:lang w:eastAsia="zh-CN"/>
        </w:rPr>
        <w:t>括信函、电报、传真等可以有形地表现所载内容的形式，下同</w:t>
      </w:r>
      <w:r>
        <w:rPr>
          <w:spacing w:val="-9"/>
          <w:sz w:val="24"/>
          <w:highlight w:val="none"/>
          <w:lang w:eastAsia="zh-CN"/>
        </w:rPr>
        <w:t>）</w:t>
      </w:r>
      <w:r>
        <w:rPr>
          <w:spacing w:val="-6"/>
          <w:sz w:val="24"/>
          <w:highlight w:val="none"/>
          <w:lang w:eastAsia="zh-CN"/>
        </w:rPr>
        <w:t>，要求招标</w:t>
      </w:r>
      <w:r>
        <w:rPr>
          <w:spacing w:val="-5"/>
          <w:sz w:val="24"/>
          <w:highlight w:val="none"/>
          <w:lang w:eastAsia="zh-CN"/>
        </w:rPr>
        <w:t>人对竞争性磋商文件予以澄清。招标人将视情况将不标明澄清问题查询来源的书面答复</w:t>
      </w:r>
      <w:r>
        <w:rPr>
          <w:sz w:val="24"/>
          <w:highlight w:val="none"/>
          <w:lang w:eastAsia="zh-CN"/>
        </w:rPr>
        <w:t>发给所有供应商，该澄清内容为竞争性磋商文件的组成部分。</w:t>
      </w:r>
    </w:p>
    <w:p>
      <w:pPr>
        <w:pStyle w:val="26"/>
        <w:numPr>
          <w:ilvl w:val="2"/>
          <w:numId w:val="13"/>
        </w:numPr>
        <w:tabs>
          <w:tab w:val="left" w:pos="779"/>
        </w:tabs>
        <w:spacing w:line="266" w:lineRule="auto"/>
        <w:ind w:right="325" w:firstLine="0"/>
        <w:jc w:val="left"/>
        <w:rPr>
          <w:sz w:val="24"/>
          <w:highlight w:val="none"/>
        </w:rPr>
      </w:pPr>
      <w:r>
        <w:rPr>
          <w:spacing w:val="-3"/>
          <w:sz w:val="24"/>
          <w:highlight w:val="none"/>
          <w:lang w:eastAsia="zh-CN"/>
        </w:rPr>
        <w:t xml:space="preserve">竞争性磋商文件的澄清将在供应商须知前附表规定的磋商截止时间 </w:t>
      </w:r>
      <w:r>
        <w:rPr>
          <w:sz w:val="24"/>
          <w:highlight w:val="none"/>
          <w:lang w:eastAsia="zh-CN"/>
        </w:rPr>
        <w:t>3</w:t>
      </w:r>
      <w:r>
        <w:rPr>
          <w:spacing w:val="-10"/>
          <w:sz w:val="24"/>
          <w:highlight w:val="none"/>
          <w:lang w:eastAsia="zh-CN"/>
        </w:rPr>
        <w:t xml:space="preserve"> 天前以书面</w:t>
      </w:r>
      <w:r>
        <w:rPr>
          <w:spacing w:val="-13"/>
          <w:sz w:val="24"/>
          <w:highlight w:val="none"/>
          <w:lang w:eastAsia="zh-CN"/>
        </w:rPr>
        <w:t>形式发给所有购买竞争性磋商文件的供应商，招标人只对供应商须知前附表中规定的截</w:t>
      </w:r>
      <w:r>
        <w:rPr>
          <w:spacing w:val="-15"/>
          <w:sz w:val="24"/>
          <w:highlight w:val="none"/>
          <w:lang w:eastAsia="zh-CN"/>
        </w:rPr>
        <w:t>止时间以前收到的要求澄清的问题予以答复。如果澄清发出的时间因距磋商截止时间不</w:t>
      </w:r>
      <w:r>
        <w:rPr>
          <w:spacing w:val="-38"/>
          <w:sz w:val="24"/>
          <w:highlight w:val="none"/>
          <w:lang w:eastAsia="zh-CN"/>
        </w:rPr>
        <w:t>足</w:t>
      </w:r>
      <w:r>
        <w:rPr>
          <w:rFonts w:hint="eastAsia"/>
          <w:spacing w:val="-38"/>
          <w:sz w:val="24"/>
          <w:highlight w:val="none"/>
          <w:lang w:val="en-US" w:eastAsia="zh-CN"/>
        </w:rPr>
        <w:t xml:space="preserve">   </w:t>
      </w:r>
      <w:r>
        <w:rPr>
          <w:spacing w:val="-38"/>
          <w:sz w:val="24"/>
          <w:highlight w:val="none"/>
          <w:lang w:eastAsia="zh-CN"/>
        </w:rPr>
        <w:t xml:space="preserve"> </w:t>
      </w:r>
      <w:r>
        <w:rPr>
          <w:sz w:val="24"/>
          <w:highlight w:val="none"/>
          <w:lang w:eastAsia="zh-CN"/>
        </w:rPr>
        <w:t>3</w:t>
      </w:r>
      <w:r>
        <w:rPr>
          <w:spacing w:val="-11"/>
          <w:sz w:val="24"/>
          <w:highlight w:val="none"/>
          <w:lang w:eastAsia="zh-CN"/>
        </w:rPr>
        <w:t xml:space="preserve"> 天，供应商认为该澄清影响到对响应文件的修编，造成在原磋商截止时间前修编响</w:t>
      </w:r>
      <w:r>
        <w:rPr>
          <w:spacing w:val="-12"/>
          <w:sz w:val="24"/>
          <w:highlight w:val="none"/>
          <w:lang w:eastAsia="zh-CN"/>
        </w:rPr>
        <w:t>应文件的时间不足，供应商应以书面形式通知采购人要求酌情延长磋商截止时间，以保</w:t>
      </w:r>
      <w:r>
        <w:rPr>
          <w:spacing w:val="-13"/>
          <w:sz w:val="24"/>
          <w:highlight w:val="none"/>
          <w:lang w:eastAsia="zh-CN"/>
        </w:rPr>
        <w:t>证供应商有合理的时间修编响应文件，招标人应按规定酌情延长磋商截止时间。</w:t>
      </w:r>
      <w:r>
        <w:rPr>
          <w:spacing w:val="-13"/>
          <w:sz w:val="24"/>
          <w:highlight w:val="none"/>
        </w:rPr>
        <w:t>否则</w:t>
      </w:r>
      <w:r>
        <w:rPr>
          <w:rFonts w:hint="eastAsia"/>
          <w:spacing w:val="-13"/>
          <w:sz w:val="24"/>
          <w:highlight w:val="none"/>
          <w:lang w:eastAsia="zh-CN"/>
        </w:rPr>
        <w:t>，</w:t>
      </w:r>
      <w:r>
        <w:rPr>
          <w:sz w:val="24"/>
          <w:highlight w:val="none"/>
        </w:rPr>
        <w:t>采购人仍将按原磋商截止时间执行。</w:t>
      </w:r>
    </w:p>
    <w:p>
      <w:pPr>
        <w:pStyle w:val="26"/>
        <w:numPr>
          <w:ilvl w:val="0"/>
          <w:numId w:val="0"/>
        </w:numPr>
        <w:tabs>
          <w:tab w:val="left" w:pos="839"/>
        </w:tabs>
        <w:spacing w:line="266" w:lineRule="auto"/>
        <w:ind w:right="377" w:rightChars="0"/>
        <w:jc w:val="left"/>
        <w:rPr>
          <w:sz w:val="24"/>
          <w:highlight w:val="none"/>
          <w:lang w:eastAsia="zh-CN"/>
        </w:rPr>
      </w:pPr>
      <w:r>
        <w:rPr>
          <w:rFonts w:hint="eastAsia"/>
          <w:spacing w:val="-7"/>
          <w:sz w:val="24"/>
          <w:highlight w:val="none"/>
          <w:lang w:val="en-US" w:eastAsia="zh-CN"/>
        </w:rPr>
        <w:t>2.2.4</w:t>
      </w:r>
      <w:r>
        <w:rPr>
          <w:spacing w:val="-7"/>
          <w:sz w:val="24"/>
          <w:highlight w:val="none"/>
          <w:lang w:eastAsia="zh-CN"/>
        </w:rPr>
        <w:t>供应商在收到澄清后，应在供应商须知前附表规定的时间内以书面形式通知采购</w:t>
      </w:r>
      <w:r>
        <w:rPr>
          <w:sz w:val="24"/>
          <w:highlight w:val="none"/>
          <w:lang w:eastAsia="zh-CN"/>
        </w:rPr>
        <w:t>人或采购代理人，确认已收到该澄清。</w:t>
      </w:r>
    </w:p>
    <w:p>
      <w:pPr>
        <w:pStyle w:val="26"/>
        <w:keepNext w:val="0"/>
        <w:keepLines w:val="0"/>
        <w:pageBreakBefore w:val="0"/>
        <w:widowControl w:val="0"/>
        <w:numPr>
          <w:ilvl w:val="0"/>
          <w:numId w:val="0"/>
        </w:numPr>
        <w:tabs>
          <w:tab w:val="left" w:pos="839"/>
        </w:tabs>
        <w:kinsoku/>
        <w:wordWrap/>
        <w:overflowPunct/>
        <w:topLinePunct w:val="0"/>
        <w:autoSpaceDE w:val="0"/>
        <w:autoSpaceDN w:val="0"/>
        <w:bidi w:val="0"/>
        <w:adjustRightInd/>
        <w:snapToGrid/>
        <w:spacing w:line="267" w:lineRule="auto"/>
        <w:ind w:right="0" w:rightChars="0"/>
        <w:jc w:val="left"/>
        <w:textAlignment w:val="auto"/>
        <w:rPr>
          <w:sz w:val="24"/>
          <w:lang w:eastAsia="zh-CN"/>
        </w:rPr>
      </w:pPr>
      <w:r>
        <w:rPr>
          <w:rFonts w:hint="eastAsia"/>
          <w:spacing w:val="-8"/>
          <w:sz w:val="24"/>
          <w:highlight w:val="none"/>
          <w:lang w:val="en-US" w:eastAsia="zh-CN"/>
        </w:rPr>
        <w:t>2.2.5</w:t>
      </w:r>
      <w:r>
        <w:rPr>
          <w:spacing w:val="-8"/>
          <w:sz w:val="24"/>
          <w:highlight w:val="none"/>
          <w:lang w:eastAsia="zh-CN"/>
        </w:rPr>
        <w:t xml:space="preserve">在磋商截止时间 </w:t>
      </w:r>
      <w:r>
        <w:rPr>
          <w:sz w:val="24"/>
          <w:highlight w:val="none"/>
          <w:lang w:eastAsia="zh-CN"/>
        </w:rPr>
        <w:t>3</w:t>
      </w:r>
      <w:r>
        <w:rPr>
          <w:spacing w:val="-12"/>
          <w:sz w:val="24"/>
          <w:highlight w:val="none"/>
          <w:lang w:eastAsia="zh-CN"/>
        </w:rPr>
        <w:t xml:space="preserve"> 天前，采购人可以书面形式修改竞争性磋商文件，并通知所有</w:t>
      </w:r>
      <w:r>
        <w:rPr>
          <w:spacing w:val="-4"/>
          <w:sz w:val="24"/>
          <w:highlight w:val="none"/>
          <w:lang w:eastAsia="zh-CN"/>
        </w:rPr>
        <w:t>已购买竞争性磋商文件的供应商，该修改内容为竞争性磋商文件的组成部分。如果修改</w:t>
      </w:r>
      <w:r>
        <w:rPr>
          <w:spacing w:val="-3"/>
          <w:sz w:val="24"/>
          <w:highlight w:val="none"/>
          <w:lang w:eastAsia="zh-CN"/>
        </w:rPr>
        <w:t xml:space="preserve">竞争性磋商文件的时间距磋商截止时间不足 </w:t>
      </w:r>
      <w:r>
        <w:rPr>
          <w:sz w:val="24"/>
          <w:highlight w:val="none"/>
          <w:lang w:eastAsia="zh-CN"/>
        </w:rPr>
        <w:t>3</w:t>
      </w:r>
      <w:r>
        <w:rPr>
          <w:spacing w:val="-13"/>
          <w:sz w:val="24"/>
          <w:highlight w:val="none"/>
          <w:lang w:eastAsia="zh-CN"/>
        </w:rPr>
        <w:t xml:space="preserve"> 天，供应商认为因竞争性磋商文件的修改</w:t>
      </w:r>
      <w:r>
        <w:rPr>
          <w:spacing w:val="-5"/>
          <w:sz w:val="24"/>
          <w:highlight w:val="none"/>
          <w:lang w:eastAsia="zh-CN"/>
        </w:rPr>
        <w:t>影响到对响应文件的修编，造成在原磋商截止时间前修编响应文件的时间不足，供应商</w:t>
      </w:r>
      <w:r>
        <w:rPr>
          <w:spacing w:val="-3"/>
          <w:sz w:val="24"/>
          <w:highlight w:val="none"/>
          <w:lang w:eastAsia="zh-CN"/>
        </w:rPr>
        <w:t>应以书面形式通知采购人要求酌情延长磋商截止时间</w:t>
      </w:r>
      <w:r>
        <w:rPr>
          <w:sz w:val="24"/>
          <w:highlight w:val="none"/>
          <w:lang w:eastAsia="zh-CN"/>
        </w:rPr>
        <w:t>（</w:t>
      </w:r>
      <w:r>
        <w:rPr>
          <w:spacing w:val="-2"/>
          <w:sz w:val="24"/>
          <w:highlight w:val="none"/>
          <w:lang w:eastAsia="zh-CN"/>
        </w:rPr>
        <w:t>但应当至少在磋商截止时间三个</w:t>
      </w:r>
      <w:r>
        <w:rPr>
          <w:rFonts w:hint="eastAsia"/>
          <w:sz w:val="24"/>
          <w:highlight w:val="none"/>
          <w:lang w:val="en-US" w:eastAsia="zh-CN"/>
        </w:rPr>
        <w:t>工作</w:t>
      </w:r>
      <w:r>
        <w:rPr>
          <w:sz w:val="24"/>
          <w:highlight w:val="none"/>
          <w:lang w:eastAsia="zh-CN"/>
        </w:rPr>
        <w:t>日前将变更时间以书面形式通知所有供应商</w:t>
      </w:r>
      <w:r>
        <w:rPr>
          <w:spacing w:val="-26"/>
          <w:sz w:val="24"/>
          <w:highlight w:val="none"/>
          <w:lang w:eastAsia="zh-CN"/>
        </w:rPr>
        <w:t>）</w:t>
      </w:r>
      <w:r>
        <w:rPr>
          <w:spacing w:val="-6"/>
          <w:sz w:val="24"/>
          <w:highlight w:val="none"/>
          <w:lang w:eastAsia="zh-CN"/>
        </w:rPr>
        <w:t>，以保证供应商有合理的时间修编响</w:t>
      </w:r>
      <w:r>
        <w:rPr>
          <w:spacing w:val="-7"/>
          <w:sz w:val="24"/>
          <w:highlight w:val="none"/>
          <w:lang w:eastAsia="zh-CN"/>
        </w:rPr>
        <w:t>应文件，采购人应按规定酌情延长磋商截止时间。否则，采购人仍将按原磋商截止时间</w:t>
      </w:r>
      <w:r>
        <w:rPr>
          <w:spacing w:val="-9"/>
          <w:sz w:val="24"/>
          <w:highlight w:val="none"/>
          <w:lang w:eastAsia="zh-CN"/>
        </w:rPr>
        <w:t>执行。在此情况下，采购人和供应商受磋商截止期制约的所有权利和义务均应延长至新</w:t>
      </w:r>
      <w:r>
        <w:rPr>
          <w:sz w:val="24"/>
          <w:highlight w:val="none"/>
          <w:lang w:eastAsia="zh-CN"/>
        </w:rPr>
        <w:t>的截</w:t>
      </w:r>
      <w:r>
        <w:rPr>
          <w:sz w:val="24"/>
          <w:lang w:eastAsia="zh-CN"/>
        </w:rPr>
        <w:t>止日期。</w:t>
      </w:r>
    </w:p>
    <w:p>
      <w:pPr>
        <w:pStyle w:val="26"/>
        <w:numPr>
          <w:ilvl w:val="0"/>
          <w:numId w:val="0"/>
        </w:numPr>
        <w:tabs>
          <w:tab w:val="left" w:pos="839"/>
        </w:tabs>
        <w:spacing w:line="266" w:lineRule="auto"/>
        <w:ind w:right="377" w:rightChars="0"/>
        <w:jc w:val="both"/>
        <w:rPr>
          <w:sz w:val="24"/>
          <w:lang w:eastAsia="zh-CN"/>
        </w:rPr>
      </w:pPr>
      <w:r>
        <w:rPr>
          <w:rFonts w:hint="eastAsia"/>
          <w:spacing w:val="-6"/>
          <w:sz w:val="24"/>
          <w:lang w:val="en-US" w:eastAsia="zh-CN"/>
        </w:rPr>
        <w:t>2.2.6</w:t>
      </w:r>
      <w:r>
        <w:rPr>
          <w:spacing w:val="-6"/>
          <w:sz w:val="24"/>
          <w:lang w:eastAsia="zh-CN"/>
        </w:rPr>
        <w:t>供应商收到修改内容后，应在供应商须知前附表规定的时间内以书面形式通知采</w:t>
      </w:r>
      <w:r>
        <w:rPr>
          <w:sz w:val="24"/>
          <w:lang w:eastAsia="zh-CN"/>
        </w:rPr>
        <w:t>购人，确认已收到该修改。该修改内容为竞争性磋商文件的组成部分。</w:t>
      </w:r>
    </w:p>
    <w:p>
      <w:pPr>
        <w:pStyle w:val="8"/>
        <w:spacing w:line="20" w:lineRule="exact"/>
        <w:ind w:left="110"/>
        <w:rPr>
          <w:sz w:val="2"/>
        </w:rPr>
      </w:pPr>
    </w:p>
    <w:p>
      <w:pPr>
        <w:pStyle w:val="26"/>
        <w:numPr>
          <w:ilvl w:val="0"/>
          <w:numId w:val="0"/>
        </w:numPr>
        <w:tabs>
          <w:tab w:val="left" w:pos="779"/>
        </w:tabs>
        <w:spacing w:before="36" w:line="249" w:lineRule="auto"/>
        <w:ind w:right="377" w:rightChars="0"/>
        <w:jc w:val="both"/>
        <w:rPr>
          <w:sz w:val="24"/>
          <w:lang w:eastAsia="zh-CN"/>
        </w:rPr>
      </w:pPr>
      <w:r>
        <w:rPr>
          <w:rFonts w:hint="eastAsia"/>
          <w:sz w:val="24"/>
          <w:lang w:val="en-US" w:eastAsia="zh-CN"/>
        </w:rPr>
        <w:t>2.2.7</w:t>
      </w:r>
      <w:r>
        <w:rPr>
          <w:sz w:val="24"/>
          <w:lang w:eastAsia="zh-CN"/>
        </w:rPr>
        <w:t>采购人在供应商须知前附表中标明了澄清、补充或修改竞争性磋商文件发布的渠</w:t>
      </w:r>
      <w:r>
        <w:rPr>
          <w:spacing w:val="-7"/>
          <w:sz w:val="24"/>
          <w:lang w:eastAsia="zh-CN"/>
        </w:rPr>
        <w:t>道，供应商应自行留意采购人发出的澄清、修改或补充以及与之有关的文本文件，并及</w:t>
      </w:r>
      <w:r>
        <w:rPr>
          <w:spacing w:val="-4"/>
          <w:sz w:val="24"/>
          <w:lang w:eastAsia="zh-CN"/>
        </w:rPr>
        <w:t>时按采购人在供应商须知前附表中标明澄清、补充或修改通知发布的渠道获取相应的文</w:t>
      </w:r>
      <w:r>
        <w:rPr>
          <w:spacing w:val="-7"/>
          <w:sz w:val="24"/>
          <w:lang w:eastAsia="zh-CN"/>
        </w:rPr>
        <w:t>本文件，无须回签确认收到的函。供应商未按规定时间在发布渠道的网站下载澄清、补</w:t>
      </w:r>
      <w:r>
        <w:rPr>
          <w:sz w:val="24"/>
          <w:lang w:eastAsia="zh-CN"/>
        </w:rPr>
        <w:t>充或修改竞争性磋商文件（包括磋商时间、地点的变更等）通知的，视同已收到。</w:t>
      </w:r>
    </w:p>
    <w:p>
      <w:pPr>
        <w:pStyle w:val="4"/>
        <w:spacing w:line="307" w:lineRule="exact"/>
        <w:ind w:left="3128" w:right="3383"/>
        <w:jc w:val="center"/>
      </w:pPr>
      <w:r>
        <w:t>3、响应文件</w:t>
      </w:r>
    </w:p>
    <w:p>
      <w:pPr>
        <w:pStyle w:val="4"/>
        <w:numPr>
          <w:ilvl w:val="1"/>
          <w:numId w:val="14"/>
        </w:numPr>
        <w:tabs>
          <w:tab w:val="left" w:pos="721"/>
        </w:tabs>
        <w:spacing w:before="14"/>
        <w:ind w:hanging="602"/>
      </w:pPr>
      <w:r>
        <w:t>响应文件的组成</w:t>
      </w:r>
    </w:p>
    <w:p>
      <w:pPr>
        <w:pStyle w:val="26"/>
        <w:numPr>
          <w:ilvl w:val="2"/>
          <w:numId w:val="14"/>
        </w:numPr>
        <w:tabs>
          <w:tab w:val="left" w:pos="779"/>
        </w:tabs>
        <w:spacing w:before="12" w:line="249" w:lineRule="auto"/>
        <w:ind w:right="378" w:firstLine="0"/>
        <w:jc w:val="both"/>
        <w:rPr>
          <w:b/>
          <w:sz w:val="24"/>
          <w:lang w:eastAsia="zh-CN"/>
        </w:rPr>
      </w:pPr>
      <w:r>
        <w:rPr>
          <w:spacing w:val="-1"/>
          <w:sz w:val="24"/>
          <w:lang w:eastAsia="zh-CN"/>
        </w:rPr>
        <w:t>供应商应当按照竞争性磋商文件的要求编制响应文件。响应文件应当对竞争性磋</w:t>
      </w:r>
      <w:r>
        <w:rPr>
          <w:spacing w:val="-2"/>
          <w:sz w:val="24"/>
          <w:lang w:eastAsia="zh-CN"/>
        </w:rPr>
        <w:t>商文件提出的要求和条件作出明确响应。</w:t>
      </w:r>
      <w:r>
        <w:rPr>
          <w:b/>
          <w:spacing w:val="-4"/>
          <w:sz w:val="24"/>
          <w:lang w:eastAsia="zh-CN"/>
        </w:rPr>
        <w:t>并保证所提供的全部资料的真实性，否则其投</w:t>
      </w:r>
      <w:r>
        <w:rPr>
          <w:b/>
          <w:sz w:val="24"/>
          <w:lang w:eastAsia="zh-CN"/>
        </w:rPr>
        <w:t>标将按无效投标处理。</w:t>
      </w:r>
    </w:p>
    <w:p>
      <w:pPr>
        <w:pStyle w:val="26"/>
        <w:numPr>
          <w:ilvl w:val="2"/>
          <w:numId w:val="14"/>
        </w:numPr>
        <w:tabs>
          <w:tab w:val="left" w:pos="779"/>
        </w:tabs>
        <w:spacing w:line="249" w:lineRule="auto"/>
        <w:ind w:right="385" w:firstLine="0"/>
        <w:rPr>
          <w:color w:val="000000" w:themeColor="text1"/>
          <w:sz w:val="24"/>
          <w:lang w:eastAsia="zh-CN"/>
          <w14:textFill>
            <w14:solidFill>
              <w14:schemeClr w14:val="tx1"/>
            </w14:solidFill>
          </w14:textFill>
        </w:rPr>
      </w:pPr>
      <w:r>
        <w:rPr>
          <w:color w:val="000000" w:themeColor="text1"/>
          <w:spacing w:val="-1"/>
          <w:sz w:val="24"/>
          <w:lang w:eastAsia="zh-CN"/>
          <w14:textFill>
            <w14:solidFill>
              <w14:schemeClr w14:val="tx1"/>
            </w14:solidFill>
          </w14:textFill>
        </w:rPr>
        <w:t>供应商须知前附表规定接受联合体投标的，或供应商组成联合体的，响应文件应</w:t>
      </w:r>
      <w:r>
        <w:rPr>
          <w:color w:val="000000" w:themeColor="text1"/>
          <w:spacing w:val="-9"/>
          <w:sz w:val="24"/>
          <w:lang w:eastAsia="zh-CN"/>
          <w14:textFill>
            <w14:solidFill>
              <w14:schemeClr w14:val="tx1"/>
            </w14:solidFill>
          </w14:textFill>
        </w:rPr>
        <w:t xml:space="preserve">包括本须知第 </w:t>
      </w:r>
      <w:r>
        <w:rPr>
          <w:color w:val="000000" w:themeColor="text1"/>
          <w:sz w:val="24"/>
          <w:lang w:eastAsia="zh-CN"/>
          <w14:textFill>
            <w14:solidFill>
              <w14:schemeClr w14:val="tx1"/>
            </w14:solidFill>
          </w14:textFill>
        </w:rPr>
        <w:t>1.3.6</w:t>
      </w:r>
      <w:r>
        <w:rPr>
          <w:color w:val="000000" w:themeColor="text1"/>
          <w:spacing w:val="-8"/>
          <w:sz w:val="24"/>
          <w:lang w:eastAsia="zh-CN"/>
          <w14:textFill>
            <w14:solidFill>
              <w14:schemeClr w14:val="tx1"/>
            </w14:solidFill>
          </w14:textFill>
        </w:rPr>
        <w:t xml:space="preserve"> 目所指的联合体协议书。</w:t>
      </w:r>
    </w:p>
    <w:p>
      <w:pPr>
        <w:pStyle w:val="4"/>
        <w:spacing w:line="306" w:lineRule="exact"/>
        <w:ind w:left="118"/>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（一）、资格类文件</w:t>
      </w:r>
    </w:p>
    <w:p>
      <w:pPr>
        <w:pStyle w:val="8"/>
        <w:spacing w:before="14" w:line="249" w:lineRule="auto"/>
        <w:ind w:right="325" w:firstLine="240" w:firstLineChars="100"/>
        <w:jc w:val="both"/>
        <w:rPr>
          <w:lang w:eastAsia="zh-CN"/>
        </w:rPr>
      </w:pPr>
      <w:r>
        <w:rPr>
          <w:lang w:eastAsia="zh-CN"/>
        </w:rPr>
        <w:t>（1）制造或生产采购货物或服务的资格得到有关行政主管部门许可或批准的有关证</w:t>
      </w:r>
      <w:r>
        <w:rPr>
          <w:spacing w:val="-8"/>
          <w:lang w:eastAsia="zh-CN"/>
        </w:rPr>
        <w:t>件，包括：投标供应商有效的法人营业执照副本复印件、有效的税务登记证、组织机构代码证或三证合一证复印件（</w:t>
      </w:r>
      <w:r>
        <w:rPr>
          <w:spacing w:val="-9"/>
          <w:lang w:eastAsia="zh-CN"/>
        </w:rPr>
        <w:t xml:space="preserve">采购的货物名称规格型号应符合其生产或经销许可范围， </w:t>
      </w:r>
      <w:r>
        <w:rPr>
          <w:lang w:eastAsia="zh-CN"/>
        </w:rPr>
        <w:t>复印件必须与原件一致）、资质证书。</w:t>
      </w:r>
    </w:p>
    <w:p>
      <w:pPr>
        <w:pStyle w:val="26"/>
        <w:numPr>
          <w:ilvl w:val="3"/>
          <w:numId w:val="14"/>
        </w:numPr>
        <w:tabs>
          <w:tab w:val="left" w:pos="840"/>
        </w:tabs>
        <w:rPr>
          <w:sz w:val="24"/>
          <w:lang w:eastAsia="zh-CN"/>
        </w:rPr>
      </w:pPr>
      <w:r>
        <w:rPr>
          <w:sz w:val="24"/>
          <w:lang w:eastAsia="zh-CN"/>
        </w:rPr>
        <w:t>法人代表授权书原件（法人代表无此项要求）。</w:t>
      </w:r>
    </w:p>
    <w:p>
      <w:pPr>
        <w:pStyle w:val="26"/>
        <w:numPr>
          <w:ilvl w:val="3"/>
          <w:numId w:val="14"/>
        </w:numPr>
        <w:tabs>
          <w:tab w:val="left" w:pos="840"/>
        </w:tabs>
        <w:spacing w:before="11"/>
        <w:rPr>
          <w:sz w:val="24"/>
          <w:lang w:eastAsia="zh-CN"/>
        </w:rPr>
      </w:pPr>
      <w:r>
        <w:rPr>
          <w:sz w:val="24"/>
          <w:lang w:eastAsia="zh-CN"/>
        </w:rPr>
        <w:t>投标代表身份证复印件。</w:t>
      </w:r>
    </w:p>
    <w:p>
      <w:pPr>
        <w:pStyle w:val="26"/>
        <w:numPr>
          <w:ilvl w:val="3"/>
          <w:numId w:val="14"/>
        </w:numPr>
        <w:tabs>
          <w:tab w:val="left" w:pos="840"/>
        </w:tabs>
        <w:spacing w:before="14"/>
        <w:rPr>
          <w:sz w:val="24"/>
        </w:rPr>
      </w:pPr>
      <w:r>
        <w:rPr>
          <w:sz w:val="24"/>
        </w:rPr>
        <w:t>供应商的资格声明。</w:t>
      </w:r>
    </w:p>
    <w:p>
      <w:pPr>
        <w:pStyle w:val="26"/>
        <w:numPr>
          <w:ilvl w:val="3"/>
          <w:numId w:val="14"/>
        </w:numPr>
        <w:tabs>
          <w:tab w:val="left" w:pos="840"/>
        </w:tabs>
        <w:spacing w:before="12"/>
        <w:rPr>
          <w:sz w:val="24"/>
        </w:rPr>
      </w:pPr>
      <w:r>
        <w:rPr>
          <w:sz w:val="24"/>
        </w:rPr>
        <w:t>关于资格的声明函。</w:t>
      </w:r>
    </w:p>
    <w:p>
      <w:pPr>
        <w:pStyle w:val="26"/>
        <w:numPr>
          <w:ilvl w:val="3"/>
          <w:numId w:val="14"/>
        </w:numPr>
        <w:tabs>
          <w:tab w:val="left" w:pos="840"/>
        </w:tabs>
        <w:spacing w:before="12"/>
        <w:rPr>
          <w:sz w:val="24"/>
        </w:rPr>
      </w:pPr>
      <w:r>
        <w:rPr>
          <w:sz w:val="24"/>
        </w:rPr>
        <w:t>投标保证金。</w:t>
      </w:r>
    </w:p>
    <w:p>
      <w:pPr>
        <w:pStyle w:val="4"/>
        <w:spacing w:before="14"/>
        <w:ind w:left="118"/>
        <w:jc w:val="both"/>
      </w:pPr>
      <w:r>
        <w:t>（二）、投标主要文件</w:t>
      </w:r>
    </w:p>
    <w:p>
      <w:pPr>
        <w:pStyle w:val="26"/>
        <w:numPr>
          <w:ilvl w:val="0"/>
          <w:numId w:val="15"/>
        </w:numPr>
        <w:tabs>
          <w:tab w:val="left" w:pos="959"/>
        </w:tabs>
        <w:spacing w:before="12"/>
        <w:ind w:left="940" w:leftChars="0" w:firstLineChars="0"/>
        <w:rPr>
          <w:sz w:val="24"/>
        </w:rPr>
      </w:pPr>
      <w:r>
        <w:rPr>
          <w:sz w:val="24"/>
        </w:rPr>
        <w:t>投标函；</w:t>
      </w:r>
    </w:p>
    <w:p>
      <w:pPr>
        <w:pStyle w:val="26"/>
        <w:numPr>
          <w:ilvl w:val="0"/>
          <w:numId w:val="15"/>
        </w:numPr>
        <w:tabs>
          <w:tab w:val="left" w:pos="959"/>
        </w:tabs>
        <w:spacing w:before="11"/>
        <w:ind w:left="940" w:leftChars="0" w:firstLineChars="0"/>
        <w:rPr>
          <w:sz w:val="24"/>
        </w:rPr>
      </w:pPr>
      <w:r>
        <w:rPr>
          <w:sz w:val="24"/>
        </w:rPr>
        <w:t>开标一览表；</w:t>
      </w:r>
    </w:p>
    <w:p>
      <w:pPr>
        <w:pStyle w:val="26"/>
        <w:numPr>
          <w:ilvl w:val="0"/>
          <w:numId w:val="15"/>
        </w:numPr>
        <w:tabs>
          <w:tab w:val="left" w:pos="959"/>
        </w:tabs>
        <w:spacing w:before="14"/>
        <w:ind w:left="940" w:leftChars="0" w:firstLineChars="0"/>
        <w:rPr>
          <w:sz w:val="24"/>
        </w:rPr>
      </w:pPr>
      <w:r>
        <w:rPr>
          <w:sz w:val="24"/>
        </w:rPr>
        <w:t>投标分项报价表；</w:t>
      </w:r>
    </w:p>
    <w:p>
      <w:pPr>
        <w:pStyle w:val="26"/>
        <w:numPr>
          <w:ilvl w:val="0"/>
          <w:numId w:val="15"/>
        </w:numPr>
        <w:tabs>
          <w:tab w:val="left" w:pos="959"/>
        </w:tabs>
        <w:spacing w:before="12"/>
        <w:ind w:left="940" w:leftChars="0" w:firstLineChars="0"/>
        <w:rPr>
          <w:sz w:val="24"/>
        </w:rPr>
      </w:pPr>
      <w:r>
        <w:rPr>
          <w:sz w:val="24"/>
        </w:rPr>
        <w:t>货物说明一览表；</w:t>
      </w:r>
    </w:p>
    <w:p>
      <w:pPr>
        <w:pStyle w:val="26"/>
        <w:numPr>
          <w:ilvl w:val="0"/>
          <w:numId w:val="15"/>
        </w:numPr>
        <w:tabs>
          <w:tab w:val="left" w:pos="959"/>
        </w:tabs>
        <w:spacing w:before="12"/>
        <w:ind w:left="940" w:leftChars="0" w:firstLineChars="0"/>
        <w:rPr>
          <w:sz w:val="24"/>
        </w:rPr>
      </w:pPr>
      <w:r>
        <w:rPr>
          <w:sz w:val="24"/>
        </w:rPr>
        <w:t>供货范围清单；</w:t>
      </w:r>
    </w:p>
    <w:p>
      <w:pPr>
        <w:pStyle w:val="26"/>
        <w:numPr>
          <w:ilvl w:val="0"/>
          <w:numId w:val="15"/>
        </w:numPr>
        <w:tabs>
          <w:tab w:val="left" w:pos="959"/>
        </w:tabs>
        <w:spacing w:before="14"/>
        <w:ind w:left="940" w:leftChars="0" w:firstLineChars="0"/>
        <w:rPr>
          <w:sz w:val="24"/>
        </w:rPr>
      </w:pPr>
      <w:r>
        <w:rPr>
          <w:sz w:val="24"/>
        </w:rPr>
        <w:t>服务组织措施；</w:t>
      </w:r>
    </w:p>
    <w:p>
      <w:pPr>
        <w:pStyle w:val="26"/>
        <w:numPr>
          <w:ilvl w:val="0"/>
          <w:numId w:val="15"/>
        </w:numPr>
        <w:tabs>
          <w:tab w:val="left" w:pos="840"/>
        </w:tabs>
        <w:spacing w:before="12"/>
        <w:ind w:left="821" w:leftChars="0" w:hanging="601" w:firstLineChars="0"/>
        <w:rPr>
          <w:sz w:val="24"/>
          <w:lang w:eastAsia="zh-CN"/>
        </w:rPr>
      </w:pPr>
      <w:r>
        <w:rPr>
          <w:sz w:val="24"/>
          <w:lang w:eastAsia="zh-CN"/>
        </w:rPr>
        <w:t>技术服务、技术培训、售后服务的内容和措施；</w:t>
      </w:r>
    </w:p>
    <w:p>
      <w:pPr>
        <w:pStyle w:val="26"/>
        <w:numPr>
          <w:ilvl w:val="0"/>
          <w:numId w:val="15"/>
        </w:numPr>
        <w:tabs>
          <w:tab w:val="left" w:pos="840"/>
        </w:tabs>
        <w:spacing w:before="12"/>
        <w:ind w:left="821" w:leftChars="0" w:hanging="601" w:firstLineChars="0"/>
        <w:rPr>
          <w:rFonts w:ascii="宋体" w:hAnsi="宋体" w:eastAsia="宋体" w:cs="宋体"/>
          <w:sz w:val="24"/>
          <w:lang w:eastAsia="zh-CN"/>
        </w:rPr>
      </w:pPr>
      <w:r>
        <w:rPr>
          <w:rFonts w:hint="eastAsia" w:ascii="宋体" w:hAnsi="宋体" w:eastAsia="宋体" w:cs="宋体"/>
          <w:sz w:val="24"/>
          <w:lang w:val="en-US" w:eastAsia="zh-CN"/>
        </w:rPr>
        <w:t>中小企业声明函</w:t>
      </w:r>
    </w:p>
    <w:p>
      <w:pPr>
        <w:pStyle w:val="26"/>
        <w:numPr>
          <w:ilvl w:val="0"/>
          <w:numId w:val="15"/>
        </w:numPr>
        <w:tabs>
          <w:tab w:val="left" w:pos="840"/>
        </w:tabs>
        <w:spacing w:before="12"/>
        <w:ind w:left="821" w:leftChars="0" w:hanging="601" w:firstLineChars="0"/>
        <w:rPr>
          <w:sz w:val="24"/>
          <w:lang w:eastAsia="zh-CN"/>
        </w:rPr>
      </w:pPr>
      <w:r>
        <w:rPr>
          <w:rFonts w:hint="eastAsia" w:ascii="宋体" w:hAnsi="宋体" w:eastAsia="宋体" w:cs="宋体"/>
          <w:sz w:val="24"/>
          <w:lang w:eastAsia="zh-CN"/>
        </w:rPr>
        <w:t>质疑函范本</w:t>
      </w:r>
    </w:p>
    <w:p>
      <w:pPr>
        <w:pStyle w:val="26"/>
        <w:numPr>
          <w:ilvl w:val="0"/>
          <w:numId w:val="16"/>
        </w:numPr>
        <w:tabs>
          <w:tab w:val="left" w:pos="840"/>
        </w:tabs>
        <w:spacing w:before="11"/>
        <w:ind w:left="220" w:leftChars="0"/>
        <w:rPr>
          <w:sz w:val="24"/>
          <w:lang w:eastAsia="zh-CN"/>
        </w:rPr>
      </w:pPr>
      <w:r>
        <w:rPr>
          <w:sz w:val="24"/>
          <w:lang w:eastAsia="zh-CN"/>
        </w:rPr>
        <w:t>供应商需要说明的其他文件和说明。</w:t>
      </w:r>
    </w:p>
    <w:p>
      <w:pPr>
        <w:pStyle w:val="4"/>
        <w:numPr>
          <w:ilvl w:val="1"/>
          <w:numId w:val="14"/>
        </w:numPr>
        <w:tabs>
          <w:tab w:val="left" w:pos="721"/>
        </w:tabs>
        <w:spacing w:before="14"/>
        <w:ind w:hanging="602"/>
        <w:jc w:val="both"/>
      </w:pPr>
      <w:r>
        <w:t>投标报价</w:t>
      </w:r>
    </w:p>
    <w:p>
      <w:pPr>
        <w:pStyle w:val="26"/>
        <w:numPr>
          <w:ilvl w:val="2"/>
          <w:numId w:val="14"/>
        </w:numPr>
        <w:tabs>
          <w:tab w:val="left" w:pos="839"/>
        </w:tabs>
        <w:spacing w:before="12"/>
        <w:ind w:left="838" w:hanging="720"/>
        <w:jc w:val="both"/>
        <w:rPr>
          <w:sz w:val="24"/>
          <w:lang w:eastAsia="zh-CN"/>
        </w:rPr>
      </w:pPr>
      <w:r>
        <w:rPr>
          <w:sz w:val="24"/>
          <w:lang w:eastAsia="zh-CN"/>
        </w:rPr>
        <w:t>供应商应按竞争性磋商文件的要求填写相应投标报价表格。</w:t>
      </w:r>
    </w:p>
    <w:p>
      <w:pPr>
        <w:pStyle w:val="26"/>
        <w:numPr>
          <w:ilvl w:val="2"/>
          <w:numId w:val="14"/>
        </w:numPr>
        <w:tabs>
          <w:tab w:val="left" w:pos="839"/>
        </w:tabs>
        <w:spacing w:before="12" w:line="249" w:lineRule="auto"/>
        <w:ind w:right="325" w:firstLine="0"/>
        <w:jc w:val="both"/>
        <w:rPr>
          <w:sz w:val="24"/>
          <w:lang w:eastAsia="zh-CN"/>
        </w:rPr>
      </w:pPr>
      <w:r>
        <w:rPr>
          <w:spacing w:val="-6"/>
          <w:sz w:val="24"/>
          <w:lang w:eastAsia="zh-CN"/>
        </w:rPr>
        <w:t>除非有另外的规定，供应商可对招标项目一览表所列的全部合同包或部分合同包</w:t>
      </w:r>
      <w:r>
        <w:rPr>
          <w:spacing w:val="-7"/>
          <w:sz w:val="24"/>
          <w:lang w:eastAsia="zh-CN"/>
        </w:rPr>
        <w:t>进行投标。招标代理机构不接受有任何可选择性的报价，每一种货物只能有一个报价。</w:t>
      </w:r>
      <w:r>
        <w:rPr>
          <w:sz w:val="24"/>
          <w:lang w:eastAsia="zh-CN"/>
        </w:rPr>
        <w:t>且每一合同包的投标总报价不得超过规定的最高投标限价。</w:t>
      </w:r>
    </w:p>
    <w:p>
      <w:pPr>
        <w:pStyle w:val="4"/>
        <w:numPr>
          <w:ilvl w:val="1"/>
          <w:numId w:val="14"/>
        </w:numPr>
        <w:tabs>
          <w:tab w:val="left" w:pos="721"/>
        </w:tabs>
        <w:ind w:hanging="602"/>
      </w:pPr>
      <w:r>
        <w:t>响应文件语言</w:t>
      </w:r>
    </w:p>
    <w:p>
      <w:pPr>
        <w:pStyle w:val="8"/>
        <w:spacing w:before="15" w:line="249" w:lineRule="auto"/>
        <w:ind w:left="118" w:right="385"/>
        <w:rPr>
          <w:lang w:eastAsia="zh-CN"/>
        </w:rPr>
      </w:pPr>
      <w:r>
        <w:rPr>
          <w:lang w:eastAsia="zh-CN"/>
        </w:rPr>
        <w:t>3.</w:t>
      </w:r>
      <w:r>
        <w:rPr>
          <w:rFonts w:hint="eastAsia"/>
          <w:lang w:val="en-US" w:eastAsia="zh-CN"/>
        </w:rPr>
        <w:t>3</w:t>
      </w:r>
      <w:r>
        <w:rPr>
          <w:lang w:eastAsia="zh-CN"/>
        </w:rPr>
        <w:t>.1</w:t>
      </w:r>
      <w:r>
        <w:rPr>
          <w:spacing w:val="-9"/>
          <w:lang w:eastAsia="zh-CN"/>
        </w:rPr>
        <w:t xml:space="preserve"> 响应文件应用中文书写。响应文件中所附或所引用的原件不是中文时，应附中文</w:t>
      </w:r>
      <w:r>
        <w:rPr>
          <w:lang w:eastAsia="zh-CN"/>
        </w:rPr>
        <w:t>译本。各种计量单位及符号应采用国际上统一使用的公制计量单位和符号。</w:t>
      </w:r>
    </w:p>
    <w:p>
      <w:pPr>
        <w:pStyle w:val="4"/>
        <w:numPr>
          <w:ilvl w:val="1"/>
          <w:numId w:val="14"/>
        </w:numPr>
        <w:tabs>
          <w:tab w:val="left" w:pos="721"/>
        </w:tabs>
        <w:spacing w:line="306" w:lineRule="exact"/>
        <w:ind w:hanging="602"/>
      </w:pPr>
      <w:r>
        <w:t>响应文件的编制</w:t>
      </w:r>
    </w:p>
    <w:p>
      <w:pPr>
        <w:pStyle w:val="26"/>
        <w:numPr>
          <w:ilvl w:val="2"/>
          <w:numId w:val="14"/>
        </w:numPr>
        <w:tabs>
          <w:tab w:val="left" w:pos="779"/>
        </w:tabs>
        <w:spacing w:before="14" w:line="249" w:lineRule="auto"/>
        <w:ind w:right="377" w:firstLine="0"/>
        <w:jc w:val="both"/>
        <w:rPr>
          <w:sz w:val="24"/>
          <w:lang w:eastAsia="zh-CN"/>
        </w:rPr>
      </w:pPr>
      <w:r>
        <w:rPr>
          <w:sz w:val="24"/>
          <w:lang w:eastAsia="zh-CN"/>
        </w:rPr>
        <w:t>响应文件应按竞争性磋商文件“响应文件格式”进行编写，如有必要，可以增加</w:t>
      </w:r>
      <w:r>
        <w:rPr>
          <w:spacing w:val="-7"/>
          <w:sz w:val="24"/>
          <w:lang w:eastAsia="zh-CN"/>
        </w:rPr>
        <w:t>附页，作为响应文件的组成部分。其中，投标函附录在满足竞争性磋商文件实质性要求</w:t>
      </w:r>
      <w:r>
        <w:rPr>
          <w:sz w:val="24"/>
          <w:lang w:eastAsia="zh-CN"/>
        </w:rPr>
        <w:t>的基础上，可以提出比竞争性磋商文件要求更有利于采购人的承诺。</w:t>
      </w:r>
    </w:p>
    <w:p>
      <w:pPr>
        <w:pStyle w:val="8"/>
        <w:spacing w:line="20" w:lineRule="exact"/>
        <w:ind w:left="110"/>
        <w:rPr>
          <w:sz w:val="2"/>
        </w:rPr>
      </w:pPr>
    </w:p>
    <w:p>
      <w:pPr>
        <w:pStyle w:val="26"/>
        <w:numPr>
          <w:ilvl w:val="2"/>
          <w:numId w:val="14"/>
        </w:numPr>
        <w:tabs>
          <w:tab w:val="left" w:pos="839"/>
        </w:tabs>
        <w:spacing w:before="36" w:line="249" w:lineRule="auto"/>
        <w:ind w:right="377" w:firstLine="0"/>
        <w:rPr>
          <w:sz w:val="24"/>
          <w:lang w:eastAsia="zh-CN"/>
        </w:rPr>
      </w:pPr>
      <w:r>
        <w:rPr>
          <w:spacing w:val="-4"/>
          <w:sz w:val="24"/>
          <w:lang w:eastAsia="zh-CN"/>
        </w:rPr>
        <w:t>响应文件应当对竞争性磋商文件有关供货计划、投标有效期、质量要求、技术标</w:t>
      </w:r>
      <w:r>
        <w:rPr>
          <w:sz w:val="24"/>
          <w:lang w:eastAsia="zh-CN"/>
        </w:rPr>
        <w:t>准和要求、招标范围等实质性内容做出响应。</w:t>
      </w:r>
    </w:p>
    <w:p>
      <w:pPr>
        <w:pStyle w:val="4"/>
        <w:numPr>
          <w:ilvl w:val="2"/>
          <w:numId w:val="14"/>
        </w:numPr>
        <w:tabs>
          <w:tab w:val="left" w:pos="779"/>
        </w:tabs>
        <w:spacing w:before="1" w:line="249" w:lineRule="auto"/>
        <w:ind w:right="377" w:firstLine="0"/>
        <w:jc w:val="both"/>
      </w:pPr>
      <w:r>
        <w:rPr>
          <w:spacing w:val="-4"/>
          <w:sz w:val="24"/>
          <w:lang w:eastAsia="zh-CN"/>
        </w:rPr>
        <w:t>响应文件</w:t>
      </w:r>
      <w:r>
        <w:rPr>
          <w:spacing w:val="-5"/>
          <w:lang w:eastAsia="zh-CN"/>
        </w:rPr>
        <w:t>应由供应商的法定代表人或者其授权代表逐页加盖公章并在</w:t>
      </w:r>
      <w:r>
        <w:rPr>
          <w:spacing w:val="-20"/>
          <w:lang w:eastAsia="zh-CN"/>
        </w:rPr>
        <w:t>规定签字的位置签字，授权代表签字的，响应文件应附法定代表人签署的授权委托书</w:t>
      </w:r>
      <w:r>
        <w:rPr>
          <w:lang w:eastAsia="zh-CN"/>
        </w:rPr>
        <w:t>（</w:t>
      </w:r>
      <w:r>
        <w:rPr>
          <w:spacing w:val="-12"/>
          <w:lang w:eastAsia="zh-CN"/>
        </w:rPr>
        <w:t>应</w:t>
      </w:r>
      <w:r>
        <w:rPr>
          <w:lang w:eastAsia="zh-CN"/>
        </w:rPr>
        <w:t>与开标时的一致）。</w:t>
      </w:r>
      <w:r>
        <w:t>否则，其投标无效！</w:t>
      </w:r>
    </w:p>
    <w:p>
      <w:pPr>
        <w:pStyle w:val="26"/>
        <w:numPr>
          <w:ilvl w:val="2"/>
          <w:numId w:val="14"/>
        </w:numPr>
        <w:tabs>
          <w:tab w:val="left" w:pos="779"/>
        </w:tabs>
        <w:spacing w:before="1"/>
        <w:ind w:left="778"/>
        <w:rPr>
          <w:sz w:val="24"/>
          <w:lang w:eastAsia="zh-CN"/>
        </w:rPr>
      </w:pPr>
      <w:r>
        <w:rPr>
          <w:sz w:val="24"/>
          <w:lang w:eastAsia="zh-CN"/>
        </w:rPr>
        <w:t>除非有另外的规定或许可，投标使用货币为：人民币。</w:t>
      </w:r>
    </w:p>
    <w:p>
      <w:pPr>
        <w:pStyle w:val="26"/>
        <w:numPr>
          <w:ilvl w:val="2"/>
          <w:numId w:val="14"/>
        </w:numPr>
        <w:tabs>
          <w:tab w:val="left" w:pos="779"/>
        </w:tabs>
        <w:spacing w:before="12" w:line="249" w:lineRule="auto"/>
        <w:ind w:right="385" w:firstLine="0"/>
        <w:rPr>
          <w:sz w:val="24"/>
          <w:lang w:eastAsia="zh-CN"/>
        </w:rPr>
      </w:pPr>
      <w:r>
        <w:rPr>
          <w:spacing w:val="-1"/>
          <w:sz w:val="24"/>
          <w:lang w:eastAsia="zh-CN"/>
        </w:rPr>
        <w:t>供应商应提交证明其拟供货物符合竞争性磋商文件要求的技术文件，该文件可以</w:t>
      </w:r>
      <w:r>
        <w:rPr>
          <w:sz w:val="24"/>
          <w:lang w:eastAsia="zh-CN"/>
        </w:rPr>
        <w:t>是包括文字资料、图纸和数据等组成，并须提供货物主要技术性能的详细描述。</w:t>
      </w:r>
    </w:p>
    <w:p>
      <w:pPr>
        <w:pStyle w:val="4"/>
        <w:numPr>
          <w:ilvl w:val="2"/>
          <w:numId w:val="14"/>
        </w:numPr>
        <w:tabs>
          <w:tab w:val="left" w:pos="779"/>
        </w:tabs>
        <w:spacing w:before="1" w:line="249" w:lineRule="auto"/>
        <w:ind w:right="377" w:firstLine="0"/>
        <w:rPr>
          <w:lang w:eastAsia="zh-CN"/>
        </w:rPr>
      </w:pPr>
      <w:r>
        <w:rPr>
          <w:spacing w:val="-2"/>
          <w:lang w:eastAsia="zh-CN"/>
        </w:rPr>
        <w:t>未按竞争性磋商文件规定的内容编写的响应文件或响应文件字迹模糊不清的，无</w:t>
      </w:r>
      <w:r>
        <w:rPr>
          <w:lang w:eastAsia="zh-CN"/>
        </w:rPr>
        <w:t>法辨认其价格、关键参数或指标等的，其投标无效。</w:t>
      </w:r>
    </w:p>
    <w:p>
      <w:pPr>
        <w:pStyle w:val="26"/>
        <w:numPr>
          <w:ilvl w:val="2"/>
          <w:numId w:val="14"/>
        </w:numPr>
        <w:tabs>
          <w:tab w:val="left" w:pos="899"/>
        </w:tabs>
        <w:spacing w:line="306" w:lineRule="exact"/>
        <w:ind w:left="898" w:hanging="780"/>
        <w:rPr>
          <w:sz w:val="24"/>
          <w:lang w:eastAsia="zh-CN"/>
        </w:rPr>
      </w:pPr>
      <w:r>
        <w:rPr>
          <w:sz w:val="24"/>
          <w:lang w:eastAsia="zh-CN"/>
        </w:rPr>
        <w:t>所有资格证明文件复印件须注明“与原件一致”并加盖供应商公章。</w:t>
      </w:r>
    </w:p>
    <w:p>
      <w:pPr>
        <w:pStyle w:val="26"/>
        <w:numPr>
          <w:ilvl w:val="2"/>
          <w:numId w:val="14"/>
        </w:numPr>
        <w:tabs>
          <w:tab w:val="left" w:pos="899"/>
        </w:tabs>
        <w:spacing w:before="14" w:line="249" w:lineRule="auto"/>
        <w:ind w:right="377" w:firstLine="0"/>
        <w:jc w:val="both"/>
        <w:rPr>
          <w:sz w:val="24"/>
          <w:lang w:eastAsia="zh-CN"/>
        </w:rPr>
      </w:pPr>
      <w:r>
        <w:rPr>
          <w:spacing w:val="-7"/>
          <w:sz w:val="24"/>
          <w:lang w:eastAsia="zh-CN"/>
        </w:rPr>
        <w:t>供应商可对本次招标的所有货物进行投标，也可只对其中一个合同包或几个合同</w:t>
      </w:r>
      <w:r>
        <w:rPr>
          <w:spacing w:val="-6"/>
          <w:sz w:val="24"/>
          <w:lang w:eastAsia="zh-CN"/>
        </w:rPr>
        <w:t>包的货物进行投标；除非竞争性磋商文件另有规定，不得将一个合同包中的货物拆开投</w:t>
      </w:r>
      <w:r>
        <w:rPr>
          <w:sz w:val="24"/>
          <w:lang w:eastAsia="zh-CN"/>
        </w:rPr>
        <w:t>标。</w:t>
      </w:r>
    </w:p>
    <w:p>
      <w:pPr>
        <w:pStyle w:val="4"/>
        <w:numPr>
          <w:ilvl w:val="1"/>
          <w:numId w:val="14"/>
        </w:numPr>
        <w:tabs>
          <w:tab w:val="left" w:pos="721"/>
        </w:tabs>
        <w:spacing w:before="1"/>
        <w:ind w:hanging="602"/>
      </w:pPr>
      <w:r>
        <w:t>投标有效期</w:t>
      </w:r>
    </w:p>
    <w:p>
      <w:pPr>
        <w:pStyle w:val="26"/>
        <w:numPr>
          <w:ilvl w:val="2"/>
          <w:numId w:val="14"/>
        </w:numPr>
        <w:tabs>
          <w:tab w:val="left" w:pos="779"/>
        </w:tabs>
        <w:spacing w:before="11" w:line="249" w:lineRule="auto"/>
        <w:ind w:right="385" w:firstLine="0"/>
        <w:rPr>
          <w:sz w:val="24"/>
          <w:lang w:eastAsia="zh-CN"/>
        </w:rPr>
      </w:pPr>
      <w:r>
        <w:rPr>
          <w:spacing w:val="-1"/>
          <w:sz w:val="24"/>
          <w:lang w:eastAsia="zh-CN"/>
        </w:rPr>
        <w:t>响应文件从供应商须知前附表所规定的投标截止期之后开始生效，在供应商须知</w:t>
      </w:r>
      <w:r>
        <w:rPr>
          <w:sz w:val="24"/>
          <w:lang w:eastAsia="zh-CN"/>
        </w:rPr>
        <w:t>前附表所规定的期限内保持有效。有效期不足将导致其响应文件被拒绝。</w:t>
      </w:r>
    </w:p>
    <w:p>
      <w:pPr>
        <w:pStyle w:val="26"/>
        <w:numPr>
          <w:ilvl w:val="2"/>
          <w:numId w:val="14"/>
        </w:numPr>
        <w:tabs>
          <w:tab w:val="left" w:pos="779"/>
        </w:tabs>
        <w:spacing w:before="1" w:line="249" w:lineRule="auto"/>
        <w:ind w:right="377" w:firstLine="0"/>
        <w:jc w:val="both"/>
        <w:rPr>
          <w:sz w:val="24"/>
          <w:lang w:eastAsia="zh-CN"/>
        </w:rPr>
      </w:pPr>
      <w:r>
        <w:rPr>
          <w:sz w:val="24"/>
          <w:lang w:eastAsia="zh-CN"/>
        </w:rPr>
        <w:t xml:space="preserve">特殊情况下采购代理人可于投标有效期满之前书面要求供应商同意延长有效期， </w:t>
      </w:r>
      <w:r>
        <w:rPr>
          <w:spacing w:val="-3"/>
          <w:sz w:val="24"/>
          <w:lang w:eastAsia="zh-CN"/>
        </w:rPr>
        <w:t>供应商应在招标代理机构规定的期限内以书面形式予以答复。供应商可以拒绝上述要求</w:t>
      </w:r>
      <w:r>
        <w:rPr>
          <w:spacing w:val="-4"/>
          <w:sz w:val="24"/>
          <w:lang w:eastAsia="zh-CN"/>
        </w:rPr>
        <w:t>而其投标保证金可按规定予以退还。供应商答复不明确或者逾期未答复的，均视为拒绝</w:t>
      </w:r>
      <w:r>
        <w:rPr>
          <w:spacing w:val="-7"/>
          <w:sz w:val="24"/>
          <w:lang w:eastAsia="zh-CN"/>
        </w:rPr>
        <w:t>上述要求。对于接受该要求的供应商，既不要求也不允许其修改响应文件，但将要求其</w:t>
      </w:r>
      <w:r>
        <w:rPr>
          <w:spacing w:val="-5"/>
          <w:sz w:val="24"/>
          <w:lang w:eastAsia="zh-CN"/>
        </w:rPr>
        <w:t>相应延长投标保证金有效期，有关退还和不予退还投标保证金的规定在投标有效期延长</w:t>
      </w:r>
      <w:r>
        <w:rPr>
          <w:sz w:val="24"/>
          <w:lang w:eastAsia="zh-CN"/>
        </w:rPr>
        <w:t>期内继续有效。</w:t>
      </w:r>
    </w:p>
    <w:p>
      <w:pPr>
        <w:pStyle w:val="4"/>
        <w:numPr>
          <w:ilvl w:val="1"/>
          <w:numId w:val="14"/>
        </w:numPr>
        <w:tabs>
          <w:tab w:val="left" w:pos="721"/>
        </w:tabs>
        <w:spacing w:before="2"/>
        <w:ind w:hanging="602"/>
      </w:pPr>
      <w:r>
        <w:rPr>
          <w:rFonts w:hint="eastAsia" w:ascii="宋体" w:hAnsi="宋体" w:eastAsia="宋体" w:cs="宋体"/>
          <w:sz w:val="24"/>
          <w:lang w:val="en-US" w:eastAsia="zh-CN"/>
        </w:rPr>
        <w:t>投标</w:t>
      </w:r>
      <w:r>
        <w:t>保证金</w:t>
      </w:r>
    </w:p>
    <w:p>
      <w:pPr>
        <w:pStyle w:val="26"/>
        <w:numPr>
          <w:ilvl w:val="2"/>
          <w:numId w:val="14"/>
        </w:numPr>
        <w:tabs>
          <w:tab w:val="left" w:pos="839"/>
        </w:tabs>
        <w:spacing w:before="11"/>
        <w:ind w:left="838" w:hanging="720"/>
        <w:rPr>
          <w:sz w:val="24"/>
          <w:lang w:eastAsia="zh-CN"/>
        </w:rPr>
      </w:pPr>
      <w:r>
        <w:rPr>
          <w:rFonts w:hint="eastAsia" w:ascii="宋体" w:hAnsi="宋体" w:eastAsia="宋体" w:cs="宋体"/>
          <w:sz w:val="24"/>
          <w:lang w:val="en-US" w:eastAsia="zh-CN"/>
        </w:rPr>
        <w:t>投标</w:t>
      </w:r>
      <w:r>
        <w:rPr>
          <w:sz w:val="24"/>
          <w:lang w:eastAsia="zh-CN"/>
        </w:rPr>
        <w:t>保证金为响应文件的组成部分之一。</w:t>
      </w:r>
    </w:p>
    <w:p>
      <w:pPr>
        <w:pStyle w:val="26"/>
        <w:numPr>
          <w:ilvl w:val="2"/>
          <w:numId w:val="14"/>
        </w:numPr>
        <w:tabs>
          <w:tab w:val="left" w:pos="839"/>
        </w:tabs>
        <w:spacing w:before="12" w:line="249" w:lineRule="auto"/>
        <w:ind w:right="377" w:firstLine="0"/>
        <w:rPr>
          <w:sz w:val="24"/>
          <w:lang w:eastAsia="zh-CN"/>
        </w:rPr>
      </w:pPr>
      <w:r>
        <w:rPr>
          <w:sz w:val="24"/>
          <w:lang w:eastAsia="zh-CN"/>
        </w:rPr>
        <w:t>供应商应在提交响应文件之前向招标代理机构缴交供应商须知前附表要求的</w:t>
      </w:r>
      <w:r>
        <w:rPr>
          <w:rFonts w:hint="eastAsia" w:ascii="宋体" w:hAnsi="宋体" w:eastAsia="宋体" w:cs="宋体"/>
          <w:sz w:val="24"/>
          <w:lang w:val="en-US" w:eastAsia="zh-CN"/>
        </w:rPr>
        <w:t>投标</w:t>
      </w:r>
      <w:r>
        <w:rPr>
          <w:spacing w:val="-8"/>
          <w:sz w:val="24"/>
          <w:lang w:eastAsia="zh-CN"/>
        </w:rPr>
        <w:t>保证金。联合体投标的，可以由联合体中的一方或者共同提交投标保证金，以一方名</w:t>
      </w:r>
      <w:r>
        <w:rPr>
          <w:sz w:val="24"/>
          <w:lang w:eastAsia="zh-CN"/>
        </w:rPr>
        <w:t>义提交投标保证金的，对联合体各方均具有约束力。</w:t>
      </w:r>
    </w:p>
    <w:p>
      <w:pPr>
        <w:pStyle w:val="26"/>
        <w:numPr>
          <w:ilvl w:val="2"/>
          <w:numId w:val="14"/>
        </w:numPr>
        <w:tabs>
          <w:tab w:val="left" w:pos="839"/>
        </w:tabs>
        <w:spacing w:before="1"/>
        <w:ind w:left="838" w:hanging="720"/>
        <w:rPr>
          <w:sz w:val="24"/>
          <w:lang w:eastAsia="zh-CN"/>
        </w:rPr>
      </w:pPr>
      <w:r>
        <w:rPr>
          <w:sz w:val="24"/>
          <w:lang w:eastAsia="zh-CN"/>
        </w:rPr>
        <w:t>投标保证金用于保护本次招标活动免受供应商的行为而引起的风险。</w:t>
      </w:r>
    </w:p>
    <w:p>
      <w:pPr>
        <w:pStyle w:val="26"/>
        <w:numPr>
          <w:ilvl w:val="2"/>
          <w:numId w:val="14"/>
        </w:numPr>
        <w:tabs>
          <w:tab w:val="left" w:pos="839"/>
        </w:tabs>
        <w:spacing w:before="14" w:line="249" w:lineRule="auto"/>
        <w:ind w:right="438" w:firstLine="0"/>
        <w:rPr>
          <w:sz w:val="24"/>
          <w:lang w:eastAsia="zh-CN"/>
        </w:rPr>
      </w:pPr>
      <w:r>
        <w:rPr>
          <w:spacing w:val="1"/>
          <w:sz w:val="24"/>
          <w:lang w:eastAsia="zh-CN"/>
        </w:rPr>
        <w:t>投标保证金以投标保证金可以采用现金、现金支票、银行汇票、银行保函等</w:t>
      </w:r>
      <w:r>
        <w:rPr>
          <w:sz w:val="24"/>
          <w:lang w:eastAsia="zh-CN"/>
        </w:rPr>
        <w:t>形式交纳。供应商须知前附表另有规定的，则从其约定。</w:t>
      </w:r>
    </w:p>
    <w:p>
      <w:pPr>
        <w:pStyle w:val="26"/>
        <w:numPr>
          <w:ilvl w:val="2"/>
          <w:numId w:val="14"/>
        </w:numPr>
        <w:tabs>
          <w:tab w:val="left" w:pos="839"/>
        </w:tabs>
        <w:spacing w:line="306" w:lineRule="exact"/>
        <w:ind w:left="838" w:hanging="720"/>
        <w:rPr>
          <w:sz w:val="24"/>
          <w:lang w:eastAsia="zh-CN"/>
        </w:rPr>
      </w:pPr>
      <w:r>
        <w:rPr>
          <w:sz w:val="24"/>
          <w:lang w:eastAsia="zh-CN"/>
        </w:rPr>
        <w:t>未按规定缴交投标保证金的投标，将被视为无效投标。</w:t>
      </w:r>
    </w:p>
    <w:p>
      <w:pPr>
        <w:pStyle w:val="26"/>
        <w:numPr>
          <w:ilvl w:val="2"/>
          <w:numId w:val="14"/>
        </w:numPr>
        <w:tabs>
          <w:tab w:val="left" w:pos="779"/>
        </w:tabs>
        <w:spacing w:before="14"/>
        <w:ind w:left="778"/>
        <w:rPr>
          <w:sz w:val="24"/>
          <w:highlight w:val="none"/>
          <w:lang w:eastAsia="zh-CN"/>
        </w:rPr>
      </w:pPr>
      <w:r>
        <w:rPr>
          <w:sz w:val="24"/>
          <w:highlight w:val="none"/>
          <w:lang w:eastAsia="zh-CN"/>
        </w:rPr>
        <w:t>投标保证金退还手续说明</w:t>
      </w:r>
    </w:p>
    <w:p>
      <w:pPr>
        <w:pStyle w:val="26"/>
        <w:numPr>
          <w:ilvl w:val="0"/>
          <w:numId w:val="0"/>
        </w:numPr>
        <w:tabs>
          <w:tab w:val="left" w:pos="779"/>
        </w:tabs>
        <w:spacing w:before="14"/>
        <w:ind w:left="118" w:leftChars="0"/>
        <w:rPr>
          <w:sz w:val="24"/>
          <w:highlight w:val="red"/>
          <w:lang w:eastAsia="zh-CN"/>
        </w:rPr>
      </w:pPr>
      <w:r>
        <w:rPr>
          <w:rFonts w:hint="eastAsia" w:ascii="宋体" w:hAnsi="宋体" w:eastAsia="宋体" w:cs="宋体"/>
          <w:color w:val="auto"/>
          <w:kern w:val="0"/>
          <w:sz w:val="24"/>
          <w:szCs w:val="24"/>
          <w:highlight w:val="none"/>
          <w:lang w:val="en-US" w:eastAsia="zh-CN" w:bidi="ar-SA"/>
        </w:rPr>
        <w:t>开标结束后各投标供应商将开户许可证扫描件发送至招标代理QQ邮箱（2330951835@qq.com）退投标保证金</w:t>
      </w:r>
    </w:p>
    <w:p>
      <w:pPr>
        <w:pStyle w:val="8"/>
        <w:spacing w:line="20" w:lineRule="exact"/>
        <w:ind w:left="110"/>
        <w:rPr>
          <w:sz w:val="2"/>
          <w:highlight w:val="yellow"/>
        </w:rPr>
      </w:pPr>
    </w:p>
    <w:p>
      <w:pPr>
        <w:pStyle w:val="26"/>
        <w:numPr>
          <w:ilvl w:val="2"/>
          <w:numId w:val="14"/>
        </w:numPr>
        <w:tabs>
          <w:tab w:val="left" w:pos="779"/>
        </w:tabs>
        <w:spacing w:before="1" w:line="249" w:lineRule="auto"/>
        <w:ind w:right="385" w:firstLine="0"/>
        <w:rPr>
          <w:sz w:val="24"/>
          <w:lang w:eastAsia="zh-CN"/>
        </w:rPr>
      </w:pPr>
      <w:r>
        <w:rPr>
          <w:sz w:val="24"/>
          <w:lang w:eastAsia="zh-CN"/>
        </w:rPr>
        <w:t>在中标人签订合同（</w:t>
      </w:r>
      <w:r>
        <w:rPr>
          <w:spacing w:val="-1"/>
          <w:sz w:val="24"/>
          <w:lang w:eastAsia="zh-CN"/>
        </w:rPr>
        <w:t>采购人如有要求中标人支付履约保证金的，则增加：支付履</w:t>
      </w:r>
      <w:r>
        <w:rPr>
          <w:sz w:val="24"/>
          <w:lang w:eastAsia="zh-CN"/>
        </w:rPr>
        <w:t>约保证金）</w:t>
      </w:r>
      <w:r>
        <w:rPr>
          <w:spacing w:val="-30"/>
          <w:sz w:val="24"/>
          <w:lang w:eastAsia="zh-CN"/>
        </w:rPr>
        <w:t>后</w:t>
      </w:r>
      <w:r>
        <w:rPr>
          <w:rFonts w:hint="eastAsia"/>
          <w:spacing w:val="-30"/>
          <w:sz w:val="24"/>
          <w:lang w:val="en-US" w:eastAsia="zh-CN"/>
        </w:rPr>
        <w:t xml:space="preserve">   </w:t>
      </w:r>
      <w:r>
        <w:rPr>
          <w:spacing w:val="-30"/>
          <w:sz w:val="24"/>
          <w:lang w:eastAsia="zh-CN"/>
        </w:rPr>
        <w:t xml:space="preserve"> </w:t>
      </w:r>
      <w:r>
        <w:rPr>
          <w:sz w:val="24"/>
          <w:lang w:eastAsia="zh-CN"/>
        </w:rPr>
        <w:t>5</w:t>
      </w:r>
      <w:r>
        <w:rPr>
          <w:spacing w:val="-8"/>
          <w:sz w:val="24"/>
          <w:lang w:eastAsia="zh-CN"/>
        </w:rPr>
        <w:t xml:space="preserve"> 个工作日内，中标人的投标保证金予以原额无息退还</w:t>
      </w:r>
      <w:r>
        <w:rPr>
          <w:rFonts w:hint="eastAsia"/>
          <w:spacing w:val="-8"/>
          <w:sz w:val="24"/>
          <w:lang w:eastAsia="zh-CN"/>
        </w:rPr>
        <w:t>；</w:t>
      </w:r>
      <w:r>
        <w:rPr>
          <w:rFonts w:hint="eastAsia"/>
          <w:spacing w:val="-1"/>
          <w:sz w:val="24"/>
          <w:highlight w:val="none"/>
          <w:lang w:val="en-US" w:eastAsia="zh-CN"/>
        </w:rPr>
        <w:t>未中标企业开标后退还。</w:t>
      </w:r>
    </w:p>
    <w:p>
      <w:pPr>
        <w:pStyle w:val="26"/>
        <w:numPr>
          <w:ilvl w:val="2"/>
          <w:numId w:val="14"/>
        </w:numPr>
        <w:tabs>
          <w:tab w:val="left" w:pos="839"/>
        </w:tabs>
        <w:spacing w:line="306" w:lineRule="exact"/>
        <w:ind w:left="838" w:hanging="720"/>
        <w:rPr>
          <w:sz w:val="24"/>
          <w:lang w:eastAsia="zh-CN"/>
        </w:rPr>
      </w:pPr>
      <w:r>
        <w:rPr>
          <w:spacing w:val="-4"/>
          <w:sz w:val="24"/>
          <w:lang w:eastAsia="zh-CN"/>
        </w:rPr>
        <w:t>投标保证金的有效期为投标有效期满后</w:t>
      </w:r>
      <w:r>
        <w:rPr>
          <w:spacing w:val="-4"/>
          <w:sz w:val="24"/>
          <w:highlight w:val="none"/>
          <w:lang w:eastAsia="zh-CN"/>
        </w:rPr>
        <w:t xml:space="preserve">的 </w:t>
      </w:r>
      <w:r>
        <w:rPr>
          <w:sz w:val="24"/>
          <w:highlight w:val="none"/>
          <w:lang w:eastAsia="zh-CN"/>
        </w:rPr>
        <w:t>30</w:t>
      </w:r>
      <w:r>
        <w:rPr>
          <w:spacing w:val="-10"/>
          <w:sz w:val="24"/>
          <w:highlight w:val="none"/>
          <w:lang w:eastAsia="zh-CN"/>
        </w:rPr>
        <w:t xml:space="preserve"> 个工作</w:t>
      </w:r>
      <w:r>
        <w:rPr>
          <w:spacing w:val="-10"/>
          <w:sz w:val="24"/>
          <w:lang w:eastAsia="zh-CN"/>
        </w:rPr>
        <w:t>日。</w:t>
      </w:r>
    </w:p>
    <w:p>
      <w:pPr>
        <w:pStyle w:val="26"/>
        <w:numPr>
          <w:ilvl w:val="2"/>
          <w:numId w:val="14"/>
        </w:numPr>
        <w:tabs>
          <w:tab w:val="left" w:pos="839"/>
        </w:tabs>
        <w:spacing w:before="14"/>
        <w:ind w:left="838" w:hanging="720"/>
        <w:rPr>
          <w:sz w:val="24"/>
          <w:lang w:eastAsia="zh-CN"/>
        </w:rPr>
      </w:pPr>
      <w:r>
        <w:rPr>
          <w:sz w:val="24"/>
          <w:lang w:eastAsia="zh-CN"/>
        </w:rPr>
        <w:t>发生以下情况之一的，投标保证金将不予退还：</w:t>
      </w:r>
    </w:p>
    <w:p>
      <w:pPr>
        <w:pStyle w:val="26"/>
        <w:numPr>
          <w:ilvl w:val="0"/>
          <w:numId w:val="17"/>
        </w:numPr>
        <w:tabs>
          <w:tab w:val="left" w:pos="840"/>
        </w:tabs>
        <w:spacing w:before="11"/>
        <w:rPr>
          <w:sz w:val="24"/>
          <w:lang w:eastAsia="zh-CN"/>
        </w:rPr>
      </w:pPr>
      <w:r>
        <w:rPr>
          <w:sz w:val="24"/>
          <w:lang w:eastAsia="zh-CN"/>
        </w:rPr>
        <w:t>供应商在投标有效期内撤销响应文件的；</w:t>
      </w:r>
    </w:p>
    <w:p>
      <w:pPr>
        <w:pStyle w:val="26"/>
        <w:numPr>
          <w:ilvl w:val="0"/>
          <w:numId w:val="17"/>
        </w:numPr>
        <w:tabs>
          <w:tab w:val="left" w:pos="840"/>
        </w:tabs>
        <w:spacing w:before="12"/>
        <w:rPr>
          <w:sz w:val="24"/>
          <w:lang w:eastAsia="zh-CN"/>
        </w:rPr>
      </w:pPr>
      <w:r>
        <w:rPr>
          <w:sz w:val="24"/>
          <w:lang w:eastAsia="zh-CN"/>
        </w:rPr>
        <w:t>供应商提供虚假投标证明材料；</w:t>
      </w:r>
    </w:p>
    <w:p>
      <w:pPr>
        <w:pStyle w:val="26"/>
        <w:numPr>
          <w:ilvl w:val="0"/>
          <w:numId w:val="17"/>
        </w:numPr>
        <w:tabs>
          <w:tab w:val="left" w:pos="840"/>
        </w:tabs>
        <w:spacing w:before="14"/>
        <w:rPr>
          <w:sz w:val="24"/>
          <w:lang w:eastAsia="zh-CN"/>
        </w:rPr>
      </w:pPr>
      <w:r>
        <w:rPr>
          <w:sz w:val="24"/>
          <w:lang w:eastAsia="zh-CN"/>
        </w:rPr>
        <w:t>中标人未按有关规定缴纳招标代理服务费；</w:t>
      </w:r>
    </w:p>
    <w:p>
      <w:pPr>
        <w:pStyle w:val="26"/>
        <w:numPr>
          <w:ilvl w:val="0"/>
          <w:numId w:val="17"/>
        </w:numPr>
        <w:tabs>
          <w:tab w:val="left" w:pos="840"/>
        </w:tabs>
        <w:spacing w:before="12"/>
        <w:rPr>
          <w:sz w:val="24"/>
          <w:lang w:eastAsia="zh-CN"/>
        </w:rPr>
      </w:pPr>
      <w:r>
        <w:rPr>
          <w:sz w:val="24"/>
          <w:lang w:eastAsia="zh-CN"/>
        </w:rPr>
        <w:t>以他人名义投标或者以其他方式弄虚作假，骗取中标；</w:t>
      </w:r>
    </w:p>
    <w:p>
      <w:pPr>
        <w:pStyle w:val="26"/>
        <w:numPr>
          <w:ilvl w:val="0"/>
          <w:numId w:val="17"/>
        </w:numPr>
        <w:tabs>
          <w:tab w:val="left" w:pos="840"/>
        </w:tabs>
        <w:spacing w:before="12"/>
        <w:rPr>
          <w:sz w:val="24"/>
          <w:lang w:eastAsia="zh-CN"/>
        </w:rPr>
      </w:pPr>
      <w:r>
        <w:rPr>
          <w:sz w:val="24"/>
          <w:lang w:eastAsia="zh-CN"/>
        </w:rPr>
        <w:t>供应商在规定的投标有效期内修改其响应文件；</w:t>
      </w:r>
    </w:p>
    <w:p>
      <w:pPr>
        <w:pStyle w:val="26"/>
        <w:numPr>
          <w:ilvl w:val="0"/>
          <w:numId w:val="17"/>
        </w:numPr>
        <w:tabs>
          <w:tab w:val="left" w:pos="840"/>
        </w:tabs>
        <w:spacing w:before="14" w:line="249" w:lineRule="auto"/>
        <w:ind w:left="118" w:right="377" w:firstLine="120"/>
        <w:rPr>
          <w:sz w:val="24"/>
          <w:lang w:eastAsia="zh-CN"/>
        </w:rPr>
      </w:pPr>
      <w:r>
        <w:rPr>
          <w:spacing w:val="-2"/>
          <w:sz w:val="24"/>
          <w:lang w:eastAsia="zh-CN"/>
        </w:rPr>
        <w:t>中标人在收到中标通知书后，无正当理由拒签合同协议书或未按竞争性磋商文</w:t>
      </w:r>
      <w:r>
        <w:rPr>
          <w:spacing w:val="-5"/>
          <w:sz w:val="24"/>
          <w:lang w:eastAsia="zh-CN"/>
        </w:rPr>
        <w:t>件规定提交履约担保。</w:t>
      </w:r>
    </w:p>
    <w:p>
      <w:pPr>
        <w:pStyle w:val="26"/>
        <w:numPr>
          <w:ilvl w:val="0"/>
          <w:numId w:val="17"/>
        </w:numPr>
        <w:tabs>
          <w:tab w:val="left" w:pos="840"/>
        </w:tabs>
        <w:spacing w:line="306" w:lineRule="exact"/>
        <w:rPr>
          <w:sz w:val="24"/>
          <w:lang w:eastAsia="zh-CN"/>
        </w:rPr>
      </w:pPr>
      <w:r>
        <w:rPr>
          <w:spacing w:val="-4"/>
          <w:sz w:val="24"/>
          <w:lang w:eastAsia="zh-CN"/>
        </w:rPr>
        <w:t>上述不予退还投标保证金的情况给招标采购单位造成损失的，还要承担赔偿责任。</w:t>
      </w:r>
    </w:p>
    <w:p>
      <w:pPr>
        <w:pStyle w:val="4"/>
        <w:spacing w:before="14"/>
        <w:ind w:left="3126" w:right="3383"/>
        <w:jc w:val="center"/>
        <w:rPr>
          <w:color w:val="000000" w:themeColor="text1"/>
          <w14:textFill>
            <w14:solidFill>
              <w14:schemeClr w14:val="tx1"/>
            </w14:solidFill>
          </w14:textFill>
        </w:rPr>
      </w:pPr>
      <w:r>
        <w:t>4、投标</w:t>
      </w:r>
    </w:p>
    <w:p>
      <w:pPr>
        <w:pStyle w:val="26"/>
        <w:numPr>
          <w:ilvl w:val="0"/>
          <w:numId w:val="0"/>
        </w:numPr>
        <w:tabs>
          <w:tab w:val="left" w:pos="840"/>
        </w:tabs>
        <w:spacing w:before="36" w:line="249" w:lineRule="auto"/>
        <w:ind w:left="238" w:leftChars="0" w:right="377" w:rightChars="0"/>
        <w:jc w:val="both"/>
        <w:rPr>
          <w:rFonts w:hint="eastAsia" w:ascii="宋体" w:hAnsi="宋体" w:eastAsia="宋体" w:cs="宋体"/>
          <w:sz w:val="24"/>
          <w:lang w:eastAsia="zh-CN"/>
        </w:rPr>
      </w:pPr>
      <w:r>
        <w:rPr>
          <w:rFonts w:hint="eastAsia" w:ascii="宋体" w:hAnsi="宋体" w:eastAsia="宋体" w:cs="宋体"/>
          <w:sz w:val="24"/>
          <w:lang w:val="en-US" w:eastAsia="zh-CN"/>
        </w:rPr>
        <w:t>4.1响应</w:t>
      </w:r>
      <w:r>
        <w:rPr>
          <w:rFonts w:hint="eastAsia" w:ascii="宋体" w:hAnsi="宋体" w:eastAsia="宋体" w:cs="宋体"/>
          <w:sz w:val="24"/>
          <w:lang w:eastAsia="zh-CN"/>
        </w:rPr>
        <w:t>文件的递交、准备和解密时间要求</w:t>
      </w:r>
    </w:p>
    <w:p>
      <w:pPr>
        <w:pStyle w:val="26"/>
        <w:numPr>
          <w:ilvl w:val="0"/>
          <w:numId w:val="0"/>
        </w:numPr>
        <w:tabs>
          <w:tab w:val="left" w:pos="840"/>
        </w:tabs>
        <w:spacing w:before="36" w:line="249" w:lineRule="auto"/>
        <w:ind w:left="238" w:leftChars="0" w:right="377" w:rightChars="0"/>
        <w:jc w:val="both"/>
        <w:rPr>
          <w:rFonts w:hint="eastAsia" w:ascii="宋体" w:hAnsi="宋体" w:eastAsia="宋体" w:cs="宋体"/>
          <w:sz w:val="24"/>
          <w:lang w:eastAsia="zh-CN"/>
        </w:rPr>
      </w:pPr>
      <w:r>
        <w:rPr>
          <w:rFonts w:hint="eastAsia" w:ascii="宋体" w:hAnsi="宋体" w:eastAsia="宋体" w:cs="宋体"/>
          <w:sz w:val="24"/>
          <w:lang w:val="en-US" w:eastAsia="zh-CN"/>
        </w:rPr>
        <w:t>4.1</w:t>
      </w:r>
      <w:r>
        <w:rPr>
          <w:rFonts w:hint="eastAsia" w:ascii="宋体" w:hAnsi="宋体" w:eastAsia="宋体" w:cs="宋体"/>
          <w:sz w:val="24"/>
          <w:lang w:eastAsia="zh-CN"/>
        </w:rPr>
        <w:t>.1投标人应按本</w:t>
      </w:r>
      <w:r>
        <w:rPr>
          <w:rFonts w:hint="eastAsia" w:cs="宋体"/>
          <w:sz w:val="24"/>
          <w:lang w:eastAsia="zh-CN"/>
        </w:rPr>
        <w:t>磋商文件</w:t>
      </w:r>
      <w:r>
        <w:rPr>
          <w:rFonts w:hint="eastAsia" w:ascii="宋体" w:hAnsi="宋体" w:eastAsia="宋体" w:cs="宋体"/>
          <w:sz w:val="24"/>
          <w:lang w:eastAsia="zh-CN"/>
        </w:rPr>
        <w:t>规定的格式和顺序编制、装订</w:t>
      </w:r>
      <w:r>
        <w:rPr>
          <w:rFonts w:hint="eastAsia" w:cs="宋体"/>
          <w:sz w:val="24"/>
          <w:lang w:eastAsia="zh-CN"/>
        </w:rPr>
        <w:t>响应文件</w:t>
      </w:r>
      <w:r>
        <w:rPr>
          <w:rFonts w:hint="eastAsia" w:ascii="宋体" w:hAnsi="宋体" w:eastAsia="宋体" w:cs="宋体"/>
          <w:sz w:val="24"/>
          <w:lang w:eastAsia="zh-CN"/>
        </w:rPr>
        <w:t>并标注页码，</w:t>
      </w:r>
      <w:r>
        <w:rPr>
          <w:rFonts w:hint="eastAsia" w:ascii="宋体" w:hAnsi="宋体" w:eastAsia="宋体" w:cs="宋体"/>
          <w:sz w:val="24"/>
          <w:lang w:val="en-US" w:eastAsia="zh-CN"/>
        </w:rPr>
        <w:t>响应</w:t>
      </w:r>
      <w:r>
        <w:rPr>
          <w:rFonts w:hint="eastAsia" w:ascii="宋体" w:hAnsi="宋体" w:eastAsia="宋体" w:cs="宋体"/>
          <w:sz w:val="24"/>
          <w:lang w:eastAsia="zh-CN"/>
        </w:rPr>
        <w:t>文件内容不完整、编排混乱导致</w:t>
      </w:r>
      <w:r>
        <w:rPr>
          <w:rFonts w:hint="eastAsia" w:ascii="宋体" w:hAnsi="宋体" w:eastAsia="宋体" w:cs="宋体"/>
          <w:sz w:val="24"/>
          <w:lang w:val="en-US" w:eastAsia="zh-CN"/>
        </w:rPr>
        <w:t>响应</w:t>
      </w:r>
      <w:r>
        <w:rPr>
          <w:rFonts w:hint="eastAsia" w:ascii="宋体" w:hAnsi="宋体" w:eastAsia="宋体" w:cs="宋体"/>
          <w:sz w:val="24"/>
          <w:lang w:eastAsia="zh-CN"/>
        </w:rPr>
        <w:t>文件被误读、漏读或者查找不到相关内容的，是投标人的责任。</w:t>
      </w:r>
    </w:p>
    <w:p>
      <w:pPr>
        <w:pStyle w:val="26"/>
        <w:numPr>
          <w:ilvl w:val="0"/>
          <w:numId w:val="0"/>
        </w:numPr>
        <w:tabs>
          <w:tab w:val="left" w:pos="840"/>
        </w:tabs>
        <w:spacing w:before="36" w:line="249" w:lineRule="auto"/>
        <w:ind w:left="238" w:leftChars="0" w:right="377" w:rightChars="0"/>
        <w:jc w:val="both"/>
        <w:rPr>
          <w:rFonts w:hint="eastAsia" w:ascii="宋体" w:hAnsi="宋体" w:eastAsia="宋体" w:cs="宋体"/>
          <w:sz w:val="24"/>
          <w:highlight w:val="none"/>
          <w:lang w:eastAsia="zh-CN"/>
        </w:rPr>
      </w:pPr>
      <w:r>
        <w:rPr>
          <w:rFonts w:hint="eastAsia" w:ascii="宋体" w:hAnsi="宋体" w:eastAsia="宋体" w:cs="宋体"/>
          <w:sz w:val="24"/>
          <w:lang w:val="en-US" w:eastAsia="zh-CN"/>
        </w:rPr>
        <w:t>4.1.</w:t>
      </w:r>
      <w:r>
        <w:rPr>
          <w:rFonts w:hint="eastAsia" w:ascii="宋体" w:hAnsi="宋体" w:eastAsia="宋体" w:cs="宋体"/>
          <w:sz w:val="24"/>
          <w:lang w:eastAsia="zh-CN"/>
        </w:rPr>
        <w:t>2投</w:t>
      </w:r>
      <w:r>
        <w:rPr>
          <w:rFonts w:hint="eastAsia" w:ascii="宋体" w:hAnsi="宋体" w:eastAsia="宋体" w:cs="宋体"/>
          <w:sz w:val="24"/>
          <w:highlight w:val="none"/>
          <w:lang w:eastAsia="zh-CN"/>
        </w:rPr>
        <w:t>标人应于2023年0</w:t>
      </w:r>
      <w:r>
        <w:rPr>
          <w:rFonts w:hint="eastAsia" w:cs="宋体"/>
          <w:sz w:val="24"/>
          <w:highlight w:val="none"/>
          <w:lang w:val="en-US" w:eastAsia="zh-CN"/>
        </w:rPr>
        <w:t>5</w:t>
      </w:r>
      <w:r>
        <w:rPr>
          <w:rFonts w:hint="eastAsia" w:ascii="宋体" w:hAnsi="宋体" w:eastAsia="宋体" w:cs="宋体"/>
          <w:sz w:val="24"/>
          <w:highlight w:val="none"/>
          <w:lang w:eastAsia="zh-CN"/>
        </w:rPr>
        <w:t>月</w:t>
      </w:r>
      <w:r>
        <w:rPr>
          <w:rFonts w:hint="eastAsia" w:cs="宋体"/>
          <w:sz w:val="24"/>
          <w:highlight w:val="none"/>
          <w:lang w:val="en-US" w:eastAsia="zh-CN"/>
        </w:rPr>
        <w:t>30</w:t>
      </w:r>
      <w:r>
        <w:rPr>
          <w:rFonts w:hint="eastAsia" w:ascii="宋体" w:hAnsi="宋体" w:eastAsia="宋体" w:cs="宋体"/>
          <w:sz w:val="24"/>
          <w:highlight w:val="none"/>
          <w:lang w:eastAsia="zh-CN"/>
        </w:rPr>
        <w:t>日11:00时整之前将电子</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lang w:eastAsia="zh-CN"/>
        </w:rPr>
        <w:t>文件上传到“政采云”平台。应按照本项目</w:t>
      </w:r>
      <w:r>
        <w:rPr>
          <w:rFonts w:hint="eastAsia" w:cs="宋体"/>
          <w:sz w:val="24"/>
          <w:highlight w:val="none"/>
          <w:lang w:eastAsia="zh-CN"/>
        </w:rPr>
        <w:t>磋商文件</w:t>
      </w:r>
      <w:r>
        <w:rPr>
          <w:rFonts w:hint="eastAsia" w:ascii="宋体" w:hAnsi="宋体" w:eastAsia="宋体" w:cs="宋体"/>
          <w:sz w:val="24"/>
          <w:highlight w:val="none"/>
          <w:lang w:eastAsia="zh-CN"/>
        </w:rPr>
        <w:t>和政采云平台的要求编制、加密传输</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lang w:eastAsia="zh-CN"/>
        </w:rPr>
        <w:t>文件。供应商在使用系统进行投标的过程中遇到涉及平台使用的任何问题，可致电政采云平台技术支持热线咨询，联系方式：</w:t>
      </w:r>
      <w:r>
        <w:rPr>
          <w:rFonts w:hint="eastAsia" w:ascii="宋体" w:hAnsi="宋体" w:eastAsia="宋体" w:cs="宋体"/>
          <w:sz w:val="24"/>
          <w:highlight w:val="none"/>
          <w:lang w:val="en-US" w:eastAsia="zh-CN"/>
        </w:rPr>
        <w:t>95763</w:t>
      </w:r>
    </w:p>
    <w:p>
      <w:pPr>
        <w:pStyle w:val="26"/>
        <w:numPr>
          <w:ilvl w:val="0"/>
          <w:numId w:val="0"/>
        </w:numPr>
        <w:tabs>
          <w:tab w:val="left" w:pos="840"/>
        </w:tabs>
        <w:spacing w:before="36" w:line="249" w:lineRule="auto"/>
        <w:ind w:left="238" w:leftChars="0" w:right="377" w:rightChars="0"/>
        <w:jc w:val="both"/>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4.1</w:t>
      </w:r>
      <w:r>
        <w:rPr>
          <w:rFonts w:hint="eastAsia" w:ascii="宋体" w:hAnsi="宋体" w:eastAsia="宋体" w:cs="宋体"/>
          <w:sz w:val="24"/>
          <w:highlight w:val="none"/>
          <w:lang w:eastAsia="zh-CN"/>
        </w:rPr>
        <w:t>.3</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lang w:eastAsia="zh-CN"/>
        </w:rPr>
        <w:t>文件须由投标人在规定位置盖章并由法定代表人或法定代表人的授权委托人签署，投标人应写全称。</w:t>
      </w:r>
    </w:p>
    <w:p>
      <w:pPr>
        <w:pStyle w:val="26"/>
        <w:numPr>
          <w:ilvl w:val="0"/>
          <w:numId w:val="0"/>
        </w:numPr>
        <w:tabs>
          <w:tab w:val="left" w:pos="840"/>
        </w:tabs>
        <w:spacing w:before="36" w:line="249" w:lineRule="auto"/>
        <w:ind w:left="238" w:leftChars="0" w:right="377" w:rightChars="0"/>
        <w:jc w:val="both"/>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4.1.</w:t>
      </w:r>
      <w:r>
        <w:rPr>
          <w:rFonts w:hint="eastAsia" w:ascii="宋体" w:hAnsi="宋体" w:eastAsia="宋体" w:cs="宋体"/>
          <w:sz w:val="24"/>
          <w:highlight w:val="none"/>
          <w:lang w:eastAsia="zh-CN"/>
        </w:rPr>
        <w:t>4</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lang w:eastAsia="zh-CN"/>
        </w:rPr>
        <w:t>文件不得涂改，若有修改错漏处，须加盖单位公章或者法定代表人或授权委托人签字或盖章。</w:t>
      </w:r>
      <w:r>
        <w:rPr>
          <w:rFonts w:hint="eastAsia" w:cs="宋体"/>
          <w:sz w:val="24"/>
          <w:highlight w:val="none"/>
          <w:lang w:eastAsia="zh-CN"/>
        </w:rPr>
        <w:t>响应文件</w:t>
      </w:r>
      <w:r>
        <w:rPr>
          <w:rFonts w:hint="eastAsia" w:ascii="宋体" w:hAnsi="宋体" w:eastAsia="宋体" w:cs="宋体"/>
          <w:sz w:val="24"/>
          <w:highlight w:val="none"/>
          <w:lang w:eastAsia="zh-CN"/>
        </w:rPr>
        <w:t>因字迹潦草或表达不清所引起的后果由投标人负责。</w:t>
      </w:r>
    </w:p>
    <w:p>
      <w:pPr>
        <w:pStyle w:val="26"/>
        <w:numPr>
          <w:ilvl w:val="0"/>
          <w:numId w:val="0"/>
        </w:numPr>
        <w:tabs>
          <w:tab w:val="left" w:pos="840"/>
        </w:tabs>
        <w:spacing w:before="36" w:line="249" w:lineRule="auto"/>
        <w:ind w:left="238" w:leftChars="0" w:right="377" w:rightChars="0"/>
        <w:jc w:val="both"/>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4.1.5</w:t>
      </w:r>
      <w:r>
        <w:rPr>
          <w:rFonts w:hint="eastAsia" w:ascii="宋体" w:hAnsi="宋体" w:eastAsia="宋体" w:cs="宋体"/>
          <w:sz w:val="24"/>
          <w:highlight w:val="none"/>
          <w:lang w:eastAsia="zh-CN"/>
        </w:rPr>
        <w:t>本项目实行网上投标，采用电子</w:t>
      </w:r>
      <w:r>
        <w:rPr>
          <w:rFonts w:hint="eastAsia" w:cs="宋体"/>
          <w:sz w:val="24"/>
          <w:highlight w:val="none"/>
          <w:lang w:eastAsia="zh-CN"/>
        </w:rPr>
        <w:t>响应文件</w:t>
      </w:r>
      <w:r>
        <w:rPr>
          <w:rFonts w:hint="eastAsia" w:ascii="宋体" w:hAnsi="宋体" w:eastAsia="宋体" w:cs="宋体"/>
          <w:sz w:val="24"/>
          <w:highlight w:val="none"/>
          <w:lang w:eastAsia="zh-CN"/>
        </w:rPr>
        <w:t xml:space="preserve">。若供应商参与投标，自行承担投标一切费用。 </w:t>
      </w:r>
    </w:p>
    <w:p>
      <w:pPr>
        <w:pStyle w:val="26"/>
        <w:numPr>
          <w:ilvl w:val="0"/>
          <w:numId w:val="0"/>
        </w:numPr>
        <w:tabs>
          <w:tab w:val="left" w:pos="840"/>
        </w:tabs>
        <w:spacing w:before="36" w:line="249" w:lineRule="auto"/>
        <w:ind w:left="238" w:leftChars="0" w:right="377" w:rightChars="0"/>
        <w:jc w:val="both"/>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4.1.6</w:t>
      </w:r>
      <w:r>
        <w:rPr>
          <w:rFonts w:hint="eastAsia" w:ascii="宋体" w:hAnsi="宋体" w:eastAsia="宋体" w:cs="宋体"/>
          <w:sz w:val="24"/>
          <w:highlight w:val="none"/>
          <w:lang w:eastAsia="zh-CN"/>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pPr>
        <w:pStyle w:val="26"/>
        <w:numPr>
          <w:ilvl w:val="0"/>
          <w:numId w:val="0"/>
        </w:numPr>
        <w:tabs>
          <w:tab w:val="left" w:pos="840"/>
        </w:tabs>
        <w:spacing w:before="36" w:line="249" w:lineRule="auto"/>
        <w:ind w:left="238" w:leftChars="0" w:right="377" w:rightChars="0"/>
        <w:jc w:val="both"/>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4.1.7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pStyle w:val="26"/>
        <w:numPr>
          <w:ilvl w:val="0"/>
          <w:numId w:val="0"/>
        </w:numPr>
        <w:tabs>
          <w:tab w:val="left" w:pos="840"/>
        </w:tabs>
        <w:spacing w:before="36" w:line="249" w:lineRule="auto"/>
        <w:ind w:left="238" w:leftChars="0" w:right="377" w:rightChars="0"/>
        <w:jc w:val="both"/>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4.1.8</w:t>
      </w:r>
      <w:r>
        <w:rPr>
          <w:rFonts w:hint="eastAsia" w:ascii="宋体" w:hAnsi="宋体" w:eastAsia="宋体" w:cs="宋体"/>
          <w:sz w:val="24"/>
          <w:highlight w:val="none"/>
          <w:lang w:eastAsia="zh-CN"/>
        </w:rPr>
        <w:t>供应商将政采云电子交易客户端下载、安装完成后，可通过账号密码或CA登录客户端进行</w:t>
      </w:r>
      <w:r>
        <w:rPr>
          <w:rFonts w:hint="eastAsia" w:cs="宋体"/>
          <w:sz w:val="24"/>
          <w:highlight w:val="none"/>
          <w:lang w:eastAsia="zh-CN"/>
        </w:rPr>
        <w:t>响应文件</w:t>
      </w:r>
      <w:r>
        <w:rPr>
          <w:rFonts w:hint="eastAsia" w:ascii="宋体" w:hAnsi="宋体" w:eastAsia="宋体" w:cs="宋体"/>
          <w:sz w:val="24"/>
          <w:highlight w:val="none"/>
          <w:lang w:eastAsia="zh-CN"/>
        </w:rPr>
        <w:t>制作。在使用政采云投标客户端时，建议使用WIN7及以上操作系统。客户端请至新疆政府采购网（http://www.ccgp-xinjiang.gov.cn/）下载专区查看，如有问题可拨打政采云客户服务热线</w:t>
      </w:r>
      <w:r>
        <w:rPr>
          <w:rFonts w:hint="eastAsia" w:ascii="宋体" w:hAnsi="宋体" w:eastAsia="宋体" w:cs="宋体"/>
          <w:sz w:val="24"/>
          <w:highlight w:val="none"/>
          <w:lang w:val="en-US" w:eastAsia="zh-CN"/>
        </w:rPr>
        <w:t>95763</w:t>
      </w:r>
      <w:r>
        <w:rPr>
          <w:rFonts w:hint="eastAsia" w:ascii="宋体" w:hAnsi="宋体" w:eastAsia="宋体" w:cs="宋体"/>
          <w:sz w:val="24"/>
          <w:highlight w:val="none"/>
          <w:lang w:eastAsia="zh-CN"/>
        </w:rPr>
        <w:t>进行咨询。</w:t>
      </w:r>
    </w:p>
    <w:p>
      <w:pPr>
        <w:pStyle w:val="26"/>
        <w:numPr>
          <w:ilvl w:val="0"/>
          <w:numId w:val="0"/>
        </w:numPr>
        <w:tabs>
          <w:tab w:val="left" w:pos="840"/>
        </w:tabs>
        <w:spacing w:before="36" w:line="249" w:lineRule="auto"/>
        <w:ind w:left="238" w:leftChars="0" w:right="377" w:rightChars="0"/>
        <w:jc w:val="both"/>
        <w:rPr>
          <w:rFonts w:hint="eastAsia" w:ascii="宋体" w:hAnsi="宋体" w:eastAsia="宋体" w:cs="宋体"/>
          <w:sz w:val="24"/>
          <w:lang w:eastAsia="zh-CN"/>
        </w:rPr>
      </w:pPr>
      <w:r>
        <w:rPr>
          <w:rFonts w:hint="eastAsia" w:ascii="宋体" w:hAnsi="宋体" w:eastAsia="宋体" w:cs="宋体"/>
          <w:sz w:val="24"/>
          <w:highlight w:val="none"/>
          <w:lang w:val="en-US" w:eastAsia="zh-CN"/>
        </w:rPr>
        <w:t>4.1</w:t>
      </w:r>
      <w:r>
        <w:rPr>
          <w:rFonts w:hint="eastAsia" w:ascii="宋体" w:hAnsi="宋体" w:eastAsia="宋体" w:cs="宋体"/>
          <w:sz w:val="24"/>
          <w:highlight w:val="none"/>
          <w:lang w:eastAsia="zh-CN"/>
        </w:rPr>
        <w:t>.9开标时间后</w:t>
      </w:r>
      <w:r>
        <w:rPr>
          <w:rFonts w:hint="eastAsia" w:ascii="宋体" w:hAnsi="宋体" w:eastAsia="宋体" w:cs="宋体"/>
          <w:sz w:val="24"/>
          <w:highlight w:val="none"/>
          <w:lang w:val="en-US" w:eastAsia="zh-CN"/>
        </w:rPr>
        <w:t>30</w:t>
      </w:r>
      <w:r>
        <w:rPr>
          <w:rFonts w:hint="eastAsia" w:ascii="宋体" w:hAnsi="宋体" w:eastAsia="宋体" w:cs="宋体"/>
          <w:sz w:val="24"/>
          <w:highlight w:val="none"/>
          <w:lang w:eastAsia="zh-CN"/>
        </w:rPr>
        <w:t>分钟内（2023年0</w:t>
      </w:r>
      <w:r>
        <w:rPr>
          <w:rFonts w:hint="eastAsia" w:cs="宋体"/>
          <w:sz w:val="24"/>
          <w:highlight w:val="none"/>
          <w:lang w:val="en-US" w:eastAsia="zh-CN"/>
        </w:rPr>
        <w:t>5</w:t>
      </w:r>
      <w:r>
        <w:rPr>
          <w:rFonts w:hint="eastAsia" w:ascii="宋体" w:hAnsi="宋体" w:eastAsia="宋体" w:cs="宋体"/>
          <w:sz w:val="24"/>
          <w:highlight w:val="none"/>
          <w:lang w:eastAsia="zh-CN"/>
        </w:rPr>
        <w:t>月</w:t>
      </w:r>
      <w:r>
        <w:rPr>
          <w:rFonts w:hint="eastAsia" w:cs="宋体"/>
          <w:sz w:val="24"/>
          <w:highlight w:val="none"/>
          <w:lang w:val="en-US" w:eastAsia="zh-CN"/>
        </w:rPr>
        <w:t>30</w:t>
      </w:r>
      <w:r>
        <w:rPr>
          <w:rFonts w:hint="eastAsia" w:ascii="宋体" w:hAnsi="宋体" w:eastAsia="宋体" w:cs="宋体"/>
          <w:sz w:val="24"/>
          <w:highlight w:val="none"/>
          <w:lang w:eastAsia="zh-CN"/>
        </w:rPr>
        <w:t>日</w:t>
      </w:r>
      <w:r>
        <w:rPr>
          <w:rFonts w:hint="eastAsia" w:ascii="宋体" w:hAnsi="宋体" w:eastAsia="宋体" w:cs="宋体"/>
          <w:sz w:val="24"/>
          <w:highlight w:val="none"/>
          <w:lang w:val="en-US" w:eastAsia="zh-CN"/>
        </w:rPr>
        <w:t>上</w:t>
      </w:r>
      <w:r>
        <w:rPr>
          <w:rFonts w:hint="eastAsia" w:ascii="宋体" w:hAnsi="宋体" w:eastAsia="宋体" w:cs="宋体"/>
          <w:sz w:val="24"/>
          <w:highlight w:val="none"/>
          <w:lang w:eastAsia="zh-CN"/>
        </w:rPr>
        <w:t>午</w:t>
      </w:r>
      <w:r>
        <w:rPr>
          <w:rFonts w:hint="eastAsia" w:ascii="宋体" w:hAnsi="宋体" w:eastAsia="宋体" w:cs="宋体"/>
          <w:sz w:val="24"/>
          <w:highlight w:val="none"/>
          <w:lang w:val="en-US" w:eastAsia="zh-CN"/>
        </w:rPr>
        <w:t>11</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00</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11</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30</w:t>
      </w:r>
      <w:r>
        <w:rPr>
          <w:rFonts w:hint="eastAsia" w:ascii="宋体" w:hAnsi="宋体" w:eastAsia="宋体" w:cs="宋体"/>
          <w:sz w:val="24"/>
          <w:highlight w:val="none"/>
          <w:lang w:eastAsia="zh-CN"/>
        </w:rPr>
        <w:t>前）供应商可以登录“政采云”平台，用“项目采购-开标评标”功能进行解密</w:t>
      </w:r>
      <w:r>
        <w:rPr>
          <w:rFonts w:hint="eastAsia" w:cs="宋体"/>
          <w:sz w:val="24"/>
          <w:highlight w:val="none"/>
          <w:lang w:eastAsia="zh-CN"/>
        </w:rPr>
        <w:t>响应文件</w:t>
      </w:r>
      <w:r>
        <w:rPr>
          <w:rFonts w:hint="eastAsia" w:ascii="宋体" w:hAnsi="宋体" w:eastAsia="宋体" w:cs="宋体"/>
          <w:sz w:val="24"/>
          <w:highlight w:val="none"/>
          <w:lang w:eastAsia="zh-CN"/>
        </w:rPr>
        <w:t>。若供应商在规定时间内（</w:t>
      </w:r>
      <w:r>
        <w:rPr>
          <w:rFonts w:hint="eastAsia" w:ascii="宋体" w:hAnsi="宋体" w:eastAsia="宋体" w:cs="宋体"/>
          <w:sz w:val="24"/>
          <w:highlight w:val="none"/>
          <w:lang w:val="en-US" w:eastAsia="zh-CN"/>
        </w:rPr>
        <w:t>2023年0</w:t>
      </w:r>
      <w:r>
        <w:rPr>
          <w:rFonts w:hint="eastAsia" w:cs="宋体"/>
          <w:sz w:val="24"/>
          <w:highlight w:val="none"/>
          <w:lang w:val="en-US" w:eastAsia="zh-CN"/>
        </w:rPr>
        <w:t>5</w:t>
      </w:r>
      <w:r>
        <w:rPr>
          <w:rFonts w:hint="eastAsia" w:ascii="宋体" w:hAnsi="宋体" w:eastAsia="宋体" w:cs="宋体"/>
          <w:sz w:val="24"/>
          <w:highlight w:val="none"/>
          <w:lang w:val="en-US" w:eastAsia="zh-CN"/>
        </w:rPr>
        <w:t>月</w:t>
      </w:r>
      <w:r>
        <w:rPr>
          <w:rFonts w:hint="eastAsia" w:cs="宋体"/>
          <w:sz w:val="24"/>
          <w:highlight w:val="none"/>
          <w:lang w:val="en-US" w:eastAsia="zh-CN"/>
        </w:rPr>
        <w:t>30</w:t>
      </w:r>
      <w:r>
        <w:rPr>
          <w:rFonts w:hint="eastAsia" w:ascii="宋体" w:hAnsi="宋体" w:eastAsia="宋体" w:cs="宋体"/>
          <w:sz w:val="24"/>
          <w:highlight w:val="none"/>
          <w:lang w:val="en-US" w:eastAsia="zh-CN"/>
        </w:rPr>
        <w:t>日上</w:t>
      </w:r>
      <w:r>
        <w:rPr>
          <w:rFonts w:hint="eastAsia" w:ascii="宋体" w:hAnsi="宋体" w:eastAsia="宋体" w:cs="宋体"/>
          <w:sz w:val="24"/>
          <w:highlight w:val="none"/>
          <w:lang w:eastAsia="zh-CN"/>
        </w:rPr>
        <w:t>午</w:t>
      </w:r>
      <w:r>
        <w:rPr>
          <w:rFonts w:hint="eastAsia" w:ascii="宋体" w:hAnsi="宋体" w:eastAsia="宋体" w:cs="宋体"/>
          <w:sz w:val="24"/>
          <w:highlight w:val="none"/>
          <w:lang w:val="en-US" w:eastAsia="zh-CN"/>
        </w:rPr>
        <w:t>11</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30</w:t>
      </w:r>
      <w:r>
        <w:rPr>
          <w:rFonts w:hint="eastAsia" w:ascii="宋体" w:hAnsi="宋体" w:eastAsia="宋体" w:cs="宋体"/>
          <w:sz w:val="24"/>
          <w:highlight w:val="none"/>
          <w:lang w:eastAsia="zh-CN"/>
        </w:rPr>
        <w:t>前）未按时解密的，视为</w:t>
      </w:r>
      <w:r>
        <w:rPr>
          <w:rFonts w:hint="eastAsia" w:cs="宋体"/>
          <w:sz w:val="24"/>
          <w:highlight w:val="none"/>
          <w:lang w:eastAsia="zh-CN"/>
        </w:rPr>
        <w:t>响应文件</w:t>
      </w:r>
      <w:r>
        <w:rPr>
          <w:rFonts w:hint="eastAsia" w:ascii="宋体" w:hAnsi="宋体" w:eastAsia="宋体" w:cs="宋体"/>
          <w:sz w:val="24"/>
          <w:highlight w:val="none"/>
          <w:lang w:eastAsia="zh-CN"/>
        </w:rPr>
        <w:t>撤</w:t>
      </w:r>
      <w:r>
        <w:rPr>
          <w:rFonts w:hint="eastAsia" w:ascii="宋体" w:hAnsi="宋体" w:eastAsia="宋体" w:cs="宋体"/>
          <w:sz w:val="24"/>
          <w:lang w:eastAsia="zh-CN"/>
        </w:rPr>
        <w:t>回。</w:t>
      </w:r>
    </w:p>
    <w:p>
      <w:pPr>
        <w:pStyle w:val="26"/>
        <w:numPr>
          <w:ilvl w:val="0"/>
          <w:numId w:val="0"/>
        </w:numPr>
        <w:tabs>
          <w:tab w:val="left" w:pos="840"/>
        </w:tabs>
        <w:spacing w:before="36" w:line="249" w:lineRule="auto"/>
        <w:ind w:left="238" w:leftChars="0" w:right="377" w:rightChars="0"/>
        <w:jc w:val="both"/>
        <w:rPr>
          <w:rFonts w:hint="eastAsia" w:ascii="宋体" w:hAnsi="宋体" w:eastAsia="宋体" w:cs="宋体"/>
          <w:sz w:val="24"/>
          <w:lang w:eastAsia="zh-CN"/>
        </w:rPr>
      </w:pPr>
      <w:r>
        <w:rPr>
          <w:rFonts w:hint="eastAsia" w:ascii="宋体" w:hAnsi="宋体" w:eastAsia="宋体" w:cs="宋体"/>
          <w:sz w:val="24"/>
          <w:lang w:val="en-US" w:eastAsia="zh-CN"/>
        </w:rPr>
        <w:t xml:space="preserve">4.1.10 </w:t>
      </w:r>
      <w:r>
        <w:rPr>
          <w:rFonts w:hint="eastAsia" w:ascii="宋体" w:hAnsi="宋体" w:eastAsia="宋体" w:cs="宋体"/>
          <w:sz w:val="24"/>
          <w:lang w:eastAsia="zh-CN"/>
        </w:rPr>
        <w:t>因系统（非投标供应商行为）的原因，造成投标供应商未能在规定的解密时限内解密的，请及时与招标代理机构或与新疆政府采购网 投标客户端进行联系。</w:t>
      </w:r>
    </w:p>
    <w:p>
      <w:pPr>
        <w:pStyle w:val="26"/>
        <w:numPr>
          <w:ilvl w:val="0"/>
          <w:numId w:val="0"/>
        </w:numPr>
        <w:tabs>
          <w:tab w:val="left" w:pos="840"/>
        </w:tabs>
        <w:spacing w:before="36" w:line="249" w:lineRule="auto"/>
        <w:ind w:left="238" w:leftChars="0" w:right="377" w:rightChars="0"/>
        <w:jc w:val="both"/>
        <w:rPr>
          <w:rFonts w:hint="eastAsia" w:ascii="宋体" w:hAnsi="宋体" w:eastAsia="宋体" w:cs="宋体"/>
          <w:sz w:val="24"/>
          <w:lang w:eastAsia="zh-CN"/>
        </w:rPr>
      </w:pPr>
      <w:r>
        <w:rPr>
          <w:rFonts w:hint="eastAsia" w:ascii="宋体" w:hAnsi="宋体" w:eastAsia="宋体" w:cs="宋体"/>
          <w:sz w:val="24"/>
          <w:lang w:val="en-US" w:eastAsia="zh-CN"/>
        </w:rPr>
        <w:t xml:space="preserve">4.1.11 </w:t>
      </w:r>
      <w:r>
        <w:rPr>
          <w:rFonts w:hint="eastAsia" w:ascii="宋体" w:hAnsi="宋体" w:eastAsia="宋体" w:cs="宋体"/>
          <w:sz w:val="24"/>
          <w:lang w:eastAsia="zh-CN"/>
        </w:rPr>
        <w:t>标文件未按规定上传的，视为其自动放弃投标。</w:t>
      </w:r>
    </w:p>
    <w:p>
      <w:pPr>
        <w:pStyle w:val="26"/>
        <w:numPr>
          <w:ilvl w:val="0"/>
          <w:numId w:val="0"/>
        </w:numPr>
        <w:tabs>
          <w:tab w:val="left" w:pos="840"/>
        </w:tabs>
        <w:spacing w:before="36" w:line="249" w:lineRule="auto"/>
        <w:ind w:left="238" w:leftChars="0" w:right="377" w:rightChars="0"/>
        <w:jc w:val="both"/>
        <w:rPr>
          <w:rFonts w:hint="eastAsia" w:ascii="宋体" w:hAnsi="宋体" w:eastAsia="宋体" w:cs="宋体"/>
          <w:sz w:val="24"/>
          <w:lang w:eastAsia="zh-CN"/>
        </w:rPr>
      </w:pPr>
      <w:r>
        <w:rPr>
          <w:rFonts w:hint="eastAsia" w:ascii="宋体" w:hAnsi="宋体" w:eastAsia="宋体" w:cs="宋体"/>
          <w:sz w:val="24"/>
          <w:lang w:val="en-US" w:eastAsia="zh-CN"/>
        </w:rPr>
        <w:t>4.1.12 开标后所有投标企业必须将新疆政府采购网上传生成的PDF</w:t>
      </w:r>
      <w:r>
        <w:rPr>
          <w:rFonts w:hint="eastAsia" w:cs="宋体"/>
          <w:sz w:val="24"/>
          <w:lang w:val="en-US" w:eastAsia="zh-CN"/>
        </w:rPr>
        <w:t>响应文件</w:t>
      </w:r>
      <w:r>
        <w:rPr>
          <w:rFonts w:hint="eastAsia" w:ascii="宋体" w:hAnsi="宋体" w:eastAsia="宋体" w:cs="宋体"/>
          <w:sz w:val="24"/>
          <w:lang w:val="en-US" w:eastAsia="zh-CN"/>
        </w:rPr>
        <w:t>打印3份送至招标代理公司，若不按照要求提供将不予退还投标保证金。</w:t>
      </w:r>
    </w:p>
    <w:p>
      <w:pPr>
        <w:pStyle w:val="26"/>
        <w:numPr>
          <w:ilvl w:val="0"/>
          <w:numId w:val="0"/>
        </w:numPr>
        <w:tabs>
          <w:tab w:val="left" w:pos="840"/>
        </w:tabs>
        <w:spacing w:before="36" w:line="249" w:lineRule="auto"/>
        <w:ind w:left="238" w:leftChars="0" w:right="377" w:rightChars="0"/>
        <w:jc w:val="both"/>
        <w:rPr>
          <w:rFonts w:hint="eastAsia" w:ascii="宋体" w:hAnsi="宋体" w:eastAsia="宋体" w:cs="宋体"/>
          <w:sz w:val="24"/>
          <w:lang w:eastAsia="zh-CN"/>
        </w:rPr>
      </w:pPr>
      <w:r>
        <w:rPr>
          <w:rFonts w:hint="eastAsia" w:ascii="宋体" w:hAnsi="宋体" w:eastAsia="宋体" w:cs="宋体"/>
          <w:sz w:val="24"/>
          <w:lang w:val="en-US" w:eastAsia="zh-CN"/>
        </w:rPr>
        <w:t>4.2</w:t>
      </w:r>
      <w:r>
        <w:rPr>
          <w:rFonts w:hint="eastAsia" w:ascii="宋体" w:hAnsi="宋体" w:eastAsia="宋体" w:cs="宋体"/>
          <w:sz w:val="24"/>
          <w:lang w:eastAsia="zh-CN"/>
        </w:rPr>
        <w:t>投标的修改与撤回</w:t>
      </w:r>
    </w:p>
    <w:p>
      <w:pPr>
        <w:pStyle w:val="26"/>
        <w:numPr>
          <w:ilvl w:val="0"/>
          <w:numId w:val="0"/>
        </w:numPr>
        <w:tabs>
          <w:tab w:val="left" w:pos="840"/>
        </w:tabs>
        <w:spacing w:before="36" w:line="249" w:lineRule="auto"/>
        <w:ind w:left="238" w:leftChars="0" w:right="377" w:rightChars="0"/>
        <w:jc w:val="both"/>
        <w:rPr>
          <w:rFonts w:hint="eastAsia" w:ascii="宋体" w:hAnsi="宋体" w:eastAsia="宋体" w:cs="宋体"/>
          <w:sz w:val="24"/>
          <w:lang w:eastAsia="zh-CN"/>
        </w:rPr>
      </w:pPr>
      <w:r>
        <w:rPr>
          <w:rFonts w:hint="eastAsia" w:ascii="宋体" w:hAnsi="宋体" w:eastAsia="宋体" w:cs="宋体"/>
          <w:sz w:val="24"/>
          <w:lang w:val="en-US" w:eastAsia="zh-CN"/>
        </w:rPr>
        <w:t>4.2</w:t>
      </w:r>
      <w:r>
        <w:rPr>
          <w:rFonts w:hint="eastAsia" w:ascii="宋体" w:hAnsi="宋体" w:eastAsia="宋体" w:cs="宋体"/>
          <w:sz w:val="24"/>
          <w:lang w:eastAsia="zh-CN"/>
        </w:rPr>
        <w:t>.1 供应商在投标截止时间前，可以对所递交的</w:t>
      </w:r>
      <w:r>
        <w:rPr>
          <w:rFonts w:hint="eastAsia" w:cs="宋体"/>
          <w:sz w:val="24"/>
          <w:lang w:eastAsia="zh-CN"/>
        </w:rPr>
        <w:t>响应文件</w:t>
      </w:r>
      <w:r>
        <w:rPr>
          <w:rFonts w:hint="eastAsia" w:ascii="宋体" w:hAnsi="宋体" w:eastAsia="宋体" w:cs="宋体"/>
          <w:sz w:val="24"/>
          <w:lang w:eastAsia="zh-CN"/>
        </w:rPr>
        <w:t>进行补充、修改或者撤回，并书面通知采购人或者采购代理机构。补充、修改的内容应当按照</w:t>
      </w:r>
      <w:r>
        <w:rPr>
          <w:rFonts w:hint="eastAsia" w:cs="宋体"/>
          <w:sz w:val="24"/>
          <w:lang w:eastAsia="zh-CN"/>
        </w:rPr>
        <w:t>磋商文件</w:t>
      </w:r>
      <w:r>
        <w:rPr>
          <w:rFonts w:hint="eastAsia" w:ascii="宋体" w:hAnsi="宋体" w:eastAsia="宋体" w:cs="宋体"/>
          <w:sz w:val="24"/>
          <w:lang w:eastAsia="zh-CN"/>
        </w:rPr>
        <w:t>要求签署、盖章</w:t>
      </w:r>
      <w:r>
        <w:rPr>
          <w:rFonts w:hint="eastAsia" w:ascii="宋体" w:hAnsi="宋体" w:eastAsia="宋体" w:cs="宋体"/>
          <w:sz w:val="24"/>
          <w:lang w:val="en-US" w:eastAsia="zh-CN"/>
        </w:rPr>
        <w:t>后</w:t>
      </w:r>
      <w:r>
        <w:rPr>
          <w:rFonts w:hint="eastAsia" w:ascii="宋体" w:hAnsi="宋体" w:eastAsia="宋体" w:cs="宋体"/>
          <w:sz w:val="24"/>
          <w:lang w:eastAsia="zh-CN"/>
        </w:rPr>
        <w:t>，作为</w:t>
      </w:r>
      <w:r>
        <w:rPr>
          <w:rFonts w:hint="eastAsia" w:cs="宋体"/>
          <w:sz w:val="24"/>
          <w:lang w:eastAsia="zh-CN"/>
        </w:rPr>
        <w:t>响应文件</w:t>
      </w:r>
      <w:r>
        <w:rPr>
          <w:rFonts w:hint="eastAsia" w:ascii="宋体" w:hAnsi="宋体" w:eastAsia="宋体" w:cs="宋体"/>
          <w:sz w:val="24"/>
          <w:lang w:eastAsia="zh-CN"/>
        </w:rPr>
        <w:t>的组成部分。</w:t>
      </w:r>
    </w:p>
    <w:p>
      <w:pPr>
        <w:pStyle w:val="26"/>
        <w:numPr>
          <w:ilvl w:val="0"/>
          <w:numId w:val="0"/>
        </w:numPr>
        <w:tabs>
          <w:tab w:val="left" w:pos="840"/>
        </w:tabs>
        <w:spacing w:before="36" w:line="249" w:lineRule="auto"/>
        <w:ind w:left="238" w:leftChars="0" w:right="377" w:rightChars="0"/>
        <w:jc w:val="both"/>
        <w:rPr>
          <w:rFonts w:hint="eastAsia" w:ascii="宋体" w:hAnsi="宋体" w:eastAsia="宋体" w:cs="宋体"/>
          <w:sz w:val="24"/>
          <w:lang w:eastAsia="zh-CN"/>
        </w:rPr>
      </w:pPr>
      <w:r>
        <w:rPr>
          <w:rFonts w:hint="eastAsia" w:ascii="宋体" w:hAnsi="宋体" w:eastAsia="宋体" w:cs="宋体"/>
          <w:sz w:val="24"/>
          <w:lang w:val="en-US" w:eastAsia="zh-CN"/>
        </w:rPr>
        <w:t>4.2.</w:t>
      </w:r>
      <w:r>
        <w:rPr>
          <w:rFonts w:hint="eastAsia" w:ascii="宋体" w:hAnsi="宋体" w:eastAsia="宋体" w:cs="宋体"/>
          <w:sz w:val="24"/>
          <w:lang w:eastAsia="zh-CN"/>
        </w:rPr>
        <w:t>2 投标人在投标截止期后不得修改、撤回</w:t>
      </w:r>
      <w:r>
        <w:rPr>
          <w:rFonts w:hint="eastAsia" w:cs="宋体"/>
          <w:sz w:val="24"/>
          <w:lang w:eastAsia="zh-CN"/>
        </w:rPr>
        <w:t>响应文件</w:t>
      </w:r>
      <w:r>
        <w:rPr>
          <w:rFonts w:hint="eastAsia" w:ascii="宋体" w:hAnsi="宋体" w:eastAsia="宋体" w:cs="宋体"/>
          <w:sz w:val="24"/>
          <w:lang w:eastAsia="zh-CN"/>
        </w:rPr>
        <w:t>。投标人在投标截止期后修改</w:t>
      </w:r>
      <w:r>
        <w:rPr>
          <w:rFonts w:hint="eastAsia" w:cs="宋体"/>
          <w:sz w:val="24"/>
          <w:lang w:eastAsia="zh-CN"/>
        </w:rPr>
        <w:t>响应文件</w:t>
      </w:r>
      <w:r>
        <w:rPr>
          <w:rFonts w:hint="eastAsia" w:ascii="宋体" w:hAnsi="宋体" w:eastAsia="宋体" w:cs="宋体"/>
          <w:sz w:val="24"/>
          <w:lang w:eastAsia="zh-CN"/>
        </w:rPr>
        <w:t>的，其投标无效。</w:t>
      </w:r>
    </w:p>
    <w:p>
      <w:pPr>
        <w:pStyle w:val="26"/>
        <w:numPr>
          <w:ilvl w:val="0"/>
          <w:numId w:val="0"/>
        </w:numPr>
        <w:tabs>
          <w:tab w:val="left" w:pos="840"/>
        </w:tabs>
        <w:spacing w:before="36" w:line="249" w:lineRule="auto"/>
        <w:ind w:left="238" w:leftChars="0" w:right="377" w:rightChars="0"/>
        <w:jc w:val="both"/>
        <w:rPr>
          <w:rFonts w:hint="eastAsia" w:ascii="宋体" w:hAnsi="宋体" w:eastAsia="宋体" w:cs="宋体"/>
          <w:sz w:val="24"/>
          <w:lang w:eastAsia="zh-CN"/>
        </w:rPr>
      </w:pPr>
      <w:r>
        <w:rPr>
          <w:rFonts w:hint="eastAsia" w:ascii="宋体" w:hAnsi="宋体" w:eastAsia="宋体" w:cs="宋体"/>
          <w:sz w:val="24"/>
          <w:lang w:val="en-US" w:eastAsia="zh-CN"/>
        </w:rPr>
        <w:t>4.2</w:t>
      </w:r>
      <w:r>
        <w:rPr>
          <w:rFonts w:hint="eastAsia" w:ascii="宋体" w:hAnsi="宋体" w:eastAsia="宋体" w:cs="宋体"/>
          <w:sz w:val="24"/>
          <w:lang w:eastAsia="zh-CN"/>
        </w:rPr>
        <w:t>.3 若供应商在规定的时间内（“投标人须知前附表”的中规定）未能解密的，也将被视为供应商对其</w:t>
      </w:r>
      <w:r>
        <w:rPr>
          <w:rFonts w:hint="eastAsia" w:cs="宋体"/>
          <w:sz w:val="24"/>
          <w:lang w:eastAsia="zh-CN"/>
        </w:rPr>
        <w:t>响应文件</w:t>
      </w:r>
      <w:r>
        <w:rPr>
          <w:rFonts w:hint="eastAsia" w:ascii="宋体" w:hAnsi="宋体" w:eastAsia="宋体" w:cs="宋体"/>
          <w:sz w:val="24"/>
          <w:lang w:eastAsia="zh-CN"/>
        </w:rPr>
        <w:t>的撤回。</w:t>
      </w:r>
    </w:p>
    <w:p>
      <w:pPr>
        <w:pStyle w:val="4"/>
        <w:spacing w:before="9"/>
        <w:ind w:left="0" w:leftChars="0" w:right="3383" w:firstLine="0" w:firstLineChars="0"/>
        <w:jc w:val="both"/>
      </w:pPr>
    </w:p>
    <w:p>
      <w:pPr>
        <w:pStyle w:val="4"/>
        <w:spacing w:before="9"/>
        <w:ind w:left="3111" w:right="3383"/>
        <w:jc w:val="center"/>
      </w:pPr>
      <w:r>
        <w:t>5、磋商程序</w:t>
      </w:r>
    </w:p>
    <w:p>
      <w:pPr>
        <w:pStyle w:val="4"/>
        <w:numPr>
          <w:ilvl w:val="1"/>
          <w:numId w:val="18"/>
        </w:numPr>
        <w:tabs>
          <w:tab w:val="left" w:pos="721"/>
        </w:tabs>
        <w:spacing w:before="21"/>
        <w:ind w:hanging="602"/>
      </w:pPr>
      <w:r>
        <w:t>磋商程序</w:t>
      </w:r>
    </w:p>
    <w:p>
      <w:pPr>
        <w:pStyle w:val="26"/>
        <w:numPr>
          <w:ilvl w:val="2"/>
          <w:numId w:val="18"/>
        </w:numPr>
        <w:tabs>
          <w:tab w:val="left" w:pos="839"/>
        </w:tabs>
        <w:spacing w:before="24"/>
        <w:jc w:val="both"/>
        <w:rPr>
          <w:sz w:val="24"/>
          <w:lang w:eastAsia="zh-CN"/>
        </w:rPr>
      </w:pPr>
      <w:r>
        <w:rPr>
          <w:sz w:val="24"/>
          <w:lang w:eastAsia="zh-CN"/>
        </w:rPr>
        <w:t>采购方按磋商供应商须知前附表规定的时间、地点公开进行</w:t>
      </w:r>
      <w:r>
        <w:rPr>
          <w:rFonts w:hint="eastAsia"/>
          <w:sz w:val="24"/>
          <w:lang w:val="en-US" w:eastAsia="zh-CN"/>
        </w:rPr>
        <w:t>,</w:t>
      </w:r>
      <w:r>
        <w:rPr>
          <w:rFonts w:hint="eastAsia"/>
          <w:sz w:val="24"/>
          <w:lang w:eastAsia="zh-CN"/>
        </w:rPr>
        <w:t>本次采用不见面方式</w:t>
      </w:r>
    </w:p>
    <w:p>
      <w:pPr>
        <w:pStyle w:val="26"/>
        <w:numPr>
          <w:ilvl w:val="0"/>
          <w:numId w:val="0"/>
        </w:numPr>
        <w:tabs>
          <w:tab w:val="left" w:pos="839"/>
        </w:tabs>
        <w:spacing w:before="24"/>
        <w:ind w:left="118" w:leftChars="0"/>
        <w:jc w:val="both"/>
        <w:rPr>
          <w:sz w:val="24"/>
          <w:lang w:eastAsia="zh-CN"/>
        </w:rPr>
      </w:pPr>
      <w:r>
        <w:rPr>
          <w:rFonts w:hint="eastAsia"/>
          <w:sz w:val="24"/>
          <w:lang w:val="en-US" w:eastAsia="zh-CN"/>
        </w:rPr>
        <w:t>网</w:t>
      </w:r>
      <w:r>
        <w:rPr>
          <w:rFonts w:hint="eastAsia"/>
          <w:sz w:val="24"/>
          <w:lang w:eastAsia="zh-CN"/>
        </w:rPr>
        <w:t>上开标</w:t>
      </w:r>
      <w:r>
        <w:rPr>
          <w:sz w:val="24"/>
          <w:lang w:eastAsia="zh-CN"/>
        </w:rPr>
        <w:t>。</w:t>
      </w:r>
    </w:p>
    <w:p>
      <w:pPr>
        <w:pStyle w:val="26"/>
        <w:numPr>
          <w:ilvl w:val="2"/>
          <w:numId w:val="18"/>
        </w:numPr>
        <w:tabs>
          <w:tab w:val="left" w:pos="779"/>
        </w:tabs>
        <w:spacing w:before="43" w:line="256" w:lineRule="auto"/>
        <w:ind w:left="118" w:right="377" w:firstLine="0"/>
        <w:jc w:val="both"/>
        <w:rPr>
          <w:sz w:val="24"/>
          <w:lang w:eastAsia="zh-CN"/>
        </w:rPr>
      </w:pPr>
      <w:r>
        <w:rPr>
          <w:spacing w:val="-1"/>
          <w:sz w:val="24"/>
          <w:lang w:eastAsia="zh-CN"/>
        </w:rPr>
        <w:t>磋商由采购代理机构主持，采购方、磋商供应商和有关方面代表参加。</w:t>
      </w:r>
    </w:p>
    <w:p>
      <w:pPr>
        <w:pStyle w:val="26"/>
        <w:numPr>
          <w:ilvl w:val="2"/>
          <w:numId w:val="18"/>
        </w:numPr>
        <w:tabs>
          <w:tab w:val="left" w:pos="779"/>
        </w:tabs>
        <w:spacing w:before="43" w:line="256" w:lineRule="auto"/>
        <w:ind w:left="118" w:right="377" w:firstLine="0"/>
        <w:jc w:val="both"/>
        <w:rPr>
          <w:sz w:val="24"/>
          <w:lang w:eastAsia="zh-CN"/>
        </w:rPr>
      </w:pPr>
      <w:r>
        <w:rPr>
          <w:rFonts w:hint="eastAsia"/>
          <w:sz w:val="24"/>
          <w:lang w:eastAsia="zh-CN"/>
        </w:rPr>
        <w:t>由采购代理机构工作人员当众在不见面开标大厅解密，宣布</w:t>
      </w:r>
      <w:r>
        <w:rPr>
          <w:spacing w:val="-1"/>
          <w:sz w:val="24"/>
          <w:lang w:eastAsia="zh-CN"/>
        </w:rPr>
        <w:t>磋商供应商</w:t>
      </w:r>
      <w:r>
        <w:rPr>
          <w:rFonts w:hint="eastAsia"/>
          <w:sz w:val="24"/>
          <w:lang w:eastAsia="zh-CN"/>
        </w:rPr>
        <w:t>名称、投标价格和磋商文件规定的需要宣布的其他内容。投标人不足3家的，不得开标</w:t>
      </w:r>
      <w:r>
        <w:rPr>
          <w:sz w:val="24"/>
          <w:lang w:eastAsia="zh-CN"/>
        </w:rPr>
        <w:t>。</w:t>
      </w:r>
    </w:p>
    <w:p>
      <w:pPr>
        <w:pStyle w:val="26"/>
        <w:numPr>
          <w:ilvl w:val="2"/>
          <w:numId w:val="18"/>
        </w:numPr>
        <w:tabs>
          <w:tab w:val="left" w:pos="779"/>
        </w:tabs>
        <w:spacing w:before="4" w:line="256" w:lineRule="auto"/>
        <w:ind w:left="118" w:right="385" w:firstLine="0"/>
        <w:jc w:val="both"/>
        <w:rPr>
          <w:sz w:val="24"/>
          <w:lang w:eastAsia="zh-CN"/>
        </w:rPr>
      </w:pPr>
      <w:r>
        <w:rPr>
          <w:spacing w:val="-1"/>
          <w:sz w:val="24"/>
          <w:lang w:eastAsia="zh-CN"/>
        </w:rPr>
        <w:t>制定磋商文件。磋商文件应当明确磋商程序、磋商内容、合同草案的条款以及评</w:t>
      </w:r>
      <w:r>
        <w:rPr>
          <w:sz w:val="24"/>
          <w:lang w:eastAsia="zh-CN"/>
        </w:rPr>
        <w:t>定成交的标准等事项。</w:t>
      </w:r>
    </w:p>
    <w:p>
      <w:pPr>
        <w:pStyle w:val="26"/>
        <w:numPr>
          <w:ilvl w:val="2"/>
          <w:numId w:val="18"/>
        </w:numPr>
        <w:tabs>
          <w:tab w:val="left" w:pos="779"/>
        </w:tabs>
        <w:spacing w:before="2" w:line="256" w:lineRule="auto"/>
        <w:ind w:left="118" w:right="377" w:firstLine="0"/>
        <w:jc w:val="both"/>
        <w:rPr>
          <w:sz w:val="24"/>
          <w:lang w:eastAsia="zh-CN"/>
        </w:rPr>
      </w:pPr>
      <w:r>
        <w:rPr>
          <w:sz w:val="24"/>
          <w:lang w:eastAsia="zh-CN"/>
        </w:rPr>
        <w:t>磋商小组所有成员应当集中与单一供应商分别进行磋商，并给予所有参加</w:t>
      </w:r>
      <w:r>
        <w:rPr>
          <w:spacing w:val="-5"/>
          <w:sz w:val="24"/>
          <w:lang w:eastAsia="zh-CN"/>
        </w:rPr>
        <w:t>磋商的供应商平等的磋商机会。在磋商中，磋商的任何一方不得透露与磋商有关的其他</w:t>
      </w:r>
      <w:r>
        <w:rPr>
          <w:sz w:val="24"/>
          <w:lang w:eastAsia="zh-CN"/>
        </w:rPr>
        <w:t>供应商的技术资料、价格和其他信息等。</w:t>
      </w:r>
    </w:p>
    <w:p>
      <w:pPr>
        <w:pStyle w:val="26"/>
        <w:numPr>
          <w:ilvl w:val="2"/>
          <w:numId w:val="18"/>
        </w:numPr>
        <w:tabs>
          <w:tab w:val="left" w:pos="779"/>
        </w:tabs>
        <w:spacing w:before="2" w:line="256" w:lineRule="auto"/>
        <w:ind w:left="118" w:right="377" w:firstLine="0"/>
        <w:jc w:val="both"/>
        <w:rPr>
          <w:sz w:val="24"/>
        </w:rPr>
      </w:pPr>
      <w:r>
        <w:rPr>
          <w:sz w:val="24"/>
          <w:lang w:eastAsia="zh-CN"/>
        </w:rPr>
        <w:t>在磋商过程中，磋商小组可以根据磋商文件和磋商情况实质性变动采购需求中的</w:t>
      </w:r>
      <w:r>
        <w:rPr>
          <w:spacing w:val="-7"/>
          <w:sz w:val="24"/>
          <w:lang w:eastAsia="zh-CN"/>
        </w:rPr>
        <w:t>技术、服务要求以及合同草案条款，但不得变动磋商文件中的其他内容。</w:t>
      </w:r>
      <w:r>
        <w:rPr>
          <w:spacing w:val="-7"/>
          <w:sz w:val="24"/>
        </w:rPr>
        <w:t>实质性变动的</w:t>
      </w:r>
      <w:r>
        <w:rPr>
          <w:sz w:val="24"/>
        </w:rPr>
        <w:t>内容，须经采购人代表确认。</w:t>
      </w:r>
    </w:p>
    <w:p>
      <w:pPr>
        <w:pStyle w:val="8"/>
        <w:spacing w:before="4" w:line="256" w:lineRule="auto"/>
        <w:ind w:left="118" w:right="377" w:firstLine="480"/>
        <w:jc w:val="both"/>
        <w:rPr>
          <w:lang w:eastAsia="zh-CN"/>
        </w:rPr>
      </w:pPr>
      <w:r>
        <w:rPr>
          <w:spacing w:val="-3"/>
          <w:lang w:eastAsia="zh-CN"/>
        </w:rPr>
        <w:t>对磋商文件作出的实质性变动是磋商文件的有效组成部分，磋商小组应当及时以书</w:t>
      </w:r>
      <w:r>
        <w:rPr>
          <w:lang w:eastAsia="zh-CN"/>
        </w:rPr>
        <w:t>面形式同时通知所有参加磋商的供应商。</w:t>
      </w:r>
    </w:p>
    <w:p>
      <w:pPr>
        <w:pStyle w:val="8"/>
        <w:spacing w:before="2" w:line="256" w:lineRule="auto"/>
        <w:ind w:left="118" w:right="377" w:firstLine="480"/>
        <w:jc w:val="both"/>
        <w:rPr>
          <w:lang w:eastAsia="zh-CN"/>
        </w:rPr>
      </w:pPr>
      <w:r>
        <w:rPr>
          <w:spacing w:val="-3"/>
          <w:lang w:eastAsia="zh-CN"/>
        </w:rPr>
        <w:t>供应商应当按照磋商文件的变动情况和磋商小组的要求重新提交响应文件，并由其</w:t>
      </w:r>
      <w:r>
        <w:rPr>
          <w:spacing w:val="-4"/>
          <w:lang w:eastAsia="zh-CN"/>
        </w:rPr>
        <w:t>法定代表人或授权代表签字或者加盖公章。由授权代表签字的，应当附法定代表人授权</w:t>
      </w:r>
      <w:r>
        <w:rPr>
          <w:lang w:eastAsia="zh-CN"/>
        </w:rPr>
        <w:t>书。供应商为自然人的，应当由本人签字并附身份证明。</w:t>
      </w:r>
    </w:p>
    <w:p>
      <w:pPr>
        <w:pStyle w:val="26"/>
        <w:numPr>
          <w:ilvl w:val="2"/>
          <w:numId w:val="18"/>
        </w:numPr>
        <w:tabs>
          <w:tab w:val="left" w:pos="779"/>
        </w:tabs>
        <w:spacing w:before="2" w:line="256" w:lineRule="auto"/>
        <w:ind w:left="118" w:right="377" w:firstLine="0"/>
        <w:jc w:val="both"/>
        <w:rPr>
          <w:sz w:val="24"/>
          <w:lang w:eastAsia="zh-CN"/>
        </w:rPr>
      </w:pPr>
      <w:r>
        <w:rPr>
          <w:sz w:val="24"/>
          <w:lang w:eastAsia="zh-CN"/>
        </w:rPr>
        <w:t>磋商结束后，磋商小组应当要求所有实质性响应的供应商在规定时间内提交最后</w:t>
      </w:r>
      <w:r>
        <w:rPr>
          <w:spacing w:val="-9"/>
          <w:sz w:val="24"/>
          <w:lang w:eastAsia="zh-CN"/>
        </w:rPr>
        <w:t xml:space="preserve">报价，提交最后报价的供应商不得少于 </w:t>
      </w:r>
      <w:r>
        <w:rPr>
          <w:sz w:val="24"/>
          <w:lang w:eastAsia="zh-CN"/>
        </w:rPr>
        <w:t>3</w:t>
      </w:r>
      <w:r>
        <w:rPr>
          <w:spacing w:val="-11"/>
          <w:sz w:val="24"/>
          <w:lang w:eastAsia="zh-CN"/>
        </w:rPr>
        <w:t xml:space="preserve"> 家。最后报价是供应商响应文件的有效组成部</w:t>
      </w:r>
      <w:r>
        <w:rPr>
          <w:sz w:val="24"/>
          <w:lang w:eastAsia="zh-CN"/>
        </w:rPr>
        <w:t>分。</w:t>
      </w:r>
    </w:p>
    <w:p>
      <w:pPr>
        <w:pStyle w:val="26"/>
        <w:numPr>
          <w:ilvl w:val="2"/>
          <w:numId w:val="18"/>
        </w:numPr>
        <w:tabs>
          <w:tab w:val="left" w:pos="779"/>
        </w:tabs>
        <w:spacing w:before="4"/>
        <w:ind w:left="778" w:hanging="660"/>
        <w:jc w:val="both"/>
        <w:rPr>
          <w:sz w:val="24"/>
          <w:lang w:eastAsia="zh-CN"/>
        </w:rPr>
      </w:pPr>
      <w:r>
        <w:rPr>
          <w:sz w:val="24"/>
          <w:lang w:eastAsia="zh-CN"/>
        </w:rPr>
        <w:t>已提交响应文件的供应商，在提交最后报价之前，可以根据磋商情况退出磋商。</w:t>
      </w:r>
    </w:p>
    <w:p>
      <w:pPr>
        <w:pStyle w:val="26"/>
        <w:numPr>
          <w:ilvl w:val="2"/>
          <w:numId w:val="18"/>
        </w:numPr>
        <w:tabs>
          <w:tab w:val="left" w:pos="779"/>
        </w:tabs>
        <w:spacing w:before="21" w:line="259" w:lineRule="auto"/>
        <w:ind w:left="118" w:right="385" w:firstLine="0"/>
        <w:jc w:val="both"/>
        <w:rPr>
          <w:sz w:val="24"/>
          <w:lang w:eastAsia="zh-CN"/>
        </w:rPr>
      </w:pPr>
      <w:r>
        <w:rPr>
          <w:sz w:val="24"/>
          <w:lang w:eastAsia="zh-CN"/>
        </w:rPr>
        <w:t>最后报价应按磋商文件规定的格式进行报价，并</w:t>
      </w:r>
      <w:r>
        <w:rPr>
          <w:rFonts w:hint="eastAsia"/>
          <w:sz w:val="24"/>
          <w:lang w:val="en-US" w:eastAsia="zh-CN"/>
        </w:rPr>
        <w:t>加盖</w:t>
      </w:r>
      <w:r>
        <w:rPr>
          <w:sz w:val="24"/>
          <w:lang w:eastAsia="zh-CN"/>
        </w:rPr>
        <w:t>单位公章</w:t>
      </w:r>
      <w:r>
        <w:rPr>
          <w:rFonts w:hint="eastAsia"/>
          <w:sz w:val="24"/>
          <w:lang w:eastAsia="zh-CN"/>
        </w:rPr>
        <w:t>，</w:t>
      </w:r>
      <w:r>
        <w:rPr>
          <w:sz w:val="24"/>
          <w:lang w:eastAsia="zh-CN"/>
        </w:rPr>
        <w:t>在磋商小组规定的截止时间前提交磋商小组。</w:t>
      </w:r>
    </w:p>
    <w:p>
      <w:pPr>
        <w:pStyle w:val="26"/>
        <w:numPr>
          <w:ilvl w:val="2"/>
          <w:numId w:val="18"/>
        </w:numPr>
        <w:tabs>
          <w:tab w:val="left" w:pos="899"/>
        </w:tabs>
        <w:spacing w:line="259" w:lineRule="auto"/>
        <w:ind w:left="118" w:right="377" w:firstLine="0"/>
        <w:jc w:val="both"/>
        <w:rPr>
          <w:sz w:val="24"/>
          <w:lang w:eastAsia="zh-CN"/>
        </w:rPr>
      </w:pPr>
      <w:r>
        <w:rPr>
          <w:spacing w:val="-6"/>
          <w:sz w:val="24"/>
          <w:lang w:eastAsia="zh-CN"/>
        </w:rPr>
        <w:t>经磋商确定最终采购需求和提交最后报价的供应商后，由磋商小组采用竞争性磋</w:t>
      </w:r>
      <w:r>
        <w:rPr>
          <w:sz w:val="24"/>
          <w:lang w:eastAsia="zh-CN"/>
        </w:rPr>
        <w:t>商对提交最后报价的供应商的响应文件和最后报价进行综合评分。</w:t>
      </w:r>
    </w:p>
    <w:p>
      <w:pPr>
        <w:pStyle w:val="26"/>
        <w:numPr>
          <w:ilvl w:val="2"/>
          <w:numId w:val="18"/>
        </w:numPr>
        <w:tabs>
          <w:tab w:val="left" w:pos="899"/>
        </w:tabs>
        <w:spacing w:line="259" w:lineRule="auto"/>
        <w:ind w:left="118" w:right="377" w:firstLine="0"/>
        <w:jc w:val="both"/>
        <w:rPr>
          <w:sz w:val="24"/>
          <w:lang w:eastAsia="zh-CN"/>
        </w:rPr>
      </w:pPr>
      <w:r>
        <w:rPr>
          <w:spacing w:val="-9"/>
          <w:sz w:val="24"/>
          <w:lang w:eastAsia="zh-CN"/>
        </w:rPr>
        <w:t>评审时，磋商小组各成员应当独立对每个有效响应的文件进行评价、打分，然后</w:t>
      </w:r>
      <w:r>
        <w:rPr>
          <w:sz w:val="24"/>
          <w:lang w:eastAsia="zh-CN"/>
        </w:rPr>
        <w:t>汇总每个供应商每项评分因素的得分。</w:t>
      </w:r>
    </w:p>
    <w:p>
      <w:pPr>
        <w:pStyle w:val="26"/>
        <w:numPr>
          <w:ilvl w:val="2"/>
          <w:numId w:val="18"/>
        </w:numPr>
        <w:tabs>
          <w:tab w:val="left" w:pos="899"/>
        </w:tabs>
        <w:spacing w:line="256" w:lineRule="auto"/>
        <w:ind w:left="118" w:right="377" w:firstLine="0"/>
        <w:jc w:val="both"/>
        <w:rPr>
          <w:sz w:val="24"/>
          <w:lang w:eastAsia="zh-CN"/>
        </w:rPr>
      </w:pPr>
      <w:r>
        <w:rPr>
          <w:spacing w:val="-10"/>
          <w:sz w:val="24"/>
          <w:lang w:eastAsia="zh-CN"/>
        </w:rPr>
        <w:t xml:space="preserve">磋商小组应当根据综合评分情况，按照评审得分由高到低顺序推荐 </w:t>
      </w:r>
      <w:r>
        <w:rPr>
          <w:sz w:val="24"/>
          <w:lang w:eastAsia="zh-CN"/>
        </w:rPr>
        <w:t>3</w:t>
      </w:r>
      <w:r>
        <w:rPr>
          <w:spacing w:val="-13"/>
          <w:sz w:val="24"/>
          <w:lang w:eastAsia="zh-CN"/>
        </w:rPr>
        <w:t xml:space="preserve"> 名以上成交</w:t>
      </w:r>
      <w:r>
        <w:rPr>
          <w:spacing w:val="-6"/>
          <w:sz w:val="24"/>
          <w:lang w:eastAsia="zh-CN"/>
        </w:rPr>
        <w:t>候选供应商，评审得分相同的，按照最后报价由低到高的顺序推荐。评审得分且最后报</w:t>
      </w:r>
      <w:r>
        <w:rPr>
          <w:sz w:val="24"/>
          <w:lang w:eastAsia="zh-CN"/>
        </w:rPr>
        <w:t>价相同的，按照技术指标优劣顺序推荐。</w:t>
      </w:r>
    </w:p>
    <w:p>
      <w:pPr>
        <w:pStyle w:val="26"/>
        <w:numPr>
          <w:ilvl w:val="2"/>
          <w:numId w:val="18"/>
        </w:numPr>
        <w:tabs>
          <w:tab w:val="left" w:pos="899"/>
        </w:tabs>
        <w:ind w:left="898" w:hanging="780"/>
        <w:jc w:val="both"/>
        <w:rPr>
          <w:sz w:val="24"/>
          <w:lang w:eastAsia="zh-CN"/>
        </w:rPr>
      </w:pPr>
      <w:r>
        <w:rPr>
          <w:sz w:val="24"/>
          <w:lang w:eastAsia="zh-CN"/>
        </w:rPr>
        <w:t>磋商过程由指定专人负责记录，并存档备查。</w:t>
      </w:r>
    </w:p>
    <w:p>
      <w:pPr>
        <w:pStyle w:val="4"/>
        <w:spacing w:before="1"/>
        <w:ind w:left="3126" w:right="3383"/>
        <w:jc w:val="center"/>
      </w:pPr>
    </w:p>
    <w:p>
      <w:pPr>
        <w:pStyle w:val="4"/>
        <w:spacing w:before="1"/>
        <w:ind w:left="3126" w:right="3383"/>
        <w:jc w:val="center"/>
      </w:pPr>
      <w:r>
        <w:t>6、评标</w:t>
      </w:r>
    </w:p>
    <w:p>
      <w:pPr>
        <w:pStyle w:val="4"/>
        <w:numPr>
          <w:ilvl w:val="1"/>
          <w:numId w:val="19"/>
        </w:numPr>
        <w:tabs>
          <w:tab w:val="left" w:pos="722"/>
        </w:tabs>
        <w:spacing w:before="11"/>
        <w:ind w:hanging="603"/>
      </w:pPr>
      <w:r>
        <w:t>磋商小组</w:t>
      </w:r>
    </w:p>
    <w:p>
      <w:pPr>
        <w:pStyle w:val="26"/>
        <w:numPr>
          <w:ilvl w:val="2"/>
          <w:numId w:val="19"/>
        </w:numPr>
        <w:tabs>
          <w:tab w:val="left" w:pos="779"/>
        </w:tabs>
        <w:spacing w:before="12" w:line="249" w:lineRule="auto"/>
        <w:ind w:right="377" w:firstLine="0"/>
        <w:jc w:val="both"/>
        <w:rPr>
          <w:sz w:val="24"/>
          <w:highlight w:val="none"/>
          <w:lang w:eastAsia="zh-CN"/>
        </w:rPr>
      </w:pPr>
      <w:r>
        <w:rPr>
          <w:sz w:val="24"/>
          <w:lang w:eastAsia="zh-CN"/>
        </w:rPr>
        <w:t>采购人依法组建磋商小组。磋商小组由采购人代表和有关技术、经济等方面的专</w:t>
      </w:r>
      <w:r>
        <w:rPr>
          <w:spacing w:val="-9"/>
          <w:sz w:val="24"/>
          <w:lang w:eastAsia="zh-CN"/>
        </w:rPr>
        <w:t>家组成，成员人数应</w:t>
      </w:r>
      <w:r>
        <w:rPr>
          <w:spacing w:val="-9"/>
          <w:sz w:val="24"/>
          <w:highlight w:val="none"/>
          <w:lang w:eastAsia="zh-CN"/>
        </w:rPr>
        <w:t xml:space="preserve">当为 </w:t>
      </w:r>
      <w:r>
        <w:rPr>
          <w:sz w:val="24"/>
          <w:highlight w:val="none"/>
          <w:lang w:eastAsia="zh-CN"/>
        </w:rPr>
        <w:t>5</w:t>
      </w:r>
      <w:r>
        <w:rPr>
          <w:spacing w:val="-12"/>
          <w:sz w:val="24"/>
          <w:highlight w:val="none"/>
          <w:lang w:eastAsia="zh-CN"/>
        </w:rPr>
        <w:t>人，其中，技术、经济等方面的专家不得少于成员</w:t>
      </w:r>
      <w:r>
        <w:rPr>
          <w:spacing w:val="-15"/>
          <w:sz w:val="24"/>
          <w:highlight w:val="none"/>
          <w:lang w:eastAsia="zh-CN"/>
        </w:rPr>
        <w:t xml:space="preserve">总数的 </w:t>
      </w:r>
      <w:r>
        <w:rPr>
          <w:sz w:val="24"/>
          <w:highlight w:val="none"/>
          <w:lang w:eastAsia="zh-CN"/>
        </w:rPr>
        <w:t>2/3，并对响应文件进行审查、评估和比较，并做出授予合同的建议。</w:t>
      </w:r>
    </w:p>
    <w:p>
      <w:pPr>
        <w:pStyle w:val="26"/>
        <w:numPr>
          <w:ilvl w:val="2"/>
          <w:numId w:val="19"/>
        </w:numPr>
        <w:tabs>
          <w:tab w:val="left" w:pos="779"/>
        </w:tabs>
        <w:spacing w:before="1" w:line="249" w:lineRule="auto"/>
        <w:ind w:right="385" w:firstLine="0"/>
        <w:jc w:val="both"/>
        <w:rPr>
          <w:sz w:val="24"/>
          <w:lang w:eastAsia="zh-CN"/>
        </w:rPr>
      </w:pPr>
      <w:r>
        <w:rPr>
          <w:spacing w:val="-1"/>
          <w:sz w:val="24"/>
          <w:highlight w:val="none"/>
          <w:lang w:eastAsia="zh-CN"/>
        </w:rPr>
        <w:t>在评标工作开始前，由采购人或者采购代理机构负责：核对评审专家身份和采购</w:t>
      </w:r>
      <w:r>
        <w:rPr>
          <w:sz w:val="24"/>
          <w:highlight w:val="none"/>
          <w:lang w:eastAsia="zh-CN"/>
        </w:rPr>
        <w:t>人代表授权函；宣布评标纪律；告知评审</w:t>
      </w:r>
      <w:r>
        <w:rPr>
          <w:sz w:val="24"/>
          <w:lang w:eastAsia="zh-CN"/>
        </w:rPr>
        <w:t>专家应当回避的情形；组织磋商小组推选评标组长，采购人代表不得担任组长。</w:t>
      </w:r>
    </w:p>
    <w:p>
      <w:pPr>
        <w:pStyle w:val="26"/>
        <w:numPr>
          <w:ilvl w:val="2"/>
          <w:numId w:val="19"/>
        </w:numPr>
        <w:tabs>
          <w:tab w:val="left" w:pos="779"/>
        </w:tabs>
        <w:spacing w:line="249" w:lineRule="auto"/>
        <w:ind w:right="377" w:firstLine="0"/>
        <w:jc w:val="both"/>
        <w:rPr>
          <w:sz w:val="24"/>
          <w:lang w:eastAsia="zh-CN"/>
        </w:rPr>
      </w:pPr>
      <w:r>
        <w:rPr>
          <w:sz w:val="24"/>
          <w:lang w:eastAsia="zh-CN"/>
        </w:rPr>
        <w:t>采购人就竞争性磋商文件征询过意见的专家，不得再作为评标专家参加评标。采</w:t>
      </w:r>
      <w:r>
        <w:rPr>
          <w:spacing w:val="-4"/>
          <w:sz w:val="24"/>
          <w:lang w:eastAsia="zh-CN"/>
        </w:rPr>
        <w:t>购人不得以专家身份参与本部门或者本项目的评标。招标代理机构工作人员不得参加由</w:t>
      </w:r>
      <w:r>
        <w:rPr>
          <w:sz w:val="24"/>
          <w:lang w:eastAsia="zh-CN"/>
        </w:rPr>
        <w:t>本机构代理的招标项目的评标。</w:t>
      </w:r>
    </w:p>
    <w:p>
      <w:pPr>
        <w:pStyle w:val="8"/>
        <w:spacing w:line="20" w:lineRule="exact"/>
        <w:ind w:left="110"/>
        <w:rPr>
          <w:sz w:val="2"/>
        </w:rPr>
      </w:pPr>
    </w:p>
    <w:p>
      <w:pPr>
        <w:pStyle w:val="26"/>
        <w:numPr>
          <w:ilvl w:val="2"/>
          <w:numId w:val="19"/>
        </w:numPr>
        <w:tabs>
          <w:tab w:val="left" w:pos="779"/>
        </w:tabs>
        <w:spacing w:line="249" w:lineRule="auto"/>
        <w:ind w:right="377" w:firstLine="0"/>
        <w:jc w:val="both"/>
        <w:rPr>
          <w:sz w:val="24"/>
          <w:lang w:eastAsia="zh-CN"/>
        </w:rPr>
      </w:pPr>
      <w:r>
        <w:rPr>
          <w:sz w:val="24"/>
          <w:lang w:eastAsia="zh-CN"/>
        </w:rPr>
        <w:t>磋小组成员应当履行下列义务：</w:t>
      </w:r>
    </w:p>
    <w:p>
      <w:pPr>
        <w:pStyle w:val="8"/>
        <w:spacing w:before="12"/>
        <w:ind w:left="238"/>
        <w:rPr>
          <w:lang w:eastAsia="zh-CN"/>
        </w:rPr>
      </w:pPr>
      <w:r>
        <w:rPr>
          <w:lang w:eastAsia="zh-CN"/>
        </w:rPr>
        <w:t>（一）遵纪守法，客观、公正、廉洁地履行职责；</w:t>
      </w:r>
    </w:p>
    <w:p>
      <w:pPr>
        <w:pStyle w:val="8"/>
        <w:spacing w:before="11" w:line="252" w:lineRule="auto"/>
        <w:ind w:left="118" w:right="445" w:firstLine="120"/>
        <w:rPr>
          <w:lang w:eastAsia="zh-CN"/>
        </w:rPr>
      </w:pPr>
      <w:r>
        <w:rPr>
          <w:lang w:eastAsia="zh-CN"/>
        </w:rPr>
        <w:t>（二）按照竞争性磋商文件规定的评标方法和评标标准进行评标，对评审意见承担个人责任；</w:t>
      </w:r>
    </w:p>
    <w:p>
      <w:pPr>
        <w:pStyle w:val="8"/>
        <w:spacing w:line="303" w:lineRule="exact"/>
        <w:ind w:left="238"/>
        <w:rPr>
          <w:lang w:eastAsia="zh-CN"/>
        </w:rPr>
      </w:pPr>
      <w:r>
        <w:rPr>
          <w:lang w:eastAsia="zh-CN"/>
        </w:rPr>
        <w:t>（三）对评标过程和结果，以及供应商的商业秘密保密；</w:t>
      </w:r>
    </w:p>
    <w:p>
      <w:pPr>
        <w:pStyle w:val="8"/>
        <w:spacing w:before="12"/>
        <w:ind w:left="238"/>
        <w:rPr>
          <w:lang w:eastAsia="zh-CN"/>
        </w:rPr>
      </w:pPr>
      <w:r>
        <w:rPr>
          <w:lang w:eastAsia="zh-CN"/>
        </w:rPr>
        <w:t>（四）参与评标报告的起草；</w:t>
      </w:r>
    </w:p>
    <w:p>
      <w:pPr>
        <w:pStyle w:val="8"/>
        <w:spacing w:before="14"/>
        <w:ind w:left="238"/>
        <w:rPr>
          <w:lang w:eastAsia="zh-CN"/>
        </w:rPr>
      </w:pPr>
      <w:r>
        <w:rPr>
          <w:lang w:eastAsia="zh-CN"/>
        </w:rPr>
        <w:t>（五）配合有关部门的投诉处理工作；</w:t>
      </w:r>
    </w:p>
    <w:p>
      <w:pPr>
        <w:pStyle w:val="8"/>
        <w:spacing w:before="12"/>
        <w:ind w:left="238"/>
        <w:rPr>
          <w:lang w:eastAsia="zh-CN"/>
        </w:rPr>
      </w:pPr>
      <w:r>
        <w:rPr>
          <w:lang w:eastAsia="zh-CN"/>
        </w:rPr>
        <w:t>（六）配合招标单位答复投标供应商提出的质疑。</w:t>
      </w:r>
    </w:p>
    <w:p>
      <w:pPr>
        <w:pStyle w:val="4"/>
        <w:numPr>
          <w:ilvl w:val="1"/>
          <w:numId w:val="19"/>
        </w:numPr>
        <w:tabs>
          <w:tab w:val="left" w:pos="722"/>
        </w:tabs>
        <w:spacing w:before="12"/>
        <w:ind w:hanging="603"/>
        <w:jc w:val="both"/>
      </w:pPr>
      <w:r>
        <w:t>评标</w:t>
      </w:r>
    </w:p>
    <w:p>
      <w:pPr>
        <w:pStyle w:val="26"/>
        <w:numPr>
          <w:ilvl w:val="2"/>
          <w:numId w:val="19"/>
        </w:numPr>
        <w:tabs>
          <w:tab w:val="left" w:pos="779"/>
        </w:tabs>
        <w:spacing w:before="14"/>
        <w:ind w:left="778"/>
        <w:jc w:val="both"/>
        <w:rPr>
          <w:sz w:val="24"/>
          <w:highlight w:val="none"/>
          <w:lang w:eastAsia="zh-CN"/>
        </w:rPr>
      </w:pPr>
      <w:r>
        <w:rPr>
          <w:spacing w:val="-8"/>
          <w:sz w:val="24"/>
          <w:highlight w:val="none"/>
          <w:lang w:eastAsia="zh-CN"/>
        </w:rPr>
        <w:t>本项目评标办法根据《政府采购非招标采购方式管理办法》</w:t>
      </w:r>
      <w:r>
        <w:rPr>
          <w:sz w:val="24"/>
          <w:highlight w:val="none"/>
          <w:lang w:eastAsia="zh-CN"/>
        </w:rPr>
        <w:t>（</w:t>
      </w:r>
      <w:r>
        <w:rPr>
          <w:spacing w:val="-10"/>
          <w:sz w:val="24"/>
          <w:highlight w:val="none"/>
          <w:lang w:eastAsia="zh-CN"/>
        </w:rPr>
        <w:t xml:space="preserve">财政部令第 </w:t>
      </w:r>
      <w:r>
        <w:rPr>
          <w:sz w:val="24"/>
          <w:highlight w:val="none"/>
          <w:lang w:eastAsia="zh-CN"/>
        </w:rPr>
        <w:t>74</w:t>
      </w:r>
      <w:r>
        <w:rPr>
          <w:spacing w:val="-30"/>
          <w:sz w:val="24"/>
          <w:highlight w:val="none"/>
          <w:lang w:eastAsia="zh-CN"/>
        </w:rPr>
        <w:t xml:space="preserve"> 号</w:t>
      </w:r>
      <w:r>
        <w:rPr>
          <w:spacing w:val="-113"/>
          <w:sz w:val="24"/>
          <w:highlight w:val="none"/>
          <w:lang w:eastAsia="zh-CN"/>
        </w:rPr>
        <w:t>）</w:t>
      </w:r>
      <w:r>
        <w:rPr>
          <w:sz w:val="24"/>
          <w:highlight w:val="none"/>
          <w:lang w:eastAsia="zh-CN"/>
        </w:rPr>
        <w:t>、</w:t>
      </w:r>
    </w:p>
    <w:p>
      <w:pPr>
        <w:pStyle w:val="8"/>
        <w:spacing w:before="11" w:line="249" w:lineRule="auto"/>
        <w:ind w:left="118" w:right="257"/>
        <w:rPr>
          <w:highlight w:val="none"/>
          <w:lang w:eastAsia="zh-CN"/>
        </w:rPr>
      </w:pPr>
      <w:r>
        <w:rPr>
          <w:spacing w:val="-4"/>
          <w:highlight w:val="none"/>
          <w:lang w:eastAsia="zh-CN"/>
        </w:rPr>
        <w:t>《政府采购竞争性磋商采购方式管理暂行办法》</w:t>
      </w:r>
      <w:r>
        <w:rPr>
          <w:highlight w:val="none"/>
          <w:lang w:eastAsia="zh-CN"/>
        </w:rPr>
        <w:t>（</w:t>
      </w:r>
      <w:r>
        <w:rPr>
          <w:spacing w:val="-20"/>
          <w:highlight w:val="none"/>
          <w:lang w:eastAsia="zh-CN"/>
        </w:rPr>
        <w:t xml:space="preserve">财库 </w:t>
      </w:r>
      <w:r>
        <w:rPr>
          <w:highlight w:val="none"/>
          <w:lang w:eastAsia="zh-CN"/>
        </w:rPr>
        <w:t>2014[214]号</w:t>
      </w:r>
      <w:r>
        <w:rPr>
          <w:spacing w:val="-36"/>
          <w:highlight w:val="none"/>
          <w:lang w:eastAsia="zh-CN"/>
        </w:rPr>
        <w:t>）</w:t>
      </w:r>
      <w:r>
        <w:rPr>
          <w:spacing w:val="-3"/>
          <w:highlight w:val="none"/>
          <w:lang w:eastAsia="zh-CN"/>
        </w:rPr>
        <w:t xml:space="preserve">规定的评审标准， </w:t>
      </w:r>
      <w:r>
        <w:rPr>
          <w:highlight w:val="none"/>
          <w:lang w:eastAsia="zh-CN"/>
        </w:rPr>
        <w:t>评标办法（详见第三章）。</w:t>
      </w:r>
    </w:p>
    <w:p>
      <w:pPr>
        <w:pStyle w:val="26"/>
        <w:numPr>
          <w:ilvl w:val="2"/>
          <w:numId w:val="19"/>
        </w:numPr>
        <w:tabs>
          <w:tab w:val="left" w:pos="779"/>
        </w:tabs>
        <w:spacing w:before="2" w:line="249" w:lineRule="auto"/>
        <w:ind w:right="385" w:firstLine="0"/>
        <w:rPr>
          <w:sz w:val="24"/>
          <w:lang w:eastAsia="zh-CN"/>
        </w:rPr>
      </w:pPr>
      <w:r>
        <w:rPr>
          <w:spacing w:val="-1"/>
          <w:sz w:val="24"/>
          <w:lang w:eastAsia="zh-CN"/>
        </w:rPr>
        <w:t>对所有供应商的评估，都采用相同的程序和竞争性磋商文件规定的评审标准。评</w:t>
      </w:r>
      <w:r>
        <w:rPr>
          <w:sz w:val="24"/>
          <w:lang w:eastAsia="zh-CN"/>
        </w:rPr>
        <w:t>议过程将严格按照竞争性磋商文件规定的评标办法和标准进行。</w:t>
      </w:r>
    </w:p>
    <w:p>
      <w:pPr>
        <w:pStyle w:val="26"/>
        <w:numPr>
          <w:ilvl w:val="2"/>
          <w:numId w:val="19"/>
        </w:numPr>
        <w:tabs>
          <w:tab w:val="left" w:pos="779"/>
        </w:tabs>
        <w:spacing w:line="252" w:lineRule="auto"/>
        <w:ind w:right="385" w:firstLine="0"/>
        <w:rPr>
          <w:sz w:val="24"/>
          <w:lang w:eastAsia="zh-CN"/>
        </w:rPr>
      </w:pPr>
      <w:r>
        <w:rPr>
          <w:spacing w:val="-1"/>
          <w:sz w:val="24"/>
          <w:lang w:eastAsia="zh-CN"/>
        </w:rPr>
        <w:t>有关响应文件的审查、澄清、评估和比较以及推荐中标候选人的一切情况都不得</w:t>
      </w:r>
      <w:r>
        <w:rPr>
          <w:sz w:val="24"/>
          <w:lang w:eastAsia="zh-CN"/>
        </w:rPr>
        <w:t>透露给任一供应商或与上述评标工作无关的人员。</w:t>
      </w:r>
    </w:p>
    <w:p>
      <w:pPr>
        <w:pStyle w:val="26"/>
        <w:numPr>
          <w:ilvl w:val="2"/>
          <w:numId w:val="19"/>
        </w:numPr>
        <w:tabs>
          <w:tab w:val="left" w:pos="779"/>
        </w:tabs>
        <w:spacing w:line="249" w:lineRule="auto"/>
        <w:ind w:right="385" w:firstLine="0"/>
        <w:rPr>
          <w:sz w:val="24"/>
          <w:lang w:eastAsia="zh-CN"/>
        </w:rPr>
      </w:pPr>
      <w:r>
        <w:rPr>
          <w:spacing w:val="-1"/>
          <w:sz w:val="24"/>
          <w:lang w:eastAsia="zh-CN"/>
        </w:rPr>
        <w:t>供应商任何试图影响评委会对响应文件的评估、比较或者推荐候选人的行为，都</w:t>
      </w:r>
      <w:r>
        <w:rPr>
          <w:sz w:val="24"/>
          <w:lang w:eastAsia="zh-CN"/>
        </w:rPr>
        <w:t>将导致其投标被拒绝，并被没收投标保证金。</w:t>
      </w:r>
    </w:p>
    <w:p>
      <w:pPr>
        <w:pStyle w:val="4"/>
        <w:numPr>
          <w:ilvl w:val="1"/>
          <w:numId w:val="19"/>
        </w:numPr>
        <w:tabs>
          <w:tab w:val="left" w:pos="721"/>
        </w:tabs>
        <w:ind w:left="720" w:hanging="602"/>
      </w:pPr>
      <w:r>
        <w:t>响应文件的初审</w:t>
      </w:r>
    </w:p>
    <w:p>
      <w:pPr>
        <w:pStyle w:val="26"/>
        <w:numPr>
          <w:ilvl w:val="2"/>
          <w:numId w:val="19"/>
        </w:numPr>
        <w:tabs>
          <w:tab w:val="left" w:pos="779"/>
        </w:tabs>
        <w:spacing w:before="6" w:line="249" w:lineRule="auto"/>
        <w:ind w:right="385" w:firstLine="0"/>
        <w:rPr>
          <w:sz w:val="24"/>
          <w:lang w:eastAsia="zh-CN"/>
        </w:rPr>
      </w:pPr>
      <w:r>
        <w:rPr>
          <w:spacing w:val="-1"/>
          <w:sz w:val="24"/>
          <w:lang w:eastAsia="zh-CN"/>
        </w:rPr>
        <w:t>评委会将对响应文件进行检查，以确定响应文件是否完整、有无计算上的错误、</w:t>
      </w:r>
      <w:r>
        <w:rPr>
          <w:sz w:val="24"/>
          <w:lang w:eastAsia="zh-CN"/>
        </w:rPr>
        <w:t>是否提交了投标保证金、文件是否已正确签署。</w:t>
      </w:r>
    </w:p>
    <w:p>
      <w:pPr>
        <w:pStyle w:val="4"/>
        <w:numPr>
          <w:ilvl w:val="1"/>
          <w:numId w:val="19"/>
        </w:numPr>
        <w:tabs>
          <w:tab w:val="left" w:pos="605"/>
        </w:tabs>
        <w:spacing w:before="1"/>
        <w:ind w:left="604" w:hanging="486"/>
        <w:rPr>
          <w:lang w:eastAsia="zh-CN"/>
        </w:rPr>
      </w:pPr>
      <w:r>
        <w:rPr>
          <w:w w:val="95"/>
          <w:lang w:eastAsia="zh-CN"/>
        </w:rPr>
        <w:t>资格性检查和符合性检查</w:t>
      </w:r>
    </w:p>
    <w:p>
      <w:pPr>
        <w:pStyle w:val="26"/>
        <w:numPr>
          <w:ilvl w:val="2"/>
          <w:numId w:val="19"/>
        </w:numPr>
        <w:tabs>
          <w:tab w:val="left" w:pos="779"/>
        </w:tabs>
        <w:spacing w:before="12" w:line="249" w:lineRule="auto"/>
        <w:ind w:right="377" w:firstLine="0"/>
        <w:jc w:val="both"/>
        <w:rPr>
          <w:b/>
          <w:sz w:val="24"/>
          <w:lang w:eastAsia="zh-CN"/>
        </w:rPr>
      </w:pPr>
      <w:r>
        <w:rPr>
          <w:sz w:val="24"/>
          <w:lang w:eastAsia="zh-CN"/>
        </w:rPr>
        <w:t>资格性检查：依据法律法规和竞争性磋商文件的规定，在对响应文件详细评估之</w:t>
      </w:r>
      <w:r>
        <w:rPr>
          <w:spacing w:val="-9"/>
          <w:sz w:val="24"/>
          <w:lang w:eastAsia="zh-CN"/>
        </w:rPr>
        <w:t>前，磋商小组将依据供应商提交的响应文件按供应商须知前附表所述的资格标准对供应</w:t>
      </w:r>
      <w:r>
        <w:rPr>
          <w:spacing w:val="-6"/>
          <w:sz w:val="24"/>
          <w:lang w:eastAsia="zh-CN"/>
        </w:rPr>
        <w:t>商进行资格审查，以确定其是否具备投标资格。如果供应商不具备投标资格，不满足竞</w:t>
      </w:r>
      <w:r>
        <w:rPr>
          <w:sz w:val="24"/>
          <w:lang w:eastAsia="zh-CN"/>
        </w:rPr>
        <w:t>争性磋商文件所规定的资格标准或提供资格证明文件不全的，</w:t>
      </w:r>
      <w:r>
        <w:rPr>
          <w:b/>
          <w:sz w:val="24"/>
          <w:lang w:eastAsia="zh-CN"/>
        </w:rPr>
        <w:t>其投标无效。</w:t>
      </w:r>
    </w:p>
    <w:p>
      <w:pPr>
        <w:pStyle w:val="26"/>
        <w:numPr>
          <w:ilvl w:val="2"/>
          <w:numId w:val="19"/>
        </w:numPr>
        <w:tabs>
          <w:tab w:val="left" w:pos="779"/>
        </w:tabs>
        <w:spacing w:line="249" w:lineRule="auto"/>
        <w:ind w:right="377" w:firstLine="0"/>
        <w:jc w:val="both"/>
        <w:rPr>
          <w:sz w:val="24"/>
          <w:lang w:eastAsia="zh-CN"/>
        </w:rPr>
      </w:pPr>
      <w:r>
        <w:rPr>
          <w:sz w:val="24"/>
          <w:lang w:eastAsia="zh-CN"/>
        </w:rPr>
        <w:t>符合性检查：由磋商小组依据有关法律、法规及竞争性磋商文件的要求，对对符</w:t>
      </w:r>
      <w:r>
        <w:rPr>
          <w:spacing w:val="-4"/>
          <w:sz w:val="24"/>
          <w:lang w:eastAsia="zh-CN"/>
        </w:rPr>
        <w:t>合资格的供应商的响应文件进行符合性审查，以确定其是否满足竞争性磋商文件的实质</w:t>
      </w:r>
      <w:r>
        <w:rPr>
          <w:sz w:val="24"/>
          <w:lang w:eastAsia="zh-CN"/>
        </w:rPr>
        <w:t>性要求。只有通过符合性审查的供应商的响应文件才能进入下一阶段的评审！</w:t>
      </w:r>
    </w:p>
    <w:p>
      <w:pPr>
        <w:pStyle w:val="4"/>
        <w:numPr>
          <w:ilvl w:val="2"/>
          <w:numId w:val="19"/>
        </w:numPr>
        <w:tabs>
          <w:tab w:val="left" w:pos="779"/>
        </w:tabs>
        <w:spacing w:before="1" w:line="252" w:lineRule="auto"/>
        <w:ind w:right="378" w:firstLine="0"/>
        <w:rPr>
          <w:lang w:eastAsia="zh-CN"/>
        </w:rPr>
      </w:pPr>
      <w:r>
        <w:rPr>
          <w:spacing w:val="-3"/>
          <w:lang w:eastAsia="zh-CN"/>
        </w:rPr>
        <w:t>供应商存在下列情况之一的，响应文件将被视为未实质性响应竞争性磋商文件要</w:t>
      </w:r>
      <w:r>
        <w:rPr>
          <w:lang w:eastAsia="zh-CN"/>
        </w:rPr>
        <w:t>求，其投标无效：</w:t>
      </w:r>
    </w:p>
    <w:p>
      <w:pPr>
        <w:pStyle w:val="26"/>
        <w:numPr>
          <w:ilvl w:val="3"/>
          <w:numId w:val="19"/>
        </w:numPr>
        <w:tabs>
          <w:tab w:val="left" w:pos="960"/>
        </w:tabs>
        <w:spacing w:line="249" w:lineRule="auto"/>
        <w:ind w:right="445" w:firstLine="240"/>
        <w:rPr>
          <w:sz w:val="24"/>
          <w:lang w:eastAsia="zh-CN"/>
        </w:rPr>
      </w:pPr>
      <w:r>
        <w:rPr>
          <w:spacing w:val="-1"/>
          <w:sz w:val="24"/>
          <w:lang w:eastAsia="zh-CN"/>
        </w:rPr>
        <w:t>不具备竞争性磋商文件中规定的资格要求的，或响应文件中提供的资格证明文</w:t>
      </w:r>
      <w:r>
        <w:rPr>
          <w:sz w:val="24"/>
          <w:lang w:eastAsia="zh-CN"/>
        </w:rPr>
        <w:t>件与原件不一致的；</w:t>
      </w:r>
    </w:p>
    <w:p>
      <w:pPr>
        <w:pStyle w:val="26"/>
        <w:numPr>
          <w:ilvl w:val="3"/>
          <w:numId w:val="19"/>
        </w:numPr>
        <w:tabs>
          <w:tab w:val="left" w:pos="960"/>
        </w:tabs>
        <w:ind w:left="959"/>
        <w:rPr>
          <w:sz w:val="24"/>
          <w:lang w:eastAsia="zh-CN"/>
        </w:rPr>
      </w:pPr>
      <w:r>
        <w:rPr>
          <w:sz w:val="24"/>
          <w:lang w:eastAsia="zh-CN"/>
        </w:rPr>
        <w:t>响应文件未按竞争性磋商文件规定进行</w:t>
      </w:r>
      <w:r>
        <w:rPr>
          <w:rFonts w:hint="eastAsia"/>
          <w:sz w:val="24"/>
          <w:lang w:val="en-US" w:eastAsia="zh-CN"/>
        </w:rPr>
        <w:t>上传</w:t>
      </w:r>
      <w:r>
        <w:rPr>
          <w:sz w:val="24"/>
          <w:lang w:eastAsia="zh-CN"/>
        </w:rPr>
        <w:t>的；</w:t>
      </w:r>
    </w:p>
    <w:p>
      <w:pPr>
        <w:pStyle w:val="26"/>
        <w:numPr>
          <w:ilvl w:val="3"/>
          <w:numId w:val="19"/>
        </w:numPr>
        <w:tabs>
          <w:tab w:val="left" w:pos="960"/>
        </w:tabs>
        <w:spacing w:before="8"/>
        <w:ind w:left="959"/>
        <w:rPr>
          <w:sz w:val="24"/>
          <w:lang w:eastAsia="zh-CN"/>
        </w:rPr>
      </w:pPr>
      <w:r>
        <w:rPr>
          <w:sz w:val="24"/>
          <w:lang w:eastAsia="zh-CN"/>
        </w:rPr>
        <w:t>响应文件未按竞争性磋商文件要求签署、盖章的；</w:t>
      </w:r>
    </w:p>
    <w:p>
      <w:pPr>
        <w:pStyle w:val="26"/>
        <w:numPr>
          <w:ilvl w:val="3"/>
          <w:numId w:val="19"/>
        </w:numPr>
        <w:tabs>
          <w:tab w:val="left" w:pos="960"/>
        </w:tabs>
        <w:spacing w:before="11"/>
        <w:ind w:left="959"/>
        <w:rPr>
          <w:sz w:val="24"/>
          <w:lang w:eastAsia="zh-CN"/>
        </w:rPr>
      </w:pPr>
      <w:r>
        <w:rPr>
          <w:sz w:val="24"/>
          <w:lang w:eastAsia="zh-CN"/>
        </w:rPr>
        <w:t>未按照竞争性磋商文件的规定提交投标保证金的；</w:t>
      </w:r>
    </w:p>
    <w:p>
      <w:pPr>
        <w:pStyle w:val="26"/>
        <w:numPr>
          <w:ilvl w:val="3"/>
          <w:numId w:val="19"/>
        </w:numPr>
        <w:tabs>
          <w:tab w:val="left" w:pos="960"/>
        </w:tabs>
        <w:spacing w:before="15"/>
        <w:ind w:left="959"/>
        <w:rPr>
          <w:sz w:val="24"/>
          <w:lang w:eastAsia="zh-CN"/>
        </w:rPr>
      </w:pPr>
      <w:r>
        <w:rPr>
          <w:sz w:val="24"/>
          <w:lang w:eastAsia="zh-CN"/>
        </w:rPr>
        <w:t>响应文件含有采购人不能接受的附加条件的；</w:t>
      </w:r>
    </w:p>
    <w:p>
      <w:pPr>
        <w:pStyle w:val="26"/>
        <w:numPr>
          <w:ilvl w:val="3"/>
          <w:numId w:val="19"/>
        </w:numPr>
        <w:tabs>
          <w:tab w:val="left" w:pos="960"/>
        </w:tabs>
        <w:spacing w:before="11"/>
        <w:ind w:left="959"/>
        <w:rPr>
          <w:sz w:val="24"/>
          <w:lang w:eastAsia="zh-CN"/>
        </w:rPr>
      </w:pPr>
      <w:r>
        <w:rPr>
          <w:sz w:val="24"/>
          <w:lang w:eastAsia="zh-CN"/>
        </w:rPr>
        <w:t>投标有效期不满足竞争性磋商文件要求的；</w:t>
      </w:r>
    </w:p>
    <w:p>
      <w:pPr>
        <w:pStyle w:val="26"/>
        <w:numPr>
          <w:ilvl w:val="3"/>
          <w:numId w:val="19"/>
        </w:numPr>
        <w:tabs>
          <w:tab w:val="left" w:pos="960"/>
        </w:tabs>
        <w:spacing w:before="12" w:line="252" w:lineRule="auto"/>
        <w:ind w:right="445" w:firstLine="240"/>
        <w:rPr>
          <w:sz w:val="24"/>
          <w:lang w:eastAsia="zh-CN"/>
        </w:rPr>
      </w:pPr>
      <w:r>
        <w:rPr>
          <w:spacing w:val="-1"/>
          <w:sz w:val="24"/>
          <w:lang w:eastAsia="zh-CN"/>
        </w:rPr>
        <w:t>报价超过竞争性磋商文件中规定的预算金额或者最高限价的；或提供的报价是</w:t>
      </w:r>
      <w:r>
        <w:rPr>
          <w:sz w:val="24"/>
          <w:lang w:eastAsia="zh-CN"/>
        </w:rPr>
        <w:t>可供选择的（不是唯一报价）；</w:t>
      </w:r>
    </w:p>
    <w:p>
      <w:pPr>
        <w:pStyle w:val="26"/>
        <w:numPr>
          <w:ilvl w:val="3"/>
          <w:numId w:val="19"/>
        </w:numPr>
        <w:tabs>
          <w:tab w:val="left" w:pos="960"/>
        </w:tabs>
        <w:spacing w:line="249" w:lineRule="auto"/>
        <w:ind w:right="377" w:firstLine="240"/>
        <w:jc w:val="both"/>
        <w:rPr>
          <w:sz w:val="24"/>
          <w:lang w:eastAsia="zh-CN"/>
        </w:rPr>
      </w:pPr>
      <w:r>
        <w:rPr>
          <w:sz w:val="24"/>
          <w:lang w:eastAsia="zh-CN"/>
        </w:rPr>
        <w:t>供应商未进行分项报价或分项报价的构成未能准确全部反映产品价格组成或有</w:t>
      </w:r>
      <w:r>
        <w:rPr>
          <w:spacing w:val="-5"/>
          <w:sz w:val="24"/>
          <w:lang w:eastAsia="zh-CN"/>
        </w:rPr>
        <w:t>所隐含，有可能致使在合同履行过程中引起纠纷</w:t>
      </w:r>
      <w:r>
        <w:rPr>
          <w:sz w:val="24"/>
          <w:lang w:eastAsia="zh-CN"/>
        </w:rPr>
        <w:t>（非正常的追加或索赔等</w:t>
      </w:r>
      <w:r>
        <w:rPr>
          <w:spacing w:val="-17"/>
          <w:sz w:val="24"/>
          <w:lang w:eastAsia="zh-CN"/>
        </w:rPr>
        <w:t>）</w:t>
      </w:r>
      <w:r>
        <w:rPr>
          <w:spacing w:val="-4"/>
          <w:sz w:val="24"/>
          <w:lang w:eastAsia="zh-CN"/>
        </w:rPr>
        <w:t>或不能诚信</w:t>
      </w:r>
      <w:r>
        <w:rPr>
          <w:sz w:val="24"/>
          <w:lang w:eastAsia="zh-CN"/>
        </w:rPr>
        <w:t>履约的；</w:t>
      </w:r>
    </w:p>
    <w:p>
      <w:pPr>
        <w:pStyle w:val="26"/>
        <w:numPr>
          <w:ilvl w:val="3"/>
          <w:numId w:val="19"/>
        </w:numPr>
        <w:tabs>
          <w:tab w:val="left" w:pos="960"/>
        </w:tabs>
        <w:spacing w:line="249" w:lineRule="auto"/>
        <w:ind w:right="445" w:firstLine="240"/>
        <w:rPr>
          <w:sz w:val="24"/>
          <w:lang w:eastAsia="zh-CN"/>
        </w:rPr>
      </w:pPr>
      <w:r>
        <w:rPr>
          <w:sz w:val="24"/>
          <w:lang w:eastAsia="zh-CN"/>
        </w:rPr>
        <w:t>响应文件的内容与采购内容及要求（质量要求、交货期、付款方式等）</w:t>
      </w:r>
      <w:r>
        <w:rPr>
          <w:spacing w:val="-6"/>
          <w:sz w:val="24"/>
          <w:lang w:eastAsia="zh-CN"/>
        </w:rPr>
        <w:t>有重大</w:t>
      </w:r>
      <w:r>
        <w:rPr>
          <w:sz w:val="24"/>
          <w:lang w:eastAsia="zh-CN"/>
        </w:rPr>
        <w:t>偏离或保留的；</w:t>
      </w:r>
    </w:p>
    <w:p>
      <w:pPr>
        <w:pStyle w:val="26"/>
        <w:numPr>
          <w:ilvl w:val="3"/>
          <w:numId w:val="19"/>
        </w:numPr>
        <w:tabs>
          <w:tab w:val="left" w:pos="1080"/>
        </w:tabs>
        <w:spacing w:before="36"/>
        <w:ind w:left="1079" w:hanging="721"/>
        <w:rPr>
          <w:sz w:val="24"/>
          <w:lang w:eastAsia="zh-CN"/>
        </w:rPr>
      </w:pPr>
      <w:r>
        <w:rPr>
          <w:spacing w:val="-8"/>
          <w:sz w:val="24"/>
          <w:lang w:eastAsia="zh-CN"/>
        </w:rPr>
        <w:t xml:space="preserve">存在财政部令第 </w:t>
      </w:r>
      <w:r>
        <w:rPr>
          <w:sz w:val="24"/>
          <w:lang w:eastAsia="zh-CN"/>
        </w:rPr>
        <w:t>87</w:t>
      </w:r>
      <w:r>
        <w:rPr>
          <w:spacing w:val="-8"/>
          <w:sz w:val="24"/>
          <w:lang w:eastAsia="zh-CN"/>
        </w:rPr>
        <w:t xml:space="preserve"> 号文第三十七条规定串通投标的情形之一的；</w:t>
      </w:r>
    </w:p>
    <w:p>
      <w:pPr>
        <w:pStyle w:val="26"/>
        <w:numPr>
          <w:ilvl w:val="3"/>
          <w:numId w:val="19"/>
        </w:numPr>
        <w:tabs>
          <w:tab w:val="left" w:pos="1080"/>
        </w:tabs>
        <w:spacing w:before="12"/>
        <w:ind w:left="1079" w:hanging="721"/>
        <w:rPr>
          <w:sz w:val="24"/>
          <w:lang w:eastAsia="zh-CN"/>
        </w:rPr>
      </w:pPr>
      <w:r>
        <w:rPr>
          <w:sz w:val="24"/>
          <w:lang w:eastAsia="zh-CN"/>
        </w:rPr>
        <w:t>响应文件的内容组成不符合竞争性磋商文件要求的；</w:t>
      </w:r>
    </w:p>
    <w:p>
      <w:pPr>
        <w:pStyle w:val="26"/>
        <w:numPr>
          <w:ilvl w:val="3"/>
          <w:numId w:val="19"/>
        </w:numPr>
        <w:tabs>
          <w:tab w:val="left" w:pos="1080"/>
        </w:tabs>
        <w:spacing w:before="11"/>
        <w:ind w:left="1079" w:hanging="721"/>
        <w:rPr>
          <w:sz w:val="24"/>
          <w:lang w:eastAsia="zh-CN"/>
        </w:rPr>
      </w:pPr>
      <w:r>
        <w:rPr>
          <w:sz w:val="24"/>
          <w:lang w:eastAsia="zh-CN"/>
        </w:rPr>
        <w:t>响应文件中提供虚假或失实资料的；</w:t>
      </w:r>
    </w:p>
    <w:p>
      <w:pPr>
        <w:pStyle w:val="26"/>
        <w:numPr>
          <w:ilvl w:val="3"/>
          <w:numId w:val="19"/>
        </w:numPr>
        <w:tabs>
          <w:tab w:val="left" w:pos="1080"/>
        </w:tabs>
        <w:spacing w:before="14"/>
        <w:ind w:left="1079" w:hanging="721"/>
        <w:rPr>
          <w:sz w:val="24"/>
          <w:lang w:eastAsia="zh-CN"/>
        </w:rPr>
      </w:pPr>
      <w:r>
        <w:rPr>
          <w:sz w:val="24"/>
          <w:lang w:eastAsia="zh-CN"/>
        </w:rPr>
        <w:t>法律、法规和竞争性磋商文件规定的其他无效情形。</w:t>
      </w:r>
    </w:p>
    <w:p>
      <w:pPr>
        <w:pStyle w:val="26"/>
        <w:numPr>
          <w:ilvl w:val="2"/>
          <w:numId w:val="19"/>
        </w:numPr>
        <w:tabs>
          <w:tab w:val="left" w:pos="779"/>
        </w:tabs>
        <w:spacing w:before="12"/>
        <w:ind w:left="778"/>
        <w:jc w:val="both"/>
        <w:rPr>
          <w:sz w:val="24"/>
          <w:lang w:eastAsia="zh-CN"/>
        </w:rPr>
      </w:pPr>
      <w:r>
        <w:rPr>
          <w:sz w:val="24"/>
          <w:lang w:eastAsia="zh-CN"/>
        </w:rPr>
        <w:t>磋商小组判断响应文件的响应性仅基于响应文件本身而不靠外部证据。</w:t>
      </w:r>
    </w:p>
    <w:p>
      <w:pPr>
        <w:pStyle w:val="26"/>
        <w:numPr>
          <w:ilvl w:val="2"/>
          <w:numId w:val="19"/>
        </w:numPr>
        <w:tabs>
          <w:tab w:val="left" w:pos="779"/>
        </w:tabs>
        <w:spacing w:before="12" w:line="252" w:lineRule="auto"/>
        <w:ind w:right="385" w:firstLine="0"/>
        <w:rPr>
          <w:sz w:val="24"/>
          <w:lang w:eastAsia="zh-CN"/>
        </w:rPr>
      </w:pPr>
      <w:r>
        <w:rPr>
          <w:spacing w:val="-1"/>
          <w:sz w:val="24"/>
          <w:lang w:eastAsia="zh-CN"/>
        </w:rPr>
        <w:t>磋商小组将拒绝被确定为非实质性响应的投标，供应商不能通过修正或撤销不符</w:t>
      </w:r>
      <w:r>
        <w:rPr>
          <w:sz w:val="24"/>
          <w:lang w:eastAsia="zh-CN"/>
        </w:rPr>
        <w:t>之处而使其投标成为实质性响应的投标。</w:t>
      </w:r>
    </w:p>
    <w:p>
      <w:pPr>
        <w:pStyle w:val="4"/>
        <w:numPr>
          <w:ilvl w:val="1"/>
          <w:numId w:val="19"/>
        </w:numPr>
        <w:tabs>
          <w:tab w:val="left" w:pos="605"/>
        </w:tabs>
        <w:spacing w:line="303" w:lineRule="exact"/>
        <w:ind w:left="604" w:hanging="486"/>
      </w:pPr>
      <w:r>
        <w:t>响应文件的澄清</w:t>
      </w:r>
    </w:p>
    <w:p>
      <w:pPr>
        <w:pStyle w:val="26"/>
        <w:numPr>
          <w:ilvl w:val="2"/>
          <w:numId w:val="19"/>
        </w:numPr>
        <w:tabs>
          <w:tab w:val="left" w:pos="779"/>
        </w:tabs>
        <w:spacing w:before="12" w:line="252" w:lineRule="auto"/>
        <w:ind w:right="385" w:firstLine="0"/>
        <w:rPr>
          <w:sz w:val="24"/>
          <w:lang w:eastAsia="zh-CN"/>
        </w:rPr>
      </w:pPr>
      <w:r>
        <w:rPr>
          <w:spacing w:val="-1"/>
          <w:sz w:val="24"/>
          <w:lang w:eastAsia="zh-CN"/>
        </w:rPr>
        <w:t>磋商小组将允许供应商修改响应文件中不构成重大偏离的微小的、非正规、不一</w:t>
      </w:r>
      <w:r>
        <w:rPr>
          <w:sz w:val="24"/>
          <w:lang w:eastAsia="zh-CN"/>
        </w:rPr>
        <w:t>致或不规则地</w:t>
      </w:r>
    </w:p>
    <w:p>
      <w:pPr>
        <w:pStyle w:val="8"/>
        <w:spacing w:line="303" w:lineRule="exact"/>
        <w:ind w:left="118"/>
        <w:rPr>
          <w:lang w:eastAsia="zh-CN"/>
        </w:rPr>
      </w:pPr>
      <w:r>
        <w:rPr>
          <w:lang w:eastAsia="zh-CN"/>
        </w:rPr>
        <w:t>方，但这种允许不能损害或影响任何供应商的相对排序。</w:t>
      </w:r>
    </w:p>
    <w:p>
      <w:pPr>
        <w:pStyle w:val="26"/>
        <w:numPr>
          <w:ilvl w:val="2"/>
          <w:numId w:val="19"/>
        </w:numPr>
        <w:tabs>
          <w:tab w:val="left" w:pos="779"/>
        </w:tabs>
        <w:spacing w:before="11" w:line="252" w:lineRule="auto"/>
        <w:ind w:right="385" w:firstLine="0"/>
        <w:rPr>
          <w:sz w:val="24"/>
          <w:lang w:eastAsia="zh-CN"/>
        </w:rPr>
      </w:pPr>
      <w:r>
        <w:rPr>
          <w:spacing w:val="-1"/>
          <w:sz w:val="24"/>
          <w:lang w:eastAsia="zh-CN"/>
        </w:rPr>
        <w:t>对于响应文件中含义不明确、同类问题表述不一致或者有明显文字和计算错误的</w:t>
      </w:r>
      <w:r>
        <w:rPr>
          <w:sz w:val="24"/>
          <w:lang w:eastAsia="zh-CN"/>
        </w:rPr>
        <w:t>内容，磋商小组应当以书面形式要求供应商作出必要的澄清、说明或者补正。</w:t>
      </w:r>
    </w:p>
    <w:p>
      <w:pPr>
        <w:pStyle w:val="8"/>
        <w:spacing w:line="249" w:lineRule="auto"/>
        <w:ind w:left="118" w:right="377" w:firstLine="480"/>
        <w:jc w:val="both"/>
        <w:rPr>
          <w:lang w:eastAsia="zh-CN"/>
        </w:rPr>
      </w:pPr>
      <w:r>
        <w:rPr>
          <w:spacing w:val="-6"/>
          <w:lang w:eastAsia="zh-CN"/>
        </w:rPr>
        <w:t>供应商的澄清、说明或者补正应当采用书面形式，并加盖公章，或者由法定代表人或其授权的代表签字。供应商的澄清、说明或者补正不得超出响应文件的范围或者改变</w:t>
      </w:r>
      <w:r>
        <w:rPr>
          <w:lang w:eastAsia="zh-CN"/>
        </w:rPr>
        <w:t>响应文件的实质性内容。</w:t>
      </w:r>
    </w:p>
    <w:p>
      <w:pPr>
        <w:pStyle w:val="26"/>
        <w:numPr>
          <w:ilvl w:val="2"/>
          <w:numId w:val="19"/>
        </w:numPr>
        <w:tabs>
          <w:tab w:val="left" w:pos="779"/>
        </w:tabs>
        <w:spacing w:line="249" w:lineRule="auto"/>
        <w:ind w:right="385" w:firstLine="0"/>
        <w:rPr>
          <w:sz w:val="24"/>
          <w:lang w:eastAsia="zh-CN"/>
        </w:rPr>
      </w:pPr>
      <w:r>
        <w:rPr>
          <w:spacing w:val="-1"/>
          <w:sz w:val="24"/>
          <w:lang w:eastAsia="zh-CN"/>
        </w:rPr>
        <w:t>响应文件报价出现前后不一致的，除竞争性磋商文件另有规定外，按照下列规定</w:t>
      </w:r>
      <w:r>
        <w:rPr>
          <w:sz w:val="24"/>
          <w:lang w:eastAsia="zh-CN"/>
        </w:rPr>
        <w:t>修正：</w:t>
      </w:r>
    </w:p>
    <w:p>
      <w:pPr>
        <w:pStyle w:val="8"/>
        <w:spacing w:line="249" w:lineRule="auto"/>
        <w:ind w:left="276" w:right="407"/>
        <w:rPr>
          <w:lang w:eastAsia="zh-CN"/>
        </w:rPr>
      </w:pPr>
      <w:r>
        <w:rPr>
          <w:lang w:eastAsia="zh-CN"/>
        </w:rPr>
        <w:t>（一）响应文件中开标一览表（报价表）内容与响应文件中相应内容不一致的，以开标一览表（报价表）为准；</w:t>
      </w:r>
    </w:p>
    <w:p>
      <w:pPr>
        <w:pStyle w:val="8"/>
        <w:spacing w:line="306" w:lineRule="exact"/>
        <w:ind w:left="276"/>
        <w:rPr>
          <w:lang w:eastAsia="zh-CN"/>
        </w:rPr>
      </w:pPr>
      <w:r>
        <w:rPr>
          <w:lang w:eastAsia="zh-CN"/>
        </w:rPr>
        <w:t>（二）大写金额和小写金额不一致的，以大写金额为准；</w:t>
      </w:r>
    </w:p>
    <w:p>
      <w:pPr>
        <w:pStyle w:val="8"/>
        <w:spacing w:before="11" w:line="249" w:lineRule="auto"/>
        <w:ind w:left="276" w:right="407"/>
        <w:rPr>
          <w:lang w:eastAsia="zh-CN"/>
        </w:rPr>
      </w:pPr>
      <w:r>
        <w:rPr>
          <w:lang w:eastAsia="zh-CN"/>
        </w:rPr>
        <w:t>（三）单价金额小数点或者百分比有明显错位的，以开标一览表的总价为准，并修改单价；</w:t>
      </w:r>
    </w:p>
    <w:p>
      <w:pPr>
        <w:pStyle w:val="8"/>
        <w:spacing w:line="306" w:lineRule="exact"/>
        <w:ind w:left="276"/>
        <w:rPr>
          <w:lang w:eastAsia="zh-CN"/>
        </w:rPr>
      </w:pPr>
      <w:r>
        <w:rPr>
          <w:lang w:eastAsia="zh-CN"/>
        </w:rPr>
        <w:t>（四）总价金额与按单价汇总金额不一致的，以单价金额计算结果为准。</w:t>
      </w:r>
    </w:p>
    <w:p>
      <w:pPr>
        <w:pStyle w:val="8"/>
        <w:spacing w:before="14"/>
        <w:ind w:firstLine="240" w:firstLineChars="100"/>
        <w:rPr>
          <w:lang w:eastAsia="zh-CN"/>
        </w:rPr>
      </w:pPr>
      <w:r>
        <w:rPr>
          <w:lang w:eastAsia="zh-CN"/>
        </w:rPr>
        <w:t>同时出现两种以上不一致的，按照前款规定的顺序修正。修正后的报价按照本章第</w:t>
      </w:r>
    </w:p>
    <w:p>
      <w:pPr>
        <w:spacing w:before="12"/>
        <w:ind w:left="118"/>
        <w:jc w:val="both"/>
        <w:rPr>
          <w:b/>
          <w:sz w:val="24"/>
          <w:lang w:eastAsia="zh-CN"/>
        </w:rPr>
      </w:pPr>
      <w:r>
        <w:rPr>
          <w:sz w:val="24"/>
          <w:lang w:eastAsia="zh-CN"/>
        </w:rPr>
        <w:t>6.5.2 条第二款的规定经供应商确认后产生约束力，</w:t>
      </w:r>
      <w:r>
        <w:rPr>
          <w:b/>
          <w:sz w:val="24"/>
          <w:lang w:eastAsia="zh-CN"/>
        </w:rPr>
        <w:t>供应商不确认的，其投标无效。</w:t>
      </w:r>
    </w:p>
    <w:p>
      <w:pPr>
        <w:pStyle w:val="4"/>
        <w:numPr>
          <w:ilvl w:val="1"/>
          <w:numId w:val="19"/>
        </w:numPr>
        <w:tabs>
          <w:tab w:val="left" w:pos="721"/>
        </w:tabs>
        <w:spacing w:before="12"/>
        <w:ind w:left="720" w:hanging="602"/>
        <w:jc w:val="both"/>
      </w:pPr>
      <w:r>
        <w:t>比较与评价</w:t>
      </w:r>
    </w:p>
    <w:p>
      <w:pPr>
        <w:pStyle w:val="26"/>
        <w:numPr>
          <w:ilvl w:val="2"/>
          <w:numId w:val="19"/>
        </w:numPr>
        <w:tabs>
          <w:tab w:val="left" w:pos="779"/>
        </w:tabs>
        <w:spacing w:before="28" w:line="266" w:lineRule="auto"/>
        <w:ind w:right="377" w:firstLine="0"/>
        <w:jc w:val="both"/>
        <w:rPr>
          <w:sz w:val="24"/>
          <w:lang w:eastAsia="zh-CN"/>
        </w:rPr>
      </w:pPr>
      <w:r>
        <w:rPr>
          <w:sz w:val="24"/>
          <w:lang w:eastAsia="zh-CN"/>
        </w:rPr>
        <w:t>磋商小组按照竞争性磋商文件中规定的评标方法和标准，对符合性审查合格的响</w:t>
      </w:r>
      <w:r>
        <w:rPr>
          <w:spacing w:val="-5"/>
          <w:sz w:val="24"/>
          <w:lang w:eastAsia="zh-CN"/>
        </w:rPr>
        <w:t>应文件进行商务和技术评估，综合比较与评价。评价响应文件是否符合竞争性磋商文件</w:t>
      </w:r>
      <w:r>
        <w:rPr>
          <w:sz w:val="24"/>
          <w:lang w:eastAsia="zh-CN"/>
        </w:rPr>
        <w:t>的商务、技术等实质性要求。</w:t>
      </w:r>
    </w:p>
    <w:p>
      <w:pPr>
        <w:pStyle w:val="26"/>
        <w:numPr>
          <w:ilvl w:val="2"/>
          <w:numId w:val="19"/>
        </w:numPr>
        <w:tabs>
          <w:tab w:val="left" w:pos="779"/>
        </w:tabs>
        <w:spacing w:line="266" w:lineRule="auto"/>
        <w:ind w:right="377" w:firstLine="0"/>
        <w:jc w:val="both"/>
        <w:rPr>
          <w:sz w:val="24"/>
          <w:lang w:eastAsia="zh-CN"/>
        </w:rPr>
      </w:pPr>
      <w:r>
        <w:rPr>
          <w:sz w:val="24"/>
          <w:lang w:eastAsia="zh-CN"/>
        </w:rPr>
        <w:t>磋商小组按竞争性磋商文件规定的评审因素和量化指标由磋商小组采用竞争性磋</w:t>
      </w:r>
      <w:r>
        <w:rPr>
          <w:spacing w:val="-6"/>
          <w:sz w:val="24"/>
          <w:lang w:eastAsia="zh-CN"/>
        </w:rPr>
        <w:t>商对响应文件进行综合评分。评审时，各成员应当独立对每个全部实质性响应的响应文</w:t>
      </w:r>
      <w:r>
        <w:rPr>
          <w:sz w:val="24"/>
          <w:lang w:eastAsia="zh-CN"/>
        </w:rPr>
        <w:t>件进行评价、打分，然后汇总每个供应商每项评分因素的得分。</w:t>
      </w:r>
    </w:p>
    <w:p>
      <w:pPr>
        <w:pStyle w:val="4"/>
        <w:numPr>
          <w:ilvl w:val="2"/>
          <w:numId w:val="19"/>
        </w:numPr>
        <w:tabs>
          <w:tab w:val="left" w:pos="779"/>
        </w:tabs>
        <w:spacing w:line="289" w:lineRule="exact"/>
        <w:ind w:left="778"/>
        <w:rPr>
          <w:lang w:eastAsia="zh-CN"/>
        </w:rPr>
      </w:pPr>
      <w:r>
        <w:rPr>
          <w:spacing w:val="-1"/>
          <w:lang w:eastAsia="zh-CN"/>
        </w:rPr>
        <w:t>磋商小组认为供应商的报价明显低于其他通过符合性审查供应商的报价，有可能</w:t>
      </w:r>
    </w:p>
    <w:p>
      <w:pPr>
        <w:pStyle w:val="4"/>
        <w:spacing w:before="8" w:line="249" w:lineRule="auto"/>
        <w:ind w:left="118" w:right="378"/>
        <w:rPr>
          <w:b w:val="0"/>
          <w:lang w:eastAsia="zh-CN"/>
        </w:rPr>
      </w:pPr>
      <w:r>
        <w:rPr>
          <w:lang w:eastAsia="zh-CN"/>
        </w:rPr>
        <w:t>影响产品质量或者不能诚信履约的，应当要求其在评标现场合理的时间内提供书面说</w:t>
      </w:r>
      <w:r>
        <w:rPr>
          <w:spacing w:val="-10"/>
          <w:lang w:eastAsia="zh-CN"/>
        </w:rPr>
        <w:t>明，必要时提交相关证明材料；供应商不能证明其报价合理性的，磋商小组应当将其作</w:t>
      </w:r>
      <w:r>
        <w:rPr>
          <w:lang w:eastAsia="zh-CN"/>
        </w:rPr>
        <w:t>为无效投标处理</w:t>
      </w:r>
      <w:r>
        <w:rPr>
          <w:b w:val="0"/>
          <w:lang w:eastAsia="zh-CN"/>
        </w:rPr>
        <w:t>。</w:t>
      </w:r>
    </w:p>
    <w:p>
      <w:pPr>
        <w:pStyle w:val="26"/>
        <w:numPr>
          <w:ilvl w:val="2"/>
          <w:numId w:val="19"/>
        </w:numPr>
        <w:tabs>
          <w:tab w:val="left" w:pos="779"/>
        </w:tabs>
        <w:spacing w:before="17" w:line="264" w:lineRule="auto"/>
        <w:ind w:right="385" w:firstLine="0"/>
        <w:rPr>
          <w:sz w:val="24"/>
          <w:lang w:eastAsia="zh-CN"/>
        </w:rPr>
      </w:pPr>
      <w:r>
        <w:rPr>
          <w:spacing w:val="-2"/>
          <w:sz w:val="24"/>
          <w:lang w:eastAsia="zh-CN"/>
        </w:rPr>
        <w:t>磋商小组将按比较与评价最优在先原则，排列评价顺序, 根据在供应商须知前附</w:t>
      </w:r>
      <w:r>
        <w:rPr>
          <w:sz w:val="24"/>
          <w:lang w:eastAsia="zh-CN"/>
        </w:rPr>
        <w:t>表中确定的中标候选人数量推荐出中标候选人。</w:t>
      </w:r>
    </w:p>
    <w:p>
      <w:pPr>
        <w:pStyle w:val="26"/>
        <w:numPr>
          <w:ilvl w:val="2"/>
          <w:numId w:val="19"/>
        </w:numPr>
        <w:tabs>
          <w:tab w:val="left" w:pos="839"/>
        </w:tabs>
        <w:spacing w:before="3" w:line="264" w:lineRule="auto"/>
        <w:ind w:right="377" w:firstLine="0"/>
        <w:jc w:val="both"/>
        <w:rPr>
          <w:sz w:val="24"/>
          <w:lang w:eastAsia="zh-CN"/>
        </w:rPr>
      </w:pPr>
      <w:r>
        <w:rPr>
          <w:spacing w:val="-7"/>
          <w:sz w:val="24"/>
          <w:lang w:eastAsia="zh-CN"/>
        </w:rPr>
        <w:t>经评审后，若出现符合本须知规定的所有投标条件的供应商不足三家情形的，本</w:t>
      </w:r>
      <w:r>
        <w:rPr>
          <w:spacing w:val="-8"/>
          <w:sz w:val="24"/>
          <w:lang w:eastAsia="zh-CN"/>
        </w:rPr>
        <w:t>次招标终止，除采购任务取消情形外，招标单位将依法重新组织招标或者采取其他方式</w:t>
      </w:r>
      <w:r>
        <w:rPr>
          <w:sz w:val="24"/>
          <w:lang w:eastAsia="zh-CN"/>
        </w:rPr>
        <w:t>采购。</w:t>
      </w:r>
    </w:p>
    <w:p>
      <w:pPr>
        <w:pStyle w:val="4"/>
        <w:spacing w:line="296" w:lineRule="exact"/>
        <w:ind w:left="3131" w:right="3383"/>
        <w:jc w:val="center"/>
      </w:pPr>
      <w:r>
        <w:t>7、定标与授予合同</w:t>
      </w:r>
    </w:p>
    <w:p>
      <w:pPr>
        <w:pStyle w:val="26"/>
        <w:numPr>
          <w:ilvl w:val="0"/>
          <w:numId w:val="0"/>
        </w:numPr>
        <w:tabs>
          <w:tab w:val="left" w:pos="779"/>
        </w:tabs>
        <w:spacing w:before="36" w:line="249" w:lineRule="auto"/>
        <w:ind w:left="118" w:leftChars="0" w:right="385" w:rightChars="0"/>
        <w:jc w:val="both"/>
        <w:rPr>
          <w:rFonts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7.1</w:t>
      </w:r>
      <w:r>
        <w:rPr>
          <w:rFonts w:hint="eastAsia" w:cs="宋体"/>
          <w:b/>
          <w:bCs/>
          <w:sz w:val="24"/>
          <w:szCs w:val="24"/>
          <w:lang w:val="en-US" w:eastAsia="zh-CN" w:bidi="ar-SA"/>
        </w:rPr>
        <w:t xml:space="preserve"> </w:t>
      </w:r>
      <w:r>
        <w:rPr>
          <w:rFonts w:ascii="宋体" w:hAnsi="宋体" w:eastAsia="宋体" w:cs="宋体"/>
          <w:b/>
          <w:bCs/>
          <w:sz w:val="24"/>
          <w:szCs w:val="24"/>
          <w:lang w:val="en-US" w:eastAsia="en-US" w:bidi="ar-SA"/>
        </w:rPr>
        <w:t>定标</w:t>
      </w:r>
    </w:p>
    <w:p>
      <w:pPr>
        <w:pStyle w:val="26"/>
        <w:numPr>
          <w:ilvl w:val="2"/>
          <w:numId w:val="20"/>
        </w:numPr>
        <w:tabs>
          <w:tab w:val="left" w:pos="779"/>
        </w:tabs>
        <w:spacing w:before="36" w:line="249" w:lineRule="auto"/>
        <w:ind w:right="385" w:firstLine="0"/>
        <w:jc w:val="both"/>
        <w:rPr>
          <w:sz w:val="24"/>
          <w:lang w:eastAsia="zh-CN"/>
        </w:rPr>
      </w:pPr>
      <w:r>
        <w:rPr>
          <w:spacing w:val="-1"/>
          <w:sz w:val="24"/>
          <w:lang w:eastAsia="zh-CN"/>
        </w:rPr>
        <w:t>最低投标价不作为中标的保证。但供应商的响应文件满足竞争性磋商文件全部实</w:t>
      </w:r>
      <w:r>
        <w:rPr>
          <w:sz w:val="24"/>
          <w:lang w:eastAsia="zh-CN"/>
        </w:rPr>
        <w:t>质性要求且投标报价最低的供应商除外。</w:t>
      </w:r>
    </w:p>
    <w:p>
      <w:pPr>
        <w:pStyle w:val="26"/>
        <w:numPr>
          <w:ilvl w:val="2"/>
          <w:numId w:val="20"/>
        </w:numPr>
        <w:tabs>
          <w:tab w:val="left" w:pos="779"/>
        </w:tabs>
        <w:spacing w:line="306" w:lineRule="exact"/>
        <w:ind w:left="778"/>
        <w:jc w:val="both"/>
        <w:rPr>
          <w:sz w:val="24"/>
          <w:lang w:eastAsia="zh-CN"/>
        </w:rPr>
      </w:pPr>
      <w:r>
        <w:rPr>
          <w:spacing w:val="-4"/>
          <w:sz w:val="24"/>
          <w:lang w:eastAsia="zh-CN"/>
        </w:rPr>
        <w:t xml:space="preserve">采购代理机构应当在评标结束后 </w:t>
      </w:r>
      <w:r>
        <w:rPr>
          <w:sz w:val="24"/>
          <w:lang w:eastAsia="zh-CN"/>
        </w:rPr>
        <w:t>2</w:t>
      </w:r>
      <w:r>
        <w:rPr>
          <w:spacing w:val="-8"/>
          <w:sz w:val="24"/>
          <w:lang w:eastAsia="zh-CN"/>
        </w:rPr>
        <w:t xml:space="preserve"> 个工作日内将评标报告送采购人。</w:t>
      </w:r>
    </w:p>
    <w:p>
      <w:pPr>
        <w:pStyle w:val="26"/>
        <w:numPr>
          <w:ilvl w:val="2"/>
          <w:numId w:val="20"/>
        </w:numPr>
        <w:tabs>
          <w:tab w:val="left" w:pos="779"/>
        </w:tabs>
        <w:spacing w:before="14" w:line="249" w:lineRule="auto"/>
        <w:ind w:right="377" w:firstLine="0"/>
        <w:jc w:val="both"/>
        <w:rPr>
          <w:sz w:val="24"/>
          <w:lang w:eastAsia="zh-CN"/>
        </w:rPr>
      </w:pPr>
      <w:r>
        <w:rPr>
          <w:spacing w:val="-4"/>
          <w:sz w:val="24"/>
          <w:lang w:eastAsia="zh-CN"/>
        </w:rPr>
        <w:t xml:space="preserve">采购人应当自收到评标报告之日起 </w:t>
      </w:r>
      <w:r>
        <w:rPr>
          <w:sz w:val="24"/>
          <w:lang w:eastAsia="zh-CN"/>
        </w:rPr>
        <w:t>5</w:t>
      </w:r>
      <w:r>
        <w:rPr>
          <w:spacing w:val="-8"/>
          <w:sz w:val="24"/>
          <w:lang w:eastAsia="zh-CN"/>
        </w:rPr>
        <w:t xml:space="preserve"> 个工作日内，在评标报告确定的中标候选人</w:t>
      </w:r>
      <w:r>
        <w:rPr>
          <w:spacing w:val="-12"/>
          <w:sz w:val="24"/>
          <w:lang w:eastAsia="zh-CN"/>
        </w:rPr>
        <w:t>名单中按顺序确定中标人。中标候选人并列的，由采购人或者采购人委托磋商小组按照</w:t>
      </w:r>
      <w:r>
        <w:rPr>
          <w:spacing w:val="-4"/>
          <w:sz w:val="24"/>
          <w:lang w:eastAsia="zh-CN"/>
        </w:rPr>
        <w:t>竞争性磋商文件规定的方式确定中标人；竞争性磋商文件未规定的，采取随机抽取的方</w:t>
      </w:r>
      <w:r>
        <w:rPr>
          <w:sz w:val="24"/>
          <w:lang w:eastAsia="zh-CN"/>
        </w:rPr>
        <w:t>式确定。</w:t>
      </w:r>
    </w:p>
    <w:p>
      <w:pPr>
        <w:pStyle w:val="26"/>
        <w:numPr>
          <w:ilvl w:val="2"/>
          <w:numId w:val="20"/>
        </w:numPr>
        <w:tabs>
          <w:tab w:val="left" w:pos="779"/>
        </w:tabs>
        <w:spacing w:line="249" w:lineRule="auto"/>
        <w:ind w:right="377" w:firstLine="0"/>
        <w:jc w:val="both"/>
        <w:rPr>
          <w:sz w:val="24"/>
          <w:lang w:eastAsia="zh-CN"/>
        </w:rPr>
      </w:pPr>
      <w:r>
        <w:rPr>
          <w:spacing w:val="-6"/>
          <w:sz w:val="24"/>
          <w:lang w:eastAsia="zh-CN"/>
        </w:rPr>
        <w:t xml:space="preserve">采购人在收到评标报告 </w:t>
      </w:r>
      <w:r>
        <w:rPr>
          <w:sz w:val="24"/>
          <w:lang w:eastAsia="zh-CN"/>
        </w:rPr>
        <w:t>5</w:t>
      </w:r>
      <w:r>
        <w:rPr>
          <w:spacing w:val="-8"/>
          <w:sz w:val="24"/>
          <w:lang w:eastAsia="zh-CN"/>
        </w:rPr>
        <w:t xml:space="preserve"> 个工作日内未按评标报告推荐的中标候选人顺序确定中</w:t>
      </w:r>
      <w:r>
        <w:rPr>
          <w:spacing w:val="-10"/>
          <w:sz w:val="24"/>
          <w:lang w:eastAsia="zh-CN"/>
        </w:rPr>
        <w:t>标人，又不能说明合法理由的，视同按评标报告推荐的顺序确定排名第一的中标候选人</w:t>
      </w:r>
      <w:r>
        <w:rPr>
          <w:sz w:val="24"/>
          <w:lang w:eastAsia="zh-CN"/>
        </w:rPr>
        <w:t>为中标人。</w:t>
      </w:r>
    </w:p>
    <w:p>
      <w:pPr>
        <w:pStyle w:val="4"/>
        <w:numPr>
          <w:ilvl w:val="1"/>
          <w:numId w:val="20"/>
        </w:numPr>
        <w:tabs>
          <w:tab w:val="left" w:pos="721"/>
        </w:tabs>
        <w:spacing w:before="1"/>
        <w:ind w:hanging="602"/>
        <w:jc w:val="both"/>
      </w:pPr>
      <w:r>
        <w:t>中标通知</w:t>
      </w:r>
    </w:p>
    <w:p>
      <w:pPr>
        <w:pStyle w:val="26"/>
        <w:numPr>
          <w:ilvl w:val="2"/>
          <w:numId w:val="20"/>
        </w:numPr>
        <w:tabs>
          <w:tab w:val="left" w:pos="839"/>
        </w:tabs>
        <w:spacing w:before="11" w:line="252" w:lineRule="auto"/>
        <w:ind w:right="325" w:firstLine="0"/>
        <w:jc w:val="both"/>
        <w:rPr>
          <w:rFonts w:ascii="宋体" w:hAnsi="宋体" w:eastAsia="宋体" w:cs="宋体"/>
          <w:spacing w:val="-3"/>
          <w:sz w:val="24"/>
          <w:lang w:eastAsia="zh-CN"/>
        </w:rPr>
      </w:pPr>
      <w:r>
        <w:rPr>
          <w:spacing w:val="-3"/>
          <w:sz w:val="24"/>
          <w:lang w:eastAsia="zh-CN"/>
        </w:rPr>
        <w:t xml:space="preserve">评标结束后，采购人或者采购代理机构应当自中标人确定之日起 </w:t>
      </w:r>
      <w:r>
        <w:rPr>
          <w:sz w:val="24"/>
          <w:lang w:eastAsia="zh-CN"/>
        </w:rPr>
        <w:t>2</w:t>
      </w:r>
      <w:r>
        <w:rPr>
          <w:spacing w:val="-11"/>
          <w:sz w:val="24"/>
          <w:lang w:eastAsia="zh-CN"/>
        </w:rPr>
        <w:t xml:space="preserve"> 个工作日内， </w:t>
      </w:r>
      <w:r>
        <w:rPr>
          <w:sz w:val="24"/>
          <w:lang w:eastAsia="zh-CN"/>
        </w:rPr>
        <w:t>在</w:t>
      </w:r>
      <w:r>
        <w:rPr>
          <w:rFonts w:ascii="宋体" w:hAnsi="宋体" w:eastAsia="宋体" w:cs="宋体"/>
          <w:spacing w:val="-3"/>
          <w:sz w:val="24"/>
          <w:lang w:eastAsia="zh-CN"/>
        </w:rPr>
        <w:t>省级以上财政部门指定的媒体上公告中标结果，公告期限为 1 个工作日（法律、法规另有约定情况， 从其约定）；同时招标代理机构向中标人发出中标通知书。中标通知书对采购人和中标人具有同等法律效力。中标通知书发出后，采购人改变中标结果，或者中标人放弃中标， 应按相关法律、规章、规范性文件的要求承担相应的法律责任。供应商对中标公告有异议的，应当在知道或应当知道其权益受到损害之日起在规定的期限内，以书面形式向采购人或招标代理机构提出质疑。</w:t>
      </w:r>
    </w:p>
    <w:p>
      <w:pPr>
        <w:pStyle w:val="26"/>
        <w:numPr>
          <w:ilvl w:val="2"/>
          <w:numId w:val="20"/>
        </w:numPr>
        <w:tabs>
          <w:tab w:val="left" w:pos="839"/>
        </w:tabs>
        <w:ind w:left="838" w:hanging="720"/>
        <w:jc w:val="both"/>
        <w:rPr>
          <w:sz w:val="24"/>
          <w:lang w:eastAsia="zh-CN"/>
        </w:rPr>
      </w:pPr>
      <w:r>
        <w:rPr>
          <w:sz w:val="24"/>
          <w:lang w:eastAsia="zh-CN"/>
        </w:rPr>
        <w:t>中标公告发出后的同时，将向未中标人发出《中标结果通知书》。</w:t>
      </w:r>
    </w:p>
    <w:p>
      <w:pPr>
        <w:pStyle w:val="26"/>
        <w:numPr>
          <w:ilvl w:val="2"/>
          <w:numId w:val="20"/>
        </w:numPr>
        <w:tabs>
          <w:tab w:val="left" w:pos="832"/>
        </w:tabs>
        <w:spacing w:before="8"/>
        <w:ind w:left="831" w:hanging="713"/>
        <w:jc w:val="both"/>
        <w:rPr>
          <w:sz w:val="24"/>
          <w:lang w:eastAsia="zh-CN"/>
        </w:rPr>
      </w:pPr>
      <w:r>
        <w:rPr>
          <w:spacing w:val="-5"/>
          <w:sz w:val="24"/>
          <w:lang w:eastAsia="zh-CN"/>
        </w:rPr>
        <w:t>《中标通知书》将作为签订合同的依据。《合同》签订后，《中标通知书》成为</w:t>
      </w:r>
    </w:p>
    <w:p>
      <w:pPr>
        <w:pStyle w:val="8"/>
        <w:spacing w:before="14"/>
        <w:ind w:left="118"/>
        <w:jc w:val="both"/>
        <w:rPr>
          <w:highlight w:val="red"/>
        </w:rPr>
      </w:pPr>
      <w:r>
        <w:t>《合同》的一部分。</w:t>
      </w:r>
    </w:p>
    <w:p>
      <w:pPr>
        <w:pStyle w:val="4"/>
        <w:numPr>
          <w:ilvl w:val="1"/>
          <w:numId w:val="20"/>
        </w:numPr>
        <w:tabs>
          <w:tab w:val="left" w:pos="721"/>
        </w:tabs>
        <w:spacing w:line="306" w:lineRule="exact"/>
        <w:ind w:hanging="602"/>
        <w:jc w:val="both"/>
        <w:rPr>
          <w:highlight w:val="none"/>
        </w:rPr>
      </w:pPr>
      <w:r>
        <w:rPr>
          <w:highlight w:val="none"/>
        </w:rPr>
        <w:t>签订合同</w:t>
      </w:r>
    </w:p>
    <w:p>
      <w:pPr>
        <w:pStyle w:val="26"/>
        <w:numPr>
          <w:ilvl w:val="2"/>
          <w:numId w:val="20"/>
        </w:numPr>
        <w:tabs>
          <w:tab w:val="left" w:pos="779"/>
        </w:tabs>
        <w:spacing w:before="14" w:line="249" w:lineRule="auto"/>
        <w:ind w:right="325" w:firstLine="0"/>
        <w:jc w:val="both"/>
        <w:rPr>
          <w:sz w:val="24"/>
          <w:lang w:eastAsia="zh-CN"/>
        </w:rPr>
      </w:pPr>
      <w:r>
        <w:rPr>
          <w:spacing w:val="-3"/>
          <w:sz w:val="24"/>
          <w:lang w:eastAsia="zh-CN"/>
        </w:rPr>
        <w:t xml:space="preserve">采购人与成交供应商应当在成交通知书发出之日起 </w:t>
      </w:r>
      <w:r>
        <w:rPr>
          <w:sz w:val="24"/>
          <w:lang w:eastAsia="zh-CN"/>
        </w:rPr>
        <w:t>30</w:t>
      </w:r>
      <w:r>
        <w:rPr>
          <w:spacing w:val="-16"/>
          <w:sz w:val="24"/>
          <w:lang w:eastAsia="zh-CN"/>
        </w:rPr>
        <w:t xml:space="preserve"> 日内，按照竞争性磋商文件</w:t>
      </w:r>
      <w:r>
        <w:rPr>
          <w:spacing w:val="-15"/>
          <w:sz w:val="24"/>
          <w:lang w:eastAsia="zh-CN"/>
        </w:rPr>
        <w:t>确定的合同文本以及采购标的、规格型号、采购金额、采购数量、技术和服务要求等事</w:t>
      </w:r>
      <w:r>
        <w:rPr>
          <w:spacing w:val="-14"/>
          <w:sz w:val="24"/>
          <w:lang w:eastAsia="zh-CN"/>
        </w:rPr>
        <w:t>项签订政府采购合同。采购人不得向成交供应商提出超出竞争性磋商文件以外的任何要求作为签订合同的条件，不得与成交供应商订立背离竞争性磋商文件确定的合同文本以</w:t>
      </w:r>
      <w:r>
        <w:rPr>
          <w:spacing w:val="-15"/>
          <w:sz w:val="24"/>
          <w:lang w:eastAsia="zh-CN"/>
        </w:rPr>
        <w:t>及采购标的、规格型号、采购金额、采购数量、技术和服务要求等实质性内容的协议。</w:t>
      </w:r>
      <w:r>
        <w:rPr>
          <w:spacing w:val="-3"/>
          <w:sz w:val="24"/>
          <w:lang w:eastAsia="zh-CN"/>
        </w:rPr>
        <w:t>供应商逾期未与采购人签订合同，将按照有关法律规定承担相应的法律责任，并没收投</w:t>
      </w:r>
      <w:r>
        <w:rPr>
          <w:spacing w:val="-7"/>
          <w:sz w:val="24"/>
          <w:lang w:eastAsia="zh-CN"/>
        </w:rPr>
        <w:t>标保证金，以抵偿对采购人造成的损失。采购方逾期不与成交供应商签订合同的，按有关规定处理，并承担相应的法律责任。</w:t>
      </w:r>
    </w:p>
    <w:p>
      <w:pPr>
        <w:pStyle w:val="26"/>
        <w:numPr>
          <w:ilvl w:val="2"/>
          <w:numId w:val="20"/>
        </w:numPr>
        <w:tabs>
          <w:tab w:val="left" w:pos="779"/>
        </w:tabs>
        <w:spacing w:line="249" w:lineRule="auto"/>
        <w:ind w:right="377" w:firstLine="0"/>
        <w:jc w:val="both"/>
        <w:rPr>
          <w:sz w:val="24"/>
          <w:lang w:eastAsia="zh-CN"/>
        </w:rPr>
      </w:pPr>
      <w:r>
        <w:rPr>
          <w:sz w:val="24"/>
          <w:lang w:eastAsia="zh-CN"/>
        </w:rPr>
        <w:t>竞争性磋商文件、竞争性磋商文件的修改文件、成交供应商的响应文件、补充或</w:t>
      </w:r>
      <w:r>
        <w:rPr>
          <w:spacing w:val="-7"/>
          <w:sz w:val="24"/>
          <w:lang w:eastAsia="zh-CN"/>
        </w:rPr>
        <w:t>修改的文件及澄清或承诺文件等，均为双方签订《合同》的组成部分，并与《合同》一</w:t>
      </w:r>
      <w:r>
        <w:rPr>
          <w:spacing w:val="-4"/>
          <w:sz w:val="24"/>
          <w:lang w:eastAsia="zh-CN"/>
        </w:rPr>
        <w:t>并作为本竞争性磋商文件所列采购项目的互补性法律文件，与《合同》具有同等法律效</w:t>
      </w:r>
      <w:r>
        <w:rPr>
          <w:sz w:val="24"/>
          <w:lang w:eastAsia="zh-CN"/>
        </w:rPr>
        <w:t>力。</w:t>
      </w:r>
    </w:p>
    <w:p>
      <w:pPr>
        <w:pStyle w:val="26"/>
        <w:numPr>
          <w:ilvl w:val="2"/>
          <w:numId w:val="20"/>
        </w:numPr>
        <w:tabs>
          <w:tab w:val="left" w:pos="779"/>
        </w:tabs>
        <w:spacing w:before="2" w:line="249" w:lineRule="auto"/>
        <w:ind w:right="377" w:firstLine="0"/>
        <w:jc w:val="both"/>
        <w:rPr>
          <w:sz w:val="24"/>
          <w:lang w:eastAsia="zh-CN"/>
        </w:rPr>
      </w:pPr>
      <w:r>
        <w:rPr>
          <w:sz w:val="24"/>
          <w:lang w:eastAsia="zh-CN"/>
        </w:rPr>
        <w:t xml:space="preserve">政府采购合同履行中，采购人需追加与合同标的相同的货物、工程或者服务的， </w:t>
      </w:r>
      <w:r>
        <w:rPr>
          <w:spacing w:val="-4"/>
          <w:sz w:val="24"/>
          <w:lang w:eastAsia="zh-CN"/>
        </w:rPr>
        <w:t>在不改变合同其他条款的前提下，可与供应商协商签订补充合同，但所有补充合同的采</w:t>
      </w:r>
      <w:r>
        <w:rPr>
          <w:sz w:val="24"/>
          <w:lang w:eastAsia="zh-CN"/>
        </w:rPr>
        <w:t>购金额不得超过原合同采购金额的百分之十。</w:t>
      </w:r>
    </w:p>
    <w:p>
      <w:pPr>
        <w:pStyle w:val="26"/>
        <w:numPr>
          <w:ilvl w:val="2"/>
          <w:numId w:val="20"/>
        </w:numPr>
        <w:tabs>
          <w:tab w:val="left" w:pos="779"/>
        </w:tabs>
        <w:spacing w:before="1" w:line="249" w:lineRule="auto"/>
        <w:ind w:right="385" w:firstLine="0"/>
        <w:jc w:val="both"/>
        <w:rPr>
          <w:sz w:val="24"/>
          <w:lang w:eastAsia="zh-CN"/>
        </w:rPr>
      </w:pPr>
      <w:r>
        <w:rPr>
          <w:spacing w:val="-1"/>
          <w:sz w:val="24"/>
          <w:lang w:eastAsia="zh-CN"/>
        </w:rPr>
        <w:t>成交供应商因不可抗力或者自身原因不能履行合同的，采购人可以与排位在成交</w:t>
      </w:r>
      <w:r>
        <w:rPr>
          <w:sz w:val="24"/>
          <w:lang w:eastAsia="zh-CN"/>
        </w:rPr>
        <w:t>供应商之后第一位的成交候选供应商签订合同，以此类推。</w:t>
      </w:r>
    </w:p>
    <w:p>
      <w:pPr>
        <w:pStyle w:val="4"/>
        <w:spacing w:line="306" w:lineRule="exact"/>
        <w:ind w:left="0" w:leftChars="0" w:right="3383" w:firstLine="0" w:firstLineChars="0"/>
        <w:jc w:val="center"/>
        <w:rPr>
          <w:lang w:eastAsia="zh-CN"/>
        </w:rPr>
      </w:pPr>
      <w:r>
        <w:rPr>
          <w:rFonts w:hint="eastAsia"/>
          <w:lang w:val="en-US" w:eastAsia="zh-CN"/>
        </w:rPr>
        <w:t xml:space="preserve">                          </w:t>
      </w:r>
      <w:r>
        <w:rPr>
          <w:lang w:eastAsia="zh-CN"/>
        </w:rPr>
        <w:t>8、重新招标和其他方式采购</w:t>
      </w:r>
    </w:p>
    <w:p>
      <w:pPr>
        <w:pStyle w:val="4"/>
        <w:numPr>
          <w:ilvl w:val="1"/>
          <w:numId w:val="21"/>
        </w:numPr>
        <w:tabs>
          <w:tab w:val="left" w:pos="541"/>
        </w:tabs>
        <w:spacing w:before="36"/>
        <w:ind w:hanging="422"/>
      </w:pPr>
      <w:r>
        <w:t>重新招标</w:t>
      </w:r>
    </w:p>
    <w:p>
      <w:pPr>
        <w:pStyle w:val="26"/>
        <w:numPr>
          <w:ilvl w:val="2"/>
          <w:numId w:val="21"/>
        </w:numPr>
        <w:tabs>
          <w:tab w:val="left" w:pos="779"/>
        </w:tabs>
        <w:spacing w:before="12"/>
        <w:rPr>
          <w:sz w:val="24"/>
          <w:lang w:eastAsia="zh-CN"/>
        </w:rPr>
      </w:pPr>
      <w:r>
        <w:rPr>
          <w:sz w:val="24"/>
          <w:lang w:eastAsia="zh-CN"/>
        </w:rPr>
        <w:t>在招标采购中，出现下列情形之一的，应当在废标后重新招标：</w:t>
      </w:r>
    </w:p>
    <w:p>
      <w:pPr>
        <w:pStyle w:val="26"/>
        <w:numPr>
          <w:ilvl w:val="3"/>
          <w:numId w:val="21"/>
        </w:numPr>
        <w:tabs>
          <w:tab w:val="left" w:pos="933"/>
        </w:tabs>
        <w:spacing w:before="11"/>
        <w:rPr>
          <w:sz w:val="24"/>
          <w:lang w:eastAsia="zh-CN"/>
        </w:rPr>
      </w:pPr>
      <w:r>
        <w:rPr>
          <w:sz w:val="24"/>
          <w:lang w:eastAsia="zh-CN"/>
        </w:rPr>
        <w:t>符合专业条件的供应商或者对竞争性磋商文件作实质响应的供应商不足三家的；</w:t>
      </w:r>
    </w:p>
    <w:p>
      <w:pPr>
        <w:pStyle w:val="26"/>
        <w:numPr>
          <w:ilvl w:val="3"/>
          <w:numId w:val="21"/>
        </w:numPr>
        <w:tabs>
          <w:tab w:val="left" w:pos="960"/>
        </w:tabs>
        <w:spacing w:before="14"/>
        <w:ind w:left="959"/>
        <w:rPr>
          <w:sz w:val="24"/>
          <w:lang w:eastAsia="zh-CN"/>
        </w:rPr>
      </w:pPr>
      <w:r>
        <w:rPr>
          <w:sz w:val="24"/>
          <w:lang w:eastAsia="zh-CN"/>
        </w:rPr>
        <w:t>出现影响采购公正的违法、违规行为的；</w:t>
      </w:r>
    </w:p>
    <w:p>
      <w:pPr>
        <w:pStyle w:val="26"/>
        <w:numPr>
          <w:ilvl w:val="3"/>
          <w:numId w:val="21"/>
        </w:numPr>
        <w:tabs>
          <w:tab w:val="left" w:pos="960"/>
        </w:tabs>
        <w:spacing w:before="12"/>
        <w:ind w:left="959"/>
        <w:rPr>
          <w:sz w:val="24"/>
          <w:lang w:eastAsia="zh-CN"/>
        </w:rPr>
      </w:pPr>
      <w:r>
        <w:rPr>
          <w:sz w:val="24"/>
          <w:lang w:eastAsia="zh-CN"/>
        </w:rPr>
        <w:t>供应商的报价均超过了采购预算，采购人不能支付的；</w:t>
      </w:r>
    </w:p>
    <w:p>
      <w:pPr>
        <w:pStyle w:val="26"/>
        <w:numPr>
          <w:ilvl w:val="3"/>
          <w:numId w:val="21"/>
        </w:numPr>
        <w:tabs>
          <w:tab w:val="left" w:pos="960"/>
        </w:tabs>
        <w:spacing w:before="12"/>
        <w:ind w:left="959"/>
        <w:rPr>
          <w:sz w:val="24"/>
          <w:lang w:eastAsia="zh-CN"/>
        </w:rPr>
      </w:pPr>
      <w:r>
        <w:rPr>
          <w:sz w:val="24"/>
          <w:lang w:eastAsia="zh-CN"/>
        </w:rPr>
        <w:t>因重大变故，采购任务取消的。</w:t>
      </w:r>
    </w:p>
    <w:p>
      <w:pPr>
        <w:pStyle w:val="26"/>
        <w:numPr>
          <w:ilvl w:val="2"/>
          <w:numId w:val="21"/>
        </w:numPr>
        <w:tabs>
          <w:tab w:val="left" w:pos="779"/>
        </w:tabs>
        <w:spacing w:before="14" w:line="249" w:lineRule="auto"/>
        <w:ind w:left="118" w:right="385" w:firstLine="0"/>
        <w:rPr>
          <w:sz w:val="24"/>
          <w:lang w:eastAsia="zh-CN"/>
        </w:rPr>
      </w:pPr>
      <w:r>
        <w:rPr>
          <w:spacing w:val="-1"/>
          <w:sz w:val="24"/>
          <w:lang w:eastAsia="zh-CN"/>
        </w:rPr>
        <w:t>如果排名第一、二的中标候选人，直至排名第三的中标候选人因不可抗力或自身</w:t>
      </w:r>
      <w:r>
        <w:rPr>
          <w:sz w:val="24"/>
          <w:lang w:eastAsia="zh-CN"/>
        </w:rPr>
        <w:t>原因放弃中标结果，本次招标宣布失败。采购人应依法按规定重新组织招标。</w:t>
      </w:r>
    </w:p>
    <w:p>
      <w:pPr>
        <w:pStyle w:val="4"/>
        <w:spacing w:line="306" w:lineRule="exact"/>
        <w:ind w:left="118"/>
        <w:rPr>
          <w:lang w:eastAsia="zh-CN"/>
        </w:rPr>
      </w:pPr>
      <w:r>
        <w:rPr>
          <w:lang w:eastAsia="zh-CN"/>
        </w:rPr>
        <w:t>8.2 其他方式采购</w:t>
      </w:r>
    </w:p>
    <w:p>
      <w:pPr>
        <w:pStyle w:val="8"/>
        <w:spacing w:before="14" w:line="249" w:lineRule="auto"/>
        <w:ind w:left="118" w:right="385"/>
        <w:rPr>
          <w:lang w:eastAsia="zh-CN"/>
        </w:rPr>
      </w:pPr>
      <w:r>
        <w:rPr>
          <w:lang w:eastAsia="zh-CN"/>
        </w:rPr>
        <w:t>8.2.1</w:t>
      </w:r>
      <w:r>
        <w:rPr>
          <w:spacing w:val="-9"/>
          <w:lang w:eastAsia="zh-CN"/>
        </w:rPr>
        <w:t xml:space="preserve"> 需要采取其他方式采购的，应当在采购活动开始前获得设区的市、自治州以上人</w:t>
      </w:r>
      <w:r>
        <w:rPr>
          <w:lang w:eastAsia="zh-CN"/>
        </w:rPr>
        <w:t>民政府采购监督管理部门或者政府有关部门批准。</w:t>
      </w:r>
    </w:p>
    <w:p>
      <w:pPr>
        <w:pStyle w:val="4"/>
        <w:spacing w:line="306" w:lineRule="exact"/>
        <w:ind w:left="3128" w:right="3383"/>
        <w:jc w:val="center"/>
      </w:pPr>
      <w:r>
        <w:rPr>
          <w:w w:val="95"/>
        </w:rPr>
        <w:t>9、纪律和监督</w:t>
      </w:r>
    </w:p>
    <w:p>
      <w:pPr>
        <w:pStyle w:val="4"/>
        <w:numPr>
          <w:ilvl w:val="1"/>
          <w:numId w:val="22"/>
        </w:numPr>
        <w:tabs>
          <w:tab w:val="left" w:pos="601"/>
        </w:tabs>
        <w:spacing w:before="14"/>
        <w:ind w:hanging="482"/>
      </w:pPr>
      <w:r>
        <w:t>对采购人的纪律要求</w:t>
      </w:r>
    </w:p>
    <w:p>
      <w:pPr>
        <w:pStyle w:val="8"/>
        <w:spacing w:before="12" w:line="249" w:lineRule="auto"/>
        <w:ind w:left="118" w:right="377" w:firstLine="480"/>
        <w:jc w:val="both"/>
        <w:rPr>
          <w:lang w:eastAsia="zh-CN"/>
        </w:rPr>
      </w:pPr>
      <w:r>
        <w:rPr>
          <w:spacing w:val="-4"/>
          <w:lang w:eastAsia="zh-CN"/>
        </w:rPr>
        <w:t>采购人不得泄露招标投标活动中应当保密的情况和资料，不得与供应商串通损害国</w:t>
      </w:r>
      <w:r>
        <w:rPr>
          <w:lang w:eastAsia="zh-CN"/>
        </w:rPr>
        <w:t>家利益、社会公共利益或者他人合法利益。采购人不得有下列行为之一：</w:t>
      </w:r>
    </w:p>
    <w:p>
      <w:pPr>
        <w:pStyle w:val="26"/>
        <w:numPr>
          <w:ilvl w:val="2"/>
          <w:numId w:val="22"/>
        </w:numPr>
        <w:tabs>
          <w:tab w:val="left" w:pos="960"/>
        </w:tabs>
        <w:spacing w:before="1"/>
        <w:rPr>
          <w:sz w:val="24"/>
        </w:rPr>
      </w:pPr>
      <w:r>
        <w:rPr>
          <w:sz w:val="24"/>
        </w:rPr>
        <w:t>与供应商恶意串通的；</w:t>
      </w:r>
    </w:p>
    <w:p>
      <w:pPr>
        <w:pStyle w:val="26"/>
        <w:numPr>
          <w:ilvl w:val="2"/>
          <w:numId w:val="22"/>
        </w:numPr>
        <w:tabs>
          <w:tab w:val="left" w:pos="960"/>
        </w:tabs>
        <w:spacing w:before="12"/>
        <w:rPr>
          <w:sz w:val="24"/>
          <w:lang w:eastAsia="zh-CN"/>
        </w:rPr>
      </w:pPr>
      <w:r>
        <w:rPr>
          <w:sz w:val="24"/>
          <w:lang w:eastAsia="zh-CN"/>
        </w:rPr>
        <w:t>在采购过程中接受贿赂或者获取其他不正当利益的；</w:t>
      </w:r>
    </w:p>
    <w:p>
      <w:pPr>
        <w:pStyle w:val="26"/>
        <w:numPr>
          <w:ilvl w:val="2"/>
          <w:numId w:val="22"/>
        </w:numPr>
        <w:tabs>
          <w:tab w:val="left" w:pos="960"/>
        </w:tabs>
        <w:spacing w:before="11"/>
        <w:rPr>
          <w:sz w:val="24"/>
          <w:lang w:eastAsia="zh-CN"/>
        </w:rPr>
      </w:pPr>
      <w:r>
        <w:rPr>
          <w:sz w:val="24"/>
          <w:lang w:eastAsia="zh-CN"/>
        </w:rPr>
        <w:t>在有关部门依法实施的监督检查中提供虚假情况的；</w:t>
      </w:r>
    </w:p>
    <w:p>
      <w:pPr>
        <w:pStyle w:val="26"/>
        <w:numPr>
          <w:ilvl w:val="2"/>
          <w:numId w:val="22"/>
        </w:numPr>
        <w:tabs>
          <w:tab w:val="left" w:pos="960"/>
        </w:tabs>
        <w:spacing w:before="15" w:line="249" w:lineRule="auto"/>
        <w:ind w:left="118" w:right="445" w:firstLine="240"/>
        <w:rPr>
          <w:sz w:val="24"/>
          <w:lang w:eastAsia="zh-CN"/>
        </w:rPr>
      </w:pPr>
      <w:r>
        <w:rPr>
          <w:spacing w:val="-1"/>
          <w:sz w:val="24"/>
          <w:lang w:eastAsia="zh-CN"/>
        </w:rPr>
        <w:t>开标前泄露已获取竞争性磋商文件的潜在供应商的名称、数量、标底或者其他</w:t>
      </w:r>
      <w:r>
        <w:rPr>
          <w:sz w:val="24"/>
          <w:lang w:eastAsia="zh-CN"/>
        </w:rPr>
        <w:t>可能影响公平竞争的有关招标投标情况的。</w:t>
      </w:r>
    </w:p>
    <w:p>
      <w:pPr>
        <w:pStyle w:val="26"/>
        <w:numPr>
          <w:ilvl w:val="2"/>
          <w:numId w:val="22"/>
        </w:numPr>
        <w:tabs>
          <w:tab w:val="left" w:pos="960"/>
        </w:tabs>
        <w:spacing w:line="306" w:lineRule="exact"/>
        <w:rPr>
          <w:sz w:val="24"/>
          <w:lang w:eastAsia="zh-CN"/>
        </w:rPr>
      </w:pPr>
      <w:r>
        <w:rPr>
          <w:sz w:val="24"/>
          <w:lang w:eastAsia="zh-CN"/>
        </w:rPr>
        <w:t>法律、法规规定的其他违法、违规情形。</w:t>
      </w:r>
    </w:p>
    <w:p>
      <w:pPr>
        <w:pStyle w:val="4"/>
        <w:numPr>
          <w:ilvl w:val="1"/>
          <w:numId w:val="22"/>
        </w:numPr>
        <w:tabs>
          <w:tab w:val="left" w:pos="601"/>
        </w:tabs>
        <w:spacing w:before="14"/>
        <w:ind w:hanging="482"/>
      </w:pPr>
      <w:r>
        <w:t>对供应商的纪律要求</w:t>
      </w:r>
    </w:p>
    <w:p>
      <w:pPr>
        <w:pStyle w:val="26"/>
        <w:numPr>
          <w:ilvl w:val="2"/>
          <w:numId w:val="23"/>
        </w:numPr>
        <w:tabs>
          <w:tab w:val="left" w:pos="779"/>
        </w:tabs>
        <w:spacing w:before="11" w:line="249" w:lineRule="auto"/>
        <w:ind w:right="503" w:firstLine="0"/>
        <w:rPr>
          <w:sz w:val="24"/>
        </w:rPr>
      </w:pPr>
      <w:r>
        <w:rPr>
          <w:sz w:val="24"/>
          <w:lang w:eastAsia="zh-CN"/>
        </w:rPr>
        <w:t>供应商不得相互串通投标或者与采购人串通投标，不得向采购人或者磋商小组</w:t>
      </w:r>
      <w:r>
        <w:rPr>
          <w:spacing w:val="-14"/>
          <w:sz w:val="24"/>
          <w:lang w:eastAsia="zh-CN"/>
        </w:rPr>
        <w:t>成员行贿谋取中标，不得以其它方式弄虚作假骗取中标；供应商不得以任何方式干扰、</w:t>
      </w:r>
      <w:r>
        <w:rPr>
          <w:sz w:val="24"/>
          <w:lang w:eastAsia="zh-CN"/>
        </w:rPr>
        <w:t>影响评标工作。</w:t>
      </w:r>
      <w:r>
        <w:rPr>
          <w:sz w:val="24"/>
        </w:rPr>
        <w:t>供应商不得有下列行为之一：</w:t>
      </w:r>
    </w:p>
    <w:p>
      <w:pPr>
        <w:pStyle w:val="26"/>
        <w:numPr>
          <w:ilvl w:val="3"/>
          <w:numId w:val="23"/>
        </w:numPr>
        <w:tabs>
          <w:tab w:val="left" w:pos="960"/>
        </w:tabs>
        <w:spacing w:before="1"/>
        <w:rPr>
          <w:sz w:val="24"/>
          <w:lang w:eastAsia="zh-CN"/>
        </w:rPr>
      </w:pPr>
      <w:r>
        <w:rPr>
          <w:sz w:val="24"/>
          <w:lang w:eastAsia="zh-CN"/>
        </w:rPr>
        <w:t>提供虚假材料谋取中标的；</w:t>
      </w:r>
    </w:p>
    <w:p>
      <w:pPr>
        <w:pStyle w:val="26"/>
        <w:numPr>
          <w:ilvl w:val="3"/>
          <w:numId w:val="23"/>
        </w:numPr>
        <w:tabs>
          <w:tab w:val="left" w:pos="960"/>
        </w:tabs>
        <w:spacing w:before="12"/>
        <w:rPr>
          <w:sz w:val="24"/>
          <w:lang w:eastAsia="zh-CN"/>
        </w:rPr>
      </w:pPr>
      <w:r>
        <w:rPr>
          <w:sz w:val="24"/>
          <w:lang w:eastAsia="zh-CN"/>
        </w:rPr>
        <w:t>采取不正当手段诋毁、排挤其他供应商的；</w:t>
      </w:r>
    </w:p>
    <w:p>
      <w:pPr>
        <w:pStyle w:val="26"/>
        <w:numPr>
          <w:ilvl w:val="3"/>
          <w:numId w:val="23"/>
        </w:numPr>
        <w:tabs>
          <w:tab w:val="left" w:pos="960"/>
        </w:tabs>
        <w:spacing w:before="14"/>
        <w:rPr>
          <w:sz w:val="24"/>
          <w:lang w:eastAsia="zh-CN"/>
        </w:rPr>
      </w:pPr>
      <w:r>
        <w:rPr>
          <w:sz w:val="24"/>
          <w:lang w:eastAsia="zh-CN"/>
        </w:rPr>
        <w:t>与招标采购单位、其他供应商恶意串通的；</w:t>
      </w:r>
    </w:p>
    <w:p>
      <w:pPr>
        <w:pStyle w:val="26"/>
        <w:numPr>
          <w:ilvl w:val="3"/>
          <w:numId w:val="23"/>
        </w:numPr>
        <w:tabs>
          <w:tab w:val="left" w:pos="960"/>
        </w:tabs>
        <w:spacing w:before="12"/>
        <w:rPr>
          <w:sz w:val="24"/>
          <w:lang w:eastAsia="zh-CN"/>
        </w:rPr>
      </w:pPr>
      <w:r>
        <w:rPr>
          <w:sz w:val="24"/>
          <w:lang w:eastAsia="zh-CN"/>
        </w:rPr>
        <w:t>向招标采购单位行贿或者提供其他不正当利益的；</w:t>
      </w:r>
    </w:p>
    <w:p>
      <w:pPr>
        <w:pStyle w:val="26"/>
        <w:numPr>
          <w:ilvl w:val="3"/>
          <w:numId w:val="23"/>
        </w:numPr>
        <w:tabs>
          <w:tab w:val="left" w:pos="960"/>
        </w:tabs>
        <w:spacing w:before="11" w:line="252" w:lineRule="auto"/>
        <w:ind w:left="118" w:right="445" w:firstLine="240"/>
        <w:rPr>
          <w:sz w:val="24"/>
          <w:lang w:eastAsia="zh-CN"/>
        </w:rPr>
      </w:pPr>
      <w:r>
        <w:rPr>
          <w:spacing w:val="-1"/>
          <w:sz w:val="24"/>
          <w:lang w:eastAsia="zh-CN"/>
        </w:rPr>
        <w:t>在招标过程中与招标采购单位进行协商磋商、不按照竞争性磋商文件和中标供</w:t>
      </w:r>
      <w:r>
        <w:rPr>
          <w:sz w:val="24"/>
          <w:lang w:eastAsia="zh-CN"/>
        </w:rPr>
        <w:t>应商的响应文件订立合同，或者与采购人另行订立背离合同实质性内容的协议的；</w:t>
      </w:r>
    </w:p>
    <w:p>
      <w:pPr>
        <w:pStyle w:val="26"/>
        <w:numPr>
          <w:ilvl w:val="3"/>
          <w:numId w:val="23"/>
        </w:numPr>
        <w:tabs>
          <w:tab w:val="left" w:pos="960"/>
        </w:tabs>
        <w:spacing w:line="303" w:lineRule="exact"/>
        <w:rPr>
          <w:sz w:val="24"/>
          <w:lang w:eastAsia="zh-CN"/>
        </w:rPr>
      </w:pPr>
      <w:r>
        <w:rPr>
          <w:sz w:val="24"/>
          <w:lang w:eastAsia="zh-CN"/>
        </w:rPr>
        <w:t>拒绝有关部门监督检查或者提供虚假情况的；</w:t>
      </w:r>
    </w:p>
    <w:p>
      <w:pPr>
        <w:pStyle w:val="26"/>
        <w:numPr>
          <w:ilvl w:val="3"/>
          <w:numId w:val="23"/>
        </w:numPr>
        <w:tabs>
          <w:tab w:val="left" w:pos="960"/>
        </w:tabs>
        <w:spacing w:before="12"/>
        <w:rPr>
          <w:sz w:val="24"/>
          <w:lang w:eastAsia="zh-CN"/>
        </w:rPr>
      </w:pPr>
      <w:r>
        <w:rPr>
          <w:sz w:val="24"/>
          <w:lang w:eastAsia="zh-CN"/>
        </w:rPr>
        <w:t>法律、法规规定的其他违法、违规情形。</w:t>
      </w:r>
    </w:p>
    <w:p>
      <w:pPr>
        <w:pStyle w:val="4"/>
        <w:numPr>
          <w:ilvl w:val="1"/>
          <w:numId w:val="24"/>
        </w:numPr>
        <w:tabs>
          <w:tab w:val="left" w:pos="601"/>
        </w:tabs>
        <w:spacing w:before="14"/>
        <w:ind w:hanging="482"/>
        <w:rPr>
          <w:lang w:eastAsia="zh-CN"/>
        </w:rPr>
      </w:pPr>
      <w:r>
        <w:rPr>
          <w:lang w:eastAsia="zh-CN"/>
        </w:rPr>
        <w:t>对磋商小组成员的纪律要求</w:t>
      </w:r>
    </w:p>
    <w:p>
      <w:pPr>
        <w:pStyle w:val="8"/>
        <w:spacing w:before="12" w:line="249" w:lineRule="auto"/>
        <w:ind w:left="118" w:right="377" w:firstLine="480"/>
        <w:jc w:val="both"/>
      </w:pPr>
      <w:r>
        <w:rPr>
          <w:spacing w:val="-4"/>
          <w:lang w:eastAsia="zh-CN"/>
        </w:rPr>
        <w:t>磋商小组成员不得收受他人的财物或者其他好处，不得向他人透漏对响应文件的评</w:t>
      </w:r>
      <w:r>
        <w:rPr>
          <w:spacing w:val="-7"/>
          <w:lang w:eastAsia="zh-CN"/>
        </w:rPr>
        <w:t>审和比较、中标候选人的推荐情况以及评标有关的其他情况。在评标活动中，磋商小组</w:t>
      </w:r>
      <w:r>
        <w:rPr>
          <w:lang w:eastAsia="zh-CN"/>
        </w:rPr>
        <w:t>成员不得擅离职守，影响评标程序正常进行。</w:t>
      </w:r>
      <w:r>
        <w:t>评标委员不得有下列行为之一：</w:t>
      </w:r>
    </w:p>
    <w:p>
      <w:pPr>
        <w:pStyle w:val="26"/>
        <w:numPr>
          <w:ilvl w:val="2"/>
          <w:numId w:val="24"/>
        </w:numPr>
        <w:tabs>
          <w:tab w:val="left" w:pos="960"/>
        </w:tabs>
        <w:rPr>
          <w:sz w:val="24"/>
          <w:lang w:eastAsia="zh-CN"/>
        </w:rPr>
      </w:pPr>
      <w:r>
        <w:rPr>
          <w:sz w:val="24"/>
          <w:lang w:eastAsia="zh-CN"/>
        </w:rPr>
        <w:t>明知应当回避而未主动回避的；</w:t>
      </w:r>
    </w:p>
    <w:p>
      <w:pPr>
        <w:pStyle w:val="26"/>
        <w:numPr>
          <w:ilvl w:val="2"/>
          <w:numId w:val="24"/>
        </w:numPr>
        <w:tabs>
          <w:tab w:val="left" w:pos="960"/>
        </w:tabs>
        <w:spacing w:before="12"/>
        <w:rPr>
          <w:sz w:val="24"/>
          <w:lang w:eastAsia="zh-CN"/>
        </w:rPr>
      </w:pPr>
      <w:r>
        <w:rPr>
          <w:sz w:val="24"/>
          <w:lang w:eastAsia="zh-CN"/>
        </w:rPr>
        <w:t>在知道自己为评委会成员身份后至评标结束前的时段内私下接触投标供应商的；</w:t>
      </w:r>
    </w:p>
    <w:p>
      <w:pPr>
        <w:pStyle w:val="26"/>
        <w:numPr>
          <w:ilvl w:val="2"/>
          <w:numId w:val="24"/>
        </w:numPr>
        <w:tabs>
          <w:tab w:val="left" w:pos="960"/>
        </w:tabs>
        <w:spacing w:before="14"/>
        <w:rPr>
          <w:sz w:val="24"/>
          <w:lang w:eastAsia="zh-CN"/>
        </w:rPr>
      </w:pPr>
      <w:r>
        <w:rPr>
          <w:sz w:val="24"/>
          <w:lang w:eastAsia="zh-CN"/>
        </w:rPr>
        <w:t>在评标过程中擅离职守，影响评标程序正常进行的；</w:t>
      </w:r>
    </w:p>
    <w:p>
      <w:pPr>
        <w:pStyle w:val="26"/>
        <w:numPr>
          <w:ilvl w:val="2"/>
          <w:numId w:val="24"/>
        </w:numPr>
        <w:tabs>
          <w:tab w:val="left" w:pos="960"/>
        </w:tabs>
        <w:spacing w:before="12"/>
        <w:rPr>
          <w:sz w:val="24"/>
          <w:lang w:eastAsia="zh-CN"/>
        </w:rPr>
      </w:pPr>
      <w:r>
        <w:rPr>
          <w:sz w:val="24"/>
          <w:lang w:eastAsia="zh-CN"/>
        </w:rPr>
        <w:t>在评标过程中有明显不合理或者不正当倾向性的；</w:t>
      </w:r>
    </w:p>
    <w:p>
      <w:pPr>
        <w:pStyle w:val="26"/>
        <w:numPr>
          <w:ilvl w:val="2"/>
          <w:numId w:val="24"/>
        </w:numPr>
        <w:tabs>
          <w:tab w:val="left" w:pos="960"/>
        </w:tabs>
        <w:spacing w:before="11"/>
        <w:rPr>
          <w:sz w:val="24"/>
          <w:lang w:eastAsia="zh-CN"/>
        </w:rPr>
      </w:pPr>
      <w:r>
        <w:rPr>
          <w:sz w:val="24"/>
          <w:lang w:eastAsia="zh-CN"/>
        </w:rPr>
        <w:t>未按竞争性磋商文件规定的评标方法和标准进行评标的。</w:t>
      </w:r>
    </w:p>
    <w:p>
      <w:pPr>
        <w:pStyle w:val="26"/>
        <w:numPr>
          <w:ilvl w:val="2"/>
          <w:numId w:val="24"/>
        </w:numPr>
        <w:tabs>
          <w:tab w:val="left" w:pos="960"/>
        </w:tabs>
        <w:spacing w:before="15"/>
        <w:rPr>
          <w:sz w:val="24"/>
          <w:lang w:eastAsia="zh-CN"/>
        </w:rPr>
      </w:pPr>
      <w:r>
        <w:rPr>
          <w:sz w:val="24"/>
          <w:lang w:eastAsia="zh-CN"/>
        </w:rPr>
        <w:t>法律、法规规定的其他违法、违规情形。</w:t>
      </w:r>
    </w:p>
    <w:p>
      <w:pPr>
        <w:pStyle w:val="4"/>
        <w:numPr>
          <w:ilvl w:val="1"/>
          <w:numId w:val="24"/>
        </w:numPr>
        <w:tabs>
          <w:tab w:val="left" w:pos="601"/>
        </w:tabs>
        <w:spacing w:before="11"/>
        <w:ind w:hanging="482"/>
        <w:rPr>
          <w:lang w:eastAsia="zh-CN"/>
        </w:rPr>
      </w:pPr>
      <w:r>
        <w:rPr>
          <w:lang w:eastAsia="zh-CN"/>
        </w:rPr>
        <w:t>对与评标活动有关的工作人员的纪律要求</w:t>
      </w:r>
    </w:p>
    <w:p>
      <w:pPr>
        <w:rPr>
          <w:lang w:eastAsia="zh-CN"/>
        </w:rPr>
        <w:sectPr>
          <w:headerReference r:id="rId6" w:type="default"/>
          <w:footerReference r:id="rId7" w:type="default"/>
          <w:pgSz w:w="11910" w:h="16840"/>
          <w:pgMar w:top="1160" w:right="1040" w:bottom="280" w:left="1300" w:header="738" w:footer="624" w:gutter="0"/>
          <w:pgNumType w:fmt="decimal"/>
          <w:cols w:space="720" w:num="1"/>
        </w:sectPr>
      </w:pPr>
    </w:p>
    <w:p>
      <w:pPr>
        <w:pStyle w:val="8"/>
        <w:spacing w:line="20" w:lineRule="exact"/>
        <w:ind w:left="110"/>
        <w:rPr>
          <w:sz w:val="2"/>
        </w:rPr>
      </w:pPr>
    </w:p>
    <w:p>
      <w:pPr>
        <w:pStyle w:val="8"/>
        <w:spacing w:before="36"/>
        <w:rPr>
          <w:lang w:eastAsia="zh-CN"/>
        </w:rPr>
      </w:pPr>
      <w:r>
        <w:rPr>
          <w:rFonts w:hint="eastAsia"/>
          <w:lang w:val="en-US" w:eastAsia="zh-CN"/>
        </w:rPr>
        <w:t>9.4.1</w:t>
      </w:r>
      <w:r>
        <w:rPr>
          <w:lang w:eastAsia="zh-CN"/>
        </w:rPr>
        <w:t>与评标活动有关的工作人员不得收受他人的财物或者其他好处，不得向他人透漏对</w:t>
      </w:r>
      <w:r>
        <w:rPr>
          <w:rFonts w:hint="eastAsia"/>
          <w:lang w:eastAsia="zh-CN"/>
        </w:rPr>
        <w:t>响应文件</w:t>
      </w:r>
      <w:r>
        <w:rPr>
          <w:lang w:eastAsia="zh-CN"/>
        </w:rPr>
        <w:t>的评审和比较、中标候选人的推荐情况以及评标有关的其他情况。在评标活动中，与评标活动有关的工作人员不得擅离职守，影响评标程序正常进行。</w:t>
      </w:r>
    </w:p>
    <w:p>
      <w:pPr>
        <w:pStyle w:val="4"/>
        <w:numPr>
          <w:ilvl w:val="1"/>
          <w:numId w:val="24"/>
        </w:numPr>
        <w:tabs>
          <w:tab w:val="left" w:pos="601"/>
        </w:tabs>
        <w:spacing w:line="303" w:lineRule="exact"/>
        <w:ind w:hanging="482"/>
      </w:pPr>
      <w:r>
        <w:t>监督检查</w:t>
      </w:r>
    </w:p>
    <w:p>
      <w:pPr>
        <w:pStyle w:val="26"/>
        <w:numPr>
          <w:ilvl w:val="2"/>
          <w:numId w:val="25"/>
        </w:numPr>
        <w:tabs>
          <w:tab w:val="left" w:pos="779"/>
        </w:tabs>
        <w:spacing w:before="12" w:line="249" w:lineRule="auto"/>
        <w:ind w:right="385" w:firstLine="0"/>
        <w:rPr>
          <w:sz w:val="24"/>
          <w:lang w:eastAsia="zh-CN"/>
        </w:rPr>
      </w:pPr>
      <w:r>
        <w:rPr>
          <w:spacing w:val="-1"/>
          <w:sz w:val="24"/>
          <w:lang w:eastAsia="zh-CN"/>
        </w:rPr>
        <w:t>政府采购监督管理部门应对在政府采购活动中的当事人有关政府采购的法律、行</w:t>
      </w:r>
      <w:r>
        <w:rPr>
          <w:sz w:val="24"/>
          <w:lang w:eastAsia="zh-CN"/>
        </w:rPr>
        <w:t>政法规和规章的执行情况和采购范围、采购方式和采购程序的执行等情况进行监督检查。</w:t>
      </w:r>
    </w:p>
    <w:p>
      <w:pPr>
        <w:pStyle w:val="26"/>
        <w:numPr>
          <w:ilvl w:val="2"/>
          <w:numId w:val="25"/>
        </w:numPr>
        <w:tabs>
          <w:tab w:val="left" w:pos="779"/>
        </w:tabs>
        <w:spacing w:before="1"/>
        <w:ind w:left="778"/>
        <w:rPr>
          <w:sz w:val="24"/>
          <w:lang w:eastAsia="zh-CN"/>
        </w:rPr>
      </w:pPr>
      <w:r>
        <w:rPr>
          <w:sz w:val="24"/>
          <w:lang w:eastAsia="zh-CN"/>
        </w:rPr>
        <w:t>招标项目行政监督部门可视情依法派员对招标活动的全程进行监督。</w:t>
      </w:r>
    </w:p>
    <w:p>
      <w:pPr>
        <w:pStyle w:val="4"/>
        <w:spacing w:before="14"/>
        <w:ind w:left="3133" w:right="3381"/>
        <w:jc w:val="center"/>
      </w:pPr>
      <w:r>
        <w:t>10、需要补充的其他内容</w:t>
      </w:r>
    </w:p>
    <w:p>
      <w:pPr>
        <w:pStyle w:val="4"/>
        <w:numPr>
          <w:ilvl w:val="1"/>
          <w:numId w:val="26"/>
        </w:numPr>
        <w:tabs>
          <w:tab w:val="left" w:pos="661"/>
        </w:tabs>
        <w:spacing w:before="11"/>
        <w:ind w:hanging="542"/>
      </w:pPr>
      <w:r>
        <w:t>质疑</w:t>
      </w:r>
    </w:p>
    <w:p>
      <w:pPr>
        <w:pStyle w:val="26"/>
        <w:numPr>
          <w:ilvl w:val="2"/>
          <w:numId w:val="26"/>
        </w:numPr>
        <w:tabs>
          <w:tab w:val="left" w:pos="899"/>
        </w:tabs>
        <w:spacing w:before="12" w:line="252" w:lineRule="auto"/>
        <w:ind w:right="377" w:firstLine="0"/>
        <w:rPr>
          <w:sz w:val="24"/>
          <w:lang w:eastAsia="zh-CN"/>
        </w:rPr>
      </w:pPr>
      <w:r>
        <w:rPr>
          <w:spacing w:val="-7"/>
          <w:sz w:val="24"/>
          <w:lang w:eastAsia="zh-CN"/>
        </w:rPr>
        <w:t>供应商对政府采购活动事项有疑问的，可以向采购人提出询问，采购人应当及时</w:t>
      </w:r>
      <w:r>
        <w:rPr>
          <w:sz w:val="24"/>
          <w:lang w:eastAsia="zh-CN"/>
        </w:rPr>
        <w:t>作出答复，但答复的内容不得涉及商业秘密。</w:t>
      </w:r>
    </w:p>
    <w:p>
      <w:pPr>
        <w:pStyle w:val="26"/>
        <w:numPr>
          <w:ilvl w:val="2"/>
          <w:numId w:val="26"/>
        </w:numPr>
        <w:tabs>
          <w:tab w:val="left" w:pos="899"/>
        </w:tabs>
        <w:spacing w:line="249" w:lineRule="auto"/>
        <w:ind w:right="377" w:firstLine="0"/>
        <w:rPr>
          <w:sz w:val="24"/>
          <w:lang w:eastAsia="zh-CN"/>
        </w:rPr>
      </w:pPr>
      <w:r>
        <w:rPr>
          <w:spacing w:val="-9"/>
          <w:sz w:val="24"/>
          <w:lang w:eastAsia="zh-CN"/>
        </w:rPr>
        <w:t>供应商认为采购文件、采购过程和成交结果使自己的权益受到损害的，可以在知</w:t>
      </w:r>
      <w:r>
        <w:rPr>
          <w:sz w:val="24"/>
          <w:lang w:eastAsia="zh-CN"/>
        </w:rPr>
        <w:t>道或者应知其权益受到损害之日起在规定的期限内，以书面形式向采购人提出质疑。</w:t>
      </w:r>
    </w:p>
    <w:p>
      <w:pPr>
        <w:pStyle w:val="26"/>
        <w:numPr>
          <w:ilvl w:val="2"/>
          <w:numId w:val="26"/>
        </w:numPr>
        <w:tabs>
          <w:tab w:val="left" w:pos="899"/>
        </w:tabs>
        <w:spacing w:line="249" w:lineRule="auto"/>
        <w:ind w:right="377" w:firstLine="0"/>
        <w:rPr>
          <w:sz w:val="24"/>
          <w:lang w:eastAsia="zh-CN"/>
        </w:rPr>
      </w:pPr>
      <w:r>
        <w:rPr>
          <w:spacing w:val="-5"/>
          <w:sz w:val="24"/>
          <w:lang w:eastAsia="zh-CN"/>
        </w:rPr>
        <w:t>采购人应当在收到供应商的书面质疑后七个工作日内作出答复，并以书面形式通</w:t>
      </w:r>
      <w:r>
        <w:rPr>
          <w:sz w:val="24"/>
          <w:lang w:eastAsia="zh-CN"/>
        </w:rPr>
        <w:t>知质疑供应商和其他有关供应商，但答复的内容不得涉及商业秘密。</w:t>
      </w:r>
    </w:p>
    <w:p>
      <w:pPr>
        <w:pStyle w:val="26"/>
        <w:numPr>
          <w:ilvl w:val="2"/>
          <w:numId w:val="26"/>
        </w:numPr>
        <w:tabs>
          <w:tab w:val="left" w:pos="899"/>
        </w:tabs>
        <w:spacing w:line="249" w:lineRule="auto"/>
        <w:ind w:right="377" w:firstLine="0"/>
        <w:rPr>
          <w:sz w:val="24"/>
          <w:lang w:eastAsia="zh-CN"/>
        </w:rPr>
      </w:pPr>
      <w:r>
        <w:rPr>
          <w:sz w:val="24"/>
          <w:lang w:eastAsia="zh-CN"/>
        </w:rPr>
        <w:t>采购人委托采购代理机构采购的，供应商可以向采购代理机构提出询问或者质</w:t>
      </w:r>
      <w:r>
        <w:rPr>
          <w:spacing w:val="-10"/>
          <w:sz w:val="24"/>
          <w:lang w:eastAsia="zh-CN"/>
        </w:rPr>
        <w:t xml:space="preserve">疑，采购代理机构应当依照本法第 </w:t>
      </w:r>
      <w:r>
        <w:rPr>
          <w:sz w:val="24"/>
          <w:lang w:eastAsia="zh-CN"/>
        </w:rPr>
        <w:t>10.1.1</w:t>
      </w:r>
      <w:r>
        <w:rPr>
          <w:spacing w:val="-29"/>
          <w:sz w:val="24"/>
          <w:lang w:eastAsia="zh-CN"/>
        </w:rPr>
        <w:t xml:space="preserve"> 条、第 </w:t>
      </w:r>
      <w:r>
        <w:rPr>
          <w:sz w:val="24"/>
          <w:lang w:eastAsia="zh-CN"/>
        </w:rPr>
        <w:t>10.1.3</w:t>
      </w:r>
      <w:r>
        <w:rPr>
          <w:spacing w:val="-9"/>
          <w:sz w:val="24"/>
          <w:lang w:eastAsia="zh-CN"/>
        </w:rPr>
        <w:t xml:space="preserve"> 条的规定就采购人委托授权范</w:t>
      </w:r>
      <w:r>
        <w:rPr>
          <w:sz w:val="24"/>
          <w:lang w:eastAsia="zh-CN"/>
        </w:rPr>
        <w:t>围内的事项作出答复。</w:t>
      </w:r>
    </w:p>
    <w:p>
      <w:pPr>
        <w:pStyle w:val="4"/>
        <w:numPr>
          <w:ilvl w:val="1"/>
          <w:numId w:val="27"/>
        </w:numPr>
        <w:tabs>
          <w:tab w:val="left" w:pos="661"/>
        </w:tabs>
        <w:ind w:hanging="542"/>
      </w:pPr>
      <w:r>
        <w:t>投诉</w:t>
      </w:r>
    </w:p>
    <w:p>
      <w:pPr>
        <w:pStyle w:val="26"/>
        <w:numPr>
          <w:ilvl w:val="2"/>
          <w:numId w:val="27"/>
        </w:numPr>
        <w:tabs>
          <w:tab w:val="left" w:pos="899"/>
        </w:tabs>
        <w:spacing w:before="10" w:line="249" w:lineRule="auto"/>
        <w:ind w:right="377" w:firstLine="0"/>
        <w:jc w:val="both"/>
        <w:rPr>
          <w:sz w:val="24"/>
          <w:lang w:eastAsia="zh-CN"/>
        </w:rPr>
      </w:pPr>
      <w:r>
        <w:rPr>
          <w:spacing w:val="-9"/>
          <w:sz w:val="24"/>
          <w:lang w:eastAsia="zh-CN"/>
        </w:rPr>
        <w:t>质疑供应商对采购人、采购代理机构的答复不满意或者采购人、采购代理机构未</w:t>
      </w:r>
      <w:r>
        <w:rPr>
          <w:spacing w:val="-5"/>
          <w:sz w:val="24"/>
          <w:lang w:eastAsia="zh-CN"/>
        </w:rPr>
        <w:t>在规定的时间内作出答复的，可以在答复期满后十五个工作日内向同级政府采购监督管</w:t>
      </w:r>
      <w:r>
        <w:rPr>
          <w:sz w:val="24"/>
          <w:lang w:eastAsia="zh-CN"/>
        </w:rPr>
        <w:t>理部门投诉。</w:t>
      </w:r>
    </w:p>
    <w:p>
      <w:pPr>
        <w:pStyle w:val="26"/>
        <w:numPr>
          <w:ilvl w:val="2"/>
          <w:numId w:val="27"/>
        </w:numPr>
        <w:tabs>
          <w:tab w:val="left" w:pos="899"/>
        </w:tabs>
        <w:spacing w:line="249" w:lineRule="auto"/>
        <w:ind w:right="377" w:firstLine="0"/>
        <w:rPr>
          <w:sz w:val="24"/>
          <w:lang w:eastAsia="zh-CN"/>
        </w:rPr>
      </w:pPr>
      <w:r>
        <w:rPr>
          <w:spacing w:val="-6"/>
          <w:sz w:val="24"/>
          <w:lang w:eastAsia="zh-CN"/>
        </w:rPr>
        <w:t>政府采购监督管理部门应当在收到投诉后三十个工作日内，对投诉事项作出处理</w:t>
      </w:r>
      <w:r>
        <w:rPr>
          <w:sz w:val="24"/>
          <w:lang w:eastAsia="zh-CN"/>
        </w:rPr>
        <w:t>决定，并以书面形式通知投诉人和与投诉事项有关的当事人。</w:t>
      </w:r>
    </w:p>
    <w:p>
      <w:pPr>
        <w:pStyle w:val="26"/>
        <w:numPr>
          <w:ilvl w:val="2"/>
          <w:numId w:val="27"/>
        </w:numPr>
        <w:tabs>
          <w:tab w:val="left" w:pos="899"/>
        </w:tabs>
        <w:spacing w:line="252" w:lineRule="auto"/>
        <w:ind w:right="377" w:firstLine="0"/>
        <w:rPr>
          <w:sz w:val="24"/>
          <w:lang w:eastAsia="zh-CN"/>
        </w:rPr>
      </w:pPr>
      <w:r>
        <w:rPr>
          <w:spacing w:val="-7"/>
          <w:sz w:val="24"/>
          <w:lang w:eastAsia="zh-CN"/>
        </w:rPr>
        <w:t>政府采购监督管理部门在处理投诉事项期间，可以视具体情况书面通知采购人暂</w:t>
      </w:r>
      <w:r>
        <w:rPr>
          <w:sz w:val="24"/>
          <w:lang w:eastAsia="zh-CN"/>
        </w:rPr>
        <w:t>停采购活动，但暂停时间最长不得超过三十日。</w:t>
      </w:r>
    </w:p>
    <w:p>
      <w:pPr>
        <w:pStyle w:val="26"/>
        <w:numPr>
          <w:ilvl w:val="2"/>
          <w:numId w:val="27"/>
        </w:numPr>
        <w:tabs>
          <w:tab w:val="left" w:pos="899"/>
        </w:tabs>
        <w:spacing w:line="249" w:lineRule="auto"/>
        <w:ind w:right="505" w:firstLine="0"/>
        <w:rPr>
          <w:sz w:val="24"/>
          <w:lang w:eastAsia="zh-CN"/>
        </w:rPr>
      </w:pPr>
      <w:r>
        <w:rPr>
          <w:spacing w:val="-1"/>
          <w:sz w:val="24"/>
          <w:lang w:eastAsia="zh-CN"/>
        </w:rPr>
        <w:t>投诉人对政府采购监督管理部门的投诉处理决定不服或者政府采购监督管理部</w:t>
      </w:r>
      <w:r>
        <w:rPr>
          <w:sz w:val="24"/>
          <w:lang w:eastAsia="zh-CN"/>
        </w:rPr>
        <w:t>门逾期未作处理的，可以依法申请行政复议或者向人民法院提起行政诉讼。</w:t>
      </w:r>
    </w:p>
    <w:p>
      <w:pPr>
        <w:pStyle w:val="4"/>
        <w:ind w:left="118"/>
        <w:rPr>
          <w:lang w:eastAsia="zh-CN"/>
        </w:rPr>
      </w:pPr>
      <w:r>
        <w:rPr>
          <w:lang w:eastAsia="zh-CN"/>
        </w:rPr>
        <w:t>10.3 其他</w:t>
      </w:r>
    </w:p>
    <w:p>
      <w:pPr>
        <w:pStyle w:val="8"/>
        <w:spacing w:before="43" w:line="362" w:lineRule="auto"/>
        <w:ind w:left="118" w:right="314" w:firstLine="480"/>
        <w:rPr>
          <w:lang w:eastAsia="zh-CN"/>
        </w:rPr>
      </w:pPr>
      <w:r>
        <w:rPr>
          <w:lang w:eastAsia="zh-CN"/>
        </w:rPr>
        <w:t>成交人须向采购代理机构交纳的招标服务费，收费标准按国家计委颁布的《采购代理服务收费管理暂行办法》（计价格[2002]1980 号）执行。本项目类型为</w:t>
      </w:r>
      <w:r>
        <w:rPr>
          <w:b/>
          <w:lang w:eastAsia="zh-CN"/>
        </w:rPr>
        <w:t>服务类</w:t>
      </w:r>
      <w:r>
        <w:rPr>
          <w:lang w:eastAsia="zh-CN"/>
        </w:rPr>
        <w:t>：</w:t>
      </w:r>
    </w:p>
    <w:p>
      <w:pPr>
        <w:pStyle w:val="8"/>
        <w:spacing w:before="53" w:line="364" w:lineRule="auto"/>
        <w:ind w:left="1299" w:right="104" w:hanging="720"/>
        <w:rPr>
          <w:lang w:eastAsia="zh-CN"/>
        </w:rPr>
      </w:pPr>
      <w:r>
        <w:rPr>
          <w:lang w:eastAsia="zh-CN"/>
        </w:rPr>
        <w:t>（1） 以《成交通知书》确定的中标总金额作为收费的计算基数，按差额定率累进法计算；</w:t>
      </w:r>
    </w:p>
    <w:p>
      <w:pPr>
        <w:pStyle w:val="8"/>
        <w:spacing w:line="306" w:lineRule="exact"/>
        <w:ind w:left="579"/>
        <w:rPr>
          <w:lang w:eastAsia="zh-CN"/>
        </w:rPr>
      </w:pPr>
      <w:r>
        <w:rPr>
          <w:lang w:eastAsia="zh-CN"/>
        </w:rPr>
        <w:t>（2） 100 万元以下按 1.5%计算……</w:t>
      </w:r>
    </w:p>
    <w:p>
      <w:pPr>
        <w:pStyle w:val="26"/>
        <w:numPr>
          <w:ilvl w:val="0"/>
          <w:numId w:val="28"/>
        </w:numPr>
        <w:tabs>
          <w:tab w:val="left" w:pos="1300"/>
        </w:tabs>
        <w:spacing w:before="161"/>
        <w:rPr>
          <w:sz w:val="24"/>
          <w:lang w:eastAsia="zh-CN"/>
        </w:rPr>
      </w:pPr>
      <w:r>
        <w:rPr>
          <w:sz w:val="24"/>
          <w:lang w:eastAsia="zh-CN"/>
        </w:rPr>
        <w:t>币种与《成交通知书》的币种相同。</w:t>
      </w:r>
    </w:p>
    <w:p>
      <w:pPr>
        <w:pStyle w:val="26"/>
        <w:numPr>
          <w:ilvl w:val="0"/>
          <w:numId w:val="28"/>
        </w:numPr>
        <w:tabs>
          <w:tab w:val="left" w:pos="1181"/>
        </w:tabs>
        <w:spacing w:before="158"/>
        <w:ind w:left="1180" w:hanging="601"/>
        <w:rPr>
          <w:sz w:val="24"/>
          <w:lang w:eastAsia="zh-CN"/>
        </w:rPr>
      </w:pPr>
      <w:r>
        <w:rPr>
          <w:sz w:val="24"/>
          <w:lang w:eastAsia="zh-CN"/>
        </w:rPr>
        <w:t>成交人中标后，必须按规定向采购代理机构缴采购服务费。</w:t>
      </w:r>
    </w:p>
    <w:p>
      <w:pPr>
        <w:rPr>
          <w:sz w:val="24"/>
          <w:lang w:eastAsia="zh-CN"/>
        </w:rPr>
        <w:sectPr>
          <w:headerReference r:id="rId8" w:type="default"/>
          <w:footerReference r:id="rId9" w:type="default"/>
          <w:pgSz w:w="11910" w:h="16840"/>
          <w:pgMar w:top="1160" w:right="1040" w:bottom="280" w:left="1300" w:header="738" w:footer="624" w:gutter="0"/>
          <w:pgNumType w:fmt="decimal"/>
          <w:cols w:space="720" w:num="1"/>
        </w:sectPr>
      </w:pPr>
    </w:p>
    <w:p>
      <w:pPr>
        <w:pStyle w:val="3"/>
        <w:tabs>
          <w:tab w:val="left" w:pos="1123"/>
        </w:tabs>
        <w:spacing w:before="51"/>
        <w:ind w:right="137"/>
        <w:rPr>
          <w:lang w:eastAsia="zh-CN"/>
        </w:rPr>
      </w:pPr>
      <w:bookmarkStart w:id="2" w:name="第三章__磋商办法"/>
      <w:bookmarkEnd w:id="2"/>
      <w:bookmarkStart w:id="3" w:name="_bookmark2"/>
      <w:bookmarkEnd w:id="3"/>
      <w:r>
        <w:rPr>
          <w:lang w:eastAsia="zh-CN"/>
        </w:rPr>
        <w:t>第三章</w:t>
      </w:r>
      <w:r>
        <w:rPr>
          <w:lang w:eastAsia="zh-CN"/>
        </w:rPr>
        <w:tab/>
      </w:r>
      <w:r>
        <w:rPr>
          <w:lang w:eastAsia="zh-CN"/>
        </w:rPr>
        <w:t>磋商办法</w:t>
      </w:r>
    </w:p>
    <w:p>
      <w:pPr>
        <w:ind w:left="100"/>
        <w:jc w:val="both"/>
        <w:rPr>
          <w:rFonts w:hint="eastAsia"/>
          <w:b/>
          <w:sz w:val="24"/>
          <w:lang w:val="zh-CN" w:eastAsia="zh-CN"/>
        </w:rPr>
      </w:pPr>
      <w:bookmarkStart w:id="4" w:name="1、评审办法：采用竞争性磋商。"/>
      <w:bookmarkEnd w:id="4"/>
      <w:r>
        <w:rPr>
          <w:b/>
          <w:sz w:val="24"/>
          <w:lang w:eastAsia="zh-CN"/>
        </w:rPr>
        <w:t>1、评审办法：</w:t>
      </w:r>
      <w:r>
        <w:rPr>
          <w:rFonts w:hint="eastAsia"/>
          <w:b/>
          <w:sz w:val="24"/>
          <w:lang w:val="zh-CN" w:eastAsia="zh-CN"/>
        </w:rPr>
        <w:t>综合评分法；</w:t>
      </w:r>
    </w:p>
    <w:p>
      <w:pPr>
        <w:ind w:left="100"/>
        <w:jc w:val="both"/>
        <w:rPr>
          <w:b w:val="0"/>
          <w:bCs/>
          <w:sz w:val="24"/>
          <w:lang w:eastAsia="zh-CN"/>
        </w:rPr>
      </w:pPr>
      <w:r>
        <w:rPr>
          <w:rFonts w:hint="eastAsia"/>
          <w:b w:val="0"/>
          <w:bCs/>
          <w:sz w:val="24"/>
          <w:lang w:val="zh-CN" w:eastAsia="zh-CN"/>
        </w:rPr>
        <w:t>采用综合评分法，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Style w:val="4"/>
        <w:spacing w:before="12"/>
        <w:ind w:left="100"/>
        <w:jc w:val="both"/>
      </w:pPr>
      <w:r>
        <w:t>2、初步评审</w:t>
      </w:r>
    </w:p>
    <w:p>
      <w:pPr>
        <w:pStyle w:val="4"/>
        <w:numPr>
          <w:ilvl w:val="1"/>
          <w:numId w:val="29"/>
        </w:numPr>
        <w:tabs>
          <w:tab w:val="left" w:pos="523"/>
        </w:tabs>
        <w:spacing w:before="14"/>
        <w:ind w:hanging="422"/>
        <w:jc w:val="both"/>
      </w:pPr>
      <w:r>
        <w:t>总则</w:t>
      </w:r>
    </w:p>
    <w:p>
      <w:pPr>
        <w:pStyle w:val="26"/>
        <w:numPr>
          <w:ilvl w:val="2"/>
          <w:numId w:val="29"/>
        </w:numPr>
        <w:tabs>
          <w:tab w:val="left" w:pos="760"/>
        </w:tabs>
        <w:spacing w:before="12" w:line="249" w:lineRule="auto"/>
        <w:ind w:right="119" w:firstLine="0"/>
        <w:rPr>
          <w:sz w:val="24"/>
          <w:lang w:eastAsia="zh-CN"/>
        </w:rPr>
      </w:pPr>
      <w:r>
        <w:rPr>
          <w:sz w:val="24"/>
          <w:lang w:eastAsia="zh-CN"/>
        </w:rPr>
        <w:t>磋商小组成员应当按照客观、公正、审慎的原则，根据磋商文件规定的评审程序、评审方</w:t>
      </w:r>
      <w:r>
        <w:rPr>
          <w:spacing w:val="-7"/>
          <w:sz w:val="24"/>
          <w:lang w:eastAsia="zh-CN"/>
        </w:rPr>
        <w:t xml:space="preserve">法和评审标准对响应文件进行进行独立评审。未实质性响应磋商文件的响应文件按无效响应处理， </w:t>
      </w:r>
      <w:r>
        <w:rPr>
          <w:sz w:val="24"/>
          <w:lang w:eastAsia="zh-CN"/>
        </w:rPr>
        <w:t>磋商小组应当告知提交响应文件的供应商。对所有磋商供应商的评审，都采用相同的程序和磋商文件规定的评审标准。评议过程将严格按照磋商文件规定的评审办法和标准进行。</w:t>
      </w:r>
    </w:p>
    <w:p>
      <w:pPr>
        <w:pStyle w:val="26"/>
        <w:numPr>
          <w:ilvl w:val="2"/>
          <w:numId w:val="29"/>
        </w:numPr>
        <w:tabs>
          <w:tab w:val="left" w:pos="760"/>
        </w:tabs>
        <w:spacing w:line="252" w:lineRule="auto"/>
        <w:ind w:right="299" w:firstLine="0"/>
        <w:rPr>
          <w:sz w:val="24"/>
          <w:lang w:eastAsia="zh-CN"/>
        </w:rPr>
      </w:pPr>
      <w:r>
        <w:rPr>
          <w:spacing w:val="-1"/>
          <w:sz w:val="24"/>
          <w:lang w:eastAsia="zh-CN"/>
        </w:rPr>
        <w:t>有关对磋商响应文件的审查、澄清、评估和比较以及推荐成交候选人的一切情况都不得透</w:t>
      </w:r>
      <w:r>
        <w:rPr>
          <w:sz w:val="24"/>
          <w:lang w:eastAsia="zh-CN"/>
        </w:rPr>
        <w:t>露给任一磋商供应商或与上述评审工作无关的人员。</w:t>
      </w:r>
    </w:p>
    <w:p>
      <w:pPr>
        <w:pStyle w:val="26"/>
        <w:numPr>
          <w:ilvl w:val="2"/>
          <w:numId w:val="29"/>
        </w:numPr>
        <w:tabs>
          <w:tab w:val="left" w:pos="760"/>
        </w:tabs>
        <w:spacing w:line="249" w:lineRule="auto"/>
        <w:ind w:right="299" w:firstLine="0"/>
        <w:rPr>
          <w:sz w:val="24"/>
          <w:lang w:eastAsia="zh-CN"/>
        </w:rPr>
      </w:pPr>
      <w:r>
        <w:rPr>
          <w:spacing w:val="-1"/>
          <w:sz w:val="24"/>
          <w:lang w:eastAsia="zh-CN"/>
        </w:rPr>
        <w:t>磋商供应商任何试图影响磋商小组各成员会对磋商响应文件的评审、比较或者推荐候选供</w:t>
      </w:r>
      <w:r>
        <w:rPr>
          <w:sz w:val="24"/>
          <w:lang w:eastAsia="zh-CN"/>
        </w:rPr>
        <w:t>应商的行为，都将导致其磋商被拒绝，并被没收磋商保证金。</w:t>
      </w:r>
    </w:p>
    <w:p>
      <w:pPr>
        <w:pStyle w:val="4"/>
        <w:ind w:left="100"/>
        <w:rPr>
          <w:lang w:eastAsia="zh-CN"/>
        </w:rPr>
      </w:pPr>
      <w:r>
        <w:rPr>
          <w:lang w:eastAsia="zh-CN"/>
        </w:rPr>
        <w:t>2.2 响应文件的审查</w:t>
      </w:r>
    </w:p>
    <w:p>
      <w:pPr>
        <w:pStyle w:val="8"/>
        <w:spacing w:before="8" w:line="249" w:lineRule="auto"/>
        <w:ind w:left="100" w:right="299"/>
        <w:rPr>
          <w:lang w:eastAsia="zh-CN"/>
        </w:rPr>
      </w:pPr>
      <w:r>
        <w:rPr>
          <w:lang w:eastAsia="zh-CN"/>
        </w:rPr>
        <w:t>2.2.1</w:t>
      </w:r>
      <w:r>
        <w:rPr>
          <w:spacing w:val="-9"/>
          <w:lang w:eastAsia="zh-CN"/>
        </w:rPr>
        <w:t xml:space="preserve"> 磋商小组将对磋商响应文件的有效性、完整性和响应程度进行审查，以确定响应文件是否</w:t>
      </w:r>
      <w:r>
        <w:rPr>
          <w:lang w:eastAsia="zh-CN"/>
        </w:rPr>
        <w:t>实质性响应了磋商文件。</w:t>
      </w:r>
    </w:p>
    <w:p>
      <w:pPr>
        <w:pStyle w:val="4"/>
        <w:numPr>
          <w:ilvl w:val="1"/>
          <w:numId w:val="30"/>
        </w:numPr>
        <w:tabs>
          <w:tab w:val="left" w:pos="523"/>
        </w:tabs>
        <w:spacing w:before="1"/>
        <w:ind w:hanging="422"/>
        <w:rPr>
          <w:lang w:eastAsia="zh-CN"/>
        </w:rPr>
      </w:pPr>
      <w:r>
        <w:rPr>
          <w:lang w:eastAsia="zh-CN"/>
        </w:rPr>
        <w:t>资格性审查和符合性审查</w:t>
      </w:r>
    </w:p>
    <w:p>
      <w:pPr>
        <w:pStyle w:val="26"/>
        <w:numPr>
          <w:ilvl w:val="2"/>
          <w:numId w:val="30"/>
        </w:numPr>
        <w:tabs>
          <w:tab w:val="left" w:pos="760"/>
        </w:tabs>
        <w:spacing w:before="11" w:line="249" w:lineRule="auto"/>
        <w:ind w:right="239" w:firstLine="0"/>
        <w:jc w:val="both"/>
        <w:rPr>
          <w:sz w:val="24"/>
          <w:lang w:eastAsia="zh-CN"/>
        </w:rPr>
      </w:pPr>
      <w:r>
        <w:rPr>
          <w:sz w:val="24"/>
          <w:lang w:eastAsia="zh-CN"/>
        </w:rPr>
        <w:t>资格性审查：依据法律法规和磋商文件的规定，磋商小组对各磋商供应商提交的响应文件</w:t>
      </w:r>
      <w:r>
        <w:rPr>
          <w:spacing w:val="-1"/>
          <w:sz w:val="24"/>
          <w:lang w:eastAsia="zh-CN"/>
        </w:rPr>
        <w:t>进行资格审查，以确定其是否具备磋商资格。如果磋商供应商不具备磋商资格，不满足磋商文件</w:t>
      </w:r>
      <w:r>
        <w:rPr>
          <w:sz w:val="24"/>
          <w:lang w:eastAsia="zh-CN"/>
        </w:rPr>
        <w:t>所规定的资格标准或提供资格证明文件不全的，其磋商将被拒绝。</w:t>
      </w:r>
    </w:p>
    <w:p>
      <w:pPr>
        <w:pStyle w:val="26"/>
        <w:numPr>
          <w:ilvl w:val="2"/>
          <w:numId w:val="30"/>
        </w:numPr>
        <w:tabs>
          <w:tab w:val="left" w:pos="760"/>
        </w:tabs>
        <w:spacing w:before="1" w:line="249" w:lineRule="auto"/>
        <w:ind w:right="239" w:firstLine="0"/>
        <w:jc w:val="both"/>
        <w:rPr>
          <w:sz w:val="24"/>
        </w:rPr>
      </w:pPr>
      <w:r>
        <w:rPr>
          <w:sz w:val="24"/>
          <w:lang w:eastAsia="zh-CN"/>
        </w:rPr>
        <w:t>符合性审查：依据磋商文件的规定，磋商小组还将对磋商响应文件的有效性、完整性和对</w:t>
      </w:r>
      <w:r>
        <w:rPr>
          <w:spacing w:val="-1"/>
          <w:sz w:val="24"/>
          <w:lang w:eastAsia="zh-CN"/>
        </w:rPr>
        <w:t>磋商文件的响应程度进行审查，一确定响应文件是否完整、是否提交了磋商保证金、文件是否已正确签署、其技术标准及要求是否满足、交货期、交货地点、付款方式、质量保证期等是否满足磋商文件的规定，以确定是否符合对磋商文件的实质性要求作出响应。如果响应文件对磋商文件</w:t>
      </w:r>
      <w:r>
        <w:rPr>
          <w:sz w:val="24"/>
          <w:lang w:eastAsia="zh-CN"/>
        </w:rPr>
        <w:t>的存在实质性实偏离的，其磋商将被拒绝。</w:t>
      </w:r>
      <w:r>
        <w:rPr>
          <w:sz w:val="24"/>
        </w:rPr>
        <w:t>实质性偏离是指：</w:t>
      </w:r>
    </w:p>
    <w:p>
      <w:pPr>
        <w:pStyle w:val="26"/>
        <w:numPr>
          <w:ilvl w:val="3"/>
          <w:numId w:val="30"/>
        </w:numPr>
        <w:tabs>
          <w:tab w:val="left" w:pos="941"/>
        </w:tabs>
        <w:spacing w:before="2"/>
        <w:rPr>
          <w:sz w:val="24"/>
          <w:lang w:eastAsia="zh-CN"/>
        </w:rPr>
      </w:pPr>
      <w:r>
        <w:rPr>
          <w:sz w:val="24"/>
          <w:lang w:eastAsia="zh-CN"/>
        </w:rPr>
        <w:t>实质性影响合同的范围、质量和履行；</w:t>
      </w:r>
    </w:p>
    <w:p>
      <w:pPr>
        <w:pStyle w:val="26"/>
        <w:numPr>
          <w:ilvl w:val="3"/>
          <w:numId w:val="30"/>
        </w:numPr>
        <w:tabs>
          <w:tab w:val="left" w:pos="941"/>
        </w:tabs>
        <w:spacing w:before="12"/>
        <w:rPr>
          <w:sz w:val="24"/>
          <w:lang w:eastAsia="zh-CN"/>
        </w:rPr>
      </w:pPr>
      <w:r>
        <w:rPr>
          <w:sz w:val="24"/>
          <w:lang w:eastAsia="zh-CN"/>
        </w:rPr>
        <w:t>实质性违背磋商文件，限制了采购人的权利和成交供应商合同项下的义务；</w:t>
      </w:r>
    </w:p>
    <w:p>
      <w:pPr>
        <w:pStyle w:val="26"/>
        <w:numPr>
          <w:ilvl w:val="3"/>
          <w:numId w:val="30"/>
        </w:numPr>
        <w:tabs>
          <w:tab w:val="left" w:pos="941"/>
        </w:tabs>
        <w:spacing w:before="11"/>
        <w:rPr>
          <w:sz w:val="24"/>
          <w:lang w:eastAsia="zh-CN"/>
        </w:rPr>
      </w:pPr>
      <w:r>
        <w:rPr>
          <w:sz w:val="24"/>
          <w:lang w:eastAsia="zh-CN"/>
        </w:rPr>
        <w:t>不公正地影响了其它做出实质性响应的供应商的竞争地位。</w:t>
      </w:r>
    </w:p>
    <w:p>
      <w:pPr>
        <w:pStyle w:val="26"/>
        <w:numPr>
          <w:ilvl w:val="2"/>
          <w:numId w:val="30"/>
        </w:numPr>
        <w:tabs>
          <w:tab w:val="left" w:pos="760"/>
        </w:tabs>
        <w:spacing w:before="14" w:line="249" w:lineRule="auto"/>
        <w:ind w:right="299" w:firstLine="0"/>
        <w:rPr>
          <w:sz w:val="24"/>
          <w:lang w:eastAsia="zh-CN"/>
        </w:rPr>
      </w:pPr>
      <w:r>
        <w:rPr>
          <w:spacing w:val="-1"/>
          <w:sz w:val="24"/>
          <w:lang w:eastAsia="zh-CN"/>
        </w:rPr>
        <w:t>凡有下列情况之一者，其响应文件也将被视为未实质性响应磋商文件的要求，将按无效响</w:t>
      </w:r>
      <w:r>
        <w:rPr>
          <w:sz w:val="24"/>
          <w:lang w:eastAsia="zh-CN"/>
        </w:rPr>
        <w:t>应处理：</w:t>
      </w:r>
    </w:p>
    <w:p>
      <w:pPr>
        <w:pStyle w:val="26"/>
        <w:numPr>
          <w:ilvl w:val="0"/>
          <w:numId w:val="31"/>
        </w:numPr>
        <w:tabs>
          <w:tab w:val="left" w:pos="941"/>
        </w:tabs>
        <w:spacing w:line="306" w:lineRule="exact"/>
        <w:rPr>
          <w:sz w:val="24"/>
          <w:lang w:eastAsia="zh-CN"/>
        </w:rPr>
      </w:pPr>
      <w:r>
        <w:rPr>
          <w:sz w:val="24"/>
          <w:lang w:eastAsia="zh-CN"/>
        </w:rPr>
        <w:t>供应商的资格不符，或响应文件中提供的资格证明文件与原件不一致的；</w:t>
      </w:r>
    </w:p>
    <w:p>
      <w:pPr>
        <w:pStyle w:val="26"/>
        <w:numPr>
          <w:ilvl w:val="0"/>
          <w:numId w:val="31"/>
        </w:numPr>
        <w:tabs>
          <w:tab w:val="left" w:pos="941"/>
        </w:tabs>
        <w:spacing w:before="11" w:line="249" w:lineRule="auto"/>
        <w:ind w:left="100" w:right="239" w:firstLine="240"/>
        <w:rPr>
          <w:sz w:val="24"/>
          <w:lang w:eastAsia="zh-CN"/>
        </w:rPr>
      </w:pPr>
      <w:r>
        <w:rPr>
          <w:spacing w:val="-9"/>
          <w:sz w:val="24"/>
          <w:lang w:eastAsia="zh-CN"/>
        </w:rPr>
        <w:t>响应文件未按规定由供应商的法定代表人或其授权代表逐页签字和未逐页加盖</w:t>
      </w:r>
      <w:r>
        <w:rPr>
          <w:spacing w:val="-5"/>
          <w:sz w:val="24"/>
          <w:lang w:eastAsia="zh-CN"/>
        </w:rPr>
        <w:t>供应商公章的；或签字人未经法定代表人有效授权委托的；或资格证不符明文件与原件不一致的</w:t>
      </w:r>
      <w:r>
        <w:rPr>
          <w:spacing w:val="-19"/>
          <w:sz w:val="24"/>
          <w:lang w:eastAsia="zh-CN"/>
        </w:rPr>
        <w:t>；</w:t>
      </w:r>
    </w:p>
    <w:p>
      <w:pPr>
        <w:pStyle w:val="26"/>
        <w:numPr>
          <w:ilvl w:val="0"/>
          <w:numId w:val="31"/>
        </w:numPr>
        <w:tabs>
          <w:tab w:val="left" w:pos="941"/>
        </w:tabs>
        <w:spacing w:before="1"/>
        <w:rPr>
          <w:sz w:val="24"/>
          <w:lang w:eastAsia="zh-CN"/>
        </w:rPr>
      </w:pPr>
      <w:r>
        <w:rPr>
          <w:sz w:val="24"/>
          <w:lang w:eastAsia="zh-CN"/>
        </w:rPr>
        <w:t>未按规定提交磋商保证金的；</w:t>
      </w:r>
    </w:p>
    <w:p>
      <w:pPr>
        <w:pStyle w:val="26"/>
        <w:numPr>
          <w:ilvl w:val="0"/>
          <w:numId w:val="31"/>
        </w:numPr>
        <w:tabs>
          <w:tab w:val="left" w:pos="941"/>
        </w:tabs>
        <w:spacing w:before="12"/>
        <w:rPr>
          <w:sz w:val="24"/>
          <w:lang w:eastAsia="zh-CN"/>
        </w:rPr>
      </w:pPr>
      <w:r>
        <w:rPr>
          <w:sz w:val="24"/>
          <w:lang w:eastAsia="zh-CN"/>
        </w:rPr>
        <w:t>交货期、交货地点、付款方式、服务要求、质保期等不满足磋商文件要求的；</w:t>
      </w:r>
    </w:p>
    <w:p>
      <w:pPr>
        <w:pStyle w:val="26"/>
        <w:numPr>
          <w:ilvl w:val="0"/>
          <w:numId w:val="31"/>
        </w:numPr>
        <w:tabs>
          <w:tab w:val="left" w:pos="941"/>
        </w:tabs>
        <w:spacing w:before="12"/>
        <w:rPr>
          <w:sz w:val="24"/>
          <w:lang w:eastAsia="zh-CN"/>
        </w:rPr>
      </w:pPr>
      <w:r>
        <w:rPr>
          <w:sz w:val="24"/>
          <w:lang w:eastAsia="zh-CN"/>
        </w:rPr>
        <w:t>技术要求或质量标准、货物或设备型号规格等不符合磋商文件规定的；</w:t>
      </w:r>
    </w:p>
    <w:p>
      <w:pPr>
        <w:pStyle w:val="26"/>
        <w:numPr>
          <w:ilvl w:val="0"/>
          <w:numId w:val="31"/>
        </w:numPr>
        <w:tabs>
          <w:tab w:val="left" w:pos="941"/>
        </w:tabs>
        <w:spacing w:before="14"/>
        <w:rPr>
          <w:sz w:val="24"/>
          <w:lang w:eastAsia="zh-CN"/>
        </w:rPr>
      </w:pPr>
      <w:r>
        <w:rPr>
          <w:sz w:val="24"/>
          <w:lang w:eastAsia="zh-CN"/>
        </w:rPr>
        <w:t>磋商有效期不满足磋商文件要求的；</w:t>
      </w:r>
    </w:p>
    <w:p>
      <w:pPr>
        <w:pStyle w:val="26"/>
        <w:numPr>
          <w:ilvl w:val="0"/>
          <w:numId w:val="31"/>
        </w:numPr>
        <w:tabs>
          <w:tab w:val="left" w:pos="941"/>
        </w:tabs>
        <w:spacing w:before="12"/>
        <w:rPr>
          <w:sz w:val="24"/>
          <w:lang w:eastAsia="zh-CN"/>
        </w:rPr>
      </w:pPr>
      <w:r>
        <w:rPr>
          <w:sz w:val="24"/>
          <w:lang w:eastAsia="zh-CN"/>
        </w:rPr>
        <w:t>提供的报价是可供选择的（不是唯一报价）；</w:t>
      </w:r>
    </w:p>
    <w:p>
      <w:pPr>
        <w:rPr>
          <w:sz w:val="24"/>
          <w:lang w:eastAsia="zh-CN"/>
        </w:rPr>
        <w:sectPr>
          <w:headerReference r:id="rId10" w:type="default"/>
          <w:footerReference r:id="rId11" w:type="default"/>
          <w:pgSz w:w="12240" w:h="15840"/>
          <w:pgMar w:top="1380" w:right="840" w:bottom="280" w:left="980" w:header="721" w:footer="624" w:gutter="0"/>
          <w:pgNumType w:fmt="decimal"/>
          <w:cols w:space="720" w:num="1"/>
        </w:sectPr>
      </w:pPr>
    </w:p>
    <w:p>
      <w:pPr>
        <w:pStyle w:val="26"/>
        <w:numPr>
          <w:ilvl w:val="0"/>
          <w:numId w:val="31"/>
        </w:numPr>
        <w:tabs>
          <w:tab w:val="left" w:pos="941"/>
        </w:tabs>
        <w:spacing w:before="67" w:line="249" w:lineRule="auto"/>
        <w:ind w:left="100" w:right="239" w:firstLine="240"/>
        <w:rPr>
          <w:sz w:val="24"/>
          <w:lang w:eastAsia="zh-CN"/>
        </w:rPr>
      </w:pPr>
      <w:r>
        <w:rPr>
          <w:spacing w:val="-2"/>
          <w:sz w:val="24"/>
          <w:lang w:eastAsia="zh-CN"/>
        </w:rPr>
        <w:t xml:space="preserve">供应商未进行分项报价或分项报价的构成未能准确全部反映产品价格组成或有所隐含， </w:t>
      </w:r>
      <w:r>
        <w:rPr>
          <w:spacing w:val="-5"/>
          <w:sz w:val="24"/>
          <w:lang w:eastAsia="zh-CN"/>
        </w:rPr>
        <w:t>有可能致使在合同履行过程中引起纠纷</w:t>
      </w:r>
      <w:r>
        <w:rPr>
          <w:sz w:val="24"/>
          <w:lang w:eastAsia="zh-CN"/>
        </w:rPr>
        <w:t>（非正常的追加或索赔等）或不能诚信履约的；</w:t>
      </w:r>
    </w:p>
    <w:p>
      <w:pPr>
        <w:pStyle w:val="26"/>
        <w:numPr>
          <w:ilvl w:val="0"/>
          <w:numId w:val="31"/>
        </w:numPr>
        <w:tabs>
          <w:tab w:val="left" w:pos="1061"/>
        </w:tabs>
        <w:spacing w:line="252" w:lineRule="auto"/>
        <w:ind w:left="100" w:right="239" w:firstLine="240"/>
        <w:rPr>
          <w:sz w:val="24"/>
          <w:lang w:eastAsia="zh-CN"/>
        </w:rPr>
      </w:pPr>
      <w:r>
        <w:rPr>
          <w:spacing w:val="-1"/>
          <w:sz w:val="24"/>
          <w:lang w:eastAsia="zh-CN"/>
        </w:rPr>
        <w:t>响应文件的内容与采购内容及要求有重大偏离或保留的，或附有采购人不能接受的条件</w:t>
      </w:r>
      <w:r>
        <w:rPr>
          <w:sz w:val="24"/>
          <w:lang w:eastAsia="zh-CN"/>
        </w:rPr>
        <w:t>的；</w:t>
      </w:r>
    </w:p>
    <w:p>
      <w:pPr>
        <w:pStyle w:val="26"/>
        <w:numPr>
          <w:ilvl w:val="0"/>
          <w:numId w:val="31"/>
        </w:numPr>
        <w:tabs>
          <w:tab w:val="left" w:pos="1061"/>
        </w:tabs>
        <w:spacing w:line="303" w:lineRule="exact"/>
        <w:ind w:left="1061" w:hanging="721"/>
        <w:rPr>
          <w:sz w:val="24"/>
          <w:lang w:eastAsia="zh-CN"/>
        </w:rPr>
      </w:pPr>
      <w:r>
        <w:rPr>
          <w:sz w:val="24"/>
          <w:lang w:eastAsia="zh-CN"/>
        </w:rPr>
        <w:t>响应文件窜通的；</w:t>
      </w:r>
    </w:p>
    <w:p>
      <w:pPr>
        <w:pStyle w:val="26"/>
        <w:numPr>
          <w:ilvl w:val="0"/>
          <w:numId w:val="31"/>
        </w:numPr>
        <w:tabs>
          <w:tab w:val="left" w:pos="1061"/>
        </w:tabs>
        <w:spacing w:before="11"/>
        <w:ind w:left="1061" w:hanging="721"/>
        <w:rPr>
          <w:sz w:val="24"/>
          <w:lang w:eastAsia="zh-CN"/>
        </w:rPr>
      </w:pPr>
      <w:r>
        <w:rPr>
          <w:sz w:val="24"/>
          <w:lang w:eastAsia="zh-CN"/>
        </w:rPr>
        <w:t>响应文件的内容组成不符合磋商文件要求的；</w:t>
      </w:r>
    </w:p>
    <w:p>
      <w:pPr>
        <w:pStyle w:val="26"/>
        <w:numPr>
          <w:ilvl w:val="0"/>
          <w:numId w:val="31"/>
        </w:numPr>
        <w:tabs>
          <w:tab w:val="left" w:pos="1061"/>
        </w:tabs>
        <w:spacing w:before="14"/>
        <w:ind w:left="1061" w:hanging="721"/>
        <w:rPr>
          <w:sz w:val="24"/>
          <w:lang w:eastAsia="zh-CN"/>
        </w:rPr>
      </w:pPr>
      <w:r>
        <w:rPr>
          <w:sz w:val="24"/>
          <w:lang w:eastAsia="zh-CN"/>
        </w:rPr>
        <w:t>响应文件中提供虚假或失实资料的；</w:t>
      </w:r>
    </w:p>
    <w:p>
      <w:pPr>
        <w:pStyle w:val="26"/>
        <w:numPr>
          <w:ilvl w:val="0"/>
          <w:numId w:val="31"/>
        </w:numPr>
        <w:tabs>
          <w:tab w:val="left" w:pos="1061"/>
        </w:tabs>
        <w:spacing w:before="11" w:line="249" w:lineRule="auto"/>
        <w:ind w:left="100" w:right="239" w:firstLine="240"/>
        <w:rPr>
          <w:sz w:val="24"/>
          <w:lang w:eastAsia="zh-CN"/>
        </w:rPr>
      </w:pPr>
      <w:r>
        <w:rPr>
          <w:sz w:val="24"/>
          <w:lang w:eastAsia="zh-CN"/>
        </w:rPr>
        <w:t>不同供应商所提交响应文件的内容（或其单价等）</w:t>
      </w:r>
      <w:r>
        <w:rPr>
          <w:spacing w:val="-2"/>
          <w:sz w:val="24"/>
          <w:lang w:eastAsia="zh-CN"/>
        </w:rPr>
        <w:t>存在异常一致或者其报价呈规律性差</w:t>
      </w:r>
      <w:r>
        <w:rPr>
          <w:sz w:val="24"/>
          <w:lang w:eastAsia="zh-CN"/>
        </w:rPr>
        <w:t>异的；</w:t>
      </w:r>
    </w:p>
    <w:p>
      <w:pPr>
        <w:pStyle w:val="26"/>
        <w:numPr>
          <w:ilvl w:val="0"/>
          <w:numId w:val="31"/>
        </w:numPr>
        <w:tabs>
          <w:tab w:val="left" w:pos="1061"/>
        </w:tabs>
        <w:spacing w:before="2"/>
        <w:ind w:left="1061" w:hanging="721"/>
        <w:rPr>
          <w:sz w:val="24"/>
          <w:lang w:eastAsia="zh-CN"/>
        </w:rPr>
      </w:pPr>
      <w:r>
        <w:rPr>
          <w:sz w:val="24"/>
          <w:lang w:eastAsia="zh-CN"/>
        </w:rPr>
        <w:t>不符合法律、法规和磋商文件中规定的其它实质性要求的。</w:t>
      </w:r>
    </w:p>
    <w:p>
      <w:pPr>
        <w:pStyle w:val="4"/>
        <w:numPr>
          <w:ilvl w:val="1"/>
          <w:numId w:val="30"/>
        </w:numPr>
        <w:tabs>
          <w:tab w:val="left" w:pos="523"/>
        </w:tabs>
        <w:spacing w:before="11"/>
        <w:ind w:hanging="422"/>
        <w:jc w:val="both"/>
      </w:pPr>
      <w:r>
        <w:t>响应文件的澄清</w:t>
      </w:r>
    </w:p>
    <w:p>
      <w:pPr>
        <w:pStyle w:val="26"/>
        <w:numPr>
          <w:ilvl w:val="2"/>
          <w:numId w:val="30"/>
        </w:numPr>
        <w:tabs>
          <w:tab w:val="left" w:pos="760"/>
        </w:tabs>
        <w:spacing w:before="12" w:line="249" w:lineRule="auto"/>
        <w:ind w:right="239" w:firstLine="0"/>
        <w:jc w:val="both"/>
        <w:rPr>
          <w:sz w:val="24"/>
          <w:lang w:eastAsia="zh-CN"/>
        </w:rPr>
      </w:pPr>
      <w:r>
        <w:rPr>
          <w:sz w:val="24"/>
          <w:lang w:eastAsia="zh-CN"/>
        </w:rPr>
        <w:t>磋商小组在对响应文件的有效性、完整性和响应程度进行审查时，可以要求供应商对响应</w:t>
      </w:r>
      <w:r>
        <w:rPr>
          <w:spacing w:val="-1"/>
          <w:sz w:val="24"/>
          <w:lang w:eastAsia="zh-CN"/>
        </w:rPr>
        <w:t>文件中含义不明确、同类问题表述不一致或者有明显文字和计算错误的内容等作出必要的澄清、说明或者更正。供应商的澄清、说明或者更正不得超出响应文件的范围或者改变响应文件的实质</w:t>
      </w:r>
      <w:r>
        <w:rPr>
          <w:sz w:val="24"/>
          <w:lang w:eastAsia="zh-CN"/>
        </w:rPr>
        <w:t>性内容。</w:t>
      </w:r>
    </w:p>
    <w:p>
      <w:pPr>
        <w:pStyle w:val="26"/>
        <w:numPr>
          <w:ilvl w:val="2"/>
          <w:numId w:val="30"/>
        </w:numPr>
        <w:tabs>
          <w:tab w:val="left" w:pos="760"/>
        </w:tabs>
        <w:spacing w:before="2" w:line="249" w:lineRule="auto"/>
        <w:ind w:right="239" w:firstLine="0"/>
        <w:jc w:val="both"/>
        <w:rPr>
          <w:sz w:val="24"/>
          <w:lang w:eastAsia="zh-CN"/>
        </w:rPr>
      </w:pPr>
      <w:r>
        <w:rPr>
          <w:sz w:val="24"/>
          <w:lang w:eastAsia="zh-CN"/>
        </w:rPr>
        <w:t>磋商小组要求供应商澄清、说明或者更正响应文件应当以书面形式作出。供应商的澄清、</w:t>
      </w:r>
      <w:r>
        <w:rPr>
          <w:spacing w:val="-1"/>
          <w:sz w:val="24"/>
          <w:lang w:eastAsia="zh-CN"/>
        </w:rPr>
        <w:t>说明或者更正应当由法定代表人或其授权代表签字或者加盖公章。由授权代表签字的，应当附法</w:t>
      </w:r>
      <w:r>
        <w:rPr>
          <w:sz w:val="24"/>
          <w:lang w:eastAsia="zh-CN"/>
        </w:rPr>
        <w:t>定代表人授权书。供应商为自然人的，应当由本人签字并附身份证明。</w:t>
      </w:r>
    </w:p>
    <w:p>
      <w:pPr>
        <w:pStyle w:val="26"/>
        <w:numPr>
          <w:ilvl w:val="2"/>
          <w:numId w:val="30"/>
        </w:numPr>
        <w:tabs>
          <w:tab w:val="left" w:pos="760"/>
        </w:tabs>
        <w:spacing w:before="1" w:line="249" w:lineRule="auto"/>
        <w:ind w:right="239" w:firstLine="0"/>
        <w:jc w:val="both"/>
        <w:rPr>
          <w:sz w:val="24"/>
          <w:lang w:eastAsia="zh-CN"/>
        </w:rPr>
      </w:pPr>
      <w:r>
        <w:rPr>
          <w:sz w:val="24"/>
          <w:lang w:eastAsia="zh-CN"/>
        </w:rPr>
        <w:t>算术性错误将按以下方法修正：响应文件中的大写金额和小写金额不一致的，以大写金额</w:t>
      </w:r>
      <w:r>
        <w:rPr>
          <w:spacing w:val="-1"/>
          <w:sz w:val="24"/>
          <w:lang w:eastAsia="zh-CN"/>
        </w:rPr>
        <w:t>为准；总价金额与分项报价汇总金额不一致的，以分项报价中单价金额计算结果为准；分项报价金额小数点有明显错位的，应以总价为准，并修改分项报价中的单价；对不同文字文本磋商文件</w:t>
      </w:r>
      <w:r>
        <w:rPr>
          <w:sz w:val="24"/>
          <w:lang w:eastAsia="zh-CN"/>
        </w:rPr>
        <w:t>的解释发生异议的，以中文文本为准。</w:t>
      </w:r>
    </w:p>
    <w:p>
      <w:pPr>
        <w:pStyle w:val="26"/>
        <w:numPr>
          <w:ilvl w:val="2"/>
          <w:numId w:val="30"/>
        </w:numPr>
        <w:tabs>
          <w:tab w:val="left" w:pos="760"/>
        </w:tabs>
        <w:spacing w:line="249" w:lineRule="auto"/>
        <w:ind w:right="239" w:firstLine="0"/>
        <w:jc w:val="both"/>
        <w:rPr>
          <w:sz w:val="24"/>
          <w:lang w:eastAsia="zh-CN"/>
        </w:rPr>
      </w:pPr>
      <w:r>
        <w:rPr>
          <w:sz w:val="24"/>
          <w:lang w:eastAsia="zh-CN"/>
        </w:rPr>
        <w:t>如果供应商不接受按上述方法对响应文件中的算术错误进行更正，将按无效响应处理，磋</w:t>
      </w:r>
      <w:r>
        <w:rPr>
          <w:spacing w:val="-1"/>
          <w:sz w:val="24"/>
          <w:lang w:eastAsia="zh-CN"/>
        </w:rPr>
        <w:t>商小组将拒绝被确定为非实质性响应的响应文件，供应商不能通过修正或撤销不符之处而使其响</w:t>
      </w:r>
      <w:r>
        <w:rPr>
          <w:sz w:val="24"/>
          <w:lang w:eastAsia="zh-CN"/>
        </w:rPr>
        <w:t>应文件成为实质性响应。</w:t>
      </w:r>
    </w:p>
    <w:p>
      <w:pPr>
        <w:pStyle w:val="4"/>
        <w:spacing w:before="1"/>
        <w:ind w:left="100"/>
        <w:jc w:val="both"/>
      </w:pPr>
      <w:r>
        <w:t>3、磋商</w:t>
      </w:r>
    </w:p>
    <w:p>
      <w:pPr>
        <w:pStyle w:val="4"/>
        <w:numPr>
          <w:ilvl w:val="1"/>
          <w:numId w:val="32"/>
        </w:numPr>
        <w:tabs>
          <w:tab w:val="left" w:pos="523"/>
        </w:tabs>
        <w:spacing w:before="11"/>
        <w:ind w:hanging="422"/>
        <w:jc w:val="both"/>
      </w:pPr>
      <w:r>
        <w:t>成立磋商小组</w:t>
      </w:r>
    </w:p>
    <w:p>
      <w:pPr>
        <w:pStyle w:val="26"/>
        <w:numPr>
          <w:ilvl w:val="2"/>
          <w:numId w:val="32"/>
        </w:numPr>
        <w:tabs>
          <w:tab w:val="left" w:pos="760"/>
        </w:tabs>
        <w:spacing w:before="14" w:line="249" w:lineRule="auto"/>
        <w:ind w:right="299" w:firstLine="0"/>
        <w:jc w:val="both"/>
        <w:rPr>
          <w:sz w:val="24"/>
          <w:lang w:eastAsia="zh-CN"/>
        </w:rPr>
      </w:pPr>
      <w:r>
        <w:rPr>
          <w:spacing w:val="-1"/>
          <w:sz w:val="24"/>
          <w:lang w:eastAsia="zh-CN"/>
        </w:rPr>
        <w:t>磋商小组由采购人的代表和有关专家共</w:t>
      </w:r>
      <w:r>
        <w:rPr>
          <w:rFonts w:hint="eastAsia"/>
          <w:spacing w:val="-1"/>
          <w:sz w:val="24"/>
          <w:lang w:eastAsia="zh-CN"/>
        </w:rPr>
        <w:t>五</w:t>
      </w:r>
      <w:r>
        <w:rPr>
          <w:spacing w:val="-1"/>
          <w:sz w:val="24"/>
          <w:lang w:eastAsia="zh-CN"/>
        </w:rPr>
        <w:t>人组成，其中专家的人数不得少于成</w:t>
      </w:r>
      <w:r>
        <w:rPr>
          <w:sz w:val="24"/>
          <w:lang w:eastAsia="zh-CN"/>
        </w:rPr>
        <w:t>员总数的三分之二。</w:t>
      </w:r>
    </w:p>
    <w:p>
      <w:pPr>
        <w:pStyle w:val="26"/>
        <w:numPr>
          <w:ilvl w:val="2"/>
          <w:numId w:val="32"/>
        </w:numPr>
        <w:tabs>
          <w:tab w:val="left" w:pos="760"/>
        </w:tabs>
        <w:spacing w:line="306" w:lineRule="exact"/>
        <w:ind w:left="760"/>
        <w:jc w:val="both"/>
        <w:rPr>
          <w:sz w:val="24"/>
          <w:lang w:eastAsia="zh-CN"/>
        </w:rPr>
      </w:pPr>
      <w:r>
        <w:rPr>
          <w:sz w:val="24"/>
          <w:lang w:eastAsia="zh-CN"/>
        </w:rPr>
        <w:t>磋商小组成员应当履行下列义务：</w:t>
      </w:r>
    </w:p>
    <w:p>
      <w:pPr>
        <w:pStyle w:val="8"/>
        <w:spacing w:before="15"/>
        <w:ind w:left="100"/>
        <w:jc w:val="both"/>
        <w:rPr>
          <w:lang w:eastAsia="zh-CN"/>
        </w:rPr>
      </w:pPr>
      <w:r>
        <w:rPr>
          <w:lang w:eastAsia="zh-CN"/>
        </w:rPr>
        <w:t>（一）遵纪守法，客观、公正、廉洁地履行职责；</w:t>
      </w:r>
    </w:p>
    <w:p>
      <w:pPr>
        <w:pStyle w:val="8"/>
        <w:spacing w:before="11"/>
        <w:ind w:left="100"/>
        <w:jc w:val="both"/>
        <w:rPr>
          <w:lang w:eastAsia="zh-CN"/>
        </w:rPr>
      </w:pPr>
      <w:r>
        <w:rPr>
          <w:lang w:eastAsia="zh-CN"/>
        </w:rPr>
        <w:t>（二）按照磋商文件规定的评审方法和标准进行评审，对评审意见承担个人责任；</w:t>
      </w:r>
    </w:p>
    <w:p>
      <w:pPr>
        <w:pStyle w:val="8"/>
        <w:spacing w:before="12"/>
        <w:ind w:left="100"/>
        <w:jc w:val="both"/>
        <w:rPr>
          <w:lang w:eastAsia="zh-CN"/>
        </w:rPr>
      </w:pPr>
      <w:r>
        <w:rPr>
          <w:lang w:eastAsia="zh-CN"/>
        </w:rPr>
        <w:t>（三）对评审、磋商过程和结果，以及供应商的商业秘密保密；</w:t>
      </w:r>
    </w:p>
    <w:p>
      <w:pPr>
        <w:pStyle w:val="8"/>
        <w:spacing w:before="14"/>
        <w:ind w:left="100"/>
        <w:jc w:val="both"/>
        <w:rPr>
          <w:lang w:eastAsia="zh-CN"/>
        </w:rPr>
      </w:pPr>
      <w:r>
        <w:rPr>
          <w:lang w:eastAsia="zh-CN"/>
        </w:rPr>
        <w:t>（四） 配合采购单位答复磋商供应商提出的质疑和有关部门的投诉处理工作。</w:t>
      </w:r>
    </w:p>
    <w:p>
      <w:pPr>
        <w:pStyle w:val="4"/>
        <w:numPr>
          <w:ilvl w:val="1"/>
          <w:numId w:val="33"/>
        </w:numPr>
        <w:tabs>
          <w:tab w:val="left" w:pos="523"/>
        </w:tabs>
        <w:spacing w:before="12"/>
        <w:ind w:hanging="422"/>
        <w:jc w:val="both"/>
      </w:pPr>
      <w:r>
        <w:t>磋商</w:t>
      </w:r>
    </w:p>
    <w:p>
      <w:pPr>
        <w:pStyle w:val="26"/>
        <w:numPr>
          <w:ilvl w:val="2"/>
          <w:numId w:val="33"/>
        </w:numPr>
        <w:tabs>
          <w:tab w:val="left" w:pos="760"/>
        </w:tabs>
        <w:spacing w:before="11" w:line="249" w:lineRule="auto"/>
        <w:ind w:right="239" w:firstLine="0"/>
        <w:jc w:val="both"/>
        <w:rPr>
          <w:sz w:val="24"/>
          <w:lang w:eastAsia="zh-CN"/>
        </w:rPr>
      </w:pPr>
      <w:r>
        <w:rPr>
          <w:sz w:val="24"/>
          <w:lang w:eastAsia="zh-CN"/>
        </w:rPr>
        <w:t>磋商。由磋商小组所有成员集中与单一供应商就磋商文件规定的具体内容（包括：价格、</w:t>
      </w:r>
      <w:r>
        <w:rPr>
          <w:spacing w:val="-1"/>
          <w:sz w:val="24"/>
          <w:lang w:eastAsia="zh-CN"/>
        </w:rPr>
        <w:t>合同条款、设备的技术参数与指标、质量保证、供货期限、付款方式、设备安装、调试的进度计</w:t>
      </w:r>
      <w:r>
        <w:rPr>
          <w:sz w:val="24"/>
          <w:lang w:eastAsia="zh-CN"/>
        </w:rPr>
        <w:t>划、试运行、验收、交付使用、售后服务等）</w:t>
      </w:r>
      <w:r>
        <w:rPr>
          <w:spacing w:val="-1"/>
          <w:sz w:val="24"/>
          <w:lang w:eastAsia="zh-CN"/>
        </w:rPr>
        <w:t>分别进行磋商，并给予所有参加磋商的供应商平等的磋商机会。在磋商中，磋商的任何一方不得透露与磋商有关的其他供应商的技术资料、价格和</w:t>
      </w:r>
      <w:r>
        <w:rPr>
          <w:sz w:val="24"/>
          <w:lang w:eastAsia="zh-CN"/>
        </w:rPr>
        <w:t>其他信息等。</w:t>
      </w:r>
    </w:p>
    <w:p>
      <w:pPr>
        <w:spacing w:line="249" w:lineRule="auto"/>
        <w:jc w:val="both"/>
        <w:rPr>
          <w:sz w:val="24"/>
          <w:lang w:eastAsia="zh-CN"/>
        </w:rPr>
        <w:sectPr>
          <w:headerReference r:id="rId12" w:type="default"/>
          <w:footerReference r:id="rId13" w:type="default"/>
          <w:pgSz w:w="12240" w:h="15840"/>
          <w:pgMar w:top="1380" w:right="840" w:bottom="280" w:left="980" w:header="721" w:footer="624" w:gutter="0"/>
          <w:pgNumType w:fmt="decimal"/>
          <w:cols w:space="720" w:num="1"/>
        </w:sectPr>
      </w:pPr>
    </w:p>
    <w:p>
      <w:pPr>
        <w:pStyle w:val="26"/>
        <w:numPr>
          <w:ilvl w:val="2"/>
          <w:numId w:val="33"/>
        </w:numPr>
        <w:tabs>
          <w:tab w:val="left" w:pos="760"/>
        </w:tabs>
        <w:spacing w:before="67" w:line="249" w:lineRule="auto"/>
        <w:ind w:right="239" w:firstLine="0"/>
        <w:jc w:val="both"/>
        <w:rPr>
          <w:sz w:val="24"/>
        </w:rPr>
      </w:pPr>
      <w:r>
        <w:rPr>
          <w:sz w:val="24"/>
          <w:lang w:eastAsia="zh-CN"/>
        </w:rPr>
        <w:t>在磋商过程中，磋商小组可以根据磋商文件和磋商情况实质性变动采购需求中的技术、服</w:t>
      </w:r>
      <w:r>
        <w:rPr>
          <w:spacing w:val="-1"/>
          <w:sz w:val="24"/>
          <w:lang w:eastAsia="zh-CN"/>
        </w:rPr>
        <w:t>务要求以及合同草案条款，但不得变动磋商文件中的其他内容。</w:t>
      </w:r>
      <w:r>
        <w:rPr>
          <w:spacing w:val="-1"/>
          <w:sz w:val="24"/>
        </w:rPr>
        <w:t>实质性变动的内容，须经采购人</w:t>
      </w:r>
      <w:r>
        <w:rPr>
          <w:sz w:val="24"/>
        </w:rPr>
        <w:t>代表确认。</w:t>
      </w:r>
    </w:p>
    <w:p>
      <w:pPr>
        <w:pStyle w:val="8"/>
        <w:spacing w:before="1" w:line="249" w:lineRule="auto"/>
        <w:ind w:left="100" w:right="239" w:firstLine="480"/>
        <w:jc w:val="both"/>
        <w:rPr>
          <w:lang w:eastAsia="zh-CN"/>
        </w:rPr>
      </w:pPr>
      <w:r>
        <w:rPr>
          <w:lang w:eastAsia="zh-CN"/>
        </w:rPr>
        <w:t>对磋商文件作出的实质性变动是磋商文件的有效组成部分，磋商小组应当及时以书面形式同时通知所有参加磋商的供应商。</w:t>
      </w:r>
    </w:p>
    <w:p>
      <w:pPr>
        <w:pStyle w:val="8"/>
        <w:spacing w:line="249" w:lineRule="auto"/>
        <w:ind w:left="100" w:right="239" w:firstLine="480"/>
        <w:jc w:val="both"/>
        <w:rPr>
          <w:lang w:eastAsia="zh-CN"/>
        </w:rPr>
      </w:pPr>
      <w:r>
        <w:rPr>
          <w:lang w:eastAsia="zh-CN"/>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26"/>
        <w:numPr>
          <w:ilvl w:val="2"/>
          <w:numId w:val="33"/>
        </w:numPr>
        <w:tabs>
          <w:tab w:val="left" w:pos="760"/>
        </w:tabs>
        <w:spacing w:line="252" w:lineRule="auto"/>
        <w:ind w:right="299" w:firstLine="0"/>
        <w:rPr>
          <w:sz w:val="24"/>
          <w:lang w:eastAsia="zh-CN"/>
        </w:rPr>
      </w:pPr>
      <w:r>
        <w:rPr>
          <w:spacing w:val="-1"/>
          <w:sz w:val="24"/>
          <w:lang w:eastAsia="zh-CN"/>
        </w:rPr>
        <w:t>磋商结束后，磋商小组应当要求所有实质性响应的供应商在规定时间内提交最后报价，提</w:t>
      </w:r>
      <w:r>
        <w:rPr>
          <w:spacing w:val="-5"/>
          <w:sz w:val="24"/>
          <w:lang w:eastAsia="zh-CN"/>
        </w:rPr>
        <w:t xml:space="preserve">交最后报价的供应商不得少于 </w:t>
      </w:r>
      <w:r>
        <w:rPr>
          <w:sz w:val="24"/>
          <w:lang w:eastAsia="zh-CN"/>
        </w:rPr>
        <w:t>3</w:t>
      </w:r>
      <w:r>
        <w:rPr>
          <w:spacing w:val="-8"/>
          <w:sz w:val="24"/>
          <w:lang w:eastAsia="zh-CN"/>
        </w:rPr>
        <w:t xml:space="preserve"> 家。最后报价是供应商响应文件的有效组成部分。</w:t>
      </w:r>
    </w:p>
    <w:p>
      <w:pPr>
        <w:pStyle w:val="26"/>
        <w:numPr>
          <w:ilvl w:val="2"/>
          <w:numId w:val="33"/>
        </w:numPr>
        <w:tabs>
          <w:tab w:val="left" w:pos="760"/>
        </w:tabs>
        <w:spacing w:line="303" w:lineRule="exact"/>
        <w:ind w:left="760"/>
        <w:rPr>
          <w:sz w:val="24"/>
          <w:lang w:eastAsia="zh-CN"/>
        </w:rPr>
      </w:pPr>
      <w:r>
        <w:rPr>
          <w:sz w:val="24"/>
          <w:lang w:eastAsia="zh-CN"/>
        </w:rPr>
        <w:t>已提交响应文件的供应商，在提交最后报价之前，可以根据磋商情况退出磋商。</w:t>
      </w:r>
    </w:p>
    <w:p>
      <w:pPr>
        <w:pStyle w:val="26"/>
        <w:numPr>
          <w:ilvl w:val="2"/>
          <w:numId w:val="33"/>
        </w:numPr>
        <w:tabs>
          <w:tab w:val="left" w:pos="760"/>
        </w:tabs>
        <w:spacing w:before="11" w:line="252" w:lineRule="auto"/>
        <w:ind w:right="119" w:firstLine="0"/>
        <w:rPr>
          <w:sz w:val="24"/>
          <w:lang w:eastAsia="zh-CN"/>
        </w:rPr>
      </w:pPr>
      <w:r>
        <w:rPr>
          <w:spacing w:val="-4"/>
          <w:sz w:val="24"/>
          <w:lang w:eastAsia="zh-CN"/>
        </w:rPr>
        <w:t>最后报价应按磋商文件规定的格式进行报价，并</w:t>
      </w:r>
      <w:r>
        <w:rPr>
          <w:rFonts w:hint="eastAsia"/>
          <w:spacing w:val="-4"/>
          <w:sz w:val="24"/>
          <w:lang w:val="en-US" w:eastAsia="zh-CN"/>
        </w:rPr>
        <w:t>加盖</w:t>
      </w:r>
      <w:r>
        <w:rPr>
          <w:sz w:val="24"/>
          <w:lang w:eastAsia="zh-CN"/>
        </w:rPr>
        <w:t>单位公章</w:t>
      </w:r>
      <w:r>
        <w:rPr>
          <w:spacing w:val="-18"/>
          <w:sz w:val="24"/>
          <w:lang w:eastAsia="zh-CN"/>
        </w:rPr>
        <w:t xml:space="preserve"> </w:t>
      </w:r>
      <w:r>
        <w:rPr>
          <w:sz w:val="24"/>
          <w:lang w:eastAsia="zh-CN"/>
        </w:rPr>
        <w:t>在磋商小组规定的截止时间前提交磋商小组。</w:t>
      </w:r>
    </w:p>
    <w:p>
      <w:pPr>
        <w:pStyle w:val="26"/>
        <w:numPr>
          <w:ilvl w:val="2"/>
          <w:numId w:val="33"/>
        </w:numPr>
        <w:tabs>
          <w:tab w:val="left" w:pos="760"/>
        </w:tabs>
        <w:spacing w:line="249" w:lineRule="auto"/>
        <w:ind w:right="299" w:firstLine="0"/>
        <w:rPr>
          <w:sz w:val="24"/>
          <w:lang w:eastAsia="zh-CN"/>
        </w:rPr>
      </w:pPr>
      <w:r>
        <w:rPr>
          <w:sz w:val="24"/>
          <w:lang w:eastAsia="zh-CN"/>
        </w:rPr>
        <w:t>供应商的报价存在下列情况之一的，将按无效响应处理：</w:t>
      </w:r>
    </w:p>
    <w:p>
      <w:pPr>
        <w:pStyle w:val="26"/>
        <w:numPr>
          <w:ilvl w:val="3"/>
          <w:numId w:val="33"/>
        </w:numPr>
        <w:tabs>
          <w:tab w:val="left" w:pos="941"/>
        </w:tabs>
        <w:rPr>
          <w:lang w:eastAsia="zh-CN"/>
        </w:rPr>
      </w:pPr>
      <w:r>
        <w:rPr>
          <w:sz w:val="24"/>
          <w:lang w:eastAsia="zh-CN"/>
        </w:rPr>
        <w:t>供应商提交的是可选择的报价；</w:t>
      </w:r>
    </w:p>
    <w:p>
      <w:pPr>
        <w:pStyle w:val="26"/>
        <w:numPr>
          <w:ilvl w:val="3"/>
          <w:numId w:val="33"/>
        </w:numPr>
        <w:tabs>
          <w:tab w:val="left" w:pos="941"/>
        </w:tabs>
        <w:spacing w:before="8"/>
        <w:rPr>
          <w:lang w:eastAsia="zh-CN"/>
        </w:rPr>
      </w:pPr>
      <w:r>
        <w:rPr>
          <w:sz w:val="24"/>
          <w:lang w:eastAsia="zh-CN"/>
        </w:rPr>
        <w:t>供应商未按规定进行报价的或报价超出预算价的；</w:t>
      </w:r>
    </w:p>
    <w:p>
      <w:pPr>
        <w:pStyle w:val="26"/>
        <w:numPr>
          <w:ilvl w:val="3"/>
          <w:numId w:val="33"/>
        </w:numPr>
        <w:tabs>
          <w:tab w:val="left" w:pos="941"/>
        </w:tabs>
        <w:spacing w:before="11"/>
        <w:rPr>
          <w:lang w:eastAsia="zh-CN"/>
        </w:rPr>
      </w:pPr>
      <w:r>
        <w:rPr>
          <w:sz w:val="24"/>
          <w:lang w:eastAsia="zh-CN"/>
        </w:rPr>
        <w:t>供应商文最后报价一览表中的货物内容与磋商文件中货物需求一览表中的内容不一致的。</w:t>
      </w:r>
    </w:p>
    <w:p>
      <w:pPr>
        <w:pStyle w:val="26"/>
        <w:numPr>
          <w:ilvl w:val="2"/>
          <w:numId w:val="33"/>
        </w:numPr>
        <w:tabs>
          <w:tab w:val="left" w:pos="760"/>
        </w:tabs>
        <w:spacing w:before="15" w:line="306" w:lineRule="exact"/>
        <w:ind w:left="760"/>
        <w:jc w:val="both"/>
        <w:rPr>
          <w:sz w:val="24"/>
          <w:lang w:eastAsia="zh-CN"/>
        </w:rPr>
      </w:pPr>
      <w:r>
        <w:rPr>
          <w:sz w:val="24"/>
          <w:lang w:eastAsia="zh-CN"/>
        </w:rPr>
        <w:t>磋商过程由指定专人负责记录，并存档备查。</w:t>
      </w:r>
    </w:p>
    <w:p>
      <w:pPr>
        <w:pStyle w:val="8"/>
        <w:spacing w:before="7"/>
        <w:rPr>
          <w:sz w:val="5"/>
          <w:lang w:eastAsia="zh-CN"/>
        </w:rPr>
      </w:pPr>
    </w:p>
    <w:p>
      <w:pPr>
        <w:pStyle w:val="8"/>
        <w:spacing w:before="7"/>
        <w:rPr>
          <w:sz w:val="5"/>
          <w:lang w:eastAsia="zh-CN"/>
        </w:rPr>
      </w:pPr>
    </w:p>
    <w:p>
      <w:pPr>
        <w:rPr>
          <w:sz w:val="5"/>
          <w:lang w:eastAsia="zh-CN"/>
        </w:rPr>
      </w:pPr>
      <w:r>
        <w:rPr>
          <w:sz w:val="5"/>
          <w:lang w:eastAsia="zh-CN"/>
        </w:rPr>
        <w:br w:type="page"/>
      </w:r>
    </w:p>
    <w:p>
      <w:pPr>
        <w:pStyle w:val="8"/>
        <w:spacing w:before="7"/>
        <w:rPr>
          <w:sz w:val="5"/>
          <w:lang w:eastAsia="zh-CN"/>
        </w:rPr>
      </w:pPr>
    </w:p>
    <w:p>
      <w:pPr>
        <w:rPr>
          <w:sz w:val="5"/>
          <w:lang w:eastAsia="zh-CN"/>
        </w:rPr>
        <w:sectPr>
          <w:headerReference r:id="rId14" w:type="default"/>
          <w:footerReference r:id="rId15" w:type="default"/>
          <w:pgSz w:w="11910" w:h="16840"/>
          <w:pgMar w:top="940" w:right="280" w:bottom="940" w:left="760" w:header="0" w:footer="0" w:gutter="0"/>
          <w:pgNumType w:fmt="decimal"/>
          <w:cols w:space="720" w:num="1"/>
        </w:sectPr>
      </w:pPr>
    </w:p>
    <w:p>
      <w:pPr>
        <w:pStyle w:val="4"/>
        <w:spacing w:before="20"/>
        <w:ind w:left="140"/>
        <w:rPr>
          <w:lang w:eastAsia="zh-CN"/>
        </w:rPr>
      </w:pPr>
      <w:r>
        <w:rPr>
          <w:lang w:eastAsia="zh-CN"/>
        </w:rPr>
        <w:t>附件 1</w:t>
      </w:r>
    </w:p>
    <w:p>
      <w:pPr>
        <w:pStyle w:val="4"/>
        <w:spacing w:before="1"/>
        <w:ind w:left="140"/>
        <w:jc w:val="center"/>
        <w:rPr>
          <w:b/>
          <w:sz w:val="30"/>
          <w:lang w:eastAsia="zh-CN"/>
        </w:rPr>
      </w:pPr>
      <w:r>
        <w:rPr>
          <w:lang w:eastAsia="zh-CN"/>
        </w:rPr>
        <w:t>供应商资格现场监督检查结果表</w:t>
      </w:r>
    </w:p>
    <w:tbl>
      <w:tblPr>
        <w:tblStyle w:val="16"/>
        <w:tblpPr w:leftFromText="180" w:rightFromText="180" w:vertAnchor="page" w:horzAnchor="page" w:tblpX="457" w:tblpY="1899"/>
        <w:tblOverlap w:val="never"/>
        <w:tblW w:w="11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4664"/>
        <w:gridCol w:w="3061"/>
        <w:gridCol w:w="1354"/>
        <w:gridCol w:w="1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285" w:type="dxa"/>
            <w:gridSpan w:val="2"/>
            <w:noWrap w:val="0"/>
            <w:vAlign w:val="center"/>
          </w:tcPr>
          <w:p>
            <w:pPr>
              <w:pStyle w:val="4"/>
              <w:keepNext w:val="0"/>
              <w:keepLines w:val="0"/>
              <w:pageBreakBefore w:val="0"/>
              <w:widowControl w:val="0"/>
              <w:kinsoku/>
              <w:wordWrap/>
              <w:overflowPunct/>
              <w:topLinePunct w:val="0"/>
              <w:autoSpaceDE w:val="0"/>
              <w:autoSpaceDN w:val="0"/>
              <w:bidi w:val="0"/>
              <w:adjustRightInd/>
              <w:snapToGrid/>
              <w:ind w:left="0" w:leftChars="0" w:firstLine="0" w:firstLineChars="0"/>
              <w:jc w:val="left"/>
              <w:textAlignment w:val="auto"/>
              <w:rPr>
                <w:rFonts w:hint="eastAsia" w:ascii="宋体" w:eastAsia="宋体" w:cs="宋体"/>
                <w:sz w:val="21"/>
                <w:szCs w:val="21"/>
                <w:lang w:eastAsia="zh-CN" w:bidi="ar-SA"/>
              </w:rPr>
            </w:pPr>
            <w:r>
              <w:rPr>
                <w:rFonts w:hint="eastAsia" w:ascii="宋体" w:hAnsi="宋体" w:eastAsia="宋体" w:cs="宋体"/>
                <w:b w:val="0"/>
                <w:bCs w:val="0"/>
                <w:sz w:val="21"/>
                <w:szCs w:val="21"/>
                <w:lang w:val="en-US" w:eastAsia="zh-CN" w:bidi="ar-SA"/>
              </w:rPr>
              <w:t>项目名称：</w:t>
            </w:r>
          </w:p>
          <w:p>
            <w:pPr>
              <w:autoSpaceDE w:val="0"/>
              <w:autoSpaceDN w:val="0"/>
              <w:adjustRightInd w:val="0"/>
              <w:spacing w:line="312" w:lineRule="auto"/>
              <w:rPr>
                <w:rFonts w:hint="eastAsia" w:ascii="宋体" w:eastAsia="宋体" w:cs="宋体"/>
                <w:sz w:val="21"/>
                <w:szCs w:val="21"/>
                <w:lang w:eastAsia="zh-CN" w:bidi="ar-SA"/>
              </w:rPr>
            </w:pPr>
            <w:r>
              <w:rPr>
                <w:rFonts w:hint="eastAsia" w:ascii="宋体" w:eastAsia="宋体" w:cs="宋体"/>
                <w:sz w:val="21"/>
                <w:szCs w:val="21"/>
                <w:lang w:eastAsia="zh-CN" w:bidi="ar-SA"/>
              </w:rPr>
              <w:t>项目编号：</w:t>
            </w:r>
          </w:p>
        </w:tc>
        <w:tc>
          <w:tcPr>
            <w:tcW w:w="5794" w:type="dxa"/>
            <w:gridSpan w:val="3"/>
            <w:noWrap w:val="0"/>
            <w:vAlign w:val="center"/>
          </w:tcPr>
          <w:p>
            <w:pPr>
              <w:autoSpaceDE w:val="0"/>
              <w:autoSpaceDN w:val="0"/>
              <w:adjustRightInd w:val="0"/>
              <w:spacing w:line="312" w:lineRule="auto"/>
              <w:rPr>
                <w:rFonts w:hint="eastAsia" w:ascii="宋体" w:eastAsia="宋体" w:cs="宋体"/>
                <w:sz w:val="21"/>
                <w:szCs w:val="21"/>
                <w:lang w:eastAsia="zh-CN" w:bidi="ar-SA"/>
              </w:rPr>
            </w:pPr>
            <w:r>
              <w:rPr>
                <w:rFonts w:hint="eastAsia" w:ascii="宋体" w:eastAsia="宋体" w:cs="宋体"/>
                <w:sz w:val="21"/>
                <w:szCs w:val="21"/>
                <w:lang w:eastAsia="zh-CN" w:bidi="ar-SA"/>
              </w:rPr>
              <w:t>开标时间：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21" w:type="dxa"/>
            <w:vMerge w:val="restart"/>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序号</w:t>
            </w:r>
          </w:p>
        </w:tc>
        <w:tc>
          <w:tcPr>
            <w:tcW w:w="4664" w:type="dxa"/>
            <w:vMerge w:val="restart"/>
            <w:noWrap w:val="0"/>
            <w:vAlign w:val="center"/>
          </w:tcPr>
          <w:p>
            <w:pPr>
              <w:autoSpaceDE w:val="0"/>
              <w:autoSpaceDN w:val="0"/>
              <w:adjustRightInd w:val="0"/>
              <w:spacing w:line="312"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投标文件审查及响应性</w:t>
            </w:r>
            <w:r>
              <w:rPr>
                <w:rFonts w:hint="eastAsia" w:ascii="宋体" w:hAnsi="宋体" w:eastAsia="宋体" w:cs="宋体"/>
                <w:sz w:val="24"/>
                <w:lang w:val="en-US" w:eastAsia="zh-CN"/>
              </w:rPr>
              <w:br w:type="textWrapping"/>
            </w:r>
            <w:r>
              <w:rPr>
                <w:rFonts w:hint="eastAsia" w:ascii="宋体" w:hAnsi="宋体" w:eastAsia="宋体" w:cs="宋体"/>
                <w:sz w:val="24"/>
                <w:lang w:val="en-US" w:eastAsia="zh-CN"/>
              </w:rPr>
              <w:t>（评审结果为合格/不合格）</w:t>
            </w:r>
          </w:p>
        </w:tc>
        <w:tc>
          <w:tcPr>
            <w:tcW w:w="3061" w:type="dxa"/>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val="en-US" w:eastAsia="zh-CN" w:bidi="ar-SA"/>
              </w:rPr>
              <w:t>1</w:t>
            </w:r>
          </w:p>
        </w:tc>
        <w:tc>
          <w:tcPr>
            <w:tcW w:w="1354" w:type="dxa"/>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2</w:t>
            </w:r>
          </w:p>
        </w:tc>
        <w:tc>
          <w:tcPr>
            <w:tcW w:w="1379" w:type="dxa"/>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21" w:type="dxa"/>
            <w:vMerge w:val="continue"/>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664" w:type="dxa"/>
            <w:vMerge w:val="continue"/>
            <w:noWrap w:val="0"/>
            <w:vAlign w:val="center"/>
          </w:tcPr>
          <w:p>
            <w:pPr>
              <w:autoSpaceDE w:val="0"/>
              <w:autoSpaceDN w:val="0"/>
              <w:adjustRightInd w:val="0"/>
              <w:spacing w:line="312" w:lineRule="auto"/>
              <w:jc w:val="center"/>
              <w:rPr>
                <w:rFonts w:hint="eastAsia" w:ascii="宋体" w:hAnsi="宋体" w:eastAsia="宋体" w:cs="宋体"/>
                <w:sz w:val="24"/>
                <w:lang w:val="en-US" w:eastAsia="zh-CN"/>
              </w:rPr>
            </w:pPr>
          </w:p>
        </w:tc>
        <w:tc>
          <w:tcPr>
            <w:tcW w:w="3061" w:type="dxa"/>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是否合格</w:t>
            </w:r>
          </w:p>
        </w:tc>
        <w:tc>
          <w:tcPr>
            <w:tcW w:w="1354" w:type="dxa"/>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是否合格</w:t>
            </w:r>
          </w:p>
        </w:tc>
        <w:tc>
          <w:tcPr>
            <w:tcW w:w="1379" w:type="dxa"/>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621" w:type="dxa"/>
            <w:noWrap w:val="0"/>
            <w:vAlign w:val="center"/>
          </w:tcPr>
          <w:p>
            <w:pPr>
              <w:autoSpaceDE w:val="0"/>
              <w:autoSpaceDN w:val="0"/>
              <w:adjustRightInd w:val="0"/>
              <w:spacing w:line="312" w:lineRule="auto"/>
              <w:jc w:val="center"/>
              <w:rPr>
                <w:rFonts w:hint="eastAsia" w:ascii="宋体" w:eastAsia="宋体" w:cs="宋体"/>
                <w:sz w:val="21"/>
                <w:szCs w:val="21"/>
                <w:lang w:val="en-US" w:eastAsia="zh-CN" w:bidi="ar-SA"/>
              </w:rPr>
            </w:pPr>
            <w:r>
              <w:rPr>
                <w:rFonts w:hint="eastAsia" w:ascii="宋体" w:eastAsia="宋体" w:cs="宋体"/>
                <w:sz w:val="21"/>
                <w:szCs w:val="21"/>
                <w:lang w:val="en-US" w:eastAsia="zh-CN" w:bidi="ar-SA"/>
              </w:rPr>
              <w:t>1</w:t>
            </w:r>
          </w:p>
        </w:tc>
        <w:tc>
          <w:tcPr>
            <w:tcW w:w="466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sz w:val="24"/>
                <w:lang w:val="en-US" w:eastAsia="zh-CN"/>
              </w:rPr>
            </w:pPr>
            <w:r>
              <w:rPr>
                <w:rFonts w:hint="eastAsia" w:ascii="宋体" w:hAnsi="宋体" w:cs="宋体"/>
                <w:sz w:val="24"/>
              </w:rPr>
              <w:t>有效的“三证合一”的营业执照</w:t>
            </w:r>
            <w:r>
              <w:rPr>
                <w:rFonts w:hint="eastAsia" w:ascii="宋体" w:hAnsi="宋体" w:cs="宋体"/>
                <w:sz w:val="24"/>
                <w:lang w:eastAsia="zh-CN"/>
              </w:rPr>
              <w:t>；</w:t>
            </w:r>
          </w:p>
        </w:tc>
        <w:tc>
          <w:tcPr>
            <w:tcW w:w="3061" w:type="dxa"/>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1354" w:type="dxa"/>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1379" w:type="dxa"/>
            <w:noWrap w:val="0"/>
            <w:vAlign w:val="center"/>
          </w:tcPr>
          <w:p>
            <w:pPr>
              <w:autoSpaceDE w:val="0"/>
              <w:autoSpaceDN w:val="0"/>
              <w:adjustRightInd w:val="0"/>
              <w:spacing w:line="312" w:lineRule="auto"/>
              <w:rPr>
                <w:rFonts w:hint="eastAsia" w:ascii="宋体" w:eastAsia="宋体" w:cs="宋体"/>
                <w:sz w:val="21"/>
                <w:szCs w:val="21"/>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621" w:type="dxa"/>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val="en-US" w:eastAsia="zh-CN" w:bidi="ar-SA"/>
              </w:rPr>
              <w:t>2</w:t>
            </w:r>
          </w:p>
        </w:tc>
        <w:tc>
          <w:tcPr>
            <w:tcW w:w="466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具有良好的商业信誉和健全的财务会计制度（提供202</w:t>
            </w:r>
            <w:r>
              <w:rPr>
                <w:rFonts w:hint="eastAsia" w:ascii="宋体" w:hAnsi="宋体" w:cs="宋体"/>
                <w:sz w:val="24"/>
                <w:lang w:val="en-US" w:eastAsia="zh-CN"/>
              </w:rPr>
              <w:t>2</w:t>
            </w:r>
            <w:r>
              <w:rPr>
                <w:rFonts w:hint="eastAsia" w:ascii="宋体" w:hAnsi="宋体" w:eastAsia="宋体" w:cs="宋体"/>
                <w:sz w:val="24"/>
                <w:lang w:val="en-US" w:eastAsia="zh-CN"/>
              </w:rPr>
              <w:t>年的财务审计报告，</w:t>
            </w:r>
            <w:r>
              <w:rPr>
                <w:rFonts w:hint="eastAsia" w:ascii="宋体" w:hAnsi="宋体" w:cs="宋体"/>
                <w:sz w:val="24"/>
                <w:lang w:val="en-US" w:eastAsia="zh-CN"/>
              </w:rPr>
              <w:t>会计周期不满</w:t>
            </w:r>
            <w:r>
              <w:rPr>
                <w:rFonts w:hint="eastAsia" w:ascii="宋体" w:hAnsi="宋体" w:eastAsia="宋体" w:cs="宋体"/>
                <w:sz w:val="24"/>
                <w:lang w:val="en-US" w:eastAsia="zh-CN"/>
              </w:rPr>
              <w:t>一年的公司可不提供财务审计报告但需提供近三个月</w:t>
            </w:r>
            <w:r>
              <w:rPr>
                <w:rFonts w:hint="eastAsia" w:ascii="宋体" w:hAnsi="Times New Roman" w:eastAsia="宋体" w:cs="宋体"/>
                <w:color w:val="auto"/>
                <w:sz w:val="24"/>
                <w:szCs w:val="24"/>
                <w:highlight w:val="none"/>
                <w:lang w:val="en-US" w:eastAsia="zh-CN" w:bidi="ar-SA"/>
              </w:rPr>
              <w:t>2023年2月-2023年4月</w:t>
            </w:r>
            <w:r>
              <w:rPr>
                <w:rFonts w:hint="eastAsia" w:ascii="宋体" w:hAnsi="宋体" w:eastAsia="宋体" w:cs="宋体"/>
                <w:sz w:val="24"/>
                <w:lang w:val="en-US" w:eastAsia="zh-CN"/>
              </w:rPr>
              <w:t>银行出具的资信证明）；</w:t>
            </w:r>
          </w:p>
        </w:tc>
        <w:tc>
          <w:tcPr>
            <w:tcW w:w="3061" w:type="dxa"/>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1354" w:type="dxa"/>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1379" w:type="dxa"/>
            <w:noWrap w:val="0"/>
            <w:vAlign w:val="center"/>
          </w:tcPr>
          <w:p>
            <w:pPr>
              <w:autoSpaceDE w:val="0"/>
              <w:autoSpaceDN w:val="0"/>
              <w:adjustRightInd w:val="0"/>
              <w:spacing w:line="312" w:lineRule="auto"/>
              <w:rPr>
                <w:rFonts w:hint="eastAsia" w:ascii="宋体" w:eastAsia="宋体" w:cs="宋体"/>
                <w:sz w:val="21"/>
                <w:szCs w:val="21"/>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621" w:type="dxa"/>
            <w:noWrap w:val="0"/>
            <w:vAlign w:val="center"/>
          </w:tcPr>
          <w:p>
            <w:pPr>
              <w:autoSpaceDE w:val="0"/>
              <w:autoSpaceDN w:val="0"/>
              <w:adjustRightInd w:val="0"/>
              <w:spacing w:line="312" w:lineRule="auto"/>
              <w:jc w:val="center"/>
              <w:rPr>
                <w:rFonts w:hint="default" w:ascii="宋体" w:eastAsia="宋体" w:cs="宋体"/>
                <w:sz w:val="21"/>
                <w:szCs w:val="21"/>
                <w:lang w:val="en-US" w:eastAsia="zh-CN" w:bidi="ar-SA"/>
              </w:rPr>
            </w:pPr>
            <w:r>
              <w:rPr>
                <w:rFonts w:hint="eastAsia" w:ascii="宋体" w:cs="宋体"/>
                <w:sz w:val="21"/>
                <w:szCs w:val="21"/>
                <w:lang w:val="en-US" w:eastAsia="zh-CN" w:bidi="ar-SA"/>
              </w:rPr>
              <w:t>3</w:t>
            </w:r>
          </w:p>
        </w:tc>
        <w:tc>
          <w:tcPr>
            <w:tcW w:w="466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Times New Roman" w:eastAsia="宋体" w:cs="宋体"/>
                <w:sz w:val="21"/>
                <w:szCs w:val="21"/>
                <w:lang w:val="en-US" w:eastAsia="zh-CN" w:bidi="ar-SA"/>
              </w:rPr>
            </w:pPr>
            <w:r>
              <w:rPr>
                <w:rFonts w:hint="eastAsia" w:ascii="宋体" w:hAnsi="宋体" w:cs="宋体"/>
                <w:sz w:val="24"/>
                <w:lang w:val="en-US" w:eastAsia="zh-CN"/>
              </w:rPr>
              <w:t>提供税务部门出具近3个月（2023年2月-2023年4月）依法缴纳税收的完税证明或报税材料（依法免缴的，应提供依法免缴的相关证明文件）</w:t>
            </w:r>
          </w:p>
        </w:tc>
        <w:tc>
          <w:tcPr>
            <w:tcW w:w="3061" w:type="dxa"/>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1354" w:type="dxa"/>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1379" w:type="dxa"/>
            <w:noWrap w:val="0"/>
            <w:vAlign w:val="center"/>
          </w:tcPr>
          <w:p>
            <w:pPr>
              <w:autoSpaceDE w:val="0"/>
              <w:autoSpaceDN w:val="0"/>
              <w:adjustRightInd w:val="0"/>
              <w:spacing w:line="312" w:lineRule="auto"/>
              <w:rPr>
                <w:rFonts w:hint="eastAsia" w:ascii="宋体" w:eastAsia="宋体" w:cs="宋体"/>
                <w:sz w:val="21"/>
                <w:szCs w:val="21"/>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trPr>
        <w:tc>
          <w:tcPr>
            <w:tcW w:w="621" w:type="dxa"/>
            <w:noWrap w:val="0"/>
            <w:vAlign w:val="center"/>
          </w:tcPr>
          <w:p>
            <w:pPr>
              <w:autoSpaceDE w:val="0"/>
              <w:autoSpaceDN w:val="0"/>
              <w:adjustRightInd w:val="0"/>
              <w:spacing w:line="312" w:lineRule="auto"/>
              <w:jc w:val="center"/>
              <w:rPr>
                <w:rFonts w:hint="eastAsia" w:ascii="宋体" w:eastAsia="宋体" w:cs="宋体"/>
                <w:sz w:val="21"/>
                <w:szCs w:val="21"/>
                <w:lang w:val="en-US" w:eastAsia="zh-CN" w:bidi="ar-SA"/>
              </w:rPr>
            </w:pPr>
            <w:r>
              <w:rPr>
                <w:rFonts w:hint="eastAsia" w:ascii="宋体" w:cs="宋体"/>
                <w:sz w:val="21"/>
                <w:szCs w:val="21"/>
                <w:lang w:val="en-US" w:eastAsia="zh-CN" w:bidi="ar-SA"/>
              </w:rPr>
              <w:t>4</w:t>
            </w:r>
          </w:p>
        </w:tc>
        <w:tc>
          <w:tcPr>
            <w:tcW w:w="466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eastAsia="宋体" w:cs="宋体"/>
                <w:sz w:val="21"/>
                <w:szCs w:val="21"/>
                <w:lang w:eastAsia="zh-CN" w:bidi="ar-SA"/>
              </w:rPr>
            </w:pPr>
            <w:r>
              <w:rPr>
                <w:rFonts w:hint="eastAsia" w:ascii="宋体" w:hAnsi="Times New Roman" w:eastAsia="宋体" w:cs="宋体"/>
                <w:color w:val="auto"/>
                <w:sz w:val="24"/>
                <w:szCs w:val="24"/>
                <w:highlight w:val="none"/>
                <w:lang w:val="en-US" w:eastAsia="zh-CN" w:bidi="ar-SA"/>
              </w:rPr>
              <w:t>提供法定代表人身份证明及身份证复印件或法定代表人授权委托书或和委托代理人的身份证原件（授权书需附法人身份证及委托人身份证复印件正反面），注：法定代表人授权委托书应当单独提供（须附法人及委托代理人身份证复印件并加盖鲜公章），并与投标文件中所提供的相一致；</w:t>
            </w:r>
          </w:p>
        </w:tc>
        <w:tc>
          <w:tcPr>
            <w:tcW w:w="3061" w:type="dxa"/>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1354" w:type="dxa"/>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1379" w:type="dxa"/>
            <w:noWrap w:val="0"/>
            <w:vAlign w:val="center"/>
          </w:tcPr>
          <w:p>
            <w:pPr>
              <w:autoSpaceDE w:val="0"/>
              <w:autoSpaceDN w:val="0"/>
              <w:adjustRightInd w:val="0"/>
              <w:spacing w:line="312" w:lineRule="auto"/>
              <w:rPr>
                <w:rFonts w:hint="eastAsia" w:ascii="宋体" w:eastAsia="宋体" w:cs="宋体"/>
                <w:sz w:val="21"/>
                <w:szCs w:val="21"/>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621" w:type="dxa"/>
            <w:noWrap w:val="0"/>
            <w:vAlign w:val="center"/>
          </w:tcPr>
          <w:p>
            <w:pPr>
              <w:autoSpaceDE w:val="0"/>
              <w:autoSpaceDN w:val="0"/>
              <w:adjustRightInd w:val="0"/>
              <w:spacing w:line="312" w:lineRule="auto"/>
              <w:jc w:val="center"/>
              <w:rPr>
                <w:rFonts w:hint="default" w:ascii="宋体" w:cs="宋体"/>
                <w:sz w:val="21"/>
                <w:szCs w:val="21"/>
                <w:lang w:val="en-US" w:eastAsia="zh-CN" w:bidi="ar-SA"/>
              </w:rPr>
            </w:pPr>
            <w:r>
              <w:rPr>
                <w:rFonts w:hint="eastAsia" w:ascii="宋体" w:cs="宋体"/>
                <w:sz w:val="21"/>
                <w:szCs w:val="21"/>
                <w:lang w:val="en-US" w:eastAsia="zh-CN" w:bidi="ar-SA"/>
              </w:rPr>
              <w:t>5</w:t>
            </w:r>
          </w:p>
        </w:tc>
        <w:tc>
          <w:tcPr>
            <w:tcW w:w="466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Times New Roman" w:eastAsia="宋体" w:cs="宋体"/>
                <w:color w:val="auto"/>
                <w:sz w:val="24"/>
                <w:szCs w:val="24"/>
                <w:highlight w:val="none"/>
                <w:lang w:val="en-US" w:eastAsia="zh-CN" w:bidi="ar-SA"/>
              </w:rPr>
            </w:pPr>
            <w:r>
              <w:rPr>
                <w:rFonts w:hint="eastAsia" w:ascii="宋体" w:hAnsi="Times New Roman" w:eastAsia="宋体" w:cs="宋体"/>
                <w:color w:val="auto"/>
                <w:sz w:val="24"/>
                <w:szCs w:val="24"/>
                <w:highlight w:val="none"/>
                <w:lang w:val="en-US" w:eastAsia="zh-CN" w:bidi="ar-SA"/>
              </w:rPr>
              <w:t>提供法人或委托人在本公司缴纳的近三个月（2023年2月-2023年4月）社保缴纳证明（出具缴费个人明细）；</w:t>
            </w:r>
          </w:p>
        </w:tc>
        <w:tc>
          <w:tcPr>
            <w:tcW w:w="3061" w:type="dxa"/>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1354" w:type="dxa"/>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1379" w:type="dxa"/>
            <w:noWrap w:val="0"/>
            <w:vAlign w:val="center"/>
          </w:tcPr>
          <w:p>
            <w:pPr>
              <w:autoSpaceDE w:val="0"/>
              <w:autoSpaceDN w:val="0"/>
              <w:adjustRightInd w:val="0"/>
              <w:spacing w:line="312" w:lineRule="auto"/>
              <w:rPr>
                <w:rFonts w:hint="eastAsia" w:ascii="宋体" w:eastAsia="宋体" w:cs="宋体"/>
                <w:sz w:val="21"/>
                <w:szCs w:val="21"/>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621" w:type="dxa"/>
            <w:noWrap w:val="0"/>
            <w:vAlign w:val="center"/>
          </w:tcPr>
          <w:p>
            <w:pPr>
              <w:autoSpaceDE w:val="0"/>
              <w:autoSpaceDN w:val="0"/>
              <w:adjustRightInd w:val="0"/>
              <w:spacing w:line="312" w:lineRule="auto"/>
              <w:jc w:val="center"/>
              <w:rPr>
                <w:rFonts w:hint="default" w:ascii="宋体" w:cs="宋体"/>
                <w:sz w:val="21"/>
                <w:szCs w:val="21"/>
                <w:lang w:val="en-US" w:eastAsia="zh-CN" w:bidi="ar-SA"/>
              </w:rPr>
            </w:pPr>
            <w:r>
              <w:rPr>
                <w:rFonts w:hint="eastAsia" w:cs="宋体"/>
                <w:sz w:val="21"/>
                <w:szCs w:val="21"/>
                <w:lang w:val="en-US" w:eastAsia="zh-CN" w:bidi="ar-SA"/>
              </w:rPr>
              <w:t>6</w:t>
            </w:r>
          </w:p>
        </w:tc>
        <w:tc>
          <w:tcPr>
            <w:tcW w:w="466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提供在“信用中国”网站（www.creditchina.gov.cn）、中国政府采购网（www.ccgp.gov.cn）、国家企业信用信息公示系统（http://www.gsxt.gov.cn）、中国裁判文书网（http://wenshu.court.gov.cn）网站截图</w:t>
            </w:r>
          </w:p>
        </w:tc>
        <w:tc>
          <w:tcPr>
            <w:tcW w:w="3061" w:type="dxa"/>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1354" w:type="dxa"/>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1379" w:type="dxa"/>
            <w:noWrap w:val="0"/>
            <w:vAlign w:val="center"/>
          </w:tcPr>
          <w:p>
            <w:pPr>
              <w:autoSpaceDE w:val="0"/>
              <w:autoSpaceDN w:val="0"/>
              <w:adjustRightInd w:val="0"/>
              <w:spacing w:line="312" w:lineRule="auto"/>
              <w:rPr>
                <w:rFonts w:hint="eastAsia" w:ascii="宋体" w:eastAsia="宋体" w:cs="宋体"/>
                <w:sz w:val="21"/>
                <w:szCs w:val="21"/>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21" w:type="dxa"/>
            <w:noWrap w:val="0"/>
            <w:vAlign w:val="center"/>
          </w:tcPr>
          <w:p>
            <w:pPr>
              <w:autoSpaceDE w:val="0"/>
              <w:autoSpaceDN w:val="0"/>
              <w:adjustRightInd w:val="0"/>
              <w:spacing w:line="312" w:lineRule="auto"/>
              <w:jc w:val="center"/>
              <w:rPr>
                <w:rFonts w:hint="eastAsia" w:ascii="宋体" w:eastAsia="宋体" w:cs="宋体"/>
                <w:sz w:val="21"/>
                <w:szCs w:val="21"/>
                <w:lang w:val="en-US" w:eastAsia="zh-CN" w:bidi="ar-SA"/>
              </w:rPr>
            </w:pPr>
            <w:r>
              <w:rPr>
                <w:rFonts w:hint="eastAsia" w:cs="宋体"/>
                <w:sz w:val="21"/>
                <w:szCs w:val="21"/>
                <w:lang w:val="en-US" w:eastAsia="zh-CN" w:bidi="ar-SA"/>
              </w:rPr>
              <w:t>7</w:t>
            </w:r>
          </w:p>
        </w:tc>
        <w:tc>
          <w:tcPr>
            <w:tcW w:w="4664" w:type="dxa"/>
            <w:noWrap w:val="0"/>
            <w:vAlign w:val="center"/>
          </w:tcPr>
          <w:p>
            <w:pPr>
              <w:autoSpaceDE w:val="0"/>
              <w:autoSpaceDN w:val="0"/>
              <w:adjustRightInd w:val="0"/>
              <w:spacing w:line="312"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投标保证金电子回单</w:t>
            </w:r>
          </w:p>
        </w:tc>
        <w:tc>
          <w:tcPr>
            <w:tcW w:w="3061" w:type="dxa"/>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1354" w:type="dxa"/>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1379" w:type="dxa"/>
            <w:noWrap w:val="0"/>
            <w:vAlign w:val="center"/>
          </w:tcPr>
          <w:p>
            <w:pPr>
              <w:autoSpaceDE w:val="0"/>
              <w:autoSpaceDN w:val="0"/>
              <w:adjustRightInd w:val="0"/>
              <w:spacing w:line="312" w:lineRule="auto"/>
              <w:rPr>
                <w:rFonts w:hint="eastAsia" w:ascii="宋体" w:eastAsia="宋体" w:cs="宋体"/>
                <w:sz w:val="21"/>
                <w:szCs w:val="21"/>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1079" w:type="dxa"/>
            <w:gridSpan w:val="5"/>
            <w:noWrap w:val="0"/>
            <w:vAlign w:val="center"/>
          </w:tcPr>
          <w:p>
            <w:pPr>
              <w:pageBreakBefore w:val="0"/>
              <w:kinsoku/>
              <w:wordWrap/>
              <w:overflowPunct/>
              <w:topLinePunct w:val="0"/>
              <w:bidi w:val="0"/>
              <w:adjustRightInd/>
              <w:spacing w:afterAutospacing="0" w:line="360" w:lineRule="auto"/>
              <w:jc w:val="center"/>
            </w:pPr>
            <w:r>
              <w:rPr>
                <w:rFonts w:hint="eastAsia"/>
              </w:rPr>
              <w:t>“√”表示合格；“×”表示不合格，一项不合格结果为不合格，如不合格，请在结果中写明原因。</w:t>
            </w:r>
          </w:p>
        </w:tc>
      </w:tr>
    </w:tbl>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color w:val="000000"/>
          <w:sz w:val="24"/>
        </w:rPr>
      </w:pPr>
      <w:r>
        <w:rPr>
          <w:b/>
          <w:sz w:val="24"/>
          <w:lang w:eastAsia="zh-CN"/>
        </w:rPr>
        <w:tab/>
      </w:r>
    </w:p>
    <w:p>
      <w:pPr>
        <w:pStyle w:val="8"/>
        <w:spacing w:line="360" w:lineRule="auto"/>
        <w:ind w:left="140"/>
        <w:rPr>
          <w:lang w:eastAsia="zh-CN"/>
        </w:rPr>
      </w:pPr>
      <w:r>
        <w:rPr>
          <w:lang w:eastAsia="zh-CN"/>
        </w:rPr>
        <w:t>监督人员签名：</w:t>
      </w:r>
    </w:p>
    <w:p>
      <w:pPr>
        <w:tabs>
          <w:tab w:val="left" w:pos="11794"/>
          <w:tab w:val="left" w:pos="13114"/>
          <w:tab w:val="left" w:pos="13714"/>
          <w:tab w:val="left" w:pos="14314"/>
        </w:tabs>
        <w:spacing w:before="28" w:line="360" w:lineRule="auto"/>
        <w:ind w:left="140"/>
        <w:rPr>
          <w:sz w:val="24"/>
          <w:lang w:eastAsia="zh-CN"/>
        </w:rPr>
      </w:pPr>
      <w:r>
        <w:rPr>
          <w:sz w:val="24"/>
          <w:lang w:eastAsia="zh-CN"/>
        </w:rPr>
        <w:t>日期：</w:t>
      </w:r>
      <w:r>
        <w:rPr>
          <w:rFonts w:hint="eastAsia"/>
          <w:sz w:val="24"/>
          <w:lang w:val="en-US" w:eastAsia="zh-CN"/>
        </w:rPr>
        <w:t xml:space="preserve">       </w:t>
      </w:r>
      <w:r>
        <w:rPr>
          <w:sz w:val="24"/>
          <w:lang w:eastAsia="zh-CN"/>
        </w:rPr>
        <w:t>年</w:t>
      </w:r>
      <w:r>
        <w:rPr>
          <w:rFonts w:hint="eastAsia"/>
          <w:sz w:val="24"/>
          <w:lang w:val="en-US" w:eastAsia="zh-CN"/>
        </w:rPr>
        <w:t xml:space="preserve">     </w:t>
      </w:r>
      <w:r>
        <w:rPr>
          <w:sz w:val="24"/>
          <w:lang w:eastAsia="zh-CN"/>
        </w:rPr>
        <w:t>月</w:t>
      </w:r>
      <w:r>
        <w:rPr>
          <w:rFonts w:hint="eastAsia"/>
          <w:sz w:val="24"/>
          <w:lang w:val="en-US" w:eastAsia="zh-CN"/>
        </w:rPr>
        <w:t xml:space="preserve">     </w:t>
      </w:r>
      <w:r>
        <w:rPr>
          <w:sz w:val="24"/>
          <w:lang w:eastAsia="zh-CN"/>
        </w:rPr>
        <w:t>日</w:t>
      </w:r>
    </w:p>
    <w:p>
      <w:pPr>
        <w:rPr>
          <w:lang w:eastAsia="zh-CN"/>
        </w:rPr>
        <w:sectPr>
          <w:type w:val="continuous"/>
          <w:pgSz w:w="11910" w:h="16840"/>
          <w:pgMar w:top="1800" w:right="1440" w:bottom="1800" w:left="1440" w:header="720" w:footer="720" w:gutter="0"/>
          <w:pgNumType w:fmt="decimal"/>
          <w:cols w:space="720" w:num="1"/>
        </w:sectPr>
      </w:pPr>
    </w:p>
    <w:p>
      <w:pPr>
        <w:pStyle w:val="4"/>
        <w:spacing w:before="59"/>
        <w:rPr>
          <w:lang w:eastAsia="zh-CN"/>
        </w:rPr>
      </w:pPr>
      <w:r>
        <w:rPr>
          <w:lang w:eastAsia="zh-CN"/>
        </w:rPr>
        <w:t>附件 2 资格审查标准</w:t>
      </w:r>
    </w:p>
    <w:p>
      <w:pPr>
        <w:pStyle w:val="8"/>
        <w:spacing w:before="6"/>
        <w:rPr>
          <w:b/>
          <w:sz w:val="21"/>
          <w:lang w:eastAsia="zh-CN"/>
        </w:rPr>
      </w:pPr>
    </w:p>
    <w:tbl>
      <w:tblPr>
        <w:tblStyle w:val="25"/>
        <w:tblW w:w="8761" w:type="dxa"/>
        <w:tblInd w:w="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3"/>
        <w:gridCol w:w="80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703" w:type="dxa"/>
          </w:tcPr>
          <w:p>
            <w:pPr>
              <w:pStyle w:val="24"/>
              <w:spacing w:before="43"/>
              <w:ind w:left="7"/>
              <w:jc w:val="center"/>
              <w:rPr>
                <w:sz w:val="24"/>
              </w:rPr>
            </w:pPr>
            <w:r>
              <w:rPr>
                <w:sz w:val="24"/>
              </w:rPr>
              <w:t>1</w:t>
            </w:r>
          </w:p>
        </w:tc>
        <w:tc>
          <w:tcPr>
            <w:tcW w:w="8058" w:type="dxa"/>
          </w:tcPr>
          <w:p>
            <w:pPr>
              <w:pStyle w:val="24"/>
              <w:spacing w:before="43"/>
              <w:ind w:left="107"/>
              <w:rPr>
                <w:sz w:val="24"/>
                <w:lang w:eastAsia="zh-CN"/>
              </w:rPr>
            </w:pPr>
            <w:r>
              <w:rPr>
                <w:sz w:val="24"/>
                <w:lang w:eastAsia="zh-CN"/>
              </w:rPr>
              <w:t>按磋商文件要求的金额、形式、时间提交磋商保证金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03" w:type="dxa"/>
          </w:tcPr>
          <w:p>
            <w:pPr>
              <w:pStyle w:val="24"/>
              <w:spacing w:before="157"/>
              <w:ind w:left="7"/>
              <w:jc w:val="center"/>
              <w:rPr>
                <w:sz w:val="24"/>
              </w:rPr>
            </w:pPr>
            <w:r>
              <w:rPr>
                <w:sz w:val="24"/>
              </w:rPr>
              <w:t>2</w:t>
            </w:r>
          </w:p>
        </w:tc>
        <w:tc>
          <w:tcPr>
            <w:tcW w:w="8058" w:type="dxa"/>
          </w:tcPr>
          <w:p>
            <w:pPr>
              <w:pStyle w:val="24"/>
              <w:spacing w:before="1"/>
              <w:ind w:left="107"/>
              <w:rPr>
                <w:sz w:val="24"/>
                <w:lang w:eastAsia="zh-CN"/>
              </w:rPr>
            </w:pPr>
            <w:r>
              <w:rPr>
                <w:sz w:val="24"/>
                <w:lang w:eastAsia="zh-CN"/>
              </w:rPr>
              <w:t>具有独立承担民事责任的能力，在中华人民共和国境内注册，有能力提供本</w:t>
            </w:r>
          </w:p>
          <w:p>
            <w:pPr>
              <w:pStyle w:val="24"/>
              <w:spacing w:before="4" w:line="289" w:lineRule="exact"/>
              <w:ind w:left="107"/>
              <w:rPr>
                <w:sz w:val="24"/>
                <w:lang w:eastAsia="zh-CN"/>
              </w:rPr>
            </w:pPr>
            <w:r>
              <w:rPr>
                <w:sz w:val="24"/>
                <w:lang w:eastAsia="zh-CN"/>
              </w:rPr>
              <w:t>项目全部产品及服务能力，提供有效的营业执照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3" w:type="dxa"/>
          </w:tcPr>
          <w:p>
            <w:pPr>
              <w:pStyle w:val="24"/>
              <w:spacing w:before="43"/>
              <w:ind w:left="7"/>
              <w:jc w:val="center"/>
              <w:rPr>
                <w:sz w:val="24"/>
              </w:rPr>
            </w:pPr>
            <w:r>
              <w:rPr>
                <w:sz w:val="24"/>
              </w:rPr>
              <w:t>3</w:t>
            </w:r>
          </w:p>
        </w:tc>
        <w:tc>
          <w:tcPr>
            <w:tcW w:w="8058" w:type="dxa"/>
          </w:tcPr>
          <w:p>
            <w:pPr>
              <w:pStyle w:val="24"/>
              <w:spacing w:before="43"/>
              <w:ind w:left="107"/>
              <w:rPr>
                <w:sz w:val="24"/>
                <w:lang w:eastAsia="zh-CN"/>
              </w:rPr>
            </w:pPr>
            <w:r>
              <w:rPr>
                <w:sz w:val="24"/>
                <w:lang w:eastAsia="zh-CN"/>
              </w:rPr>
              <w:t>具有良好的商业信誉和健全的财务会计制度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3" w:type="dxa"/>
          </w:tcPr>
          <w:p>
            <w:pPr>
              <w:pStyle w:val="24"/>
              <w:spacing w:before="44"/>
              <w:ind w:left="7"/>
              <w:jc w:val="center"/>
              <w:rPr>
                <w:sz w:val="24"/>
              </w:rPr>
            </w:pPr>
            <w:r>
              <w:rPr>
                <w:sz w:val="24"/>
              </w:rPr>
              <w:t>4</w:t>
            </w:r>
          </w:p>
        </w:tc>
        <w:tc>
          <w:tcPr>
            <w:tcW w:w="8058" w:type="dxa"/>
          </w:tcPr>
          <w:p>
            <w:pPr>
              <w:pStyle w:val="24"/>
              <w:spacing w:before="44"/>
              <w:ind w:left="107"/>
              <w:rPr>
                <w:sz w:val="24"/>
                <w:lang w:eastAsia="zh-CN"/>
              </w:rPr>
            </w:pPr>
            <w:r>
              <w:rPr>
                <w:sz w:val="24"/>
                <w:lang w:eastAsia="zh-CN"/>
              </w:rPr>
              <w:t>具有履行采购合同所必需的服务和专业技术能力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3" w:type="dxa"/>
          </w:tcPr>
          <w:p>
            <w:pPr>
              <w:pStyle w:val="24"/>
              <w:spacing w:before="43"/>
              <w:ind w:left="7"/>
              <w:jc w:val="center"/>
              <w:rPr>
                <w:sz w:val="24"/>
              </w:rPr>
            </w:pPr>
            <w:r>
              <w:rPr>
                <w:sz w:val="24"/>
              </w:rPr>
              <w:t>5</w:t>
            </w:r>
          </w:p>
        </w:tc>
        <w:tc>
          <w:tcPr>
            <w:tcW w:w="8058" w:type="dxa"/>
          </w:tcPr>
          <w:p>
            <w:pPr>
              <w:pStyle w:val="24"/>
              <w:spacing w:before="43"/>
              <w:ind w:left="107"/>
              <w:rPr>
                <w:sz w:val="24"/>
                <w:lang w:eastAsia="zh-CN"/>
              </w:rPr>
            </w:pPr>
            <w:r>
              <w:rPr>
                <w:sz w:val="24"/>
                <w:lang w:eastAsia="zh-CN"/>
              </w:rPr>
              <w:t>具有依法缴纳税款和社会保障资金的良好记录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703" w:type="dxa"/>
          </w:tcPr>
          <w:p>
            <w:pPr>
              <w:pStyle w:val="24"/>
              <w:spacing w:before="80"/>
              <w:ind w:left="7"/>
              <w:jc w:val="center"/>
              <w:rPr>
                <w:sz w:val="24"/>
              </w:rPr>
            </w:pPr>
            <w:r>
              <w:rPr>
                <w:sz w:val="24"/>
              </w:rPr>
              <w:t>6</w:t>
            </w:r>
          </w:p>
        </w:tc>
        <w:tc>
          <w:tcPr>
            <w:tcW w:w="8058" w:type="dxa"/>
          </w:tcPr>
          <w:p>
            <w:pPr>
              <w:pStyle w:val="24"/>
              <w:spacing w:before="3"/>
              <w:ind w:left="107"/>
              <w:rPr>
                <w:sz w:val="24"/>
                <w:lang w:eastAsia="zh-CN"/>
              </w:rPr>
            </w:pPr>
            <w:r>
              <w:rPr>
                <w:sz w:val="24"/>
                <w:lang w:eastAsia="zh-CN"/>
              </w:rPr>
              <w:t>法定代表人授权委托书及被委托人身份证复印件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3" w:type="dxa"/>
          </w:tcPr>
          <w:p>
            <w:pPr>
              <w:pStyle w:val="24"/>
              <w:spacing w:before="42"/>
              <w:ind w:left="7"/>
              <w:jc w:val="center"/>
              <w:rPr>
                <w:sz w:val="24"/>
              </w:rPr>
            </w:pPr>
            <w:r>
              <w:rPr>
                <w:sz w:val="24"/>
              </w:rPr>
              <w:t>7</w:t>
            </w:r>
          </w:p>
        </w:tc>
        <w:tc>
          <w:tcPr>
            <w:tcW w:w="8058" w:type="dxa"/>
          </w:tcPr>
          <w:p>
            <w:pPr>
              <w:pStyle w:val="24"/>
              <w:spacing w:before="42"/>
              <w:ind w:left="107"/>
              <w:rPr>
                <w:sz w:val="24"/>
                <w:lang w:eastAsia="zh-CN"/>
              </w:rPr>
            </w:pPr>
            <w:r>
              <w:rPr>
                <w:sz w:val="24"/>
                <w:lang w:eastAsia="zh-CN"/>
              </w:rPr>
              <w:t>参加本次政府采购活动前三年内，在经营活动中没有重大违法记录</w:t>
            </w:r>
          </w:p>
        </w:tc>
      </w:tr>
    </w:tbl>
    <w:p>
      <w:pPr>
        <w:rPr>
          <w:sz w:val="24"/>
          <w:lang w:eastAsia="zh-CN"/>
        </w:rPr>
        <w:sectPr>
          <w:headerReference r:id="rId16" w:type="default"/>
          <w:footerReference r:id="rId17" w:type="default"/>
          <w:pgSz w:w="12240" w:h="15840"/>
          <w:pgMar w:top="1380" w:right="840" w:bottom="280" w:left="820" w:header="953" w:footer="624" w:gutter="0"/>
          <w:pgNumType w:fmt="decimal"/>
          <w:cols w:space="720" w:num="1"/>
        </w:sectPr>
      </w:pPr>
    </w:p>
    <w:p>
      <w:pPr>
        <w:pStyle w:val="4"/>
        <w:spacing w:before="59"/>
        <w:rPr>
          <w:lang w:eastAsia="zh-CN"/>
        </w:rPr>
      </w:pPr>
      <w:r>
        <w:rPr>
          <w:lang w:eastAsia="zh-CN"/>
        </w:rPr>
        <w:t>附件 3 响应文件完备性及符合性审查</w:t>
      </w:r>
    </w:p>
    <w:p>
      <w:pPr>
        <w:pStyle w:val="8"/>
        <w:spacing w:before="6"/>
        <w:rPr>
          <w:b/>
          <w:sz w:val="21"/>
          <w:lang w:eastAsia="zh-CN"/>
        </w:rPr>
      </w:pPr>
    </w:p>
    <w:tbl>
      <w:tblPr>
        <w:tblStyle w:val="25"/>
        <w:tblW w:w="10294" w:type="dxa"/>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6"/>
        <w:gridCol w:w="94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26" w:type="dxa"/>
          </w:tcPr>
          <w:p>
            <w:pPr>
              <w:pStyle w:val="24"/>
              <w:spacing w:line="291" w:lineRule="exact"/>
              <w:ind w:left="89" w:right="207"/>
              <w:jc w:val="center"/>
              <w:rPr>
                <w:sz w:val="24"/>
              </w:rPr>
            </w:pPr>
            <w:r>
              <w:rPr>
                <w:sz w:val="24"/>
              </w:rPr>
              <w:t>序号</w:t>
            </w:r>
          </w:p>
        </w:tc>
        <w:tc>
          <w:tcPr>
            <w:tcW w:w="9468" w:type="dxa"/>
          </w:tcPr>
          <w:p>
            <w:pPr>
              <w:pStyle w:val="24"/>
              <w:spacing w:line="291" w:lineRule="exact"/>
              <w:ind w:left="4234" w:right="4223"/>
              <w:jc w:val="center"/>
              <w:rPr>
                <w:sz w:val="24"/>
              </w:rPr>
            </w:pPr>
            <w:r>
              <w:rPr>
                <w:sz w:val="24"/>
              </w:rPr>
              <w:t>评审内容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26" w:type="dxa"/>
          </w:tcPr>
          <w:p>
            <w:pPr>
              <w:pStyle w:val="24"/>
              <w:spacing w:line="290" w:lineRule="exact"/>
              <w:ind w:left="9"/>
              <w:jc w:val="center"/>
              <w:rPr>
                <w:sz w:val="24"/>
              </w:rPr>
            </w:pPr>
            <w:r>
              <w:rPr>
                <w:sz w:val="24"/>
              </w:rPr>
              <w:t>1</w:t>
            </w:r>
          </w:p>
        </w:tc>
        <w:tc>
          <w:tcPr>
            <w:tcW w:w="9468" w:type="dxa"/>
          </w:tcPr>
          <w:p>
            <w:pPr>
              <w:pStyle w:val="24"/>
              <w:spacing w:line="290" w:lineRule="exact"/>
              <w:ind w:left="107"/>
              <w:rPr>
                <w:sz w:val="24"/>
                <w:lang w:eastAsia="zh-CN"/>
              </w:rPr>
            </w:pPr>
            <w:r>
              <w:rPr>
                <w:sz w:val="24"/>
                <w:lang w:eastAsia="zh-CN"/>
              </w:rPr>
              <w:t>响应文件内容齐全，按照磋商文件要求编制、填写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26" w:type="dxa"/>
          </w:tcPr>
          <w:p>
            <w:pPr>
              <w:pStyle w:val="24"/>
              <w:spacing w:before="1" w:line="290" w:lineRule="exact"/>
              <w:ind w:left="9"/>
              <w:jc w:val="center"/>
              <w:rPr>
                <w:sz w:val="24"/>
              </w:rPr>
            </w:pPr>
            <w:r>
              <w:rPr>
                <w:sz w:val="24"/>
              </w:rPr>
              <w:t>2</w:t>
            </w:r>
          </w:p>
        </w:tc>
        <w:tc>
          <w:tcPr>
            <w:tcW w:w="9468" w:type="dxa"/>
          </w:tcPr>
          <w:p>
            <w:pPr>
              <w:pStyle w:val="24"/>
              <w:spacing w:before="1" w:line="290" w:lineRule="exact"/>
              <w:ind w:left="107"/>
              <w:rPr>
                <w:sz w:val="24"/>
                <w:lang w:eastAsia="zh-CN"/>
              </w:rPr>
            </w:pPr>
            <w:r>
              <w:rPr>
                <w:sz w:val="24"/>
                <w:lang w:eastAsia="zh-CN"/>
              </w:rPr>
              <w:t>响应文件上法定代表人或其委托代理人的签字、盖章齐全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26" w:type="dxa"/>
          </w:tcPr>
          <w:p>
            <w:pPr>
              <w:pStyle w:val="24"/>
              <w:spacing w:before="1" w:line="290" w:lineRule="exact"/>
              <w:ind w:left="9"/>
              <w:jc w:val="center"/>
              <w:rPr>
                <w:sz w:val="24"/>
              </w:rPr>
            </w:pPr>
            <w:r>
              <w:rPr>
                <w:sz w:val="24"/>
              </w:rPr>
              <w:t>3</w:t>
            </w:r>
          </w:p>
        </w:tc>
        <w:tc>
          <w:tcPr>
            <w:tcW w:w="9468" w:type="dxa"/>
          </w:tcPr>
          <w:p>
            <w:pPr>
              <w:pStyle w:val="24"/>
              <w:spacing w:before="1" w:line="290" w:lineRule="exact"/>
              <w:ind w:left="107"/>
              <w:rPr>
                <w:sz w:val="24"/>
                <w:lang w:eastAsia="zh-CN"/>
              </w:rPr>
            </w:pPr>
            <w:r>
              <w:rPr>
                <w:sz w:val="24"/>
                <w:lang w:eastAsia="zh-CN"/>
              </w:rPr>
              <w:t>由委托代理人签字的，附有法定代表人对其授权委托书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26" w:type="dxa"/>
          </w:tcPr>
          <w:p>
            <w:pPr>
              <w:pStyle w:val="24"/>
              <w:spacing w:before="1" w:line="290" w:lineRule="exact"/>
              <w:ind w:left="9"/>
              <w:jc w:val="center"/>
              <w:rPr>
                <w:sz w:val="24"/>
              </w:rPr>
            </w:pPr>
            <w:r>
              <w:rPr>
                <w:sz w:val="24"/>
              </w:rPr>
              <w:t>4</w:t>
            </w:r>
          </w:p>
        </w:tc>
        <w:tc>
          <w:tcPr>
            <w:tcW w:w="9468" w:type="dxa"/>
          </w:tcPr>
          <w:p>
            <w:pPr>
              <w:pStyle w:val="24"/>
              <w:spacing w:before="1" w:line="290" w:lineRule="exact"/>
              <w:ind w:left="107"/>
              <w:rPr>
                <w:sz w:val="24"/>
                <w:lang w:eastAsia="zh-CN"/>
              </w:rPr>
            </w:pPr>
            <w:r>
              <w:rPr>
                <w:sz w:val="24"/>
                <w:lang w:eastAsia="zh-CN"/>
              </w:rPr>
              <w:t>磋商有效期满足磋商文件要求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26" w:type="dxa"/>
          </w:tcPr>
          <w:p>
            <w:pPr>
              <w:pStyle w:val="24"/>
              <w:spacing w:before="2" w:line="289" w:lineRule="exact"/>
              <w:ind w:left="9"/>
              <w:jc w:val="center"/>
              <w:rPr>
                <w:sz w:val="24"/>
              </w:rPr>
            </w:pPr>
            <w:r>
              <w:rPr>
                <w:sz w:val="24"/>
              </w:rPr>
              <w:t>5</w:t>
            </w:r>
          </w:p>
        </w:tc>
        <w:tc>
          <w:tcPr>
            <w:tcW w:w="9468" w:type="dxa"/>
          </w:tcPr>
          <w:p>
            <w:pPr>
              <w:pStyle w:val="24"/>
              <w:spacing w:before="2" w:line="289" w:lineRule="exact"/>
              <w:ind w:left="107"/>
              <w:rPr>
                <w:sz w:val="24"/>
                <w:lang w:eastAsia="zh-CN"/>
              </w:rPr>
            </w:pPr>
            <w:r>
              <w:rPr>
                <w:sz w:val="24"/>
                <w:lang w:eastAsia="zh-CN"/>
              </w:rPr>
              <w:t>响应文件中有关材料未存在弄虚作假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26" w:type="dxa"/>
          </w:tcPr>
          <w:p>
            <w:pPr>
              <w:pStyle w:val="24"/>
              <w:spacing w:before="2" w:line="288" w:lineRule="exact"/>
              <w:ind w:left="9"/>
              <w:jc w:val="center"/>
              <w:rPr>
                <w:sz w:val="24"/>
              </w:rPr>
            </w:pPr>
            <w:r>
              <w:rPr>
                <w:sz w:val="24"/>
              </w:rPr>
              <w:t>6</w:t>
            </w:r>
          </w:p>
        </w:tc>
        <w:tc>
          <w:tcPr>
            <w:tcW w:w="9468" w:type="dxa"/>
          </w:tcPr>
          <w:p>
            <w:pPr>
              <w:pStyle w:val="24"/>
              <w:spacing w:before="2" w:line="288" w:lineRule="exact"/>
              <w:ind w:left="107"/>
              <w:rPr>
                <w:sz w:val="24"/>
              </w:rPr>
            </w:pPr>
            <w:r>
              <w:rPr>
                <w:sz w:val="24"/>
              </w:rPr>
              <w:t>未以他人名义申请的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26" w:type="dxa"/>
          </w:tcPr>
          <w:p>
            <w:pPr>
              <w:pStyle w:val="24"/>
              <w:spacing w:before="3" w:line="289" w:lineRule="exact"/>
              <w:ind w:left="9"/>
              <w:jc w:val="center"/>
              <w:rPr>
                <w:sz w:val="24"/>
              </w:rPr>
            </w:pPr>
            <w:r>
              <w:rPr>
                <w:sz w:val="24"/>
              </w:rPr>
              <w:t>7</w:t>
            </w:r>
          </w:p>
        </w:tc>
        <w:tc>
          <w:tcPr>
            <w:tcW w:w="9468" w:type="dxa"/>
          </w:tcPr>
          <w:p>
            <w:pPr>
              <w:pStyle w:val="24"/>
              <w:spacing w:before="3" w:line="289" w:lineRule="exact"/>
              <w:ind w:left="107"/>
              <w:rPr>
                <w:sz w:val="24"/>
                <w:lang w:eastAsia="zh-CN"/>
              </w:rPr>
            </w:pPr>
            <w:r>
              <w:rPr>
                <w:sz w:val="24"/>
                <w:lang w:eastAsia="zh-CN"/>
              </w:rPr>
              <w:t>未与其他供应商串通或与采购人串通磋商的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26" w:type="dxa"/>
          </w:tcPr>
          <w:p>
            <w:pPr>
              <w:pStyle w:val="24"/>
              <w:spacing w:before="3" w:line="289" w:lineRule="exact"/>
              <w:ind w:left="9"/>
              <w:jc w:val="center"/>
              <w:rPr>
                <w:rFonts w:hint="default" w:eastAsia="宋体"/>
                <w:sz w:val="24"/>
                <w:lang w:val="en-US" w:eastAsia="zh-CN"/>
              </w:rPr>
            </w:pPr>
            <w:r>
              <w:rPr>
                <w:rFonts w:hint="eastAsia"/>
                <w:sz w:val="24"/>
                <w:lang w:val="en-US" w:eastAsia="zh-CN"/>
              </w:rPr>
              <w:t>8</w:t>
            </w:r>
          </w:p>
        </w:tc>
        <w:tc>
          <w:tcPr>
            <w:tcW w:w="9468" w:type="dxa"/>
          </w:tcPr>
          <w:p>
            <w:pPr>
              <w:pStyle w:val="24"/>
              <w:spacing w:before="3" w:line="289" w:lineRule="exact"/>
              <w:ind w:left="107"/>
              <w:rPr>
                <w:rFonts w:hint="default"/>
                <w:sz w:val="24"/>
                <w:lang w:val="en-US" w:eastAsia="zh-CN"/>
              </w:rPr>
            </w:pPr>
            <w:r>
              <w:rPr>
                <w:rFonts w:hint="eastAsia"/>
                <w:sz w:val="24"/>
                <w:lang w:val="en-US" w:eastAsia="zh-CN"/>
              </w:rPr>
              <w:t>响应文件完全满足磋商文件的实质性条款（即标注</w:t>
            </w:r>
            <w:r>
              <w:rPr>
                <w:rFonts w:hint="eastAsia" w:cs="宋体"/>
                <w:b w:val="0"/>
                <w:bCs w:val="0"/>
                <w:sz w:val="24"/>
                <w:szCs w:val="24"/>
                <w:lang w:val="en-US" w:eastAsia="zh-CN" w:bidi="ar-SA"/>
              </w:rPr>
              <w:t>★号条款）无负偏离的；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26" w:type="dxa"/>
          </w:tcPr>
          <w:p>
            <w:pPr>
              <w:pStyle w:val="24"/>
              <w:spacing w:line="291" w:lineRule="exact"/>
              <w:ind w:left="9"/>
              <w:jc w:val="center"/>
              <w:rPr>
                <w:rFonts w:hint="eastAsia" w:eastAsia="宋体"/>
                <w:sz w:val="24"/>
                <w:lang w:eastAsia="zh-CN"/>
              </w:rPr>
            </w:pPr>
            <w:r>
              <w:rPr>
                <w:rFonts w:hint="eastAsia"/>
                <w:sz w:val="24"/>
                <w:lang w:val="en-US" w:eastAsia="zh-CN"/>
              </w:rPr>
              <w:t>9</w:t>
            </w:r>
          </w:p>
        </w:tc>
        <w:tc>
          <w:tcPr>
            <w:tcW w:w="9468" w:type="dxa"/>
          </w:tcPr>
          <w:p>
            <w:pPr>
              <w:pStyle w:val="24"/>
              <w:spacing w:line="291" w:lineRule="exact"/>
              <w:ind w:left="107"/>
              <w:rPr>
                <w:sz w:val="24"/>
                <w:lang w:eastAsia="zh-CN"/>
              </w:rPr>
            </w:pPr>
            <w:r>
              <w:rPr>
                <w:sz w:val="24"/>
                <w:lang w:eastAsia="zh-CN"/>
              </w:rPr>
              <w:t>按照要求对磋商响应文件进行澄清、说明或者补正情形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26" w:type="dxa"/>
          </w:tcPr>
          <w:p>
            <w:pPr>
              <w:pStyle w:val="24"/>
              <w:spacing w:before="1" w:line="290" w:lineRule="exact"/>
              <w:ind w:left="9"/>
              <w:jc w:val="center"/>
              <w:rPr>
                <w:rFonts w:hint="default" w:eastAsia="宋体"/>
                <w:sz w:val="24"/>
                <w:lang w:val="en-US" w:eastAsia="zh-CN"/>
              </w:rPr>
            </w:pPr>
            <w:r>
              <w:rPr>
                <w:rFonts w:hint="eastAsia"/>
                <w:sz w:val="24"/>
                <w:lang w:val="en-US" w:eastAsia="zh-CN"/>
              </w:rPr>
              <w:t>10</w:t>
            </w:r>
          </w:p>
        </w:tc>
        <w:tc>
          <w:tcPr>
            <w:tcW w:w="9468" w:type="dxa"/>
          </w:tcPr>
          <w:p>
            <w:pPr>
              <w:pStyle w:val="24"/>
              <w:spacing w:before="1" w:line="290" w:lineRule="exact"/>
              <w:ind w:left="107"/>
              <w:rPr>
                <w:sz w:val="24"/>
                <w:lang w:eastAsia="zh-CN"/>
              </w:rPr>
            </w:pPr>
            <w:r>
              <w:rPr>
                <w:sz w:val="24"/>
                <w:lang w:eastAsia="zh-CN"/>
              </w:rPr>
              <w:t>未存在不同供应商的响应文件为同一单位或者个人编制情形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26" w:type="dxa"/>
          </w:tcPr>
          <w:p>
            <w:pPr>
              <w:pStyle w:val="24"/>
              <w:spacing w:before="1" w:line="289" w:lineRule="exact"/>
              <w:ind w:left="89" w:right="80"/>
              <w:jc w:val="center"/>
              <w:rPr>
                <w:rFonts w:hint="eastAsia" w:eastAsia="宋体"/>
                <w:sz w:val="24"/>
                <w:lang w:eastAsia="zh-CN"/>
              </w:rPr>
            </w:pPr>
            <w:r>
              <w:rPr>
                <w:sz w:val="24"/>
              </w:rPr>
              <w:t>1</w:t>
            </w:r>
            <w:r>
              <w:rPr>
                <w:rFonts w:hint="eastAsia"/>
                <w:sz w:val="24"/>
                <w:lang w:val="en-US" w:eastAsia="zh-CN"/>
              </w:rPr>
              <w:t>1</w:t>
            </w:r>
          </w:p>
        </w:tc>
        <w:tc>
          <w:tcPr>
            <w:tcW w:w="9468" w:type="dxa"/>
          </w:tcPr>
          <w:p>
            <w:pPr>
              <w:pStyle w:val="24"/>
              <w:spacing w:before="1" w:line="289" w:lineRule="exact"/>
              <w:ind w:left="107"/>
              <w:rPr>
                <w:sz w:val="24"/>
                <w:lang w:eastAsia="zh-CN"/>
              </w:rPr>
            </w:pPr>
            <w:r>
              <w:rPr>
                <w:sz w:val="24"/>
                <w:lang w:eastAsia="zh-CN"/>
              </w:rPr>
              <w:t>未存在不同供应商委托同一单位或者个人办理磋商情形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26" w:type="dxa"/>
          </w:tcPr>
          <w:p>
            <w:pPr>
              <w:pStyle w:val="24"/>
              <w:spacing w:before="2" w:line="290" w:lineRule="exact"/>
              <w:ind w:left="89" w:right="80"/>
              <w:jc w:val="center"/>
              <w:rPr>
                <w:rFonts w:hint="eastAsia" w:eastAsia="宋体"/>
                <w:sz w:val="24"/>
                <w:lang w:eastAsia="zh-CN"/>
              </w:rPr>
            </w:pPr>
            <w:r>
              <w:rPr>
                <w:sz w:val="24"/>
              </w:rPr>
              <w:t>1</w:t>
            </w:r>
            <w:r>
              <w:rPr>
                <w:rFonts w:hint="eastAsia"/>
                <w:sz w:val="24"/>
                <w:lang w:val="en-US" w:eastAsia="zh-CN"/>
              </w:rPr>
              <w:t>2</w:t>
            </w:r>
          </w:p>
        </w:tc>
        <w:tc>
          <w:tcPr>
            <w:tcW w:w="9468" w:type="dxa"/>
          </w:tcPr>
          <w:p>
            <w:pPr>
              <w:pStyle w:val="24"/>
              <w:spacing w:before="2" w:line="290" w:lineRule="exact"/>
              <w:ind w:left="107"/>
              <w:rPr>
                <w:sz w:val="24"/>
                <w:lang w:eastAsia="zh-CN"/>
              </w:rPr>
            </w:pPr>
            <w:r>
              <w:rPr>
                <w:sz w:val="24"/>
                <w:lang w:eastAsia="zh-CN"/>
              </w:rPr>
              <w:t>未存在不同供应商的磋商响应文件载明的项目组成员出现同一人情形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26" w:type="dxa"/>
          </w:tcPr>
          <w:p>
            <w:pPr>
              <w:pStyle w:val="24"/>
              <w:spacing w:line="291" w:lineRule="exact"/>
              <w:ind w:left="89" w:right="80"/>
              <w:jc w:val="center"/>
              <w:rPr>
                <w:sz w:val="24"/>
              </w:rPr>
            </w:pPr>
            <w:r>
              <w:rPr>
                <w:sz w:val="24"/>
              </w:rPr>
              <w:t>1</w:t>
            </w:r>
            <w:r>
              <w:rPr>
                <w:rFonts w:hint="eastAsia"/>
                <w:sz w:val="24"/>
                <w:lang w:val="en-US" w:eastAsia="zh-CN"/>
              </w:rPr>
              <w:t>3</w:t>
            </w:r>
          </w:p>
        </w:tc>
        <w:tc>
          <w:tcPr>
            <w:tcW w:w="9468" w:type="dxa"/>
          </w:tcPr>
          <w:p>
            <w:pPr>
              <w:pStyle w:val="24"/>
              <w:spacing w:line="291" w:lineRule="exact"/>
              <w:ind w:left="107"/>
              <w:rPr>
                <w:sz w:val="24"/>
                <w:lang w:eastAsia="zh-CN"/>
              </w:rPr>
            </w:pPr>
            <w:r>
              <w:rPr>
                <w:sz w:val="24"/>
                <w:lang w:eastAsia="zh-CN"/>
              </w:rPr>
              <w:t>磋商分项报价未超过项目分项预算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26" w:type="dxa"/>
          </w:tcPr>
          <w:p>
            <w:pPr>
              <w:pStyle w:val="24"/>
              <w:spacing w:before="3" w:line="288" w:lineRule="exact"/>
              <w:ind w:left="89" w:right="80"/>
              <w:jc w:val="center"/>
              <w:rPr>
                <w:rFonts w:hint="eastAsia" w:eastAsia="宋体"/>
                <w:sz w:val="24"/>
                <w:lang w:val="en-US" w:eastAsia="zh-CN"/>
              </w:rPr>
            </w:pPr>
            <w:r>
              <w:rPr>
                <w:sz w:val="24"/>
              </w:rPr>
              <w:t>1</w:t>
            </w:r>
            <w:r>
              <w:rPr>
                <w:rFonts w:hint="eastAsia"/>
                <w:sz w:val="24"/>
                <w:lang w:val="en-US" w:eastAsia="zh-CN"/>
              </w:rPr>
              <w:t>4</w:t>
            </w:r>
          </w:p>
        </w:tc>
        <w:tc>
          <w:tcPr>
            <w:tcW w:w="9468" w:type="dxa"/>
          </w:tcPr>
          <w:p>
            <w:pPr>
              <w:pStyle w:val="24"/>
              <w:spacing w:before="3" w:line="288" w:lineRule="exact"/>
              <w:ind w:left="107"/>
              <w:rPr>
                <w:sz w:val="24"/>
                <w:lang w:eastAsia="zh-CN"/>
              </w:rPr>
            </w:pPr>
            <w:r>
              <w:rPr>
                <w:sz w:val="24"/>
                <w:lang w:eastAsia="zh-CN"/>
              </w:rPr>
              <w:t>商务、技术条款无重大偏离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26" w:type="dxa"/>
          </w:tcPr>
          <w:p>
            <w:pPr>
              <w:pStyle w:val="24"/>
              <w:spacing w:before="157"/>
              <w:ind w:left="89" w:right="80"/>
              <w:jc w:val="center"/>
              <w:rPr>
                <w:rFonts w:hint="eastAsia" w:eastAsia="宋体"/>
                <w:sz w:val="24"/>
                <w:lang w:val="en-US" w:eastAsia="zh-CN"/>
              </w:rPr>
            </w:pPr>
            <w:r>
              <w:rPr>
                <w:sz w:val="24"/>
              </w:rPr>
              <w:t>1</w:t>
            </w:r>
            <w:r>
              <w:rPr>
                <w:rFonts w:hint="eastAsia"/>
                <w:sz w:val="24"/>
                <w:lang w:val="en-US" w:eastAsia="zh-CN"/>
              </w:rPr>
              <w:t>5</w:t>
            </w:r>
          </w:p>
        </w:tc>
        <w:tc>
          <w:tcPr>
            <w:tcW w:w="9468" w:type="dxa"/>
          </w:tcPr>
          <w:p>
            <w:pPr>
              <w:pStyle w:val="24"/>
              <w:spacing w:before="1"/>
              <w:ind w:left="107"/>
              <w:rPr>
                <w:sz w:val="24"/>
                <w:lang w:eastAsia="zh-CN"/>
              </w:rPr>
            </w:pPr>
            <w:r>
              <w:rPr>
                <w:spacing w:val="-8"/>
                <w:sz w:val="24"/>
                <w:lang w:eastAsia="zh-CN"/>
              </w:rPr>
              <w:t>未存在不符合法律、法规和磋商文件中规定的其他实质性要求，以及其他磋商小组认为不</w:t>
            </w:r>
          </w:p>
          <w:p>
            <w:pPr>
              <w:pStyle w:val="24"/>
              <w:spacing w:before="4" w:line="290" w:lineRule="exact"/>
              <w:ind w:left="107"/>
              <w:rPr>
                <w:sz w:val="24"/>
                <w:lang w:eastAsia="zh-CN"/>
              </w:rPr>
            </w:pPr>
            <w:r>
              <w:rPr>
                <w:sz w:val="24"/>
                <w:lang w:eastAsia="zh-CN"/>
              </w:rPr>
              <w:t>能实质上满足磋商文件要求的</w:t>
            </w:r>
          </w:p>
        </w:tc>
      </w:tr>
    </w:tbl>
    <w:p>
      <w:pPr>
        <w:spacing w:line="290" w:lineRule="exact"/>
        <w:rPr>
          <w:sz w:val="24"/>
          <w:lang w:eastAsia="zh-CN"/>
        </w:rPr>
        <w:sectPr>
          <w:headerReference r:id="rId18" w:type="default"/>
          <w:footerReference r:id="rId19" w:type="default"/>
          <w:pgSz w:w="12240" w:h="15840"/>
          <w:pgMar w:top="1380" w:right="840" w:bottom="280" w:left="820" w:header="953" w:footer="624" w:gutter="0"/>
          <w:pgNumType w:fmt="decimal"/>
          <w:cols w:space="720" w:num="1"/>
        </w:sectPr>
      </w:pPr>
    </w:p>
    <w:p>
      <w:pPr>
        <w:pStyle w:val="4"/>
        <w:tabs>
          <w:tab w:val="left" w:pos="5139"/>
        </w:tabs>
        <w:spacing w:before="59"/>
        <w:rPr>
          <w:highlight w:val="none"/>
          <w:lang w:eastAsia="zh-CN"/>
        </w:rPr>
      </w:pPr>
      <w:r>
        <mc:AlternateContent>
          <mc:Choice Requires="wps">
            <w:drawing>
              <wp:anchor distT="0" distB="0" distL="114300" distR="114300" simplePos="0" relativeHeight="251659264" behindDoc="0" locked="0" layoutInCell="1" allowOverlap="1">
                <wp:simplePos x="0" y="0"/>
                <wp:positionH relativeFrom="page">
                  <wp:posOffset>681355</wp:posOffset>
                </wp:positionH>
                <wp:positionV relativeFrom="page">
                  <wp:posOffset>1408430</wp:posOffset>
                </wp:positionV>
                <wp:extent cx="6432550" cy="7689215"/>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6432550" cy="7689215"/>
                        </a:xfrm>
                        <a:prstGeom prst="rect">
                          <a:avLst/>
                        </a:prstGeom>
                        <a:noFill/>
                        <a:ln>
                          <a:noFill/>
                        </a:ln>
                      </wps:spPr>
                      <wps:txbx>
                        <w:txbxContent>
                          <w:tbl>
                            <w:tblPr>
                              <w:tblStyle w:val="16"/>
                              <w:tblW w:w="9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1683"/>
                              <w:gridCol w:w="5574"/>
                              <w:gridCol w:w="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349" w:type="dxa"/>
                                  <w:vMerge w:val="restart"/>
                                  <w:tcBorders>
                                    <w:left w:val="single" w:color="auto" w:sz="4" w:space="0"/>
                                    <w:right w:val="single" w:color="auto" w:sz="4" w:space="0"/>
                                  </w:tcBorders>
                                  <w:vAlign w:val="center"/>
                                </w:tcPr>
                                <w:p>
                                  <w:pPr>
                                    <w:jc w:val="center"/>
                                    <w:rPr>
                                      <w:rFonts w:hint="eastAsia"/>
                                      <w:bCs/>
                                      <w:color w:val="000000"/>
                                      <w:sz w:val="21"/>
                                      <w:szCs w:val="16"/>
                                      <w:lang w:val="en-US" w:eastAsia="zh-CN"/>
                                    </w:rPr>
                                  </w:pPr>
                                  <w:r>
                                    <w:rPr>
                                      <w:rFonts w:hint="eastAsia"/>
                                      <w:lang w:val="en-US" w:eastAsia="zh-CN"/>
                                    </w:rPr>
                                    <w:t>商务部分</w:t>
                                  </w:r>
                                </w:p>
                                <w:p>
                                  <w:pPr>
                                    <w:pStyle w:val="2"/>
                                    <w:ind w:left="0" w:leftChars="0" w:firstLine="0" w:firstLineChars="0"/>
                                    <w:jc w:val="center"/>
                                    <w:rPr>
                                      <w:rFonts w:hint="default"/>
                                      <w:lang w:val="en-US" w:eastAsia="zh-CN"/>
                                    </w:rPr>
                                  </w:pPr>
                                  <w:r>
                                    <w:rPr>
                                      <w:rFonts w:hint="eastAsia"/>
                                      <w:bCs/>
                                      <w:color w:val="000000"/>
                                      <w:sz w:val="21"/>
                                      <w:szCs w:val="16"/>
                                      <w:lang w:val="en-US" w:eastAsia="zh-CN"/>
                                    </w:rPr>
                                    <w:t xml:space="preserve"> （90分）</w:t>
                                  </w:r>
                                </w:p>
                              </w:tc>
                              <w:tc>
                                <w:tcPr>
                                  <w:tcW w:w="1683" w:type="dxa"/>
                                  <w:tcBorders>
                                    <w:left w:val="single" w:color="auto" w:sz="4" w:space="0"/>
                                    <w:right w:val="single" w:color="auto" w:sz="4" w:space="0"/>
                                  </w:tcBorders>
                                  <w:vAlign w:val="center"/>
                                </w:tcPr>
                                <w:p>
                                  <w:pPr>
                                    <w:spacing w:line="300" w:lineRule="auto"/>
                                    <w:jc w:val="center"/>
                                    <w:rPr>
                                      <w:bCs/>
                                      <w:color w:val="000000"/>
                                      <w:sz w:val="21"/>
                                      <w:szCs w:val="16"/>
                                      <w:highlight w:val="none"/>
                                    </w:rPr>
                                  </w:pPr>
                                  <w:r>
                                    <w:rPr>
                                      <w:rFonts w:hint="eastAsia"/>
                                      <w:bCs/>
                                      <w:color w:val="000000"/>
                                      <w:sz w:val="21"/>
                                      <w:szCs w:val="16"/>
                                      <w:highlight w:val="none"/>
                                    </w:rPr>
                                    <w:t>项目团队</w:t>
                                  </w:r>
                                </w:p>
                              </w:tc>
                              <w:tc>
                                <w:tcPr>
                                  <w:tcW w:w="5574" w:type="dxa"/>
                                  <w:tcBorders>
                                    <w:top w:val="single" w:color="auto" w:sz="4" w:space="0"/>
                                    <w:left w:val="single" w:color="auto" w:sz="4" w:space="0"/>
                                    <w:right w:val="single" w:color="auto" w:sz="4" w:space="0"/>
                                  </w:tcBorders>
                                  <w:vAlign w:val="center"/>
                                </w:tcPr>
                                <w:p>
                                  <w:pPr>
                                    <w:spacing w:line="300" w:lineRule="auto"/>
                                    <w:rPr>
                                      <w:bCs/>
                                      <w:color w:val="000000"/>
                                      <w:sz w:val="21"/>
                                      <w:szCs w:val="16"/>
                                      <w:highlight w:val="none"/>
                                      <w:lang w:eastAsia="zh-CN"/>
                                    </w:rPr>
                                  </w:pPr>
                                  <w:r>
                                    <w:rPr>
                                      <w:rFonts w:hint="eastAsia"/>
                                      <w:bCs/>
                                      <w:color w:val="000000"/>
                                      <w:sz w:val="21"/>
                                      <w:szCs w:val="16"/>
                                      <w:highlight w:val="none"/>
                                      <w:lang w:eastAsia="zh-CN" w:bidi="ar"/>
                                    </w:rPr>
                                    <w:t>投标人拟投入到本项目的人员中，相关教师证书及合同等相关证明材料（</w:t>
                                  </w:r>
                                  <w:r>
                                    <w:rPr>
                                      <w:rFonts w:hint="eastAsia"/>
                                      <w:bCs/>
                                      <w:color w:val="000000"/>
                                      <w:sz w:val="21"/>
                                      <w:szCs w:val="16"/>
                                      <w:highlight w:val="none"/>
                                      <w:lang w:val="en-US" w:eastAsia="zh-CN" w:bidi="ar"/>
                                    </w:rPr>
                                    <w:t>高级3分，中级2分，初级1分</w:t>
                                  </w:r>
                                  <w:r>
                                    <w:rPr>
                                      <w:rFonts w:hint="eastAsia"/>
                                      <w:bCs/>
                                      <w:color w:val="000000"/>
                                      <w:sz w:val="21"/>
                                      <w:szCs w:val="16"/>
                                      <w:highlight w:val="none"/>
                                      <w:lang w:eastAsia="zh-CN" w:bidi="ar"/>
                                    </w:rPr>
                                    <w:t>），最高</w:t>
                                  </w:r>
                                  <w:r>
                                    <w:rPr>
                                      <w:rFonts w:hint="eastAsia"/>
                                      <w:bCs/>
                                      <w:color w:val="000000"/>
                                      <w:sz w:val="21"/>
                                      <w:szCs w:val="16"/>
                                      <w:highlight w:val="none"/>
                                      <w:lang w:val="en-US" w:eastAsia="zh-CN" w:bidi="ar"/>
                                    </w:rPr>
                                    <w:t>18</w:t>
                                  </w:r>
                                  <w:r>
                                    <w:rPr>
                                      <w:rFonts w:hint="eastAsia"/>
                                      <w:bCs/>
                                      <w:color w:val="000000"/>
                                      <w:sz w:val="21"/>
                                      <w:szCs w:val="16"/>
                                      <w:highlight w:val="none"/>
                                      <w:lang w:eastAsia="zh-CN" w:bidi="ar"/>
                                    </w:rPr>
                                    <w:t>分。</w:t>
                                  </w:r>
                                </w:p>
                              </w:tc>
                              <w:tc>
                                <w:tcPr>
                                  <w:tcW w:w="78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default"/>
                                      <w:bCs/>
                                      <w:color w:val="000000"/>
                                      <w:sz w:val="21"/>
                                      <w:szCs w:val="16"/>
                                      <w:lang w:val="en-US" w:eastAsia="zh-CN"/>
                                    </w:rPr>
                                  </w:pPr>
                                  <w:r>
                                    <w:rPr>
                                      <w:rFonts w:hint="eastAsia"/>
                                      <w:bCs/>
                                      <w:color w:val="000000"/>
                                      <w:sz w:val="21"/>
                                      <w:szCs w:val="16"/>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1349" w:type="dxa"/>
                                  <w:vMerge w:val="continue"/>
                                  <w:tcBorders>
                                    <w:left w:val="single" w:color="auto" w:sz="4" w:space="0"/>
                                    <w:right w:val="single" w:color="auto" w:sz="4" w:space="0"/>
                                  </w:tcBorders>
                                  <w:vAlign w:val="center"/>
                                </w:tcPr>
                                <w:p>
                                  <w:pPr>
                                    <w:rPr>
                                      <w:bCs/>
                                      <w:color w:val="000000"/>
                                      <w:sz w:val="21"/>
                                      <w:szCs w:val="16"/>
                                    </w:rPr>
                                  </w:pPr>
                                </w:p>
                              </w:tc>
                              <w:tc>
                                <w:tcPr>
                                  <w:tcW w:w="1683" w:type="dxa"/>
                                  <w:tcBorders>
                                    <w:left w:val="single" w:color="auto" w:sz="4" w:space="0"/>
                                    <w:right w:val="single" w:color="auto" w:sz="4" w:space="0"/>
                                  </w:tcBorders>
                                  <w:vAlign w:val="center"/>
                                </w:tcPr>
                                <w:p>
                                  <w:pPr>
                                    <w:jc w:val="center"/>
                                    <w:rPr>
                                      <w:bCs/>
                                      <w:color w:val="000000"/>
                                      <w:sz w:val="21"/>
                                      <w:szCs w:val="16"/>
                                      <w:highlight w:val="none"/>
                                      <w:lang w:eastAsia="zh-CN"/>
                                    </w:rPr>
                                  </w:pPr>
                                  <w:r>
                                    <w:rPr>
                                      <w:rFonts w:hint="eastAsia"/>
                                      <w:bCs/>
                                      <w:color w:val="000000"/>
                                      <w:sz w:val="21"/>
                                      <w:szCs w:val="16"/>
                                      <w:highlight w:val="none"/>
                                      <w:lang w:eastAsia="zh-CN"/>
                                    </w:rPr>
                                    <w:t>工作进度计划、进度保证和质量控制措施</w:t>
                                  </w:r>
                                </w:p>
                              </w:tc>
                              <w:tc>
                                <w:tcPr>
                                  <w:tcW w:w="5574" w:type="dxa"/>
                                  <w:tcBorders>
                                    <w:top w:val="single" w:color="auto" w:sz="4" w:space="0"/>
                                    <w:left w:val="single" w:color="auto" w:sz="4" w:space="0"/>
                                    <w:bottom w:val="single" w:color="auto" w:sz="4" w:space="0"/>
                                    <w:right w:val="single" w:color="auto" w:sz="4" w:space="0"/>
                                  </w:tcBorders>
                                </w:tcPr>
                                <w:p>
                                  <w:pPr>
                                    <w:rPr>
                                      <w:bCs/>
                                      <w:color w:val="000000"/>
                                      <w:sz w:val="21"/>
                                      <w:szCs w:val="16"/>
                                      <w:highlight w:val="none"/>
                                      <w:lang w:eastAsia="zh-CN"/>
                                    </w:rPr>
                                  </w:pPr>
                                  <w:r>
                                    <w:rPr>
                                      <w:rFonts w:hint="eastAsia"/>
                                      <w:bCs/>
                                      <w:color w:val="000000"/>
                                      <w:sz w:val="21"/>
                                      <w:szCs w:val="16"/>
                                      <w:highlight w:val="none"/>
                                      <w:lang w:eastAsia="zh-CN"/>
                                    </w:rPr>
                                    <w:t>进度安排及其措施的合理性。对按照磋商文件要求，保质保量完成本项目编制工作，所拟定采取的措施进行评分。最优得</w:t>
                                  </w:r>
                                  <w:r>
                                    <w:rPr>
                                      <w:bCs/>
                                      <w:color w:val="000000"/>
                                      <w:sz w:val="21"/>
                                      <w:szCs w:val="16"/>
                                      <w:highlight w:val="none"/>
                                      <w:lang w:eastAsia="zh-CN"/>
                                    </w:rPr>
                                    <w:t>9</w:t>
                                  </w:r>
                                  <w:r>
                                    <w:rPr>
                                      <w:rFonts w:hint="eastAsia"/>
                                      <w:bCs/>
                                      <w:color w:val="000000"/>
                                      <w:sz w:val="21"/>
                                      <w:szCs w:val="16"/>
                                      <w:highlight w:val="none"/>
                                      <w:lang w:eastAsia="zh-CN"/>
                                    </w:rPr>
                                    <w:t>-1</w:t>
                                  </w:r>
                                  <w:r>
                                    <w:rPr>
                                      <w:bCs/>
                                      <w:color w:val="000000"/>
                                      <w:sz w:val="21"/>
                                      <w:szCs w:val="16"/>
                                      <w:highlight w:val="none"/>
                                      <w:lang w:eastAsia="zh-CN"/>
                                    </w:rPr>
                                    <w:t>4</w:t>
                                  </w:r>
                                  <w:r>
                                    <w:rPr>
                                      <w:rFonts w:hint="eastAsia"/>
                                      <w:bCs/>
                                      <w:color w:val="000000"/>
                                      <w:sz w:val="21"/>
                                      <w:szCs w:val="16"/>
                                      <w:highlight w:val="none"/>
                                      <w:lang w:eastAsia="zh-CN"/>
                                    </w:rPr>
                                    <w:t>分，良4-</w:t>
                                  </w:r>
                                  <w:r>
                                    <w:rPr>
                                      <w:bCs/>
                                      <w:color w:val="000000"/>
                                      <w:sz w:val="21"/>
                                      <w:szCs w:val="16"/>
                                      <w:highlight w:val="none"/>
                                      <w:lang w:eastAsia="zh-CN"/>
                                    </w:rPr>
                                    <w:t>8</w:t>
                                  </w:r>
                                  <w:r>
                                    <w:rPr>
                                      <w:rFonts w:hint="eastAsia"/>
                                      <w:bCs/>
                                      <w:color w:val="000000"/>
                                      <w:sz w:val="21"/>
                                      <w:szCs w:val="16"/>
                                      <w:highlight w:val="none"/>
                                      <w:lang w:eastAsia="zh-CN"/>
                                    </w:rPr>
                                    <w:t>分，一般0-3分。</w:t>
                                  </w:r>
                                </w:p>
                              </w:tc>
                              <w:tc>
                                <w:tcPr>
                                  <w:tcW w:w="78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bCs/>
                                      <w:color w:val="000000"/>
                                      <w:sz w:val="21"/>
                                      <w:szCs w:val="16"/>
                                    </w:rPr>
                                  </w:pPr>
                                  <w:r>
                                    <w:rPr>
                                      <w:rFonts w:hint="eastAsia"/>
                                      <w:bCs/>
                                      <w:color w:val="000000"/>
                                      <w:sz w:val="21"/>
                                      <w:szCs w:val="16"/>
                                    </w:rPr>
                                    <w:t>1</w:t>
                                  </w:r>
                                  <w:r>
                                    <w:rPr>
                                      <w:bCs/>
                                      <w:color w:val="000000"/>
                                      <w:sz w:val="21"/>
                                      <w:szCs w:val="16"/>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349" w:type="dxa"/>
                                  <w:vMerge w:val="continue"/>
                                  <w:tcBorders>
                                    <w:left w:val="single" w:color="auto" w:sz="4" w:space="0"/>
                                    <w:right w:val="single" w:color="auto" w:sz="4" w:space="0"/>
                                  </w:tcBorders>
                                  <w:vAlign w:val="center"/>
                                </w:tcPr>
                                <w:p>
                                  <w:pPr>
                                    <w:rPr>
                                      <w:bCs/>
                                      <w:color w:val="000000"/>
                                      <w:sz w:val="21"/>
                                      <w:szCs w:val="16"/>
                                    </w:rPr>
                                  </w:pPr>
                                </w:p>
                              </w:tc>
                              <w:tc>
                                <w:tcPr>
                                  <w:tcW w:w="1683" w:type="dxa"/>
                                  <w:tcBorders>
                                    <w:left w:val="single" w:color="auto" w:sz="4" w:space="0"/>
                                    <w:right w:val="single" w:color="auto" w:sz="4" w:space="0"/>
                                  </w:tcBorders>
                                  <w:vAlign w:val="center"/>
                                </w:tcPr>
                                <w:p>
                                  <w:pPr>
                                    <w:jc w:val="center"/>
                                    <w:rPr>
                                      <w:bCs/>
                                      <w:color w:val="000000"/>
                                      <w:sz w:val="21"/>
                                      <w:szCs w:val="16"/>
                                      <w:lang w:eastAsia="zh-CN"/>
                                    </w:rPr>
                                  </w:pPr>
                                  <w:r>
                                    <w:rPr>
                                      <w:rFonts w:hint="eastAsia"/>
                                      <w:bCs/>
                                      <w:color w:val="000000"/>
                                      <w:sz w:val="21"/>
                                      <w:szCs w:val="16"/>
                                    </w:rPr>
                                    <w:t>应对变更措施</w:t>
                                  </w:r>
                                </w:p>
                              </w:tc>
                              <w:tc>
                                <w:tcPr>
                                  <w:tcW w:w="5574" w:type="dxa"/>
                                  <w:tcBorders>
                                    <w:top w:val="single" w:color="auto" w:sz="4" w:space="0"/>
                                    <w:left w:val="single" w:color="auto" w:sz="4" w:space="0"/>
                                    <w:bottom w:val="single" w:color="auto" w:sz="4" w:space="0"/>
                                    <w:right w:val="single" w:color="auto" w:sz="4" w:space="0"/>
                                  </w:tcBorders>
                                </w:tcPr>
                                <w:p>
                                  <w:pPr>
                                    <w:rPr>
                                      <w:bCs/>
                                      <w:color w:val="000000"/>
                                      <w:sz w:val="21"/>
                                      <w:szCs w:val="16"/>
                                      <w:lang w:eastAsia="zh-CN"/>
                                    </w:rPr>
                                  </w:pPr>
                                  <w:r>
                                    <w:rPr>
                                      <w:rFonts w:hint="eastAsia"/>
                                      <w:bCs/>
                                      <w:color w:val="000000"/>
                                      <w:sz w:val="21"/>
                                      <w:szCs w:val="16"/>
                                      <w:lang w:eastAsia="zh-CN"/>
                                    </w:rPr>
                                    <w:t>对本采购项目的变更（包括方案变更）等突发事件等所拟定采取的措施进行评分。最优得</w:t>
                                  </w:r>
                                  <w:r>
                                    <w:rPr>
                                      <w:bCs/>
                                      <w:color w:val="000000"/>
                                      <w:sz w:val="21"/>
                                      <w:szCs w:val="16"/>
                                      <w:lang w:eastAsia="zh-CN"/>
                                    </w:rPr>
                                    <w:t>10</w:t>
                                  </w:r>
                                  <w:r>
                                    <w:rPr>
                                      <w:rFonts w:hint="eastAsia"/>
                                      <w:bCs/>
                                      <w:color w:val="000000"/>
                                      <w:sz w:val="21"/>
                                      <w:szCs w:val="16"/>
                                      <w:lang w:eastAsia="zh-CN"/>
                                    </w:rPr>
                                    <w:t>分，良5分，一般0-3分。</w:t>
                                  </w:r>
                                </w:p>
                              </w:tc>
                              <w:tc>
                                <w:tcPr>
                                  <w:tcW w:w="78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bCs/>
                                      <w:color w:val="000000"/>
                                      <w:sz w:val="21"/>
                                      <w:szCs w:val="16"/>
                                    </w:rPr>
                                  </w:pPr>
                                  <w:r>
                                    <w:rPr>
                                      <w:bCs/>
                                      <w:color w:val="000000"/>
                                      <w:sz w:val="21"/>
                                      <w:szCs w:val="16"/>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349" w:type="dxa"/>
                                  <w:vMerge w:val="continue"/>
                                  <w:tcBorders>
                                    <w:left w:val="single" w:color="auto" w:sz="4" w:space="0"/>
                                    <w:right w:val="single" w:color="auto" w:sz="4" w:space="0"/>
                                  </w:tcBorders>
                                  <w:vAlign w:val="center"/>
                                </w:tcPr>
                                <w:p>
                                  <w:pPr>
                                    <w:rPr>
                                      <w:bCs/>
                                      <w:color w:val="000000"/>
                                      <w:sz w:val="21"/>
                                      <w:szCs w:val="16"/>
                                    </w:rPr>
                                  </w:pPr>
                                </w:p>
                              </w:tc>
                              <w:tc>
                                <w:tcPr>
                                  <w:tcW w:w="1683" w:type="dxa"/>
                                  <w:tcBorders>
                                    <w:left w:val="single" w:color="auto" w:sz="4" w:space="0"/>
                                    <w:right w:val="single" w:color="auto" w:sz="4" w:space="0"/>
                                  </w:tcBorders>
                                  <w:vAlign w:val="center"/>
                                </w:tcPr>
                                <w:p>
                                  <w:pPr>
                                    <w:jc w:val="center"/>
                                    <w:rPr>
                                      <w:bCs/>
                                      <w:color w:val="000000"/>
                                      <w:sz w:val="21"/>
                                      <w:szCs w:val="16"/>
                                      <w:lang w:eastAsia="zh-CN"/>
                                    </w:rPr>
                                  </w:pPr>
                                  <w:r>
                                    <w:rPr>
                                      <w:rFonts w:hint="eastAsia"/>
                                      <w:bCs/>
                                      <w:color w:val="000000"/>
                                      <w:sz w:val="21"/>
                                      <w:szCs w:val="16"/>
                                      <w:lang w:eastAsia="zh-CN"/>
                                    </w:rPr>
                                    <w:t>编制方案、思路及编制深度</w:t>
                                  </w:r>
                                </w:p>
                              </w:tc>
                              <w:tc>
                                <w:tcPr>
                                  <w:tcW w:w="5574" w:type="dxa"/>
                                  <w:tcBorders>
                                    <w:top w:val="single" w:color="auto" w:sz="4" w:space="0"/>
                                    <w:left w:val="single" w:color="auto" w:sz="4" w:space="0"/>
                                    <w:bottom w:val="single" w:color="auto" w:sz="4" w:space="0"/>
                                    <w:right w:val="single" w:color="auto" w:sz="4" w:space="0"/>
                                  </w:tcBorders>
                                </w:tcPr>
                                <w:p>
                                  <w:pPr>
                                    <w:rPr>
                                      <w:bCs/>
                                      <w:color w:val="000000"/>
                                      <w:sz w:val="21"/>
                                      <w:szCs w:val="16"/>
                                      <w:lang w:eastAsia="zh-CN"/>
                                    </w:rPr>
                                  </w:pPr>
                                  <w:r>
                                    <w:rPr>
                                      <w:rFonts w:hint="eastAsia"/>
                                      <w:sz w:val="21"/>
                                      <w:szCs w:val="16"/>
                                      <w:lang w:eastAsia="zh-CN"/>
                                    </w:rPr>
                                    <w:t>考察投标人组织方案对本次项目的具体认识以及对业务情况的分析预测，紧急情况的应对措施，按方案优劣得分</w:t>
                                  </w:r>
                                  <w:r>
                                    <w:rPr>
                                      <w:rFonts w:hint="eastAsia"/>
                                      <w:bCs/>
                                      <w:color w:val="000000"/>
                                      <w:sz w:val="21"/>
                                      <w:szCs w:val="16"/>
                                      <w:lang w:eastAsia="zh-CN"/>
                                    </w:rPr>
                                    <w:t>以及对本次项目的实施方案进行评分。优得1</w:t>
                                  </w:r>
                                  <w:r>
                                    <w:rPr>
                                      <w:bCs/>
                                      <w:color w:val="000000"/>
                                      <w:sz w:val="21"/>
                                      <w:szCs w:val="16"/>
                                      <w:lang w:eastAsia="zh-CN"/>
                                    </w:rPr>
                                    <w:t>6</w:t>
                                  </w:r>
                                  <w:r>
                                    <w:rPr>
                                      <w:rFonts w:hint="eastAsia"/>
                                      <w:bCs/>
                                      <w:color w:val="000000"/>
                                      <w:sz w:val="21"/>
                                      <w:szCs w:val="16"/>
                                      <w:lang w:eastAsia="zh-CN"/>
                                    </w:rPr>
                                    <w:t>-2</w:t>
                                  </w:r>
                                  <w:r>
                                    <w:rPr>
                                      <w:bCs/>
                                      <w:color w:val="000000"/>
                                      <w:sz w:val="21"/>
                                      <w:szCs w:val="16"/>
                                      <w:lang w:eastAsia="zh-CN"/>
                                    </w:rPr>
                                    <w:t>2</w:t>
                                  </w:r>
                                  <w:r>
                                    <w:rPr>
                                      <w:rFonts w:hint="eastAsia"/>
                                      <w:bCs/>
                                      <w:color w:val="000000"/>
                                      <w:sz w:val="21"/>
                                      <w:szCs w:val="16"/>
                                      <w:lang w:eastAsia="zh-CN"/>
                                    </w:rPr>
                                    <w:t>，良得8-1</w:t>
                                  </w:r>
                                  <w:r>
                                    <w:rPr>
                                      <w:bCs/>
                                      <w:color w:val="000000"/>
                                      <w:sz w:val="21"/>
                                      <w:szCs w:val="16"/>
                                      <w:lang w:eastAsia="zh-CN"/>
                                    </w:rPr>
                                    <w:t>5</w:t>
                                  </w:r>
                                  <w:r>
                                    <w:rPr>
                                      <w:rFonts w:hint="eastAsia"/>
                                      <w:bCs/>
                                      <w:color w:val="000000"/>
                                      <w:sz w:val="21"/>
                                      <w:szCs w:val="16"/>
                                      <w:lang w:eastAsia="zh-CN"/>
                                    </w:rPr>
                                    <w:t>分，一般得0-7分。</w:t>
                                  </w:r>
                                </w:p>
                              </w:tc>
                              <w:tc>
                                <w:tcPr>
                                  <w:tcW w:w="78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bCs/>
                                      <w:color w:val="000000"/>
                                      <w:sz w:val="21"/>
                                      <w:szCs w:val="16"/>
                                      <w:lang w:eastAsia="zh-CN"/>
                                    </w:rPr>
                                  </w:pPr>
                                  <w:r>
                                    <w:rPr>
                                      <w:rStyle w:val="19"/>
                                      <w:rFonts w:hint="eastAsia"/>
                                      <w:bCs/>
                                      <w:color w:val="000000"/>
                                      <w:sz w:val="21"/>
                                      <w:szCs w:val="16"/>
                                    </w:rPr>
                                    <w:t>2</w:t>
                                  </w:r>
                                  <w:r>
                                    <w:rPr>
                                      <w:rStyle w:val="19"/>
                                      <w:bCs/>
                                      <w:color w:val="000000"/>
                                      <w:sz w:val="21"/>
                                      <w:szCs w:val="16"/>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349" w:type="dxa"/>
                                  <w:vMerge w:val="continue"/>
                                  <w:tcBorders>
                                    <w:left w:val="single" w:color="auto" w:sz="4" w:space="0"/>
                                    <w:right w:val="single" w:color="auto" w:sz="4" w:space="0"/>
                                  </w:tcBorders>
                                  <w:vAlign w:val="center"/>
                                </w:tcPr>
                                <w:p>
                                  <w:pPr>
                                    <w:rPr>
                                      <w:bCs/>
                                      <w:color w:val="000000"/>
                                      <w:sz w:val="21"/>
                                      <w:szCs w:val="16"/>
                                    </w:rPr>
                                  </w:pPr>
                                </w:p>
                              </w:tc>
                              <w:tc>
                                <w:tcPr>
                                  <w:tcW w:w="1683" w:type="dxa"/>
                                  <w:tcBorders>
                                    <w:left w:val="single" w:color="auto" w:sz="4" w:space="0"/>
                                    <w:right w:val="single" w:color="auto" w:sz="4" w:space="0"/>
                                  </w:tcBorders>
                                  <w:vAlign w:val="center"/>
                                </w:tcPr>
                                <w:p>
                                  <w:pPr>
                                    <w:jc w:val="center"/>
                                    <w:rPr>
                                      <w:bCs/>
                                      <w:color w:val="000000"/>
                                      <w:sz w:val="21"/>
                                      <w:szCs w:val="16"/>
                                      <w:lang w:eastAsia="zh-CN"/>
                                    </w:rPr>
                                  </w:pPr>
                                  <w:r>
                                    <w:rPr>
                                      <w:rFonts w:hint="eastAsia"/>
                                      <w:bCs/>
                                      <w:color w:val="000000"/>
                                      <w:sz w:val="21"/>
                                      <w:szCs w:val="16"/>
                                      <w:lang w:eastAsia="zh-CN"/>
                                    </w:rPr>
                                    <w:t>对本次项目的认识和编制重点、难点分析及注意事项</w:t>
                                  </w:r>
                                </w:p>
                              </w:tc>
                              <w:tc>
                                <w:tcPr>
                                  <w:tcW w:w="5574" w:type="dxa"/>
                                  <w:tcBorders>
                                    <w:top w:val="single" w:color="auto" w:sz="4" w:space="0"/>
                                    <w:left w:val="single" w:color="auto" w:sz="4" w:space="0"/>
                                    <w:bottom w:val="single" w:color="auto" w:sz="4" w:space="0"/>
                                    <w:right w:val="single" w:color="auto" w:sz="4" w:space="0"/>
                                  </w:tcBorders>
                                  <w:vAlign w:val="center"/>
                                </w:tcPr>
                                <w:p>
                                  <w:pPr>
                                    <w:rPr>
                                      <w:bCs/>
                                      <w:color w:val="000000"/>
                                      <w:sz w:val="21"/>
                                      <w:szCs w:val="16"/>
                                      <w:lang w:eastAsia="zh-CN"/>
                                    </w:rPr>
                                  </w:pPr>
                                  <w:r>
                                    <w:rPr>
                                      <w:rFonts w:hint="eastAsia"/>
                                      <w:bCs/>
                                      <w:color w:val="000000"/>
                                      <w:sz w:val="21"/>
                                      <w:szCs w:val="16"/>
                                      <w:lang w:eastAsia="zh-CN"/>
                                    </w:rPr>
                                    <w:t>对投标人提出对本采购项目的实施的重点难点分析及注意事项及存在问题及建议解决方案，进行评分。优得5-</w:t>
                                  </w:r>
                                  <w:r>
                                    <w:rPr>
                                      <w:bCs/>
                                      <w:color w:val="000000"/>
                                      <w:sz w:val="21"/>
                                      <w:szCs w:val="16"/>
                                      <w:lang w:eastAsia="zh-CN"/>
                                    </w:rPr>
                                    <w:t>8</w:t>
                                  </w:r>
                                  <w:r>
                                    <w:rPr>
                                      <w:rFonts w:hint="eastAsia"/>
                                      <w:bCs/>
                                      <w:color w:val="000000"/>
                                      <w:sz w:val="21"/>
                                      <w:szCs w:val="16"/>
                                      <w:lang w:eastAsia="zh-CN"/>
                                    </w:rPr>
                                    <w:t>分，良得</w:t>
                                  </w:r>
                                  <w:r>
                                    <w:rPr>
                                      <w:bCs/>
                                      <w:color w:val="000000"/>
                                      <w:sz w:val="21"/>
                                      <w:szCs w:val="16"/>
                                      <w:lang w:eastAsia="zh-CN"/>
                                    </w:rPr>
                                    <w:t>4</w:t>
                                  </w:r>
                                  <w:r>
                                    <w:rPr>
                                      <w:rFonts w:hint="eastAsia"/>
                                      <w:bCs/>
                                      <w:color w:val="000000"/>
                                      <w:sz w:val="21"/>
                                      <w:szCs w:val="16"/>
                                      <w:lang w:eastAsia="zh-CN"/>
                                    </w:rPr>
                                    <w:t>分，一般得1分。</w:t>
                                  </w:r>
                                </w:p>
                              </w:tc>
                              <w:tc>
                                <w:tcPr>
                                  <w:tcW w:w="78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bCs/>
                                      <w:color w:val="000000"/>
                                      <w:sz w:val="21"/>
                                      <w:szCs w:val="16"/>
                                    </w:rPr>
                                  </w:pPr>
                                  <w:r>
                                    <w:rPr>
                                      <w:bCs/>
                                      <w:color w:val="000000"/>
                                      <w:sz w:val="21"/>
                                      <w:szCs w:val="16"/>
                                      <w:lang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349" w:type="dxa"/>
                                  <w:vMerge w:val="continue"/>
                                  <w:tcBorders>
                                    <w:left w:val="single" w:color="auto" w:sz="4" w:space="0"/>
                                    <w:right w:val="single" w:color="auto" w:sz="4" w:space="0"/>
                                  </w:tcBorders>
                                  <w:vAlign w:val="center"/>
                                </w:tcPr>
                                <w:p>
                                  <w:pPr>
                                    <w:rPr>
                                      <w:bCs/>
                                      <w:color w:val="000000"/>
                                      <w:sz w:val="21"/>
                                      <w:szCs w:val="16"/>
                                    </w:rPr>
                                  </w:pPr>
                                </w:p>
                              </w:tc>
                              <w:tc>
                                <w:tcPr>
                                  <w:tcW w:w="1683" w:type="dxa"/>
                                  <w:tcBorders>
                                    <w:left w:val="single" w:color="auto" w:sz="4" w:space="0"/>
                                    <w:right w:val="single" w:color="auto" w:sz="4" w:space="0"/>
                                  </w:tcBorders>
                                  <w:vAlign w:val="center"/>
                                </w:tcPr>
                                <w:p>
                                  <w:pPr>
                                    <w:jc w:val="center"/>
                                    <w:rPr>
                                      <w:bCs/>
                                      <w:color w:val="000000"/>
                                      <w:sz w:val="21"/>
                                      <w:szCs w:val="16"/>
                                      <w:lang w:eastAsia="zh-CN"/>
                                    </w:rPr>
                                  </w:pPr>
                                  <w:r>
                                    <w:rPr>
                                      <w:rFonts w:hint="eastAsia"/>
                                      <w:bCs/>
                                      <w:color w:val="000000"/>
                                      <w:sz w:val="21"/>
                                      <w:szCs w:val="16"/>
                                    </w:rPr>
                                    <w:t>设备配置</w:t>
                                  </w:r>
                                </w:p>
                              </w:tc>
                              <w:tc>
                                <w:tcPr>
                                  <w:tcW w:w="5574" w:type="dxa"/>
                                  <w:tcBorders>
                                    <w:top w:val="single" w:color="auto" w:sz="4" w:space="0"/>
                                    <w:left w:val="single" w:color="auto" w:sz="4" w:space="0"/>
                                    <w:bottom w:val="single" w:color="auto" w:sz="4" w:space="0"/>
                                    <w:right w:val="single" w:color="auto" w:sz="4" w:space="0"/>
                                  </w:tcBorders>
                                  <w:vAlign w:val="center"/>
                                </w:tcPr>
                                <w:p>
                                  <w:pPr>
                                    <w:jc w:val="center"/>
                                    <w:rPr>
                                      <w:bCs/>
                                      <w:color w:val="000000"/>
                                      <w:sz w:val="21"/>
                                      <w:szCs w:val="16"/>
                                      <w:lang w:eastAsia="zh-CN"/>
                                    </w:rPr>
                                  </w:pPr>
                                  <w:r>
                                    <w:rPr>
                                      <w:rFonts w:hint="eastAsia"/>
                                      <w:bCs/>
                                      <w:color w:val="000000"/>
                                      <w:sz w:val="21"/>
                                      <w:szCs w:val="16"/>
                                      <w:lang w:eastAsia="zh-CN"/>
                                    </w:rPr>
                                    <w:t>根据投标人针对本项目的设备配置（包括办所配备的专业工器具）进行横向对比，由评委在0-</w:t>
                                  </w:r>
                                  <w:r>
                                    <w:rPr>
                                      <w:rFonts w:hint="eastAsia"/>
                                      <w:bCs/>
                                      <w:color w:val="000000"/>
                                      <w:sz w:val="21"/>
                                      <w:szCs w:val="16"/>
                                      <w:lang w:val="en-US" w:eastAsia="zh-CN"/>
                                    </w:rPr>
                                    <w:t>10</w:t>
                                  </w:r>
                                  <w:r>
                                    <w:rPr>
                                      <w:rFonts w:hint="eastAsia"/>
                                      <w:bCs/>
                                      <w:color w:val="000000"/>
                                      <w:sz w:val="21"/>
                                      <w:szCs w:val="16"/>
                                      <w:lang w:eastAsia="zh-CN"/>
                                    </w:rPr>
                                    <w:t>分之间酌情打分</w:t>
                                  </w:r>
                                </w:p>
                              </w:tc>
                              <w:tc>
                                <w:tcPr>
                                  <w:tcW w:w="78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default"/>
                                      <w:bCs/>
                                      <w:color w:val="000000"/>
                                      <w:sz w:val="21"/>
                                      <w:szCs w:val="16"/>
                                      <w:lang w:val="en-US" w:eastAsia="zh-CN"/>
                                    </w:rPr>
                                  </w:pPr>
                                  <w:r>
                                    <w:rPr>
                                      <w:rFonts w:hint="eastAsia"/>
                                      <w:bCs/>
                                      <w:color w:val="000000"/>
                                      <w:sz w:val="21"/>
                                      <w:szCs w:val="16"/>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349" w:type="dxa"/>
                                  <w:vMerge w:val="continue"/>
                                  <w:tcBorders>
                                    <w:left w:val="single" w:color="auto" w:sz="4" w:space="0"/>
                                    <w:right w:val="single" w:color="auto" w:sz="4" w:space="0"/>
                                  </w:tcBorders>
                                  <w:vAlign w:val="center"/>
                                </w:tcPr>
                                <w:p>
                                  <w:pPr>
                                    <w:rPr>
                                      <w:bCs/>
                                      <w:color w:val="000000"/>
                                      <w:sz w:val="21"/>
                                      <w:szCs w:val="16"/>
                                    </w:rPr>
                                  </w:pPr>
                                </w:p>
                              </w:tc>
                              <w:tc>
                                <w:tcPr>
                                  <w:tcW w:w="1683" w:type="dxa"/>
                                  <w:tcBorders>
                                    <w:left w:val="single" w:color="auto" w:sz="4" w:space="0"/>
                                    <w:right w:val="single" w:color="auto" w:sz="4" w:space="0"/>
                                  </w:tcBorders>
                                  <w:vAlign w:val="center"/>
                                </w:tcPr>
                                <w:p>
                                  <w:pPr>
                                    <w:jc w:val="center"/>
                                    <w:rPr>
                                      <w:bCs/>
                                      <w:color w:val="000000"/>
                                      <w:sz w:val="21"/>
                                      <w:szCs w:val="16"/>
                                      <w:lang w:eastAsia="zh-CN"/>
                                    </w:rPr>
                                  </w:pPr>
                                  <w:r>
                                    <w:rPr>
                                      <w:rFonts w:hint="eastAsia"/>
                                      <w:bCs/>
                                      <w:color w:val="000000"/>
                                      <w:sz w:val="21"/>
                                      <w:szCs w:val="16"/>
                                      <w:lang w:eastAsia="zh-CN"/>
                                    </w:rPr>
                                    <w:t>售后服务方案及服务承诺</w:t>
                                  </w:r>
                                </w:p>
                              </w:tc>
                              <w:tc>
                                <w:tcPr>
                                  <w:tcW w:w="5574" w:type="dxa"/>
                                  <w:tcBorders>
                                    <w:top w:val="single" w:color="auto" w:sz="4" w:space="0"/>
                                    <w:left w:val="single" w:color="auto" w:sz="4" w:space="0"/>
                                    <w:bottom w:val="single" w:color="auto" w:sz="4" w:space="0"/>
                                    <w:right w:val="single" w:color="auto" w:sz="4" w:space="0"/>
                                  </w:tcBorders>
                                </w:tcPr>
                                <w:p>
                                  <w:pPr>
                                    <w:jc w:val="center"/>
                                    <w:rPr>
                                      <w:bCs/>
                                      <w:color w:val="000000"/>
                                      <w:sz w:val="21"/>
                                      <w:szCs w:val="16"/>
                                      <w:lang w:eastAsia="zh-CN"/>
                                    </w:rPr>
                                  </w:pPr>
                                  <w:r>
                                    <w:rPr>
                                      <w:rFonts w:hint="eastAsia"/>
                                      <w:sz w:val="21"/>
                                      <w:szCs w:val="16"/>
                                      <w:lang w:eastAsia="zh-CN"/>
                                    </w:rPr>
                                    <w:t>根据各投标人的服务方案（包括售后服务承诺和售后服务体系等方面）进行综合评审，优得6-8分，良得3-5分，中等及以下得0-2分。</w:t>
                                  </w:r>
                                </w:p>
                              </w:tc>
                              <w:tc>
                                <w:tcPr>
                                  <w:tcW w:w="78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bCs/>
                                      <w:color w:val="000000"/>
                                      <w:sz w:val="21"/>
                                      <w:szCs w:val="16"/>
                                      <w:lang w:eastAsia="zh-CN"/>
                                    </w:rPr>
                                  </w:pPr>
                                  <w:r>
                                    <w:rPr>
                                      <w:rFonts w:hint="eastAsia"/>
                                      <w:bCs/>
                                      <w:color w:val="000000"/>
                                      <w:sz w:val="21"/>
                                      <w:szCs w:val="16"/>
                                      <w:lang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349" w:type="dxa"/>
                                  <w:tcBorders>
                                    <w:left w:val="single" w:color="auto" w:sz="4" w:space="0"/>
                                    <w:right w:val="single" w:color="auto" w:sz="4" w:space="0"/>
                                  </w:tcBorders>
                                  <w:vAlign w:val="center"/>
                                </w:tcPr>
                                <w:p>
                                  <w:pPr>
                                    <w:spacing w:line="300" w:lineRule="auto"/>
                                    <w:jc w:val="center"/>
                                    <w:rPr>
                                      <w:bCs/>
                                      <w:color w:val="000000"/>
                                      <w:sz w:val="21"/>
                                      <w:szCs w:val="16"/>
                                    </w:rPr>
                                  </w:pPr>
                                  <w:r>
                                    <w:rPr>
                                      <w:rFonts w:hint="eastAsia"/>
                                      <w:bCs/>
                                      <w:color w:val="000000"/>
                                      <w:sz w:val="21"/>
                                      <w:szCs w:val="16"/>
                                    </w:rPr>
                                    <w:t>报价部分</w:t>
                                  </w:r>
                                </w:p>
                                <w:p>
                                  <w:pPr>
                                    <w:spacing w:line="300" w:lineRule="auto"/>
                                    <w:jc w:val="center"/>
                                    <w:rPr>
                                      <w:sz w:val="18"/>
                                      <w:szCs w:val="16"/>
                                    </w:rPr>
                                  </w:pPr>
                                  <w:r>
                                    <w:rPr>
                                      <w:rFonts w:hint="eastAsia"/>
                                      <w:bCs/>
                                      <w:color w:val="000000"/>
                                      <w:sz w:val="21"/>
                                      <w:szCs w:val="16"/>
                                    </w:rPr>
                                    <w:t>（10分）</w:t>
                                  </w:r>
                                </w:p>
                              </w:tc>
                              <w:tc>
                                <w:tcPr>
                                  <w:tcW w:w="1683" w:type="dxa"/>
                                  <w:tcBorders>
                                    <w:left w:val="single" w:color="auto" w:sz="4" w:space="0"/>
                                    <w:right w:val="single" w:color="auto" w:sz="4" w:space="0"/>
                                  </w:tcBorders>
                                  <w:vAlign w:val="center"/>
                                </w:tcPr>
                                <w:p>
                                  <w:pPr>
                                    <w:snapToGrid w:val="0"/>
                                    <w:spacing w:line="360" w:lineRule="exact"/>
                                    <w:jc w:val="center"/>
                                    <w:rPr>
                                      <w:color w:val="000000"/>
                                      <w:sz w:val="21"/>
                                      <w:szCs w:val="16"/>
                                    </w:rPr>
                                  </w:pPr>
                                  <w:r>
                                    <w:rPr>
                                      <w:rFonts w:hint="eastAsia"/>
                                      <w:color w:val="000000"/>
                                      <w:sz w:val="21"/>
                                      <w:szCs w:val="16"/>
                                    </w:rPr>
                                    <w:t>价格部分</w:t>
                                  </w:r>
                                </w:p>
                                <w:p>
                                  <w:pPr>
                                    <w:snapToGrid w:val="0"/>
                                    <w:spacing w:line="360" w:lineRule="exact"/>
                                    <w:jc w:val="center"/>
                                    <w:rPr>
                                      <w:bCs/>
                                      <w:color w:val="000000"/>
                                      <w:sz w:val="21"/>
                                      <w:szCs w:val="16"/>
                                    </w:rPr>
                                  </w:pPr>
                                  <w:r>
                                    <w:rPr>
                                      <w:rFonts w:hint="eastAsia"/>
                                      <w:color w:val="000000"/>
                                      <w:sz w:val="21"/>
                                      <w:szCs w:val="16"/>
                                    </w:rPr>
                                    <w:t>（10%）</w:t>
                                  </w:r>
                                </w:p>
                              </w:tc>
                              <w:tc>
                                <w:tcPr>
                                  <w:tcW w:w="5574" w:type="dxa"/>
                                  <w:tcBorders>
                                    <w:top w:val="single" w:color="auto" w:sz="4" w:space="0"/>
                                    <w:left w:val="single" w:color="auto" w:sz="4" w:space="0"/>
                                    <w:bottom w:val="single" w:color="auto" w:sz="4" w:space="0"/>
                                    <w:right w:val="single" w:color="auto" w:sz="4" w:space="0"/>
                                  </w:tcBorders>
                                  <w:vAlign w:val="center"/>
                                </w:tcPr>
                                <w:p>
                                  <w:pPr>
                                    <w:adjustRightInd w:val="0"/>
                                    <w:snapToGrid w:val="0"/>
                                    <w:rPr>
                                      <w:bCs/>
                                      <w:color w:val="000000"/>
                                      <w:sz w:val="21"/>
                                      <w:szCs w:val="16"/>
                                      <w:lang w:eastAsia="zh-CN"/>
                                    </w:rPr>
                                  </w:pPr>
                                  <w:r>
                                    <w:rPr>
                                      <w:rFonts w:hint="eastAsia"/>
                                      <w:bCs/>
                                      <w:color w:val="000000"/>
                                      <w:sz w:val="21"/>
                                      <w:szCs w:val="18"/>
                                      <w:lang w:eastAsia="zh-CN"/>
                                    </w:rPr>
                                    <w:t>在满足</w:t>
                                  </w:r>
                                  <w:r>
                                    <w:rPr>
                                      <w:rFonts w:hint="eastAsia"/>
                                      <w:bCs/>
                                      <w:color w:val="000000"/>
                                      <w:sz w:val="21"/>
                                      <w:szCs w:val="18"/>
                                      <w:lang w:val="en-US" w:eastAsia="zh-CN"/>
                                    </w:rPr>
                                    <w:t>磋商</w:t>
                                  </w:r>
                                  <w:r>
                                    <w:rPr>
                                      <w:rFonts w:hint="eastAsia"/>
                                      <w:bCs/>
                                      <w:color w:val="000000"/>
                                      <w:sz w:val="21"/>
                                      <w:szCs w:val="18"/>
                                      <w:lang w:eastAsia="zh-CN"/>
                                    </w:rPr>
                                    <w:t>文件要求的前提下，基准价为合理低价，即满足</w:t>
                                  </w:r>
                                  <w:r>
                                    <w:rPr>
                                      <w:rFonts w:hint="eastAsia"/>
                                      <w:bCs/>
                                      <w:color w:val="000000"/>
                                      <w:sz w:val="21"/>
                                      <w:szCs w:val="18"/>
                                      <w:lang w:val="en-US" w:eastAsia="zh-CN"/>
                                    </w:rPr>
                                    <w:t>磋商</w:t>
                                  </w:r>
                                  <w:r>
                                    <w:rPr>
                                      <w:rFonts w:hint="eastAsia"/>
                                      <w:bCs/>
                                      <w:color w:val="000000"/>
                                      <w:sz w:val="21"/>
                                      <w:szCs w:val="18"/>
                                      <w:lang w:eastAsia="zh-CN"/>
                                    </w:rPr>
                                    <w:t>文件要求且价格最低的报价为评标基准价，其价格分为满分,满分为10分；价格分的计算投标报价得分=(评标基准价／投标报价)×0.1×100 。（计算分值时，百分比按四舍五入原则，保留小数点后二位数）</w:t>
                                  </w:r>
                                </w:p>
                              </w:tc>
                              <w:tc>
                                <w:tcPr>
                                  <w:tcW w:w="78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210" w:firstLineChars="100"/>
                                    <w:rPr>
                                      <w:bCs/>
                                      <w:color w:val="000000"/>
                                      <w:sz w:val="21"/>
                                      <w:szCs w:val="16"/>
                                    </w:rPr>
                                  </w:pPr>
                                  <w:r>
                                    <w:rPr>
                                      <w:rFonts w:hint="eastAsia"/>
                                      <w:color w:val="000000"/>
                                      <w:sz w:val="21"/>
                                      <w:szCs w:val="16"/>
                                    </w:rPr>
                                    <w:t>10</w:t>
                                  </w:r>
                                </w:p>
                              </w:tc>
                            </w:tr>
                          </w:tbl>
                          <w:p>
                            <w:pPr>
                              <w:numPr>
                                <w:ilvl w:val="0"/>
                                <w:numId w:val="34"/>
                              </w:numPr>
                              <w:ind w:firstLine="248" w:firstLineChars="100"/>
                              <w:rPr>
                                <w:rFonts w:hint="eastAsia"/>
                                <w:spacing w:val="4"/>
                                <w:sz w:val="24"/>
                                <w:szCs w:val="24"/>
                                <w:lang w:eastAsia="zh-CN"/>
                              </w:rPr>
                            </w:pPr>
                            <w:r>
                              <w:rPr>
                                <w:rFonts w:hint="eastAsia"/>
                                <w:spacing w:val="4"/>
                                <w:sz w:val="24"/>
                                <w:szCs w:val="24"/>
                                <w:lang w:eastAsia="zh-CN"/>
                              </w:rPr>
                              <w:t>磋商结果报告由磋商小组全体成员签字确认。</w:t>
                            </w:r>
                          </w:p>
                          <w:p>
                            <w:pPr>
                              <w:numPr>
                                <w:ilvl w:val="0"/>
                                <w:numId w:val="34"/>
                              </w:numPr>
                              <w:ind w:firstLine="248" w:firstLineChars="100"/>
                              <w:rPr>
                                <w:spacing w:val="4"/>
                                <w:sz w:val="24"/>
                                <w:szCs w:val="24"/>
                                <w:lang w:eastAsia="zh-CN"/>
                              </w:rPr>
                            </w:pPr>
                            <w:r>
                              <w:rPr>
                                <w:rFonts w:hint="eastAsia"/>
                                <w:spacing w:val="4"/>
                                <w:sz w:val="24"/>
                                <w:szCs w:val="24"/>
                                <w:lang w:eastAsia="zh-CN"/>
                              </w:rPr>
                              <w:t>采购人根据磋商结果报告中推荐的成交候选人确定成交供应商，以复函通知采购代理机构。</w:t>
                            </w:r>
                          </w:p>
                          <w:p>
                            <w:pPr>
                              <w:ind w:firstLine="249" w:firstLineChars="100"/>
                              <w:rPr>
                                <w:spacing w:val="4"/>
                                <w:sz w:val="24"/>
                                <w:szCs w:val="24"/>
                                <w:lang w:eastAsia="zh-CN"/>
                              </w:rPr>
                            </w:pPr>
                            <w:r>
                              <w:rPr>
                                <w:rFonts w:hint="eastAsia"/>
                                <w:b/>
                                <w:bCs/>
                                <w:spacing w:val="4"/>
                                <w:kern w:val="2"/>
                                <w:sz w:val="24"/>
                                <w:szCs w:val="24"/>
                                <w:lang w:eastAsia="zh-CN"/>
                              </w:rPr>
                              <w:t>特殊情况的处理</w:t>
                            </w:r>
                            <w:r>
                              <w:rPr>
                                <w:rFonts w:hint="eastAsia"/>
                                <w:spacing w:val="4"/>
                                <w:sz w:val="24"/>
                                <w:szCs w:val="24"/>
                                <w:lang w:eastAsia="zh-CN"/>
                              </w:rPr>
                              <w:t>磋商过程中，若出现本评审方法以外的特殊情况时，将暂停评审，待磋商小组商榷后，再进行评定。</w:t>
                            </w:r>
                          </w:p>
                          <w:p>
                            <w:pPr>
                              <w:pStyle w:val="8"/>
                              <w:rPr>
                                <w:lang w:eastAsia="zh-CN"/>
                              </w:rPr>
                            </w:pPr>
                          </w:p>
                        </w:txbxContent>
                      </wps:txbx>
                      <wps:bodyPr lIns="0" tIns="0" rIns="0" bIns="0" upright="1"/>
                    </wps:wsp>
                  </a:graphicData>
                </a:graphic>
              </wp:anchor>
            </w:drawing>
          </mc:Choice>
          <mc:Fallback>
            <w:pict>
              <v:shape id="_x0000_s1026" o:spid="_x0000_s1026" o:spt="202" type="#_x0000_t202" style="position:absolute;left:0pt;margin-left:53.65pt;margin-top:110.9pt;height:605.45pt;width:506.5pt;mso-position-horizontal-relative:page;mso-position-vertical-relative:page;z-index:251659264;mso-width-relative:page;mso-height-relative:page;" filled="f" stroked="f" coordsize="21600,21600" o:gfxdata="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W+a85NoAAAANAQAADwAAAAAAAAABACAAAAAiAAAAZHJzL2Rvd25yZXYueG1s&#10;UEsBAhQAFAAAAAgAh07iQI9yCKy9AQAAdQMAAA4AAAAAAAAAAQAgAAAAKQEAAGRycy9lMm9Eb2Mu&#10;eG1sUEsFBgAAAAAGAAYAWQEAAFgFAAAAAA==&#10;">
                <v:fill on="f" focussize="0,0"/>
                <v:stroke on="f"/>
                <v:imagedata o:title=""/>
                <o:lock v:ext="edit" aspectratio="f"/>
                <v:textbox inset="0mm,0mm,0mm,0mm">
                  <w:txbxContent>
                    <w:tbl>
                      <w:tblPr>
                        <w:tblStyle w:val="16"/>
                        <w:tblW w:w="9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1683"/>
                        <w:gridCol w:w="5574"/>
                        <w:gridCol w:w="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349" w:type="dxa"/>
                            <w:vMerge w:val="restart"/>
                            <w:tcBorders>
                              <w:left w:val="single" w:color="auto" w:sz="4" w:space="0"/>
                              <w:right w:val="single" w:color="auto" w:sz="4" w:space="0"/>
                            </w:tcBorders>
                            <w:vAlign w:val="center"/>
                          </w:tcPr>
                          <w:p>
                            <w:pPr>
                              <w:jc w:val="center"/>
                              <w:rPr>
                                <w:rFonts w:hint="eastAsia"/>
                                <w:bCs/>
                                <w:color w:val="000000"/>
                                <w:sz w:val="21"/>
                                <w:szCs w:val="16"/>
                                <w:lang w:val="en-US" w:eastAsia="zh-CN"/>
                              </w:rPr>
                            </w:pPr>
                            <w:r>
                              <w:rPr>
                                <w:rFonts w:hint="eastAsia"/>
                                <w:lang w:val="en-US" w:eastAsia="zh-CN"/>
                              </w:rPr>
                              <w:t>商务部分</w:t>
                            </w:r>
                          </w:p>
                          <w:p>
                            <w:pPr>
                              <w:pStyle w:val="2"/>
                              <w:ind w:left="0" w:leftChars="0" w:firstLine="0" w:firstLineChars="0"/>
                              <w:jc w:val="center"/>
                              <w:rPr>
                                <w:rFonts w:hint="default"/>
                                <w:lang w:val="en-US" w:eastAsia="zh-CN"/>
                              </w:rPr>
                            </w:pPr>
                            <w:r>
                              <w:rPr>
                                <w:rFonts w:hint="eastAsia"/>
                                <w:bCs/>
                                <w:color w:val="000000"/>
                                <w:sz w:val="21"/>
                                <w:szCs w:val="16"/>
                                <w:lang w:val="en-US" w:eastAsia="zh-CN"/>
                              </w:rPr>
                              <w:t xml:space="preserve"> （90分）</w:t>
                            </w:r>
                          </w:p>
                        </w:tc>
                        <w:tc>
                          <w:tcPr>
                            <w:tcW w:w="1683" w:type="dxa"/>
                            <w:tcBorders>
                              <w:left w:val="single" w:color="auto" w:sz="4" w:space="0"/>
                              <w:right w:val="single" w:color="auto" w:sz="4" w:space="0"/>
                            </w:tcBorders>
                            <w:vAlign w:val="center"/>
                          </w:tcPr>
                          <w:p>
                            <w:pPr>
                              <w:spacing w:line="300" w:lineRule="auto"/>
                              <w:jc w:val="center"/>
                              <w:rPr>
                                <w:bCs/>
                                <w:color w:val="000000"/>
                                <w:sz w:val="21"/>
                                <w:szCs w:val="16"/>
                                <w:highlight w:val="none"/>
                              </w:rPr>
                            </w:pPr>
                            <w:r>
                              <w:rPr>
                                <w:rFonts w:hint="eastAsia"/>
                                <w:bCs/>
                                <w:color w:val="000000"/>
                                <w:sz w:val="21"/>
                                <w:szCs w:val="16"/>
                                <w:highlight w:val="none"/>
                              </w:rPr>
                              <w:t>项目团队</w:t>
                            </w:r>
                          </w:p>
                        </w:tc>
                        <w:tc>
                          <w:tcPr>
                            <w:tcW w:w="5574" w:type="dxa"/>
                            <w:tcBorders>
                              <w:top w:val="single" w:color="auto" w:sz="4" w:space="0"/>
                              <w:left w:val="single" w:color="auto" w:sz="4" w:space="0"/>
                              <w:right w:val="single" w:color="auto" w:sz="4" w:space="0"/>
                            </w:tcBorders>
                            <w:vAlign w:val="center"/>
                          </w:tcPr>
                          <w:p>
                            <w:pPr>
                              <w:spacing w:line="300" w:lineRule="auto"/>
                              <w:rPr>
                                <w:bCs/>
                                <w:color w:val="000000"/>
                                <w:sz w:val="21"/>
                                <w:szCs w:val="16"/>
                                <w:highlight w:val="none"/>
                                <w:lang w:eastAsia="zh-CN"/>
                              </w:rPr>
                            </w:pPr>
                            <w:r>
                              <w:rPr>
                                <w:rFonts w:hint="eastAsia"/>
                                <w:bCs/>
                                <w:color w:val="000000"/>
                                <w:sz w:val="21"/>
                                <w:szCs w:val="16"/>
                                <w:highlight w:val="none"/>
                                <w:lang w:eastAsia="zh-CN" w:bidi="ar"/>
                              </w:rPr>
                              <w:t>投标人拟投入到本项目的人员中，相关教师证书及合同等相关证明材料（</w:t>
                            </w:r>
                            <w:r>
                              <w:rPr>
                                <w:rFonts w:hint="eastAsia"/>
                                <w:bCs/>
                                <w:color w:val="000000"/>
                                <w:sz w:val="21"/>
                                <w:szCs w:val="16"/>
                                <w:highlight w:val="none"/>
                                <w:lang w:val="en-US" w:eastAsia="zh-CN" w:bidi="ar"/>
                              </w:rPr>
                              <w:t>高级3分，中级2分，初级1分</w:t>
                            </w:r>
                            <w:r>
                              <w:rPr>
                                <w:rFonts w:hint="eastAsia"/>
                                <w:bCs/>
                                <w:color w:val="000000"/>
                                <w:sz w:val="21"/>
                                <w:szCs w:val="16"/>
                                <w:highlight w:val="none"/>
                                <w:lang w:eastAsia="zh-CN" w:bidi="ar"/>
                              </w:rPr>
                              <w:t>），最高</w:t>
                            </w:r>
                            <w:r>
                              <w:rPr>
                                <w:rFonts w:hint="eastAsia"/>
                                <w:bCs/>
                                <w:color w:val="000000"/>
                                <w:sz w:val="21"/>
                                <w:szCs w:val="16"/>
                                <w:highlight w:val="none"/>
                                <w:lang w:val="en-US" w:eastAsia="zh-CN" w:bidi="ar"/>
                              </w:rPr>
                              <w:t>18</w:t>
                            </w:r>
                            <w:r>
                              <w:rPr>
                                <w:rFonts w:hint="eastAsia"/>
                                <w:bCs/>
                                <w:color w:val="000000"/>
                                <w:sz w:val="21"/>
                                <w:szCs w:val="16"/>
                                <w:highlight w:val="none"/>
                                <w:lang w:eastAsia="zh-CN" w:bidi="ar"/>
                              </w:rPr>
                              <w:t>分。</w:t>
                            </w:r>
                          </w:p>
                        </w:tc>
                        <w:tc>
                          <w:tcPr>
                            <w:tcW w:w="78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default"/>
                                <w:bCs/>
                                <w:color w:val="000000"/>
                                <w:sz w:val="21"/>
                                <w:szCs w:val="16"/>
                                <w:lang w:val="en-US" w:eastAsia="zh-CN"/>
                              </w:rPr>
                            </w:pPr>
                            <w:r>
                              <w:rPr>
                                <w:rFonts w:hint="eastAsia"/>
                                <w:bCs/>
                                <w:color w:val="000000"/>
                                <w:sz w:val="21"/>
                                <w:szCs w:val="16"/>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1349" w:type="dxa"/>
                            <w:vMerge w:val="continue"/>
                            <w:tcBorders>
                              <w:left w:val="single" w:color="auto" w:sz="4" w:space="0"/>
                              <w:right w:val="single" w:color="auto" w:sz="4" w:space="0"/>
                            </w:tcBorders>
                            <w:vAlign w:val="center"/>
                          </w:tcPr>
                          <w:p>
                            <w:pPr>
                              <w:rPr>
                                <w:bCs/>
                                <w:color w:val="000000"/>
                                <w:sz w:val="21"/>
                                <w:szCs w:val="16"/>
                              </w:rPr>
                            </w:pPr>
                          </w:p>
                        </w:tc>
                        <w:tc>
                          <w:tcPr>
                            <w:tcW w:w="1683" w:type="dxa"/>
                            <w:tcBorders>
                              <w:left w:val="single" w:color="auto" w:sz="4" w:space="0"/>
                              <w:right w:val="single" w:color="auto" w:sz="4" w:space="0"/>
                            </w:tcBorders>
                            <w:vAlign w:val="center"/>
                          </w:tcPr>
                          <w:p>
                            <w:pPr>
                              <w:jc w:val="center"/>
                              <w:rPr>
                                <w:bCs/>
                                <w:color w:val="000000"/>
                                <w:sz w:val="21"/>
                                <w:szCs w:val="16"/>
                                <w:highlight w:val="none"/>
                                <w:lang w:eastAsia="zh-CN"/>
                              </w:rPr>
                            </w:pPr>
                            <w:r>
                              <w:rPr>
                                <w:rFonts w:hint="eastAsia"/>
                                <w:bCs/>
                                <w:color w:val="000000"/>
                                <w:sz w:val="21"/>
                                <w:szCs w:val="16"/>
                                <w:highlight w:val="none"/>
                                <w:lang w:eastAsia="zh-CN"/>
                              </w:rPr>
                              <w:t>工作进度计划、进度保证和质量控制措施</w:t>
                            </w:r>
                          </w:p>
                        </w:tc>
                        <w:tc>
                          <w:tcPr>
                            <w:tcW w:w="5574" w:type="dxa"/>
                            <w:tcBorders>
                              <w:top w:val="single" w:color="auto" w:sz="4" w:space="0"/>
                              <w:left w:val="single" w:color="auto" w:sz="4" w:space="0"/>
                              <w:bottom w:val="single" w:color="auto" w:sz="4" w:space="0"/>
                              <w:right w:val="single" w:color="auto" w:sz="4" w:space="0"/>
                            </w:tcBorders>
                          </w:tcPr>
                          <w:p>
                            <w:pPr>
                              <w:rPr>
                                <w:bCs/>
                                <w:color w:val="000000"/>
                                <w:sz w:val="21"/>
                                <w:szCs w:val="16"/>
                                <w:highlight w:val="none"/>
                                <w:lang w:eastAsia="zh-CN"/>
                              </w:rPr>
                            </w:pPr>
                            <w:r>
                              <w:rPr>
                                <w:rFonts w:hint="eastAsia"/>
                                <w:bCs/>
                                <w:color w:val="000000"/>
                                <w:sz w:val="21"/>
                                <w:szCs w:val="16"/>
                                <w:highlight w:val="none"/>
                                <w:lang w:eastAsia="zh-CN"/>
                              </w:rPr>
                              <w:t>进度安排及其措施的合理性。对按照磋商文件要求，保质保量完成本项目编制工作，所拟定采取的措施进行评分。最优得</w:t>
                            </w:r>
                            <w:r>
                              <w:rPr>
                                <w:bCs/>
                                <w:color w:val="000000"/>
                                <w:sz w:val="21"/>
                                <w:szCs w:val="16"/>
                                <w:highlight w:val="none"/>
                                <w:lang w:eastAsia="zh-CN"/>
                              </w:rPr>
                              <w:t>9</w:t>
                            </w:r>
                            <w:r>
                              <w:rPr>
                                <w:rFonts w:hint="eastAsia"/>
                                <w:bCs/>
                                <w:color w:val="000000"/>
                                <w:sz w:val="21"/>
                                <w:szCs w:val="16"/>
                                <w:highlight w:val="none"/>
                                <w:lang w:eastAsia="zh-CN"/>
                              </w:rPr>
                              <w:t>-1</w:t>
                            </w:r>
                            <w:r>
                              <w:rPr>
                                <w:bCs/>
                                <w:color w:val="000000"/>
                                <w:sz w:val="21"/>
                                <w:szCs w:val="16"/>
                                <w:highlight w:val="none"/>
                                <w:lang w:eastAsia="zh-CN"/>
                              </w:rPr>
                              <w:t>4</w:t>
                            </w:r>
                            <w:r>
                              <w:rPr>
                                <w:rFonts w:hint="eastAsia"/>
                                <w:bCs/>
                                <w:color w:val="000000"/>
                                <w:sz w:val="21"/>
                                <w:szCs w:val="16"/>
                                <w:highlight w:val="none"/>
                                <w:lang w:eastAsia="zh-CN"/>
                              </w:rPr>
                              <w:t>分，良4-</w:t>
                            </w:r>
                            <w:r>
                              <w:rPr>
                                <w:bCs/>
                                <w:color w:val="000000"/>
                                <w:sz w:val="21"/>
                                <w:szCs w:val="16"/>
                                <w:highlight w:val="none"/>
                                <w:lang w:eastAsia="zh-CN"/>
                              </w:rPr>
                              <w:t>8</w:t>
                            </w:r>
                            <w:r>
                              <w:rPr>
                                <w:rFonts w:hint="eastAsia"/>
                                <w:bCs/>
                                <w:color w:val="000000"/>
                                <w:sz w:val="21"/>
                                <w:szCs w:val="16"/>
                                <w:highlight w:val="none"/>
                                <w:lang w:eastAsia="zh-CN"/>
                              </w:rPr>
                              <w:t>分，一般0-3分。</w:t>
                            </w:r>
                          </w:p>
                        </w:tc>
                        <w:tc>
                          <w:tcPr>
                            <w:tcW w:w="78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bCs/>
                                <w:color w:val="000000"/>
                                <w:sz w:val="21"/>
                                <w:szCs w:val="16"/>
                              </w:rPr>
                            </w:pPr>
                            <w:r>
                              <w:rPr>
                                <w:rFonts w:hint="eastAsia"/>
                                <w:bCs/>
                                <w:color w:val="000000"/>
                                <w:sz w:val="21"/>
                                <w:szCs w:val="16"/>
                              </w:rPr>
                              <w:t>1</w:t>
                            </w:r>
                            <w:r>
                              <w:rPr>
                                <w:bCs/>
                                <w:color w:val="000000"/>
                                <w:sz w:val="21"/>
                                <w:szCs w:val="16"/>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349" w:type="dxa"/>
                            <w:vMerge w:val="continue"/>
                            <w:tcBorders>
                              <w:left w:val="single" w:color="auto" w:sz="4" w:space="0"/>
                              <w:right w:val="single" w:color="auto" w:sz="4" w:space="0"/>
                            </w:tcBorders>
                            <w:vAlign w:val="center"/>
                          </w:tcPr>
                          <w:p>
                            <w:pPr>
                              <w:rPr>
                                <w:bCs/>
                                <w:color w:val="000000"/>
                                <w:sz w:val="21"/>
                                <w:szCs w:val="16"/>
                              </w:rPr>
                            </w:pPr>
                          </w:p>
                        </w:tc>
                        <w:tc>
                          <w:tcPr>
                            <w:tcW w:w="1683" w:type="dxa"/>
                            <w:tcBorders>
                              <w:left w:val="single" w:color="auto" w:sz="4" w:space="0"/>
                              <w:right w:val="single" w:color="auto" w:sz="4" w:space="0"/>
                            </w:tcBorders>
                            <w:vAlign w:val="center"/>
                          </w:tcPr>
                          <w:p>
                            <w:pPr>
                              <w:jc w:val="center"/>
                              <w:rPr>
                                <w:bCs/>
                                <w:color w:val="000000"/>
                                <w:sz w:val="21"/>
                                <w:szCs w:val="16"/>
                                <w:lang w:eastAsia="zh-CN"/>
                              </w:rPr>
                            </w:pPr>
                            <w:r>
                              <w:rPr>
                                <w:rFonts w:hint="eastAsia"/>
                                <w:bCs/>
                                <w:color w:val="000000"/>
                                <w:sz w:val="21"/>
                                <w:szCs w:val="16"/>
                              </w:rPr>
                              <w:t>应对变更措施</w:t>
                            </w:r>
                          </w:p>
                        </w:tc>
                        <w:tc>
                          <w:tcPr>
                            <w:tcW w:w="5574" w:type="dxa"/>
                            <w:tcBorders>
                              <w:top w:val="single" w:color="auto" w:sz="4" w:space="0"/>
                              <w:left w:val="single" w:color="auto" w:sz="4" w:space="0"/>
                              <w:bottom w:val="single" w:color="auto" w:sz="4" w:space="0"/>
                              <w:right w:val="single" w:color="auto" w:sz="4" w:space="0"/>
                            </w:tcBorders>
                          </w:tcPr>
                          <w:p>
                            <w:pPr>
                              <w:rPr>
                                <w:bCs/>
                                <w:color w:val="000000"/>
                                <w:sz w:val="21"/>
                                <w:szCs w:val="16"/>
                                <w:lang w:eastAsia="zh-CN"/>
                              </w:rPr>
                            </w:pPr>
                            <w:r>
                              <w:rPr>
                                <w:rFonts w:hint="eastAsia"/>
                                <w:bCs/>
                                <w:color w:val="000000"/>
                                <w:sz w:val="21"/>
                                <w:szCs w:val="16"/>
                                <w:lang w:eastAsia="zh-CN"/>
                              </w:rPr>
                              <w:t>对本采购项目的变更（包括方案变更）等突发事件等所拟定采取的措施进行评分。最优得</w:t>
                            </w:r>
                            <w:r>
                              <w:rPr>
                                <w:bCs/>
                                <w:color w:val="000000"/>
                                <w:sz w:val="21"/>
                                <w:szCs w:val="16"/>
                                <w:lang w:eastAsia="zh-CN"/>
                              </w:rPr>
                              <w:t>10</w:t>
                            </w:r>
                            <w:r>
                              <w:rPr>
                                <w:rFonts w:hint="eastAsia"/>
                                <w:bCs/>
                                <w:color w:val="000000"/>
                                <w:sz w:val="21"/>
                                <w:szCs w:val="16"/>
                                <w:lang w:eastAsia="zh-CN"/>
                              </w:rPr>
                              <w:t>分，良5分，一般0-3分。</w:t>
                            </w:r>
                          </w:p>
                        </w:tc>
                        <w:tc>
                          <w:tcPr>
                            <w:tcW w:w="78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bCs/>
                                <w:color w:val="000000"/>
                                <w:sz w:val="21"/>
                                <w:szCs w:val="16"/>
                              </w:rPr>
                            </w:pPr>
                            <w:r>
                              <w:rPr>
                                <w:bCs/>
                                <w:color w:val="000000"/>
                                <w:sz w:val="21"/>
                                <w:szCs w:val="16"/>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349" w:type="dxa"/>
                            <w:vMerge w:val="continue"/>
                            <w:tcBorders>
                              <w:left w:val="single" w:color="auto" w:sz="4" w:space="0"/>
                              <w:right w:val="single" w:color="auto" w:sz="4" w:space="0"/>
                            </w:tcBorders>
                            <w:vAlign w:val="center"/>
                          </w:tcPr>
                          <w:p>
                            <w:pPr>
                              <w:rPr>
                                <w:bCs/>
                                <w:color w:val="000000"/>
                                <w:sz w:val="21"/>
                                <w:szCs w:val="16"/>
                              </w:rPr>
                            </w:pPr>
                          </w:p>
                        </w:tc>
                        <w:tc>
                          <w:tcPr>
                            <w:tcW w:w="1683" w:type="dxa"/>
                            <w:tcBorders>
                              <w:left w:val="single" w:color="auto" w:sz="4" w:space="0"/>
                              <w:right w:val="single" w:color="auto" w:sz="4" w:space="0"/>
                            </w:tcBorders>
                            <w:vAlign w:val="center"/>
                          </w:tcPr>
                          <w:p>
                            <w:pPr>
                              <w:jc w:val="center"/>
                              <w:rPr>
                                <w:bCs/>
                                <w:color w:val="000000"/>
                                <w:sz w:val="21"/>
                                <w:szCs w:val="16"/>
                                <w:lang w:eastAsia="zh-CN"/>
                              </w:rPr>
                            </w:pPr>
                            <w:r>
                              <w:rPr>
                                <w:rFonts w:hint="eastAsia"/>
                                <w:bCs/>
                                <w:color w:val="000000"/>
                                <w:sz w:val="21"/>
                                <w:szCs w:val="16"/>
                                <w:lang w:eastAsia="zh-CN"/>
                              </w:rPr>
                              <w:t>编制方案、思路及编制深度</w:t>
                            </w:r>
                          </w:p>
                        </w:tc>
                        <w:tc>
                          <w:tcPr>
                            <w:tcW w:w="5574" w:type="dxa"/>
                            <w:tcBorders>
                              <w:top w:val="single" w:color="auto" w:sz="4" w:space="0"/>
                              <w:left w:val="single" w:color="auto" w:sz="4" w:space="0"/>
                              <w:bottom w:val="single" w:color="auto" w:sz="4" w:space="0"/>
                              <w:right w:val="single" w:color="auto" w:sz="4" w:space="0"/>
                            </w:tcBorders>
                          </w:tcPr>
                          <w:p>
                            <w:pPr>
                              <w:rPr>
                                <w:bCs/>
                                <w:color w:val="000000"/>
                                <w:sz w:val="21"/>
                                <w:szCs w:val="16"/>
                                <w:lang w:eastAsia="zh-CN"/>
                              </w:rPr>
                            </w:pPr>
                            <w:r>
                              <w:rPr>
                                <w:rFonts w:hint="eastAsia"/>
                                <w:sz w:val="21"/>
                                <w:szCs w:val="16"/>
                                <w:lang w:eastAsia="zh-CN"/>
                              </w:rPr>
                              <w:t>考察投标人组织方案对本次项目的具体认识以及对业务情况的分析预测，紧急情况的应对措施，按方案优劣得分</w:t>
                            </w:r>
                            <w:r>
                              <w:rPr>
                                <w:rFonts w:hint="eastAsia"/>
                                <w:bCs/>
                                <w:color w:val="000000"/>
                                <w:sz w:val="21"/>
                                <w:szCs w:val="16"/>
                                <w:lang w:eastAsia="zh-CN"/>
                              </w:rPr>
                              <w:t>以及对本次项目的实施方案进行评分。优得1</w:t>
                            </w:r>
                            <w:r>
                              <w:rPr>
                                <w:bCs/>
                                <w:color w:val="000000"/>
                                <w:sz w:val="21"/>
                                <w:szCs w:val="16"/>
                                <w:lang w:eastAsia="zh-CN"/>
                              </w:rPr>
                              <w:t>6</w:t>
                            </w:r>
                            <w:r>
                              <w:rPr>
                                <w:rFonts w:hint="eastAsia"/>
                                <w:bCs/>
                                <w:color w:val="000000"/>
                                <w:sz w:val="21"/>
                                <w:szCs w:val="16"/>
                                <w:lang w:eastAsia="zh-CN"/>
                              </w:rPr>
                              <w:t>-2</w:t>
                            </w:r>
                            <w:r>
                              <w:rPr>
                                <w:bCs/>
                                <w:color w:val="000000"/>
                                <w:sz w:val="21"/>
                                <w:szCs w:val="16"/>
                                <w:lang w:eastAsia="zh-CN"/>
                              </w:rPr>
                              <w:t>2</w:t>
                            </w:r>
                            <w:r>
                              <w:rPr>
                                <w:rFonts w:hint="eastAsia"/>
                                <w:bCs/>
                                <w:color w:val="000000"/>
                                <w:sz w:val="21"/>
                                <w:szCs w:val="16"/>
                                <w:lang w:eastAsia="zh-CN"/>
                              </w:rPr>
                              <w:t>，良得8-1</w:t>
                            </w:r>
                            <w:r>
                              <w:rPr>
                                <w:bCs/>
                                <w:color w:val="000000"/>
                                <w:sz w:val="21"/>
                                <w:szCs w:val="16"/>
                                <w:lang w:eastAsia="zh-CN"/>
                              </w:rPr>
                              <w:t>5</w:t>
                            </w:r>
                            <w:r>
                              <w:rPr>
                                <w:rFonts w:hint="eastAsia"/>
                                <w:bCs/>
                                <w:color w:val="000000"/>
                                <w:sz w:val="21"/>
                                <w:szCs w:val="16"/>
                                <w:lang w:eastAsia="zh-CN"/>
                              </w:rPr>
                              <w:t>分，一般得0-7分。</w:t>
                            </w:r>
                          </w:p>
                        </w:tc>
                        <w:tc>
                          <w:tcPr>
                            <w:tcW w:w="78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bCs/>
                                <w:color w:val="000000"/>
                                <w:sz w:val="21"/>
                                <w:szCs w:val="16"/>
                                <w:lang w:eastAsia="zh-CN"/>
                              </w:rPr>
                            </w:pPr>
                            <w:r>
                              <w:rPr>
                                <w:rStyle w:val="19"/>
                                <w:rFonts w:hint="eastAsia"/>
                                <w:bCs/>
                                <w:color w:val="000000"/>
                                <w:sz w:val="21"/>
                                <w:szCs w:val="16"/>
                              </w:rPr>
                              <w:t>2</w:t>
                            </w:r>
                            <w:r>
                              <w:rPr>
                                <w:rStyle w:val="19"/>
                                <w:bCs/>
                                <w:color w:val="000000"/>
                                <w:sz w:val="21"/>
                                <w:szCs w:val="16"/>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349" w:type="dxa"/>
                            <w:vMerge w:val="continue"/>
                            <w:tcBorders>
                              <w:left w:val="single" w:color="auto" w:sz="4" w:space="0"/>
                              <w:right w:val="single" w:color="auto" w:sz="4" w:space="0"/>
                            </w:tcBorders>
                            <w:vAlign w:val="center"/>
                          </w:tcPr>
                          <w:p>
                            <w:pPr>
                              <w:rPr>
                                <w:bCs/>
                                <w:color w:val="000000"/>
                                <w:sz w:val="21"/>
                                <w:szCs w:val="16"/>
                              </w:rPr>
                            </w:pPr>
                          </w:p>
                        </w:tc>
                        <w:tc>
                          <w:tcPr>
                            <w:tcW w:w="1683" w:type="dxa"/>
                            <w:tcBorders>
                              <w:left w:val="single" w:color="auto" w:sz="4" w:space="0"/>
                              <w:right w:val="single" w:color="auto" w:sz="4" w:space="0"/>
                            </w:tcBorders>
                            <w:vAlign w:val="center"/>
                          </w:tcPr>
                          <w:p>
                            <w:pPr>
                              <w:jc w:val="center"/>
                              <w:rPr>
                                <w:bCs/>
                                <w:color w:val="000000"/>
                                <w:sz w:val="21"/>
                                <w:szCs w:val="16"/>
                                <w:lang w:eastAsia="zh-CN"/>
                              </w:rPr>
                            </w:pPr>
                            <w:r>
                              <w:rPr>
                                <w:rFonts w:hint="eastAsia"/>
                                <w:bCs/>
                                <w:color w:val="000000"/>
                                <w:sz w:val="21"/>
                                <w:szCs w:val="16"/>
                                <w:lang w:eastAsia="zh-CN"/>
                              </w:rPr>
                              <w:t>对本次项目的认识和编制重点、难点分析及注意事项</w:t>
                            </w:r>
                          </w:p>
                        </w:tc>
                        <w:tc>
                          <w:tcPr>
                            <w:tcW w:w="5574" w:type="dxa"/>
                            <w:tcBorders>
                              <w:top w:val="single" w:color="auto" w:sz="4" w:space="0"/>
                              <w:left w:val="single" w:color="auto" w:sz="4" w:space="0"/>
                              <w:bottom w:val="single" w:color="auto" w:sz="4" w:space="0"/>
                              <w:right w:val="single" w:color="auto" w:sz="4" w:space="0"/>
                            </w:tcBorders>
                            <w:vAlign w:val="center"/>
                          </w:tcPr>
                          <w:p>
                            <w:pPr>
                              <w:rPr>
                                <w:bCs/>
                                <w:color w:val="000000"/>
                                <w:sz w:val="21"/>
                                <w:szCs w:val="16"/>
                                <w:lang w:eastAsia="zh-CN"/>
                              </w:rPr>
                            </w:pPr>
                            <w:r>
                              <w:rPr>
                                <w:rFonts w:hint="eastAsia"/>
                                <w:bCs/>
                                <w:color w:val="000000"/>
                                <w:sz w:val="21"/>
                                <w:szCs w:val="16"/>
                                <w:lang w:eastAsia="zh-CN"/>
                              </w:rPr>
                              <w:t>对投标人提出对本采购项目的实施的重点难点分析及注意事项及存在问题及建议解决方案，进行评分。优得5-</w:t>
                            </w:r>
                            <w:r>
                              <w:rPr>
                                <w:bCs/>
                                <w:color w:val="000000"/>
                                <w:sz w:val="21"/>
                                <w:szCs w:val="16"/>
                                <w:lang w:eastAsia="zh-CN"/>
                              </w:rPr>
                              <w:t>8</w:t>
                            </w:r>
                            <w:r>
                              <w:rPr>
                                <w:rFonts w:hint="eastAsia"/>
                                <w:bCs/>
                                <w:color w:val="000000"/>
                                <w:sz w:val="21"/>
                                <w:szCs w:val="16"/>
                                <w:lang w:eastAsia="zh-CN"/>
                              </w:rPr>
                              <w:t>分，良得</w:t>
                            </w:r>
                            <w:r>
                              <w:rPr>
                                <w:bCs/>
                                <w:color w:val="000000"/>
                                <w:sz w:val="21"/>
                                <w:szCs w:val="16"/>
                                <w:lang w:eastAsia="zh-CN"/>
                              </w:rPr>
                              <w:t>4</w:t>
                            </w:r>
                            <w:r>
                              <w:rPr>
                                <w:rFonts w:hint="eastAsia"/>
                                <w:bCs/>
                                <w:color w:val="000000"/>
                                <w:sz w:val="21"/>
                                <w:szCs w:val="16"/>
                                <w:lang w:eastAsia="zh-CN"/>
                              </w:rPr>
                              <w:t>分，一般得1分。</w:t>
                            </w:r>
                          </w:p>
                        </w:tc>
                        <w:tc>
                          <w:tcPr>
                            <w:tcW w:w="78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bCs/>
                                <w:color w:val="000000"/>
                                <w:sz w:val="21"/>
                                <w:szCs w:val="16"/>
                              </w:rPr>
                            </w:pPr>
                            <w:r>
                              <w:rPr>
                                <w:bCs/>
                                <w:color w:val="000000"/>
                                <w:sz w:val="21"/>
                                <w:szCs w:val="16"/>
                                <w:lang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349" w:type="dxa"/>
                            <w:vMerge w:val="continue"/>
                            <w:tcBorders>
                              <w:left w:val="single" w:color="auto" w:sz="4" w:space="0"/>
                              <w:right w:val="single" w:color="auto" w:sz="4" w:space="0"/>
                            </w:tcBorders>
                            <w:vAlign w:val="center"/>
                          </w:tcPr>
                          <w:p>
                            <w:pPr>
                              <w:rPr>
                                <w:bCs/>
                                <w:color w:val="000000"/>
                                <w:sz w:val="21"/>
                                <w:szCs w:val="16"/>
                              </w:rPr>
                            </w:pPr>
                          </w:p>
                        </w:tc>
                        <w:tc>
                          <w:tcPr>
                            <w:tcW w:w="1683" w:type="dxa"/>
                            <w:tcBorders>
                              <w:left w:val="single" w:color="auto" w:sz="4" w:space="0"/>
                              <w:right w:val="single" w:color="auto" w:sz="4" w:space="0"/>
                            </w:tcBorders>
                            <w:vAlign w:val="center"/>
                          </w:tcPr>
                          <w:p>
                            <w:pPr>
                              <w:jc w:val="center"/>
                              <w:rPr>
                                <w:bCs/>
                                <w:color w:val="000000"/>
                                <w:sz w:val="21"/>
                                <w:szCs w:val="16"/>
                                <w:lang w:eastAsia="zh-CN"/>
                              </w:rPr>
                            </w:pPr>
                            <w:r>
                              <w:rPr>
                                <w:rFonts w:hint="eastAsia"/>
                                <w:bCs/>
                                <w:color w:val="000000"/>
                                <w:sz w:val="21"/>
                                <w:szCs w:val="16"/>
                              </w:rPr>
                              <w:t>设备配置</w:t>
                            </w:r>
                          </w:p>
                        </w:tc>
                        <w:tc>
                          <w:tcPr>
                            <w:tcW w:w="5574" w:type="dxa"/>
                            <w:tcBorders>
                              <w:top w:val="single" w:color="auto" w:sz="4" w:space="0"/>
                              <w:left w:val="single" w:color="auto" w:sz="4" w:space="0"/>
                              <w:bottom w:val="single" w:color="auto" w:sz="4" w:space="0"/>
                              <w:right w:val="single" w:color="auto" w:sz="4" w:space="0"/>
                            </w:tcBorders>
                            <w:vAlign w:val="center"/>
                          </w:tcPr>
                          <w:p>
                            <w:pPr>
                              <w:jc w:val="center"/>
                              <w:rPr>
                                <w:bCs/>
                                <w:color w:val="000000"/>
                                <w:sz w:val="21"/>
                                <w:szCs w:val="16"/>
                                <w:lang w:eastAsia="zh-CN"/>
                              </w:rPr>
                            </w:pPr>
                            <w:r>
                              <w:rPr>
                                <w:rFonts w:hint="eastAsia"/>
                                <w:bCs/>
                                <w:color w:val="000000"/>
                                <w:sz w:val="21"/>
                                <w:szCs w:val="16"/>
                                <w:lang w:eastAsia="zh-CN"/>
                              </w:rPr>
                              <w:t>根据投标人针对本项目的设备配置（包括办所配备的专业工器具）进行横向对比，由评委在0-</w:t>
                            </w:r>
                            <w:r>
                              <w:rPr>
                                <w:rFonts w:hint="eastAsia"/>
                                <w:bCs/>
                                <w:color w:val="000000"/>
                                <w:sz w:val="21"/>
                                <w:szCs w:val="16"/>
                                <w:lang w:val="en-US" w:eastAsia="zh-CN"/>
                              </w:rPr>
                              <w:t>10</w:t>
                            </w:r>
                            <w:r>
                              <w:rPr>
                                <w:rFonts w:hint="eastAsia"/>
                                <w:bCs/>
                                <w:color w:val="000000"/>
                                <w:sz w:val="21"/>
                                <w:szCs w:val="16"/>
                                <w:lang w:eastAsia="zh-CN"/>
                              </w:rPr>
                              <w:t>分之间酌情打分</w:t>
                            </w:r>
                          </w:p>
                        </w:tc>
                        <w:tc>
                          <w:tcPr>
                            <w:tcW w:w="78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default"/>
                                <w:bCs/>
                                <w:color w:val="000000"/>
                                <w:sz w:val="21"/>
                                <w:szCs w:val="16"/>
                                <w:lang w:val="en-US" w:eastAsia="zh-CN"/>
                              </w:rPr>
                            </w:pPr>
                            <w:r>
                              <w:rPr>
                                <w:rFonts w:hint="eastAsia"/>
                                <w:bCs/>
                                <w:color w:val="000000"/>
                                <w:sz w:val="21"/>
                                <w:szCs w:val="16"/>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349" w:type="dxa"/>
                            <w:vMerge w:val="continue"/>
                            <w:tcBorders>
                              <w:left w:val="single" w:color="auto" w:sz="4" w:space="0"/>
                              <w:right w:val="single" w:color="auto" w:sz="4" w:space="0"/>
                            </w:tcBorders>
                            <w:vAlign w:val="center"/>
                          </w:tcPr>
                          <w:p>
                            <w:pPr>
                              <w:rPr>
                                <w:bCs/>
                                <w:color w:val="000000"/>
                                <w:sz w:val="21"/>
                                <w:szCs w:val="16"/>
                              </w:rPr>
                            </w:pPr>
                          </w:p>
                        </w:tc>
                        <w:tc>
                          <w:tcPr>
                            <w:tcW w:w="1683" w:type="dxa"/>
                            <w:tcBorders>
                              <w:left w:val="single" w:color="auto" w:sz="4" w:space="0"/>
                              <w:right w:val="single" w:color="auto" w:sz="4" w:space="0"/>
                            </w:tcBorders>
                            <w:vAlign w:val="center"/>
                          </w:tcPr>
                          <w:p>
                            <w:pPr>
                              <w:jc w:val="center"/>
                              <w:rPr>
                                <w:bCs/>
                                <w:color w:val="000000"/>
                                <w:sz w:val="21"/>
                                <w:szCs w:val="16"/>
                                <w:lang w:eastAsia="zh-CN"/>
                              </w:rPr>
                            </w:pPr>
                            <w:r>
                              <w:rPr>
                                <w:rFonts w:hint="eastAsia"/>
                                <w:bCs/>
                                <w:color w:val="000000"/>
                                <w:sz w:val="21"/>
                                <w:szCs w:val="16"/>
                                <w:lang w:eastAsia="zh-CN"/>
                              </w:rPr>
                              <w:t>售后服务方案及服务承诺</w:t>
                            </w:r>
                          </w:p>
                        </w:tc>
                        <w:tc>
                          <w:tcPr>
                            <w:tcW w:w="5574" w:type="dxa"/>
                            <w:tcBorders>
                              <w:top w:val="single" w:color="auto" w:sz="4" w:space="0"/>
                              <w:left w:val="single" w:color="auto" w:sz="4" w:space="0"/>
                              <w:bottom w:val="single" w:color="auto" w:sz="4" w:space="0"/>
                              <w:right w:val="single" w:color="auto" w:sz="4" w:space="0"/>
                            </w:tcBorders>
                          </w:tcPr>
                          <w:p>
                            <w:pPr>
                              <w:jc w:val="center"/>
                              <w:rPr>
                                <w:bCs/>
                                <w:color w:val="000000"/>
                                <w:sz w:val="21"/>
                                <w:szCs w:val="16"/>
                                <w:lang w:eastAsia="zh-CN"/>
                              </w:rPr>
                            </w:pPr>
                            <w:r>
                              <w:rPr>
                                <w:rFonts w:hint="eastAsia"/>
                                <w:sz w:val="21"/>
                                <w:szCs w:val="16"/>
                                <w:lang w:eastAsia="zh-CN"/>
                              </w:rPr>
                              <w:t>根据各投标人的服务方案（包括售后服务承诺和售后服务体系等方面）进行综合评审，优得6-8分，良得3-5分，中等及以下得0-2分。</w:t>
                            </w:r>
                          </w:p>
                        </w:tc>
                        <w:tc>
                          <w:tcPr>
                            <w:tcW w:w="78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bCs/>
                                <w:color w:val="000000"/>
                                <w:sz w:val="21"/>
                                <w:szCs w:val="16"/>
                                <w:lang w:eastAsia="zh-CN"/>
                              </w:rPr>
                            </w:pPr>
                            <w:r>
                              <w:rPr>
                                <w:rFonts w:hint="eastAsia"/>
                                <w:bCs/>
                                <w:color w:val="000000"/>
                                <w:sz w:val="21"/>
                                <w:szCs w:val="16"/>
                                <w:lang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349" w:type="dxa"/>
                            <w:tcBorders>
                              <w:left w:val="single" w:color="auto" w:sz="4" w:space="0"/>
                              <w:right w:val="single" w:color="auto" w:sz="4" w:space="0"/>
                            </w:tcBorders>
                            <w:vAlign w:val="center"/>
                          </w:tcPr>
                          <w:p>
                            <w:pPr>
                              <w:spacing w:line="300" w:lineRule="auto"/>
                              <w:jc w:val="center"/>
                              <w:rPr>
                                <w:bCs/>
                                <w:color w:val="000000"/>
                                <w:sz w:val="21"/>
                                <w:szCs w:val="16"/>
                              </w:rPr>
                            </w:pPr>
                            <w:r>
                              <w:rPr>
                                <w:rFonts w:hint="eastAsia"/>
                                <w:bCs/>
                                <w:color w:val="000000"/>
                                <w:sz w:val="21"/>
                                <w:szCs w:val="16"/>
                              </w:rPr>
                              <w:t>报价部分</w:t>
                            </w:r>
                          </w:p>
                          <w:p>
                            <w:pPr>
                              <w:spacing w:line="300" w:lineRule="auto"/>
                              <w:jc w:val="center"/>
                              <w:rPr>
                                <w:sz w:val="18"/>
                                <w:szCs w:val="16"/>
                              </w:rPr>
                            </w:pPr>
                            <w:r>
                              <w:rPr>
                                <w:rFonts w:hint="eastAsia"/>
                                <w:bCs/>
                                <w:color w:val="000000"/>
                                <w:sz w:val="21"/>
                                <w:szCs w:val="16"/>
                              </w:rPr>
                              <w:t>（10分）</w:t>
                            </w:r>
                          </w:p>
                        </w:tc>
                        <w:tc>
                          <w:tcPr>
                            <w:tcW w:w="1683" w:type="dxa"/>
                            <w:tcBorders>
                              <w:left w:val="single" w:color="auto" w:sz="4" w:space="0"/>
                              <w:right w:val="single" w:color="auto" w:sz="4" w:space="0"/>
                            </w:tcBorders>
                            <w:vAlign w:val="center"/>
                          </w:tcPr>
                          <w:p>
                            <w:pPr>
                              <w:snapToGrid w:val="0"/>
                              <w:spacing w:line="360" w:lineRule="exact"/>
                              <w:jc w:val="center"/>
                              <w:rPr>
                                <w:color w:val="000000"/>
                                <w:sz w:val="21"/>
                                <w:szCs w:val="16"/>
                              </w:rPr>
                            </w:pPr>
                            <w:r>
                              <w:rPr>
                                <w:rFonts w:hint="eastAsia"/>
                                <w:color w:val="000000"/>
                                <w:sz w:val="21"/>
                                <w:szCs w:val="16"/>
                              </w:rPr>
                              <w:t>价格部分</w:t>
                            </w:r>
                          </w:p>
                          <w:p>
                            <w:pPr>
                              <w:snapToGrid w:val="0"/>
                              <w:spacing w:line="360" w:lineRule="exact"/>
                              <w:jc w:val="center"/>
                              <w:rPr>
                                <w:bCs/>
                                <w:color w:val="000000"/>
                                <w:sz w:val="21"/>
                                <w:szCs w:val="16"/>
                              </w:rPr>
                            </w:pPr>
                            <w:r>
                              <w:rPr>
                                <w:rFonts w:hint="eastAsia"/>
                                <w:color w:val="000000"/>
                                <w:sz w:val="21"/>
                                <w:szCs w:val="16"/>
                              </w:rPr>
                              <w:t>（10%）</w:t>
                            </w:r>
                          </w:p>
                        </w:tc>
                        <w:tc>
                          <w:tcPr>
                            <w:tcW w:w="5574" w:type="dxa"/>
                            <w:tcBorders>
                              <w:top w:val="single" w:color="auto" w:sz="4" w:space="0"/>
                              <w:left w:val="single" w:color="auto" w:sz="4" w:space="0"/>
                              <w:bottom w:val="single" w:color="auto" w:sz="4" w:space="0"/>
                              <w:right w:val="single" w:color="auto" w:sz="4" w:space="0"/>
                            </w:tcBorders>
                            <w:vAlign w:val="center"/>
                          </w:tcPr>
                          <w:p>
                            <w:pPr>
                              <w:adjustRightInd w:val="0"/>
                              <w:snapToGrid w:val="0"/>
                              <w:rPr>
                                <w:bCs/>
                                <w:color w:val="000000"/>
                                <w:sz w:val="21"/>
                                <w:szCs w:val="16"/>
                                <w:lang w:eastAsia="zh-CN"/>
                              </w:rPr>
                            </w:pPr>
                            <w:r>
                              <w:rPr>
                                <w:rFonts w:hint="eastAsia"/>
                                <w:bCs/>
                                <w:color w:val="000000"/>
                                <w:sz w:val="21"/>
                                <w:szCs w:val="18"/>
                                <w:lang w:eastAsia="zh-CN"/>
                              </w:rPr>
                              <w:t>在满足</w:t>
                            </w:r>
                            <w:r>
                              <w:rPr>
                                <w:rFonts w:hint="eastAsia"/>
                                <w:bCs/>
                                <w:color w:val="000000"/>
                                <w:sz w:val="21"/>
                                <w:szCs w:val="18"/>
                                <w:lang w:val="en-US" w:eastAsia="zh-CN"/>
                              </w:rPr>
                              <w:t>磋商</w:t>
                            </w:r>
                            <w:r>
                              <w:rPr>
                                <w:rFonts w:hint="eastAsia"/>
                                <w:bCs/>
                                <w:color w:val="000000"/>
                                <w:sz w:val="21"/>
                                <w:szCs w:val="18"/>
                                <w:lang w:eastAsia="zh-CN"/>
                              </w:rPr>
                              <w:t>文件要求的前提下，基准价为合理低价，即满足</w:t>
                            </w:r>
                            <w:r>
                              <w:rPr>
                                <w:rFonts w:hint="eastAsia"/>
                                <w:bCs/>
                                <w:color w:val="000000"/>
                                <w:sz w:val="21"/>
                                <w:szCs w:val="18"/>
                                <w:lang w:val="en-US" w:eastAsia="zh-CN"/>
                              </w:rPr>
                              <w:t>磋商</w:t>
                            </w:r>
                            <w:r>
                              <w:rPr>
                                <w:rFonts w:hint="eastAsia"/>
                                <w:bCs/>
                                <w:color w:val="000000"/>
                                <w:sz w:val="21"/>
                                <w:szCs w:val="18"/>
                                <w:lang w:eastAsia="zh-CN"/>
                              </w:rPr>
                              <w:t>文件要求且价格最低的报价为评标基准价，其价格分为满分,满分为10分；价格分的计算投标报价得分=(评标基准价／投标报价)×0.1×100 。（计算分值时，百分比按四舍五入原则，保留小数点后二位数）</w:t>
                            </w:r>
                          </w:p>
                        </w:tc>
                        <w:tc>
                          <w:tcPr>
                            <w:tcW w:w="78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210" w:firstLineChars="100"/>
                              <w:rPr>
                                <w:bCs/>
                                <w:color w:val="000000"/>
                                <w:sz w:val="21"/>
                                <w:szCs w:val="16"/>
                              </w:rPr>
                            </w:pPr>
                            <w:r>
                              <w:rPr>
                                <w:rFonts w:hint="eastAsia"/>
                                <w:color w:val="000000"/>
                                <w:sz w:val="21"/>
                                <w:szCs w:val="16"/>
                              </w:rPr>
                              <w:t>10</w:t>
                            </w:r>
                          </w:p>
                        </w:tc>
                      </w:tr>
                    </w:tbl>
                    <w:p>
                      <w:pPr>
                        <w:numPr>
                          <w:ilvl w:val="0"/>
                          <w:numId w:val="34"/>
                        </w:numPr>
                        <w:ind w:firstLine="248" w:firstLineChars="100"/>
                        <w:rPr>
                          <w:rFonts w:hint="eastAsia"/>
                          <w:spacing w:val="4"/>
                          <w:sz w:val="24"/>
                          <w:szCs w:val="24"/>
                          <w:lang w:eastAsia="zh-CN"/>
                        </w:rPr>
                      </w:pPr>
                      <w:r>
                        <w:rPr>
                          <w:rFonts w:hint="eastAsia"/>
                          <w:spacing w:val="4"/>
                          <w:sz w:val="24"/>
                          <w:szCs w:val="24"/>
                          <w:lang w:eastAsia="zh-CN"/>
                        </w:rPr>
                        <w:t>磋商结果报告由磋商小组全体成员签字确认。</w:t>
                      </w:r>
                    </w:p>
                    <w:p>
                      <w:pPr>
                        <w:numPr>
                          <w:ilvl w:val="0"/>
                          <w:numId w:val="34"/>
                        </w:numPr>
                        <w:ind w:firstLine="248" w:firstLineChars="100"/>
                        <w:rPr>
                          <w:spacing w:val="4"/>
                          <w:sz w:val="24"/>
                          <w:szCs w:val="24"/>
                          <w:lang w:eastAsia="zh-CN"/>
                        </w:rPr>
                      </w:pPr>
                      <w:r>
                        <w:rPr>
                          <w:rFonts w:hint="eastAsia"/>
                          <w:spacing w:val="4"/>
                          <w:sz w:val="24"/>
                          <w:szCs w:val="24"/>
                          <w:lang w:eastAsia="zh-CN"/>
                        </w:rPr>
                        <w:t>采购人根据磋商结果报告中推荐的成交候选人确定成交供应商，以复函通知采购代理机构。</w:t>
                      </w:r>
                    </w:p>
                    <w:p>
                      <w:pPr>
                        <w:ind w:firstLine="249" w:firstLineChars="100"/>
                        <w:rPr>
                          <w:spacing w:val="4"/>
                          <w:sz w:val="24"/>
                          <w:szCs w:val="24"/>
                          <w:lang w:eastAsia="zh-CN"/>
                        </w:rPr>
                      </w:pPr>
                      <w:r>
                        <w:rPr>
                          <w:rFonts w:hint="eastAsia"/>
                          <w:b/>
                          <w:bCs/>
                          <w:spacing w:val="4"/>
                          <w:kern w:val="2"/>
                          <w:sz w:val="24"/>
                          <w:szCs w:val="24"/>
                          <w:lang w:eastAsia="zh-CN"/>
                        </w:rPr>
                        <w:t>特殊情况的处理</w:t>
                      </w:r>
                      <w:r>
                        <w:rPr>
                          <w:rFonts w:hint="eastAsia"/>
                          <w:spacing w:val="4"/>
                          <w:sz w:val="24"/>
                          <w:szCs w:val="24"/>
                          <w:lang w:eastAsia="zh-CN"/>
                        </w:rPr>
                        <w:t>磋商过程中，若出现本评审方法以外的特殊情况时，将暂停评审，待磋商小组商榷后，再进行评定。</w:t>
                      </w:r>
                    </w:p>
                    <w:p>
                      <w:pPr>
                        <w:pStyle w:val="8"/>
                        <w:rPr>
                          <w:lang w:eastAsia="zh-CN"/>
                        </w:rPr>
                      </w:pPr>
                    </w:p>
                  </w:txbxContent>
                </v:textbox>
              </v:shape>
            </w:pict>
          </mc:Fallback>
        </mc:AlternateContent>
      </w:r>
      <w:r>
        <w:rPr>
          <w:lang w:eastAsia="zh-CN"/>
        </w:rPr>
        <w:t>附件</w:t>
      </w:r>
      <w:r>
        <w:rPr>
          <w:spacing w:val="-62"/>
          <w:lang w:eastAsia="zh-CN"/>
        </w:rPr>
        <w:t xml:space="preserve"> </w:t>
      </w:r>
      <w:r>
        <w:rPr>
          <w:lang w:eastAsia="zh-CN"/>
        </w:rPr>
        <w:t>4</w:t>
      </w:r>
      <w:r>
        <w:rPr>
          <w:lang w:eastAsia="zh-CN"/>
        </w:rPr>
        <w:tab/>
      </w:r>
      <w:r>
        <w:rPr>
          <w:highlight w:val="none"/>
          <w:lang w:eastAsia="zh-CN"/>
        </w:rPr>
        <w:t>详细评审表</w:t>
      </w:r>
    </w:p>
    <w:p>
      <w:pPr>
        <w:pStyle w:val="8"/>
        <w:rPr>
          <w:b/>
          <w:sz w:val="20"/>
          <w:lang w:eastAsia="zh-CN"/>
        </w:rPr>
      </w:pPr>
    </w:p>
    <w:p>
      <w:pPr>
        <w:rPr>
          <w:rFonts w:ascii="Times New Roman"/>
          <w:lang w:eastAsia="zh-CN"/>
        </w:rPr>
        <w:sectPr>
          <w:footerReference r:id="rId20" w:type="default"/>
          <w:pgSz w:w="12240" w:h="15840"/>
          <w:pgMar w:top="1380" w:right="840" w:bottom="960" w:left="820" w:header="953" w:footer="761" w:gutter="0"/>
          <w:pgNumType w:fmt="decimal"/>
          <w:cols w:space="720" w:num="1"/>
        </w:sectPr>
      </w:pPr>
    </w:p>
    <w:p>
      <w:pPr>
        <w:spacing w:line="360" w:lineRule="auto"/>
        <w:jc w:val="center"/>
        <w:outlineLvl w:val="0"/>
        <w:rPr>
          <w:b/>
          <w:sz w:val="52"/>
          <w:szCs w:val="52"/>
          <w:lang w:eastAsia="zh-CN"/>
        </w:rPr>
      </w:pPr>
      <w:r>
        <w:rPr>
          <w:rFonts w:hint="eastAsia"/>
          <w:b/>
          <w:bCs/>
          <w:kern w:val="2"/>
          <w:sz w:val="36"/>
          <w:szCs w:val="36"/>
          <w:lang w:eastAsia="zh-CN"/>
        </w:rPr>
        <w:t>第四章  合同条款及格式</w:t>
      </w:r>
    </w:p>
    <w:p>
      <w:pPr>
        <w:pStyle w:val="8"/>
        <w:rPr>
          <w:sz w:val="21"/>
          <w:szCs w:val="20"/>
          <w:lang w:eastAsia="zh-CN"/>
        </w:rPr>
      </w:pPr>
    </w:p>
    <w:p>
      <w:pPr>
        <w:spacing w:line="460" w:lineRule="exact"/>
        <w:jc w:val="center"/>
        <w:rPr>
          <w:color w:val="0C0C0C"/>
          <w:sz w:val="24"/>
          <w:szCs w:val="24"/>
          <w:lang w:eastAsia="zh-CN"/>
        </w:rPr>
      </w:pPr>
      <w:r>
        <w:rPr>
          <w:rFonts w:hint="eastAsia"/>
          <w:color w:val="0C0C0C"/>
          <w:sz w:val="24"/>
          <w:szCs w:val="24"/>
          <w:lang w:eastAsia="zh-CN"/>
        </w:rPr>
        <w:t>政府采购合同参考范本</w:t>
      </w:r>
    </w:p>
    <w:p>
      <w:pPr>
        <w:spacing w:line="440" w:lineRule="exact"/>
        <w:jc w:val="center"/>
        <w:rPr>
          <w:color w:val="0C0C0C"/>
          <w:sz w:val="24"/>
          <w:szCs w:val="24"/>
          <w:lang w:eastAsia="zh-CN"/>
        </w:rPr>
      </w:pPr>
      <w:r>
        <w:rPr>
          <w:rFonts w:hint="eastAsia"/>
          <w:color w:val="0C0C0C"/>
          <w:sz w:val="24"/>
          <w:szCs w:val="24"/>
          <w:lang w:eastAsia="zh-CN"/>
        </w:rPr>
        <w:t>（服务类）</w:t>
      </w:r>
    </w:p>
    <w:p>
      <w:pPr>
        <w:spacing w:line="440" w:lineRule="exact"/>
        <w:jc w:val="center"/>
        <w:rPr>
          <w:color w:val="0C0C0C"/>
          <w:sz w:val="24"/>
          <w:szCs w:val="24"/>
          <w:lang w:eastAsia="zh-CN"/>
        </w:rPr>
      </w:pPr>
    </w:p>
    <w:p>
      <w:pPr>
        <w:spacing w:line="440" w:lineRule="exact"/>
        <w:jc w:val="center"/>
        <w:rPr>
          <w:color w:val="0C0C0C"/>
          <w:sz w:val="24"/>
          <w:szCs w:val="24"/>
          <w:lang w:eastAsia="zh-CN"/>
        </w:rPr>
      </w:pPr>
    </w:p>
    <w:p>
      <w:pPr>
        <w:spacing w:line="440" w:lineRule="exact"/>
        <w:jc w:val="center"/>
        <w:rPr>
          <w:color w:val="0C0C0C"/>
          <w:sz w:val="24"/>
          <w:szCs w:val="24"/>
          <w:lang w:eastAsia="zh-CN"/>
        </w:rPr>
      </w:pPr>
    </w:p>
    <w:p>
      <w:pPr>
        <w:spacing w:line="440" w:lineRule="exact"/>
        <w:jc w:val="center"/>
        <w:rPr>
          <w:color w:val="0C0C0C"/>
          <w:sz w:val="24"/>
          <w:szCs w:val="24"/>
          <w:lang w:eastAsia="zh-CN"/>
        </w:rPr>
      </w:pPr>
      <w:r>
        <w:rPr>
          <w:rFonts w:hint="eastAsia"/>
          <w:color w:val="0C0C0C"/>
          <w:sz w:val="24"/>
          <w:szCs w:val="24"/>
          <w:lang w:eastAsia="zh-CN"/>
        </w:rPr>
        <w:t>第一部分 合同书</w:t>
      </w:r>
    </w:p>
    <w:p>
      <w:pPr>
        <w:spacing w:line="440" w:lineRule="exact"/>
        <w:jc w:val="center"/>
        <w:rPr>
          <w:color w:val="0C0C0C"/>
          <w:sz w:val="24"/>
          <w:szCs w:val="24"/>
          <w:lang w:eastAsia="zh-CN"/>
        </w:rPr>
      </w:pPr>
    </w:p>
    <w:p>
      <w:pPr>
        <w:spacing w:line="440" w:lineRule="exact"/>
        <w:jc w:val="center"/>
        <w:rPr>
          <w:color w:val="0C0C0C"/>
          <w:sz w:val="24"/>
          <w:szCs w:val="24"/>
          <w:lang w:eastAsia="zh-CN"/>
        </w:rPr>
      </w:pPr>
    </w:p>
    <w:p>
      <w:pPr>
        <w:spacing w:line="440" w:lineRule="exact"/>
        <w:jc w:val="center"/>
        <w:rPr>
          <w:color w:val="0C0C0C"/>
          <w:sz w:val="24"/>
          <w:szCs w:val="24"/>
          <w:lang w:eastAsia="zh-CN"/>
        </w:rPr>
      </w:pPr>
    </w:p>
    <w:p>
      <w:pPr>
        <w:spacing w:line="440" w:lineRule="exact"/>
        <w:rPr>
          <w:color w:val="0C0C0C"/>
          <w:sz w:val="24"/>
          <w:szCs w:val="24"/>
          <w:u w:val="single"/>
          <w:lang w:eastAsia="zh-CN"/>
        </w:rPr>
      </w:pPr>
      <w:r>
        <w:rPr>
          <w:rFonts w:hint="eastAsia"/>
          <w:color w:val="0C0C0C"/>
          <w:sz w:val="24"/>
          <w:szCs w:val="24"/>
          <w:lang w:eastAsia="zh-CN"/>
        </w:rPr>
        <w:t>项目名称：</w:t>
      </w:r>
      <w:r>
        <w:rPr>
          <w:rFonts w:hint="eastAsia"/>
          <w:color w:val="0C0C0C"/>
          <w:sz w:val="24"/>
          <w:szCs w:val="24"/>
          <w:u w:val="single"/>
          <w:lang w:eastAsia="zh-CN"/>
        </w:rPr>
        <w:t xml:space="preserve">                   </w:t>
      </w:r>
    </w:p>
    <w:p>
      <w:pPr>
        <w:spacing w:line="440" w:lineRule="exact"/>
        <w:jc w:val="center"/>
        <w:rPr>
          <w:color w:val="0C0C0C"/>
          <w:sz w:val="24"/>
          <w:szCs w:val="24"/>
          <w:lang w:eastAsia="zh-CN"/>
        </w:rPr>
      </w:pPr>
    </w:p>
    <w:p>
      <w:pPr>
        <w:spacing w:line="440" w:lineRule="exact"/>
        <w:jc w:val="center"/>
        <w:rPr>
          <w:color w:val="0C0C0C"/>
          <w:sz w:val="24"/>
          <w:szCs w:val="24"/>
          <w:lang w:eastAsia="zh-CN"/>
        </w:rPr>
      </w:pPr>
    </w:p>
    <w:p>
      <w:pPr>
        <w:spacing w:line="440" w:lineRule="exact"/>
        <w:jc w:val="center"/>
        <w:rPr>
          <w:color w:val="0C0C0C"/>
          <w:sz w:val="24"/>
          <w:szCs w:val="24"/>
          <w:lang w:eastAsia="zh-CN"/>
        </w:rPr>
      </w:pPr>
    </w:p>
    <w:p>
      <w:pPr>
        <w:spacing w:line="440" w:lineRule="exact"/>
        <w:jc w:val="both"/>
        <w:rPr>
          <w:color w:val="0C0C0C"/>
          <w:sz w:val="24"/>
          <w:szCs w:val="24"/>
          <w:u w:val="single"/>
          <w:lang w:eastAsia="zh-CN"/>
        </w:rPr>
      </w:pPr>
      <w:r>
        <w:rPr>
          <w:rFonts w:hint="eastAsia"/>
          <w:color w:val="0C0C0C"/>
          <w:sz w:val="24"/>
          <w:szCs w:val="24"/>
          <w:lang w:eastAsia="zh-CN"/>
        </w:rPr>
        <w:t>甲方：</w:t>
      </w:r>
      <w:r>
        <w:rPr>
          <w:rFonts w:hint="eastAsia"/>
          <w:color w:val="0C0C0C"/>
          <w:sz w:val="24"/>
          <w:szCs w:val="24"/>
          <w:u w:val="single"/>
          <w:lang w:eastAsia="zh-CN"/>
        </w:rPr>
        <w:t xml:space="preserve">               </w:t>
      </w:r>
    </w:p>
    <w:p>
      <w:pPr>
        <w:spacing w:line="440" w:lineRule="exact"/>
        <w:jc w:val="center"/>
        <w:rPr>
          <w:color w:val="0C0C0C"/>
          <w:sz w:val="24"/>
          <w:szCs w:val="24"/>
          <w:lang w:eastAsia="zh-CN"/>
        </w:rPr>
      </w:pPr>
    </w:p>
    <w:p>
      <w:pPr>
        <w:spacing w:line="440" w:lineRule="exact"/>
        <w:jc w:val="both"/>
        <w:rPr>
          <w:color w:val="0C0C0C"/>
          <w:sz w:val="24"/>
          <w:szCs w:val="24"/>
          <w:u w:val="single"/>
          <w:lang w:eastAsia="zh-CN"/>
        </w:rPr>
      </w:pPr>
      <w:r>
        <w:rPr>
          <w:rFonts w:hint="eastAsia"/>
          <w:color w:val="0C0C0C"/>
          <w:sz w:val="24"/>
          <w:szCs w:val="24"/>
          <w:lang w:eastAsia="zh-CN"/>
        </w:rPr>
        <w:t>乙方：</w:t>
      </w:r>
      <w:r>
        <w:rPr>
          <w:rFonts w:hint="eastAsia"/>
          <w:color w:val="0C0C0C"/>
          <w:sz w:val="24"/>
          <w:szCs w:val="24"/>
          <w:u w:val="single"/>
          <w:lang w:eastAsia="zh-CN"/>
        </w:rPr>
        <w:t xml:space="preserve">                  </w:t>
      </w:r>
    </w:p>
    <w:p>
      <w:pPr>
        <w:spacing w:line="440" w:lineRule="exact"/>
        <w:jc w:val="center"/>
        <w:rPr>
          <w:color w:val="0C0C0C"/>
          <w:sz w:val="24"/>
          <w:szCs w:val="24"/>
          <w:lang w:eastAsia="zh-CN"/>
        </w:rPr>
      </w:pPr>
    </w:p>
    <w:p>
      <w:pPr>
        <w:spacing w:line="440" w:lineRule="exact"/>
        <w:jc w:val="both"/>
        <w:rPr>
          <w:color w:val="0C0C0C"/>
          <w:sz w:val="24"/>
          <w:szCs w:val="24"/>
          <w:u w:val="single"/>
          <w:lang w:eastAsia="zh-CN"/>
        </w:rPr>
      </w:pPr>
      <w:r>
        <w:rPr>
          <w:rFonts w:hint="eastAsia"/>
          <w:color w:val="0C0C0C"/>
          <w:sz w:val="24"/>
          <w:szCs w:val="24"/>
          <w:lang w:eastAsia="zh-CN"/>
        </w:rPr>
        <w:t>签订地：</w:t>
      </w:r>
      <w:r>
        <w:rPr>
          <w:rFonts w:hint="eastAsia"/>
          <w:color w:val="0C0C0C"/>
          <w:sz w:val="24"/>
          <w:szCs w:val="24"/>
          <w:u w:val="single"/>
          <w:lang w:eastAsia="zh-CN"/>
        </w:rPr>
        <w:t xml:space="preserve">                    </w:t>
      </w:r>
    </w:p>
    <w:p>
      <w:pPr>
        <w:spacing w:line="440" w:lineRule="exact"/>
        <w:jc w:val="center"/>
        <w:rPr>
          <w:color w:val="0C0C0C"/>
          <w:sz w:val="24"/>
          <w:szCs w:val="24"/>
          <w:lang w:eastAsia="zh-CN"/>
        </w:rPr>
      </w:pPr>
    </w:p>
    <w:p>
      <w:pPr>
        <w:spacing w:line="440" w:lineRule="exact"/>
        <w:jc w:val="both"/>
        <w:rPr>
          <w:color w:val="0C0C0C"/>
          <w:sz w:val="24"/>
          <w:szCs w:val="24"/>
          <w:lang w:eastAsia="zh-CN"/>
        </w:rPr>
      </w:pPr>
      <w:r>
        <w:rPr>
          <w:rFonts w:hint="eastAsia"/>
          <w:color w:val="0C0C0C"/>
          <w:sz w:val="24"/>
          <w:szCs w:val="24"/>
          <w:lang w:eastAsia="zh-CN"/>
        </w:rPr>
        <w:t>签订日期：               年       月       日</w:t>
      </w:r>
    </w:p>
    <w:p>
      <w:pPr>
        <w:spacing w:line="440" w:lineRule="exact"/>
        <w:rPr>
          <w:color w:val="0C0C0C"/>
          <w:sz w:val="24"/>
          <w:szCs w:val="24"/>
          <w:lang w:val="zh-CN" w:eastAsia="zh-CN"/>
        </w:rPr>
      </w:pPr>
    </w:p>
    <w:p>
      <w:pPr>
        <w:spacing w:line="440" w:lineRule="exact"/>
        <w:rPr>
          <w:color w:val="0C0C0C"/>
          <w:sz w:val="24"/>
          <w:szCs w:val="24"/>
          <w:lang w:val="zh-CN" w:eastAsia="zh-CN"/>
        </w:rPr>
      </w:pPr>
    </w:p>
    <w:p>
      <w:pPr>
        <w:spacing w:line="440" w:lineRule="exact"/>
        <w:rPr>
          <w:color w:val="0C0C0C"/>
          <w:sz w:val="24"/>
          <w:szCs w:val="24"/>
          <w:lang w:val="zh-CN" w:eastAsia="zh-CN"/>
        </w:rPr>
      </w:pPr>
    </w:p>
    <w:p>
      <w:pPr>
        <w:spacing w:line="440" w:lineRule="exact"/>
        <w:rPr>
          <w:color w:val="0C0C0C"/>
          <w:sz w:val="24"/>
          <w:szCs w:val="24"/>
          <w:lang w:val="zh-CN" w:eastAsia="zh-CN"/>
        </w:rPr>
      </w:pPr>
    </w:p>
    <w:p>
      <w:pPr>
        <w:spacing w:line="440" w:lineRule="exact"/>
        <w:rPr>
          <w:color w:val="0C0C0C"/>
          <w:sz w:val="24"/>
          <w:szCs w:val="24"/>
          <w:lang w:val="zh-CN" w:eastAsia="zh-CN"/>
        </w:rPr>
      </w:pPr>
    </w:p>
    <w:p>
      <w:pPr>
        <w:spacing w:line="440" w:lineRule="exact"/>
        <w:rPr>
          <w:color w:val="0C0C0C"/>
          <w:sz w:val="24"/>
          <w:szCs w:val="24"/>
          <w:lang w:val="zh-CN" w:eastAsia="zh-CN"/>
        </w:rPr>
      </w:pPr>
    </w:p>
    <w:p>
      <w:pPr>
        <w:spacing w:line="440" w:lineRule="exact"/>
        <w:rPr>
          <w:color w:val="0C0C0C"/>
          <w:sz w:val="24"/>
          <w:szCs w:val="24"/>
          <w:lang w:val="zh-CN" w:eastAsia="zh-CN"/>
        </w:rPr>
      </w:pPr>
    </w:p>
    <w:p>
      <w:pPr>
        <w:pStyle w:val="23"/>
        <w:rPr>
          <w:lang w:val="zh-CN"/>
        </w:rPr>
      </w:pPr>
    </w:p>
    <w:p>
      <w:pPr>
        <w:spacing w:line="440" w:lineRule="exact"/>
        <w:rPr>
          <w:color w:val="0C0C0C"/>
          <w:sz w:val="24"/>
          <w:szCs w:val="24"/>
          <w:lang w:val="zh-CN" w:eastAsia="zh-CN"/>
        </w:rPr>
      </w:pPr>
    </w:p>
    <w:p>
      <w:pPr>
        <w:spacing w:line="440" w:lineRule="exact"/>
        <w:rPr>
          <w:color w:val="0C0C0C"/>
          <w:sz w:val="24"/>
          <w:szCs w:val="24"/>
          <w:lang w:eastAsia="zh-CN"/>
        </w:rPr>
      </w:pPr>
      <w:r>
        <w:rPr>
          <w:rFonts w:hint="eastAsia"/>
          <w:color w:val="0C0C0C"/>
          <w:sz w:val="24"/>
          <w:szCs w:val="24"/>
          <w:lang w:val="zh-CN" w:eastAsia="zh-CN"/>
        </w:rPr>
        <w:t xml:space="preserve">  </w:t>
      </w:r>
      <w:r>
        <w:rPr>
          <w:rFonts w:hint="eastAsia"/>
          <w:color w:val="0C0C0C"/>
          <w:sz w:val="24"/>
          <w:szCs w:val="24"/>
          <w:lang w:eastAsia="zh-CN"/>
        </w:rPr>
        <w:t xml:space="preserve">  </w:t>
      </w:r>
      <w:r>
        <w:rPr>
          <w:rFonts w:hint="eastAsia"/>
          <w:color w:val="0C0C0C"/>
          <w:sz w:val="24"/>
          <w:szCs w:val="24"/>
          <w:lang w:val="zh-CN" w:eastAsia="zh-CN"/>
        </w:rPr>
        <w:t>年    月    日</w:t>
      </w:r>
      <w:r>
        <w:rPr>
          <w:rFonts w:hint="eastAsia"/>
          <w:color w:val="0C0C0C"/>
          <w:sz w:val="24"/>
          <w:szCs w:val="24"/>
          <w:lang w:eastAsia="zh-CN"/>
        </w:rPr>
        <w:t>，（采购人名称）以（政府采购方式）对（同前页项目名称）项目进行了采购。经   （相关评定主体名称）   评定，   （中标供应商名称）为该项目中标供应商。现于中标通知书发出之</w:t>
      </w:r>
      <w:r>
        <w:rPr>
          <w:rFonts w:hint="eastAsia"/>
          <w:color w:val="0C0C0C"/>
          <w:sz w:val="24"/>
          <w:szCs w:val="24"/>
          <w:highlight w:val="none"/>
          <w:lang w:eastAsia="zh-CN"/>
        </w:rPr>
        <w:t>日起</w:t>
      </w:r>
      <w:r>
        <w:rPr>
          <w:rFonts w:hint="eastAsia"/>
          <w:color w:val="0C0C0C"/>
          <w:sz w:val="24"/>
          <w:szCs w:val="24"/>
          <w:highlight w:val="none"/>
          <w:lang w:val="en-US" w:eastAsia="zh-CN"/>
        </w:rPr>
        <w:t>30天</w:t>
      </w:r>
      <w:r>
        <w:rPr>
          <w:rFonts w:hint="eastAsia"/>
          <w:color w:val="0C0C0C"/>
          <w:sz w:val="24"/>
          <w:szCs w:val="24"/>
          <w:highlight w:val="none"/>
          <w:lang w:eastAsia="zh-CN"/>
        </w:rPr>
        <w:t>内，按</w:t>
      </w:r>
      <w:r>
        <w:rPr>
          <w:rFonts w:hint="eastAsia"/>
          <w:color w:val="0C0C0C"/>
          <w:sz w:val="24"/>
          <w:szCs w:val="24"/>
          <w:lang w:eastAsia="zh-CN"/>
        </w:rPr>
        <w:t>照采购文件确定的事项签订本合同。</w:t>
      </w:r>
    </w:p>
    <w:p>
      <w:pPr>
        <w:spacing w:line="440" w:lineRule="exact"/>
        <w:rPr>
          <w:color w:val="0C0C0C"/>
          <w:sz w:val="24"/>
          <w:szCs w:val="24"/>
          <w:lang w:eastAsia="zh-CN"/>
        </w:rPr>
      </w:pPr>
      <w:r>
        <w:rPr>
          <w:rFonts w:hint="eastAsia"/>
          <w:color w:val="0C0C0C"/>
          <w:sz w:val="24"/>
          <w:szCs w:val="24"/>
          <w:lang w:val="zh-CN" w:eastAsia="zh-CN"/>
        </w:rPr>
        <w:t>根据《中华人民共和国合同法》、《中华人民共和国政府采购法》等相关法律法规之规定，按照平等、自愿、公平和诚实信用的原则，经</w:t>
      </w:r>
      <w:r>
        <w:rPr>
          <w:rFonts w:hint="eastAsia"/>
          <w:color w:val="0C0C0C"/>
          <w:sz w:val="24"/>
          <w:szCs w:val="24"/>
          <w:lang w:eastAsia="zh-CN"/>
        </w:rPr>
        <w:t xml:space="preserve">   （采购人名称）   </w:t>
      </w:r>
      <w:r>
        <w:rPr>
          <w:rFonts w:hint="eastAsia"/>
          <w:color w:val="0C0C0C"/>
          <w:sz w:val="24"/>
          <w:szCs w:val="24"/>
          <w:lang w:val="zh-CN" w:eastAsia="zh-CN"/>
        </w:rPr>
        <w:t>(以下简称：甲方)和</w:t>
      </w:r>
      <w:r>
        <w:rPr>
          <w:rFonts w:hint="eastAsia"/>
          <w:color w:val="0C0C0C"/>
          <w:sz w:val="24"/>
          <w:szCs w:val="24"/>
          <w:lang w:eastAsia="zh-CN"/>
        </w:rPr>
        <w:t xml:space="preserve">   （中标供应商名称）   </w:t>
      </w:r>
      <w:r>
        <w:rPr>
          <w:rFonts w:hint="eastAsia"/>
          <w:color w:val="0C0C0C"/>
          <w:sz w:val="24"/>
          <w:szCs w:val="24"/>
          <w:lang w:val="zh-CN" w:eastAsia="zh-CN"/>
        </w:rPr>
        <w:t>(以下简称：乙方)协商一致，约定以下合同</w:t>
      </w:r>
      <w:r>
        <w:rPr>
          <w:rFonts w:hint="eastAsia"/>
          <w:color w:val="0C0C0C"/>
          <w:sz w:val="24"/>
          <w:szCs w:val="24"/>
          <w:lang w:eastAsia="zh-CN"/>
        </w:rPr>
        <w:t>条款，以兹共同遵守、全面履行。</w:t>
      </w:r>
    </w:p>
    <w:p>
      <w:pPr>
        <w:numPr>
          <w:ilvl w:val="0"/>
          <w:numId w:val="35"/>
        </w:numPr>
        <w:autoSpaceDE/>
        <w:autoSpaceDN/>
        <w:jc w:val="both"/>
        <w:outlineLvl w:val="2"/>
        <w:rPr>
          <w:b/>
          <w:color w:val="000000"/>
          <w:sz w:val="24"/>
          <w:szCs w:val="24"/>
        </w:rPr>
      </w:pPr>
      <w:r>
        <w:rPr>
          <w:rFonts w:hint="eastAsia"/>
          <w:b/>
          <w:color w:val="000000"/>
          <w:sz w:val="24"/>
          <w:szCs w:val="24"/>
          <w:lang w:eastAsia="zh-CN"/>
        </w:rPr>
        <w:t xml:space="preserve">  </w:t>
      </w:r>
      <w:bookmarkStart w:id="5" w:name="_Toc14736"/>
      <w:r>
        <w:rPr>
          <w:rFonts w:hint="eastAsia"/>
          <w:b/>
          <w:color w:val="000000"/>
          <w:sz w:val="24"/>
          <w:szCs w:val="24"/>
        </w:rPr>
        <w:t>合同文件</w:t>
      </w:r>
      <w:bookmarkEnd w:id="5"/>
    </w:p>
    <w:p>
      <w:pPr>
        <w:ind w:firstLine="480" w:firstLineChars="200"/>
        <w:rPr>
          <w:color w:val="000000"/>
          <w:sz w:val="24"/>
          <w:szCs w:val="24"/>
          <w:lang w:eastAsia="zh-CN"/>
        </w:rPr>
      </w:pPr>
      <w:r>
        <w:rPr>
          <w:rFonts w:hint="eastAsia"/>
          <w:color w:val="000000"/>
          <w:sz w:val="24"/>
          <w:szCs w:val="24"/>
          <w:lang w:eastAsia="zh-CN"/>
        </w:rPr>
        <w:t>下列与本次采购活动有关的文件及附件是本合同不可分割的组成部分，与本合同具有同等法律效力，这些文件包括但不限于：</w:t>
      </w:r>
    </w:p>
    <w:p>
      <w:pPr>
        <w:ind w:firstLine="480" w:firstLineChars="200"/>
        <w:rPr>
          <w:color w:val="000000"/>
          <w:sz w:val="24"/>
          <w:szCs w:val="24"/>
          <w:lang w:eastAsia="zh-CN"/>
        </w:rPr>
      </w:pPr>
      <w:r>
        <w:rPr>
          <w:rFonts w:hint="eastAsia"/>
          <w:color w:val="000000"/>
          <w:sz w:val="24"/>
          <w:szCs w:val="24"/>
          <w:lang w:eastAsia="zh-CN"/>
        </w:rPr>
        <w:t>1.（××号）招标采购文件</w:t>
      </w:r>
    </w:p>
    <w:p>
      <w:pPr>
        <w:ind w:firstLine="480" w:firstLineChars="200"/>
        <w:rPr>
          <w:color w:val="000000"/>
          <w:sz w:val="24"/>
          <w:szCs w:val="24"/>
          <w:lang w:eastAsia="zh-CN"/>
        </w:rPr>
      </w:pPr>
      <w:r>
        <w:rPr>
          <w:rFonts w:hint="eastAsia"/>
          <w:color w:val="000000"/>
          <w:sz w:val="24"/>
          <w:szCs w:val="24"/>
          <w:lang w:eastAsia="zh-CN"/>
        </w:rPr>
        <w:t>2.响应文件</w:t>
      </w:r>
    </w:p>
    <w:p>
      <w:pPr>
        <w:ind w:firstLine="480" w:firstLineChars="200"/>
        <w:rPr>
          <w:color w:val="000000"/>
          <w:sz w:val="24"/>
          <w:szCs w:val="24"/>
          <w:lang w:eastAsia="zh-CN"/>
        </w:rPr>
      </w:pPr>
      <w:r>
        <w:rPr>
          <w:rFonts w:hint="eastAsia"/>
          <w:color w:val="000000"/>
          <w:sz w:val="24"/>
          <w:szCs w:val="24"/>
          <w:lang w:eastAsia="zh-CN"/>
        </w:rPr>
        <w:t>3.乙方在投标时的书面承诺</w:t>
      </w:r>
    </w:p>
    <w:p>
      <w:pPr>
        <w:ind w:firstLine="480" w:firstLineChars="200"/>
        <w:rPr>
          <w:color w:val="000000"/>
          <w:sz w:val="24"/>
          <w:szCs w:val="24"/>
          <w:lang w:eastAsia="zh-CN"/>
        </w:rPr>
      </w:pPr>
      <w:r>
        <w:rPr>
          <w:rFonts w:hint="eastAsia"/>
          <w:color w:val="000000"/>
          <w:sz w:val="24"/>
          <w:szCs w:val="24"/>
          <w:lang w:eastAsia="zh-CN"/>
        </w:rPr>
        <w:t>4.（××号）中标通知书</w:t>
      </w:r>
    </w:p>
    <w:p>
      <w:pPr>
        <w:ind w:firstLine="480" w:firstLineChars="200"/>
        <w:rPr>
          <w:color w:val="000000"/>
          <w:sz w:val="24"/>
          <w:szCs w:val="24"/>
          <w:lang w:eastAsia="zh-CN"/>
        </w:rPr>
      </w:pPr>
      <w:r>
        <w:rPr>
          <w:rFonts w:hint="eastAsia"/>
          <w:color w:val="000000"/>
          <w:sz w:val="24"/>
          <w:szCs w:val="24"/>
          <w:lang w:eastAsia="zh-CN"/>
        </w:rPr>
        <w:t>5.合同补充条款或说明</w:t>
      </w:r>
    </w:p>
    <w:p>
      <w:pPr>
        <w:ind w:firstLine="480" w:firstLineChars="200"/>
        <w:rPr>
          <w:color w:val="000000"/>
          <w:sz w:val="24"/>
          <w:szCs w:val="24"/>
          <w:lang w:eastAsia="zh-CN"/>
        </w:rPr>
      </w:pPr>
      <w:r>
        <w:rPr>
          <w:rFonts w:hint="eastAsia"/>
          <w:color w:val="000000"/>
          <w:sz w:val="24"/>
          <w:szCs w:val="24"/>
          <w:lang w:eastAsia="zh-CN"/>
        </w:rPr>
        <w:t>6.保密协议或条款</w:t>
      </w:r>
    </w:p>
    <w:p>
      <w:pPr>
        <w:ind w:firstLine="480" w:firstLineChars="200"/>
        <w:rPr>
          <w:color w:val="000000"/>
          <w:sz w:val="24"/>
          <w:szCs w:val="24"/>
          <w:lang w:eastAsia="zh-CN"/>
        </w:rPr>
      </w:pPr>
      <w:r>
        <w:rPr>
          <w:rFonts w:hint="eastAsia"/>
          <w:color w:val="000000"/>
          <w:sz w:val="24"/>
          <w:szCs w:val="24"/>
          <w:lang w:eastAsia="zh-CN"/>
        </w:rPr>
        <w:t>7.相关附件、图纸</w:t>
      </w:r>
    </w:p>
    <w:p>
      <w:pPr>
        <w:ind w:left="482"/>
        <w:outlineLvl w:val="2"/>
        <w:rPr>
          <w:b/>
          <w:color w:val="000000"/>
          <w:sz w:val="24"/>
          <w:szCs w:val="24"/>
          <w:lang w:eastAsia="zh-CN"/>
        </w:rPr>
      </w:pPr>
      <w:bookmarkStart w:id="6" w:name="_Toc18462"/>
      <w:r>
        <w:rPr>
          <w:rFonts w:hint="eastAsia"/>
          <w:b/>
          <w:color w:val="000000"/>
          <w:sz w:val="24"/>
          <w:szCs w:val="24"/>
          <w:lang w:eastAsia="zh-CN"/>
        </w:rPr>
        <w:t>第二条  合同标的</w:t>
      </w:r>
      <w:bookmarkEnd w:id="6"/>
    </w:p>
    <w:p>
      <w:pPr>
        <w:ind w:firstLine="480" w:firstLineChars="200"/>
        <w:rPr>
          <w:color w:val="000000"/>
          <w:sz w:val="24"/>
          <w:szCs w:val="24"/>
          <w:lang w:eastAsia="zh-CN"/>
        </w:rPr>
      </w:pPr>
      <w:r>
        <w:rPr>
          <w:rFonts w:hint="eastAsia"/>
          <w:color w:val="000000"/>
          <w:sz w:val="24"/>
          <w:szCs w:val="24"/>
          <w:lang w:eastAsia="zh-CN"/>
        </w:rPr>
        <w:t>乙方根据甲方需求提供下列货物，货物名称、规格及数量，备件、易损件和专用工具等（详见《供货一览表》）。</w:t>
      </w:r>
    </w:p>
    <w:p>
      <w:pPr>
        <w:ind w:left="482"/>
        <w:outlineLvl w:val="2"/>
        <w:rPr>
          <w:b/>
          <w:color w:val="000000"/>
          <w:sz w:val="24"/>
          <w:szCs w:val="24"/>
          <w:lang w:eastAsia="zh-CN"/>
        </w:rPr>
      </w:pPr>
      <w:bookmarkStart w:id="7" w:name="_Toc10821"/>
      <w:r>
        <w:rPr>
          <w:rFonts w:hint="eastAsia"/>
          <w:b/>
          <w:color w:val="000000"/>
          <w:sz w:val="24"/>
          <w:szCs w:val="24"/>
          <w:lang w:eastAsia="zh-CN"/>
        </w:rPr>
        <w:t>第三条  合同总金额</w:t>
      </w:r>
      <w:bookmarkEnd w:id="7"/>
    </w:p>
    <w:p>
      <w:pPr>
        <w:ind w:firstLine="480" w:firstLineChars="200"/>
        <w:rPr>
          <w:color w:val="000000"/>
          <w:sz w:val="24"/>
          <w:szCs w:val="24"/>
          <w:lang w:eastAsia="zh-CN"/>
        </w:rPr>
      </w:pPr>
      <w:r>
        <w:rPr>
          <w:rFonts w:hint="eastAsia"/>
          <w:color w:val="000000"/>
          <w:sz w:val="24"/>
          <w:szCs w:val="24"/>
          <w:lang w:eastAsia="zh-CN"/>
        </w:rPr>
        <w:t>大写：</w:t>
      </w:r>
      <w:r>
        <w:rPr>
          <w:rFonts w:hint="eastAsia"/>
          <w:color w:val="000000"/>
          <w:sz w:val="24"/>
          <w:szCs w:val="24"/>
          <w:u w:val="single"/>
          <w:lang w:eastAsia="zh-CN"/>
        </w:rPr>
        <w:t xml:space="preserve">                                      </w:t>
      </w:r>
      <w:r>
        <w:rPr>
          <w:rFonts w:hint="eastAsia"/>
          <w:color w:val="000000"/>
          <w:sz w:val="24"/>
          <w:szCs w:val="24"/>
          <w:lang w:eastAsia="zh-CN"/>
        </w:rPr>
        <w:t>元。</w:t>
      </w:r>
    </w:p>
    <w:p>
      <w:pPr>
        <w:ind w:firstLine="480" w:firstLineChars="200"/>
        <w:rPr>
          <w:color w:val="000000"/>
          <w:sz w:val="24"/>
          <w:szCs w:val="24"/>
          <w:lang w:eastAsia="zh-CN"/>
        </w:rPr>
      </w:pPr>
      <w:r>
        <w:rPr>
          <w:rFonts w:hint="eastAsia"/>
          <w:color w:val="000000"/>
          <w:sz w:val="24"/>
          <w:szCs w:val="24"/>
          <w:lang w:eastAsia="zh-CN"/>
        </w:rPr>
        <w:t>本合同项下货物总金额：￥</w:t>
      </w:r>
      <w:r>
        <w:rPr>
          <w:rFonts w:hint="eastAsia"/>
          <w:color w:val="000000"/>
          <w:sz w:val="24"/>
          <w:szCs w:val="24"/>
          <w:u w:val="single"/>
          <w:lang w:eastAsia="zh-CN"/>
        </w:rPr>
        <w:t xml:space="preserve">                   </w:t>
      </w:r>
      <w:r>
        <w:rPr>
          <w:rFonts w:hint="eastAsia"/>
          <w:color w:val="000000"/>
          <w:sz w:val="24"/>
          <w:szCs w:val="24"/>
          <w:lang w:eastAsia="zh-CN"/>
        </w:rPr>
        <w:t>元。</w:t>
      </w:r>
    </w:p>
    <w:p>
      <w:pPr>
        <w:ind w:firstLine="480" w:firstLineChars="200"/>
        <w:rPr>
          <w:color w:val="000000"/>
          <w:sz w:val="24"/>
          <w:szCs w:val="24"/>
          <w:lang w:eastAsia="zh-CN"/>
        </w:rPr>
      </w:pPr>
      <w:r>
        <w:rPr>
          <w:rFonts w:hint="eastAsia"/>
          <w:color w:val="000000"/>
          <w:sz w:val="24"/>
          <w:szCs w:val="24"/>
          <w:lang w:eastAsia="zh-CN"/>
        </w:rPr>
        <w:t>分项价款在《供货一览表》中有明确规定。</w:t>
      </w:r>
    </w:p>
    <w:p>
      <w:pPr>
        <w:ind w:firstLine="480" w:firstLineChars="200"/>
        <w:rPr>
          <w:color w:val="000000"/>
          <w:sz w:val="24"/>
          <w:szCs w:val="24"/>
          <w:lang w:eastAsia="zh-CN"/>
        </w:rPr>
      </w:pPr>
      <w:r>
        <w:rPr>
          <w:rFonts w:hint="eastAsia"/>
          <w:color w:val="000000"/>
          <w:sz w:val="24"/>
          <w:szCs w:val="24"/>
          <w:lang w:eastAsia="zh-CN"/>
        </w:rPr>
        <w:t>本合同总价款包括货物、软件、标准附件、备品备件、专用工具、图纸资料、技术服务，包装、运输、装卸、保险、税金，货到就位以及安装、调试、培训、保修等验收合格之前和质保期内的售后服务一切税金和费用。</w:t>
      </w:r>
    </w:p>
    <w:p>
      <w:pPr>
        <w:ind w:firstLine="480" w:firstLineChars="200"/>
        <w:rPr>
          <w:color w:val="000000"/>
          <w:sz w:val="24"/>
          <w:szCs w:val="24"/>
          <w:lang w:eastAsia="zh-CN"/>
        </w:rPr>
      </w:pPr>
      <w:r>
        <w:rPr>
          <w:rFonts w:hint="eastAsia"/>
          <w:color w:val="000000"/>
          <w:sz w:val="24"/>
          <w:szCs w:val="24"/>
          <w:lang w:eastAsia="zh-CN"/>
        </w:rPr>
        <w:t>本合同执行期间合同总价款不变。</w:t>
      </w:r>
    </w:p>
    <w:p>
      <w:pPr>
        <w:ind w:left="482"/>
        <w:outlineLvl w:val="2"/>
        <w:rPr>
          <w:b/>
          <w:color w:val="000000"/>
          <w:sz w:val="24"/>
          <w:szCs w:val="24"/>
          <w:lang w:eastAsia="zh-CN"/>
        </w:rPr>
      </w:pPr>
      <w:bookmarkStart w:id="8" w:name="_Toc15498"/>
      <w:r>
        <w:rPr>
          <w:rFonts w:hint="eastAsia"/>
          <w:b/>
          <w:color w:val="000000"/>
          <w:sz w:val="24"/>
          <w:szCs w:val="24"/>
          <w:lang w:eastAsia="zh-CN"/>
        </w:rPr>
        <w:t>第四条  权利和质量保证</w:t>
      </w:r>
      <w:bookmarkEnd w:id="8"/>
    </w:p>
    <w:p>
      <w:pPr>
        <w:ind w:firstLine="480" w:firstLineChars="200"/>
        <w:rPr>
          <w:color w:val="000000"/>
          <w:sz w:val="24"/>
          <w:szCs w:val="24"/>
          <w:lang w:eastAsia="zh-CN"/>
        </w:rPr>
      </w:pPr>
      <w:r>
        <w:rPr>
          <w:rFonts w:hint="eastAsia"/>
          <w:color w:val="000000"/>
          <w:sz w:val="24"/>
          <w:szCs w:val="24"/>
          <w:lang w:eastAsia="zh-CN"/>
        </w:rPr>
        <w:t>1.乙方应保证甲方在使用该货物或其任何一部分时不受第三方提出侵犯其专利权、版权、商标权或其他权利的起诉。一旦出现侵权，索赔或诉讼，乙方应承担全部责任。</w:t>
      </w:r>
    </w:p>
    <w:p>
      <w:pPr>
        <w:ind w:firstLine="480" w:firstLineChars="200"/>
        <w:rPr>
          <w:color w:val="000000"/>
          <w:sz w:val="24"/>
          <w:szCs w:val="24"/>
          <w:lang w:eastAsia="zh-CN"/>
        </w:rPr>
      </w:pPr>
      <w:r>
        <w:rPr>
          <w:rFonts w:hint="eastAsia"/>
          <w:color w:val="000000"/>
          <w:sz w:val="24"/>
          <w:szCs w:val="24"/>
          <w:lang w:eastAsia="zh-CN"/>
        </w:rPr>
        <w:t>2.乙方保证货物是全新的、未使用过的，完全符合国家规范及甲乙双方确认的响应文件、本合同关于货物数量、质量的要求。货物符合实行国家“三包”规定的，应执行“三包”规定。</w:t>
      </w:r>
    </w:p>
    <w:p>
      <w:pPr>
        <w:ind w:firstLine="480" w:firstLineChars="200"/>
        <w:rPr>
          <w:color w:val="000000"/>
          <w:sz w:val="24"/>
          <w:szCs w:val="24"/>
          <w:lang w:eastAsia="zh-CN"/>
        </w:rPr>
      </w:pPr>
      <w:r>
        <w:rPr>
          <w:rFonts w:hint="eastAsia"/>
          <w:color w:val="000000"/>
          <w:sz w:val="24"/>
          <w:szCs w:val="24"/>
          <w:lang w:eastAsia="zh-CN"/>
        </w:rPr>
        <w:t>本项目质保期</w:t>
      </w:r>
      <w:r>
        <w:rPr>
          <w:rFonts w:hint="eastAsia"/>
          <w:color w:val="000000"/>
          <w:sz w:val="24"/>
          <w:szCs w:val="24"/>
          <w:u w:val="single"/>
          <w:lang w:eastAsia="zh-CN"/>
        </w:rPr>
        <w:t xml:space="preserve">      </w:t>
      </w:r>
      <w:r>
        <w:rPr>
          <w:rFonts w:hint="eastAsia"/>
          <w:color w:val="000000"/>
          <w:sz w:val="24"/>
          <w:szCs w:val="24"/>
          <w:lang w:eastAsia="zh-CN"/>
        </w:rPr>
        <w:t>年，保修期</w:t>
      </w:r>
      <w:r>
        <w:rPr>
          <w:rFonts w:hint="eastAsia"/>
          <w:color w:val="000000"/>
          <w:sz w:val="24"/>
          <w:szCs w:val="24"/>
          <w:u w:val="single"/>
          <w:lang w:eastAsia="zh-CN"/>
        </w:rPr>
        <w:t xml:space="preserve">     </w:t>
      </w:r>
      <w:r>
        <w:rPr>
          <w:rFonts w:hint="eastAsia"/>
          <w:color w:val="000000"/>
          <w:sz w:val="24"/>
          <w:szCs w:val="24"/>
          <w:lang w:eastAsia="zh-CN"/>
        </w:rPr>
        <w:t>年。</w:t>
      </w:r>
    </w:p>
    <w:p>
      <w:pPr>
        <w:ind w:firstLine="480" w:firstLineChars="200"/>
        <w:rPr>
          <w:color w:val="000000"/>
          <w:sz w:val="24"/>
          <w:szCs w:val="24"/>
          <w:lang w:eastAsia="zh-CN"/>
        </w:rPr>
      </w:pPr>
      <w:r>
        <w:rPr>
          <w:rFonts w:hint="eastAsia"/>
          <w:color w:val="000000"/>
          <w:sz w:val="24"/>
          <w:szCs w:val="24"/>
          <w:lang w:eastAsia="zh-CN"/>
        </w:rPr>
        <w:t>3.乙方提交的货物应符合响应文件中所记载的详细配置、技术参数、参数及性能，并应附有此类货物完整、详细的技术资料和说明文件。</w:t>
      </w:r>
    </w:p>
    <w:p>
      <w:pPr>
        <w:ind w:firstLine="480" w:firstLineChars="200"/>
        <w:rPr>
          <w:color w:val="000000"/>
          <w:sz w:val="24"/>
          <w:szCs w:val="24"/>
          <w:lang w:eastAsia="zh-CN"/>
        </w:rPr>
      </w:pPr>
      <w:r>
        <w:rPr>
          <w:rFonts w:hint="eastAsia"/>
          <w:color w:val="000000"/>
          <w:sz w:val="24"/>
          <w:szCs w:val="24"/>
          <w:lang w:eastAsia="zh-CN"/>
        </w:rPr>
        <w:t>4.乙方提交的货物必须按照招标采购文件的要求和中标人响应文件的承诺，以约定标准进行制造、安装；经政府采购管理部门批准采购的进口产品应执行原产地国家有关部门最新颁布的相应正式标准并提供国家商检、海关报关等手续。</w:t>
      </w:r>
    </w:p>
    <w:p>
      <w:pPr>
        <w:ind w:firstLine="480" w:firstLineChars="200"/>
        <w:rPr>
          <w:color w:val="000000"/>
          <w:sz w:val="24"/>
          <w:szCs w:val="24"/>
          <w:lang w:eastAsia="zh-CN"/>
        </w:rPr>
      </w:pPr>
      <w:r>
        <w:rPr>
          <w:rFonts w:hint="eastAsia"/>
          <w:color w:val="000000"/>
          <w:sz w:val="24"/>
          <w:szCs w:val="24"/>
          <w:lang w:eastAsia="zh-CN"/>
        </w:rPr>
        <w:t>5.乙方应保证将货物按照国家或专业标准包装、确保货物安全无损运抵合同规定的交货地点，并进行安装、试运行。</w:t>
      </w:r>
    </w:p>
    <w:p>
      <w:pPr>
        <w:ind w:firstLine="480" w:firstLineChars="200"/>
        <w:rPr>
          <w:color w:val="000000"/>
          <w:sz w:val="24"/>
          <w:szCs w:val="24"/>
          <w:lang w:eastAsia="zh-CN"/>
        </w:rPr>
      </w:pPr>
      <w:r>
        <w:rPr>
          <w:rFonts w:hint="eastAsia"/>
          <w:color w:val="000000"/>
          <w:sz w:val="24"/>
          <w:szCs w:val="24"/>
          <w:lang w:eastAsia="zh-CN"/>
        </w:rPr>
        <w:t>6、乙方保证货物不存在危及人身及财产安全的产品缺陷，否则应承担全部法律责任。</w:t>
      </w:r>
    </w:p>
    <w:p>
      <w:pPr>
        <w:ind w:left="482"/>
        <w:outlineLvl w:val="2"/>
        <w:rPr>
          <w:b/>
          <w:color w:val="000000"/>
          <w:sz w:val="24"/>
          <w:szCs w:val="24"/>
          <w:lang w:eastAsia="zh-CN"/>
        </w:rPr>
      </w:pPr>
      <w:bookmarkStart w:id="9" w:name="_Toc29956"/>
      <w:r>
        <w:rPr>
          <w:rFonts w:hint="eastAsia"/>
          <w:b/>
          <w:color w:val="000000"/>
          <w:sz w:val="24"/>
          <w:szCs w:val="24"/>
          <w:lang w:eastAsia="zh-CN"/>
        </w:rPr>
        <w:t>第五条  付款方式</w:t>
      </w:r>
      <w:bookmarkEnd w:id="9"/>
    </w:p>
    <w:p>
      <w:pPr>
        <w:ind w:firstLine="480" w:firstLineChars="200"/>
        <w:rPr>
          <w:color w:val="000000"/>
          <w:sz w:val="24"/>
          <w:szCs w:val="24"/>
          <w:lang w:eastAsia="zh-CN"/>
        </w:rPr>
      </w:pPr>
      <w:r>
        <w:rPr>
          <w:rFonts w:hint="eastAsia"/>
          <w:color w:val="000000"/>
          <w:sz w:val="24"/>
          <w:szCs w:val="24"/>
          <w:lang w:eastAsia="zh-CN"/>
        </w:rPr>
        <w:t>1.本合同项下所有款项均以人民币支付。</w:t>
      </w:r>
    </w:p>
    <w:p>
      <w:pPr>
        <w:ind w:firstLine="480" w:firstLineChars="200"/>
        <w:rPr>
          <w:color w:val="000000"/>
          <w:sz w:val="24"/>
          <w:szCs w:val="24"/>
          <w:lang w:eastAsia="zh-CN"/>
        </w:rPr>
      </w:pPr>
      <w:r>
        <w:rPr>
          <w:rFonts w:hint="eastAsia"/>
          <w:color w:val="000000"/>
          <w:sz w:val="24"/>
          <w:szCs w:val="24"/>
          <w:lang w:eastAsia="zh-CN"/>
        </w:rPr>
        <w:t>2.乙方向甲方提交下列文件材料，经甲方审核无误后支付采购资金：</w:t>
      </w:r>
    </w:p>
    <w:p>
      <w:pPr>
        <w:ind w:firstLine="480" w:firstLineChars="200"/>
        <w:rPr>
          <w:color w:val="000000"/>
          <w:sz w:val="24"/>
          <w:szCs w:val="24"/>
          <w:lang w:eastAsia="zh-CN"/>
        </w:rPr>
      </w:pPr>
      <w:r>
        <w:rPr>
          <w:rFonts w:hint="eastAsia"/>
          <w:color w:val="000000"/>
          <w:sz w:val="24"/>
          <w:szCs w:val="24"/>
          <w:lang w:eastAsia="zh-CN"/>
        </w:rPr>
        <w:t>（1）经甲方确认的发票；</w:t>
      </w:r>
    </w:p>
    <w:p>
      <w:pPr>
        <w:ind w:firstLine="480" w:firstLineChars="200"/>
        <w:rPr>
          <w:color w:val="000000"/>
          <w:sz w:val="24"/>
          <w:szCs w:val="24"/>
          <w:lang w:eastAsia="zh-CN"/>
        </w:rPr>
      </w:pPr>
      <w:r>
        <w:rPr>
          <w:rFonts w:hint="eastAsia"/>
          <w:color w:val="000000"/>
          <w:sz w:val="24"/>
          <w:szCs w:val="24"/>
          <w:lang w:eastAsia="zh-CN"/>
        </w:rPr>
        <w:t>（2）经甲乙双方确认签署的《验收报告》（或按项目进度阶段性《验收报告》）；</w:t>
      </w:r>
    </w:p>
    <w:p>
      <w:pPr>
        <w:ind w:firstLine="480" w:firstLineChars="200"/>
        <w:rPr>
          <w:color w:val="000000"/>
          <w:sz w:val="24"/>
          <w:szCs w:val="24"/>
          <w:lang w:eastAsia="zh-CN"/>
        </w:rPr>
      </w:pPr>
      <w:r>
        <w:rPr>
          <w:rFonts w:hint="eastAsia"/>
          <w:color w:val="000000"/>
          <w:sz w:val="24"/>
          <w:szCs w:val="24"/>
          <w:lang w:eastAsia="zh-CN"/>
        </w:rPr>
        <w:t>（3）其他材料。</w:t>
      </w:r>
    </w:p>
    <w:p>
      <w:pPr>
        <w:ind w:firstLine="480" w:firstLineChars="200"/>
        <w:rPr>
          <w:color w:val="000000"/>
          <w:sz w:val="24"/>
          <w:szCs w:val="24"/>
          <w:lang w:eastAsia="zh-CN"/>
        </w:rPr>
      </w:pPr>
      <w:r>
        <w:rPr>
          <w:rFonts w:hint="eastAsia"/>
          <w:color w:val="000000"/>
          <w:sz w:val="24"/>
          <w:szCs w:val="24"/>
          <w:lang w:eastAsia="zh-CN"/>
        </w:rPr>
        <w:t>3.款项的支付进度以招标采购文件的有关规定为准。如招标采购文件未作特别规定，则付款进度应符合如下约定：</w:t>
      </w:r>
    </w:p>
    <w:p>
      <w:pPr>
        <w:ind w:firstLine="480" w:firstLineChars="200"/>
        <w:rPr>
          <w:color w:val="000000"/>
          <w:sz w:val="24"/>
          <w:szCs w:val="24"/>
          <w:lang w:eastAsia="zh-CN"/>
        </w:rPr>
      </w:pPr>
      <w:r>
        <w:rPr>
          <w:rFonts w:hint="eastAsia"/>
          <w:color w:val="000000"/>
          <w:sz w:val="24"/>
          <w:szCs w:val="24"/>
          <w:lang w:eastAsia="zh-CN"/>
        </w:rPr>
        <w:t>货到初验合格后支付至合同总价的</w:t>
      </w:r>
      <w:r>
        <w:rPr>
          <w:rFonts w:hint="eastAsia"/>
          <w:color w:val="000000"/>
          <w:sz w:val="24"/>
          <w:szCs w:val="24"/>
          <w:u w:val="single"/>
          <w:lang w:eastAsia="zh-CN"/>
        </w:rPr>
        <w:t xml:space="preserve">     </w:t>
      </w:r>
      <w:r>
        <w:rPr>
          <w:rFonts w:hint="eastAsia"/>
          <w:color w:val="000000"/>
          <w:sz w:val="24"/>
          <w:szCs w:val="24"/>
          <w:lang w:eastAsia="zh-CN"/>
        </w:rPr>
        <w:t>％，货到安装调试合格后支付至合同总价的</w:t>
      </w:r>
      <w:r>
        <w:rPr>
          <w:rFonts w:hint="eastAsia"/>
          <w:color w:val="000000"/>
          <w:sz w:val="24"/>
          <w:szCs w:val="24"/>
          <w:u w:val="single"/>
          <w:lang w:eastAsia="zh-CN"/>
        </w:rPr>
        <w:t xml:space="preserve">     </w:t>
      </w:r>
      <w:r>
        <w:rPr>
          <w:rFonts w:hint="eastAsia"/>
          <w:color w:val="000000"/>
          <w:sz w:val="24"/>
          <w:szCs w:val="24"/>
          <w:lang w:eastAsia="zh-CN"/>
        </w:rPr>
        <w:t>％，运行正常后支付至合同总价的</w:t>
      </w:r>
      <w:r>
        <w:rPr>
          <w:rFonts w:hint="eastAsia"/>
          <w:color w:val="000000"/>
          <w:sz w:val="24"/>
          <w:szCs w:val="24"/>
          <w:u w:val="single"/>
          <w:lang w:eastAsia="zh-CN"/>
        </w:rPr>
        <w:t xml:space="preserve">     </w:t>
      </w:r>
      <w:r>
        <w:rPr>
          <w:rFonts w:hint="eastAsia"/>
          <w:color w:val="000000"/>
          <w:sz w:val="24"/>
          <w:szCs w:val="24"/>
          <w:lang w:eastAsia="zh-CN"/>
        </w:rPr>
        <w:t>％，余款</w:t>
      </w:r>
      <w:r>
        <w:rPr>
          <w:rFonts w:hint="eastAsia"/>
          <w:color w:val="000000"/>
          <w:sz w:val="24"/>
          <w:szCs w:val="24"/>
          <w:u w:val="single"/>
          <w:lang w:eastAsia="zh-CN"/>
        </w:rPr>
        <w:t xml:space="preserve">     </w:t>
      </w:r>
      <w:r>
        <w:rPr>
          <w:rFonts w:hint="eastAsia"/>
          <w:color w:val="000000"/>
          <w:sz w:val="24"/>
          <w:szCs w:val="24"/>
          <w:lang w:eastAsia="zh-CN"/>
        </w:rPr>
        <w:t>％作为质量保证金于货物或系统运行满</w:t>
      </w:r>
      <w:r>
        <w:rPr>
          <w:rFonts w:hint="eastAsia"/>
          <w:color w:val="000000"/>
          <w:sz w:val="24"/>
          <w:szCs w:val="24"/>
          <w:u w:val="single"/>
          <w:lang w:eastAsia="zh-CN"/>
        </w:rPr>
        <w:t xml:space="preserve">     </w:t>
      </w:r>
      <w:r>
        <w:rPr>
          <w:rFonts w:hint="eastAsia"/>
          <w:color w:val="000000"/>
          <w:sz w:val="24"/>
          <w:szCs w:val="24"/>
          <w:lang w:eastAsia="zh-CN"/>
        </w:rPr>
        <w:t>月（年）后，并经甲乙双方复验合格后的</w:t>
      </w:r>
      <w:r>
        <w:rPr>
          <w:rFonts w:hint="eastAsia"/>
          <w:color w:val="000000"/>
          <w:sz w:val="24"/>
          <w:szCs w:val="24"/>
          <w:u w:val="single"/>
          <w:lang w:eastAsia="zh-CN"/>
        </w:rPr>
        <w:t xml:space="preserve">     </w:t>
      </w:r>
      <w:r>
        <w:rPr>
          <w:rFonts w:hint="eastAsia"/>
          <w:color w:val="000000"/>
          <w:sz w:val="24"/>
          <w:szCs w:val="24"/>
          <w:lang w:eastAsia="zh-CN"/>
        </w:rPr>
        <w:t>个工作日内付清。</w:t>
      </w:r>
    </w:p>
    <w:p>
      <w:pPr>
        <w:numPr>
          <w:ilvl w:val="0"/>
          <w:numId w:val="36"/>
        </w:numPr>
        <w:autoSpaceDE/>
        <w:autoSpaceDN/>
        <w:ind w:firstLine="480" w:firstLineChars="200"/>
        <w:jc w:val="both"/>
        <w:rPr>
          <w:color w:val="000000"/>
          <w:sz w:val="24"/>
          <w:szCs w:val="24"/>
          <w:lang w:eastAsia="zh-CN"/>
        </w:rPr>
      </w:pPr>
      <w:r>
        <w:rPr>
          <w:rFonts w:hint="eastAsia"/>
          <w:color w:val="000000"/>
          <w:sz w:val="24"/>
          <w:szCs w:val="24"/>
          <w:lang w:eastAsia="zh-CN"/>
        </w:rPr>
        <w:t>根据财政部、工信部关于印发《政府采购促进中小企业发展暂行办法》的通知（财库〔2011〕181号），××银行（或××非银行金融机构）同意向乙方提供关于本项目的贷款（附《借款合同》），经甲方审核无误后，甲方同意按照本合同的约定和乙方履约进度将采购资金支付至××银行（或××非银行金融机构）与乙方共同确认的收款账户：</w:t>
      </w:r>
    </w:p>
    <w:p>
      <w:pPr>
        <w:ind w:firstLine="480" w:firstLineChars="200"/>
        <w:rPr>
          <w:color w:val="000000"/>
          <w:sz w:val="24"/>
          <w:szCs w:val="24"/>
          <w:lang w:eastAsia="zh-CN"/>
        </w:rPr>
      </w:pPr>
      <w:r>
        <w:rPr>
          <w:rFonts w:hint="eastAsia"/>
          <w:color w:val="000000"/>
          <w:sz w:val="24"/>
          <w:szCs w:val="24"/>
          <w:lang w:eastAsia="zh-CN"/>
        </w:rPr>
        <w:t>户名：</w:t>
      </w:r>
    </w:p>
    <w:p>
      <w:pPr>
        <w:ind w:firstLine="480" w:firstLineChars="200"/>
        <w:rPr>
          <w:color w:val="000000"/>
          <w:sz w:val="24"/>
          <w:szCs w:val="24"/>
          <w:lang w:eastAsia="zh-CN"/>
        </w:rPr>
      </w:pPr>
      <w:r>
        <w:rPr>
          <w:rFonts w:hint="eastAsia"/>
          <w:color w:val="000000"/>
          <w:sz w:val="24"/>
          <w:szCs w:val="24"/>
          <w:lang w:eastAsia="zh-CN"/>
        </w:rPr>
        <w:t>开户行：</w:t>
      </w:r>
    </w:p>
    <w:p>
      <w:pPr>
        <w:ind w:firstLine="480" w:firstLineChars="200"/>
        <w:rPr>
          <w:color w:val="000000"/>
          <w:sz w:val="24"/>
          <w:szCs w:val="24"/>
          <w:lang w:eastAsia="zh-CN"/>
        </w:rPr>
      </w:pPr>
      <w:r>
        <w:rPr>
          <w:rFonts w:hint="eastAsia"/>
          <w:color w:val="000000"/>
          <w:sz w:val="24"/>
          <w:szCs w:val="24"/>
          <w:lang w:eastAsia="zh-CN"/>
        </w:rPr>
        <w:t xml:space="preserve">账号： </w:t>
      </w:r>
    </w:p>
    <w:p>
      <w:pPr>
        <w:ind w:left="482"/>
        <w:outlineLvl w:val="2"/>
        <w:rPr>
          <w:b/>
          <w:color w:val="000000"/>
          <w:sz w:val="24"/>
          <w:szCs w:val="24"/>
          <w:lang w:eastAsia="zh-CN"/>
        </w:rPr>
      </w:pPr>
      <w:bookmarkStart w:id="10" w:name="_Toc29034"/>
      <w:r>
        <w:rPr>
          <w:rFonts w:hint="eastAsia"/>
          <w:b/>
          <w:color w:val="000000"/>
          <w:sz w:val="24"/>
          <w:szCs w:val="24"/>
          <w:lang w:eastAsia="zh-CN"/>
        </w:rPr>
        <w:t>第六条  履约保证金</w:t>
      </w:r>
      <w:bookmarkEnd w:id="10"/>
    </w:p>
    <w:p>
      <w:pPr>
        <w:ind w:firstLine="480" w:firstLineChars="200"/>
        <w:rPr>
          <w:color w:val="000000"/>
          <w:sz w:val="24"/>
          <w:szCs w:val="24"/>
          <w:lang w:eastAsia="zh-CN"/>
        </w:rPr>
      </w:pPr>
      <w:r>
        <w:rPr>
          <w:rFonts w:hint="eastAsia"/>
          <w:color w:val="000000"/>
          <w:sz w:val="24"/>
          <w:szCs w:val="24"/>
          <w:lang w:eastAsia="zh-CN"/>
        </w:rPr>
        <w:t>1.乙方在签订本合同之日，向甲方提交合同履约保证金</w:t>
      </w:r>
      <w:r>
        <w:rPr>
          <w:rFonts w:hint="eastAsia"/>
          <w:color w:val="000000"/>
          <w:sz w:val="24"/>
          <w:szCs w:val="24"/>
          <w:u w:val="single"/>
          <w:lang w:eastAsia="zh-CN"/>
        </w:rPr>
        <w:t xml:space="preserve">                </w:t>
      </w:r>
      <w:r>
        <w:rPr>
          <w:rFonts w:hint="eastAsia"/>
          <w:color w:val="000000"/>
          <w:sz w:val="24"/>
          <w:szCs w:val="24"/>
          <w:lang w:eastAsia="zh-CN"/>
        </w:rPr>
        <w:t>元</w:t>
      </w:r>
    </w:p>
    <w:p>
      <w:pPr>
        <w:ind w:firstLine="480" w:firstLineChars="200"/>
        <w:rPr>
          <w:color w:val="000000"/>
          <w:sz w:val="24"/>
          <w:szCs w:val="24"/>
          <w:lang w:eastAsia="zh-CN"/>
        </w:rPr>
      </w:pPr>
      <w:r>
        <w:rPr>
          <w:rFonts w:hint="eastAsia"/>
          <w:color w:val="000000"/>
          <w:sz w:val="24"/>
          <w:szCs w:val="24"/>
          <w:lang w:eastAsia="zh-CN"/>
        </w:rPr>
        <w:t>（履约保证金的数额不得超过政府采购合同金额的10%）。</w:t>
      </w:r>
    </w:p>
    <w:p>
      <w:pPr>
        <w:ind w:firstLine="480" w:firstLineChars="200"/>
        <w:rPr>
          <w:strike/>
          <w:color w:val="000000"/>
          <w:sz w:val="24"/>
          <w:szCs w:val="24"/>
          <w:lang w:eastAsia="zh-CN"/>
        </w:rPr>
      </w:pPr>
      <w:r>
        <w:rPr>
          <w:rFonts w:hint="eastAsia"/>
          <w:color w:val="000000"/>
          <w:sz w:val="24"/>
          <w:szCs w:val="24"/>
          <w:lang w:eastAsia="zh-CN"/>
        </w:rPr>
        <w:t>2.履约保证金有效期为甲乙双方最终验收后1个月内。到期后，甲方向乙方无息退还。</w:t>
      </w:r>
    </w:p>
    <w:p>
      <w:pPr>
        <w:ind w:firstLine="480" w:firstLineChars="200"/>
        <w:rPr>
          <w:color w:val="000000"/>
          <w:sz w:val="24"/>
          <w:szCs w:val="24"/>
          <w:lang w:eastAsia="zh-CN"/>
        </w:rPr>
      </w:pPr>
      <w:r>
        <w:rPr>
          <w:rFonts w:hint="eastAsia"/>
          <w:color w:val="000000"/>
          <w:sz w:val="24"/>
          <w:szCs w:val="24"/>
          <w:lang w:eastAsia="zh-CN"/>
        </w:rPr>
        <w:t xml:space="preserve">3.如乙方未能履行、或未能完全履行合同规定的义务，甲方有权从履约保证金中取得补偿。履约保证金扣除甲方应得的补偿后的余额在合同期满后 </w:t>
      </w:r>
      <w:r>
        <w:rPr>
          <w:rFonts w:hint="eastAsia"/>
          <w:color w:val="000000"/>
          <w:sz w:val="24"/>
          <w:szCs w:val="24"/>
          <w:u w:val="single"/>
          <w:lang w:eastAsia="zh-CN"/>
        </w:rPr>
        <w:t xml:space="preserve">     </w:t>
      </w:r>
      <w:r>
        <w:rPr>
          <w:rFonts w:hint="eastAsia"/>
          <w:color w:val="000000"/>
          <w:sz w:val="24"/>
          <w:szCs w:val="24"/>
          <w:lang w:eastAsia="zh-CN"/>
        </w:rPr>
        <w:t>天内无息退还乙方。</w:t>
      </w:r>
    </w:p>
    <w:p>
      <w:pPr>
        <w:ind w:left="482"/>
        <w:outlineLvl w:val="2"/>
        <w:rPr>
          <w:b/>
          <w:color w:val="000000"/>
          <w:sz w:val="24"/>
          <w:szCs w:val="24"/>
          <w:lang w:eastAsia="zh-CN"/>
        </w:rPr>
      </w:pPr>
      <w:bookmarkStart w:id="11" w:name="_Toc28586"/>
      <w:r>
        <w:rPr>
          <w:rFonts w:hint="eastAsia"/>
          <w:b/>
          <w:color w:val="000000"/>
          <w:sz w:val="24"/>
          <w:szCs w:val="24"/>
          <w:lang w:eastAsia="zh-CN"/>
        </w:rPr>
        <w:t>第七条  交货和验收</w:t>
      </w:r>
      <w:bookmarkEnd w:id="11"/>
    </w:p>
    <w:p>
      <w:pPr>
        <w:ind w:firstLine="480" w:firstLineChars="200"/>
        <w:rPr>
          <w:color w:val="000000"/>
          <w:sz w:val="24"/>
          <w:szCs w:val="24"/>
          <w:u w:val="single"/>
          <w:lang w:eastAsia="zh-CN"/>
        </w:rPr>
      </w:pPr>
      <w:r>
        <w:rPr>
          <w:rFonts w:hint="eastAsia"/>
          <w:color w:val="000000"/>
          <w:sz w:val="24"/>
          <w:szCs w:val="24"/>
          <w:lang w:eastAsia="zh-CN"/>
        </w:rPr>
        <w:t xml:space="preserve">1.交货时间： </w:t>
      </w:r>
      <w:r>
        <w:rPr>
          <w:rFonts w:hint="eastAsia"/>
          <w:color w:val="000000"/>
          <w:sz w:val="24"/>
          <w:szCs w:val="24"/>
          <w:u w:val="single"/>
          <w:lang w:eastAsia="zh-CN"/>
        </w:rPr>
        <w:t xml:space="preserve">                                        </w:t>
      </w:r>
      <w:r>
        <w:rPr>
          <w:rFonts w:hint="eastAsia"/>
          <w:color w:val="000000"/>
          <w:sz w:val="24"/>
          <w:szCs w:val="24"/>
          <w:lang w:eastAsia="zh-CN"/>
        </w:rPr>
        <w:t>。</w:t>
      </w:r>
    </w:p>
    <w:p>
      <w:pPr>
        <w:ind w:firstLine="720" w:firstLineChars="300"/>
        <w:rPr>
          <w:color w:val="000000"/>
          <w:sz w:val="24"/>
          <w:szCs w:val="24"/>
          <w:lang w:eastAsia="zh-CN"/>
        </w:rPr>
      </w:pPr>
      <w:r>
        <w:rPr>
          <w:rFonts w:hint="eastAsia"/>
          <w:color w:val="000000"/>
          <w:sz w:val="24"/>
          <w:szCs w:val="24"/>
          <w:lang w:eastAsia="zh-CN"/>
        </w:rPr>
        <w:t xml:space="preserve">交货地点： </w:t>
      </w:r>
      <w:r>
        <w:rPr>
          <w:rFonts w:hint="eastAsia"/>
          <w:color w:val="000000"/>
          <w:sz w:val="24"/>
          <w:szCs w:val="24"/>
          <w:u w:val="single"/>
          <w:lang w:eastAsia="zh-CN"/>
        </w:rPr>
        <w:t xml:space="preserve">                                        </w:t>
      </w:r>
      <w:r>
        <w:rPr>
          <w:rFonts w:hint="eastAsia"/>
          <w:color w:val="000000"/>
          <w:sz w:val="24"/>
          <w:szCs w:val="24"/>
          <w:lang w:eastAsia="zh-CN"/>
        </w:rPr>
        <w:t>。</w:t>
      </w:r>
    </w:p>
    <w:p>
      <w:pPr>
        <w:ind w:firstLine="720" w:firstLineChars="300"/>
        <w:rPr>
          <w:color w:val="000000"/>
          <w:sz w:val="24"/>
          <w:szCs w:val="24"/>
          <w:lang w:eastAsia="zh-CN"/>
        </w:rPr>
      </w:pPr>
      <w:r>
        <w:rPr>
          <w:rFonts w:hint="eastAsia"/>
          <w:color w:val="000000"/>
          <w:sz w:val="24"/>
          <w:szCs w:val="24"/>
          <w:lang w:eastAsia="zh-CN"/>
        </w:rPr>
        <w:t xml:space="preserve">安装调试时间： </w:t>
      </w:r>
      <w:r>
        <w:rPr>
          <w:rFonts w:hint="eastAsia"/>
          <w:color w:val="000000"/>
          <w:sz w:val="24"/>
          <w:szCs w:val="24"/>
          <w:u w:val="single"/>
          <w:lang w:eastAsia="zh-CN"/>
        </w:rPr>
        <w:t xml:space="preserve">                                    </w:t>
      </w:r>
      <w:r>
        <w:rPr>
          <w:rFonts w:hint="eastAsia"/>
          <w:color w:val="000000"/>
          <w:sz w:val="24"/>
          <w:szCs w:val="24"/>
          <w:lang w:eastAsia="zh-CN"/>
        </w:rPr>
        <w:t>。</w:t>
      </w:r>
    </w:p>
    <w:p>
      <w:pPr>
        <w:pStyle w:val="9"/>
        <w:tabs>
          <w:tab w:val="left" w:pos="0"/>
        </w:tabs>
        <w:ind w:firstLine="480" w:firstLineChars="200"/>
        <w:rPr>
          <w:rFonts w:hAnsi="宋体" w:cs="宋体"/>
          <w:color w:val="000000"/>
          <w:sz w:val="24"/>
          <w:szCs w:val="24"/>
        </w:rPr>
      </w:pPr>
      <w:r>
        <w:rPr>
          <w:rFonts w:hint="eastAsia" w:hAnsi="宋体" w:cs="宋体"/>
          <w:color w:val="000000"/>
          <w:sz w:val="24"/>
          <w:szCs w:val="24"/>
        </w:rPr>
        <w:t>2. 乙方应对提供的货物作出全面自查和整理，并列出清单，作为甲方验收和使用的技术条件依据，清单应随提供的验收资料交给甲方。</w:t>
      </w:r>
    </w:p>
    <w:p>
      <w:pPr>
        <w:ind w:firstLine="480" w:firstLineChars="200"/>
        <w:rPr>
          <w:color w:val="000000"/>
          <w:sz w:val="24"/>
          <w:szCs w:val="24"/>
          <w:lang w:eastAsia="zh-CN"/>
        </w:rPr>
      </w:pPr>
      <w:r>
        <w:rPr>
          <w:rFonts w:hint="eastAsia"/>
          <w:color w:val="000000"/>
          <w:sz w:val="24"/>
          <w:szCs w:val="24"/>
          <w:lang w:eastAsia="zh-CN"/>
        </w:rPr>
        <w:t>3.乙方提供的货物应包括本合同“第一条 合同文件”规定的全部货物及其附（辅）件、资料。</w:t>
      </w:r>
    </w:p>
    <w:p>
      <w:pPr>
        <w:ind w:firstLine="480" w:firstLineChars="200"/>
        <w:rPr>
          <w:color w:val="000000"/>
          <w:sz w:val="24"/>
          <w:szCs w:val="24"/>
          <w:lang w:eastAsia="zh-CN"/>
        </w:rPr>
      </w:pPr>
      <w:r>
        <w:rPr>
          <w:rFonts w:hint="eastAsia"/>
          <w:color w:val="000000"/>
          <w:sz w:val="24"/>
          <w:szCs w:val="24"/>
          <w:lang w:eastAsia="zh-CN"/>
        </w:rPr>
        <w:t>4.甲方应当在到货后的</w:t>
      </w:r>
      <w:r>
        <w:rPr>
          <w:rFonts w:hint="eastAsia"/>
          <w:color w:val="000000"/>
          <w:sz w:val="24"/>
          <w:szCs w:val="24"/>
          <w:u w:val="single"/>
          <w:lang w:eastAsia="zh-CN"/>
        </w:rPr>
        <w:t xml:space="preserve">     </w:t>
      </w:r>
      <w:r>
        <w:rPr>
          <w:rFonts w:hint="eastAsia"/>
          <w:color w:val="000000"/>
          <w:sz w:val="24"/>
          <w:szCs w:val="24"/>
          <w:lang w:eastAsia="zh-CN"/>
        </w:rPr>
        <w:t>个工作日内对货物进行验收。货物验收时，甲乙双方必须同时在场，双方共同确认货物与本合同规定的生产厂家产地、品牌、规格型号、数量、质量、技术参数和性能等是否一致。乙方所交付的货物不符合合同规定的，甲方有权拒收。乙方应及时按本合同规定和甲方要求免费对拒收货物采取更换或其他必要的补救措施，直至验收合格，方视为乙方按本合同规定完成交货。验收合格的，由双方共同签署《验收报告》。</w:t>
      </w:r>
    </w:p>
    <w:p>
      <w:pPr>
        <w:ind w:firstLine="480" w:firstLineChars="200"/>
        <w:rPr>
          <w:color w:val="000000"/>
          <w:sz w:val="24"/>
          <w:szCs w:val="24"/>
          <w:lang w:eastAsia="zh-CN"/>
        </w:rPr>
      </w:pPr>
      <w:r>
        <w:rPr>
          <w:rFonts w:hint="eastAsia"/>
          <w:color w:val="000000"/>
          <w:sz w:val="24"/>
          <w:szCs w:val="24"/>
          <w:lang w:eastAsia="zh-CN"/>
        </w:rPr>
        <w:t>5.需要乙方对货物（包括软件）或系统进行安装调试的，甲乙双方应在货物安装调试完毕后的</w:t>
      </w:r>
      <w:r>
        <w:rPr>
          <w:rFonts w:hint="eastAsia"/>
          <w:color w:val="000000"/>
          <w:sz w:val="24"/>
          <w:szCs w:val="24"/>
          <w:u w:val="single"/>
          <w:lang w:eastAsia="zh-CN"/>
        </w:rPr>
        <w:t xml:space="preserve">    </w:t>
      </w:r>
      <w:r>
        <w:rPr>
          <w:rFonts w:hint="eastAsia"/>
          <w:color w:val="000000"/>
          <w:sz w:val="24"/>
          <w:szCs w:val="24"/>
          <w:lang w:eastAsia="zh-CN"/>
        </w:rPr>
        <w:t>个工作日内进行运行效果验收。在验收之前，乙方需提前提交相应的调试计划（包括调试程序、环境、内容和检验标准、调试时间安排等）供甲方确认，乙方还应对所有检验验收调试的结果、步骤、原始数据等作妥善记录。如甲方要求，乙方应将记录提供给甲方。调试检验出现全部或部分未达到本合同所约定的技术指标，甲方有权选择下列任一处理方式：</w:t>
      </w:r>
    </w:p>
    <w:p>
      <w:pPr>
        <w:ind w:firstLine="480" w:firstLineChars="200"/>
        <w:rPr>
          <w:color w:val="000000"/>
          <w:sz w:val="24"/>
          <w:szCs w:val="24"/>
          <w:lang w:eastAsia="zh-CN"/>
        </w:rPr>
      </w:pPr>
      <w:r>
        <w:rPr>
          <w:rFonts w:hint="eastAsia"/>
          <w:color w:val="000000"/>
          <w:sz w:val="24"/>
          <w:szCs w:val="24"/>
          <w:lang w:eastAsia="zh-CN"/>
        </w:rPr>
        <w:t>a.重新调试直至合格为止；</w:t>
      </w:r>
    </w:p>
    <w:p>
      <w:pPr>
        <w:ind w:firstLine="480" w:firstLineChars="200"/>
        <w:rPr>
          <w:color w:val="000000"/>
          <w:sz w:val="24"/>
          <w:szCs w:val="24"/>
          <w:lang w:eastAsia="zh-CN"/>
        </w:rPr>
      </w:pPr>
      <w:r>
        <w:rPr>
          <w:rFonts w:hint="eastAsia"/>
          <w:color w:val="000000"/>
          <w:sz w:val="24"/>
          <w:szCs w:val="24"/>
          <w:lang w:eastAsia="zh-CN"/>
        </w:rPr>
        <w:t>b.要求乙方对货物进行免费更换，然后重新调试直至合格为止。</w:t>
      </w:r>
    </w:p>
    <w:p>
      <w:pPr>
        <w:ind w:firstLine="480" w:firstLineChars="200"/>
        <w:rPr>
          <w:color w:val="000000"/>
          <w:sz w:val="24"/>
          <w:szCs w:val="24"/>
          <w:lang w:eastAsia="zh-CN"/>
        </w:rPr>
      </w:pPr>
      <w:r>
        <w:rPr>
          <w:rFonts w:hint="eastAsia"/>
          <w:color w:val="000000"/>
          <w:sz w:val="24"/>
          <w:szCs w:val="24"/>
          <w:lang w:eastAsia="zh-CN"/>
        </w:rPr>
        <w:t>甲方因乙方原因所产生的所有费用均由乙方负担。</w:t>
      </w:r>
    </w:p>
    <w:p>
      <w:pPr>
        <w:ind w:firstLine="480" w:firstLineChars="200"/>
        <w:rPr>
          <w:color w:val="000000"/>
          <w:sz w:val="24"/>
          <w:szCs w:val="24"/>
          <w:lang w:eastAsia="zh-CN"/>
        </w:rPr>
      </w:pPr>
      <w:r>
        <w:rPr>
          <w:rFonts w:hint="eastAsia"/>
          <w:color w:val="000000"/>
          <w:sz w:val="24"/>
          <w:szCs w:val="24"/>
          <w:lang w:eastAsia="zh-CN"/>
        </w:rPr>
        <w:t>6.验收合格的，由双方共同签署《验收报告》。</w:t>
      </w:r>
    </w:p>
    <w:p>
      <w:pPr>
        <w:snapToGrid w:val="0"/>
        <w:ind w:firstLine="482"/>
        <w:textAlignment w:val="baseline"/>
        <w:rPr>
          <w:color w:val="000000"/>
          <w:sz w:val="24"/>
          <w:szCs w:val="24"/>
          <w:lang w:eastAsia="zh-CN"/>
        </w:rPr>
      </w:pPr>
      <w:r>
        <w:rPr>
          <w:rFonts w:hint="eastAsia"/>
          <w:color w:val="000000"/>
          <w:sz w:val="24"/>
          <w:szCs w:val="24"/>
          <w:lang w:eastAsia="zh-CN"/>
        </w:rPr>
        <w:t>7.甲方可以视项目规模或复杂情况聘请专业人员参与验收，大型或复杂项目，以及特种货物应当邀请国家认可的第三方质量检测机构参与验收。</w:t>
      </w:r>
    </w:p>
    <w:p>
      <w:pPr>
        <w:ind w:firstLine="480" w:firstLineChars="200"/>
        <w:rPr>
          <w:color w:val="000000"/>
          <w:sz w:val="24"/>
          <w:szCs w:val="24"/>
          <w:lang w:eastAsia="zh-CN"/>
        </w:rPr>
      </w:pPr>
      <w:r>
        <w:rPr>
          <w:rFonts w:hint="eastAsia"/>
          <w:color w:val="000000"/>
          <w:sz w:val="24"/>
          <w:szCs w:val="24"/>
          <w:lang w:eastAsia="zh-CN"/>
        </w:rPr>
        <w:t>8.货物验收包括：货物包装是否完好，产地生产厂家名称、品牌、型号、规格、数量、外观质量、配置、内在质量，以及调试运行是否达到“第一条合同文件”规定的效果。乙方应将所提供货物的装箱清单、产品合格证、甲方手册、原厂保修卡、随机资料及备品备件、易损件、专用工具等交付给甲方；乙方不能完整交付货物、附（辅）件和资料的，视为未按合同约定交货，乙方负责补齐，因此导致逾期交付的，由乙方承担相关的违约责任。</w:t>
      </w:r>
    </w:p>
    <w:p>
      <w:pPr>
        <w:ind w:firstLine="480" w:firstLineChars="200"/>
        <w:rPr>
          <w:color w:val="000000"/>
          <w:sz w:val="24"/>
          <w:szCs w:val="24"/>
          <w:lang w:eastAsia="zh-CN"/>
        </w:rPr>
      </w:pPr>
      <w:r>
        <w:rPr>
          <w:rFonts w:hint="eastAsia"/>
          <w:color w:val="000000"/>
          <w:sz w:val="24"/>
          <w:szCs w:val="24"/>
          <w:lang w:eastAsia="zh-CN"/>
        </w:rPr>
        <w:t>9.货物达不到本合同“第一条合同文件”规定的数量、质量要求和运行效果，甲方有权拒收，并可以解除合同；由此引起甲方损失及赔偿责任由乙方承担。</w:t>
      </w:r>
    </w:p>
    <w:p>
      <w:pPr>
        <w:ind w:firstLine="480" w:firstLineChars="200"/>
        <w:rPr>
          <w:color w:val="000000"/>
          <w:sz w:val="24"/>
          <w:szCs w:val="24"/>
          <w:lang w:eastAsia="zh-CN"/>
        </w:rPr>
      </w:pPr>
      <w:r>
        <w:rPr>
          <w:rFonts w:hint="eastAsia"/>
          <w:color w:val="000000"/>
          <w:sz w:val="24"/>
          <w:szCs w:val="24"/>
          <w:lang w:eastAsia="zh-CN"/>
        </w:rPr>
        <w:t>10.如果合同双方对《验收报告》有分歧，双方须于出现分歧后</w:t>
      </w:r>
      <w:r>
        <w:rPr>
          <w:rFonts w:hint="eastAsia"/>
          <w:color w:val="000000"/>
          <w:sz w:val="24"/>
          <w:szCs w:val="24"/>
          <w:u w:val="single"/>
          <w:lang w:eastAsia="zh-CN"/>
        </w:rPr>
        <w:t xml:space="preserve">    </w:t>
      </w:r>
      <w:r>
        <w:rPr>
          <w:rFonts w:hint="eastAsia"/>
          <w:color w:val="000000"/>
          <w:sz w:val="24"/>
          <w:szCs w:val="24"/>
          <w:lang w:eastAsia="zh-CN"/>
        </w:rPr>
        <w:t>天内给对方书面声明，以陈述己方的理由及要求，并附有关证据。分歧应通过协商解决。</w:t>
      </w:r>
    </w:p>
    <w:p>
      <w:pPr>
        <w:ind w:left="482"/>
        <w:outlineLvl w:val="2"/>
        <w:rPr>
          <w:b/>
          <w:color w:val="000000"/>
          <w:sz w:val="24"/>
          <w:szCs w:val="24"/>
          <w:lang w:eastAsia="zh-CN"/>
        </w:rPr>
      </w:pPr>
      <w:bookmarkStart w:id="12" w:name="_Toc11203"/>
      <w:r>
        <w:rPr>
          <w:rFonts w:hint="eastAsia"/>
          <w:b/>
          <w:color w:val="000000"/>
          <w:sz w:val="24"/>
          <w:szCs w:val="24"/>
          <w:lang w:eastAsia="zh-CN"/>
        </w:rPr>
        <w:t>第八条  项目管理服务</w:t>
      </w:r>
      <w:bookmarkEnd w:id="12"/>
    </w:p>
    <w:p>
      <w:pPr>
        <w:ind w:firstLine="480" w:firstLineChars="200"/>
        <w:rPr>
          <w:color w:val="000000"/>
          <w:sz w:val="24"/>
          <w:szCs w:val="24"/>
          <w:lang w:eastAsia="zh-CN"/>
        </w:rPr>
      </w:pPr>
      <w:r>
        <w:rPr>
          <w:rFonts w:hint="eastAsia"/>
          <w:color w:val="000000"/>
          <w:sz w:val="24"/>
          <w:szCs w:val="24"/>
          <w:lang w:eastAsia="zh-CN"/>
        </w:rPr>
        <w:t>乙方应指定不少于一人全权全程负责本项目的商务服务，以及货物安装、调试、咨询、培训和售后等技术服务工作。</w:t>
      </w:r>
    </w:p>
    <w:p>
      <w:pPr>
        <w:snapToGrid w:val="0"/>
        <w:ind w:firstLine="481"/>
        <w:textAlignment w:val="baseline"/>
        <w:rPr>
          <w:color w:val="000000"/>
          <w:sz w:val="24"/>
          <w:szCs w:val="24"/>
          <w:lang w:eastAsia="zh-CN"/>
        </w:rPr>
      </w:pPr>
      <w:r>
        <w:rPr>
          <w:rFonts w:hint="eastAsia"/>
          <w:color w:val="000000"/>
          <w:sz w:val="24"/>
          <w:szCs w:val="24"/>
          <w:lang w:eastAsia="zh-CN"/>
        </w:rPr>
        <w:t xml:space="preserve">项目负责人姓名： </w:t>
      </w:r>
      <w:r>
        <w:rPr>
          <w:rFonts w:hint="eastAsia"/>
          <w:color w:val="000000"/>
          <w:sz w:val="24"/>
          <w:szCs w:val="24"/>
          <w:u w:val="single" w:color="000000"/>
          <w:lang w:eastAsia="zh-CN"/>
        </w:rPr>
        <w:t xml:space="preserve">              </w:t>
      </w:r>
      <w:r>
        <w:rPr>
          <w:rFonts w:hint="eastAsia"/>
          <w:color w:val="000000"/>
          <w:sz w:val="24"/>
          <w:szCs w:val="24"/>
          <w:lang w:eastAsia="zh-CN"/>
        </w:rPr>
        <w:t>； 联系电话：</w:t>
      </w:r>
      <w:r>
        <w:rPr>
          <w:rFonts w:hint="eastAsia"/>
          <w:color w:val="000000"/>
          <w:sz w:val="24"/>
          <w:szCs w:val="24"/>
          <w:u w:val="single" w:color="000000"/>
          <w:lang w:eastAsia="zh-CN"/>
        </w:rPr>
        <w:t xml:space="preserve">                      </w:t>
      </w:r>
      <w:r>
        <w:rPr>
          <w:rFonts w:hint="eastAsia"/>
          <w:color w:val="000000"/>
          <w:sz w:val="24"/>
          <w:szCs w:val="24"/>
          <w:lang w:eastAsia="zh-CN"/>
        </w:rPr>
        <w:t>。</w:t>
      </w:r>
    </w:p>
    <w:p>
      <w:pPr>
        <w:ind w:firstLine="482" w:firstLineChars="200"/>
        <w:outlineLvl w:val="2"/>
        <w:rPr>
          <w:b/>
          <w:color w:val="000000"/>
          <w:sz w:val="24"/>
          <w:szCs w:val="24"/>
          <w:lang w:eastAsia="zh-CN"/>
        </w:rPr>
      </w:pPr>
      <w:bookmarkStart w:id="13" w:name="_Toc24415"/>
      <w:r>
        <w:rPr>
          <w:rFonts w:hint="eastAsia"/>
          <w:b/>
          <w:color w:val="000000"/>
          <w:sz w:val="24"/>
          <w:szCs w:val="24"/>
          <w:lang w:eastAsia="zh-CN"/>
        </w:rPr>
        <w:t>第九条  售后服务</w:t>
      </w:r>
      <w:bookmarkEnd w:id="13"/>
    </w:p>
    <w:p>
      <w:pPr>
        <w:ind w:firstLine="480" w:firstLineChars="200"/>
        <w:rPr>
          <w:color w:val="000000"/>
          <w:sz w:val="24"/>
          <w:szCs w:val="24"/>
          <w:lang w:eastAsia="zh-CN"/>
        </w:rPr>
      </w:pPr>
      <w:r>
        <w:rPr>
          <w:rFonts w:hint="eastAsia"/>
          <w:color w:val="000000"/>
          <w:sz w:val="24"/>
          <w:szCs w:val="24"/>
          <w:lang w:eastAsia="zh-CN"/>
        </w:rPr>
        <w:t>1.质量保证期为自货物通过最终验收之日起</w:t>
      </w:r>
      <w:r>
        <w:rPr>
          <w:rFonts w:hint="eastAsia"/>
          <w:color w:val="000000"/>
          <w:sz w:val="24"/>
          <w:szCs w:val="24"/>
          <w:u w:val="single"/>
          <w:lang w:eastAsia="zh-CN"/>
        </w:rPr>
        <w:t xml:space="preserve">    </w:t>
      </w:r>
      <w:r>
        <w:rPr>
          <w:rFonts w:hint="eastAsia"/>
          <w:color w:val="000000"/>
          <w:sz w:val="24"/>
          <w:szCs w:val="24"/>
          <w:lang w:eastAsia="zh-CN"/>
        </w:rPr>
        <w:t>个月。若国家有明确规定的质量保证期高于此质量保证期的，执行国家规定。</w:t>
      </w:r>
    </w:p>
    <w:p>
      <w:pPr>
        <w:ind w:firstLine="480" w:firstLineChars="200"/>
        <w:rPr>
          <w:color w:val="000000"/>
          <w:sz w:val="24"/>
          <w:szCs w:val="24"/>
          <w:lang w:eastAsia="zh-CN"/>
        </w:rPr>
      </w:pPr>
      <w:r>
        <w:rPr>
          <w:rFonts w:hint="eastAsia"/>
          <w:color w:val="000000"/>
          <w:sz w:val="24"/>
          <w:szCs w:val="24"/>
          <w:lang w:eastAsia="zh-CN"/>
        </w:rPr>
        <w:t>2.在货物质保期内，乙方应对由于设计、工艺、质量（含环保节能要求）、材料和的缺陷而发生的任何不足或故障负责，并解决存在的问题。</w:t>
      </w:r>
    </w:p>
    <w:p>
      <w:pPr>
        <w:ind w:firstLine="480" w:firstLineChars="200"/>
        <w:rPr>
          <w:color w:val="000000"/>
          <w:sz w:val="24"/>
          <w:szCs w:val="24"/>
          <w:lang w:eastAsia="zh-CN"/>
        </w:rPr>
      </w:pPr>
      <w:r>
        <w:rPr>
          <w:rFonts w:hint="eastAsia"/>
          <w:color w:val="000000"/>
          <w:sz w:val="24"/>
          <w:szCs w:val="24"/>
          <w:lang w:eastAsia="zh-CN"/>
        </w:rPr>
        <w:t>3.对不符合本合同第四条规定要求的货物应立即进行调换，调换本身并不影响甲方就其损失向乙方索赔的权利。</w:t>
      </w:r>
    </w:p>
    <w:p>
      <w:pPr>
        <w:ind w:firstLine="480" w:firstLineChars="200"/>
        <w:rPr>
          <w:color w:val="000000"/>
          <w:sz w:val="24"/>
          <w:szCs w:val="24"/>
          <w:lang w:eastAsia="zh-CN"/>
        </w:rPr>
      </w:pPr>
      <w:r>
        <w:rPr>
          <w:rFonts w:hint="eastAsia"/>
          <w:color w:val="000000"/>
          <w:sz w:val="24"/>
          <w:szCs w:val="24"/>
          <w:lang w:eastAsia="zh-CN"/>
        </w:rPr>
        <w:t>4.货物安装调试完成后，乙方应继续向甲方提供良好的技术支持。应当由专门队伍从事此项工作，并提供全天候的热线技术支持服务，应当对甲方所反映的任何问题在</w:t>
      </w:r>
      <w:r>
        <w:rPr>
          <w:rFonts w:hint="eastAsia"/>
          <w:color w:val="000000"/>
          <w:sz w:val="24"/>
          <w:szCs w:val="24"/>
          <w:u w:val="single"/>
          <w:lang w:eastAsia="zh-CN"/>
        </w:rPr>
        <w:t xml:space="preserve">    </w:t>
      </w:r>
      <w:r>
        <w:rPr>
          <w:rFonts w:hint="eastAsia"/>
          <w:color w:val="000000"/>
          <w:sz w:val="24"/>
          <w:szCs w:val="24"/>
          <w:lang w:eastAsia="zh-CN"/>
        </w:rPr>
        <w:t>日（小时）之内做出及时响应，在</w:t>
      </w:r>
      <w:r>
        <w:rPr>
          <w:rFonts w:hint="eastAsia"/>
          <w:color w:val="000000"/>
          <w:sz w:val="24"/>
          <w:szCs w:val="24"/>
          <w:u w:val="single"/>
          <w:lang w:eastAsia="zh-CN"/>
        </w:rPr>
        <w:t xml:space="preserve">    </w:t>
      </w:r>
      <w:r>
        <w:rPr>
          <w:rFonts w:hint="eastAsia"/>
          <w:color w:val="000000"/>
          <w:sz w:val="24"/>
          <w:szCs w:val="24"/>
          <w:lang w:eastAsia="zh-CN"/>
        </w:rPr>
        <w:t>日（小时）之内赶到现场实地解决问题。若问题、故障在检修</w:t>
      </w:r>
      <w:r>
        <w:rPr>
          <w:rFonts w:hint="eastAsia"/>
          <w:color w:val="000000"/>
          <w:sz w:val="24"/>
          <w:szCs w:val="24"/>
          <w:u w:val="single"/>
          <w:lang w:eastAsia="zh-CN"/>
        </w:rPr>
        <w:t xml:space="preserve">    </w:t>
      </w:r>
      <w:r>
        <w:rPr>
          <w:rFonts w:hint="eastAsia"/>
          <w:color w:val="000000"/>
          <w:sz w:val="24"/>
          <w:szCs w:val="24"/>
          <w:lang w:eastAsia="zh-CN"/>
        </w:rPr>
        <w:t>工作日（小时）后仍无法解决，乙方应在</w:t>
      </w:r>
      <w:r>
        <w:rPr>
          <w:rFonts w:hint="eastAsia"/>
          <w:color w:val="000000"/>
          <w:sz w:val="24"/>
          <w:szCs w:val="24"/>
          <w:u w:val="single"/>
          <w:lang w:eastAsia="zh-CN"/>
        </w:rPr>
        <w:t xml:space="preserve">     </w:t>
      </w:r>
      <w:r>
        <w:rPr>
          <w:rFonts w:hint="eastAsia"/>
          <w:color w:val="000000"/>
          <w:sz w:val="24"/>
          <w:szCs w:val="24"/>
          <w:lang w:eastAsia="zh-CN"/>
        </w:rPr>
        <w:t>日（小时）内免费提供不低于故障货物规格型号档次的备用货物供甲方使用，直至故障货物修复。</w:t>
      </w:r>
    </w:p>
    <w:p>
      <w:pPr>
        <w:ind w:firstLine="480" w:firstLineChars="200"/>
        <w:rPr>
          <w:color w:val="000000"/>
          <w:sz w:val="24"/>
          <w:szCs w:val="24"/>
          <w:lang w:eastAsia="zh-CN"/>
        </w:rPr>
      </w:pPr>
      <w:r>
        <w:rPr>
          <w:rFonts w:hint="eastAsia"/>
          <w:color w:val="000000"/>
          <w:sz w:val="24"/>
          <w:szCs w:val="24"/>
          <w:lang w:eastAsia="zh-CN"/>
        </w:rPr>
        <w:t>5.乙方应当建立健全售后服务体系，确保货物正常运行。乙方应当遵守甲方的有关管理制度、操作规程。对于乙方违规操作造成甲方损失的，由乙方按照本合同第十二条的约定承担赔偿责任。</w:t>
      </w:r>
    </w:p>
    <w:p>
      <w:pPr>
        <w:ind w:firstLine="480" w:firstLineChars="200"/>
        <w:rPr>
          <w:color w:val="000000"/>
          <w:sz w:val="24"/>
          <w:szCs w:val="24"/>
          <w:lang w:eastAsia="zh-CN"/>
        </w:rPr>
      </w:pPr>
      <w:r>
        <w:rPr>
          <w:rFonts w:hint="eastAsia"/>
          <w:color w:val="000000"/>
          <w:sz w:val="24"/>
          <w:szCs w:val="24"/>
          <w:lang w:eastAsia="zh-CN"/>
        </w:rPr>
        <w:t>6.乙方应负责货物及主要部件、配件维修更换。质保期内，乙方对货物（人为故意损坏除外）提供全免费保修或免费更换；质保期后，收取维修成本费（备品备件乙方应以响应文件承诺的优惠价格提供）。</w:t>
      </w:r>
    </w:p>
    <w:p>
      <w:pPr>
        <w:ind w:left="482"/>
        <w:outlineLvl w:val="2"/>
        <w:rPr>
          <w:b/>
          <w:color w:val="000000"/>
          <w:sz w:val="24"/>
          <w:szCs w:val="24"/>
          <w:lang w:eastAsia="zh-CN"/>
        </w:rPr>
      </w:pPr>
      <w:bookmarkStart w:id="14" w:name="_Toc10119"/>
      <w:r>
        <w:rPr>
          <w:rFonts w:hint="eastAsia"/>
          <w:b/>
          <w:color w:val="000000"/>
          <w:sz w:val="24"/>
          <w:szCs w:val="24"/>
          <w:lang w:eastAsia="zh-CN"/>
        </w:rPr>
        <w:t>第十条  分包</w:t>
      </w:r>
      <w:bookmarkEnd w:id="14"/>
    </w:p>
    <w:p>
      <w:pPr>
        <w:ind w:firstLine="480" w:firstLineChars="200"/>
        <w:rPr>
          <w:strike/>
          <w:color w:val="000000"/>
          <w:sz w:val="24"/>
          <w:szCs w:val="24"/>
          <w:lang w:eastAsia="zh-CN"/>
        </w:rPr>
      </w:pPr>
      <w:r>
        <w:rPr>
          <w:rFonts w:hint="eastAsia"/>
          <w:color w:val="000000"/>
          <w:sz w:val="24"/>
          <w:szCs w:val="24"/>
          <w:lang w:eastAsia="zh-CN"/>
        </w:rPr>
        <w:t>除招标采购文件事先说明、且经甲方事先书面同意外，乙方不得分包其应履行的合同义务。</w:t>
      </w:r>
    </w:p>
    <w:p>
      <w:pPr>
        <w:ind w:firstLine="482" w:firstLineChars="200"/>
        <w:outlineLvl w:val="2"/>
        <w:rPr>
          <w:b/>
          <w:color w:val="000000"/>
          <w:sz w:val="24"/>
          <w:szCs w:val="24"/>
          <w:lang w:eastAsia="zh-CN"/>
        </w:rPr>
      </w:pPr>
      <w:bookmarkStart w:id="15" w:name="_Toc5644"/>
      <w:r>
        <w:rPr>
          <w:rFonts w:hint="eastAsia"/>
          <w:b/>
          <w:color w:val="000000"/>
          <w:sz w:val="24"/>
          <w:szCs w:val="24"/>
          <w:lang w:eastAsia="zh-CN"/>
        </w:rPr>
        <w:t>第十一条  合同的生效</w:t>
      </w:r>
      <w:bookmarkEnd w:id="15"/>
    </w:p>
    <w:p>
      <w:pPr>
        <w:ind w:firstLine="480" w:firstLineChars="200"/>
        <w:rPr>
          <w:color w:val="000000"/>
          <w:sz w:val="24"/>
          <w:szCs w:val="24"/>
          <w:lang w:eastAsia="zh-CN"/>
        </w:rPr>
      </w:pPr>
      <w:r>
        <w:rPr>
          <w:rFonts w:hint="eastAsia"/>
          <w:color w:val="000000"/>
          <w:sz w:val="24"/>
          <w:szCs w:val="24"/>
          <w:lang w:eastAsia="zh-CN"/>
        </w:rPr>
        <w:t>1.本合同经甲乙双方授权代表签订并加盖公章或合同专用章后生效。</w:t>
      </w:r>
    </w:p>
    <w:p>
      <w:pPr>
        <w:ind w:firstLine="480" w:firstLineChars="200"/>
        <w:rPr>
          <w:color w:val="000000"/>
          <w:sz w:val="24"/>
          <w:szCs w:val="24"/>
          <w:lang w:eastAsia="zh-CN"/>
        </w:rPr>
      </w:pPr>
      <w:r>
        <w:rPr>
          <w:rFonts w:hint="eastAsia"/>
          <w:color w:val="000000"/>
          <w:sz w:val="24"/>
          <w:szCs w:val="24"/>
          <w:lang w:eastAsia="zh-CN"/>
        </w:rPr>
        <w:t>2.生效后，除《政府采购法》第49条、第50条第二款规定的情形外，甲乙双方不得擅自变更、中止或终止合同。</w:t>
      </w:r>
    </w:p>
    <w:p>
      <w:pPr>
        <w:ind w:left="482"/>
        <w:outlineLvl w:val="2"/>
        <w:rPr>
          <w:b/>
          <w:color w:val="000000"/>
          <w:sz w:val="24"/>
          <w:szCs w:val="24"/>
          <w:lang w:eastAsia="zh-CN"/>
        </w:rPr>
      </w:pPr>
      <w:bookmarkStart w:id="16" w:name="_Toc26032"/>
      <w:r>
        <w:rPr>
          <w:rFonts w:hint="eastAsia"/>
          <w:b/>
          <w:color w:val="000000"/>
          <w:sz w:val="24"/>
          <w:szCs w:val="24"/>
          <w:lang w:eastAsia="zh-CN"/>
        </w:rPr>
        <w:t>第十二条  违约责任</w:t>
      </w:r>
      <w:bookmarkEnd w:id="16"/>
    </w:p>
    <w:p>
      <w:pPr>
        <w:ind w:firstLine="480" w:firstLineChars="200"/>
        <w:rPr>
          <w:color w:val="000000"/>
          <w:sz w:val="24"/>
          <w:szCs w:val="24"/>
          <w:lang w:eastAsia="zh-CN"/>
        </w:rPr>
      </w:pPr>
      <w:r>
        <w:rPr>
          <w:rFonts w:hint="eastAsia"/>
          <w:color w:val="000000"/>
          <w:sz w:val="24"/>
          <w:szCs w:val="24"/>
          <w:lang w:eastAsia="zh-CN"/>
        </w:rPr>
        <w:t>1.乙方所交付的货物不符合本合同规定的，甲方有权拒收，乙方在得到甲方通知之日起</w:t>
      </w:r>
      <w:r>
        <w:rPr>
          <w:rFonts w:hint="eastAsia"/>
          <w:color w:val="000000"/>
          <w:sz w:val="24"/>
          <w:szCs w:val="24"/>
          <w:u w:val="single"/>
          <w:lang w:eastAsia="zh-CN"/>
        </w:rPr>
        <w:t xml:space="preserve">     </w:t>
      </w:r>
      <w:r>
        <w:rPr>
          <w:rFonts w:hint="eastAsia"/>
          <w:color w:val="000000"/>
          <w:sz w:val="24"/>
          <w:szCs w:val="24"/>
          <w:lang w:eastAsia="zh-CN"/>
        </w:rPr>
        <w:t>个工作日内采取补救措施，逾期仍未采取有效措施的，甲方有权要求乙方赔偿因此造成的损失或扣留履约保证金；同时乙方应向甲方支付合同总价</w:t>
      </w:r>
      <w:r>
        <w:rPr>
          <w:rFonts w:hint="eastAsia"/>
          <w:color w:val="000000"/>
          <w:sz w:val="24"/>
          <w:szCs w:val="24"/>
          <w:u w:val="single"/>
          <w:lang w:eastAsia="zh-CN"/>
        </w:rPr>
        <w:t xml:space="preserve">      </w:t>
      </w:r>
      <w:r>
        <w:rPr>
          <w:rFonts w:hint="eastAsia"/>
          <w:color w:val="000000"/>
          <w:sz w:val="24"/>
          <w:szCs w:val="24"/>
          <w:lang w:eastAsia="zh-CN"/>
        </w:rPr>
        <w:t>％的违约金。</w:t>
      </w:r>
    </w:p>
    <w:p>
      <w:pPr>
        <w:ind w:firstLine="480" w:firstLineChars="200"/>
        <w:rPr>
          <w:color w:val="000000"/>
          <w:sz w:val="24"/>
          <w:szCs w:val="24"/>
          <w:lang w:eastAsia="zh-CN"/>
        </w:rPr>
      </w:pPr>
      <w:r>
        <w:rPr>
          <w:rFonts w:hint="eastAsia"/>
          <w:color w:val="000000"/>
          <w:sz w:val="24"/>
          <w:szCs w:val="24"/>
          <w:lang w:eastAsia="zh-CN"/>
        </w:rPr>
        <w:t>2.甲方无正当理由拒收货物、拒付货款的，甲方应向乙方偿付拒付货款</w:t>
      </w:r>
      <w:r>
        <w:rPr>
          <w:rFonts w:hint="eastAsia"/>
          <w:color w:val="000000"/>
          <w:sz w:val="24"/>
          <w:szCs w:val="24"/>
          <w:u w:val="single"/>
          <w:lang w:eastAsia="zh-CN"/>
        </w:rPr>
        <w:t xml:space="preserve">    </w:t>
      </w:r>
      <w:r>
        <w:rPr>
          <w:rFonts w:hint="eastAsia"/>
          <w:color w:val="000000"/>
          <w:sz w:val="24"/>
          <w:szCs w:val="24"/>
          <w:lang w:eastAsia="zh-CN"/>
        </w:rPr>
        <w:t>％的违约金。</w:t>
      </w:r>
    </w:p>
    <w:p>
      <w:pPr>
        <w:ind w:firstLine="480" w:firstLineChars="200"/>
        <w:rPr>
          <w:color w:val="000000"/>
          <w:sz w:val="24"/>
          <w:szCs w:val="24"/>
          <w:lang w:eastAsia="zh-CN"/>
        </w:rPr>
      </w:pPr>
      <w:r>
        <w:rPr>
          <w:rFonts w:hint="eastAsia"/>
          <w:color w:val="000000"/>
          <w:sz w:val="24"/>
          <w:szCs w:val="24"/>
          <w:lang w:eastAsia="zh-CN"/>
        </w:rPr>
        <w:t>3.乙方无正当理由逾期交付货物的，每逾期1天，乙方向甲方偿付逾期交货部分货款总额的</w:t>
      </w:r>
      <w:r>
        <w:rPr>
          <w:rFonts w:hint="eastAsia"/>
          <w:color w:val="000000"/>
          <w:sz w:val="24"/>
          <w:szCs w:val="24"/>
          <w:u w:val="single"/>
          <w:lang w:eastAsia="zh-CN"/>
        </w:rPr>
        <w:t xml:space="preserve">    </w:t>
      </w:r>
      <w:r>
        <w:rPr>
          <w:rFonts w:hint="eastAsia"/>
          <w:color w:val="000000"/>
          <w:sz w:val="24"/>
          <w:szCs w:val="24"/>
          <w:lang w:eastAsia="zh-CN"/>
        </w:rPr>
        <w:t>‰的违约金。如乙方逾期交货达</w:t>
      </w:r>
      <w:r>
        <w:rPr>
          <w:rFonts w:hint="eastAsia"/>
          <w:color w:val="000000"/>
          <w:sz w:val="24"/>
          <w:szCs w:val="24"/>
          <w:u w:val="single"/>
          <w:lang w:eastAsia="zh-CN"/>
        </w:rPr>
        <w:t xml:space="preserve">    </w:t>
      </w:r>
      <w:r>
        <w:rPr>
          <w:rFonts w:hint="eastAsia"/>
          <w:color w:val="000000"/>
          <w:sz w:val="24"/>
          <w:szCs w:val="24"/>
          <w:lang w:eastAsia="zh-CN"/>
        </w:rPr>
        <w:t>天，甲方有权解除合同，甲方解除合同的通知自到达乙方时生效。在此情况下，乙方给甲方造成的实际损失高于违约金的，对高出违约金的部分乙方应予以赔偿。</w:t>
      </w:r>
    </w:p>
    <w:p>
      <w:pPr>
        <w:ind w:firstLine="480" w:firstLineChars="200"/>
        <w:rPr>
          <w:color w:val="000000"/>
          <w:sz w:val="24"/>
          <w:szCs w:val="24"/>
          <w:lang w:eastAsia="zh-CN"/>
        </w:rPr>
      </w:pPr>
      <w:r>
        <w:rPr>
          <w:rFonts w:hint="eastAsia"/>
          <w:color w:val="000000"/>
          <w:sz w:val="24"/>
          <w:szCs w:val="24"/>
          <w:lang w:eastAsia="zh-CN"/>
        </w:rPr>
        <w:t>4.甲方未按合同规定的期限向乙方支付货款的，每逾期1天甲方向乙方偿付欠款总额的</w:t>
      </w:r>
      <w:r>
        <w:rPr>
          <w:rFonts w:hint="eastAsia"/>
          <w:color w:val="000000"/>
          <w:sz w:val="24"/>
          <w:szCs w:val="24"/>
          <w:u w:val="single"/>
          <w:lang w:eastAsia="zh-CN"/>
        </w:rPr>
        <w:t xml:space="preserve">    </w:t>
      </w:r>
      <w:r>
        <w:rPr>
          <w:rFonts w:hint="eastAsia"/>
          <w:color w:val="000000"/>
          <w:sz w:val="24"/>
          <w:szCs w:val="24"/>
          <w:lang w:eastAsia="zh-CN"/>
        </w:rPr>
        <w:t>‰违约金，但累计违约金总额不超过欠款总额的</w:t>
      </w:r>
      <w:r>
        <w:rPr>
          <w:rFonts w:hint="eastAsia"/>
          <w:color w:val="000000"/>
          <w:sz w:val="24"/>
          <w:szCs w:val="24"/>
          <w:u w:val="single"/>
          <w:lang w:eastAsia="zh-CN"/>
        </w:rPr>
        <w:t xml:space="preserve">    </w:t>
      </w:r>
      <w:r>
        <w:rPr>
          <w:rFonts w:hint="eastAsia"/>
          <w:color w:val="000000"/>
          <w:sz w:val="24"/>
          <w:szCs w:val="24"/>
          <w:lang w:eastAsia="zh-CN"/>
        </w:rPr>
        <w:t>％。</w:t>
      </w:r>
    </w:p>
    <w:p>
      <w:pPr>
        <w:ind w:firstLine="480" w:firstLineChars="200"/>
        <w:rPr>
          <w:color w:val="000000"/>
          <w:sz w:val="24"/>
          <w:szCs w:val="24"/>
          <w:lang w:eastAsia="zh-CN"/>
        </w:rPr>
      </w:pPr>
      <w:r>
        <w:rPr>
          <w:rFonts w:hint="eastAsia"/>
          <w:color w:val="000000"/>
          <w:sz w:val="24"/>
          <w:szCs w:val="24"/>
          <w:lang w:eastAsia="zh-CN"/>
        </w:rPr>
        <w:t>5.在乙方承诺的或国家规定的质量保证期内（取两者中最长的期限），如经乙方两次维修，货物仍不能达到合同约定的质量标准、运行效果的，甲方有权要求乙方更换为全新合格货物并按本条第1款处理，同时，乙方还须赔偿甲方因此遭受的损失。</w:t>
      </w:r>
    </w:p>
    <w:p>
      <w:pPr>
        <w:ind w:firstLine="480" w:firstLineChars="200"/>
        <w:rPr>
          <w:color w:val="000000"/>
          <w:sz w:val="24"/>
          <w:szCs w:val="24"/>
          <w:lang w:eastAsia="zh-CN"/>
        </w:rPr>
      </w:pPr>
      <w:r>
        <w:rPr>
          <w:rFonts w:hint="eastAsia"/>
          <w:color w:val="000000"/>
          <w:sz w:val="24"/>
          <w:szCs w:val="24"/>
          <w:lang w:eastAsia="zh-CN"/>
        </w:rPr>
        <w:t>6.其它未尽事宜，以《合同法》和《政府采购法》等有关法律法规规定为准，无相关规定的，双方协商解决。</w:t>
      </w:r>
    </w:p>
    <w:p>
      <w:pPr>
        <w:ind w:left="482"/>
        <w:outlineLvl w:val="2"/>
        <w:rPr>
          <w:b/>
          <w:color w:val="000000"/>
          <w:sz w:val="24"/>
          <w:szCs w:val="24"/>
          <w:lang w:eastAsia="zh-CN"/>
        </w:rPr>
      </w:pPr>
      <w:bookmarkStart w:id="17" w:name="_Toc5269"/>
      <w:r>
        <w:rPr>
          <w:rFonts w:hint="eastAsia"/>
          <w:b/>
          <w:color w:val="000000"/>
          <w:sz w:val="24"/>
          <w:szCs w:val="24"/>
          <w:lang w:eastAsia="zh-CN"/>
        </w:rPr>
        <w:t>第十三条  不可抗力</w:t>
      </w:r>
      <w:bookmarkEnd w:id="17"/>
    </w:p>
    <w:p>
      <w:pPr>
        <w:ind w:firstLine="480" w:firstLineChars="200"/>
        <w:rPr>
          <w:color w:val="000000"/>
          <w:sz w:val="24"/>
          <w:szCs w:val="24"/>
          <w:lang w:eastAsia="zh-CN"/>
        </w:rPr>
      </w:pPr>
      <w:r>
        <w:rPr>
          <w:rFonts w:hint="eastAsia"/>
          <w:color w:val="000000"/>
          <w:sz w:val="24"/>
          <w:szCs w:val="24"/>
          <w:lang w:eastAsia="zh-CN"/>
        </w:rPr>
        <w:t>甲、乙方中任何一方，因不可抗力不能按时或完全履行合同的，应及时通知对方，并在</w:t>
      </w:r>
      <w:r>
        <w:rPr>
          <w:rFonts w:hint="eastAsia"/>
          <w:color w:val="000000"/>
          <w:sz w:val="24"/>
          <w:szCs w:val="24"/>
          <w:u w:val="single"/>
          <w:lang w:eastAsia="zh-CN"/>
        </w:rPr>
        <w:t xml:space="preserve">    </w:t>
      </w:r>
      <w:r>
        <w:rPr>
          <w:rFonts w:hint="eastAsia"/>
          <w:color w:val="000000"/>
          <w:sz w:val="24"/>
          <w:szCs w:val="24"/>
          <w:lang w:eastAsia="zh-CN"/>
        </w:rPr>
        <w:t>个工作日内提供相应证明。未履行完合同部分是否继续履行、如何履行等问题，可由双方初步协商，并向主管部门和政府采购管理部门报告。确定为不可抗力原因造成的损失，免予承担责任。</w:t>
      </w:r>
    </w:p>
    <w:p>
      <w:pPr>
        <w:ind w:left="482"/>
        <w:outlineLvl w:val="2"/>
        <w:rPr>
          <w:b/>
          <w:color w:val="000000"/>
          <w:sz w:val="24"/>
          <w:szCs w:val="24"/>
          <w:lang w:eastAsia="zh-CN"/>
        </w:rPr>
      </w:pPr>
      <w:bookmarkStart w:id="18" w:name="_Toc8229"/>
      <w:r>
        <w:rPr>
          <w:rFonts w:hint="eastAsia"/>
          <w:b/>
          <w:color w:val="000000"/>
          <w:sz w:val="24"/>
          <w:szCs w:val="24"/>
          <w:lang w:eastAsia="zh-CN"/>
        </w:rPr>
        <w:t>第十四条  争议的解决方式</w:t>
      </w:r>
      <w:bookmarkEnd w:id="18"/>
    </w:p>
    <w:p>
      <w:pPr>
        <w:ind w:firstLine="480" w:firstLineChars="200"/>
        <w:rPr>
          <w:color w:val="000000"/>
          <w:sz w:val="24"/>
          <w:szCs w:val="24"/>
          <w:lang w:eastAsia="zh-CN"/>
        </w:rPr>
      </w:pPr>
      <w:r>
        <w:rPr>
          <w:rFonts w:hint="eastAsia"/>
          <w:color w:val="000000"/>
          <w:sz w:val="24"/>
          <w:szCs w:val="24"/>
          <w:lang w:eastAsia="zh-CN"/>
        </w:rPr>
        <w:t>1.因货物的质量问题发生争议的，应当邀请国家认可的质量检测机构对货物质量进行鉴定。货物符合标准的，鉴定费由甲方承担；货物不符合质量标准的，鉴定费由乙方承担。</w:t>
      </w:r>
    </w:p>
    <w:p>
      <w:pPr>
        <w:ind w:firstLine="480" w:firstLineChars="200"/>
        <w:rPr>
          <w:color w:val="000000"/>
          <w:sz w:val="24"/>
          <w:szCs w:val="24"/>
          <w:lang w:eastAsia="zh-CN"/>
        </w:rPr>
      </w:pPr>
      <w:r>
        <w:rPr>
          <w:rFonts w:hint="eastAsia"/>
          <w:color w:val="000000"/>
          <w:sz w:val="24"/>
          <w:szCs w:val="24"/>
          <w:lang w:eastAsia="zh-CN"/>
        </w:rPr>
        <w:t>2.在解释或者执行本合同的过程中发生争议时，双方应通过协商方式解决。</w:t>
      </w:r>
    </w:p>
    <w:p>
      <w:pPr>
        <w:ind w:firstLine="480" w:firstLineChars="200"/>
        <w:rPr>
          <w:color w:val="000000"/>
          <w:sz w:val="24"/>
          <w:szCs w:val="24"/>
          <w:lang w:eastAsia="zh-CN"/>
        </w:rPr>
      </w:pPr>
      <w:r>
        <w:rPr>
          <w:rFonts w:hint="eastAsia"/>
          <w:color w:val="000000"/>
          <w:sz w:val="24"/>
          <w:szCs w:val="24"/>
          <w:lang w:eastAsia="zh-CN"/>
        </w:rPr>
        <w:t>3.经协商不能解决的争议，双方可选择以下第</w:t>
      </w:r>
      <w:r>
        <w:rPr>
          <w:rFonts w:hint="eastAsia"/>
          <w:color w:val="000000"/>
          <w:sz w:val="24"/>
          <w:szCs w:val="24"/>
          <w:u w:val="single"/>
          <w:lang w:eastAsia="zh-CN"/>
        </w:rPr>
        <w:t xml:space="preserve">   </w:t>
      </w:r>
      <w:r>
        <w:rPr>
          <w:rFonts w:hint="eastAsia"/>
          <w:color w:val="000000"/>
          <w:sz w:val="24"/>
          <w:szCs w:val="24"/>
          <w:lang w:eastAsia="zh-CN"/>
        </w:rPr>
        <w:t>种方式解决：</w:t>
      </w:r>
    </w:p>
    <w:p>
      <w:pPr>
        <w:ind w:firstLine="480" w:firstLineChars="200"/>
        <w:rPr>
          <w:color w:val="000000"/>
          <w:sz w:val="24"/>
          <w:szCs w:val="24"/>
          <w:lang w:eastAsia="zh-CN"/>
        </w:rPr>
      </w:pPr>
      <w:r>
        <w:rPr>
          <w:rFonts w:hint="eastAsia"/>
          <w:color w:val="000000"/>
          <w:sz w:val="24"/>
          <w:szCs w:val="24"/>
          <w:lang w:eastAsia="zh-CN"/>
        </w:rPr>
        <w:t>①向洛阳市有管辖权的法院提起诉讼；</w:t>
      </w:r>
    </w:p>
    <w:p>
      <w:pPr>
        <w:ind w:firstLine="480" w:firstLineChars="200"/>
        <w:rPr>
          <w:color w:val="000000"/>
          <w:sz w:val="24"/>
          <w:szCs w:val="24"/>
          <w:lang w:eastAsia="zh-CN"/>
        </w:rPr>
      </w:pPr>
      <w:r>
        <w:rPr>
          <w:rFonts w:hint="eastAsia"/>
          <w:color w:val="000000"/>
          <w:sz w:val="24"/>
          <w:szCs w:val="24"/>
          <w:lang w:eastAsia="zh-CN"/>
        </w:rPr>
        <w:t>②向洛阳仲裁委员会提出仲裁。</w:t>
      </w:r>
    </w:p>
    <w:p>
      <w:pPr>
        <w:ind w:firstLine="480" w:firstLineChars="200"/>
        <w:rPr>
          <w:color w:val="000000"/>
          <w:sz w:val="24"/>
          <w:szCs w:val="24"/>
          <w:lang w:eastAsia="zh-CN"/>
        </w:rPr>
      </w:pPr>
      <w:r>
        <w:rPr>
          <w:rFonts w:hint="eastAsia"/>
          <w:color w:val="000000"/>
          <w:sz w:val="24"/>
          <w:szCs w:val="24"/>
          <w:lang w:eastAsia="zh-CN"/>
        </w:rPr>
        <w:t>4.在法院审理和仲裁期间，除有争议部分外，本合同其他部分可以履行的仍应按合同条款继续履行。</w:t>
      </w:r>
    </w:p>
    <w:p>
      <w:pPr>
        <w:ind w:left="482"/>
        <w:outlineLvl w:val="2"/>
        <w:rPr>
          <w:b/>
          <w:color w:val="000000"/>
          <w:sz w:val="24"/>
          <w:szCs w:val="24"/>
          <w:lang w:eastAsia="zh-CN"/>
        </w:rPr>
      </w:pPr>
      <w:bookmarkStart w:id="19" w:name="_Toc8107"/>
      <w:r>
        <w:rPr>
          <w:rFonts w:hint="eastAsia"/>
          <w:b/>
          <w:color w:val="000000"/>
          <w:sz w:val="24"/>
          <w:szCs w:val="24"/>
          <w:lang w:eastAsia="zh-CN"/>
        </w:rPr>
        <w:t>第十五条  其他</w:t>
      </w:r>
      <w:bookmarkEnd w:id="19"/>
    </w:p>
    <w:p>
      <w:pPr>
        <w:ind w:firstLine="480" w:firstLineChars="200"/>
        <w:rPr>
          <w:color w:val="000000"/>
          <w:sz w:val="24"/>
          <w:szCs w:val="24"/>
          <w:lang w:eastAsia="zh-CN"/>
        </w:rPr>
      </w:pPr>
      <w:r>
        <w:rPr>
          <w:rFonts w:hint="eastAsia"/>
          <w:color w:val="000000"/>
          <w:sz w:val="24"/>
          <w:szCs w:val="24"/>
          <w:lang w:eastAsia="zh-CN"/>
        </w:rPr>
        <w:t>符合《政府采购法》第49条规定的，经双方协商，办理政府采购手续后，可签订补充合同，所签订的补充合同与本合同具有同等法律效力。</w:t>
      </w:r>
    </w:p>
    <w:p>
      <w:pPr>
        <w:ind w:firstLine="480" w:firstLineChars="200"/>
        <w:rPr>
          <w:color w:val="000000"/>
          <w:sz w:val="24"/>
          <w:szCs w:val="24"/>
          <w:lang w:eastAsia="zh-CN"/>
        </w:rPr>
      </w:pPr>
      <w:r>
        <w:rPr>
          <w:rFonts w:hint="eastAsia"/>
          <w:color w:val="000000"/>
          <w:sz w:val="24"/>
          <w:szCs w:val="24"/>
          <w:lang w:eastAsia="zh-CN"/>
        </w:rPr>
        <w:t>本合同一式</w:t>
      </w:r>
      <w:r>
        <w:rPr>
          <w:rFonts w:hint="eastAsia"/>
          <w:color w:val="000000"/>
          <w:sz w:val="24"/>
          <w:szCs w:val="24"/>
          <w:u w:val="single"/>
          <w:lang w:eastAsia="zh-CN"/>
        </w:rPr>
        <w:t xml:space="preserve">    </w:t>
      </w:r>
      <w:r>
        <w:rPr>
          <w:rFonts w:hint="eastAsia"/>
          <w:color w:val="000000"/>
          <w:sz w:val="24"/>
          <w:szCs w:val="24"/>
          <w:lang w:eastAsia="zh-CN"/>
        </w:rPr>
        <w:t>份，甲、乙双方各执</w:t>
      </w:r>
      <w:r>
        <w:rPr>
          <w:rFonts w:hint="eastAsia"/>
          <w:color w:val="000000"/>
          <w:sz w:val="24"/>
          <w:szCs w:val="24"/>
          <w:u w:val="single"/>
          <w:lang w:eastAsia="zh-CN"/>
        </w:rPr>
        <w:t xml:space="preserve">    </w:t>
      </w:r>
      <w:r>
        <w:rPr>
          <w:rFonts w:hint="eastAsia"/>
          <w:color w:val="000000"/>
          <w:sz w:val="24"/>
          <w:szCs w:val="24"/>
          <w:lang w:eastAsia="zh-CN"/>
        </w:rPr>
        <w:t>份。</w:t>
      </w:r>
    </w:p>
    <w:p>
      <w:pPr>
        <w:ind w:firstLine="480" w:firstLineChars="200"/>
        <w:rPr>
          <w:color w:val="000000"/>
          <w:sz w:val="24"/>
          <w:szCs w:val="24"/>
          <w:lang w:eastAsia="zh-CN"/>
        </w:rPr>
      </w:pPr>
      <w:r>
        <w:rPr>
          <w:rFonts w:hint="eastAsia"/>
          <w:color w:val="000000"/>
          <w:sz w:val="24"/>
          <w:szCs w:val="24"/>
          <w:lang w:eastAsia="zh-CN"/>
        </w:rPr>
        <w:t>甲   方：                        乙   方：</w:t>
      </w:r>
    </w:p>
    <w:p>
      <w:pPr>
        <w:ind w:firstLine="480" w:firstLineChars="200"/>
        <w:rPr>
          <w:color w:val="000000"/>
          <w:sz w:val="24"/>
          <w:szCs w:val="24"/>
          <w:lang w:eastAsia="zh-CN"/>
        </w:rPr>
      </w:pPr>
      <w:r>
        <w:rPr>
          <w:rFonts w:hint="eastAsia"/>
          <w:color w:val="000000"/>
          <w:sz w:val="24"/>
          <w:szCs w:val="24"/>
          <w:lang w:eastAsia="zh-CN"/>
        </w:rPr>
        <w:t>名称：（盖章）                    名称：（盖章）</w:t>
      </w:r>
    </w:p>
    <w:p>
      <w:pPr>
        <w:ind w:firstLine="480" w:firstLineChars="200"/>
        <w:rPr>
          <w:color w:val="000000"/>
          <w:sz w:val="24"/>
          <w:szCs w:val="24"/>
          <w:lang w:eastAsia="zh-CN"/>
        </w:rPr>
      </w:pPr>
      <w:r>
        <w:rPr>
          <w:rFonts w:hint="eastAsia"/>
          <w:color w:val="000000"/>
          <w:sz w:val="24"/>
          <w:szCs w:val="24"/>
          <w:lang w:eastAsia="zh-CN"/>
        </w:rPr>
        <w:t>地址：                           地址：</w:t>
      </w:r>
    </w:p>
    <w:p>
      <w:pPr>
        <w:ind w:firstLine="480" w:firstLineChars="200"/>
        <w:rPr>
          <w:color w:val="000000"/>
          <w:sz w:val="24"/>
          <w:szCs w:val="24"/>
          <w:lang w:eastAsia="zh-CN"/>
        </w:rPr>
      </w:pPr>
      <w:r>
        <w:rPr>
          <w:rFonts w:hint="eastAsia"/>
          <w:color w:val="000000"/>
          <w:sz w:val="24"/>
          <w:szCs w:val="24"/>
          <w:lang w:eastAsia="zh-CN"/>
        </w:rPr>
        <w:t>法定代表人（签字）：              法定代表人（签字）：</w:t>
      </w:r>
    </w:p>
    <w:p>
      <w:pPr>
        <w:ind w:firstLine="480" w:firstLineChars="200"/>
        <w:rPr>
          <w:color w:val="000000"/>
          <w:sz w:val="24"/>
          <w:szCs w:val="24"/>
          <w:lang w:eastAsia="zh-CN"/>
        </w:rPr>
      </w:pPr>
      <w:r>
        <w:rPr>
          <w:rFonts w:hint="eastAsia"/>
          <w:color w:val="000000"/>
          <w:sz w:val="24"/>
          <w:szCs w:val="24"/>
          <w:lang w:eastAsia="zh-CN"/>
        </w:rPr>
        <w:t>授权代表（签字）：                授权代表（签字）：</w:t>
      </w:r>
    </w:p>
    <w:p>
      <w:pPr>
        <w:ind w:firstLine="480" w:firstLineChars="200"/>
        <w:rPr>
          <w:color w:val="000000"/>
          <w:sz w:val="24"/>
          <w:szCs w:val="24"/>
          <w:lang w:eastAsia="zh-CN"/>
        </w:rPr>
      </w:pPr>
      <w:r>
        <w:rPr>
          <w:rFonts w:hint="eastAsia"/>
          <w:color w:val="000000"/>
          <w:sz w:val="24"/>
          <w:szCs w:val="24"/>
          <w:lang w:eastAsia="zh-CN"/>
        </w:rPr>
        <w:t>开户银行：                       开户银行：</w:t>
      </w:r>
    </w:p>
    <w:p>
      <w:pPr>
        <w:ind w:firstLine="480" w:firstLineChars="200"/>
        <w:rPr>
          <w:color w:val="000000"/>
          <w:sz w:val="24"/>
          <w:szCs w:val="24"/>
          <w:lang w:eastAsia="zh-CN"/>
        </w:rPr>
      </w:pPr>
      <w:r>
        <w:rPr>
          <w:rFonts w:hint="eastAsia"/>
          <w:color w:val="000000"/>
          <w:sz w:val="24"/>
          <w:szCs w:val="24"/>
          <w:lang w:eastAsia="zh-CN"/>
        </w:rPr>
        <w:t>银行帐号：                       银行帐号：</w:t>
      </w:r>
    </w:p>
    <w:p>
      <w:pPr>
        <w:ind w:firstLine="480" w:firstLineChars="200"/>
        <w:rPr>
          <w:color w:val="000000"/>
          <w:sz w:val="24"/>
          <w:szCs w:val="24"/>
          <w:lang w:eastAsia="zh-CN"/>
        </w:rPr>
      </w:pPr>
      <w:r>
        <w:rPr>
          <w:rFonts w:hint="eastAsia"/>
          <w:color w:val="000000"/>
          <w:sz w:val="24"/>
          <w:szCs w:val="24"/>
          <w:lang w:eastAsia="zh-CN"/>
        </w:rPr>
        <w:t>合同法律审核（盖章）：</w:t>
      </w:r>
    </w:p>
    <w:p>
      <w:pPr>
        <w:ind w:firstLine="480" w:firstLineChars="200"/>
        <w:rPr>
          <w:color w:val="000000"/>
          <w:sz w:val="24"/>
          <w:szCs w:val="24"/>
          <w:lang w:eastAsia="zh-CN"/>
        </w:rPr>
      </w:pPr>
      <w:r>
        <w:rPr>
          <w:rFonts w:hint="eastAsia"/>
          <w:color w:val="000000"/>
          <w:sz w:val="24"/>
          <w:szCs w:val="24"/>
          <w:lang w:eastAsia="zh-CN"/>
        </w:rPr>
        <w:t>时  间：         年     月     日</w:t>
      </w:r>
    </w:p>
    <w:p>
      <w:pPr>
        <w:ind w:firstLine="482" w:firstLineChars="200"/>
        <w:rPr>
          <w:b/>
          <w:color w:val="000000"/>
          <w:sz w:val="24"/>
          <w:szCs w:val="24"/>
          <w:lang w:eastAsia="zh-CN"/>
        </w:rPr>
      </w:pPr>
      <w:r>
        <w:rPr>
          <w:rFonts w:hint="eastAsia"/>
          <w:b/>
          <w:color w:val="000000"/>
          <w:sz w:val="24"/>
          <w:szCs w:val="24"/>
          <w:lang w:eastAsia="zh-CN"/>
        </w:rPr>
        <w:t>特别说明：</w:t>
      </w:r>
    </w:p>
    <w:p>
      <w:pPr>
        <w:ind w:firstLine="482" w:firstLineChars="200"/>
        <w:rPr>
          <w:b/>
          <w:color w:val="000000"/>
          <w:sz w:val="24"/>
          <w:szCs w:val="24"/>
          <w:lang w:eastAsia="zh-CN"/>
        </w:rPr>
      </w:pPr>
      <w:r>
        <w:rPr>
          <w:rFonts w:hint="eastAsia"/>
          <w:b/>
          <w:color w:val="000000"/>
          <w:sz w:val="24"/>
          <w:szCs w:val="24"/>
          <w:lang w:eastAsia="zh-CN"/>
        </w:rPr>
        <w:t>1.本范本根据《政府采购法》、《合同法》等法律法规制定。具体项目的采购合同条款，在本范本框架内由甲乙双方协商一致签订。空格处划横线。</w:t>
      </w:r>
    </w:p>
    <w:p>
      <w:pPr>
        <w:ind w:firstLine="482" w:firstLineChars="200"/>
        <w:rPr>
          <w:b/>
          <w:color w:val="000000"/>
          <w:sz w:val="24"/>
          <w:szCs w:val="24"/>
          <w:lang w:eastAsia="zh-CN"/>
        </w:rPr>
      </w:pPr>
      <w:r>
        <w:rPr>
          <w:rFonts w:hint="eastAsia"/>
          <w:b/>
          <w:color w:val="000000"/>
          <w:sz w:val="24"/>
          <w:szCs w:val="24"/>
          <w:lang w:eastAsia="zh-CN"/>
        </w:rPr>
        <w:t>2.收款单位名称应与本合同乙方单位名称、项目中标单位名称、开具发票单位名称相一致。</w:t>
      </w:r>
    </w:p>
    <w:p>
      <w:pPr>
        <w:ind w:firstLine="482" w:firstLineChars="200"/>
        <w:rPr>
          <w:b/>
          <w:color w:val="000000"/>
          <w:sz w:val="24"/>
          <w:szCs w:val="24"/>
          <w:lang w:eastAsia="zh-CN"/>
        </w:rPr>
      </w:pPr>
      <w:r>
        <w:rPr>
          <w:rFonts w:hint="eastAsia"/>
          <w:b/>
          <w:color w:val="000000"/>
          <w:sz w:val="24"/>
          <w:szCs w:val="24"/>
          <w:lang w:eastAsia="zh-CN"/>
        </w:rPr>
        <w:t>3.甲方（采购单位）应盖本单位公章（不允许盖内设科室章），乙方应盖单位公章或合同专用章，合同双方应盖骑缝章。</w:t>
      </w:r>
    </w:p>
    <w:p>
      <w:pPr>
        <w:rPr>
          <w:color w:val="0C0C0C"/>
          <w:sz w:val="24"/>
          <w:szCs w:val="24"/>
          <w:lang w:eastAsia="zh-CN"/>
        </w:rPr>
      </w:pPr>
    </w:p>
    <w:p>
      <w:pPr>
        <w:rPr>
          <w:color w:val="0C0C0C"/>
          <w:sz w:val="24"/>
          <w:szCs w:val="24"/>
          <w:lang w:eastAsia="zh-CN"/>
        </w:rPr>
      </w:pPr>
    </w:p>
    <w:p>
      <w:pPr>
        <w:pStyle w:val="3"/>
        <w:ind w:left="20"/>
        <w:rPr>
          <w:lang w:eastAsia="zh-CN"/>
        </w:rPr>
      </w:pPr>
      <w:r>
        <w:rPr>
          <w:lang w:eastAsia="zh-CN"/>
        </w:rPr>
        <w:t>第五章 采购服务要求</w:t>
      </w:r>
    </w:p>
    <w:p>
      <w:pPr>
        <w:spacing w:line="560" w:lineRule="exact"/>
        <w:ind w:firstLine="480" w:firstLineChars="200"/>
        <w:textAlignment w:val="baseline"/>
        <w:rPr>
          <w:color w:val="000000"/>
          <w:sz w:val="24"/>
          <w:szCs w:val="24"/>
          <w:lang w:eastAsia="zh-CN"/>
        </w:rPr>
      </w:pPr>
      <w:r>
        <w:rPr>
          <w:rFonts w:hint="eastAsia"/>
          <w:color w:val="000000"/>
          <w:sz w:val="24"/>
          <w:szCs w:val="24"/>
          <w:lang w:eastAsia="zh-CN"/>
        </w:rPr>
        <w:t>一、项目内容</w:t>
      </w:r>
    </w:p>
    <w:p>
      <w:pPr>
        <w:spacing w:line="560" w:lineRule="exact"/>
        <w:ind w:firstLine="480" w:firstLineChars="200"/>
        <w:textAlignment w:val="baseline"/>
        <w:rPr>
          <w:color w:val="000000"/>
          <w:sz w:val="24"/>
          <w:szCs w:val="24"/>
          <w:lang w:eastAsia="zh-CN"/>
        </w:rPr>
      </w:pPr>
      <w:r>
        <w:rPr>
          <w:rFonts w:hint="eastAsia"/>
          <w:color w:val="000000"/>
          <w:sz w:val="24"/>
          <w:szCs w:val="24"/>
          <w:lang w:eastAsia="zh-CN"/>
        </w:rPr>
        <w:t>“津和示范班”项目设在于田县</w:t>
      </w:r>
      <w:r>
        <w:rPr>
          <w:rFonts w:hint="eastAsia"/>
          <w:color w:val="000000"/>
          <w:sz w:val="24"/>
          <w:szCs w:val="24"/>
          <w:lang w:val="en-US" w:eastAsia="zh-CN"/>
        </w:rPr>
        <w:t>打造</w:t>
      </w:r>
      <w:r>
        <w:rPr>
          <w:rFonts w:hint="eastAsia"/>
          <w:color w:val="000000"/>
          <w:sz w:val="24"/>
          <w:szCs w:val="24"/>
          <w:lang w:eastAsia="zh-CN"/>
        </w:rPr>
        <w:t>10个“津和示范班”，在于田县CEC希望学校，开设</w:t>
      </w:r>
      <w:r>
        <w:rPr>
          <w:rFonts w:hint="eastAsia"/>
          <w:color w:val="000000"/>
          <w:sz w:val="24"/>
          <w:szCs w:val="24"/>
          <w:lang w:val="en-US" w:eastAsia="zh-CN"/>
        </w:rPr>
        <w:t>8个</w:t>
      </w:r>
      <w:r>
        <w:rPr>
          <w:rFonts w:hint="eastAsia"/>
          <w:color w:val="000000"/>
          <w:sz w:val="24"/>
          <w:szCs w:val="24"/>
          <w:lang w:eastAsia="zh-CN"/>
        </w:rPr>
        <w:t>“津和示范班”，</w:t>
      </w:r>
      <w:r>
        <w:rPr>
          <w:rFonts w:hint="eastAsia"/>
          <w:color w:val="000000"/>
          <w:sz w:val="24"/>
          <w:szCs w:val="24"/>
          <w:lang w:val="en-US" w:eastAsia="zh-CN"/>
        </w:rPr>
        <w:t>在</w:t>
      </w:r>
      <w:r>
        <w:rPr>
          <w:rFonts w:hint="eastAsia"/>
          <w:color w:val="000000"/>
          <w:sz w:val="24"/>
          <w:szCs w:val="24"/>
          <w:lang w:eastAsia="zh-CN"/>
        </w:rPr>
        <w:t>于田县第一中学共开设</w:t>
      </w:r>
      <w:r>
        <w:rPr>
          <w:rFonts w:hint="eastAsia"/>
          <w:color w:val="000000"/>
          <w:sz w:val="24"/>
          <w:szCs w:val="24"/>
          <w:lang w:val="en-US" w:eastAsia="zh-CN"/>
        </w:rPr>
        <w:t>2</w:t>
      </w:r>
      <w:r>
        <w:rPr>
          <w:rFonts w:hint="eastAsia"/>
          <w:color w:val="000000"/>
          <w:sz w:val="24"/>
          <w:szCs w:val="24"/>
          <w:lang w:eastAsia="zh-CN"/>
        </w:rPr>
        <w:t>个“津和示范班”小学语文、数学、中学语文、数学、英语任课教师由教育局采购办公开招标、招聘有资质的骨干教师和名师担任，全程通过运用优质的师资力量、先进教育理念、科学高效的教学方法全力促进</w:t>
      </w:r>
      <w:r>
        <w:rPr>
          <w:rFonts w:hint="eastAsia"/>
          <w:color w:val="000000"/>
          <w:sz w:val="24"/>
          <w:szCs w:val="24"/>
          <w:lang w:val="en-US" w:eastAsia="zh-CN"/>
        </w:rPr>
        <w:t>于田</w:t>
      </w:r>
      <w:r>
        <w:rPr>
          <w:rFonts w:hint="eastAsia"/>
          <w:color w:val="000000"/>
          <w:sz w:val="24"/>
          <w:szCs w:val="24"/>
          <w:lang w:eastAsia="zh-CN"/>
        </w:rPr>
        <w:t>县教育质量突破性提升和进步，除以上学科外的其他任课教师由本校教师担任。</w:t>
      </w:r>
    </w:p>
    <w:p>
      <w:pPr>
        <w:spacing w:line="560" w:lineRule="exact"/>
        <w:ind w:firstLine="480" w:firstLineChars="200"/>
        <w:textAlignment w:val="baseline"/>
        <w:rPr>
          <w:color w:val="000000"/>
          <w:sz w:val="24"/>
          <w:szCs w:val="24"/>
          <w:lang w:eastAsia="zh-CN"/>
        </w:rPr>
      </w:pPr>
      <w:r>
        <w:rPr>
          <w:rFonts w:hint="eastAsia"/>
          <w:color w:val="000000"/>
          <w:sz w:val="24"/>
          <w:szCs w:val="24"/>
          <w:lang w:val="en-US" w:eastAsia="zh-CN"/>
        </w:rPr>
        <w:t>二</w:t>
      </w:r>
      <w:r>
        <w:rPr>
          <w:rFonts w:hint="eastAsia"/>
          <w:color w:val="000000"/>
          <w:sz w:val="24"/>
          <w:szCs w:val="24"/>
          <w:lang w:eastAsia="zh-CN"/>
        </w:rPr>
        <w:t>、班级组建</w:t>
      </w:r>
    </w:p>
    <w:p>
      <w:pPr>
        <w:spacing w:line="560" w:lineRule="exact"/>
        <w:ind w:firstLine="480" w:firstLineChars="200"/>
        <w:textAlignment w:val="baseline"/>
        <w:rPr>
          <w:color w:val="000000"/>
          <w:sz w:val="24"/>
          <w:szCs w:val="24"/>
          <w:lang w:eastAsia="zh-CN"/>
        </w:rPr>
      </w:pPr>
      <w:r>
        <w:rPr>
          <w:rFonts w:hint="eastAsia"/>
          <w:color w:val="000000"/>
          <w:sz w:val="24"/>
          <w:szCs w:val="24"/>
          <w:lang w:eastAsia="zh-CN"/>
        </w:rPr>
        <w:t>共组建10个“津和示范班”，包含小学</w:t>
      </w:r>
      <w:r>
        <w:rPr>
          <w:rFonts w:hint="eastAsia"/>
          <w:color w:val="000000"/>
          <w:sz w:val="24"/>
          <w:szCs w:val="24"/>
          <w:lang w:val="en-US" w:eastAsia="zh-CN"/>
        </w:rPr>
        <w:t>6</w:t>
      </w:r>
      <w:r>
        <w:rPr>
          <w:rFonts w:hint="eastAsia"/>
          <w:color w:val="000000"/>
          <w:sz w:val="24"/>
          <w:szCs w:val="24"/>
          <w:lang w:eastAsia="zh-CN"/>
        </w:rPr>
        <w:t>个津和示范班，中学</w:t>
      </w:r>
      <w:r>
        <w:rPr>
          <w:rFonts w:hint="eastAsia"/>
          <w:color w:val="000000"/>
          <w:sz w:val="24"/>
          <w:szCs w:val="24"/>
          <w:lang w:val="en-US" w:eastAsia="zh-CN"/>
        </w:rPr>
        <w:t>4</w:t>
      </w:r>
      <w:r>
        <w:rPr>
          <w:rFonts w:hint="eastAsia"/>
          <w:color w:val="000000"/>
          <w:sz w:val="24"/>
          <w:szCs w:val="24"/>
          <w:lang w:eastAsia="zh-CN"/>
        </w:rPr>
        <w:t>个津和示范班。具体：在</w:t>
      </w:r>
      <w:r>
        <w:rPr>
          <w:rFonts w:hint="eastAsia"/>
          <w:color w:val="000000"/>
          <w:sz w:val="24"/>
          <w:szCs w:val="24"/>
          <w:lang w:val="en-US" w:eastAsia="zh-CN"/>
        </w:rPr>
        <w:t>于田</w:t>
      </w:r>
      <w:r>
        <w:rPr>
          <w:rFonts w:hint="eastAsia"/>
          <w:color w:val="000000"/>
          <w:sz w:val="24"/>
          <w:szCs w:val="24"/>
          <w:lang w:eastAsia="zh-CN"/>
        </w:rPr>
        <w:t>县CEC希望学校开设8个班级，其中小学部（四年级）2个班级、（五年级）2个班，中学部（七年级）2个班级，（八年级）2个班，生源由县CEC希望学校根据年级学生考试成绩均匀编排，各班级学生数控制在50名；在于田县第一中学开设小学部（四年级）2个班级,生源由第一中学根据年级学生考试成绩均匀编排，各班级学生数控制在50名。</w:t>
      </w:r>
    </w:p>
    <w:p>
      <w:pPr>
        <w:spacing w:line="560" w:lineRule="exact"/>
        <w:ind w:firstLine="480" w:firstLineChars="200"/>
        <w:textAlignment w:val="baseline"/>
        <w:rPr>
          <w:color w:val="000000"/>
          <w:sz w:val="24"/>
          <w:szCs w:val="24"/>
          <w:lang w:eastAsia="zh-CN"/>
        </w:rPr>
      </w:pPr>
      <w:r>
        <w:rPr>
          <w:rFonts w:hint="eastAsia"/>
          <w:color w:val="000000"/>
          <w:sz w:val="24"/>
          <w:szCs w:val="24"/>
          <w:lang w:val="en-US" w:eastAsia="zh-CN"/>
        </w:rPr>
        <w:t>三</w:t>
      </w:r>
      <w:r>
        <w:rPr>
          <w:rFonts w:hint="eastAsia"/>
          <w:color w:val="000000"/>
          <w:sz w:val="24"/>
          <w:szCs w:val="24"/>
          <w:lang w:eastAsia="zh-CN"/>
        </w:rPr>
        <w:t>、</w:t>
      </w:r>
      <w:r>
        <w:rPr>
          <w:rFonts w:hint="eastAsia" w:cs="宋体"/>
          <w:b w:val="0"/>
          <w:bCs w:val="0"/>
          <w:sz w:val="24"/>
          <w:szCs w:val="24"/>
          <w:lang w:val="en-US" w:eastAsia="zh-CN" w:bidi="ar-SA"/>
        </w:rPr>
        <w:t>★</w:t>
      </w:r>
      <w:r>
        <w:rPr>
          <w:rFonts w:hint="eastAsia"/>
          <w:color w:val="000000"/>
          <w:sz w:val="24"/>
          <w:szCs w:val="24"/>
          <w:lang w:eastAsia="zh-CN"/>
        </w:rPr>
        <w:t>师资配备</w:t>
      </w:r>
    </w:p>
    <w:p>
      <w:pPr>
        <w:spacing w:line="560" w:lineRule="exact"/>
        <w:ind w:firstLine="480" w:firstLineChars="200"/>
        <w:textAlignment w:val="baseline"/>
        <w:rPr>
          <w:color w:val="000000"/>
          <w:sz w:val="24"/>
          <w:szCs w:val="24"/>
          <w:lang w:eastAsia="zh-CN"/>
        </w:rPr>
      </w:pPr>
      <w:r>
        <w:rPr>
          <w:rFonts w:hint="eastAsia"/>
          <w:color w:val="000000"/>
          <w:sz w:val="24"/>
          <w:szCs w:val="24"/>
          <w:lang w:eastAsia="zh-CN"/>
        </w:rPr>
        <w:t>津和示范班师资由教育局采购办按照公开招投标形式，择优选用符合资质条件专业培训机构，按照学科教学实际需要，派遣热爱教育事业、遵纪守法、治学严谨、业务素质过硬、具有良好政治思想品德和职业道德的教师担任。</w:t>
      </w:r>
    </w:p>
    <w:p>
      <w:pPr>
        <w:spacing w:line="560" w:lineRule="exact"/>
        <w:ind w:firstLine="480" w:firstLineChars="200"/>
        <w:textAlignment w:val="baseline"/>
        <w:rPr>
          <w:color w:val="000000"/>
          <w:sz w:val="24"/>
          <w:szCs w:val="24"/>
          <w:lang w:eastAsia="zh-CN"/>
        </w:rPr>
      </w:pPr>
      <w:r>
        <w:rPr>
          <w:rFonts w:hint="eastAsia"/>
          <w:color w:val="000000"/>
          <w:sz w:val="24"/>
          <w:szCs w:val="24"/>
          <w:lang w:eastAsia="zh-CN"/>
        </w:rPr>
        <w:t>1.具体聘任条件。学历本科及以上、身体健康，无传染疾病、职称为中高级以上。</w:t>
      </w:r>
    </w:p>
    <w:p>
      <w:pPr>
        <w:spacing w:line="560" w:lineRule="exact"/>
        <w:ind w:firstLine="480" w:firstLineChars="200"/>
        <w:textAlignment w:val="baseline"/>
        <w:rPr>
          <w:color w:val="000000"/>
          <w:sz w:val="24"/>
          <w:szCs w:val="24"/>
          <w:lang w:eastAsia="zh-CN"/>
        </w:rPr>
      </w:pPr>
      <w:r>
        <w:rPr>
          <w:rFonts w:hint="eastAsia"/>
          <w:color w:val="000000"/>
          <w:sz w:val="24"/>
          <w:szCs w:val="24"/>
          <w:lang w:eastAsia="zh-CN"/>
        </w:rPr>
        <w:t>2.学科数量需求。小学教师共6名，其中小学语文3名、数学3名；中学教师共5名，其中初中语文2名、数学2名、英语1名。</w:t>
      </w:r>
    </w:p>
    <w:p>
      <w:pPr>
        <w:spacing w:line="560" w:lineRule="exact"/>
        <w:ind w:firstLine="480" w:firstLineChars="200"/>
        <w:textAlignment w:val="baseline"/>
        <w:rPr>
          <w:rFonts w:hint="default"/>
          <w:color w:val="000000"/>
          <w:sz w:val="24"/>
          <w:szCs w:val="24"/>
          <w:lang w:val="en-US" w:eastAsia="zh-CN"/>
        </w:rPr>
      </w:pPr>
      <w:r>
        <w:rPr>
          <w:rFonts w:hint="eastAsia"/>
          <w:color w:val="000000"/>
          <w:sz w:val="24"/>
          <w:szCs w:val="24"/>
          <w:lang w:eastAsia="zh-CN"/>
        </w:rPr>
        <w:t>3.师资费用。津和班教师聘任费用由教育局负责对接天津教育援疆专项资金（每年1</w:t>
      </w:r>
      <w:r>
        <w:rPr>
          <w:rFonts w:hint="eastAsia"/>
          <w:color w:val="000000"/>
          <w:sz w:val="24"/>
          <w:szCs w:val="24"/>
          <w:lang w:val="en-US" w:eastAsia="zh-CN"/>
        </w:rPr>
        <w:t>50</w:t>
      </w:r>
      <w:r>
        <w:rPr>
          <w:rFonts w:hint="eastAsia"/>
          <w:color w:val="000000"/>
          <w:sz w:val="24"/>
          <w:szCs w:val="24"/>
          <w:lang w:eastAsia="zh-CN"/>
        </w:rPr>
        <w:t>万元整）解决，</w:t>
      </w:r>
      <w:r>
        <w:rPr>
          <w:rFonts w:hint="eastAsia"/>
          <w:color w:val="000000"/>
          <w:sz w:val="24"/>
          <w:szCs w:val="24"/>
          <w:lang w:val="en-US" w:eastAsia="zh-CN"/>
        </w:rPr>
        <w:t>确保师资在9月份开学后到校，开始津和示范班教学工作。</w:t>
      </w:r>
    </w:p>
    <w:p>
      <w:pPr>
        <w:spacing w:line="560" w:lineRule="exact"/>
        <w:ind w:firstLine="480" w:firstLineChars="200"/>
        <w:textAlignment w:val="baseline"/>
        <w:rPr>
          <w:color w:val="000000"/>
          <w:sz w:val="24"/>
          <w:szCs w:val="24"/>
          <w:lang w:eastAsia="zh-CN"/>
        </w:rPr>
      </w:pPr>
      <w:r>
        <w:rPr>
          <w:rFonts w:hint="eastAsia"/>
          <w:color w:val="000000"/>
          <w:sz w:val="24"/>
          <w:szCs w:val="24"/>
          <w:lang w:eastAsia="zh-CN"/>
        </w:rPr>
        <w:t>4.师资考核。津和示范班教学质量检测及教学成效由教育局教研室及以上所涉及的学校实施双向监督评测。津和班师资日常管理考核由各学校具体结合班级学生学业成绩现状，在秋季开学初为津和示范班学科教师制定具体的学期教学任务达成目标，制定日常管理的工作制度，每学期总结一次，并将总结成果上报教育局教研室。</w:t>
      </w:r>
    </w:p>
    <w:p>
      <w:pPr>
        <w:spacing w:line="560" w:lineRule="exact"/>
        <w:ind w:firstLine="480" w:firstLineChars="200"/>
        <w:textAlignment w:val="baseline"/>
        <w:rPr>
          <w:color w:val="000000"/>
          <w:sz w:val="24"/>
          <w:szCs w:val="24"/>
          <w:lang w:eastAsia="zh-CN"/>
        </w:rPr>
      </w:pPr>
      <w:r>
        <w:rPr>
          <w:rFonts w:hint="eastAsia"/>
          <w:color w:val="000000"/>
          <w:sz w:val="24"/>
          <w:szCs w:val="24"/>
          <w:lang w:val="en-US" w:eastAsia="zh-CN"/>
        </w:rPr>
        <w:t>5</w:t>
      </w:r>
      <w:r>
        <w:rPr>
          <w:color w:val="000000"/>
          <w:sz w:val="24"/>
          <w:szCs w:val="24"/>
          <w:lang w:eastAsia="zh-CN"/>
        </w:rPr>
        <w:t>.</w:t>
      </w:r>
      <w:r>
        <w:rPr>
          <w:rFonts w:hint="eastAsia"/>
          <w:lang w:eastAsia="zh-CN"/>
        </w:rPr>
        <w:t xml:space="preserve"> </w:t>
      </w:r>
      <w:r>
        <w:rPr>
          <w:rFonts w:hint="eastAsia"/>
          <w:color w:val="000000"/>
          <w:sz w:val="24"/>
          <w:szCs w:val="24"/>
          <w:lang w:eastAsia="zh-CN"/>
        </w:rPr>
        <w:t>在职老师不能参加此项目任教，教育局要核查任教资质；参与招标单位需要要附上授课老师名单和相关信息。</w:t>
      </w:r>
    </w:p>
    <w:p>
      <w:pPr>
        <w:spacing w:line="560" w:lineRule="exact"/>
        <w:ind w:firstLine="480" w:firstLineChars="200"/>
        <w:textAlignment w:val="baseline"/>
        <w:rPr>
          <w:rFonts w:hint="eastAsia"/>
          <w:color w:val="000000"/>
          <w:sz w:val="24"/>
          <w:szCs w:val="24"/>
          <w:lang w:eastAsia="zh-CN"/>
        </w:rPr>
      </w:pPr>
    </w:p>
    <w:p>
      <w:pPr>
        <w:pStyle w:val="8"/>
        <w:spacing w:before="9"/>
        <w:rPr>
          <w:b/>
          <w:color w:val="FF0000"/>
          <w:sz w:val="25"/>
          <w:lang w:eastAsia="zh-CN"/>
        </w:rPr>
      </w:pPr>
    </w:p>
    <w:p>
      <w:pPr>
        <w:rPr>
          <w:lang w:eastAsia="zh-CN"/>
        </w:rPr>
      </w:pPr>
    </w:p>
    <w:p>
      <w:pPr>
        <w:pStyle w:val="2"/>
        <w:rPr>
          <w:lang w:eastAsia="zh-CN"/>
        </w:rPr>
      </w:pPr>
    </w:p>
    <w:p>
      <w:pPr>
        <w:rPr>
          <w:lang w:eastAsia="zh-CN"/>
        </w:rPr>
      </w:pPr>
    </w:p>
    <w:p>
      <w:pPr>
        <w:pStyle w:val="2"/>
        <w:rPr>
          <w:lang w:eastAsia="zh-CN"/>
        </w:rPr>
      </w:pPr>
    </w:p>
    <w:p>
      <w:pPr>
        <w:rPr>
          <w:lang w:eastAsia="zh-CN"/>
        </w:rPr>
      </w:pPr>
    </w:p>
    <w:p>
      <w:pPr>
        <w:pStyle w:val="2"/>
        <w:rPr>
          <w:lang w:eastAsia="zh-CN"/>
        </w:rPr>
      </w:pPr>
    </w:p>
    <w:p>
      <w:pPr>
        <w:rPr>
          <w:lang w:eastAsia="zh-CN"/>
        </w:rPr>
      </w:pPr>
    </w:p>
    <w:p>
      <w:pPr>
        <w:pStyle w:val="2"/>
        <w:rPr>
          <w:lang w:eastAsia="zh-CN"/>
        </w:rPr>
      </w:pPr>
    </w:p>
    <w:p>
      <w:pPr>
        <w:rPr>
          <w:lang w:eastAsia="zh-CN"/>
        </w:rPr>
      </w:pPr>
    </w:p>
    <w:p>
      <w:pPr>
        <w:pStyle w:val="2"/>
        <w:rPr>
          <w:lang w:eastAsia="zh-CN"/>
        </w:rPr>
      </w:pPr>
    </w:p>
    <w:p>
      <w:pPr>
        <w:rPr>
          <w:lang w:eastAsia="zh-CN"/>
        </w:rPr>
      </w:pPr>
    </w:p>
    <w:p>
      <w:pPr>
        <w:pStyle w:val="2"/>
        <w:rPr>
          <w:lang w:eastAsia="zh-CN"/>
        </w:rPr>
      </w:pPr>
    </w:p>
    <w:p>
      <w:pPr>
        <w:rPr>
          <w:lang w:eastAsia="zh-CN"/>
        </w:rPr>
      </w:pPr>
    </w:p>
    <w:p>
      <w:pPr>
        <w:pStyle w:val="2"/>
        <w:rPr>
          <w:lang w:eastAsia="zh-CN"/>
        </w:rPr>
      </w:pPr>
    </w:p>
    <w:p>
      <w:pPr>
        <w:rPr>
          <w:lang w:eastAsia="zh-CN"/>
        </w:rPr>
      </w:pPr>
    </w:p>
    <w:p>
      <w:pPr>
        <w:pStyle w:val="2"/>
        <w:rPr>
          <w:lang w:eastAsia="zh-CN"/>
        </w:rPr>
      </w:pPr>
    </w:p>
    <w:p>
      <w:pPr>
        <w:rPr>
          <w:lang w:eastAsia="zh-CN"/>
        </w:rPr>
      </w:pPr>
    </w:p>
    <w:p>
      <w:pPr>
        <w:pStyle w:val="2"/>
        <w:rPr>
          <w:lang w:eastAsia="zh-CN"/>
        </w:rPr>
      </w:pPr>
    </w:p>
    <w:p>
      <w:pPr>
        <w:rPr>
          <w:lang w:eastAsia="zh-CN"/>
        </w:rPr>
      </w:pPr>
    </w:p>
    <w:p>
      <w:pPr>
        <w:pStyle w:val="2"/>
        <w:rPr>
          <w:lang w:eastAsia="zh-CN"/>
        </w:rPr>
      </w:pPr>
    </w:p>
    <w:p>
      <w:pPr>
        <w:rPr>
          <w:lang w:eastAsia="zh-CN"/>
        </w:rPr>
      </w:pPr>
    </w:p>
    <w:p>
      <w:pPr>
        <w:pStyle w:val="2"/>
        <w:rPr>
          <w:lang w:eastAsia="zh-CN"/>
        </w:rPr>
      </w:pPr>
    </w:p>
    <w:p>
      <w:pPr>
        <w:rPr>
          <w:lang w:eastAsia="zh-CN"/>
        </w:rPr>
      </w:pPr>
    </w:p>
    <w:p>
      <w:pPr>
        <w:pStyle w:val="2"/>
        <w:rPr>
          <w:lang w:eastAsia="zh-CN"/>
        </w:rPr>
      </w:pPr>
    </w:p>
    <w:p>
      <w:pPr>
        <w:rPr>
          <w:lang w:eastAsia="zh-CN"/>
        </w:rPr>
      </w:pPr>
    </w:p>
    <w:p>
      <w:pPr>
        <w:pStyle w:val="2"/>
        <w:rPr>
          <w:lang w:eastAsia="zh-CN"/>
        </w:rPr>
      </w:pPr>
    </w:p>
    <w:p>
      <w:pPr>
        <w:ind w:firstLine="480" w:firstLineChars="200"/>
        <w:rPr>
          <w:lang w:eastAsia="zh-CN"/>
        </w:rPr>
      </w:pPr>
      <w:r>
        <w:rPr>
          <w:rFonts w:hint="eastAsia"/>
          <w:color w:val="000000"/>
          <w:sz w:val="24"/>
          <w:szCs w:val="24"/>
          <w:lang w:val="en-US" w:eastAsia="zh-CN"/>
        </w:rPr>
        <w:t>附：</w:t>
      </w:r>
      <w:r>
        <w:rPr>
          <w:rFonts w:hint="eastAsia"/>
          <w:color w:val="000000"/>
          <w:sz w:val="24"/>
          <w:szCs w:val="24"/>
          <w:lang w:eastAsia="zh-CN"/>
        </w:rPr>
        <w:t>《津和示范班项目计划表》</w:t>
      </w:r>
    </w:p>
    <w:tbl>
      <w:tblPr>
        <w:tblStyle w:val="16"/>
        <w:tblpPr w:leftFromText="180" w:rightFromText="180" w:vertAnchor="text" w:horzAnchor="page" w:tblpX="1471" w:tblpY="854"/>
        <w:tblOverlap w:val="never"/>
        <w:tblW w:w="9500" w:type="dxa"/>
        <w:tblInd w:w="0" w:type="dxa"/>
        <w:shd w:val="clear" w:color="auto" w:fill="auto"/>
        <w:tblLayout w:type="fixed"/>
        <w:tblCellMar>
          <w:top w:w="0" w:type="dxa"/>
          <w:left w:w="0" w:type="dxa"/>
          <w:bottom w:w="0" w:type="dxa"/>
          <w:right w:w="0" w:type="dxa"/>
        </w:tblCellMar>
      </w:tblPr>
      <w:tblGrid>
        <w:gridCol w:w="449"/>
        <w:gridCol w:w="803"/>
        <w:gridCol w:w="803"/>
        <w:gridCol w:w="1135"/>
        <w:gridCol w:w="1076"/>
        <w:gridCol w:w="1219"/>
        <w:gridCol w:w="1213"/>
        <w:gridCol w:w="1721"/>
        <w:gridCol w:w="1081"/>
      </w:tblGrid>
      <w:tr>
        <w:tblPrEx>
          <w:shd w:val="clear" w:color="auto" w:fill="auto"/>
          <w:tblCellMar>
            <w:top w:w="0" w:type="dxa"/>
            <w:left w:w="0" w:type="dxa"/>
            <w:bottom w:w="0" w:type="dxa"/>
            <w:right w:w="0" w:type="dxa"/>
          </w:tblCellMar>
        </w:tblPrEx>
        <w:trPr>
          <w:trHeight w:val="1077" w:hRule="atLeast"/>
        </w:trPr>
        <w:tc>
          <w:tcPr>
            <w:tcW w:w="9500" w:type="dxa"/>
            <w:gridSpan w:val="9"/>
            <w:tcBorders>
              <w:top w:val="single" w:color="auto" w:sz="4" w:space="0"/>
              <w:left w:val="single" w:color="auto" w:sz="4" w:space="0"/>
              <w:bottom w:val="nil"/>
              <w:right w:val="single" w:color="auto"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津和示范班项目计划</w:t>
            </w:r>
          </w:p>
        </w:tc>
      </w:tr>
      <w:tr>
        <w:tblPrEx>
          <w:tblCellMar>
            <w:top w:w="0" w:type="dxa"/>
            <w:left w:w="0" w:type="dxa"/>
            <w:bottom w:w="0" w:type="dxa"/>
            <w:right w:w="0" w:type="dxa"/>
          </w:tblCellMar>
        </w:tblPrEx>
        <w:trPr>
          <w:trHeight w:val="1195" w:hRule="atLeast"/>
        </w:trPr>
        <w:tc>
          <w:tcPr>
            <w:tcW w:w="449" w:type="dxa"/>
            <w:tcBorders>
              <w:top w:val="single" w:color="000000" w:sz="4" w:space="0"/>
              <w:left w:val="single" w:color="auto" w:sz="4" w:space="0"/>
              <w:bottom w:val="single" w:color="auto"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w:t>
            </w:r>
          </w:p>
        </w:tc>
        <w:tc>
          <w:tcPr>
            <w:tcW w:w="803" w:type="dxa"/>
            <w:tcBorders>
              <w:top w:val="single" w:color="000000" w:sz="4" w:space="0"/>
              <w:left w:val="single" w:color="000000" w:sz="4" w:space="0"/>
              <w:bottom w:val="single" w:color="auto"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学段</w:t>
            </w:r>
          </w:p>
        </w:tc>
        <w:tc>
          <w:tcPr>
            <w:tcW w:w="803" w:type="dxa"/>
            <w:tcBorders>
              <w:top w:val="single" w:color="000000" w:sz="4" w:space="0"/>
              <w:left w:val="single" w:color="000000" w:sz="4" w:space="0"/>
              <w:bottom w:val="single" w:color="auto"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学科</w:t>
            </w:r>
          </w:p>
        </w:tc>
        <w:tc>
          <w:tcPr>
            <w:tcW w:w="1135"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各学科周课时量</w:t>
            </w:r>
          </w:p>
        </w:tc>
        <w:tc>
          <w:tcPr>
            <w:tcW w:w="1076"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开设班级数</w:t>
            </w:r>
          </w:p>
        </w:tc>
        <w:tc>
          <w:tcPr>
            <w:tcW w:w="1219"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按照开设班级各学科周总课时量</w:t>
            </w:r>
          </w:p>
        </w:tc>
        <w:tc>
          <w:tcPr>
            <w:tcW w:w="1213"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计划配备教师数量</w:t>
            </w:r>
          </w:p>
        </w:tc>
        <w:tc>
          <w:tcPr>
            <w:tcW w:w="1721"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年课时量</w:t>
            </w:r>
          </w:p>
        </w:tc>
        <w:tc>
          <w:tcPr>
            <w:tcW w:w="1081" w:type="dxa"/>
            <w:tcBorders>
              <w:top w:val="single" w:color="000000"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977" w:hRule="atLeast"/>
        </w:trPr>
        <w:tc>
          <w:tcPr>
            <w:tcW w:w="449" w:type="dxa"/>
            <w:vMerge w:val="restart"/>
            <w:tcBorders>
              <w:top w:val="single" w:color="auto"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803" w:type="dxa"/>
            <w:vMerge w:val="restart"/>
            <w:tcBorders>
              <w:top w:val="single" w:color="auto"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小学</w:t>
            </w:r>
          </w:p>
        </w:tc>
        <w:tc>
          <w:tcPr>
            <w:tcW w:w="803" w:type="dxa"/>
            <w:tcBorders>
              <w:top w:val="single" w:color="auto"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1135" w:type="dxa"/>
            <w:tcBorders>
              <w:top w:val="single" w:color="auto"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076" w:type="dxa"/>
            <w:vMerge w:val="restart"/>
            <w:tcBorders>
              <w:top w:val="single" w:color="auto"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219" w:type="dxa"/>
            <w:tcBorders>
              <w:top w:val="single" w:color="auto"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w:t>
            </w:r>
          </w:p>
        </w:tc>
        <w:tc>
          <w:tcPr>
            <w:tcW w:w="1213" w:type="dxa"/>
            <w:tcBorders>
              <w:top w:val="single" w:color="auto"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721" w:type="dxa"/>
            <w:tcBorders>
              <w:top w:val="single" w:color="auto"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1428</w:t>
            </w:r>
          </w:p>
        </w:tc>
        <w:tc>
          <w:tcPr>
            <w:tcW w:w="1081" w:type="dxa"/>
            <w:tcBorders>
              <w:top w:val="single" w:color="auto"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977"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1020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977"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8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中学</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语文</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952</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977"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数学</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680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977"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英语</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408</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215" w:hRule="atLeast"/>
        </w:trPr>
        <w:tc>
          <w:tcPr>
            <w:tcW w:w="9500"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备注：教师配备要求：1.所有老师专业必须要对应所任教学科。2.所配备老师必须学历本科及以上，</w:t>
            </w:r>
            <w:r>
              <w:rPr>
                <w:rFonts w:hint="eastAsia"/>
                <w:color w:val="000000"/>
                <w:sz w:val="24"/>
                <w:szCs w:val="24"/>
                <w:lang w:eastAsia="zh-CN"/>
              </w:rPr>
              <w:t>职称为中高级以上</w:t>
            </w:r>
            <w:r>
              <w:rPr>
                <w:rFonts w:hint="eastAsia" w:ascii="宋体" w:hAnsi="宋体" w:eastAsia="宋体" w:cs="宋体"/>
                <w:i w:val="0"/>
                <w:color w:val="000000"/>
                <w:kern w:val="0"/>
                <w:sz w:val="24"/>
                <w:szCs w:val="24"/>
                <w:u w:val="none"/>
                <w:lang w:val="en-US" w:eastAsia="zh-CN" w:bidi="ar"/>
              </w:rPr>
              <w:t>。</w:t>
            </w:r>
          </w:p>
        </w:tc>
      </w:tr>
    </w:tbl>
    <w:p>
      <w:pPr>
        <w:pStyle w:val="2"/>
        <w:rPr>
          <w:lang w:eastAsia="zh-CN"/>
        </w:rPr>
      </w:pPr>
    </w:p>
    <w:p>
      <w:pPr>
        <w:pStyle w:val="2"/>
        <w:ind w:left="0" w:leftChars="0" w:firstLine="0" w:firstLineChars="0"/>
        <w:rPr>
          <w:lang w:eastAsia="zh-CN"/>
        </w:rPr>
        <w:sectPr>
          <w:footerReference r:id="rId21" w:type="default"/>
          <w:pgSz w:w="12240" w:h="15840"/>
          <w:pgMar w:top="1380" w:right="840" w:bottom="960" w:left="820" w:header="953" w:footer="761" w:gutter="0"/>
          <w:pgNumType w:fmt="decimal"/>
          <w:cols w:space="720" w:num="1"/>
        </w:sectPr>
      </w:pPr>
    </w:p>
    <w:p>
      <w:pPr>
        <w:pStyle w:val="3"/>
        <w:tabs>
          <w:tab w:val="left" w:pos="1145"/>
        </w:tabs>
        <w:spacing w:before="117"/>
        <w:jc w:val="center"/>
        <w:rPr>
          <w:b/>
          <w:sz w:val="20"/>
          <w:lang w:eastAsia="zh-CN"/>
        </w:rPr>
      </w:pPr>
      <w:bookmarkStart w:id="20" w:name="_bookmark5"/>
      <w:bookmarkEnd w:id="20"/>
      <w:bookmarkStart w:id="21" w:name="_bookmark6"/>
      <w:bookmarkEnd w:id="21"/>
      <w:bookmarkStart w:id="22" w:name="第六章__技术标准及要求"/>
      <w:bookmarkEnd w:id="22"/>
      <w:r>
        <w:rPr>
          <w:lang w:eastAsia="zh-CN"/>
        </w:rPr>
        <w:t>第</w:t>
      </w:r>
      <w:r>
        <w:rPr>
          <w:rFonts w:hint="eastAsia"/>
          <w:lang w:val="en-US" w:eastAsia="zh-CN"/>
        </w:rPr>
        <w:t>六</w:t>
      </w:r>
      <w:r>
        <w:rPr>
          <w:lang w:eastAsia="zh-CN"/>
        </w:rPr>
        <w:t>章</w:t>
      </w:r>
      <w:r>
        <w:rPr>
          <w:lang w:eastAsia="zh-CN"/>
        </w:rPr>
        <w:tab/>
      </w:r>
      <w:r>
        <w:rPr>
          <w:lang w:eastAsia="zh-CN"/>
        </w:rPr>
        <w:t>响应文件格式</w:t>
      </w:r>
    </w:p>
    <w:p>
      <w:pPr>
        <w:spacing w:before="205" w:line="364" w:lineRule="auto"/>
        <w:ind w:left="459" w:right="440"/>
        <w:jc w:val="center"/>
        <w:rPr>
          <w:spacing w:val="-1"/>
          <w:w w:val="95"/>
          <w:sz w:val="44"/>
          <w:lang w:eastAsia="zh-CN"/>
        </w:rPr>
      </w:pPr>
      <w:r>
        <w:rPr>
          <w:rFonts w:hint="eastAsia"/>
          <w:spacing w:val="-1"/>
          <w:w w:val="95"/>
          <w:sz w:val="44"/>
          <w:lang w:eastAsia="zh-CN"/>
        </w:rPr>
        <w:t>于田县津和示范班建设及优秀学生资助项目二次</w:t>
      </w:r>
    </w:p>
    <w:p>
      <w:pPr>
        <w:spacing w:before="205" w:line="364" w:lineRule="auto"/>
        <w:ind w:left="459" w:right="440"/>
        <w:jc w:val="center"/>
        <w:rPr>
          <w:sz w:val="44"/>
          <w:lang w:eastAsia="zh-CN"/>
        </w:rPr>
      </w:pPr>
      <w:r>
        <w:rPr>
          <w:spacing w:val="-1"/>
          <w:w w:val="95"/>
          <w:sz w:val="44"/>
          <w:lang w:eastAsia="zh-CN"/>
        </w:rPr>
        <w:t>采购项</w:t>
      </w:r>
      <w:r>
        <w:rPr>
          <w:sz w:val="44"/>
          <w:lang w:eastAsia="zh-CN"/>
        </w:rPr>
        <w:t>目</w:t>
      </w:r>
    </w:p>
    <w:p>
      <w:pPr>
        <w:pStyle w:val="8"/>
        <w:rPr>
          <w:sz w:val="44"/>
          <w:lang w:eastAsia="zh-CN"/>
        </w:rPr>
      </w:pPr>
    </w:p>
    <w:p>
      <w:pPr>
        <w:pStyle w:val="8"/>
        <w:rPr>
          <w:sz w:val="44"/>
          <w:lang w:eastAsia="zh-CN"/>
        </w:rPr>
      </w:pPr>
    </w:p>
    <w:p>
      <w:pPr>
        <w:pStyle w:val="8"/>
        <w:rPr>
          <w:sz w:val="44"/>
          <w:lang w:eastAsia="zh-CN"/>
        </w:rPr>
      </w:pPr>
    </w:p>
    <w:p>
      <w:pPr>
        <w:pStyle w:val="8"/>
        <w:rPr>
          <w:sz w:val="44"/>
          <w:lang w:eastAsia="zh-CN"/>
        </w:rPr>
      </w:pPr>
    </w:p>
    <w:p>
      <w:pPr>
        <w:pStyle w:val="8"/>
        <w:spacing w:before="8"/>
        <w:rPr>
          <w:sz w:val="42"/>
          <w:lang w:eastAsia="zh-CN"/>
        </w:rPr>
      </w:pPr>
    </w:p>
    <w:p>
      <w:pPr>
        <w:ind w:left="3380"/>
        <w:rPr>
          <w:sz w:val="96"/>
          <w:lang w:eastAsia="zh-CN"/>
        </w:rPr>
      </w:pPr>
      <w:r>
        <w:rPr>
          <w:sz w:val="96"/>
          <w:lang w:eastAsia="zh-CN"/>
        </w:rPr>
        <w:t>响应文件</w:t>
      </w:r>
    </w:p>
    <w:p>
      <w:pPr>
        <w:spacing w:before="15"/>
        <w:ind w:left="2580"/>
        <w:rPr>
          <w:color w:val="FF0000"/>
          <w:sz w:val="32"/>
          <w:lang w:eastAsia="zh-CN"/>
        </w:rPr>
      </w:pPr>
      <w:r>
        <w:rPr>
          <w:sz w:val="32"/>
          <w:lang w:eastAsia="zh-CN"/>
        </w:rPr>
        <w:t>采购编号</w:t>
      </w:r>
      <w:r>
        <w:rPr>
          <w:sz w:val="32"/>
          <w:highlight w:val="none"/>
          <w:lang w:eastAsia="zh-CN"/>
        </w:rPr>
        <w:t>：</w:t>
      </w:r>
      <w:r>
        <w:rPr>
          <w:rFonts w:hint="eastAsia"/>
          <w:sz w:val="32"/>
          <w:highlight w:val="none"/>
          <w:lang w:eastAsia="zh-CN"/>
        </w:rPr>
        <w:t>YTCGD-JZ-2023-037-01</w:t>
      </w:r>
    </w:p>
    <w:p>
      <w:pPr>
        <w:pStyle w:val="8"/>
        <w:rPr>
          <w:sz w:val="32"/>
          <w:lang w:eastAsia="zh-CN"/>
        </w:rPr>
      </w:pPr>
    </w:p>
    <w:p>
      <w:pPr>
        <w:pStyle w:val="8"/>
        <w:rPr>
          <w:sz w:val="32"/>
          <w:lang w:eastAsia="zh-CN"/>
        </w:rPr>
      </w:pPr>
    </w:p>
    <w:p>
      <w:pPr>
        <w:pStyle w:val="8"/>
        <w:rPr>
          <w:sz w:val="32"/>
          <w:lang w:eastAsia="zh-CN"/>
        </w:rPr>
      </w:pPr>
    </w:p>
    <w:p>
      <w:pPr>
        <w:pStyle w:val="8"/>
        <w:rPr>
          <w:sz w:val="32"/>
          <w:lang w:eastAsia="zh-CN"/>
        </w:rPr>
      </w:pPr>
    </w:p>
    <w:p>
      <w:pPr>
        <w:pStyle w:val="8"/>
        <w:rPr>
          <w:sz w:val="32"/>
          <w:lang w:eastAsia="zh-CN"/>
        </w:rPr>
      </w:pPr>
    </w:p>
    <w:p>
      <w:pPr>
        <w:pStyle w:val="8"/>
        <w:rPr>
          <w:sz w:val="32"/>
          <w:lang w:eastAsia="zh-CN"/>
        </w:rPr>
      </w:pPr>
    </w:p>
    <w:p>
      <w:pPr>
        <w:pStyle w:val="8"/>
        <w:rPr>
          <w:sz w:val="32"/>
          <w:lang w:eastAsia="zh-CN"/>
        </w:rPr>
      </w:pPr>
    </w:p>
    <w:p>
      <w:pPr>
        <w:pStyle w:val="8"/>
        <w:rPr>
          <w:sz w:val="32"/>
          <w:lang w:eastAsia="zh-CN"/>
        </w:rPr>
      </w:pPr>
    </w:p>
    <w:p>
      <w:pPr>
        <w:pStyle w:val="8"/>
        <w:rPr>
          <w:sz w:val="32"/>
          <w:lang w:eastAsia="zh-CN"/>
        </w:rPr>
      </w:pPr>
    </w:p>
    <w:p>
      <w:pPr>
        <w:pStyle w:val="8"/>
        <w:rPr>
          <w:sz w:val="32"/>
          <w:lang w:eastAsia="zh-CN"/>
        </w:rPr>
      </w:pPr>
    </w:p>
    <w:p>
      <w:pPr>
        <w:pStyle w:val="8"/>
        <w:spacing w:before="4"/>
        <w:rPr>
          <w:sz w:val="47"/>
          <w:lang w:eastAsia="zh-CN"/>
        </w:rPr>
      </w:pPr>
    </w:p>
    <w:p>
      <w:pPr>
        <w:pStyle w:val="2"/>
        <w:tabs>
          <w:tab w:val="left" w:pos="2878"/>
          <w:tab w:val="left" w:pos="4303"/>
          <w:tab w:val="left" w:pos="4558"/>
          <w:tab w:val="left" w:pos="5679"/>
          <w:tab w:val="left" w:pos="6658"/>
          <w:tab w:val="left" w:pos="6962"/>
          <w:tab w:val="left" w:pos="7499"/>
        </w:tabs>
        <w:spacing w:line="333" w:lineRule="auto"/>
        <w:ind w:left="1760" w:right="3078" w:firstLine="24"/>
        <w:jc w:val="left"/>
        <w:rPr>
          <w:lang w:eastAsia="zh-CN"/>
        </w:rPr>
      </w:pPr>
      <w:r>
        <w:rPr>
          <w:lang w:eastAsia="zh-CN"/>
        </w:rPr>
        <w:t>投</w:t>
      </w:r>
      <w:r>
        <w:rPr>
          <w:spacing w:val="-3"/>
          <w:lang w:eastAsia="zh-CN"/>
        </w:rPr>
        <w:t>标</w:t>
      </w:r>
      <w:r>
        <w:rPr>
          <w:lang w:eastAsia="zh-CN"/>
        </w:rPr>
        <w:t>人</w:t>
      </w:r>
      <w:r>
        <w:rPr>
          <w:spacing w:val="-3"/>
          <w:lang w:eastAsia="zh-CN"/>
        </w:rPr>
        <w:t>：</w:t>
      </w:r>
      <w:r>
        <w:rPr>
          <w:spacing w:val="-3"/>
          <w:u w:val="single"/>
          <w:lang w:eastAsia="zh-CN"/>
        </w:rPr>
        <w:t xml:space="preserve"> </w:t>
      </w:r>
      <w:r>
        <w:rPr>
          <w:spacing w:val="-3"/>
          <w:u w:val="single"/>
          <w:lang w:eastAsia="zh-CN"/>
        </w:rPr>
        <w:tab/>
      </w:r>
      <w:r>
        <w:rPr>
          <w:spacing w:val="-1"/>
          <w:u w:val="single"/>
          <w:lang w:eastAsia="zh-CN"/>
        </w:rPr>
        <w:t>（</w:t>
      </w:r>
      <w:r>
        <w:rPr>
          <w:spacing w:val="-3"/>
          <w:u w:val="single"/>
          <w:lang w:eastAsia="zh-CN"/>
        </w:rPr>
        <w:t>盖</w:t>
      </w:r>
      <w:r>
        <w:rPr>
          <w:spacing w:val="-1"/>
          <w:u w:val="single"/>
          <w:lang w:eastAsia="zh-CN"/>
        </w:rPr>
        <w:t>章</w:t>
      </w:r>
      <w:r>
        <w:rPr>
          <w:u w:val="single"/>
          <w:lang w:eastAsia="zh-CN"/>
        </w:rPr>
        <w:t>）</w:t>
      </w:r>
      <w:r>
        <w:rPr>
          <w:u w:val="single"/>
          <w:lang w:eastAsia="zh-CN"/>
        </w:rPr>
        <w:tab/>
      </w:r>
      <w:r>
        <w:rPr>
          <w:u w:val="single"/>
          <w:lang w:eastAsia="zh-CN"/>
        </w:rPr>
        <w:tab/>
      </w:r>
      <w:r>
        <w:rPr>
          <w:u w:val="single"/>
          <w:lang w:eastAsia="zh-CN"/>
        </w:rPr>
        <w:tab/>
      </w:r>
      <w:r>
        <w:rPr>
          <w:spacing w:val="-1"/>
          <w:lang w:eastAsia="zh-CN"/>
        </w:rPr>
        <w:t xml:space="preserve">           </w:t>
      </w:r>
      <w:r>
        <w:rPr>
          <w:spacing w:val="11"/>
          <w:lang w:eastAsia="zh-CN"/>
        </w:rPr>
        <w:t xml:space="preserve"> </w:t>
      </w:r>
      <w:r>
        <w:rPr>
          <w:spacing w:val="-1"/>
          <w:lang w:eastAsia="zh-CN"/>
        </w:rPr>
        <w:t>法</w:t>
      </w:r>
      <w:r>
        <w:rPr>
          <w:spacing w:val="-3"/>
          <w:lang w:eastAsia="zh-CN"/>
        </w:rPr>
        <w:t>定</w:t>
      </w:r>
      <w:r>
        <w:rPr>
          <w:spacing w:val="-1"/>
          <w:lang w:eastAsia="zh-CN"/>
        </w:rPr>
        <w:t>代表</w:t>
      </w:r>
      <w:r>
        <w:rPr>
          <w:spacing w:val="-136"/>
          <w:lang w:eastAsia="zh-CN"/>
        </w:rPr>
        <w:t xml:space="preserve"> </w:t>
      </w:r>
      <w:r>
        <w:rPr>
          <w:spacing w:val="-3"/>
          <w:lang w:eastAsia="zh-CN"/>
        </w:rPr>
        <w:t>人</w:t>
      </w:r>
      <w:r>
        <w:rPr>
          <w:spacing w:val="-1"/>
          <w:lang w:eastAsia="zh-CN"/>
        </w:rPr>
        <w:t>或委</w:t>
      </w:r>
      <w:r>
        <w:rPr>
          <w:spacing w:val="-3"/>
          <w:lang w:eastAsia="zh-CN"/>
        </w:rPr>
        <w:t>托</w:t>
      </w:r>
      <w:r>
        <w:rPr>
          <w:spacing w:val="-1"/>
          <w:lang w:eastAsia="zh-CN"/>
        </w:rPr>
        <w:t>代理</w:t>
      </w:r>
      <w:r>
        <w:rPr>
          <w:spacing w:val="-3"/>
          <w:lang w:eastAsia="zh-CN"/>
        </w:rPr>
        <w:t>人</w:t>
      </w:r>
      <w:r>
        <w:rPr>
          <w:spacing w:val="-1"/>
          <w:lang w:eastAsia="zh-CN"/>
        </w:rPr>
        <w:t>：</w:t>
      </w:r>
      <w:r>
        <w:rPr>
          <w:spacing w:val="-1"/>
          <w:u w:val="single"/>
          <w:lang w:eastAsia="zh-CN"/>
        </w:rPr>
        <w:t>（</w:t>
      </w:r>
      <w:r>
        <w:rPr>
          <w:spacing w:val="-3"/>
          <w:u w:val="single"/>
          <w:lang w:eastAsia="zh-CN"/>
        </w:rPr>
        <w:t>签</w:t>
      </w:r>
      <w:r>
        <w:rPr>
          <w:spacing w:val="-1"/>
          <w:u w:val="single"/>
          <w:lang w:eastAsia="zh-CN"/>
        </w:rPr>
        <w:t>字</w:t>
      </w:r>
      <w:r>
        <w:rPr>
          <w:rFonts w:hint="eastAsia"/>
          <w:spacing w:val="-1"/>
          <w:u w:val="single"/>
          <w:lang w:val="en-US" w:eastAsia="zh-CN"/>
        </w:rPr>
        <w:t>及</w:t>
      </w:r>
      <w:r>
        <w:rPr>
          <w:spacing w:val="-3"/>
          <w:u w:val="single"/>
          <w:lang w:eastAsia="zh-CN"/>
        </w:rPr>
        <w:t>盖</w:t>
      </w:r>
      <w:r>
        <w:rPr>
          <w:spacing w:val="-1"/>
          <w:u w:val="single"/>
          <w:lang w:eastAsia="zh-CN"/>
        </w:rPr>
        <w:t>章</w:t>
      </w:r>
      <w:r>
        <w:rPr>
          <w:u w:val="single"/>
          <w:lang w:eastAsia="zh-CN"/>
        </w:rPr>
        <w:t>）</w:t>
      </w:r>
      <w:r>
        <w:rPr>
          <w:u w:val="single"/>
          <w:lang w:eastAsia="zh-CN"/>
        </w:rPr>
        <w:tab/>
      </w:r>
      <w:r>
        <w:rPr>
          <w:u w:val="single"/>
          <w:lang w:eastAsia="zh-CN"/>
        </w:rPr>
        <w:t xml:space="preserve">  </w:t>
      </w:r>
      <w:r>
        <w:rPr>
          <w:lang w:eastAsia="zh-CN"/>
        </w:rPr>
        <w:t>日</w:t>
      </w:r>
      <w:r>
        <w:rPr>
          <w:lang w:eastAsia="zh-CN"/>
        </w:rPr>
        <w:tab/>
      </w:r>
      <w:r>
        <w:rPr>
          <w:lang w:eastAsia="zh-CN"/>
        </w:rPr>
        <w:t>期：</w:t>
      </w:r>
      <w:r>
        <w:rPr>
          <w:u w:val="single"/>
          <w:lang w:eastAsia="zh-CN"/>
        </w:rPr>
        <w:t xml:space="preserve"> </w:t>
      </w:r>
      <w:r>
        <w:rPr>
          <w:u w:val="single"/>
          <w:lang w:eastAsia="zh-CN"/>
        </w:rPr>
        <w:tab/>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pPr>
        <w:spacing w:line="333" w:lineRule="auto"/>
        <w:rPr>
          <w:lang w:eastAsia="zh-CN"/>
        </w:rPr>
        <w:sectPr>
          <w:footerReference r:id="rId22" w:type="default"/>
          <w:pgSz w:w="12240" w:h="15840"/>
          <w:pgMar w:top="1380" w:right="840" w:bottom="960" w:left="820" w:header="953" w:footer="761" w:gutter="0"/>
          <w:pgNumType w:fmt="decimal"/>
          <w:cols w:space="720" w:num="1"/>
        </w:sectPr>
      </w:pPr>
    </w:p>
    <w:p>
      <w:pPr>
        <w:numPr>
          <w:ilvl w:val="0"/>
          <w:numId w:val="37"/>
        </w:numPr>
        <w:spacing w:before="132" w:line="540" w:lineRule="auto"/>
        <w:ind w:left="13" w:leftChars="0" w:right="2000" w:rightChars="0" w:hanging="13" w:hangingChars="5"/>
        <w:jc w:val="center"/>
        <w:rPr>
          <w:b/>
          <w:sz w:val="28"/>
          <w:lang w:eastAsia="zh-CN"/>
        </w:rPr>
      </w:pPr>
      <w:bookmarkStart w:id="23" w:name="（一）、投标函"/>
      <w:bookmarkEnd w:id="23"/>
      <w:r>
        <w:rPr>
          <w:b/>
          <w:w w:val="95"/>
          <w:sz w:val="28"/>
          <w:lang w:eastAsia="zh-CN"/>
        </w:rPr>
        <w:t>投标主要文件</w:t>
      </w:r>
    </w:p>
    <w:p>
      <w:pPr>
        <w:numPr>
          <w:ilvl w:val="0"/>
          <w:numId w:val="0"/>
        </w:numPr>
        <w:spacing w:before="132" w:line="540" w:lineRule="auto"/>
        <w:ind w:leftChars="-5" w:right="2000" w:rightChars="0"/>
        <w:jc w:val="center"/>
        <w:rPr>
          <w:b/>
          <w:sz w:val="28"/>
          <w:lang w:eastAsia="zh-CN"/>
        </w:rPr>
      </w:pPr>
      <w:r>
        <w:rPr>
          <w:b/>
          <w:sz w:val="28"/>
          <w:lang w:eastAsia="zh-CN"/>
        </w:rPr>
        <w:t>目录</w:t>
      </w:r>
      <w:r>
        <w:rPr>
          <w:rFonts w:hint="eastAsia"/>
          <w:b/>
          <w:sz w:val="28"/>
          <w:lang w:eastAsia="zh-CN"/>
        </w:rPr>
        <w:t>（</w:t>
      </w:r>
      <w:r>
        <w:rPr>
          <w:rFonts w:hint="eastAsia"/>
          <w:b/>
          <w:sz w:val="28"/>
          <w:lang w:val="en-US" w:eastAsia="zh-CN"/>
        </w:rPr>
        <w:t>格式要求和附件需一致</w:t>
      </w:r>
      <w:r>
        <w:rPr>
          <w:rFonts w:hint="eastAsia"/>
          <w:b/>
          <w:sz w:val="28"/>
          <w:lang w:eastAsia="zh-CN"/>
        </w:rPr>
        <w:t>）</w:t>
      </w:r>
    </w:p>
    <w:p>
      <w:pPr>
        <w:pStyle w:val="8"/>
        <w:spacing w:line="228" w:lineRule="exact"/>
        <w:ind w:left="260"/>
        <w:rPr>
          <w:lang w:eastAsia="zh-CN"/>
        </w:rPr>
      </w:pPr>
      <w:r>
        <w:rPr>
          <w:lang w:eastAsia="zh-CN"/>
        </w:rPr>
        <w:t>（一）投标函；</w:t>
      </w:r>
    </w:p>
    <w:p>
      <w:pPr>
        <w:pStyle w:val="8"/>
        <w:spacing w:before="6"/>
        <w:rPr>
          <w:lang w:eastAsia="zh-CN"/>
        </w:rPr>
      </w:pPr>
    </w:p>
    <w:p>
      <w:pPr>
        <w:pStyle w:val="8"/>
        <w:ind w:left="260"/>
        <w:rPr>
          <w:lang w:eastAsia="zh-CN"/>
        </w:rPr>
      </w:pPr>
      <w:r>
        <w:rPr>
          <w:lang w:eastAsia="zh-CN"/>
        </w:rPr>
        <w:t>（二）开标一览表；</w:t>
      </w:r>
    </w:p>
    <w:p>
      <w:pPr>
        <w:pStyle w:val="8"/>
        <w:spacing w:before="7"/>
        <w:rPr>
          <w:lang w:eastAsia="zh-CN"/>
        </w:rPr>
      </w:pPr>
    </w:p>
    <w:p>
      <w:pPr>
        <w:pStyle w:val="8"/>
        <w:ind w:left="260"/>
        <w:rPr>
          <w:lang w:eastAsia="zh-CN"/>
        </w:rPr>
      </w:pPr>
      <w:r>
        <w:rPr>
          <w:lang w:eastAsia="zh-CN"/>
        </w:rPr>
        <w:t>（三）投标分项报价明细表；</w:t>
      </w:r>
    </w:p>
    <w:p>
      <w:pPr>
        <w:pStyle w:val="8"/>
        <w:spacing w:before="7"/>
        <w:rPr>
          <w:sz w:val="29"/>
          <w:lang w:eastAsia="zh-CN"/>
        </w:rPr>
      </w:pPr>
    </w:p>
    <w:p>
      <w:pPr>
        <w:pStyle w:val="8"/>
        <w:ind w:left="260"/>
        <w:rPr>
          <w:lang w:eastAsia="zh-CN"/>
        </w:rPr>
      </w:pPr>
      <w:r>
        <w:rPr>
          <w:lang w:eastAsia="zh-CN"/>
        </w:rPr>
        <w:t>（四）技术规格和商务偏离表；</w:t>
      </w:r>
    </w:p>
    <w:p>
      <w:pPr>
        <w:pStyle w:val="8"/>
        <w:spacing w:before="4"/>
        <w:rPr>
          <w:sz w:val="30"/>
          <w:lang w:eastAsia="zh-CN"/>
        </w:rPr>
      </w:pPr>
    </w:p>
    <w:p>
      <w:pPr>
        <w:pStyle w:val="8"/>
        <w:ind w:left="260"/>
        <w:rPr>
          <w:lang w:eastAsia="zh-CN"/>
        </w:rPr>
      </w:pPr>
      <w:r>
        <w:rPr>
          <w:lang w:eastAsia="zh-CN"/>
        </w:rPr>
        <w:t>（五）服务人员合理分配方案及应急预案（格式自拟）；</w:t>
      </w:r>
    </w:p>
    <w:p>
      <w:pPr>
        <w:pStyle w:val="8"/>
        <w:spacing w:before="9"/>
        <w:rPr>
          <w:lang w:eastAsia="zh-CN"/>
        </w:rPr>
      </w:pPr>
    </w:p>
    <w:p>
      <w:pPr>
        <w:pStyle w:val="8"/>
        <w:numPr>
          <w:ilvl w:val="0"/>
          <w:numId w:val="38"/>
        </w:numPr>
        <w:spacing w:line="480" w:lineRule="auto"/>
        <w:ind w:left="260"/>
        <w:rPr>
          <w:lang w:eastAsia="zh-CN"/>
        </w:rPr>
      </w:pPr>
      <w:r>
        <w:rPr>
          <w:lang w:eastAsia="zh-CN"/>
        </w:rPr>
        <w:t>服务承诺书及专业化程度（格式自拟）；</w:t>
      </w:r>
    </w:p>
    <w:p>
      <w:pPr>
        <w:pStyle w:val="8"/>
        <w:numPr>
          <w:ilvl w:val="0"/>
          <w:numId w:val="38"/>
        </w:numPr>
        <w:spacing w:line="480" w:lineRule="auto"/>
        <w:ind w:left="260"/>
        <w:rPr>
          <w:lang w:eastAsia="zh-CN"/>
        </w:rPr>
      </w:pPr>
      <w:r>
        <w:rPr>
          <w:lang w:eastAsia="zh-CN"/>
        </w:rPr>
        <w:t>供应商需要说明的其他内容及相关文件资料</w:t>
      </w:r>
    </w:p>
    <w:p>
      <w:pPr>
        <w:pStyle w:val="8"/>
        <w:rPr>
          <w:lang w:eastAsia="zh-CN"/>
        </w:rPr>
      </w:pPr>
    </w:p>
    <w:p>
      <w:pPr>
        <w:ind w:firstLine="540" w:firstLineChars="300"/>
        <w:rPr>
          <w:rFonts w:hint="eastAsia" w:eastAsia="宋体"/>
          <w:lang w:eastAsia="zh-CN"/>
        </w:rPr>
        <w:sectPr>
          <w:pgSz w:w="12240" w:h="15840"/>
          <w:pgMar w:top="1380" w:right="840" w:bottom="960" w:left="820" w:header="953" w:footer="761" w:gutter="0"/>
          <w:pgNumType w:fmt="decimal"/>
          <w:cols w:space="720" w:num="1"/>
        </w:sectPr>
      </w:pPr>
      <w:r>
        <w:rPr>
          <w:rFonts w:hint="eastAsia" w:ascii="宋体" w:hAnsi="宋体" w:eastAsia="宋体" w:cs="宋体"/>
          <w:color w:val="000000"/>
          <w:sz w:val="18"/>
          <w:szCs w:val="13"/>
          <w:highlight w:val="none"/>
        </w:rPr>
        <w:t>注：供应商应在附</w:t>
      </w:r>
      <w:r>
        <w:rPr>
          <w:rFonts w:hint="eastAsia" w:ascii="宋体" w:hAnsi="宋体" w:eastAsia="宋体" w:cs="宋体"/>
          <w:color w:val="000000"/>
          <w:sz w:val="18"/>
          <w:szCs w:val="13"/>
          <w:highlight w:val="none"/>
          <w:lang w:val="en-US" w:eastAsia="zh-CN"/>
        </w:rPr>
        <w:t>上的自拟资料上必须</w:t>
      </w:r>
      <w:r>
        <w:rPr>
          <w:rFonts w:hint="eastAsia" w:ascii="宋体" w:hAnsi="宋体" w:eastAsia="宋体" w:cs="宋体"/>
          <w:color w:val="000000"/>
          <w:sz w:val="18"/>
          <w:szCs w:val="13"/>
          <w:highlight w:val="none"/>
          <w:u w:val="none"/>
          <w:lang w:val="en-US" w:eastAsia="zh-CN"/>
        </w:rPr>
        <w:t>加盖</w:t>
      </w:r>
      <w:r>
        <w:rPr>
          <w:rFonts w:hint="eastAsia" w:ascii="宋体" w:hAnsi="宋体" w:eastAsia="宋体" w:cs="宋体"/>
          <w:color w:val="000000"/>
          <w:sz w:val="18"/>
          <w:szCs w:val="13"/>
          <w:highlight w:val="none"/>
          <w:u w:val="none"/>
        </w:rPr>
        <w:t>供应商公章</w:t>
      </w:r>
      <w:r>
        <w:rPr>
          <w:rFonts w:hint="eastAsia" w:cs="宋体"/>
          <w:color w:val="000000"/>
          <w:sz w:val="18"/>
          <w:szCs w:val="13"/>
          <w:highlight w:val="none"/>
          <w:u w:val="none"/>
          <w:lang w:eastAsia="zh-CN"/>
        </w:rPr>
        <w:t>，</w:t>
      </w:r>
      <w:r>
        <w:rPr>
          <w:rFonts w:hint="eastAsia" w:ascii="宋体" w:hAnsi="宋体" w:eastAsia="宋体" w:cs="宋体"/>
          <w:color w:val="000000"/>
          <w:sz w:val="18"/>
          <w:szCs w:val="13"/>
          <w:highlight w:val="none"/>
          <w:u w:val="none"/>
        </w:rPr>
        <w:t>法定代表人</w:t>
      </w:r>
      <w:r>
        <w:rPr>
          <w:rFonts w:hint="eastAsia" w:ascii="宋体" w:hAnsi="宋体" w:cs="宋体"/>
          <w:color w:val="000000"/>
          <w:sz w:val="18"/>
          <w:szCs w:val="13"/>
          <w:highlight w:val="none"/>
          <w:u w:val="none"/>
          <w:lang w:val="en-US" w:eastAsia="zh-CN"/>
        </w:rPr>
        <w:t>盖</w:t>
      </w:r>
      <w:r>
        <w:rPr>
          <w:rFonts w:hint="eastAsia" w:ascii="宋体" w:hAnsi="宋体" w:eastAsia="宋体" w:cs="宋体"/>
          <w:color w:val="000000"/>
          <w:sz w:val="18"/>
          <w:szCs w:val="13"/>
          <w:highlight w:val="none"/>
          <w:u w:val="none"/>
        </w:rPr>
        <w:t>章</w:t>
      </w:r>
      <w:r>
        <w:rPr>
          <w:rFonts w:hint="eastAsia" w:cs="宋体"/>
          <w:color w:val="000000"/>
          <w:sz w:val="18"/>
          <w:szCs w:val="13"/>
          <w:highlight w:val="none"/>
          <w:u w:val="none"/>
          <w:lang w:eastAsia="zh-CN"/>
        </w:rPr>
        <w:t>；</w:t>
      </w:r>
    </w:p>
    <w:p>
      <w:pPr>
        <w:pStyle w:val="8"/>
        <w:rPr>
          <w:sz w:val="26"/>
          <w:lang w:eastAsia="zh-CN"/>
        </w:rPr>
      </w:pPr>
    </w:p>
    <w:p>
      <w:pPr>
        <w:pStyle w:val="8"/>
        <w:tabs>
          <w:tab w:val="left" w:pos="1699"/>
          <w:tab w:val="left" w:pos="3859"/>
        </w:tabs>
        <w:spacing w:before="194"/>
        <w:ind w:left="260"/>
        <w:rPr>
          <w:lang w:eastAsia="zh-CN"/>
        </w:rPr>
      </w:pPr>
      <w:r>
        <w:rPr>
          <w:lang w:eastAsia="zh-CN"/>
        </w:rPr>
        <w:t>致：</w:t>
      </w:r>
      <w:r>
        <w:rPr>
          <w:u w:val="single"/>
          <w:lang w:eastAsia="zh-CN"/>
        </w:rPr>
        <w:t xml:space="preserve"> </w:t>
      </w:r>
      <w:r>
        <w:rPr>
          <w:u w:val="single"/>
          <w:lang w:eastAsia="zh-CN"/>
        </w:rPr>
        <w:tab/>
      </w:r>
      <w:r>
        <w:rPr>
          <w:u w:val="single"/>
          <w:lang w:eastAsia="zh-CN"/>
        </w:rPr>
        <w:t>采购人名称</w:t>
      </w:r>
      <w:r>
        <w:rPr>
          <w:u w:val="single"/>
          <w:lang w:eastAsia="zh-CN"/>
        </w:rPr>
        <w:tab/>
      </w:r>
    </w:p>
    <w:p>
      <w:pPr>
        <w:pStyle w:val="4"/>
        <w:spacing w:before="59"/>
        <w:rPr>
          <w:lang w:eastAsia="zh-CN"/>
        </w:rPr>
      </w:pPr>
      <w:r>
        <w:rPr>
          <w:b w:val="0"/>
          <w:lang w:eastAsia="zh-CN"/>
        </w:rPr>
        <w:br w:type="column"/>
      </w:r>
      <w:r>
        <w:rPr>
          <w:lang w:eastAsia="zh-CN"/>
        </w:rPr>
        <w:t>（一）、投标函</w:t>
      </w:r>
    </w:p>
    <w:p>
      <w:pPr>
        <w:rPr>
          <w:lang w:eastAsia="zh-CN"/>
        </w:rPr>
        <w:sectPr>
          <w:pgSz w:w="12240" w:h="15840"/>
          <w:pgMar w:top="1380" w:right="840" w:bottom="960" w:left="820" w:header="953" w:footer="761" w:gutter="0"/>
          <w:pgNumType w:fmt="decimal"/>
          <w:cols w:equalWidth="0" w:num="2">
            <w:col w:w="3900" w:space="300"/>
            <w:col w:w="6380"/>
          </w:cols>
        </w:sectPr>
      </w:pPr>
    </w:p>
    <w:p>
      <w:pPr>
        <w:pStyle w:val="8"/>
        <w:spacing w:before="4"/>
        <w:rPr>
          <w:b/>
          <w:sz w:val="10"/>
          <w:lang w:eastAsia="zh-CN"/>
        </w:rPr>
      </w:pPr>
    </w:p>
    <w:p>
      <w:pPr>
        <w:pStyle w:val="8"/>
        <w:tabs>
          <w:tab w:val="left" w:pos="3139"/>
          <w:tab w:val="left" w:pos="5395"/>
          <w:tab w:val="left" w:pos="8299"/>
        </w:tabs>
        <w:spacing w:before="74" w:line="280" w:lineRule="auto"/>
        <w:ind w:left="260" w:right="119" w:firstLine="480"/>
        <w:jc w:val="both"/>
        <w:rPr>
          <w:lang w:eastAsia="zh-CN"/>
        </w:rPr>
      </w:pPr>
      <w:r>
        <w:rPr>
          <w:lang w:eastAsia="zh-CN"/>
        </w:rPr>
        <w:t>根据贵方为</w:t>
      </w:r>
      <w:r>
        <w:rPr>
          <w:u w:val="single"/>
          <w:lang w:eastAsia="zh-CN"/>
        </w:rPr>
        <w:t xml:space="preserve"> </w:t>
      </w:r>
      <w:r>
        <w:rPr>
          <w:u w:val="single"/>
          <w:lang w:eastAsia="zh-CN"/>
        </w:rPr>
        <w:tab/>
      </w:r>
      <w:r>
        <w:rPr>
          <w:u w:val="single"/>
          <w:lang w:eastAsia="zh-CN"/>
        </w:rPr>
        <w:tab/>
      </w:r>
      <w:r>
        <w:rPr>
          <w:u w:val="single"/>
          <w:lang w:eastAsia="zh-CN"/>
        </w:rPr>
        <w:tab/>
      </w:r>
      <w:r>
        <w:rPr>
          <w:lang w:eastAsia="zh-CN"/>
        </w:rPr>
        <w:t>项目的招标公</w:t>
      </w:r>
      <w:r>
        <w:rPr>
          <w:spacing w:val="-120"/>
          <w:lang w:eastAsia="zh-CN"/>
        </w:rPr>
        <w:t>告</w:t>
      </w:r>
      <w:r>
        <w:rPr>
          <w:lang w:eastAsia="zh-CN"/>
        </w:rPr>
        <w:t>（项目编号</w:t>
      </w:r>
      <w:r>
        <w:rPr>
          <w:spacing w:val="-12"/>
          <w:lang w:eastAsia="zh-CN"/>
        </w:rPr>
        <w:t>）:</w:t>
      </w:r>
      <w:r>
        <w:rPr>
          <w:spacing w:val="-12"/>
          <w:u w:val="single"/>
          <w:lang w:eastAsia="zh-CN"/>
        </w:rPr>
        <w:t xml:space="preserve"> </w:t>
      </w:r>
      <w:r>
        <w:rPr>
          <w:spacing w:val="-12"/>
          <w:u w:val="single"/>
          <w:lang w:eastAsia="zh-CN"/>
        </w:rPr>
        <w:tab/>
      </w:r>
      <w:r>
        <w:rPr>
          <w:spacing w:val="-12"/>
          <w:u w:val="single"/>
          <w:lang w:eastAsia="zh-CN"/>
        </w:rPr>
        <w:tab/>
      </w:r>
      <w:r>
        <w:rPr>
          <w:spacing w:val="-24"/>
          <w:lang w:eastAsia="zh-CN"/>
        </w:rPr>
        <w:t>，</w:t>
      </w:r>
      <w:r>
        <w:rPr>
          <w:lang w:eastAsia="zh-CN"/>
        </w:rPr>
        <w:t>本签字代表</w:t>
      </w:r>
      <w:r>
        <w:rPr>
          <w:u w:val="single"/>
          <w:lang w:eastAsia="zh-CN"/>
        </w:rPr>
        <w:t xml:space="preserve">  </w:t>
      </w:r>
      <w:r>
        <w:rPr>
          <w:spacing w:val="96"/>
          <w:u w:val="single"/>
          <w:lang w:eastAsia="zh-CN"/>
        </w:rPr>
        <w:t xml:space="preserve"> </w:t>
      </w:r>
      <w:r>
        <w:rPr>
          <w:u w:val="single"/>
          <w:lang w:eastAsia="zh-CN"/>
        </w:rPr>
        <w:t>（全名</w:t>
      </w:r>
      <w:r>
        <w:rPr>
          <w:spacing w:val="-24"/>
          <w:u w:val="single"/>
          <w:lang w:eastAsia="zh-CN"/>
        </w:rPr>
        <w:t>、</w:t>
      </w:r>
      <w:r>
        <w:rPr>
          <w:u w:val="single"/>
          <w:lang w:eastAsia="zh-CN"/>
        </w:rPr>
        <w:t xml:space="preserve">职务）  </w:t>
      </w:r>
      <w:r>
        <w:rPr>
          <w:spacing w:val="96"/>
          <w:u w:val="single"/>
          <w:lang w:eastAsia="zh-CN"/>
        </w:rPr>
        <w:t xml:space="preserve"> </w:t>
      </w:r>
      <w:r>
        <w:rPr>
          <w:lang w:eastAsia="zh-CN"/>
        </w:rPr>
        <w:t>正式授权并代表投标供应商</w:t>
      </w:r>
      <w:r>
        <w:rPr>
          <w:u w:val="single"/>
          <w:lang w:eastAsia="zh-CN"/>
        </w:rPr>
        <w:t xml:space="preserve"> </w:t>
      </w:r>
      <w:r>
        <w:rPr>
          <w:u w:val="single"/>
          <w:lang w:eastAsia="zh-CN"/>
        </w:rPr>
        <w:tab/>
      </w:r>
      <w:r>
        <w:rPr>
          <w:u w:val="single"/>
          <w:lang w:eastAsia="zh-CN"/>
        </w:rPr>
        <w:t xml:space="preserve">（供应商名称、地址） </w:t>
      </w:r>
      <w:r>
        <w:rPr>
          <w:lang w:eastAsia="zh-CN"/>
        </w:rPr>
        <w:t>提交下述文件</w:t>
      </w:r>
      <w:r>
        <w:rPr>
          <w:spacing w:val="-18"/>
          <w:lang w:eastAsia="zh-CN"/>
        </w:rPr>
        <w:t>。</w:t>
      </w:r>
    </w:p>
    <w:p>
      <w:pPr>
        <w:pStyle w:val="26"/>
        <w:numPr>
          <w:ilvl w:val="0"/>
          <w:numId w:val="39"/>
        </w:numPr>
        <w:tabs>
          <w:tab w:val="left" w:pos="1101"/>
        </w:tabs>
        <w:rPr>
          <w:sz w:val="24"/>
        </w:rPr>
      </w:pPr>
      <w:r>
        <w:rPr>
          <w:sz w:val="24"/>
        </w:rPr>
        <w:t>开标一览表</w:t>
      </w:r>
    </w:p>
    <w:p>
      <w:pPr>
        <w:pStyle w:val="26"/>
        <w:numPr>
          <w:ilvl w:val="0"/>
          <w:numId w:val="39"/>
        </w:numPr>
        <w:tabs>
          <w:tab w:val="left" w:pos="1101"/>
        </w:tabs>
        <w:spacing w:before="53"/>
        <w:rPr>
          <w:sz w:val="24"/>
        </w:rPr>
      </w:pPr>
      <w:r>
        <w:rPr>
          <w:sz w:val="24"/>
        </w:rPr>
        <w:t>分项报价表</w:t>
      </w:r>
    </w:p>
    <w:p>
      <w:pPr>
        <w:pStyle w:val="26"/>
        <w:numPr>
          <w:ilvl w:val="0"/>
          <w:numId w:val="39"/>
        </w:numPr>
        <w:tabs>
          <w:tab w:val="left" w:pos="1101"/>
        </w:tabs>
        <w:spacing w:before="52"/>
        <w:rPr>
          <w:sz w:val="24"/>
        </w:rPr>
      </w:pPr>
      <w:r>
        <w:rPr>
          <w:sz w:val="24"/>
        </w:rPr>
        <w:t>货物说明一览表</w:t>
      </w:r>
    </w:p>
    <w:p>
      <w:pPr>
        <w:pStyle w:val="26"/>
        <w:numPr>
          <w:ilvl w:val="0"/>
          <w:numId w:val="39"/>
        </w:numPr>
        <w:tabs>
          <w:tab w:val="left" w:pos="1101"/>
        </w:tabs>
        <w:spacing w:before="53"/>
        <w:rPr>
          <w:sz w:val="24"/>
        </w:rPr>
      </w:pPr>
      <w:r>
        <w:rPr>
          <w:sz w:val="24"/>
        </w:rPr>
        <w:t>供货范围清单</w:t>
      </w:r>
    </w:p>
    <w:p>
      <w:pPr>
        <w:pStyle w:val="26"/>
        <w:numPr>
          <w:ilvl w:val="0"/>
          <w:numId w:val="39"/>
        </w:numPr>
        <w:tabs>
          <w:tab w:val="left" w:pos="1101"/>
        </w:tabs>
        <w:spacing w:before="52"/>
        <w:rPr>
          <w:sz w:val="24"/>
        </w:rPr>
      </w:pPr>
      <w:r>
        <w:rPr>
          <w:sz w:val="24"/>
        </w:rPr>
        <w:t>技术规格和商务偏离表</w:t>
      </w:r>
    </w:p>
    <w:p>
      <w:pPr>
        <w:pStyle w:val="26"/>
        <w:numPr>
          <w:ilvl w:val="0"/>
          <w:numId w:val="39"/>
        </w:numPr>
        <w:tabs>
          <w:tab w:val="left" w:pos="1101"/>
        </w:tabs>
        <w:spacing w:before="53"/>
        <w:rPr>
          <w:sz w:val="24"/>
        </w:rPr>
      </w:pPr>
      <w:r>
        <w:rPr>
          <w:sz w:val="24"/>
        </w:rPr>
        <w:t>供应商资格证明文件</w:t>
      </w:r>
    </w:p>
    <w:p>
      <w:pPr>
        <w:pStyle w:val="26"/>
        <w:numPr>
          <w:ilvl w:val="0"/>
          <w:numId w:val="39"/>
        </w:numPr>
        <w:tabs>
          <w:tab w:val="left" w:pos="1101"/>
        </w:tabs>
        <w:spacing w:before="52"/>
        <w:rPr>
          <w:sz w:val="24"/>
          <w:lang w:eastAsia="zh-CN"/>
        </w:rPr>
      </w:pPr>
      <w:r>
        <w:rPr>
          <w:sz w:val="24"/>
          <w:lang w:eastAsia="zh-CN"/>
        </w:rPr>
        <w:t>质量保证、技术及售后服务承诺书</w:t>
      </w:r>
    </w:p>
    <w:p>
      <w:pPr>
        <w:pStyle w:val="8"/>
        <w:spacing w:before="53"/>
        <w:ind w:left="500"/>
        <w:rPr>
          <w:lang w:eastAsia="zh-CN"/>
        </w:rPr>
      </w:pPr>
      <w:r>
        <w:rPr>
          <w:lang w:eastAsia="zh-CN"/>
        </w:rPr>
        <w:t>（9）供应商提交的其它资料</w:t>
      </w:r>
    </w:p>
    <w:p>
      <w:pPr>
        <w:pStyle w:val="8"/>
        <w:spacing w:before="52"/>
        <w:ind w:left="260"/>
        <w:rPr>
          <w:lang w:eastAsia="zh-CN"/>
        </w:rPr>
      </w:pPr>
      <w:r>
        <w:rPr>
          <w:lang w:eastAsia="zh-CN"/>
        </w:rPr>
        <w:t>据此函，签字代表宣布同意并承诺如下：</w:t>
      </w:r>
    </w:p>
    <w:p>
      <w:pPr>
        <w:pStyle w:val="8"/>
        <w:spacing w:before="53"/>
        <w:ind w:left="620"/>
        <w:rPr>
          <w:lang w:eastAsia="zh-CN"/>
        </w:rPr>
      </w:pPr>
      <w:r>
        <w:rPr>
          <w:lang w:eastAsia="zh-CN"/>
        </w:rPr>
        <w:t>1、所附投标报价表中的报价为规定的应提供和交付的货物及服务总价。</w:t>
      </w:r>
    </w:p>
    <w:p>
      <w:pPr>
        <w:pStyle w:val="8"/>
        <w:spacing w:before="52" w:line="280" w:lineRule="auto"/>
        <w:ind w:left="260" w:right="239" w:firstLine="360"/>
        <w:rPr>
          <w:lang w:eastAsia="zh-CN"/>
        </w:rPr>
      </w:pPr>
      <w:r>
        <w:rPr>
          <w:lang w:eastAsia="zh-CN"/>
        </w:rPr>
        <w:t>2、供应商已详细审查全部竞争性磋商文件，包括修改文件（如有的话）和有关附件，将自行承担因对全部竞争性磋商文件理解不正确或误解而产生的相应后果。</w:t>
      </w:r>
    </w:p>
    <w:p>
      <w:pPr>
        <w:pStyle w:val="8"/>
        <w:spacing w:before="1" w:line="280" w:lineRule="auto"/>
        <w:ind w:left="260" w:right="239" w:firstLine="360"/>
        <w:rPr>
          <w:lang w:eastAsia="zh-CN"/>
        </w:rPr>
      </w:pPr>
      <w:r>
        <w:rPr>
          <w:lang w:eastAsia="zh-CN"/>
        </w:rPr>
        <w:t>3、供应商保证遵守竞争性磋商文件的全部规定，投标供应商所提交的材料中所含的信息均为真实、准确、完整，且不具有任何误导性。</w:t>
      </w:r>
    </w:p>
    <w:p>
      <w:pPr>
        <w:pStyle w:val="8"/>
        <w:ind w:left="620"/>
        <w:rPr>
          <w:lang w:eastAsia="zh-CN"/>
        </w:rPr>
      </w:pPr>
      <w:r>
        <w:rPr>
          <w:lang w:eastAsia="zh-CN"/>
        </w:rPr>
        <w:t>4、供应商将按竞争性磋商文件的规定履行合同责任和义务。</w:t>
      </w:r>
    </w:p>
    <w:p>
      <w:pPr>
        <w:pStyle w:val="8"/>
        <w:tabs>
          <w:tab w:val="left" w:pos="6139"/>
        </w:tabs>
        <w:spacing w:before="53"/>
        <w:ind w:left="620"/>
        <w:rPr>
          <w:lang w:eastAsia="zh-CN"/>
        </w:rPr>
      </w:pPr>
      <w:r>
        <w:rPr>
          <w:lang w:eastAsia="zh-CN"/>
        </w:rPr>
        <w:t>5、本响应文件自开标日起投标有效期为：</w:t>
      </w:r>
      <w:r>
        <w:rPr>
          <w:u w:val="single"/>
          <w:lang w:eastAsia="zh-CN"/>
        </w:rPr>
        <w:t xml:space="preserve"> </w:t>
      </w:r>
      <w:r>
        <w:rPr>
          <w:u w:val="single"/>
          <w:lang w:eastAsia="zh-CN"/>
        </w:rPr>
        <w:tab/>
      </w:r>
      <w:r>
        <w:rPr>
          <w:lang w:eastAsia="zh-CN"/>
        </w:rPr>
        <w:t>内保持有效。</w:t>
      </w:r>
    </w:p>
    <w:p>
      <w:pPr>
        <w:pStyle w:val="8"/>
        <w:spacing w:before="52" w:line="280" w:lineRule="auto"/>
        <w:ind w:left="260" w:right="239" w:firstLine="360"/>
        <w:rPr>
          <w:lang w:eastAsia="zh-CN"/>
        </w:rPr>
      </w:pPr>
      <w:r>
        <w:rPr>
          <w:lang w:eastAsia="zh-CN"/>
        </w:rPr>
        <w:t>6</w:t>
      </w:r>
      <w:r>
        <w:rPr>
          <w:spacing w:val="-9"/>
          <w:lang w:eastAsia="zh-CN"/>
        </w:rPr>
        <w:t xml:space="preserve">、如果发生竞争性磋商文件第二章供应商须知第 </w:t>
      </w:r>
      <w:r>
        <w:rPr>
          <w:lang w:eastAsia="zh-CN"/>
        </w:rPr>
        <w:t>3.9.9</w:t>
      </w:r>
      <w:r>
        <w:rPr>
          <w:spacing w:val="-6"/>
          <w:lang w:eastAsia="zh-CN"/>
        </w:rPr>
        <w:t xml:space="preserve"> 条所述情况，则同意不予退还投标保</w:t>
      </w:r>
      <w:r>
        <w:rPr>
          <w:lang w:eastAsia="zh-CN"/>
        </w:rPr>
        <w:t>证金。</w:t>
      </w:r>
    </w:p>
    <w:p>
      <w:pPr>
        <w:pStyle w:val="8"/>
        <w:spacing w:before="1" w:line="280" w:lineRule="auto"/>
        <w:ind w:left="260" w:right="239" w:firstLine="360"/>
        <w:rPr>
          <w:lang w:eastAsia="zh-CN"/>
        </w:rPr>
      </w:pPr>
      <w:r>
        <w:rPr>
          <w:lang w:eastAsia="zh-CN"/>
        </w:rPr>
        <w:t>7、我方同意提供按照采购人可能要求的与其投标有关的一切数据或资料，完全理解贵方不一定要接受我方最低的报价，而是由磋商小组依据竞争性磋商文件规定的评审要素所作出的评定。</w:t>
      </w:r>
    </w:p>
    <w:p>
      <w:pPr>
        <w:pStyle w:val="8"/>
        <w:ind w:left="620"/>
        <w:rPr>
          <w:lang w:eastAsia="zh-CN"/>
        </w:rPr>
      </w:pPr>
      <w:r>
        <w:rPr>
          <w:lang w:eastAsia="zh-CN"/>
        </w:rPr>
        <w:t>8、与本次投标有关的一切正式往来通讯请寄：</w:t>
      </w:r>
    </w:p>
    <w:p>
      <w:pPr>
        <w:pStyle w:val="8"/>
        <w:tabs>
          <w:tab w:val="left" w:pos="5599"/>
          <w:tab w:val="left" w:pos="9319"/>
        </w:tabs>
        <w:spacing w:before="53"/>
        <w:ind w:left="740"/>
        <w:rPr>
          <w:rFonts w:ascii="Times New Roman" w:eastAsia="Times New Roman"/>
          <w:lang w:eastAsia="zh-CN"/>
        </w:rPr>
      </w:pPr>
      <w:r>
        <w:rPr>
          <w:lang w:eastAsia="zh-CN"/>
        </w:rPr>
        <w:t>地址：</w:t>
      </w:r>
      <w:r>
        <w:rPr>
          <w:u w:val="single"/>
          <w:lang w:eastAsia="zh-CN"/>
        </w:rPr>
        <w:t xml:space="preserve"> </w:t>
      </w:r>
      <w:r>
        <w:rPr>
          <w:u w:val="single"/>
          <w:lang w:eastAsia="zh-CN"/>
        </w:rPr>
        <w:tab/>
      </w:r>
      <w:r>
        <w:rPr>
          <w:lang w:eastAsia="zh-CN"/>
        </w:rPr>
        <w:t xml:space="preserve">邮编： </w:t>
      </w:r>
      <w:r>
        <w:rPr>
          <w:rFonts w:ascii="Times New Roman" w:eastAsia="Times New Roman"/>
          <w:u w:val="single"/>
          <w:lang w:eastAsia="zh-CN"/>
        </w:rPr>
        <w:t xml:space="preserve"> </w:t>
      </w:r>
      <w:r>
        <w:rPr>
          <w:rFonts w:ascii="Times New Roman" w:eastAsia="Times New Roman"/>
          <w:u w:val="single"/>
          <w:lang w:eastAsia="zh-CN"/>
        </w:rPr>
        <w:tab/>
      </w:r>
    </w:p>
    <w:p>
      <w:pPr>
        <w:pStyle w:val="8"/>
        <w:tabs>
          <w:tab w:val="left" w:pos="5599"/>
          <w:tab w:val="left" w:pos="9319"/>
        </w:tabs>
        <w:spacing w:before="52"/>
        <w:ind w:left="740"/>
        <w:rPr>
          <w:rFonts w:ascii="Times New Roman" w:eastAsia="Times New Roman"/>
          <w:lang w:eastAsia="zh-CN"/>
        </w:rPr>
      </w:pPr>
      <w:r>
        <w:rPr>
          <w:lang w:eastAsia="zh-CN"/>
        </w:rPr>
        <w:t>电话：</w:t>
      </w:r>
      <w:r>
        <w:rPr>
          <w:u w:val="single"/>
          <w:lang w:eastAsia="zh-CN"/>
        </w:rPr>
        <w:t xml:space="preserve"> </w:t>
      </w:r>
      <w:r>
        <w:rPr>
          <w:u w:val="single"/>
          <w:lang w:eastAsia="zh-CN"/>
        </w:rPr>
        <w:tab/>
      </w:r>
      <w:r>
        <w:rPr>
          <w:lang w:eastAsia="zh-CN"/>
        </w:rPr>
        <w:t xml:space="preserve">传真： </w:t>
      </w:r>
      <w:r>
        <w:rPr>
          <w:rFonts w:ascii="Times New Roman" w:eastAsia="Times New Roman"/>
          <w:u w:val="single"/>
          <w:lang w:eastAsia="zh-CN"/>
        </w:rPr>
        <w:t xml:space="preserve"> </w:t>
      </w:r>
      <w:r>
        <w:rPr>
          <w:rFonts w:ascii="Times New Roman" w:eastAsia="Times New Roman"/>
          <w:u w:val="single"/>
          <w:lang w:eastAsia="zh-CN"/>
        </w:rPr>
        <w:tab/>
      </w:r>
    </w:p>
    <w:p>
      <w:pPr>
        <w:pStyle w:val="8"/>
        <w:rPr>
          <w:rFonts w:ascii="Times New Roman"/>
          <w:sz w:val="20"/>
          <w:lang w:eastAsia="zh-CN"/>
        </w:rPr>
      </w:pPr>
    </w:p>
    <w:p>
      <w:pPr>
        <w:pStyle w:val="8"/>
        <w:tabs>
          <w:tab w:val="left" w:pos="5299"/>
          <w:tab w:val="left" w:pos="6979"/>
          <w:tab w:val="left" w:pos="7939"/>
          <w:tab w:val="left" w:pos="8899"/>
          <w:tab w:val="left" w:pos="10159"/>
          <w:tab w:val="left" w:pos="10279"/>
        </w:tabs>
        <w:spacing w:before="183" w:line="280" w:lineRule="auto"/>
        <w:ind w:left="4820" w:right="298"/>
        <w:rPr>
          <w:lang w:eastAsia="zh-CN"/>
        </w:rPr>
      </w:pPr>
      <w:r>
        <w:rPr>
          <w:lang w:eastAsia="zh-CN"/>
        </w:rPr>
        <w:t xml:space="preserve">投标供应商代表签字： </w:t>
      </w:r>
      <w:r>
        <w:rPr>
          <w:rFonts w:ascii="Times New Roman" w:eastAsia="Times New Roman"/>
          <w:u w:val="single"/>
          <w:lang w:eastAsia="zh-CN"/>
        </w:rPr>
        <w:t xml:space="preserve"> </w:t>
      </w:r>
      <w:r>
        <w:rPr>
          <w:rFonts w:ascii="Times New Roman" w:eastAsia="Times New Roman"/>
          <w:u w:val="single"/>
          <w:lang w:eastAsia="zh-CN"/>
        </w:rPr>
        <w:tab/>
      </w:r>
      <w:r>
        <w:rPr>
          <w:rFonts w:ascii="Times New Roman" w:eastAsia="Times New Roman"/>
          <w:u w:val="single"/>
          <w:lang w:eastAsia="zh-CN"/>
        </w:rPr>
        <w:tab/>
      </w:r>
      <w:r>
        <w:rPr>
          <w:rFonts w:ascii="Times New Roman" w:eastAsia="Times New Roman"/>
          <w:u w:val="single"/>
          <w:lang w:eastAsia="zh-CN"/>
        </w:rPr>
        <w:tab/>
      </w:r>
      <w:r>
        <w:rPr>
          <w:rFonts w:ascii="Times New Roman" w:eastAsia="Times New Roman"/>
          <w:u w:val="single"/>
          <w:lang w:eastAsia="zh-CN"/>
        </w:rPr>
        <w:t xml:space="preserve"> </w:t>
      </w:r>
      <w:r>
        <w:rPr>
          <w:lang w:eastAsia="zh-CN"/>
        </w:rPr>
        <w:t>投标供应商（加盖公章）：</w:t>
      </w:r>
      <w:r>
        <w:rPr>
          <w:rFonts w:ascii="Times New Roman" w:eastAsia="Times New Roman"/>
          <w:u w:val="single"/>
          <w:lang w:eastAsia="zh-CN"/>
        </w:rPr>
        <w:t xml:space="preserve"> </w:t>
      </w:r>
      <w:r>
        <w:rPr>
          <w:rFonts w:ascii="Times New Roman" w:eastAsia="Times New Roman"/>
          <w:u w:val="single"/>
          <w:lang w:eastAsia="zh-CN"/>
        </w:rPr>
        <w:tab/>
      </w:r>
      <w:r>
        <w:rPr>
          <w:rFonts w:ascii="Times New Roman" w:eastAsia="Times New Roman"/>
          <w:u w:val="single"/>
          <w:lang w:eastAsia="zh-CN"/>
        </w:rPr>
        <w:tab/>
      </w:r>
      <w:r>
        <w:rPr>
          <w:rFonts w:ascii="Times New Roman" w:eastAsia="Times New Roman"/>
          <w:u w:val="single"/>
          <w:lang w:eastAsia="zh-CN"/>
        </w:rPr>
        <w:tab/>
      </w:r>
      <w:r>
        <w:rPr>
          <w:rFonts w:ascii="Times New Roman" w:eastAsia="Times New Roman"/>
          <w:u w:val="single"/>
          <w:lang w:eastAsia="zh-CN"/>
        </w:rPr>
        <w:tab/>
      </w:r>
      <w:r>
        <w:rPr>
          <w:rFonts w:ascii="Times New Roman" w:eastAsia="Times New Roman"/>
          <w:u w:val="single"/>
          <w:lang w:eastAsia="zh-CN"/>
        </w:rPr>
        <w:t xml:space="preserve"> </w:t>
      </w:r>
      <w:r>
        <w:rPr>
          <w:lang w:eastAsia="zh-CN"/>
        </w:rPr>
        <w:t>日</w:t>
      </w:r>
      <w:r>
        <w:rPr>
          <w:lang w:eastAsia="zh-CN"/>
        </w:rPr>
        <w:tab/>
      </w:r>
      <w:r>
        <w:rPr>
          <w:lang w:eastAsia="zh-CN"/>
        </w:rPr>
        <w:t>期：</w:t>
      </w:r>
      <w:r>
        <w:rPr>
          <w:lang w:eastAsia="zh-CN"/>
        </w:rPr>
        <w:tab/>
      </w:r>
      <w:r>
        <w:rPr>
          <w:lang w:eastAsia="zh-CN"/>
        </w:rPr>
        <w:t>年</w:t>
      </w:r>
      <w:r>
        <w:rPr>
          <w:lang w:eastAsia="zh-CN"/>
        </w:rPr>
        <w:tab/>
      </w:r>
      <w:r>
        <w:rPr>
          <w:lang w:eastAsia="zh-CN"/>
        </w:rPr>
        <w:t>月</w:t>
      </w:r>
      <w:r>
        <w:rPr>
          <w:lang w:eastAsia="zh-CN"/>
        </w:rPr>
        <w:tab/>
      </w:r>
      <w:r>
        <w:rPr>
          <w:lang w:eastAsia="zh-CN"/>
        </w:rPr>
        <w:t>日</w:t>
      </w:r>
    </w:p>
    <w:p>
      <w:pPr>
        <w:spacing w:line="280" w:lineRule="auto"/>
        <w:rPr>
          <w:lang w:eastAsia="zh-CN"/>
        </w:rPr>
        <w:sectPr>
          <w:type w:val="continuous"/>
          <w:pgSz w:w="12240" w:h="15840"/>
          <w:pgMar w:top="1320" w:right="840" w:bottom="280" w:left="820" w:header="720" w:footer="720" w:gutter="0"/>
          <w:pgNumType w:fmt="decimal"/>
          <w:cols w:space="720" w:num="1"/>
        </w:sectPr>
      </w:pPr>
    </w:p>
    <w:p>
      <w:pPr>
        <w:spacing w:before="59"/>
        <w:ind w:left="24"/>
        <w:jc w:val="center"/>
        <w:rPr>
          <w:b/>
          <w:sz w:val="24"/>
          <w:lang w:eastAsia="zh-CN"/>
        </w:rPr>
      </w:pPr>
      <w:bookmarkStart w:id="24" w:name="（二）开标一览表"/>
      <w:bookmarkEnd w:id="24"/>
      <w:r>
        <w:rPr>
          <w:sz w:val="24"/>
          <w:lang w:eastAsia="zh-CN"/>
        </w:rPr>
        <w:t>（二）</w:t>
      </w:r>
      <w:r>
        <w:rPr>
          <w:b/>
          <w:sz w:val="24"/>
          <w:lang w:eastAsia="zh-CN"/>
        </w:rPr>
        <w:t>开标一览表</w:t>
      </w:r>
    </w:p>
    <w:p>
      <w:pPr>
        <w:pStyle w:val="8"/>
        <w:spacing w:before="3"/>
        <w:rPr>
          <w:b/>
          <w:sz w:val="12"/>
          <w:lang w:eastAsia="zh-CN"/>
        </w:rPr>
      </w:pPr>
    </w:p>
    <w:p>
      <w:pPr>
        <w:pStyle w:val="8"/>
        <w:spacing w:before="66"/>
        <w:ind w:left="260"/>
        <w:rPr>
          <w:lang w:eastAsia="zh-CN"/>
        </w:rPr>
      </w:pPr>
      <w:r>
        <w:rPr>
          <w:lang w:eastAsia="zh-CN"/>
        </w:rPr>
        <w:t>项目、包段名称：</w:t>
      </w:r>
    </w:p>
    <w:p>
      <w:pPr>
        <w:pStyle w:val="8"/>
        <w:spacing w:before="4"/>
        <w:rPr>
          <w:sz w:val="15"/>
          <w:lang w:eastAsia="zh-CN"/>
        </w:rPr>
      </w:pPr>
    </w:p>
    <w:p>
      <w:pPr>
        <w:spacing w:before="55"/>
        <w:ind w:left="14"/>
        <w:jc w:val="center"/>
        <w:rPr>
          <w:b/>
          <w:sz w:val="32"/>
          <w:lang w:eastAsia="zh-CN"/>
        </w:rPr>
      </w:pPr>
      <w:r>
        <w:rPr>
          <w:b/>
          <w:sz w:val="32"/>
          <w:lang w:eastAsia="zh-CN"/>
        </w:rPr>
        <w:t>报价一览表</w:t>
      </w:r>
    </w:p>
    <w:p>
      <w:pPr>
        <w:pStyle w:val="8"/>
        <w:tabs>
          <w:tab w:val="left" w:pos="3559"/>
        </w:tabs>
        <w:spacing w:before="243"/>
        <w:ind w:left="260"/>
        <w:rPr>
          <w:rFonts w:ascii="Times New Roman" w:eastAsia="Times New Roman"/>
          <w:lang w:eastAsia="zh-CN"/>
        </w:rPr>
      </w:pPr>
      <w:r>
        <w:rPr>
          <w:lang w:eastAsia="zh-CN"/>
        </w:rPr>
        <w:t>项目名称：</w:t>
      </w:r>
      <w:r>
        <w:rPr>
          <w:rFonts w:ascii="Times New Roman" w:eastAsia="Times New Roman"/>
          <w:u w:val="single"/>
          <w:lang w:eastAsia="zh-CN"/>
        </w:rPr>
        <w:t xml:space="preserve"> </w:t>
      </w:r>
      <w:r>
        <w:rPr>
          <w:rFonts w:ascii="Times New Roman" w:eastAsia="Times New Roman"/>
          <w:u w:val="single"/>
          <w:lang w:eastAsia="zh-CN"/>
        </w:rPr>
        <w:tab/>
      </w:r>
    </w:p>
    <w:p>
      <w:pPr>
        <w:pStyle w:val="8"/>
        <w:tabs>
          <w:tab w:val="left" w:pos="4399"/>
          <w:tab w:val="left" w:pos="7699"/>
        </w:tabs>
        <w:spacing w:before="158"/>
        <w:ind w:left="260"/>
      </w:pPr>
      <w:r>
        <w:t>采购编号：</w:t>
      </w:r>
      <w:r>
        <w:rPr>
          <w:u w:val="single"/>
        </w:rPr>
        <w:t xml:space="preserve"> </w:t>
      </w:r>
      <w:r>
        <w:rPr>
          <w:u w:val="single"/>
        </w:rPr>
        <w:tab/>
      </w:r>
      <w:r>
        <w:tab/>
      </w:r>
      <w:r>
        <w:t>单 位：元</w:t>
      </w:r>
    </w:p>
    <w:p>
      <w:pPr>
        <w:pStyle w:val="8"/>
        <w:spacing w:before="6"/>
        <w:rPr>
          <w:sz w:val="12"/>
        </w:rPr>
      </w:pPr>
    </w:p>
    <w:tbl>
      <w:tblPr>
        <w:tblStyle w:val="25"/>
        <w:tblW w:w="8601" w:type="dxa"/>
        <w:tblInd w:w="10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20"/>
        <w:gridCol w:w="4591"/>
        <w:gridCol w:w="17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20" w:type="dxa"/>
          </w:tcPr>
          <w:p>
            <w:pPr>
              <w:pStyle w:val="24"/>
              <w:spacing w:before="1"/>
              <w:ind w:left="107"/>
              <w:rPr>
                <w:b/>
                <w:sz w:val="24"/>
              </w:rPr>
            </w:pPr>
            <w:r>
              <w:rPr>
                <w:b/>
                <w:sz w:val="24"/>
              </w:rPr>
              <w:t>项目名称</w:t>
            </w:r>
          </w:p>
        </w:tc>
        <w:tc>
          <w:tcPr>
            <w:tcW w:w="4591" w:type="dxa"/>
          </w:tcPr>
          <w:p>
            <w:pPr>
              <w:pStyle w:val="24"/>
              <w:spacing w:before="1"/>
              <w:ind w:left="1914" w:right="1904"/>
              <w:jc w:val="center"/>
              <w:rPr>
                <w:b/>
                <w:sz w:val="24"/>
              </w:rPr>
            </w:pPr>
            <w:r>
              <w:rPr>
                <w:b/>
                <w:sz w:val="24"/>
              </w:rPr>
              <w:t>总报价</w:t>
            </w:r>
          </w:p>
        </w:tc>
        <w:tc>
          <w:tcPr>
            <w:tcW w:w="1790" w:type="dxa"/>
          </w:tcPr>
          <w:p>
            <w:pPr>
              <w:pStyle w:val="24"/>
              <w:spacing w:before="1"/>
              <w:ind w:left="108"/>
              <w:rPr>
                <w:b/>
                <w:sz w:val="24"/>
              </w:rPr>
            </w:pPr>
            <w:r>
              <w:rPr>
                <w:b/>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2220" w:type="dxa"/>
          </w:tcPr>
          <w:p>
            <w:pPr>
              <w:pStyle w:val="24"/>
              <w:rPr>
                <w:sz w:val="24"/>
              </w:rPr>
            </w:pPr>
          </w:p>
          <w:p>
            <w:pPr>
              <w:pStyle w:val="24"/>
              <w:spacing w:before="159"/>
              <w:ind w:left="107"/>
              <w:rPr>
                <w:b/>
                <w:sz w:val="24"/>
              </w:rPr>
            </w:pPr>
            <w:r>
              <w:rPr>
                <w:b/>
                <w:sz w:val="24"/>
              </w:rPr>
              <w:t>总报价：</w:t>
            </w:r>
          </w:p>
        </w:tc>
        <w:tc>
          <w:tcPr>
            <w:tcW w:w="4591" w:type="dxa"/>
          </w:tcPr>
          <w:p>
            <w:pPr>
              <w:pStyle w:val="24"/>
              <w:spacing w:before="1"/>
              <w:ind w:left="107"/>
              <w:rPr>
                <w:b/>
                <w:sz w:val="24"/>
                <w:lang w:eastAsia="zh-CN"/>
              </w:rPr>
            </w:pPr>
            <w:r>
              <w:rPr>
                <w:b/>
                <w:w w:val="95"/>
                <w:sz w:val="24"/>
                <w:lang w:eastAsia="zh-CN"/>
              </w:rPr>
              <w:t>磋商总报价大写金额：</w:t>
            </w:r>
          </w:p>
          <w:p>
            <w:pPr>
              <w:pStyle w:val="24"/>
              <w:rPr>
                <w:sz w:val="24"/>
                <w:lang w:eastAsia="zh-CN"/>
              </w:rPr>
            </w:pPr>
          </w:p>
          <w:p>
            <w:pPr>
              <w:pStyle w:val="24"/>
              <w:spacing w:before="11"/>
              <w:rPr>
                <w:sz w:val="24"/>
                <w:lang w:eastAsia="zh-CN"/>
              </w:rPr>
            </w:pPr>
          </w:p>
          <w:p>
            <w:pPr>
              <w:pStyle w:val="24"/>
              <w:ind w:left="107"/>
              <w:rPr>
                <w:b/>
                <w:sz w:val="24"/>
                <w:lang w:eastAsia="zh-CN"/>
              </w:rPr>
            </w:pPr>
            <w:r>
              <w:rPr>
                <w:b/>
                <w:w w:val="95"/>
                <w:sz w:val="24"/>
                <w:lang w:eastAsia="zh-CN"/>
              </w:rPr>
              <w:t>磋商总报价小写金额：</w:t>
            </w:r>
          </w:p>
        </w:tc>
        <w:tc>
          <w:tcPr>
            <w:tcW w:w="1790" w:type="dxa"/>
          </w:tcPr>
          <w:p>
            <w:pPr>
              <w:pStyle w:val="24"/>
              <w:rPr>
                <w:rFonts w:ascii="Times New Roman"/>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8601" w:type="dxa"/>
            <w:gridSpan w:val="3"/>
          </w:tcPr>
          <w:p>
            <w:pPr>
              <w:pStyle w:val="24"/>
              <w:spacing w:before="7"/>
              <w:rPr>
                <w:sz w:val="20"/>
                <w:lang w:eastAsia="zh-CN"/>
              </w:rPr>
            </w:pPr>
          </w:p>
          <w:p>
            <w:pPr>
              <w:pStyle w:val="24"/>
              <w:spacing w:before="1"/>
              <w:ind w:left="107"/>
              <w:rPr>
                <w:b/>
                <w:sz w:val="24"/>
              </w:rPr>
            </w:pPr>
            <w:r>
              <w:rPr>
                <w:b/>
                <w:sz w:val="24"/>
              </w:rPr>
              <w:t>服务期：</w:t>
            </w:r>
          </w:p>
        </w:tc>
      </w:tr>
    </w:tbl>
    <w:p>
      <w:pPr>
        <w:pStyle w:val="8"/>
        <w:spacing w:before="6"/>
        <w:rPr>
          <w:sz w:val="36"/>
        </w:rPr>
      </w:pPr>
    </w:p>
    <w:p>
      <w:pPr>
        <w:tabs>
          <w:tab w:val="left" w:pos="6919"/>
          <w:tab w:val="left" w:pos="8839"/>
        </w:tabs>
        <w:spacing w:before="160" w:line="364" w:lineRule="auto"/>
        <w:ind w:left="260" w:right="1738"/>
        <w:rPr>
          <w:rFonts w:ascii="Times New Roman" w:hAnsi="Times New Roman" w:eastAsia="Times New Roman"/>
          <w:sz w:val="24"/>
          <w:lang w:eastAsia="zh-CN"/>
        </w:rPr>
      </w:pPr>
      <w:r>
        <w:rPr>
          <w:b w:val="0"/>
          <w:lang w:eastAsia="zh-CN"/>
        </w:rPr>
        <w:t>注：</w:t>
      </w:r>
      <w:r>
        <w:rPr>
          <w:lang w:eastAsia="zh-CN"/>
        </w:rPr>
        <w:t>1、</w:t>
      </w:r>
      <w:r>
        <w:rPr>
          <w:b/>
          <w:sz w:val="24"/>
          <w:lang w:eastAsia="zh-CN"/>
        </w:rPr>
        <w:t xml:space="preserve">报价一览表中的“总报价”是响应磋商及相关其他费用的全部费用的报价。 </w:t>
      </w:r>
      <w:r>
        <w:rPr>
          <w:sz w:val="24"/>
          <w:lang w:eastAsia="zh-CN"/>
        </w:rPr>
        <w:t>供应商授权代表、联系电话（打印字体）：</w:t>
      </w:r>
      <w:r>
        <w:rPr>
          <w:rFonts w:ascii="Times New Roman" w:hAnsi="Times New Roman" w:eastAsia="Times New Roman"/>
          <w:sz w:val="24"/>
          <w:u w:val="single"/>
          <w:lang w:eastAsia="zh-CN"/>
        </w:rPr>
        <w:t xml:space="preserve"> </w:t>
      </w:r>
      <w:r>
        <w:rPr>
          <w:rFonts w:ascii="Times New Roman" w:hAnsi="Times New Roman" w:eastAsia="Times New Roman"/>
          <w:sz w:val="24"/>
          <w:u w:val="single"/>
          <w:lang w:eastAsia="zh-CN"/>
        </w:rPr>
        <w:tab/>
      </w:r>
      <w:r>
        <w:rPr>
          <w:rFonts w:ascii="Times New Roman" w:hAnsi="Times New Roman" w:eastAsia="Times New Roman"/>
          <w:sz w:val="24"/>
          <w:u w:val="single"/>
          <w:lang w:eastAsia="zh-CN"/>
        </w:rPr>
        <w:tab/>
      </w:r>
      <w:r>
        <w:rPr>
          <w:rFonts w:ascii="Times New Roman" w:hAnsi="Times New Roman" w:eastAsia="Times New Roman"/>
          <w:sz w:val="24"/>
          <w:u w:val="single"/>
          <w:lang w:eastAsia="zh-CN"/>
        </w:rPr>
        <w:t xml:space="preserve"> </w:t>
      </w:r>
      <w:r>
        <w:rPr>
          <w:sz w:val="24"/>
          <w:lang w:eastAsia="zh-CN"/>
        </w:rPr>
        <w:t>供应商授权代表(签字)：</w:t>
      </w:r>
      <w:r>
        <w:rPr>
          <w:rFonts w:ascii="Times New Roman" w:hAnsi="Times New Roman" w:eastAsia="Times New Roman"/>
          <w:sz w:val="24"/>
          <w:u w:val="single"/>
          <w:lang w:eastAsia="zh-CN"/>
        </w:rPr>
        <w:t xml:space="preserve"> </w:t>
      </w:r>
      <w:r>
        <w:rPr>
          <w:rFonts w:ascii="Times New Roman" w:hAnsi="Times New Roman" w:eastAsia="Times New Roman"/>
          <w:sz w:val="24"/>
          <w:u w:val="single"/>
          <w:lang w:eastAsia="zh-CN"/>
        </w:rPr>
        <w:tab/>
      </w:r>
    </w:p>
    <w:p>
      <w:pPr>
        <w:pStyle w:val="8"/>
        <w:tabs>
          <w:tab w:val="left" w:pos="6679"/>
        </w:tabs>
        <w:spacing w:before="62"/>
        <w:ind w:left="260"/>
        <w:rPr>
          <w:rFonts w:ascii="Times New Roman" w:eastAsia="Times New Roman"/>
          <w:lang w:eastAsia="zh-CN"/>
        </w:rPr>
      </w:pPr>
      <w:r>
        <w:rPr>
          <w:lang w:eastAsia="zh-CN"/>
        </w:rPr>
        <w:t>供应商名称(公章)：</w:t>
      </w:r>
      <w:r>
        <w:rPr>
          <w:rFonts w:ascii="Times New Roman" w:eastAsia="Times New Roman"/>
          <w:u w:val="single"/>
          <w:lang w:eastAsia="zh-CN"/>
        </w:rPr>
        <w:t xml:space="preserve"> </w:t>
      </w:r>
      <w:r>
        <w:rPr>
          <w:rFonts w:ascii="Times New Roman" w:eastAsia="Times New Roman"/>
          <w:u w:val="single"/>
          <w:lang w:eastAsia="zh-CN"/>
        </w:rPr>
        <w:tab/>
      </w:r>
    </w:p>
    <w:p>
      <w:pPr>
        <w:rPr>
          <w:rFonts w:ascii="Times New Roman" w:eastAsia="Times New Roman"/>
          <w:lang w:eastAsia="zh-CN"/>
        </w:rPr>
        <w:sectPr>
          <w:pgSz w:w="12240" w:h="15840"/>
          <w:pgMar w:top="1380" w:right="840" w:bottom="960" w:left="820" w:header="953" w:footer="761" w:gutter="0"/>
          <w:pgNumType w:fmt="decimal"/>
          <w:cols w:space="720" w:num="1"/>
        </w:sectPr>
      </w:pPr>
    </w:p>
    <w:p>
      <w:pPr>
        <w:pStyle w:val="4"/>
        <w:spacing w:before="59"/>
        <w:ind w:left="3740"/>
        <w:rPr>
          <w:lang w:eastAsia="zh-CN"/>
        </w:rPr>
      </w:pPr>
      <w:r>
        <w:rPr>
          <w:lang w:eastAsia="zh-CN"/>
        </w:rPr>
        <w:t>（三）、投标分项报价明细表</w:t>
      </w:r>
    </w:p>
    <w:p>
      <w:pPr>
        <w:pStyle w:val="8"/>
        <w:spacing w:before="7"/>
        <w:rPr>
          <w:b/>
          <w:sz w:val="29"/>
          <w:lang w:eastAsia="zh-CN"/>
        </w:rPr>
      </w:pPr>
    </w:p>
    <w:p>
      <w:pPr>
        <w:pStyle w:val="8"/>
        <w:tabs>
          <w:tab w:val="left" w:pos="7339"/>
        </w:tabs>
        <w:spacing w:after="9"/>
        <w:ind w:left="260"/>
        <w:rPr>
          <w:lang w:eastAsia="zh-CN"/>
        </w:rPr>
      </w:pPr>
      <w:r>
        <w:rPr>
          <w:lang w:eastAsia="zh-CN"/>
        </w:rPr>
        <w:t>供应商名称：</w:t>
      </w:r>
      <w:r>
        <w:rPr>
          <w:lang w:eastAsia="zh-CN"/>
        </w:rPr>
        <w:tab/>
      </w:r>
      <w:r>
        <w:rPr>
          <w:lang w:eastAsia="zh-CN"/>
        </w:rPr>
        <w:t>货币单位：</w:t>
      </w:r>
    </w:p>
    <w:tbl>
      <w:tblPr>
        <w:tblStyle w:val="25"/>
        <w:tblW w:w="9267" w:type="dxa"/>
        <w:tblInd w:w="24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17"/>
        <w:gridCol w:w="2300"/>
        <w:gridCol w:w="3682"/>
        <w:gridCol w:w="850"/>
        <w:gridCol w:w="14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4" w:hRule="atLeast"/>
        </w:trPr>
        <w:tc>
          <w:tcPr>
            <w:tcW w:w="1017" w:type="dxa"/>
            <w:tcBorders>
              <w:bottom w:val="single" w:color="000000" w:sz="6" w:space="0"/>
              <w:right w:val="single" w:color="000000" w:sz="6" w:space="0"/>
            </w:tcBorders>
          </w:tcPr>
          <w:p>
            <w:pPr>
              <w:pStyle w:val="24"/>
              <w:spacing w:before="4"/>
              <w:rPr>
                <w:sz w:val="23"/>
                <w:lang w:eastAsia="zh-CN"/>
              </w:rPr>
            </w:pPr>
          </w:p>
          <w:p>
            <w:pPr>
              <w:pStyle w:val="24"/>
              <w:spacing w:before="1"/>
              <w:ind w:left="276" w:right="263"/>
              <w:jc w:val="center"/>
              <w:rPr>
                <w:sz w:val="21"/>
              </w:rPr>
            </w:pPr>
            <w:r>
              <w:rPr>
                <w:sz w:val="21"/>
              </w:rPr>
              <w:t>序号</w:t>
            </w:r>
          </w:p>
        </w:tc>
        <w:tc>
          <w:tcPr>
            <w:tcW w:w="2300" w:type="dxa"/>
            <w:tcBorders>
              <w:left w:val="single" w:color="000000" w:sz="6" w:space="0"/>
              <w:bottom w:val="single" w:color="000000" w:sz="6" w:space="0"/>
              <w:right w:val="single" w:color="000000" w:sz="6" w:space="0"/>
            </w:tcBorders>
          </w:tcPr>
          <w:p>
            <w:pPr>
              <w:pStyle w:val="24"/>
              <w:spacing w:before="4"/>
              <w:rPr>
                <w:sz w:val="23"/>
              </w:rPr>
            </w:pPr>
          </w:p>
          <w:p>
            <w:pPr>
              <w:pStyle w:val="24"/>
              <w:spacing w:before="1"/>
              <w:ind w:left="711" w:right="694"/>
              <w:jc w:val="center"/>
              <w:rPr>
                <w:sz w:val="21"/>
              </w:rPr>
            </w:pPr>
            <w:r>
              <w:rPr>
                <w:sz w:val="21"/>
              </w:rPr>
              <w:t>服务名称</w:t>
            </w:r>
          </w:p>
        </w:tc>
        <w:tc>
          <w:tcPr>
            <w:tcW w:w="3682" w:type="dxa"/>
            <w:tcBorders>
              <w:left w:val="single" w:color="000000" w:sz="6" w:space="0"/>
              <w:bottom w:val="single" w:color="000000" w:sz="6" w:space="0"/>
              <w:right w:val="single" w:color="000000" w:sz="6" w:space="0"/>
            </w:tcBorders>
          </w:tcPr>
          <w:p>
            <w:pPr>
              <w:pStyle w:val="24"/>
              <w:spacing w:before="4"/>
              <w:rPr>
                <w:sz w:val="23"/>
              </w:rPr>
            </w:pPr>
          </w:p>
          <w:p>
            <w:pPr>
              <w:pStyle w:val="24"/>
              <w:spacing w:before="1"/>
              <w:ind w:left="563"/>
              <w:rPr>
                <w:sz w:val="21"/>
              </w:rPr>
            </w:pPr>
            <w:r>
              <w:rPr>
                <w:rFonts w:hint="eastAsia"/>
                <w:sz w:val="21"/>
                <w:lang w:eastAsia="zh-CN"/>
              </w:rPr>
              <w:t>明细说明</w:t>
            </w:r>
          </w:p>
        </w:tc>
        <w:tc>
          <w:tcPr>
            <w:tcW w:w="850" w:type="dxa"/>
            <w:tcBorders>
              <w:left w:val="single" w:color="000000" w:sz="6" w:space="0"/>
              <w:bottom w:val="single" w:color="000000" w:sz="6" w:space="0"/>
              <w:right w:val="single" w:color="000000" w:sz="6" w:space="0"/>
            </w:tcBorders>
          </w:tcPr>
          <w:p>
            <w:pPr>
              <w:pStyle w:val="24"/>
              <w:spacing w:before="165" w:line="242" w:lineRule="auto"/>
              <w:ind w:left="456" w:right="15" w:hanging="420"/>
              <w:rPr>
                <w:sz w:val="21"/>
              </w:rPr>
            </w:pPr>
            <w:r>
              <w:rPr>
                <w:sz w:val="21"/>
              </w:rPr>
              <w:t>单价</w:t>
            </w:r>
          </w:p>
        </w:tc>
        <w:tc>
          <w:tcPr>
            <w:tcW w:w="1418" w:type="dxa"/>
            <w:tcBorders>
              <w:left w:val="single" w:color="000000" w:sz="6" w:space="0"/>
              <w:bottom w:val="single" w:color="000000" w:sz="6" w:space="0"/>
              <w:right w:val="single" w:color="000000" w:sz="6" w:space="0"/>
            </w:tcBorders>
          </w:tcPr>
          <w:p>
            <w:pPr>
              <w:pStyle w:val="24"/>
              <w:spacing w:before="4"/>
              <w:rPr>
                <w:sz w:val="23"/>
              </w:rPr>
            </w:pPr>
          </w:p>
          <w:p>
            <w:pPr>
              <w:pStyle w:val="24"/>
              <w:spacing w:before="1"/>
              <w:ind w:left="482"/>
              <w:rPr>
                <w:sz w:val="21"/>
              </w:rPr>
            </w:pPr>
            <w:r>
              <w:rPr>
                <w:sz w:val="21"/>
              </w:rPr>
              <w:t>服务期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63" w:hRule="atLeast"/>
        </w:trPr>
        <w:tc>
          <w:tcPr>
            <w:tcW w:w="1017" w:type="dxa"/>
            <w:tcBorders>
              <w:top w:val="single" w:color="000000" w:sz="6" w:space="0"/>
              <w:bottom w:val="single" w:color="000000" w:sz="6" w:space="0"/>
              <w:right w:val="single" w:color="000000" w:sz="6" w:space="0"/>
            </w:tcBorders>
          </w:tcPr>
          <w:p>
            <w:pPr>
              <w:pStyle w:val="24"/>
              <w:spacing w:before="1"/>
              <w:rPr>
                <w:sz w:val="23"/>
              </w:rPr>
            </w:pPr>
          </w:p>
          <w:p>
            <w:pPr>
              <w:pStyle w:val="24"/>
              <w:ind w:left="16"/>
              <w:jc w:val="center"/>
              <w:rPr>
                <w:sz w:val="21"/>
              </w:rPr>
            </w:pPr>
            <w:r>
              <w:rPr>
                <w:w w:val="99"/>
                <w:sz w:val="21"/>
              </w:rPr>
              <w:t>1</w:t>
            </w:r>
          </w:p>
        </w:tc>
        <w:tc>
          <w:tcPr>
            <w:tcW w:w="2300" w:type="dxa"/>
            <w:tcBorders>
              <w:top w:val="single" w:color="000000" w:sz="6" w:space="0"/>
              <w:left w:val="single" w:color="000000" w:sz="6" w:space="0"/>
              <w:bottom w:val="single" w:color="000000" w:sz="6" w:space="0"/>
              <w:right w:val="single" w:color="000000" w:sz="6" w:space="0"/>
            </w:tcBorders>
          </w:tcPr>
          <w:p>
            <w:pPr>
              <w:pStyle w:val="24"/>
              <w:spacing w:before="1"/>
              <w:rPr>
                <w:sz w:val="23"/>
              </w:rPr>
            </w:pPr>
          </w:p>
          <w:p>
            <w:pPr>
              <w:pStyle w:val="24"/>
              <w:ind w:left="709" w:right="694"/>
              <w:jc w:val="center"/>
              <w:rPr>
                <w:sz w:val="21"/>
              </w:rPr>
            </w:pPr>
          </w:p>
        </w:tc>
        <w:tc>
          <w:tcPr>
            <w:tcW w:w="3682" w:type="dxa"/>
            <w:tcBorders>
              <w:top w:val="single" w:color="000000" w:sz="6" w:space="0"/>
              <w:left w:val="single" w:color="000000" w:sz="6" w:space="0"/>
              <w:bottom w:val="single" w:color="000000" w:sz="6" w:space="0"/>
              <w:right w:val="single" w:color="000000" w:sz="6" w:space="0"/>
            </w:tcBorders>
          </w:tcPr>
          <w:p>
            <w:pPr>
              <w:pStyle w:val="24"/>
              <w:rPr>
                <w:rFonts w:ascii="Times New Roman"/>
                <w:sz w:val="20"/>
              </w:rPr>
            </w:pPr>
          </w:p>
        </w:tc>
        <w:tc>
          <w:tcPr>
            <w:tcW w:w="850" w:type="dxa"/>
            <w:tcBorders>
              <w:top w:val="single" w:color="000000" w:sz="6" w:space="0"/>
              <w:left w:val="single" w:color="000000" w:sz="6" w:space="0"/>
              <w:bottom w:val="single" w:color="000000" w:sz="6" w:space="0"/>
              <w:right w:val="single" w:color="000000" w:sz="6" w:space="0"/>
            </w:tcBorders>
          </w:tcPr>
          <w:p>
            <w:pPr>
              <w:pStyle w:val="24"/>
              <w:rPr>
                <w:rFonts w:ascii="Times New Roman"/>
                <w:sz w:val="20"/>
              </w:rPr>
            </w:pPr>
          </w:p>
        </w:tc>
        <w:tc>
          <w:tcPr>
            <w:tcW w:w="1418" w:type="dxa"/>
            <w:tcBorders>
              <w:top w:val="single" w:color="000000" w:sz="6" w:space="0"/>
              <w:left w:val="single" w:color="000000" w:sz="6" w:space="0"/>
              <w:bottom w:val="single" w:color="000000" w:sz="6" w:space="0"/>
              <w:right w:val="single" w:color="000000" w:sz="6" w:space="0"/>
            </w:tcBorders>
          </w:tcPr>
          <w:p>
            <w:pPr>
              <w:pStyle w:val="2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64" w:hRule="atLeast"/>
        </w:trPr>
        <w:tc>
          <w:tcPr>
            <w:tcW w:w="1017" w:type="dxa"/>
            <w:tcBorders>
              <w:top w:val="single" w:color="000000" w:sz="6" w:space="0"/>
              <w:bottom w:val="single" w:color="000000" w:sz="6" w:space="0"/>
              <w:right w:val="single" w:color="000000" w:sz="6" w:space="0"/>
            </w:tcBorders>
          </w:tcPr>
          <w:p>
            <w:pPr>
              <w:pStyle w:val="24"/>
              <w:rPr>
                <w:sz w:val="23"/>
              </w:rPr>
            </w:pPr>
          </w:p>
          <w:p>
            <w:pPr>
              <w:pStyle w:val="24"/>
              <w:ind w:left="16"/>
              <w:jc w:val="center"/>
              <w:rPr>
                <w:sz w:val="21"/>
              </w:rPr>
            </w:pPr>
            <w:r>
              <w:rPr>
                <w:w w:val="99"/>
                <w:sz w:val="21"/>
              </w:rPr>
              <w:t>2</w:t>
            </w:r>
          </w:p>
        </w:tc>
        <w:tc>
          <w:tcPr>
            <w:tcW w:w="2300" w:type="dxa"/>
            <w:tcBorders>
              <w:top w:val="single" w:color="000000" w:sz="6" w:space="0"/>
              <w:left w:val="single" w:color="000000" w:sz="6" w:space="0"/>
              <w:bottom w:val="single" w:color="000000" w:sz="6" w:space="0"/>
              <w:right w:val="single" w:color="000000" w:sz="6" w:space="0"/>
            </w:tcBorders>
          </w:tcPr>
          <w:p>
            <w:pPr>
              <w:pStyle w:val="24"/>
              <w:rPr>
                <w:sz w:val="23"/>
              </w:rPr>
            </w:pPr>
          </w:p>
          <w:p>
            <w:pPr>
              <w:pStyle w:val="24"/>
              <w:ind w:left="709" w:right="694"/>
              <w:jc w:val="center"/>
              <w:rPr>
                <w:sz w:val="21"/>
              </w:rPr>
            </w:pPr>
          </w:p>
        </w:tc>
        <w:tc>
          <w:tcPr>
            <w:tcW w:w="3682" w:type="dxa"/>
            <w:tcBorders>
              <w:top w:val="single" w:color="000000" w:sz="6" w:space="0"/>
              <w:left w:val="single" w:color="000000" w:sz="6" w:space="0"/>
              <w:bottom w:val="single" w:color="000000" w:sz="6" w:space="0"/>
              <w:right w:val="single" w:color="000000" w:sz="6" w:space="0"/>
            </w:tcBorders>
          </w:tcPr>
          <w:p>
            <w:pPr>
              <w:pStyle w:val="24"/>
              <w:rPr>
                <w:rFonts w:ascii="Times New Roman"/>
                <w:sz w:val="20"/>
              </w:rPr>
            </w:pPr>
          </w:p>
        </w:tc>
        <w:tc>
          <w:tcPr>
            <w:tcW w:w="850" w:type="dxa"/>
            <w:tcBorders>
              <w:top w:val="single" w:color="000000" w:sz="6" w:space="0"/>
              <w:left w:val="single" w:color="000000" w:sz="6" w:space="0"/>
              <w:bottom w:val="single" w:color="000000" w:sz="6" w:space="0"/>
              <w:right w:val="single" w:color="000000" w:sz="6" w:space="0"/>
            </w:tcBorders>
          </w:tcPr>
          <w:p>
            <w:pPr>
              <w:pStyle w:val="24"/>
              <w:rPr>
                <w:rFonts w:ascii="Times New Roman"/>
                <w:sz w:val="20"/>
              </w:rPr>
            </w:pPr>
          </w:p>
        </w:tc>
        <w:tc>
          <w:tcPr>
            <w:tcW w:w="1418" w:type="dxa"/>
            <w:tcBorders>
              <w:top w:val="single" w:color="000000" w:sz="6" w:space="0"/>
              <w:left w:val="single" w:color="000000" w:sz="6" w:space="0"/>
              <w:bottom w:val="single" w:color="000000" w:sz="6" w:space="0"/>
              <w:right w:val="single" w:color="000000" w:sz="6" w:space="0"/>
            </w:tcBorders>
          </w:tcPr>
          <w:p>
            <w:pPr>
              <w:pStyle w:val="2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63" w:hRule="atLeast"/>
        </w:trPr>
        <w:tc>
          <w:tcPr>
            <w:tcW w:w="1017" w:type="dxa"/>
            <w:tcBorders>
              <w:top w:val="single" w:color="000000" w:sz="6" w:space="0"/>
              <w:bottom w:val="single" w:color="000000" w:sz="6" w:space="0"/>
              <w:right w:val="single" w:color="000000" w:sz="6" w:space="0"/>
            </w:tcBorders>
          </w:tcPr>
          <w:p>
            <w:pPr>
              <w:pStyle w:val="24"/>
              <w:rPr>
                <w:sz w:val="23"/>
              </w:rPr>
            </w:pPr>
          </w:p>
          <w:p>
            <w:pPr>
              <w:pStyle w:val="24"/>
              <w:ind w:left="16"/>
              <w:jc w:val="center"/>
              <w:rPr>
                <w:sz w:val="21"/>
              </w:rPr>
            </w:pPr>
            <w:r>
              <w:rPr>
                <w:w w:val="99"/>
                <w:sz w:val="21"/>
              </w:rPr>
              <w:t>3</w:t>
            </w:r>
          </w:p>
        </w:tc>
        <w:tc>
          <w:tcPr>
            <w:tcW w:w="2300" w:type="dxa"/>
            <w:tcBorders>
              <w:top w:val="single" w:color="000000" w:sz="6" w:space="0"/>
              <w:left w:val="single" w:color="000000" w:sz="6" w:space="0"/>
              <w:bottom w:val="single" w:color="000000" w:sz="6" w:space="0"/>
              <w:right w:val="single" w:color="000000" w:sz="6" w:space="0"/>
            </w:tcBorders>
          </w:tcPr>
          <w:p>
            <w:pPr>
              <w:pStyle w:val="24"/>
              <w:rPr>
                <w:sz w:val="23"/>
              </w:rPr>
            </w:pPr>
          </w:p>
          <w:p>
            <w:pPr>
              <w:pStyle w:val="24"/>
              <w:ind w:left="709" w:right="694"/>
              <w:jc w:val="center"/>
              <w:rPr>
                <w:sz w:val="21"/>
              </w:rPr>
            </w:pPr>
          </w:p>
        </w:tc>
        <w:tc>
          <w:tcPr>
            <w:tcW w:w="3682" w:type="dxa"/>
            <w:tcBorders>
              <w:top w:val="single" w:color="000000" w:sz="6" w:space="0"/>
              <w:left w:val="single" w:color="000000" w:sz="6" w:space="0"/>
              <w:bottom w:val="single" w:color="000000" w:sz="6" w:space="0"/>
              <w:right w:val="single" w:color="000000" w:sz="6" w:space="0"/>
            </w:tcBorders>
          </w:tcPr>
          <w:p>
            <w:pPr>
              <w:pStyle w:val="24"/>
              <w:rPr>
                <w:rFonts w:ascii="Times New Roman"/>
                <w:sz w:val="20"/>
              </w:rPr>
            </w:pPr>
          </w:p>
        </w:tc>
        <w:tc>
          <w:tcPr>
            <w:tcW w:w="850" w:type="dxa"/>
            <w:tcBorders>
              <w:top w:val="single" w:color="000000" w:sz="6" w:space="0"/>
              <w:left w:val="single" w:color="000000" w:sz="6" w:space="0"/>
              <w:bottom w:val="single" w:color="000000" w:sz="6" w:space="0"/>
              <w:right w:val="single" w:color="000000" w:sz="6" w:space="0"/>
            </w:tcBorders>
          </w:tcPr>
          <w:p>
            <w:pPr>
              <w:pStyle w:val="24"/>
              <w:rPr>
                <w:rFonts w:ascii="Times New Roman"/>
                <w:sz w:val="20"/>
              </w:rPr>
            </w:pPr>
          </w:p>
        </w:tc>
        <w:tc>
          <w:tcPr>
            <w:tcW w:w="1418" w:type="dxa"/>
            <w:tcBorders>
              <w:top w:val="single" w:color="000000" w:sz="6" w:space="0"/>
              <w:left w:val="single" w:color="000000" w:sz="6" w:space="0"/>
              <w:bottom w:val="single" w:color="000000" w:sz="6" w:space="0"/>
              <w:right w:val="single" w:color="000000" w:sz="6" w:space="0"/>
            </w:tcBorders>
          </w:tcPr>
          <w:p>
            <w:pPr>
              <w:pStyle w:val="2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863" w:hRule="atLeast"/>
        </w:trPr>
        <w:tc>
          <w:tcPr>
            <w:tcW w:w="1017" w:type="dxa"/>
            <w:tcBorders>
              <w:top w:val="single" w:color="000000" w:sz="6" w:space="0"/>
              <w:bottom w:val="single" w:color="000000" w:sz="6" w:space="0"/>
              <w:right w:val="single" w:color="000000" w:sz="6" w:space="0"/>
            </w:tcBorders>
          </w:tcPr>
          <w:p>
            <w:pPr>
              <w:pStyle w:val="24"/>
              <w:spacing w:before="12"/>
            </w:pPr>
          </w:p>
          <w:p>
            <w:pPr>
              <w:pStyle w:val="24"/>
              <w:ind w:left="16"/>
              <w:jc w:val="center"/>
              <w:rPr>
                <w:sz w:val="21"/>
              </w:rPr>
            </w:pPr>
            <w:r>
              <w:rPr>
                <w:w w:val="99"/>
                <w:sz w:val="21"/>
              </w:rPr>
              <w:t>4</w:t>
            </w:r>
          </w:p>
        </w:tc>
        <w:tc>
          <w:tcPr>
            <w:tcW w:w="2300" w:type="dxa"/>
            <w:tcBorders>
              <w:top w:val="single" w:color="000000" w:sz="6" w:space="0"/>
              <w:left w:val="single" w:color="000000" w:sz="6" w:space="0"/>
              <w:bottom w:val="single" w:color="000000" w:sz="6" w:space="0"/>
              <w:right w:val="single" w:color="000000" w:sz="6" w:space="0"/>
            </w:tcBorders>
          </w:tcPr>
          <w:p>
            <w:pPr>
              <w:pStyle w:val="24"/>
              <w:rPr>
                <w:rFonts w:ascii="Times New Roman"/>
                <w:sz w:val="20"/>
              </w:rPr>
            </w:pPr>
          </w:p>
        </w:tc>
        <w:tc>
          <w:tcPr>
            <w:tcW w:w="3682" w:type="dxa"/>
            <w:tcBorders>
              <w:top w:val="single" w:color="000000" w:sz="6" w:space="0"/>
              <w:left w:val="single" w:color="000000" w:sz="6" w:space="0"/>
              <w:bottom w:val="single" w:color="000000" w:sz="6" w:space="0"/>
              <w:right w:val="single" w:color="000000" w:sz="6" w:space="0"/>
            </w:tcBorders>
          </w:tcPr>
          <w:p>
            <w:pPr>
              <w:pStyle w:val="24"/>
              <w:rPr>
                <w:rFonts w:ascii="Times New Roman"/>
                <w:sz w:val="20"/>
              </w:rPr>
            </w:pPr>
          </w:p>
        </w:tc>
        <w:tc>
          <w:tcPr>
            <w:tcW w:w="850" w:type="dxa"/>
            <w:tcBorders>
              <w:top w:val="single" w:color="000000" w:sz="6" w:space="0"/>
              <w:left w:val="single" w:color="000000" w:sz="6" w:space="0"/>
              <w:bottom w:val="single" w:color="000000" w:sz="6" w:space="0"/>
              <w:right w:val="single" w:color="000000" w:sz="6" w:space="0"/>
            </w:tcBorders>
          </w:tcPr>
          <w:p>
            <w:pPr>
              <w:pStyle w:val="24"/>
              <w:rPr>
                <w:rFonts w:ascii="Times New Roman"/>
                <w:sz w:val="20"/>
              </w:rPr>
            </w:pPr>
          </w:p>
        </w:tc>
        <w:tc>
          <w:tcPr>
            <w:tcW w:w="1418" w:type="dxa"/>
            <w:tcBorders>
              <w:top w:val="single" w:color="000000" w:sz="6" w:space="0"/>
              <w:left w:val="single" w:color="000000" w:sz="6" w:space="0"/>
              <w:bottom w:val="single" w:color="000000" w:sz="6" w:space="0"/>
              <w:right w:val="single" w:color="000000" w:sz="6" w:space="0"/>
            </w:tcBorders>
          </w:tcPr>
          <w:p>
            <w:pPr>
              <w:pStyle w:val="2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63" w:hRule="atLeast"/>
        </w:trPr>
        <w:tc>
          <w:tcPr>
            <w:tcW w:w="1017" w:type="dxa"/>
            <w:tcBorders>
              <w:top w:val="single" w:color="000000" w:sz="6" w:space="0"/>
              <w:bottom w:val="single" w:color="000000" w:sz="6" w:space="0"/>
              <w:right w:val="single" w:color="000000" w:sz="6" w:space="0"/>
            </w:tcBorders>
          </w:tcPr>
          <w:p>
            <w:pPr>
              <w:pStyle w:val="24"/>
              <w:spacing w:before="1"/>
              <w:rPr>
                <w:sz w:val="23"/>
              </w:rPr>
            </w:pPr>
          </w:p>
          <w:p>
            <w:pPr>
              <w:pStyle w:val="24"/>
              <w:ind w:left="15"/>
              <w:jc w:val="center"/>
              <w:rPr>
                <w:sz w:val="21"/>
              </w:rPr>
            </w:pPr>
            <w:r>
              <w:rPr>
                <w:w w:val="99"/>
                <w:sz w:val="21"/>
              </w:rPr>
              <w:t>…</w:t>
            </w:r>
          </w:p>
        </w:tc>
        <w:tc>
          <w:tcPr>
            <w:tcW w:w="2300" w:type="dxa"/>
            <w:tcBorders>
              <w:top w:val="single" w:color="000000" w:sz="6" w:space="0"/>
              <w:left w:val="single" w:color="000000" w:sz="6" w:space="0"/>
              <w:bottom w:val="single" w:color="000000" w:sz="6" w:space="0"/>
              <w:right w:val="single" w:color="000000" w:sz="6" w:space="0"/>
            </w:tcBorders>
          </w:tcPr>
          <w:p>
            <w:pPr>
              <w:pStyle w:val="24"/>
              <w:rPr>
                <w:rFonts w:ascii="Times New Roman"/>
                <w:sz w:val="20"/>
              </w:rPr>
            </w:pPr>
          </w:p>
        </w:tc>
        <w:tc>
          <w:tcPr>
            <w:tcW w:w="3682" w:type="dxa"/>
            <w:tcBorders>
              <w:top w:val="single" w:color="000000" w:sz="6" w:space="0"/>
              <w:left w:val="single" w:color="000000" w:sz="6" w:space="0"/>
              <w:bottom w:val="single" w:color="000000" w:sz="6" w:space="0"/>
              <w:right w:val="single" w:color="000000" w:sz="6" w:space="0"/>
            </w:tcBorders>
          </w:tcPr>
          <w:p>
            <w:pPr>
              <w:pStyle w:val="24"/>
              <w:rPr>
                <w:rFonts w:ascii="Times New Roman"/>
                <w:sz w:val="20"/>
              </w:rPr>
            </w:pPr>
          </w:p>
        </w:tc>
        <w:tc>
          <w:tcPr>
            <w:tcW w:w="850" w:type="dxa"/>
            <w:tcBorders>
              <w:top w:val="single" w:color="000000" w:sz="6" w:space="0"/>
              <w:left w:val="single" w:color="000000" w:sz="6" w:space="0"/>
              <w:bottom w:val="single" w:color="000000" w:sz="6" w:space="0"/>
              <w:right w:val="single" w:color="000000" w:sz="6" w:space="0"/>
            </w:tcBorders>
          </w:tcPr>
          <w:p>
            <w:pPr>
              <w:pStyle w:val="24"/>
              <w:rPr>
                <w:rFonts w:ascii="Times New Roman"/>
                <w:sz w:val="20"/>
              </w:rPr>
            </w:pPr>
          </w:p>
        </w:tc>
        <w:tc>
          <w:tcPr>
            <w:tcW w:w="1418" w:type="dxa"/>
            <w:tcBorders>
              <w:top w:val="single" w:color="000000" w:sz="6" w:space="0"/>
              <w:left w:val="single" w:color="000000" w:sz="6" w:space="0"/>
              <w:bottom w:val="single" w:color="000000" w:sz="6" w:space="0"/>
              <w:right w:val="single" w:color="000000" w:sz="6" w:space="0"/>
            </w:tcBorders>
          </w:tcPr>
          <w:p>
            <w:pPr>
              <w:pStyle w:val="2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903" w:hRule="atLeast"/>
        </w:trPr>
        <w:tc>
          <w:tcPr>
            <w:tcW w:w="9267" w:type="dxa"/>
            <w:gridSpan w:val="5"/>
            <w:tcBorders>
              <w:top w:val="single" w:color="000000" w:sz="6" w:space="0"/>
              <w:right w:val="single" w:color="000000" w:sz="6" w:space="0"/>
            </w:tcBorders>
          </w:tcPr>
          <w:p>
            <w:pPr>
              <w:pStyle w:val="24"/>
              <w:spacing w:before="7"/>
              <w:rPr>
                <w:sz w:val="24"/>
              </w:rPr>
            </w:pPr>
          </w:p>
          <w:p>
            <w:pPr>
              <w:pStyle w:val="24"/>
              <w:ind w:left="607"/>
              <w:rPr>
                <w:sz w:val="21"/>
              </w:rPr>
            </w:pPr>
            <w:r>
              <w:rPr>
                <w:sz w:val="21"/>
              </w:rPr>
              <w:t>投标总价（元/人/天）</w:t>
            </w:r>
          </w:p>
        </w:tc>
      </w:tr>
    </w:tbl>
    <w:p>
      <w:pPr>
        <w:spacing w:before="36"/>
        <w:ind w:left="260"/>
        <w:rPr>
          <w:b/>
        </w:rPr>
      </w:pPr>
      <w:r>
        <w:rPr>
          <w:b/>
        </w:rPr>
        <w:t>注：</w:t>
      </w:r>
    </w:p>
    <w:p>
      <w:pPr>
        <w:spacing w:before="37" w:line="273" w:lineRule="auto"/>
        <w:ind w:left="260" w:right="269" w:firstLine="439"/>
        <w:rPr>
          <w:b/>
          <w:lang w:eastAsia="zh-CN"/>
        </w:rPr>
      </w:pPr>
      <w:r>
        <w:rPr>
          <w:b/>
          <w:lang w:eastAsia="zh-CN"/>
        </w:rPr>
        <w:t>1、供应商未进行分项报价或分项报价未能准确全部反映产品价格构成或有所隐含，有可能致使在合同履行过程中引起纠纷（非正常的追加或索赔等）或不能诚信履约的，可作无效投标处理。</w:t>
      </w:r>
    </w:p>
    <w:p>
      <w:pPr>
        <w:spacing w:line="273" w:lineRule="auto"/>
        <w:ind w:left="260" w:right="237" w:firstLine="220"/>
        <w:jc w:val="both"/>
        <w:rPr>
          <w:b/>
          <w:lang w:eastAsia="zh-CN"/>
        </w:rPr>
      </w:pPr>
      <w:r>
        <w:rPr>
          <w:b/>
          <w:spacing w:val="-3"/>
          <w:lang w:eastAsia="zh-CN"/>
        </w:rPr>
        <w:t>2</w:t>
      </w:r>
      <w:r>
        <w:rPr>
          <w:b/>
          <w:lang w:eastAsia="zh-CN"/>
        </w:rPr>
        <w:t>、磋商小组认为供应商的报价明显低于其他通过符合性审查供应商的报价，有可能影响产品质量或者</w:t>
      </w:r>
      <w:r>
        <w:rPr>
          <w:b/>
          <w:spacing w:val="-7"/>
          <w:lang w:eastAsia="zh-CN"/>
        </w:rPr>
        <w:t>不能诚信履约的，应当要求其在评标现场合理的时间内提供书面说明，必要时提交相关证明材料；供应商不能证明其报价合理性的，磋商小组应当将其作为无效投标处理。</w:t>
      </w:r>
    </w:p>
    <w:p>
      <w:pPr>
        <w:spacing w:line="278" w:lineRule="exact"/>
        <w:ind w:left="480"/>
        <w:rPr>
          <w:b/>
          <w:lang w:eastAsia="zh-CN"/>
        </w:rPr>
      </w:pPr>
      <w:r>
        <w:rPr>
          <w:b/>
          <w:lang w:eastAsia="zh-CN"/>
        </w:rPr>
        <w:t>3、此表中的价格若与报价一览中所报的价格不一致的，以报价一览表中的价格为准。</w:t>
      </w:r>
    </w:p>
    <w:p>
      <w:pPr>
        <w:pStyle w:val="8"/>
        <w:spacing w:before="11"/>
        <w:rPr>
          <w:b/>
          <w:sz w:val="29"/>
          <w:lang w:eastAsia="zh-CN"/>
        </w:rPr>
      </w:pPr>
    </w:p>
    <w:p>
      <w:pPr>
        <w:pStyle w:val="8"/>
        <w:tabs>
          <w:tab w:val="left" w:pos="6919"/>
        </w:tabs>
        <w:spacing w:before="1"/>
        <w:ind w:left="260"/>
        <w:rPr>
          <w:rFonts w:ascii="Times New Roman" w:eastAsia="Times New Roman"/>
          <w:lang w:eastAsia="zh-CN"/>
        </w:rPr>
      </w:pPr>
      <w:r>
        <w:rPr>
          <w:lang w:eastAsia="zh-CN"/>
        </w:rPr>
        <w:t>供应商授权代表(签字)：</w:t>
      </w:r>
      <w:r>
        <w:rPr>
          <w:rFonts w:ascii="Times New Roman" w:eastAsia="Times New Roman"/>
          <w:u w:val="single"/>
          <w:lang w:eastAsia="zh-CN"/>
        </w:rPr>
        <w:t xml:space="preserve"> </w:t>
      </w:r>
      <w:r>
        <w:rPr>
          <w:rFonts w:ascii="Times New Roman" w:eastAsia="Times New Roman"/>
          <w:u w:val="single"/>
          <w:lang w:eastAsia="zh-CN"/>
        </w:rPr>
        <w:tab/>
      </w:r>
    </w:p>
    <w:p>
      <w:pPr>
        <w:pStyle w:val="8"/>
        <w:spacing w:before="4"/>
        <w:rPr>
          <w:rFonts w:ascii="Times New Roman"/>
          <w:sz w:val="13"/>
          <w:lang w:eastAsia="zh-CN"/>
        </w:rPr>
      </w:pPr>
    </w:p>
    <w:p>
      <w:pPr>
        <w:pStyle w:val="8"/>
        <w:tabs>
          <w:tab w:val="left" w:pos="6679"/>
        </w:tabs>
        <w:spacing w:before="67"/>
        <w:ind w:left="260"/>
        <w:rPr>
          <w:rFonts w:ascii="Times New Roman" w:eastAsia="Times New Roman"/>
          <w:lang w:eastAsia="zh-CN"/>
        </w:rPr>
      </w:pPr>
      <w:r>
        <w:rPr>
          <w:lang w:eastAsia="zh-CN"/>
        </w:rPr>
        <w:t>供应商名称(公章)：</w:t>
      </w:r>
      <w:r>
        <w:rPr>
          <w:rFonts w:ascii="Times New Roman" w:eastAsia="Times New Roman"/>
          <w:u w:val="single"/>
          <w:lang w:eastAsia="zh-CN"/>
        </w:rPr>
        <w:t xml:space="preserve"> </w:t>
      </w:r>
      <w:r>
        <w:rPr>
          <w:rFonts w:ascii="Times New Roman" w:eastAsia="Times New Roman"/>
          <w:u w:val="single"/>
          <w:lang w:eastAsia="zh-CN"/>
        </w:rPr>
        <w:tab/>
      </w:r>
    </w:p>
    <w:p>
      <w:pPr>
        <w:rPr>
          <w:rFonts w:ascii="Times New Roman" w:eastAsia="Times New Roman"/>
          <w:lang w:eastAsia="zh-CN"/>
        </w:rPr>
        <w:sectPr>
          <w:pgSz w:w="12240" w:h="15840"/>
          <w:pgMar w:top="1380" w:right="840" w:bottom="960" w:left="820" w:header="953" w:footer="761" w:gutter="0"/>
          <w:pgNumType w:fmt="decimal"/>
          <w:cols w:space="720" w:num="1"/>
        </w:sectPr>
      </w:pPr>
    </w:p>
    <w:p>
      <w:pPr>
        <w:pStyle w:val="4"/>
        <w:spacing w:before="59"/>
        <w:ind w:left="459" w:right="2587"/>
        <w:jc w:val="center"/>
        <w:rPr>
          <w:lang w:eastAsia="zh-CN"/>
        </w:rPr>
      </w:pPr>
      <w:bookmarkStart w:id="25" w:name="（四）、技术规格偏离表"/>
      <w:bookmarkEnd w:id="25"/>
      <w:r>
        <w:rPr>
          <w:rFonts w:hint="eastAsia"/>
          <w:lang w:val="en-US" w:eastAsia="zh-CN"/>
        </w:rPr>
        <w:t xml:space="preserve">       </w:t>
      </w:r>
      <w:r>
        <w:rPr>
          <w:lang w:eastAsia="zh-CN"/>
        </w:rPr>
        <w:t>（四）、技术规格偏离表</w:t>
      </w:r>
    </w:p>
    <w:p>
      <w:pPr>
        <w:pStyle w:val="8"/>
        <w:spacing w:before="7"/>
        <w:rPr>
          <w:b/>
          <w:sz w:val="29"/>
          <w:lang w:eastAsia="zh-CN"/>
        </w:rPr>
      </w:pPr>
    </w:p>
    <w:p>
      <w:pPr>
        <w:pStyle w:val="8"/>
        <w:ind w:left="260"/>
        <w:rPr>
          <w:lang w:eastAsia="zh-CN"/>
        </w:rPr>
      </w:pPr>
      <w:r>
        <w:rPr>
          <w:lang w:eastAsia="zh-CN"/>
        </w:rPr>
        <w:t>项目名称：</w:t>
      </w:r>
    </w:p>
    <w:p>
      <w:pPr>
        <w:pStyle w:val="8"/>
        <w:tabs>
          <w:tab w:val="left" w:pos="6919"/>
          <w:tab w:val="left" w:pos="7399"/>
          <w:tab w:val="left" w:pos="8119"/>
        </w:tabs>
        <w:spacing w:before="72" w:after="9"/>
        <w:ind w:left="260"/>
        <w:rPr>
          <w:lang w:eastAsia="zh-CN"/>
        </w:rPr>
      </w:pPr>
      <w:r>
        <w:rPr>
          <w:lang w:eastAsia="zh-CN"/>
        </w:rPr>
        <w:t>项目编号∶</w:t>
      </w:r>
      <w:r>
        <w:rPr>
          <w:lang w:eastAsia="zh-CN"/>
        </w:rPr>
        <w:tab/>
      </w:r>
      <w:r>
        <w:rPr>
          <w:lang w:eastAsia="zh-CN"/>
        </w:rPr>
        <w:t>第</w:t>
      </w:r>
      <w:r>
        <w:rPr>
          <w:lang w:eastAsia="zh-CN"/>
        </w:rPr>
        <w:tab/>
      </w:r>
      <w:r>
        <w:rPr>
          <w:lang w:eastAsia="zh-CN"/>
        </w:rPr>
        <w:t>页共</w:t>
      </w:r>
      <w:r>
        <w:rPr>
          <w:lang w:eastAsia="zh-CN"/>
        </w:rPr>
        <w:tab/>
      </w:r>
      <w:r>
        <w:rPr>
          <w:lang w:eastAsia="zh-CN"/>
        </w:rPr>
        <w:t>页</w:t>
      </w:r>
    </w:p>
    <w:tbl>
      <w:tblPr>
        <w:tblStyle w:val="25"/>
        <w:tblW w:w="10207" w:type="dxa"/>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2"/>
        <w:gridCol w:w="2401"/>
        <w:gridCol w:w="2429"/>
        <w:gridCol w:w="2557"/>
        <w:gridCol w:w="20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772" w:type="dxa"/>
          </w:tcPr>
          <w:p>
            <w:pPr>
              <w:pStyle w:val="24"/>
              <w:spacing w:before="11"/>
              <w:rPr>
                <w:sz w:val="21"/>
                <w:lang w:eastAsia="zh-CN"/>
              </w:rPr>
            </w:pPr>
          </w:p>
          <w:p>
            <w:pPr>
              <w:pStyle w:val="24"/>
              <w:spacing w:before="1"/>
              <w:ind w:left="146"/>
              <w:rPr>
                <w:sz w:val="24"/>
              </w:rPr>
            </w:pPr>
            <w:r>
              <w:rPr>
                <w:sz w:val="24"/>
              </w:rPr>
              <w:t>序号</w:t>
            </w:r>
          </w:p>
        </w:tc>
        <w:tc>
          <w:tcPr>
            <w:tcW w:w="2401" w:type="dxa"/>
          </w:tcPr>
          <w:p>
            <w:pPr>
              <w:pStyle w:val="24"/>
              <w:spacing w:before="11"/>
              <w:rPr>
                <w:sz w:val="21"/>
              </w:rPr>
            </w:pPr>
          </w:p>
          <w:p>
            <w:pPr>
              <w:pStyle w:val="24"/>
              <w:spacing w:before="1"/>
              <w:ind w:left="718"/>
              <w:rPr>
                <w:sz w:val="24"/>
              </w:rPr>
            </w:pPr>
            <w:r>
              <w:rPr>
                <w:sz w:val="24"/>
              </w:rPr>
              <w:t>货物名称</w:t>
            </w:r>
          </w:p>
        </w:tc>
        <w:tc>
          <w:tcPr>
            <w:tcW w:w="2429" w:type="dxa"/>
          </w:tcPr>
          <w:p>
            <w:pPr>
              <w:pStyle w:val="24"/>
              <w:spacing w:before="11"/>
              <w:rPr>
                <w:sz w:val="21"/>
              </w:rPr>
            </w:pPr>
          </w:p>
          <w:p>
            <w:pPr>
              <w:pStyle w:val="24"/>
              <w:spacing w:before="1"/>
              <w:ind w:left="134"/>
              <w:rPr>
                <w:sz w:val="24"/>
              </w:rPr>
            </w:pPr>
            <w:r>
              <w:rPr>
                <w:sz w:val="24"/>
              </w:rPr>
              <w:t>竞争性磋商文件要求</w:t>
            </w:r>
          </w:p>
        </w:tc>
        <w:tc>
          <w:tcPr>
            <w:tcW w:w="2557" w:type="dxa"/>
          </w:tcPr>
          <w:p>
            <w:pPr>
              <w:pStyle w:val="24"/>
              <w:spacing w:before="11"/>
              <w:rPr>
                <w:sz w:val="21"/>
              </w:rPr>
            </w:pPr>
          </w:p>
          <w:p>
            <w:pPr>
              <w:pStyle w:val="24"/>
              <w:spacing w:before="1"/>
              <w:ind w:left="796"/>
              <w:rPr>
                <w:sz w:val="24"/>
              </w:rPr>
            </w:pPr>
            <w:r>
              <w:rPr>
                <w:sz w:val="24"/>
              </w:rPr>
              <w:t>响应程度</w:t>
            </w:r>
          </w:p>
        </w:tc>
        <w:tc>
          <w:tcPr>
            <w:tcW w:w="2048" w:type="dxa"/>
          </w:tcPr>
          <w:p>
            <w:pPr>
              <w:pStyle w:val="24"/>
              <w:spacing w:before="11"/>
              <w:rPr>
                <w:sz w:val="21"/>
              </w:rPr>
            </w:pPr>
          </w:p>
          <w:p>
            <w:pPr>
              <w:pStyle w:val="24"/>
              <w:spacing w:before="1"/>
              <w:ind w:left="543"/>
              <w:rPr>
                <w:sz w:val="24"/>
              </w:rPr>
            </w:pPr>
            <w:r>
              <w:rPr>
                <w:sz w:val="24"/>
              </w:rPr>
              <w:t>偏离说明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772" w:type="dxa"/>
          </w:tcPr>
          <w:p>
            <w:pPr>
              <w:pStyle w:val="24"/>
              <w:rPr>
                <w:rFonts w:ascii="Times New Roman"/>
              </w:rPr>
            </w:pPr>
          </w:p>
        </w:tc>
        <w:tc>
          <w:tcPr>
            <w:tcW w:w="2401" w:type="dxa"/>
          </w:tcPr>
          <w:p>
            <w:pPr>
              <w:pStyle w:val="24"/>
              <w:rPr>
                <w:rFonts w:ascii="Times New Roman"/>
              </w:rPr>
            </w:pPr>
          </w:p>
        </w:tc>
        <w:tc>
          <w:tcPr>
            <w:tcW w:w="2429" w:type="dxa"/>
          </w:tcPr>
          <w:p>
            <w:pPr>
              <w:pStyle w:val="24"/>
              <w:rPr>
                <w:rFonts w:ascii="Times New Roman"/>
              </w:rPr>
            </w:pPr>
          </w:p>
        </w:tc>
        <w:tc>
          <w:tcPr>
            <w:tcW w:w="2557" w:type="dxa"/>
          </w:tcPr>
          <w:p>
            <w:pPr>
              <w:pStyle w:val="24"/>
              <w:rPr>
                <w:rFonts w:ascii="Times New Roman"/>
              </w:rPr>
            </w:pPr>
          </w:p>
        </w:tc>
        <w:tc>
          <w:tcPr>
            <w:tcW w:w="2048" w:type="dxa"/>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772" w:type="dxa"/>
          </w:tcPr>
          <w:p>
            <w:pPr>
              <w:pStyle w:val="24"/>
              <w:rPr>
                <w:rFonts w:ascii="Times New Roman"/>
              </w:rPr>
            </w:pPr>
          </w:p>
        </w:tc>
        <w:tc>
          <w:tcPr>
            <w:tcW w:w="2401" w:type="dxa"/>
          </w:tcPr>
          <w:p>
            <w:pPr>
              <w:pStyle w:val="24"/>
              <w:rPr>
                <w:rFonts w:ascii="Times New Roman"/>
              </w:rPr>
            </w:pPr>
          </w:p>
        </w:tc>
        <w:tc>
          <w:tcPr>
            <w:tcW w:w="2429" w:type="dxa"/>
          </w:tcPr>
          <w:p>
            <w:pPr>
              <w:pStyle w:val="24"/>
              <w:rPr>
                <w:rFonts w:ascii="Times New Roman"/>
              </w:rPr>
            </w:pPr>
          </w:p>
        </w:tc>
        <w:tc>
          <w:tcPr>
            <w:tcW w:w="2557" w:type="dxa"/>
          </w:tcPr>
          <w:p>
            <w:pPr>
              <w:pStyle w:val="24"/>
              <w:rPr>
                <w:rFonts w:ascii="Times New Roman"/>
              </w:rPr>
            </w:pPr>
          </w:p>
        </w:tc>
        <w:tc>
          <w:tcPr>
            <w:tcW w:w="2048" w:type="dxa"/>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772" w:type="dxa"/>
          </w:tcPr>
          <w:p>
            <w:pPr>
              <w:pStyle w:val="24"/>
              <w:rPr>
                <w:rFonts w:ascii="Times New Roman"/>
              </w:rPr>
            </w:pPr>
          </w:p>
        </w:tc>
        <w:tc>
          <w:tcPr>
            <w:tcW w:w="2401" w:type="dxa"/>
          </w:tcPr>
          <w:p>
            <w:pPr>
              <w:pStyle w:val="24"/>
              <w:rPr>
                <w:rFonts w:ascii="Times New Roman"/>
              </w:rPr>
            </w:pPr>
          </w:p>
        </w:tc>
        <w:tc>
          <w:tcPr>
            <w:tcW w:w="2429" w:type="dxa"/>
          </w:tcPr>
          <w:p>
            <w:pPr>
              <w:pStyle w:val="24"/>
              <w:rPr>
                <w:rFonts w:ascii="Times New Roman"/>
              </w:rPr>
            </w:pPr>
          </w:p>
        </w:tc>
        <w:tc>
          <w:tcPr>
            <w:tcW w:w="2557" w:type="dxa"/>
          </w:tcPr>
          <w:p>
            <w:pPr>
              <w:pStyle w:val="24"/>
              <w:rPr>
                <w:rFonts w:ascii="Times New Roman"/>
              </w:rPr>
            </w:pPr>
          </w:p>
        </w:tc>
        <w:tc>
          <w:tcPr>
            <w:tcW w:w="2048" w:type="dxa"/>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1" w:hRule="atLeast"/>
        </w:trPr>
        <w:tc>
          <w:tcPr>
            <w:tcW w:w="772" w:type="dxa"/>
          </w:tcPr>
          <w:p>
            <w:pPr>
              <w:pStyle w:val="24"/>
              <w:rPr>
                <w:rFonts w:ascii="Times New Roman"/>
              </w:rPr>
            </w:pPr>
          </w:p>
        </w:tc>
        <w:tc>
          <w:tcPr>
            <w:tcW w:w="2401" w:type="dxa"/>
          </w:tcPr>
          <w:p>
            <w:pPr>
              <w:pStyle w:val="24"/>
              <w:rPr>
                <w:rFonts w:ascii="Times New Roman"/>
              </w:rPr>
            </w:pPr>
          </w:p>
        </w:tc>
        <w:tc>
          <w:tcPr>
            <w:tcW w:w="2429" w:type="dxa"/>
          </w:tcPr>
          <w:p>
            <w:pPr>
              <w:pStyle w:val="24"/>
              <w:rPr>
                <w:rFonts w:ascii="Times New Roman"/>
              </w:rPr>
            </w:pPr>
          </w:p>
        </w:tc>
        <w:tc>
          <w:tcPr>
            <w:tcW w:w="2557" w:type="dxa"/>
          </w:tcPr>
          <w:p>
            <w:pPr>
              <w:pStyle w:val="24"/>
              <w:rPr>
                <w:rFonts w:ascii="Times New Roman"/>
              </w:rPr>
            </w:pPr>
          </w:p>
        </w:tc>
        <w:tc>
          <w:tcPr>
            <w:tcW w:w="2048" w:type="dxa"/>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772" w:type="dxa"/>
          </w:tcPr>
          <w:p>
            <w:pPr>
              <w:pStyle w:val="24"/>
              <w:rPr>
                <w:rFonts w:ascii="Times New Roman"/>
              </w:rPr>
            </w:pPr>
          </w:p>
        </w:tc>
        <w:tc>
          <w:tcPr>
            <w:tcW w:w="2401" w:type="dxa"/>
          </w:tcPr>
          <w:p>
            <w:pPr>
              <w:pStyle w:val="24"/>
              <w:rPr>
                <w:rFonts w:ascii="Times New Roman"/>
              </w:rPr>
            </w:pPr>
          </w:p>
        </w:tc>
        <w:tc>
          <w:tcPr>
            <w:tcW w:w="2429" w:type="dxa"/>
          </w:tcPr>
          <w:p>
            <w:pPr>
              <w:pStyle w:val="24"/>
              <w:rPr>
                <w:rFonts w:ascii="Times New Roman"/>
              </w:rPr>
            </w:pPr>
          </w:p>
        </w:tc>
        <w:tc>
          <w:tcPr>
            <w:tcW w:w="2557" w:type="dxa"/>
          </w:tcPr>
          <w:p>
            <w:pPr>
              <w:pStyle w:val="24"/>
              <w:rPr>
                <w:rFonts w:ascii="Times New Roman"/>
              </w:rPr>
            </w:pPr>
          </w:p>
        </w:tc>
        <w:tc>
          <w:tcPr>
            <w:tcW w:w="2048" w:type="dxa"/>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772" w:type="dxa"/>
          </w:tcPr>
          <w:p>
            <w:pPr>
              <w:pStyle w:val="24"/>
              <w:rPr>
                <w:rFonts w:ascii="Times New Roman"/>
              </w:rPr>
            </w:pPr>
          </w:p>
        </w:tc>
        <w:tc>
          <w:tcPr>
            <w:tcW w:w="2401" w:type="dxa"/>
          </w:tcPr>
          <w:p>
            <w:pPr>
              <w:pStyle w:val="24"/>
              <w:rPr>
                <w:rFonts w:ascii="Times New Roman"/>
              </w:rPr>
            </w:pPr>
          </w:p>
        </w:tc>
        <w:tc>
          <w:tcPr>
            <w:tcW w:w="2429" w:type="dxa"/>
          </w:tcPr>
          <w:p>
            <w:pPr>
              <w:pStyle w:val="24"/>
              <w:rPr>
                <w:rFonts w:ascii="Times New Roman"/>
              </w:rPr>
            </w:pPr>
          </w:p>
        </w:tc>
        <w:tc>
          <w:tcPr>
            <w:tcW w:w="2557" w:type="dxa"/>
          </w:tcPr>
          <w:p>
            <w:pPr>
              <w:pStyle w:val="24"/>
              <w:rPr>
                <w:rFonts w:ascii="Times New Roman"/>
              </w:rPr>
            </w:pPr>
          </w:p>
        </w:tc>
        <w:tc>
          <w:tcPr>
            <w:tcW w:w="2048" w:type="dxa"/>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772" w:type="dxa"/>
          </w:tcPr>
          <w:p>
            <w:pPr>
              <w:pStyle w:val="24"/>
              <w:rPr>
                <w:rFonts w:ascii="Times New Roman"/>
              </w:rPr>
            </w:pPr>
          </w:p>
        </w:tc>
        <w:tc>
          <w:tcPr>
            <w:tcW w:w="2401" w:type="dxa"/>
          </w:tcPr>
          <w:p>
            <w:pPr>
              <w:pStyle w:val="24"/>
              <w:rPr>
                <w:rFonts w:ascii="Times New Roman"/>
              </w:rPr>
            </w:pPr>
          </w:p>
        </w:tc>
        <w:tc>
          <w:tcPr>
            <w:tcW w:w="2429" w:type="dxa"/>
          </w:tcPr>
          <w:p>
            <w:pPr>
              <w:pStyle w:val="24"/>
              <w:rPr>
                <w:rFonts w:ascii="Times New Roman"/>
              </w:rPr>
            </w:pPr>
          </w:p>
        </w:tc>
        <w:tc>
          <w:tcPr>
            <w:tcW w:w="2557" w:type="dxa"/>
          </w:tcPr>
          <w:p>
            <w:pPr>
              <w:pStyle w:val="24"/>
              <w:rPr>
                <w:rFonts w:ascii="Times New Roman"/>
              </w:rPr>
            </w:pPr>
          </w:p>
        </w:tc>
        <w:tc>
          <w:tcPr>
            <w:tcW w:w="2048" w:type="dxa"/>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772" w:type="dxa"/>
          </w:tcPr>
          <w:p>
            <w:pPr>
              <w:pStyle w:val="24"/>
              <w:rPr>
                <w:rFonts w:ascii="Times New Roman"/>
              </w:rPr>
            </w:pPr>
          </w:p>
        </w:tc>
        <w:tc>
          <w:tcPr>
            <w:tcW w:w="2401" w:type="dxa"/>
          </w:tcPr>
          <w:p>
            <w:pPr>
              <w:pStyle w:val="24"/>
              <w:rPr>
                <w:rFonts w:ascii="Times New Roman"/>
              </w:rPr>
            </w:pPr>
          </w:p>
        </w:tc>
        <w:tc>
          <w:tcPr>
            <w:tcW w:w="2429" w:type="dxa"/>
          </w:tcPr>
          <w:p>
            <w:pPr>
              <w:pStyle w:val="24"/>
              <w:rPr>
                <w:rFonts w:ascii="Times New Roman"/>
              </w:rPr>
            </w:pPr>
          </w:p>
        </w:tc>
        <w:tc>
          <w:tcPr>
            <w:tcW w:w="2557" w:type="dxa"/>
          </w:tcPr>
          <w:p>
            <w:pPr>
              <w:pStyle w:val="24"/>
              <w:rPr>
                <w:rFonts w:ascii="Times New Roman"/>
              </w:rPr>
            </w:pPr>
          </w:p>
        </w:tc>
        <w:tc>
          <w:tcPr>
            <w:tcW w:w="2048" w:type="dxa"/>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2" w:hRule="atLeast"/>
        </w:trPr>
        <w:tc>
          <w:tcPr>
            <w:tcW w:w="772" w:type="dxa"/>
          </w:tcPr>
          <w:p>
            <w:pPr>
              <w:pStyle w:val="24"/>
              <w:rPr>
                <w:rFonts w:ascii="Times New Roman"/>
              </w:rPr>
            </w:pPr>
          </w:p>
        </w:tc>
        <w:tc>
          <w:tcPr>
            <w:tcW w:w="2401" w:type="dxa"/>
          </w:tcPr>
          <w:p>
            <w:pPr>
              <w:pStyle w:val="24"/>
              <w:rPr>
                <w:rFonts w:ascii="Times New Roman"/>
              </w:rPr>
            </w:pPr>
          </w:p>
        </w:tc>
        <w:tc>
          <w:tcPr>
            <w:tcW w:w="2429" w:type="dxa"/>
          </w:tcPr>
          <w:p>
            <w:pPr>
              <w:pStyle w:val="24"/>
              <w:rPr>
                <w:rFonts w:ascii="Times New Roman"/>
              </w:rPr>
            </w:pPr>
          </w:p>
        </w:tc>
        <w:tc>
          <w:tcPr>
            <w:tcW w:w="2557" w:type="dxa"/>
          </w:tcPr>
          <w:p>
            <w:pPr>
              <w:pStyle w:val="24"/>
              <w:rPr>
                <w:rFonts w:ascii="Times New Roman"/>
              </w:rPr>
            </w:pPr>
          </w:p>
        </w:tc>
        <w:tc>
          <w:tcPr>
            <w:tcW w:w="2048" w:type="dxa"/>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772" w:type="dxa"/>
          </w:tcPr>
          <w:p>
            <w:pPr>
              <w:pStyle w:val="24"/>
              <w:rPr>
                <w:rFonts w:ascii="Times New Roman"/>
              </w:rPr>
            </w:pPr>
          </w:p>
        </w:tc>
        <w:tc>
          <w:tcPr>
            <w:tcW w:w="2401" w:type="dxa"/>
          </w:tcPr>
          <w:p>
            <w:pPr>
              <w:pStyle w:val="24"/>
              <w:rPr>
                <w:rFonts w:ascii="Times New Roman"/>
              </w:rPr>
            </w:pPr>
          </w:p>
        </w:tc>
        <w:tc>
          <w:tcPr>
            <w:tcW w:w="2429" w:type="dxa"/>
          </w:tcPr>
          <w:p>
            <w:pPr>
              <w:pStyle w:val="24"/>
              <w:rPr>
                <w:rFonts w:ascii="Times New Roman"/>
              </w:rPr>
            </w:pPr>
          </w:p>
        </w:tc>
        <w:tc>
          <w:tcPr>
            <w:tcW w:w="2557" w:type="dxa"/>
          </w:tcPr>
          <w:p>
            <w:pPr>
              <w:pStyle w:val="24"/>
              <w:rPr>
                <w:rFonts w:ascii="Times New Roman"/>
              </w:rPr>
            </w:pPr>
          </w:p>
        </w:tc>
        <w:tc>
          <w:tcPr>
            <w:tcW w:w="2048" w:type="dxa"/>
          </w:tcPr>
          <w:p>
            <w:pPr>
              <w:pStyle w:val="24"/>
              <w:rPr>
                <w:rFonts w:ascii="Times New Roman"/>
              </w:rPr>
            </w:pPr>
          </w:p>
        </w:tc>
      </w:tr>
    </w:tbl>
    <w:p>
      <w:pPr>
        <w:pStyle w:val="8"/>
        <w:spacing w:before="9"/>
        <w:rPr>
          <w:sz w:val="34"/>
        </w:rPr>
      </w:pPr>
    </w:p>
    <w:p>
      <w:pPr>
        <w:pStyle w:val="4"/>
        <w:spacing w:line="297" w:lineRule="auto"/>
        <w:ind w:right="239"/>
        <w:jc w:val="both"/>
        <w:rPr>
          <w:lang w:eastAsia="zh-CN"/>
        </w:rPr>
      </w:pPr>
      <w:r>
        <w:rPr>
          <w:spacing w:val="-6"/>
          <w:lang w:eastAsia="zh-CN"/>
        </w:rPr>
        <w:t>注：为使磋商小组准确理解及保证评审工作顺利进行，请供应商针对竞争性磋商文件的要求，结</w:t>
      </w:r>
      <w:r>
        <w:rPr>
          <w:spacing w:val="-5"/>
          <w:lang w:eastAsia="zh-CN"/>
        </w:rPr>
        <w:t>合所供货物的实际性能、技术指标、采用的质量标准等逐条进行说明，说明货物或产品的实际响</w:t>
      </w:r>
      <w:r>
        <w:rPr>
          <w:spacing w:val="-6"/>
          <w:w w:val="95"/>
          <w:lang w:eastAsia="zh-CN"/>
        </w:rPr>
        <w:t>应程度。如简单的以“无偏离、完全响应”等类似表述，有可能给投标供应商带来的不利或导致</w:t>
      </w:r>
      <w:r>
        <w:rPr>
          <w:spacing w:val="-6"/>
          <w:lang w:eastAsia="zh-CN"/>
        </w:rPr>
        <w:t>投标被否决，将由供应商自行承担，敬请供应商注意！</w:t>
      </w:r>
    </w:p>
    <w:p>
      <w:pPr>
        <w:pStyle w:val="8"/>
        <w:rPr>
          <w:b/>
          <w:lang w:eastAsia="zh-CN"/>
        </w:rPr>
      </w:pPr>
    </w:p>
    <w:p>
      <w:pPr>
        <w:pStyle w:val="8"/>
        <w:rPr>
          <w:b/>
          <w:lang w:eastAsia="zh-CN"/>
        </w:rPr>
      </w:pPr>
    </w:p>
    <w:p>
      <w:pPr>
        <w:pStyle w:val="8"/>
        <w:rPr>
          <w:b/>
          <w:lang w:eastAsia="zh-CN"/>
        </w:rPr>
      </w:pPr>
    </w:p>
    <w:p>
      <w:pPr>
        <w:pStyle w:val="8"/>
        <w:rPr>
          <w:b/>
          <w:lang w:eastAsia="zh-CN"/>
        </w:rPr>
      </w:pPr>
    </w:p>
    <w:p>
      <w:pPr>
        <w:pStyle w:val="8"/>
        <w:spacing w:before="1"/>
        <w:rPr>
          <w:b/>
          <w:sz w:val="22"/>
          <w:lang w:eastAsia="zh-CN"/>
        </w:rPr>
      </w:pPr>
    </w:p>
    <w:p>
      <w:pPr>
        <w:pStyle w:val="8"/>
        <w:tabs>
          <w:tab w:val="left" w:pos="9439"/>
        </w:tabs>
        <w:ind w:left="4820"/>
        <w:rPr>
          <w:rFonts w:hint="default" w:ascii="Times New Roman" w:eastAsia="Times New Roman"/>
          <w:lang w:val="en-US" w:eastAsia="zh-CN"/>
        </w:rPr>
      </w:pPr>
      <w:r>
        <w:rPr>
          <w:lang w:eastAsia="zh-CN"/>
        </w:rPr>
        <w:t>投标供应商代表签字：</w:t>
      </w:r>
      <w:r>
        <w:rPr>
          <w:rFonts w:ascii="Times New Roman" w:eastAsia="Times New Roman"/>
          <w:u w:val="single"/>
          <w:lang w:eastAsia="zh-CN"/>
        </w:rPr>
        <w:t xml:space="preserve"> </w:t>
      </w:r>
      <w:r>
        <w:rPr>
          <w:rFonts w:hint="eastAsia" w:ascii="Times New Roman" w:eastAsia="Times New Roman"/>
          <w:u w:val="single"/>
          <w:lang w:val="en-US" w:eastAsia="zh-CN"/>
        </w:rPr>
        <w:t xml:space="preserve">    </w:t>
      </w:r>
      <w:r>
        <w:rPr>
          <w:rFonts w:ascii="Times New Roman" w:eastAsia="Times New Roman"/>
          <w:u w:val="single"/>
          <w:lang w:eastAsia="zh-CN"/>
        </w:rPr>
        <w:tab/>
      </w:r>
      <w:r>
        <w:rPr>
          <w:rFonts w:hint="eastAsia" w:ascii="Times New Roman" w:eastAsia="Times New Roman"/>
          <w:u w:val="single"/>
          <w:lang w:val="en-US" w:eastAsia="zh-CN"/>
        </w:rPr>
        <w:t xml:space="preserve">     </w:t>
      </w:r>
    </w:p>
    <w:p>
      <w:pPr>
        <w:pStyle w:val="8"/>
        <w:tabs>
          <w:tab w:val="left" w:pos="10039"/>
        </w:tabs>
        <w:spacing w:before="75"/>
        <w:ind w:left="3620"/>
        <w:rPr>
          <w:rFonts w:ascii="Times New Roman" w:eastAsia="Times New Roman"/>
          <w:lang w:eastAsia="zh-CN"/>
        </w:rPr>
      </w:pPr>
      <w:r>
        <w:rPr>
          <w:lang w:eastAsia="zh-CN"/>
        </w:rPr>
        <w:t>供应商名称(公章)：</w:t>
      </w:r>
      <w:r>
        <w:rPr>
          <w:rFonts w:ascii="Times New Roman" w:eastAsia="Times New Roman"/>
          <w:u w:val="single"/>
          <w:lang w:eastAsia="zh-CN"/>
        </w:rPr>
        <w:t xml:space="preserve"> </w:t>
      </w:r>
      <w:r>
        <w:rPr>
          <w:rFonts w:ascii="Times New Roman" w:eastAsia="Times New Roman"/>
          <w:u w:val="single"/>
          <w:lang w:eastAsia="zh-CN"/>
        </w:rPr>
        <w:tab/>
      </w:r>
    </w:p>
    <w:p>
      <w:pPr>
        <w:rPr>
          <w:rFonts w:ascii="Times New Roman" w:eastAsia="Times New Roman"/>
          <w:lang w:eastAsia="zh-CN"/>
        </w:rPr>
        <w:sectPr>
          <w:pgSz w:w="12240" w:h="15840"/>
          <w:pgMar w:top="1380" w:right="840" w:bottom="960" w:left="820" w:header="953" w:footer="761" w:gutter="0"/>
          <w:pgNumType w:fmt="decimal"/>
          <w:cols w:space="720" w:num="1"/>
        </w:sectPr>
      </w:pPr>
    </w:p>
    <w:p>
      <w:pPr>
        <w:pStyle w:val="4"/>
        <w:spacing w:before="59"/>
        <w:ind w:left="24"/>
        <w:jc w:val="center"/>
        <w:rPr>
          <w:lang w:eastAsia="zh-CN"/>
        </w:rPr>
      </w:pPr>
      <w:bookmarkStart w:id="26" w:name="商务规格偏离表"/>
      <w:bookmarkEnd w:id="26"/>
      <w:bookmarkStart w:id="27" w:name="（五）、服务人员合理分配方案及应急预案（格式自拟）"/>
      <w:bookmarkEnd w:id="27"/>
      <w:r>
        <w:rPr>
          <w:lang w:eastAsia="zh-CN"/>
        </w:rPr>
        <w:t>商务规格偏离表</w:t>
      </w:r>
    </w:p>
    <w:p>
      <w:pPr>
        <w:pStyle w:val="8"/>
        <w:spacing w:before="7"/>
        <w:rPr>
          <w:b/>
          <w:sz w:val="29"/>
          <w:lang w:eastAsia="zh-CN"/>
        </w:rPr>
      </w:pPr>
    </w:p>
    <w:p>
      <w:pPr>
        <w:pStyle w:val="8"/>
        <w:ind w:left="260"/>
        <w:rPr>
          <w:lang w:eastAsia="zh-CN"/>
        </w:rPr>
      </w:pPr>
      <w:r>
        <w:rPr>
          <w:lang w:eastAsia="zh-CN"/>
        </w:rPr>
        <w:t>项目名称：</w:t>
      </w:r>
    </w:p>
    <w:p>
      <w:pPr>
        <w:pStyle w:val="8"/>
        <w:tabs>
          <w:tab w:val="left" w:pos="8119"/>
          <w:tab w:val="left" w:pos="8599"/>
          <w:tab w:val="left" w:pos="9319"/>
        </w:tabs>
        <w:spacing w:before="72"/>
        <w:ind w:left="260"/>
        <w:rPr>
          <w:lang w:eastAsia="zh-CN"/>
        </w:rPr>
      </w:pPr>
      <w:r>
        <w:rPr>
          <w:lang w:eastAsia="zh-CN"/>
        </w:rPr>
        <w:t>项目编号∶</w:t>
      </w:r>
      <w:r>
        <w:rPr>
          <w:lang w:eastAsia="zh-CN"/>
        </w:rPr>
        <w:tab/>
      </w:r>
      <w:r>
        <w:rPr>
          <w:lang w:eastAsia="zh-CN"/>
        </w:rPr>
        <w:t>第</w:t>
      </w:r>
      <w:r>
        <w:rPr>
          <w:lang w:eastAsia="zh-CN"/>
        </w:rPr>
        <w:tab/>
      </w:r>
      <w:r>
        <w:rPr>
          <w:lang w:eastAsia="zh-CN"/>
        </w:rPr>
        <w:t>页共</w:t>
      </w:r>
      <w:r>
        <w:rPr>
          <w:lang w:eastAsia="zh-CN"/>
        </w:rPr>
        <w:tab/>
      </w:r>
      <w:r>
        <w:rPr>
          <w:lang w:eastAsia="zh-CN"/>
        </w:rPr>
        <w:t>页</w:t>
      </w:r>
    </w:p>
    <w:p>
      <w:pPr>
        <w:pStyle w:val="8"/>
        <w:rPr>
          <w:sz w:val="20"/>
          <w:lang w:eastAsia="zh-CN"/>
        </w:rPr>
      </w:pPr>
    </w:p>
    <w:p>
      <w:pPr>
        <w:pStyle w:val="8"/>
        <w:spacing w:before="6" w:after="1"/>
        <w:rPr>
          <w:sz w:val="27"/>
          <w:lang w:eastAsia="zh-CN"/>
        </w:rPr>
      </w:pPr>
    </w:p>
    <w:tbl>
      <w:tblPr>
        <w:tblStyle w:val="25"/>
        <w:tblW w:w="10116" w:type="dxa"/>
        <w:tblInd w:w="2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1390"/>
        <w:gridCol w:w="2850"/>
        <w:gridCol w:w="2943"/>
        <w:gridCol w:w="21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744" w:type="dxa"/>
          </w:tcPr>
          <w:p>
            <w:pPr>
              <w:pStyle w:val="24"/>
              <w:spacing w:before="170"/>
              <w:ind w:left="110" w:right="103"/>
              <w:jc w:val="center"/>
              <w:rPr>
                <w:sz w:val="24"/>
              </w:rPr>
            </w:pPr>
            <w:r>
              <w:rPr>
                <w:sz w:val="24"/>
              </w:rPr>
              <w:t>序号</w:t>
            </w:r>
          </w:p>
        </w:tc>
        <w:tc>
          <w:tcPr>
            <w:tcW w:w="1390" w:type="dxa"/>
          </w:tcPr>
          <w:p>
            <w:pPr>
              <w:pStyle w:val="24"/>
              <w:spacing w:before="12" w:line="310" w:lineRule="atLeast"/>
              <w:ind w:left="334" w:right="203" w:hanging="120"/>
              <w:rPr>
                <w:sz w:val="24"/>
              </w:rPr>
            </w:pPr>
            <w:r>
              <w:rPr>
                <w:rFonts w:hint="eastAsia"/>
                <w:sz w:val="24"/>
                <w:lang w:eastAsia="zh-CN"/>
              </w:rPr>
              <w:t>磋商文件</w:t>
            </w:r>
            <w:r>
              <w:rPr>
                <w:sz w:val="24"/>
              </w:rPr>
              <w:t>条目号</w:t>
            </w:r>
          </w:p>
        </w:tc>
        <w:tc>
          <w:tcPr>
            <w:tcW w:w="2850" w:type="dxa"/>
          </w:tcPr>
          <w:p>
            <w:pPr>
              <w:pStyle w:val="24"/>
              <w:spacing w:before="170"/>
              <w:ind w:left="343"/>
              <w:rPr>
                <w:sz w:val="24"/>
              </w:rPr>
            </w:pPr>
            <w:r>
              <w:rPr>
                <w:rFonts w:hint="eastAsia"/>
                <w:sz w:val="24"/>
                <w:lang w:eastAsia="zh-CN"/>
              </w:rPr>
              <w:t>磋商文件</w:t>
            </w:r>
            <w:r>
              <w:rPr>
                <w:sz w:val="24"/>
              </w:rPr>
              <w:t>的商务条款</w:t>
            </w:r>
          </w:p>
        </w:tc>
        <w:tc>
          <w:tcPr>
            <w:tcW w:w="2943" w:type="dxa"/>
          </w:tcPr>
          <w:p>
            <w:pPr>
              <w:pStyle w:val="24"/>
              <w:spacing w:before="170"/>
              <w:ind w:left="390"/>
              <w:rPr>
                <w:sz w:val="24"/>
              </w:rPr>
            </w:pPr>
            <w:r>
              <w:rPr>
                <w:rFonts w:hint="eastAsia"/>
                <w:sz w:val="24"/>
                <w:lang w:eastAsia="zh-CN"/>
              </w:rPr>
              <w:t>响应文件</w:t>
            </w:r>
            <w:r>
              <w:rPr>
                <w:sz w:val="24"/>
              </w:rPr>
              <w:t>的商务条款</w:t>
            </w:r>
          </w:p>
        </w:tc>
        <w:tc>
          <w:tcPr>
            <w:tcW w:w="2189" w:type="dxa"/>
          </w:tcPr>
          <w:p>
            <w:pPr>
              <w:pStyle w:val="24"/>
              <w:spacing w:before="170"/>
              <w:ind w:left="833" w:right="826"/>
              <w:jc w:val="center"/>
              <w:rPr>
                <w:sz w:val="24"/>
              </w:rPr>
            </w:pPr>
            <w:r>
              <w:rPr>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744" w:type="dxa"/>
          </w:tcPr>
          <w:p>
            <w:pPr>
              <w:pStyle w:val="24"/>
              <w:spacing w:before="192"/>
              <w:ind w:left="7"/>
              <w:jc w:val="center"/>
              <w:rPr>
                <w:sz w:val="24"/>
              </w:rPr>
            </w:pPr>
            <w:r>
              <w:rPr>
                <w:sz w:val="24"/>
              </w:rPr>
              <w:t>1</w:t>
            </w:r>
          </w:p>
        </w:tc>
        <w:tc>
          <w:tcPr>
            <w:tcW w:w="1390" w:type="dxa"/>
          </w:tcPr>
          <w:p>
            <w:pPr>
              <w:pStyle w:val="24"/>
              <w:rPr>
                <w:rFonts w:ascii="Times New Roman"/>
              </w:rPr>
            </w:pPr>
          </w:p>
        </w:tc>
        <w:tc>
          <w:tcPr>
            <w:tcW w:w="2850" w:type="dxa"/>
          </w:tcPr>
          <w:p>
            <w:pPr>
              <w:pStyle w:val="24"/>
              <w:rPr>
                <w:rFonts w:ascii="Times New Roman"/>
              </w:rPr>
            </w:pPr>
          </w:p>
        </w:tc>
        <w:tc>
          <w:tcPr>
            <w:tcW w:w="2943" w:type="dxa"/>
          </w:tcPr>
          <w:p>
            <w:pPr>
              <w:pStyle w:val="24"/>
              <w:rPr>
                <w:rFonts w:ascii="Times New Roman"/>
              </w:rPr>
            </w:pPr>
          </w:p>
        </w:tc>
        <w:tc>
          <w:tcPr>
            <w:tcW w:w="2189" w:type="dxa"/>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744" w:type="dxa"/>
          </w:tcPr>
          <w:p>
            <w:pPr>
              <w:pStyle w:val="24"/>
              <w:spacing w:before="13"/>
              <w:ind w:left="7"/>
              <w:jc w:val="center"/>
              <w:rPr>
                <w:sz w:val="24"/>
              </w:rPr>
            </w:pPr>
            <w:r>
              <w:rPr>
                <w:sz w:val="24"/>
              </w:rPr>
              <w:t>2</w:t>
            </w:r>
          </w:p>
        </w:tc>
        <w:tc>
          <w:tcPr>
            <w:tcW w:w="1390" w:type="dxa"/>
          </w:tcPr>
          <w:p>
            <w:pPr>
              <w:pStyle w:val="24"/>
              <w:rPr>
                <w:rFonts w:ascii="Times New Roman"/>
              </w:rPr>
            </w:pPr>
          </w:p>
        </w:tc>
        <w:tc>
          <w:tcPr>
            <w:tcW w:w="2850" w:type="dxa"/>
          </w:tcPr>
          <w:p>
            <w:pPr>
              <w:pStyle w:val="24"/>
              <w:rPr>
                <w:rFonts w:ascii="Times New Roman"/>
              </w:rPr>
            </w:pPr>
          </w:p>
        </w:tc>
        <w:tc>
          <w:tcPr>
            <w:tcW w:w="2943" w:type="dxa"/>
          </w:tcPr>
          <w:p>
            <w:pPr>
              <w:pStyle w:val="24"/>
              <w:rPr>
                <w:rFonts w:ascii="Times New Roman"/>
              </w:rPr>
            </w:pPr>
          </w:p>
        </w:tc>
        <w:tc>
          <w:tcPr>
            <w:tcW w:w="2189" w:type="dxa"/>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744" w:type="dxa"/>
          </w:tcPr>
          <w:p>
            <w:pPr>
              <w:pStyle w:val="24"/>
              <w:spacing w:before="13"/>
              <w:ind w:left="7"/>
              <w:jc w:val="center"/>
              <w:rPr>
                <w:sz w:val="24"/>
              </w:rPr>
            </w:pPr>
            <w:r>
              <w:rPr>
                <w:sz w:val="24"/>
              </w:rPr>
              <w:t>3</w:t>
            </w:r>
          </w:p>
        </w:tc>
        <w:tc>
          <w:tcPr>
            <w:tcW w:w="1390" w:type="dxa"/>
          </w:tcPr>
          <w:p>
            <w:pPr>
              <w:pStyle w:val="24"/>
              <w:rPr>
                <w:rFonts w:ascii="Times New Roman"/>
              </w:rPr>
            </w:pPr>
          </w:p>
        </w:tc>
        <w:tc>
          <w:tcPr>
            <w:tcW w:w="2850" w:type="dxa"/>
          </w:tcPr>
          <w:p>
            <w:pPr>
              <w:pStyle w:val="24"/>
              <w:rPr>
                <w:rFonts w:ascii="Times New Roman"/>
              </w:rPr>
            </w:pPr>
          </w:p>
        </w:tc>
        <w:tc>
          <w:tcPr>
            <w:tcW w:w="2943" w:type="dxa"/>
          </w:tcPr>
          <w:p>
            <w:pPr>
              <w:pStyle w:val="24"/>
              <w:rPr>
                <w:rFonts w:ascii="Times New Roman"/>
              </w:rPr>
            </w:pPr>
          </w:p>
        </w:tc>
        <w:tc>
          <w:tcPr>
            <w:tcW w:w="2189" w:type="dxa"/>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744" w:type="dxa"/>
          </w:tcPr>
          <w:p>
            <w:pPr>
              <w:pStyle w:val="24"/>
              <w:spacing w:before="49"/>
              <w:ind w:left="7"/>
              <w:jc w:val="center"/>
              <w:rPr>
                <w:sz w:val="24"/>
              </w:rPr>
            </w:pPr>
            <w:r>
              <w:rPr>
                <w:sz w:val="24"/>
              </w:rPr>
              <w:t>4</w:t>
            </w:r>
          </w:p>
        </w:tc>
        <w:tc>
          <w:tcPr>
            <w:tcW w:w="1390" w:type="dxa"/>
          </w:tcPr>
          <w:p>
            <w:pPr>
              <w:pStyle w:val="24"/>
              <w:rPr>
                <w:rFonts w:ascii="Times New Roman"/>
              </w:rPr>
            </w:pPr>
          </w:p>
        </w:tc>
        <w:tc>
          <w:tcPr>
            <w:tcW w:w="2850" w:type="dxa"/>
          </w:tcPr>
          <w:p>
            <w:pPr>
              <w:pStyle w:val="24"/>
              <w:rPr>
                <w:rFonts w:ascii="Times New Roman"/>
              </w:rPr>
            </w:pPr>
          </w:p>
        </w:tc>
        <w:tc>
          <w:tcPr>
            <w:tcW w:w="2943" w:type="dxa"/>
          </w:tcPr>
          <w:p>
            <w:pPr>
              <w:pStyle w:val="24"/>
              <w:rPr>
                <w:rFonts w:ascii="Times New Roman"/>
              </w:rPr>
            </w:pPr>
          </w:p>
        </w:tc>
        <w:tc>
          <w:tcPr>
            <w:tcW w:w="2189" w:type="dxa"/>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744" w:type="dxa"/>
          </w:tcPr>
          <w:p>
            <w:pPr>
              <w:pStyle w:val="24"/>
              <w:spacing w:before="50"/>
              <w:ind w:left="7"/>
              <w:jc w:val="center"/>
              <w:rPr>
                <w:sz w:val="24"/>
              </w:rPr>
            </w:pPr>
            <w:r>
              <w:rPr>
                <w:sz w:val="24"/>
              </w:rPr>
              <w:t>5</w:t>
            </w:r>
          </w:p>
        </w:tc>
        <w:tc>
          <w:tcPr>
            <w:tcW w:w="1390" w:type="dxa"/>
          </w:tcPr>
          <w:p>
            <w:pPr>
              <w:pStyle w:val="24"/>
              <w:rPr>
                <w:rFonts w:ascii="Times New Roman"/>
              </w:rPr>
            </w:pPr>
          </w:p>
        </w:tc>
        <w:tc>
          <w:tcPr>
            <w:tcW w:w="2850" w:type="dxa"/>
          </w:tcPr>
          <w:p>
            <w:pPr>
              <w:pStyle w:val="24"/>
              <w:rPr>
                <w:rFonts w:ascii="Times New Roman"/>
              </w:rPr>
            </w:pPr>
          </w:p>
        </w:tc>
        <w:tc>
          <w:tcPr>
            <w:tcW w:w="2943" w:type="dxa"/>
          </w:tcPr>
          <w:p>
            <w:pPr>
              <w:pStyle w:val="24"/>
              <w:rPr>
                <w:rFonts w:ascii="Times New Roman"/>
              </w:rPr>
            </w:pPr>
          </w:p>
        </w:tc>
        <w:tc>
          <w:tcPr>
            <w:tcW w:w="2189" w:type="dxa"/>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744" w:type="dxa"/>
          </w:tcPr>
          <w:p>
            <w:pPr>
              <w:pStyle w:val="24"/>
              <w:spacing w:before="49"/>
              <w:ind w:left="7"/>
              <w:jc w:val="center"/>
              <w:rPr>
                <w:sz w:val="24"/>
              </w:rPr>
            </w:pPr>
            <w:r>
              <w:rPr>
                <w:sz w:val="24"/>
              </w:rPr>
              <w:t>6</w:t>
            </w:r>
          </w:p>
        </w:tc>
        <w:tc>
          <w:tcPr>
            <w:tcW w:w="1390" w:type="dxa"/>
          </w:tcPr>
          <w:p>
            <w:pPr>
              <w:pStyle w:val="24"/>
              <w:rPr>
                <w:rFonts w:ascii="Times New Roman"/>
              </w:rPr>
            </w:pPr>
          </w:p>
        </w:tc>
        <w:tc>
          <w:tcPr>
            <w:tcW w:w="2850" w:type="dxa"/>
          </w:tcPr>
          <w:p>
            <w:pPr>
              <w:pStyle w:val="24"/>
              <w:rPr>
                <w:rFonts w:ascii="Times New Roman"/>
              </w:rPr>
            </w:pPr>
          </w:p>
        </w:tc>
        <w:tc>
          <w:tcPr>
            <w:tcW w:w="2943" w:type="dxa"/>
          </w:tcPr>
          <w:p>
            <w:pPr>
              <w:pStyle w:val="24"/>
              <w:rPr>
                <w:rFonts w:ascii="Times New Roman"/>
              </w:rPr>
            </w:pPr>
          </w:p>
        </w:tc>
        <w:tc>
          <w:tcPr>
            <w:tcW w:w="2189" w:type="dxa"/>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744" w:type="dxa"/>
          </w:tcPr>
          <w:p>
            <w:pPr>
              <w:pStyle w:val="24"/>
              <w:spacing w:before="20"/>
              <w:ind w:left="7"/>
              <w:jc w:val="center"/>
              <w:rPr>
                <w:sz w:val="24"/>
              </w:rPr>
            </w:pPr>
            <w:r>
              <w:rPr>
                <w:sz w:val="24"/>
              </w:rPr>
              <w:t>…</w:t>
            </w:r>
          </w:p>
        </w:tc>
        <w:tc>
          <w:tcPr>
            <w:tcW w:w="1390" w:type="dxa"/>
          </w:tcPr>
          <w:p>
            <w:pPr>
              <w:pStyle w:val="24"/>
              <w:rPr>
                <w:rFonts w:ascii="Times New Roman"/>
              </w:rPr>
            </w:pPr>
          </w:p>
        </w:tc>
        <w:tc>
          <w:tcPr>
            <w:tcW w:w="2850" w:type="dxa"/>
          </w:tcPr>
          <w:p>
            <w:pPr>
              <w:pStyle w:val="24"/>
              <w:rPr>
                <w:rFonts w:ascii="Times New Roman"/>
              </w:rPr>
            </w:pPr>
          </w:p>
        </w:tc>
        <w:tc>
          <w:tcPr>
            <w:tcW w:w="2943" w:type="dxa"/>
          </w:tcPr>
          <w:p>
            <w:pPr>
              <w:pStyle w:val="24"/>
              <w:rPr>
                <w:rFonts w:ascii="Times New Roman"/>
              </w:rPr>
            </w:pPr>
          </w:p>
        </w:tc>
        <w:tc>
          <w:tcPr>
            <w:tcW w:w="2189" w:type="dxa"/>
          </w:tcPr>
          <w:p>
            <w:pPr>
              <w:pStyle w:val="24"/>
              <w:rPr>
                <w:rFonts w:ascii="Times New Roman"/>
              </w:rPr>
            </w:pPr>
          </w:p>
        </w:tc>
      </w:tr>
    </w:tbl>
    <w:p>
      <w:pPr>
        <w:pStyle w:val="8"/>
        <w:spacing w:before="6"/>
        <w:rPr>
          <w:sz w:val="29"/>
        </w:rPr>
      </w:pPr>
    </w:p>
    <w:p>
      <w:pPr>
        <w:pStyle w:val="4"/>
        <w:spacing w:before="67" w:line="297" w:lineRule="auto"/>
        <w:ind w:right="239"/>
        <w:jc w:val="both"/>
        <w:rPr>
          <w:lang w:eastAsia="zh-CN"/>
        </w:rPr>
      </w:pPr>
      <w:r>
        <w:rPr>
          <w:spacing w:val="-6"/>
          <w:lang w:eastAsia="zh-CN"/>
        </w:rPr>
        <w:t>注：为使磋商小组准确理解及保证评审工作顺利进行，请供应商针对竞争性磋商文件的要求，说</w:t>
      </w:r>
      <w:r>
        <w:rPr>
          <w:spacing w:val="-5"/>
          <w:w w:val="95"/>
          <w:lang w:eastAsia="zh-CN"/>
        </w:rPr>
        <w:t xml:space="preserve">明商务部分实际响应程度。如简单的以“无偏离、完全响应”等类似表述，有可能给投标供应商   </w:t>
      </w:r>
      <w:r>
        <w:rPr>
          <w:spacing w:val="-5"/>
          <w:lang w:eastAsia="zh-CN"/>
        </w:rPr>
        <w:t>带来的不利或导致投标被否决，将由供应商自行承担，敬请供应商注意！</w:t>
      </w:r>
    </w:p>
    <w:p>
      <w:pPr>
        <w:pStyle w:val="8"/>
        <w:rPr>
          <w:b/>
          <w:lang w:eastAsia="zh-CN"/>
        </w:rPr>
      </w:pPr>
    </w:p>
    <w:p>
      <w:pPr>
        <w:pStyle w:val="8"/>
        <w:rPr>
          <w:b/>
          <w:lang w:eastAsia="zh-CN"/>
        </w:rPr>
      </w:pPr>
    </w:p>
    <w:p>
      <w:pPr>
        <w:pStyle w:val="8"/>
        <w:rPr>
          <w:b/>
          <w:lang w:eastAsia="zh-CN"/>
        </w:rPr>
      </w:pPr>
    </w:p>
    <w:p>
      <w:pPr>
        <w:pStyle w:val="8"/>
        <w:rPr>
          <w:b/>
          <w:lang w:eastAsia="zh-CN"/>
        </w:rPr>
      </w:pPr>
    </w:p>
    <w:p>
      <w:pPr>
        <w:pStyle w:val="8"/>
        <w:rPr>
          <w:b/>
          <w:lang w:eastAsia="zh-CN"/>
        </w:rPr>
      </w:pPr>
    </w:p>
    <w:p>
      <w:pPr>
        <w:pStyle w:val="8"/>
        <w:spacing w:before="12"/>
        <w:rPr>
          <w:b/>
          <w:sz w:val="22"/>
          <w:lang w:eastAsia="zh-CN"/>
        </w:rPr>
      </w:pPr>
    </w:p>
    <w:p>
      <w:pPr>
        <w:pStyle w:val="8"/>
        <w:tabs>
          <w:tab w:val="left" w:pos="8719"/>
          <w:tab w:val="left" w:pos="8839"/>
        </w:tabs>
        <w:spacing w:line="242" w:lineRule="auto"/>
        <w:ind w:left="4220" w:right="1738" w:hanging="120"/>
        <w:rPr>
          <w:rFonts w:ascii="Times New Roman" w:eastAsia="Times New Roman"/>
          <w:lang w:eastAsia="zh-CN"/>
        </w:rPr>
      </w:pPr>
      <w:bookmarkStart w:id="28" w:name="投标供应商代表签字：__________________"/>
      <w:bookmarkEnd w:id="28"/>
      <w:r>
        <w:rPr>
          <w:lang w:eastAsia="zh-CN"/>
        </w:rPr>
        <w:t>投标供应商代表签字：</w:t>
      </w:r>
      <w:r>
        <w:rPr>
          <w:rFonts w:ascii="Times New Roman" w:eastAsia="Times New Roman"/>
          <w:u w:val="single"/>
          <w:lang w:eastAsia="zh-CN"/>
        </w:rPr>
        <w:t xml:space="preserve"> </w:t>
      </w:r>
      <w:r>
        <w:rPr>
          <w:rFonts w:ascii="Times New Roman" w:eastAsia="Times New Roman"/>
          <w:u w:val="single"/>
          <w:lang w:eastAsia="zh-CN"/>
        </w:rPr>
        <w:tab/>
      </w:r>
      <w:bookmarkStart w:id="29" w:name="供应商名称(公章)：____________________"/>
      <w:bookmarkEnd w:id="29"/>
      <w:r>
        <w:rPr>
          <w:rFonts w:ascii="Times New Roman" w:eastAsia="Times New Roman"/>
          <w:lang w:eastAsia="zh-CN"/>
        </w:rPr>
        <w:t xml:space="preserve"> </w:t>
      </w:r>
      <w:r>
        <w:rPr>
          <w:lang w:eastAsia="zh-CN"/>
        </w:rPr>
        <w:t>供应商名称(公章)：</w:t>
      </w:r>
      <w:r>
        <w:rPr>
          <w:rFonts w:ascii="Times New Roman" w:eastAsia="Times New Roman"/>
          <w:u w:val="single"/>
          <w:lang w:eastAsia="zh-CN"/>
        </w:rPr>
        <w:t xml:space="preserve"> </w:t>
      </w:r>
      <w:r>
        <w:rPr>
          <w:rFonts w:ascii="Times New Roman" w:eastAsia="Times New Roman"/>
          <w:u w:val="single"/>
          <w:lang w:eastAsia="zh-CN"/>
        </w:rPr>
        <w:tab/>
      </w:r>
      <w:r>
        <w:rPr>
          <w:rFonts w:ascii="Times New Roman" w:eastAsia="Times New Roman"/>
          <w:u w:val="single"/>
          <w:lang w:eastAsia="zh-CN"/>
        </w:rPr>
        <w:tab/>
      </w:r>
    </w:p>
    <w:p>
      <w:pPr>
        <w:spacing w:line="242" w:lineRule="auto"/>
        <w:rPr>
          <w:rFonts w:ascii="Times New Roman" w:eastAsia="Times New Roman"/>
          <w:lang w:eastAsia="zh-CN"/>
        </w:rPr>
        <w:sectPr>
          <w:pgSz w:w="12240" w:h="15840"/>
          <w:pgMar w:top="1380" w:right="840" w:bottom="960" w:left="820" w:header="953" w:footer="761" w:gutter="0"/>
          <w:pgNumType w:fmt="decimal"/>
          <w:cols w:space="720" w:num="1"/>
        </w:sectPr>
      </w:pPr>
    </w:p>
    <w:p>
      <w:pPr>
        <w:pStyle w:val="4"/>
        <w:spacing w:before="59"/>
        <w:ind w:left="39"/>
        <w:jc w:val="center"/>
        <w:rPr>
          <w:lang w:eastAsia="zh-CN"/>
        </w:rPr>
      </w:pPr>
      <w:r>
        <w:rPr>
          <w:lang w:eastAsia="zh-CN"/>
        </w:rPr>
        <w:t>（五）、服务人员合理分配方案及应急预案（格式自拟）</w:t>
      </w:r>
    </w:p>
    <w:p>
      <w:pPr>
        <w:pStyle w:val="8"/>
        <w:rPr>
          <w:b/>
          <w:lang w:eastAsia="zh-CN"/>
        </w:rPr>
      </w:pPr>
    </w:p>
    <w:p>
      <w:pPr>
        <w:pStyle w:val="27"/>
        <w:spacing w:before="0" w:line="360" w:lineRule="auto"/>
        <w:ind w:left="283"/>
        <w:jc w:val="center"/>
        <w:rPr>
          <w:rFonts w:ascii="宋体"/>
          <w:b/>
          <w:bCs/>
          <w:spacing w:val="4"/>
          <w:sz w:val="36"/>
          <w:szCs w:val="22"/>
        </w:rPr>
      </w:pPr>
      <w:r>
        <w:rPr>
          <w:rFonts w:hint="eastAsia" w:ascii="宋体"/>
          <w:b/>
          <w:bCs/>
          <w:spacing w:val="4"/>
          <w:sz w:val="36"/>
          <w:szCs w:val="36"/>
        </w:rPr>
        <w:t>服务计划</w:t>
      </w:r>
    </w:p>
    <w:p>
      <w:pPr>
        <w:pStyle w:val="27"/>
        <w:spacing w:before="0" w:line="360" w:lineRule="auto"/>
        <w:ind w:left="283" w:firstLine="576" w:firstLineChars="200"/>
        <w:rPr>
          <w:rFonts w:ascii="宋体"/>
          <w:spacing w:val="4"/>
        </w:rPr>
      </w:pPr>
    </w:p>
    <w:p>
      <w:pPr>
        <w:pStyle w:val="27"/>
        <w:spacing w:before="0" w:line="360" w:lineRule="auto"/>
        <w:ind w:left="283" w:firstLine="578" w:firstLineChars="200"/>
        <w:rPr>
          <w:rFonts w:ascii="宋体"/>
          <w:b/>
          <w:bCs/>
          <w:spacing w:val="4"/>
        </w:rPr>
      </w:pPr>
      <w:r>
        <w:rPr>
          <w:rFonts w:hint="eastAsia" w:ascii="宋体"/>
          <w:b/>
          <w:bCs/>
          <w:spacing w:val="4"/>
        </w:rPr>
        <w:t>总体服务方案，包对用户需求的理解及响应程度、服务内容、服务流程、管理服务架构、方法及人员档案/薪资管理等方案、客户服务及关系维护方案（含劳动争议处理、风险防范、增值服务等）等。内容不限</w:t>
      </w:r>
    </w:p>
    <w:p>
      <w:pPr>
        <w:pStyle w:val="8"/>
        <w:rPr>
          <w:b/>
          <w:lang w:eastAsia="zh-CN"/>
        </w:rPr>
      </w:pPr>
    </w:p>
    <w:p>
      <w:pPr>
        <w:pStyle w:val="8"/>
        <w:rPr>
          <w:b/>
          <w:lang w:eastAsia="zh-CN"/>
        </w:rPr>
      </w:pPr>
    </w:p>
    <w:p>
      <w:pPr>
        <w:pStyle w:val="8"/>
        <w:spacing w:before="7"/>
        <w:rPr>
          <w:b/>
          <w:sz w:val="25"/>
          <w:lang w:eastAsia="zh-CN"/>
        </w:rPr>
      </w:pPr>
    </w:p>
    <w:p>
      <w:pPr>
        <w:pStyle w:val="4"/>
        <w:ind w:left="36"/>
        <w:jc w:val="center"/>
        <w:rPr>
          <w:lang w:eastAsia="zh-CN"/>
        </w:rPr>
      </w:pPr>
    </w:p>
    <w:p>
      <w:pPr>
        <w:pStyle w:val="4"/>
        <w:ind w:left="36"/>
        <w:jc w:val="center"/>
        <w:rPr>
          <w:lang w:eastAsia="zh-CN"/>
        </w:rPr>
      </w:pPr>
    </w:p>
    <w:p>
      <w:pPr>
        <w:pStyle w:val="4"/>
        <w:ind w:left="36"/>
        <w:jc w:val="center"/>
        <w:rPr>
          <w:lang w:eastAsia="zh-CN"/>
        </w:rPr>
      </w:pPr>
    </w:p>
    <w:p>
      <w:pPr>
        <w:pStyle w:val="4"/>
        <w:ind w:left="36"/>
        <w:jc w:val="center"/>
        <w:rPr>
          <w:lang w:eastAsia="zh-CN"/>
        </w:rPr>
      </w:pPr>
    </w:p>
    <w:p>
      <w:pPr>
        <w:pStyle w:val="4"/>
        <w:ind w:left="36"/>
        <w:jc w:val="center"/>
        <w:rPr>
          <w:lang w:eastAsia="zh-CN"/>
        </w:rPr>
      </w:pPr>
    </w:p>
    <w:p>
      <w:pPr>
        <w:pStyle w:val="4"/>
        <w:ind w:left="36"/>
        <w:jc w:val="center"/>
        <w:rPr>
          <w:lang w:eastAsia="zh-CN"/>
        </w:rPr>
      </w:pPr>
    </w:p>
    <w:p>
      <w:pPr>
        <w:pStyle w:val="4"/>
        <w:ind w:left="36"/>
        <w:jc w:val="center"/>
        <w:rPr>
          <w:lang w:eastAsia="zh-CN"/>
        </w:rPr>
      </w:pPr>
    </w:p>
    <w:p>
      <w:pPr>
        <w:pStyle w:val="4"/>
        <w:ind w:left="36"/>
        <w:jc w:val="center"/>
        <w:rPr>
          <w:lang w:eastAsia="zh-CN"/>
        </w:rPr>
      </w:pPr>
    </w:p>
    <w:p>
      <w:pPr>
        <w:pStyle w:val="4"/>
        <w:ind w:left="36"/>
        <w:jc w:val="center"/>
        <w:rPr>
          <w:lang w:eastAsia="zh-CN"/>
        </w:rPr>
      </w:pPr>
    </w:p>
    <w:p>
      <w:pPr>
        <w:pStyle w:val="4"/>
        <w:ind w:left="36"/>
        <w:jc w:val="center"/>
        <w:rPr>
          <w:lang w:eastAsia="zh-CN"/>
        </w:rPr>
      </w:pPr>
    </w:p>
    <w:p>
      <w:pPr>
        <w:pStyle w:val="4"/>
        <w:ind w:left="36"/>
        <w:jc w:val="center"/>
        <w:rPr>
          <w:lang w:eastAsia="zh-CN"/>
        </w:rPr>
      </w:pPr>
    </w:p>
    <w:p>
      <w:pPr>
        <w:pStyle w:val="4"/>
        <w:ind w:left="36"/>
        <w:jc w:val="center"/>
        <w:rPr>
          <w:lang w:eastAsia="zh-CN"/>
        </w:rPr>
      </w:pPr>
    </w:p>
    <w:p>
      <w:pPr>
        <w:pStyle w:val="4"/>
        <w:ind w:left="36"/>
        <w:jc w:val="center"/>
        <w:rPr>
          <w:lang w:eastAsia="zh-CN"/>
        </w:rPr>
      </w:pPr>
    </w:p>
    <w:p>
      <w:pPr>
        <w:pStyle w:val="4"/>
        <w:ind w:left="36"/>
        <w:jc w:val="center"/>
        <w:rPr>
          <w:lang w:eastAsia="zh-CN"/>
        </w:rPr>
      </w:pPr>
    </w:p>
    <w:p>
      <w:pPr>
        <w:pStyle w:val="4"/>
        <w:ind w:left="36"/>
        <w:jc w:val="center"/>
        <w:rPr>
          <w:lang w:eastAsia="zh-CN"/>
        </w:rPr>
      </w:pPr>
    </w:p>
    <w:p>
      <w:pPr>
        <w:pStyle w:val="4"/>
        <w:ind w:left="36"/>
        <w:jc w:val="center"/>
        <w:rPr>
          <w:lang w:eastAsia="zh-CN"/>
        </w:rPr>
      </w:pPr>
    </w:p>
    <w:p>
      <w:pPr>
        <w:pStyle w:val="4"/>
        <w:ind w:left="36"/>
        <w:jc w:val="center"/>
        <w:rPr>
          <w:lang w:eastAsia="zh-CN"/>
        </w:rPr>
      </w:pPr>
    </w:p>
    <w:p>
      <w:pPr>
        <w:pStyle w:val="4"/>
        <w:ind w:left="36"/>
        <w:jc w:val="center"/>
        <w:rPr>
          <w:lang w:eastAsia="zh-CN"/>
        </w:rPr>
      </w:pPr>
    </w:p>
    <w:p>
      <w:pPr>
        <w:pStyle w:val="4"/>
        <w:ind w:left="36"/>
        <w:jc w:val="center"/>
        <w:rPr>
          <w:lang w:eastAsia="zh-CN"/>
        </w:rPr>
      </w:pPr>
    </w:p>
    <w:p>
      <w:pPr>
        <w:pStyle w:val="4"/>
        <w:ind w:left="36"/>
        <w:jc w:val="center"/>
        <w:rPr>
          <w:lang w:eastAsia="zh-CN"/>
        </w:rPr>
      </w:pPr>
    </w:p>
    <w:p>
      <w:pPr>
        <w:pStyle w:val="4"/>
        <w:ind w:left="36"/>
        <w:jc w:val="center"/>
        <w:rPr>
          <w:lang w:eastAsia="zh-CN"/>
        </w:rPr>
      </w:pPr>
    </w:p>
    <w:p>
      <w:pPr>
        <w:pStyle w:val="4"/>
        <w:ind w:left="36"/>
        <w:jc w:val="center"/>
        <w:rPr>
          <w:lang w:eastAsia="zh-CN"/>
        </w:rPr>
      </w:pPr>
    </w:p>
    <w:p>
      <w:pPr>
        <w:pStyle w:val="4"/>
        <w:ind w:left="36"/>
        <w:jc w:val="center"/>
        <w:rPr>
          <w:lang w:eastAsia="zh-CN"/>
        </w:rPr>
      </w:pPr>
    </w:p>
    <w:p>
      <w:pPr>
        <w:pStyle w:val="4"/>
        <w:ind w:left="36"/>
        <w:jc w:val="center"/>
        <w:rPr>
          <w:lang w:eastAsia="zh-CN"/>
        </w:rPr>
      </w:pPr>
    </w:p>
    <w:p>
      <w:pPr>
        <w:pStyle w:val="4"/>
        <w:ind w:left="36"/>
        <w:jc w:val="center"/>
        <w:rPr>
          <w:lang w:eastAsia="zh-CN"/>
        </w:rPr>
      </w:pPr>
    </w:p>
    <w:p>
      <w:pPr>
        <w:pStyle w:val="4"/>
        <w:ind w:left="36"/>
        <w:jc w:val="center"/>
        <w:rPr>
          <w:lang w:eastAsia="zh-CN"/>
        </w:rPr>
      </w:pPr>
    </w:p>
    <w:p>
      <w:pPr>
        <w:pStyle w:val="4"/>
        <w:ind w:left="36"/>
        <w:jc w:val="center"/>
        <w:rPr>
          <w:lang w:eastAsia="zh-CN"/>
        </w:rPr>
      </w:pPr>
    </w:p>
    <w:p>
      <w:pPr>
        <w:pStyle w:val="4"/>
        <w:ind w:left="36"/>
        <w:jc w:val="center"/>
        <w:rPr>
          <w:lang w:eastAsia="zh-CN"/>
        </w:rPr>
      </w:pPr>
    </w:p>
    <w:p>
      <w:pPr>
        <w:pStyle w:val="4"/>
        <w:ind w:left="36"/>
        <w:jc w:val="center"/>
        <w:rPr>
          <w:lang w:eastAsia="zh-CN"/>
        </w:rPr>
      </w:pPr>
    </w:p>
    <w:p>
      <w:pPr>
        <w:pStyle w:val="4"/>
        <w:ind w:left="36"/>
        <w:jc w:val="center"/>
        <w:rPr>
          <w:lang w:eastAsia="zh-CN"/>
        </w:rPr>
      </w:pPr>
      <w:r>
        <w:rPr>
          <w:lang w:eastAsia="zh-CN"/>
        </w:rPr>
        <w:t>（六</w:t>
      </w:r>
      <w:bookmarkStart w:id="30" w:name="（六）、服务承诺书及专业化程度（格式自拟）"/>
      <w:bookmarkEnd w:id="30"/>
      <w:r>
        <w:rPr>
          <w:lang w:eastAsia="zh-CN"/>
        </w:rPr>
        <w:t>）、服务承诺书及专业化程度（格式自拟）</w:t>
      </w:r>
    </w:p>
    <w:p>
      <w:pPr>
        <w:jc w:val="center"/>
        <w:rPr>
          <w:lang w:eastAsia="zh-CN"/>
        </w:rPr>
        <w:sectPr>
          <w:pgSz w:w="12240" w:h="15840"/>
          <w:pgMar w:top="1380" w:right="840" w:bottom="960" w:left="820" w:header="953" w:footer="761" w:gutter="0"/>
          <w:pgNumType w:fmt="decimal"/>
          <w:cols w:space="720" w:num="1"/>
        </w:sectPr>
      </w:pPr>
    </w:p>
    <w:p>
      <w:pPr>
        <w:pStyle w:val="4"/>
        <w:spacing w:before="59"/>
        <w:ind w:left="3260"/>
        <w:rPr>
          <w:lang w:eastAsia="zh-CN"/>
        </w:rPr>
      </w:pPr>
      <w:r>
        <w:rPr>
          <w:lang w:eastAsia="zh-CN"/>
        </w:rPr>
        <w:t>（七）、投标供应商应提交的其它资料</w:t>
      </w:r>
    </w:p>
    <w:p>
      <w:pPr>
        <w:pStyle w:val="8"/>
        <w:spacing w:before="6"/>
        <w:rPr>
          <w:b/>
          <w:sz w:val="18"/>
          <w:lang w:eastAsia="zh-CN"/>
        </w:rPr>
      </w:pPr>
    </w:p>
    <w:p>
      <w:pPr>
        <w:pStyle w:val="8"/>
        <w:ind w:left="260"/>
        <w:rPr>
          <w:lang w:eastAsia="zh-CN"/>
        </w:rPr>
      </w:pPr>
      <w:r>
        <w:rPr>
          <w:lang w:eastAsia="zh-CN"/>
        </w:rPr>
        <w:t>（1）投标供应商认为需提交的其他资料。</w:t>
      </w:r>
    </w:p>
    <w:p>
      <w:pPr>
        <w:rPr>
          <w:lang w:eastAsia="zh-CN"/>
        </w:rPr>
        <w:sectPr>
          <w:pgSz w:w="12240" w:h="15840"/>
          <w:pgMar w:top="1380" w:right="840" w:bottom="960" w:left="820" w:header="953" w:footer="761" w:gutter="0"/>
          <w:pgNumType w:fmt="decimal"/>
          <w:cols w:space="720" w:num="1"/>
        </w:sectPr>
      </w:pPr>
    </w:p>
    <w:p>
      <w:pPr>
        <w:keepNext w:val="0"/>
        <w:keepLines w:val="0"/>
        <w:pageBreakBefore w:val="0"/>
        <w:widowControl w:val="0"/>
        <w:kinsoku/>
        <w:wordWrap/>
        <w:overflowPunct/>
        <w:topLinePunct w:val="0"/>
        <w:autoSpaceDE w:val="0"/>
        <w:autoSpaceDN w:val="0"/>
        <w:bidi w:val="0"/>
        <w:adjustRightInd/>
        <w:snapToGrid/>
        <w:spacing w:before="92" w:line="257" w:lineRule="auto"/>
        <w:ind w:left="1478" w:leftChars="0" w:right="0" w:hanging="1478" w:hangingChars="400"/>
        <w:jc w:val="center"/>
        <w:textAlignment w:val="auto"/>
        <w:rPr>
          <w:b/>
          <w:sz w:val="32"/>
          <w:lang w:eastAsia="zh-CN"/>
        </w:rPr>
      </w:pPr>
      <w:r>
        <w:rPr>
          <w:rFonts w:hint="eastAsia" w:ascii="宋体" w:hAnsi="Times New Roman" w:eastAsia="宋体" w:cs="宋体"/>
          <w:b/>
          <w:bCs/>
          <w:spacing w:val="4"/>
          <w:sz w:val="36"/>
          <w:szCs w:val="36"/>
          <w:lang w:val="en-US" w:eastAsia="zh-CN" w:bidi="ar-SA"/>
        </w:rPr>
        <w:t>第二部分、资格类响应文</w:t>
      </w:r>
      <w:r>
        <w:rPr>
          <w:rFonts w:hint="eastAsia" w:hAnsi="Times New Roman" w:cs="宋体"/>
          <w:b/>
          <w:bCs/>
          <w:spacing w:val="4"/>
          <w:sz w:val="36"/>
          <w:szCs w:val="36"/>
          <w:lang w:val="en-US" w:eastAsia="zh-CN" w:bidi="ar-SA"/>
        </w:rPr>
        <w:t>件</w:t>
      </w:r>
      <w:r>
        <w:rPr>
          <w:rFonts w:hint="eastAsia" w:ascii="宋体" w:hAnsi="Times New Roman" w:eastAsia="宋体" w:cs="宋体"/>
          <w:b/>
          <w:bCs/>
          <w:spacing w:val="4"/>
          <w:sz w:val="36"/>
          <w:szCs w:val="36"/>
          <w:lang w:val="en-US" w:eastAsia="zh-CN" w:bidi="ar-SA"/>
        </w:rPr>
        <w:t>目录</w:t>
      </w:r>
    </w:p>
    <w:p>
      <w:pPr>
        <w:pStyle w:val="8"/>
        <w:spacing w:before="12"/>
        <w:rPr>
          <w:b/>
          <w:sz w:val="31"/>
          <w:lang w:eastAsia="zh-CN"/>
        </w:rPr>
      </w:pPr>
    </w:p>
    <w:p>
      <w:pPr>
        <w:pStyle w:val="8"/>
        <w:spacing w:line="360" w:lineRule="auto"/>
        <w:ind w:left="260"/>
        <w:rPr>
          <w:lang w:eastAsia="zh-CN"/>
        </w:rPr>
      </w:pPr>
      <w:r>
        <w:rPr>
          <w:lang w:eastAsia="zh-CN"/>
        </w:rPr>
        <w:t>（一）关于资格的声明函</w:t>
      </w:r>
    </w:p>
    <w:p>
      <w:pPr>
        <w:pStyle w:val="8"/>
        <w:spacing w:before="161" w:line="360" w:lineRule="auto"/>
        <w:ind w:left="260"/>
        <w:rPr>
          <w:lang w:eastAsia="zh-CN"/>
        </w:rPr>
      </w:pPr>
      <w:r>
        <w:rPr>
          <w:lang w:eastAsia="zh-CN"/>
        </w:rPr>
        <w:t>（二）供应商的资格声明</w:t>
      </w:r>
    </w:p>
    <w:p>
      <w:pPr>
        <w:pStyle w:val="8"/>
        <w:spacing w:before="158" w:line="360" w:lineRule="auto"/>
        <w:ind w:left="260"/>
        <w:rPr>
          <w:lang w:eastAsia="zh-CN"/>
        </w:rPr>
      </w:pPr>
      <w:r>
        <w:rPr>
          <w:lang w:eastAsia="zh-CN"/>
        </w:rPr>
        <w:t>（三）法定代表人身份证明书</w:t>
      </w:r>
    </w:p>
    <w:p>
      <w:pPr>
        <w:pStyle w:val="8"/>
        <w:spacing w:before="160" w:line="360" w:lineRule="auto"/>
        <w:ind w:left="260"/>
        <w:rPr>
          <w:lang w:eastAsia="zh-CN"/>
        </w:rPr>
      </w:pPr>
      <w:r>
        <w:rPr>
          <w:lang w:eastAsia="zh-CN"/>
        </w:rPr>
        <w:t>（四）法定代表人授权委托书及法定授权委托人社保明细</w:t>
      </w:r>
    </w:p>
    <w:p>
      <w:pPr>
        <w:pStyle w:val="8"/>
        <w:spacing w:before="158" w:line="360" w:lineRule="auto"/>
        <w:ind w:left="260"/>
        <w:rPr>
          <w:lang w:eastAsia="zh-CN"/>
        </w:rPr>
      </w:pPr>
      <w:r>
        <w:rPr>
          <w:lang w:eastAsia="zh-CN"/>
        </w:rPr>
        <w:t>（五）资格证明文件</w:t>
      </w:r>
    </w:p>
    <w:p>
      <w:pPr>
        <w:pStyle w:val="8"/>
        <w:spacing w:before="161" w:line="360" w:lineRule="auto"/>
        <w:ind w:left="260"/>
        <w:rPr>
          <w:lang w:eastAsia="zh-CN"/>
        </w:rPr>
      </w:pPr>
      <w:r>
        <w:rPr>
          <w:lang w:eastAsia="zh-CN"/>
        </w:rPr>
        <w:t>（六）节能、环保产品证明（如有）</w:t>
      </w:r>
    </w:p>
    <w:p>
      <w:pPr>
        <w:pStyle w:val="8"/>
        <w:spacing w:before="158" w:line="480" w:lineRule="auto"/>
        <w:ind w:left="260"/>
        <w:rPr>
          <w:lang w:eastAsia="zh-CN"/>
        </w:rPr>
      </w:pPr>
      <w:r>
        <w:rPr>
          <w:lang w:eastAsia="zh-CN"/>
        </w:rPr>
        <w:t>（七）中小企业声明函（如有）</w:t>
      </w:r>
    </w:p>
    <w:p>
      <w:pPr>
        <w:spacing w:line="480" w:lineRule="auto"/>
        <w:ind w:firstLine="240" w:firstLineChars="100"/>
        <w:rPr>
          <w:rFonts w:hint="default"/>
          <w:sz w:val="24"/>
          <w:szCs w:val="24"/>
          <w:lang w:val="en-US" w:eastAsia="zh-CN"/>
        </w:rPr>
      </w:pPr>
      <w:r>
        <w:rPr>
          <w:sz w:val="24"/>
          <w:szCs w:val="24"/>
          <w:lang w:eastAsia="zh-CN"/>
        </w:rPr>
        <w:t>（</w:t>
      </w:r>
      <w:r>
        <w:rPr>
          <w:rFonts w:hint="eastAsia"/>
          <w:sz w:val="24"/>
          <w:szCs w:val="24"/>
          <w:lang w:val="en-US" w:eastAsia="zh-CN"/>
        </w:rPr>
        <w:t>八</w:t>
      </w:r>
      <w:r>
        <w:rPr>
          <w:sz w:val="24"/>
          <w:szCs w:val="24"/>
          <w:lang w:eastAsia="zh-CN"/>
        </w:rPr>
        <w:t>）</w:t>
      </w:r>
      <w:r>
        <w:rPr>
          <w:rFonts w:hint="eastAsia"/>
          <w:sz w:val="24"/>
          <w:szCs w:val="24"/>
          <w:lang w:val="en-US" w:eastAsia="zh-CN"/>
        </w:rPr>
        <w:t>质疑函范本</w:t>
      </w:r>
    </w:p>
    <w:p>
      <w:pPr>
        <w:pStyle w:val="8"/>
        <w:spacing w:before="161" w:line="360" w:lineRule="auto"/>
        <w:ind w:left="260"/>
        <w:rPr>
          <w:lang w:eastAsia="zh-CN"/>
        </w:rPr>
      </w:pPr>
      <w:r>
        <w:rPr>
          <w:lang w:eastAsia="zh-CN"/>
        </w:rPr>
        <w:t>（</w:t>
      </w:r>
      <w:r>
        <w:rPr>
          <w:rFonts w:hint="eastAsia"/>
          <w:lang w:val="en-US" w:eastAsia="zh-CN"/>
        </w:rPr>
        <w:t>九</w:t>
      </w:r>
      <w:r>
        <w:rPr>
          <w:lang w:eastAsia="zh-CN"/>
        </w:rPr>
        <w:t>）投标供应商认为应提交的其他相关资格证明文件或资料</w:t>
      </w:r>
    </w:p>
    <w:p>
      <w:pPr>
        <w:pStyle w:val="2"/>
        <w:spacing w:line="240" w:lineRule="auto"/>
        <w:rPr>
          <w:lang w:eastAsia="zh-CN"/>
        </w:rPr>
        <w:sectPr>
          <w:footerReference r:id="rId23" w:type="default"/>
          <w:pgSz w:w="12240" w:h="15840"/>
          <w:pgMar w:top="1380" w:right="840" w:bottom="960" w:left="820" w:header="953" w:footer="761" w:gutter="0"/>
          <w:pgNumType w:fmt="decimal"/>
          <w:cols w:space="720" w:num="1"/>
        </w:sectPr>
      </w:pPr>
      <w:r>
        <w:rPr>
          <w:rFonts w:hint="eastAsia" w:ascii="宋体" w:hAnsi="宋体" w:eastAsia="宋体" w:cs="宋体"/>
          <w:color w:val="000000"/>
          <w:sz w:val="18"/>
          <w:szCs w:val="13"/>
          <w:highlight w:val="none"/>
        </w:rPr>
        <w:t>注：供应商应在附</w:t>
      </w:r>
      <w:r>
        <w:rPr>
          <w:rFonts w:hint="eastAsia" w:ascii="宋体" w:hAnsi="宋体" w:eastAsia="宋体" w:cs="宋体"/>
          <w:color w:val="000000"/>
          <w:sz w:val="18"/>
          <w:szCs w:val="13"/>
          <w:highlight w:val="none"/>
          <w:lang w:val="en-US" w:eastAsia="zh-CN"/>
        </w:rPr>
        <w:t>上的自拟资料上必须</w:t>
      </w:r>
      <w:r>
        <w:rPr>
          <w:rFonts w:hint="eastAsia" w:ascii="宋体" w:hAnsi="宋体" w:eastAsia="宋体" w:cs="宋体"/>
          <w:color w:val="000000"/>
          <w:sz w:val="18"/>
          <w:szCs w:val="13"/>
          <w:highlight w:val="none"/>
          <w:u w:val="none"/>
          <w:lang w:val="en-US" w:eastAsia="zh-CN"/>
        </w:rPr>
        <w:t>加盖</w:t>
      </w:r>
      <w:r>
        <w:rPr>
          <w:rFonts w:hint="eastAsia" w:ascii="宋体" w:hAnsi="宋体" w:eastAsia="宋体" w:cs="宋体"/>
          <w:color w:val="000000"/>
          <w:sz w:val="18"/>
          <w:szCs w:val="13"/>
          <w:highlight w:val="none"/>
          <w:u w:val="none"/>
        </w:rPr>
        <w:t>供应商名称</w:t>
      </w:r>
      <w:r>
        <w:rPr>
          <w:rFonts w:hint="eastAsia" w:ascii="宋体" w:hAnsi="宋体" w:eastAsia="宋体" w:cs="宋体"/>
          <w:color w:val="000000"/>
          <w:sz w:val="18"/>
          <w:szCs w:val="13"/>
          <w:highlight w:val="none"/>
          <w:u w:val="none"/>
          <w:lang w:eastAsia="zh-CN"/>
        </w:rPr>
        <w:t>：</w:t>
      </w:r>
      <w:r>
        <w:rPr>
          <w:rFonts w:hint="eastAsia" w:ascii="宋体" w:hAnsi="宋体" w:eastAsia="宋体" w:cs="宋体"/>
          <w:color w:val="000000"/>
          <w:sz w:val="18"/>
          <w:szCs w:val="13"/>
          <w:highlight w:val="none"/>
          <w:u w:val="none"/>
        </w:rPr>
        <w:t>（公章）</w:t>
      </w:r>
      <w:r>
        <w:rPr>
          <w:rFonts w:hint="eastAsia" w:ascii="宋体" w:hAnsi="宋体" w:eastAsia="宋体" w:cs="宋体"/>
          <w:color w:val="000000"/>
          <w:sz w:val="18"/>
          <w:szCs w:val="13"/>
          <w:highlight w:val="none"/>
          <w:u w:val="none"/>
          <w:lang w:eastAsia="zh-CN"/>
        </w:rPr>
        <w:t>；</w:t>
      </w:r>
      <w:r>
        <w:rPr>
          <w:rFonts w:hint="eastAsia" w:ascii="宋体" w:hAnsi="宋体" w:eastAsia="宋体" w:cs="宋体"/>
          <w:color w:val="000000"/>
          <w:sz w:val="18"/>
          <w:szCs w:val="13"/>
          <w:highlight w:val="none"/>
          <w:u w:val="none"/>
        </w:rPr>
        <w:t>法定代表人</w:t>
      </w:r>
      <w:r>
        <w:rPr>
          <w:rFonts w:hint="eastAsia" w:cs="宋体"/>
          <w:color w:val="000000"/>
          <w:sz w:val="18"/>
          <w:szCs w:val="13"/>
          <w:highlight w:val="none"/>
          <w:u w:val="none"/>
          <w:lang w:eastAsia="zh-CN"/>
        </w:rPr>
        <w:t>：</w:t>
      </w:r>
      <w:r>
        <w:rPr>
          <w:rFonts w:hint="eastAsia" w:ascii="宋体" w:hAnsi="宋体" w:eastAsia="宋体" w:cs="宋体"/>
          <w:color w:val="000000"/>
          <w:sz w:val="18"/>
          <w:szCs w:val="13"/>
          <w:highlight w:val="none"/>
          <w:u w:val="none"/>
        </w:rPr>
        <w:t>（</w:t>
      </w:r>
      <w:r>
        <w:rPr>
          <w:rFonts w:hint="eastAsia" w:ascii="宋体" w:hAnsi="宋体" w:cs="宋体"/>
          <w:color w:val="000000"/>
          <w:sz w:val="18"/>
          <w:szCs w:val="13"/>
          <w:highlight w:val="none"/>
          <w:u w:val="none"/>
          <w:lang w:val="en-US" w:eastAsia="zh-CN"/>
        </w:rPr>
        <w:t>盖</w:t>
      </w:r>
      <w:r>
        <w:rPr>
          <w:rFonts w:hint="eastAsia" w:ascii="宋体" w:hAnsi="宋体" w:eastAsia="宋体" w:cs="宋体"/>
          <w:color w:val="000000"/>
          <w:sz w:val="18"/>
          <w:szCs w:val="13"/>
          <w:highlight w:val="none"/>
          <w:u w:val="none"/>
        </w:rPr>
        <w:t>章）</w:t>
      </w:r>
    </w:p>
    <w:p>
      <w:pPr>
        <w:tabs>
          <w:tab w:val="left" w:pos="1819"/>
          <w:tab w:val="left" w:pos="4099"/>
        </w:tabs>
        <w:spacing w:before="124" w:line="592" w:lineRule="auto"/>
        <w:ind w:left="260" w:right="3828" w:firstLine="3600"/>
        <w:rPr>
          <w:sz w:val="24"/>
          <w:lang w:eastAsia="zh-CN"/>
        </w:rPr>
      </w:pPr>
      <w:r>
        <w:rPr>
          <w:b/>
          <w:sz w:val="24"/>
          <w:lang w:eastAsia="zh-CN"/>
        </w:rPr>
        <w:t>（一）、关于资格的声明</w:t>
      </w:r>
      <w:r>
        <w:rPr>
          <w:b/>
          <w:spacing w:val="-16"/>
          <w:sz w:val="24"/>
          <w:lang w:eastAsia="zh-CN"/>
        </w:rPr>
        <w:t>函</w:t>
      </w:r>
      <w:r>
        <w:rPr>
          <w:sz w:val="24"/>
          <w:lang w:eastAsia="zh-CN"/>
        </w:rPr>
        <w:t>致：</w:t>
      </w:r>
      <w:r>
        <w:rPr>
          <w:sz w:val="24"/>
          <w:u w:val="single"/>
          <w:lang w:eastAsia="zh-CN"/>
        </w:rPr>
        <w:t xml:space="preserve"> </w:t>
      </w:r>
      <w:r>
        <w:rPr>
          <w:sz w:val="24"/>
          <w:u w:val="single"/>
          <w:lang w:eastAsia="zh-CN"/>
        </w:rPr>
        <w:tab/>
      </w:r>
      <w:r>
        <w:rPr>
          <w:sz w:val="24"/>
          <w:u w:val="single"/>
          <w:lang w:eastAsia="zh-CN"/>
        </w:rPr>
        <w:t>采购人名称</w:t>
      </w:r>
      <w:r>
        <w:rPr>
          <w:sz w:val="24"/>
          <w:u w:val="single"/>
          <w:lang w:eastAsia="zh-CN"/>
        </w:rPr>
        <w:tab/>
      </w:r>
      <w:r>
        <w:rPr>
          <w:sz w:val="24"/>
          <w:lang w:eastAsia="zh-CN"/>
        </w:rPr>
        <w:t>：</w:t>
      </w:r>
    </w:p>
    <w:p>
      <w:pPr>
        <w:pStyle w:val="8"/>
        <w:tabs>
          <w:tab w:val="left" w:pos="3019"/>
          <w:tab w:val="left" w:pos="3739"/>
          <w:tab w:val="left" w:pos="4459"/>
          <w:tab w:val="left" w:pos="5619"/>
          <w:tab w:val="left" w:pos="5659"/>
          <w:tab w:val="left" w:pos="8059"/>
          <w:tab w:val="left" w:pos="8659"/>
        </w:tabs>
        <w:spacing w:before="79" w:line="374" w:lineRule="auto"/>
        <w:ind w:left="260" w:right="119" w:firstLine="480"/>
        <w:rPr>
          <w:lang w:eastAsia="zh-CN"/>
        </w:rPr>
      </w:pPr>
      <w:r>
        <w:rPr>
          <w:lang w:eastAsia="zh-CN"/>
        </w:rPr>
        <w:t>关于贵方</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r>
        <w:rPr>
          <w:u w:val="single"/>
          <w:lang w:eastAsia="zh-CN"/>
        </w:rPr>
        <w:t xml:space="preserve"> </w:t>
      </w:r>
      <w:r>
        <w:rPr>
          <w:u w:val="single"/>
          <w:lang w:eastAsia="zh-CN"/>
        </w:rPr>
        <w:tab/>
      </w:r>
      <w:r>
        <w:rPr>
          <w:u w:val="single"/>
          <w:lang w:eastAsia="zh-CN"/>
        </w:rPr>
        <w:tab/>
      </w:r>
      <w:r>
        <w:rPr>
          <w:u w:val="single"/>
          <w:lang w:eastAsia="zh-CN"/>
        </w:rPr>
        <w:t>（项目名称、编号）</w:t>
      </w:r>
      <w:r>
        <w:rPr>
          <w:u w:val="single"/>
          <w:lang w:eastAsia="zh-CN"/>
        </w:rPr>
        <w:tab/>
      </w:r>
      <w:r>
        <w:rPr>
          <w:u w:val="single"/>
          <w:lang w:eastAsia="zh-CN"/>
        </w:rPr>
        <w:tab/>
      </w:r>
      <w:r>
        <w:rPr>
          <w:lang w:eastAsia="zh-CN"/>
        </w:rPr>
        <w:t>投标邀请，本签字人愿意参加投标</w:t>
      </w:r>
      <w:r>
        <w:rPr>
          <w:spacing w:val="-80"/>
          <w:lang w:eastAsia="zh-CN"/>
        </w:rPr>
        <w:t>，</w:t>
      </w:r>
      <w:r>
        <w:rPr>
          <w:lang w:eastAsia="zh-CN"/>
        </w:rPr>
        <w:t>提供竞争性磋商文件</w:t>
      </w:r>
      <w:r>
        <w:rPr>
          <w:u w:val="single"/>
          <w:lang w:eastAsia="zh-CN"/>
        </w:rPr>
        <w:t xml:space="preserve"> </w:t>
      </w:r>
      <w:r>
        <w:rPr>
          <w:u w:val="single"/>
          <w:lang w:eastAsia="zh-CN"/>
        </w:rPr>
        <w:tab/>
      </w:r>
      <w:r>
        <w:rPr>
          <w:u w:val="single"/>
          <w:lang w:eastAsia="zh-CN"/>
        </w:rPr>
        <w:t>（合同包）</w:t>
      </w:r>
      <w:r>
        <w:rPr>
          <w:u w:val="single"/>
          <w:lang w:eastAsia="zh-CN"/>
        </w:rPr>
        <w:tab/>
      </w:r>
      <w:r>
        <w:rPr>
          <w:lang w:eastAsia="zh-CN"/>
        </w:rPr>
        <w:t>中规定的设备或产品</w:t>
      </w:r>
      <w:r>
        <w:rPr>
          <w:spacing w:val="-18"/>
          <w:lang w:eastAsia="zh-CN"/>
        </w:rPr>
        <w:t xml:space="preserve">， </w:t>
      </w:r>
      <w:r>
        <w:rPr>
          <w:lang w:eastAsia="zh-CN"/>
        </w:rPr>
        <w:t>并证明提交的下列文件和说明是准确的和真实的。</w:t>
      </w:r>
    </w:p>
    <w:p>
      <w:pPr>
        <w:pStyle w:val="8"/>
        <w:spacing w:before="8"/>
        <w:rPr>
          <w:sz w:val="32"/>
          <w:lang w:eastAsia="zh-CN"/>
        </w:rPr>
      </w:pPr>
    </w:p>
    <w:p>
      <w:pPr>
        <w:pStyle w:val="8"/>
        <w:ind w:left="740"/>
        <w:rPr>
          <w:lang w:eastAsia="zh-CN"/>
        </w:rPr>
      </w:pPr>
      <w:r>
        <w:rPr>
          <w:lang w:eastAsia="zh-CN"/>
        </w:rPr>
        <w:t>1</w:t>
      </w:r>
      <w:r>
        <w:rPr>
          <w:spacing w:val="-15"/>
          <w:lang w:eastAsia="zh-CN"/>
        </w:rPr>
        <w:t>、本签字人确认资格文件中的说明以及响应文件中所有提交的文件和材料是真实的、准确的。</w:t>
      </w:r>
    </w:p>
    <w:p>
      <w:pPr>
        <w:pStyle w:val="8"/>
        <w:spacing w:before="91"/>
        <w:ind w:left="740"/>
        <w:rPr>
          <w:lang w:eastAsia="zh-CN"/>
        </w:rPr>
      </w:pPr>
      <w:r>
        <w:rPr>
          <w:lang w:eastAsia="zh-CN"/>
        </w:rPr>
        <w:t>2、我方的资格声明随响应文件一同递交。</w:t>
      </w:r>
    </w:p>
    <w:p>
      <w:pPr>
        <w:pStyle w:val="8"/>
        <w:rPr>
          <w:lang w:eastAsia="zh-CN"/>
        </w:rPr>
      </w:pPr>
    </w:p>
    <w:p>
      <w:pPr>
        <w:pStyle w:val="8"/>
        <w:rPr>
          <w:lang w:eastAsia="zh-CN"/>
        </w:rPr>
      </w:pPr>
    </w:p>
    <w:p>
      <w:pPr>
        <w:pStyle w:val="8"/>
        <w:rPr>
          <w:lang w:eastAsia="zh-CN"/>
        </w:rPr>
      </w:pPr>
    </w:p>
    <w:p>
      <w:pPr>
        <w:pStyle w:val="8"/>
        <w:rPr>
          <w:lang w:eastAsia="zh-CN"/>
        </w:rPr>
      </w:pPr>
    </w:p>
    <w:p>
      <w:pPr>
        <w:pStyle w:val="8"/>
        <w:rPr>
          <w:lang w:eastAsia="zh-CN"/>
        </w:rPr>
      </w:pPr>
    </w:p>
    <w:p>
      <w:pPr>
        <w:pStyle w:val="8"/>
        <w:rPr>
          <w:lang w:eastAsia="zh-CN"/>
        </w:rPr>
      </w:pPr>
    </w:p>
    <w:p>
      <w:pPr>
        <w:pStyle w:val="8"/>
        <w:rPr>
          <w:lang w:eastAsia="zh-CN"/>
        </w:rPr>
      </w:pPr>
    </w:p>
    <w:p>
      <w:pPr>
        <w:pStyle w:val="8"/>
        <w:tabs>
          <w:tab w:val="left" w:pos="9679"/>
        </w:tabs>
        <w:spacing w:before="204"/>
        <w:ind w:left="3740"/>
        <w:rPr>
          <w:rFonts w:ascii="Times New Roman" w:eastAsia="Times New Roman"/>
          <w:lang w:eastAsia="zh-CN"/>
        </w:rPr>
      </w:pPr>
      <w:r>
        <w:rPr>
          <w:lang w:eastAsia="zh-CN"/>
        </w:rPr>
        <w:t>投标供应商（加盖公章）：</w:t>
      </w:r>
      <w:r>
        <w:rPr>
          <w:rFonts w:ascii="Times New Roman" w:eastAsia="Times New Roman"/>
          <w:u w:val="single"/>
          <w:lang w:eastAsia="zh-CN"/>
        </w:rPr>
        <w:t xml:space="preserve"> </w:t>
      </w:r>
      <w:r>
        <w:rPr>
          <w:rFonts w:ascii="Times New Roman" w:eastAsia="Times New Roman"/>
          <w:u w:val="single"/>
          <w:lang w:eastAsia="zh-CN"/>
        </w:rPr>
        <w:tab/>
      </w:r>
    </w:p>
    <w:p>
      <w:pPr>
        <w:pStyle w:val="8"/>
        <w:rPr>
          <w:rFonts w:ascii="Times New Roman"/>
          <w:sz w:val="20"/>
          <w:lang w:eastAsia="zh-CN"/>
        </w:rPr>
      </w:pPr>
    </w:p>
    <w:p>
      <w:pPr>
        <w:pStyle w:val="8"/>
        <w:tabs>
          <w:tab w:val="left" w:pos="9679"/>
        </w:tabs>
        <w:spacing w:before="224"/>
        <w:ind w:left="3740"/>
        <w:rPr>
          <w:rFonts w:ascii="Times New Roman" w:eastAsia="Times New Roman"/>
          <w:lang w:eastAsia="zh-CN"/>
        </w:rPr>
      </w:pPr>
      <w:r>
        <w:rPr>
          <w:lang w:eastAsia="zh-CN"/>
        </w:rPr>
        <w:t xml:space="preserve">投标供应商代表（签字）： </w:t>
      </w:r>
      <w:r>
        <w:rPr>
          <w:rFonts w:ascii="Times New Roman" w:eastAsia="Times New Roman"/>
          <w:u w:val="single"/>
          <w:lang w:eastAsia="zh-CN"/>
        </w:rPr>
        <w:t xml:space="preserve"> </w:t>
      </w:r>
      <w:r>
        <w:rPr>
          <w:rFonts w:ascii="Times New Roman" w:eastAsia="Times New Roman"/>
          <w:u w:val="single"/>
          <w:lang w:eastAsia="zh-CN"/>
        </w:rPr>
        <w:tab/>
      </w:r>
    </w:p>
    <w:p>
      <w:pPr>
        <w:pStyle w:val="8"/>
        <w:rPr>
          <w:rFonts w:ascii="Times New Roman"/>
          <w:sz w:val="20"/>
          <w:lang w:eastAsia="zh-CN"/>
        </w:rPr>
      </w:pPr>
    </w:p>
    <w:p>
      <w:pPr>
        <w:pStyle w:val="8"/>
        <w:tabs>
          <w:tab w:val="left" w:pos="5539"/>
          <w:tab w:val="left" w:pos="9559"/>
        </w:tabs>
        <w:spacing w:before="223"/>
        <w:ind w:left="3740"/>
        <w:rPr>
          <w:rFonts w:ascii="Times New Roman" w:eastAsia="Times New Roman"/>
          <w:lang w:eastAsia="zh-CN"/>
        </w:rPr>
      </w:pPr>
      <w:r>
        <w:rPr>
          <w:lang w:eastAsia="zh-CN"/>
        </w:rPr>
        <w:t>地</w:t>
      </w:r>
      <w:r>
        <w:rPr>
          <w:lang w:eastAsia="zh-CN"/>
        </w:rPr>
        <w:tab/>
      </w:r>
      <w:r>
        <w:rPr>
          <w:lang w:eastAsia="zh-CN"/>
        </w:rPr>
        <w:t>址：</w:t>
      </w:r>
      <w:r>
        <w:rPr>
          <w:rFonts w:ascii="Times New Roman" w:eastAsia="Times New Roman"/>
          <w:u w:val="single"/>
          <w:lang w:eastAsia="zh-CN"/>
        </w:rPr>
        <w:t xml:space="preserve"> </w:t>
      </w:r>
      <w:r>
        <w:rPr>
          <w:rFonts w:ascii="Times New Roman" w:eastAsia="Times New Roman"/>
          <w:u w:val="single"/>
          <w:lang w:eastAsia="zh-CN"/>
        </w:rPr>
        <w:tab/>
      </w:r>
    </w:p>
    <w:p>
      <w:pPr>
        <w:pStyle w:val="8"/>
        <w:rPr>
          <w:rFonts w:ascii="Times New Roman"/>
          <w:sz w:val="20"/>
          <w:lang w:eastAsia="zh-CN"/>
        </w:rPr>
      </w:pPr>
    </w:p>
    <w:p>
      <w:pPr>
        <w:pStyle w:val="8"/>
        <w:tabs>
          <w:tab w:val="left" w:pos="5539"/>
          <w:tab w:val="left" w:pos="9559"/>
        </w:tabs>
        <w:spacing w:before="221"/>
        <w:ind w:left="3740"/>
        <w:rPr>
          <w:rFonts w:ascii="Times New Roman" w:eastAsia="Times New Roman"/>
          <w:lang w:eastAsia="zh-CN"/>
        </w:rPr>
      </w:pPr>
      <w:r>
        <w:rPr>
          <w:lang w:eastAsia="zh-CN"/>
        </w:rPr>
        <w:t>邮</w:t>
      </w:r>
      <w:r>
        <w:rPr>
          <w:lang w:eastAsia="zh-CN"/>
        </w:rPr>
        <w:tab/>
      </w:r>
      <w:r>
        <w:rPr>
          <w:lang w:eastAsia="zh-CN"/>
        </w:rPr>
        <w:t>编：</w:t>
      </w:r>
      <w:r>
        <w:rPr>
          <w:rFonts w:ascii="Times New Roman" w:eastAsia="Times New Roman"/>
          <w:u w:val="single"/>
          <w:lang w:eastAsia="zh-CN"/>
        </w:rPr>
        <w:t xml:space="preserve"> </w:t>
      </w:r>
      <w:r>
        <w:rPr>
          <w:rFonts w:ascii="Times New Roman" w:eastAsia="Times New Roman"/>
          <w:u w:val="single"/>
          <w:lang w:eastAsia="zh-CN"/>
        </w:rPr>
        <w:tab/>
      </w:r>
    </w:p>
    <w:p>
      <w:pPr>
        <w:pStyle w:val="8"/>
        <w:rPr>
          <w:rFonts w:ascii="Times New Roman"/>
          <w:sz w:val="20"/>
          <w:lang w:eastAsia="zh-CN"/>
        </w:rPr>
      </w:pPr>
    </w:p>
    <w:p>
      <w:pPr>
        <w:pStyle w:val="8"/>
        <w:tabs>
          <w:tab w:val="left" w:pos="4459"/>
          <w:tab w:val="left" w:pos="5539"/>
          <w:tab w:val="left" w:pos="9559"/>
        </w:tabs>
        <w:spacing w:before="223"/>
        <w:ind w:left="3740"/>
        <w:rPr>
          <w:rFonts w:ascii="Times New Roman" w:eastAsia="Times New Roman"/>
          <w:lang w:eastAsia="zh-CN"/>
        </w:rPr>
      </w:pPr>
      <w:r>
        <w:rPr>
          <w:lang w:eastAsia="zh-CN"/>
        </w:rPr>
        <w:t>电</w:t>
      </w:r>
      <w:r>
        <w:rPr>
          <w:lang w:eastAsia="zh-CN"/>
        </w:rPr>
        <w:tab/>
      </w:r>
      <w:r>
        <w:rPr>
          <w:lang w:eastAsia="zh-CN"/>
        </w:rPr>
        <w:t>话/传</w:t>
      </w:r>
      <w:r>
        <w:rPr>
          <w:lang w:eastAsia="zh-CN"/>
        </w:rPr>
        <w:tab/>
      </w:r>
      <w:r>
        <w:rPr>
          <w:lang w:eastAsia="zh-CN"/>
        </w:rPr>
        <w:t>真：</w:t>
      </w:r>
      <w:r>
        <w:rPr>
          <w:rFonts w:ascii="Times New Roman" w:eastAsia="Times New Roman"/>
          <w:u w:val="single"/>
          <w:lang w:eastAsia="zh-CN"/>
        </w:rPr>
        <w:t xml:space="preserve"> </w:t>
      </w:r>
      <w:r>
        <w:rPr>
          <w:rFonts w:ascii="Times New Roman" w:eastAsia="Times New Roman"/>
          <w:u w:val="single"/>
          <w:lang w:eastAsia="zh-CN"/>
        </w:rPr>
        <w:tab/>
      </w:r>
    </w:p>
    <w:p>
      <w:pPr>
        <w:rPr>
          <w:rFonts w:ascii="Times New Roman" w:eastAsia="Times New Roman"/>
          <w:lang w:eastAsia="zh-CN"/>
        </w:rPr>
        <w:sectPr>
          <w:pgSz w:w="12240" w:h="15840"/>
          <w:pgMar w:top="1380" w:right="840" w:bottom="960" w:left="820" w:header="953" w:footer="761" w:gutter="0"/>
          <w:pgNumType w:fmt="decimal"/>
          <w:cols w:space="720" w:num="1"/>
        </w:sectPr>
      </w:pPr>
    </w:p>
    <w:p>
      <w:pPr>
        <w:tabs>
          <w:tab w:val="left" w:pos="1819"/>
          <w:tab w:val="left" w:pos="4099"/>
        </w:tabs>
        <w:spacing w:before="124" w:line="604" w:lineRule="auto"/>
        <w:ind w:left="260" w:right="3586" w:firstLine="3360"/>
        <w:rPr>
          <w:sz w:val="24"/>
          <w:lang w:eastAsia="zh-CN"/>
        </w:rPr>
      </w:pPr>
      <w:r>
        <w:rPr>
          <w:b/>
          <w:sz w:val="24"/>
          <w:lang w:eastAsia="zh-CN"/>
        </w:rPr>
        <w:t>（二）、投标供应商的资格声</w:t>
      </w:r>
      <w:r>
        <w:rPr>
          <w:b/>
          <w:spacing w:val="-16"/>
          <w:sz w:val="24"/>
          <w:lang w:eastAsia="zh-CN"/>
        </w:rPr>
        <w:t>明</w:t>
      </w:r>
      <w:r>
        <w:rPr>
          <w:sz w:val="24"/>
          <w:lang w:eastAsia="zh-CN"/>
        </w:rPr>
        <w:t>致：</w:t>
      </w:r>
      <w:r>
        <w:rPr>
          <w:sz w:val="24"/>
          <w:u w:val="single"/>
          <w:lang w:eastAsia="zh-CN"/>
        </w:rPr>
        <w:t xml:space="preserve"> </w:t>
      </w:r>
      <w:r>
        <w:rPr>
          <w:sz w:val="24"/>
          <w:u w:val="single"/>
          <w:lang w:eastAsia="zh-CN"/>
        </w:rPr>
        <w:tab/>
      </w:r>
      <w:r>
        <w:rPr>
          <w:sz w:val="24"/>
          <w:u w:val="single"/>
          <w:lang w:eastAsia="zh-CN"/>
        </w:rPr>
        <w:t>采购人名称</w:t>
      </w:r>
      <w:r>
        <w:rPr>
          <w:sz w:val="24"/>
          <w:u w:val="single"/>
          <w:lang w:eastAsia="zh-CN"/>
        </w:rPr>
        <w:tab/>
      </w:r>
      <w:r>
        <w:rPr>
          <w:sz w:val="24"/>
          <w:lang w:eastAsia="zh-CN"/>
        </w:rPr>
        <w:t>：</w:t>
      </w:r>
    </w:p>
    <w:p>
      <w:pPr>
        <w:pStyle w:val="4"/>
        <w:numPr>
          <w:ilvl w:val="0"/>
          <w:numId w:val="40"/>
        </w:numPr>
        <w:tabs>
          <w:tab w:val="left" w:pos="621"/>
        </w:tabs>
        <w:spacing w:before="17"/>
      </w:pPr>
      <w:r>
        <w:t>供应商概况：</w:t>
      </w:r>
    </w:p>
    <w:p>
      <w:pPr>
        <w:pStyle w:val="26"/>
        <w:numPr>
          <w:ilvl w:val="1"/>
          <w:numId w:val="40"/>
        </w:numPr>
        <w:tabs>
          <w:tab w:val="left" w:pos="740"/>
          <w:tab w:val="left" w:pos="10399"/>
        </w:tabs>
        <w:spacing w:before="81"/>
        <w:rPr>
          <w:rFonts w:ascii="Times New Roman" w:eastAsia="Times New Roman"/>
          <w:sz w:val="24"/>
        </w:rPr>
      </w:pPr>
      <w:r>
        <w:rPr>
          <w:sz w:val="24"/>
        </w:rPr>
        <w:t>供应商名称：</w:t>
      </w:r>
      <w:r>
        <w:rPr>
          <w:rFonts w:ascii="Times New Roman" w:eastAsia="Times New Roman"/>
          <w:sz w:val="24"/>
          <w:u w:val="single"/>
        </w:rPr>
        <w:t xml:space="preserve"> </w:t>
      </w:r>
      <w:r>
        <w:rPr>
          <w:rFonts w:ascii="Times New Roman" w:eastAsia="Times New Roman"/>
          <w:sz w:val="24"/>
          <w:u w:val="single"/>
        </w:rPr>
        <w:tab/>
      </w:r>
    </w:p>
    <w:p>
      <w:pPr>
        <w:pStyle w:val="26"/>
        <w:numPr>
          <w:ilvl w:val="1"/>
          <w:numId w:val="40"/>
        </w:numPr>
        <w:tabs>
          <w:tab w:val="left" w:pos="740"/>
          <w:tab w:val="left" w:pos="10399"/>
        </w:tabs>
        <w:spacing w:before="84"/>
        <w:rPr>
          <w:rFonts w:ascii="Times New Roman" w:eastAsia="Times New Roman"/>
          <w:sz w:val="24"/>
        </w:rPr>
      </w:pPr>
      <w:r>
        <w:rPr>
          <w:sz w:val="24"/>
        </w:rPr>
        <w:t>注册地址：</w:t>
      </w:r>
      <w:r>
        <w:rPr>
          <w:rFonts w:ascii="Times New Roman" w:eastAsia="Times New Roman"/>
          <w:sz w:val="24"/>
          <w:u w:val="single"/>
        </w:rPr>
        <w:t xml:space="preserve"> </w:t>
      </w:r>
      <w:r>
        <w:rPr>
          <w:rFonts w:ascii="Times New Roman" w:eastAsia="Times New Roman"/>
          <w:sz w:val="24"/>
          <w:u w:val="single"/>
        </w:rPr>
        <w:tab/>
      </w:r>
    </w:p>
    <w:p>
      <w:pPr>
        <w:pStyle w:val="8"/>
        <w:tabs>
          <w:tab w:val="left" w:pos="4219"/>
          <w:tab w:val="left" w:pos="8059"/>
          <w:tab w:val="left" w:pos="10399"/>
        </w:tabs>
        <w:spacing w:before="81"/>
        <w:ind w:left="260"/>
        <w:rPr>
          <w:rFonts w:ascii="Times New Roman" w:eastAsia="Times New Roman"/>
          <w:lang w:eastAsia="zh-CN"/>
        </w:rPr>
      </w:pPr>
      <w:r>
        <w:rPr>
          <w:lang w:eastAsia="zh-CN"/>
        </w:rPr>
        <w:t>1.3 传真：</w:t>
      </w:r>
      <w:r>
        <w:rPr>
          <w:u w:val="single"/>
          <w:lang w:eastAsia="zh-CN"/>
        </w:rPr>
        <w:t xml:space="preserve"> </w:t>
      </w:r>
      <w:r>
        <w:rPr>
          <w:u w:val="single"/>
          <w:lang w:eastAsia="zh-CN"/>
        </w:rPr>
        <w:tab/>
      </w:r>
      <w:r>
        <w:rPr>
          <w:lang w:eastAsia="zh-CN"/>
        </w:rPr>
        <w:t>；电话：</w:t>
      </w:r>
      <w:r>
        <w:rPr>
          <w:u w:val="single"/>
          <w:lang w:eastAsia="zh-CN"/>
        </w:rPr>
        <w:t xml:space="preserve"> </w:t>
      </w:r>
      <w:r>
        <w:rPr>
          <w:u w:val="single"/>
          <w:lang w:eastAsia="zh-CN"/>
        </w:rPr>
        <w:tab/>
      </w:r>
      <w:r>
        <w:rPr>
          <w:lang w:eastAsia="zh-CN"/>
        </w:rPr>
        <w:t>；邮编：</w:t>
      </w:r>
      <w:r>
        <w:rPr>
          <w:rFonts w:ascii="Times New Roman" w:eastAsia="Times New Roman"/>
          <w:u w:val="single"/>
          <w:lang w:eastAsia="zh-CN"/>
        </w:rPr>
        <w:t xml:space="preserve"> </w:t>
      </w:r>
      <w:r>
        <w:rPr>
          <w:rFonts w:ascii="Times New Roman" w:eastAsia="Times New Roman"/>
          <w:u w:val="single"/>
          <w:lang w:eastAsia="zh-CN"/>
        </w:rPr>
        <w:tab/>
      </w:r>
    </w:p>
    <w:p>
      <w:pPr>
        <w:pStyle w:val="26"/>
        <w:numPr>
          <w:ilvl w:val="1"/>
          <w:numId w:val="41"/>
        </w:numPr>
        <w:tabs>
          <w:tab w:val="left" w:pos="740"/>
          <w:tab w:val="left" w:pos="10399"/>
        </w:tabs>
        <w:spacing w:before="84"/>
        <w:rPr>
          <w:rFonts w:ascii="Times New Roman" w:eastAsia="Times New Roman"/>
          <w:sz w:val="24"/>
        </w:rPr>
      </w:pPr>
      <w:r>
        <w:rPr>
          <w:sz w:val="24"/>
        </w:rPr>
        <w:t>成立或注册日期：</w:t>
      </w:r>
      <w:r>
        <w:rPr>
          <w:rFonts w:ascii="Times New Roman" w:eastAsia="Times New Roman"/>
          <w:sz w:val="24"/>
          <w:u w:val="single"/>
        </w:rPr>
        <w:t xml:space="preserve"> </w:t>
      </w:r>
      <w:r>
        <w:rPr>
          <w:rFonts w:ascii="Times New Roman" w:eastAsia="Times New Roman"/>
          <w:sz w:val="24"/>
          <w:u w:val="single"/>
        </w:rPr>
        <w:tab/>
      </w:r>
    </w:p>
    <w:p>
      <w:pPr>
        <w:pStyle w:val="26"/>
        <w:numPr>
          <w:ilvl w:val="1"/>
          <w:numId w:val="41"/>
        </w:numPr>
        <w:tabs>
          <w:tab w:val="left" w:pos="740"/>
          <w:tab w:val="left" w:pos="5659"/>
          <w:tab w:val="left" w:pos="10399"/>
        </w:tabs>
        <w:spacing w:before="81"/>
        <w:rPr>
          <w:rFonts w:ascii="Times New Roman" w:eastAsia="Times New Roman"/>
          <w:sz w:val="24"/>
          <w:lang w:eastAsia="zh-CN"/>
        </w:rPr>
      </w:pPr>
      <w:r>
        <w:rPr>
          <w:sz w:val="24"/>
          <w:lang w:eastAsia="zh-CN"/>
        </w:rPr>
        <w:t>法人代表：</w:t>
      </w:r>
      <w:r>
        <w:rPr>
          <w:sz w:val="24"/>
          <w:u w:val="single"/>
          <w:lang w:eastAsia="zh-CN"/>
        </w:rPr>
        <w:t xml:space="preserve"> </w:t>
      </w:r>
      <w:r>
        <w:rPr>
          <w:sz w:val="24"/>
          <w:u w:val="single"/>
          <w:lang w:eastAsia="zh-CN"/>
        </w:rPr>
        <w:tab/>
      </w:r>
      <w:r>
        <w:rPr>
          <w:sz w:val="24"/>
          <w:lang w:eastAsia="zh-CN"/>
        </w:rPr>
        <w:t>；技术负责人：</w:t>
      </w:r>
      <w:r>
        <w:rPr>
          <w:rFonts w:ascii="Times New Roman" w:eastAsia="Times New Roman"/>
          <w:sz w:val="24"/>
          <w:u w:val="single"/>
          <w:lang w:eastAsia="zh-CN"/>
        </w:rPr>
        <w:t xml:space="preserve"> </w:t>
      </w:r>
      <w:r>
        <w:rPr>
          <w:rFonts w:ascii="Times New Roman" w:eastAsia="Times New Roman"/>
          <w:sz w:val="24"/>
          <w:u w:val="single"/>
          <w:lang w:eastAsia="zh-CN"/>
        </w:rPr>
        <w:tab/>
      </w:r>
    </w:p>
    <w:p>
      <w:pPr>
        <w:pStyle w:val="26"/>
        <w:numPr>
          <w:ilvl w:val="1"/>
          <w:numId w:val="41"/>
        </w:numPr>
        <w:tabs>
          <w:tab w:val="left" w:pos="740"/>
          <w:tab w:val="left" w:pos="4219"/>
          <w:tab w:val="left" w:pos="5059"/>
          <w:tab w:val="left" w:pos="6019"/>
        </w:tabs>
        <w:spacing w:before="84"/>
        <w:rPr>
          <w:sz w:val="24"/>
          <w:lang w:eastAsia="zh-CN"/>
        </w:rPr>
      </w:pPr>
      <w:r>
        <w:rPr>
          <w:sz w:val="24"/>
          <w:lang w:eastAsia="zh-CN"/>
        </w:rPr>
        <w:t>最近资产负债表（至</w:t>
      </w:r>
      <w:r>
        <w:rPr>
          <w:sz w:val="24"/>
          <w:u w:val="single"/>
          <w:lang w:eastAsia="zh-CN"/>
        </w:rPr>
        <w:t xml:space="preserve"> </w:t>
      </w:r>
      <w:r>
        <w:rPr>
          <w:sz w:val="24"/>
          <w:u w:val="single"/>
          <w:lang w:eastAsia="zh-CN"/>
        </w:rPr>
        <w:tab/>
      </w:r>
      <w:r>
        <w:rPr>
          <w:sz w:val="24"/>
          <w:lang w:eastAsia="zh-CN"/>
        </w:rPr>
        <w:t>年</w:t>
      </w:r>
      <w:r>
        <w:rPr>
          <w:sz w:val="24"/>
          <w:u w:val="single"/>
          <w:lang w:eastAsia="zh-CN"/>
        </w:rPr>
        <w:t xml:space="preserve"> </w:t>
      </w:r>
      <w:r>
        <w:rPr>
          <w:sz w:val="24"/>
          <w:u w:val="single"/>
          <w:lang w:eastAsia="zh-CN"/>
        </w:rPr>
        <w:tab/>
      </w:r>
      <w:r>
        <w:rPr>
          <w:sz w:val="24"/>
          <w:lang w:eastAsia="zh-CN"/>
        </w:rPr>
        <w:t>月</w:t>
      </w:r>
      <w:r>
        <w:rPr>
          <w:sz w:val="24"/>
          <w:u w:val="single"/>
          <w:lang w:eastAsia="zh-CN"/>
        </w:rPr>
        <w:t xml:space="preserve"> </w:t>
      </w:r>
      <w:r>
        <w:rPr>
          <w:sz w:val="24"/>
          <w:u w:val="single"/>
          <w:lang w:eastAsia="zh-CN"/>
        </w:rPr>
        <w:tab/>
      </w:r>
      <w:r>
        <w:rPr>
          <w:sz w:val="24"/>
          <w:lang w:eastAsia="zh-CN"/>
        </w:rPr>
        <w:t>日为止）。</w:t>
      </w:r>
    </w:p>
    <w:p>
      <w:pPr>
        <w:pStyle w:val="8"/>
        <w:tabs>
          <w:tab w:val="left" w:pos="5779"/>
          <w:tab w:val="left" w:pos="10399"/>
        </w:tabs>
        <w:spacing w:before="81"/>
        <w:ind w:left="500"/>
        <w:rPr>
          <w:rFonts w:ascii="Times New Roman" w:eastAsia="Times New Roman"/>
          <w:lang w:eastAsia="zh-CN"/>
        </w:rPr>
      </w:pPr>
      <w:r>
        <w:rPr>
          <w:lang w:eastAsia="zh-CN"/>
        </w:rPr>
        <w:t>（1）资产总额：</w:t>
      </w:r>
      <w:r>
        <w:rPr>
          <w:u w:val="single"/>
          <w:lang w:eastAsia="zh-CN"/>
        </w:rPr>
        <w:t xml:space="preserve"> </w:t>
      </w:r>
      <w:r>
        <w:rPr>
          <w:u w:val="single"/>
          <w:lang w:eastAsia="zh-CN"/>
        </w:rPr>
        <w:tab/>
      </w:r>
      <w:r>
        <w:rPr>
          <w:lang w:eastAsia="zh-CN"/>
        </w:rPr>
        <w:t>；（2）固定资产：</w:t>
      </w:r>
      <w:r>
        <w:rPr>
          <w:rFonts w:ascii="Times New Roman" w:eastAsia="Times New Roman"/>
          <w:u w:val="single"/>
          <w:lang w:eastAsia="zh-CN"/>
        </w:rPr>
        <w:t xml:space="preserve"> </w:t>
      </w:r>
      <w:r>
        <w:rPr>
          <w:rFonts w:ascii="Times New Roman" w:eastAsia="Times New Roman"/>
          <w:u w:val="single"/>
          <w:lang w:eastAsia="zh-CN"/>
        </w:rPr>
        <w:tab/>
      </w:r>
    </w:p>
    <w:p>
      <w:pPr>
        <w:pStyle w:val="8"/>
        <w:tabs>
          <w:tab w:val="left" w:pos="5779"/>
          <w:tab w:val="left" w:pos="10399"/>
        </w:tabs>
        <w:spacing w:before="84"/>
        <w:ind w:left="500"/>
        <w:rPr>
          <w:rFonts w:ascii="Times New Roman" w:eastAsia="Times New Roman"/>
          <w:lang w:eastAsia="zh-CN"/>
        </w:rPr>
      </w:pPr>
      <w:r>
        <w:rPr>
          <w:lang w:eastAsia="zh-CN"/>
        </w:rPr>
        <w:t>（3）流动资产：</w:t>
      </w:r>
      <w:r>
        <w:rPr>
          <w:u w:val="single"/>
          <w:lang w:eastAsia="zh-CN"/>
        </w:rPr>
        <w:t xml:space="preserve"> </w:t>
      </w:r>
      <w:r>
        <w:rPr>
          <w:u w:val="single"/>
          <w:lang w:eastAsia="zh-CN"/>
        </w:rPr>
        <w:tab/>
      </w:r>
      <w:r>
        <w:rPr>
          <w:lang w:eastAsia="zh-CN"/>
        </w:rPr>
        <w:t>；（4）净资产：</w:t>
      </w:r>
      <w:r>
        <w:rPr>
          <w:rFonts w:ascii="Times New Roman" w:eastAsia="Times New Roman"/>
          <w:u w:val="single"/>
          <w:lang w:eastAsia="zh-CN"/>
        </w:rPr>
        <w:t xml:space="preserve"> </w:t>
      </w:r>
      <w:r>
        <w:rPr>
          <w:rFonts w:ascii="Times New Roman" w:eastAsia="Times New Roman"/>
          <w:u w:val="single"/>
          <w:lang w:eastAsia="zh-CN"/>
        </w:rPr>
        <w:tab/>
      </w:r>
    </w:p>
    <w:p>
      <w:pPr>
        <w:pStyle w:val="8"/>
        <w:tabs>
          <w:tab w:val="left" w:pos="5779"/>
          <w:tab w:val="left" w:pos="10399"/>
        </w:tabs>
        <w:spacing w:before="81"/>
        <w:ind w:left="500"/>
        <w:rPr>
          <w:rFonts w:ascii="Times New Roman" w:eastAsia="Times New Roman"/>
          <w:lang w:eastAsia="zh-CN"/>
        </w:rPr>
      </w:pPr>
      <w:r>
        <w:rPr>
          <w:lang w:eastAsia="zh-CN"/>
        </w:rPr>
        <w:t>（5）长期负债：</w:t>
      </w:r>
      <w:r>
        <w:rPr>
          <w:u w:val="single"/>
          <w:lang w:eastAsia="zh-CN"/>
        </w:rPr>
        <w:t xml:space="preserve"> </w:t>
      </w:r>
      <w:r>
        <w:rPr>
          <w:u w:val="single"/>
          <w:lang w:eastAsia="zh-CN"/>
        </w:rPr>
        <w:tab/>
      </w:r>
      <w:r>
        <w:rPr>
          <w:lang w:eastAsia="zh-CN"/>
        </w:rPr>
        <w:t>；（6）流动负债：</w:t>
      </w:r>
      <w:r>
        <w:rPr>
          <w:rFonts w:ascii="Times New Roman" w:eastAsia="Times New Roman"/>
          <w:u w:val="single"/>
          <w:lang w:eastAsia="zh-CN"/>
        </w:rPr>
        <w:t xml:space="preserve"> </w:t>
      </w:r>
      <w:r>
        <w:rPr>
          <w:rFonts w:ascii="Times New Roman" w:eastAsia="Times New Roman"/>
          <w:u w:val="single"/>
          <w:lang w:eastAsia="zh-CN"/>
        </w:rPr>
        <w:tab/>
      </w:r>
    </w:p>
    <w:p>
      <w:pPr>
        <w:pStyle w:val="8"/>
        <w:tabs>
          <w:tab w:val="left" w:pos="5779"/>
          <w:tab w:val="left" w:pos="10399"/>
        </w:tabs>
        <w:spacing w:before="84"/>
        <w:ind w:left="500"/>
        <w:rPr>
          <w:rFonts w:ascii="Times New Roman" w:eastAsia="Times New Roman"/>
          <w:lang w:eastAsia="zh-CN"/>
        </w:rPr>
      </w:pPr>
      <w:r>
        <w:rPr>
          <w:lang w:eastAsia="zh-CN"/>
        </w:rPr>
        <w:t>（7）营业收入：</w:t>
      </w:r>
      <w:r>
        <w:rPr>
          <w:u w:val="single"/>
          <w:lang w:eastAsia="zh-CN"/>
        </w:rPr>
        <w:t xml:space="preserve"> </w:t>
      </w:r>
      <w:r>
        <w:rPr>
          <w:u w:val="single"/>
          <w:lang w:eastAsia="zh-CN"/>
        </w:rPr>
        <w:tab/>
      </w:r>
      <w:r>
        <w:rPr>
          <w:lang w:eastAsia="zh-CN"/>
        </w:rPr>
        <w:t>；（8）净利润：</w:t>
      </w:r>
      <w:r>
        <w:rPr>
          <w:rFonts w:ascii="Times New Roman" w:eastAsia="Times New Roman"/>
          <w:u w:val="single"/>
          <w:lang w:eastAsia="zh-CN"/>
        </w:rPr>
        <w:t xml:space="preserve"> </w:t>
      </w:r>
      <w:r>
        <w:rPr>
          <w:rFonts w:ascii="Times New Roman" w:eastAsia="Times New Roman"/>
          <w:u w:val="single"/>
          <w:lang w:eastAsia="zh-CN"/>
        </w:rPr>
        <w:tab/>
      </w:r>
    </w:p>
    <w:p>
      <w:pPr>
        <w:pStyle w:val="26"/>
        <w:numPr>
          <w:ilvl w:val="0"/>
          <w:numId w:val="40"/>
        </w:numPr>
        <w:tabs>
          <w:tab w:val="left" w:pos="621"/>
        </w:tabs>
        <w:spacing w:before="81" w:line="304" w:lineRule="auto"/>
        <w:ind w:left="260" w:right="348" w:firstLine="0"/>
        <w:rPr>
          <w:sz w:val="24"/>
          <w:lang w:eastAsia="zh-CN"/>
        </w:rPr>
      </w:pPr>
      <w:r>
        <w:rPr>
          <w:b/>
          <w:sz w:val="24"/>
          <w:lang w:eastAsia="zh-CN"/>
        </w:rPr>
        <w:t>我方在此尊重声明</w:t>
      </w:r>
      <w:r>
        <w:rPr>
          <w:spacing w:val="-1"/>
          <w:sz w:val="24"/>
          <w:lang w:eastAsia="zh-CN"/>
        </w:rPr>
        <w:t>：我方具备并满足下列各项条款的规定。本声明如有虚假或不实之处，我</w:t>
      </w:r>
      <w:r>
        <w:rPr>
          <w:sz w:val="24"/>
          <w:lang w:eastAsia="zh-CN"/>
        </w:rPr>
        <w:t>方将失去合格供应商资格且我方的投标保证金将不予退还。</w:t>
      </w:r>
    </w:p>
    <w:p>
      <w:pPr>
        <w:pStyle w:val="26"/>
        <w:numPr>
          <w:ilvl w:val="0"/>
          <w:numId w:val="42"/>
        </w:numPr>
        <w:tabs>
          <w:tab w:val="left" w:pos="1101"/>
        </w:tabs>
        <w:spacing w:line="306" w:lineRule="exact"/>
        <w:rPr>
          <w:sz w:val="24"/>
          <w:lang w:eastAsia="zh-CN"/>
        </w:rPr>
      </w:pPr>
      <w:r>
        <w:rPr>
          <w:sz w:val="24"/>
          <w:lang w:eastAsia="zh-CN"/>
        </w:rPr>
        <w:t>具有独立承担民事责任的能力；</w:t>
      </w:r>
    </w:p>
    <w:p>
      <w:pPr>
        <w:pStyle w:val="26"/>
        <w:numPr>
          <w:ilvl w:val="0"/>
          <w:numId w:val="42"/>
        </w:numPr>
        <w:tabs>
          <w:tab w:val="left" w:pos="1101"/>
        </w:tabs>
        <w:spacing w:before="84"/>
        <w:rPr>
          <w:sz w:val="24"/>
          <w:lang w:eastAsia="zh-CN"/>
        </w:rPr>
      </w:pPr>
      <w:r>
        <w:rPr>
          <w:sz w:val="24"/>
          <w:lang w:eastAsia="zh-CN"/>
        </w:rPr>
        <w:t>具有良好的商业信誉和健全的财务会计制度；</w:t>
      </w:r>
    </w:p>
    <w:p>
      <w:pPr>
        <w:pStyle w:val="26"/>
        <w:numPr>
          <w:ilvl w:val="0"/>
          <w:numId w:val="42"/>
        </w:numPr>
        <w:tabs>
          <w:tab w:val="left" w:pos="1101"/>
        </w:tabs>
        <w:spacing w:before="81"/>
        <w:rPr>
          <w:sz w:val="24"/>
          <w:lang w:eastAsia="zh-CN"/>
        </w:rPr>
      </w:pPr>
      <w:r>
        <w:rPr>
          <w:sz w:val="24"/>
          <w:lang w:eastAsia="zh-CN"/>
        </w:rPr>
        <w:t>具有履行合同所必需的货物和专业技术能力；</w:t>
      </w:r>
    </w:p>
    <w:p>
      <w:pPr>
        <w:pStyle w:val="26"/>
        <w:numPr>
          <w:ilvl w:val="0"/>
          <w:numId w:val="42"/>
        </w:numPr>
        <w:tabs>
          <w:tab w:val="left" w:pos="1101"/>
        </w:tabs>
        <w:spacing w:before="84"/>
        <w:rPr>
          <w:sz w:val="24"/>
          <w:lang w:eastAsia="zh-CN"/>
        </w:rPr>
      </w:pPr>
      <w:r>
        <w:rPr>
          <w:sz w:val="24"/>
          <w:lang w:eastAsia="zh-CN"/>
        </w:rPr>
        <w:t>有依法缴纳税收和社会保障资金的良好记录；</w:t>
      </w:r>
    </w:p>
    <w:p>
      <w:pPr>
        <w:pStyle w:val="26"/>
        <w:numPr>
          <w:ilvl w:val="0"/>
          <w:numId w:val="42"/>
        </w:numPr>
        <w:tabs>
          <w:tab w:val="left" w:pos="1101"/>
        </w:tabs>
        <w:spacing w:before="81"/>
        <w:rPr>
          <w:sz w:val="24"/>
          <w:lang w:eastAsia="zh-CN"/>
        </w:rPr>
      </w:pPr>
      <w:r>
        <w:rPr>
          <w:sz w:val="24"/>
          <w:lang w:eastAsia="zh-CN"/>
        </w:rPr>
        <w:t>近三年内，在经营活动中没有重大违法记录；</w:t>
      </w:r>
    </w:p>
    <w:p>
      <w:pPr>
        <w:pStyle w:val="8"/>
        <w:spacing w:before="84" w:line="302" w:lineRule="auto"/>
        <w:ind w:left="260" w:right="239" w:firstLine="480"/>
        <w:rPr>
          <w:lang w:eastAsia="zh-CN"/>
        </w:rPr>
      </w:pPr>
      <w:r>
        <w:rPr>
          <w:spacing w:val="-10"/>
          <w:lang w:eastAsia="zh-CN"/>
        </w:rPr>
        <w:t>就我方全部所知，兹证明上述声明是真实、正确的， 并已提供了全部现有资料和数据，我方</w:t>
      </w:r>
      <w:r>
        <w:rPr>
          <w:lang w:eastAsia="zh-CN"/>
        </w:rPr>
        <w:t>同意根据贵方要求出示文件予以证实。</w:t>
      </w:r>
    </w:p>
    <w:p>
      <w:pPr>
        <w:pStyle w:val="8"/>
        <w:spacing w:before="9"/>
        <w:rPr>
          <w:sz w:val="30"/>
          <w:lang w:eastAsia="zh-CN"/>
        </w:rPr>
      </w:pPr>
    </w:p>
    <w:p>
      <w:pPr>
        <w:pStyle w:val="8"/>
        <w:tabs>
          <w:tab w:val="left" w:pos="7219"/>
          <w:tab w:val="left" w:pos="10399"/>
        </w:tabs>
        <w:spacing w:before="1" w:line="304" w:lineRule="auto"/>
        <w:ind w:left="5420" w:right="178"/>
        <w:jc w:val="both"/>
        <w:rPr>
          <w:rFonts w:ascii="Times New Roman" w:eastAsia="Times New Roman"/>
          <w:lang w:eastAsia="zh-CN"/>
        </w:rPr>
      </w:pPr>
      <w:r>
        <w:rPr>
          <w:lang w:eastAsia="zh-CN"/>
        </w:rPr>
        <w:t>供应商（加盖公章）：</w:t>
      </w:r>
      <w:r>
        <w:rPr>
          <w:rFonts w:ascii="Times New Roman" w:eastAsia="Times New Roman"/>
          <w:u w:val="single"/>
          <w:lang w:eastAsia="zh-CN"/>
        </w:rPr>
        <w:t xml:space="preserve"> </w:t>
      </w:r>
      <w:r>
        <w:rPr>
          <w:rFonts w:ascii="Times New Roman" w:eastAsia="Times New Roman"/>
          <w:u w:val="single"/>
          <w:lang w:eastAsia="zh-CN"/>
        </w:rPr>
        <w:tab/>
      </w:r>
      <w:r>
        <w:rPr>
          <w:rFonts w:ascii="Times New Roman" w:eastAsia="Times New Roman"/>
          <w:u w:val="single"/>
          <w:lang w:eastAsia="zh-CN"/>
        </w:rPr>
        <w:t xml:space="preserve"> </w:t>
      </w:r>
      <w:r>
        <w:rPr>
          <w:lang w:eastAsia="zh-CN"/>
        </w:rPr>
        <w:t>地</w:t>
      </w:r>
      <w:r>
        <w:rPr>
          <w:lang w:eastAsia="zh-CN"/>
        </w:rPr>
        <w:tab/>
      </w:r>
      <w:r>
        <w:rPr>
          <w:lang w:eastAsia="zh-CN"/>
        </w:rPr>
        <w:t>址：</w:t>
      </w:r>
      <w:r>
        <w:rPr>
          <w:rFonts w:ascii="Times New Roman" w:eastAsia="Times New Roman"/>
          <w:u w:val="single"/>
          <w:lang w:eastAsia="zh-CN"/>
        </w:rPr>
        <w:t xml:space="preserve"> </w:t>
      </w:r>
      <w:r>
        <w:rPr>
          <w:rFonts w:ascii="Times New Roman" w:eastAsia="Times New Roman"/>
          <w:u w:val="single"/>
          <w:lang w:eastAsia="zh-CN"/>
        </w:rPr>
        <w:tab/>
      </w:r>
    </w:p>
    <w:p>
      <w:pPr>
        <w:pStyle w:val="8"/>
        <w:tabs>
          <w:tab w:val="left" w:pos="7219"/>
          <w:tab w:val="left" w:pos="10399"/>
        </w:tabs>
        <w:spacing w:line="304" w:lineRule="auto"/>
        <w:ind w:left="5420" w:right="178"/>
        <w:jc w:val="both"/>
        <w:rPr>
          <w:rFonts w:ascii="Times New Roman" w:eastAsia="Times New Roman"/>
          <w:lang w:eastAsia="zh-CN"/>
        </w:rPr>
      </w:pPr>
      <w:r>
        <w:rPr>
          <w:lang w:eastAsia="zh-CN"/>
        </w:rPr>
        <w:t>邮</w:t>
      </w:r>
      <w:r>
        <w:rPr>
          <w:lang w:eastAsia="zh-CN"/>
        </w:rPr>
        <w:tab/>
      </w:r>
      <w:r>
        <w:rPr>
          <w:lang w:eastAsia="zh-CN"/>
        </w:rPr>
        <w:t>编：</w:t>
      </w:r>
      <w:r>
        <w:rPr>
          <w:rFonts w:ascii="Times New Roman" w:eastAsia="Times New Roman"/>
          <w:u w:val="single"/>
          <w:lang w:eastAsia="zh-CN"/>
        </w:rPr>
        <w:t xml:space="preserve"> </w:t>
      </w:r>
      <w:r>
        <w:rPr>
          <w:rFonts w:ascii="Times New Roman" w:eastAsia="Times New Roman"/>
          <w:u w:val="single"/>
          <w:lang w:eastAsia="zh-CN"/>
        </w:rPr>
        <w:tab/>
      </w:r>
      <w:r>
        <w:rPr>
          <w:rFonts w:ascii="Times New Roman" w:eastAsia="Times New Roman"/>
          <w:u w:val="single"/>
          <w:lang w:eastAsia="zh-CN"/>
        </w:rPr>
        <w:t xml:space="preserve"> </w:t>
      </w:r>
      <w:r>
        <w:rPr>
          <w:lang w:eastAsia="zh-CN"/>
        </w:rPr>
        <w:t>电    话 / 传  真：</w:t>
      </w:r>
      <w:r>
        <w:rPr>
          <w:rFonts w:ascii="Times New Roman" w:eastAsia="Times New Roman"/>
          <w:u w:val="single"/>
          <w:lang w:eastAsia="zh-CN"/>
        </w:rPr>
        <w:t xml:space="preserve"> </w:t>
      </w:r>
      <w:r>
        <w:rPr>
          <w:rFonts w:ascii="Times New Roman" w:eastAsia="Times New Roman"/>
          <w:u w:val="single"/>
          <w:lang w:eastAsia="zh-CN"/>
        </w:rPr>
        <w:tab/>
      </w:r>
      <w:r>
        <w:rPr>
          <w:rFonts w:ascii="Times New Roman" w:eastAsia="Times New Roman"/>
          <w:u w:val="single"/>
          <w:lang w:eastAsia="zh-CN"/>
        </w:rPr>
        <w:t xml:space="preserve"> </w:t>
      </w:r>
      <w:r>
        <w:rPr>
          <w:lang w:eastAsia="zh-CN"/>
        </w:rPr>
        <w:t xml:space="preserve">供应商代表（签字）： </w:t>
      </w:r>
      <w:r>
        <w:rPr>
          <w:rFonts w:ascii="Times New Roman" w:eastAsia="Times New Roman"/>
          <w:u w:val="single"/>
          <w:lang w:eastAsia="zh-CN"/>
        </w:rPr>
        <w:t xml:space="preserve"> </w:t>
      </w:r>
      <w:r>
        <w:rPr>
          <w:rFonts w:ascii="Times New Roman" w:eastAsia="Times New Roman"/>
          <w:u w:val="single"/>
          <w:lang w:eastAsia="zh-CN"/>
        </w:rPr>
        <w:tab/>
      </w:r>
    </w:p>
    <w:p>
      <w:pPr>
        <w:spacing w:line="304" w:lineRule="auto"/>
        <w:jc w:val="both"/>
        <w:rPr>
          <w:rFonts w:ascii="Times New Roman" w:eastAsia="Times New Roman"/>
          <w:lang w:eastAsia="zh-CN"/>
        </w:rPr>
        <w:sectPr>
          <w:pgSz w:w="12240" w:h="15840"/>
          <w:pgMar w:top="1380" w:right="840" w:bottom="960" w:left="820" w:header="953" w:footer="761" w:gutter="0"/>
          <w:pgNumType w:fmt="decimal"/>
          <w:cols w:space="720" w:num="1"/>
        </w:sectPr>
      </w:pPr>
    </w:p>
    <w:p>
      <w:pPr>
        <w:pStyle w:val="8"/>
        <w:spacing w:before="5"/>
        <w:rPr>
          <w:rFonts w:ascii="Times New Roman"/>
          <w:sz w:val="11"/>
          <w:lang w:eastAsia="zh-CN"/>
        </w:rPr>
      </w:pPr>
    </w:p>
    <w:p>
      <w:pPr>
        <w:pStyle w:val="4"/>
        <w:spacing w:before="67"/>
        <w:ind w:left="3620"/>
        <w:rPr>
          <w:lang w:eastAsia="zh-CN"/>
        </w:rPr>
      </w:pPr>
      <w:bookmarkStart w:id="31" w:name="（三）、法定代表人身份证明书"/>
      <w:bookmarkEnd w:id="31"/>
      <w:r>
        <w:rPr>
          <w:lang w:eastAsia="zh-CN"/>
        </w:rPr>
        <w:t>（三）、法定代表人身份证明书</w:t>
      </w:r>
    </w:p>
    <w:p>
      <w:pPr>
        <w:pStyle w:val="8"/>
        <w:rPr>
          <w:b/>
          <w:lang w:eastAsia="zh-CN"/>
        </w:rPr>
      </w:pPr>
    </w:p>
    <w:p>
      <w:pPr>
        <w:rPr>
          <w:b/>
          <w:lang w:eastAsia="zh-CN"/>
        </w:rPr>
      </w:pPr>
    </w:p>
    <w:p>
      <w:pPr>
        <w:pStyle w:val="2"/>
        <w:rPr>
          <w:b/>
          <w:lang w:eastAsia="zh-CN"/>
        </w:rPr>
      </w:pPr>
    </w:p>
    <w:p>
      <w:pPr>
        <w:rPr>
          <w:b/>
          <w:lang w:eastAsia="zh-CN"/>
        </w:rPr>
      </w:pPr>
    </w:p>
    <w:p>
      <w:pPr>
        <w:pStyle w:val="2"/>
        <w:rPr>
          <w:lang w:eastAsia="zh-CN"/>
        </w:rPr>
      </w:pPr>
    </w:p>
    <w:p>
      <w:pPr>
        <w:spacing w:line="460" w:lineRule="exact"/>
        <w:ind w:firstLine="1240" w:firstLineChars="500"/>
        <w:rPr>
          <w:rFonts w:hint="eastAsia" w:ascii="宋体" w:hAnsi="宋体" w:eastAsia="宋体" w:cs="宋体"/>
          <w:color w:val="0C0C0C"/>
          <w:sz w:val="24"/>
          <w:szCs w:val="24"/>
          <w:highlight w:val="none"/>
          <w:u w:val="single"/>
        </w:rPr>
      </w:pPr>
      <w:r>
        <w:rPr>
          <w:rFonts w:hint="eastAsia" w:ascii="宋体" w:hAnsi="Times New Roman" w:eastAsia="宋体"/>
          <w:spacing w:val="4"/>
          <w:kern w:val="2"/>
          <w:sz w:val="24"/>
          <w:szCs w:val="24"/>
          <w:highlight w:val="none"/>
          <w:lang w:val="en-US" w:eastAsia="zh-CN" w:bidi="ar-SA"/>
        </w:rPr>
        <w:t>单位名称：</w:t>
      </w:r>
      <w:r>
        <w:rPr>
          <w:rFonts w:hint="eastAsia" w:ascii="宋体" w:hAnsi="宋体" w:eastAsia="宋体" w:cs="宋体"/>
          <w:color w:val="0C0C0C"/>
          <w:sz w:val="24"/>
          <w:szCs w:val="24"/>
          <w:highlight w:val="none"/>
          <w:u w:val="single"/>
        </w:rPr>
        <w:t xml:space="preserve">                                                  </w:t>
      </w:r>
    </w:p>
    <w:p>
      <w:pPr>
        <w:spacing w:line="460" w:lineRule="exact"/>
        <w:ind w:firstLine="1240" w:firstLineChars="500"/>
        <w:rPr>
          <w:rFonts w:hint="eastAsia" w:ascii="宋体" w:hAnsi="宋体" w:eastAsia="宋体" w:cs="宋体"/>
          <w:color w:val="0C0C0C"/>
          <w:sz w:val="24"/>
          <w:szCs w:val="24"/>
          <w:highlight w:val="none"/>
        </w:rPr>
      </w:pPr>
      <w:r>
        <w:rPr>
          <w:rFonts w:hint="eastAsia" w:ascii="宋体" w:hAnsi="Times New Roman" w:eastAsia="宋体"/>
          <w:spacing w:val="4"/>
          <w:kern w:val="2"/>
          <w:sz w:val="24"/>
          <w:szCs w:val="24"/>
          <w:highlight w:val="none"/>
          <w:lang w:val="en-US" w:eastAsia="zh-CN" w:bidi="ar-SA"/>
        </w:rPr>
        <w:t>地址：</w:t>
      </w:r>
      <w:r>
        <w:rPr>
          <w:rFonts w:hint="eastAsia" w:ascii="宋体" w:hAnsi="宋体" w:eastAsia="宋体" w:cs="宋体"/>
          <w:color w:val="0C0C0C"/>
          <w:sz w:val="24"/>
          <w:szCs w:val="24"/>
          <w:highlight w:val="none"/>
          <w:u w:val="single"/>
        </w:rPr>
        <w:t xml:space="preserve">                                                 </w:t>
      </w:r>
      <w:r>
        <w:rPr>
          <w:rFonts w:hint="eastAsia" w:ascii="宋体" w:hAnsi="宋体" w:cs="宋体"/>
          <w:color w:val="0C0C0C"/>
          <w:sz w:val="24"/>
          <w:szCs w:val="24"/>
          <w:highlight w:val="none"/>
          <w:u w:val="single"/>
          <w:lang w:val="en-US" w:eastAsia="zh-CN"/>
        </w:rPr>
        <w:t xml:space="preserve"> </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 xml:space="preserve"> </w:t>
      </w:r>
    </w:p>
    <w:p>
      <w:pPr>
        <w:spacing w:line="460" w:lineRule="exact"/>
        <w:ind w:firstLine="1240" w:firstLineChars="500"/>
        <w:rPr>
          <w:rFonts w:hint="eastAsia" w:ascii="宋体" w:hAnsi="宋体" w:eastAsia="宋体" w:cs="宋体"/>
          <w:color w:val="0C0C0C"/>
          <w:sz w:val="24"/>
          <w:szCs w:val="24"/>
          <w:highlight w:val="none"/>
        </w:rPr>
      </w:pPr>
      <w:r>
        <w:rPr>
          <w:rFonts w:hint="eastAsia" w:ascii="宋体" w:hAnsi="Times New Roman" w:eastAsia="宋体"/>
          <w:spacing w:val="4"/>
          <w:kern w:val="2"/>
          <w:sz w:val="24"/>
          <w:szCs w:val="24"/>
          <w:highlight w:val="none"/>
          <w:lang w:val="en-US" w:eastAsia="zh-CN" w:bidi="ar-SA"/>
        </w:rPr>
        <w:t>姓名：</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 xml:space="preserve">  </w:t>
      </w:r>
      <w:r>
        <w:rPr>
          <w:rFonts w:hint="eastAsia" w:ascii="宋体" w:hAnsi="Times New Roman" w:eastAsia="宋体"/>
          <w:spacing w:val="4"/>
          <w:kern w:val="2"/>
          <w:sz w:val="24"/>
          <w:szCs w:val="24"/>
          <w:highlight w:val="none"/>
          <w:lang w:val="en-US" w:eastAsia="zh-CN" w:bidi="ar-SA"/>
        </w:rPr>
        <w:t xml:space="preserve"> 性别：</w:t>
      </w:r>
      <w:r>
        <w:rPr>
          <w:rFonts w:hint="eastAsia" w:ascii="宋体" w:hAnsi="宋体" w:eastAsia="宋体" w:cs="宋体"/>
          <w:color w:val="0C0C0C"/>
          <w:sz w:val="24"/>
          <w:szCs w:val="24"/>
          <w:highlight w:val="none"/>
          <w:u w:val="single"/>
        </w:rPr>
        <w:t xml:space="preserve">    </w:t>
      </w:r>
      <w:r>
        <w:rPr>
          <w:rFonts w:hint="eastAsia" w:ascii="宋体" w:hAnsi="宋体" w:cs="宋体"/>
          <w:color w:val="0C0C0C"/>
          <w:sz w:val="24"/>
          <w:szCs w:val="24"/>
          <w:highlight w:val="none"/>
          <w:u w:val="single"/>
          <w:lang w:val="en-US" w:eastAsia="zh-CN"/>
        </w:rPr>
        <w:t xml:space="preserve"> </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4"/>
          <w:szCs w:val="24"/>
          <w:highlight w:val="none"/>
          <w:lang w:val="en-US" w:eastAsia="zh-CN" w:bidi="ar-SA"/>
        </w:rPr>
        <w:t>年龄：</w:t>
      </w:r>
      <w:r>
        <w:rPr>
          <w:rFonts w:hint="eastAsia" w:ascii="宋体" w:hAnsi="宋体" w:eastAsia="宋体" w:cs="宋体"/>
          <w:color w:val="0C0C0C"/>
          <w:sz w:val="24"/>
          <w:szCs w:val="24"/>
          <w:highlight w:val="none"/>
          <w:u w:val="single"/>
        </w:rPr>
        <w:t xml:space="preserve">   </w:t>
      </w:r>
      <w:r>
        <w:rPr>
          <w:rFonts w:hint="eastAsia" w:ascii="宋体" w:hAnsi="宋体" w:cs="宋体"/>
          <w:color w:val="0C0C0C"/>
          <w:sz w:val="24"/>
          <w:szCs w:val="24"/>
          <w:highlight w:val="none"/>
          <w:u w:val="single"/>
          <w:lang w:val="en-US" w:eastAsia="zh-CN"/>
        </w:rPr>
        <w:t xml:space="preserve">  </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 xml:space="preserve">  </w:t>
      </w:r>
      <w:r>
        <w:rPr>
          <w:rFonts w:hint="eastAsia" w:ascii="宋体" w:hAnsi="Times New Roman" w:eastAsia="宋体"/>
          <w:spacing w:val="4"/>
          <w:kern w:val="2"/>
          <w:sz w:val="24"/>
          <w:szCs w:val="24"/>
          <w:highlight w:val="none"/>
          <w:lang w:val="en-US" w:eastAsia="zh-CN" w:bidi="ar-SA"/>
        </w:rPr>
        <w:t>职务：</w:t>
      </w:r>
      <w:r>
        <w:rPr>
          <w:rFonts w:hint="eastAsia" w:ascii="宋体" w:hAnsi="宋体" w:eastAsia="宋体" w:cs="宋体"/>
          <w:color w:val="0C0C0C"/>
          <w:sz w:val="24"/>
          <w:szCs w:val="24"/>
          <w:highlight w:val="none"/>
          <w:u w:val="single"/>
        </w:rPr>
        <w:t xml:space="preserve">             </w:t>
      </w:r>
    </w:p>
    <w:p>
      <w:pPr>
        <w:spacing w:line="460" w:lineRule="exact"/>
        <w:ind w:firstLine="1240" w:firstLineChars="500"/>
        <w:rPr>
          <w:rFonts w:hint="eastAsia" w:ascii="宋体" w:hAnsi="宋体" w:eastAsia="宋体" w:cs="宋体"/>
          <w:color w:val="0C0C0C"/>
          <w:sz w:val="24"/>
          <w:szCs w:val="24"/>
          <w:highlight w:val="none"/>
        </w:rPr>
      </w:pPr>
      <w:r>
        <w:rPr>
          <w:rFonts w:hint="eastAsia" w:ascii="宋体" w:hAnsi="Times New Roman" w:eastAsia="宋体"/>
          <w:spacing w:val="4"/>
          <w:kern w:val="2"/>
          <w:sz w:val="24"/>
          <w:szCs w:val="24"/>
          <w:highlight w:val="none"/>
          <w:lang w:val="en-US" w:eastAsia="zh-CN" w:bidi="ar-SA"/>
        </w:rPr>
        <w:t>系</w:t>
      </w:r>
      <w:r>
        <w:rPr>
          <w:rFonts w:hint="eastAsia" w:ascii="宋体" w:hAnsi="宋体" w:eastAsia="宋体" w:cs="宋体"/>
          <w:color w:val="0C0C0C"/>
          <w:sz w:val="24"/>
          <w:szCs w:val="24"/>
          <w:highlight w:val="none"/>
        </w:rPr>
        <w:t xml:space="preserve">  </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4"/>
          <w:szCs w:val="24"/>
          <w:highlight w:val="none"/>
          <w:lang w:val="en-US" w:eastAsia="zh-CN" w:bidi="ar-SA"/>
        </w:rPr>
        <w:t>的法定代表人。</w:t>
      </w:r>
    </w:p>
    <w:p>
      <w:pPr>
        <w:spacing w:line="460" w:lineRule="exact"/>
        <w:rPr>
          <w:rFonts w:hint="eastAsia" w:ascii="宋体" w:hAnsi="宋体" w:eastAsia="宋体" w:cs="宋体"/>
          <w:color w:val="0C0C0C"/>
          <w:sz w:val="24"/>
          <w:szCs w:val="24"/>
          <w:highlight w:val="none"/>
        </w:rPr>
      </w:pPr>
    </w:p>
    <w:p>
      <w:pPr>
        <w:spacing w:line="460" w:lineRule="exact"/>
        <w:rPr>
          <w:rFonts w:hint="eastAsia" w:ascii="宋体" w:hAnsi="宋体" w:eastAsia="宋体" w:cs="宋体"/>
          <w:color w:val="0C0C0C"/>
          <w:sz w:val="24"/>
          <w:szCs w:val="24"/>
          <w:highlight w:val="none"/>
        </w:rPr>
      </w:pPr>
    </w:p>
    <w:p>
      <w:pPr>
        <w:spacing w:line="460" w:lineRule="exact"/>
        <w:ind w:firstLine="1240" w:firstLineChars="500"/>
        <w:rPr>
          <w:rFonts w:hint="eastAsia" w:ascii="宋体" w:hAnsi="宋体" w:eastAsia="宋体" w:cs="宋体"/>
          <w:color w:val="0C0C0C"/>
          <w:sz w:val="24"/>
          <w:szCs w:val="24"/>
          <w:highlight w:val="none"/>
        </w:rPr>
      </w:pPr>
      <w:r>
        <w:rPr>
          <w:rFonts w:hint="eastAsia" w:ascii="宋体" w:hAnsi="Times New Roman" w:eastAsia="宋体"/>
          <w:spacing w:val="4"/>
          <w:kern w:val="2"/>
          <w:sz w:val="24"/>
          <w:szCs w:val="24"/>
          <w:highlight w:val="none"/>
          <w:lang w:val="en-US" w:eastAsia="zh-CN" w:bidi="ar-SA"/>
        </w:rPr>
        <w:t>投标单位名称：</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4"/>
          <w:szCs w:val="24"/>
          <w:highlight w:val="none"/>
          <w:lang w:val="en-US" w:eastAsia="zh-CN" w:bidi="ar-SA"/>
        </w:rPr>
        <w:t>（公章）</w:t>
      </w:r>
    </w:p>
    <w:p>
      <w:pPr>
        <w:spacing w:line="460" w:lineRule="exact"/>
        <w:ind w:firstLine="1240" w:firstLineChars="500"/>
        <w:rPr>
          <w:rFonts w:hint="eastAsia" w:ascii="宋体" w:hAnsi="Times New Roman" w:eastAsia="宋体"/>
          <w:spacing w:val="4"/>
          <w:kern w:val="2"/>
          <w:sz w:val="24"/>
          <w:szCs w:val="24"/>
          <w:highlight w:val="none"/>
          <w:lang w:val="en-US" w:eastAsia="zh-CN" w:bidi="ar-SA"/>
        </w:rPr>
      </w:pPr>
      <w:r>
        <w:rPr>
          <w:rFonts w:hint="eastAsia" w:ascii="宋体" w:hAnsi="Times New Roman" w:eastAsia="宋体"/>
          <w:spacing w:val="4"/>
          <w:kern w:val="2"/>
          <w:sz w:val="24"/>
          <w:szCs w:val="24"/>
          <w:highlight w:val="none"/>
          <w:lang w:val="en-US" w:eastAsia="zh-CN" w:bidi="ar-SA"/>
        </w:rPr>
        <w:t xml:space="preserve">   日期：   年  月  日</w:t>
      </w:r>
    </w:p>
    <w:p>
      <w:pPr>
        <w:pStyle w:val="8"/>
        <w:spacing w:before="1"/>
        <w:rPr>
          <w:sz w:val="24"/>
          <w:szCs w:val="24"/>
          <w:lang w:eastAsia="zh-CN"/>
        </w:rPr>
      </w:pPr>
    </w:p>
    <w:tbl>
      <w:tblPr>
        <w:tblStyle w:val="16"/>
        <w:tblpPr w:leftFromText="180" w:rightFromText="180" w:vertAnchor="text" w:horzAnchor="page" w:tblpX="1409" w:tblpY="551"/>
        <w:tblOverlap w:val="never"/>
        <w:tblW w:w="0" w:type="auto"/>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219"/>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291" w:hRule="atLeast"/>
        </w:trPr>
        <w:tc>
          <w:tcPr>
            <w:tcW w:w="4219" w:type="dxa"/>
            <w:noWrap w:val="0"/>
            <w:vAlign w:val="center"/>
          </w:tcPr>
          <w:p>
            <w:pPr>
              <w:spacing w:line="480" w:lineRule="auto"/>
              <w:jc w:val="center"/>
              <w:rPr>
                <w:sz w:val="24"/>
              </w:rPr>
            </w:pPr>
            <w:r>
              <w:rPr>
                <w:sz w:val="24"/>
              </w:rPr>
              <w:t>法定代表人</w:t>
            </w:r>
          </w:p>
          <w:p>
            <w:pPr>
              <w:spacing w:line="480" w:lineRule="auto"/>
              <w:jc w:val="center"/>
              <w:rPr>
                <w:rFonts w:hint="eastAsia"/>
                <w:sz w:val="24"/>
              </w:rPr>
            </w:pPr>
            <w:r>
              <w:rPr>
                <w:sz w:val="24"/>
              </w:rPr>
              <w:t>居民身份证复印件粘贴处</w:t>
            </w:r>
            <w:r>
              <w:rPr>
                <w:rFonts w:hint="eastAsia"/>
                <w:sz w:val="24"/>
              </w:rPr>
              <w:t>（正面）</w:t>
            </w:r>
          </w:p>
        </w:tc>
      </w:tr>
    </w:tbl>
    <w:p>
      <w:pPr>
        <w:rPr>
          <w:lang w:eastAsia="zh-CN"/>
        </w:rPr>
      </w:pPr>
    </w:p>
    <w:tbl>
      <w:tblPr>
        <w:tblStyle w:val="16"/>
        <w:tblpPr w:leftFromText="180" w:rightFromText="180" w:vertAnchor="text" w:horzAnchor="page" w:tblpX="6550" w:tblpY="265"/>
        <w:tblOverlap w:val="never"/>
        <w:tblW w:w="0" w:type="auto"/>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219"/>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291" w:hRule="atLeast"/>
        </w:trPr>
        <w:tc>
          <w:tcPr>
            <w:tcW w:w="4219" w:type="dxa"/>
            <w:noWrap w:val="0"/>
            <w:vAlign w:val="center"/>
          </w:tcPr>
          <w:p>
            <w:pPr>
              <w:spacing w:line="480" w:lineRule="auto"/>
              <w:jc w:val="center"/>
              <w:rPr>
                <w:sz w:val="24"/>
              </w:rPr>
            </w:pPr>
            <w:r>
              <w:rPr>
                <w:sz w:val="24"/>
              </w:rPr>
              <w:t>法定代表人</w:t>
            </w:r>
          </w:p>
          <w:p>
            <w:pPr>
              <w:spacing w:line="480" w:lineRule="auto"/>
              <w:jc w:val="center"/>
              <w:rPr>
                <w:rFonts w:hint="eastAsia"/>
                <w:sz w:val="24"/>
              </w:rPr>
            </w:pPr>
            <w:r>
              <w:rPr>
                <w:sz w:val="24"/>
              </w:rPr>
              <w:t>居民身份证复印件粘贴处</w:t>
            </w:r>
            <w:r>
              <w:rPr>
                <w:rFonts w:hint="eastAsia"/>
                <w:sz w:val="24"/>
              </w:rPr>
              <w:t>（反面）</w:t>
            </w:r>
          </w:p>
        </w:tc>
      </w:tr>
    </w:tbl>
    <w:p>
      <w:pPr>
        <w:pStyle w:val="2"/>
        <w:rPr>
          <w:lang w:eastAsia="zh-CN"/>
        </w:rPr>
      </w:pPr>
    </w:p>
    <w:p>
      <w:pPr>
        <w:rPr>
          <w:lang w:eastAsia="zh-CN"/>
        </w:rPr>
      </w:pPr>
    </w:p>
    <w:p>
      <w:pPr>
        <w:pStyle w:val="2"/>
        <w:rPr>
          <w:lang w:eastAsia="zh-CN"/>
        </w:rPr>
      </w:pPr>
    </w:p>
    <w:p>
      <w:pPr>
        <w:rPr>
          <w:lang w:eastAsia="zh-CN"/>
        </w:rPr>
      </w:pPr>
    </w:p>
    <w:p>
      <w:pPr>
        <w:pStyle w:val="2"/>
        <w:rPr>
          <w:lang w:eastAsia="zh-CN"/>
        </w:rPr>
      </w:pPr>
    </w:p>
    <w:p>
      <w:pPr>
        <w:rPr>
          <w:lang w:eastAsia="zh-CN"/>
        </w:rPr>
      </w:pPr>
    </w:p>
    <w:p>
      <w:pPr>
        <w:pStyle w:val="2"/>
        <w:rPr>
          <w:lang w:eastAsia="zh-CN"/>
        </w:rPr>
      </w:pPr>
    </w:p>
    <w:p>
      <w:pPr>
        <w:rPr>
          <w:lang w:eastAsia="zh-CN"/>
        </w:rPr>
      </w:pPr>
    </w:p>
    <w:p>
      <w:pPr>
        <w:pStyle w:val="2"/>
        <w:rPr>
          <w:lang w:eastAsia="zh-CN"/>
        </w:rPr>
      </w:pPr>
    </w:p>
    <w:p>
      <w:pPr>
        <w:rPr>
          <w:lang w:eastAsia="zh-CN"/>
        </w:rPr>
      </w:pPr>
    </w:p>
    <w:p>
      <w:pPr>
        <w:pStyle w:val="2"/>
        <w:rPr>
          <w:lang w:eastAsia="zh-CN"/>
        </w:rPr>
      </w:pPr>
    </w:p>
    <w:p>
      <w:pPr>
        <w:rPr>
          <w:lang w:eastAsia="zh-CN"/>
        </w:rPr>
      </w:pPr>
    </w:p>
    <w:p>
      <w:pPr>
        <w:pStyle w:val="2"/>
        <w:rPr>
          <w:lang w:eastAsia="zh-CN"/>
        </w:rPr>
      </w:pPr>
    </w:p>
    <w:p>
      <w:pPr>
        <w:rPr>
          <w:lang w:eastAsia="zh-CN"/>
        </w:rPr>
        <w:sectPr>
          <w:pgSz w:w="12240" w:h="15840"/>
          <w:pgMar w:top="1380" w:right="840" w:bottom="960" w:left="820" w:header="953" w:footer="761" w:gutter="0"/>
          <w:pgNumType w:fmt="decimal"/>
          <w:cols w:space="720" w:num="1"/>
        </w:sectPr>
      </w:pPr>
    </w:p>
    <w:p>
      <w:pPr>
        <w:tabs>
          <w:tab w:val="left" w:pos="2299"/>
          <w:tab w:val="left" w:pos="4459"/>
        </w:tabs>
        <w:spacing w:before="59" w:line="619" w:lineRule="auto"/>
        <w:ind w:left="740" w:right="3706" w:firstLine="3000"/>
        <w:rPr>
          <w:sz w:val="24"/>
          <w:lang w:eastAsia="zh-CN"/>
        </w:rPr>
      </w:pPr>
      <w:r>
        <w:rPr>
          <w:b/>
          <w:sz w:val="24"/>
          <w:lang w:eastAsia="zh-CN"/>
        </w:rPr>
        <w:t>（四）法定代表人授权委托</w:t>
      </w:r>
      <w:r>
        <w:rPr>
          <w:b/>
          <w:spacing w:val="-16"/>
          <w:sz w:val="24"/>
          <w:lang w:eastAsia="zh-CN"/>
        </w:rPr>
        <w:t>书</w:t>
      </w:r>
      <w:r>
        <w:rPr>
          <w:sz w:val="24"/>
          <w:lang w:eastAsia="zh-CN"/>
        </w:rPr>
        <w:t>致：</w:t>
      </w:r>
      <w:r>
        <w:rPr>
          <w:sz w:val="24"/>
          <w:u w:val="single"/>
          <w:lang w:eastAsia="zh-CN"/>
        </w:rPr>
        <w:t xml:space="preserve"> </w:t>
      </w:r>
      <w:r>
        <w:rPr>
          <w:sz w:val="24"/>
          <w:u w:val="single"/>
          <w:lang w:eastAsia="zh-CN"/>
        </w:rPr>
        <w:tab/>
      </w:r>
      <w:r>
        <w:rPr>
          <w:sz w:val="24"/>
          <w:u w:val="single"/>
          <w:lang w:eastAsia="zh-CN"/>
        </w:rPr>
        <w:t>发包人名称</w:t>
      </w:r>
      <w:r>
        <w:rPr>
          <w:sz w:val="24"/>
          <w:u w:val="single"/>
          <w:lang w:eastAsia="zh-CN"/>
        </w:rPr>
        <w:tab/>
      </w:r>
      <w:r>
        <w:rPr>
          <w:sz w:val="24"/>
          <w:lang w:eastAsia="zh-CN"/>
        </w:rPr>
        <w:t>：</w:t>
      </w:r>
    </w:p>
    <w:p>
      <w:pPr>
        <w:pStyle w:val="8"/>
        <w:tabs>
          <w:tab w:val="left" w:pos="1939"/>
          <w:tab w:val="left" w:pos="2179"/>
          <w:tab w:val="left" w:pos="3379"/>
          <w:tab w:val="left" w:pos="4459"/>
          <w:tab w:val="left" w:pos="6979"/>
          <w:tab w:val="left" w:pos="7579"/>
        </w:tabs>
        <w:spacing w:before="4" w:line="312" w:lineRule="auto"/>
        <w:ind w:left="260" w:right="239" w:firstLine="480"/>
        <w:rPr>
          <w:lang w:eastAsia="zh-CN"/>
        </w:rPr>
      </w:pPr>
      <w:r>
        <w:rPr>
          <w:lang w:eastAsia="zh-CN"/>
        </w:rPr>
        <w:t>本人</w:t>
      </w:r>
      <w:r>
        <w:rPr>
          <w:u w:val="single"/>
          <w:lang w:eastAsia="zh-CN"/>
        </w:rPr>
        <w:t xml:space="preserve"> </w:t>
      </w:r>
      <w:r>
        <w:rPr>
          <w:u w:val="single"/>
          <w:lang w:eastAsia="zh-CN"/>
        </w:rPr>
        <w:tab/>
      </w:r>
      <w:r>
        <w:rPr>
          <w:u w:val="single"/>
          <w:lang w:eastAsia="zh-CN"/>
        </w:rPr>
        <w:t>姓名</w:t>
      </w:r>
      <w:r>
        <w:rPr>
          <w:u w:val="single"/>
          <w:lang w:eastAsia="zh-CN"/>
        </w:rPr>
        <w:tab/>
      </w:r>
      <w:r>
        <w:rPr>
          <w:lang w:eastAsia="zh-CN"/>
        </w:rPr>
        <w:t>系</w:t>
      </w:r>
      <w:r>
        <w:rPr>
          <w:u w:val="single"/>
          <w:lang w:eastAsia="zh-CN"/>
        </w:rPr>
        <w:t xml:space="preserve"> </w:t>
      </w:r>
      <w:r>
        <w:rPr>
          <w:u w:val="single"/>
          <w:lang w:eastAsia="zh-CN"/>
        </w:rPr>
        <w:tab/>
      </w:r>
      <w:r>
        <w:rPr>
          <w:u w:val="single"/>
          <w:lang w:eastAsia="zh-CN"/>
        </w:rPr>
        <w:t>（供应商全称）</w:t>
      </w:r>
      <w:r>
        <w:rPr>
          <w:u w:val="single"/>
          <w:lang w:eastAsia="zh-CN"/>
        </w:rPr>
        <w:tab/>
      </w:r>
      <w:r>
        <w:rPr>
          <w:u w:val="single"/>
          <w:lang w:eastAsia="zh-CN"/>
        </w:rPr>
        <w:t>的</w:t>
      </w:r>
      <w:r>
        <w:rPr>
          <w:lang w:eastAsia="zh-CN"/>
        </w:rPr>
        <w:t>法定代表人授权我公司</w:t>
      </w:r>
      <w:r>
        <w:rPr>
          <w:u w:val="single"/>
          <w:lang w:eastAsia="zh-CN"/>
        </w:rPr>
        <w:t xml:space="preserve">  （</w:t>
      </w:r>
      <w:r>
        <w:rPr>
          <w:spacing w:val="-18"/>
          <w:u w:val="single"/>
          <w:lang w:eastAsia="zh-CN"/>
        </w:rPr>
        <w:t>供</w:t>
      </w:r>
      <w:r>
        <w:rPr>
          <w:spacing w:val="-220"/>
          <w:u w:val="single"/>
          <w:lang w:eastAsia="zh-CN"/>
        </w:rPr>
        <w:t>应</w:t>
      </w:r>
      <w:r>
        <w:rPr>
          <w:u w:val="single"/>
          <w:lang w:eastAsia="zh-CN"/>
        </w:rPr>
        <w:t>商代表姓名）</w:t>
      </w:r>
      <w:r>
        <w:rPr>
          <w:u w:val="single"/>
          <w:lang w:eastAsia="zh-CN"/>
        </w:rPr>
        <w:tab/>
      </w:r>
      <w:r>
        <w:rPr>
          <w:lang w:eastAsia="zh-CN"/>
        </w:rPr>
        <w:t>为供应商代表，代表本公司参加贵司组织的</w:t>
      </w:r>
      <w:r>
        <w:rPr>
          <w:u w:val="single"/>
          <w:lang w:eastAsia="zh-CN"/>
        </w:rPr>
        <w:t xml:space="preserve"> </w:t>
      </w:r>
      <w:r>
        <w:rPr>
          <w:u w:val="single"/>
          <w:lang w:eastAsia="zh-CN"/>
        </w:rPr>
        <w:tab/>
      </w:r>
      <w:r>
        <w:rPr>
          <w:u w:val="single"/>
          <w:lang w:eastAsia="zh-CN"/>
        </w:rPr>
        <w:tab/>
      </w:r>
      <w:r>
        <w:rPr>
          <w:u w:val="single"/>
          <w:lang w:eastAsia="zh-CN"/>
        </w:rPr>
        <w:t>项目名称、招标编</w:t>
      </w:r>
    </w:p>
    <w:p>
      <w:pPr>
        <w:pStyle w:val="8"/>
        <w:spacing w:line="312" w:lineRule="auto"/>
        <w:ind w:left="260" w:right="239"/>
        <w:jc w:val="both"/>
        <w:rPr>
          <w:lang w:eastAsia="zh-CN"/>
        </w:rPr>
      </w:pPr>
      <w:r>
        <w:rPr>
          <w:u w:val="single"/>
          <w:lang w:eastAsia="zh-CN"/>
        </w:rPr>
        <w:t xml:space="preserve">号       </w:t>
      </w:r>
      <w:r>
        <w:rPr>
          <w:lang w:eastAsia="zh-CN"/>
        </w:rPr>
        <w:t>）招标活动，全权代表本公司处理投标过程的一切事宜，包括但不限于：投标、参与开标、磋商、签约等。供应商代表在投标过程中所签署的一切文件和处理与之有关的一切事务， 本公司均予以认可并对此承担责任。供应商代表无转委托权。特此授权。</w:t>
      </w:r>
    </w:p>
    <w:p>
      <w:pPr>
        <w:pStyle w:val="8"/>
        <w:spacing w:before="1"/>
        <w:ind w:left="740"/>
        <w:rPr>
          <w:lang w:eastAsia="zh-CN"/>
        </w:rPr>
      </w:pPr>
      <w:r>
        <mc:AlternateContent>
          <mc:Choice Requires="wpg">
            <w:drawing>
              <wp:anchor distT="0" distB="0" distL="114300" distR="114300" simplePos="0" relativeHeight="251660288" behindDoc="1" locked="0" layoutInCell="1" allowOverlap="1">
                <wp:simplePos x="0" y="0"/>
                <wp:positionH relativeFrom="page">
                  <wp:posOffset>742315</wp:posOffset>
                </wp:positionH>
                <wp:positionV relativeFrom="paragraph">
                  <wp:posOffset>249555</wp:posOffset>
                </wp:positionV>
                <wp:extent cx="2549525" cy="1321435"/>
                <wp:effectExtent l="0" t="0" r="10795" b="4445"/>
                <wp:wrapTopAndBottom/>
                <wp:docPr id="64" name="组合 64"/>
                <wp:cNvGraphicFramePr/>
                <a:graphic xmlns:a="http://schemas.openxmlformats.org/drawingml/2006/main">
                  <a:graphicData uri="http://schemas.microsoft.com/office/word/2010/wordprocessingGroup">
                    <wpg:wgp>
                      <wpg:cNvGrpSpPr/>
                      <wpg:grpSpPr>
                        <a:xfrm>
                          <a:off x="0" y="0"/>
                          <a:ext cx="2549525" cy="1321435"/>
                          <a:chOff x="1169" y="393"/>
                          <a:chExt cx="4015" cy="2081"/>
                        </a:xfrm>
                      </wpg:grpSpPr>
                      <wps:wsp>
                        <wps:cNvPr id="62" name="任意多边形 62"/>
                        <wps:cNvSpPr/>
                        <wps:spPr>
                          <a:xfrm>
                            <a:off x="1169" y="393"/>
                            <a:ext cx="4015" cy="2081"/>
                          </a:xfrm>
                          <a:custGeom>
                            <a:avLst/>
                            <a:gdLst>
                              <a:gd name="A1" fmla="val 0"/>
                              <a:gd name="A2" fmla="val 0"/>
                            </a:gdLst>
                            <a:ahLst/>
                            <a:cxnLst/>
                            <a:pathLst>
                              <a:path w="4015" h="2081">
                                <a:moveTo>
                                  <a:pt x="4015" y="2081"/>
                                </a:moveTo>
                                <a:lnTo>
                                  <a:pt x="0" y="2081"/>
                                </a:lnTo>
                                <a:lnTo>
                                  <a:pt x="0" y="0"/>
                                </a:lnTo>
                                <a:lnTo>
                                  <a:pt x="4015" y="0"/>
                                </a:lnTo>
                                <a:lnTo>
                                  <a:pt x="4015" y="8"/>
                                </a:lnTo>
                                <a:lnTo>
                                  <a:pt x="15" y="8"/>
                                </a:lnTo>
                                <a:lnTo>
                                  <a:pt x="8" y="15"/>
                                </a:lnTo>
                                <a:lnTo>
                                  <a:pt x="15" y="15"/>
                                </a:lnTo>
                                <a:lnTo>
                                  <a:pt x="15" y="2066"/>
                                </a:lnTo>
                                <a:lnTo>
                                  <a:pt x="8" y="2066"/>
                                </a:lnTo>
                                <a:lnTo>
                                  <a:pt x="15" y="2074"/>
                                </a:lnTo>
                                <a:lnTo>
                                  <a:pt x="4015" y="2074"/>
                                </a:lnTo>
                                <a:lnTo>
                                  <a:pt x="4015" y="2081"/>
                                </a:lnTo>
                                <a:close/>
                                <a:moveTo>
                                  <a:pt x="15" y="15"/>
                                </a:moveTo>
                                <a:lnTo>
                                  <a:pt x="8" y="15"/>
                                </a:lnTo>
                                <a:lnTo>
                                  <a:pt x="15" y="8"/>
                                </a:lnTo>
                                <a:lnTo>
                                  <a:pt x="15" y="15"/>
                                </a:lnTo>
                                <a:close/>
                                <a:moveTo>
                                  <a:pt x="4000" y="15"/>
                                </a:moveTo>
                                <a:lnTo>
                                  <a:pt x="15" y="15"/>
                                </a:lnTo>
                                <a:lnTo>
                                  <a:pt x="15" y="8"/>
                                </a:lnTo>
                                <a:lnTo>
                                  <a:pt x="4000" y="8"/>
                                </a:lnTo>
                                <a:lnTo>
                                  <a:pt x="4000" y="15"/>
                                </a:lnTo>
                                <a:close/>
                                <a:moveTo>
                                  <a:pt x="4000" y="2074"/>
                                </a:moveTo>
                                <a:lnTo>
                                  <a:pt x="4000" y="8"/>
                                </a:lnTo>
                                <a:lnTo>
                                  <a:pt x="4008" y="15"/>
                                </a:lnTo>
                                <a:lnTo>
                                  <a:pt x="4015" y="15"/>
                                </a:lnTo>
                                <a:lnTo>
                                  <a:pt x="4015" y="2066"/>
                                </a:lnTo>
                                <a:lnTo>
                                  <a:pt x="4008" y="2066"/>
                                </a:lnTo>
                                <a:lnTo>
                                  <a:pt x="4000" y="2074"/>
                                </a:lnTo>
                                <a:close/>
                                <a:moveTo>
                                  <a:pt x="4015" y="15"/>
                                </a:moveTo>
                                <a:lnTo>
                                  <a:pt x="4008" y="15"/>
                                </a:lnTo>
                                <a:lnTo>
                                  <a:pt x="4000" y="8"/>
                                </a:lnTo>
                                <a:lnTo>
                                  <a:pt x="4015" y="8"/>
                                </a:lnTo>
                                <a:lnTo>
                                  <a:pt x="4015" y="15"/>
                                </a:lnTo>
                                <a:close/>
                                <a:moveTo>
                                  <a:pt x="15" y="2074"/>
                                </a:moveTo>
                                <a:lnTo>
                                  <a:pt x="8" y="2066"/>
                                </a:lnTo>
                                <a:lnTo>
                                  <a:pt x="15" y="2066"/>
                                </a:lnTo>
                                <a:lnTo>
                                  <a:pt x="15" y="2074"/>
                                </a:lnTo>
                                <a:close/>
                                <a:moveTo>
                                  <a:pt x="4000" y="2074"/>
                                </a:moveTo>
                                <a:lnTo>
                                  <a:pt x="15" y="2074"/>
                                </a:lnTo>
                                <a:lnTo>
                                  <a:pt x="15" y="2066"/>
                                </a:lnTo>
                                <a:lnTo>
                                  <a:pt x="4000" y="2066"/>
                                </a:lnTo>
                                <a:lnTo>
                                  <a:pt x="4000" y="2074"/>
                                </a:lnTo>
                                <a:close/>
                                <a:moveTo>
                                  <a:pt x="4015" y="2074"/>
                                </a:moveTo>
                                <a:lnTo>
                                  <a:pt x="4000" y="2074"/>
                                </a:lnTo>
                                <a:lnTo>
                                  <a:pt x="4008" y="2066"/>
                                </a:lnTo>
                                <a:lnTo>
                                  <a:pt x="4015" y="2066"/>
                                </a:lnTo>
                                <a:lnTo>
                                  <a:pt x="4015" y="2074"/>
                                </a:lnTo>
                                <a:close/>
                              </a:path>
                            </a:pathLst>
                          </a:custGeom>
                          <a:solidFill>
                            <a:srgbClr val="000000"/>
                          </a:solidFill>
                          <a:ln>
                            <a:noFill/>
                          </a:ln>
                        </wps:spPr>
                        <wps:bodyPr upright="1"/>
                      </wps:wsp>
                      <wps:wsp>
                        <wps:cNvPr id="63" name="文本框 63"/>
                        <wps:cNvSpPr txBox="1"/>
                        <wps:spPr>
                          <a:xfrm>
                            <a:off x="1169" y="393"/>
                            <a:ext cx="4015" cy="2081"/>
                          </a:xfrm>
                          <a:prstGeom prst="rect">
                            <a:avLst/>
                          </a:prstGeom>
                          <a:noFill/>
                          <a:ln>
                            <a:noFill/>
                          </a:ln>
                        </wps:spPr>
                        <wps:txbx>
                          <w:txbxContent>
                            <w:p>
                              <w:pPr>
                                <w:rPr>
                                  <w:sz w:val="20"/>
                                </w:rPr>
                              </w:pPr>
                            </w:p>
                            <w:p>
                              <w:pPr>
                                <w:spacing w:before="7"/>
                                <w:rPr>
                                  <w:sz w:val="24"/>
                                </w:rPr>
                              </w:pPr>
                            </w:p>
                            <w:p>
                              <w:pPr>
                                <w:ind w:left="1103"/>
                                <w:rPr>
                                  <w:sz w:val="21"/>
                                </w:rPr>
                              </w:pPr>
                              <w:r>
                                <w:rPr>
                                  <w:sz w:val="21"/>
                                </w:rPr>
                                <w:t>法人身份证复印件正面</w:t>
                              </w:r>
                            </w:p>
                          </w:txbxContent>
                        </wps:txbx>
                        <wps:bodyPr lIns="0" tIns="0" rIns="0" bIns="0" upright="1"/>
                      </wps:wsp>
                    </wpg:wgp>
                  </a:graphicData>
                </a:graphic>
              </wp:anchor>
            </w:drawing>
          </mc:Choice>
          <mc:Fallback>
            <w:pict>
              <v:group id="_x0000_s1026" o:spid="_x0000_s1026" o:spt="203" style="position:absolute;left:0pt;margin-left:58.45pt;margin-top:19.65pt;height:104.05pt;width:200.75pt;mso-position-horizontal-relative:page;mso-wrap-distance-bottom:0pt;mso-wrap-distance-top:0pt;z-index:-251656192;mso-width-relative:page;mso-height-relative:page;" coordorigin="1169,393" coordsize="4015,2081" o:gfxdata="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">
                <o:lock v:ext="edit" aspectratio="f"/>
                <v:shape id="_x0000_s1026" o:spid="_x0000_s1026" o:spt="100" style="position:absolute;left:1169;top:393;height:2081;width:4015;" fillcolor="#000000" filled="t" stroked="f" coordsize="4015,2081" o:gfxdata="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OVI6i8AAAA&#10;2wAAAA8AAAAAAAAAAQAgAAAAIgAAAGRycy9kb3ducmV2LnhtbFBLAQIUABQAAAAIAIdO4kAzLwWe&#10;OwAAADkAAAAQAAAAAAAAAAEAIAAAAAsBAABkcnMvc2hhcGV4bWwueG1sUEsFBgAAAAAGAAYAWwEA&#10;ALUDAAAAAA==&#10;" path="m4015,2081l0,2081,0,0,4015,0,4015,8,15,8,8,15,15,15,15,2066,8,2066,15,2074,4015,2074,4015,2081xm15,15l8,15,15,8,15,15xm4000,15l15,15,15,8,4000,8,4000,15xm4000,2074l4000,8,4008,15,4015,15,4015,2066,4008,2066,4000,2074xm4015,15l4008,15,4000,8,4015,8,4015,15xm15,2074l8,2066,15,2066,15,2074xm4000,2074l15,2074,15,2066,4000,2066,4000,2074xm4015,2074l4000,2074,4008,2066,4015,2066,4015,2074xe">
                  <v:fill on="t" focussize="0,0"/>
                  <v:stroke on="f"/>
                  <v:imagedata o:title=""/>
                  <o:lock v:ext="edit" aspectratio="f"/>
                </v:shape>
                <v:shape id="_x0000_s1026" o:spid="_x0000_s1026" o:spt="202" type="#_x0000_t202" style="position:absolute;left:1169;top:393;height:2081;width:4015;" filled="f" stroked="f" coordsize="21600,21600" o:gfxdata="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3hyy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rPr>
                            <w:sz w:val="20"/>
                          </w:rPr>
                        </w:pPr>
                      </w:p>
                      <w:p>
                        <w:pPr>
                          <w:spacing w:before="7"/>
                          <w:rPr>
                            <w:sz w:val="24"/>
                          </w:rPr>
                        </w:pPr>
                      </w:p>
                      <w:p>
                        <w:pPr>
                          <w:ind w:left="1103"/>
                          <w:rPr>
                            <w:sz w:val="21"/>
                          </w:rPr>
                        </w:pPr>
                        <w:r>
                          <w:rPr>
                            <w:sz w:val="21"/>
                          </w:rPr>
                          <w:t>法人身份证复印件正面</w:t>
                        </w:r>
                      </w:p>
                    </w:txbxContent>
                  </v:textbox>
                </v:shape>
                <w10:wrap type="topAndBottom"/>
              </v:group>
            </w:pict>
          </mc:Fallback>
        </mc:AlternateContent>
      </w:r>
      <w:r>
        <mc:AlternateContent>
          <mc:Choice Requires="wpg">
            <w:drawing>
              <wp:anchor distT="0" distB="0" distL="114300" distR="114300" simplePos="0" relativeHeight="251661312" behindDoc="1" locked="0" layoutInCell="1" allowOverlap="1">
                <wp:simplePos x="0" y="0"/>
                <wp:positionH relativeFrom="page">
                  <wp:posOffset>3898900</wp:posOffset>
                </wp:positionH>
                <wp:positionV relativeFrom="paragraph">
                  <wp:posOffset>217805</wp:posOffset>
                </wp:positionV>
                <wp:extent cx="2643505" cy="1321435"/>
                <wp:effectExtent l="635" t="0" r="7620" b="4445"/>
                <wp:wrapTopAndBottom/>
                <wp:docPr id="79" name="组合 79"/>
                <wp:cNvGraphicFramePr/>
                <a:graphic xmlns:a="http://schemas.openxmlformats.org/drawingml/2006/main">
                  <a:graphicData uri="http://schemas.microsoft.com/office/word/2010/wordprocessingGroup">
                    <wpg:wgp>
                      <wpg:cNvGrpSpPr/>
                      <wpg:grpSpPr>
                        <a:xfrm>
                          <a:off x="0" y="0"/>
                          <a:ext cx="2643505" cy="1321435"/>
                          <a:chOff x="6140" y="343"/>
                          <a:chExt cx="4163" cy="2081"/>
                        </a:xfrm>
                      </wpg:grpSpPr>
                      <wps:wsp>
                        <wps:cNvPr id="77" name="任意多边形 77"/>
                        <wps:cNvSpPr/>
                        <wps:spPr>
                          <a:xfrm>
                            <a:off x="6139" y="343"/>
                            <a:ext cx="4163" cy="2081"/>
                          </a:xfrm>
                          <a:custGeom>
                            <a:avLst/>
                            <a:gdLst>
                              <a:gd name="A1" fmla="val 0"/>
                              <a:gd name="A2" fmla="val 0"/>
                            </a:gdLst>
                            <a:ahLst/>
                            <a:cxnLst/>
                            <a:pathLst>
                              <a:path w="4163" h="2081">
                                <a:moveTo>
                                  <a:pt x="4163" y="2081"/>
                                </a:moveTo>
                                <a:lnTo>
                                  <a:pt x="0" y="2081"/>
                                </a:lnTo>
                                <a:lnTo>
                                  <a:pt x="0" y="0"/>
                                </a:lnTo>
                                <a:lnTo>
                                  <a:pt x="4163" y="0"/>
                                </a:lnTo>
                                <a:lnTo>
                                  <a:pt x="4163" y="8"/>
                                </a:lnTo>
                                <a:lnTo>
                                  <a:pt x="15" y="8"/>
                                </a:lnTo>
                                <a:lnTo>
                                  <a:pt x="7" y="15"/>
                                </a:lnTo>
                                <a:lnTo>
                                  <a:pt x="15" y="15"/>
                                </a:lnTo>
                                <a:lnTo>
                                  <a:pt x="15" y="2066"/>
                                </a:lnTo>
                                <a:lnTo>
                                  <a:pt x="7" y="2066"/>
                                </a:lnTo>
                                <a:lnTo>
                                  <a:pt x="15" y="2074"/>
                                </a:lnTo>
                                <a:lnTo>
                                  <a:pt x="4163" y="2074"/>
                                </a:lnTo>
                                <a:lnTo>
                                  <a:pt x="4163" y="2081"/>
                                </a:lnTo>
                                <a:close/>
                                <a:moveTo>
                                  <a:pt x="15" y="15"/>
                                </a:moveTo>
                                <a:lnTo>
                                  <a:pt x="7" y="15"/>
                                </a:lnTo>
                                <a:lnTo>
                                  <a:pt x="15" y="8"/>
                                </a:lnTo>
                                <a:lnTo>
                                  <a:pt x="15" y="15"/>
                                </a:lnTo>
                                <a:close/>
                                <a:moveTo>
                                  <a:pt x="4148" y="15"/>
                                </a:moveTo>
                                <a:lnTo>
                                  <a:pt x="15" y="15"/>
                                </a:lnTo>
                                <a:lnTo>
                                  <a:pt x="15" y="8"/>
                                </a:lnTo>
                                <a:lnTo>
                                  <a:pt x="4148" y="8"/>
                                </a:lnTo>
                                <a:lnTo>
                                  <a:pt x="4148" y="15"/>
                                </a:lnTo>
                                <a:close/>
                                <a:moveTo>
                                  <a:pt x="4148" y="2074"/>
                                </a:moveTo>
                                <a:lnTo>
                                  <a:pt x="4148" y="8"/>
                                </a:lnTo>
                                <a:lnTo>
                                  <a:pt x="4155" y="15"/>
                                </a:lnTo>
                                <a:lnTo>
                                  <a:pt x="4163" y="15"/>
                                </a:lnTo>
                                <a:lnTo>
                                  <a:pt x="4163" y="2066"/>
                                </a:lnTo>
                                <a:lnTo>
                                  <a:pt x="4155" y="2066"/>
                                </a:lnTo>
                                <a:lnTo>
                                  <a:pt x="4148" y="2074"/>
                                </a:lnTo>
                                <a:close/>
                                <a:moveTo>
                                  <a:pt x="4163" y="15"/>
                                </a:moveTo>
                                <a:lnTo>
                                  <a:pt x="4155" y="15"/>
                                </a:lnTo>
                                <a:lnTo>
                                  <a:pt x="4148" y="8"/>
                                </a:lnTo>
                                <a:lnTo>
                                  <a:pt x="4163" y="8"/>
                                </a:lnTo>
                                <a:lnTo>
                                  <a:pt x="4163" y="15"/>
                                </a:lnTo>
                                <a:close/>
                                <a:moveTo>
                                  <a:pt x="15" y="2074"/>
                                </a:moveTo>
                                <a:lnTo>
                                  <a:pt x="7" y="2066"/>
                                </a:lnTo>
                                <a:lnTo>
                                  <a:pt x="15" y="2066"/>
                                </a:lnTo>
                                <a:lnTo>
                                  <a:pt x="15" y="2074"/>
                                </a:lnTo>
                                <a:close/>
                                <a:moveTo>
                                  <a:pt x="4148" y="2074"/>
                                </a:moveTo>
                                <a:lnTo>
                                  <a:pt x="15" y="2074"/>
                                </a:lnTo>
                                <a:lnTo>
                                  <a:pt x="15" y="2066"/>
                                </a:lnTo>
                                <a:lnTo>
                                  <a:pt x="4148" y="2066"/>
                                </a:lnTo>
                                <a:lnTo>
                                  <a:pt x="4148" y="2074"/>
                                </a:lnTo>
                                <a:close/>
                                <a:moveTo>
                                  <a:pt x="4163" y="2074"/>
                                </a:moveTo>
                                <a:lnTo>
                                  <a:pt x="4148" y="2074"/>
                                </a:lnTo>
                                <a:lnTo>
                                  <a:pt x="4155" y="2066"/>
                                </a:lnTo>
                                <a:lnTo>
                                  <a:pt x="4163" y="2066"/>
                                </a:lnTo>
                                <a:lnTo>
                                  <a:pt x="4163" y="2074"/>
                                </a:lnTo>
                                <a:close/>
                              </a:path>
                            </a:pathLst>
                          </a:custGeom>
                          <a:solidFill>
                            <a:srgbClr val="000000"/>
                          </a:solidFill>
                          <a:ln>
                            <a:noFill/>
                          </a:ln>
                        </wps:spPr>
                        <wps:bodyPr upright="1"/>
                      </wps:wsp>
                      <wps:wsp>
                        <wps:cNvPr id="78" name="文本框 78"/>
                        <wps:cNvSpPr txBox="1"/>
                        <wps:spPr>
                          <a:xfrm>
                            <a:off x="6139" y="343"/>
                            <a:ext cx="4163" cy="2081"/>
                          </a:xfrm>
                          <a:prstGeom prst="rect">
                            <a:avLst/>
                          </a:prstGeom>
                          <a:noFill/>
                          <a:ln>
                            <a:noFill/>
                          </a:ln>
                        </wps:spPr>
                        <wps:txbx>
                          <w:txbxContent>
                            <w:p>
                              <w:pPr>
                                <w:rPr>
                                  <w:sz w:val="20"/>
                                </w:rPr>
                              </w:pPr>
                            </w:p>
                            <w:p>
                              <w:pPr>
                                <w:spacing w:before="7"/>
                                <w:rPr>
                                  <w:sz w:val="24"/>
                                </w:rPr>
                              </w:pPr>
                            </w:p>
                            <w:p>
                              <w:pPr>
                                <w:ind w:left="894"/>
                                <w:rPr>
                                  <w:sz w:val="21"/>
                                  <w:lang w:eastAsia="zh-CN"/>
                                </w:rPr>
                              </w:pPr>
                              <w:r>
                                <w:rPr>
                                  <w:sz w:val="21"/>
                                  <w:lang w:eastAsia="zh-CN"/>
                                </w:rPr>
                                <w:t>授权代表身份证复印件正面</w:t>
                              </w:r>
                            </w:p>
                          </w:txbxContent>
                        </wps:txbx>
                        <wps:bodyPr lIns="0" tIns="0" rIns="0" bIns="0" upright="1"/>
                      </wps:wsp>
                    </wpg:wgp>
                  </a:graphicData>
                </a:graphic>
              </wp:anchor>
            </w:drawing>
          </mc:Choice>
          <mc:Fallback>
            <w:pict>
              <v:group id="_x0000_s1026" o:spid="_x0000_s1026" o:spt="203" style="position:absolute;left:0pt;margin-left:307pt;margin-top:17.15pt;height:104.05pt;width:208.15pt;mso-position-horizontal-relative:page;mso-wrap-distance-bottom:0pt;mso-wrap-distance-top:0pt;z-index:-251655168;mso-width-relative:page;mso-height-relative:page;" coordorigin="6140,343" coordsize="4163,2081" o:gfxdata="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">
                <o:lock v:ext="edit" aspectratio="f"/>
                <v:shape id="_x0000_s1026" o:spid="_x0000_s1026" o:spt="100" style="position:absolute;left:6139;top:343;height:2081;width:4163;" fillcolor="#000000" filled="t" stroked="f" coordsize="4163,2081" o:gfxdata="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dUG+vQAA&#10;ANsAAAAPAAAAAAAAAAEAIAAAACIAAABkcnMvZG93bnJldi54bWxQSwECFAAUAAAACACHTuJAMy8F&#10;njsAAAA5AAAAEAAAAAAAAAABACAAAAAMAQAAZHJzL3NoYXBleG1sLnhtbFBLBQYAAAAABgAGAFsB&#10;AAC2AwAAAAA=&#10;" path="m4163,2081l0,2081,0,0,4163,0,4163,8,15,8,7,15,15,15,15,2066,7,2066,15,2074,4163,2074,4163,2081xm15,15l7,15,15,8,15,15xm4148,15l15,15,15,8,4148,8,4148,15xm4148,2074l4148,8,4155,15,4163,15,4163,2066,4155,2066,4148,2074xm4163,15l4155,15,4148,8,4163,8,4163,15xm15,2074l7,2066,15,2066,15,2074xm4148,2074l15,2074,15,2066,4148,2066,4148,2074xm4163,2074l4148,2074,4155,2066,4163,2066,4163,2074xe">
                  <v:fill on="t" focussize="0,0"/>
                  <v:stroke on="f"/>
                  <v:imagedata o:title=""/>
                  <o:lock v:ext="edit" aspectratio="f"/>
                </v:shape>
                <v:shape id="_x0000_s1026" o:spid="_x0000_s1026" o:spt="202" type="#_x0000_t202" style="position:absolute;left:6139;top:343;height:2081;width:4163;" filled="f" stroked="f" coordsize="21600,21600" o:gfxdata="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aMYHr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rPr>
                            <w:sz w:val="20"/>
                          </w:rPr>
                        </w:pPr>
                      </w:p>
                      <w:p>
                        <w:pPr>
                          <w:spacing w:before="7"/>
                          <w:rPr>
                            <w:sz w:val="24"/>
                          </w:rPr>
                        </w:pPr>
                      </w:p>
                      <w:p>
                        <w:pPr>
                          <w:ind w:left="894"/>
                          <w:rPr>
                            <w:sz w:val="21"/>
                            <w:lang w:eastAsia="zh-CN"/>
                          </w:rPr>
                        </w:pPr>
                        <w:r>
                          <w:rPr>
                            <w:sz w:val="21"/>
                            <w:lang w:eastAsia="zh-CN"/>
                          </w:rPr>
                          <w:t>授权代表身份证复印件正面</w:t>
                        </w:r>
                      </w:p>
                    </w:txbxContent>
                  </v:textbox>
                </v:shape>
                <w10:wrap type="topAndBottom"/>
              </v:group>
            </w:pict>
          </mc:Fallback>
        </mc:AlternateContent>
      </w:r>
      <w:r>
        <w:rPr>
          <w:lang w:eastAsia="zh-CN"/>
        </w:rPr>
        <w:t>本授权书自出具之日起生效。</w:t>
      </w:r>
    </w:p>
    <w:p>
      <w:pPr>
        <w:pStyle w:val="8"/>
        <w:rPr>
          <w:sz w:val="20"/>
          <w:lang w:eastAsia="zh-CN"/>
        </w:rPr>
      </w:pPr>
    </w:p>
    <w:p>
      <w:pPr>
        <w:pStyle w:val="8"/>
        <w:spacing w:before="10"/>
        <w:rPr>
          <w:sz w:val="12"/>
          <w:lang w:eastAsia="zh-CN"/>
        </w:rPr>
      </w:pPr>
      <w:r>
        <mc:AlternateContent>
          <mc:Choice Requires="wpg">
            <w:drawing>
              <wp:anchor distT="0" distB="0" distL="114300" distR="114300" simplePos="0" relativeHeight="251662336" behindDoc="1" locked="0" layoutInCell="1" allowOverlap="1">
                <wp:simplePos x="0" y="0"/>
                <wp:positionH relativeFrom="page">
                  <wp:posOffset>742315</wp:posOffset>
                </wp:positionH>
                <wp:positionV relativeFrom="paragraph">
                  <wp:posOffset>160655</wp:posOffset>
                </wp:positionV>
                <wp:extent cx="2549525" cy="1321435"/>
                <wp:effectExtent l="0" t="635" r="10795" b="3810"/>
                <wp:wrapTopAndBottom/>
                <wp:docPr id="82" name="组合 82"/>
                <wp:cNvGraphicFramePr/>
                <a:graphic xmlns:a="http://schemas.openxmlformats.org/drawingml/2006/main">
                  <a:graphicData uri="http://schemas.microsoft.com/office/word/2010/wordprocessingGroup">
                    <wpg:wgp>
                      <wpg:cNvGrpSpPr/>
                      <wpg:grpSpPr>
                        <a:xfrm>
                          <a:off x="0" y="0"/>
                          <a:ext cx="2549525" cy="1321435"/>
                          <a:chOff x="1169" y="253"/>
                          <a:chExt cx="4015" cy="2081"/>
                        </a:xfrm>
                      </wpg:grpSpPr>
                      <wps:wsp>
                        <wps:cNvPr id="80" name="任意多边形 80"/>
                        <wps:cNvSpPr/>
                        <wps:spPr>
                          <a:xfrm>
                            <a:off x="1169" y="252"/>
                            <a:ext cx="4015" cy="2081"/>
                          </a:xfrm>
                          <a:custGeom>
                            <a:avLst/>
                            <a:gdLst>
                              <a:gd name="A1" fmla="val 0"/>
                              <a:gd name="A2" fmla="val 0"/>
                            </a:gdLst>
                            <a:ahLst/>
                            <a:cxnLst/>
                            <a:pathLst>
                              <a:path w="4015" h="2081">
                                <a:moveTo>
                                  <a:pt x="4015" y="2081"/>
                                </a:moveTo>
                                <a:lnTo>
                                  <a:pt x="0" y="2081"/>
                                </a:lnTo>
                                <a:lnTo>
                                  <a:pt x="0" y="0"/>
                                </a:lnTo>
                                <a:lnTo>
                                  <a:pt x="4015" y="0"/>
                                </a:lnTo>
                                <a:lnTo>
                                  <a:pt x="4015" y="7"/>
                                </a:lnTo>
                                <a:lnTo>
                                  <a:pt x="15" y="7"/>
                                </a:lnTo>
                                <a:lnTo>
                                  <a:pt x="8" y="15"/>
                                </a:lnTo>
                                <a:lnTo>
                                  <a:pt x="15" y="15"/>
                                </a:lnTo>
                                <a:lnTo>
                                  <a:pt x="15" y="2066"/>
                                </a:lnTo>
                                <a:lnTo>
                                  <a:pt x="8" y="2066"/>
                                </a:lnTo>
                                <a:lnTo>
                                  <a:pt x="15" y="2073"/>
                                </a:lnTo>
                                <a:lnTo>
                                  <a:pt x="4015" y="2073"/>
                                </a:lnTo>
                                <a:lnTo>
                                  <a:pt x="4015" y="2081"/>
                                </a:lnTo>
                                <a:close/>
                                <a:moveTo>
                                  <a:pt x="15" y="15"/>
                                </a:moveTo>
                                <a:lnTo>
                                  <a:pt x="8" y="15"/>
                                </a:lnTo>
                                <a:lnTo>
                                  <a:pt x="15" y="7"/>
                                </a:lnTo>
                                <a:lnTo>
                                  <a:pt x="15" y="15"/>
                                </a:lnTo>
                                <a:close/>
                                <a:moveTo>
                                  <a:pt x="4000" y="15"/>
                                </a:moveTo>
                                <a:lnTo>
                                  <a:pt x="15" y="15"/>
                                </a:lnTo>
                                <a:lnTo>
                                  <a:pt x="15" y="7"/>
                                </a:lnTo>
                                <a:lnTo>
                                  <a:pt x="4000" y="7"/>
                                </a:lnTo>
                                <a:lnTo>
                                  <a:pt x="4000" y="15"/>
                                </a:lnTo>
                                <a:close/>
                                <a:moveTo>
                                  <a:pt x="4000" y="2073"/>
                                </a:moveTo>
                                <a:lnTo>
                                  <a:pt x="4000" y="7"/>
                                </a:lnTo>
                                <a:lnTo>
                                  <a:pt x="4008" y="15"/>
                                </a:lnTo>
                                <a:lnTo>
                                  <a:pt x="4015" y="15"/>
                                </a:lnTo>
                                <a:lnTo>
                                  <a:pt x="4015" y="2066"/>
                                </a:lnTo>
                                <a:lnTo>
                                  <a:pt x="4008" y="2066"/>
                                </a:lnTo>
                                <a:lnTo>
                                  <a:pt x="4000" y="2073"/>
                                </a:lnTo>
                                <a:close/>
                                <a:moveTo>
                                  <a:pt x="4015" y="15"/>
                                </a:moveTo>
                                <a:lnTo>
                                  <a:pt x="4008" y="15"/>
                                </a:lnTo>
                                <a:lnTo>
                                  <a:pt x="4000" y="7"/>
                                </a:lnTo>
                                <a:lnTo>
                                  <a:pt x="4015" y="7"/>
                                </a:lnTo>
                                <a:lnTo>
                                  <a:pt x="4015" y="15"/>
                                </a:lnTo>
                                <a:close/>
                                <a:moveTo>
                                  <a:pt x="15" y="2073"/>
                                </a:moveTo>
                                <a:lnTo>
                                  <a:pt x="8" y="2066"/>
                                </a:lnTo>
                                <a:lnTo>
                                  <a:pt x="15" y="2066"/>
                                </a:lnTo>
                                <a:lnTo>
                                  <a:pt x="15" y="2073"/>
                                </a:lnTo>
                                <a:close/>
                                <a:moveTo>
                                  <a:pt x="4000" y="2073"/>
                                </a:moveTo>
                                <a:lnTo>
                                  <a:pt x="15" y="2073"/>
                                </a:lnTo>
                                <a:lnTo>
                                  <a:pt x="15" y="2066"/>
                                </a:lnTo>
                                <a:lnTo>
                                  <a:pt x="4000" y="2066"/>
                                </a:lnTo>
                                <a:lnTo>
                                  <a:pt x="4000" y="2073"/>
                                </a:lnTo>
                                <a:close/>
                                <a:moveTo>
                                  <a:pt x="4015" y="2073"/>
                                </a:moveTo>
                                <a:lnTo>
                                  <a:pt x="4000" y="2073"/>
                                </a:lnTo>
                                <a:lnTo>
                                  <a:pt x="4008" y="2066"/>
                                </a:lnTo>
                                <a:lnTo>
                                  <a:pt x="4015" y="2066"/>
                                </a:lnTo>
                                <a:lnTo>
                                  <a:pt x="4015" y="2073"/>
                                </a:lnTo>
                                <a:close/>
                              </a:path>
                            </a:pathLst>
                          </a:custGeom>
                          <a:solidFill>
                            <a:srgbClr val="000000"/>
                          </a:solidFill>
                          <a:ln>
                            <a:noFill/>
                          </a:ln>
                        </wps:spPr>
                        <wps:bodyPr upright="1"/>
                      </wps:wsp>
                      <wps:wsp>
                        <wps:cNvPr id="81" name="文本框 81"/>
                        <wps:cNvSpPr txBox="1"/>
                        <wps:spPr>
                          <a:xfrm>
                            <a:off x="1169" y="252"/>
                            <a:ext cx="4015" cy="2081"/>
                          </a:xfrm>
                          <a:prstGeom prst="rect">
                            <a:avLst/>
                          </a:prstGeom>
                          <a:noFill/>
                          <a:ln>
                            <a:noFill/>
                          </a:ln>
                        </wps:spPr>
                        <wps:txbx>
                          <w:txbxContent>
                            <w:p>
                              <w:pPr>
                                <w:rPr>
                                  <w:sz w:val="20"/>
                                </w:rPr>
                              </w:pPr>
                            </w:p>
                            <w:p>
                              <w:pPr>
                                <w:spacing w:before="7"/>
                                <w:rPr>
                                  <w:sz w:val="24"/>
                                </w:rPr>
                              </w:pPr>
                            </w:p>
                            <w:p>
                              <w:pPr>
                                <w:ind w:left="1103"/>
                                <w:rPr>
                                  <w:sz w:val="21"/>
                                </w:rPr>
                              </w:pPr>
                              <w:r>
                                <w:rPr>
                                  <w:sz w:val="21"/>
                                </w:rPr>
                                <w:t>法人身份证复印件反面</w:t>
                              </w:r>
                            </w:p>
                          </w:txbxContent>
                        </wps:txbx>
                        <wps:bodyPr lIns="0" tIns="0" rIns="0" bIns="0" upright="1"/>
                      </wps:wsp>
                    </wpg:wgp>
                  </a:graphicData>
                </a:graphic>
              </wp:anchor>
            </w:drawing>
          </mc:Choice>
          <mc:Fallback>
            <w:pict>
              <v:group id="_x0000_s1026" o:spid="_x0000_s1026" o:spt="203" style="position:absolute;left:0pt;margin-left:58.45pt;margin-top:12.65pt;height:104.05pt;width:200.75pt;mso-position-horizontal-relative:page;mso-wrap-distance-bottom:0pt;mso-wrap-distance-top:0pt;z-index:-251654144;mso-width-relative:page;mso-height-relative:page;" coordorigin="1169,253" coordsize="4015,2081" o:gfxdata="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">
                <o:lock v:ext="edit" aspectratio="f"/>
                <v:shape id="_x0000_s1026" o:spid="_x0000_s1026" o:spt="100" style="position:absolute;left:1169;top:252;height:2081;width:4015;" fillcolor="#000000" filled="t" stroked="f" coordsize="4015,2081" o:gfxdata="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Af+vrsAAADb&#10;AAAADwAAAAAAAAABACAAAAAiAAAAZHJzL2Rvd25yZXYueG1sUEsBAhQAFAAAAAgAh07iQDMvBZ47&#10;AAAAOQAAABAAAAAAAAAAAQAgAAAACgEAAGRycy9zaGFwZXhtbC54bWxQSwUGAAAAAAYABgBbAQAA&#10;tAMAAAAA&#10;" path="m4015,2081l0,2081,0,0,4015,0,4015,7,15,7,8,15,15,15,15,2066,8,2066,15,2073,4015,2073,4015,2081xm15,15l8,15,15,7,15,15xm4000,15l15,15,15,7,4000,7,4000,15xm4000,2073l4000,7,4008,15,4015,15,4015,2066,4008,2066,4000,2073xm4015,15l4008,15,4000,7,4015,7,4015,15xm15,2073l8,2066,15,2066,15,2073xm4000,2073l15,2073,15,2066,4000,2066,4000,2073xm4015,2073l4000,2073,4008,2066,4015,2066,4015,2073xe">
                  <v:fill on="t" focussize="0,0"/>
                  <v:stroke on="f"/>
                  <v:imagedata o:title=""/>
                  <o:lock v:ext="edit" aspectratio="f"/>
                </v:shape>
                <v:shape id="_x0000_s1026" o:spid="_x0000_s1026" o:spt="202" type="#_x0000_t202" style="position:absolute;left:1169;top:252;height:2081;width:4015;" filled="f" stroked="f" coordsize="21600,21600" o:gfxdata="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TMGk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rPr>
                            <w:sz w:val="20"/>
                          </w:rPr>
                        </w:pPr>
                      </w:p>
                      <w:p>
                        <w:pPr>
                          <w:spacing w:before="7"/>
                          <w:rPr>
                            <w:sz w:val="24"/>
                          </w:rPr>
                        </w:pPr>
                      </w:p>
                      <w:p>
                        <w:pPr>
                          <w:ind w:left="1103"/>
                          <w:rPr>
                            <w:sz w:val="21"/>
                          </w:rPr>
                        </w:pPr>
                        <w:r>
                          <w:rPr>
                            <w:sz w:val="21"/>
                          </w:rPr>
                          <w:t>法人身份证复印件反面</w:t>
                        </w:r>
                      </w:p>
                    </w:txbxContent>
                  </v:textbox>
                </v:shape>
                <w10:wrap type="topAndBottom"/>
              </v:group>
            </w:pict>
          </mc:Fallback>
        </mc:AlternateContent>
      </w:r>
      <w:r>
        <mc:AlternateContent>
          <mc:Choice Requires="wpg">
            <w:drawing>
              <wp:anchor distT="0" distB="0" distL="114300" distR="114300" simplePos="0" relativeHeight="251663360" behindDoc="1" locked="0" layoutInCell="1" allowOverlap="1">
                <wp:simplePos x="0" y="0"/>
                <wp:positionH relativeFrom="page">
                  <wp:posOffset>3886200</wp:posOffset>
                </wp:positionH>
                <wp:positionV relativeFrom="paragraph">
                  <wp:posOffset>128905</wp:posOffset>
                </wp:positionV>
                <wp:extent cx="2643505" cy="1321435"/>
                <wp:effectExtent l="635" t="635" r="7620" b="3810"/>
                <wp:wrapTopAndBottom/>
                <wp:docPr id="76" name="组合 76"/>
                <wp:cNvGraphicFramePr/>
                <a:graphic xmlns:a="http://schemas.openxmlformats.org/drawingml/2006/main">
                  <a:graphicData uri="http://schemas.microsoft.com/office/word/2010/wordprocessingGroup">
                    <wpg:wgp>
                      <wpg:cNvGrpSpPr/>
                      <wpg:grpSpPr>
                        <a:xfrm>
                          <a:off x="0" y="0"/>
                          <a:ext cx="2643505" cy="1321435"/>
                          <a:chOff x="6120" y="203"/>
                          <a:chExt cx="4163" cy="2081"/>
                        </a:xfrm>
                      </wpg:grpSpPr>
                      <wps:wsp>
                        <wps:cNvPr id="74" name="任意多边形 74"/>
                        <wps:cNvSpPr/>
                        <wps:spPr>
                          <a:xfrm>
                            <a:off x="6119" y="202"/>
                            <a:ext cx="4163" cy="2081"/>
                          </a:xfrm>
                          <a:custGeom>
                            <a:avLst/>
                            <a:gdLst>
                              <a:gd name="A1" fmla="val 0"/>
                              <a:gd name="A2" fmla="val 0"/>
                            </a:gdLst>
                            <a:ahLst/>
                            <a:cxnLst/>
                            <a:pathLst>
                              <a:path w="4163" h="2081">
                                <a:moveTo>
                                  <a:pt x="4163" y="2081"/>
                                </a:moveTo>
                                <a:lnTo>
                                  <a:pt x="0" y="2081"/>
                                </a:lnTo>
                                <a:lnTo>
                                  <a:pt x="0" y="0"/>
                                </a:lnTo>
                                <a:lnTo>
                                  <a:pt x="4163" y="0"/>
                                </a:lnTo>
                                <a:lnTo>
                                  <a:pt x="4163" y="7"/>
                                </a:lnTo>
                                <a:lnTo>
                                  <a:pt x="15" y="7"/>
                                </a:lnTo>
                                <a:lnTo>
                                  <a:pt x="7" y="15"/>
                                </a:lnTo>
                                <a:lnTo>
                                  <a:pt x="15" y="15"/>
                                </a:lnTo>
                                <a:lnTo>
                                  <a:pt x="15" y="2066"/>
                                </a:lnTo>
                                <a:lnTo>
                                  <a:pt x="7" y="2066"/>
                                </a:lnTo>
                                <a:lnTo>
                                  <a:pt x="15" y="2073"/>
                                </a:lnTo>
                                <a:lnTo>
                                  <a:pt x="4163" y="2073"/>
                                </a:lnTo>
                                <a:lnTo>
                                  <a:pt x="4163" y="2081"/>
                                </a:lnTo>
                                <a:close/>
                                <a:moveTo>
                                  <a:pt x="15" y="15"/>
                                </a:moveTo>
                                <a:lnTo>
                                  <a:pt x="7" y="15"/>
                                </a:lnTo>
                                <a:lnTo>
                                  <a:pt x="15" y="7"/>
                                </a:lnTo>
                                <a:lnTo>
                                  <a:pt x="15" y="15"/>
                                </a:lnTo>
                                <a:close/>
                                <a:moveTo>
                                  <a:pt x="4148" y="15"/>
                                </a:moveTo>
                                <a:lnTo>
                                  <a:pt x="15" y="15"/>
                                </a:lnTo>
                                <a:lnTo>
                                  <a:pt x="15" y="7"/>
                                </a:lnTo>
                                <a:lnTo>
                                  <a:pt x="4148" y="7"/>
                                </a:lnTo>
                                <a:lnTo>
                                  <a:pt x="4148" y="15"/>
                                </a:lnTo>
                                <a:close/>
                                <a:moveTo>
                                  <a:pt x="4148" y="2073"/>
                                </a:moveTo>
                                <a:lnTo>
                                  <a:pt x="4148" y="7"/>
                                </a:lnTo>
                                <a:lnTo>
                                  <a:pt x="4155" y="15"/>
                                </a:lnTo>
                                <a:lnTo>
                                  <a:pt x="4163" y="15"/>
                                </a:lnTo>
                                <a:lnTo>
                                  <a:pt x="4163" y="2066"/>
                                </a:lnTo>
                                <a:lnTo>
                                  <a:pt x="4155" y="2066"/>
                                </a:lnTo>
                                <a:lnTo>
                                  <a:pt x="4148" y="2073"/>
                                </a:lnTo>
                                <a:close/>
                                <a:moveTo>
                                  <a:pt x="4163" y="15"/>
                                </a:moveTo>
                                <a:lnTo>
                                  <a:pt x="4155" y="15"/>
                                </a:lnTo>
                                <a:lnTo>
                                  <a:pt x="4148" y="7"/>
                                </a:lnTo>
                                <a:lnTo>
                                  <a:pt x="4163" y="7"/>
                                </a:lnTo>
                                <a:lnTo>
                                  <a:pt x="4163" y="15"/>
                                </a:lnTo>
                                <a:close/>
                                <a:moveTo>
                                  <a:pt x="15" y="2073"/>
                                </a:moveTo>
                                <a:lnTo>
                                  <a:pt x="7" y="2066"/>
                                </a:lnTo>
                                <a:lnTo>
                                  <a:pt x="15" y="2066"/>
                                </a:lnTo>
                                <a:lnTo>
                                  <a:pt x="15" y="2073"/>
                                </a:lnTo>
                                <a:close/>
                                <a:moveTo>
                                  <a:pt x="4148" y="2073"/>
                                </a:moveTo>
                                <a:lnTo>
                                  <a:pt x="15" y="2073"/>
                                </a:lnTo>
                                <a:lnTo>
                                  <a:pt x="15" y="2066"/>
                                </a:lnTo>
                                <a:lnTo>
                                  <a:pt x="4148" y="2066"/>
                                </a:lnTo>
                                <a:lnTo>
                                  <a:pt x="4148" y="2073"/>
                                </a:lnTo>
                                <a:close/>
                                <a:moveTo>
                                  <a:pt x="4163" y="2073"/>
                                </a:moveTo>
                                <a:lnTo>
                                  <a:pt x="4148" y="2073"/>
                                </a:lnTo>
                                <a:lnTo>
                                  <a:pt x="4155" y="2066"/>
                                </a:lnTo>
                                <a:lnTo>
                                  <a:pt x="4163" y="2066"/>
                                </a:lnTo>
                                <a:lnTo>
                                  <a:pt x="4163" y="2073"/>
                                </a:lnTo>
                                <a:close/>
                              </a:path>
                            </a:pathLst>
                          </a:custGeom>
                          <a:solidFill>
                            <a:srgbClr val="000000"/>
                          </a:solidFill>
                          <a:ln>
                            <a:noFill/>
                          </a:ln>
                        </wps:spPr>
                        <wps:bodyPr upright="1"/>
                      </wps:wsp>
                      <wps:wsp>
                        <wps:cNvPr id="75" name="文本框 75"/>
                        <wps:cNvSpPr txBox="1"/>
                        <wps:spPr>
                          <a:xfrm>
                            <a:off x="6119" y="202"/>
                            <a:ext cx="4163" cy="2081"/>
                          </a:xfrm>
                          <a:prstGeom prst="rect">
                            <a:avLst/>
                          </a:prstGeom>
                          <a:noFill/>
                          <a:ln>
                            <a:noFill/>
                          </a:ln>
                        </wps:spPr>
                        <wps:txbx>
                          <w:txbxContent>
                            <w:p>
                              <w:pPr>
                                <w:rPr>
                                  <w:sz w:val="20"/>
                                </w:rPr>
                              </w:pPr>
                            </w:p>
                            <w:p>
                              <w:pPr>
                                <w:spacing w:before="6"/>
                                <w:rPr>
                                  <w:sz w:val="24"/>
                                </w:rPr>
                              </w:pPr>
                            </w:p>
                            <w:p>
                              <w:pPr>
                                <w:ind w:left="893"/>
                                <w:rPr>
                                  <w:sz w:val="21"/>
                                  <w:lang w:eastAsia="zh-CN"/>
                                </w:rPr>
                              </w:pPr>
                              <w:r>
                                <w:rPr>
                                  <w:sz w:val="21"/>
                                  <w:lang w:eastAsia="zh-CN"/>
                                </w:rPr>
                                <w:t>授权代表身份证复印件反面</w:t>
                              </w:r>
                            </w:p>
                          </w:txbxContent>
                        </wps:txbx>
                        <wps:bodyPr lIns="0" tIns="0" rIns="0" bIns="0" upright="1"/>
                      </wps:wsp>
                    </wpg:wgp>
                  </a:graphicData>
                </a:graphic>
              </wp:anchor>
            </w:drawing>
          </mc:Choice>
          <mc:Fallback>
            <w:pict>
              <v:group id="_x0000_s1026" o:spid="_x0000_s1026" o:spt="203" style="position:absolute;left:0pt;margin-left:306pt;margin-top:10.15pt;height:104.05pt;width:208.15pt;mso-position-horizontal-relative:page;mso-wrap-distance-bottom:0pt;mso-wrap-distance-top:0pt;z-index:-251653120;mso-width-relative:page;mso-height-relative:page;" coordorigin="6120,203" coordsize="4163,2081" o:gfxdata="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">
                <o:lock v:ext="edit" aspectratio="f"/>
                <v:shape id="_x0000_s1026" o:spid="_x0000_s1026" o:spt="100" style="position:absolute;left:6119;top:202;height:2081;width:4163;" fillcolor="#000000" filled="t" stroked="f" coordsize="4163,2081" o:gfxdata="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Kn38m/&#10;AAAA2wAAAA8AAAAAAAAAAQAgAAAAIgAAAGRycy9kb3ducmV2LnhtbFBLAQIUABQAAAAIAIdO4kAz&#10;LwWeOwAAADkAAAAQAAAAAAAAAAEAIAAAAA4BAABkcnMvc2hhcGV4bWwueG1sUEsFBgAAAAAGAAYA&#10;WwEAALgDAAAAAA==&#10;" path="m4163,2081l0,2081,0,0,4163,0,4163,7,15,7,7,15,15,15,15,2066,7,2066,15,2073,4163,2073,4163,2081xm15,15l7,15,15,7,15,15xm4148,15l15,15,15,7,4148,7,4148,15xm4148,2073l4148,7,4155,15,4163,15,4163,2066,4155,2066,4148,2073xm4163,15l4155,15,4148,7,4163,7,4163,15xm15,2073l7,2066,15,2066,15,2073xm4148,2073l15,2073,15,2066,4148,2066,4148,2073xm4163,2073l4148,2073,4155,2066,4163,2066,4163,2073xe">
                  <v:fill on="t" focussize="0,0"/>
                  <v:stroke on="f"/>
                  <v:imagedata o:title=""/>
                  <o:lock v:ext="edit" aspectratio="f"/>
                </v:shape>
                <v:shape id="_x0000_s1026" o:spid="_x0000_s1026" o:spt="202" type="#_x0000_t202" style="position:absolute;left:6119;top:202;height:2081;width:4163;" filled="f" stroked="f" coordsize="21600,21600" o:gfxdata="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6K3g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rPr>
                            <w:sz w:val="20"/>
                          </w:rPr>
                        </w:pPr>
                      </w:p>
                      <w:p>
                        <w:pPr>
                          <w:spacing w:before="6"/>
                          <w:rPr>
                            <w:sz w:val="24"/>
                          </w:rPr>
                        </w:pPr>
                      </w:p>
                      <w:p>
                        <w:pPr>
                          <w:ind w:left="893"/>
                          <w:rPr>
                            <w:sz w:val="21"/>
                            <w:lang w:eastAsia="zh-CN"/>
                          </w:rPr>
                        </w:pPr>
                        <w:r>
                          <w:rPr>
                            <w:sz w:val="21"/>
                            <w:lang w:eastAsia="zh-CN"/>
                          </w:rPr>
                          <w:t>授权代表身份证复印件反面</w:t>
                        </w:r>
                      </w:p>
                    </w:txbxContent>
                  </v:textbox>
                </v:shape>
                <w10:wrap type="topAndBottom"/>
              </v:group>
            </w:pict>
          </mc:Fallback>
        </mc:AlternateContent>
      </w:r>
    </w:p>
    <w:p>
      <w:pPr>
        <w:pStyle w:val="8"/>
        <w:rPr>
          <w:lang w:eastAsia="zh-CN"/>
        </w:rPr>
      </w:pPr>
    </w:p>
    <w:p>
      <w:pPr>
        <w:pStyle w:val="8"/>
        <w:rPr>
          <w:lang w:eastAsia="zh-CN"/>
        </w:rPr>
      </w:pPr>
    </w:p>
    <w:p>
      <w:pPr>
        <w:pStyle w:val="8"/>
        <w:rPr>
          <w:lang w:eastAsia="zh-CN"/>
        </w:rPr>
      </w:pPr>
    </w:p>
    <w:p>
      <w:pPr>
        <w:pStyle w:val="8"/>
        <w:rPr>
          <w:lang w:eastAsia="zh-CN"/>
        </w:rPr>
      </w:pPr>
    </w:p>
    <w:p>
      <w:pPr>
        <w:pStyle w:val="8"/>
        <w:tabs>
          <w:tab w:val="left" w:pos="5179"/>
          <w:tab w:val="left" w:pos="6799"/>
        </w:tabs>
        <w:spacing w:before="196"/>
        <w:ind w:left="260"/>
        <w:jc w:val="both"/>
        <w:rPr>
          <w:rFonts w:ascii="Times New Roman" w:eastAsia="Times New Roman"/>
          <w:lang w:eastAsia="zh-CN"/>
        </w:rPr>
      </w:pPr>
      <w:r>
        <w:rPr>
          <w:lang w:eastAsia="zh-CN"/>
        </w:rPr>
        <w:t>代理人：</w:t>
      </w:r>
      <w:r>
        <w:rPr>
          <w:u w:val="single"/>
          <w:lang w:eastAsia="zh-CN"/>
        </w:rPr>
        <w:t xml:space="preserve">   （签字）   </w:t>
      </w:r>
      <w:r>
        <w:rPr>
          <w:lang w:eastAsia="zh-CN"/>
        </w:rPr>
        <w:t>性别 ：</w:t>
      </w:r>
      <w:r>
        <w:rPr>
          <w:u w:val="single"/>
          <w:lang w:eastAsia="zh-CN"/>
        </w:rPr>
        <w:t xml:space="preserve"> </w:t>
      </w:r>
      <w:r>
        <w:rPr>
          <w:u w:val="single"/>
          <w:lang w:eastAsia="zh-CN"/>
        </w:rPr>
        <w:tab/>
      </w:r>
      <w:r>
        <w:rPr>
          <w:lang w:eastAsia="zh-CN"/>
        </w:rPr>
        <w:t>年龄：</w:t>
      </w:r>
      <w:r>
        <w:rPr>
          <w:rFonts w:ascii="Times New Roman" w:eastAsia="Times New Roman"/>
          <w:u w:val="single"/>
          <w:lang w:eastAsia="zh-CN"/>
        </w:rPr>
        <w:t xml:space="preserve"> </w:t>
      </w:r>
      <w:r>
        <w:rPr>
          <w:rFonts w:ascii="Times New Roman" w:eastAsia="Times New Roman"/>
          <w:u w:val="single"/>
          <w:lang w:eastAsia="zh-CN"/>
        </w:rPr>
        <w:tab/>
      </w:r>
    </w:p>
    <w:p>
      <w:pPr>
        <w:pStyle w:val="8"/>
        <w:spacing w:before="10"/>
        <w:rPr>
          <w:rFonts w:ascii="Times New Roman"/>
          <w:sz w:val="20"/>
          <w:lang w:eastAsia="zh-CN"/>
        </w:rPr>
      </w:pPr>
    </w:p>
    <w:p>
      <w:pPr>
        <w:pStyle w:val="8"/>
        <w:tabs>
          <w:tab w:val="left" w:pos="4099"/>
          <w:tab w:val="left" w:pos="6799"/>
        </w:tabs>
        <w:spacing w:before="74"/>
        <w:ind w:left="260"/>
        <w:rPr>
          <w:rFonts w:ascii="Times New Roman" w:eastAsia="Times New Roman"/>
          <w:lang w:eastAsia="zh-CN"/>
        </w:rPr>
      </w:pPr>
      <w:r>
        <w:rPr>
          <w:lang w:eastAsia="zh-CN"/>
        </w:rPr>
        <w:t>身份证号码：</w:t>
      </w:r>
      <w:r>
        <w:rPr>
          <w:u w:val="single"/>
          <w:lang w:eastAsia="zh-CN"/>
        </w:rPr>
        <w:t xml:space="preserve"> </w:t>
      </w:r>
      <w:r>
        <w:rPr>
          <w:u w:val="single"/>
          <w:lang w:eastAsia="zh-CN"/>
        </w:rPr>
        <w:tab/>
      </w:r>
      <w:r>
        <w:rPr>
          <w:lang w:eastAsia="zh-CN"/>
        </w:rPr>
        <w:t>职务：</w:t>
      </w:r>
      <w:r>
        <w:rPr>
          <w:rFonts w:ascii="Times New Roman" w:eastAsia="Times New Roman"/>
          <w:u w:val="single"/>
          <w:lang w:eastAsia="zh-CN"/>
        </w:rPr>
        <w:t xml:space="preserve"> </w:t>
      </w:r>
      <w:r>
        <w:rPr>
          <w:rFonts w:ascii="Times New Roman" w:eastAsia="Times New Roman"/>
          <w:u w:val="single"/>
          <w:lang w:eastAsia="zh-CN"/>
        </w:rPr>
        <w:tab/>
      </w:r>
    </w:p>
    <w:p>
      <w:pPr>
        <w:pStyle w:val="8"/>
        <w:spacing w:before="10"/>
        <w:rPr>
          <w:rFonts w:ascii="Times New Roman"/>
          <w:sz w:val="20"/>
          <w:lang w:eastAsia="zh-CN"/>
        </w:rPr>
      </w:pPr>
    </w:p>
    <w:p>
      <w:pPr>
        <w:pStyle w:val="8"/>
        <w:tabs>
          <w:tab w:val="left" w:pos="3379"/>
          <w:tab w:val="left" w:pos="6739"/>
        </w:tabs>
        <w:spacing w:before="74"/>
        <w:ind w:left="260"/>
        <w:rPr>
          <w:lang w:eastAsia="zh-CN"/>
        </w:rPr>
      </w:pPr>
      <w:r>
        <w:rPr>
          <w:lang w:eastAsia="zh-CN"/>
        </w:rPr>
        <w:t>供应商：</w:t>
      </w:r>
      <w:r>
        <w:rPr>
          <w:u w:val="single"/>
          <w:lang w:eastAsia="zh-CN"/>
        </w:rPr>
        <w:t xml:space="preserve"> </w:t>
      </w:r>
      <w:r>
        <w:rPr>
          <w:u w:val="single"/>
          <w:lang w:eastAsia="zh-CN"/>
        </w:rPr>
        <w:tab/>
      </w:r>
      <w:r>
        <w:rPr>
          <w:u w:val="single"/>
          <w:lang w:eastAsia="zh-CN"/>
        </w:rPr>
        <w:t>（盖章）</w:t>
      </w:r>
      <w:r>
        <w:rPr>
          <w:u w:val="single"/>
          <w:lang w:eastAsia="zh-CN"/>
        </w:rPr>
        <w:tab/>
      </w:r>
    </w:p>
    <w:p>
      <w:pPr>
        <w:pStyle w:val="8"/>
        <w:spacing w:before="12"/>
        <w:rPr>
          <w:sz w:val="18"/>
          <w:lang w:eastAsia="zh-CN"/>
        </w:rPr>
      </w:pPr>
    </w:p>
    <w:p>
      <w:pPr>
        <w:pStyle w:val="8"/>
        <w:tabs>
          <w:tab w:val="left" w:pos="3259"/>
          <w:tab w:val="left" w:pos="6739"/>
        </w:tabs>
        <w:spacing w:before="74"/>
        <w:ind w:left="260"/>
        <w:rPr>
          <w:lang w:eastAsia="zh-CN"/>
        </w:rPr>
      </w:pPr>
      <w:r>
        <w:rPr>
          <w:lang w:eastAsia="zh-CN"/>
        </w:rPr>
        <w:t>法定代表人：</w:t>
      </w:r>
      <w:r>
        <w:rPr>
          <w:u w:val="single"/>
          <w:lang w:eastAsia="zh-CN"/>
        </w:rPr>
        <w:t xml:space="preserve"> </w:t>
      </w:r>
      <w:r>
        <w:rPr>
          <w:u w:val="single"/>
          <w:lang w:eastAsia="zh-CN"/>
        </w:rPr>
        <w:tab/>
      </w:r>
      <w:r>
        <w:rPr>
          <w:u w:val="single"/>
          <w:lang w:eastAsia="zh-CN"/>
        </w:rPr>
        <w:t>（签字</w:t>
      </w:r>
      <w:r>
        <w:rPr>
          <w:rFonts w:hint="eastAsia"/>
          <w:u w:val="single"/>
          <w:lang w:val="en-US" w:eastAsia="zh-CN"/>
        </w:rPr>
        <w:t>及</w:t>
      </w:r>
      <w:r>
        <w:rPr>
          <w:u w:val="single"/>
          <w:lang w:eastAsia="zh-CN"/>
        </w:rPr>
        <w:t>盖章）</w:t>
      </w:r>
      <w:r>
        <w:rPr>
          <w:u w:val="single"/>
          <w:lang w:eastAsia="zh-CN"/>
        </w:rPr>
        <w:tab/>
      </w:r>
    </w:p>
    <w:p>
      <w:pPr>
        <w:pStyle w:val="8"/>
        <w:spacing w:before="4"/>
        <w:rPr>
          <w:sz w:val="19"/>
          <w:lang w:eastAsia="zh-CN"/>
        </w:rPr>
      </w:pPr>
    </w:p>
    <w:p>
      <w:pPr>
        <w:pStyle w:val="8"/>
        <w:tabs>
          <w:tab w:val="left" w:pos="2779"/>
          <w:tab w:val="left" w:pos="3619"/>
          <w:tab w:val="left" w:pos="4459"/>
        </w:tabs>
        <w:spacing w:before="67"/>
        <w:ind w:left="260"/>
        <w:rPr>
          <w:lang w:eastAsia="zh-CN"/>
        </w:rPr>
      </w:pPr>
      <w:r>
        <w:rPr>
          <w:lang w:eastAsia="zh-CN"/>
        </w:rPr>
        <w:t>授权委托日期：</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pPr>
        <w:rPr>
          <w:lang w:eastAsia="zh-CN"/>
        </w:rPr>
        <w:sectPr>
          <w:pgSz w:w="12240" w:h="15840"/>
          <w:pgMar w:top="1380" w:right="840" w:bottom="960" w:left="820" w:header="953" w:footer="761" w:gutter="0"/>
          <w:pgNumType w:fmt="decimal"/>
          <w:cols w:space="720" w:num="1"/>
        </w:sectPr>
      </w:pPr>
    </w:p>
    <w:p>
      <w:pPr>
        <w:pStyle w:val="8"/>
        <w:spacing w:before="10"/>
        <w:rPr>
          <w:sz w:val="23"/>
          <w:lang w:eastAsia="zh-CN"/>
        </w:rPr>
      </w:pPr>
    </w:p>
    <w:p>
      <w:pPr>
        <w:pStyle w:val="4"/>
        <w:spacing w:before="66"/>
        <w:ind w:left="29"/>
        <w:jc w:val="center"/>
        <w:rPr>
          <w:lang w:eastAsia="zh-CN"/>
        </w:rPr>
      </w:pPr>
      <w:bookmarkStart w:id="32" w:name="法定授权委托人社保明细"/>
      <w:bookmarkEnd w:id="32"/>
      <w:r>
        <w:rPr>
          <w:lang w:eastAsia="zh-CN"/>
        </w:rPr>
        <w:t>法定授权委托人社保明细</w:t>
      </w:r>
    </w:p>
    <w:p>
      <w:pPr>
        <w:pStyle w:val="8"/>
        <w:spacing w:before="7"/>
        <w:rPr>
          <w:b/>
          <w:lang w:eastAsia="zh-CN"/>
        </w:rPr>
      </w:pPr>
    </w:p>
    <w:p>
      <w:pPr>
        <w:pStyle w:val="8"/>
        <w:ind w:left="20"/>
        <w:jc w:val="center"/>
        <w:rPr>
          <w:rFonts w:hint="default"/>
          <w:highlight w:val="none"/>
          <w:lang w:val="en-US" w:eastAsia="zh-CN"/>
        </w:rPr>
      </w:pPr>
      <w:bookmarkStart w:id="33" w:name="提供公司社保证明（提供法人及委托人近三个月社保个人缴费明细）；"/>
      <w:bookmarkEnd w:id="33"/>
      <w:r>
        <w:rPr>
          <w:lang w:eastAsia="zh-CN"/>
        </w:rPr>
        <w:t>提供公司社保证明（提供</w:t>
      </w:r>
      <w:r>
        <w:rPr>
          <w:highlight w:val="none"/>
          <w:lang w:eastAsia="zh-CN"/>
        </w:rPr>
        <w:t>法人及委托人近三个月</w:t>
      </w:r>
      <w:r>
        <w:rPr>
          <w:rFonts w:hint="eastAsia"/>
          <w:highlight w:val="none"/>
          <w:lang w:val="en-US" w:eastAsia="zh-CN"/>
        </w:rPr>
        <w:t>2023年2月-2023年4月的</w:t>
      </w:r>
      <w:r>
        <w:rPr>
          <w:highlight w:val="none"/>
          <w:lang w:eastAsia="zh-CN"/>
        </w:rPr>
        <w:t>社保个人缴费明细）</w:t>
      </w:r>
    </w:p>
    <w:p>
      <w:pPr>
        <w:jc w:val="center"/>
        <w:rPr>
          <w:highlight w:val="none"/>
          <w:lang w:eastAsia="zh-CN"/>
        </w:rPr>
        <w:sectPr>
          <w:pgSz w:w="12240" w:h="15840"/>
          <w:pgMar w:top="1380" w:right="840" w:bottom="960" w:left="820" w:header="953" w:footer="761" w:gutter="0"/>
          <w:pgNumType w:fmt="decimal"/>
          <w:cols w:space="720" w:num="1"/>
        </w:sectPr>
      </w:pPr>
    </w:p>
    <w:p>
      <w:pPr>
        <w:tabs>
          <w:tab w:val="left" w:pos="1819"/>
          <w:tab w:val="left" w:pos="4099"/>
        </w:tabs>
        <w:spacing w:before="59" w:line="523" w:lineRule="auto"/>
        <w:ind w:left="260" w:right="4068" w:firstLine="3840"/>
        <w:rPr>
          <w:sz w:val="24"/>
          <w:lang w:eastAsia="zh-CN"/>
        </w:rPr>
      </w:pPr>
      <w:bookmarkStart w:id="34" w:name="（五）、资格证明文件"/>
      <w:bookmarkEnd w:id="34"/>
      <w:r>
        <w:rPr>
          <w:b/>
          <w:sz w:val="24"/>
          <w:lang w:eastAsia="zh-CN"/>
        </w:rPr>
        <w:t>（五）、资格证明文</w:t>
      </w:r>
      <w:r>
        <w:rPr>
          <w:b/>
          <w:spacing w:val="-16"/>
          <w:sz w:val="24"/>
          <w:lang w:eastAsia="zh-CN"/>
        </w:rPr>
        <w:t>件</w:t>
      </w:r>
      <w:r>
        <w:rPr>
          <w:sz w:val="24"/>
          <w:lang w:eastAsia="zh-CN"/>
        </w:rPr>
        <w:t>致：</w:t>
      </w:r>
      <w:r>
        <w:rPr>
          <w:sz w:val="24"/>
          <w:u w:val="single"/>
          <w:lang w:eastAsia="zh-CN"/>
        </w:rPr>
        <w:t xml:space="preserve"> </w:t>
      </w:r>
      <w:r>
        <w:rPr>
          <w:sz w:val="24"/>
          <w:u w:val="single"/>
          <w:lang w:eastAsia="zh-CN"/>
        </w:rPr>
        <w:tab/>
      </w:r>
      <w:r>
        <w:rPr>
          <w:sz w:val="24"/>
          <w:u w:val="single"/>
          <w:lang w:eastAsia="zh-CN"/>
        </w:rPr>
        <w:t>采购人名称</w:t>
      </w:r>
      <w:r>
        <w:rPr>
          <w:sz w:val="24"/>
          <w:u w:val="single"/>
          <w:lang w:eastAsia="zh-CN"/>
        </w:rPr>
        <w:tab/>
      </w:r>
      <w:r>
        <w:rPr>
          <w:sz w:val="24"/>
          <w:lang w:eastAsia="zh-CN"/>
        </w:rPr>
        <w:t>：</w:t>
      </w:r>
    </w:p>
    <w:p>
      <w:pPr>
        <w:pStyle w:val="8"/>
        <w:tabs>
          <w:tab w:val="left" w:pos="2059"/>
          <w:tab w:val="left" w:pos="4819"/>
        </w:tabs>
        <w:spacing w:before="3" w:line="362" w:lineRule="auto"/>
        <w:ind w:left="260" w:right="239"/>
        <w:rPr>
          <w:lang w:eastAsia="zh-CN"/>
        </w:rPr>
      </w:pPr>
      <w:r>
        <w:rPr>
          <w:lang w:eastAsia="zh-CN"/>
        </w:rPr>
        <w:t>现附上由</w:t>
      </w:r>
      <w:r>
        <w:rPr>
          <w:u w:val="single"/>
          <w:lang w:eastAsia="zh-CN"/>
        </w:rPr>
        <w:t xml:space="preserve"> </w:t>
      </w:r>
      <w:r>
        <w:rPr>
          <w:u w:val="single"/>
          <w:lang w:eastAsia="zh-CN"/>
        </w:rPr>
        <w:tab/>
      </w:r>
      <w:r>
        <w:rPr>
          <w:u w:val="single"/>
          <w:lang w:eastAsia="zh-CN"/>
        </w:rPr>
        <w:t>（签发机关名称）</w:t>
      </w:r>
      <w:r>
        <w:rPr>
          <w:u w:val="single"/>
          <w:lang w:eastAsia="zh-CN"/>
        </w:rPr>
        <w:tab/>
      </w:r>
      <w:r>
        <w:rPr>
          <w:lang w:eastAsia="zh-CN"/>
        </w:rPr>
        <w:t>签发的我方法人营业执照副本复印件，该执照真实</w:t>
      </w:r>
      <w:r>
        <w:rPr>
          <w:spacing w:val="-18"/>
          <w:lang w:eastAsia="zh-CN"/>
        </w:rPr>
        <w:t>有</w:t>
      </w:r>
      <w:r>
        <w:rPr>
          <w:lang w:eastAsia="zh-CN"/>
        </w:rPr>
        <w:t>效。</w:t>
      </w:r>
    </w:p>
    <w:p>
      <w:pPr>
        <w:pStyle w:val="8"/>
        <w:tabs>
          <w:tab w:val="left" w:pos="2019"/>
          <w:tab w:val="left" w:pos="2059"/>
          <w:tab w:val="left" w:pos="4739"/>
          <w:tab w:val="left" w:pos="4819"/>
        </w:tabs>
        <w:spacing w:before="5" w:line="364" w:lineRule="auto"/>
        <w:ind w:left="260" w:right="119"/>
        <w:rPr>
          <w:lang w:eastAsia="zh-CN"/>
        </w:rPr>
      </w:pPr>
      <w:r>
        <w:rPr>
          <w:lang w:eastAsia="zh-CN"/>
        </w:rPr>
        <w:t>现附上由</w:t>
      </w:r>
      <w:r>
        <w:rPr>
          <w:u w:val="single"/>
          <w:lang w:eastAsia="zh-CN"/>
        </w:rPr>
        <w:t xml:space="preserve"> </w:t>
      </w:r>
      <w:r>
        <w:rPr>
          <w:u w:val="single"/>
          <w:lang w:eastAsia="zh-CN"/>
        </w:rPr>
        <w:tab/>
      </w:r>
      <w:r>
        <w:rPr>
          <w:u w:val="single"/>
          <w:lang w:eastAsia="zh-CN"/>
        </w:rPr>
        <w:t>（签发机关名称）</w:t>
      </w:r>
      <w:r>
        <w:rPr>
          <w:u w:val="single"/>
          <w:lang w:eastAsia="zh-CN"/>
        </w:rPr>
        <w:tab/>
      </w:r>
      <w:r>
        <w:rPr>
          <w:lang w:eastAsia="zh-CN"/>
        </w:rPr>
        <w:t>签发的我方税务登记证副本复印件</w:t>
      </w:r>
      <w:r>
        <w:rPr>
          <w:spacing w:val="-41"/>
          <w:lang w:eastAsia="zh-CN"/>
        </w:rPr>
        <w:t>，</w:t>
      </w:r>
      <w:r>
        <w:rPr>
          <w:lang w:eastAsia="zh-CN"/>
        </w:rPr>
        <w:t>该证件真实有效</w:t>
      </w:r>
      <w:r>
        <w:rPr>
          <w:spacing w:val="-17"/>
          <w:lang w:eastAsia="zh-CN"/>
        </w:rPr>
        <w:t>。</w:t>
      </w:r>
      <w:r>
        <w:rPr>
          <w:lang w:eastAsia="zh-CN"/>
        </w:rPr>
        <w:t>现附上由</w:t>
      </w:r>
      <w:r>
        <w:rPr>
          <w:u w:val="single"/>
          <w:lang w:eastAsia="zh-CN"/>
        </w:rPr>
        <w:t xml:space="preserve"> </w:t>
      </w:r>
      <w:r>
        <w:rPr>
          <w:u w:val="single"/>
          <w:lang w:eastAsia="zh-CN"/>
        </w:rPr>
        <w:tab/>
      </w:r>
      <w:r>
        <w:rPr>
          <w:u w:val="single"/>
          <w:lang w:eastAsia="zh-CN"/>
        </w:rPr>
        <w:tab/>
      </w:r>
      <w:r>
        <w:rPr>
          <w:u w:val="single"/>
          <w:lang w:eastAsia="zh-CN"/>
        </w:rPr>
        <w:t>（签发机关名称）</w:t>
      </w:r>
      <w:r>
        <w:rPr>
          <w:u w:val="single"/>
          <w:lang w:eastAsia="zh-CN"/>
        </w:rPr>
        <w:tab/>
      </w:r>
      <w:r>
        <w:rPr>
          <w:u w:val="single"/>
          <w:lang w:eastAsia="zh-CN"/>
        </w:rPr>
        <w:tab/>
      </w:r>
      <w:r>
        <w:rPr>
          <w:lang w:eastAsia="zh-CN"/>
        </w:rPr>
        <w:t>签发的我方组织机构代码证副本复印件，该证件真实有效。</w:t>
      </w:r>
    </w:p>
    <w:p>
      <w:pPr>
        <w:pStyle w:val="4"/>
        <w:spacing w:line="305" w:lineRule="exact"/>
        <w:rPr>
          <w:lang w:eastAsia="zh-CN"/>
        </w:rPr>
      </w:pPr>
      <w:r>
        <w:rPr>
          <w:lang w:eastAsia="zh-CN"/>
        </w:rPr>
        <w:t>……（竞争性磋商文件要求和供应商应提供的其他相关证件按上述格式填写）</w:t>
      </w:r>
    </w:p>
    <w:p>
      <w:pPr>
        <w:pStyle w:val="8"/>
        <w:spacing w:before="161" w:line="362" w:lineRule="auto"/>
        <w:ind w:left="260" w:right="239"/>
        <w:rPr>
          <w:lang w:eastAsia="zh-CN"/>
        </w:rPr>
      </w:pPr>
      <w:r>
        <w:rPr>
          <w:spacing w:val="-30"/>
          <w:lang w:eastAsia="zh-CN"/>
        </w:rPr>
        <w:t>附：资格</w:t>
      </w:r>
      <w:r>
        <w:rPr>
          <w:lang w:eastAsia="zh-CN"/>
        </w:rPr>
        <w:t>（资质</w:t>
      </w:r>
      <w:r>
        <w:rPr>
          <w:spacing w:val="-60"/>
          <w:lang w:eastAsia="zh-CN"/>
        </w:rPr>
        <w:t>）</w:t>
      </w:r>
      <w:r>
        <w:rPr>
          <w:spacing w:val="-5"/>
          <w:lang w:eastAsia="zh-CN"/>
        </w:rPr>
        <w:t>证件的复印件附后</w:t>
      </w:r>
    </w:p>
    <w:p>
      <w:pPr>
        <w:pStyle w:val="4"/>
        <w:spacing w:before="19"/>
      </w:pPr>
      <w:r>
        <w:t>说明：</w:t>
      </w:r>
    </w:p>
    <w:p>
      <w:pPr>
        <w:pStyle w:val="4"/>
        <w:numPr>
          <w:ilvl w:val="0"/>
          <w:numId w:val="43"/>
        </w:numPr>
        <w:tabs>
          <w:tab w:val="left" w:pos="1101"/>
        </w:tabs>
        <w:spacing w:before="28" w:line="266" w:lineRule="auto"/>
        <w:ind w:right="322" w:firstLine="240"/>
        <w:rPr>
          <w:lang w:eastAsia="zh-CN"/>
        </w:rPr>
      </w:pPr>
      <w:r>
        <w:rPr>
          <w:spacing w:val="-1"/>
          <w:lang w:eastAsia="zh-CN"/>
        </w:rPr>
        <w:t>竞争性磋商文件要求的全部资格证件及依照竞争性磋商文件规定应予提供的其他证件复</w:t>
      </w:r>
      <w:r>
        <w:rPr>
          <w:lang w:eastAsia="zh-CN"/>
        </w:rPr>
        <w:t>印件或影印件。</w:t>
      </w:r>
    </w:p>
    <w:p>
      <w:pPr>
        <w:pStyle w:val="4"/>
        <w:numPr>
          <w:ilvl w:val="0"/>
          <w:numId w:val="43"/>
        </w:numPr>
        <w:tabs>
          <w:tab w:val="left" w:pos="1097"/>
        </w:tabs>
        <w:spacing w:line="304" w:lineRule="exact"/>
        <w:ind w:left="1096"/>
        <w:rPr>
          <w:lang w:eastAsia="zh-CN"/>
        </w:rPr>
      </w:pPr>
      <w:r>
        <w:rPr>
          <w:lang w:eastAsia="zh-CN"/>
        </w:rPr>
        <w:t>所附的资格证明文件的复印件或影印件含糊不清，导致无法辨认的，其投标将被否决。</w:t>
      </w:r>
    </w:p>
    <w:p>
      <w:pPr>
        <w:pStyle w:val="8"/>
        <w:rPr>
          <w:b/>
          <w:lang w:eastAsia="zh-CN"/>
        </w:rPr>
      </w:pPr>
    </w:p>
    <w:p>
      <w:pPr>
        <w:pStyle w:val="8"/>
        <w:rPr>
          <w:b/>
          <w:lang w:eastAsia="zh-CN"/>
        </w:rPr>
      </w:pPr>
    </w:p>
    <w:p>
      <w:pPr>
        <w:pStyle w:val="8"/>
        <w:rPr>
          <w:b/>
          <w:lang w:eastAsia="zh-CN"/>
        </w:rPr>
      </w:pPr>
    </w:p>
    <w:p>
      <w:pPr>
        <w:pStyle w:val="8"/>
        <w:rPr>
          <w:b/>
          <w:sz w:val="22"/>
          <w:lang w:eastAsia="zh-CN"/>
        </w:rPr>
      </w:pPr>
    </w:p>
    <w:p>
      <w:pPr>
        <w:pStyle w:val="8"/>
        <w:tabs>
          <w:tab w:val="left" w:pos="9919"/>
        </w:tabs>
        <w:spacing w:before="1"/>
        <w:ind w:left="4580"/>
        <w:rPr>
          <w:rFonts w:ascii="Times New Roman" w:eastAsia="Times New Roman"/>
          <w:lang w:eastAsia="zh-CN"/>
        </w:rPr>
      </w:pPr>
      <w:r>
        <w:rPr>
          <w:lang w:eastAsia="zh-CN"/>
        </w:rPr>
        <w:t>供应商（加盖公章）：</w:t>
      </w:r>
      <w:r>
        <w:rPr>
          <w:rFonts w:ascii="Times New Roman" w:eastAsia="Times New Roman"/>
          <w:u w:val="single"/>
          <w:lang w:eastAsia="zh-CN"/>
        </w:rPr>
        <w:t xml:space="preserve"> </w:t>
      </w:r>
      <w:r>
        <w:rPr>
          <w:rFonts w:ascii="Times New Roman" w:eastAsia="Times New Roman"/>
          <w:u w:val="single"/>
          <w:lang w:eastAsia="zh-CN"/>
        </w:rPr>
        <w:tab/>
      </w:r>
    </w:p>
    <w:p>
      <w:pPr>
        <w:pStyle w:val="8"/>
        <w:rPr>
          <w:rFonts w:ascii="Times New Roman"/>
          <w:sz w:val="20"/>
          <w:lang w:eastAsia="zh-CN"/>
        </w:rPr>
      </w:pPr>
    </w:p>
    <w:p>
      <w:pPr>
        <w:pStyle w:val="8"/>
        <w:tabs>
          <w:tab w:val="left" w:pos="10039"/>
        </w:tabs>
        <w:spacing w:before="223"/>
        <w:ind w:left="4580"/>
        <w:rPr>
          <w:rFonts w:ascii="Times New Roman" w:eastAsia="Times New Roman"/>
          <w:lang w:eastAsia="zh-CN"/>
        </w:rPr>
      </w:pPr>
      <w:r>
        <w:rPr>
          <w:rFonts w:hint="eastAsia"/>
          <w:lang w:val="en-US" w:eastAsia="zh-CN"/>
        </w:rPr>
        <w:t>法定代表人（签字及盖章）</w:t>
      </w:r>
      <w:r>
        <w:rPr>
          <w:lang w:eastAsia="zh-CN"/>
        </w:rPr>
        <w:t>：</w:t>
      </w:r>
      <w:r>
        <w:rPr>
          <w:rFonts w:ascii="Times New Roman" w:eastAsia="Times New Roman"/>
          <w:u w:val="single"/>
          <w:lang w:eastAsia="zh-CN"/>
        </w:rPr>
        <w:t xml:space="preserve"> </w:t>
      </w:r>
      <w:r>
        <w:rPr>
          <w:rFonts w:ascii="Times New Roman" w:eastAsia="Times New Roman"/>
          <w:u w:val="single"/>
          <w:lang w:eastAsia="zh-CN"/>
        </w:rPr>
        <w:tab/>
      </w:r>
    </w:p>
    <w:p>
      <w:pPr>
        <w:pStyle w:val="8"/>
        <w:spacing w:before="4"/>
        <w:rPr>
          <w:rFonts w:ascii="Times New Roman"/>
          <w:sz w:val="27"/>
          <w:lang w:eastAsia="zh-CN"/>
        </w:rPr>
      </w:pPr>
    </w:p>
    <w:p>
      <w:pPr>
        <w:pStyle w:val="8"/>
        <w:tabs>
          <w:tab w:val="left" w:pos="5659"/>
          <w:tab w:val="left" w:pos="7459"/>
          <w:tab w:val="left" w:pos="8299"/>
          <w:tab w:val="left" w:pos="9019"/>
        </w:tabs>
        <w:spacing w:before="74"/>
        <w:ind w:left="4700"/>
        <w:rPr>
          <w:lang w:eastAsia="zh-CN"/>
        </w:rPr>
      </w:pPr>
      <w:r>
        <w:rPr>
          <w:lang w:eastAsia="zh-CN"/>
        </w:rPr>
        <w:t>日</w:t>
      </w:r>
      <w:r>
        <w:rPr>
          <w:lang w:eastAsia="zh-CN"/>
        </w:rPr>
        <w:tab/>
      </w:r>
      <w:r>
        <w:rPr>
          <w:lang w:eastAsia="zh-CN"/>
        </w:rPr>
        <w:t>期：</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pPr>
        <w:pStyle w:val="8"/>
        <w:rPr>
          <w:sz w:val="26"/>
          <w:lang w:eastAsia="zh-CN"/>
        </w:rPr>
      </w:pPr>
    </w:p>
    <w:p>
      <w:pPr>
        <w:pStyle w:val="8"/>
        <w:rPr>
          <w:sz w:val="26"/>
          <w:lang w:eastAsia="zh-CN"/>
        </w:rPr>
      </w:pPr>
    </w:p>
    <w:p>
      <w:pPr>
        <w:pStyle w:val="8"/>
        <w:rPr>
          <w:sz w:val="26"/>
          <w:lang w:eastAsia="zh-CN"/>
        </w:rPr>
      </w:pPr>
    </w:p>
    <w:p>
      <w:pPr>
        <w:pStyle w:val="8"/>
        <w:rPr>
          <w:sz w:val="26"/>
          <w:lang w:eastAsia="zh-CN"/>
        </w:rPr>
      </w:pPr>
    </w:p>
    <w:p>
      <w:pPr>
        <w:pStyle w:val="8"/>
        <w:rPr>
          <w:sz w:val="26"/>
          <w:lang w:eastAsia="zh-CN"/>
        </w:rPr>
      </w:pPr>
    </w:p>
    <w:p>
      <w:pPr>
        <w:pStyle w:val="8"/>
        <w:rPr>
          <w:sz w:val="26"/>
          <w:lang w:eastAsia="zh-CN"/>
        </w:rPr>
      </w:pPr>
    </w:p>
    <w:p>
      <w:pPr>
        <w:pStyle w:val="8"/>
        <w:rPr>
          <w:sz w:val="26"/>
          <w:lang w:eastAsia="zh-CN"/>
        </w:rPr>
      </w:pPr>
    </w:p>
    <w:p>
      <w:pPr>
        <w:pStyle w:val="8"/>
        <w:rPr>
          <w:sz w:val="26"/>
          <w:lang w:eastAsia="zh-CN"/>
        </w:rPr>
      </w:pPr>
    </w:p>
    <w:p>
      <w:pPr>
        <w:pStyle w:val="8"/>
        <w:spacing w:before="4"/>
        <w:rPr>
          <w:sz w:val="29"/>
          <w:lang w:eastAsia="zh-CN"/>
        </w:rPr>
      </w:pPr>
    </w:p>
    <w:p>
      <w:pPr>
        <w:pStyle w:val="4"/>
        <w:ind w:left="27"/>
        <w:jc w:val="center"/>
        <w:rPr>
          <w:lang w:eastAsia="zh-CN"/>
        </w:rPr>
      </w:pPr>
    </w:p>
    <w:p>
      <w:pPr>
        <w:pStyle w:val="4"/>
        <w:ind w:left="27"/>
        <w:jc w:val="center"/>
        <w:rPr>
          <w:lang w:eastAsia="zh-CN"/>
        </w:rPr>
      </w:pPr>
    </w:p>
    <w:p>
      <w:pPr>
        <w:pStyle w:val="4"/>
        <w:ind w:left="27"/>
        <w:jc w:val="center"/>
        <w:rPr>
          <w:lang w:eastAsia="zh-CN"/>
        </w:rPr>
      </w:pPr>
      <w:r>
        <w:rPr>
          <w:lang w:eastAsia="zh-CN"/>
        </w:rPr>
        <w:t>营业执照（复印件）</w:t>
      </w:r>
    </w:p>
    <w:p>
      <w:pPr>
        <w:jc w:val="center"/>
        <w:rPr>
          <w:lang w:eastAsia="zh-CN"/>
        </w:rPr>
        <w:sectPr>
          <w:pgSz w:w="12240" w:h="15840"/>
          <w:pgMar w:top="1380" w:right="840" w:bottom="960" w:left="820" w:header="953" w:footer="761" w:gutter="0"/>
          <w:pgNumType w:fmt="decimal"/>
          <w:cols w:space="720" w:num="1"/>
        </w:sectPr>
      </w:pPr>
    </w:p>
    <w:p>
      <w:pPr>
        <w:pStyle w:val="8"/>
        <w:rPr>
          <w:b/>
          <w:sz w:val="20"/>
          <w:lang w:eastAsia="zh-CN"/>
        </w:rPr>
      </w:pPr>
    </w:p>
    <w:p>
      <w:pPr>
        <w:pStyle w:val="8"/>
        <w:rPr>
          <w:b/>
          <w:sz w:val="20"/>
          <w:lang w:eastAsia="zh-CN"/>
        </w:rPr>
      </w:pPr>
    </w:p>
    <w:p>
      <w:pPr>
        <w:pStyle w:val="8"/>
        <w:rPr>
          <w:b/>
          <w:sz w:val="20"/>
          <w:lang w:eastAsia="zh-CN"/>
        </w:rPr>
      </w:pPr>
    </w:p>
    <w:p>
      <w:pPr>
        <w:pStyle w:val="8"/>
        <w:rPr>
          <w:b/>
          <w:sz w:val="20"/>
          <w:lang w:eastAsia="zh-CN"/>
        </w:rPr>
      </w:pPr>
    </w:p>
    <w:p>
      <w:pPr>
        <w:pStyle w:val="8"/>
        <w:rPr>
          <w:b/>
          <w:sz w:val="20"/>
          <w:lang w:eastAsia="zh-CN"/>
        </w:rPr>
      </w:pPr>
    </w:p>
    <w:p>
      <w:pPr>
        <w:pStyle w:val="8"/>
        <w:rPr>
          <w:b/>
          <w:sz w:val="20"/>
          <w:lang w:eastAsia="zh-CN"/>
        </w:rPr>
      </w:pPr>
    </w:p>
    <w:p>
      <w:pPr>
        <w:pStyle w:val="8"/>
        <w:rPr>
          <w:b/>
          <w:sz w:val="20"/>
          <w:lang w:eastAsia="zh-CN"/>
        </w:rPr>
      </w:pPr>
    </w:p>
    <w:p>
      <w:pPr>
        <w:pStyle w:val="8"/>
        <w:rPr>
          <w:b/>
          <w:sz w:val="20"/>
          <w:lang w:eastAsia="zh-CN"/>
        </w:rPr>
      </w:pPr>
    </w:p>
    <w:p>
      <w:pPr>
        <w:pStyle w:val="8"/>
        <w:rPr>
          <w:b/>
          <w:sz w:val="20"/>
          <w:lang w:eastAsia="zh-CN"/>
        </w:rPr>
      </w:pPr>
    </w:p>
    <w:p>
      <w:pPr>
        <w:pStyle w:val="8"/>
        <w:rPr>
          <w:b/>
          <w:sz w:val="20"/>
          <w:lang w:eastAsia="zh-CN"/>
        </w:rPr>
      </w:pPr>
    </w:p>
    <w:p>
      <w:pPr>
        <w:pStyle w:val="8"/>
        <w:rPr>
          <w:b/>
          <w:sz w:val="21"/>
          <w:lang w:eastAsia="zh-CN"/>
        </w:rPr>
      </w:pPr>
    </w:p>
    <w:p>
      <w:pPr>
        <w:pStyle w:val="4"/>
        <w:spacing w:before="66"/>
        <w:ind w:left="24"/>
        <w:jc w:val="center"/>
        <w:rPr>
          <w:lang w:eastAsia="zh-CN"/>
        </w:rPr>
      </w:pPr>
      <w:r>
        <w:rPr>
          <w:lang w:eastAsia="zh-CN"/>
        </w:rPr>
        <w:t>资质证书复印件</w:t>
      </w:r>
    </w:p>
    <w:p>
      <w:pPr>
        <w:pStyle w:val="8"/>
        <w:rPr>
          <w:b/>
          <w:lang w:eastAsia="zh-CN"/>
        </w:rPr>
      </w:pPr>
    </w:p>
    <w:p>
      <w:pPr>
        <w:pStyle w:val="8"/>
        <w:rPr>
          <w:b/>
          <w:lang w:eastAsia="zh-CN"/>
        </w:rPr>
      </w:pPr>
    </w:p>
    <w:p>
      <w:pPr>
        <w:pStyle w:val="8"/>
        <w:rPr>
          <w:b/>
          <w:lang w:eastAsia="zh-CN"/>
        </w:rPr>
      </w:pPr>
    </w:p>
    <w:p>
      <w:pPr>
        <w:pStyle w:val="8"/>
        <w:rPr>
          <w:b/>
          <w:lang w:eastAsia="zh-CN"/>
        </w:rPr>
      </w:pPr>
    </w:p>
    <w:p>
      <w:pPr>
        <w:pStyle w:val="8"/>
        <w:rPr>
          <w:b/>
          <w:lang w:eastAsia="zh-CN"/>
        </w:rPr>
      </w:pPr>
    </w:p>
    <w:p>
      <w:pPr>
        <w:pStyle w:val="8"/>
        <w:rPr>
          <w:b/>
          <w:lang w:eastAsia="zh-CN"/>
        </w:rPr>
      </w:pPr>
    </w:p>
    <w:p>
      <w:pPr>
        <w:pStyle w:val="8"/>
        <w:rPr>
          <w:b/>
          <w:lang w:eastAsia="zh-CN"/>
        </w:rPr>
      </w:pPr>
    </w:p>
    <w:p>
      <w:pPr>
        <w:pStyle w:val="8"/>
        <w:rPr>
          <w:b/>
          <w:lang w:eastAsia="zh-CN"/>
        </w:rPr>
      </w:pPr>
    </w:p>
    <w:p>
      <w:pPr>
        <w:pStyle w:val="8"/>
        <w:spacing w:before="7"/>
        <w:rPr>
          <w:b/>
          <w:sz w:val="27"/>
          <w:lang w:eastAsia="zh-CN"/>
        </w:rPr>
      </w:pPr>
    </w:p>
    <w:p>
      <w:pPr>
        <w:pStyle w:val="4"/>
        <w:ind w:left="22"/>
        <w:jc w:val="center"/>
        <w:rPr>
          <w:lang w:eastAsia="zh-CN"/>
        </w:rPr>
      </w:pPr>
      <w:r>
        <w:rPr>
          <w:lang w:eastAsia="zh-CN"/>
        </w:rPr>
        <w:t>完税证明</w:t>
      </w:r>
    </w:p>
    <w:p>
      <w:pPr>
        <w:pStyle w:val="8"/>
        <w:rPr>
          <w:b/>
          <w:lang w:eastAsia="zh-CN"/>
        </w:rPr>
      </w:pPr>
    </w:p>
    <w:p>
      <w:pPr>
        <w:pStyle w:val="8"/>
        <w:rPr>
          <w:b/>
          <w:lang w:eastAsia="zh-CN"/>
        </w:rPr>
      </w:pPr>
    </w:p>
    <w:p>
      <w:pPr>
        <w:pStyle w:val="8"/>
        <w:rPr>
          <w:b/>
          <w:lang w:eastAsia="zh-CN"/>
        </w:rPr>
      </w:pPr>
    </w:p>
    <w:p>
      <w:pPr>
        <w:pStyle w:val="8"/>
        <w:rPr>
          <w:b/>
          <w:lang w:eastAsia="zh-CN"/>
        </w:rPr>
      </w:pPr>
    </w:p>
    <w:p>
      <w:pPr>
        <w:pStyle w:val="8"/>
        <w:rPr>
          <w:b/>
          <w:lang w:eastAsia="zh-CN"/>
        </w:rPr>
      </w:pPr>
    </w:p>
    <w:p>
      <w:pPr>
        <w:pStyle w:val="8"/>
        <w:rPr>
          <w:b/>
          <w:lang w:eastAsia="zh-CN"/>
        </w:rPr>
      </w:pPr>
    </w:p>
    <w:p>
      <w:pPr>
        <w:pStyle w:val="8"/>
        <w:rPr>
          <w:b/>
          <w:lang w:eastAsia="zh-CN"/>
        </w:rPr>
      </w:pPr>
    </w:p>
    <w:p>
      <w:pPr>
        <w:pStyle w:val="8"/>
        <w:rPr>
          <w:b/>
          <w:lang w:eastAsia="zh-CN"/>
        </w:rPr>
      </w:pPr>
    </w:p>
    <w:p>
      <w:pPr>
        <w:pStyle w:val="8"/>
        <w:spacing w:before="9"/>
        <w:rPr>
          <w:b/>
          <w:lang w:eastAsia="zh-CN"/>
        </w:rPr>
      </w:pPr>
    </w:p>
    <w:p>
      <w:pPr>
        <w:pStyle w:val="4"/>
        <w:ind w:left="447"/>
        <w:jc w:val="center"/>
        <w:rPr>
          <w:lang w:eastAsia="zh-CN"/>
        </w:rPr>
      </w:pPr>
      <w:r>
        <w:rPr>
          <w:lang w:eastAsia="zh-CN"/>
        </w:rPr>
        <w:t>财务审计报告（复印件）</w:t>
      </w:r>
    </w:p>
    <w:p>
      <w:pPr>
        <w:jc w:val="center"/>
        <w:rPr>
          <w:lang w:eastAsia="zh-CN"/>
        </w:rPr>
        <w:sectPr>
          <w:pgSz w:w="12240" w:h="15840"/>
          <w:pgMar w:top="1380" w:right="840" w:bottom="960" w:left="820" w:header="953" w:footer="761" w:gutter="0"/>
          <w:pgNumType w:fmt="decimal"/>
          <w:cols w:space="720" w:num="1"/>
        </w:sectPr>
      </w:pPr>
    </w:p>
    <w:p>
      <w:pPr>
        <w:pStyle w:val="4"/>
        <w:spacing w:before="138"/>
        <w:ind w:left="3380"/>
        <w:rPr>
          <w:lang w:eastAsia="zh-CN"/>
        </w:rPr>
      </w:pPr>
      <w:r>
        <w:rPr>
          <w:lang w:eastAsia="zh-CN"/>
        </w:rPr>
        <w:t>（六）节能、环保产品证明（如有）</w:t>
      </w:r>
    </w:p>
    <w:p>
      <w:pPr>
        <w:pStyle w:val="8"/>
        <w:rPr>
          <w:b/>
          <w:lang w:eastAsia="zh-CN"/>
        </w:rPr>
      </w:pPr>
    </w:p>
    <w:p>
      <w:pPr>
        <w:pStyle w:val="8"/>
        <w:rPr>
          <w:b/>
          <w:lang w:eastAsia="zh-CN"/>
        </w:rPr>
      </w:pPr>
    </w:p>
    <w:p>
      <w:pPr>
        <w:pStyle w:val="8"/>
        <w:spacing w:before="8"/>
        <w:rPr>
          <w:b/>
          <w:sz w:val="21"/>
          <w:lang w:eastAsia="zh-CN"/>
        </w:rPr>
      </w:pPr>
    </w:p>
    <w:p>
      <w:pPr>
        <w:pStyle w:val="8"/>
        <w:tabs>
          <w:tab w:val="left" w:pos="1819"/>
          <w:tab w:val="left" w:pos="4219"/>
        </w:tabs>
        <w:ind w:left="260"/>
        <w:rPr>
          <w:lang w:eastAsia="zh-CN"/>
        </w:rPr>
      </w:pPr>
      <w:r>
        <w:rPr>
          <w:lang w:eastAsia="zh-CN"/>
        </w:rPr>
        <w:t>致：</w:t>
      </w:r>
      <w:r>
        <w:rPr>
          <w:u w:val="single"/>
          <w:lang w:eastAsia="zh-CN"/>
        </w:rPr>
        <w:t xml:space="preserve"> </w:t>
      </w:r>
      <w:r>
        <w:rPr>
          <w:u w:val="single"/>
          <w:lang w:eastAsia="zh-CN"/>
        </w:rPr>
        <w:tab/>
      </w:r>
      <w:r>
        <w:rPr>
          <w:u w:val="single"/>
          <w:lang w:eastAsia="zh-CN"/>
        </w:rPr>
        <w:t>采购人名称</w:t>
      </w:r>
      <w:r>
        <w:rPr>
          <w:u w:val="single"/>
          <w:lang w:eastAsia="zh-CN"/>
        </w:rPr>
        <w:tab/>
      </w:r>
      <w:r>
        <w:rPr>
          <w:lang w:eastAsia="zh-CN"/>
        </w:rPr>
        <w:t>：</w:t>
      </w:r>
    </w:p>
    <w:p>
      <w:pPr>
        <w:pStyle w:val="8"/>
        <w:spacing w:before="7"/>
        <w:rPr>
          <w:sz w:val="38"/>
          <w:lang w:eastAsia="zh-CN"/>
        </w:rPr>
      </w:pPr>
    </w:p>
    <w:p>
      <w:pPr>
        <w:pStyle w:val="8"/>
        <w:tabs>
          <w:tab w:val="left" w:pos="2539"/>
        </w:tabs>
        <w:spacing w:before="1" w:line="312" w:lineRule="auto"/>
        <w:ind w:left="260" w:right="239" w:firstLine="480"/>
        <w:jc w:val="both"/>
        <w:rPr>
          <w:lang w:eastAsia="zh-CN"/>
        </w:rPr>
      </w:pPr>
      <w:r>
        <w:rPr>
          <w:lang w:eastAsia="zh-CN"/>
        </w:rPr>
        <w:t>现附上</w:t>
      </w:r>
      <w:r>
        <w:rPr>
          <w:u w:val="single"/>
          <w:lang w:eastAsia="zh-CN"/>
        </w:rPr>
        <w:t xml:space="preserve"> </w:t>
      </w:r>
      <w:r>
        <w:rPr>
          <w:u w:val="single"/>
          <w:lang w:eastAsia="zh-CN"/>
        </w:rPr>
        <w:tab/>
      </w:r>
      <w:r>
        <w:rPr>
          <w:u w:val="single"/>
          <w:lang w:eastAsia="zh-CN"/>
        </w:rPr>
        <w:t xml:space="preserve">（节能、环保产品产品目录）        </w:t>
      </w:r>
      <w:r>
        <w:rPr>
          <w:lang w:eastAsia="zh-CN"/>
        </w:rPr>
        <w:t>证明文件（可在</w:t>
      </w:r>
      <w:r>
        <w:rPr>
          <w:u w:val="single"/>
          <w:lang w:eastAsia="zh-CN"/>
        </w:rPr>
        <w:t xml:space="preserve"> 网站名称 </w:t>
      </w:r>
      <w:r>
        <w:rPr>
          <w:lang w:eastAsia="zh-CN"/>
        </w:rPr>
        <w:t>网站</w:t>
      </w:r>
      <w:r>
        <w:rPr>
          <w:spacing w:val="-18"/>
          <w:lang w:eastAsia="zh-CN"/>
        </w:rPr>
        <w:t>进</w:t>
      </w:r>
      <w:r>
        <w:rPr>
          <w:lang w:eastAsia="zh-CN"/>
        </w:rPr>
        <w:t>行查询）复印件，该证件真实有效。</w:t>
      </w:r>
    </w:p>
    <w:p>
      <w:pPr>
        <w:pStyle w:val="8"/>
        <w:rPr>
          <w:lang w:eastAsia="zh-CN"/>
        </w:rPr>
      </w:pPr>
    </w:p>
    <w:p>
      <w:pPr>
        <w:pStyle w:val="8"/>
        <w:rPr>
          <w:lang w:eastAsia="zh-CN"/>
        </w:rPr>
      </w:pPr>
    </w:p>
    <w:p>
      <w:pPr>
        <w:pStyle w:val="8"/>
        <w:rPr>
          <w:lang w:eastAsia="zh-CN"/>
        </w:rPr>
      </w:pPr>
    </w:p>
    <w:p>
      <w:pPr>
        <w:pStyle w:val="8"/>
        <w:rPr>
          <w:lang w:eastAsia="zh-CN"/>
        </w:rPr>
      </w:pPr>
    </w:p>
    <w:p>
      <w:pPr>
        <w:pStyle w:val="8"/>
        <w:spacing w:before="11"/>
        <w:rPr>
          <w:sz w:val="28"/>
          <w:lang w:eastAsia="zh-CN"/>
        </w:rPr>
      </w:pPr>
    </w:p>
    <w:p>
      <w:pPr>
        <w:pStyle w:val="4"/>
        <w:spacing w:line="312" w:lineRule="auto"/>
        <w:ind w:right="199" w:firstLine="480"/>
        <w:jc w:val="both"/>
        <w:rPr>
          <w:lang w:eastAsia="zh-CN"/>
        </w:rPr>
      </w:pPr>
      <w:r>
        <w:rPr>
          <w:spacing w:val="-6"/>
          <w:lang w:eastAsia="zh-CN"/>
        </w:rPr>
        <w:t>注：节能、环保产品须提供“财政部、国家发展改革委公布的节能、环保产品清单目录”并在有效期内的复印件或影印件，并能在供应商提供的网站上查询到相关内容（</w:t>
      </w:r>
      <w:r>
        <w:rPr>
          <w:spacing w:val="-7"/>
          <w:lang w:eastAsia="zh-CN"/>
        </w:rPr>
        <w:t xml:space="preserve">未提供查询网站， </w:t>
      </w:r>
      <w:r>
        <w:rPr>
          <w:spacing w:val="-1"/>
          <w:lang w:eastAsia="zh-CN"/>
        </w:rPr>
        <w:t>或在其提供的查询网站上查询不到相关内容的，将不予认可</w:t>
      </w:r>
      <w:r>
        <w:rPr>
          <w:spacing w:val="-10"/>
          <w:lang w:eastAsia="zh-CN"/>
        </w:rPr>
        <w:t>），</w:t>
      </w:r>
      <w:r>
        <w:rPr>
          <w:spacing w:val="-1"/>
          <w:lang w:eastAsia="zh-CN"/>
        </w:rPr>
        <w:t>由供应商加盖公章并注明“与原件一致”。</w:t>
      </w:r>
    </w:p>
    <w:p>
      <w:pPr>
        <w:pStyle w:val="8"/>
        <w:rPr>
          <w:b/>
          <w:lang w:eastAsia="zh-CN"/>
        </w:rPr>
      </w:pPr>
    </w:p>
    <w:p>
      <w:pPr>
        <w:pStyle w:val="8"/>
        <w:rPr>
          <w:b/>
          <w:lang w:eastAsia="zh-CN"/>
        </w:rPr>
      </w:pPr>
    </w:p>
    <w:p>
      <w:pPr>
        <w:pStyle w:val="8"/>
        <w:rPr>
          <w:b/>
          <w:lang w:eastAsia="zh-CN"/>
        </w:rPr>
      </w:pPr>
    </w:p>
    <w:p>
      <w:pPr>
        <w:pStyle w:val="8"/>
        <w:rPr>
          <w:b/>
          <w:lang w:eastAsia="zh-CN"/>
        </w:rPr>
      </w:pPr>
    </w:p>
    <w:p>
      <w:pPr>
        <w:pStyle w:val="8"/>
        <w:rPr>
          <w:b/>
          <w:lang w:eastAsia="zh-CN"/>
        </w:rPr>
      </w:pPr>
    </w:p>
    <w:p>
      <w:pPr>
        <w:pStyle w:val="8"/>
        <w:rPr>
          <w:b/>
          <w:lang w:eastAsia="zh-CN"/>
        </w:rPr>
      </w:pPr>
    </w:p>
    <w:p>
      <w:pPr>
        <w:pStyle w:val="8"/>
        <w:spacing w:before="4"/>
        <w:rPr>
          <w:b/>
          <w:sz w:val="25"/>
          <w:lang w:eastAsia="zh-CN"/>
        </w:rPr>
      </w:pPr>
    </w:p>
    <w:p>
      <w:pPr>
        <w:pStyle w:val="8"/>
        <w:tabs>
          <w:tab w:val="left" w:pos="10399"/>
        </w:tabs>
        <w:ind w:left="5180"/>
        <w:rPr>
          <w:rFonts w:ascii="Times New Roman" w:eastAsia="Times New Roman"/>
          <w:lang w:eastAsia="zh-CN"/>
        </w:rPr>
      </w:pPr>
      <w:r>
        <w:rPr>
          <w:lang w:eastAsia="zh-CN"/>
        </w:rPr>
        <w:t>供应商（加盖公章）：</w:t>
      </w:r>
      <w:r>
        <w:rPr>
          <w:rFonts w:ascii="Times New Roman" w:eastAsia="Times New Roman"/>
          <w:u w:val="single"/>
          <w:lang w:eastAsia="zh-CN"/>
        </w:rPr>
        <w:t xml:space="preserve"> </w:t>
      </w:r>
      <w:r>
        <w:rPr>
          <w:rFonts w:ascii="Times New Roman" w:eastAsia="Times New Roman"/>
          <w:u w:val="single"/>
          <w:lang w:eastAsia="zh-CN"/>
        </w:rPr>
        <w:tab/>
      </w:r>
    </w:p>
    <w:p>
      <w:pPr>
        <w:pStyle w:val="8"/>
        <w:spacing w:before="5"/>
        <w:rPr>
          <w:rFonts w:ascii="Times New Roman"/>
          <w:sz w:val="29"/>
          <w:lang w:eastAsia="zh-CN"/>
        </w:rPr>
      </w:pPr>
    </w:p>
    <w:p>
      <w:pPr>
        <w:pStyle w:val="8"/>
        <w:tabs>
          <w:tab w:val="left" w:pos="10399"/>
        </w:tabs>
        <w:spacing w:before="74"/>
        <w:ind w:left="5180"/>
        <w:rPr>
          <w:rFonts w:ascii="Times New Roman" w:eastAsia="Times New Roman"/>
          <w:lang w:eastAsia="zh-CN"/>
        </w:rPr>
      </w:pPr>
      <w:r>
        <w:rPr>
          <w:rFonts w:hint="eastAsia"/>
          <w:lang w:val="en-US" w:eastAsia="zh-CN"/>
        </w:rPr>
        <w:t>法定代表人（签字及盖章）</w:t>
      </w:r>
      <w:r>
        <w:rPr>
          <w:lang w:eastAsia="zh-CN"/>
        </w:rPr>
        <w:t>：</w:t>
      </w:r>
      <w:r>
        <w:rPr>
          <w:rFonts w:ascii="Times New Roman" w:eastAsia="Times New Roman"/>
          <w:u w:val="single"/>
          <w:lang w:eastAsia="zh-CN"/>
        </w:rPr>
        <w:t xml:space="preserve"> </w:t>
      </w:r>
      <w:r>
        <w:rPr>
          <w:rFonts w:ascii="Times New Roman" w:eastAsia="Times New Roman"/>
          <w:u w:val="single"/>
          <w:lang w:eastAsia="zh-CN"/>
        </w:rPr>
        <w:tab/>
      </w:r>
    </w:p>
    <w:p>
      <w:pPr>
        <w:pStyle w:val="8"/>
        <w:rPr>
          <w:rFonts w:ascii="Times New Roman"/>
          <w:sz w:val="20"/>
          <w:lang w:eastAsia="zh-CN"/>
        </w:rPr>
      </w:pPr>
    </w:p>
    <w:p>
      <w:pPr>
        <w:pStyle w:val="8"/>
        <w:tabs>
          <w:tab w:val="left" w:pos="6019"/>
          <w:tab w:val="left" w:pos="7819"/>
          <w:tab w:val="left" w:pos="8659"/>
          <w:tab w:val="left" w:pos="9379"/>
        </w:tabs>
        <w:spacing w:before="197"/>
        <w:ind w:left="5180"/>
        <w:rPr>
          <w:lang w:eastAsia="zh-CN"/>
        </w:rPr>
      </w:pPr>
      <w:r>
        <w:rPr>
          <w:lang w:eastAsia="zh-CN"/>
        </w:rPr>
        <w:t>日</w:t>
      </w:r>
      <w:r>
        <w:rPr>
          <w:lang w:eastAsia="zh-CN"/>
        </w:rPr>
        <w:tab/>
      </w:r>
      <w:r>
        <w:rPr>
          <w:lang w:eastAsia="zh-CN"/>
        </w:rPr>
        <w:t>期：</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pPr>
        <w:rPr>
          <w:lang w:eastAsia="zh-CN"/>
        </w:rPr>
        <w:sectPr>
          <w:pgSz w:w="12240" w:h="15840"/>
          <w:pgMar w:top="1380" w:right="840" w:bottom="960" w:left="820" w:header="953" w:footer="761" w:gutter="0"/>
          <w:pgNumType w:fmt="decimal"/>
          <w:cols w:space="720" w:num="1"/>
        </w:sectPr>
      </w:pPr>
    </w:p>
    <w:p>
      <w:pPr>
        <w:spacing w:line="480" w:lineRule="exact"/>
        <w:rPr>
          <w:rFonts w:hint="eastAsia" w:ascii="宋体" w:hAnsi="宋体" w:eastAsia="宋体" w:cs="宋体"/>
          <w:color w:val="auto"/>
          <w:sz w:val="24"/>
          <w:highlight w:val="none"/>
          <w:u w:val="none"/>
          <w:lang w:val="en-US" w:eastAsia="zh-CN"/>
        </w:rPr>
      </w:pPr>
      <w:r>
        <w:rPr>
          <w:rFonts w:hint="eastAsia" w:ascii="宋体" w:hAnsi="宋体" w:eastAsia="宋体" w:cs="宋体"/>
          <w:color w:val="000000"/>
          <w:spacing w:val="6"/>
          <w:szCs w:val="21"/>
        </w:rPr>
        <w:t>附：（注：本声明函对中小企业参与政府采购活动时适用）</w:t>
      </w:r>
    </w:p>
    <w:p>
      <w:pPr>
        <w:pStyle w:val="3"/>
        <w:spacing w:line="480" w:lineRule="exact"/>
        <w:jc w:val="center"/>
        <w:rPr>
          <w:rFonts w:hint="eastAsia" w:ascii="宋体" w:hAnsi="宋体" w:eastAsia="宋体" w:cs="宋体"/>
          <w:b/>
          <w:color w:val="000000"/>
          <w:sz w:val="24"/>
          <w:szCs w:val="24"/>
          <w:lang w:eastAsia="zh-CN"/>
        </w:rPr>
      </w:pPr>
      <w:r>
        <w:rPr>
          <w:sz w:val="24"/>
          <w:szCs w:val="24"/>
          <w:lang w:eastAsia="zh-CN"/>
        </w:rPr>
        <w:t>（</w:t>
      </w:r>
      <w:r>
        <w:rPr>
          <w:rFonts w:hint="eastAsia"/>
          <w:sz w:val="24"/>
          <w:szCs w:val="24"/>
          <w:lang w:val="en-US" w:eastAsia="zh-CN"/>
        </w:rPr>
        <w:t>七</w:t>
      </w:r>
      <w:r>
        <w:rPr>
          <w:sz w:val="24"/>
          <w:szCs w:val="24"/>
          <w:lang w:eastAsia="zh-CN"/>
        </w:rPr>
        <w:t>）</w:t>
      </w:r>
      <w:r>
        <w:rPr>
          <w:rFonts w:hint="eastAsia" w:ascii="宋体" w:hAnsi="宋体" w:eastAsia="宋体" w:cs="宋体"/>
          <w:b/>
          <w:color w:val="000000"/>
          <w:sz w:val="24"/>
          <w:szCs w:val="24"/>
          <w:lang w:eastAsia="zh-CN"/>
        </w:rPr>
        <w:t>中小企业声明函（货物）</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kern w:val="0"/>
          <w:sz w:val="24"/>
          <w:szCs w:val="24"/>
          <w:highlight w:val="none"/>
        </w:rPr>
        <w:t>本公司（联合体）郑重声明，根据《政府采购促进中小企业发展管理办法》（财库﹝2020﹞46号）的规定，本公司（联合体）参加</w:t>
      </w:r>
      <w:r>
        <w:rPr>
          <w:rFonts w:hint="eastAsia" w:ascii="宋体" w:hAnsi="宋体" w:eastAsia="宋体" w:cs="宋体"/>
          <w:i/>
          <w:color w:val="000000"/>
          <w:kern w:val="0"/>
          <w:sz w:val="24"/>
          <w:szCs w:val="24"/>
          <w:highlight w:val="none"/>
          <w:u w:val="single"/>
        </w:rPr>
        <w:t>（单位名称）</w:t>
      </w:r>
      <w:r>
        <w:rPr>
          <w:rFonts w:hint="eastAsia" w:ascii="宋体" w:hAnsi="宋体" w:eastAsia="宋体" w:cs="宋体"/>
          <w:color w:val="000000"/>
          <w:kern w:val="0"/>
          <w:sz w:val="24"/>
          <w:szCs w:val="24"/>
          <w:highlight w:val="none"/>
        </w:rPr>
        <w:t>的</w:t>
      </w:r>
      <w:r>
        <w:rPr>
          <w:rFonts w:hint="eastAsia" w:ascii="宋体" w:hAnsi="宋体" w:eastAsia="宋体" w:cs="宋体"/>
          <w:i/>
          <w:color w:val="000000"/>
          <w:kern w:val="0"/>
          <w:sz w:val="24"/>
          <w:szCs w:val="24"/>
          <w:highlight w:val="none"/>
          <w:u w:val="single"/>
        </w:rPr>
        <w:t>（项目名称）</w:t>
      </w:r>
      <w:r>
        <w:rPr>
          <w:rFonts w:hint="eastAsia" w:ascii="宋体" w:hAnsi="宋体" w:eastAsia="宋体" w:cs="宋体"/>
          <w:color w:val="000000"/>
          <w:kern w:val="0"/>
          <w:sz w:val="24"/>
          <w:szCs w:val="24"/>
          <w:highlight w:val="none"/>
        </w:rPr>
        <w:t>采购活动，提供的货物全部由符合政策要求的中小企业制造。相关企业（含联合体中的中小企业、签订分包意向协议的中小企业）的具体情况如下：</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kern w:val="0"/>
          <w:sz w:val="24"/>
          <w:szCs w:val="24"/>
          <w:highlight w:val="none"/>
        </w:rPr>
        <w:t>1.</w:t>
      </w:r>
      <w:r>
        <w:rPr>
          <w:rFonts w:hint="eastAsia" w:ascii="宋体" w:hAnsi="宋体" w:eastAsia="宋体" w:cs="宋体"/>
          <w:i/>
          <w:color w:val="000000"/>
          <w:kern w:val="0"/>
          <w:sz w:val="24"/>
          <w:szCs w:val="24"/>
          <w:highlight w:val="none"/>
          <w:u w:val="single"/>
        </w:rPr>
        <w:t>（标的名称）</w:t>
      </w:r>
      <w:r>
        <w:rPr>
          <w:rFonts w:hint="eastAsia" w:ascii="宋体" w:hAnsi="宋体" w:eastAsia="宋体" w:cs="宋体"/>
          <w:color w:val="000000"/>
          <w:kern w:val="0"/>
          <w:sz w:val="24"/>
          <w:szCs w:val="24"/>
          <w:highlight w:val="none"/>
        </w:rPr>
        <w:t>，属于</w:t>
      </w:r>
      <w:r>
        <w:rPr>
          <w:rFonts w:hint="eastAsia" w:ascii="宋体" w:hAnsi="宋体" w:eastAsia="宋体" w:cs="宋体"/>
          <w:i/>
          <w:color w:val="000000"/>
          <w:kern w:val="0"/>
          <w:sz w:val="24"/>
          <w:szCs w:val="24"/>
          <w:highlight w:val="none"/>
          <w:u w:val="single"/>
        </w:rPr>
        <w:t>（采购文件中明确的所属行业）行业</w:t>
      </w:r>
      <w:r>
        <w:rPr>
          <w:rFonts w:hint="eastAsia" w:ascii="宋体" w:hAnsi="宋体" w:eastAsia="宋体" w:cs="宋体"/>
          <w:color w:val="000000"/>
          <w:kern w:val="0"/>
          <w:sz w:val="24"/>
          <w:szCs w:val="24"/>
          <w:highlight w:val="none"/>
        </w:rPr>
        <w:t>；制造商为</w:t>
      </w:r>
      <w:r>
        <w:rPr>
          <w:rFonts w:hint="eastAsia" w:ascii="宋体" w:hAnsi="宋体" w:eastAsia="宋体" w:cs="宋体"/>
          <w:i/>
          <w:color w:val="000000"/>
          <w:kern w:val="0"/>
          <w:sz w:val="24"/>
          <w:szCs w:val="24"/>
          <w:highlight w:val="none"/>
          <w:u w:val="single"/>
        </w:rPr>
        <w:t>（企业名称）</w:t>
      </w:r>
      <w:r>
        <w:rPr>
          <w:rFonts w:hint="eastAsia" w:ascii="宋体" w:hAnsi="宋体" w:eastAsia="宋体" w:cs="宋体"/>
          <w:color w:val="000000"/>
          <w:kern w:val="0"/>
          <w:sz w:val="24"/>
          <w:szCs w:val="24"/>
          <w:highlight w:val="none"/>
        </w:rPr>
        <w:t>，从业人员人，营业收入为万元，资产总额为万元，属于</w:t>
      </w:r>
      <w:r>
        <w:rPr>
          <w:rFonts w:hint="eastAsia" w:ascii="宋体" w:hAnsi="宋体" w:eastAsia="宋体" w:cs="宋体"/>
          <w:i/>
          <w:color w:val="000000"/>
          <w:kern w:val="0"/>
          <w:sz w:val="24"/>
          <w:szCs w:val="24"/>
          <w:highlight w:val="none"/>
          <w:u w:val="single"/>
        </w:rPr>
        <w:t>（中型企业、小型企业、微型企业）</w:t>
      </w:r>
      <w:r>
        <w:rPr>
          <w:rFonts w:hint="eastAsia" w:ascii="宋体" w:hAnsi="宋体" w:eastAsia="宋体" w:cs="宋体"/>
          <w:color w:val="000000"/>
          <w:kern w:val="0"/>
          <w:sz w:val="24"/>
          <w:szCs w:val="24"/>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kern w:val="0"/>
          <w:sz w:val="24"/>
          <w:szCs w:val="24"/>
          <w:highlight w:val="none"/>
        </w:rPr>
        <w:t>2.</w:t>
      </w:r>
      <w:r>
        <w:rPr>
          <w:rFonts w:hint="eastAsia" w:ascii="宋体" w:hAnsi="宋体" w:eastAsia="宋体" w:cs="宋体"/>
          <w:i/>
          <w:color w:val="000000"/>
          <w:kern w:val="0"/>
          <w:sz w:val="24"/>
          <w:szCs w:val="24"/>
          <w:highlight w:val="none"/>
          <w:u w:val="single"/>
        </w:rPr>
        <w:t>（标的名称）</w:t>
      </w:r>
      <w:r>
        <w:rPr>
          <w:rFonts w:hint="eastAsia" w:ascii="宋体" w:hAnsi="宋体" w:eastAsia="宋体" w:cs="宋体"/>
          <w:color w:val="000000"/>
          <w:kern w:val="0"/>
          <w:sz w:val="24"/>
          <w:szCs w:val="24"/>
          <w:highlight w:val="none"/>
        </w:rPr>
        <w:t>，属于</w:t>
      </w:r>
      <w:r>
        <w:rPr>
          <w:rFonts w:hint="eastAsia" w:ascii="宋体" w:hAnsi="宋体" w:eastAsia="宋体" w:cs="宋体"/>
          <w:i/>
          <w:color w:val="000000"/>
          <w:kern w:val="0"/>
          <w:sz w:val="24"/>
          <w:szCs w:val="24"/>
          <w:highlight w:val="none"/>
          <w:u w:val="single"/>
        </w:rPr>
        <w:t>（采购文件中明确的所属行业）行业</w:t>
      </w:r>
      <w:r>
        <w:rPr>
          <w:rFonts w:hint="eastAsia" w:ascii="宋体" w:hAnsi="宋体" w:eastAsia="宋体" w:cs="宋体"/>
          <w:color w:val="000000"/>
          <w:kern w:val="0"/>
          <w:sz w:val="24"/>
          <w:szCs w:val="24"/>
          <w:highlight w:val="none"/>
        </w:rPr>
        <w:t>；制造商为</w:t>
      </w:r>
      <w:r>
        <w:rPr>
          <w:rFonts w:hint="eastAsia" w:ascii="宋体" w:hAnsi="宋体" w:eastAsia="宋体" w:cs="宋体"/>
          <w:i/>
          <w:color w:val="000000"/>
          <w:kern w:val="0"/>
          <w:sz w:val="24"/>
          <w:szCs w:val="24"/>
          <w:highlight w:val="none"/>
          <w:u w:val="single"/>
        </w:rPr>
        <w:t>（企业名称）</w:t>
      </w:r>
      <w:r>
        <w:rPr>
          <w:rFonts w:hint="eastAsia" w:ascii="宋体" w:hAnsi="宋体" w:eastAsia="宋体" w:cs="宋体"/>
          <w:color w:val="000000"/>
          <w:kern w:val="0"/>
          <w:sz w:val="24"/>
          <w:szCs w:val="24"/>
          <w:highlight w:val="none"/>
        </w:rPr>
        <w:t>，从业人员人，营业收入为万元，资产总额为万元，属于</w:t>
      </w:r>
      <w:r>
        <w:rPr>
          <w:rFonts w:hint="eastAsia" w:ascii="宋体" w:hAnsi="宋体" w:eastAsia="宋体" w:cs="宋体"/>
          <w:i/>
          <w:color w:val="000000"/>
          <w:kern w:val="0"/>
          <w:sz w:val="24"/>
          <w:szCs w:val="24"/>
          <w:highlight w:val="none"/>
          <w:u w:val="single"/>
        </w:rPr>
        <w:t>（中型企业、小型企业、微型企业）</w:t>
      </w:r>
      <w:r>
        <w:rPr>
          <w:rFonts w:hint="eastAsia" w:ascii="宋体" w:hAnsi="宋体" w:eastAsia="宋体" w:cs="宋体"/>
          <w:color w:val="000000"/>
          <w:kern w:val="0"/>
          <w:sz w:val="24"/>
          <w:szCs w:val="24"/>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以上企业，不属于大企业的分支机构，不存在控股股东为大企业的情形，也不存在与大企业的负责人为同一人的情形。</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kern w:val="0"/>
          <w:sz w:val="24"/>
          <w:szCs w:val="24"/>
          <w:highlight w:val="none"/>
        </w:rPr>
        <w:t>本企业对上述声明内容的真实性负责。如有虚假，将依法承担相应责任。</w:t>
      </w:r>
    </w:p>
    <w:p>
      <w:pPr>
        <w:keepNext w:val="0"/>
        <w:keepLines w:val="0"/>
        <w:pageBreakBefore w:val="0"/>
        <w:widowControl/>
        <w:kinsoku/>
        <w:wordWrap/>
        <w:overflowPunct/>
        <w:topLinePunct w:val="0"/>
        <w:autoSpaceDE/>
        <w:autoSpaceDN/>
        <w:bidi w:val="0"/>
        <w:adjustRightInd/>
        <w:snapToGrid/>
        <w:spacing w:line="360" w:lineRule="auto"/>
        <w:ind w:firstLine="3360" w:firstLineChars="1400"/>
        <w:jc w:val="left"/>
        <w:textAlignment w:val="auto"/>
        <w:rPr>
          <w:rFonts w:hint="eastAsia" w:ascii="宋体" w:hAnsi="宋体" w:eastAsia="宋体" w:cs="宋体"/>
          <w:color w:val="000000"/>
          <w:sz w:val="24"/>
          <w:szCs w:val="24"/>
          <w:highlight w:val="none"/>
          <w:u w:val="single"/>
          <w:lang w:eastAsia="zh-CN"/>
        </w:rPr>
      </w:pPr>
      <w:r>
        <w:rPr>
          <w:rFonts w:hint="eastAsia" w:ascii="宋体" w:hAnsi="宋体" w:eastAsia="宋体" w:cs="宋体"/>
          <w:color w:val="000000"/>
          <w:kern w:val="0"/>
          <w:sz w:val="24"/>
          <w:szCs w:val="24"/>
          <w:highlight w:val="none"/>
        </w:rPr>
        <w:t>企业名称（盖章）：</w:t>
      </w:r>
    </w:p>
    <w:p>
      <w:pPr>
        <w:keepNext w:val="0"/>
        <w:keepLines w:val="0"/>
        <w:pageBreakBefore w:val="0"/>
        <w:widowControl/>
        <w:kinsoku/>
        <w:wordWrap/>
        <w:overflowPunct/>
        <w:topLinePunct w:val="0"/>
        <w:autoSpaceDE/>
        <w:autoSpaceDN/>
        <w:bidi w:val="0"/>
        <w:adjustRightInd/>
        <w:snapToGrid/>
        <w:spacing w:line="360" w:lineRule="auto"/>
        <w:ind w:firstLine="3360" w:firstLineChars="1400"/>
        <w:jc w:val="left"/>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日期：</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注</w:t>
      </w:r>
      <w:r>
        <w:rPr>
          <w:rFonts w:hint="eastAsia" w:ascii="宋体" w:hAnsi="宋体" w:eastAsia="宋体" w:cs="宋体"/>
          <w:color w:val="000000"/>
          <w:kern w:val="0"/>
          <w:sz w:val="24"/>
          <w:szCs w:val="24"/>
          <w:highlight w:val="none"/>
        </w:rPr>
        <w:t>：从业人员、营业收入、资产总额填报上一年度数据，无上一年度数据的新成立企业可不填报。</w:t>
      </w:r>
    </w:p>
    <w:p>
      <w:pPr>
        <w:pStyle w:val="29"/>
        <w:numPr>
          <w:ilvl w:val="0"/>
          <w:numId w:val="0"/>
        </w:numPr>
        <w:tabs>
          <w:tab w:val="left" w:pos="425"/>
          <w:tab w:val="left" w:pos="709"/>
          <w:tab w:val="clear" w:pos="1110"/>
        </w:tabs>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rPr>
        <w:t>注</w:t>
      </w:r>
      <w:r>
        <w:rPr>
          <w:rFonts w:hint="eastAsia" w:ascii="宋体" w:hAnsi="宋体" w:eastAsia="宋体" w:cs="宋体"/>
          <w:color w:val="000000"/>
          <w:kern w:val="0"/>
          <w:sz w:val="24"/>
          <w:szCs w:val="24"/>
          <w:highlight w:val="none"/>
        </w:rPr>
        <w:t>：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4"/>
        <w:spacing w:before="59"/>
        <w:ind w:left="2660"/>
        <w:rPr>
          <w:sz w:val="24"/>
          <w:szCs w:val="24"/>
          <w:lang w:eastAsia="zh-CN"/>
        </w:rPr>
      </w:pPr>
    </w:p>
    <w:p>
      <w:pPr>
        <w:pStyle w:val="4"/>
        <w:spacing w:before="59"/>
        <w:ind w:left="2660"/>
        <w:rPr>
          <w:lang w:eastAsia="zh-CN"/>
        </w:rPr>
      </w:pPr>
    </w:p>
    <w:p>
      <w:pPr>
        <w:pStyle w:val="4"/>
        <w:spacing w:before="59"/>
        <w:ind w:left="2660"/>
        <w:rPr>
          <w:lang w:eastAsia="zh-CN"/>
        </w:rPr>
      </w:pPr>
    </w:p>
    <w:p>
      <w:pPr>
        <w:pStyle w:val="4"/>
        <w:spacing w:before="59"/>
        <w:ind w:left="2660"/>
        <w:rPr>
          <w:lang w:eastAsia="zh-CN"/>
        </w:rPr>
      </w:pPr>
    </w:p>
    <w:p>
      <w:pPr>
        <w:rPr>
          <w:lang w:eastAsia="zh-CN"/>
        </w:rPr>
      </w:pPr>
    </w:p>
    <w:p>
      <w:pPr>
        <w:pStyle w:val="2"/>
        <w:rPr>
          <w:lang w:eastAsia="zh-CN"/>
        </w:rPr>
      </w:pPr>
    </w:p>
    <w:p>
      <w:pPr>
        <w:rPr>
          <w:lang w:eastAsia="zh-CN"/>
        </w:rPr>
      </w:pPr>
    </w:p>
    <w:p>
      <w:pPr>
        <w:pStyle w:val="2"/>
        <w:rPr>
          <w:lang w:eastAsia="zh-CN"/>
        </w:rPr>
      </w:pPr>
    </w:p>
    <w:p>
      <w:pPr>
        <w:jc w:val="center"/>
        <w:rPr>
          <w:rFonts w:hint="eastAsia" w:ascii="宋体" w:hAnsi="宋体" w:eastAsia="宋体" w:cs="宋体"/>
          <w:b/>
          <w:bCs/>
          <w:kern w:val="0"/>
          <w:sz w:val="24"/>
          <w:szCs w:val="24"/>
          <w:lang w:val="en-GB" w:eastAsia="zh-CN" w:bidi="ar-SA"/>
        </w:rPr>
      </w:pPr>
      <w:r>
        <w:rPr>
          <w:rFonts w:hint="eastAsia" w:ascii="宋体" w:hAnsi="宋体" w:eastAsia="宋体" w:cs="宋体"/>
          <w:b/>
          <w:bCs/>
          <w:kern w:val="0"/>
          <w:sz w:val="24"/>
          <w:szCs w:val="24"/>
          <w:lang w:val="en-GB" w:eastAsia="zh-CN" w:bidi="ar-SA"/>
        </w:rPr>
        <w:t>中小企业声明函(工程、服务)</w:t>
      </w:r>
    </w:p>
    <w:p>
      <w:pPr>
        <w:pStyle w:val="28"/>
      </w:pPr>
    </w:p>
    <w:p>
      <w:pPr>
        <w:ind w:firstLine="480" w:firstLineChars="200"/>
        <w:rPr>
          <w:rFonts w:hint="eastAsia" w:ascii="宋体" w:hAnsi="宋体" w:cs="宋体"/>
          <w:bCs/>
          <w:color w:val="000000"/>
          <w:sz w:val="24"/>
          <w:szCs w:val="24"/>
        </w:rPr>
      </w:pPr>
      <w:r>
        <w:rPr>
          <w:rFonts w:hint="eastAsia" w:ascii="宋体" w:hAnsi="宋体" w:cs="宋体"/>
          <w:bCs/>
          <w:color w:val="000000"/>
          <w:sz w:val="24"/>
          <w:szCs w:val="24"/>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Style w:val="8"/>
        <w:tabs>
          <w:tab w:val="left" w:pos="9214"/>
        </w:tabs>
        <w:rPr>
          <w:rFonts w:hint="eastAsia"/>
        </w:rPr>
      </w:pPr>
    </w:p>
    <w:p>
      <w:pPr>
        <w:ind w:firstLine="480" w:firstLineChars="200"/>
        <w:rPr>
          <w:rFonts w:hint="eastAsia" w:ascii="宋体" w:hAnsi="宋体" w:cs="宋体"/>
          <w:bCs/>
          <w:color w:val="000000"/>
          <w:sz w:val="24"/>
          <w:szCs w:val="24"/>
        </w:rPr>
      </w:pPr>
      <w:r>
        <w:rPr>
          <w:rFonts w:hint="eastAsia" w:ascii="宋体" w:hAnsi="宋体" w:cs="宋体"/>
          <w:bCs/>
          <w:color w:val="000000"/>
          <w:sz w:val="24"/>
          <w:szCs w:val="24"/>
        </w:rPr>
        <w:t>1.（标的名称），属于（采购文件中明确的所属行业）；承建（承接）企业为（企业名称），从业人员  人，营业收入为  万元，资产总额为  万元</w:t>
      </w:r>
      <w:r>
        <w:rPr>
          <w:rFonts w:hint="eastAsia" w:ascii="宋体" w:hAnsi="宋体" w:cs="宋体"/>
          <w:bCs/>
          <w:color w:val="000000"/>
          <w:sz w:val="24"/>
          <w:szCs w:val="24"/>
        </w:rPr>
        <w:footnoteReference w:id="0"/>
      </w:r>
      <w:r>
        <w:rPr>
          <w:rFonts w:hint="eastAsia" w:ascii="宋体" w:hAnsi="宋体" w:cs="宋体"/>
          <w:bCs/>
          <w:color w:val="000000"/>
          <w:sz w:val="24"/>
          <w:szCs w:val="24"/>
        </w:rPr>
        <w:t>，属于（中型企业、小型企业、微型企业）；</w:t>
      </w:r>
    </w:p>
    <w:p>
      <w:pPr>
        <w:ind w:firstLine="480" w:firstLineChars="200"/>
        <w:rPr>
          <w:rFonts w:hint="eastAsia" w:ascii="宋体" w:hAnsi="宋体" w:cs="宋体"/>
          <w:bCs/>
          <w:color w:val="000000"/>
          <w:sz w:val="24"/>
          <w:szCs w:val="24"/>
        </w:rPr>
      </w:pPr>
    </w:p>
    <w:p>
      <w:pPr>
        <w:ind w:firstLine="480" w:firstLineChars="200"/>
        <w:rPr>
          <w:rFonts w:hint="eastAsia" w:ascii="宋体" w:hAnsi="宋体" w:cs="宋体"/>
          <w:bCs/>
          <w:color w:val="000000"/>
          <w:sz w:val="24"/>
          <w:szCs w:val="24"/>
        </w:rPr>
      </w:pPr>
      <w:r>
        <w:rPr>
          <w:rFonts w:hint="eastAsia" w:ascii="宋体" w:hAnsi="宋体" w:cs="宋体"/>
          <w:bCs/>
          <w:color w:val="000000"/>
          <w:sz w:val="24"/>
          <w:szCs w:val="24"/>
        </w:rPr>
        <w:t>2. （标的名称），属于（采购文件中明确的所属行业）；承建（承接）企业为（企业名称），从业人员  人，营业收入为  万元，资产总额为  万元，属于（中型企业、小型企业、微型企业）；</w:t>
      </w:r>
    </w:p>
    <w:p>
      <w:pPr>
        <w:ind w:firstLine="480" w:firstLineChars="200"/>
        <w:rPr>
          <w:rFonts w:hint="eastAsia" w:ascii="宋体" w:hAnsi="宋体" w:cs="宋体"/>
          <w:bCs/>
          <w:color w:val="000000"/>
          <w:sz w:val="24"/>
          <w:szCs w:val="24"/>
          <w:lang w:val="en-US" w:eastAsia="zh-CN"/>
        </w:rPr>
      </w:pPr>
    </w:p>
    <w:p>
      <w:pPr>
        <w:ind w:firstLine="480" w:firstLineChars="200"/>
        <w:rPr>
          <w:rFonts w:hint="default" w:ascii="宋体" w:hAnsi="宋体" w:eastAsia="宋体" w:cs="宋体"/>
          <w:bCs/>
          <w:color w:val="000000"/>
          <w:sz w:val="24"/>
          <w:szCs w:val="24"/>
          <w:lang w:val="en-US" w:eastAsia="zh-CN"/>
        </w:rPr>
      </w:pPr>
      <w:r>
        <w:rPr>
          <w:rFonts w:hint="eastAsia" w:ascii="宋体" w:hAnsi="宋体" w:cs="宋体"/>
          <w:bCs/>
          <w:color w:val="000000"/>
          <w:sz w:val="24"/>
          <w:szCs w:val="24"/>
          <w:lang w:val="en-US" w:eastAsia="zh-CN"/>
        </w:rPr>
        <w:t>3.从业人员、营业收入、资产总额填报上一年度数据，无上一年度数据的新成立企业可不填报。</w:t>
      </w:r>
    </w:p>
    <w:p>
      <w:pPr>
        <w:ind w:firstLine="480" w:firstLineChars="200"/>
        <w:rPr>
          <w:rFonts w:hint="eastAsia" w:ascii="宋体" w:hAnsi="宋体" w:cs="宋体"/>
          <w:bCs/>
          <w:color w:val="000000"/>
          <w:sz w:val="24"/>
          <w:szCs w:val="24"/>
        </w:rPr>
      </w:pPr>
      <w:r>
        <w:rPr>
          <w:rFonts w:hint="eastAsia" w:ascii="宋体" w:hAnsi="宋体" w:cs="宋体"/>
          <w:bCs/>
          <w:color w:val="000000"/>
          <w:sz w:val="24"/>
          <w:szCs w:val="24"/>
        </w:rPr>
        <w:t>……</w:t>
      </w:r>
    </w:p>
    <w:p>
      <w:pPr>
        <w:ind w:firstLine="480" w:firstLineChars="200"/>
        <w:rPr>
          <w:rFonts w:hint="eastAsia" w:ascii="宋体" w:hAnsi="宋体" w:cs="宋体"/>
          <w:bCs/>
          <w:color w:val="000000"/>
          <w:sz w:val="24"/>
          <w:szCs w:val="24"/>
        </w:rPr>
      </w:pPr>
      <w:r>
        <w:rPr>
          <w:rFonts w:hint="eastAsia" w:ascii="宋体" w:hAnsi="宋体" w:cs="宋体"/>
          <w:bCs/>
          <w:color w:val="000000"/>
          <w:sz w:val="24"/>
          <w:szCs w:val="24"/>
        </w:rPr>
        <w:t>以上企业，不属于大企业的分支机构，不存在控股股东为大企业的情形，也不存在与大企业的负责人为同一人的情形。</w:t>
      </w:r>
    </w:p>
    <w:p>
      <w:pPr>
        <w:ind w:firstLine="480" w:firstLineChars="200"/>
        <w:rPr>
          <w:rFonts w:hint="eastAsia" w:ascii="宋体" w:hAnsi="宋体" w:cs="宋体"/>
          <w:bCs/>
          <w:color w:val="000000"/>
          <w:sz w:val="24"/>
          <w:szCs w:val="24"/>
        </w:rPr>
      </w:pPr>
      <w:r>
        <w:rPr>
          <w:rFonts w:hint="eastAsia" w:ascii="宋体" w:hAnsi="宋体" w:cs="宋体"/>
          <w:bCs/>
          <w:color w:val="000000"/>
          <w:sz w:val="24"/>
          <w:szCs w:val="24"/>
        </w:rPr>
        <w:t>本企业对上述声明内容的真实性负责。如有虚假，将依法承担相应责任。</w:t>
      </w:r>
    </w:p>
    <w:p>
      <w:pPr>
        <w:ind w:firstLine="480" w:firstLineChars="200"/>
        <w:rPr>
          <w:rFonts w:hint="eastAsia" w:ascii="宋体" w:hAnsi="宋体" w:cs="宋体"/>
          <w:bCs/>
          <w:color w:val="000000"/>
          <w:sz w:val="24"/>
          <w:szCs w:val="24"/>
        </w:rPr>
      </w:pPr>
      <w:r>
        <w:rPr>
          <w:rFonts w:hint="eastAsia" w:ascii="宋体" w:hAnsi="宋体" w:cs="宋体"/>
          <w:bCs/>
          <w:color w:val="000000"/>
          <w:sz w:val="24"/>
          <w:szCs w:val="24"/>
        </w:rPr>
        <w:t xml:space="preserve">                     </w:t>
      </w:r>
    </w:p>
    <w:p>
      <w:pPr>
        <w:ind w:firstLine="480" w:firstLineChars="200"/>
        <w:rPr>
          <w:rFonts w:hint="eastAsia" w:ascii="宋体" w:hAnsi="宋体" w:cs="宋体"/>
          <w:bCs/>
          <w:color w:val="000000"/>
          <w:sz w:val="24"/>
          <w:szCs w:val="24"/>
        </w:rPr>
      </w:pPr>
    </w:p>
    <w:p>
      <w:pPr>
        <w:ind w:firstLine="480" w:firstLineChars="200"/>
        <w:rPr>
          <w:rFonts w:hint="eastAsia" w:ascii="宋体" w:hAnsi="宋体" w:cs="宋体"/>
          <w:bCs/>
          <w:color w:val="000000"/>
          <w:sz w:val="24"/>
          <w:szCs w:val="24"/>
        </w:rPr>
      </w:pPr>
    </w:p>
    <w:p>
      <w:pPr>
        <w:ind w:firstLine="4800" w:firstLineChars="2000"/>
        <w:rPr>
          <w:rFonts w:hint="eastAsia" w:ascii="宋体" w:hAnsi="宋体" w:cs="宋体"/>
          <w:bCs/>
          <w:color w:val="000000"/>
          <w:sz w:val="24"/>
          <w:szCs w:val="24"/>
        </w:rPr>
      </w:pPr>
      <w:r>
        <w:rPr>
          <w:rFonts w:hint="eastAsia" w:ascii="宋体" w:hAnsi="宋体" w:cs="宋体"/>
          <w:bCs/>
          <w:color w:val="000000"/>
          <w:sz w:val="24"/>
          <w:szCs w:val="24"/>
        </w:rPr>
        <w:t xml:space="preserve"> 企业名称（盖章）：</w:t>
      </w:r>
    </w:p>
    <w:p>
      <w:pPr>
        <w:ind w:firstLine="480" w:firstLineChars="200"/>
        <w:rPr>
          <w:rFonts w:hint="eastAsia"/>
          <w:sz w:val="32"/>
          <w:szCs w:val="32"/>
        </w:rPr>
      </w:pPr>
      <w:r>
        <w:rPr>
          <w:rFonts w:hint="eastAsia" w:ascii="宋体" w:hAnsi="宋体" w:cs="宋体"/>
          <w:bCs/>
          <w:color w:val="000000"/>
          <w:sz w:val="24"/>
          <w:szCs w:val="24"/>
        </w:rPr>
        <w:t xml:space="preserve">                 </w:t>
      </w:r>
      <w:r>
        <w:rPr>
          <w:rFonts w:hint="eastAsia" w:ascii="宋体" w:hAnsi="宋体" w:cs="宋体"/>
          <w:bCs/>
          <w:color w:val="000000"/>
          <w:sz w:val="24"/>
          <w:szCs w:val="24"/>
          <w:lang w:val="en-US" w:eastAsia="zh-CN"/>
        </w:rPr>
        <w:t xml:space="preserve">                           </w:t>
      </w:r>
      <w:r>
        <w:rPr>
          <w:rFonts w:hint="eastAsia" w:ascii="宋体" w:hAnsi="宋体" w:cs="宋体"/>
          <w:bCs/>
          <w:color w:val="000000"/>
          <w:sz w:val="24"/>
          <w:szCs w:val="24"/>
        </w:rPr>
        <w:t xml:space="preserve">     日期：</w:t>
      </w:r>
    </w:p>
    <w:p>
      <w:pPr>
        <w:spacing w:line="588" w:lineRule="exact"/>
        <w:rPr>
          <w:rFonts w:hint="eastAsia" w:eastAsia="仿宋_GB2312"/>
          <w:spacing w:val="6"/>
          <w:sz w:val="30"/>
          <w:szCs w:val="30"/>
        </w:rPr>
      </w:pPr>
    </w:p>
    <w:p>
      <w:pPr>
        <w:pStyle w:val="2"/>
        <w:rPr>
          <w:rFonts w:hint="eastAsia" w:eastAsia="仿宋_GB2312"/>
          <w:spacing w:val="6"/>
          <w:sz w:val="30"/>
          <w:szCs w:val="30"/>
        </w:rPr>
      </w:pPr>
    </w:p>
    <w:p>
      <w:pPr>
        <w:rPr>
          <w:rFonts w:hint="eastAsia" w:eastAsia="仿宋_GB2312"/>
          <w:spacing w:val="6"/>
          <w:sz w:val="30"/>
          <w:szCs w:val="30"/>
        </w:rPr>
      </w:pPr>
    </w:p>
    <w:p>
      <w:pPr>
        <w:pStyle w:val="2"/>
        <w:rPr>
          <w:rFonts w:hint="eastAsia" w:eastAsia="仿宋_GB2312"/>
          <w:spacing w:val="6"/>
          <w:sz w:val="30"/>
          <w:szCs w:val="30"/>
        </w:rPr>
      </w:pPr>
    </w:p>
    <w:p>
      <w:pPr>
        <w:rPr>
          <w:rFonts w:hint="eastAsia" w:eastAsia="仿宋_GB2312"/>
          <w:spacing w:val="6"/>
          <w:sz w:val="30"/>
          <w:szCs w:val="30"/>
        </w:rPr>
      </w:pPr>
    </w:p>
    <w:p>
      <w:pPr>
        <w:jc w:val="both"/>
        <w:rPr>
          <w:rFonts w:hint="eastAsia" w:ascii="宋体" w:hAnsi="宋体" w:eastAsia="宋体" w:cs="宋体"/>
          <w:b/>
          <w:bCs/>
          <w:color w:val="000000"/>
          <w:kern w:val="2"/>
          <w:sz w:val="32"/>
          <w:szCs w:val="32"/>
          <w:highlight w:val="none"/>
          <w:lang w:val="en-GB" w:eastAsia="zh-CN" w:bidi="ar-SA"/>
        </w:rPr>
      </w:pPr>
    </w:p>
    <w:p>
      <w:pPr>
        <w:pStyle w:val="2"/>
        <w:rPr>
          <w:rFonts w:hint="eastAsia"/>
          <w:lang w:val="en-GB" w:eastAsia="zh-CN"/>
        </w:rPr>
      </w:pPr>
    </w:p>
    <w:p>
      <w:pPr>
        <w:jc w:val="center"/>
        <w:rPr>
          <w:rFonts w:hint="eastAsia" w:ascii="宋体" w:hAnsi="宋体" w:eastAsia="宋体" w:cs="宋体"/>
          <w:b/>
          <w:bCs/>
          <w:sz w:val="24"/>
          <w:szCs w:val="24"/>
        </w:rPr>
      </w:pPr>
      <w:r>
        <w:rPr>
          <w:b/>
          <w:bCs/>
          <w:sz w:val="24"/>
          <w:szCs w:val="24"/>
          <w:lang w:eastAsia="zh-CN"/>
        </w:rPr>
        <w:t>（</w:t>
      </w:r>
      <w:r>
        <w:rPr>
          <w:rFonts w:hint="eastAsia"/>
          <w:b/>
          <w:bCs/>
          <w:sz w:val="24"/>
          <w:szCs w:val="24"/>
          <w:lang w:val="en-US" w:eastAsia="zh-CN"/>
        </w:rPr>
        <w:t>八</w:t>
      </w:r>
      <w:r>
        <w:rPr>
          <w:b/>
          <w:bCs/>
          <w:sz w:val="24"/>
          <w:szCs w:val="24"/>
          <w:lang w:eastAsia="zh-CN"/>
        </w:rPr>
        <w:t>）</w:t>
      </w:r>
      <w:r>
        <w:rPr>
          <w:rFonts w:hint="eastAsia" w:ascii="宋体" w:hAnsi="宋体" w:eastAsia="宋体" w:cs="宋体"/>
          <w:b/>
          <w:bCs/>
          <w:sz w:val="24"/>
          <w:szCs w:val="24"/>
        </w:rPr>
        <w:t>质疑函范本</w:t>
      </w:r>
    </w:p>
    <w:p>
      <w:pPr>
        <w:adjustRightInd w:val="0"/>
        <w:snapToGrid w:val="0"/>
        <w:spacing w:beforeLines="100" w:line="360" w:lineRule="auto"/>
        <w:rPr>
          <w:rFonts w:hint="eastAsia" w:ascii="宋体" w:hAnsi="宋体" w:eastAsia="宋体" w:cs="宋体"/>
          <w:bCs/>
          <w:sz w:val="24"/>
          <w:szCs w:val="24"/>
        </w:rPr>
      </w:pPr>
      <w:r>
        <w:rPr>
          <w:rFonts w:hint="eastAsia" w:ascii="宋体" w:hAnsi="宋体" w:eastAsia="宋体" w:cs="宋体"/>
          <w:bCs/>
          <w:sz w:val="24"/>
          <w:szCs w:val="24"/>
        </w:rPr>
        <w:t>一、质疑供应商基本信息</w:t>
      </w: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质疑供应商：</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dotted"/>
        </w:rPr>
        <w:t xml:space="preserve">                          </w:t>
      </w:r>
      <w:r>
        <w:rPr>
          <w:rFonts w:hint="eastAsia" w:ascii="宋体" w:hAnsi="宋体" w:eastAsia="宋体" w:cs="宋体"/>
          <w:sz w:val="24"/>
          <w:szCs w:val="24"/>
        </w:rPr>
        <w:t>邮编：</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u w:val="dotted"/>
        </w:rPr>
        <w:t xml:space="preserve">                      </w:t>
      </w:r>
      <w:r>
        <w:rPr>
          <w:rFonts w:hint="eastAsia" w:ascii="宋体" w:hAnsi="宋体" w:eastAsia="宋体" w:cs="宋体"/>
          <w:sz w:val="24"/>
          <w:szCs w:val="24"/>
        </w:rPr>
        <w:t>联系电话：</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授权代表：</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dotted"/>
        </w:rPr>
        <w:t xml:space="preserve">                                           </w:t>
      </w:r>
      <w:r>
        <w:rPr>
          <w:rFonts w:hint="eastAsia" w:ascii="宋体" w:hAnsi="宋体" w:eastAsia="宋体" w:cs="宋体"/>
          <w:sz w:val="24"/>
          <w:szCs w:val="24"/>
        </w:rPr>
        <w:t xml:space="preserve">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地址： </w:t>
      </w:r>
      <w:r>
        <w:rPr>
          <w:rFonts w:hint="eastAsia" w:ascii="宋体" w:hAnsi="宋体" w:eastAsia="宋体" w:cs="宋体"/>
          <w:sz w:val="24"/>
          <w:szCs w:val="24"/>
          <w:u w:val="dotted"/>
        </w:rPr>
        <w:t xml:space="preserve">                        </w:t>
      </w:r>
      <w:r>
        <w:rPr>
          <w:rFonts w:hint="eastAsia" w:ascii="宋体" w:hAnsi="宋体" w:eastAsia="宋体" w:cs="宋体"/>
          <w:sz w:val="24"/>
          <w:szCs w:val="24"/>
        </w:rPr>
        <w:t>邮编：</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二、质疑项目基本情况</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质疑项目的名称：</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质疑项目的编号：</w:t>
      </w:r>
      <w:r>
        <w:rPr>
          <w:rFonts w:hint="eastAsia" w:ascii="宋体" w:hAnsi="宋体" w:eastAsia="宋体" w:cs="宋体"/>
          <w:sz w:val="24"/>
          <w:szCs w:val="24"/>
          <w:u w:val="dotted"/>
        </w:rPr>
        <w:t xml:space="preserve">               </w:t>
      </w:r>
      <w:r>
        <w:rPr>
          <w:rFonts w:hint="eastAsia" w:ascii="宋体" w:hAnsi="宋体" w:eastAsia="宋体" w:cs="宋体"/>
          <w:sz w:val="24"/>
          <w:szCs w:val="24"/>
        </w:rPr>
        <w:t>包号：</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采购人名称：</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采购文件获取日期：</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三、质疑事项具体内容</w:t>
      </w: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质疑事项1：</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事实依据：</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法律依据：</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质疑事项2</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w:t>
      </w:r>
    </w:p>
    <w:p>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四、与质疑事项相关的质疑请求</w:t>
      </w: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请求：</w:t>
      </w:r>
      <w:r>
        <w:rPr>
          <w:rFonts w:hint="eastAsia" w:ascii="宋体" w:hAnsi="宋体" w:eastAsia="宋体" w:cs="宋体"/>
          <w:sz w:val="24"/>
          <w:szCs w:val="24"/>
          <w:u w:val="dotted"/>
        </w:rPr>
        <w:t xml:space="preserve">                                               </w:t>
      </w:r>
    </w:p>
    <w:p>
      <w:pPr>
        <w:rPr>
          <w:rFonts w:hint="eastAsia" w:ascii="宋体" w:hAnsi="宋体" w:eastAsia="宋体" w:cs="宋体"/>
          <w:sz w:val="24"/>
          <w:szCs w:val="24"/>
        </w:rPr>
      </w:pPr>
      <w:r>
        <w:rPr>
          <w:rFonts w:hint="eastAsia" w:ascii="宋体" w:hAnsi="宋体" w:eastAsia="宋体" w:cs="宋体"/>
          <w:sz w:val="24"/>
          <w:szCs w:val="24"/>
        </w:rPr>
        <w:t xml:space="preserve">签字(签章)：                   公章：                      </w:t>
      </w:r>
    </w:p>
    <w:p>
      <w:pPr>
        <w:rPr>
          <w:rFonts w:hint="eastAsia"/>
          <w:lang w:val="en-US" w:eastAsia="zh-CN"/>
        </w:rPr>
      </w:pPr>
      <w:r>
        <w:rPr>
          <w:rFonts w:hint="eastAsia" w:ascii="宋体" w:hAnsi="宋体" w:eastAsia="宋体" w:cs="宋体"/>
          <w:sz w:val="24"/>
          <w:szCs w:val="24"/>
        </w:rPr>
        <w:t xml:space="preserve">日期：    </w:t>
      </w: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rPr>
          <w:lang w:eastAsia="zh-CN"/>
        </w:rPr>
      </w:pPr>
    </w:p>
    <w:p>
      <w:pPr>
        <w:pStyle w:val="4"/>
        <w:spacing w:before="59"/>
        <w:jc w:val="center"/>
        <w:rPr>
          <w:lang w:eastAsia="zh-CN"/>
        </w:rPr>
      </w:pPr>
      <w:r>
        <w:rPr>
          <w:lang w:eastAsia="zh-CN"/>
        </w:rPr>
        <w:t>（</w:t>
      </w:r>
      <w:r>
        <w:rPr>
          <w:rFonts w:hint="eastAsia"/>
          <w:lang w:val="en-US" w:eastAsia="zh-CN"/>
        </w:rPr>
        <w:t>九</w:t>
      </w:r>
      <w:r>
        <w:rPr>
          <w:lang w:eastAsia="zh-CN"/>
        </w:rPr>
        <w:t>）、投标供应商提交的其它相关资格证明资料</w:t>
      </w:r>
    </w:p>
    <w:p>
      <w:pPr>
        <w:pStyle w:val="8"/>
        <w:spacing w:before="9"/>
        <w:rPr>
          <w:b/>
          <w:lang w:eastAsia="zh-CN"/>
        </w:rPr>
      </w:pPr>
    </w:p>
    <w:p>
      <w:pPr>
        <w:pStyle w:val="8"/>
        <w:ind w:left="260"/>
        <w:rPr>
          <w:lang w:eastAsia="zh-CN"/>
        </w:rPr>
      </w:pPr>
      <w:r>
        <w:rPr>
          <w:lang w:eastAsia="zh-CN"/>
        </w:rPr>
        <w:t>1、投标供应商认为应提交的其他相关资格证明文件或资料，可在此提交。</w:t>
      </w:r>
    </w:p>
    <w:p>
      <w:pPr>
        <w:pStyle w:val="8"/>
        <w:spacing w:before="158"/>
        <w:ind w:left="260"/>
        <w:rPr>
          <w:lang w:val="en-US" w:eastAsia="zh-CN"/>
        </w:rPr>
      </w:pPr>
      <w:r>
        <w:rPr>
          <w:lang w:eastAsia="zh-CN"/>
        </w:rPr>
        <w:t>2、所提交的文件或资料应加盖投标供应商公章</w:t>
      </w:r>
      <w:r>
        <w:rPr>
          <w:rFonts w:hint="eastAsia"/>
          <w:lang w:val="en-US" w:eastAsia="zh-CN"/>
        </w:rPr>
        <w:t>及法定代表人盖章。</w:t>
      </w:r>
    </w:p>
    <w:sectPr>
      <w:headerReference r:id="rId24" w:type="default"/>
      <w:footerReference r:id="rId2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75895" cy="16383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75895" cy="163830"/>
                      </a:xfrm>
                      <a:prstGeom prst="rect">
                        <a:avLst/>
                      </a:prstGeom>
                      <a:noFill/>
                      <a:ln>
                        <a:noFill/>
                      </a:ln>
                    </wps:spPr>
                    <wps:txbx>
                      <w:txbxContent>
                        <w:p>
                          <w:pPr>
                            <w:spacing w:before="20"/>
                            <w:ind w:left="40"/>
                            <w:rPr>
                              <w:rFonts w:ascii="Tahoma"/>
                              <w:sz w:val="18"/>
                            </w:rPr>
                          </w:pPr>
                          <w:r>
                            <w:fldChar w:fldCharType="begin"/>
                          </w:r>
                          <w:r>
                            <w:rPr>
                              <w:rFonts w:ascii="Tahoma"/>
                              <w:sz w:val="18"/>
                            </w:rPr>
                            <w:instrText xml:space="preserve"> PAGE </w:instrText>
                          </w:r>
                          <w:r>
                            <w:fldChar w:fldCharType="separate"/>
                          </w:r>
                          <w:r>
                            <w:t>30</w:t>
                          </w:r>
                          <w: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2.9pt;width:13.85pt;mso-position-horizontal:center;mso-position-horizontal-relative:margin;z-index:251665408;mso-width-relative:page;mso-height-relative:page;" filled="f" stroked="f" coordsize="21600,21600" o:gfxdata="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o5C7g1AAAAAMBAAAPAAAAAAAAAAEAIAAAACIAAABkcnMvZG93bnJldi54bWxQSwECFAAU&#10;AAAACACHTuJAox/LKrwBAABzAwAADgAAAAAAAAABACAAAAAjAQAAZHJzL2Uyb0RvYy54bWxQSwUG&#10;AAAAAAYABgBZAQAAUQUAAAAA&#10;">
              <v:fill on="f" focussize="0,0"/>
              <v:stroke on="f"/>
              <v:imagedata o:title=""/>
              <o:lock v:ext="edit" aspectratio="f"/>
              <v:textbox inset="0mm,0mm,0mm,0mm">
                <w:txbxContent>
                  <w:p>
                    <w:pPr>
                      <w:spacing w:before="20"/>
                      <w:ind w:left="40"/>
                      <w:rPr>
                        <w:rFonts w:ascii="Tahoma"/>
                        <w:sz w:val="18"/>
                      </w:rPr>
                    </w:pPr>
                    <w:r>
                      <w:fldChar w:fldCharType="begin"/>
                    </w:r>
                    <w:r>
                      <w:rPr>
                        <w:rFonts w:ascii="Tahoma"/>
                        <w:sz w:val="18"/>
                      </w:rPr>
                      <w:instrText xml:space="preserve"> PAGE </w:instrText>
                    </w:r>
                    <w:r>
                      <w:fldChar w:fldCharType="separate"/>
                    </w:r>
                    <w:r>
                      <w:t>30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75895" cy="16383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75895" cy="163830"/>
                      </a:xfrm>
                      <a:prstGeom prst="rect">
                        <a:avLst/>
                      </a:prstGeom>
                      <a:noFill/>
                      <a:ln>
                        <a:noFill/>
                      </a:ln>
                    </wps:spPr>
                    <wps:txbx>
                      <w:txbxContent>
                        <w:p>
                          <w:pPr>
                            <w:spacing w:before="20"/>
                            <w:ind w:left="40"/>
                            <w:rPr>
                              <w:rFonts w:ascii="Tahoma"/>
                              <w:sz w:val="18"/>
                            </w:rPr>
                          </w:pPr>
                          <w:r>
                            <w:fldChar w:fldCharType="begin"/>
                          </w:r>
                          <w:r>
                            <w:rPr>
                              <w:rFonts w:ascii="Tahoma"/>
                              <w:sz w:val="18"/>
                            </w:rPr>
                            <w:instrText xml:space="preserve"> PAGE </w:instrText>
                          </w:r>
                          <w:r>
                            <w:fldChar w:fldCharType="separate"/>
                          </w:r>
                          <w:r>
                            <w:t>40</w:t>
                          </w:r>
                          <w: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2.9pt;width:13.85pt;mso-position-horizontal:center;mso-position-horizontal-relative:margin;z-index:251665408;mso-width-relative:page;mso-height-relative:page;" filled="f" stroked="f" coordsize="21600,21600" o:gfxdata="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o5C7g1AAAAAMBAAAPAAAAAAAAAAEAIAAAACIAAABkcnMvZG93bnJldi54bWxQSwECFAAU&#10;AAAACACHTuJAaoollbwBAABzAwAADgAAAAAAAAABACAAAAAjAQAAZHJzL2Uyb0RvYy54bWxQSwUG&#10;AAAAAAYABgBZAQAAUQUAAAAA&#10;">
              <v:fill on="f" focussize="0,0"/>
              <v:stroke on="f"/>
              <v:imagedata o:title=""/>
              <o:lock v:ext="edit" aspectratio="f"/>
              <v:textbox inset="0mm,0mm,0mm,0mm">
                <w:txbxContent>
                  <w:p>
                    <w:pPr>
                      <w:spacing w:before="20"/>
                      <w:ind w:left="40"/>
                      <w:rPr>
                        <w:rFonts w:ascii="Tahoma"/>
                        <w:sz w:val="18"/>
                      </w:rPr>
                    </w:pPr>
                    <w:r>
                      <w:fldChar w:fldCharType="begin"/>
                    </w:r>
                    <w:r>
                      <w:rPr>
                        <w:rFonts w:ascii="Tahoma"/>
                        <w:sz w:val="18"/>
                      </w:rPr>
                      <w:instrText xml:space="preserve"> PAGE </w:instrText>
                    </w:r>
                    <w:r>
                      <w:fldChar w:fldCharType="separate"/>
                    </w:r>
                    <w:r>
                      <w:t>40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75895" cy="16383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75895" cy="163830"/>
                      </a:xfrm>
                      <a:prstGeom prst="rect">
                        <a:avLst/>
                      </a:prstGeom>
                      <a:noFill/>
                      <a:ln>
                        <a:noFill/>
                      </a:ln>
                    </wps:spPr>
                    <wps:txbx>
                      <w:txbxContent>
                        <w:p>
                          <w:pPr>
                            <w:spacing w:before="20"/>
                            <w:ind w:left="40"/>
                            <w:rPr>
                              <w:rFonts w:ascii="Tahoma"/>
                              <w:sz w:val="18"/>
                            </w:rPr>
                          </w:pPr>
                          <w:r>
                            <w:fldChar w:fldCharType="begin"/>
                          </w:r>
                          <w:r>
                            <w:rPr>
                              <w:rFonts w:ascii="Tahoma"/>
                              <w:sz w:val="18"/>
                            </w:rPr>
                            <w:instrText xml:space="preserve"> PAGE </w:instrText>
                          </w:r>
                          <w:r>
                            <w:fldChar w:fldCharType="separate"/>
                          </w:r>
                          <w:r>
                            <w:t>50</w:t>
                          </w:r>
                          <w: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2.9pt;width:13.85pt;mso-position-horizontal:center;mso-position-horizontal-relative:margin;z-index:251665408;mso-width-relative:page;mso-height-relative:page;" filled="f" stroked="f" coordsize="21600,21600" o:gfxdata="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o5C7g1AAAAAMBAAAPAAAAAAAAAAEAIAAAACIAAABkcnMvZG93bnJldi54bWxQSwECFAAU&#10;AAAACACHTuJAeGs1pLwBAABzAwAADgAAAAAAAAABACAAAAAjAQAAZHJzL2Uyb0RvYy54bWxQSwUG&#10;AAAAAAYABgBZAQAAUQUAAAAA&#10;">
              <v:fill on="f" focussize="0,0"/>
              <v:stroke on="f"/>
              <v:imagedata o:title=""/>
              <o:lock v:ext="edit" aspectratio="f"/>
              <v:textbox inset="0mm,0mm,0mm,0mm">
                <w:txbxContent>
                  <w:p>
                    <w:pPr>
                      <w:spacing w:before="20"/>
                      <w:ind w:left="40"/>
                      <w:rPr>
                        <w:rFonts w:ascii="Tahoma"/>
                        <w:sz w:val="18"/>
                      </w:rPr>
                    </w:pPr>
                    <w:r>
                      <w:fldChar w:fldCharType="begin"/>
                    </w:r>
                    <w:r>
                      <w:rPr>
                        <w:rFonts w:ascii="Tahoma"/>
                        <w:sz w:val="18"/>
                      </w:rPr>
                      <w:instrText xml:space="preserve"> PAGE </w:instrText>
                    </w:r>
                    <w:r>
                      <w:fldChar w:fldCharType="separate"/>
                    </w:r>
                    <w:r>
                      <w:t>50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r>
      <w:rPr>
        <w:sz w:val="2"/>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r>
      <w:rPr>
        <w:sz w:val="2"/>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r>
      <w:rPr>
        <w:sz w:val="2"/>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r>
      <w:rPr>
        <w:sz w:val="2"/>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r>
      <w:rPr>
        <w:sz w:val="2"/>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r>
      <w:rPr>
        <w:sz w:val="2"/>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r>
      <w:rPr>
        <w:sz w:val="2"/>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r>
      <w:rPr>
        <w:sz w:val="2"/>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75895" cy="16383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75895" cy="163830"/>
                      </a:xfrm>
                      <a:prstGeom prst="rect">
                        <a:avLst/>
                      </a:prstGeom>
                      <a:noFill/>
                      <a:ln>
                        <a:noFill/>
                      </a:ln>
                    </wps:spPr>
                    <wps:txbx>
                      <w:txbxContent>
                        <w:p>
                          <w:pPr>
                            <w:spacing w:before="20"/>
                            <w:ind w:left="40"/>
                            <w:rPr>
                              <w:rFonts w:ascii="Tahoma"/>
                              <w:sz w:val="18"/>
                            </w:rPr>
                          </w:pPr>
                          <w:r>
                            <w:fldChar w:fldCharType="begin"/>
                          </w:r>
                          <w:r>
                            <w:rPr>
                              <w:rFonts w:ascii="Tahoma"/>
                              <w:sz w:val="18"/>
                            </w:rPr>
                            <w:instrText xml:space="preserve"> PAGE </w:instrText>
                          </w:r>
                          <w:r>
                            <w:fldChar w:fldCharType="separate"/>
                          </w:r>
                          <w:r>
                            <w:t>26</w:t>
                          </w:r>
                          <w: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2.9pt;width:13.85pt;mso-position-horizontal:center;mso-position-horizontal-relative:margin;z-index:251665408;mso-width-relative:page;mso-height-relative:page;" filled="f" stroked="f" coordsize="21600,21600" o:gfxdata="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o5C7g1AAAAAMBAAAPAAAAAAAAAAEAIAAAACIAAABkcnMvZG93bnJldi54bWxQSwECFAAU&#10;AAAACACHTuJAO2PjT7wBAABzAwAADgAAAAAAAAABACAAAAAjAQAAZHJzL2Uyb0RvYy54bWxQSwUG&#10;AAAAAAYABgBZAQAAUQUAAAAA&#10;">
              <v:fill on="f" focussize="0,0"/>
              <v:stroke on="f"/>
              <v:imagedata o:title=""/>
              <o:lock v:ext="edit" aspectratio="f"/>
              <v:textbox inset="0mm,0mm,0mm,0mm">
                <w:txbxContent>
                  <w:p>
                    <w:pPr>
                      <w:spacing w:before="20"/>
                      <w:ind w:left="40"/>
                      <w:rPr>
                        <w:rFonts w:ascii="Tahoma"/>
                        <w:sz w:val="18"/>
                      </w:rPr>
                    </w:pPr>
                    <w:r>
                      <w:fldChar w:fldCharType="begin"/>
                    </w:r>
                    <w:r>
                      <w:rPr>
                        <w:rFonts w:ascii="Tahoma"/>
                        <w:sz w:val="18"/>
                      </w:rPr>
                      <w:instrText xml:space="preserve"> PAGE </w:instrText>
                    </w:r>
                    <w:r>
                      <w:fldChar w:fldCharType="separate"/>
                    </w:r>
                    <w:r>
                      <w:t>26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bidi w:val="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2137410</wp:posOffset>
              </wp:positionH>
              <wp:positionV relativeFrom="page">
                <wp:posOffset>445135</wp:posOffset>
              </wp:positionV>
              <wp:extent cx="3495675" cy="16383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95675" cy="163830"/>
                      </a:xfrm>
                      <a:prstGeom prst="rect">
                        <a:avLst/>
                      </a:prstGeom>
                      <a:noFill/>
                      <a:ln>
                        <a:noFill/>
                      </a:ln>
                    </wps:spPr>
                    <wps:txbx>
                      <w:txbxContent>
                        <w:p>
                          <w:pPr>
                            <w:spacing w:before="20"/>
                            <w:ind w:left="20"/>
                            <w:rPr>
                              <w:sz w:val="18"/>
                              <w:lang w:eastAsia="zh-CN"/>
                            </w:rPr>
                          </w:pPr>
                        </w:p>
                      </w:txbxContent>
                    </wps:txbx>
                    <wps:bodyPr lIns="0" tIns="0" rIns="0" bIns="0" upright="1"/>
                  </wps:wsp>
                </a:graphicData>
              </a:graphic>
            </wp:anchor>
          </w:drawing>
        </mc:Choice>
        <mc:Fallback>
          <w:pict>
            <v:shape id="_x0000_s1026" o:spid="_x0000_s1026" o:spt="202" type="#_x0000_t202" style="position:absolute;left:0pt;margin-left:168.3pt;margin-top:35.05pt;height:12.9pt;width:275.25pt;mso-position-horizontal-relative:page;mso-position-vertical-relative:page;z-index:-251652096;mso-width-relative:page;mso-height-relative:page;" filled="f" stroked="f" coordsize="21600,21600" o:gfxdata="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rtibY2QAAAAkBAAAPAAAAAAAAAAEAIAAAACIAAABkcnMvZG93bnJldi54bWxQ&#10;SwECFAAUAAAACACHTuJACBUT3L0BAAByAwAADgAAAAAAAAABACAAAAAoAQAAZHJzL2Uyb0RvYy54&#10;bWxQSwUGAAAAAAYABgBZAQAAVwUAAAAA&#10;">
              <v:fill on="f" focussize="0,0"/>
              <v:stroke on="f"/>
              <v:imagedata o:title=""/>
              <o:lock v:ext="edit" aspectratio="f"/>
              <v:textbox inset="0mm,0mm,0mm,0mm">
                <w:txbxContent>
                  <w:p>
                    <w:pPr>
                      <w:spacing w:before="20"/>
                      <w:ind w:left="20"/>
                      <w:rPr>
                        <w:sz w:val="18"/>
                        <w:lang w:eastAsia="zh-CN"/>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mc:AlternateContent>
        <mc:Choice Requires="wps">
          <w:drawing>
            <wp:anchor distT="0" distB="0" distL="114300" distR="114300" simplePos="0" relativeHeight="251665408" behindDoc="1" locked="0" layoutInCell="1" allowOverlap="1">
              <wp:simplePos x="0" y="0"/>
              <wp:positionH relativeFrom="page">
                <wp:posOffset>2032635</wp:posOffset>
              </wp:positionH>
              <wp:positionV relativeFrom="page">
                <wp:posOffset>455930</wp:posOffset>
              </wp:positionV>
              <wp:extent cx="3495675" cy="16383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3495675" cy="163830"/>
                      </a:xfrm>
                      <a:prstGeom prst="rect">
                        <a:avLst/>
                      </a:prstGeom>
                      <a:noFill/>
                      <a:ln>
                        <a:noFill/>
                      </a:ln>
                    </wps:spPr>
                    <wps:txbx>
                      <w:txbxContent>
                        <w:p>
                          <w:pPr>
                            <w:spacing w:before="20"/>
                            <w:ind w:left="20"/>
                            <w:rPr>
                              <w:sz w:val="18"/>
                              <w:lang w:eastAsia="zh-CN"/>
                            </w:rPr>
                          </w:pPr>
                        </w:p>
                      </w:txbxContent>
                    </wps:txbx>
                    <wps:bodyPr lIns="0" tIns="0" rIns="0" bIns="0" upright="1"/>
                  </wps:wsp>
                </a:graphicData>
              </a:graphic>
            </wp:anchor>
          </w:drawing>
        </mc:Choice>
        <mc:Fallback>
          <w:pict>
            <v:shape id="_x0000_s1026" o:spid="_x0000_s1026" o:spt="202" type="#_x0000_t202" style="position:absolute;left:0pt;margin-left:160.05pt;margin-top:35.9pt;height:12.9pt;width:275.25pt;mso-position-horizontal-relative:page;mso-position-vertical-relative:page;z-index:-251651072;mso-width-relative:page;mso-height-relative:page;" filled="f" stroked="f" coordsize="21600,21600" o:gfxdata="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QkrZo2AAAAAkBAAAPAAAAAAAAAAEAIAAAACIAAABkcnMvZG93bnJldi54bWxQ&#10;SwECFAAUAAAACACHTuJA8yIZzr4BAAB0AwAADgAAAAAAAAABACAAAAAnAQAAZHJzL2Uyb0RvYy54&#10;bWxQSwUGAAAAAAYABgBZAQAAVwUAAAAA&#10;">
              <v:fill on="f" focussize="0,0"/>
              <v:stroke on="f"/>
              <v:imagedata o:title=""/>
              <o:lock v:ext="edit" aspectratio="f"/>
              <v:textbox inset="0mm,0mm,0mm,0mm">
                <w:txbxContent>
                  <w:p>
                    <w:pPr>
                      <w:spacing w:before="20"/>
                      <w:ind w:left="20"/>
                      <w:rPr>
                        <w:sz w:val="18"/>
                        <w:lang w:eastAsia="zh-CN"/>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FAEE47"/>
    <w:multiLevelType w:val="singleLevel"/>
    <w:tmpl w:val="84FAEE47"/>
    <w:lvl w:ilvl="0" w:tentative="0">
      <w:start w:val="11"/>
      <w:numFmt w:val="chineseCounting"/>
      <w:suff w:val="nothing"/>
      <w:lvlText w:val="%1、"/>
      <w:lvlJc w:val="left"/>
      <w:rPr>
        <w:rFonts w:hint="eastAsia"/>
        <w:highlight w:val="none"/>
      </w:rPr>
    </w:lvl>
  </w:abstractNum>
  <w:abstractNum w:abstractNumId="1">
    <w:nsid w:val="BFD9351E"/>
    <w:multiLevelType w:val="singleLevel"/>
    <w:tmpl w:val="BFD9351E"/>
    <w:lvl w:ilvl="0" w:tentative="0">
      <w:start w:val="1"/>
      <w:numFmt w:val="chineseCounting"/>
      <w:suff w:val="nothing"/>
      <w:lvlText w:val="第%1部分、"/>
      <w:lvlJc w:val="left"/>
      <w:rPr>
        <w:rFonts w:hint="eastAsia"/>
      </w:rPr>
    </w:lvl>
  </w:abstractNum>
  <w:abstractNum w:abstractNumId="2">
    <w:nsid w:val="C4F2DFD2"/>
    <w:multiLevelType w:val="singleLevel"/>
    <w:tmpl w:val="C4F2DFD2"/>
    <w:lvl w:ilvl="0" w:tentative="0">
      <w:start w:val="10"/>
      <w:numFmt w:val="decimal"/>
      <w:suff w:val="space"/>
      <w:lvlText w:val="(%1)"/>
      <w:lvlJc w:val="left"/>
    </w:lvl>
  </w:abstractNum>
  <w:abstractNum w:abstractNumId="3">
    <w:nsid w:val="D5BBAEA7"/>
    <w:multiLevelType w:val="singleLevel"/>
    <w:tmpl w:val="D5BBAEA7"/>
    <w:lvl w:ilvl="0" w:tentative="0">
      <w:start w:val="6"/>
      <w:numFmt w:val="chineseCounting"/>
      <w:suff w:val="nothing"/>
      <w:lvlText w:val="（%1）"/>
      <w:lvlJc w:val="left"/>
      <w:rPr>
        <w:rFonts w:hint="eastAsia"/>
      </w:rPr>
    </w:lvl>
  </w:abstractNum>
  <w:abstractNum w:abstractNumId="4">
    <w:nsid w:val="D63BDF53"/>
    <w:multiLevelType w:val="singleLevel"/>
    <w:tmpl w:val="D63BDF53"/>
    <w:lvl w:ilvl="0" w:tentative="0">
      <w:start w:val="12"/>
      <w:numFmt w:val="chineseCounting"/>
      <w:suff w:val="nothing"/>
      <w:lvlText w:val="%1、"/>
      <w:lvlJc w:val="left"/>
      <w:rPr>
        <w:rFonts w:hint="eastAsia"/>
      </w:rPr>
    </w:lvl>
  </w:abstractNum>
  <w:abstractNum w:abstractNumId="5">
    <w:nsid w:val="E820728C"/>
    <w:multiLevelType w:val="singleLevel"/>
    <w:tmpl w:val="E820728C"/>
    <w:lvl w:ilvl="0" w:tentative="0">
      <w:start w:val="1"/>
      <w:numFmt w:val="chineseCounting"/>
      <w:lvlText w:val="第%1章"/>
      <w:lvlJc w:val="left"/>
      <w:rPr>
        <w:rFonts w:hint="eastAsia"/>
      </w:rPr>
    </w:lvl>
  </w:abstractNum>
  <w:abstractNum w:abstractNumId="6">
    <w:nsid w:val="F8FBFB13"/>
    <w:multiLevelType w:val="multilevel"/>
    <w:tmpl w:val="F8FBFB13"/>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7">
    <w:nsid w:val="FFC26BA5"/>
    <w:multiLevelType w:val="singleLevel"/>
    <w:tmpl w:val="FFC26BA5"/>
    <w:lvl w:ilvl="0" w:tentative="0">
      <w:start w:val="1"/>
      <w:numFmt w:val="decimal"/>
      <w:suff w:val="nothing"/>
      <w:lvlText w:val="（%1）"/>
      <w:lvlJc w:val="left"/>
    </w:lvl>
  </w:abstractNum>
  <w:abstractNum w:abstractNumId="8">
    <w:nsid w:val="0000000C"/>
    <w:multiLevelType w:val="multilevel"/>
    <w:tmpl w:val="0000000C"/>
    <w:lvl w:ilvl="0" w:tentative="0">
      <w:start w:val="2"/>
      <w:numFmt w:val="decimal"/>
      <w:pStyle w:val="29"/>
      <w:suff w:val="nothing"/>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9">
    <w:nsid w:val="0651773C"/>
    <w:multiLevelType w:val="multilevel"/>
    <w:tmpl w:val="0651773C"/>
    <w:lvl w:ilvl="0" w:tentative="0">
      <w:start w:val="2"/>
      <w:numFmt w:val="decimal"/>
      <w:lvlText w:val="%1"/>
      <w:lvlJc w:val="left"/>
      <w:pPr>
        <w:ind w:left="600" w:hanging="483"/>
        <w:jc w:val="left"/>
      </w:pPr>
      <w:rPr>
        <w:rFonts w:hint="default"/>
      </w:rPr>
    </w:lvl>
    <w:lvl w:ilvl="1" w:tentative="0">
      <w:start w:val="2"/>
      <w:numFmt w:val="decimal"/>
      <w:lvlText w:val="%1.%2"/>
      <w:lvlJc w:val="left"/>
      <w:pPr>
        <w:ind w:left="600" w:hanging="483"/>
        <w:jc w:val="left"/>
      </w:pPr>
      <w:rPr>
        <w:rFonts w:hint="default" w:ascii="宋体" w:hAnsi="宋体" w:eastAsia="宋体" w:cs="宋体"/>
        <w:b/>
        <w:bCs/>
        <w:spacing w:val="0"/>
        <w:w w:val="99"/>
        <w:sz w:val="24"/>
        <w:szCs w:val="24"/>
      </w:rPr>
    </w:lvl>
    <w:lvl w:ilvl="2" w:tentative="0">
      <w:start w:val="1"/>
      <w:numFmt w:val="decimal"/>
      <w:lvlText w:val="%1.%2.%3"/>
      <w:lvlJc w:val="left"/>
      <w:pPr>
        <w:ind w:left="118" w:hanging="660"/>
        <w:jc w:val="left"/>
      </w:pPr>
      <w:rPr>
        <w:rFonts w:hint="default" w:ascii="宋体" w:hAnsi="宋体" w:eastAsia="宋体" w:cs="宋体"/>
        <w:w w:val="100"/>
        <w:sz w:val="24"/>
        <w:szCs w:val="24"/>
      </w:rPr>
    </w:lvl>
    <w:lvl w:ilvl="3" w:tentative="0">
      <w:start w:val="0"/>
      <w:numFmt w:val="bullet"/>
      <w:lvlText w:val="•"/>
      <w:lvlJc w:val="left"/>
      <w:pPr>
        <w:ind w:left="2592" w:hanging="660"/>
      </w:pPr>
      <w:rPr>
        <w:rFonts w:hint="default"/>
      </w:rPr>
    </w:lvl>
    <w:lvl w:ilvl="4" w:tentative="0">
      <w:start w:val="0"/>
      <w:numFmt w:val="bullet"/>
      <w:lvlText w:val="•"/>
      <w:lvlJc w:val="left"/>
      <w:pPr>
        <w:ind w:left="3588" w:hanging="660"/>
      </w:pPr>
      <w:rPr>
        <w:rFonts w:hint="default"/>
      </w:rPr>
    </w:lvl>
    <w:lvl w:ilvl="5" w:tentative="0">
      <w:start w:val="0"/>
      <w:numFmt w:val="bullet"/>
      <w:lvlText w:val="•"/>
      <w:lvlJc w:val="left"/>
      <w:pPr>
        <w:ind w:left="4584" w:hanging="660"/>
      </w:pPr>
      <w:rPr>
        <w:rFonts w:hint="default"/>
      </w:rPr>
    </w:lvl>
    <w:lvl w:ilvl="6" w:tentative="0">
      <w:start w:val="0"/>
      <w:numFmt w:val="bullet"/>
      <w:lvlText w:val="•"/>
      <w:lvlJc w:val="left"/>
      <w:pPr>
        <w:ind w:left="5581" w:hanging="660"/>
      </w:pPr>
      <w:rPr>
        <w:rFonts w:hint="default"/>
      </w:rPr>
    </w:lvl>
    <w:lvl w:ilvl="7" w:tentative="0">
      <w:start w:val="0"/>
      <w:numFmt w:val="bullet"/>
      <w:lvlText w:val="•"/>
      <w:lvlJc w:val="left"/>
      <w:pPr>
        <w:ind w:left="6577" w:hanging="660"/>
      </w:pPr>
      <w:rPr>
        <w:rFonts w:hint="default"/>
      </w:rPr>
    </w:lvl>
    <w:lvl w:ilvl="8" w:tentative="0">
      <w:start w:val="0"/>
      <w:numFmt w:val="bullet"/>
      <w:lvlText w:val="•"/>
      <w:lvlJc w:val="left"/>
      <w:pPr>
        <w:ind w:left="7573" w:hanging="660"/>
      </w:pPr>
      <w:rPr>
        <w:rFonts w:hint="default"/>
      </w:rPr>
    </w:lvl>
  </w:abstractNum>
  <w:abstractNum w:abstractNumId="10">
    <w:nsid w:val="06BC776C"/>
    <w:multiLevelType w:val="multilevel"/>
    <w:tmpl w:val="06BC776C"/>
    <w:lvl w:ilvl="0" w:tentative="0">
      <w:start w:val="1"/>
      <w:numFmt w:val="japaneseCounting"/>
      <w:lvlText w:val="第%1条"/>
      <w:lvlJc w:val="left"/>
      <w:pPr>
        <w:ind w:left="1245" w:hanging="765"/>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08666CF3"/>
    <w:multiLevelType w:val="multilevel"/>
    <w:tmpl w:val="08666CF3"/>
    <w:lvl w:ilvl="0" w:tentative="0">
      <w:start w:val="1"/>
      <w:numFmt w:val="decimal"/>
      <w:lvlText w:val="（%1）"/>
      <w:lvlJc w:val="left"/>
      <w:pPr>
        <w:ind w:left="1101" w:hanging="601"/>
        <w:jc w:val="left"/>
      </w:pPr>
      <w:rPr>
        <w:rFonts w:hint="default" w:ascii="宋体" w:hAnsi="宋体" w:eastAsia="宋体" w:cs="宋体"/>
        <w:w w:val="100"/>
        <w:sz w:val="22"/>
        <w:szCs w:val="22"/>
      </w:rPr>
    </w:lvl>
    <w:lvl w:ilvl="1" w:tentative="0">
      <w:start w:val="0"/>
      <w:numFmt w:val="bullet"/>
      <w:lvlText w:val="•"/>
      <w:lvlJc w:val="left"/>
      <w:pPr>
        <w:ind w:left="2048" w:hanging="601"/>
      </w:pPr>
      <w:rPr>
        <w:rFonts w:hint="default"/>
      </w:rPr>
    </w:lvl>
    <w:lvl w:ilvl="2" w:tentative="0">
      <w:start w:val="0"/>
      <w:numFmt w:val="bullet"/>
      <w:lvlText w:val="•"/>
      <w:lvlJc w:val="left"/>
      <w:pPr>
        <w:ind w:left="2996" w:hanging="601"/>
      </w:pPr>
      <w:rPr>
        <w:rFonts w:hint="default"/>
      </w:rPr>
    </w:lvl>
    <w:lvl w:ilvl="3" w:tentative="0">
      <w:start w:val="0"/>
      <w:numFmt w:val="bullet"/>
      <w:lvlText w:val="•"/>
      <w:lvlJc w:val="left"/>
      <w:pPr>
        <w:ind w:left="3944" w:hanging="601"/>
      </w:pPr>
      <w:rPr>
        <w:rFonts w:hint="default"/>
      </w:rPr>
    </w:lvl>
    <w:lvl w:ilvl="4" w:tentative="0">
      <w:start w:val="0"/>
      <w:numFmt w:val="bullet"/>
      <w:lvlText w:val="•"/>
      <w:lvlJc w:val="left"/>
      <w:pPr>
        <w:ind w:left="4892" w:hanging="601"/>
      </w:pPr>
      <w:rPr>
        <w:rFonts w:hint="default"/>
      </w:rPr>
    </w:lvl>
    <w:lvl w:ilvl="5" w:tentative="0">
      <w:start w:val="0"/>
      <w:numFmt w:val="bullet"/>
      <w:lvlText w:val="•"/>
      <w:lvlJc w:val="left"/>
      <w:pPr>
        <w:ind w:left="5840" w:hanging="601"/>
      </w:pPr>
      <w:rPr>
        <w:rFonts w:hint="default"/>
      </w:rPr>
    </w:lvl>
    <w:lvl w:ilvl="6" w:tentative="0">
      <w:start w:val="0"/>
      <w:numFmt w:val="bullet"/>
      <w:lvlText w:val="•"/>
      <w:lvlJc w:val="left"/>
      <w:pPr>
        <w:ind w:left="6788" w:hanging="601"/>
      </w:pPr>
      <w:rPr>
        <w:rFonts w:hint="default"/>
      </w:rPr>
    </w:lvl>
    <w:lvl w:ilvl="7" w:tentative="0">
      <w:start w:val="0"/>
      <w:numFmt w:val="bullet"/>
      <w:lvlText w:val="•"/>
      <w:lvlJc w:val="left"/>
      <w:pPr>
        <w:ind w:left="7736" w:hanging="601"/>
      </w:pPr>
      <w:rPr>
        <w:rFonts w:hint="default"/>
      </w:rPr>
    </w:lvl>
    <w:lvl w:ilvl="8" w:tentative="0">
      <w:start w:val="0"/>
      <w:numFmt w:val="bullet"/>
      <w:lvlText w:val="•"/>
      <w:lvlJc w:val="left"/>
      <w:pPr>
        <w:ind w:left="8684" w:hanging="601"/>
      </w:pPr>
      <w:rPr>
        <w:rFonts w:hint="default"/>
      </w:rPr>
    </w:lvl>
  </w:abstractNum>
  <w:abstractNum w:abstractNumId="12">
    <w:nsid w:val="0B5E5403"/>
    <w:multiLevelType w:val="multilevel"/>
    <w:tmpl w:val="0B5E5403"/>
    <w:lvl w:ilvl="0" w:tentative="0">
      <w:start w:val="5"/>
      <w:numFmt w:val="decimal"/>
      <w:lvlText w:val="%1"/>
      <w:lvlJc w:val="left"/>
      <w:pPr>
        <w:ind w:left="720" w:hanging="603"/>
        <w:jc w:val="left"/>
      </w:pPr>
      <w:rPr>
        <w:rFonts w:hint="default"/>
      </w:rPr>
    </w:lvl>
    <w:lvl w:ilvl="1" w:tentative="0">
      <w:start w:val="1"/>
      <w:numFmt w:val="decimal"/>
      <w:lvlText w:val="%1.%2."/>
      <w:lvlJc w:val="left"/>
      <w:pPr>
        <w:ind w:left="720" w:hanging="603"/>
        <w:jc w:val="left"/>
      </w:pPr>
      <w:rPr>
        <w:rFonts w:hint="default" w:ascii="宋体" w:hAnsi="宋体" w:eastAsia="宋体" w:cs="宋体"/>
        <w:b/>
        <w:bCs/>
        <w:spacing w:val="0"/>
        <w:w w:val="99"/>
        <w:sz w:val="24"/>
        <w:szCs w:val="24"/>
      </w:rPr>
    </w:lvl>
    <w:lvl w:ilvl="2" w:tentative="0">
      <w:start w:val="1"/>
      <w:numFmt w:val="decimal"/>
      <w:lvlText w:val="%1.%2.%3"/>
      <w:lvlJc w:val="left"/>
      <w:pPr>
        <w:ind w:left="838" w:hanging="720"/>
        <w:jc w:val="left"/>
      </w:pPr>
      <w:rPr>
        <w:rFonts w:hint="default" w:ascii="宋体" w:hAnsi="宋体" w:eastAsia="宋体" w:cs="宋体"/>
        <w:w w:val="100"/>
        <w:sz w:val="24"/>
        <w:szCs w:val="24"/>
      </w:rPr>
    </w:lvl>
    <w:lvl w:ilvl="3" w:tentative="0">
      <w:start w:val="0"/>
      <w:numFmt w:val="bullet"/>
      <w:lvlText w:val="•"/>
      <w:lvlJc w:val="left"/>
      <w:pPr>
        <w:ind w:left="2779" w:hanging="720"/>
      </w:pPr>
      <w:rPr>
        <w:rFonts w:hint="default"/>
      </w:rPr>
    </w:lvl>
    <w:lvl w:ilvl="4" w:tentative="0">
      <w:start w:val="0"/>
      <w:numFmt w:val="bullet"/>
      <w:lvlText w:val="•"/>
      <w:lvlJc w:val="left"/>
      <w:pPr>
        <w:ind w:left="3748" w:hanging="720"/>
      </w:pPr>
      <w:rPr>
        <w:rFonts w:hint="default"/>
      </w:rPr>
    </w:lvl>
    <w:lvl w:ilvl="5" w:tentative="0">
      <w:start w:val="0"/>
      <w:numFmt w:val="bullet"/>
      <w:lvlText w:val="•"/>
      <w:lvlJc w:val="left"/>
      <w:pPr>
        <w:ind w:left="4718" w:hanging="720"/>
      </w:pPr>
      <w:rPr>
        <w:rFonts w:hint="default"/>
      </w:rPr>
    </w:lvl>
    <w:lvl w:ilvl="6" w:tentative="0">
      <w:start w:val="0"/>
      <w:numFmt w:val="bullet"/>
      <w:lvlText w:val="•"/>
      <w:lvlJc w:val="left"/>
      <w:pPr>
        <w:ind w:left="5687" w:hanging="720"/>
      </w:pPr>
      <w:rPr>
        <w:rFonts w:hint="default"/>
      </w:rPr>
    </w:lvl>
    <w:lvl w:ilvl="7" w:tentative="0">
      <w:start w:val="0"/>
      <w:numFmt w:val="bullet"/>
      <w:lvlText w:val="•"/>
      <w:lvlJc w:val="left"/>
      <w:pPr>
        <w:ind w:left="6657" w:hanging="720"/>
      </w:pPr>
      <w:rPr>
        <w:rFonts w:hint="default"/>
      </w:rPr>
    </w:lvl>
    <w:lvl w:ilvl="8" w:tentative="0">
      <w:start w:val="0"/>
      <w:numFmt w:val="bullet"/>
      <w:lvlText w:val="•"/>
      <w:lvlJc w:val="left"/>
      <w:pPr>
        <w:ind w:left="7626" w:hanging="720"/>
      </w:pPr>
      <w:rPr>
        <w:rFonts w:hint="default"/>
      </w:rPr>
    </w:lvl>
  </w:abstractNum>
  <w:abstractNum w:abstractNumId="13">
    <w:nsid w:val="0CD5068C"/>
    <w:multiLevelType w:val="multilevel"/>
    <w:tmpl w:val="0CD5068C"/>
    <w:lvl w:ilvl="0" w:tentative="0">
      <w:start w:val="1"/>
      <w:numFmt w:val="decimal"/>
      <w:lvlText w:val="%1."/>
      <w:lvlJc w:val="left"/>
      <w:pPr>
        <w:ind w:left="621" w:hanging="361"/>
        <w:jc w:val="left"/>
      </w:pPr>
      <w:rPr>
        <w:rFonts w:hint="default" w:ascii="宋体" w:hAnsi="宋体" w:eastAsia="宋体" w:cs="宋体"/>
        <w:b/>
        <w:bCs/>
        <w:w w:val="99"/>
        <w:sz w:val="22"/>
        <w:szCs w:val="22"/>
      </w:rPr>
    </w:lvl>
    <w:lvl w:ilvl="1" w:tentative="0">
      <w:start w:val="1"/>
      <w:numFmt w:val="decimal"/>
      <w:lvlText w:val="%1.%2"/>
      <w:lvlJc w:val="left"/>
      <w:pPr>
        <w:ind w:left="740" w:hanging="480"/>
        <w:jc w:val="left"/>
      </w:pPr>
      <w:rPr>
        <w:rFonts w:hint="default" w:ascii="宋体" w:hAnsi="宋体" w:eastAsia="宋体" w:cs="宋体"/>
        <w:w w:val="100"/>
        <w:sz w:val="24"/>
        <w:szCs w:val="24"/>
      </w:rPr>
    </w:lvl>
    <w:lvl w:ilvl="2" w:tentative="0">
      <w:start w:val="0"/>
      <w:numFmt w:val="bullet"/>
      <w:lvlText w:val="•"/>
      <w:lvlJc w:val="left"/>
      <w:pPr>
        <w:ind w:left="1833" w:hanging="480"/>
      </w:pPr>
      <w:rPr>
        <w:rFonts w:hint="default"/>
      </w:rPr>
    </w:lvl>
    <w:lvl w:ilvl="3" w:tentative="0">
      <w:start w:val="0"/>
      <w:numFmt w:val="bullet"/>
      <w:lvlText w:val="•"/>
      <w:lvlJc w:val="left"/>
      <w:pPr>
        <w:ind w:left="2926" w:hanging="480"/>
      </w:pPr>
      <w:rPr>
        <w:rFonts w:hint="default"/>
      </w:rPr>
    </w:lvl>
    <w:lvl w:ilvl="4" w:tentative="0">
      <w:start w:val="0"/>
      <w:numFmt w:val="bullet"/>
      <w:lvlText w:val="•"/>
      <w:lvlJc w:val="left"/>
      <w:pPr>
        <w:ind w:left="4020" w:hanging="480"/>
      </w:pPr>
      <w:rPr>
        <w:rFonts w:hint="default"/>
      </w:rPr>
    </w:lvl>
    <w:lvl w:ilvl="5" w:tentative="0">
      <w:start w:val="0"/>
      <w:numFmt w:val="bullet"/>
      <w:lvlText w:val="•"/>
      <w:lvlJc w:val="left"/>
      <w:pPr>
        <w:ind w:left="5113" w:hanging="480"/>
      </w:pPr>
      <w:rPr>
        <w:rFonts w:hint="default"/>
      </w:rPr>
    </w:lvl>
    <w:lvl w:ilvl="6" w:tentative="0">
      <w:start w:val="0"/>
      <w:numFmt w:val="bullet"/>
      <w:lvlText w:val="•"/>
      <w:lvlJc w:val="left"/>
      <w:pPr>
        <w:ind w:left="6206" w:hanging="480"/>
      </w:pPr>
      <w:rPr>
        <w:rFonts w:hint="default"/>
      </w:rPr>
    </w:lvl>
    <w:lvl w:ilvl="7" w:tentative="0">
      <w:start w:val="0"/>
      <w:numFmt w:val="bullet"/>
      <w:lvlText w:val="•"/>
      <w:lvlJc w:val="left"/>
      <w:pPr>
        <w:ind w:left="7300" w:hanging="480"/>
      </w:pPr>
      <w:rPr>
        <w:rFonts w:hint="default"/>
      </w:rPr>
    </w:lvl>
    <w:lvl w:ilvl="8" w:tentative="0">
      <w:start w:val="0"/>
      <w:numFmt w:val="bullet"/>
      <w:lvlText w:val="•"/>
      <w:lvlJc w:val="left"/>
      <w:pPr>
        <w:ind w:left="8393" w:hanging="480"/>
      </w:pPr>
      <w:rPr>
        <w:rFonts w:hint="default"/>
      </w:rPr>
    </w:lvl>
  </w:abstractNum>
  <w:abstractNum w:abstractNumId="14">
    <w:nsid w:val="0F3A7947"/>
    <w:multiLevelType w:val="singleLevel"/>
    <w:tmpl w:val="0F3A7947"/>
    <w:lvl w:ilvl="0" w:tentative="0">
      <w:start w:val="1"/>
      <w:numFmt w:val="decimal"/>
      <w:suff w:val="nothing"/>
      <w:lvlText w:val="%1、"/>
      <w:lvlJc w:val="left"/>
    </w:lvl>
  </w:abstractNum>
  <w:abstractNum w:abstractNumId="15">
    <w:nsid w:val="15D005E2"/>
    <w:multiLevelType w:val="multilevel"/>
    <w:tmpl w:val="15D005E2"/>
    <w:lvl w:ilvl="0" w:tentative="0">
      <w:start w:val="3"/>
      <w:numFmt w:val="decimal"/>
      <w:lvlText w:val="%1"/>
      <w:lvlJc w:val="left"/>
      <w:pPr>
        <w:ind w:left="522" w:hanging="423"/>
        <w:jc w:val="left"/>
      </w:pPr>
      <w:rPr>
        <w:rFonts w:hint="default"/>
      </w:rPr>
    </w:lvl>
    <w:lvl w:ilvl="1" w:tentative="0">
      <w:start w:val="1"/>
      <w:numFmt w:val="decimal"/>
      <w:lvlText w:val="%1.%2"/>
      <w:lvlJc w:val="left"/>
      <w:pPr>
        <w:ind w:left="522" w:hanging="423"/>
        <w:jc w:val="left"/>
      </w:pPr>
      <w:rPr>
        <w:rFonts w:hint="default" w:ascii="宋体" w:hAnsi="宋体" w:eastAsia="宋体" w:cs="宋体"/>
        <w:b/>
        <w:bCs/>
        <w:spacing w:val="0"/>
        <w:w w:val="99"/>
        <w:sz w:val="24"/>
        <w:szCs w:val="24"/>
      </w:rPr>
    </w:lvl>
    <w:lvl w:ilvl="2" w:tentative="0">
      <w:start w:val="1"/>
      <w:numFmt w:val="decimal"/>
      <w:lvlText w:val="%1.%2.%3"/>
      <w:lvlJc w:val="left"/>
      <w:pPr>
        <w:ind w:left="100" w:hanging="660"/>
        <w:jc w:val="left"/>
      </w:pPr>
      <w:rPr>
        <w:rFonts w:hint="default" w:ascii="宋体" w:hAnsi="宋体" w:eastAsia="宋体" w:cs="宋体"/>
        <w:w w:val="100"/>
        <w:sz w:val="24"/>
        <w:szCs w:val="24"/>
      </w:rPr>
    </w:lvl>
    <w:lvl w:ilvl="3" w:tentative="0">
      <w:start w:val="0"/>
      <w:numFmt w:val="bullet"/>
      <w:lvlText w:val="•"/>
      <w:lvlJc w:val="left"/>
      <w:pPr>
        <w:ind w:left="2720" w:hanging="660"/>
      </w:pPr>
      <w:rPr>
        <w:rFonts w:hint="default"/>
      </w:rPr>
    </w:lvl>
    <w:lvl w:ilvl="4" w:tentative="0">
      <w:start w:val="0"/>
      <w:numFmt w:val="bullet"/>
      <w:lvlText w:val="•"/>
      <w:lvlJc w:val="left"/>
      <w:pPr>
        <w:ind w:left="3820" w:hanging="660"/>
      </w:pPr>
      <w:rPr>
        <w:rFonts w:hint="default"/>
      </w:rPr>
    </w:lvl>
    <w:lvl w:ilvl="5" w:tentative="0">
      <w:start w:val="0"/>
      <w:numFmt w:val="bullet"/>
      <w:lvlText w:val="•"/>
      <w:lvlJc w:val="left"/>
      <w:pPr>
        <w:ind w:left="4920" w:hanging="660"/>
      </w:pPr>
      <w:rPr>
        <w:rFonts w:hint="default"/>
      </w:rPr>
    </w:lvl>
    <w:lvl w:ilvl="6" w:tentative="0">
      <w:start w:val="0"/>
      <w:numFmt w:val="bullet"/>
      <w:lvlText w:val="•"/>
      <w:lvlJc w:val="left"/>
      <w:pPr>
        <w:ind w:left="6020" w:hanging="660"/>
      </w:pPr>
      <w:rPr>
        <w:rFonts w:hint="default"/>
      </w:rPr>
    </w:lvl>
    <w:lvl w:ilvl="7" w:tentative="0">
      <w:start w:val="0"/>
      <w:numFmt w:val="bullet"/>
      <w:lvlText w:val="•"/>
      <w:lvlJc w:val="left"/>
      <w:pPr>
        <w:ind w:left="7120" w:hanging="660"/>
      </w:pPr>
      <w:rPr>
        <w:rFonts w:hint="default"/>
      </w:rPr>
    </w:lvl>
    <w:lvl w:ilvl="8" w:tentative="0">
      <w:start w:val="0"/>
      <w:numFmt w:val="bullet"/>
      <w:lvlText w:val="•"/>
      <w:lvlJc w:val="left"/>
      <w:pPr>
        <w:ind w:left="8220" w:hanging="660"/>
      </w:pPr>
      <w:rPr>
        <w:rFonts w:hint="default"/>
      </w:rPr>
    </w:lvl>
  </w:abstractNum>
  <w:abstractNum w:abstractNumId="16">
    <w:nsid w:val="19E179CB"/>
    <w:multiLevelType w:val="multilevel"/>
    <w:tmpl w:val="19E179CB"/>
    <w:lvl w:ilvl="0" w:tentative="0">
      <w:start w:val="1"/>
      <w:numFmt w:val="decimal"/>
      <w:lvlText w:val="（%1）"/>
      <w:lvlJc w:val="left"/>
      <w:pPr>
        <w:ind w:left="940" w:hanging="720"/>
        <w:jc w:val="left"/>
      </w:pPr>
      <w:rPr>
        <w:rFonts w:hint="default" w:ascii="宋体" w:hAnsi="宋体" w:eastAsia="宋体" w:cs="宋体"/>
        <w:w w:val="100"/>
        <w:sz w:val="24"/>
        <w:szCs w:val="24"/>
      </w:rPr>
    </w:lvl>
    <w:lvl w:ilvl="1" w:tentative="0">
      <w:start w:val="0"/>
      <w:numFmt w:val="bullet"/>
      <w:lvlText w:val="•"/>
      <w:lvlJc w:val="left"/>
      <w:pPr>
        <w:ind w:left="1820" w:hanging="720"/>
      </w:pPr>
      <w:rPr>
        <w:rFonts w:hint="default"/>
      </w:rPr>
    </w:lvl>
    <w:lvl w:ilvl="2" w:tentative="0">
      <w:start w:val="0"/>
      <w:numFmt w:val="bullet"/>
      <w:lvlText w:val="•"/>
      <w:lvlJc w:val="left"/>
      <w:pPr>
        <w:ind w:left="2681" w:hanging="720"/>
      </w:pPr>
      <w:rPr>
        <w:rFonts w:hint="default"/>
      </w:rPr>
    </w:lvl>
    <w:lvl w:ilvl="3" w:tentative="0">
      <w:start w:val="0"/>
      <w:numFmt w:val="bullet"/>
      <w:lvlText w:val="•"/>
      <w:lvlJc w:val="left"/>
      <w:pPr>
        <w:ind w:left="3541" w:hanging="720"/>
      </w:pPr>
      <w:rPr>
        <w:rFonts w:hint="default"/>
      </w:rPr>
    </w:lvl>
    <w:lvl w:ilvl="4" w:tentative="0">
      <w:start w:val="0"/>
      <w:numFmt w:val="bullet"/>
      <w:lvlText w:val="•"/>
      <w:lvlJc w:val="left"/>
      <w:pPr>
        <w:ind w:left="4402" w:hanging="720"/>
      </w:pPr>
      <w:rPr>
        <w:rFonts w:hint="default"/>
      </w:rPr>
    </w:lvl>
    <w:lvl w:ilvl="5" w:tentative="0">
      <w:start w:val="0"/>
      <w:numFmt w:val="bullet"/>
      <w:lvlText w:val="•"/>
      <w:lvlJc w:val="left"/>
      <w:pPr>
        <w:ind w:left="5263" w:hanging="720"/>
      </w:pPr>
      <w:rPr>
        <w:rFonts w:hint="default"/>
      </w:rPr>
    </w:lvl>
    <w:lvl w:ilvl="6" w:tentative="0">
      <w:start w:val="0"/>
      <w:numFmt w:val="bullet"/>
      <w:lvlText w:val="•"/>
      <w:lvlJc w:val="left"/>
      <w:pPr>
        <w:ind w:left="6123" w:hanging="720"/>
      </w:pPr>
      <w:rPr>
        <w:rFonts w:hint="default"/>
      </w:rPr>
    </w:lvl>
    <w:lvl w:ilvl="7" w:tentative="0">
      <w:start w:val="0"/>
      <w:numFmt w:val="bullet"/>
      <w:lvlText w:val="•"/>
      <w:lvlJc w:val="left"/>
      <w:pPr>
        <w:ind w:left="6984" w:hanging="720"/>
      </w:pPr>
      <w:rPr>
        <w:rFonts w:hint="default"/>
      </w:rPr>
    </w:lvl>
    <w:lvl w:ilvl="8" w:tentative="0">
      <w:start w:val="0"/>
      <w:numFmt w:val="bullet"/>
      <w:lvlText w:val="•"/>
      <w:lvlJc w:val="left"/>
      <w:pPr>
        <w:ind w:left="7844" w:hanging="720"/>
      </w:pPr>
      <w:rPr>
        <w:rFonts w:hint="default"/>
      </w:rPr>
    </w:lvl>
  </w:abstractNum>
  <w:abstractNum w:abstractNumId="17">
    <w:nsid w:val="22E035F6"/>
    <w:multiLevelType w:val="multilevel"/>
    <w:tmpl w:val="22E035F6"/>
    <w:lvl w:ilvl="0" w:tentative="0">
      <w:start w:val="1"/>
      <w:numFmt w:val="decimal"/>
      <w:lvlText w:val="%1"/>
      <w:lvlJc w:val="left"/>
      <w:pPr>
        <w:ind w:left="600" w:hanging="483"/>
        <w:jc w:val="left"/>
      </w:pPr>
      <w:rPr>
        <w:rFonts w:hint="default"/>
      </w:rPr>
    </w:lvl>
    <w:lvl w:ilvl="1" w:tentative="0">
      <w:start w:val="1"/>
      <w:numFmt w:val="decimal"/>
      <w:lvlText w:val="%1.%2"/>
      <w:lvlJc w:val="left"/>
      <w:pPr>
        <w:ind w:left="600" w:hanging="483"/>
        <w:jc w:val="left"/>
      </w:pPr>
      <w:rPr>
        <w:rFonts w:hint="default" w:ascii="宋体" w:hAnsi="宋体" w:eastAsia="宋体" w:cs="宋体"/>
        <w:b/>
        <w:bCs/>
        <w:spacing w:val="0"/>
        <w:w w:val="99"/>
        <w:sz w:val="24"/>
        <w:szCs w:val="24"/>
      </w:rPr>
    </w:lvl>
    <w:lvl w:ilvl="2" w:tentative="0">
      <w:start w:val="1"/>
      <w:numFmt w:val="decimal"/>
      <w:lvlText w:val="%1.%2.%3"/>
      <w:lvlJc w:val="left"/>
      <w:pPr>
        <w:ind w:left="118" w:hanging="720"/>
        <w:jc w:val="left"/>
      </w:pPr>
      <w:rPr>
        <w:rFonts w:hint="default" w:ascii="宋体" w:hAnsi="宋体" w:eastAsia="宋体" w:cs="宋体"/>
        <w:spacing w:val="-101"/>
        <w:w w:val="100"/>
        <w:sz w:val="24"/>
        <w:szCs w:val="24"/>
      </w:rPr>
    </w:lvl>
    <w:lvl w:ilvl="3" w:tentative="0">
      <w:start w:val="0"/>
      <w:numFmt w:val="bullet"/>
      <w:lvlText w:val="•"/>
      <w:lvlJc w:val="left"/>
      <w:pPr>
        <w:ind w:left="2592" w:hanging="720"/>
      </w:pPr>
      <w:rPr>
        <w:rFonts w:hint="default"/>
      </w:rPr>
    </w:lvl>
    <w:lvl w:ilvl="4" w:tentative="0">
      <w:start w:val="0"/>
      <w:numFmt w:val="bullet"/>
      <w:lvlText w:val="•"/>
      <w:lvlJc w:val="left"/>
      <w:pPr>
        <w:ind w:left="3588" w:hanging="720"/>
      </w:pPr>
      <w:rPr>
        <w:rFonts w:hint="default"/>
      </w:rPr>
    </w:lvl>
    <w:lvl w:ilvl="5" w:tentative="0">
      <w:start w:val="0"/>
      <w:numFmt w:val="bullet"/>
      <w:lvlText w:val="•"/>
      <w:lvlJc w:val="left"/>
      <w:pPr>
        <w:ind w:left="4584" w:hanging="720"/>
      </w:pPr>
      <w:rPr>
        <w:rFonts w:hint="default"/>
      </w:rPr>
    </w:lvl>
    <w:lvl w:ilvl="6" w:tentative="0">
      <w:start w:val="0"/>
      <w:numFmt w:val="bullet"/>
      <w:lvlText w:val="•"/>
      <w:lvlJc w:val="left"/>
      <w:pPr>
        <w:ind w:left="5581" w:hanging="720"/>
      </w:pPr>
      <w:rPr>
        <w:rFonts w:hint="default"/>
      </w:rPr>
    </w:lvl>
    <w:lvl w:ilvl="7" w:tentative="0">
      <w:start w:val="0"/>
      <w:numFmt w:val="bullet"/>
      <w:lvlText w:val="•"/>
      <w:lvlJc w:val="left"/>
      <w:pPr>
        <w:ind w:left="6577" w:hanging="720"/>
      </w:pPr>
      <w:rPr>
        <w:rFonts w:hint="default"/>
      </w:rPr>
    </w:lvl>
    <w:lvl w:ilvl="8" w:tentative="0">
      <w:start w:val="0"/>
      <w:numFmt w:val="bullet"/>
      <w:lvlText w:val="•"/>
      <w:lvlJc w:val="left"/>
      <w:pPr>
        <w:ind w:left="7573" w:hanging="720"/>
      </w:pPr>
      <w:rPr>
        <w:rFonts w:hint="default"/>
      </w:rPr>
    </w:lvl>
  </w:abstractNum>
  <w:abstractNum w:abstractNumId="18">
    <w:nsid w:val="245E6805"/>
    <w:multiLevelType w:val="multilevel"/>
    <w:tmpl w:val="245E6805"/>
    <w:lvl w:ilvl="0" w:tentative="0">
      <w:start w:val="1"/>
      <w:numFmt w:val="decimal"/>
      <w:lvlText w:val="（%1）"/>
      <w:lvlJc w:val="left"/>
      <w:pPr>
        <w:ind w:left="838" w:hanging="720"/>
        <w:jc w:val="left"/>
      </w:pPr>
      <w:rPr>
        <w:rFonts w:hint="default" w:ascii="宋体" w:hAnsi="宋体" w:eastAsia="宋体" w:cs="宋体"/>
        <w:w w:val="100"/>
        <w:sz w:val="24"/>
        <w:szCs w:val="24"/>
      </w:rPr>
    </w:lvl>
    <w:lvl w:ilvl="1" w:tentative="0">
      <w:start w:val="0"/>
      <w:numFmt w:val="bullet"/>
      <w:lvlText w:val="•"/>
      <w:lvlJc w:val="left"/>
      <w:pPr>
        <w:ind w:left="1712" w:hanging="720"/>
      </w:pPr>
      <w:rPr>
        <w:rFonts w:hint="default"/>
      </w:rPr>
    </w:lvl>
    <w:lvl w:ilvl="2" w:tentative="0">
      <w:start w:val="0"/>
      <w:numFmt w:val="bullet"/>
      <w:lvlText w:val="•"/>
      <w:lvlJc w:val="left"/>
      <w:pPr>
        <w:ind w:left="2585" w:hanging="720"/>
      </w:pPr>
      <w:rPr>
        <w:rFonts w:hint="default"/>
      </w:rPr>
    </w:lvl>
    <w:lvl w:ilvl="3" w:tentative="0">
      <w:start w:val="0"/>
      <w:numFmt w:val="bullet"/>
      <w:lvlText w:val="•"/>
      <w:lvlJc w:val="left"/>
      <w:pPr>
        <w:ind w:left="3457" w:hanging="720"/>
      </w:pPr>
      <w:rPr>
        <w:rFonts w:hint="default"/>
      </w:rPr>
    </w:lvl>
    <w:lvl w:ilvl="4" w:tentative="0">
      <w:start w:val="0"/>
      <w:numFmt w:val="bullet"/>
      <w:lvlText w:val="•"/>
      <w:lvlJc w:val="left"/>
      <w:pPr>
        <w:ind w:left="4330" w:hanging="720"/>
      </w:pPr>
      <w:rPr>
        <w:rFonts w:hint="default"/>
      </w:rPr>
    </w:lvl>
    <w:lvl w:ilvl="5" w:tentative="0">
      <w:start w:val="0"/>
      <w:numFmt w:val="bullet"/>
      <w:lvlText w:val="•"/>
      <w:lvlJc w:val="left"/>
      <w:pPr>
        <w:ind w:left="5203" w:hanging="720"/>
      </w:pPr>
      <w:rPr>
        <w:rFonts w:hint="default"/>
      </w:rPr>
    </w:lvl>
    <w:lvl w:ilvl="6" w:tentative="0">
      <w:start w:val="0"/>
      <w:numFmt w:val="bullet"/>
      <w:lvlText w:val="•"/>
      <w:lvlJc w:val="left"/>
      <w:pPr>
        <w:ind w:left="6075" w:hanging="720"/>
      </w:pPr>
      <w:rPr>
        <w:rFonts w:hint="default"/>
      </w:rPr>
    </w:lvl>
    <w:lvl w:ilvl="7" w:tentative="0">
      <w:start w:val="0"/>
      <w:numFmt w:val="bullet"/>
      <w:lvlText w:val="•"/>
      <w:lvlJc w:val="left"/>
      <w:pPr>
        <w:ind w:left="6948" w:hanging="720"/>
      </w:pPr>
      <w:rPr>
        <w:rFonts w:hint="default"/>
      </w:rPr>
    </w:lvl>
    <w:lvl w:ilvl="8" w:tentative="0">
      <w:start w:val="0"/>
      <w:numFmt w:val="bullet"/>
      <w:lvlText w:val="•"/>
      <w:lvlJc w:val="left"/>
      <w:pPr>
        <w:ind w:left="7820" w:hanging="720"/>
      </w:pPr>
      <w:rPr>
        <w:rFonts w:hint="default"/>
      </w:rPr>
    </w:lvl>
  </w:abstractNum>
  <w:abstractNum w:abstractNumId="19">
    <w:nsid w:val="2683272D"/>
    <w:multiLevelType w:val="multilevel"/>
    <w:tmpl w:val="2683272D"/>
    <w:lvl w:ilvl="0" w:tentative="0">
      <w:start w:val="2"/>
      <w:numFmt w:val="decimal"/>
      <w:lvlText w:val="%1"/>
      <w:lvlJc w:val="left"/>
      <w:pPr>
        <w:ind w:left="522" w:hanging="423"/>
        <w:jc w:val="left"/>
      </w:pPr>
      <w:rPr>
        <w:rFonts w:hint="default"/>
      </w:rPr>
    </w:lvl>
    <w:lvl w:ilvl="1" w:tentative="0">
      <w:start w:val="1"/>
      <w:numFmt w:val="decimal"/>
      <w:lvlText w:val="%1.%2"/>
      <w:lvlJc w:val="left"/>
      <w:pPr>
        <w:ind w:left="522" w:hanging="423"/>
        <w:jc w:val="left"/>
      </w:pPr>
      <w:rPr>
        <w:rFonts w:hint="default" w:ascii="宋体" w:hAnsi="宋体" w:eastAsia="宋体" w:cs="宋体"/>
        <w:b/>
        <w:bCs/>
        <w:spacing w:val="0"/>
        <w:w w:val="99"/>
        <w:sz w:val="24"/>
        <w:szCs w:val="24"/>
      </w:rPr>
    </w:lvl>
    <w:lvl w:ilvl="2" w:tentative="0">
      <w:start w:val="1"/>
      <w:numFmt w:val="decimal"/>
      <w:lvlText w:val="%1.%2.%3"/>
      <w:lvlJc w:val="left"/>
      <w:pPr>
        <w:ind w:left="100" w:hanging="660"/>
        <w:jc w:val="left"/>
      </w:pPr>
      <w:rPr>
        <w:rFonts w:hint="default" w:ascii="宋体" w:hAnsi="宋体" w:eastAsia="宋体" w:cs="宋体"/>
        <w:w w:val="100"/>
        <w:sz w:val="24"/>
        <w:szCs w:val="24"/>
      </w:rPr>
    </w:lvl>
    <w:lvl w:ilvl="3" w:tentative="0">
      <w:start w:val="0"/>
      <w:numFmt w:val="bullet"/>
      <w:lvlText w:val="•"/>
      <w:lvlJc w:val="left"/>
      <w:pPr>
        <w:ind w:left="2720" w:hanging="660"/>
      </w:pPr>
      <w:rPr>
        <w:rFonts w:hint="default"/>
      </w:rPr>
    </w:lvl>
    <w:lvl w:ilvl="4" w:tentative="0">
      <w:start w:val="0"/>
      <w:numFmt w:val="bullet"/>
      <w:lvlText w:val="•"/>
      <w:lvlJc w:val="left"/>
      <w:pPr>
        <w:ind w:left="3820" w:hanging="660"/>
      </w:pPr>
      <w:rPr>
        <w:rFonts w:hint="default"/>
      </w:rPr>
    </w:lvl>
    <w:lvl w:ilvl="5" w:tentative="0">
      <w:start w:val="0"/>
      <w:numFmt w:val="bullet"/>
      <w:lvlText w:val="•"/>
      <w:lvlJc w:val="left"/>
      <w:pPr>
        <w:ind w:left="4920" w:hanging="660"/>
      </w:pPr>
      <w:rPr>
        <w:rFonts w:hint="default"/>
      </w:rPr>
    </w:lvl>
    <w:lvl w:ilvl="6" w:tentative="0">
      <w:start w:val="0"/>
      <w:numFmt w:val="bullet"/>
      <w:lvlText w:val="•"/>
      <w:lvlJc w:val="left"/>
      <w:pPr>
        <w:ind w:left="6020" w:hanging="660"/>
      </w:pPr>
      <w:rPr>
        <w:rFonts w:hint="default"/>
      </w:rPr>
    </w:lvl>
    <w:lvl w:ilvl="7" w:tentative="0">
      <w:start w:val="0"/>
      <w:numFmt w:val="bullet"/>
      <w:lvlText w:val="•"/>
      <w:lvlJc w:val="left"/>
      <w:pPr>
        <w:ind w:left="7120" w:hanging="660"/>
      </w:pPr>
      <w:rPr>
        <w:rFonts w:hint="default"/>
      </w:rPr>
    </w:lvl>
    <w:lvl w:ilvl="8" w:tentative="0">
      <w:start w:val="0"/>
      <w:numFmt w:val="bullet"/>
      <w:lvlText w:val="•"/>
      <w:lvlJc w:val="left"/>
      <w:pPr>
        <w:ind w:left="8220" w:hanging="660"/>
      </w:pPr>
      <w:rPr>
        <w:rFonts w:hint="default"/>
      </w:rPr>
    </w:lvl>
  </w:abstractNum>
  <w:abstractNum w:abstractNumId="20">
    <w:nsid w:val="27F04EED"/>
    <w:multiLevelType w:val="multilevel"/>
    <w:tmpl w:val="27F04EED"/>
    <w:lvl w:ilvl="0" w:tentative="0">
      <w:start w:val="3"/>
      <w:numFmt w:val="decimal"/>
      <w:lvlText w:val="%1"/>
      <w:lvlJc w:val="left"/>
      <w:pPr>
        <w:ind w:left="522" w:hanging="423"/>
        <w:jc w:val="left"/>
      </w:pPr>
      <w:rPr>
        <w:rFonts w:hint="default"/>
      </w:rPr>
    </w:lvl>
    <w:lvl w:ilvl="1" w:tentative="0">
      <w:start w:val="2"/>
      <w:numFmt w:val="decimal"/>
      <w:lvlText w:val="%1.%2"/>
      <w:lvlJc w:val="left"/>
      <w:pPr>
        <w:ind w:left="522" w:hanging="423"/>
        <w:jc w:val="left"/>
      </w:pPr>
      <w:rPr>
        <w:rFonts w:hint="default" w:ascii="宋体" w:hAnsi="宋体" w:eastAsia="宋体" w:cs="宋体"/>
        <w:b/>
        <w:bCs/>
        <w:spacing w:val="0"/>
        <w:w w:val="99"/>
        <w:sz w:val="24"/>
        <w:szCs w:val="24"/>
      </w:rPr>
    </w:lvl>
    <w:lvl w:ilvl="2" w:tentative="0">
      <w:start w:val="1"/>
      <w:numFmt w:val="decimal"/>
      <w:lvlText w:val="%1.%2.%3"/>
      <w:lvlJc w:val="left"/>
      <w:pPr>
        <w:ind w:left="100" w:hanging="660"/>
        <w:jc w:val="left"/>
      </w:pPr>
      <w:rPr>
        <w:rFonts w:hint="default" w:ascii="宋体" w:hAnsi="宋体" w:eastAsia="宋体" w:cs="宋体"/>
        <w:w w:val="100"/>
        <w:sz w:val="24"/>
        <w:szCs w:val="24"/>
      </w:rPr>
    </w:lvl>
    <w:lvl w:ilvl="3" w:tentative="0">
      <w:start w:val="1"/>
      <w:numFmt w:val="decimal"/>
      <w:lvlText w:val="（%4）"/>
      <w:lvlJc w:val="left"/>
      <w:pPr>
        <w:ind w:left="941" w:hanging="601"/>
        <w:jc w:val="left"/>
      </w:pPr>
      <w:rPr>
        <w:rFonts w:hint="default"/>
        <w:w w:val="100"/>
      </w:rPr>
    </w:lvl>
    <w:lvl w:ilvl="4" w:tentative="0">
      <w:start w:val="0"/>
      <w:numFmt w:val="bullet"/>
      <w:lvlText w:val="•"/>
      <w:lvlJc w:val="left"/>
      <w:pPr>
        <w:ind w:left="3310" w:hanging="601"/>
      </w:pPr>
      <w:rPr>
        <w:rFonts w:hint="default"/>
      </w:rPr>
    </w:lvl>
    <w:lvl w:ilvl="5" w:tentative="0">
      <w:start w:val="0"/>
      <w:numFmt w:val="bullet"/>
      <w:lvlText w:val="•"/>
      <w:lvlJc w:val="left"/>
      <w:pPr>
        <w:ind w:left="4495" w:hanging="601"/>
      </w:pPr>
      <w:rPr>
        <w:rFonts w:hint="default"/>
      </w:rPr>
    </w:lvl>
    <w:lvl w:ilvl="6" w:tentative="0">
      <w:start w:val="0"/>
      <w:numFmt w:val="bullet"/>
      <w:lvlText w:val="•"/>
      <w:lvlJc w:val="left"/>
      <w:pPr>
        <w:ind w:left="5680" w:hanging="601"/>
      </w:pPr>
      <w:rPr>
        <w:rFonts w:hint="default"/>
      </w:rPr>
    </w:lvl>
    <w:lvl w:ilvl="7" w:tentative="0">
      <w:start w:val="0"/>
      <w:numFmt w:val="bullet"/>
      <w:lvlText w:val="•"/>
      <w:lvlJc w:val="left"/>
      <w:pPr>
        <w:ind w:left="6865" w:hanging="601"/>
      </w:pPr>
      <w:rPr>
        <w:rFonts w:hint="default"/>
      </w:rPr>
    </w:lvl>
    <w:lvl w:ilvl="8" w:tentative="0">
      <w:start w:val="0"/>
      <w:numFmt w:val="bullet"/>
      <w:lvlText w:val="•"/>
      <w:lvlJc w:val="left"/>
      <w:pPr>
        <w:ind w:left="8050" w:hanging="601"/>
      </w:pPr>
      <w:rPr>
        <w:rFonts w:hint="default"/>
      </w:rPr>
    </w:lvl>
  </w:abstractNum>
  <w:abstractNum w:abstractNumId="21">
    <w:nsid w:val="2AF6581C"/>
    <w:multiLevelType w:val="multilevel"/>
    <w:tmpl w:val="2AF6581C"/>
    <w:lvl w:ilvl="0" w:tentative="0">
      <w:start w:val="9"/>
      <w:numFmt w:val="decimal"/>
      <w:lvlText w:val="%1"/>
      <w:lvlJc w:val="left"/>
      <w:pPr>
        <w:ind w:left="118" w:hanging="660"/>
        <w:jc w:val="left"/>
      </w:pPr>
      <w:rPr>
        <w:rFonts w:hint="default"/>
      </w:rPr>
    </w:lvl>
    <w:lvl w:ilvl="1" w:tentative="0">
      <w:start w:val="2"/>
      <w:numFmt w:val="decimal"/>
      <w:lvlText w:val="%1.%2"/>
      <w:lvlJc w:val="left"/>
      <w:pPr>
        <w:ind w:left="118" w:hanging="660"/>
        <w:jc w:val="left"/>
      </w:pPr>
      <w:rPr>
        <w:rFonts w:hint="default"/>
      </w:rPr>
    </w:lvl>
    <w:lvl w:ilvl="2" w:tentative="0">
      <w:start w:val="1"/>
      <w:numFmt w:val="decimal"/>
      <w:lvlText w:val="%1.%2.%3"/>
      <w:lvlJc w:val="left"/>
      <w:pPr>
        <w:ind w:left="118" w:hanging="660"/>
        <w:jc w:val="left"/>
      </w:pPr>
      <w:rPr>
        <w:rFonts w:hint="default" w:ascii="宋体" w:hAnsi="宋体" w:eastAsia="宋体" w:cs="宋体"/>
        <w:w w:val="100"/>
        <w:sz w:val="24"/>
        <w:szCs w:val="24"/>
      </w:rPr>
    </w:lvl>
    <w:lvl w:ilvl="3" w:tentative="0">
      <w:start w:val="1"/>
      <w:numFmt w:val="decimal"/>
      <w:lvlText w:val="（%4）"/>
      <w:lvlJc w:val="left"/>
      <w:pPr>
        <w:ind w:left="959" w:hanging="601"/>
        <w:jc w:val="left"/>
      </w:pPr>
      <w:rPr>
        <w:rFonts w:hint="default" w:ascii="宋体" w:hAnsi="宋体" w:eastAsia="宋体" w:cs="宋体"/>
        <w:w w:val="100"/>
        <w:sz w:val="22"/>
        <w:szCs w:val="22"/>
      </w:rPr>
    </w:lvl>
    <w:lvl w:ilvl="4" w:tentative="0">
      <w:start w:val="0"/>
      <w:numFmt w:val="bullet"/>
      <w:lvlText w:val="•"/>
      <w:lvlJc w:val="left"/>
      <w:pPr>
        <w:ind w:left="3828" w:hanging="601"/>
      </w:pPr>
      <w:rPr>
        <w:rFonts w:hint="default"/>
      </w:rPr>
    </w:lvl>
    <w:lvl w:ilvl="5" w:tentative="0">
      <w:start w:val="0"/>
      <w:numFmt w:val="bullet"/>
      <w:lvlText w:val="•"/>
      <w:lvlJc w:val="left"/>
      <w:pPr>
        <w:ind w:left="4784" w:hanging="601"/>
      </w:pPr>
      <w:rPr>
        <w:rFonts w:hint="default"/>
      </w:rPr>
    </w:lvl>
    <w:lvl w:ilvl="6" w:tentative="0">
      <w:start w:val="0"/>
      <w:numFmt w:val="bullet"/>
      <w:lvlText w:val="•"/>
      <w:lvlJc w:val="left"/>
      <w:pPr>
        <w:ind w:left="5741" w:hanging="601"/>
      </w:pPr>
      <w:rPr>
        <w:rFonts w:hint="default"/>
      </w:rPr>
    </w:lvl>
    <w:lvl w:ilvl="7" w:tentative="0">
      <w:start w:val="0"/>
      <w:numFmt w:val="bullet"/>
      <w:lvlText w:val="•"/>
      <w:lvlJc w:val="left"/>
      <w:pPr>
        <w:ind w:left="6697" w:hanging="601"/>
      </w:pPr>
      <w:rPr>
        <w:rFonts w:hint="default"/>
      </w:rPr>
    </w:lvl>
    <w:lvl w:ilvl="8" w:tentative="0">
      <w:start w:val="0"/>
      <w:numFmt w:val="bullet"/>
      <w:lvlText w:val="•"/>
      <w:lvlJc w:val="left"/>
      <w:pPr>
        <w:ind w:left="7653" w:hanging="601"/>
      </w:pPr>
      <w:rPr>
        <w:rFonts w:hint="default"/>
      </w:rPr>
    </w:lvl>
  </w:abstractNum>
  <w:abstractNum w:abstractNumId="22">
    <w:nsid w:val="3063039D"/>
    <w:multiLevelType w:val="multilevel"/>
    <w:tmpl w:val="3063039D"/>
    <w:lvl w:ilvl="0" w:tentative="0">
      <w:start w:val="2"/>
      <w:numFmt w:val="decimal"/>
      <w:lvlText w:val="%1"/>
      <w:lvlJc w:val="left"/>
      <w:pPr>
        <w:ind w:left="522" w:hanging="423"/>
        <w:jc w:val="left"/>
      </w:pPr>
      <w:rPr>
        <w:rFonts w:hint="default"/>
      </w:rPr>
    </w:lvl>
    <w:lvl w:ilvl="1" w:tentative="0">
      <w:start w:val="3"/>
      <w:numFmt w:val="decimal"/>
      <w:lvlText w:val="%1.%2"/>
      <w:lvlJc w:val="left"/>
      <w:pPr>
        <w:ind w:left="522" w:hanging="423"/>
        <w:jc w:val="left"/>
      </w:pPr>
      <w:rPr>
        <w:rFonts w:hint="default" w:ascii="宋体" w:hAnsi="宋体" w:eastAsia="宋体" w:cs="宋体"/>
        <w:b/>
        <w:bCs/>
        <w:spacing w:val="0"/>
        <w:w w:val="99"/>
        <w:sz w:val="24"/>
        <w:szCs w:val="24"/>
      </w:rPr>
    </w:lvl>
    <w:lvl w:ilvl="2" w:tentative="0">
      <w:start w:val="1"/>
      <w:numFmt w:val="decimal"/>
      <w:lvlText w:val="%1.%2.%3"/>
      <w:lvlJc w:val="left"/>
      <w:pPr>
        <w:ind w:left="100" w:hanging="660"/>
        <w:jc w:val="left"/>
      </w:pPr>
      <w:rPr>
        <w:rFonts w:hint="default" w:ascii="宋体" w:hAnsi="宋体" w:eastAsia="宋体" w:cs="宋体"/>
        <w:w w:val="100"/>
        <w:sz w:val="24"/>
        <w:szCs w:val="24"/>
      </w:rPr>
    </w:lvl>
    <w:lvl w:ilvl="3" w:tentative="0">
      <w:start w:val="1"/>
      <w:numFmt w:val="decimal"/>
      <w:lvlText w:val="（%4）"/>
      <w:lvlJc w:val="left"/>
      <w:pPr>
        <w:ind w:left="941" w:hanging="601"/>
        <w:jc w:val="left"/>
      </w:pPr>
      <w:rPr>
        <w:rFonts w:hint="default" w:ascii="宋体" w:hAnsi="宋体" w:eastAsia="宋体" w:cs="宋体"/>
        <w:w w:val="100"/>
        <w:sz w:val="22"/>
        <w:szCs w:val="22"/>
      </w:rPr>
    </w:lvl>
    <w:lvl w:ilvl="4" w:tentative="0">
      <w:start w:val="0"/>
      <w:numFmt w:val="bullet"/>
      <w:lvlText w:val="•"/>
      <w:lvlJc w:val="left"/>
      <w:pPr>
        <w:ind w:left="3310" w:hanging="601"/>
      </w:pPr>
      <w:rPr>
        <w:rFonts w:hint="default"/>
      </w:rPr>
    </w:lvl>
    <w:lvl w:ilvl="5" w:tentative="0">
      <w:start w:val="0"/>
      <w:numFmt w:val="bullet"/>
      <w:lvlText w:val="•"/>
      <w:lvlJc w:val="left"/>
      <w:pPr>
        <w:ind w:left="4495" w:hanging="601"/>
      </w:pPr>
      <w:rPr>
        <w:rFonts w:hint="default"/>
      </w:rPr>
    </w:lvl>
    <w:lvl w:ilvl="6" w:tentative="0">
      <w:start w:val="0"/>
      <w:numFmt w:val="bullet"/>
      <w:lvlText w:val="•"/>
      <w:lvlJc w:val="left"/>
      <w:pPr>
        <w:ind w:left="5680" w:hanging="601"/>
      </w:pPr>
      <w:rPr>
        <w:rFonts w:hint="default"/>
      </w:rPr>
    </w:lvl>
    <w:lvl w:ilvl="7" w:tentative="0">
      <w:start w:val="0"/>
      <w:numFmt w:val="bullet"/>
      <w:lvlText w:val="•"/>
      <w:lvlJc w:val="left"/>
      <w:pPr>
        <w:ind w:left="6865" w:hanging="601"/>
      </w:pPr>
      <w:rPr>
        <w:rFonts w:hint="default"/>
      </w:rPr>
    </w:lvl>
    <w:lvl w:ilvl="8" w:tentative="0">
      <w:start w:val="0"/>
      <w:numFmt w:val="bullet"/>
      <w:lvlText w:val="•"/>
      <w:lvlJc w:val="left"/>
      <w:pPr>
        <w:ind w:left="8050" w:hanging="601"/>
      </w:pPr>
      <w:rPr>
        <w:rFonts w:hint="default"/>
      </w:rPr>
    </w:lvl>
  </w:abstractNum>
  <w:abstractNum w:abstractNumId="23">
    <w:nsid w:val="355C58BB"/>
    <w:multiLevelType w:val="multilevel"/>
    <w:tmpl w:val="355C58BB"/>
    <w:lvl w:ilvl="0" w:tentative="0">
      <w:start w:val="10"/>
      <w:numFmt w:val="decimal"/>
      <w:lvlText w:val="%1"/>
      <w:lvlJc w:val="left"/>
      <w:pPr>
        <w:ind w:left="660" w:hanging="543"/>
        <w:jc w:val="left"/>
      </w:pPr>
      <w:rPr>
        <w:rFonts w:hint="default"/>
      </w:rPr>
    </w:lvl>
    <w:lvl w:ilvl="1" w:tentative="0">
      <w:start w:val="1"/>
      <w:numFmt w:val="decimal"/>
      <w:lvlText w:val="%1.%2"/>
      <w:lvlJc w:val="left"/>
      <w:pPr>
        <w:ind w:left="660" w:hanging="543"/>
        <w:jc w:val="left"/>
      </w:pPr>
      <w:rPr>
        <w:rFonts w:hint="default" w:ascii="宋体" w:hAnsi="宋体" w:eastAsia="宋体" w:cs="宋体"/>
        <w:b/>
        <w:bCs/>
        <w:spacing w:val="0"/>
        <w:w w:val="99"/>
        <w:sz w:val="24"/>
        <w:szCs w:val="24"/>
      </w:rPr>
    </w:lvl>
    <w:lvl w:ilvl="2" w:tentative="0">
      <w:start w:val="1"/>
      <w:numFmt w:val="decimal"/>
      <w:lvlText w:val="%1.%2.%3"/>
      <w:lvlJc w:val="left"/>
      <w:pPr>
        <w:ind w:left="118" w:hanging="780"/>
        <w:jc w:val="left"/>
      </w:pPr>
      <w:rPr>
        <w:rFonts w:hint="default" w:ascii="宋体" w:hAnsi="宋体" w:eastAsia="宋体" w:cs="宋体"/>
        <w:w w:val="100"/>
        <w:sz w:val="24"/>
        <w:szCs w:val="24"/>
      </w:rPr>
    </w:lvl>
    <w:lvl w:ilvl="3" w:tentative="0">
      <w:start w:val="0"/>
      <w:numFmt w:val="bullet"/>
      <w:lvlText w:val="•"/>
      <w:lvlJc w:val="left"/>
      <w:pPr>
        <w:ind w:left="2639" w:hanging="780"/>
      </w:pPr>
      <w:rPr>
        <w:rFonts w:hint="default"/>
      </w:rPr>
    </w:lvl>
    <w:lvl w:ilvl="4" w:tentative="0">
      <w:start w:val="0"/>
      <w:numFmt w:val="bullet"/>
      <w:lvlText w:val="•"/>
      <w:lvlJc w:val="left"/>
      <w:pPr>
        <w:ind w:left="3628" w:hanging="780"/>
      </w:pPr>
      <w:rPr>
        <w:rFonts w:hint="default"/>
      </w:rPr>
    </w:lvl>
    <w:lvl w:ilvl="5" w:tentative="0">
      <w:start w:val="0"/>
      <w:numFmt w:val="bullet"/>
      <w:lvlText w:val="•"/>
      <w:lvlJc w:val="left"/>
      <w:pPr>
        <w:ind w:left="4618" w:hanging="780"/>
      </w:pPr>
      <w:rPr>
        <w:rFonts w:hint="default"/>
      </w:rPr>
    </w:lvl>
    <w:lvl w:ilvl="6" w:tentative="0">
      <w:start w:val="0"/>
      <w:numFmt w:val="bullet"/>
      <w:lvlText w:val="•"/>
      <w:lvlJc w:val="left"/>
      <w:pPr>
        <w:ind w:left="5607" w:hanging="780"/>
      </w:pPr>
      <w:rPr>
        <w:rFonts w:hint="default"/>
      </w:rPr>
    </w:lvl>
    <w:lvl w:ilvl="7" w:tentative="0">
      <w:start w:val="0"/>
      <w:numFmt w:val="bullet"/>
      <w:lvlText w:val="•"/>
      <w:lvlJc w:val="left"/>
      <w:pPr>
        <w:ind w:left="6597" w:hanging="780"/>
      </w:pPr>
      <w:rPr>
        <w:rFonts w:hint="default"/>
      </w:rPr>
    </w:lvl>
    <w:lvl w:ilvl="8" w:tentative="0">
      <w:start w:val="0"/>
      <w:numFmt w:val="bullet"/>
      <w:lvlText w:val="•"/>
      <w:lvlJc w:val="left"/>
      <w:pPr>
        <w:ind w:left="7586" w:hanging="780"/>
      </w:pPr>
      <w:rPr>
        <w:rFonts w:hint="default"/>
      </w:rPr>
    </w:lvl>
  </w:abstractNum>
  <w:abstractNum w:abstractNumId="24">
    <w:nsid w:val="390E110C"/>
    <w:multiLevelType w:val="multilevel"/>
    <w:tmpl w:val="390E110C"/>
    <w:lvl w:ilvl="0" w:tentative="0">
      <w:start w:val="1"/>
      <w:numFmt w:val="decimal"/>
      <w:lvlText w:val="（%1）"/>
      <w:lvlJc w:val="left"/>
      <w:pPr>
        <w:ind w:left="260" w:hanging="601"/>
        <w:jc w:val="left"/>
      </w:pPr>
      <w:rPr>
        <w:rFonts w:hint="default" w:ascii="宋体" w:hAnsi="宋体" w:eastAsia="宋体" w:cs="宋体"/>
        <w:b/>
        <w:bCs/>
        <w:w w:val="99"/>
        <w:sz w:val="22"/>
        <w:szCs w:val="22"/>
      </w:rPr>
    </w:lvl>
    <w:lvl w:ilvl="1" w:tentative="0">
      <w:start w:val="0"/>
      <w:numFmt w:val="bullet"/>
      <w:lvlText w:val="•"/>
      <w:lvlJc w:val="left"/>
      <w:pPr>
        <w:ind w:left="1292" w:hanging="601"/>
      </w:pPr>
      <w:rPr>
        <w:rFonts w:hint="default"/>
      </w:rPr>
    </w:lvl>
    <w:lvl w:ilvl="2" w:tentative="0">
      <w:start w:val="0"/>
      <w:numFmt w:val="bullet"/>
      <w:lvlText w:val="•"/>
      <w:lvlJc w:val="left"/>
      <w:pPr>
        <w:ind w:left="2324" w:hanging="601"/>
      </w:pPr>
      <w:rPr>
        <w:rFonts w:hint="default"/>
      </w:rPr>
    </w:lvl>
    <w:lvl w:ilvl="3" w:tentative="0">
      <w:start w:val="0"/>
      <w:numFmt w:val="bullet"/>
      <w:lvlText w:val="•"/>
      <w:lvlJc w:val="left"/>
      <w:pPr>
        <w:ind w:left="3356" w:hanging="601"/>
      </w:pPr>
      <w:rPr>
        <w:rFonts w:hint="default"/>
      </w:rPr>
    </w:lvl>
    <w:lvl w:ilvl="4" w:tentative="0">
      <w:start w:val="0"/>
      <w:numFmt w:val="bullet"/>
      <w:lvlText w:val="•"/>
      <w:lvlJc w:val="left"/>
      <w:pPr>
        <w:ind w:left="4388" w:hanging="601"/>
      </w:pPr>
      <w:rPr>
        <w:rFonts w:hint="default"/>
      </w:rPr>
    </w:lvl>
    <w:lvl w:ilvl="5" w:tentative="0">
      <w:start w:val="0"/>
      <w:numFmt w:val="bullet"/>
      <w:lvlText w:val="•"/>
      <w:lvlJc w:val="left"/>
      <w:pPr>
        <w:ind w:left="5420" w:hanging="601"/>
      </w:pPr>
      <w:rPr>
        <w:rFonts w:hint="default"/>
      </w:rPr>
    </w:lvl>
    <w:lvl w:ilvl="6" w:tentative="0">
      <w:start w:val="0"/>
      <w:numFmt w:val="bullet"/>
      <w:lvlText w:val="•"/>
      <w:lvlJc w:val="left"/>
      <w:pPr>
        <w:ind w:left="6452" w:hanging="601"/>
      </w:pPr>
      <w:rPr>
        <w:rFonts w:hint="default"/>
      </w:rPr>
    </w:lvl>
    <w:lvl w:ilvl="7" w:tentative="0">
      <w:start w:val="0"/>
      <w:numFmt w:val="bullet"/>
      <w:lvlText w:val="•"/>
      <w:lvlJc w:val="left"/>
      <w:pPr>
        <w:ind w:left="7484" w:hanging="601"/>
      </w:pPr>
      <w:rPr>
        <w:rFonts w:hint="default"/>
      </w:rPr>
    </w:lvl>
    <w:lvl w:ilvl="8" w:tentative="0">
      <w:start w:val="0"/>
      <w:numFmt w:val="bullet"/>
      <w:lvlText w:val="•"/>
      <w:lvlJc w:val="left"/>
      <w:pPr>
        <w:ind w:left="8516" w:hanging="601"/>
      </w:pPr>
      <w:rPr>
        <w:rFonts w:hint="default"/>
      </w:rPr>
    </w:lvl>
  </w:abstractNum>
  <w:abstractNum w:abstractNumId="25">
    <w:nsid w:val="391E6B22"/>
    <w:multiLevelType w:val="multilevel"/>
    <w:tmpl w:val="391E6B22"/>
    <w:lvl w:ilvl="0" w:tentative="0">
      <w:start w:val="1"/>
      <w:numFmt w:val="decimal"/>
      <w:lvlText w:val="%1"/>
      <w:lvlJc w:val="left"/>
      <w:pPr>
        <w:ind w:left="740" w:hanging="480"/>
        <w:jc w:val="left"/>
      </w:pPr>
      <w:rPr>
        <w:rFonts w:hint="default"/>
      </w:rPr>
    </w:lvl>
    <w:lvl w:ilvl="1" w:tentative="0">
      <w:start w:val="4"/>
      <w:numFmt w:val="decimal"/>
      <w:lvlText w:val="%1.%2"/>
      <w:lvlJc w:val="left"/>
      <w:pPr>
        <w:ind w:left="740" w:hanging="480"/>
        <w:jc w:val="left"/>
      </w:pPr>
      <w:rPr>
        <w:rFonts w:hint="default" w:ascii="宋体" w:hAnsi="宋体" w:eastAsia="宋体" w:cs="宋体"/>
        <w:w w:val="100"/>
        <w:sz w:val="24"/>
        <w:szCs w:val="24"/>
      </w:rPr>
    </w:lvl>
    <w:lvl w:ilvl="2" w:tentative="0">
      <w:start w:val="0"/>
      <w:numFmt w:val="bullet"/>
      <w:lvlText w:val="•"/>
      <w:lvlJc w:val="left"/>
      <w:pPr>
        <w:ind w:left="2153" w:hanging="480"/>
      </w:pPr>
      <w:rPr>
        <w:rFonts w:hint="default"/>
      </w:rPr>
    </w:lvl>
    <w:lvl w:ilvl="3" w:tentative="0">
      <w:start w:val="0"/>
      <w:numFmt w:val="bullet"/>
      <w:lvlText w:val="•"/>
      <w:lvlJc w:val="left"/>
      <w:pPr>
        <w:ind w:left="3206" w:hanging="480"/>
      </w:pPr>
      <w:rPr>
        <w:rFonts w:hint="default"/>
      </w:rPr>
    </w:lvl>
    <w:lvl w:ilvl="4" w:tentative="0">
      <w:start w:val="0"/>
      <w:numFmt w:val="bullet"/>
      <w:lvlText w:val="•"/>
      <w:lvlJc w:val="left"/>
      <w:pPr>
        <w:ind w:left="4260" w:hanging="480"/>
      </w:pPr>
      <w:rPr>
        <w:rFonts w:hint="default"/>
      </w:rPr>
    </w:lvl>
    <w:lvl w:ilvl="5" w:tentative="0">
      <w:start w:val="0"/>
      <w:numFmt w:val="bullet"/>
      <w:lvlText w:val="•"/>
      <w:lvlJc w:val="left"/>
      <w:pPr>
        <w:ind w:left="5313" w:hanging="480"/>
      </w:pPr>
      <w:rPr>
        <w:rFonts w:hint="default"/>
      </w:rPr>
    </w:lvl>
    <w:lvl w:ilvl="6" w:tentative="0">
      <w:start w:val="0"/>
      <w:numFmt w:val="bullet"/>
      <w:lvlText w:val="•"/>
      <w:lvlJc w:val="left"/>
      <w:pPr>
        <w:ind w:left="6366" w:hanging="480"/>
      </w:pPr>
      <w:rPr>
        <w:rFonts w:hint="default"/>
      </w:rPr>
    </w:lvl>
    <w:lvl w:ilvl="7" w:tentative="0">
      <w:start w:val="0"/>
      <w:numFmt w:val="bullet"/>
      <w:lvlText w:val="•"/>
      <w:lvlJc w:val="left"/>
      <w:pPr>
        <w:ind w:left="7420" w:hanging="480"/>
      </w:pPr>
      <w:rPr>
        <w:rFonts w:hint="default"/>
      </w:rPr>
    </w:lvl>
    <w:lvl w:ilvl="8" w:tentative="0">
      <w:start w:val="0"/>
      <w:numFmt w:val="bullet"/>
      <w:lvlText w:val="•"/>
      <w:lvlJc w:val="left"/>
      <w:pPr>
        <w:ind w:left="8473" w:hanging="480"/>
      </w:pPr>
      <w:rPr>
        <w:rFonts w:hint="default"/>
      </w:rPr>
    </w:lvl>
  </w:abstractNum>
  <w:abstractNum w:abstractNumId="26">
    <w:nsid w:val="3B4345DC"/>
    <w:multiLevelType w:val="multilevel"/>
    <w:tmpl w:val="3B4345DC"/>
    <w:lvl w:ilvl="0" w:tentative="0">
      <w:start w:val="10"/>
      <w:numFmt w:val="decimal"/>
      <w:lvlText w:val="%1"/>
      <w:lvlJc w:val="left"/>
      <w:pPr>
        <w:ind w:left="660" w:hanging="543"/>
        <w:jc w:val="left"/>
      </w:pPr>
      <w:rPr>
        <w:rFonts w:hint="default"/>
      </w:rPr>
    </w:lvl>
    <w:lvl w:ilvl="1" w:tentative="0">
      <w:start w:val="2"/>
      <w:numFmt w:val="decimal"/>
      <w:lvlText w:val="%1.%2"/>
      <w:lvlJc w:val="left"/>
      <w:pPr>
        <w:ind w:left="660" w:hanging="543"/>
        <w:jc w:val="left"/>
      </w:pPr>
      <w:rPr>
        <w:rFonts w:hint="default" w:ascii="宋体" w:hAnsi="宋体" w:eastAsia="宋体" w:cs="宋体"/>
        <w:b/>
        <w:bCs/>
        <w:spacing w:val="0"/>
        <w:w w:val="99"/>
        <w:sz w:val="24"/>
        <w:szCs w:val="24"/>
      </w:rPr>
    </w:lvl>
    <w:lvl w:ilvl="2" w:tentative="0">
      <w:start w:val="1"/>
      <w:numFmt w:val="decimal"/>
      <w:lvlText w:val="%1.%2.%3"/>
      <w:lvlJc w:val="left"/>
      <w:pPr>
        <w:ind w:left="118" w:hanging="780"/>
        <w:jc w:val="left"/>
      </w:pPr>
      <w:rPr>
        <w:rFonts w:hint="default" w:ascii="宋体" w:hAnsi="宋体" w:eastAsia="宋体" w:cs="宋体"/>
        <w:w w:val="100"/>
        <w:sz w:val="24"/>
        <w:szCs w:val="24"/>
      </w:rPr>
    </w:lvl>
    <w:lvl w:ilvl="3" w:tentative="0">
      <w:start w:val="0"/>
      <w:numFmt w:val="bullet"/>
      <w:lvlText w:val="•"/>
      <w:lvlJc w:val="left"/>
      <w:pPr>
        <w:ind w:left="2639" w:hanging="780"/>
      </w:pPr>
      <w:rPr>
        <w:rFonts w:hint="default"/>
      </w:rPr>
    </w:lvl>
    <w:lvl w:ilvl="4" w:tentative="0">
      <w:start w:val="0"/>
      <w:numFmt w:val="bullet"/>
      <w:lvlText w:val="•"/>
      <w:lvlJc w:val="left"/>
      <w:pPr>
        <w:ind w:left="3628" w:hanging="780"/>
      </w:pPr>
      <w:rPr>
        <w:rFonts w:hint="default"/>
      </w:rPr>
    </w:lvl>
    <w:lvl w:ilvl="5" w:tentative="0">
      <w:start w:val="0"/>
      <w:numFmt w:val="bullet"/>
      <w:lvlText w:val="•"/>
      <w:lvlJc w:val="left"/>
      <w:pPr>
        <w:ind w:left="4618" w:hanging="780"/>
      </w:pPr>
      <w:rPr>
        <w:rFonts w:hint="default"/>
      </w:rPr>
    </w:lvl>
    <w:lvl w:ilvl="6" w:tentative="0">
      <w:start w:val="0"/>
      <w:numFmt w:val="bullet"/>
      <w:lvlText w:val="•"/>
      <w:lvlJc w:val="left"/>
      <w:pPr>
        <w:ind w:left="5607" w:hanging="780"/>
      </w:pPr>
      <w:rPr>
        <w:rFonts w:hint="default"/>
      </w:rPr>
    </w:lvl>
    <w:lvl w:ilvl="7" w:tentative="0">
      <w:start w:val="0"/>
      <w:numFmt w:val="bullet"/>
      <w:lvlText w:val="•"/>
      <w:lvlJc w:val="left"/>
      <w:pPr>
        <w:ind w:left="6597" w:hanging="780"/>
      </w:pPr>
      <w:rPr>
        <w:rFonts w:hint="default"/>
      </w:rPr>
    </w:lvl>
    <w:lvl w:ilvl="8" w:tentative="0">
      <w:start w:val="0"/>
      <w:numFmt w:val="bullet"/>
      <w:lvlText w:val="•"/>
      <w:lvlJc w:val="left"/>
      <w:pPr>
        <w:ind w:left="7586" w:hanging="780"/>
      </w:pPr>
      <w:rPr>
        <w:rFonts w:hint="default"/>
      </w:rPr>
    </w:lvl>
  </w:abstractNum>
  <w:abstractNum w:abstractNumId="27">
    <w:nsid w:val="3BA32741"/>
    <w:multiLevelType w:val="multilevel"/>
    <w:tmpl w:val="3BA32741"/>
    <w:lvl w:ilvl="0" w:tentative="0">
      <w:start w:val="9"/>
      <w:numFmt w:val="decimal"/>
      <w:lvlText w:val="%1"/>
      <w:lvlJc w:val="left"/>
      <w:pPr>
        <w:ind w:left="600" w:hanging="483"/>
        <w:jc w:val="left"/>
      </w:pPr>
      <w:rPr>
        <w:rFonts w:hint="default"/>
      </w:rPr>
    </w:lvl>
    <w:lvl w:ilvl="1" w:tentative="0">
      <w:start w:val="3"/>
      <w:numFmt w:val="decimal"/>
      <w:lvlText w:val="%1.%2"/>
      <w:lvlJc w:val="left"/>
      <w:pPr>
        <w:ind w:left="600" w:hanging="483"/>
        <w:jc w:val="left"/>
      </w:pPr>
      <w:rPr>
        <w:rFonts w:hint="default" w:ascii="宋体" w:hAnsi="宋体" w:eastAsia="宋体" w:cs="宋体"/>
        <w:b/>
        <w:bCs/>
        <w:spacing w:val="0"/>
        <w:w w:val="99"/>
        <w:sz w:val="24"/>
        <w:szCs w:val="24"/>
      </w:rPr>
    </w:lvl>
    <w:lvl w:ilvl="2" w:tentative="0">
      <w:start w:val="1"/>
      <w:numFmt w:val="decimal"/>
      <w:lvlText w:val="（%3）"/>
      <w:lvlJc w:val="left"/>
      <w:pPr>
        <w:ind w:left="959" w:hanging="601"/>
        <w:jc w:val="left"/>
      </w:pPr>
      <w:rPr>
        <w:rFonts w:hint="default" w:ascii="宋体" w:hAnsi="宋体" w:eastAsia="宋体" w:cs="宋体"/>
        <w:w w:val="100"/>
        <w:sz w:val="22"/>
        <w:szCs w:val="22"/>
      </w:rPr>
    </w:lvl>
    <w:lvl w:ilvl="3" w:tentative="0">
      <w:start w:val="0"/>
      <w:numFmt w:val="bullet"/>
      <w:lvlText w:val="•"/>
      <w:lvlJc w:val="left"/>
      <w:pPr>
        <w:ind w:left="2872" w:hanging="601"/>
      </w:pPr>
      <w:rPr>
        <w:rFonts w:hint="default"/>
      </w:rPr>
    </w:lvl>
    <w:lvl w:ilvl="4" w:tentative="0">
      <w:start w:val="0"/>
      <w:numFmt w:val="bullet"/>
      <w:lvlText w:val="•"/>
      <w:lvlJc w:val="left"/>
      <w:pPr>
        <w:ind w:left="3828" w:hanging="601"/>
      </w:pPr>
      <w:rPr>
        <w:rFonts w:hint="default"/>
      </w:rPr>
    </w:lvl>
    <w:lvl w:ilvl="5" w:tentative="0">
      <w:start w:val="0"/>
      <w:numFmt w:val="bullet"/>
      <w:lvlText w:val="•"/>
      <w:lvlJc w:val="left"/>
      <w:pPr>
        <w:ind w:left="4784" w:hanging="601"/>
      </w:pPr>
      <w:rPr>
        <w:rFonts w:hint="default"/>
      </w:rPr>
    </w:lvl>
    <w:lvl w:ilvl="6" w:tentative="0">
      <w:start w:val="0"/>
      <w:numFmt w:val="bullet"/>
      <w:lvlText w:val="•"/>
      <w:lvlJc w:val="left"/>
      <w:pPr>
        <w:ind w:left="5741" w:hanging="601"/>
      </w:pPr>
      <w:rPr>
        <w:rFonts w:hint="default"/>
      </w:rPr>
    </w:lvl>
    <w:lvl w:ilvl="7" w:tentative="0">
      <w:start w:val="0"/>
      <w:numFmt w:val="bullet"/>
      <w:lvlText w:val="•"/>
      <w:lvlJc w:val="left"/>
      <w:pPr>
        <w:ind w:left="6697" w:hanging="601"/>
      </w:pPr>
      <w:rPr>
        <w:rFonts w:hint="default"/>
      </w:rPr>
    </w:lvl>
    <w:lvl w:ilvl="8" w:tentative="0">
      <w:start w:val="0"/>
      <w:numFmt w:val="bullet"/>
      <w:lvlText w:val="•"/>
      <w:lvlJc w:val="left"/>
      <w:pPr>
        <w:ind w:left="7653" w:hanging="601"/>
      </w:pPr>
      <w:rPr>
        <w:rFonts w:hint="default"/>
      </w:rPr>
    </w:lvl>
  </w:abstractNum>
  <w:abstractNum w:abstractNumId="28">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9">
    <w:nsid w:val="41D30565"/>
    <w:multiLevelType w:val="multilevel"/>
    <w:tmpl w:val="41D30565"/>
    <w:lvl w:ilvl="0" w:tentative="0">
      <w:start w:val="3"/>
      <w:numFmt w:val="decimal"/>
      <w:lvlText w:val="%1"/>
      <w:lvlJc w:val="left"/>
      <w:pPr>
        <w:ind w:left="720" w:hanging="603"/>
        <w:jc w:val="left"/>
      </w:pPr>
      <w:rPr>
        <w:rFonts w:hint="default"/>
      </w:rPr>
    </w:lvl>
    <w:lvl w:ilvl="1" w:tentative="0">
      <w:start w:val="1"/>
      <w:numFmt w:val="decimal"/>
      <w:lvlText w:val="%1.%2."/>
      <w:lvlJc w:val="left"/>
      <w:pPr>
        <w:ind w:left="720" w:hanging="603"/>
        <w:jc w:val="left"/>
      </w:pPr>
      <w:rPr>
        <w:rFonts w:hint="default" w:ascii="宋体" w:hAnsi="宋体" w:eastAsia="宋体" w:cs="宋体"/>
        <w:b/>
        <w:bCs/>
        <w:spacing w:val="0"/>
        <w:w w:val="99"/>
        <w:sz w:val="24"/>
        <w:szCs w:val="24"/>
      </w:rPr>
    </w:lvl>
    <w:lvl w:ilvl="2" w:tentative="0">
      <w:start w:val="1"/>
      <w:numFmt w:val="decimal"/>
      <w:lvlText w:val="%1.%2.%3"/>
      <w:lvlJc w:val="left"/>
      <w:pPr>
        <w:ind w:left="118" w:hanging="660"/>
        <w:jc w:val="left"/>
      </w:pPr>
      <w:rPr>
        <w:rFonts w:hint="default" w:ascii="宋体" w:hAnsi="宋体" w:eastAsia="宋体" w:cs="宋体"/>
        <w:w w:val="100"/>
        <w:sz w:val="24"/>
        <w:szCs w:val="24"/>
      </w:rPr>
    </w:lvl>
    <w:lvl w:ilvl="3" w:tentative="0">
      <w:start w:val="2"/>
      <w:numFmt w:val="decimal"/>
      <w:lvlText w:val="（%4）"/>
      <w:lvlJc w:val="left"/>
      <w:pPr>
        <w:ind w:left="839" w:hanging="601"/>
        <w:jc w:val="left"/>
      </w:pPr>
      <w:rPr>
        <w:rFonts w:hint="default" w:ascii="宋体" w:hAnsi="宋体" w:eastAsia="宋体" w:cs="宋体"/>
        <w:w w:val="100"/>
        <w:sz w:val="22"/>
        <w:szCs w:val="22"/>
      </w:rPr>
    </w:lvl>
    <w:lvl w:ilvl="4" w:tentative="0">
      <w:start w:val="0"/>
      <w:numFmt w:val="bullet"/>
      <w:lvlText w:val="•"/>
      <w:lvlJc w:val="left"/>
      <w:pPr>
        <w:ind w:left="3021" w:hanging="601"/>
      </w:pPr>
      <w:rPr>
        <w:rFonts w:hint="default"/>
      </w:rPr>
    </w:lvl>
    <w:lvl w:ilvl="5" w:tentative="0">
      <w:start w:val="0"/>
      <w:numFmt w:val="bullet"/>
      <w:lvlText w:val="•"/>
      <w:lvlJc w:val="left"/>
      <w:pPr>
        <w:ind w:left="4112" w:hanging="601"/>
      </w:pPr>
      <w:rPr>
        <w:rFonts w:hint="default"/>
      </w:rPr>
    </w:lvl>
    <w:lvl w:ilvl="6" w:tentative="0">
      <w:start w:val="0"/>
      <w:numFmt w:val="bullet"/>
      <w:lvlText w:val="•"/>
      <w:lvlJc w:val="left"/>
      <w:pPr>
        <w:ind w:left="5203" w:hanging="601"/>
      </w:pPr>
      <w:rPr>
        <w:rFonts w:hint="default"/>
      </w:rPr>
    </w:lvl>
    <w:lvl w:ilvl="7" w:tentative="0">
      <w:start w:val="0"/>
      <w:numFmt w:val="bullet"/>
      <w:lvlText w:val="•"/>
      <w:lvlJc w:val="left"/>
      <w:pPr>
        <w:ind w:left="6293" w:hanging="601"/>
      </w:pPr>
      <w:rPr>
        <w:rFonts w:hint="default"/>
      </w:rPr>
    </w:lvl>
    <w:lvl w:ilvl="8" w:tentative="0">
      <w:start w:val="0"/>
      <w:numFmt w:val="bullet"/>
      <w:lvlText w:val="•"/>
      <w:lvlJc w:val="left"/>
      <w:pPr>
        <w:ind w:left="7384" w:hanging="601"/>
      </w:pPr>
      <w:rPr>
        <w:rFonts w:hint="default"/>
      </w:rPr>
    </w:lvl>
  </w:abstractNum>
  <w:abstractNum w:abstractNumId="30">
    <w:nsid w:val="44A65A1A"/>
    <w:multiLevelType w:val="multilevel"/>
    <w:tmpl w:val="44A65A1A"/>
    <w:lvl w:ilvl="0" w:tentative="0">
      <w:start w:val="6"/>
      <w:numFmt w:val="decimal"/>
      <w:lvlText w:val="%1"/>
      <w:lvlJc w:val="left"/>
      <w:pPr>
        <w:ind w:left="721" w:hanging="604"/>
        <w:jc w:val="left"/>
      </w:pPr>
      <w:rPr>
        <w:rFonts w:hint="default"/>
      </w:rPr>
    </w:lvl>
    <w:lvl w:ilvl="1" w:tentative="0">
      <w:start w:val="1"/>
      <w:numFmt w:val="decimal"/>
      <w:lvlText w:val="%1.%2."/>
      <w:lvlJc w:val="left"/>
      <w:pPr>
        <w:ind w:left="721" w:hanging="604"/>
        <w:jc w:val="left"/>
      </w:pPr>
      <w:rPr>
        <w:rFonts w:hint="default" w:ascii="宋体" w:hAnsi="宋体" w:eastAsia="宋体" w:cs="宋体"/>
        <w:b/>
        <w:bCs/>
        <w:spacing w:val="0"/>
        <w:w w:val="99"/>
        <w:sz w:val="22"/>
        <w:szCs w:val="22"/>
      </w:rPr>
    </w:lvl>
    <w:lvl w:ilvl="2" w:tentative="0">
      <w:start w:val="1"/>
      <w:numFmt w:val="decimal"/>
      <w:lvlText w:val="%1.%2.%3"/>
      <w:lvlJc w:val="left"/>
      <w:pPr>
        <w:ind w:left="118" w:hanging="660"/>
        <w:jc w:val="left"/>
      </w:pPr>
      <w:rPr>
        <w:rFonts w:hint="default" w:ascii="宋体" w:hAnsi="宋体" w:eastAsia="宋体" w:cs="宋体"/>
        <w:w w:val="100"/>
        <w:sz w:val="24"/>
        <w:szCs w:val="24"/>
      </w:rPr>
    </w:lvl>
    <w:lvl w:ilvl="3" w:tentative="0">
      <w:start w:val="1"/>
      <w:numFmt w:val="decimal"/>
      <w:lvlText w:val="（%4）"/>
      <w:lvlJc w:val="left"/>
      <w:pPr>
        <w:ind w:left="118" w:hanging="601"/>
        <w:jc w:val="left"/>
      </w:pPr>
      <w:rPr>
        <w:rFonts w:hint="default" w:ascii="宋体" w:hAnsi="宋体" w:eastAsia="宋体" w:cs="宋体"/>
        <w:spacing w:val="-17"/>
        <w:w w:val="100"/>
        <w:sz w:val="22"/>
        <w:szCs w:val="22"/>
      </w:rPr>
    </w:lvl>
    <w:lvl w:ilvl="4" w:tentative="0">
      <w:start w:val="0"/>
      <w:numFmt w:val="bullet"/>
      <w:lvlText w:val="•"/>
      <w:lvlJc w:val="left"/>
      <w:pPr>
        <w:ind w:left="2976" w:hanging="601"/>
      </w:pPr>
      <w:rPr>
        <w:rFonts w:hint="default"/>
      </w:rPr>
    </w:lvl>
    <w:lvl w:ilvl="5" w:tentative="0">
      <w:start w:val="0"/>
      <w:numFmt w:val="bullet"/>
      <w:lvlText w:val="•"/>
      <w:lvlJc w:val="left"/>
      <w:pPr>
        <w:ind w:left="4074" w:hanging="601"/>
      </w:pPr>
      <w:rPr>
        <w:rFonts w:hint="default"/>
      </w:rPr>
    </w:lvl>
    <w:lvl w:ilvl="6" w:tentative="0">
      <w:start w:val="0"/>
      <w:numFmt w:val="bullet"/>
      <w:lvlText w:val="•"/>
      <w:lvlJc w:val="left"/>
      <w:pPr>
        <w:ind w:left="5173" w:hanging="601"/>
      </w:pPr>
      <w:rPr>
        <w:rFonts w:hint="default"/>
      </w:rPr>
    </w:lvl>
    <w:lvl w:ilvl="7" w:tentative="0">
      <w:start w:val="0"/>
      <w:numFmt w:val="bullet"/>
      <w:lvlText w:val="•"/>
      <w:lvlJc w:val="left"/>
      <w:pPr>
        <w:ind w:left="6271" w:hanging="601"/>
      </w:pPr>
      <w:rPr>
        <w:rFonts w:hint="default"/>
      </w:rPr>
    </w:lvl>
    <w:lvl w:ilvl="8" w:tentative="0">
      <w:start w:val="0"/>
      <w:numFmt w:val="bullet"/>
      <w:lvlText w:val="•"/>
      <w:lvlJc w:val="left"/>
      <w:pPr>
        <w:ind w:left="7369" w:hanging="601"/>
      </w:pPr>
      <w:rPr>
        <w:rFonts w:hint="default"/>
      </w:rPr>
    </w:lvl>
  </w:abstractNum>
  <w:abstractNum w:abstractNumId="31">
    <w:nsid w:val="458C4C1C"/>
    <w:multiLevelType w:val="multilevel"/>
    <w:tmpl w:val="458C4C1C"/>
    <w:lvl w:ilvl="0" w:tentative="0">
      <w:start w:val="9"/>
      <w:numFmt w:val="decimal"/>
      <w:lvlText w:val="%1"/>
      <w:lvlJc w:val="left"/>
      <w:pPr>
        <w:ind w:left="600" w:hanging="483"/>
        <w:jc w:val="left"/>
      </w:pPr>
      <w:rPr>
        <w:rFonts w:hint="default"/>
      </w:rPr>
    </w:lvl>
    <w:lvl w:ilvl="1" w:tentative="0">
      <w:start w:val="1"/>
      <w:numFmt w:val="decimal"/>
      <w:lvlText w:val="%1.%2"/>
      <w:lvlJc w:val="left"/>
      <w:pPr>
        <w:ind w:left="600" w:hanging="483"/>
        <w:jc w:val="left"/>
      </w:pPr>
      <w:rPr>
        <w:rFonts w:hint="default" w:ascii="宋体" w:hAnsi="宋体" w:eastAsia="宋体" w:cs="宋体"/>
        <w:b/>
        <w:bCs/>
        <w:spacing w:val="0"/>
        <w:w w:val="99"/>
        <w:sz w:val="24"/>
        <w:szCs w:val="24"/>
      </w:rPr>
    </w:lvl>
    <w:lvl w:ilvl="2" w:tentative="0">
      <w:start w:val="1"/>
      <w:numFmt w:val="decimal"/>
      <w:lvlText w:val="（%3）"/>
      <w:lvlJc w:val="left"/>
      <w:pPr>
        <w:ind w:left="959" w:hanging="601"/>
        <w:jc w:val="left"/>
      </w:pPr>
      <w:rPr>
        <w:rFonts w:hint="default" w:ascii="宋体" w:hAnsi="宋体" w:eastAsia="宋体" w:cs="宋体"/>
        <w:w w:val="100"/>
        <w:sz w:val="22"/>
        <w:szCs w:val="22"/>
      </w:rPr>
    </w:lvl>
    <w:lvl w:ilvl="3" w:tentative="0">
      <w:start w:val="0"/>
      <w:numFmt w:val="bullet"/>
      <w:lvlText w:val="•"/>
      <w:lvlJc w:val="left"/>
      <w:pPr>
        <w:ind w:left="2872" w:hanging="601"/>
      </w:pPr>
      <w:rPr>
        <w:rFonts w:hint="default"/>
      </w:rPr>
    </w:lvl>
    <w:lvl w:ilvl="4" w:tentative="0">
      <w:start w:val="0"/>
      <w:numFmt w:val="bullet"/>
      <w:lvlText w:val="•"/>
      <w:lvlJc w:val="left"/>
      <w:pPr>
        <w:ind w:left="3828" w:hanging="601"/>
      </w:pPr>
      <w:rPr>
        <w:rFonts w:hint="default"/>
      </w:rPr>
    </w:lvl>
    <w:lvl w:ilvl="5" w:tentative="0">
      <w:start w:val="0"/>
      <w:numFmt w:val="bullet"/>
      <w:lvlText w:val="•"/>
      <w:lvlJc w:val="left"/>
      <w:pPr>
        <w:ind w:left="4784" w:hanging="601"/>
      </w:pPr>
      <w:rPr>
        <w:rFonts w:hint="default"/>
      </w:rPr>
    </w:lvl>
    <w:lvl w:ilvl="6" w:tentative="0">
      <w:start w:val="0"/>
      <w:numFmt w:val="bullet"/>
      <w:lvlText w:val="•"/>
      <w:lvlJc w:val="left"/>
      <w:pPr>
        <w:ind w:left="5741" w:hanging="601"/>
      </w:pPr>
      <w:rPr>
        <w:rFonts w:hint="default"/>
      </w:rPr>
    </w:lvl>
    <w:lvl w:ilvl="7" w:tentative="0">
      <w:start w:val="0"/>
      <w:numFmt w:val="bullet"/>
      <w:lvlText w:val="•"/>
      <w:lvlJc w:val="left"/>
      <w:pPr>
        <w:ind w:left="6697" w:hanging="601"/>
      </w:pPr>
      <w:rPr>
        <w:rFonts w:hint="default"/>
      </w:rPr>
    </w:lvl>
    <w:lvl w:ilvl="8" w:tentative="0">
      <w:start w:val="0"/>
      <w:numFmt w:val="bullet"/>
      <w:lvlText w:val="•"/>
      <w:lvlJc w:val="left"/>
      <w:pPr>
        <w:ind w:left="7653" w:hanging="601"/>
      </w:pPr>
      <w:rPr>
        <w:rFonts w:hint="default"/>
      </w:rPr>
    </w:lvl>
  </w:abstractNum>
  <w:abstractNum w:abstractNumId="32">
    <w:nsid w:val="477C2641"/>
    <w:multiLevelType w:val="multilevel"/>
    <w:tmpl w:val="477C2641"/>
    <w:lvl w:ilvl="0" w:tentative="0">
      <w:start w:val="7"/>
      <w:numFmt w:val="decimal"/>
      <w:lvlText w:val="%1"/>
      <w:lvlJc w:val="left"/>
      <w:pPr>
        <w:ind w:left="720" w:hanging="603"/>
        <w:jc w:val="left"/>
      </w:pPr>
      <w:rPr>
        <w:rFonts w:hint="default"/>
      </w:rPr>
    </w:lvl>
    <w:lvl w:ilvl="1" w:tentative="0">
      <w:start w:val="1"/>
      <w:numFmt w:val="decimal"/>
      <w:lvlText w:val="%1.%2."/>
      <w:lvlJc w:val="left"/>
      <w:pPr>
        <w:ind w:left="720" w:hanging="603"/>
        <w:jc w:val="left"/>
      </w:pPr>
      <w:rPr>
        <w:rFonts w:hint="default" w:ascii="宋体" w:hAnsi="宋体" w:eastAsia="宋体" w:cs="宋体"/>
        <w:b/>
        <w:bCs/>
        <w:spacing w:val="0"/>
        <w:w w:val="99"/>
        <w:sz w:val="24"/>
        <w:szCs w:val="24"/>
      </w:rPr>
    </w:lvl>
    <w:lvl w:ilvl="2" w:tentative="0">
      <w:start w:val="1"/>
      <w:numFmt w:val="decimal"/>
      <w:lvlText w:val="%1.%2.%3"/>
      <w:lvlJc w:val="left"/>
      <w:pPr>
        <w:ind w:left="118" w:hanging="660"/>
        <w:jc w:val="left"/>
      </w:pPr>
      <w:rPr>
        <w:rFonts w:hint="default" w:ascii="宋体" w:hAnsi="宋体" w:eastAsia="宋体" w:cs="宋体"/>
        <w:w w:val="100"/>
        <w:sz w:val="24"/>
        <w:szCs w:val="24"/>
      </w:rPr>
    </w:lvl>
    <w:lvl w:ilvl="3" w:tentative="0">
      <w:start w:val="0"/>
      <w:numFmt w:val="bullet"/>
      <w:lvlText w:val="•"/>
      <w:lvlJc w:val="left"/>
      <w:pPr>
        <w:ind w:left="2685" w:hanging="660"/>
      </w:pPr>
      <w:rPr>
        <w:rFonts w:hint="default"/>
      </w:rPr>
    </w:lvl>
    <w:lvl w:ilvl="4" w:tentative="0">
      <w:start w:val="0"/>
      <w:numFmt w:val="bullet"/>
      <w:lvlText w:val="•"/>
      <w:lvlJc w:val="left"/>
      <w:pPr>
        <w:ind w:left="3668" w:hanging="660"/>
      </w:pPr>
      <w:rPr>
        <w:rFonts w:hint="default"/>
      </w:rPr>
    </w:lvl>
    <w:lvl w:ilvl="5" w:tentative="0">
      <w:start w:val="0"/>
      <w:numFmt w:val="bullet"/>
      <w:lvlText w:val="•"/>
      <w:lvlJc w:val="left"/>
      <w:pPr>
        <w:ind w:left="4651" w:hanging="660"/>
      </w:pPr>
      <w:rPr>
        <w:rFonts w:hint="default"/>
      </w:rPr>
    </w:lvl>
    <w:lvl w:ilvl="6" w:tentative="0">
      <w:start w:val="0"/>
      <w:numFmt w:val="bullet"/>
      <w:lvlText w:val="•"/>
      <w:lvlJc w:val="left"/>
      <w:pPr>
        <w:ind w:left="5634" w:hanging="660"/>
      </w:pPr>
      <w:rPr>
        <w:rFonts w:hint="default"/>
      </w:rPr>
    </w:lvl>
    <w:lvl w:ilvl="7" w:tentative="0">
      <w:start w:val="0"/>
      <w:numFmt w:val="bullet"/>
      <w:lvlText w:val="•"/>
      <w:lvlJc w:val="left"/>
      <w:pPr>
        <w:ind w:left="6617" w:hanging="660"/>
      </w:pPr>
      <w:rPr>
        <w:rFonts w:hint="default"/>
      </w:rPr>
    </w:lvl>
    <w:lvl w:ilvl="8" w:tentative="0">
      <w:start w:val="0"/>
      <w:numFmt w:val="bullet"/>
      <w:lvlText w:val="•"/>
      <w:lvlJc w:val="left"/>
      <w:pPr>
        <w:ind w:left="7600" w:hanging="660"/>
      </w:pPr>
      <w:rPr>
        <w:rFonts w:hint="default"/>
      </w:rPr>
    </w:lvl>
  </w:abstractNum>
  <w:abstractNum w:abstractNumId="33">
    <w:nsid w:val="4CF816BE"/>
    <w:multiLevelType w:val="multilevel"/>
    <w:tmpl w:val="4CF816BE"/>
    <w:lvl w:ilvl="0" w:tentative="0">
      <w:start w:val="8"/>
      <w:numFmt w:val="decimal"/>
      <w:lvlText w:val="%1"/>
      <w:lvlJc w:val="left"/>
      <w:pPr>
        <w:ind w:left="540" w:hanging="423"/>
        <w:jc w:val="left"/>
      </w:pPr>
      <w:rPr>
        <w:rFonts w:hint="default"/>
      </w:rPr>
    </w:lvl>
    <w:lvl w:ilvl="1" w:tentative="0">
      <w:start w:val="1"/>
      <w:numFmt w:val="decimal"/>
      <w:lvlText w:val="%1.%2"/>
      <w:lvlJc w:val="left"/>
      <w:pPr>
        <w:ind w:left="540" w:hanging="423"/>
        <w:jc w:val="left"/>
      </w:pPr>
      <w:rPr>
        <w:rFonts w:hint="default" w:ascii="宋体" w:hAnsi="宋体" w:eastAsia="宋体" w:cs="宋体"/>
        <w:b/>
        <w:bCs/>
        <w:spacing w:val="0"/>
        <w:w w:val="99"/>
        <w:sz w:val="24"/>
        <w:szCs w:val="24"/>
      </w:rPr>
    </w:lvl>
    <w:lvl w:ilvl="2" w:tentative="0">
      <w:start w:val="1"/>
      <w:numFmt w:val="decimal"/>
      <w:lvlText w:val="%1.%2.%3"/>
      <w:lvlJc w:val="left"/>
      <w:pPr>
        <w:ind w:left="778" w:hanging="660"/>
        <w:jc w:val="left"/>
      </w:pPr>
      <w:rPr>
        <w:rFonts w:hint="default" w:ascii="宋体" w:hAnsi="宋体" w:eastAsia="宋体" w:cs="宋体"/>
        <w:w w:val="100"/>
        <w:sz w:val="24"/>
        <w:szCs w:val="24"/>
      </w:rPr>
    </w:lvl>
    <w:lvl w:ilvl="3" w:tentative="0">
      <w:start w:val="1"/>
      <w:numFmt w:val="decimal"/>
      <w:lvlText w:val="（%4）"/>
      <w:lvlJc w:val="left"/>
      <w:pPr>
        <w:ind w:left="933" w:hanging="601"/>
        <w:jc w:val="left"/>
      </w:pPr>
      <w:rPr>
        <w:rFonts w:hint="default" w:ascii="宋体" w:hAnsi="宋体" w:eastAsia="宋体" w:cs="宋体"/>
        <w:spacing w:val="-24"/>
        <w:w w:val="100"/>
        <w:sz w:val="22"/>
        <w:szCs w:val="22"/>
      </w:rPr>
    </w:lvl>
    <w:lvl w:ilvl="4" w:tentative="0">
      <w:start w:val="0"/>
      <w:numFmt w:val="bullet"/>
      <w:lvlText w:val="•"/>
      <w:lvlJc w:val="left"/>
      <w:pPr>
        <w:ind w:left="3096" w:hanging="601"/>
      </w:pPr>
      <w:rPr>
        <w:rFonts w:hint="default"/>
      </w:rPr>
    </w:lvl>
    <w:lvl w:ilvl="5" w:tentative="0">
      <w:start w:val="0"/>
      <w:numFmt w:val="bullet"/>
      <w:lvlText w:val="•"/>
      <w:lvlJc w:val="left"/>
      <w:pPr>
        <w:ind w:left="4174" w:hanging="601"/>
      </w:pPr>
      <w:rPr>
        <w:rFonts w:hint="default"/>
      </w:rPr>
    </w:lvl>
    <w:lvl w:ilvl="6" w:tentative="0">
      <w:start w:val="0"/>
      <w:numFmt w:val="bullet"/>
      <w:lvlText w:val="•"/>
      <w:lvlJc w:val="left"/>
      <w:pPr>
        <w:ind w:left="5253" w:hanging="601"/>
      </w:pPr>
      <w:rPr>
        <w:rFonts w:hint="default"/>
      </w:rPr>
    </w:lvl>
    <w:lvl w:ilvl="7" w:tentative="0">
      <w:start w:val="0"/>
      <w:numFmt w:val="bullet"/>
      <w:lvlText w:val="•"/>
      <w:lvlJc w:val="left"/>
      <w:pPr>
        <w:ind w:left="6331" w:hanging="601"/>
      </w:pPr>
      <w:rPr>
        <w:rFonts w:hint="default"/>
      </w:rPr>
    </w:lvl>
    <w:lvl w:ilvl="8" w:tentative="0">
      <w:start w:val="0"/>
      <w:numFmt w:val="bullet"/>
      <w:lvlText w:val="•"/>
      <w:lvlJc w:val="left"/>
      <w:pPr>
        <w:ind w:left="7409" w:hanging="601"/>
      </w:pPr>
      <w:rPr>
        <w:rFonts w:hint="default"/>
      </w:rPr>
    </w:lvl>
  </w:abstractNum>
  <w:abstractNum w:abstractNumId="34">
    <w:nsid w:val="4E7772B5"/>
    <w:multiLevelType w:val="multilevel"/>
    <w:tmpl w:val="4E7772B5"/>
    <w:lvl w:ilvl="0" w:tentative="0">
      <w:start w:val="1"/>
      <w:numFmt w:val="decimal"/>
      <w:lvlText w:val="（%1）"/>
      <w:lvlJc w:val="left"/>
      <w:pPr>
        <w:ind w:left="107" w:hanging="601"/>
        <w:jc w:val="left"/>
      </w:pPr>
      <w:rPr>
        <w:rFonts w:hint="default" w:ascii="宋体" w:hAnsi="宋体" w:eastAsia="宋体" w:cs="宋体"/>
        <w:spacing w:val="-17"/>
        <w:w w:val="100"/>
        <w:sz w:val="22"/>
        <w:szCs w:val="22"/>
      </w:rPr>
    </w:lvl>
    <w:lvl w:ilvl="1" w:tentative="0">
      <w:start w:val="0"/>
      <w:numFmt w:val="bullet"/>
      <w:lvlText w:val="•"/>
      <w:lvlJc w:val="left"/>
      <w:pPr>
        <w:ind w:left="819" w:hanging="601"/>
      </w:pPr>
      <w:rPr>
        <w:rFonts w:hint="default"/>
      </w:rPr>
    </w:lvl>
    <w:lvl w:ilvl="2" w:tentative="0">
      <w:start w:val="0"/>
      <w:numFmt w:val="bullet"/>
      <w:lvlText w:val="•"/>
      <w:lvlJc w:val="left"/>
      <w:pPr>
        <w:ind w:left="1538" w:hanging="601"/>
      </w:pPr>
      <w:rPr>
        <w:rFonts w:hint="default"/>
      </w:rPr>
    </w:lvl>
    <w:lvl w:ilvl="3" w:tentative="0">
      <w:start w:val="0"/>
      <w:numFmt w:val="bullet"/>
      <w:lvlText w:val="•"/>
      <w:lvlJc w:val="left"/>
      <w:pPr>
        <w:ind w:left="2257" w:hanging="601"/>
      </w:pPr>
      <w:rPr>
        <w:rFonts w:hint="default"/>
      </w:rPr>
    </w:lvl>
    <w:lvl w:ilvl="4" w:tentative="0">
      <w:start w:val="0"/>
      <w:numFmt w:val="bullet"/>
      <w:lvlText w:val="•"/>
      <w:lvlJc w:val="left"/>
      <w:pPr>
        <w:ind w:left="2976" w:hanging="601"/>
      </w:pPr>
      <w:rPr>
        <w:rFonts w:hint="default"/>
      </w:rPr>
    </w:lvl>
    <w:lvl w:ilvl="5" w:tentative="0">
      <w:start w:val="0"/>
      <w:numFmt w:val="bullet"/>
      <w:lvlText w:val="•"/>
      <w:lvlJc w:val="left"/>
      <w:pPr>
        <w:ind w:left="3695" w:hanging="601"/>
      </w:pPr>
      <w:rPr>
        <w:rFonts w:hint="default"/>
      </w:rPr>
    </w:lvl>
    <w:lvl w:ilvl="6" w:tentative="0">
      <w:start w:val="0"/>
      <w:numFmt w:val="bullet"/>
      <w:lvlText w:val="•"/>
      <w:lvlJc w:val="left"/>
      <w:pPr>
        <w:ind w:left="4414" w:hanging="601"/>
      </w:pPr>
      <w:rPr>
        <w:rFonts w:hint="default"/>
      </w:rPr>
    </w:lvl>
    <w:lvl w:ilvl="7" w:tentative="0">
      <w:start w:val="0"/>
      <w:numFmt w:val="bullet"/>
      <w:lvlText w:val="•"/>
      <w:lvlJc w:val="left"/>
      <w:pPr>
        <w:ind w:left="5133" w:hanging="601"/>
      </w:pPr>
      <w:rPr>
        <w:rFonts w:hint="default"/>
      </w:rPr>
    </w:lvl>
    <w:lvl w:ilvl="8" w:tentative="0">
      <w:start w:val="0"/>
      <w:numFmt w:val="bullet"/>
      <w:lvlText w:val="•"/>
      <w:lvlJc w:val="left"/>
      <w:pPr>
        <w:ind w:left="5852" w:hanging="601"/>
      </w:pPr>
      <w:rPr>
        <w:rFonts w:hint="default"/>
      </w:rPr>
    </w:lvl>
  </w:abstractNum>
  <w:abstractNum w:abstractNumId="35">
    <w:nsid w:val="57AD89C1"/>
    <w:multiLevelType w:val="singleLevel"/>
    <w:tmpl w:val="57AD89C1"/>
    <w:lvl w:ilvl="0" w:tentative="0">
      <w:start w:val="4"/>
      <w:numFmt w:val="decimal"/>
      <w:suff w:val="nothing"/>
      <w:lvlText w:val="%1."/>
      <w:lvlJc w:val="left"/>
    </w:lvl>
  </w:abstractNum>
  <w:abstractNum w:abstractNumId="36">
    <w:nsid w:val="6265056B"/>
    <w:multiLevelType w:val="multilevel"/>
    <w:tmpl w:val="6265056B"/>
    <w:lvl w:ilvl="0" w:tentative="0">
      <w:start w:val="1"/>
      <w:numFmt w:val="decimal"/>
      <w:lvlText w:val="（%1）"/>
      <w:lvlJc w:val="left"/>
      <w:pPr>
        <w:ind w:left="1101" w:hanging="601"/>
        <w:jc w:val="left"/>
      </w:pPr>
      <w:rPr>
        <w:rFonts w:hint="default" w:ascii="宋体" w:hAnsi="宋体" w:eastAsia="宋体" w:cs="宋体"/>
        <w:w w:val="100"/>
        <w:sz w:val="22"/>
        <w:szCs w:val="22"/>
      </w:rPr>
    </w:lvl>
    <w:lvl w:ilvl="1" w:tentative="0">
      <w:start w:val="0"/>
      <w:numFmt w:val="bullet"/>
      <w:lvlText w:val="•"/>
      <w:lvlJc w:val="left"/>
      <w:pPr>
        <w:ind w:left="2048" w:hanging="601"/>
      </w:pPr>
      <w:rPr>
        <w:rFonts w:hint="default"/>
      </w:rPr>
    </w:lvl>
    <w:lvl w:ilvl="2" w:tentative="0">
      <w:start w:val="0"/>
      <w:numFmt w:val="bullet"/>
      <w:lvlText w:val="•"/>
      <w:lvlJc w:val="left"/>
      <w:pPr>
        <w:ind w:left="2996" w:hanging="601"/>
      </w:pPr>
      <w:rPr>
        <w:rFonts w:hint="default"/>
      </w:rPr>
    </w:lvl>
    <w:lvl w:ilvl="3" w:tentative="0">
      <w:start w:val="0"/>
      <w:numFmt w:val="bullet"/>
      <w:lvlText w:val="•"/>
      <w:lvlJc w:val="left"/>
      <w:pPr>
        <w:ind w:left="3944" w:hanging="601"/>
      </w:pPr>
      <w:rPr>
        <w:rFonts w:hint="default"/>
      </w:rPr>
    </w:lvl>
    <w:lvl w:ilvl="4" w:tentative="0">
      <w:start w:val="0"/>
      <w:numFmt w:val="bullet"/>
      <w:lvlText w:val="•"/>
      <w:lvlJc w:val="left"/>
      <w:pPr>
        <w:ind w:left="4892" w:hanging="601"/>
      </w:pPr>
      <w:rPr>
        <w:rFonts w:hint="default"/>
      </w:rPr>
    </w:lvl>
    <w:lvl w:ilvl="5" w:tentative="0">
      <w:start w:val="0"/>
      <w:numFmt w:val="bullet"/>
      <w:lvlText w:val="•"/>
      <w:lvlJc w:val="left"/>
      <w:pPr>
        <w:ind w:left="5840" w:hanging="601"/>
      </w:pPr>
      <w:rPr>
        <w:rFonts w:hint="default"/>
      </w:rPr>
    </w:lvl>
    <w:lvl w:ilvl="6" w:tentative="0">
      <w:start w:val="0"/>
      <w:numFmt w:val="bullet"/>
      <w:lvlText w:val="•"/>
      <w:lvlJc w:val="left"/>
      <w:pPr>
        <w:ind w:left="6788" w:hanging="601"/>
      </w:pPr>
      <w:rPr>
        <w:rFonts w:hint="default"/>
      </w:rPr>
    </w:lvl>
    <w:lvl w:ilvl="7" w:tentative="0">
      <w:start w:val="0"/>
      <w:numFmt w:val="bullet"/>
      <w:lvlText w:val="•"/>
      <w:lvlJc w:val="left"/>
      <w:pPr>
        <w:ind w:left="7736" w:hanging="601"/>
      </w:pPr>
      <w:rPr>
        <w:rFonts w:hint="default"/>
      </w:rPr>
    </w:lvl>
    <w:lvl w:ilvl="8" w:tentative="0">
      <w:start w:val="0"/>
      <w:numFmt w:val="bullet"/>
      <w:lvlText w:val="•"/>
      <w:lvlJc w:val="left"/>
      <w:pPr>
        <w:ind w:left="8684" w:hanging="601"/>
      </w:pPr>
      <w:rPr>
        <w:rFonts w:hint="default"/>
      </w:rPr>
    </w:lvl>
  </w:abstractNum>
  <w:abstractNum w:abstractNumId="37">
    <w:nsid w:val="69B76ABA"/>
    <w:multiLevelType w:val="multilevel"/>
    <w:tmpl w:val="69B76ABA"/>
    <w:lvl w:ilvl="0" w:tentative="0">
      <w:start w:val="1"/>
      <w:numFmt w:val="decimal"/>
      <w:lvlText w:val="（%1）"/>
      <w:lvlJc w:val="left"/>
      <w:pPr>
        <w:ind w:left="941" w:hanging="601"/>
        <w:jc w:val="left"/>
      </w:pPr>
      <w:rPr>
        <w:rFonts w:hint="default" w:ascii="宋体" w:hAnsi="宋体" w:eastAsia="宋体" w:cs="宋体"/>
        <w:w w:val="100"/>
        <w:sz w:val="22"/>
        <w:szCs w:val="22"/>
      </w:rPr>
    </w:lvl>
    <w:lvl w:ilvl="1" w:tentative="0">
      <w:start w:val="0"/>
      <w:numFmt w:val="bullet"/>
      <w:lvlText w:val="•"/>
      <w:lvlJc w:val="left"/>
      <w:pPr>
        <w:ind w:left="1888" w:hanging="601"/>
      </w:pPr>
      <w:rPr>
        <w:rFonts w:hint="default"/>
      </w:rPr>
    </w:lvl>
    <w:lvl w:ilvl="2" w:tentative="0">
      <w:start w:val="0"/>
      <w:numFmt w:val="bullet"/>
      <w:lvlText w:val="•"/>
      <w:lvlJc w:val="left"/>
      <w:pPr>
        <w:ind w:left="2836" w:hanging="601"/>
      </w:pPr>
      <w:rPr>
        <w:rFonts w:hint="default"/>
      </w:rPr>
    </w:lvl>
    <w:lvl w:ilvl="3" w:tentative="0">
      <w:start w:val="0"/>
      <w:numFmt w:val="bullet"/>
      <w:lvlText w:val="•"/>
      <w:lvlJc w:val="left"/>
      <w:pPr>
        <w:ind w:left="3784" w:hanging="601"/>
      </w:pPr>
      <w:rPr>
        <w:rFonts w:hint="default"/>
      </w:rPr>
    </w:lvl>
    <w:lvl w:ilvl="4" w:tentative="0">
      <w:start w:val="0"/>
      <w:numFmt w:val="bullet"/>
      <w:lvlText w:val="•"/>
      <w:lvlJc w:val="left"/>
      <w:pPr>
        <w:ind w:left="4732" w:hanging="601"/>
      </w:pPr>
      <w:rPr>
        <w:rFonts w:hint="default"/>
      </w:rPr>
    </w:lvl>
    <w:lvl w:ilvl="5" w:tentative="0">
      <w:start w:val="0"/>
      <w:numFmt w:val="bullet"/>
      <w:lvlText w:val="•"/>
      <w:lvlJc w:val="left"/>
      <w:pPr>
        <w:ind w:left="5680" w:hanging="601"/>
      </w:pPr>
      <w:rPr>
        <w:rFonts w:hint="default"/>
      </w:rPr>
    </w:lvl>
    <w:lvl w:ilvl="6" w:tentative="0">
      <w:start w:val="0"/>
      <w:numFmt w:val="bullet"/>
      <w:lvlText w:val="•"/>
      <w:lvlJc w:val="left"/>
      <w:pPr>
        <w:ind w:left="6628" w:hanging="601"/>
      </w:pPr>
      <w:rPr>
        <w:rFonts w:hint="default"/>
      </w:rPr>
    </w:lvl>
    <w:lvl w:ilvl="7" w:tentative="0">
      <w:start w:val="0"/>
      <w:numFmt w:val="bullet"/>
      <w:lvlText w:val="•"/>
      <w:lvlJc w:val="left"/>
      <w:pPr>
        <w:ind w:left="7576" w:hanging="601"/>
      </w:pPr>
      <w:rPr>
        <w:rFonts w:hint="default"/>
      </w:rPr>
    </w:lvl>
    <w:lvl w:ilvl="8" w:tentative="0">
      <w:start w:val="0"/>
      <w:numFmt w:val="bullet"/>
      <w:lvlText w:val="•"/>
      <w:lvlJc w:val="left"/>
      <w:pPr>
        <w:ind w:left="8524" w:hanging="601"/>
      </w:pPr>
      <w:rPr>
        <w:rFonts w:hint="default"/>
      </w:rPr>
    </w:lvl>
  </w:abstractNum>
  <w:abstractNum w:abstractNumId="38">
    <w:nsid w:val="6D3854E0"/>
    <w:multiLevelType w:val="multilevel"/>
    <w:tmpl w:val="6D3854E0"/>
    <w:lvl w:ilvl="0" w:tentative="0">
      <w:start w:val="9"/>
      <w:numFmt w:val="decimal"/>
      <w:lvlText w:val="%1"/>
      <w:lvlJc w:val="left"/>
      <w:pPr>
        <w:ind w:left="118" w:hanging="660"/>
        <w:jc w:val="left"/>
      </w:pPr>
      <w:rPr>
        <w:rFonts w:hint="default"/>
      </w:rPr>
    </w:lvl>
    <w:lvl w:ilvl="1" w:tentative="0">
      <w:start w:val="5"/>
      <w:numFmt w:val="decimal"/>
      <w:lvlText w:val="%1.%2"/>
      <w:lvlJc w:val="left"/>
      <w:pPr>
        <w:ind w:left="118" w:hanging="660"/>
        <w:jc w:val="left"/>
      </w:pPr>
      <w:rPr>
        <w:rFonts w:hint="default"/>
      </w:rPr>
    </w:lvl>
    <w:lvl w:ilvl="2" w:tentative="0">
      <w:start w:val="1"/>
      <w:numFmt w:val="decimal"/>
      <w:lvlText w:val="%1.%2.%3"/>
      <w:lvlJc w:val="left"/>
      <w:pPr>
        <w:ind w:left="118" w:hanging="660"/>
        <w:jc w:val="left"/>
      </w:pPr>
      <w:rPr>
        <w:rFonts w:hint="default" w:ascii="宋体" w:hAnsi="宋体" w:eastAsia="宋体" w:cs="宋体"/>
        <w:w w:val="100"/>
        <w:sz w:val="24"/>
        <w:szCs w:val="24"/>
      </w:rPr>
    </w:lvl>
    <w:lvl w:ilvl="3" w:tentative="0">
      <w:start w:val="0"/>
      <w:numFmt w:val="bullet"/>
      <w:lvlText w:val="•"/>
      <w:lvlJc w:val="left"/>
      <w:pPr>
        <w:ind w:left="2953" w:hanging="660"/>
      </w:pPr>
      <w:rPr>
        <w:rFonts w:hint="default"/>
      </w:rPr>
    </w:lvl>
    <w:lvl w:ilvl="4" w:tentative="0">
      <w:start w:val="0"/>
      <w:numFmt w:val="bullet"/>
      <w:lvlText w:val="•"/>
      <w:lvlJc w:val="left"/>
      <w:pPr>
        <w:ind w:left="3898" w:hanging="660"/>
      </w:pPr>
      <w:rPr>
        <w:rFonts w:hint="default"/>
      </w:rPr>
    </w:lvl>
    <w:lvl w:ilvl="5" w:tentative="0">
      <w:start w:val="0"/>
      <w:numFmt w:val="bullet"/>
      <w:lvlText w:val="•"/>
      <w:lvlJc w:val="left"/>
      <w:pPr>
        <w:ind w:left="4843" w:hanging="660"/>
      </w:pPr>
      <w:rPr>
        <w:rFonts w:hint="default"/>
      </w:rPr>
    </w:lvl>
    <w:lvl w:ilvl="6" w:tentative="0">
      <w:start w:val="0"/>
      <w:numFmt w:val="bullet"/>
      <w:lvlText w:val="•"/>
      <w:lvlJc w:val="left"/>
      <w:pPr>
        <w:ind w:left="5787" w:hanging="660"/>
      </w:pPr>
      <w:rPr>
        <w:rFonts w:hint="default"/>
      </w:rPr>
    </w:lvl>
    <w:lvl w:ilvl="7" w:tentative="0">
      <w:start w:val="0"/>
      <w:numFmt w:val="bullet"/>
      <w:lvlText w:val="•"/>
      <w:lvlJc w:val="left"/>
      <w:pPr>
        <w:ind w:left="6732" w:hanging="660"/>
      </w:pPr>
      <w:rPr>
        <w:rFonts w:hint="default"/>
      </w:rPr>
    </w:lvl>
    <w:lvl w:ilvl="8" w:tentative="0">
      <w:start w:val="0"/>
      <w:numFmt w:val="bullet"/>
      <w:lvlText w:val="•"/>
      <w:lvlJc w:val="left"/>
      <w:pPr>
        <w:ind w:left="7676" w:hanging="660"/>
      </w:pPr>
      <w:rPr>
        <w:rFonts w:hint="default"/>
      </w:rPr>
    </w:lvl>
  </w:abstractNum>
  <w:abstractNum w:abstractNumId="39">
    <w:nsid w:val="70971D55"/>
    <w:multiLevelType w:val="multilevel"/>
    <w:tmpl w:val="70971D55"/>
    <w:lvl w:ilvl="0" w:tentative="0">
      <w:start w:val="1"/>
      <w:numFmt w:val="decimal"/>
      <w:lvlText w:val="%1"/>
      <w:lvlJc w:val="left"/>
      <w:pPr>
        <w:ind w:left="720" w:hanging="603"/>
        <w:jc w:val="left"/>
      </w:pPr>
      <w:rPr>
        <w:rFonts w:hint="default"/>
      </w:rPr>
    </w:lvl>
    <w:lvl w:ilvl="1" w:tentative="0">
      <w:start w:val="2"/>
      <w:numFmt w:val="decimal"/>
      <w:lvlText w:val="%1.%2."/>
      <w:lvlJc w:val="left"/>
      <w:pPr>
        <w:ind w:left="720" w:hanging="603"/>
        <w:jc w:val="left"/>
      </w:pPr>
      <w:rPr>
        <w:rFonts w:hint="default" w:ascii="宋体" w:hAnsi="宋体" w:eastAsia="宋体" w:cs="宋体"/>
        <w:b/>
        <w:bCs/>
        <w:spacing w:val="0"/>
        <w:w w:val="99"/>
        <w:sz w:val="24"/>
        <w:szCs w:val="24"/>
      </w:rPr>
    </w:lvl>
    <w:lvl w:ilvl="2" w:tentative="0">
      <w:start w:val="1"/>
      <w:numFmt w:val="decimal"/>
      <w:lvlText w:val="%1.%2.%3"/>
      <w:lvlJc w:val="left"/>
      <w:pPr>
        <w:ind w:left="838" w:hanging="720"/>
        <w:jc w:val="left"/>
      </w:pPr>
      <w:rPr>
        <w:rFonts w:hint="default" w:ascii="宋体" w:hAnsi="宋体" w:eastAsia="宋体" w:cs="宋体"/>
        <w:w w:val="100"/>
        <w:sz w:val="24"/>
        <w:szCs w:val="24"/>
      </w:rPr>
    </w:lvl>
    <w:lvl w:ilvl="3" w:tentative="0">
      <w:start w:val="0"/>
      <w:numFmt w:val="bullet"/>
      <w:lvlText w:val="•"/>
      <w:lvlJc w:val="left"/>
      <w:pPr>
        <w:ind w:left="1930" w:hanging="720"/>
      </w:pPr>
      <w:rPr>
        <w:rFonts w:hint="default"/>
      </w:rPr>
    </w:lvl>
    <w:lvl w:ilvl="4" w:tentative="0">
      <w:start w:val="0"/>
      <w:numFmt w:val="bullet"/>
      <w:lvlText w:val="•"/>
      <w:lvlJc w:val="left"/>
      <w:pPr>
        <w:ind w:left="3021" w:hanging="720"/>
      </w:pPr>
      <w:rPr>
        <w:rFonts w:hint="default"/>
      </w:rPr>
    </w:lvl>
    <w:lvl w:ilvl="5" w:tentative="0">
      <w:start w:val="0"/>
      <w:numFmt w:val="bullet"/>
      <w:lvlText w:val="•"/>
      <w:lvlJc w:val="left"/>
      <w:pPr>
        <w:ind w:left="4112" w:hanging="720"/>
      </w:pPr>
      <w:rPr>
        <w:rFonts w:hint="default"/>
      </w:rPr>
    </w:lvl>
    <w:lvl w:ilvl="6" w:tentative="0">
      <w:start w:val="0"/>
      <w:numFmt w:val="bullet"/>
      <w:lvlText w:val="•"/>
      <w:lvlJc w:val="left"/>
      <w:pPr>
        <w:ind w:left="5203" w:hanging="720"/>
      </w:pPr>
      <w:rPr>
        <w:rFonts w:hint="default"/>
      </w:rPr>
    </w:lvl>
    <w:lvl w:ilvl="7" w:tentative="0">
      <w:start w:val="0"/>
      <w:numFmt w:val="bullet"/>
      <w:lvlText w:val="•"/>
      <w:lvlJc w:val="left"/>
      <w:pPr>
        <w:ind w:left="6293" w:hanging="720"/>
      </w:pPr>
      <w:rPr>
        <w:rFonts w:hint="default"/>
      </w:rPr>
    </w:lvl>
    <w:lvl w:ilvl="8" w:tentative="0">
      <w:start w:val="0"/>
      <w:numFmt w:val="bullet"/>
      <w:lvlText w:val="•"/>
      <w:lvlJc w:val="left"/>
      <w:pPr>
        <w:ind w:left="7384" w:hanging="720"/>
      </w:pPr>
      <w:rPr>
        <w:rFonts w:hint="default"/>
      </w:rPr>
    </w:lvl>
  </w:abstractNum>
  <w:abstractNum w:abstractNumId="40">
    <w:nsid w:val="710114F4"/>
    <w:multiLevelType w:val="multilevel"/>
    <w:tmpl w:val="710114F4"/>
    <w:lvl w:ilvl="0" w:tentative="0">
      <w:start w:val="2"/>
      <w:numFmt w:val="decimal"/>
      <w:lvlText w:val="%1"/>
      <w:lvlJc w:val="left"/>
      <w:pPr>
        <w:ind w:left="720" w:hanging="603"/>
        <w:jc w:val="left"/>
      </w:pPr>
      <w:rPr>
        <w:rFonts w:hint="default"/>
      </w:rPr>
    </w:lvl>
    <w:lvl w:ilvl="1" w:tentative="0">
      <w:start w:val="1"/>
      <w:numFmt w:val="decimal"/>
      <w:lvlText w:val="%1.%2."/>
      <w:lvlJc w:val="left"/>
      <w:pPr>
        <w:ind w:left="720" w:hanging="603"/>
        <w:jc w:val="left"/>
      </w:pPr>
      <w:rPr>
        <w:rFonts w:hint="default" w:ascii="宋体" w:hAnsi="宋体" w:eastAsia="宋体" w:cs="宋体"/>
        <w:b/>
        <w:bCs/>
        <w:spacing w:val="0"/>
        <w:w w:val="99"/>
        <w:sz w:val="24"/>
        <w:szCs w:val="24"/>
      </w:rPr>
    </w:lvl>
    <w:lvl w:ilvl="2" w:tentative="0">
      <w:start w:val="1"/>
      <w:numFmt w:val="decimal"/>
      <w:lvlText w:val="%1.%2.%3"/>
      <w:lvlJc w:val="left"/>
      <w:pPr>
        <w:ind w:left="118" w:hanging="660"/>
        <w:jc w:val="left"/>
      </w:pPr>
      <w:rPr>
        <w:rFonts w:hint="default" w:ascii="宋体" w:hAnsi="宋体" w:eastAsia="宋体" w:cs="宋体"/>
        <w:w w:val="100"/>
        <w:sz w:val="24"/>
        <w:szCs w:val="24"/>
      </w:rPr>
    </w:lvl>
    <w:lvl w:ilvl="3" w:tentative="0">
      <w:start w:val="0"/>
      <w:numFmt w:val="bullet"/>
      <w:lvlText w:val="•"/>
      <w:lvlJc w:val="left"/>
      <w:pPr>
        <w:ind w:left="2685" w:hanging="660"/>
      </w:pPr>
      <w:rPr>
        <w:rFonts w:hint="default"/>
      </w:rPr>
    </w:lvl>
    <w:lvl w:ilvl="4" w:tentative="0">
      <w:start w:val="0"/>
      <w:numFmt w:val="bullet"/>
      <w:lvlText w:val="•"/>
      <w:lvlJc w:val="left"/>
      <w:pPr>
        <w:ind w:left="3668" w:hanging="660"/>
      </w:pPr>
      <w:rPr>
        <w:rFonts w:hint="default"/>
      </w:rPr>
    </w:lvl>
    <w:lvl w:ilvl="5" w:tentative="0">
      <w:start w:val="0"/>
      <w:numFmt w:val="bullet"/>
      <w:lvlText w:val="•"/>
      <w:lvlJc w:val="left"/>
      <w:pPr>
        <w:ind w:left="4651" w:hanging="660"/>
      </w:pPr>
      <w:rPr>
        <w:rFonts w:hint="default"/>
      </w:rPr>
    </w:lvl>
    <w:lvl w:ilvl="6" w:tentative="0">
      <w:start w:val="0"/>
      <w:numFmt w:val="bullet"/>
      <w:lvlText w:val="•"/>
      <w:lvlJc w:val="left"/>
      <w:pPr>
        <w:ind w:left="5634" w:hanging="660"/>
      </w:pPr>
      <w:rPr>
        <w:rFonts w:hint="default"/>
      </w:rPr>
    </w:lvl>
    <w:lvl w:ilvl="7" w:tentative="0">
      <w:start w:val="0"/>
      <w:numFmt w:val="bullet"/>
      <w:lvlText w:val="•"/>
      <w:lvlJc w:val="left"/>
      <w:pPr>
        <w:ind w:left="6617" w:hanging="660"/>
      </w:pPr>
      <w:rPr>
        <w:rFonts w:hint="default"/>
      </w:rPr>
    </w:lvl>
    <w:lvl w:ilvl="8" w:tentative="0">
      <w:start w:val="0"/>
      <w:numFmt w:val="bullet"/>
      <w:lvlText w:val="•"/>
      <w:lvlJc w:val="left"/>
      <w:pPr>
        <w:ind w:left="7600" w:hanging="660"/>
      </w:pPr>
      <w:rPr>
        <w:rFonts w:hint="default"/>
      </w:rPr>
    </w:lvl>
  </w:abstractNum>
  <w:abstractNum w:abstractNumId="41">
    <w:nsid w:val="77AC4476"/>
    <w:multiLevelType w:val="multilevel"/>
    <w:tmpl w:val="77AC4476"/>
    <w:lvl w:ilvl="0" w:tentative="0">
      <w:start w:val="3"/>
      <w:numFmt w:val="decimal"/>
      <w:lvlText w:val="（%1）"/>
      <w:lvlJc w:val="left"/>
      <w:pPr>
        <w:ind w:left="1299" w:hanging="720"/>
        <w:jc w:val="left"/>
      </w:pPr>
      <w:rPr>
        <w:rFonts w:hint="default" w:ascii="宋体" w:hAnsi="宋体" w:eastAsia="宋体" w:cs="宋体"/>
        <w:w w:val="100"/>
        <w:sz w:val="24"/>
        <w:szCs w:val="24"/>
      </w:rPr>
    </w:lvl>
    <w:lvl w:ilvl="1" w:tentative="0">
      <w:start w:val="0"/>
      <w:numFmt w:val="bullet"/>
      <w:lvlText w:val="•"/>
      <w:lvlJc w:val="left"/>
      <w:pPr>
        <w:ind w:left="2126" w:hanging="720"/>
      </w:pPr>
      <w:rPr>
        <w:rFonts w:hint="default"/>
      </w:rPr>
    </w:lvl>
    <w:lvl w:ilvl="2" w:tentative="0">
      <w:start w:val="0"/>
      <w:numFmt w:val="bullet"/>
      <w:lvlText w:val="•"/>
      <w:lvlJc w:val="left"/>
      <w:pPr>
        <w:ind w:left="2953" w:hanging="720"/>
      </w:pPr>
      <w:rPr>
        <w:rFonts w:hint="default"/>
      </w:rPr>
    </w:lvl>
    <w:lvl w:ilvl="3" w:tentative="0">
      <w:start w:val="0"/>
      <w:numFmt w:val="bullet"/>
      <w:lvlText w:val="•"/>
      <w:lvlJc w:val="left"/>
      <w:pPr>
        <w:ind w:left="3779" w:hanging="720"/>
      </w:pPr>
      <w:rPr>
        <w:rFonts w:hint="default"/>
      </w:rPr>
    </w:lvl>
    <w:lvl w:ilvl="4" w:tentative="0">
      <w:start w:val="0"/>
      <w:numFmt w:val="bullet"/>
      <w:lvlText w:val="•"/>
      <w:lvlJc w:val="left"/>
      <w:pPr>
        <w:ind w:left="4606" w:hanging="720"/>
      </w:pPr>
      <w:rPr>
        <w:rFonts w:hint="default"/>
      </w:rPr>
    </w:lvl>
    <w:lvl w:ilvl="5" w:tentative="0">
      <w:start w:val="0"/>
      <w:numFmt w:val="bullet"/>
      <w:lvlText w:val="•"/>
      <w:lvlJc w:val="left"/>
      <w:pPr>
        <w:ind w:left="5433" w:hanging="720"/>
      </w:pPr>
      <w:rPr>
        <w:rFonts w:hint="default"/>
      </w:rPr>
    </w:lvl>
    <w:lvl w:ilvl="6" w:tentative="0">
      <w:start w:val="0"/>
      <w:numFmt w:val="bullet"/>
      <w:lvlText w:val="•"/>
      <w:lvlJc w:val="left"/>
      <w:pPr>
        <w:ind w:left="6259" w:hanging="720"/>
      </w:pPr>
      <w:rPr>
        <w:rFonts w:hint="default"/>
      </w:rPr>
    </w:lvl>
    <w:lvl w:ilvl="7" w:tentative="0">
      <w:start w:val="0"/>
      <w:numFmt w:val="bullet"/>
      <w:lvlText w:val="•"/>
      <w:lvlJc w:val="left"/>
      <w:pPr>
        <w:ind w:left="7086" w:hanging="720"/>
      </w:pPr>
      <w:rPr>
        <w:rFonts w:hint="default"/>
      </w:rPr>
    </w:lvl>
    <w:lvl w:ilvl="8" w:tentative="0">
      <w:start w:val="0"/>
      <w:numFmt w:val="bullet"/>
      <w:lvlText w:val="•"/>
      <w:lvlJc w:val="left"/>
      <w:pPr>
        <w:ind w:left="7912" w:hanging="720"/>
      </w:pPr>
      <w:rPr>
        <w:rFonts w:hint="default"/>
      </w:rPr>
    </w:lvl>
  </w:abstractNum>
  <w:abstractNum w:abstractNumId="42">
    <w:nsid w:val="7FF65D88"/>
    <w:multiLevelType w:val="multilevel"/>
    <w:tmpl w:val="7FF65D88"/>
    <w:lvl w:ilvl="0" w:tentative="0">
      <w:start w:val="1"/>
      <w:numFmt w:val="decimal"/>
      <w:lvlText w:val="（%1）"/>
      <w:lvlJc w:val="left"/>
      <w:pPr>
        <w:ind w:left="839" w:hanging="601"/>
        <w:jc w:val="left"/>
      </w:pPr>
      <w:rPr>
        <w:rFonts w:hint="default" w:ascii="宋体" w:hAnsi="宋体" w:eastAsia="宋体" w:cs="宋体"/>
        <w:w w:val="100"/>
        <w:sz w:val="22"/>
        <w:szCs w:val="22"/>
      </w:rPr>
    </w:lvl>
    <w:lvl w:ilvl="1" w:tentative="0">
      <w:start w:val="0"/>
      <w:numFmt w:val="bullet"/>
      <w:lvlText w:val="•"/>
      <w:lvlJc w:val="left"/>
      <w:pPr>
        <w:ind w:left="1712" w:hanging="601"/>
      </w:pPr>
      <w:rPr>
        <w:rFonts w:hint="default"/>
      </w:rPr>
    </w:lvl>
    <w:lvl w:ilvl="2" w:tentative="0">
      <w:start w:val="0"/>
      <w:numFmt w:val="bullet"/>
      <w:lvlText w:val="•"/>
      <w:lvlJc w:val="left"/>
      <w:pPr>
        <w:ind w:left="2585" w:hanging="601"/>
      </w:pPr>
      <w:rPr>
        <w:rFonts w:hint="default"/>
      </w:rPr>
    </w:lvl>
    <w:lvl w:ilvl="3" w:tentative="0">
      <w:start w:val="0"/>
      <w:numFmt w:val="bullet"/>
      <w:lvlText w:val="•"/>
      <w:lvlJc w:val="left"/>
      <w:pPr>
        <w:ind w:left="3457" w:hanging="601"/>
      </w:pPr>
      <w:rPr>
        <w:rFonts w:hint="default"/>
      </w:rPr>
    </w:lvl>
    <w:lvl w:ilvl="4" w:tentative="0">
      <w:start w:val="0"/>
      <w:numFmt w:val="bullet"/>
      <w:lvlText w:val="•"/>
      <w:lvlJc w:val="left"/>
      <w:pPr>
        <w:ind w:left="4330" w:hanging="601"/>
      </w:pPr>
      <w:rPr>
        <w:rFonts w:hint="default"/>
      </w:rPr>
    </w:lvl>
    <w:lvl w:ilvl="5" w:tentative="0">
      <w:start w:val="0"/>
      <w:numFmt w:val="bullet"/>
      <w:lvlText w:val="•"/>
      <w:lvlJc w:val="left"/>
      <w:pPr>
        <w:ind w:left="5203" w:hanging="601"/>
      </w:pPr>
      <w:rPr>
        <w:rFonts w:hint="default"/>
      </w:rPr>
    </w:lvl>
    <w:lvl w:ilvl="6" w:tentative="0">
      <w:start w:val="0"/>
      <w:numFmt w:val="bullet"/>
      <w:lvlText w:val="•"/>
      <w:lvlJc w:val="left"/>
      <w:pPr>
        <w:ind w:left="6075" w:hanging="601"/>
      </w:pPr>
      <w:rPr>
        <w:rFonts w:hint="default"/>
      </w:rPr>
    </w:lvl>
    <w:lvl w:ilvl="7" w:tentative="0">
      <w:start w:val="0"/>
      <w:numFmt w:val="bullet"/>
      <w:lvlText w:val="•"/>
      <w:lvlJc w:val="left"/>
      <w:pPr>
        <w:ind w:left="6948" w:hanging="601"/>
      </w:pPr>
      <w:rPr>
        <w:rFonts w:hint="default"/>
      </w:rPr>
    </w:lvl>
    <w:lvl w:ilvl="8" w:tentative="0">
      <w:start w:val="0"/>
      <w:numFmt w:val="bullet"/>
      <w:lvlText w:val="•"/>
      <w:lvlJc w:val="left"/>
      <w:pPr>
        <w:ind w:left="7820" w:hanging="601"/>
      </w:pPr>
      <w:rPr>
        <w:rFonts w:hint="default"/>
      </w:rPr>
    </w:lvl>
  </w:abstractNum>
  <w:num w:numId="1">
    <w:abstractNumId w:val="28"/>
  </w:num>
  <w:num w:numId="2">
    <w:abstractNumId w:val="8"/>
  </w:num>
  <w:num w:numId="3">
    <w:abstractNumId w:val="5"/>
  </w:num>
  <w:num w:numId="4">
    <w:abstractNumId w:val="0"/>
  </w:num>
  <w:num w:numId="5">
    <w:abstractNumId w:val="4"/>
  </w:num>
  <w:num w:numId="6">
    <w:abstractNumId w:val="7"/>
  </w:num>
  <w:num w:numId="7">
    <w:abstractNumId w:val="34"/>
  </w:num>
  <w:num w:numId="8">
    <w:abstractNumId w:val="17"/>
  </w:num>
  <w:num w:numId="9">
    <w:abstractNumId w:val="6"/>
  </w:num>
  <w:num w:numId="10">
    <w:abstractNumId w:val="39"/>
  </w:num>
  <w:num w:numId="11">
    <w:abstractNumId w:val="18"/>
  </w:num>
  <w:num w:numId="12">
    <w:abstractNumId w:val="40"/>
  </w:num>
  <w:num w:numId="13">
    <w:abstractNumId w:val="9"/>
  </w:num>
  <w:num w:numId="14">
    <w:abstractNumId w:val="29"/>
  </w:num>
  <w:num w:numId="15">
    <w:abstractNumId w:val="16"/>
  </w:num>
  <w:num w:numId="16">
    <w:abstractNumId w:val="2"/>
  </w:num>
  <w:num w:numId="17">
    <w:abstractNumId w:val="42"/>
  </w:num>
  <w:num w:numId="18">
    <w:abstractNumId w:val="12"/>
  </w:num>
  <w:num w:numId="19">
    <w:abstractNumId w:val="30"/>
  </w:num>
  <w:num w:numId="20">
    <w:abstractNumId w:val="32"/>
  </w:num>
  <w:num w:numId="21">
    <w:abstractNumId w:val="33"/>
  </w:num>
  <w:num w:numId="22">
    <w:abstractNumId w:val="31"/>
  </w:num>
  <w:num w:numId="23">
    <w:abstractNumId w:val="21"/>
  </w:num>
  <w:num w:numId="24">
    <w:abstractNumId w:val="27"/>
  </w:num>
  <w:num w:numId="25">
    <w:abstractNumId w:val="38"/>
  </w:num>
  <w:num w:numId="26">
    <w:abstractNumId w:val="23"/>
  </w:num>
  <w:num w:numId="27">
    <w:abstractNumId w:val="26"/>
  </w:num>
  <w:num w:numId="28">
    <w:abstractNumId w:val="41"/>
  </w:num>
  <w:num w:numId="29">
    <w:abstractNumId w:val="19"/>
  </w:num>
  <w:num w:numId="30">
    <w:abstractNumId w:val="22"/>
  </w:num>
  <w:num w:numId="31">
    <w:abstractNumId w:val="37"/>
  </w:num>
  <w:num w:numId="32">
    <w:abstractNumId w:val="15"/>
  </w:num>
  <w:num w:numId="33">
    <w:abstractNumId w:val="20"/>
  </w:num>
  <w:num w:numId="34">
    <w:abstractNumId w:val="14"/>
  </w:num>
  <w:num w:numId="35">
    <w:abstractNumId w:val="10"/>
  </w:num>
  <w:num w:numId="36">
    <w:abstractNumId w:val="35"/>
  </w:num>
  <w:num w:numId="37">
    <w:abstractNumId w:val="1"/>
  </w:num>
  <w:num w:numId="38">
    <w:abstractNumId w:val="3"/>
  </w:num>
  <w:num w:numId="39">
    <w:abstractNumId w:val="11"/>
  </w:num>
  <w:num w:numId="40">
    <w:abstractNumId w:val="13"/>
  </w:num>
  <w:num w:numId="41">
    <w:abstractNumId w:val="25"/>
  </w:num>
  <w:num w:numId="42">
    <w:abstractNumId w:val="36"/>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3MGNkMWQzMmFjOWUxNzc4NDIzMDZjNGY3NjdiMTYifQ=="/>
  </w:docVars>
  <w:rsids>
    <w:rsidRoot w:val="50511BFA"/>
    <w:rsid w:val="018E17DD"/>
    <w:rsid w:val="04FE1E11"/>
    <w:rsid w:val="07F662A4"/>
    <w:rsid w:val="08814D4B"/>
    <w:rsid w:val="09B850F2"/>
    <w:rsid w:val="09C7350C"/>
    <w:rsid w:val="0A5C73CF"/>
    <w:rsid w:val="0A852F24"/>
    <w:rsid w:val="0B5C4B51"/>
    <w:rsid w:val="0D634F84"/>
    <w:rsid w:val="0FE7111F"/>
    <w:rsid w:val="114765A4"/>
    <w:rsid w:val="129A1BF1"/>
    <w:rsid w:val="13F33CA4"/>
    <w:rsid w:val="1D5F3C1E"/>
    <w:rsid w:val="2234181E"/>
    <w:rsid w:val="22FB461C"/>
    <w:rsid w:val="26EC0B15"/>
    <w:rsid w:val="2BAC28C8"/>
    <w:rsid w:val="2BAC3198"/>
    <w:rsid w:val="3118078F"/>
    <w:rsid w:val="32C41ED1"/>
    <w:rsid w:val="38483A2F"/>
    <w:rsid w:val="3F7053FB"/>
    <w:rsid w:val="41BF353F"/>
    <w:rsid w:val="43AC6E5B"/>
    <w:rsid w:val="45967968"/>
    <w:rsid w:val="48177CEE"/>
    <w:rsid w:val="496B2EB9"/>
    <w:rsid w:val="4BBC17AA"/>
    <w:rsid w:val="4C5F0AC0"/>
    <w:rsid w:val="4E616639"/>
    <w:rsid w:val="4F4903A3"/>
    <w:rsid w:val="50511BFA"/>
    <w:rsid w:val="508A78D6"/>
    <w:rsid w:val="53E45CD3"/>
    <w:rsid w:val="56E6175C"/>
    <w:rsid w:val="5C0646E7"/>
    <w:rsid w:val="604D6665"/>
    <w:rsid w:val="6241778E"/>
    <w:rsid w:val="62650996"/>
    <w:rsid w:val="686A7D6C"/>
    <w:rsid w:val="69224EEB"/>
    <w:rsid w:val="6C255443"/>
    <w:rsid w:val="6E05302D"/>
    <w:rsid w:val="6EF427FD"/>
    <w:rsid w:val="70C75A3C"/>
    <w:rsid w:val="720A2DF4"/>
    <w:rsid w:val="72102BAE"/>
    <w:rsid w:val="73692919"/>
    <w:rsid w:val="73E6126C"/>
    <w:rsid w:val="74BC131A"/>
    <w:rsid w:val="79A05603"/>
    <w:rsid w:val="7AA3050A"/>
    <w:rsid w:val="7C7272EB"/>
    <w:rsid w:val="7E411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qFormat/>
    <w:uiPriority w:val="9"/>
    <w:pPr>
      <w:jc w:val="center"/>
      <w:outlineLvl w:val="0"/>
    </w:pPr>
    <w:rPr>
      <w:b/>
      <w:bCs/>
      <w:sz w:val="28"/>
      <w:szCs w:val="28"/>
    </w:rPr>
  </w:style>
  <w:style w:type="paragraph" w:styleId="2">
    <w:name w:val="heading 2"/>
    <w:basedOn w:val="1"/>
    <w:next w:val="1"/>
    <w:unhideWhenUsed/>
    <w:qFormat/>
    <w:uiPriority w:val="9"/>
    <w:pPr>
      <w:ind w:left="100" w:right="255" w:firstLine="559"/>
      <w:jc w:val="both"/>
      <w:outlineLvl w:val="1"/>
    </w:pPr>
    <w:rPr>
      <w:sz w:val="28"/>
      <w:szCs w:val="28"/>
    </w:rPr>
  </w:style>
  <w:style w:type="paragraph" w:styleId="4">
    <w:name w:val="heading 3"/>
    <w:basedOn w:val="1"/>
    <w:next w:val="1"/>
    <w:unhideWhenUsed/>
    <w:qFormat/>
    <w:uiPriority w:val="9"/>
    <w:pPr>
      <w:ind w:left="260"/>
      <w:outlineLvl w:val="2"/>
    </w:pPr>
    <w:rPr>
      <w:b/>
      <w:bCs/>
      <w:sz w:val="24"/>
      <w:szCs w:val="24"/>
    </w:rPr>
  </w:style>
  <w:style w:type="paragraph" w:styleId="5">
    <w:name w:val="heading 4"/>
    <w:basedOn w:val="1"/>
    <w:next w:val="1"/>
    <w:qFormat/>
    <w:uiPriority w:val="0"/>
    <w:pPr>
      <w:keepNext/>
      <w:keepLines/>
      <w:widowControl w:val="0"/>
      <w:tabs>
        <w:tab w:val="left" w:pos="864"/>
      </w:tabs>
      <w:spacing w:before="120" w:line="360" w:lineRule="auto"/>
      <w:ind w:left="864" w:hanging="864"/>
      <w:outlineLvl w:val="3"/>
    </w:pPr>
    <w:rPr>
      <w:rFonts w:ascii="Arial" w:hAnsi="Arial"/>
      <w:bCs/>
      <w:sz w:val="24"/>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spacing w:line="300" w:lineRule="auto"/>
      <w:ind w:firstLine="200" w:firstLineChars="200"/>
    </w:pPr>
    <w:rPr>
      <w:szCs w:val="24"/>
    </w:rPr>
  </w:style>
  <w:style w:type="paragraph" w:styleId="7">
    <w:name w:val="toa heading"/>
    <w:basedOn w:val="1"/>
    <w:next w:val="1"/>
    <w:qFormat/>
    <w:uiPriority w:val="99"/>
    <w:pPr>
      <w:spacing w:before="120"/>
    </w:pPr>
    <w:rPr>
      <w:rFonts w:ascii="Arial" w:hAnsi="Arial" w:eastAsia="仿宋"/>
      <w:sz w:val="24"/>
      <w:szCs w:val="20"/>
    </w:rPr>
  </w:style>
  <w:style w:type="paragraph" w:styleId="8">
    <w:name w:val="Body Text"/>
    <w:basedOn w:val="1"/>
    <w:next w:val="1"/>
    <w:qFormat/>
    <w:uiPriority w:val="1"/>
    <w:rPr>
      <w:sz w:val="24"/>
      <w:szCs w:val="24"/>
    </w:rPr>
  </w:style>
  <w:style w:type="paragraph" w:styleId="9">
    <w:name w:val="Plain Text"/>
    <w:basedOn w:val="1"/>
    <w:qFormat/>
    <w:uiPriority w:val="0"/>
    <w:pPr>
      <w:autoSpaceDE/>
      <w:autoSpaceDN/>
      <w:jc w:val="both"/>
    </w:pPr>
    <w:rPr>
      <w:rFonts w:hAnsi="Times New Roman" w:cs="Times New Roman"/>
      <w:kern w:val="2"/>
      <w:sz w:val="21"/>
      <w:szCs w:val="20"/>
      <w:lang w:eastAsia="zh-CN"/>
    </w:rPr>
  </w:style>
  <w:style w:type="paragraph" w:styleId="10">
    <w:name w:val="footer"/>
    <w:basedOn w:val="1"/>
    <w:next w:val="1"/>
    <w:unhideWhenUsed/>
    <w:qFormat/>
    <w:uiPriority w:val="99"/>
    <w:pPr>
      <w:tabs>
        <w:tab w:val="center" w:pos="4153"/>
        <w:tab w:val="right" w:pos="8306"/>
      </w:tabs>
      <w:snapToGrid w:val="0"/>
      <w:jc w:val="left"/>
    </w:pPr>
    <w:rPr>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1"/>
    <w:pPr>
      <w:spacing w:before="5"/>
      <w:ind w:left="100"/>
    </w:pPr>
    <w:rPr>
      <w:sz w:val="32"/>
      <w:szCs w:val="32"/>
    </w:rPr>
  </w:style>
  <w:style w:type="paragraph" w:styleId="13">
    <w:name w:val="index 7"/>
    <w:basedOn w:val="1"/>
    <w:next w:val="1"/>
    <w:qFormat/>
    <w:uiPriority w:val="0"/>
    <w:pPr>
      <w:ind w:left="2520"/>
    </w:pPr>
    <w:rPr>
      <w:szCs w:val="22"/>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8"/>
    <w:qFormat/>
    <w:uiPriority w:val="0"/>
    <w:pPr>
      <w:ind w:firstLine="10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0"/>
    <w:rPr>
      <w:color w:val="0066CC"/>
      <w:u w:val="none"/>
    </w:rPr>
  </w:style>
  <w:style w:type="character" w:styleId="20">
    <w:name w:val="HTML Sample"/>
    <w:basedOn w:val="18"/>
    <w:qFormat/>
    <w:uiPriority w:val="0"/>
    <w:rPr>
      <w:rFonts w:ascii="Courier New" w:hAnsi="Courier New"/>
    </w:rPr>
  </w:style>
  <w:style w:type="paragraph" w:customStyle="1" w:styleId="21">
    <w:name w:val="标题 5（有编号）（绿盟科技）"/>
    <w:basedOn w:val="1"/>
    <w:next w:val="22"/>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2">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3">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Table Paragraph"/>
    <w:basedOn w:val="1"/>
    <w:qFormat/>
    <w:uiPriority w:val="1"/>
  </w:style>
  <w:style w:type="table" w:customStyle="1" w:styleId="25">
    <w:name w:val="Table Normal"/>
    <w:semiHidden/>
    <w:unhideWhenUsed/>
    <w:qFormat/>
    <w:uiPriority w:val="2"/>
    <w:tblPr>
      <w:tblCellMar>
        <w:top w:w="0" w:type="dxa"/>
        <w:left w:w="0" w:type="dxa"/>
        <w:bottom w:w="0" w:type="dxa"/>
        <w:right w:w="0" w:type="dxa"/>
      </w:tblCellMar>
    </w:tblPr>
  </w:style>
  <w:style w:type="paragraph" w:styleId="26">
    <w:name w:val="List Paragraph"/>
    <w:basedOn w:val="1"/>
    <w:qFormat/>
    <w:uiPriority w:val="1"/>
    <w:pPr>
      <w:ind w:left="118"/>
    </w:pPr>
  </w:style>
  <w:style w:type="paragraph" w:customStyle="1" w:styleId="27">
    <w:name w:val="样式 标题 2 + Times New Roman 四号 非加粗 段前: 5 磅 段后: 0 磅 行距: 固定值 20..."/>
    <w:basedOn w:val="2"/>
    <w:qFormat/>
    <w:uiPriority w:val="0"/>
    <w:pPr>
      <w:keepNext/>
      <w:keepLines/>
      <w:widowControl/>
      <w:autoSpaceDE/>
      <w:autoSpaceDN/>
      <w:spacing w:before="100" w:line="400" w:lineRule="exact"/>
      <w:ind w:left="284" w:right="0" w:firstLine="0"/>
      <w:jc w:val="left"/>
    </w:pPr>
    <w:rPr>
      <w:rFonts w:ascii="Times New Roman" w:hAnsi="Times New Roman"/>
      <w:szCs w:val="20"/>
      <w:lang w:eastAsia="zh-CN"/>
    </w:rPr>
  </w:style>
  <w:style w:type="paragraph" w:customStyle="1" w:styleId="28">
    <w:name w:val="Default"/>
    <w:next w:val="1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9">
    <w:name w:val="样式1"/>
    <w:basedOn w:val="7"/>
    <w:next w:val="5"/>
    <w:qFormat/>
    <w:uiPriority w:val="0"/>
    <w:pPr>
      <w:numPr>
        <w:ilvl w:val="0"/>
        <w:numId w:val="2"/>
      </w:numPr>
      <w:tabs>
        <w:tab w:val="left" w:pos="1110"/>
      </w:tabs>
      <w:adjustRightInd w:val="0"/>
      <w:textAlignment w:val="baseline"/>
    </w:pPr>
    <w:rPr>
      <w:rFonts w:ascii="宋体" w:hAnsi="宋体"/>
      <w:kern w:val="0"/>
      <w:szCs w:val="21"/>
    </w:rPr>
  </w:style>
  <w:style w:type="paragraph" w:customStyle="1" w:styleId="30">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1">
    <w:name w:val="p0"/>
    <w:basedOn w:val="1"/>
    <w:qFormat/>
    <w:uiPriority w:val="0"/>
    <w:pPr>
      <w:widowControl/>
      <w:snapToGrid w:val="0"/>
      <w:spacing w:line="312" w:lineRule="atLeast"/>
      <w:textAlignment w:val="baseline"/>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3.xml"/><Relationship Id="rId24" Type="http://schemas.openxmlformats.org/officeDocument/2006/relationships/header" Target="header9.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8.xml"/><Relationship Id="rId17" Type="http://schemas.openxmlformats.org/officeDocument/2006/relationships/footer" Target="footer7.xml"/><Relationship Id="rId16" Type="http://schemas.openxmlformats.org/officeDocument/2006/relationships/header" Target="header7.xml"/><Relationship Id="rId15" Type="http://schemas.openxmlformats.org/officeDocument/2006/relationships/footer" Target="footer6.xml"/><Relationship Id="rId14" Type="http://schemas.openxmlformats.org/officeDocument/2006/relationships/header" Target="header6.xml"/><Relationship Id="rId13" Type="http://schemas.openxmlformats.org/officeDocument/2006/relationships/footer" Target="footer5.xml"/><Relationship Id="rId12" Type="http://schemas.openxmlformats.org/officeDocument/2006/relationships/header" Target="head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33487</Words>
  <Characters>34910</Characters>
  <Lines>0</Lines>
  <Paragraphs>0</Paragraphs>
  <TotalTime>70</TotalTime>
  <ScaleCrop>false</ScaleCrop>
  <LinksUpToDate>false</LinksUpToDate>
  <CharactersWithSpaces>37401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2022-04-09T09:17:00Z</dcterms:created>
  <dc:creator>蛋黄、蛋白</dc:creator>
  <cp:lastModifiedBy>松霸霸</cp:lastModifiedBy>
  <dcterms:modified xsi:type="dcterms:W3CDTF">2023-05-18T04:41:26Z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C2F353B7824245399A41A8649C0DE9E7_13</vt:lpwstr>
  </property>
</Properties>
</file>