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宋体"/>
          <w:b/>
          <w:color w:val="auto"/>
          <w:sz w:val="48"/>
          <w:szCs w:val="48"/>
          <w:highlight w:val="none"/>
        </w:rPr>
      </w:pPr>
    </w:p>
    <w:p>
      <w:pPr>
        <w:jc w:val="center"/>
        <w:outlineLvl w:val="0"/>
        <w:rPr>
          <w:rFonts w:ascii="宋体" w:hAnsi="宋体" w:cs="宋体"/>
          <w:b/>
          <w:color w:val="auto"/>
          <w:sz w:val="48"/>
          <w:szCs w:val="48"/>
          <w:highlight w:val="none"/>
        </w:rPr>
      </w:pPr>
    </w:p>
    <w:p>
      <w:pPr>
        <w:jc w:val="center"/>
        <w:rPr>
          <w:rFonts w:ascii="宋体" w:hAnsi="宋体" w:cs="宋体"/>
          <w:b/>
          <w:color w:val="auto"/>
          <w:sz w:val="48"/>
          <w:szCs w:val="48"/>
          <w:highlight w:val="none"/>
        </w:rPr>
      </w:pPr>
      <w:r>
        <w:rPr>
          <w:rFonts w:hint="eastAsia" w:ascii="宋体" w:hAnsi="宋体" w:cs="宋体"/>
          <w:b/>
          <w:color w:val="auto"/>
          <w:sz w:val="48"/>
          <w:szCs w:val="48"/>
          <w:highlight w:val="none"/>
          <w:lang w:eastAsia="zh-CN"/>
        </w:rPr>
        <w:t>乌鲁木齐市第一百一十六中学暑假维修项目</w:t>
      </w:r>
      <w:r>
        <w:rPr>
          <w:rFonts w:hint="eastAsia" w:ascii="宋体" w:hAnsi="宋体" w:cs="宋体"/>
          <w:b/>
          <w:color w:val="auto"/>
          <w:sz w:val="48"/>
          <w:szCs w:val="48"/>
          <w:highlight w:val="none"/>
        </w:rPr>
        <w:t xml:space="preserve">   </w:t>
      </w:r>
    </w:p>
    <w:p>
      <w:pPr>
        <w:jc w:val="center"/>
        <w:outlineLvl w:val="0"/>
        <w:rPr>
          <w:rFonts w:ascii="宋体" w:hAnsi="宋体" w:cs="宋体"/>
          <w:b/>
          <w:color w:val="auto"/>
          <w:sz w:val="48"/>
          <w:szCs w:val="48"/>
          <w:highlight w:val="none"/>
        </w:rPr>
      </w:pPr>
    </w:p>
    <w:p>
      <w:pPr>
        <w:jc w:val="center"/>
        <w:outlineLvl w:val="0"/>
        <w:rPr>
          <w:rFonts w:ascii="宋体" w:hAnsi="宋体" w:cs="宋体"/>
          <w:b/>
          <w:color w:val="auto"/>
          <w:sz w:val="72"/>
          <w:szCs w:val="72"/>
          <w:highlight w:val="none"/>
        </w:rPr>
      </w:pPr>
    </w:p>
    <w:p>
      <w:pPr>
        <w:jc w:val="center"/>
        <w:outlineLvl w:val="0"/>
        <w:rPr>
          <w:rFonts w:ascii="宋体" w:hAnsi="宋体" w:cs="宋体"/>
          <w:b/>
          <w:color w:val="auto"/>
          <w:sz w:val="72"/>
          <w:szCs w:val="72"/>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竞争性磋商文件</w:t>
      </w:r>
    </w:p>
    <w:p>
      <w:pPr>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rPr>
        <w:t>项目编号：</w:t>
      </w:r>
      <w:r>
        <w:rPr>
          <w:rFonts w:hint="eastAsia" w:ascii="宋体" w:hAnsi="宋体" w:cs="宋体"/>
          <w:b/>
          <w:color w:val="auto"/>
          <w:sz w:val="44"/>
          <w:szCs w:val="44"/>
          <w:highlight w:val="none"/>
          <w:lang w:eastAsia="zh-CN"/>
        </w:rPr>
        <w:t>XJTF(CS)2023ZF97</w:t>
      </w:r>
    </w:p>
    <w:p>
      <w:pPr>
        <w:pStyle w:val="122"/>
        <w:spacing w:line="440" w:lineRule="exact"/>
        <w:jc w:val="center"/>
        <w:rPr>
          <w:rFonts w:ascii="宋体" w:hAnsi="宋体" w:cs="宋体"/>
          <w:b/>
          <w:color w:val="auto"/>
          <w:spacing w:val="14"/>
          <w:kern w:val="2"/>
          <w:sz w:val="32"/>
          <w:szCs w:val="32"/>
          <w:highlight w:val="none"/>
        </w:rPr>
      </w:pPr>
    </w:p>
    <w:p>
      <w:pPr>
        <w:pStyle w:val="122"/>
        <w:spacing w:line="440" w:lineRule="exact"/>
        <w:jc w:val="center"/>
        <w:rPr>
          <w:rFonts w:ascii="宋体" w:hAnsi="宋体" w:cs="宋体"/>
          <w:b/>
          <w:color w:val="auto"/>
          <w:spacing w:val="14"/>
          <w:kern w:val="2"/>
          <w:sz w:val="32"/>
          <w:szCs w:val="32"/>
          <w:highlight w:val="none"/>
        </w:rPr>
      </w:pPr>
    </w:p>
    <w:p>
      <w:pPr>
        <w:pStyle w:val="122"/>
        <w:spacing w:line="440" w:lineRule="exact"/>
        <w:jc w:val="center"/>
        <w:rPr>
          <w:rFonts w:ascii="宋体" w:hAnsi="宋体" w:cs="宋体"/>
          <w:b/>
          <w:color w:val="auto"/>
          <w:spacing w:val="14"/>
          <w:kern w:val="2"/>
          <w:sz w:val="32"/>
          <w:szCs w:val="32"/>
          <w:highlight w:val="none"/>
        </w:rPr>
      </w:pPr>
    </w:p>
    <w:p>
      <w:pPr>
        <w:pStyle w:val="122"/>
        <w:spacing w:line="440" w:lineRule="exact"/>
        <w:jc w:val="center"/>
        <w:rPr>
          <w:rFonts w:ascii="宋体" w:hAnsi="宋体" w:cs="宋体"/>
          <w:b/>
          <w:color w:val="auto"/>
          <w:spacing w:val="14"/>
          <w:kern w:val="2"/>
          <w:sz w:val="32"/>
          <w:szCs w:val="32"/>
          <w:highlight w:val="none"/>
        </w:rPr>
      </w:pPr>
    </w:p>
    <w:p>
      <w:pPr>
        <w:pStyle w:val="122"/>
        <w:spacing w:line="440" w:lineRule="exact"/>
        <w:jc w:val="center"/>
        <w:rPr>
          <w:rFonts w:ascii="宋体" w:hAnsi="宋体" w:cs="宋体"/>
          <w:b/>
          <w:color w:val="auto"/>
          <w:spacing w:val="14"/>
          <w:kern w:val="2"/>
          <w:sz w:val="32"/>
          <w:szCs w:val="32"/>
          <w:highlight w:val="none"/>
        </w:rPr>
      </w:pPr>
    </w:p>
    <w:p>
      <w:pPr>
        <w:pStyle w:val="122"/>
        <w:spacing w:line="440" w:lineRule="exact"/>
        <w:jc w:val="center"/>
        <w:rPr>
          <w:rFonts w:ascii="宋体" w:hAnsi="宋体" w:cs="宋体"/>
          <w:b/>
          <w:color w:val="auto"/>
          <w:spacing w:val="14"/>
          <w:kern w:val="2"/>
          <w:sz w:val="32"/>
          <w:szCs w:val="32"/>
          <w:highlight w:val="none"/>
        </w:rPr>
      </w:pPr>
    </w:p>
    <w:p>
      <w:pPr>
        <w:pStyle w:val="122"/>
        <w:spacing w:line="440" w:lineRule="exact"/>
        <w:jc w:val="center"/>
        <w:rPr>
          <w:rFonts w:ascii="宋体" w:hAnsi="宋体" w:cs="宋体"/>
          <w:b/>
          <w:color w:val="auto"/>
          <w:spacing w:val="14"/>
          <w:kern w:val="2"/>
          <w:sz w:val="32"/>
          <w:szCs w:val="32"/>
          <w:highlight w:val="none"/>
        </w:rPr>
      </w:pPr>
    </w:p>
    <w:p>
      <w:pPr>
        <w:pStyle w:val="122"/>
        <w:spacing w:line="440" w:lineRule="exact"/>
        <w:jc w:val="center"/>
        <w:rPr>
          <w:rFonts w:ascii="宋体" w:hAnsi="宋体" w:cs="宋体"/>
          <w:b/>
          <w:color w:val="auto"/>
          <w:spacing w:val="14"/>
          <w:kern w:val="2"/>
          <w:sz w:val="32"/>
          <w:szCs w:val="32"/>
          <w:highlight w:val="none"/>
        </w:rPr>
      </w:pPr>
    </w:p>
    <w:p>
      <w:pPr>
        <w:pStyle w:val="122"/>
        <w:spacing w:line="440" w:lineRule="exact"/>
        <w:jc w:val="center"/>
        <w:rPr>
          <w:rFonts w:ascii="宋体" w:hAnsi="宋体" w:cs="宋体"/>
          <w:b/>
          <w:color w:val="auto"/>
          <w:spacing w:val="14"/>
          <w:kern w:val="2"/>
          <w:sz w:val="32"/>
          <w:szCs w:val="32"/>
          <w:highlight w:val="none"/>
        </w:rPr>
      </w:pPr>
    </w:p>
    <w:p>
      <w:pPr>
        <w:pStyle w:val="122"/>
        <w:spacing w:line="440" w:lineRule="exact"/>
        <w:jc w:val="center"/>
        <w:rPr>
          <w:rFonts w:ascii="宋体" w:hAnsi="宋体" w:cs="宋体"/>
          <w:b/>
          <w:color w:val="auto"/>
          <w:spacing w:val="14"/>
          <w:kern w:val="2"/>
          <w:sz w:val="32"/>
          <w:szCs w:val="32"/>
          <w:highlight w:val="none"/>
        </w:rPr>
      </w:pPr>
    </w:p>
    <w:p>
      <w:pPr>
        <w:pStyle w:val="122"/>
        <w:spacing w:line="600" w:lineRule="exact"/>
        <w:jc w:val="center"/>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采购人 ：</w:t>
      </w:r>
      <w:r>
        <w:rPr>
          <w:rFonts w:hint="eastAsia" w:ascii="宋体" w:hAnsi="宋体" w:cs="宋体"/>
          <w:b/>
          <w:color w:val="auto"/>
          <w:kern w:val="2"/>
          <w:sz w:val="32"/>
          <w:szCs w:val="32"/>
          <w:highlight w:val="none"/>
          <w:lang w:eastAsia="zh-CN"/>
        </w:rPr>
        <w:t>乌鲁木齐市第一百一十六中学</w:t>
      </w:r>
    </w:p>
    <w:p>
      <w:pPr>
        <w:pStyle w:val="122"/>
        <w:spacing w:line="600" w:lineRule="exact"/>
        <w:ind w:firstLine="2072" w:firstLineChars="645"/>
        <w:rPr>
          <w:rFonts w:ascii="宋体" w:hAnsi="宋体" w:cs="宋体"/>
          <w:b/>
          <w:color w:val="auto"/>
          <w:kern w:val="2"/>
          <w:sz w:val="36"/>
          <w:szCs w:val="36"/>
          <w:highlight w:val="none"/>
        </w:rPr>
      </w:pPr>
      <w:r>
        <w:rPr>
          <w:rFonts w:hint="eastAsia" w:ascii="宋体" w:hAnsi="宋体" w:cs="宋体"/>
          <w:b/>
          <w:color w:val="auto"/>
          <w:kern w:val="2"/>
          <w:sz w:val="32"/>
          <w:szCs w:val="32"/>
          <w:highlight w:val="none"/>
        </w:rPr>
        <w:t>招标代理机构：新疆同孚招投标有限公司</w:t>
      </w:r>
      <w:r>
        <w:rPr>
          <w:rFonts w:ascii="宋体" w:hAnsi="宋体" w:cs="宋体"/>
          <w:b/>
          <w:color w:val="auto"/>
          <w:kern w:val="2"/>
          <w:sz w:val="36"/>
          <w:szCs w:val="36"/>
          <w:highlight w:val="none"/>
        </w:rPr>
        <w:t xml:space="preserve"> </w:t>
      </w:r>
    </w:p>
    <w:p>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 二〇二三年</w:t>
      </w:r>
      <w:r>
        <w:rPr>
          <w:rFonts w:hint="eastAsia" w:ascii="宋体" w:hAnsi="宋体" w:cs="宋体"/>
          <w:color w:val="auto"/>
          <w:highlight w:val="none"/>
        </w:rPr>
        <w:br w:type="page"/>
      </w:r>
    </w:p>
    <w:p>
      <w:pPr>
        <w:pStyle w:val="19"/>
        <w:rPr>
          <w:rFonts w:ascii="宋体" w:hAnsi="宋体" w:eastAsia="宋体" w:cs="宋体"/>
          <w:color w:val="auto"/>
          <w:highlight w:val="none"/>
        </w:rPr>
      </w:pPr>
    </w:p>
    <w:p>
      <w:pPr>
        <w:pStyle w:val="19"/>
        <w:rPr>
          <w:rFonts w:ascii="宋体" w:hAnsi="宋体" w:eastAsia="宋体" w:cs="宋体"/>
          <w:color w:val="auto"/>
          <w:highlight w:val="none"/>
        </w:rPr>
      </w:pPr>
      <w:r>
        <w:rPr>
          <w:rFonts w:hint="eastAsia" w:ascii="宋体" w:hAnsi="宋体" w:eastAsia="宋体" w:cs="宋体"/>
          <w:color w:val="auto"/>
          <w:highlight w:val="none"/>
        </w:rPr>
        <w:t>目 录</w:t>
      </w:r>
    </w:p>
    <w:p>
      <w:pPr>
        <w:pStyle w:val="19"/>
        <w:tabs>
          <w:tab w:val="right" w:leader="dot" w:pos="9520"/>
          <w:tab w:val="clear" w:pos="9628"/>
        </w:tabs>
        <w:rPr>
          <w:b w:val="0"/>
          <w:bCs w:val="0"/>
          <w:color w:val="auto"/>
          <w:sz w:val="28"/>
          <w:szCs w:val="28"/>
          <w:highlight w:val="none"/>
        </w:rPr>
      </w:pPr>
      <w:permStart w:id="0" w:edGrp="everyone"/>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TOC \o "1-3" \h \z \u </w:instrText>
      </w:r>
      <w:r>
        <w:rPr>
          <w:rFonts w:hint="eastAsia" w:ascii="宋体" w:hAnsi="宋体" w:eastAsia="宋体" w:cs="宋体"/>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"_Toc24549" </w:instrText>
      </w:r>
      <w:r>
        <w:rPr>
          <w:color w:val="auto"/>
          <w:highlight w:val="none"/>
        </w:rPr>
        <w:fldChar w:fldCharType="separate"/>
      </w:r>
      <w:r>
        <w:rPr>
          <w:rFonts w:hint="eastAsia" w:ascii="宋体" w:hAnsi="宋体" w:eastAsia="宋体" w:cs="宋体"/>
          <w:b w:val="0"/>
          <w:bCs w:val="0"/>
          <w:color w:val="auto"/>
          <w:sz w:val="28"/>
          <w:szCs w:val="28"/>
          <w:highlight w:val="none"/>
        </w:rPr>
        <w:t>第一部分  供应商须知前附表</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_Toc24549 \h </w:instrText>
      </w:r>
      <w:r>
        <w:rPr>
          <w:b w:val="0"/>
          <w:bCs w:val="0"/>
          <w:color w:val="auto"/>
          <w:sz w:val="28"/>
          <w:szCs w:val="28"/>
          <w:highlight w:val="none"/>
        </w:rPr>
        <w:fldChar w:fldCharType="separate"/>
      </w:r>
      <w:r>
        <w:rPr>
          <w:b w:val="0"/>
          <w:bCs w:val="0"/>
          <w:color w:val="auto"/>
          <w:sz w:val="28"/>
          <w:szCs w:val="28"/>
          <w:highlight w:val="none"/>
        </w:rPr>
        <w:t>4</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color w:val="auto"/>
          <w:highlight w:val="none"/>
        </w:rPr>
        <w:fldChar w:fldCharType="begin"/>
      </w:r>
      <w:r>
        <w:rPr>
          <w:color w:val="auto"/>
          <w:highlight w:val="none"/>
        </w:rPr>
        <w:instrText xml:space="preserve"> HYPERLINK \l "_Toc26748" </w:instrText>
      </w:r>
      <w:r>
        <w:rPr>
          <w:color w:val="auto"/>
          <w:highlight w:val="none"/>
        </w:rPr>
        <w:fldChar w:fldCharType="separate"/>
      </w:r>
      <w:r>
        <w:rPr>
          <w:rFonts w:hint="eastAsia" w:ascii="宋体" w:hAnsi="宋体" w:eastAsia="宋体" w:cs="宋体"/>
          <w:b w:val="0"/>
          <w:bCs w:val="0"/>
          <w:color w:val="auto"/>
          <w:sz w:val="28"/>
          <w:szCs w:val="28"/>
          <w:highlight w:val="none"/>
        </w:rPr>
        <w:t xml:space="preserve">第二部分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磋商说明</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_Toc26748 \h </w:instrText>
      </w:r>
      <w:r>
        <w:rPr>
          <w:b w:val="0"/>
          <w:bCs w:val="0"/>
          <w:color w:val="auto"/>
          <w:sz w:val="28"/>
          <w:szCs w:val="28"/>
          <w:highlight w:val="none"/>
        </w:rPr>
        <w:fldChar w:fldCharType="separate"/>
      </w:r>
      <w:r>
        <w:rPr>
          <w:b w:val="0"/>
          <w:bCs w:val="0"/>
          <w:color w:val="auto"/>
          <w:sz w:val="28"/>
          <w:szCs w:val="28"/>
          <w:highlight w:val="none"/>
        </w:rPr>
        <w:t>10</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rFonts w:hint="eastAsia" w:ascii="宋体" w:hAnsi="宋体" w:eastAsia="宋体" w:cs="宋体"/>
          <w:b w:val="0"/>
          <w:bCs w:val="0"/>
          <w:color w:val="auto"/>
          <w:sz w:val="28"/>
          <w:szCs w:val="28"/>
          <w:highlight w:val="none"/>
        </w:rPr>
      </w:pPr>
      <w:r>
        <w:rPr>
          <w:color w:val="auto"/>
          <w:highlight w:val="none"/>
        </w:rPr>
        <w:fldChar w:fldCharType="begin"/>
      </w:r>
      <w:r>
        <w:rPr>
          <w:color w:val="auto"/>
          <w:highlight w:val="none"/>
        </w:rPr>
        <w:instrText xml:space="preserve"> HYPERLINK \l "_Toc26748" </w:instrText>
      </w:r>
      <w:r>
        <w:rPr>
          <w:color w:val="auto"/>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rPr>
        <w:t xml:space="preserve">部分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磋商</w:t>
      </w:r>
      <w:r>
        <w:rPr>
          <w:rFonts w:hint="eastAsia" w:ascii="宋体" w:hAnsi="宋体" w:eastAsia="宋体" w:cs="宋体"/>
          <w:b w:val="0"/>
          <w:bCs w:val="0"/>
          <w:color w:val="auto"/>
          <w:sz w:val="28"/>
          <w:szCs w:val="28"/>
          <w:highlight w:val="none"/>
          <w:lang w:val="en-US" w:eastAsia="zh-CN"/>
        </w:rPr>
        <w:t>响应</w:t>
      </w:r>
      <w:r>
        <w:rPr>
          <w:rFonts w:hint="eastAsia" w:ascii="宋体" w:hAnsi="宋体" w:eastAsia="宋体" w:cs="宋体"/>
          <w:b w:val="0"/>
          <w:bCs w:val="0"/>
          <w:color w:val="auto"/>
          <w:sz w:val="28"/>
          <w:szCs w:val="28"/>
          <w:highlight w:val="none"/>
        </w:rPr>
        <w:t>说明</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_Toc26748 \h </w:instrText>
      </w:r>
      <w:r>
        <w:rPr>
          <w:b w:val="0"/>
          <w:bCs w:val="0"/>
          <w:color w:val="auto"/>
          <w:sz w:val="28"/>
          <w:szCs w:val="28"/>
          <w:highlight w:val="none"/>
        </w:rPr>
        <w:fldChar w:fldCharType="separate"/>
      </w:r>
      <w:r>
        <w:rPr>
          <w:b w:val="0"/>
          <w:bCs w:val="0"/>
          <w:color w:val="auto"/>
          <w:sz w:val="28"/>
          <w:szCs w:val="28"/>
          <w:highlight w:val="none"/>
        </w:rPr>
        <w:t>1</w:t>
      </w:r>
      <w:r>
        <w:rPr>
          <w:rFonts w:hint="eastAsia"/>
          <w:b w:val="0"/>
          <w:bCs w:val="0"/>
          <w:color w:val="auto"/>
          <w:sz w:val="28"/>
          <w:szCs w:val="28"/>
          <w:highlight w:val="none"/>
          <w:lang w:val="en-US" w:eastAsia="zh-CN"/>
        </w:rPr>
        <w:t>4</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"_Toc30563"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磋商供应商资格要求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_Toc30563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color w:val="auto"/>
          <w:highlight w:val="none"/>
        </w:rPr>
        <w:fldChar w:fldCharType="begin"/>
      </w:r>
      <w:r>
        <w:rPr>
          <w:color w:val="auto"/>
          <w:highlight w:val="none"/>
        </w:rPr>
        <w:instrText xml:space="preserve"> HYPERLINK \l "_Toc20892" </w:instrText>
      </w:r>
      <w:r>
        <w:rPr>
          <w:color w:val="auto"/>
          <w:highlight w:val="none"/>
        </w:rPr>
        <w:fldChar w:fldCharType="separate"/>
      </w:r>
      <w:r>
        <w:rPr>
          <w:rFonts w:hint="eastAsia" w:ascii="宋体" w:hAnsi="宋体" w:eastAsia="宋体" w:cs="宋体"/>
          <w:b w:val="0"/>
          <w:bCs w:val="0"/>
          <w:color w:val="auto"/>
          <w:sz w:val="28"/>
          <w:szCs w:val="28"/>
          <w:highlight w:val="none"/>
        </w:rPr>
        <w:t>第二章  响应性文件的编写</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_Toc20892 \h </w:instrText>
      </w:r>
      <w:r>
        <w:rPr>
          <w:b w:val="0"/>
          <w:bCs w:val="0"/>
          <w:color w:val="auto"/>
          <w:sz w:val="28"/>
          <w:szCs w:val="28"/>
          <w:highlight w:val="none"/>
        </w:rPr>
        <w:fldChar w:fldCharType="separate"/>
      </w:r>
      <w:r>
        <w:rPr>
          <w:b w:val="0"/>
          <w:bCs w:val="0"/>
          <w:color w:val="auto"/>
          <w:sz w:val="28"/>
          <w:szCs w:val="28"/>
          <w:highlight w:val="none"/>
        </w:rPr>
        <w:t>14</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color w:val="auto"/>
          <w:highlight w:val="none"/>
        </w:rPr>
        <w:fldChar w:fldCharType="begin"/>
      </w:r>
      <w:r>
        <w:rPr>
          <w:color w:val="auto"/>
          <w:highlight w:val="none"/>
        </w:rPr>
        <w:instrText xml:space="preserve"> HYPERLINK \l "_Toc27480" </w:instrText>
      </w:r>
      <w:r>
        <w:rPr>
          <w:color w:val="auto"/>
          <w:highlight w:val="none"/>
        </w:rPr>
        <w:fldChar w:fldCharType="separate"/>
      </w:r>
      <w:r>
        <w:rPr>
          <w:rFonts w:hint="eastAsia" w:ascii="宋体" w:hAnsi="宋体" w:eastAsia="宋体" w:cs="宋体"/>
          <w:b w:val="0"/>
          <w:bCs w:val="0"/>
          <w:color w:val="auto"/>
          <w:sz w:val="28"/>
          <w:szCs w:val="28"/>
          <w:highlight w:val="none"/>
        </w:rPr>
        <w:t>第三章  响应性文件的递交</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_Toc27480 \h </w:instrText>
      </w:r>
      <w:r>
        <w:rPr>
          <w:b w:val="0"/>
          <w:bCs w:val="0"/>
          <w:color w:val="auto"/>
          <w:sz w:val="28"/>
          <w:szCs w:val="28"/>
          <w:highlight w:val="none"/>
        </w:rPr>
        <w:fldChar w:fldCharType="separate"/>
      </w:r>
      <w:r>
        <w:rPr>
          <w:b w:val="0"/>
          <w:bCs w:val="0"/>
          <w:color w:val="auto"/>
          <w:sz w:val="28"/>
          <w:szCs w:val="28"/>
          <w:highlight w:val="none"/>
        </w:rPr>
        <w:t>18</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color w:val="auto"/>
          <w:highlight w:val="none"/>
        </w:rPr>
        <w:fldChar w:fldCharType="begin"/>
      </w:r>
      <w:r>
        <w:rPr>
          <w:color w:val="auto"/>
          <w:highlight w:val="none"/>
        </w:rPr>
        <w:instrText xml:space="preserve"> HYPERLINK \l "_Toc11612" </w:instrText>
      </w:r>
      <w:r>
        <w:rPr>
          <w:color w:val="auto"/>
          <w:highlight w:val="none"/>
        </w:rPr>
        <w:fldChar w:fldCharType="separate"/>
      </w:r>
      <w:r>
        <w:rPr>
          <w:rFonts w:hint="eastAsia" w:ascii="宋体" w:hAnsi="宋体" w:eastAsia="宋体" w:cs="宋体"/>
          <w:b w:val="0"/>
          <w:bCs w:val="0"/>
          <w:color w:val="auto"/>
          <w:sz w:val="28"/>
          <w:szCs w:val="28"/>
          <w:highlight w:val="none"/>
        </w:rPr>
        <w:t>第四章  开标、磋商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_Toc11612 \h </w:instrText>
      </w:r>
      <w:r>
        <w:rPr>
          <w:b w:val="0"/>
          <w:bCs w:val="0"/>
          <w:color w:val="auto"/>
          <w:sz w:val="28"/>
          <w:szCs w:val="28"/>
          <w:highlight w:val="none"/>
        </w:rPr>
        <w:fldChar w:fldCharType="separate"/>
      </w:r>
      <w:r>
        <w:rPr>
          <w:b w:val="0"/>
          <w:bCs w:val="0"/>
          <w:color w:val="auto"/>
          <w:sz w:val="28"/>
          <w:szCs w:val="28"/>
          <w:highlight w:val="none"/>
        </w:rPr>
        <w:t>18</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color w:val="auto"/>
          <w:highlight w:val="none"/>
        </w:rPr>
        <w:fldChar w:fldCharType="begin"/>
      </w:r>
      <w:r>
        <w:rPr>
          <w:color w:val="auto"/>
          <w:highlight w:val="none"/>
        </w:rPr>
        <w:instrText xml:space="preserve"> HYPERLINK \l "_Toc24660" </w:instrText>
      </w:r>
      <w:r>
        <w:rPr>
          <w:color w:val="auto"/>
          <w:highlight w:val="none"/>
        </w:rPr>
        <w:fldChar w:fldCharType="separate"/>
      </w:r>
      <w:r>
        <w:rPr>
          <w:rFonts w:hint="eastAsia" w:ascii="宋体" w:hAnsi="宋体" w:eastAsia="宋体" w:cs="宋体"/>
          <w:b w:val="0"/>
          <w:bCs w:val="0"/>
          <w:color w:val="auto"/>
          <w:sz w:val="28"/>
          <w:szCs w:val="28"/>
          <w:highlight w:val="none"/>
        </w:rPr>
        <w:t>第五章  定　标</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_Toc24660 \h </w:instrText>
      </w:r>
      <w:r>
        <w:rPr>
          <w:b w:val="0"/>
          <w:bCs w:val="0"/>
          <w:color w:val="auto"/>
          <w:sz w:val="28"/>
          <w:szCs w:val="28"/>
          <w:highlight w:val="none"/>
        </w:rPr>
        <w:fldChar w:fldCharType="separate"/>
      </w:r>
      <w:r>
        <w:rPr>
          <w:b w:val="0"/>
          <w:bCs w:val="0"/>
          <w:color w:val="auto"/>
          <w:sz w:val="28"/>
          <w:szCs w:val="28"/>
          <w:highlight w:val="none"/>
        </w:rPr>
        <w:t>26</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color w:val="auto"/>
          <w:highlight w:val="none"/>
        </w:rPr>
        <w:fldChar w:fldCharType="begin"/>
      </w:r>
      <w:r>
        <w:rPr>
          <w:color w:val="auto"/>
          <w:highlight w:val="none"/>
        </w:rPr>
        <w:instrText xml:space="preserve"> HYPERLINK \l "_Toc10326" </w:instrText>
      </w:r>
      <w:r>
        <w:rPr>
          <w:color w:val="auto"/>
          <w:highlight w:val="none"/>
        </w:rPr>
        <w:fldChar w:fldCharType="separate"/>
      </w:r>
      <w:r>
        <w:rPr>
          <w:rFonts w:hint="eastAsia" w:ascii="宋体" w:hAnsi="宋体" w:eastAsia="宋体" w:cs="宋体"/>
          <w:b w:val="0"/>
          <w:bCs w:val="0"/>
          <w:color w:val="auto"/>
          <w:sz w:val="28"/>
          <w:szCs w:val="28"/>
          <w:highlight w:val="none"/>
        </w:rPr>
        <w:t>第六章  授予合同</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_Toc10326 \h </w:instrText>
      </w:r>
      <w:r>
        <w:rPr>
          <w:b w:val="0"/>
          <w:bCs w:val="0"/>
          <w:color w:val="auto"/>
          <w:sz w:val="28"/>
          <w:szCs w:val="28"/>
          <w:highlight w:val="none"/>
        </w:rPr>
        <w:fldChar w:fldCharType="separate"/>
      </w:r>
      <w:r>
        <w:rPr>
          <w:b w:val="0"/>
          <w:bCs w:val="0"/>
          <w:color w:val="auto"/>
          <w:sz w:val="28"/>
          <w:szCs w:val="28"/>
          <w:highlight w:val="none"/>
        </w:rPr>
        <w:t>26</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color w:val="auto"/>
          <w:highlight w:val="none"/>
        </w:rPr>
        <w:fldChar w:fldCharType="begin"/>
      </w:r>
      <w:r>
        <w:rPr>
          <w:color w:val="auto"/>
          <w:highlight w:val="none"/>
        </w:rPr>
        <w:instrText xml:space="preserve"> HYPERLINK \l "_Toc2499" </w:instrText>
      </w:r>
      <w:r>
        <w:rPr>
          <w:color w:val="auto"/>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highlight w:val="none"/>
        </w:rPr>
        <w:t>部分</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采购</w:t>
      </w:r>
      <w:r>
        <w:rPr>
          <w:rFonts w:hint="eastAsia" w:ascii="宋体" w:hAnsi="宋体" w:eastAsia="宋体" w:cs="宋体"/>
          <w:b w:val="0"/>
          <w:bCs w:val="0"/>
          <w:color w:val="auto"/>
          <w:sz w:val="28"/>
          <w:szCs w:val="28"/>
          <w:highlight w:val="none"/>
          <w:lang w:val="en-US" w:eastAsia="zh-CN"/>
        </w:rPr>
        <w:t>需求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_Toc2499 \h </w:instrText>
      </w:r>
      <w:r>
        <w:rPr>
          <w:b w:val="0"/>
          <w:bCs w:val="0"/>
          <w:color w:val="auto"/>
          <w:sz w:val="28"/>
          <w:szCs w:val="28"/>
          <w:highlight w:val="none"/>
        </w:rPr>
        <w:fldChar w:fldCharType="separate"/>
      </w:r>
      <w:r>
        <w:rPr>
          <w:b w:val="0"/>
          <w:bCs w:val="0"/>
          <w:color w:val="auto"/>
          <w:sz w:val="28"/>
          <w:szCs w:val="28"/>
          <w:highlight w:val="none"/>
        </w:rPr>
        <w:t>28</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color w:val="auto"/>
          <w:highlight w:val="none"/>
        </w:rPr>
        <w:fldChar w:fldCharType="begin"/>
      </w:r>
      <w:r>
        <w:rPr>
          <w:color w:val="auto"/>
          <w:highlight w:val="none"/>
        </w:rPr>
        <w:instrText xml:space="preserve"> HYPERLINK \l "_Toc25743" </w:instrText>
      </w:r>
      <w:r>
        <w:rPr>
          <w:color w:val="auto"/>
          <w:highlight w:val="none"/>
        </w:rPr>
        <w:fldChar w:fldCharType="separate"/>
      </w:r>
      <w:r>
        <w:rPr>
          <w:rFonts w:hint="eastAsia" w:ascii="宋体" w:hAnsi="宋体" w:eastAsia="宋体" w:cs="宋体"/>
          <w:b w:val="0"/>
          <w:bCs w:val="0"/>
          <w:color w:val="auto"/>
          <w:sz w:val="28"/>
          <w:szCs w:val="28"/>
          <w:highlight w:val="none"/>
        </w:rPr>
        <w:t>第五部分  合同部分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_Toc25743 \h </w:instrText>
      </w:r>
      <w:r>
        <w:rPr>
          <w:b w:val="0"/>
          <w:bCs w:val="0"/>
          <w:color w:val="auto"/>
          <w:sz w:val="28"/>
          <w:szCs w:val="28"/>
          <w:highlight w:val="none"/>
        </w:rPr>
        <w:fldChar w:fldCharType="separate"/>
      </w:r>
      <w:r>
        <w:rPr>
          <w:rFonts w:hint="eastAsia"/>
          <w:b w:val="0"/>
          <w:bCs w:val="0"/>
          <w:color w:val="auto"/>
          <w:sz w:val="28"/>
          <w:szCs w:val="28"/>
          <w:highlight w:val="none"/>
          <w:lang w:val="en-US" w:eastAsia="zh-CN"/>
        </w:rPr>
        <w:t>2</w:t>
      </w:r>
      <w:r>
        <w:rPr>
          <w:b w:val="0"/>
          <w:bCs w:val="0"/>
          <w:color w:val="auto"/>
          <w:sz w:val="28"/>
          <w:szCs w:val="28"/>
          <w:highlight w:val="none"/>
        </w:rPr>
        <w:t>9</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color w:val="auto"/>
          <w:highlight w:val="none"/>
        </w:rPr>
        <w:fldChar w:fldCharType="begin"/>
      </w:r>
      <w:r>
        <w:rPr>
          <w:color w:val="auto"/>
          <w:highlight w:val="none"/>
        </w:rPr>
        <w:instrText xml:space="preserve"> HYPERLINK \l "_Toc5282" </w:instrText>
      </w:r>
      <w:r>
        <w:rPr>
          <w:color w:val="auto"/>
          <w:highlight w:val="none"/>
        </w:rPr>
        <w:fldChar w:fldCharType="separate"/>
      </w:r>
      <w:r>
        <w:rPr>
          <w:rFonts w:hint="eastAsia" w:ascii="宋体" w:hAnsi="宋体" w:eastAsia="宋体" w:cs="宋体"/>
          <w:b w:val="0"/>
          <w:bCs w:val="0"/>
          <w:color w:val="auto"/>
          <w:sz w:val="28"/>
          <w:szCs w:val="28"/>
          <w:highlight w:val="none"/>
        </w:rPr>
        <w:t>第六部分  响应性文件格式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_Toc5282 \h </w:instrText>
      </w:r>
      <w:r>
        <w:rPr>
          <w:b w:val="0"/>
          <w:bCs w:val="0"/>
          <w:color w:val="auto"/>
          <w:sz w:val="28"/>
          <w:szCs w:val="28"/>
          <w:highlight w:val="none"/>
        </w:rPr>
        <w:fldChar w:fldCharType="separate"/>
      </w:r>
      <w:r>
        <w:rPr>
          <w:rFonts w:hint="eastAsia"/>
          <w:b w:val="0"/>
          <w:bCs w:val="0"/>
          <w:color w:val="auto"/>
          <w:sz w:val="28"/>
          <w:szCs w:val="28"/>
          <w:highlight w:val="none"/>
          <w:lang w:val="en-US" w:eastAsia="zh-CN"/>
        </w:rPr>
        <w:t>3</w:t>
      </w:r>
      <w:r>
        <w:rPr>
          <w:b w:val="0"/>
          <w:bCs w:val="0"/>
          <w:color w:val="auto"/>
          <w:sz w:val="28"/>
          <w:szCs w:val="28"/>
          <w:highlight w:val="none"/>
        </w:rPr>
        <w:t>2</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color w:val="auto"/>
          <w:highlight w:val="none"/>
        </w:rPr>
        <w:fldChar w:fldCharType="begin"/>
      </w:r>
      <w:r>
        <w:rPr>
          <w:color w:val="auto"/>
          <w:highlight w:val="none"/>
        </w:rPr>
        <w:instrText xml:space="preserve"> HYPERLINK \l "_Toc18937" </w:instrText>
      </w:r>
      <w:r>
        <w:rPr>
          <w:color w:val="auto"/>
          <w:highlight w:val="none"/>
        </w:rPr>
        <w:fldChar w:fldCharType="separate"/>
      </w:r>
      <w:r>
        <w:rPr>
          <w:rFonts w:hint="eastAsia" w:ascii="宋体" w:hAnsi="宋体" w:eastAsia="宋体" w:cs="宋体"/>
          <w:b w:val="0"/>
          <w:bCs w:val="0"/>
          <w:color w:val="auto"/>
          <w:sz w:val="28"/>
          <w:szCs w:val="28"/>
          <w:highlight w:val="none"/>
        </w:rPr>
        <w:t>报价要求响应文件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_Toc18937 \h </w:instrText>
      </w:r>
      <w:r>
        <w:rPr>
          <w:b w:val="0"/>
          <w:bCs w:val="0"/>
          <w:color w:val="auto"/>
          <w:sz w:val="28"/>
          <w:szCs w:val="28"/>
          <w:highlight w:val="none"/>
        </w:rPr>
        <w:fldChar w:fldCharType="separate"/>
      </w:r>
      <w:r>
        <w:rPr>
          <w:rFonts w:hint="eastAsia"/>
          <w:b w:val="0"/>
          <w:bCs w:val="0"/>
          <w:color w:val="auto"/>
          <w:sz w:val="28"/>
          <w:szCs w:val="28"/>
          <w:highlight w:val="none"/>
          <w:lang w:val="en-US" w:eastAsia="zh-CN"/>
        </w:rPr>
        <w:t>3</w:t>
      </w:r>
      <w:r>
        <w:rPr>
          <w:b w:val="0"/>
          <w:bCs w:val="0"/>
          <w:color w:val="auto"/>
          <w:sz w:val="28"/>
          <w:szCs w:val="28"/>
          <w:highlight w:val="none"/>
        </w:rPr>
        <w:t>2</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color w:val="auto"/>
          <w:highlight w:val="none"/>
        </w:rPr>
        <w:fldChar w:fldCharType="begin"/>
      </w:r>
      <w:r>
        <w:rPr>
          <w:color w:val="auto"/>
          <w:highlight w:val="none"/>
        </w:rPr>
        <w:instrText xml:space="preserve"> HYPERLINK \l "_Toc1136" </w:instrText>
      </w:r>
      <w:r>
        <w:rPr>
          <w:color w:val="auto"/>
          <w:highlight w:val="none"/>
        </w:rPr>
        <w:fldChar w:fldCharType="separate"/>
      </w:r>
      <w:r>
        <w:rPr>
          <w:rFonts w:hint="eastAsia" w:ascii="宋体" w:hAnsi="宋体" w:eastAsia="宋体" w:cs="宋体"/>
          <w:b w:val="0"/>
          <w:bCs w:val="0"/>
          <w:color w:val="auto"/>
          <w:sz w:val="28"/>
          <w:szCs w:val="28"/>
          <w:highlight w:val="none"/>
        </w:rPr>
        <w:t>资格响应文件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_Toc1136 \h </w:instrText>
      </w:r>
      <w:r>
        <w:rPr>
          <w:b w:val="0"/>
          <w:bCs w:val="0"/>
          <w:color w:val="auto"/>
          <w:sz w:val="28"/>
          <w:szCs w:val="28"/>
          <w:highlight w:val="none"/>
        </w:rPr>
        <w:fldChar w:fldCharType="separate"/>
      </w:r>
      <w:r>
        <w:rPr>
          <w:rFonts w:hint="eastAsia"/>
          <w:b w:val="0"/>
          <w:bCs w:val="0"/>
          <w:color w:val="auto"/>
          <w:sz w:val="28"/>
          <w:szCs w:val="28"/>
          <w:highlight w:val="none"/>
          <w:lang w:val="en-US" w:eastAsia="zh-CN"/>
        </w:rPr>
        <w:t>3</w:t>
      </w:r>
      <w:r>
        <w:rPr>
          <w:b w:val="0"/>
          <w:bCs w:val="0"/>
          <w:color w:val="auto"/>
          <w:sz w:val="28"/>
          <w:szCs w:val="28"/>
          <w:highlight w:val="none"/>
        </w:rPr>
        <w:t>5</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color w:val="auto"/>
          <w:highlight w:val="none"/>
        </w:rPr>
        <w:fldChar w:fldCharType="begin"/>
      </w:r>
      <w:r>
        <w:rPr>
          <w:color w:val="auto"/>
          <w:highlight w:val="none"/>
        </w:rPr>
        <w:instrText xml:space="preserve"> HYPERLINK \l "_Toc1029" </w:instrText>
      </w:r>
      <w:r>
        <w:rPr>
          <w:color w:val="auto"/>
          <w:highlight w:val="none"/>
        </w:rPr>
        <w:fldChar w:fldCharType="separate"/>
      </w:r>
      <w:r>
        <w:rPr>
          <w:rFonts w:hint="eastAsia" w:ascii="宋体" w:hAnsi="宋体" w:eastAsia="宋体" w:cs="宋体"/>
          <w:b w:val="0"/>
          <w:bCs w:val="0"/>
          <w:color w:val="auto"/>
          <w:sz w:val="28"/>
          <w:szCs w:val="28"/>
          <w:highlight w:val="none"/>
        </w:rPr>
        <w:t>商务技术响应文件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_Toc1029 \h </w:instrText>
      </w:r>
      <w:r>
        <w:rPr>
          <w:b w:val="0"/>
          <w:bCs w:val="0"/>
          <w:color w:val="auto"/>
          <w:sz w:val="28"/>
          <w:szCs w:val="28"/>
          <w:highlight w:val="none"/>
        </w:rPr>
        <w:fldChar w:fldCharType="separate"/>
      </w:r>
      <w:r>
        <w:rPr>
          <w:rFonts w:hint="eastAsia"/>
          <w:b w:val="0"/>
          <w:bCs w:val="0"/>
          <w:color w:val="auto"/>
          <w:sz w:val="28"/>
          <w:szCs w:val="28"/>
          <w:highlight w:val="none"/>
          <w:lang w:val="en-US" w:eastAsia="zh-CN"/>
        </w:rPr>
        <w:t>3</w:t>
      </w:r>
      <w:r>
        <w:rPr>
          <w:b w:val="0"/>
          <w:bCs w:val="0"/>
          <w:color w:val="auto"/>
          <w:sz w:val="28"/>
          <w:szCs w:val="28"/>
          <w:highlight w:val="none"/>
        </w:rPr>
        <w:t>9</w:t>
      </w:r>
      <w:r>
        <w:rPr>
          <w:b w:val="0"/>
          <w:bCs w:val="0"/>
          <w:color w:val="auto"/>
          <w:sz w:val="28"/>
          <w:szCs w:val="28"/>
          <w:highlight w:val="none"/>
        </w:rPr>
        <w:fldChar w:fldCharType="end"/>
      </w:r>
      <w:r>
        <w:rPr>
          <w:b w:val="0"/>
          <w:bCs w:val="0"/>
          <w:color w:val="auto"/>
          <w:sz w:val="28"/>
          <w:szCs w:val="28"/>
          <w:highlight w:val="none"/>
        </w:rPr>
        <w:fldChar w:fldCharType="end"/>
      </w:r>
    </w:p>
    <w:p>
      <w:pPr>
        <w:pStyle w:val="19"/>
        <w:tabs>
          <w:tab w:val="right" w:leader="dot" w:pos="9520"/>
          <w:tab w:val="clear" w:pos="9628"/>
        </w:tabs>
        <w:rPr>
          <w:rFonts w:hint="eastAsia" w:eastAsia="仿宋"/>
          <w:b w:val="0"/>
          <w:bCs w:val="0"/>
          <w:color w:val="auto"/>
          <w:sz w:val="28"/>
          <w:szCs w:val="28"/>
          <w:highlight w:val="none"/>
          <w:lang w:val="en-US" w:eastAsia="zh-CN"/>
        </w:rPr>
      </w:pPr>
      <w:r>
        <w:rPr>
          <w:color w:val="auto"/>
          <w:highlight w:val="none"/>
        </w:rPr>
        <w:fldChar w:fldCharType="begin"/>
      </w:r>
      <w:r>
        <w:rPr>
          <w:color w:val="auto"/>
          <w:highlight w:val="none"/>
        </w:rPr>
        <w:instrText xml:space="preserve"> HYPERLINK \l "_Toc32009" </w:instrText>
      </w:r>
      <w:r>
        <w:rPr>
          <w:color w:val="auto"/>
          <w:highlight w:val="none"/>
        </w:rPr>
        <w:fldChar w:fldCharType="separate"/>
      </w:r>
      <w:r>
        <w:rPr>
          <w:rFonts w:hint="eastAsia" w:ascii="宋体" w:hAnsi="宋体" w:eastAsia="宋体" w:cs="宋体"/>
          <w:b w:val="0"/>
          <w:bCs w:val="0"/>
          <w:color w:val="auto"/>
          <w:sz w:val="28"/>
          <w:szCs w:val="28"/>
          <w:highlight w:val="none"/>
        </w:rPr>
        <w:t>评分标准</w:t>
      </w:r>
      <w:r>
        <w:rPr>
          <w:b w:val="0"/>
          <w:bCs w:val="0"/>
          <w:color w:val="auto"/>
          <w:sz w:val="28"/>
          <w:szCs w:val="28"/>
          <w:highlight w:val="none"/>
        </w:rPr>
        <w:tab/>
      </w:r>
      <w:r>
        <w:rPr>
          <w:rFonts w:hint="eastAsia"/>
          <w:b w:val="0"/>
          <w:bCs w:val="0"/>
          <w:color w:val="auto"/>
          <w:sz w:val="28"/>
          <w:szCs w:val="28"/>
          <w:highlight w:val="none"/>
          <w:lang w:val="en-US" w:eastAsia="zh-CN"/>
        </w:rPr>
        <w:t>5</w:t>
      </w:r>
      <w:r>
        <w:rPr>
          <w:b w:val="0"/>
          <w:bCs w:val="0"/>
          <w:color w:val="auto"/>
          <w:sz w:val="28"/>
          <w:szCs w:val="28"/>
          <w:highlight w:val="none"/>
        </w:rPr>
        <w:fldChar w:fldCharType="end"/>
      </w:r>
      <w:r>
        <w:rPr>
          <w:rFonts w:hint="eastAsia"/>
          <w:b w:val="0"/>
          <w:bCs w:val="0"/>
          <w:color w:val="auto"/>
          <w:sz w:val="28"/>
          <w:szCs w:val="28"/>
          <w:highlight w:val="none"/>
          <w:lang w:val="en-US" w:eastAsia="zh-CN"/>
        </w:rPr>
        <w:t>4</w:t>
      </w:r>
    </w:p>
    <w:p>
      <w:pPr>
        <w:pStyle w:val="19"/>
        <w:jc w:val="both"/>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end"/>
      </w:r>
      <w:permEnd w:id="0"/>
    </w:p>
    <w:p>
      <w:pPr>
        <w:pStyle w:val="19"/>
        <w:rPr>
          <w:rFonts w:ascii="宋体" w:hAnsi="宋体" w:eastAsia="宋体" w:cs="宋体"/>
          <w:color w:val="auto"/>
          <w:kern w:val="0"/>
          <w:szCs w:val="21"/>
          <w:highlight w:val="none"/>
        </w:rPr>
      </w:pPr>
    </w:p>
    <w:p>
      <w:pPr>
        <w:pStyle w:val="19"/>
        <w:rPr>
          <w:rFonts w:ascii="宋体" w:hAnsi="宋体" w:eastAsia="宋体" w:cs="宋体"/>
          <w:color w:val="auto"/>
          <w:kern w:val="0"/>
          <w:szCs w:val="21"/>
          <w:highlight w:val="none"/>
        </w:rPr>
      </w:pPr>
    </w:p>
    <w:p>
      <w:pPr>
        <w:pStyle w:val="19"/>
        <w:rPr>
          <w:rFonts w:ascii="宋体" w:hAnsi="宋体" w:eastAsia="宋体" w:cs="宋体"/>
          <w:color w:val="auto"/>
          <w:kern w:val="0"/>
          <w:szCs w:val="21"/>
          <w:highlight w:val="none"/>
        </w:rPr>
      </w:pPr>
    </w:p>
    <w:p>
      <w:pPr>
        <w:pStyle w:val="19"/>
        <w:rPr>
          <w:rFonts w:ascii="宋体" w:hAnsi="宋体" w:eastAsia="宋体" w:cs="宋体"/>
          <w:color w:val="auto"/>
          <w:kern w:val="0"/>
          <w:szCs w:val="21"/>
          <w:highlight w:val="none"/>
        </w:rPr>
      </w:pPr>
    </w:p>
    <w:p>
      <w:pPr>
        <w:rPr>
          <w:rFonts w:ascii="宋体" w:hAnsi="宋体" w:cs="宋体"/>
          <w:b/>
          <w:bCs/>
          <w:color w:val="auto"/>
          <w:kern w:val="0"/>
          <w:szCs w:val="21"/>
          <w:highlight w:val="none"/>
        </w:rPr>
      </w:pPr>
    </w:p>
    <w:p>
      <w:pPr>
        <w:pStyle w:val="19"/>
        <w:rPr>
          <w:rFonts w:ascii="宋体" w:hAnsi="宋体" w:eastAsia="宋体" w:cs="宋体"/>
          <w:color w:val="auto"/>
          <w:kern w:val="0"/>
          <w:szCs w:val="21"/>
          <w:highlight w:val="none"/>
        </w:rPr>
      </w:pPr>
    </w:p>
    <w:p>
      <w:pPr>
        <w:pStyle w:val="19"/>
        <w:jc w:val="both"/>
        <w:rPr>
          <w:rFonts w:ascii="宋体" w:hAnsi="宋体" w:eastAsia="宋体" w:cs="宋体"/>
          <w:color w:val="auto"/>
          <w:kern w:val="0"/>
          <w:szCs w:val="21"/>
          <w:highlight w:val="none"/>
        </w:rPr>
        <w:sectPr>
          <w:headerReference r:id="rId3" w:type="default"/>
          <w:footerReference r:id="rId4" w:type="default"/>
          <w:pgSz w:w="11920" w:h="16840"/>
          <w:pgMar w:top="1360" w:right="1200" w:bottom="960" w:left="1200" w:header="0" w:footer="773" w:gutter="0"/>
          <w:pgNumType w:start="1"/>
          <w:cols w:space="720" w:num="1"/>
        </w:sectPr>
      </w:pPr>
    </w:p>
    <w:p>
      <w:pPr>
        <w:rPr>
          <w:color w:val="auto"/>
          <w:highlight w:val="none"/>
        </w:rPr>
      </w:pPr>
    </w:p>
    <w:p>
      <w:pPr>
        <w:pStyle w:val="1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竞争性磋商公告</w:t>
      </w:r>
    </w:p>
    <w:p>
      <w:pPr>
        <w:widowControl/>
        <w:shd w:val="clear" w:color="auto" w:fill="FEFEFE"/>
        <w:spacing w:line="400" w:lineRule="atLeast"/>
        <w:jc w:val="center"/>
        <w:rPr>
          <w:rFonts w:ascii="宋体" w:hAnsi="宋体" w:cs="宋体"/>
          <w:color w:val="auto"/>
          <w:kern w:val="0"/>
          <w:sz w:val="24"/>
          <w:highlight w:val="none"/>
        </w:rPr>
      </w:pPr>
      <w:r>
        <w:rPr>
          <w:rFonts w:hint="eastAsia" w:ascii="宋体" w:hAnsi="宋体" w:cs="宋体"/>
          <w:b/>
          <w:color w:val="auto"/>
          <w:sz w:val="24"/>
          <w:highlight w:val="none"/>
          <w:lang w:eastAsia="zh-CN"/>
        </w:rPr>
        <w:t>乌鲁木齐市第一百一十六中学暑假维修项目</w:t>
      </w:r>
      <w:r>
        <w:rPr>
          <w:rFonts w:hint="eastAsia" w:ascii="宋体" w:hAnsi="宋体" w:cs="宋体"/>
          <w:b/>
          <w:bCs/>
          <w:color w:val="auto"/>
          <w:kern w:val="0"/>
          <w:sz w:val="24"/>
          <w:highlight w:val="none"/>
        </w:rPr>
        <w:t>竞争性磋商公告</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项目概况</w:t>
      </w:r>
    </w:p>
    <w:p>
      <w:pPr>
        <w:widowControl/>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   </w:t>
      </w:r>
      <w:r>
        <w:rPr>
          <w:rFonts w:hint="eastAsia" w:ascii="宋体" w:hAnsi="宋体" w:cs="宋体"/>
          <w:color w:val="auto"/>
          <w:kern w:val="0"/>
          <w:sz w:val="24"/>
          <w:highlight w:val="none"/>
          <w:lang w:eastAsia="zh-CN"/>
        </w:rPr>
        <w:t>乌鲁木齐市第一百一十六中学暑假维修项目</w:t>
      </w:r>
      <w:r>
        <w:rPr>
          <w:rFonts w:hint="eastAsia" w:ascii="宋体" w:hAnsi="宋体" w:cs="宋体"/>
          <w:color w:val="auto"/>
          <w:kern w:val="0"/>
          <w:sz w:val="24"/>
          <w:highlight w:val="none"/>
        </w:rPr>
        <w:t>招标项目的潜在投标人应在政采云平台http://www.zcygov.cn/获取招标文件，并于</w:t>
      </w:r>
      <w:r>
        <w:rPr>
          <w:rFonts w:hint="eastAsia" w:ascii="宋体" w:hAnsi="宋体" w:cs="宋体"/>
          <w:color w:val="auto"/>
          <w:kern w:val="0"/>
          <w:sz w:val="24"/>
          <w:highlight w:val="none"/>
          <w:u w:val="single"/>
        </w:rPr>
        <w:t>2023年0</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u w:val="single"/>
        </w:rPr>
        <w:t>日 11:00</w:t>
      </w:r>
      <w:r>
        <w:rPr>
          <w:rFonts w:hint="eastAsia" w:ascii="宋体" w:hAnsi="宋体" w:cs="宋体"/>
          <w:color w:val="auto"/>
          <w:kern w:val="0"/>
          <w:sz w:val="24"/>
          <w:highlight w:val="none"/>
        </w:rPr>
        <w:t>（北京时间）前递交投标文件。</w:t>
      </w:r>
    </w:p>
    <w:p>
      <w:pPr>
        <w:widowControl/>
        <w:spacing w:line="44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p>
    <w:p>
      <w:pPr>
        <w:widowControl/>
        <w:spacing w:line="44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XJTF(CS)2023ZF97</w:t>
      </w:r>
    </w:p>
    <w:p>
      <w:pPr>
        <w:widowControl/>
        <w:spacing w:line="44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乌鲁木齐市第一百一十六中学暑假维修项目</w:t>
      </w:r>
    </w:p>
    <w:p>
      <w:pPr>
        <w:widowControl/>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eastAsia="zh-CN"/>
        </w:rPr>
        <w:t>108297.85</w:t>
      </w:r>
      <w:r>
        <w:rPr>
          <w:rFonts w:hint="eastAsia" w:ascii="宋体" w:hAnsi="宋体" w:cs="宋体"/>
          <w:color w:val="auto"/>
          <w:kern w:val="0"/>
          <w:sz w:val="24"/>
          <w:highlight w:val="none"/>
        </w:rPr>
        <w:t>元</w:t>
      </w:r>
    </w:p>
    <w:p>
      <w:pPr>
        <w:widowControl/>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最高限价（元）：108297.85元</w:t>
      </w:r>
    </w:p>
    <w:p>
      <w:pPr>
        <w:widowControl/>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w:t>
      </w:r>
    </w:p>
    <w:p>
      <w:pPr>
        <w:widowControl/>
        <w:spacing w:line="440" w:lineRule="exact"/>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标项一:</w:t>
      </w:r>
    </w:p>
    <w:p>
      <w:pPr>
        <w:widowControl/>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标项名称: 暑假维修项目</w:t>
      </w:r>
    </w:p>
    <w:p>
      <w:pPr>
        <w:widowControl/>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数量:不限</w:t>
      </w:r>
    </w:p>
    <w:p>
      <w:pPr>
        <w:widowControl/>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预算金额（元）: </w:t>
      </w:r>
      <w:r>
        <w:rPr>
          <w:rFonts w:hint="eastAsia" w:ascii="宋体" w:hAnsi="宋体" w:cs="宋体"/>
          <w:color w:val="auto"/>
          <w:kern w:val="0"/>
          <w:sz w:val="24"/>
          <w:highlight w:val="none"/>
          <w:lang w:eastAsia="zh-CN"/>
        </w:rPr>
        <w:t>108297.85</w:t>
      </w:r>
      <w:r>
        <w:rPr>
          <w:rFonts w:hint="eastAsia" w:ascii="宋体" w:hAnsi="宋体" w:cs="宋体"/>
          <w:color w:val="auto"/>
          <w:kern w:val="0"/>
          <w:sz w:val="24"/>
          <w:highlight w:val="none"/>
        </w:rPr>
        <w:t>元</w:t>
      </w:r>
    </w:p>
    <w:p>
      <w:pPr>
        <w:widowControl/>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简要规格描述或项目基本概况介绍、用途：具体采购要求详见磋商文件</w:t>
      </w:r>
    </w:p>
    <w:p>
      <w:pPr>
        <w:widowControl/>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备注：  </w:t>
      </w:r>
    </w:p>
    <w:p>
      <w:pPr>
        <w:widowControl/>
        <w:spacing w:line="440" w:lineRule="exact"/>
        <w:ind w:firstLine="720" w:firstLineChars="300"/>
        <w:rPr>
          <w:rFonts w:ascii="宋体" w:hAnsi="宋体" w:cs="宋体"/>
          <w:color w:val="auto"/>
          <w:kern w:val="0"/>
          <w:sz w:val="24"/>
          <w:highlight w:val="none"/>
        </w:rPr>
      </w:pPr>
      <w:r>
        <w:rPr>
          <w:rFonts w:hint="eastAsia" w:ascii="宋体" w:hAnsi="宋体" w:cs="宋体"/>
          <w:color w:val="auto"/>
          <w:kern w:val="0"/>
          <w:sz w:val="24"/>
          <w:highlight w:val="none"/>
        </w:rPr>
        <w:t>合同履约期限：以签订合同为准</w:t>
      </w:r>
    </w:p>
    <w:p>
      <w:pPr>
        <w:widowControl/>
        <w:spacing w:line="440" w:lineRule="exact"/>
        <w:ind w:firstLine="720" w:firstLineChars="300"/>
        <w:rPr>
          <w:rFonts w:ascii="宋体" w:hAnsi="宋体" w:cs="宋体"/>
          <w:color w:val="auto"/>
          <w:kern w:val="0"/>
          <w:sz w:val="24"/>
          <w:highlight w:val="none"/>
        </w:rPr>
      </w:pPr>
      <w:r>
        <w:rPr>
          <w:rFonts w:hint="eastAsia" w:ascii="宋体" w:hAnsi="宋体" w:cs="宋体"/>
          <w:color w:val="auto"/>
          <w:kern w:val="0"/>
          <w:sz w:val="24"/>
          <w:highlight w:val="none"/>
        </w:rPr>
        <w:t>本项目（否）接受联合体投标。</w:t>
      </w:r>
    </w:p>
    <w:p>
      <w:pPr>
        <w:widowControl/>
        <w:spacing w:line="44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t>二、申请人的资格要求：</w:t>
      </w:r>
    </w:p>
    <w:p>
      <w:pPr>
        <w:widowControl/>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1.满足《中华人民共和国政府采购法》第二十二条规定；</w:t>
      </w:r>
    </w:p>
    <w:p>
      <w:pPr>
        <w:widowControl/>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2.落实政府采购政策需满足的资格要求：供应商为中小企业</w:t>
      </w:r>
    </w:p>
    <w:p>
      <w:pPr>
        <w:widowControl/>
        <w:spacing w:line="440" w:lineRule="exac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3.本项目的特定资格要求：</w:t>
      </w:r>
      <w:r>
        <w:rPr>
          <w:rFonts w:hint="eastAsia" w:ascii="宋体" w:hAnsi="宋体" w:cs="宋体"/>
          <w:color w:val="auto"/>
          <w:kern w:val="0"/>
          <w:sz w:val="24"/>
          <w:highlight w:val="none"/>
          <w:lang w:val="en-US" w:eastAsia="zh-CN"/>
        </w:rPr>
        <w:t>无</w:t>
      </w:r>
    </w:p>
    <w:p>
      <w:pPr>
        <w:widowControl/>
        <w:spacing w:line="440" w:lineRule="exact"/>
        <w:rPr>
          <w:rFonts w:ascii="宋体" w:hAnsi="宋体" w:cs="宋体"/>
          <w:color w:val="auto"/>
          <w:kern w:val="0"/>
          <w:sz w:val="24"/>
          <w:highlight w:val="none"/>
        </w:rPr>
      </w:pPr>
      <w:r>
        <w:rPr>
          <w:rFonts w:hint="eastAsia" w:ascii="宋体" w:hAnsi="宋体" w:cs="宋体"/>
          <w:b/>
          <w:bCs/>
          <w:color w:val="auto"/>
          <w:kern w:val="0"/>
          <w:sz w:val="24"/>
          <w:highlight w:val="none"/>
        </w:rPr>
        <w:t>三、获取招标文件</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时间：</w:t>
      </w:r>
      <w:r>
        <w:rPr>
          <w:rFonts w:hint="eastAsia" w:ascii="宋体" w:hAnsi="宋体" w:cs="宋体"/>
          <w:color w:val="auto"/>
          <w:kern w:val="0"/>
          <w:sz w:val="24"/>
          <w:highlight w:val="none"/>
          <w:u w:val="single"/>
        </w:rPr>
        <w:t>2023年0</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18</w:t>
      </w:r>
      <w:r>
        <w:rPr>
          <w:rFonts w:hint="eastAsia" w:ascii="宋体" w:hAnsi="宋体" w:cs="宋体"/>
          <w:color w:val="auto"/>
          <w:kern w:val="0"/>
          <w:sz w:val="24"/>
          <w:highlight w:val="none"/>
          <w:u w:val="single"/>
        </w:rPr>
        <w:t>日至2023年0</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26</w:t>
      </w:r>
      <w:r>
        <w:rPr>
          <w:rFonts w:hint="eastAsia" w:ascii="宋体" w:hAnsi="宋体" w:cs="宋体"/>
          <w:color w:val="auto"/>
          <w:kern w:val="0"/>
          <w:sz w:val="24"/>
          <w:highlight w:val="none"/>
          <w:u w:val="single"/>
        </w:rPr>
        <w:t>日</w:t>
      </w:r>
      <w:r>
        <w:rPr>
          <w:rFonts w:hint="eastAsia" w:ascii="宋体" w:hAnsi="宋体" w:cs="宋体"/>
          <w:color w:val="auto"/>
          <w:kern w:val="0"/>
          <w:sz w:val="24"/>
          <w:highlight w:val="none"/>
        </w:rPr>
        <w:t>，每天上午上午00:00至14:00，下午14:00至23:59（北京时间，法定节假日除外）</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地点（网址）：政采云平台http://www.zcygov.cn/</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方式：免费获取，供应商登陆政采云账户（网址：https://www.zcygov.cn/）,在线申请获取招标文件（登录政府采购云平台→采购项目→获取采购文件→申请，审核通过后可下载招标文件，如有操作性问题，可与政采云在线客服进行咨询，咨询电话：95763</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售价（元）：0</w:t>
      </w:r>
    </w:p>
    <w:p>
      <w:pPr>
        <w:pStyle w:val="24"/>
        <w:spacing w:before="204" w:beforeAutospacing="0" w:after="204" w:afterAutospacing="0" w:line="420" w:lineRule="exact"/>
        <w:jc w:val="both"/>
        <w:rPr>
          <w:color w:val="auto"/>
          <w:highlight w:val="none"/>
        </w:rPr>
      </w:pPr>
      <w:r>
        <w:rPr>
          <w:rStyle w:val="31"/>
          <w:rFonts w:hint="eastAsia"/>
          <w:color w:val="auto"/>
          <w:highlight w:val="none"/>
        </w:rPr>
        <w:t>四、响应性文件提交</w:t>
      </w:r>
      <w:r>
        <w:rPr>
          <w:rFonts w:hint="eastAsia"/>
          <w:b/>
          <w:bCs/>
          <w:color w:val="auto"/>
          <w:highlight w:val="none"/>
        </w:rPr>
        <w:t> </w:t>
      </w:r>
    </w:p>
    <w:p>
      <w:pPr>
        <w:widowControl/>
        <w:spacing w:line="440" w:lineRule="exact"/>
        <w:jc w:val="left"/>
        <w:rPr>
          <w:rFonts w:ascii="宋体" w:hAnsi="宋体" w:cs="宋体"/>
          <w:color w:val="auto"/>
          <w:kern w:val="0"/>
          <w:sz w:val="24"/>
          <w:highlight w:val="none"/>
        </w:rPr>
      </w:pPr>
      <w:r>
        <w:rPr>
          <w:rFonts w:hint="eastAsia" w:ascii="宋体" w:hAnsi="宋体" w:cs="宋体"/>
          <w:color w:val="auto"/>
          <w:sz w:val="24"/>
          <w:highlight w:val="none"/>
        </w:rPr>
        <w:t> </w:t>
      </w:r>
      <w:r>
        <w:rPr>
          <w:rFonts w:hint="eastAsia" w:ascii="宋体" w:hAnsi="宋体" w:cs="宋体"/>
          <w:color w:val="auto"/>
          <w:kern w:val="0"/>
          <w:sz w:val="24"/>
          <w:highlight w:val="none"/>
        </w:rPr>
        <w:t>提交投标文件截止时间：2023年0</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日 11:00（北京时间）</w:t>
      </w:r>
    </w:p>
    <w:p>
      <w:pPr>
        <w:widowControl/>
        <w:spacing w:line="440" w:lineRule="exact"/>
        <w:ind w:left="210" w:leftChars="100"/>
        <w:jc w:val="left"/>
        <w:rPr>
          <w:rFonts w:ascii="宋体" w:hAnsi="宋体" w:cs="宋体"/>
          <w:color w:val="auto"/>
          <w:kern w:val="0"/>
          <w:sz w:val="24"/>
          <w:highlight w:val="none"/>
        </w:rPr>
      </w:pPr>
      <w:r>
        <w:rPr>
          <w:rFonts w:hint="eastAsia" w:ascii="宋体" w:hAnsi="宋体" w:cs="宋体"/>
          <w:color w:val="auto"/>
          <w:kern w:val="0"/>
          <w:sz w:val="24"/>
          <w:highlight w:val="none"/>
        </w:rPr>
        <w:t>投标地点：将投标文件上传至政采云平台https://www.zcygov.cn/对应位置（逾期未上传的或不符合规定的投标文件将被拒绝接收）</w:t>
      </w:r>
    </w:p>
    <w:p>
      <w:pPr>
        <w:widowControl/>
        <w:spacing w:line="440" w:lineRule="exac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开标时间：2023年0</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日 11:00（北京时间）</w:t>
      </w:r>
    </w:p>
    <w:p>
      <w:pPr>
        <w:widowControl/>
        <w:spacing w:line="440" w:lineRule="exact"/>
        <w:ind w:firstLine="240" w:firstLineChars="100"/>
        <w:jc w:val="left"/>
        <w:rPr>
          <w:rFonts w:ascii="宋体" w:hAnsi="宋体" w:cs="宋体"/>
          <w:color w:val="auto"/>
          <w:sz w:val="24"/>
          <w:highlight w:val="none"/>
        </w:rPr>
      </w:pPr>
      <w:r>
        <w:rPr>
          <w:rFonts w:hint="eastAsia" w:ascii="宋体" w:hAnsi="宋体" w:cs="宋体"/>
          <w:color w:val="auto"/>
          <w:kern w:val="0"/>
          <w:sz w:val="24"/>
          <w:highlight w:val="none"/>
        </w:rPr>
        <w:t>开标地点：政采云平台https://www.zcygov.cn/不见面开标大厅</w:t>
      </w:r>
    </w:p>
    <w:p>
      <w:pPr>
        <w:spacing w:before="204" w:after="204" w:line="240" w:lineRule="atLeast"/>
        <w:rPr>
          <w:rFonts w:ascii="宋体" w:hAnsi="宋体" w:cs="宋体"/>
          <w:color w:val="auto"/>
          <w:sz w:val="24"/>
          <w:highlight w:val="none"/>
        </w:rPr>
      </w:pPr>
      <w:r>
        <w:rPr>
          <w:rFonts w:hint="eastAsia" w:ascii="宋体" w:hAnsi="宋体" w:cs="宋体"/>
          <w:b/>
          <w:bCs/>
          <w:color w:val="auto"/>
          <w:sz w:val="24"/>
          <w:highlight w:val="none"/>
        </w:rPr>
        <w:t>五、公告期限</w:t>
      </w:r>
    </w:p>
    <w:p>
      <w:pPr>
        <w:spacing w:before="60" w:after="60"/>
        <w:ind w:firstLine="480"/>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pPr>
        <w:spacing w:before="204" w:after="204" w:line="240" w:lineRule="atLeast"/>
        <w:rPr>
          <w:rFonts w:ascii="宋体" w:hAnsi="宋体" w:cs="宋体"/>
          <w:color w:val="auto"/>
          <w:sz w:val="24"/>
          <w:highlight w:val="none"/>
        </w:rPr>
      </w:pPr>
      <w:r>
        <w:rPr>
          <w:rFonts w:hint="eastAsia" w:ascii="宋体" w:hAnsi="宋体" w:cs="宋体"/>
          <w:b/>
          <w:bCs/>
          <w:color w:val="auto"/>
          <w:sz w:val="24"/>
          <w:highlight w:val="none"/>
        </w:rPr>
        <w:t>六、其他补充事宜</w:t>
      </w:r>
    </w:p>
    <w:p>
      <w:pPr>
        <w:widowControl/>
        <w:spacing w:line="360" w:lineRule="auto"/>
        <w:ind w:firstLine="482"/>
        <w:rPr>
          <w:rFonts w:ascii="宋体" w:hAnsi="宋体" w:cs="宋体"/>
          <w:color w:val="auto"/>
          <w:sz w:val="24"/>
          <w:highlight w:val="none"/>
        </w:rPr>
      </w:pPr>
      <w:r>
        <w:rPr>
          <w:rFonts w:hint="eastAsia" w:ascii="宋体" w:hAnsi="宋体" w:cs="宋体"/>
          <w:color w:val="auto"/>
          <w:sz w:val="24"/>
          <w:highlight w:val="none"/>
        </w:rPr>
        <w:t>1.本项目实行网上投标，采用响应性文件电子标书；</w:t>
      </w:r>
    </w:p>
    <w:p>
      <w:pPr>
        <w:widowControl/>
        <w:spacing w:line="360" w:lineRule="auto"/>
        <w:ind w:firstLine="482"/>
        <w:rPr>
          <w:rFonts w:ascii="宋体" w:hAnsi="宋体" w:cs="宋体"/>
          <w:color w:val="auto"/>
          <w:sz w:val="24"/>
          <w:highlight w:val="none"/>
        </w:rPr>
      </w:pPr>
      <w:r>
        <w:rPr>
          <w:rFonts w:hint="eastAsia" w:ascii="宋体" w:hAnsi="宋体" w:cs="宋体"/>
          <w:color w:val="auto"/>
          <w:sz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color w:val="auto"/>
          <w:highlight w:val="none"/>
        </w:rPr>
        <w:fldChar w:fldCharType="begin"/>
      </w:r>
      <w:r>
        <w:rPr>
          <w:color w:val="auto"/>
          <w:highlight w:val="none"/>
        </w:rPr>
        <w:instrText xml:space="preserve"> HYPERLINK "https://www.xjca.com.cn/）或下载" </w:instrText>
      </w:r>
      <w:r>
        <w:rPr>
          <w:color w:val="auto"/>
          <w:highlight w:val="none"/>
        </w:rPr>
        <w:fldChar w:fldCharType="separate"/>
      </w:r>
      <w:r>
        <w:rPr>
          <w:rFonts w:hint="eastAsia" w:ascii="宋体" w:hAnsi="宋体" w:cs="宋体"/>
          <w:color w:val="auto"/>
          <w:sz w:val="24"/>
          <w:highlight w:val="none"/>
        </w:rPr>
        <w:t>https://www.xjca.com.cn/）或下载“新疆政务通”APP自行申领。如需咨询，请联系新疆CA服务热线0991-2819290</w:t>
      </w:r>
      <w:r>
        <w:rPr>
          <w:rFonts w:hint="eastAsia" w:ascii="宋体" w:hAnsi="宋体" w:cs="宋体"/>
          <w:color w:val="auto"/>
          <w:sz w:val="24"/>
          <w:highlight w:val="none"/>
        </w:rPr>
        <w:fldChar w:fldCharType="end"/>
      </w:r>
      <w:r>
        <w:rPr>
          <w:rFonts w:hint="eastAsia" w:ascii="宋体" w:hAnsi="宋体" w:cs="宋体"/>
          <w:color w:val="auto"/>
          <w:sz w:val="24"/>
          <w:highlight w:val="none"/>
        </w:rPr>
        <w:t>；</w:t>
      </w:r>
    </w:p>
    <w:p>
      <w:pPr>
        <w:widowControl/>
        <w:spacing w:line="360" w:lineRule="auto"/>
        <w:ind w:firstLine="482"/>
        <w:rPr>
          <w:rFonts w:ascii="宋体" w:hAnsi="宋体" w:cs="宋体"/>
          <w:color w:val="auto"/>
          <w:sz w:val="24"/>
          <w:highlight w:val="none"/>
        </w:rPr>
      </w:pPr>
      <w:r>
        <w:rPr>
          <w:rFonts w:hint="eastAsia" w:ascii="宋体" w:hAnsi="宋体" w:cs="宋体"/>
          <w:color w:val="auto"/>
          <w:sz w:val="24"/>
          <w:highlight w:val="non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widowControl/>
        <w:spacing w:line="360" w:lineRule="auto"/>
        <w:ind w:firstLine="482"/>
        <w:rPr>
          <w:rFonts w:ascii="宋体" w:hAnsi="宋体" w:cs="宋体"/>
          <w:color w:val="auto"/>
          <w:sz w:val="24"/>
          <w:highlight w:val="none"/>
        </w:rPr>
      </w:pPr>
      <w:r>
        <w:rPr>
          <w:rFonts w:hint="eastAsia" w:ascii="宋体" w:hAnsi="宋体" w:cs="宋体"/>
          <w:color w:val="auto"/>
          <w:sz w:val="24"/>
          <w:highlight w:val="none"/>
        </w:rPr>
        <w:t>4.供应商应当在投标截止时间前,将生成的“电子加密投标文件”上传递交至“政府采购云平台”,投标截止时间以后上传递交的投标文件将被“政府采购云平台”拒收；</w:t>
      </w:r>
    </w:p>
    <w:p>
      <w:pPr>
        <w:widowControl/>
        <w:spacing w:line="360" w:lineRule="auto"/>
        <w:ind w:firstLine="482"/>
        <w:rPr>
          <w:rFonts w:ascii="宋体" w:hAnsi="宋体" w:cs="宋体"/>
          <w:color w:val="auto"/>
          <w:sz w:val="24"/>
          <w:highlight w:val="none"/>
        </w:rPr>
      </w:pPr>
      <w:r>
        <w:rPr>
          <w:rFonts w:hint="eastAsia" w:ascii="宋体" w:hAnsi="宋体" w:cs="宋体"/>
          <w:color w:val="auto"/>
          <w:sz w:val="24"/>
          <w:highlight w:val="none"/>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pStyle w:val="129"/>
        <w:spacing w:line="360" w:lineRule="auto"/>
        <w:rPr>
          <w:rFonts w:ascii="宋体" w:hAnsi="宋体" w:cs="宋体"/>
          <w:color w:val="auto"/>
          <w:kern w:val="2"/>
          <w:sz w:val="24"/>
          <w:szCs w:val="24"/>
          <w:highlight w:val="none"/>
        </w:rPr>
      </w:pPr>
      <w:bookmarkStart w:id="0" w:name="_Toc19182"/>
      <w:bookmarkStart w:id="1" w:name="_Toc12716"/>
      <w:bookmarkStart w:id="2" w:name="_Toc31445"/>
      <w:bookmarkStart w:id="3" w:name="_Toc350"/>
      <w:r>
        <w:rPr>
          <w:rFonts w:hint="eastAsia" w:ascii="宋体" w:hAnsi="宋体" w:cs="宋体"/>
          <w:color w:val="auto"/>
          <w:kern w:val="2"/>
          <w:sz w:val="24"/>
          <w:szCs w:val="24"/>
          <w:highlight w:val="none"/>
        </w:rPr>
        <w:t>6、供应商登录政采云平台，在开标时间后30分钟内用“项目采购-开标评标”功能进行解密投标文件。若供应商在规定时间内未按时解密的，视为无效投标。解密与加密投标文件须使用同一个 CA。</w:t>
      </w:r>
      <w:bookmarkEnd w:id="0"/>
      <w:bookmarkEnd w:id="1"/>
      <w:bookmarkEnd w:id="2"/>
      <w:bookmarkEnd w:id="3"/>
    </w:p>
    <w:p>
      <w:pPr>
        <w:spacing w:before="204" w:after="204" w:line="384" w:lineRule="atLeast"/>
        <w:rPr>
          <w:rFonts w:ascii="宋体" w:hAnsi="宋体" w:cs="宋体"/>
          <w:color w:val="auto"/>
          <w:sz w:val="24"/>
          <w:highlight w:val="none"/>
        </w:rPr>
      </w:pPr>
      <w:r>
        <w:rPr>
          <w:rFonts w:hint="eastAsia" w:ascii="宋体" w:hAnsi="宋体" w:cs="宋体"/>
          <w:b/>
          <w:bCs/>
          <w:color w:val="auto"/>
          <w:sz w:val="24"/>
          <w:highlight w:val="none"/>
        </w:rPr>
        <w:t>七、对本次采购提出询问，请按以下方式联系</w:t>
      </w:r>
    </w:p>
    <w:p>
      <w:pPr>
        <w:spacing w:before="60" w:after="60"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pPr>
        <w:spacing w:before="60" w:after="60"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乌鲁木齐市第一百一十六中学</w:t>
      </w:r>
    </w:p>
    <w:p>
      <w:pPr>
        <w:spacing w:before="60" w:after="60"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乌鲁木齐市天山区富泉街350号</w:t>
      </w:r>
    </w:p>
    <w:p>
      <w:pPr>
        <w:spacing w:before="60" w:after="60"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0991-2569596</w:t>
      </w:r>
    </w:p>
    <w:p>
      <w:pPr>
        <w:spacing w:before="60" w:after="60" w:line="360" w:lineRule="auto"/>
        <w:ind w:firstLine="480"/>
        <w:rPr>
          <w:rFonts w:ascii="宋体" w:hAnsi="宋体" w:cs="宋体"/>
          <w:color w:val="auto"/>
          <w:sz w:val="24"/>
          <w:highlight w:val="none"/>
        </w:rPr>
      </w:pPr>
      <w:r>
        <w:rPr>
          <w:rFonts w:hint="eastAsia" w:ascii="宋体" w:hAnsi="宋体" w:cs="宋体"/>
          <w:color w:val="auto"/>
          <w:sz w:val="24"/>
          <w:highlight w:val="none"/>
        </w:rPr>
        <w:t>2.采购代理机构信息</w:t>
      </w:r>
    </w:p>
    <w:p>
      <w:pPr>
        <w:spacing w:before="60" w:after="60" w:line="360" w:lineRule="auto"/>
        <w:ind w:firstLine="480"/>
        <w:rPr>
          <w:rFonts w:ascii="宋体" w:hAnsi="宋体" w:cs="宋体"/>
          <w:color w:val="auto"/>
          <w:sz w:val="24"/>
          <w:highlight w:val="none"/>
        </w:rPr>
      </w:pPr>
      <w:r>
        <w:rPr>
          <w:rFonts w:hint="eastAsia" w:ascii="宋体" w:hAnsi="宋体" w:cs="宋体"/>
          <w:color w:val="auto"/>
          <w:sz w:val="24"/>
          <w:highlight w:val="none"/>
        </w:rPr>
        <w:t>名 称：新疆同孚招投标有限公司</w:t>
      </w:r>
    </w:p>
    <w:p>
      <w:pPr>
        <w:spacing w:before="60" w:after="60" w:line="360" w:lineRule="auto"/>
        <w:ind w:firstLine="480"/>
        <w:rPr>
          <w:rFonts w:ascii="宋体" w:hAnsi="宋体" w:cs="宋体"/>
          <w:color w:val="auto"/>
          <w:sz w:val="24"/>
          <w:highlight w:val="none"/>
        </w:rPr>
      </w:pPr>
      <w:r>
        <w:rPr>
          <w:rFonts w:hint="eastAsia" w:ascii="宋体" w:hAnsi="宋体" w:cs="宋体"/>
          <w:color w:val="auto"/>
          <w:sz w:val="24"/>
          <w:highlight w:val="none"/>
        </w:rPr>
        <w:t>地 址：乌鲁木齐市友好北路宏运大厦17楼G座</w:t>
      </w:r>
    </w:p>
    <w:p>
      <w:pPr>
        <w:spacing w:before="60" w:after="60" w:line="360" w:lineRule="auto"/>
        <w:ind w:firstLine="480"/>
        <w:rPr>
          <w:rFonts w:ascii="宋体" w:hAnsi="宋体" w:cs="宋体"/>
          <w:color w:val="auto"/>
          <w:sz w:val="24"/>
          <w:highlight w:val="none"/>
        </w:rPr>
      </w:pPr>
      <w:r>
        <w:rPr>
          <w:rFonts w:hint="eastAsia" w:ascii="宋体" w:hAnsi="宋体" w:cs="宋体"/>
          <w:color w:val="auto"/>
          <w:sz w:val="24"/>
          <w:highlight w:val="none"/>
        </w:rPr>
        <w:t>联系方式：0991-4832223转8001</w:t>
      </w:r>
    </w:p>
    <w:p>
      <w:pPr>
        <w:spacing w:before="60" w:after="60" w:line="360" w:lineRule="auto"/>
        <w:ind w:firstLine="480"/>
        <w:rPr>
          <w:rFonts w:ascii="宋体" w:hAnsi="宋体" w:cs="宋体"/>
          <w:color w:val="auto"/>
          <w:sz w:val="24"/>
          <w:highlight w:val="none"/>
        </w:rPr>
      </w:pPr>
      <w:r>
        <w:rPr>
          <w:rFonts w:hint="eastAsia" w:ascii="宋体" w:hAnsi="宋体" w:cs="宋体"/>
          <w:color w:val="auto"/>
          <w:sz w:val="24"/>
          <w:highlight w:val="none"/>
        </w:rPr>
        <w:t>3.项目联系方式</w:t>
      </w:r>
    </w:p>
    <w:p>
      <w:pPr>
        <w:spacing w:before="60" w:after="60"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项目联系人：冶欣月</w:t>
      </w:r>
    </w:p>
    <w:p>
      <w:pPr>
        <w:spacing w:before="60" w:after="60" w:line="360" w:lineRule="auto"/>
        <w:ind w:firstLine="480"/>
        <w:rPr>
          <w:rFonts w:ascii="宋体" w:hAnsi="宋体" w:cs="宋体"/>
          <w:color w:val="auto"/>
          <w:sz w:val="24"/>
          <w:highlight w:val="none"/>
        </w:rPr>
      </w:pPr>
      <w:r>
        <w:rPr>
          <w:rFonts w:hint="eastAsia" w:ascii="宋体" w:hAnsi="宋体" w:cs="宋体"/>
          <w:color w:val="auto"/>
          <w:sz w:val="24"/>
          <w:highlight w:val="none"/>
        </w:rPr>
        <w:t>电 话：0991-4832223转8001 </w:t>
      </w:r>
    </w:p>
    <w:p>
      <w:pPr>
        <w:jc w:val="right"/>
        <w:rPr>
          <w:rFonts w:ascii="宋体" w:hAnsi="宋体" w:cs="宋体"/>
          <w:color w:val="auto"/>
          <w:highlight w:val="none"/>
        </w:rPr>
      </w:pPr>
      <w:r>
        <w:rPr>
          <w:rFonts w:hint="eastAsia" w:ascii="宋体" w:hAnsi="宋体" w:cs="宋体"/>
          <w:b/>
          <w:color w:val="auto"/>
          <w:szCs w:val="21"/>
          <w:highlight w:val="none"/>
        </w:rPr>
        <w:br w:type="page"/>
      </w:r>
    </w:p>
    <w:p>
      <w:pPr>
        <w:pStyle w:val="25"/>
        <w:rPr>
          <w:rFonts w:ascii="宋体" w:hAnsi="宋体" w:eastAsia="宋体" w:cs="宋体"/>
          <w:color w:val="auto"/>
          <w:sz w:val="36"/>
          <w:szCs w:val="36"/>
          <w:highlight w:val="none"/>
        </w:rPr>
      </w:pPr>
      <w:bookmarkStart w:id="4" w:name="_Toc15945"/>
      <w:bookmarkStart w:id="5" w:name="_Toc24549"/>
      <w:r>
        <w:rPr>
          <w:rStyle w:val="39"/>
          <w:rFonts w:hint="eastAsia" w:cs="宋体"/>
          <w:b/>
          <w:bCs/>
          <w:color w:val="auto"/>
          <w:sz w:val="36"/>
          <w:szCs w:val="36"/>
          <w:highlight w:val="none"/>
        </w:rPr>
        <w:t>第一部分  供应商须知前附表</w:t>
      </w:r>
      <w:bookmarkEnd w:id="4"/>
      <w:bookmarkEnd w:id="5"/>
    </w:p>
    <w:tbl>
      <w:tblPr>
        <w:tblStyle w:val="28"/>
        <w:tblW w:w="52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52"/>
        <w:gridCol w:w="2474"/>
        <w:gridCol w:w="68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62"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名称</w:t>
            </w:r>
          </w:p>
        </w:tc>
        <w:tc>
          <w:tcPr>
            <w:tcW w:w="3337"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ascii="宋体" w:hAnsi="宋体" w:cs="宋体"/>
                <w:color w:val="auto"/>
                <w:sz w:val="24"/>
                <w:highlight w:val="none"/>
              </w:rPr>
            </w:pPr>
            <w:r>
              <w:rPr>
                <w:rFonts w:hint="eastAsia" w:ascii="宋体" w:hAnsi="宋体" w:cs="宋体"/>
                <w:color w:val="auto"/>
                <w:highlight w:val="none"/>
              </w:rPr>
              <w:t>1</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磋商文件编号</w:t>
            </w:r>
          </w:p>
        </w:tc>
        <w:tc>
          <w:tcPr>
            <w:tcW w:w="3337" w:type="pct"/>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zh-CN"/>
              </w:rPr>
              <w:t>XJTF(CS)2023ZF97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ascii="宋体" w:hAnsi="宋体" w:cs="宋体"/>
                <w:color w:val="auto"/>
                <w:sz w:val="24"/>
                <w:highlight w:val="none"/>
              </w:rPr>
            </w:pPr>
            <w:r>
              <w:rPr>
                <w:rFonts w:hint="eastAsia" w:ascii="宋体" w:hAnsi="宋体" w:cs="宋体"/>
                <w:color w:val="auto"/>
                <w:highlight w:val="none"/>
              </w:rPr>
              <w:t>2</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3337" w:type="pct"/>
            <w:vAlign w:val="center"/>
          </w:tcPr>
          <w:p>
            <w:pPr>
              <w:spacing w:line="440" w:lineRule="exact"/>
              <w:rPr>
                <w:rFonts w:ascii="宋体" w:hAnsi="宋体" w:cs="宋体"/>
                <w:color w:val="auto"/>
                <w:sz w:val="24"/>
                <w:highlight w:val="none"/>
              </w:rPr>
            </w:pPr>
            <w:r>
              <w:rPr>
                <w:rFonts w:hint="eastAsia" w:ascii="宋体" w:hAnsi="宋体" w:cs="宋体"/>
                <w:color w:val="auto"/>
                <w:kern w:val="0"/>
                <w:sz w:val="24"/>
                <w:highlight w:val="none"/>
                <w:lang w:eastAsia="zh-CN"/>
              </w:rPr>
              <w:t>乌鲁木齐市第一百一十六中学暑假维修项目</w:t>
            </w:r>
            <w:r>
              <w:rPr>
                <w:rFonts w:hint="eastAsia" w:ascii="宋体" w:hAnsi="宋体" w:cs="宋体"/>
                <w:color w:val="auto"/>
                <w:kern w:val="0"/>
                <w:sz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ascii="宋体" w:hAnsi="宋体" w:cs="宋体"/>
                <w:color w:val="auto"/>
                <w:sz w:val="24"/>
                <w:highlight w:val="none"/>
              </w:rPr>
            </w:pPr>
            <w:r>
              <w:rPr>
                <w:rFonts w:hint="eastAsia" w:ascii="宋体" w:hAnsi="宋体" w:cs="宋体"/>
                <w:color w:val="auto"/>
                <w:highlight w:val="none"/>
              </w:rPr>
              <w:t>3</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3337" w:type="pct"/>
            <w:vAlign w:val="center"/>
          </w:tcPr>
          <w:p>
            <w:pPr>
              <w:overflowPunct w:val="0"/>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采购单位：</w:t>
            </w:r>
            <w:r>
              <w:rPr>
                <w:rFonts w:hint="eastAsia" w:ascii="宋体" w:hAnsi="宋体" w:cs="宋体"/>
                <w:color w:val="auto"/>
                <w:sz w:val="24"/>
                <w:highlight w:val="none"/>
                <w:lang w:eastAsia="zh-CN"/>
              </w:rPr>
              <w:t>乌鲁木齐市第一百一十六中学</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采购单位地址：乌鲁木齐市天山区富泉街350号</w:t>
            </w:r>
          </w:p>
          <w:p>
            <w:pPr>
              <w:overflowPunct w:val="0"/>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宋主任</w:t>
            </w:r>
          </w:p>
          <w:p>
            <w:pPr>
              <w:overflowPunct w:val="0"/>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0991-2569596</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招标代理机构：新疆同孚招投标有限公司</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招标公司地址：乌鲁木齐市友好北路宏运大厦17楼G座</w:t>
            </w:r>
          </w:p>
          <w:p>
            <w:pPr>
              <w:overflowPunct w:val="0"/>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冶欣月</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联系电话：0991-4832223转8001</w:t>
            </w:r>
          </w:p>
          <w:p>
            <w:pPr>
              <w:overflowPunct w:val="0"/>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邮箱：</w:t>
            </w:r>
            <w:r>
              <w:rPr>
                <w:rFonts w:hint="eastAsia" w:ascii="宋体" w:hAnsi="宋体" w:cs="宋体"/>
                <w:color w:val="auto"/>
                <w:sz w:val="24"/>
                <w:highlight w:val="none"/>
                <w:lang w:val="en-US" w:eastAsia="zh-CN"/>
              </w:rPr>
              <w:t>noname@xjtfztb.com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ascii="宋体" w:hAnsi="宋体" w:cs="宋体"/>
                <w:color w:val="auto"/>
                <w:sz w:val="24"/>
                <w:highlight w:val="none"/>
              </w:rPr>
            </w:pPr>
            <w:r>
              <w:rPr>
                <w:rFonts w:hint="eastAsia" w:ascii="宋体" w:hAnsi="宋体" w:cs="宋体"/>
                <w:color w:val="auto"/>
                <w:highlight w:val="none"/>
              </w:rPr>
              <w:t>4</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预算金额</w:t>
            </w:r>
          </w:p>
        </w:tc>
        <w:tc>
          <w:tcPr>
            <w:tcW w:w="3337" w:type="pct"/>
            <w:vAlign w:val="center"/>
          </w:tcPr>
          <w:p>
            <w:pPr>
              <w:overflowPunct w:val="0"/>
              <w:spacing w:line="440" w:lineRule="exact"/>
              <w:rPr>
                <w:rFonts w:ascii="宋体" w:hAnsi="宋体" w:cs="宋体"/>
                <w:color w:val="auto"/>
                <w:sz w:val="24"/>
                <w:highlight w:val="none"/>
              </w:rPr>
            </w:pPr>
            <w:r>
              <w:rPr>
                <w:rFonts w:hint="eastAsia" w:ascii="宋体" w:hAnsi="宋体" w:cs="宋体"/>
                <w:color w:val="auto"/>
                <w:kern w:val="0"/>
                <w:sz w:val="24"/>
                <w:highlight w:val="none"/>
                <w:lang w:val="en-US" w:eastAsia="zh-CN"/>
              </w:rPr>
              <w:t>108297.85</w:t>
            </w:r>
            <w:r>
              <w:rPr>
                <w:rFonts w:hint="eastAsia" w:ascii="宋体" w:hAnsi="宋体" w:cs="宋体"/>
                <w:color w:val="auto"/>
                <w:kern w:val="0"/>
                <w:sz w:val="24"/>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2" w:type="pct"/>
            <w:vAlign w:val="center"/>
          </w:tcPr>
          <w:p>
            <w:pPr>
              <w:jc w:val="center"/>
              <w:rPr>
                <w:rFonts w:ascii="宋体" w:hAnsi="宋体" w:cs="宋体"/>
                <w:color w:val="auto"/>
                <w:sz w:val="24"/>
                <w:highlight w:val="none"/>
              </w:rPr>
            </w:pPr>
            <w:r>
              <w:rPr>
                <w:rFonts w:hint="eastAsia" w:ascii="宋体" w:hAnsi="宋体" w:cs="宋体"/>
                <w:color w:val="auto"/>
                <w:highlight w:val="none"/>
              </w:rPr>
              <w:t>5</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采购内容</w:t>
            </w:r>
          </w:p>
        </w:tc>
        <w:tc>
          <w:tcPr>
            <w:tcW w:w="3337" w:type="pct"/>
            <w:vAlign w:val="center"/>
          </w:tcPr>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暑假维修项目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2" w:type="pct"/>
            <w:vAlign w:val="center"/>
          </w:tcPr>
          <w:p>
            <w:pPr>
              <w:jc w:val="center"/>
              <w:rPr>
                <w:rFonts w:ascii="宋体" w:hAnsi="宋体" w:cs="宋体"/>
                <w:color w:val="auto"/>
                <w:sz w:val="24"/>
                <w:highlight w:val="none"/>
              </w:rPr>
            </w:pPr>
            <w:r>
              <w:rPr>
                <w:rFonts w:hint="eastAsia" w:ascii="宋体" w:hAnsi="宋体" w:cs="宋体"/>
                <w:color w:val="auto"/>
                <w:highlight w:val="none"/>
              </w:rPr>
              <w:t>6</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工期要求</w:t>
            </w:r>
          </w:p>
        </w:tc>
        <w:tc>
          <w:tcPr>
            <w:tcW w:w="3337" w:type="pct"/>
            <w:vAlign w:val="center"/>
          </w:tcPr>
          <w:p>
            <w:pPr>
              <w:overflowPunct w:val="0"/>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29" w:hRule="atLeast"/>
          <w:jc w:val="center"/>
        </w:trPr>
        <w:tc>
          <w:tcPr>
            <w:tcW w:w="462" w:type="pct"/>
            <w:vAlign w:val="center"/>
          </w:tcPr>
          <w:p>
            <w:pPr>
              <w:jc w:val="center"/>
              <w:rPr>
                <w:rFonts w:ascii="宋体" w:hAnsi="宋体" w:cs="宋体"/>
                <w:color w:val="auto"/>
                <w:highlight w:val="none"/>
              </w:rPr>
            </w:pPr>
            <w:r>
              <w:rPr>
                <w:rFonts w:hint="eastAsia" w:ascii="宋体" w:hAnsi="宋体" w:cs="宋体"/>
                <w:color w:val="auto"/>
                <w:highlight w:val="none"/>
              </w:rPr>
              <w:t>7</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工程质保期</w:t>
            </w:r>
          </w:p>
        </w:tc>
        <w:tc>
          <w:tcPr>
            <w:tcW w:w="3337" w:type="pct"/>
            <w:vAlign w:val="center"/>
          </w:tcPr>
          <w:p>
            <w:pPr>
              <w:overflowPunct w:val="0"/>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装修5年，防水10年。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lang w:val="en-US" w:eastAsia="zh-CN"/>
              </w:rPr>
              <w:t>8</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服务地点</w:t>
            </w:r>
          </w:p>
        </w:tc>
        <w:tc>
          <w:tcPr>
            <w:tcW w:w="3337" w:type="pct"/>
            <w:vAlign w:val="center"/>
          </w:tcPr>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lang w:val="en-US" w:eastAsia="zh-CN"/>
              </w:rPr>
              <w:t>9</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投标资格</w:t>
            </w:r>
          </w:p>
        </w:tc>
        <w:tc>
          <w:tcPr>
            <w:tcW w:w="3337" w:type="pct"/>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widowControl/>
              <w:spacing w:line="440" w:lineRule="exact"/>
              <w:jc w:val="left"/>
              <w:rPr>
                <w:rFonts w:ascii="宋体" w:hAnsi="宋体" w:cs="宋体"/>
                <w:color w:val="auto"/>
                <w:sz w:val="24"/>
                <w:highlight w:val="none"/>
              </w:rPr>
            </w:pPr>
            <w:r>
              <w:rPr>
                <w:rFonts w:hint="eastAsia" w:ascii="宋体" w:hAnsi="宋体" w:cs="宋体"/>
                <w:color w:val="auto"/>
                <w:sz w:val="24"/>
                <w:highlight w:val="none"/>
              </w:rPr>
              <w:t>2.落实政府采购政策需满足的资格要求：供应商为中小企业</w:t>
            </w:r>
          </w:p>
          <w:p>
            <w:pPr>
              <w:widowControl/>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62" w:type="pct"/>
            <w:tcBorders>
              <w:bottom w:val="single" w:color="auto" w:sz="4" w:space="0"/>
            </w:tcBorders>
            <w:vAlign w:val="center"/>
          </w:tcPr>
          <w:p>
            <w:pPr>
              <w:widowControl/>
              <w:spacing w:line="440" w:lineRule="exact"/>
              <w:ind w:firstLine="240" w:firstLineChars="1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p>
        </w:tc>
        <w:tc>
          <w:tcPr>
            <w:tcW w:w="1200" w:type="pct"/>
            <w:tcBorders>
              <w:bottom w:val="single" w:color="auto" w:sz="4" w:space="0"/>
              <w:right w:val="single" w:color="auto" w:sz="4" w:space="0"/>
            </w:tcBorders>
            <w:vAlign w:val="center"/>
          </w:tcPr>
          <w:p>
            <w:pPr>
              <w:pStyle w:val="16"/>
              <w:ind w:left="38"/>
              <w:jc w:val="center"/>
              <w:rPr>
                <w:rFonts w:ascii="宋体" w:hAnsi="宋体" w:cs="宋体"/>
                <w:color w:val="auto"/>
                <w:highlight w:val="none"/>
              </w:rPr>
            </w:pPr>
            <w:r>
              <w:rPr>
                <w:rFonts w:hint="eastAsia" w:ascii="宋体" w:hAnsi="宋体" w:cs="宋体"/>
                <w:color w:val="auto"/>
                <w:sz w:val="24"/>
                <w:szCs w:val="24"/>
                <w:highlight w:val="none"/>
              </w:rPr>
              <w:t>信用情况</w:t>
            </w:r>
          </w:p>
        </w:tc>
        <w:tc>
          <w:tcPr>
            <w:tcW w:w="3337" w:type="pct"/>
            <w:tcBorders>
              <w:left w:val="single" w:color="auto" w:sz="4" w:space="0"/>
              <w:bottom w:val="single" w:color="auto" w:sz="4" w:space="0"/>
            </w:tcBorders>
            <w:vAlign w:val="center"/>
          </w:tcPr>
          <w:p>
            <w:pPr>
              <w:widowControl/>
              <w:spacing w:line="440" w:lineRule="exact"/>
              <w:jc w:val="left"/>
              <w:rPr>
                <w:rFonts w:ascii="宋体" w:hAnsi="宋体" w:cs="宋体"/>
                <w:bCs/>
                <w:color w:val="auto"/>
                <w:sz w:val="24"/>
                <w:highlight w:val="none"/>
              </w:rPr>
            </w:pPr>
            <w:r>
              <w:rPr>
                <w:rFonts w:hint="eastAsia" w:ascii="宋体" w:hAnsi="宋体" w:cs="宋体"/>
                <w:bCs/>
                <w:color w:val="auto"/>
                <w:sz w:val="24"/>
                <w:highlight w:val="none"/>
              </w:rPr>
              <w:t>信用记录审查：</w:t>
            </w:r>
          </w:p>
          <w:p>
            <w:pPr>
              <w:widowControl/>
              <w:spacing w:line="440" w:lineRule="exact"/>
              <w:jc w:val="left"/>
              <w:rPr>
                <w:rFonts w:ascii="宋体" w:hAnsi="宋体" w:cs="宋体"/>
                <w:b/>
                <w:color w:val="auto"/>
                <w:sz w:val="24"/>
                <w:highlight w:val="none"/>
              </w:rPr>
            </w:pPr>
            <w:r>
              <w:rPr>
                <w:rFonts w:hint="eastAsia" w:ascii="宋体" w:hAnsi="宋体" w:cs="宋体"/>
                <w:bCs/>
                <w:color w:val="auto"/>
                <w:sz w:val="24"/>
                <w:highlight w:val="none"/>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62" w:type="pct"/>
            <w:tcBorders>
              <w:top w:val="single" w:color="auto" w:sz="4" w:space="0"/>
            </w:tcBorders>
            <w:vAlign w:val="center"/>
          </w:tcPr>
          <w:p>
            <w:pPr>
              <w:widowControl/>
              <w:spacing w:line="440" w:lineRule="exact"/>
              <w:ind w:firstLine="240" w:firstLineChars="1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1200" w:type="pct"/>
            <w:tcBorders>
              <w:top w:val="single" w:color="auto" w:sz="4" w:space="0"/>
            </w:tcBorders>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kern w:val="0"/>
                <w:sz w:val="24"/>
                <w:highlight w:val="none"/>
              </w:rPr>
              <w:t>是否接受联合体投标</w:t>
            </w:r>
          </w:p>
        </w:tc>
        <w:tc>
          <w:tcPr>
            <w:tcW w:w="3337" w:type="pct"/>
            <w:tcBorders>
              <w:top w:val="single" w:color="auto" w:sz="4" w:space="0"/>
            </w:tcBorders>
            <w:vAlign w:val="center"/>
          </w:tcPr>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2</w:t>
            </w:r>
          </w:p>
        </w:tc>
        <w:tc>
          <w:tcPr>
            <w:tcW w:w="1200" w:type="pct"/>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sz w:val="24"/>
                <w:highlight w:val="none"/>
              </w:rPr>
              <w:t>磋商文件发放日期及地点</w:t>
            </w:r>
          </w:p>
        </w:tc>
        <w:tc>
          <w:tcPr>
            <w:tcW w:w="3337" w:type="pct"/>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sz w:val="24"/>
                <w:highlight w:val="none"/>
              </w:rPr>
              <w:t>时间：2023年0</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日至2023年0</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bookmarkStart w:id="83" w:name="_GoBack"/>
            <w:bookmarkEnd w:id="83"/>
            <w:r>
              <w:rPr>
                <w:rFonts w:hint="eastAsia" w:ascii="宋体" w:hAnsi="宋体" w:cs="宋体"/>
                <w:color w:val="auto"/>
                <w:sz w:val="24"/>
                <w:highlight w:val="none"/>
              </w:rPr>
              <w:t>日，每天上午00:00至14:00，下午14:00至23:59（北京时间，法定节假日除外）</w:t>
            </w:r>
          </w:p>
          <w:p>
            <w:pPr>
              <w:widowControl/>
              <w:spacing w:line="440" w:lineRule="exact"/>
              <w:jc w:val="left"/>
              <w:rPr>
                <w:rFonts w:ascii="宋体" w:hAnsi="宋体" w:cs="宋体"/>
                <w:color w:val="auto"/>
                <w:sz w:val="24"/>
                <w:highlight w:val="none"/>
              </w:rPr>
            </w:pPr>
            <w:r>
              <w:rPr>
                <w:rFonts w:hint="eastAsia" w:ascii="宋体" w:hAnsi="宋体" w:cs="宋体"/>
                <w:color w:val="auto"/>
                <w:sz w:val="24"/>
                <w:highlight w:val="none"/>
              </w:rPr>
              <w:t>地点：新疆政府采购云平台https://www.zcygov.cn/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3</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磋商文件售价</w:t>
            </w:r>
          </w:p>
        </w:tc>
        <w:tc>
          <w:tcPr>
            <w:tcW w:w="3337" w:type="pct"/>
            <w:vAlign w:val="center"/>
          </w:tcPr>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每套人民币0元</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磋商响应资格不能转让。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4</w:t>
            </w:r>
          </w:p>
        </w:tc>
        <w:tc>
          <w:tcPr>
            <w:tcW w:w="1200" w:type="pct"/>
            <w:vAlign w:val="center"/>
          </w:tcPr>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磋商时间及响应性文件递交截止时间</w:t>
            </w:r>
          </w:p>
        </w:tc>
        <w:tc>
          <w:tcPr>
            <w:tcW w:w="3337" w:type="pct"/>
            <w:vAlign w:val="center"/>
          </w:tcPr>
          <w:p>
            <w:pPr>
              <w:widowControl/>
              <w:shd w:val="clear" w:color="auto" w:fill="FEFEFE"/>
              <w:spacing w:line="440" w:lineRule="exact"/>
              <w:rPr>
                <w:rFonts w:ascii="宋体" w:hAnsi="宋体" w:cs="宋体"/>
                <w:color w:val="auto"/>
                <w:sz w:val="24"/>
                <w:highlight w:val="none"/>
              </w:rPr>
            </w:pPr>
            <w:r>
              <w:rPr>
                <w:rFonts w:hint="eastAsia" w:ascii="宋体" w:hAnsi="宋体" w:cs="宋体"/>
                <w:color w:val="auto"/>
                <w:sz w:val="24"/>
                <w:highlight w:val="none"/>
              </w:rPr>
              <w:t>2023年0</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 11:00（北京时间）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5</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响应性文件递交地点及磋商地点</w:t>
            </w:r>
          </w:p>
        </w:tc>
        <w:tc>
          <w:tcPr>
            <w:tcW w:w="3337" w:type="pct"/>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将投标文件上传至政采云平台https://www.zcygov.cn/对应位置（逾期未上传的或不符合规定的投标文件将被拒绝接收）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5" w:hRule="atLeast"/>
          <w:jc w:val="center"/>
        </w:trPr>
        <w:tc>
          <w:tcPr>
            <w:tcW w:w="462" w:type="pct"/>
            <w:tcBorders>
              <w:top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6</w:t>
            </w:r>
          </w:p>
        </w:tc>
        <w:tc>
          <w:tcPr>
            <w:tcW w:w="1200" w:type="pct"/>
            <w:tcBorders>
              <w:top w:val="single" w:color="auto" w:sz="4" w:space="0"/>
            </w:tcBorders>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响应性有效期</w:t>
            </w:r>
          </w:p>
        </w:tc>
        <w:tc>
          <w:tcPr>
            <w:tcW w:w="3337" w:type="pct"/>
            <w:tcBorders>
              <w:top w:val="single" w:color="auto" w:sz="4" w:space="0"/>
            </w:tcBorders>
            <w:vAlign w:val="center"/>
          </w:tcPr>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462" w:type="pct"/>
            <w:tcBorders>
              <w:bottom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7</w:t>
            </w:r>
          </w:p>
        </w:tc>
        <w:tc>
          <w:tcPr>
            <w:tcW w:w="1200" w:type="pct"/>
            <w:tcBorders>
              <w:bottom w:val="single" w:color="auto" w:sz="4" w:space="0"/>
            </w:tcBorders>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评标方法</w:t>
            </w:r>
          </w:p>
        </w:tc>
        <w:tc>
          <w:tcPr>
            <w:tcW w:w="3337" w:type="pct"/>
            <w:tcBorders>
              <w:bottom w:val="single" w:color="auto" w:sz="4" w:space="0"/>
            </w:tcBorders>
            <w:vAlign w:val="center"/>
          </w:tcPr>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Merge w:val="restar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8</w:t>
            </w:r>
          </w:p>
        </w:tc>
        <w:tc>
          <w:tcPr>
            <w:tcW w:w="1200" w:type="pct"/>
            <w:vMerge w:val="restar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磋商保证金</w:t>
            </w:r>
          </w:p>
        </w:tc>
        <w:tc>
          <w:tcPr>
            <w:tcW w:w="3337" w:type="pct"/>
            <w:vAlign w:val="center"/>
          </w:tcPr>
          <w:p>
            <w:pPr>
              <w:overflowPunct w:val="0"/>
              <w:spacing w:line="440" w:lineRule="exact"/>
              <w:rPr>
                <w:rFonts w:ascii="宋体" w:hAnsi="宋体" w:cs="宋体"/>
                <w:color w:val="auto"/>
                <w:kern w:val="0"/>
                <w:sz w:val="24"/>
                <w:highlight w:val="none"/>
              </w:rPr>
            </w:pPr>
            <w:r>
              <w:rPr>
                <w:rFonts w:hint="eastAsia" w:ascii="宋体" w:hAnsi="宋体" w:cs="宋体"/>
                <w:color w:val="auto"/>
                <w:sz w:val="24"/>
                <w:highlight w:val="none"/>
              </w:rPr>
              <w:t>一、保证金金额：¥：</w:t>
            </w:r>
            <w:r>
              <w:rPr>
                <w:rFonts w:hint="eastAsia" w:ascii="宋体" w:hAnsi="宋体" w:cs="宋体"/>
                <w:color w:val="auto"/>
                <w:sz w:val="24"/>
                <w:highlight w:val="none"/>
                <w:lang w:val="en-US" w:eastAsia="zh-CN"/>
              </w:rPr>
              <w:t>1082</w:t>
            </w:r>
            <w:r>
              <w:rPr>
                <w:rFonts w:hint="eastAsia" w:ascii="宋体" w:hAnsi="宋体" w:cs="宋体"/>
                <w:color w:val="auto"/>
                <w:sz w:val="24"/>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Merge w:val="continue"/>
            <w:vAlign w:val="center"/>
          </w:tcPr>
          <w:p>
            <w:pPr>
              <w:jc w:val="center"/>
              <w:rPr>
                <w:rFonts w:ascii="宋体" w:hAnsi="宋体" w:cs="宋体"/>
                <w:color w:val="auto"/>
                <w:highlight w:val="none"/>
              </w:rPr>
            </w:pPr>
          </w:p>
        </w:tc>
        <w:tc>
          <w:tcPr>
            <w:tcW w:w="1200" w:type="pct"/>
            <w:vMerge w:val="continue"/>
            <w:vAlign w:val="center"/>
          </w:tcPr>
          <w:p>
            <w:pPr>
              <w:overflowPunct w:val="0"/>
              <w:spacing w:line="440" w:lineRule="exact"/>
              <w:jc w:val="center"/>
              <w:rPr>
                <w:rFonts w:ascii="宋体" w:hAnsi="宋体" w:cs="宋体"/>
                <w:color w:val="auto"/>
                <w:sz w:val="24"/>
                <w:highlight w:val="none"/>
              </w:rPr>
            </w:pPr>
          </w:p>
        </w:tc>
        <w:tc>
          <w:tcPr>
            <w:tcW w:w="3337" w:type="pct"/>
            <w:vAlign w:val="center"/>
          </w:tcPr>
          <w:p>
            <w:pPr>
              <w:numPr>
                <w:ilvl w:val="0"/>
                <w:numId w:val="3"/>
              </w:num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保证金缴纳方式：</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1.电汇、网银转账等非现金形式</w:t>
            </w:r>
          </w:p>
          <w:p>
            <w:pPr>
              <w:numPr>
                <w:ilvl w:val="0"/>
                <w:numId w:val="0"/>
              </w:num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投标保证金缴纳账号：</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账户名：新疆同孚招投标有限公司</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开户行：建设银行新华南路支行营业部</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行号：105881000868</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帐号：65001617600052501876</w:t>
            </w:r>
          </w:p>
          <w:p>
            <w:p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注：汇款单上需注明项目编号、</w:t>
            </w:r>
            <w:r>
              <w:rPr>
                <w:rFonts w:hint="eastAsia" w:ascii="宋体" w:hAnsi="宋体" w:eastAsia="宋体" w:cs="宋体"/>
                <w:color w:val="auto"/>
                <w:sz w:val="24"/>
                <w:szCs w:val="24"/>
                <w:highlight w:val="none"/>
                <w:lang w:val="en-US" w:eastAsia="zh-CN"/>
              </w:rPr>
              <w:t>标项序号</w:t>
            </w:r>
          </w:p>
          <w:p>
            <w:p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例：</w:t>
            </w:r>
            <w:r>
              <w:rPr>
                <w:rFonts w:hint="eastAsia" w:ascii="宋体" w:hAnsi="宋体" w:eastAsia="宋体" w:cs="宋体"/>
                <w:color w:val="auto"/>
                <w:sz w:val="24"/>
                <w:szCs w:val="24"/>
                <w:highlight w:val="none"/>
                <w:lang w:val="en-US" w:eastAsia="zh-CN"/>
              </w:rPr>
              <w:t>CS</w:t>
            </w:r>
            <w:r>
              <w:rPr>
                <w:rFonts w:hint="eastAsia" w:ascii="宋体" w:hAnsi="宋体" w:cs="宋体"/>
                <w:color w:val="auto"/>
                <w:sz w:val="24"/>
                <w:szCs w:val="24"/>
                <w:highlight w:val="none"/>
                <w:lang w:val="en-US" w:eastAsia="zh-CN"/>
              </w:rPr>
              <w:t>97</w:t>
            </w:r>
            <w:r>
              <w:rPr>
                <w:rFonts w:hint="eastAsia" w:ascii="宋体" w:hAnsi="宋体" w:eastAsia="宋体" w:cs="宋体"/>
                <w:color w:val="auto"/>
                <w:sz w:val="24"/>
                <w:szCs w:val="24"/>
                <w:highlight w:val="none"/>
                <w:lang w:val="en-US" w:eastAsia="zh-CN"/>
              </w:rPr>
              <w:t>标项1</w:t>
            </w:r>
            <w:r>
              <w:rPr>
                <w:rFonts w:hint="eastAsia" w:ascii="宋体" w:hAnsi="宋体" w:eastAsia="宋体" w:cs="宋体"/>
                <w:color w:val="auto"/>
                <w:sz w:val="24"/>
                <w:szCs w:val="24"/>
                <w:highlight w:val="none"/>
              </w:rPr>
              <w:t xml:space="preserve"> 保证金/服务费</w:t>
            </w:r>
          </w:p>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财务办公室：乌鲁木齐市友好北路宏运大厦21楼J座 </w:t>
            </w:r>
          </w:p>
          <w:p>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联系电话：0991-4833033</w:t>
            </w:r>
          </w:p>
          <w:p>
            <w:pPr>
              <w:numPr>
                <w:ilvl w:val="0"/>
                <w:numId w:val="4"/>
              </w:numPr>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保函形式</w:t>
            </w:r>
          </w:p>
          <w:p>
            <w:pPr>
              <w:ind w:firstLine="240" w:firstLineChars="100"/>
              <w:rPr>
                <w:rFonts w:ascii="宋体" w:hAnsi="宋体" w:cs="宋体"/>
                <w:color w:val="auto"/>
                <w:sz w:val="24"/>
                <w:highlight w:val="none"/>
              </w:rPr>
            </w:pPr>
            <w:r>
              <w:rPr>
                <w:rFonts w:hint="eastAsia" w:ascii="宋体" w:hAnsi="宋体" w:eastAsia="宋体" w:cs="宋体"/>
                <w:color w:val="auto"/>
                <w:sz w:val="24"/>
                <w:szCs w:val="24"/>
                <w:highlight w:val="none"/>
              </w:rPr>
              <w:t>将保函制作到电子投标文件即可</w:t>
            </w:r>
            <w:r>
              <w:rPr>
                <w:rFonts w:hint="eastAsia" w:ascii="宋体" w:hAnsi="宋体" w:cs="宋体"/>
                <w:color w:val="auto"/>
                <w:sz w:val="24"/>
                <w:highlight w:val="none"/>
              </w:rPr>
              <w:t>将保函制作到电子投标文件即可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462" w:type="pct"/>
            <w:vMerge w:val="continue"/>
            <w:vAlign w:val="center"/>
          </w:tcPr>
          <w:p>
            <w:pPr>
              <w:jc w:val="center"/>
              <w:rPr>
                <w:rFonts w:ascii="宋体" w:hAnsi="宋体" w:cs="宋体"/>
                <w:color w:val="auto"/>
                <w:sz w:val="24"/>
                <w:highlight w:val="none"/>
              </w:rPr>
            </w:pPr>
          </w:p>
        </w:tc>
        <w:tc>
          <w:tcPr>
            <w:tcW w:w="1200" w:type="pct"/>
            <w:vMerge w:val="continue"/>
            <w:vAlign w:val="center"/>
          </w:tcPr>
          <w:p>
            <w:pPr>
              <w:overflowPunct w:val="0"/>
              <w:spacing w:line="440" w:lineRule="exact"/>
              <w:jc w:val="center"/>
              <w:rPr>
                <w:rFonts w:ascii="宋体" w:hAnsi="宋体" w:cs="宋体"/>
                <w:color w:val="auto"/>
                <w:sz w:val="24"/>
                <w:highlight w:val="none"/>
              </w:rPr>
            </w:pPr>
          </w:p>
        </w:tc>
        <w:tc>
          <w:tcPr>
            <w:tcW w:w="3337" w:type="pct"/>
            <w:vAlign w:val="center"/>
          </w:tcPr>
          <w:p>
            <w:pPr>
              <w:rPr>
                <w:rFonts w:ascii="宋体" w:hAnsi="宋体" w:cs="宋体"/>
                <w:color w:val="auto"/>
                <w:sz w:val="24"/>
                <w:highlight w:val="none"/>
              </w:rPr>
            </w:pPr>
            <w:r>
              <w:rPr>
                <w:rFonts w:hint="eastAsia" w:ascii="宋体" w:hAnsi="宋体" w:cs="宋体"/>
                <w:color w:val="auto"/>
                <w:sz w:val="24"/>
                <w:highlight w:val="none"/>
              </w:rPr>
              <w:t>三、到账截止时间：同投标截止时间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highlight w:val="none"/>
                <w:lang w:val="en-US" w:eastAsia="zh-CN"/>
              </w:rPr>
              <w:t>19</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响应性文件电子标书须知</w:t>
            </w:r>
          </w:p>
        </w:tc>
        <w:tc>
          <w:tcPr>
            <w:tcW w:w="3337" w:type="pct"/>
            <w:vAlign w:val="center"/>
          </w:tcPr>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采用不见面开标：</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1.本项目实行网上投标，采用响应性文件电子标书；</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color w:val="auto"/>
                <w:highlight w:val="none"/>
              </w:rPr>
              <w:fldChar w:fldCharType="begin"/>
            </w:r>
            <w:r>
              <w:rPr>
                <w:color w:val="auto"/>
                <w:highlight w:val="none"/>
              </w:rPr>
              <w:instrText xml:space="preserve"> HYPERLINK "https://www.xjca.com.cn/）或下载" </w:instrText>
            </w:r>
            <w:r>
              <w:rPr>
                <w:color w:val="auto"/>
                <w:highlight w:val="none"/>
              </w:rPr>
              <w:fldChar w:fldCharType="separate"/>
            </w:r>
            <w:r>
              <w:rPr>
                <w:rFonts w:hint="eastAsia" w:ascii="宋体" w:hAnsi="宋体" w:cs="宋体"/>
                <w:color w:val="auto"/>
                <w:sz w:val="24"/>
                <w:highlight w:val="none"/>
              </w:rPr>
              <w:t>https://www.xjca.com.cn/）或下载“新疆政务通”APP自行申领。如需咨询，请联系新疆CA服务热线0991-2819290</w:t>
            </w:r>
            <w:r>
              <w:rPr>
                <w:rFonts w:hint="eastAsia" w:ascii="宋体" w:hAnsi="宋体" w:cs="宋体"/>
                <w:color w:val="auto"/>
                <w:sz w:val="24"/>
                <w:highlight w:val="none"/>
              </w:rPr>
              <w:fldChar w:fldCharType="end"/>
            </w:r>
            <w:r>
              <w:rPr>
                <w:rFonts w:hint="eastAsia" w:ascii="宋体" w:hAnsi="宋体" w:cs="宋体"/>
                <w:color w:val="auto"/>
                <w:sz w:val="24"/>
                <w:highlight w:val="none"/>
              </w:rPr>
              <w:t>；</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4.供应商应当在投标截止时间前,将生成的“电子加密投标文件”上传递交至“政府采购云平台”,投标截止时间以后上传递交的投标文件将被“政府采购云平台”拒收；</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6、供应商登录政采云平台，在开标时间后30分钟内用“项目采购-开标评标”功能进行解密投标文件。若供应商在规定时间内未按时解密的，视为无效投标。解密与加密投标文件须使用同一个 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2</w:t>
            </w:r>
            <w:r>
              <w:rPr>
                <w:rFonts w:hint="eastAsia" w:ascii="宋体" w:hAnsi="宋体" w:cs="宋体"/>
                <w:color w:val="auto"/>
                <w:highlight w:val="none"/>
                <w:lang w:val="en-US" w:eastAsia="zh-CN"/>
              </w:rPr>
              <w:t>0</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投标文件的签署规定</w:t>
            </w:r>
          </w:p>
        </w:tc>
        <w:tc>
          <w:tcPr>
            <w:tcW w:w="3337" w:type="pct"/>
            <w:vAlign w:val="center"/>
          </w:tcPr>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1. 投标文件应按招标文件要求在签字盖章处加盖公章和由法定代表人或其授权代表签字。</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2.投标文件中的任何行间插字、涂改和增删，应加盖公章或由投标人的法定代表人或其授权的代理人签字确认。否则，在评标时将其视为无效投标。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2</w:t>
            </w:r>
            <w:r>
              <w:rPr>
                <w:rFonts w:hint="eastAsia" w:ascii="宋体" w:hAnsi="宋体" w:cs="宋体"/>
                <w:color w:val="auto"/>
                <w:highlight w:val="none"/>
                <w:lang w:val="en-US" w:eastAsia="zh-CN"/>
              </w:rPr>
              <w:t>1</w:t>
            </w:r>
          </w:p>
        </w:tc>
        <w:tc>
          <w:tcPr>
            <w:tcW w:w="1200" w:type="pct"/>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投标文件格式</w:t>
            </w:r>
          </w:p>
        </w:tc>
        <w:tc>
          <w:tcPr>
            <w:tcW w:w="3337" w:type="pct"/>
            <w:vAlign w:val="center"/>
          </w:tcPr>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投标人应按招标文件中提供的投标文件格式填写。</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2.如招标文件没有提供格式的，投标人可自行设置。</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3.投标人应将投标文件按规定的顺序编排、并应编制目录、逐页标注连续页码。</w:t>
            </w:r>
          </w:p>
          <w:p>
            <w:pPr>
              <w:overflowPunct w:val="0"/>
              <w:spacing w:line="440" w:lineRule="exact"/>
              <w:jc w:val="left"/>
              <w:rPr>
                <w:rFonts w:ascii="宋体" w:hAnsi="宋体" w:cs="宋体"/>
                <w:color w:val="auto"/>
                <w:sz w:val="24"/>
                <w:highlight w:val="none"/>
              </w:rPr>
            </w:pPr>
            <w:r>
              <w:rPr>
                <w:rFonts w:hint="eastAsia" w:ascii="宋体" w:hAnsi="宋体" w:cs="宋体"/>
                <w:color w:val="auto"/>
                <w:sz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62" w:type="pct"/>
            <w:tcBorders>
              <w:top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2</w:t>
            </w:r>
            <w:r>
              <w:rPr>
                <w:rFonts w:hint="eastAsia" w:ascii="宋体" w:hAnsi="宋体" w:cs="宋体"/>
                <w:color w:val="auto"/>
                <w:highlight w:val="none"/>
                <w:lang w:val="en-US" w:eastAsia="zh-CN"/>
              </w:rPr>
              <w:t>2</w:t>
            </w:r>
          </w:p>
        </w:tc>
        <w:tc>
          <w:tcPr>
            <w:tcW w:w="1200" w:type="pct"/>
            <w:tcBorders>
              <w:top w:val="single" w:color="auto" w:sz="4" w:space="0"/>
              <w:bottom w:val="single" w:color="auto" w:sz="4" w:space="0"/>
            </w:tcBorders>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付款方式及币种</w:t>
            </w:r>
          </w:p>
        </w:tc>
        <w:tc>
          <w:tcPr>
            <w:tcW w:w="3337" w:type="pct"/>
            <w:tcBorders>
              <w:top w:val="single" w:color="auto" w:sz="4" w:space="0"/>
            </w:tcBorders>
            <w:vAlign w:val="center"/>
          </w:tcPr>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1、付款币种</w:t>
            </w:r>
          </w:p>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本次招标所述的项目资金均以人民币支付。</w:t>
            </w:r>
          </w:p>
          <w:p>
            <w:pPr>
              <w:numPr>
                <w:ilvl w:val="0"/>
                <w:numId w:val="5"/>
              </w:numPr>
              <w:spacing w:line="440" w:lineRule="exact"/>
              <w:jc w:val="left"/>
              <w:rPr>
                <w:rFonts w:ascii="宋体" w:hAnsi="宋体" w:cs="宋体"/>
                <w:color w:val="auto"/>
                <w:sz w:val="24"/>
                <w:highlight w:val="none"/>
              </w:rPr>
            </w:pPr>
            <w:r>
              <w:rPr>
                <w:rFonts w:hint="eastAsia" w:ascii="宋体" w:hAnsi="宋体" w:cs="宋体"/>
                <w:color w:val="auto"/>
                <w:sz w:val="24"/>
                <w:highlight w:val="none"/>
              </w:rPr>
              <w:t>付款方式：</w:t>
            </w:r>
            <w:r>
              <w:rPr>
                <w:rFonts w:hint="eastAsia" w:ascii="宋体" w:hAnsi="宋体" w:cs="宋体"/>
                <w:b/>
                <w:bCs/>
                <w:color w:val="auto"/>
                <w:sz w:val="24"/>
                <w:highlight w:val="none"/>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2</w:t>
            </w:r>
            <w:r>
              <w:rPr>
                <w:rFonts w:hint="eastAsia" w:ascii="宋体" w:hAnsi="宋体" w:cs="宋体"/>
                <w:color w:val="auto"/>
                <w:highlight w:val="none"/>
                <w:lang w:val="en-US" w:eastAsia="zh-CN"/>
              </w:rPr>
              <w:t>3</w:t>
            </w:r>
          </w:p>
        </w:tc>
        <w:tc>
          <w:tcPr>
            <w:tcW w:w="1200" w:type="pct"/>
            <w:tcBorders>
              <w:top w:val="single" w:color="auto" w:sz="4" w:space="0"/>
            </w:tcBorders>
            <w:vAlign w:val="center"/>
          </w:tcPr>
          <w:p>
            <w:pPr>
              <w:overflowPunct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投标费用</w:t>
            </w:r>
          </w:p>
        </w:tc>
        <w:tc>
          <w:tcPr>
            <w:tcW w:w="3337" w:type="pct"/>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2</w:t>
            </w:r>
            <w:r>
              <w:rPr>
                <w:rFonts w:hint="eastAsia" w:ascii="宋体" w:hAnsi="宋体" w:cs="宋体"/>
                <w:color w:val="auto"/>
                <w:highlight w:val="none"/>
                <w:lang w:val="en-US" w:eastAsia="zh-CN"/>
              </w:rPr>
              <w:t>4</w:t>
            </w:r>
          </w:p>
        </w:tc>
        <w:tc>
          <w:tcPr>
            <w:tcW w:w="1200" w:type="pct"/>
            <w:vAlign w:val="center"/>
          </w:tcPr>
          <w:p>
            <w:pPr>
              <w:overflowPunct w:val="0"/>
              <w:spacing w:line="4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招标代理服务费</w:t>
            </w:r>
          </w:p>
        </w:tc>
        <w:tc>
          <w:tcPr>
            <w:tcW w:w="3337" w:type="pct"/>
            <w:vAlign w:val="center"/>
          </w:tcPr>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代理服务费计算方法：</w:t>
            </w:r>
            <w:r>
              <w:rPr>
                <w:rFonts w:hint="eastAsia" w:ascii="宋体" w:hAnsi="宋体" w:cs="宋体"/>
                <w:color w:val="auto"/>
                <w:kern w:val="0"/>
                <w:sz w:val="24"/>
                <w:highlight w:val="none"/>
                <w:u w:val="single"/>
              </w:rPr>
              <w:t>1、国家计委关于《招标代理服务收费管理暂行办法》（计价格[2002]1980号）和国家发改价格【2011】534号文件。</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2、代理报酬支付方式：</w:t>
            </w:r>
            <w:r>
              <w:rPr>
                <w:rFonts w:hint="eastAsia" w:ascii="宋体" w:hAnsi="宋体" w:cs="宋体"/>
                <w:color w:val="auto"/>
                <w:sz w:val="24"/>
                <w:highlight w:val="none"/>
                <w:u w:val="single"/>
              </w:rPr>
              <w:t>由中标人支付。</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3、代理报酬的支付时间：</w:t>
            </w:r>
            <w:r>
              <w:rPr>
                <w:rFonts w:hint="eastAsia" w:ascii="宋体" w:hAnsi="宋体" w:cs="宋体"/>
                <w:color w:val="auto"/>
                <w:sz w:val="24"/>
                <w:highlight w:val="none"/>
                <w:u w:val="single"/>
              </w:rPr>
              <w:t>由中标人领取中标通知书时支付。</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4、代理报酬的支付账号：</w:t>
            </w:r>
            <w:r>
              <w:rPr>
                <w:rFonts w:hint="eastAsia" w:ascii="宋体" w:hAnsi="宋体" w:cs="宋体"/>
                <w:color w:val="auto"/>
                <w:sz w:val="24"/>
                <w:highlight w:val="none"/>
                <w:u w:val="single"/>
              </w:rPr>
              <w:t>同投标保证金缴纳账号</w:t>
            </w: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highlight w:val="none"/>
              </w:rPr>
              <w:t>2</w:t>
            </w:r>
            <w:r>
              <w:rPr>
                <w:rFonts w:hint="eastAsia" w:ascii="宋体" w:hAnsi="宋体" w:cs="宋体"/>
                <w:color w:val="auto"/>
                <w:highlight w:val="none"/>
                <w:lang w:val="en-US" w:eastAsia="zh-CN"/>
              </w:rPr>
              <w:t>6</w:t>
            </w:r>
          </w:p>
        </w:tc>
        <w:tc>
          <w:tcPr>
            <w:tcW w:w="1200" w:type="pct"/>
            <w:tcBorders>
              <w:top w:val="single" w:color="auto" w:sz="4" w:space="0"/>
            </w:tcBorders>
            <w:vAlign w:val="center"/>
          </w:tcPr>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低于成本价不正当</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竞争预防措施</w:t>
            </w:r>
          </w:p>
        </w:tc>
        <w:tc>
          <w:tcPr>
            <w:tcW w:w="3337" w:type="pct"/>
            <w:vAlign w:val="center"/>
          </w:tcPr>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p>
        </w:tc>
        <w:tc>
          <w:tcPr>
            <w:tcW w:w="1200" w:type="pct"/>
            <w:tcBorders>
              <w:top w:val="single" w:color="auto" w:sz="4" w:space="0"/>
            </w:tcBorders>
            <w:vAlign w:val="center"/>
          </w:tcPr>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政府采购政策支持</w:t>
            </w:r>
          </w:p>
        </w:tc>
        <w:tc>
          <w:tcPr>
            <w:tcW w:w="3337" w:type="pct"/>
          </w:tcPr>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节约能源、保护环境、扶持不发达地区和少数民族地区、促进中小企业发展等政府采购政策。</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本项目为专门面向中小企业</w:t>
            </w:r>
            <w:r>
              <w:rPr>
                <w:rFonts w:hint="eastAsia" w:ascii="宋体" w:hAnsi="宋体" w:cs="宋体"/>
                <w:color w:val="auto"/>
                <w:sz w:val="24"/>
                <w:highlight w:val="none"/>
              </w:rPr>
              <w:t>（含中型、小型、微型企业）采购项目。监狱企业、残疾人福利性单位视同为小微企业。本项目采购标的对应的中小企业划分标准所属行业为</w:t>
            </w:r>
            <w:r>
              <w:rPr>
                <w:rFonts w:hint="eastAsia" w:ascii="宋体" w:hAnsi="宋体" w:cs="宋体"/>
                <w:b/>
                <w:bCs/>
                <w:color w:val="auto"/>
                <w:sz w:val="24"/>
                <w:highlight w:val="none"/>
                <w:u w:val="single"/>
              </w:rPr>
              <w:t>建筑业</w:t>
            </w:r>
            <w:r>
              <w:rPr>
                <w:rFonts w:hint="eastAsia" w:ascii="宋体" w:hAnsi="宋体" w:cs="宋体"/>
                <w:color w:val="auto"/>
                <w:sz w:val="24"/>
                <w:highlight w:val="none"/>
              </w:rPr>
              <w:t>。</w:t>
            </w:r>
          </w:p>
          <w:p>
            <w:pPr>
              <w:pStyle w:val="23"/>
              <w:rPr>
                <w:rFonts w:ascii="宋体" w:hAnsi="宋体" w:cs="宋体"/>
                <w:color w:val="auto"/>
                <w:sz w:val="24"/>
                <w:szCs w:val="24"/>
                <w:highlight w:val="none"/>
              </w:rPr>
            </w:pPr>
            <w:r>
              <w:rPr>
                <w:rFonts w:hint="eastAsia" w:ascii="宋体" w:hAnsi="宋体" w:cs="宋体"/>
                <w:color w:val="auto"/>
                <w:sz w:val="24"/>
                <w:szCs w:val="24"/>
                <w:highlight w:val="none"/>
              </w:rPr>
              <w:t>（1）符合中小企业政府采购政策的证明材料：供应商《中小企业声明函》或残疾人福利性单位声明函或监狱企业证明文件；</w:t>
            </w:r>
          </w:p>
          <w:p>
            <w:pPr>
              <w:spacing w:line="440" w:lineRule="exact"/>
              <w:rPr>
                <w:rFonts w:ascii="宋体" w:hAnsi="宋体" w:cs="宋体"/>
                <w:color w:val="auto"/>
                <w:sz w:val="24"/>
                <w:highlight w:val="none"/>
              </w:rPr>
            </w:pPr>
            <w:r>
              <w:rPr>
                <w:rFonts w:hint="eastAsia" w:ascii="宋体" w:hAnsi="宋体" w:cs="宋体"/>
                <w:color w:val="auto"/>
                <w:sz w:val="24"/>
                <w:highlight w:val="none"/>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2、政府采购强制采购：标记★符号的节能产品：</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符合《节能产品政府采购品目清单》内并获得认证的强制采购节能产品。</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3、政府采购优先采购：(1)非标记★符号的节能产品；(2)环境标志产品；</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采购产品为《节能产品政府采购品目清单》内并获得认证非标记★符号的节能产品及《环境标志产品政府采购品目清单》内并获得认证的产品：</w:t>
            </w:r>
          </w:p>
          <w:p>
            <w:pPr>
              <w:adjustRightInd w:val="0"/>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投标文件中对所供产品为节能、环境标志产品清单中的产品，须在节能、环境标志产品优惠明细表中列明并按要求提供证明材料，否则不予认定。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p>
        </w:tc>
        <w:tc>
          <w:tcPr>
            <w:tcW w:w="1200" w:type="pct"/>
            <w:tcBorders>
              <w:top w:val="single" w:color="auto" w:sz="4" w:space="0"/>
            </w:tcBorders>
            <w:vAlign w:val="center"/>
          </w:tcPr>
          <w:p>
            <w:pPr>
              <w:pStyle w:val="16"/>
              <w:spacing w:line="440" w:lineRule="exact"/>
              <w:jc w:val="center"/>
              <w:rPr>
                <w:rFonts w:ascii="宋体" w:hAnsi="宋体" w:cs="宋体"/>
                <w:color w:val="auto"/>
                <w:highlight w:val="none"/>
              </w:rPr>
            </w:pPr>
            <w:r>
              <w:rPr>
                <w:rFonts w:hint="eastAsia" w:ascii="宋体" w:hAnsi="宋体" w:cs="宋体"/>
                <w:color w:val="auto"/>
                <w:sz w:val="24"/>
                <w:szCs w:val="24"/>
                <w:highlight w:val="none"/>
              </w:rPr>
              <w:t>质疑须知</w:t>
            </w:r>
          </w:p>
        </w:tc>
        <w:tc>
          <w:tcPr>
            <w:tcW w:w="3337" w:type="pct"/>
            <w:vAlign w:val="center"/>
          </w:tcPr>
          <w:p>
            <w:pPr>
              <w:pStyle w:val="16"/>
              <w:spacing w:line="440" w:lineRule="exact"/>
              <w:ind w:left="494" w:hanging="494" w:hanging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接收质疑函的方式：现场递交纸质版及Word格式电子版质疑文件至接受单位</w:t>
            </w:r>
          </w:p>
          <w:p>
            <w:pPr>
              <w:pStyle w:val="16"/>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接受质疑的单位：新疆同孚招投标有限公司</w:t>
            </w:r>
          </w:p>
          <w:p>
            <w:pPr>
              <w:pStyle w:val="16"/>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0991-4832223-800</w:t>
            </w:r>
            <w:r>
              <w:rPr>
                <w:rFonts w:hint="eastAsia" w:ascii="宋体" w:hAnsi="宋体" w:cs="宋体"/>
                <w:color w:val="auto"/>
                <w:sz w:val="24"/>
                <w:szCs w:val="24"/>
                <w:highlight w:val="none"/>
                <w:lang w:val="en-US" w:eastAsia="zh-CN"/>
              </w:rPr>
              <w:t>1</w:t>
            </w:r>
          </w:p>
          <w:p>
            <w:pPr>
              <w:pStyle w:val="16"/>
              <w:spacing w:line="440" w:lineRule="exact"/>
              <w:rPr>
                <w:rFonts w:ascii="宋体" w:hAnsi="宋体" w:cs="宋体"/>
                <w:color w:val="auto"/>
                <w:highlight w:val="none"/>
              </w:rPr>
            </w:pPr>
            <w:r>
              <w:rPr>
                <w:rFonts w:hint="eastAsia" w:ascii="宋体" w:hAnsi="宋体" w:eastAsia="宋体" w:cs="宋体"/>
                <w:color w:val="auto"/>
                <w:sz w:val="24"/>
                <w:szCs w:val="24"/>
                <w:highlight w:val="none"/>
              </w:rPr>
              <w:t>地址：乌鲁木齐市友好北路宏运大厦17楼G座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p>
        </w:tc>
        <w:tc>
          <w:tcPr>
            <w:tcW w:w="1200" w:type="pct"/>
            <w:tcBorders>
              <w:top w:val="single" w:color="auto" w:sz="4" w:space="0"/>
            </w:tcBorders>
            <w:vAlign w:val="center"/>
          </w:tcPr>
          <w:p>
            <w:pPr>
              <w:pStyle w:val="109"/>
              <w:spacing w:line="440" w:lineRule="exact"/>
              <w:jc w:val="center"/>
              <w:rPr>
                <w:color w:val="auto"/>
                <w:kern w:val="2"/>
                <w:highlight w:val="none"/>
              </w:rPr>
            </w:pPr>
            <w:r>
              <w:rPr>
                <w:rFonts w:hint="eastAsia"/>
                <w:color w:val="auto"/>
                <w:kern w:val="2"/>
                <w:highlight w:val="none"/>
              </w:rPr>
              <w:t>公告发布媒体</w:t>
            </w:r>
          </w:p>
        </w:tc>
        <w:tc>
          <w:tcPr>
            <w:tcW w:w="3337" w:type="pct"/>
            <w:vAlign w:val="center"/>
          </w:tcPr>
          <w:p>
            <w:pPr>
              <w:pStyle w:val="109"/>
              <w:spacing w:line="440" w:lineRule="exact"/>
              <w:ind w:left="494" w:hanging="494" w:hangingChars="206"/>
              <w:rPr>
                <w:color w:val="auto"/>
                <w:kern w:val="2"/>
                <w:highlight w:val="none"/>
              </w:rPr>
            </w:pPr>
            <w:r>
              <w:rPr>
                <w:rFonts w:hint="eastAsia"/>
                <w:color w:val="auto"/>
                <w:kern w:val="2"/>
                <w:highlight w:val="none"/>
              </w:rPr>
              <w:t>新疆政府采购网</w:t>
            </w:r>
            <w:r>
              <w:rPr>
                <w:color w:val="auto"/>
                <w:highlight w:val="none"/>
              </w:rPr>
              <w:fldChar w:fldCharType="begin"/>
            </w:r>
            <w:r>
              <w:rPr>
                <w:color w:val="auto"/>
                <w:highlight w:val="none"/>
              </w:rPr>
              <w:instrText xml:space="preserve"> HYPERLINK "http://www.ccgp-xinjiang.gov.cn/home.html" </w:instrText>
            </w:r>
            <w:r>
              <w:rPr>
                <w:color w:val="auto"/>
                <w:highlight w:val="none"/>
              </w:rPr>
              <w:fldChar w:fldCharType="separate"/>
            </w:r>
            <w:r>
              <w:rPr>
                <w:rStyle w:val="34"/>
                <w:rFonts w:hint="eastAsia"/>
                <w:color w:val="auto"/>
                <w:highlight w:val="none"/>
              </w:rPr>
              <w:t>新疆政府采购云平台https://www.zcygov.cn/home.html</w:t>
            </w:r>
            <w:r>
              <w:rPr>
                <w:rStyle w:val="34"/>
                <w:rFonts w:hint="eastAsia"/>
                <w:color w:val="auto"/>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2" w:type="pct"/>
            <w:vAlign w:val="center"/>
          </w:tcPr>
          <w:p>
            <w:pPr>
              <w:overflowPunct w:val="0"/>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c>
          <w:tcPr>
            <w:tcW w:w="4537" w:type="pct"/>
            <w:gridSpan w:val="2"/>
            <w:vAlign w:val="center"/>
          </w:tcPr>
          <w:p>
            <w:pPr>
              <w:spacing w:line="440" w:lineRule="exact"/>
              <w:rPr>
                <w:rFonts w:ascii="宋体" w:hAnsi="宋体" w:cs="宋体"/>
                <w:b/>
                <w:color w:val="auto"/>
                <w:sz w:val="24"/>
                <w:highlight w:val="none"/>
              </w:rPr>
            </w:pPr>
            <w:r>
              <w:rPr>
                <w:rFonts w:hint="eastAsia" w:ascii="宋体" w:hAnsi="宋体" w:cs="宋体"/>
                <w:b/>
                <w:color w:val="auto"/>
                <w:sz w:val="24"/>
                <w:highlight w:val="none"/>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pPr>
              <w:spacing w:line="440" w:lineRule="exact"/>
              <w:rPr>
                <w:rFonts w:ascii="宋体" w:hAnsi="宋体" w:cs="宋体"/>
                <w:b/>
                <w:color w:val="auto"/>
                <w:sz w:val="24"/>
                <w:highlight w:val="none"/>
              </w:rPr>
            </w:pPr>
            <w:r>
              <w:rPr>
                <w:rFonts w:hint="eastAsia" w:ascii="宋体" w:hAnsi="宋体" w:cs="宋体"/>
                <w:b/>
                <w:color w:val="auto"/>
                <w:sz w:val="24"/>
                <w:highlight w:val="none"/>
              </w:rPr>
              <w:t>2、响应性文件中有弄虚作假的内容，其响应性文件作废。（如假证书、假业绩、隐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vAlign w:val="center"/>
          </w:tcPr>
          <w:p>
            <w:pPr>
              <w:spacing w:line="360" w:lineRule="auto"/>
              <w:rPr>
                <w:rFonts w:ascii="宋体" w:hAnsi="宋体" w:cs="宋体"/>
                <w:b/>
                <w:color w:val="auto"/>
                <w:sz w:val="24"/>
                <w:highlight w:val="none"/>
              </w:rPr>
            </w:pPr>
            <w:r>
              <w:rPr>
                <w:rFonts w:hint="eastAsia" w:ascii="宋体" w:hAnsi="宋体" w:cs="宋体"/>
                <w:b/>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ind w:left="178" w:leftChars="85"/>
        <w:rPr>
          <w:rFonts w:ascii="宋体" w:hAnsi="宋体" w:cs="宋体"/>
          <w:color w:val="auto"/>
          <w:sz w:val="24"/>
          <w:highlight w:val="none"/>
        </w:rPr>
        <w:sectPr>
          <w:footerReference r:id="rId5" w:type="default"/>
          <w:pgSz w:w="11920" w:h="16840"/>
          <w:pgMar w:top="1360" w:right="1200" w:bottom="960" w:left="1200" w:header="0" w:footer="773" w:gutter="0"/>
          <w:pgNumType w:fmt="decimal" w:start="1"/>
          <w:cols w:space="720" w:num="1"/>
        </w:sectPr>
      </w:pPr>
    </w:p>
    <w:p>
      <w:pPr>
        <w:pStyle w:val="25"/>
        <w:numPr>
          <w:ilvl w:val="0"/>
          <w:numId w:val="6"/>
        </w:numPr>
        <w:rPr>
          <w:rFonts w:ascii="宋体" w:hAnsi="宋体" w:eastAsia="宋体" w:cs="宋体"/>
          <w:color w:val="auto"/>
          <w:sz w:val="36"/>
          <w:szCs w:val="36"/>
          <w:highlight w:val="none"/>
        </w:rPr>
      </w:pPr>
      <w:bookmarkStart w:id="6" w:name="_Toc502852409"/>
      <w:r>
        <w:rPr>
          <w:rFonts w:hint="eastAsia" w:ascii="宋体" w:hAnsi="宋体" w:eastAsia="宋体" w:cs="宋体"/>
          <w:color w:val="auto"/>
          <w:sz w:val="36"/>
          <w:szCs w:val="36"/>
          <w:highlight w:val="none"/>
        </w:rPr>
        <w:t xml:space="preserve">  </w:t>
      </w:r>
      <w:bookmarkStart w:id="7" w:name="_Toc26748"/>
      <w:r>
        <w:rPr>
          <w:rFonts w:hint="eastAsia" w:ascii="宋体" w:hAnsi="宋体" w:eastAsia="宋体" w:cs="宋体"/>
          <w:color w:val="auto"/>
          <w:sz w:val="36"/>
          <w:szCs w:val="36"/>
          <w:highlight w:val="none"/>
        </w:rPr>
        <w:t>磋商说明</w:t>
      </w:r>
      <w:bookmarkEnd w:id="6"/>
      <w:bookmarkEnd w:id="7"/>
    </w:p>
    <w:p>
      <w:pPr>
        <w:jc w:val="center"/>
        <w:rPr>
          <w:b/>
          <w:bCs/>
          <w:color w:val="auto"/>
          <w:sz w:val="32"/>
          <w:szCs w:val="32"/>
          <w:highlight w:val="none"/>
        </w:rPr>
      </w:pPr>
      <w:bookmarkStart w:id="8" w:name="_Toc80724650"/>
      <w:r>
        <w:rPr>
          <w:rFonts w:hint="eastAsia"/>
          <w:b/>
          <w:bCs/>
          <w:color w:val="auto"/>
          <w:sz w:val="32"/>
          <w:szCs w:val="32"/>
          <w:highlight w:val="none"/>
        </w:rPr>
        <w:t>第一章总则</w:t>
      </w:r>
      <w:bookmarkEnd w:id="8"/>
    </w:p>
    <w:p>
      <w:pPr>
        <w:rPr>
          <w:color w:val="auto"/>
          <w:highlight w:val="none"/>
        </w:rPr>
      </w:pPr>
    </w:p>
    <w:p>
      <w:pPr>
        <w:spacing w:line="440" w:lineRule="exact"/>
        <w:rPr>
          <w:rFonts w:ascii="宋体" w:hAnsi="宋体" w:cs="宋体"/>
          <w:b/>
          <w:color w:val="auto"/>
          <w:sz w:val="24"/>
          <w:highlight w:val="none"/>
        </w:rPr>
      </w:pPr>
      <w:r>
        <w:rPr>
          <w:rFonts w:hint="eastAsia" w:ascii="宋体" w:hAnsi="宋体" w:cs="宋体"/>
          <w:b/>
          <w:color w:val="auto"/>
          <w:sz w:val="24"/>
          <w:highlight w:val="none"/>
        </w:rPr>
        <w:t>1.  适用范围</w:t>
      </w:r>
    </w:p>
    <w:p>
      <w:pPr>
        <w:spacing w:line="440" w:lineRule="exact"/>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1.1　本竞争性磋商文件仅适用于本次招标中所叙的货物及服务。</w:t>
      </w:r>
    </w:p>
    <w:p>
      <w:pPr>
        <w:spacing w:line="440" w:lineRule="exact"/>
        <w:ind w:firstLine="482" w:firstLineChars="200"/>
        <w:rPr>
          <w:rFonts w:ascii="宋体" w:hAnsi="宋体" w:cs="宋体"/>
          <w:b/>
          <w:bCs/>
          <w:color w:val="auto"/>
          <w:sz w:val="24"/>
          <w:highlight w:val="none"/>
        </w:rPr>
      </w:pPr>
      <w:r>
        <w:rPr>
          <w:rFonts w:hint="eastAsia" w:ascii="宋体" w:hAnsi="宋体" w:cs="宋体"/>
          <w:b/>
          <w:color w:val="auto"/>
          <w:sz w:val="24"/>
          <w:highlight w:val="none"/>
        </w:rPr>
        <w:t xml:space="preserve">2.  </w:t>
      </w:r>
      <w:r>
        <w:rPr>
          <w:rFonts w:hint="eastAsia" w:ascii="宋体" w:hAnsi="宋体" w:cs="宋体"/>
          <w:b/>
          <w:bCs/>
          <w:color w:val="auto"/>
          <w:sz w:val="24"/>
          <w:highlight w:val="none"/>
        </w:rPr>
        <w:t>磋商供应商资格</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2.1.满足《中华人民共和国政府采购法》第二十二条规定；</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2.2.落实政府采购政策需满足的资格要求：见供应商须知前附表</w:t>
      </w:r>
    </w:p>
    <w:p>
      <w:pPr>
        <w:spacing w:line="440" w:lineRule="exact"/>
        <w:ind w:firstLine="480" w:firstLineChars="200"/>
        <w:rPr>
          <w:rFonts w:ascii="宋体" w:hAnsi="宋体" w:cs="宋体"/>
          <w:color w:val="auto"/>
          <w:highlight w:val="none"/>
        </w:rPr>
      </w:pPr>
      <w:r>
        <w:rPr>
          <w:rFonts w:hint="eastAsia" w:ascii="宋体" w:hAnsi="宋体" w:cs="宋体"/>
          <w:color w:val="auto"/>
          <w:sz w:val="24"/>
          <w:highlight w:val="none"/>
        </w:rPr>
        <w:t>2.3.本项目的特定资格要求：见供应商须知前附表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投标人存在下列情形之一的，拒绝其参加本次磋商（已参加磋商的按无效标处理）：</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（1）为招标人不具有独立法人资格的附属机构（单位）；</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（2）为本标段前期准备提供设计或咨询服务的；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（3）为本标段提供招标代理服务的；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（4）单位负责人为同一人或者存在直接控股、管理关系的不同供应商（服务商），不得参加同一合同项下的政府采购活动；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（5）除单一来源采购项目外，为采购项目提供整体设计、规范编制或者项目管理、监理、检测等服务的供应商，不得再参加该采购项目的其他采购活动。　　</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（6）以联合体形式参加政府采购活动的，联合体各方不得再单独参加或者与其他供应商另外组成联合体参加同一合同项下的政府采购活动。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（7）投标人未在政采云平台针对本项目于规定时间内下载电子采购文件。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（8）被责令停业的；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（9）被暂停或取消投标资格的；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（10）财产被接管或冻结的；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（11）在最近三年内有骗取中标或严重违约或重大质量问题的，受到行政处罚的。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 有下列情形之一的，视为投标人串通投标，其投标无效：</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（3）不同投标人的投标文件载明的项目管理成员或者联系人员为同一人。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（7）不同投标人委托同一单位或者个人办理投标事宜，或制作响应性文件电子标书的文件制作机器码（mac地址）一致，或制作响应性文件电子标书的文件创建标识码一致；</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 有下列情形之一的，其投标作无效处理：</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（1）投标文件技术规格中的响应与事实不符或虚假投标的；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（2）投标人拒绝修正错误的；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（3）投标人递交的电子投标文件（加密标书及备份标书）均无法满足正常开标、评标使用功能的；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（4）投标人名称或组织结构与领取采购文件时不一致且无有效变更证明的；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（5）不符合招标文件中规定的其他实质性要求。</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（6）其他违反相关法律法规规定的行为的；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（7）评标委员会认为是其他应当否决的投标。</w:t>
      </w:r>
    </w:p>
    <w:p>
      <w:pPr>
        <w:spacing w:line="44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6.</w:t>
      </w:r>
      <w:r>
        <w:rPr>
          <w:rFonts w:hint="eastAsia" w:ascii="宋体" w:hAnsi="宋体" w:cs="宋体"/>
          <w:color w:val="auto"/>
          <w:sz w:val="24"/>
          <w:highlight w:val="none"/>
        </w:rPr>
        <w:t>投标人在本次招标活动中，必须遵守《中华人民共和国政府采购法》及相关法律法规的规定。</w:t>
      </w:r>
    </w:p>
    <w:p>
      <w:pPr>
        <w:spacing w:line="440" w:lineRule="exact"/>
        <w:ind w:firstLine="480" w:firstLineChars="200"/>
        <w:rPr>
          <w:rFonts w:ascii="宋体" w:hAnsi="宋体" w:cs="宋体"/>
          <w:bCs/>
          <w:color w:val="auto"/>
          <w:sz w:val="24"/>
          <w:highlight w:val="none"/>
        </w:rPr>
      </w:pPr>
      <w:bookmarkStart w:id="9" w:name="_Toc502852410"/>
      <w:r>
        <w:rPr>
          <w:rFonts w:hint="eastAsia" w:ascii="宋体" w:hAnsi="宋体" w:cs="宋体"/>
          <w:bCs/>
          <w:color w:val="auto"/>
          <w:sz w:val="24"/>
          <w:highlight w:val="none"/>
        </w:rPr>
        <w:t>7. 定义</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下列术语和缩写的定义为：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“采购人”是指依法进行政府采购的国家机关、事业单位、团体组织。</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  “招标代理机构”系指新疆同孚招投标有限公司。</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  “招标方”系指采购人和招标代理机构的统称。</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  “投标人”是响应招标文件并且符合招标文件规定资格条件和参加投标竞争的法人、其他组织或者自然人。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7.5　“供应商”是指向采购人提供货物、工程或者服务的法人、其他组织或者自然人。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7.6  “投标人代表”是指投标人法定代表人，或法定代表人指定的某一代表自己参与和处理与投标项目有关事宜的自然人。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7.7“投标人公章”在投标文件中指与投标人标准公章一致的投标人电子签章。</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7.8“响应性文件电子标书”指利用政采云平台提供的“响应性文件电子标书制作工具”编制的响应性文件电子标书加密标书及与加密标书同时生成的备份标书。</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7.9 “中标人”系指经评标委员会评定后由评标委员会推荐并由采购人确定的投标人。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7.10  “货物”、“产品”指本招标文件中第四部分《采购需求》及《政府采购品目分类目录》(财库[2013]189号)所述所有货物及相关服务。</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7.11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7.12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7.13 “进口产品”是指通过中国海关报关验放进入中国境内且产自关境外的产品，详见《关于政府采购进口产品管理有关问题的通知》(财库[2007]119号)。</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7.14  “服务”系指招标文件中规定投标人须承担的质保、技术协助、培训及其他类似的责任。</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7.15 “响应”系指投标人根据招标代理机构发布的招标文件，编制投标文件并按规定投标的行为。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7.16  “标段/标项（包）”系指一个完整独立的投标项目。</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8.  投标费用</w:t>
      </w:r>
    </w:p>
    <w:p>
      <w:pPr>
        <w:spacing w:line="440" w:lineRule="exact"/>
        <w:ind w:firstLine="482"/>
        <w:rPr>
          <w:rFonts w:ascii="宋体" w:hAnsi="宋体" w:cs="宋体"/>
          <w:color w:val="auto"/>
          <w:sz w:val="24"/>
          <w:highlight w:val="none"/>
        </w:rPr>
      </w:pPr>
      <w:r>
        <w:rPr>
          <w:rFonts w:hint="eastAsia" w:ascii="宋体" w:hAnsi="宋体" w:cs="宋体"/>
          <w:color w:val="auto"/>
          <w:sz w:val="24"/>
          <w:highlight w:val="none"/>
        </w:rPr>
        <w:t>8.1　无论投标结果如何，与参与招标、投标活动有关的所有费用将由投标人自行承担。</w:t>
      </w:r>
    </w:p>
    <w:p>
      <w:pPr>
        <w:tabs>
          <w:tab w:val="left" w:pos="118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　投标人被视为熟悉本采购项目的各种情况以及与履行合同有关的一切情况。</w:t>
      </w:r>
    </w:p>
    <w:p>
      <w:pPr>
        <w:tabs>
          <w:tab w:val="left" w:pos="1185"/>
        </w:tabs>
        <w:spacing w:line="440" w:lineRule="exact"/>
        <w:ind w:firstLine="643" w:firstLineChars="200"/>
        <w:jc w:val="center"/>
        <w:rPr>
          <w:rFonts w:ascii="宋体" w:hAnsi="宋体"/>
          <w:b/>
          <w:color w:val="auto"/>
          <w:sz w:val="32"/>
          <w:szCs w:val="32"/>
          <w:highlight w:val="none"/>
        </w:rPr>
      </w:pPr>
      <w:bookmarkStart w:id="10" w:name="_Toc80724651"/>
    </w:p>
    <w:p>
      <w:pPr>
        <w:tabs>
          <w:tab w:val="left" w:pos="1185"/>
        </w:tabs>
        <w:spacing w:line="440" w:lineRule="exact"/>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第二章竞争性磋商文件文件</w:t>
      </w:r>
      <w:bookmarkEnd w:id="10"/>
    </w:p>
    <w:p>
      <w:pPr>
        <w:pStyle w:val="19"/>
        <w:rPr>
          <w:color w:val="auto"/>
          <w:highlight w:val="none"/>
        </w:rPr>
      </w:pPr>
    </w:p>
    <w:p>
      <w:pPr>
        <w:tabs>
          <w:tab w:val="left" w:pos="1185"/>
        </w:tabs>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 竞争性磋商文件的构成</w:t>
      </w:r>
    </w:p>
    <w:p>
      <w:pPr>
        <w:spacing w:line="440" w:lineRule="exact"/>
        <w:ind w:firstLine="480" w:firstLineChars="200"/>
        <w:rPr>
          <w:rFonts w:ascii="宋体" w:hAnsi="宋体" w:cs="宋体"/>
          <w:color w:val="auto"/>
          <w:highlight w:val="none"/>
        </w:rPr>
      </w:pPr>
      <w:r>
        <w:rPr>
          <w:rFonts w:hint="eastAsia" w:ascii="宋体" w:hAnsi="宋体" w:cs="宋体"/>
          <w:color w:val="auto"/>
          <w:sz w:val="24"/>
          <w:highlight w:val="none"/>
        </w:rPr>
        <w:t>9.1　竞争性磋商文件由下述部分组成：</w:t>
      </w:r>
    </w:p>
    <w:p>
      <w:pPr>
        <w:spacing w:line="44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第一部分供应商须知前附表</w:t>
      </w:r>
    </w:p>
    <w:p>
      <w:pPr>
        <w:spacing w:line="44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第二部分磋商说明</w:t>
      </w:r>
    </w:p>
    <w:p>
      <w:pPr>
        <w:spacing w:line="44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第三部分磋商响应说明</w:t>
      </w:r>
    </w:p>
    <w:p>
      <w:pPr>
        <w:spacing w:line="44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第四部分采购需求</w:t>
      </w:r>
    </w:p>
    <w:p>
      <w:pPr>
        <w:spacing w:line="44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第五部分合同部分</w:t>
      </w:r>
    </w:p>
    <w:p>
      <w:pPr>
        <w:spacing w:line="44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第六部分响应性文件格式（范本格式）</w:t>
      </w:r>
    </w:p>
    <w:p>
      <w:pPr>
        <w:spacing w:line="44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9.2  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10. 竞争性磋商文件的修改或补充</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10.1　澄清或者修改的内容可能影响投标文件编制的，在投标截止期十五日前的任何时间，招标方可主动或依据投标人要求澄清的问题而修改或补充招标文件，并以书面形式或网上公告通知所有投标人。采购代理机构对招标文件作出的澄清、修改在政采云平台内发布公告，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10.2　为使投标人在准备投标时有适当的时间考虑响应性文件的修改，招标方有权决定推迟投标截止日期和开标日期，并将此变更通知所有的投标人。</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10.3　竞争性磋商文件的修改和补充文件将构成竞争性磋商文件的一部分，并且对投标人具有优先约束力。</w:t>
      </w:r>
    </w:p>
    <w:p>
      <w:pPr>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11.质疑须知</w:t>
      </w:r>
    </w:p>
    <w:p>
      <w:pPr>
        <w:spacing w:line="440" w:lineRule="exact"/>
        <w:ind w:firstLine="480" w:firstLineChars="200"/>
        <w:jc w:val="center"/>
        <w:rPr>
          <w:rFonts w:ascii="宋体" w:hAnsi="宋体" w:cs="宋体"/>
          <w:b/>
          <w:bCs/>
          <w:color w:val="auto"/>
          <w:sz w:val="30"/>
          <w:szCs w:val="30"/>
          <w:highlight w:val="none"/>
        </w:rPr>
      </w:pPr>
      <w:r>
        <w:rPr>
          <w:rFonts w:hint="eastAsia" w:ascii="宋体" w:hAnsi="宋体" w:cs="宋体"/>
          <w:color w:val="auto"/>
          <w:kern w:val="0"/>
          <w:sz w:val="24"/>
          <w:highlight w:val="none"/>
        </w:rPr>
        <w:t>投标人如需提出质疑的，应在法定质疑期内一次性提出针对同一采购程序环节的质疑。</w:t>
      </w:r>
      <w:r>
        <w:rPr>
          <w:rFonts w:hint="eastAsia" w:ascii="宋体" w:hAnsi="宋体" w:cs="宋体"/>
          <w:color w:val="auto"/>
          <w:highlight w:val="none"/>
        </w:rPr>
        <w:br w:type="page"/>
      </w:r>
      <w:r>
        <w:rPr>
          <w:rFonts w:hint="eastAsia" w:ascii="宋体" w:hAnsi="宋体" w:cs="宋体"/>
          <w:b/>
          <w:bCs/>
          <w:color w:val="auto"/>
          <w:sz w:val="36"/>
          <w:szCs w:val="36"/>
          <w:highlight w:val="none"/>
        </w:rPr>
        <w:t>第三部分   磋商响应说明</w:t>
      </w:r>
      <w:bookmarkEnd w:id="9"/>
    </w:p>
    <w:p>
      <w:pPr>
        <w:pStyle w:val="3"/>
        <w:rPr>
          <w:rFonts w:cs="宋体"/>
          <w:color w:val="auto"/>
          <w:sz w:val="28"/>
          <w:szCs w:val="28"/>
          <w:highlight w:val="none"/>
        </w:rPr>
      </w:pPr>
      <w:bookmarkStart w:id="11" w:name="_Toc502852411"/>
      <w:bookmarkStart w:id="12" w:name="_Toc30563"/>
      <w:r>
        <w:rPr>
          <w:rFonts w:hint="eastAsia" w:cs="宋体"/>
          <w:color w:val="auto"/>
          <w:sz w:val="32"/>
          <w:szCs w:val="32"/>
          <w:highlight w:val="none"/>
        </w:rPr>
        <w:t>第一章  磋商供应商资格要求</w:t>
      </w:r>
      <w:bookmarkEnd w:id="11"/>
      <w:bookmarkEnd w:id="12"/>
    </w:p>
    <w:p>
      <w:pPr>
        <w:spacing w:line="440" w:lineRule="exact"/>
        <w:ind w:firstLine="482" w:firstLineChars="200"/>
        <w:rPr>
          <w:rFonts w:ascii="宋体" w:hAnsi="宋体" w:cs="宋体"/>
          <w:b/>
          <w:color w:val="auto"/>
          <w:sz w:val="24"/>
          <w:highlight w:val="none"/>
        </w:rPr>
      </w:pPr>
      <w:bookmarkStart w:id="13" w:name="_Toc502852412"/>
      <w:r>
        <w:rPr>
          <w:rFonts w:hint="eastAsia" w:ascii="宋体" w:hAnsi="宋体" w:cs="宋体"/>
          <w:b/>
          <w:color w:val="auto"/>
          <w:sz w:val="24"/>
          <w:highlight w:val="none"/>
        </w:rPr>
        <w:t>1.投标人的资格证明</w:t>
      </w:r>
    </w:p>
    <w:p>
      <w:pPr>
        <w:spacing w:line="440" w:lineRule="exact"/>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1.1投标人的资格条件见投标人须知前附表。</w:t>
      </w:r>
    </w:p>
    <w:p>
      <w:pPr>
        <w:spacing w:line="440" w:lineRule="exact"/>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 xml:space="preserve">1.2投标人投标文件中必须按招标文件要求提供资格证明文件，作为投标文件的一部分。 </w:t>
      </w:r>
    </w:p>
    <w:p>
      <w:pPr>
        <w:spacing w:line="440" w:lineRule="exact"/>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 xml:space="preserve">1.3  </w:t>
      </w:r>
      <w:r>
        <w:rPr>
          <w:rFonts w:hint="eastAsia" w:ascii="宋体" w:hAnsi="宋体" w:cs="宋体"/>
          <w:b/>
          <w:bCs/>
          <w:color w:val="auto"/>
          <w:sz w:val="24"/>
          <w:szCs w:val="22"/>
          <w:highlight w:val="none"/>
        </w:rPr>
        <w:t>所有资格证明文件的复印件（扫描件）须加盖公章</w:t>
      </w:r>
      <w:r>
        <w:rPr>
          <w:rFonts w:hint="eastAsia" w:ascii="宋体" w:hAnsi="宋体" w:cs="宋体"/>
          <w:color w:val="auto"/>
          <w:sz w:val="24"/>
          <w:szCs w:val="22"/>
          <w:highlight w:val="none"/>
        </w:rPr>
        <w:t>。</w:t>
      </w:r>
    </w:p>
    <w:p>
      <w:pPr>
        <w:spacing w:line="440" w:lineRule="exact"/>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1.4　所有资格证明文件必须满足招标文件的要求，否则将导致投标无效。</w:t>
      </w:r>
    </w:p>
    <w:p>
      <w:pPr>
        <w:pStyle w:val="3"/>
        <w:rPr>
          <w:rFonts w:cs="宋体"/>
          <w:color w:val="auto"/>
          <w:sz w:val="32"/>
          <w:szCs w:val="32"/>
          <w:highlight w:val="none"/>
        </w:rPr>
      </w:pPr>
      <w:bookmarkStart w:id="14" w:name="_Toc20892"/>
      <w:r>
        <w:rPr>
          <w:rFonts w:hint="eastAsia" w:cs="宋体"/>
          <w:color w:val="auto"/>
          <w:sz w:val="32"/>
          <w:szCs w:val="32"/>
          <w:highlight w:val="none"/>
        </w:rPr>
        <w:t>第二章  响应性文件的编写</w:t>
      </w:r>
      <w:bookmarkEnd w:id="13"/>
      <w:bookmarkEnd w:id="14"/>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2、要求</w:t>
      </w:r>
    </w:p>
    <w:p>
      <w:pPr>
        <w:pStyle w:val="1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pStyle w:val="10"/>
        <w:spacing w:line="440" w:lineRule="exact"/>
        <w:ind w:firstLine="480" w:firstLineChars="200"/>
        <w:rPr>
          <w:rFonts w:ascii="宋体" w:hAnsi="宋体" w:eastAsia="宋体" w:cs="宋体"/>
          <w:color w:val="auto"/>
          <w:highlight w:val="none"/>
        </w:rPr>
      </w:pPr>
      <w:r>
        <w:rPr>
          <w:rFonts w:hint="eastAsia" w:ascii="宋体" w:hAnsi="宋体" w:eastAsia="宋体" w:cs="宋体"/>
          <w:color w:val="auto"/>
          <w:sz w:val="24"/>
          <w:szCs w:val="24"/>
          <w:highlight w:val="none"/>
        </w:rPr>
        <w:t>2.2   允许投标人对本</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3、响应性文件语言和度量单位</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竞争性磋商文件及投标人和招标方就招标、投标交换的文件和往来信件，须以中文书写。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   除在竞争性磋商文件的技术规格中另有规定外，计量单位应使用中华人民共和国法定计量单位。</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 响应性文件的组成</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　投标人编写的响应性文件应包括但不限于下列内容：</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　报价要求响应文件：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★(1)磋商响应报价表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(2)分项价格表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4.1.2　资格响应文件：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★(1)供应商符合投标人资格条件的证明文件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4.1.3　商务技术响应文件：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★(1)响应承诺书(含法定代表人身份证明或授权委托书)</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(2)商务条款偏离表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(3)符合政府采购政策的证明材料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(4)投标人须知前附表要求投标人提交的其他资料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(5)货物说明一览表、实施方案、技术方案或服务方案</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(6)技术条款偏离表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(7)投标人售后服务承诺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(8)用于本项目人员简历表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(9)投标标的物符合招标文件规定的其他证明材料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(10)供应商认为需提供的其他资料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　响应性文件电子标书的编制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4.2.1响应性文件电子标书使用政采云平台提供的投标文件制作工具以及招标文件要求进行制作编制。投标文件制作时，不同内容按标签提示制作导入，按照招标文件中明确的投标文件目录和格式进行编制，保证目录清晰、内容完整。</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4.2.2响应性文件电子标书须使用投标人公章的电子签章以及法定代表人的电子签章。若无电子签章，则视为无效投标。</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4.2.3 电子投标文件须按招标文件要求制作报价响应文件、资格响应文件、商务技术响应文件，并制作在政采云平台投标文件相应模块。若投标人文件制作与相应模块不对应的，产生的后果由投标人自行承担。</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4.2.4电子招投标文件具有法律效力，与其他形式的招投标文件在内容和格式上等同，若投标文件与招标文件要求不一致，其内容影响中标结果时，责任由投标人自行承担。投标人递交的响应性文件电子标书因投标人自身原因而导致无法导入电子辅助评标系统，该投标文件视为无效投标文件，将导致其投标被拒绝。</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4.2.5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　投标人须知前附表规定供应商在投标时提供样品的，供应商有以下情形之一的，在投标时将其样品视为无效样品。</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(1)未在投标人须知前附表规定的提交时间、地点提交的；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(2)供应商提供的样品与响应性文件中型号、规格不一致的。</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　在投标过程中，投标人根据磋商小组书面形式要求提供的澄清文件是响应性文件的有效组成部分。</w:t>
      </w:r>
    </w:p>
    <w:p>
      <w:pPr>
        <w:spacing w:line="440" w:lineRule="exact"/>
        <w:ind w:firstLine="480" w:firstLineChars="200"/>
        <w:rPr>
          <w:rFonts w:ascii="宋体" w:hAnsi="宋体" w:cs="宋体"/>
          <w:color w:val="auto"/>
          <w:highlight w:val="none"/>
        </w:rPr>
      </w:pPr>
      <w:r>
        <w:rPr>
          <w:rFonts w:hint="eastAsia" w:ascii="宋体" w:hAnsi="宋体" w:cs="宋体"/>
          <w:color w:val="auto"/>
          <w:sz w:val="24"/>
          <w:highlight w:val="none"/>
        </w:rPr>
        <w:t>4.5　供应商无论中标与否，其响应性文件不予退还。</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5、响应文件格式</w:t>
      </w:r>
    </w:p>
    <w:p>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见供应商须知前附表。</w:t>
      </w:r>
    </w:p>
    <w:p>
      <w:pPr>
        <w:numPr>
          <w:ilvl w:val="0"/>
          <w:numId w:val="7"/>
        </w:num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磋商响应报价</w:t>
      </w:r>
    </w:p>
    <w:p>
      <w:pPr>
        <w:tabs>
          <w:tab w:val="left" w:pos="5595"/>
        </w:tabs>
        <w:spacing w:line="440" w:lineRule="exact"/>
        <w:ind w:firstLine="482" w:firstLineChars="200"/>
        <w:rPr>
          <w:rFonts w:ascii="宋体" w:hAnsi="宋体" w:cs="宋体"/>
          <w:b/>
          <w:color w:val="auto"/>
          <w:sz w:val="24"/>
          <w:highlight w:val="none"/>
        </w:rPr>
      </w:pPr>
      <w:bookmarkStart w:id="15" w:name="_Toc502852413"/>
      <w:r>
        <w:rPr>
          <w:rFonts w:hint="eastAsia" w:ascii="宋体" w:hAnsi="宋体" w:cs="宋体"/>
          <w:b/>
          <w:color w:val="auto"/>
          <w:sz w:val="24"/>
          <w:highlight w:val="none"/>
        </w:rPr>
        <w:t>6.1  磋商响应报价（投标报价）超采购预算金额（最高限价）的，其报价无效，不进入评标阶段。</w:t>
      </w:r>
      <w:r>
        <w:rPr>
          <w:rFonts w:hint="eastAsia" w:ascii="宋体" w:hAnsi="宋体" w:cs="宋体"/>
          <w:color w:val="auto"/>
          <w:sz w:val="24"/>
          <w:highlight w:val="none"/>
        </w:rPr>
        <w:t>投标人应按招标文件规定的供货及服务要求、责任范围和合同条件以人民币形式进行报价。投标报价应为完税价。</w:t>
      </w:r>
    </w:p>
    <w:p>
      <w:pPr>
        <w:tabs>
          <w:tab w:val="left" w:pos="559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  投标人应在明细报价表上标明综合单价和总价。</w:t>
      </w:r>
    </w:p>
    <w:p>
      <w:pPr>
        <w:tabs>
          <w:tab w:val="left" w:pos="559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（1）磋商响应报价表内容与响应性文件中相应内容不一致的，以磋商响应报价表为准；</w:t>
      </w:r>
    </w:p>
    <w:p>
      <w:pPr>
        <w:tabs>
          <w:tab w:val="left" w:pos="559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pPr>
        <w:tabs>
          <w:tab w:val="left" w:pos="559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（3）综合单价金额小数点有明显错位的，以磋商响应报价表的总价为准，并修改综合单价；</w:t>
      </w:r>
    </w:p>
    <w:p>
      <w:pPr>
        <w:tabs>
          <w:tab w:val="left" w:pos="559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（4）总价金额与按综合单价汇总金额不一致的，以综合单价金额计算结果为准。</w:t>
      </w:r>
    </w:p>
    <w:p>
      <w:pPr>
        <w:tabs>
          <w:tab w:val="left" w:pos="559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同时出现两种以上不一致的，按照前款规定的顺序修正。修正后的报价经投标人确认后产生约束力，投标人不确认的，其投标无效。</w:t>
      </w:r>
    </w:p>
    <w:p>
      <w:pPr>
        <w:pStyle w:val="19"/>
        <w:ind w:firstLine="240" w:firstLineChars="100"/>
        <w:jc w:val="left"/>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★6.4　投标人对每种货物及服务只允许有一个报价，不接受可变动性报价、赠送，否则，在评标时将其视为无效投标。</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本项目不接受选择性报价，对于出现的政采云平台开标唱标环节的投标报价与投标文件中开标一览表的报价不一致的现象，视作选择性报价，将被作为无效投标处理。</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  投标报价不符合招标文件对投标报价要求的，为无效投标。</w:t>
      </w:r>
    </w:p>
    <w:p>
      <w:pPr>
        <w:spacing w:line="440" w:lineRule="exact"/>
        <w:ind w:firstLine="480" w:firstLineChars="200"/>
        <w:rPr>
          <w:color w:val="auto"/>
          <w:highlight w:val="none"/>
          <w:u w:val="single"/>
        </w:rPr>
      </w:pPr>
      <w:r>
        <w:rPr>
          <w:rFonts w:hint="eastAsia" w:ascii="宋体" w:hAnsi="宋体" w:cs="宋体"/>
          <w:color w:val="auto"/>
          <w:sz w:val="24"/>
          <w:highlight w:val="none"/>
        </w:rPr>
        <w:t>6.6投标报价超预算金额（最高限价）的，为无效投标。</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6.7 投标报价是履行合同的最终价格，应包括下列几项费用：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（1）招标文件中特别要求的备品备件、易损件和专用工具的费用；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（2）招标文件中特别要求的安装、调试、培训、运输、保险及其它附带服务的全部费用；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color w:val="auto"/>
          <w:highlight w:val="none"/>
        </w:rPr>
      </w:pPr>
      <w:r>
        <w:rPr>
          <w:rFonts w:hint="eastAsia" w:ascii="宋体" w:hAnsi="宋体" w:cs="宋体"/>
          <w:color w:val="auto"/>
          <w:sz w:val="24"/>
          <w:highlight w:val="none"/>
        </w:rPr>
        <w:t>（4）综合单价必须包括货物、安装、调试、技术支持、运输保险、售后服务、培训及其它必需服务的报价。</w:t>
      </w:r>
    </w:p>
    <w:p>
      <w:pPr>
        <w:tabs>
          <w:tab w:val="left" w:pos="5595"/>
        </w:tabs>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7、投标报价的货币单位</w:t>
      </w:r>
      <w:r>
        <w:rPr>
          <w:rFonts w:hint="eastAsia" w:ascii="宋体" w:hAnsi="宋体" w:cs="宋体"/>
          <w:b/>
          <w:color w:val="auto"/>
          <w:sz w:val="24"/>
          <w:highlight w:val="none"/>
        </w:rPr>
        <w:tab/>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响应性文件和来往函件应用中文书写，计量单位应使用国际单位,投标报价的货币单位为人民币。</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8、投标有效期</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　投标有效期见供应商须知前附表，在此期间响应性文件对投标人具有法律约束力，以保证采购人有足够的时间完成评标、定标以及签订合同。投标有效期从供应商须知前附表规定的投标截止之日起计算。投标有效期不足的，在评标时将其视为无效投标。</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磋商保证金；投标人同意延长的，应相应延长其磋商保证金的有效期，但不允许修改或撤回响应性文件。</w:t>
      </w:r>
    </w:p>
    <w:p>
      <w:pPr>
        <w:spacing w:line="440" w:lineRule="exact"/>
        <w:ind w:firstLine="482" w:firstLineChars="200"/>
        <w:rPr>
          <w:rFonts w:ascii="宋体" w:hAnsi="宋体" w:cs="宋体"/>
          <w:b/>
          <w:bCs/>
          <w:color w:val="auto"/>
          <w:sz w:val="24"/>
          <w:highlight w:val="none"/>
        </w:rPr>
      </w:pPr>
      <w:r>
        <w:rPr>
          <w:rFonts w:hint="eastAsia" w:ascii="宋体" w:hAnsi="宋体" w:cs="宋体"/>
          <w:b/>
          <w:color w:val="auto"/>
          <w:sz w:val="24"/>
          <w:highlight w:val="none"/>
        </w:rPr>
        <w:t>9.响应性文件的签署规定</w:t>
      </w:r>
      <w:r>
        <w:rPr>
          <w:rFonts w:hint="eastAsia" w:ascii="宋体" w:hAnsi="宋体" w:cs="宋体"/>
          <w:b/>
          <w:bCs/>
          <w:color w:val="auto"/>
          <w:sz w:val="24"/>
          <w:highlight w:val="none"/>
        </w:rPr>
        <w:t>见前供应商须知前附表</w:t>
      </w:r>
    </w:p>
    <w:p>
      <w:pPr>
        <w:pStyle w:val="13"/>
        <w:tabs>
          <w:tab w:val="left" w:pos="397"/>
        </w:tabs>
        <w:spacing w:line="440" w:lineRule="exact"/>
        <w:ind w:firstLine="482" w:firstLineChars="200"/>
        <w:rPr>
          <w:rFonts w:hAnsi="宋体" w:eastAsia="宋体" w:cs="宋体"/>
          <w:color w:val="auto"/>
          <w:highlight w:val="none"/>
        </w:rPr>
      </w:pPr>
      <w:r>
        <w:rPr>
          <w:rFonts w:hint="eastAsia" w:hAnsi="宋体" w:eastAsia="宋体" w:cs="宋体"/>
          <w:b/>
          <w:bCs/>
          <w:color w:val="auto"/>
          <w:sz w:val="24"/>
          <w:szCs w:val="24"/>
          <w:highlight w:val="none"/>
        </w:rPr>
        <w:t>10.响应性文件的密封和标记见前供应商须知前附表</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11.磋商保证金</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招标方因投标人的违规行为而受到损害时将不予退还投标人的磋商保证金，将其作为所受损害的补偿。</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11.2　磋商保证金应当以支票、汇票、本票等非现金形式提交，必须从投标人基本账户转出，其有效期应不低于投标有效期。投标人未按照招标文件要求提交磋商保证金的，投标无效。</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11.3  投标人应提交磋商保证金，并于磋商保证金缴纳截止时间前到达新疆同孚招投标有限公司指定账户（人民币）。如是本地转账支票需于磋商保证金缴纳截止时间三个工作日前向新疆同孚招投标有限公司送达，如磋商保证金为汇款形式的，（汇款时汇款单填写内容须备注项目编号及包号）。</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未中标的投标人的磋商保证金，将在中标通知书发出后5个工作日内无息退还。</w:t>
      </w:r>
    </w:p>
    <w:p>
      <w:pPr>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11.5  中标人的磋商保证金，将在领取中标通知书，缴纳履约保证金并签订合同后5个工作日内无息退还，中标企业退还保证金时，需将采购合同彩色扫描件发送至本项目负责人邮箱（详见前附表），并提供采购合同彩色扫描件纸质版、其他退保证金资料给财务部门，方可办理退保证金业务。</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11.6下列任何情况发生时，投标保证金将不予退还，转为违约金：</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投标人在投标截止期后，投标有效期内撤回投标；</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投标人在规定期限内未按规定向采购人缴纳履约保证金；</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中标人未按投标人须知规定缴纳招标代理费；</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  以他人名义投标或者以其他方式弄虚作假，骗取中标；</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  打架斗殴，扰乱标场秩序；</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  中标人拒绝在规定期限内与采购人签订合同。</w:t>
      </w:r>
    </w:p>
    <w:p>
      <w:pPr>
        <w:spacing w:line="44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上述不予退还投标保证金的情况并给招标代理机构造成损失的，还要承担赔偿责任。</w:t>
      </w:r>
    </w:p>
    <w:p>
      <w:pPr>
        <w:pStyle w:val="3"/>
        <w:rPr>
          <w:rFonts w:cs="宋体"/>
          <w:color w:val="auto"/>
          <w:sz w:val="32"/>
          <w:szCs w:val="32"/>
          <w:highlight w:val="none"/>
        </w:rPr>
      </w:pPr>
      <w:bookmarkStart w:id="16" w:name="_Toc27480"/>
      <w:r>
        <w:rPr>
          <w:rFonts w:hint="eastAsia" w:cs="宋体"/>
          <w:color w:val="auto"/>
          <w:sz w:val="32"/>
          <w:szCs w:val="32"/>
          <w:highlight w:val="none"/>
        </w:rPr>
        <w:t>第三章  响应性文件的递交</w:t>
      </w:r>
      <w:bookmarkEnd w:id="15"/>
      <w:bookmarkEnd w:id="16"/>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12. 响应性文件的标记</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　任何不完整或不满足磋商文件要求的响应性文件将被拒绝。</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　投标人应通过响应性文件电子标书件制作工具严格按招标文件要求制作投标文件，在投标截止时间前完成上传经过数字证书电子签章并加密的投标文件（加密和解密须用同一把数字证书）。</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13、投标截止时间</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  响应性文件电子标书应在投标人须知前附表规定的投标截止时间之前密封送到投标人须知前附表指定的地点。</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　投标截止时间以政采云中心政采云平台显示的时间为准，逾期系统将自动关闭，未完成上传的响应性文件电子标书视为逾期送达，将被拒绝。</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14、响应性文件的修改和撤销</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投标人在递交响应性文件电子标书后，可在规定的投标截止时间之前，对其响应性文件电子标书以书面通知的形式进行修改或撤消。</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投标人在投标截止时间前，可以对其所递交的响应性文件电子标书进行修改并重新上传，但以投标截止时间前最后一次上传的响应性文件电子标书为有效响应性文件电子标书。</w:t>
      </w:r>
    </w:p>
    <w:p>
      <w:pPr>
        <w:pStyle w:val="3"/>
        <w:rPr>
          <w:rFonts w:cs="宋体"/>
          <w:color w:val="auto"/>
          <w:sz w:val="32"/>
          <w:szCs w:val="32"/>
          <w:highlight w:val="none"/>
        </w:rPr>
      </w:pPr>
      <w:bookmarkStart w:id="17" w:name="_Toc502852414"/>
      <w:bookmarkStart w:id="18" w:name="_Toc11612"/>
      <w:r>
        <w:rPr>
          <w:rFonts w:hint="eastAsia" w:cs="宋体"/>
          <w:color w:val="auto"/>
          <w:sz w:val="32"/>
          <w:szCs w:val="32"/>
          <w:highlight w:val="none"/>
        </w:rPr>
        <w:t>第四章  开标、磋商</w:t>
      </w:r>
      <w:bookmarkEnd w:id="17"/>
      <w:bookmarkEnd w:id="18"/>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15、开标</w:t>
      </w:r>
    </w:p>
    <w:p>
      <w:pPr>
        <w:ind w:firstLine="472" w:firstLineChars="200"/>
        <w:rPr>
          <w:rFonts w:ascii="宋体" w:hAnsi="宋体" w:cs="宋体"/>
          <w:color w:val="auto"/>
          <w:highlight w:val="none"/>
        </w:rPr>
      </w:pPr>
      <w:r>
        <w:rPr>
          <w:rFonts w:hint="eastAsia" w:ascii="宋体" w:hAnsi="宋体" w:cs="宋体"/>
          <w:color w:val="auto"/>
          <w:spacing w:val="-2"/>
          <w:sz w:val="24"/>
          <w:highlight w:val="none"/>
        </w:rPr>
        <w:t>15.1　</w:t>
      </w:r>
      <w:r>
        <w:rPr>
          <w:rFonts w:hint="eastAsia" w:ascii="宋体" w:hAnsi="宋体" w:cs="宋体"/>
          <w:color w:val="auto"/>
          <w:sz w:val="24"/>
          <w:highlight w:val="none"/>
        </w:rPr>
        <w:t>本项目开标的时间、地点见投标人须知前附表。</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15.2　本项目采用不见面开标方式</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招标人在规定的投标截止时间（开标时间）和投标人须知前附表规定的地点开标。投标人的法定代表人或其委托代理人无需到达开标现场，仅需在任意地点通过政采云不见面开标系统，使用CA密钥完成远程解密、提疑澄清、开标、结果公布等交互环节。</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15.3电子招投标的应急措施</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15.3.1电子开标、评标如出现下列原因，导致系统无法正常运行或无法正常评标时，应采取应急措施。</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（1）系统服务器发生故障，无法访问或无法使用系统；</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（2）系统的软件或数据库出现错误，不能进行正常操作；</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（3）系统发现有安全漏洞，有潜在的泄密危险；</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（4）病毒发作或受到外来病毒的攻击；</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（5）出现其他不可抗拒的客观原因造成开评标系统无法正常使用。</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出现上述情况时，应对未开标的暂停开标。已在系统内开标、评标的立即停止。采取应急措施时，必须对原有资料及信息作出妥善保密处理。</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15.3.2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15.3　投标人代表及有关人员在开标记录上签字确认。所有投标人电子标书解密完成后开启签字时段，各投标人须在开启签字时段10分钟内完成签字确认，政采云签字时段逾期未签字的，视同认可开标结果。</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15.4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r>
        <w:rPr>
          <w:rFonts w:hint="eastAsia" w:ascii="宋体" w:hAnsi="宋体" w:cs="宋体"/>
          <w:b/>
          <w:bCs/>
          <w:color w:val="auto"/>
          <w:spacing w:val="-2"/>
          <w:sz w:val="24"/>
          <w:highlight w:val="none"/>
        </w:rPr>
        <w:t>16. 资格审查</w:t>
      </w:r>
    </w:p>
    <w:p>
      <w:pPr>
        <w:pStyle w:val="13"/>
        <w:spacing w:line="440" w:lineRule="exact"/>
        <w:ind w:firstLine="472" w:firstLineChars="200"/>
        <w:rPr>
          <w:rFonts w:hAnsi="宋体" w:eastAsia="宋体" w:cs="宋体"/>
          <w:color w:val="auto"/>
          <w:spacing w:val="-2"/>
          <w:sz w:val="24"/>
          <w:szCs w:val="24"/>
          <w:highlight w:val="none"/>
        </w:rPr>
      </w:pPr>
      <w:r>
        <w:rPr>
          <w:rFonts w:hint="eastAsia" w:hAnsi="宋体" w:eastAsia="宋体" w:cs="宋体"/>
          <w:color w:val="auto"/>
          <w:spacing w:val="-2"/>
          <w:sz w:val="24"/>
          <w:szCs w:val="24"/>
          <w:highlight w:val="none"/>
        </w:rPr>
        <w:t>16.1　竞争性磋商采购项目开标结束后，采购人或者采购代理机构应当依法</w:t>
      </w:r>
      <w:r>
        <w:rPr>
          <w:rFonts w:hAnsi="宋体" w:eastAsia="宋体" w:cs="宋体"/>
          <w:color w:val="auto"/>
          <w:sz w:val="24"/>
          <w:szCs w:val="24"/>
          <w:highlight w:val="none"/>
        </w:rPr>
        <w:t>对</w:t>
      </w:r>
      <w:r>
        <w:rPr>
          <w:rFonts w:hint="eastAsia" w:hAnsi="宋体"/>
          <w:color w:val="auto"/>
          <w:spacing w:val="-2"/>
          <w:sz w:val="24"/>
          <w:szCs w:val="24"/>
          <w:highlight w:val="none"/>
        </w:rPr>
        <w:t>投标人资格进行审查</w:t>
      </w:r>
      <w:r>
        <w:rPr>
          <w:rFonts w:hint="eastAsia" w:hAnsi="宋体" w:eastAsia="宋体" w:cs="宋体"/>
          <w:color w:val="auto"/>
          <w:spacing w:val="-2"/>
          <w:sz w:val="24"/>
          <w:szCs w:val="24"/>
          <w:highlight w:val="none"/>
        </w:rPr>
        <w:t>。合格投标人不足的，不得评标。</w:t>
      </w:r>
    </w:p>
    <w:p>
      <w:pPr>
        <w:pStyle w:val="13"/>
        <w:spacing w:line="440" w:lineRule="exact"/>
        <w:ind w:firstLine="472" w:firstLineChars="200"/>
        <w:rPr>
          <w:rFonts w:hAnsi="宋体" w:eastAsia="宋体" w:cs="宋体"/>
          <w:color w:val="auto"/>
          <w:spacing w:val="-2"/>
          <w:sz w:val="24"/>
          <w:szCs w:val="24"/>
          <w:highlight w:val="none"/>
        </w:rPr>
      </w:pPr>
      <w:r>
        <w:rPr>
          <w:rFonts w:hint="eastAsia" w:hAnsi="宋体" w:eastAsia="宋体" w:cs="宋体"/>
          <w:color w:val="auto"/>
          <w:spacing w:val="-2"/>
          <w:sz w:val="24"/>
          <w:szCs w:val="24"/>
          <w:highlight w:val="none"/>
        </w:rPr>
        <w:t>资格审查内容如下：</w:t>
      </w:r>
    </w:p>
    <w:p>
      <w:pPr>
        <w:pStyle w:val="13"/>
        <w:spacing w:line="440" w:lineRule="exact"/>
        <w:ind w:firstLine="472" w:firstLineChars="200"/>
        <w:rPr>
          <w:rFonts w:hAnsi="宋体" w:eastAsia="宋体" w:cs="宋体"/>
          <w:color w:val="auto"/>
          <w:spacing w:val="-2"/>
          <w:sz w:val="24"/>
          <w:szCs w:val="24"/>
          <w:highlight w:val="none"/>
        </w:rPr>
      </w:pPr>
      <w:r>
        <w:rPr>
          <w:rFonts w:hint="eastAsia" w:hAnsi="宋体" w:eastAsia="宋体" w:cs="宋体"/>
          <w:color w:val="auto"/>
          <w:spacing w:val="-2"/>
          <w:sz w:val="24"/>
          <w:szCs w:val="24"/>
          <w:highlight w:val="none"/>
        </w:rPr>
        <w:t>16.1.1信用记录审查：</w:t>
      </w:r>
    </w:p>
    <w:p>
      <w:pPr>
        <w:pStyle w:val="13"/>
        <w:spacing w:line="440" w:lineRule="exact"/>
        <w:ind w:firstLine="472" w:firstLineChars="200"/>
        <w:rPr>
          <w:rFonts w:hAnsi="宋体" w:eastAsia="宋体" w:cs="宋体"/>
          <w:color w:val="auto"/>
          <w:spacing w:val="-2"/>
          <w:sz w:val="24"/>
          <w:szCs w:val="24"/>
          <w:highlight w:val="none"/>
        </w:rPr>
      </w:pPr>
      <w:r>
        <w:rPr>
          <w:rFonts w:hint="eastAsia" w:hAnsi="宋体" w:eastAsia="宋体" w:cs="宋体"/>
          <w:color w:val="auto"/>
          <w:spacing w:val="-2"/>
          <w:sz w:val="24"/>
          <w:szCs w:val="24"/>
          <w:highlight w:val="none"/>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pStyle w:val="13"/>
        <w:spacing w:line="440" w:lineRule="exact"/>
        <w:ind w:firstLine="472" w:firstLineChars="200"/>
        <w:rPr>
          <w:rFonts w:hAnsi="宋体" w:eastAsia="宋体" w:cs="宋体"/>
          <w:color w:val="auto"/>
          <w:spacing w:val="-2"/>
          <w:sz w:val="24"/>
          <w:szCs w:val="24"/>
          <w:highlight w:val="none"/>
        </w:rPr>
      </w:pPr>
      <w:r>
        <w:rPr>
          <w:rFonts w:hint="eastAsia" w:hAnsi="宋体" w:eastAsia="宋体" w:cs="宋体"/>
          <w:color w:val="auto"/>
          <w:spacing w:val="-2"/>
          <w:sz w:val="24"/>
          <w:szCs w:val="24"/>
          <w:highlight w:val="none"/>
        </w:rPr>
        <w:t>16.1.2</w:t>
      </w:r>
      <w:r>
        <w:rPr>
          <w:rFonts w:hint="eastAsia" w:hAnsi="宋体"/>
          <w:color w:val="auto"/>
          <w:spacing w:val="-2"/>
          <w:sz w:val="24"/>
          <w:szCs w:val="24"/>
          <w:highlight w:val="none"/>
        </w:rPr>
        <w:t>对投标人</w:t>
      </w:r>
      <w:r>
        <w:rPr>
          <w:rFonts w:hAnsi="宋体" w:eastAsia="宋体" w:cs="宋体"/>
          <w:color w:val="auto"/>
          <w:sz w:val="24"/>
          <w:szCs w:val="24"/>
          <w:highlight w:val="none"/>
        </w:rPr>
        <w:t>政采云资格响应文件模块</w:t>
      </w:r>
      <w:r>
        <w:rPr>
          <w:rFonts w:hint="eastAsia" w:hAnsi="宋体"/>
          <w:color w:val="auto"/>
          <w:spacing w:val="-2"/>
          <w:sz w:val="24"/>
          <w:szCs w:val="24"/>
          <w:highlight w:val="none"/>
        </w:rPr>
        <w:t>资格响应文件进行审查</w:t>
      </w:r>
    </w:p>
    <w:tbl>
      <w:tblPr>
        <w:tblStyle w:val="28"/>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740"/>
        <w:gridCol w:w="665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200" w:type="dxa"/>
            <w:gridSpan w:val="2"/>
            <w:vAlign w:val="center"/>
          </w:tcPr>
          <w:p>
            <w:pPr>
              <w:spacing w:line="440" w:lineRule="exact"/>
              <w:jc w:val="center"/>
              <w:rPr>
                <w:rFonts w:ascii="宋体" w:hAnsi="宋体"/>
                <w:b/>
                <w:color w:val="auto"/>
                <w:spacing w:val="-2"/>
                <w:szCs w:val="21"/>
                <w:highlight w:val="none"/>
              </w:rPr>
            </w:pPr>
            <w:r>
              <w:rPr>
                <w:rFonts w:hint="eastAsia" w:ascii="宋体" w:hAnsi="宋体"/>
                <w:b/>
                <w:color w:val="auto"/>
                <w:spacing w:val="-2"/>
                <w:szCs w:val="21"/>
                <w:highlight w:val="none"/>
              </w:rPr>
              <w:t>评审内容</w:t>
            </w:r>
          </w:p>
        </w:tc>
        <w:tc>
          <w:tcPr>
            <w:tcW w:w="6650" w:type="dxa"/>
            <w:vAlign w:val="center"/>
          </w:tcPr>
          <w:p>
            <w:pPr>
              <w:spacing w:line="440" w:lineRule="exact"/>
              <w:jc w:val="center"/>
              <w:rPr>
                <w:rFonts w:ascii="宋体" w:hAnsi="宋体"/>
                <w:b/>
                <w:color w:val="auto"/>
                <w:spacing w:val="-2"/>
                <w:szCs w:val="21"/>
                <w:highlight w:val="none"/>
              </w:rPr>
            </w:pPr>
            <w:r>
              <w:rPr>
                <w:rFonts w:hint="eastAsia" w:ascii="宋体" w:hAnsi="宋体"/>
                <w:b/>
                <w:color w:val="auto"/>
                <w:spacing w:val="-2"/>
                <w:szCs w:val="21"/>
                <w:highlight w:val="none"/>
              </w:rPr>
              <w:t>评审标准</w:t>
            </w:r>
          </w:p>
        </w:tc>
        <w:tc>
          <w:tcPr>
            <w:tcW w:w="1070" w:type="dxa"/>
            <w:vAlign w:val="center"/>
          </w:tcPr>
          <w:p>
            <w:pPr>
              <w:spacing w:line="440" w:lineRule="exact"/>
              <w:jc w:val="center"/>
              <w:rPr>
                <w:rFonts w:ascii="宋体" w:hAnsi="宋体"/>
                <w:b/>
                <w:color w:val="auto"/>
                <w:spacing w:val="-2"/>
                <w:szCs w:val="21"/>
                <w:highlight w:val="none"/>
              </w:rPr>
            </w:pPr>
            <w:r>
              <w:rPr>
                <w:rFonts w:ascii="宋体" w:hAnsi="宋体"/>
                <w:b/>
                <w:color w:val="auto"/>
                <w:spacing w:val="-2"/>
                <w:szCs w:val="21"/>
                <w:highlight w:val="none"/>
              </w:rPr>
              <w:t>评审意见</w:t>
            </w:r>
            <w:r>
              <w:rPr>
                <w:rFonts w:hint="eastAsia" w:ascii="宋体" w:hAnsi="宋体"/>
                <w:b/>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7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具有独立承担民事责任的能力</w:t>
            </w:r>
          </w:p>
        </w:tc>
        <w:tc>
          <w:tcPr>
            <w:tcW w:w="665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法人或者其他组织的营业执照等证明文件；自然人需提供身份证明</w:t>
            </w:r>
          </w:p>
        </w:tc>
        <w:tc>
          <w:tcPr>
            <w:tcW w:w="1070"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7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健全的财务会计制度</w:t>
            </w:r>
          </w:p>
        </w:tc>
        <w:tc>
          <w:tcPr>
            <w:tcW w:w="665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提供上年度财务审计报告或半年内任意一个月财务报表（财务报表应至少包括资产负债表、损益表、现金流量表或财务状况变动表，当月新成立公司不需提供）；</w:t>
            </w:r>
          </w:p>
        </w:tc>
        <w:tc>
          <w:tcPr>
            <w:tcW w:w="1070"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7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缴纳税收（所有证明材料需加盖出具机关印章,必须写明税款/费款所属期。）</w:t>
            </w:r>
          </w:p>
        </w:tc>
        <w:tc>
          <w:tcPr>
            <w:tcW w:w="665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提供截止开标前近半年内任意一个月（以税款所属期为准）税收缴纳完成的证明资料。（提供截止开标前近半年内任意一个月（以税款所属期为准）税收部门出具的完成税收缴纳证明。申报表、征集单、银行的缴纳回执单等不予认可。其它无需纳税或免税的必须提供税收部门相关证明。）</w:t>
            </w:r>
          </w:p>
        </w:tc>
        <w:tc>
          <w:tcPr>
            <w:tcW w:w="1070"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46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7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缴纳社会保障资金（所有证明材料需加盖出具机关印章,必须写明税款/费款所属期。）</w:t>
            </w:r>
          </w:p>
        </w:tc>
        <w:tc>
          <w:tcPr>
            <w:tcW w:w="665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提供截止开标前近半年内任意一个月（以费款所属期为准）税收部门或社保机构出具的完成社保缴纳证明（提供截止开标前近半年内任意一个月（以费款所属期为准）税收部门或社保机构出具的完成社保缴纳证明。申报表、征集单、银行的缴纳回执单等不予认可。如委托其他机构代缴代扣，还需同时提供供应商与机构签署的服务合同或代缴协议，其中应明确写明第三方为供应商代缴其社会保险，否则不予认可），其他组织和自然人也需提供上述证明。</w:t>
            </w:r>
          </w:p>
        </w:tc>
        <w:tc>
          <w:tcPr>
            <w:tcW w:w="1070"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7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提供无重大违法记录声明书</w:t>
            </w:r>
          </w:p>
        </w:tc>
        <w:tc>
          <w:tcPr>
            <w:tcW w:w="665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提供无重大违法记录声明书</w:t>
            </w:r>
          </w:p>
        </w:tc>
        <w:tc>
          <w:tcPr>
            <w:tcW w:w="1070"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7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履行合同所必需的设备和能力</w:t>
            </w:r>
          </w:p>
        </w:tc>
        <w:tc>
          <w:tcPr>
            <w:tcW w:w="665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提供具有履行合同所必需的设备和专业技术能力相关证明材料或声明</w:t>
            </w:r>
          </w:p>
        </w:tc>
        <w:tc>
          <w:tcPr>
            <w:tcW w:w="1070"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7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投标保证金</w:t>
            </w:r>
          </w:p>
        </w:tc>
        <w:tc>
          <w:tcPr>
            <w:tcW w:w="665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是否按照投标须知要求金额递交了投标保证金，并提供了投标保证金证明。</w:t>
            </w:r>
          </w:p>
        </w:tc>
        <w:tc>
          <w:tcPr>
            <w:tcW w:w="1070"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740" w:type="dxa"/>
            <w:vAlign w:val="center"/>
          </w:tcPr>
          <w:p>
            <w:pPr>
              <w:spacing w:after="100" w:afterAutospacing="1"/>
              <w:rPr>
                <w:rFonts w:ascii="宋体" w:hAnsi="宋体"/>
                <w:color w:val="auto"/>
                <w:spacing w:val="-2"/>
                <w:szCs w:val="21"/>
                <w:highlight w:val="none"/>
              </w:rPr>
            </w:pPr>
            <w:r>
              <w:rPr>
                <w:rFonts w:hint="eastAsia" w:ascii="宋体" w:hAnsi="宋体"/>
                <w:color w:val="auto"/>
                <w:spacing w:val="-2"/>
                <w:szCs w:val="21"/>
                <w:highlight w:val="none"/>
              </w:rPr>
              <w:t>落实政府采购政策需满足的资格要求</w:t>
            </w:r>
          </w:p>
        </w:tc>
        <w:tc>
          <w:tcPr>
            <w:tcW w:w="6650" w:type="dxa"/>
            <w:vAlign w:val="center"/>
          </w:tcPr>
          <w:p>
            <w:pPr>
              <w:rPr>
                <w:rFonts w:ascii="宋体" w:hAnsi="宋体"/>
                <w:color w:val="auto"/>
                <w:spacing w:val="-2"/>
                <w:szCs w:val="21"/>
                <w:highlight w:val="none"/>
              </w:rPr>
            </w:pPr>
            <w:r>
              <w:rPr>
                <w:rFonts w:hint="eastAsia" w:ascii="宋体" w:hAnsi="宋体"/>
                <w:color w:val="auto"/>
                <w:spacing w:val="-2"/>
                <w:szCs w:val="21"/>
                <w:highlight w:val="none"/>
              </w:rPr>
              <w:t>本项目为专门面向中小企业采购的项目，投标人所投产品生产厂家应均为中小微企业或监狱企业或残疾人福利性单位；</w:t>
            </w:r>
          </w:p>
          <w:p>
            <w:pPr>
              <w:rPr>
                <w:rFonts w:ascii="宋体" w:hAnsi="宋体"/>
                <w:color w:val="auto"/>
                <w:spacing w:val="-2"/>
                <w:szCs w:val="21"/>
                <w:highlight w:val="none"/>
              </w:rPr>
            </w:pPr>
            <w:r>
              <w:rPr>
                <w:rFonts w:hint="eastAsia" w:ascii="宋体" w:hAnsi="宋体"/>
                <w:color w:val="auto"/>
                <w:spacing w:val="-2"/>
                <w:szCs w:val="21"/>
                <w:highlight w:val="none"/>
              </w:rPr>
              <w:t>投标人应按招标文件要求提供《中小企业声明函》或《残疾人福利性单位声明函》或</w:t>
            </w:r>
            <w:r>
              <w:rPr>
                <w:rFonts w:ascii="宋体" w:hAnsi="宋体"/>
                <w:color w:val="auto"/>
                <w:spacing w:val="-2"/>
                <w:szCs w:val="21"/>
                <w:highlight w:val="none"/>
              </w:rPr>
              <w:t>监狱企业</w:t>
            </w:r>
            <w:r>
              <w:rPr>
                <w:rFonts w:hint="eastAsia" w:ascii="宋体" w:hAnsi="宋体"/>
                <w:color w:val="auto"/>
                <w:spacing w:val="-2"/>
                <w:szCs w:val="21"/>
                <w:highlight w:val="none"/>
              </w:rPr>
              <w:t>证明材料；</w:t>
            </w:r>
          </w:p>
        </w:tc>
        <w:tc>
          <w:tcPr>
            <w:tcW w:w="1070" w:type="dxa"/>
            <w:vAlign w:val="center"/>
          </w:tcPr>
          <w:p>
            <w:pPr>
              <w:spacing w:line="440" w:lineRule="exact"/>
              <w:jc w:val="center"/>
              <w:rPr>
                <w:rFonts w:ascii="宋体" w:hAnsi="宋体"/>
                <w:color w:val="auto"/>
                <w:szCs w:val="21"/>
                <w:highlight w:val="none"/>
              </w:rPr>
            </w:pPr>
          </w:p>
        </w:tc>
      </w:tr>
    </w:tbl>
    <w:p>
      <w:pPr>
        <w:tabs>
          <w:tab w:val="left" w:pos="449"/>
        </w:tabs>
        <w:ind w:firstLine="480" w:firstLineChars="200"/>
        <w:jc w:val="lef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审查项目有一项不满足则结论为不合格。</w:t>
      </w:r>
    </w:p>
    <w:p>
      <w:pPr>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16.2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17、磋商依据</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磋商的依据为招标方的竞争性磋商文件和投标人的响应性文件电子标书。</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18、磋商</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磋商小组</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（2）磋商小组人选于开标前确定。磋商小组成员名单在成交结果确定前保密。</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（4）按前款规定，磋商小组的成员，由招标方从专家库中采取随机抽取的方式确定。</w:t>
      </w:r>
    </w:p>
    <w:p>
      <w:pPr>
        <w:spacing w:line="440" w:lineRule="exact"/>
        <w:ind w:firstLine="354" w:firstLineChars="150"/>
        <w:rPr>
          <w:rFonts w:ascii="宋体" w:hAnsi="宋体" w:cs="宋体"/>
          <w:color w:val="auto"/>
          <w:spacing w:val="-2"/>
          <w:sz w:val="24"/>
          <w:highlight w:val="none"/>
        </w:rPr>
      </w:pPr>
      <w:r>
        <w:rPr>
          <w:rFonts w:hint="eastAsia" w:ascii="宋体" w:hAnsi="宋体" w:cs="宋体"/>
          <w:color w:val="auto"/>
          <w:spacing w:val="-2"/>
          <w:sz w:val="24"/>
          <w:highlight w:val="none"/>
        </w:rPr>
        <w:t>（5）磋商小组成员遵循法定的回避规定。</w:t>
      </w:r>
    </w:p>
    <w:p>
      <w:pPr>
        <w:spacing w:line="440" w:lineRule="exact"/>
        <w:ind w:firstLine="480" w:firstLineChars="200"/>
        <w:rPr>
          <w:rFonts w:ascii="宋体" w:hAnsi="宋体" w:cs="宋体"/>
          <w:color w:val="auto"/>
          <w:spacing w:val="-2"/>
          <w:sz w:val="24"/>
          <w:highlight w:val="none"/>
        </w:rPr>
      </w:pPr>
      <w:r>
        <w:rPr>
          <w:rFonts w:hint="eastAsia" w:ascii="宋体" w:hAnsi="宋体" w:cs="宋体"/>
          <w:bCs/>
          <w:color w:val="auto"/>
          <w:sz w:val="24"/>
          <w:highlight w:val="none"/>
        </w:rPr>
        <w:t>18.2</w:t>
      </w:r>
      <w:r>
        <w:rPr>
          <w:rFonts w:hint="eastAsia" w:ascii="宋体" w:hAnsi="宋体" w:cs="宋体"/>
          <w:color w:val="auto"/>
          <w:spacing w:val="-2"/>
          <w:sz w:val="24"/>
          <w:highlight w:val="none"/>
        </w:rPr>
        <w:t xml:space="preserve">  磋商小组成员应当熟悉并认真研究竞争性磋商文件，至少应了解和熟悉以下内容：</w:t>
      </w:r>
    </w:p>
    <w:p>
      <w:pPr>
        <w:spacing w:line="440" w:lineRule="exact"/>
        <w:ind w:firstLine="480" w:firstLineChars="200"/>
        <w:rPr>
          <w:rFonts w:ascii="宋体" w:hAnsi="宋体" w:cs="宋体"/>
          <w:color w:val="auto"/>
          <w:spacing w:val="-2"/>
          <w:sz w:val="24"/>
          <w:highlight w:val="none"/>
        </w:rPr>
      </w:pPr>
      <w:r>
        <w:rPr>
          <w:rFonts w:hint="eastAsia" w:ascii="宋体" w:hAnsi="宋体" w:cs="宋体"/>
          <w:color w:val="auto"/>
          <w:sz w:val="24"/>
          <w:highlight w:val="none"/>
        </w:rPr>
        <w:t>（1）</w:t>
      </w:r>
      <w:r>
        <w:rPr>
          <w:rFonts w:hint="eastAsia" w:ascii="宋体" w:hAnsi="宋体" w:cs="宋体"/>
          <w:color w:val="auto"/>
          <w:spacing w:val="-2"/>
          <w:sz w:val="24"/>
          <w:highlight w:val="none"/>
        </w:rPr>
        <w:t xml:space="preserve"> 采购目的；</w:t>
      </w:r>
    </w:p>
    <w:p>
      <w:pPr>
        <w:spacing w:line="440" w:lineRule="exact"/>
        <w:ind w:firstLine="480" w:firstLineChars="200"/>
        <w:rPr>
          <w:rFonts w:ascii="宋体" w:hAnsi="宋体" w:cs="宋体"/>
          <w:color w:val="auto"/>
          <w:spacing w:val="-2"/>
          <w:sz w:val="24"/>
          <w:highlight w:val="none"/>
        </w:rPr>
      </w:pPr>
      <w:r>
        <w:rPr>
          <w:rFonts w:hint="eastAsia" w:ascii="宋体" w:hAnsi="宋体" w:cs="宋体"/>
          <w:color w:val="auto"/>
          <w:sz w:val="24"/>
          <w:highlight w:val="none"/>
        </w:rPr>
        <w:t>（2）</w:t>
      </w:r>
      <w:r>
        <w:rPr>
          <w:rFonts w:hint="eastAsia" w:ascii="宋体" w:hAnsi="宋体" w:cs="宋体"/>
          <w:color w:val="auto"/>
          <w:spacing w:val="-2"/>
          <w:sz w:val="24"/>
          <w:highlight w:val="none"/>
        </w:rPr>
        <w:t xml:space="preserve"> 采购项目的范围、性质；</w:t>
      </w:r>
    </w:p>
    <w:p>
      <w:pPr>
        <w:spacing w:line="440" w:lineRule="exact"/>
        <w:ind w:firstLine="480" w:firstLineChars="200"/>
        <w:rPr>
          <w:rFonts w:ascii="宋体" w:hAnsi="宋体" w:cs="宋体"/>
          <w:color w:val="auto"/>
          <w:spacing w:val="-2"/>
          <w:sz w:val="24"/>
          <w:highlight w:val="none"/>
        </w:rPr>
      </w:pPr>
      <w:r>
        <w:rPr>
          <w:rFonts w:hint="eastAsia" w:ascii="宋体" w:hAnsi="宋体" w:cs="宋体"/>
          <w:color w:val="auto"/>
          <w:sz w:val="24"/>
          <w:highlight w:val="none"/>
        </w:rPr>
        <w:t xml:space="preserve">（3） </w:t>
      </w:r>
      <w:r>
        <w:rPr>
          <w:rFonts w:hint="eastAsia" w:ascii="宋体" w:hAnsi="宋体" w:cs="宋体"/>
          <w:color w:val="auto"/>
          <w:spacing w:val="-2"/>
          <w:sz w:val="24"/>
          <w:highlight w:val="none"/>
        </w:rPr>
        <w:t>竞争性磋商文件中规定的主要技术要求、标准和商务条款；</w:t>
      </w:r>
    </w:p>
    <w:p>
      <w:pPr>
        <w:spacing w:line="440" w:lineRule="exact"/>
        <w:ind w:firstLine="480" w:firstLineChars="200"/>
        <w:rPr>
          <w:rFonts w:ascii="宋体" w:hAnsi="宋体" w:cs="宋体"/>
          <w:color w:val="auto"/>
          <w:spacing w:val="-2"/>
          <w:sz w:val="24"/>
          <w:highlight w:val="none"/>
        </w:rPr>
      </w:pPr>
      <w:r>
        <w:rPr>
          <w:rFonts w:hint="eastAsia" w:ascii="宋体" w:hAnsi="宋体" w:cs="宋体"/>
          <w:color w:val="auto"/>
          <w:sz w:val="24"/>
          <w:highlight w:val="none"/>
        </w:rPr>
        <w:t xml:space="preserve">（4） </w:t>
      </w:r>
      <w:r>
        <w:rPr>
          <w:rFonts w:hint="eastAsia" w:ascii="宋体" w:hAnsi="宋体" w:cs="宋体"/>
          <w:color w:val="auto"/>
          <w:spacing w:val="-2"/>
          <w:sz w:val="24"/>
          <w:highlight w:val="none"/>
        </w:rPr>
        <w:t>竞争性磋商文件规定的评分标准、评标方法和在磋商过程中应考虑的相关因素。</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18.3  招标方应当向磋商小组提供磋商所需的重要信息和数据。</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18.4  磋商小组应当根据竞争性磋商文件规定的评分标准和方法，对响应性文件电子标书进行系统地评审和比较。采购文件中没有规定的标准和方法不得作为磋商的依据。</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18.5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18.6  磋商小组成员和与本次磋商活动有关的工作人员，不得透露对响应性文件电子标书的评审和比较、成交候选人的推荐情况以及与磋商有关的其他情况。</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18.7　与磋商活动有关的工作人员，是指磋商小组成员以外的、因参与磋商监督工作或者事务性工作而知悉有关评标情况的所有人员。</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w:t>
      </w:r>
      <w:r>
        <w:rPr>
          <w:rFonts w:hint="eastAsia" w:ascii="宋体" w:hAnsi="宋体" w:cs="宋体"/>
          <w:color w:val="auto"/>
          <w:spacing w:val="-2"/>
          <w:sz w:val="24"/>
          <w:highlight w:val="none"/>
        </w:rPr>
        <w:t>.</w:t>
      </w:r>
      <w:r>
        <w:rPr>
          <w:rFonts w:hint="eastAsia" w:ascii="宋体" w:hAnsi="宋体" w:cs="宋体"/>
          <w:b/>
          <w:color w:val="auto"/>
          <w:sz w:val="24"/>
          <w:highlight w:val="none"/>
        </w:rPr>
        <w:t>磋商的报价方式</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  磋商结束后，投标人可根据磋商情况，进行第二次报价（根据情况进行多轮报价），最终轮报价为磋商的最终报价。</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　投标企业需在政采云平台进行多轮报价，开启新一轮报价时，供应商随报价同时提交附件，附件内容为竞争性磋商文件所发《明细报价表.xls》，明细报价表合计金额须与新一轮报价金额一致。</w:t>
      </w:r>
    </w:p>
    <w:p>
      <w:pPr>
        <w:pStyle w:val="6"/>
        <w:numPr>
          <w:ilvl w:val="3"/>
          <w:numId w:val="0"/>
        </w:numPr>
        <w:ind w:firstLine="240" w:firstLineChars="100"/>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19.3投标企业需在政采云平台规定时间内提交新一轮报价，逾期未提交报价的政采云系统将自动关闭。</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w:t>
      </w:r>
      <w:r>
        <w:rPr>
          <w:rFonts w:hint="eastAsia" w:ascii="宋体" w:hAnsi="宋体" w:cs="宋体"/>
          <w:color w:val="auto"/>
          <w:spacing w:val="-2"/>
          <w:sz w:val="24"/>
          <w:highlight w:val="none"/>
        </w:rPr>
        <w:t>.</w:t>
      </w:r>
      <w:r>
        <w:rPr>
          <w:rFonts w:hint="eastAsia" w:ascii="宋体" w:hAnsi="宋体" w:cs="宋体"/>
          <w:b/>
          <w:color w:val="auto"/>
          <w:sz w:val="24"/>
          <w:highlight w:val="none"/>
        </w:rPr>
        <w:t>磋商和评审过程的保密性</w:t>
      </w:r>
    </w:p>
    <w:p>
      <w:pPr>
        <w:spacing w:line="440" w:lineRule="exact"/>
        <w:ind w:firstLine="480" w:firstLineChars="200"/>
        <w:rPr>
          <w:rFonts w:ascii="宋体" w:hAnsi="宋体" w:cs="宋体"/>
          <w:color w:val="auto"/>
          <w:spacing w:val="-2"/>
          <w:sz w:val="24"/>
          <w:highlight w:val="none"/>
        </w:rPr>
      </w:pPr>
      <w:r>
        <w:rPr>
          <w:rFonts w:hint="eastAsia" w:ascii="宋体" w:hAnsi="宋体" w:cs="宋体"/>
          <w:color w:val="auto"/>
          <w:sz w:val="24"/>
          <w:highlight w:val="none"/>
        </w:rPr>
        <w:t xml:space="preserve">20.1  </w:t>
      </w:r>
      <w:r>
        <w:rPr>
          <w:rFonts w:hint="eastAsia" w:ascii="宋体" w:hAnsi="宋体" w:cs="宋体"/>
          <w:color w:val="auto"/>
          <w:spacing w:val="-2"/>
          <w:sz w:val="24"/>
          <w:highlight w:val="none"/>
        </w:rPr>
        <w:t>开标后，凡是属于审查、澄清、评价的有关资料以及授标建议等，磋商小组成员或参与评标的有关工作人员均不得向投标人或其他无关的人员透露，违者给予警告、取消担任磋商小组成员的资格，不得再参加任何投标项目的评标。</w:t>
      </w:r>
    </w:p>
    <w:p>
      <w:pPr>
        <w:spacing w:line="440" w:lineRule="exact"/>
        <w:ind w:firstLine="480" w:firstLineChars="200"/>
        <w:rPr>
          <w:rFonts w:ascii="宋体" w:hAnsi="宋体" w:cs="宋体"/>
          <w:color w:val="auto"/>
          <w:spacing w:val="-2"/>
          <w:sz w:val="24"/>
          <w:highlight w:val="none"/>
        </w:rPr>
      </w:pPr>
      <w:r>
        <w:rPr>
          <w:rFonts w:hint="eastAsia" w:ascii="宋体" w:hAnsi="宋体" w:cs="宋体"/>
          <w:color w:val="auto"/>
          <w:sz w:val="24"/>
          <w:highlight w:val="none"/>
        </w:rPr>
        <w:t xml:space="preserve">21.2 </w:t>
      </w:r>
      <w:r>
        <w:rPr>
          <w:rFonts w:hint="eastAsia" w:ascii="宋体" w:hAnsi="宋体" w:cs="宋体"/>
          <w:color w:val="auto"/>
          <w:spacing w:val="-2"/>
          <w:sz w:val="24"/>
          <w:highlight w:val="none"/>
        </w:rPr>
        <w:t>投标人在评标过程中，所进行的试图影响评标结果的不符合《中华人民共和国政府采购法》</w:t>
      </w:r>
      <w:r>
        <w:rPr>
          <w:rFonts w:hint="eastAsia" w:ascii="宋体" w:hAnsi="宋体" w:cs="宋体"/>
          <w:color w:val="auto"/>
          <w:sz w:val="24"/>
          <w:highlight w:val="none"/>
        </w:rPr>
        <w:t>和相关法律法规</w:t>
      </w:r>
      <w:r>
        <w:rPr>
          <w:rFonts w:hint="eastAsia" w:ascii="宋体" w:hAnsi="宋体" w:cs="宋体"/>
          <w:color w:val="auto"/>
          <w:spacing w:val="-2"/>
          <w:sz w:val="24"/>
          <w:highlight w:val="none"/>
        </w:rPr>
        <w:t>及本次招标有关规定的活动，将被取消中标资格。</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w:t>
      </w:r>
      <w:r>
        <w:rPr>
          <w:rFonts w:hint="eastAsia" w:ascii="宋体" w:hAnsi="宋体" w:cs="宋体"/>
          <w:color w:val="auto"/>
          <w:spacing w:val="-2"/>
          <w:sz w:val="24"/>
          <w:highlight w:val="none"/>
        </w:rPr>
        <w:t>.</w:t>
      </w:r>
      <w:r>
        <w:rPr>
          <w:rFonts w:hint="eastAsia" w:ascii="宋体" w:hAnsi="宋体" w:cs="宋体"/>
          <w:b/>
          <w:color w:val="auto"/>
          <w:sz w:val="24"/>
          <w:highlight w:val="none"/>
        </w:rPr>
        <w:t>磋商程序、报价确认和澄清及成交原则</w:t>
      </w:r>
    </w:p>
    <w:p>
      <w:pPr>
        <w:spacing w:line="440" w:lineRule="exact"/>
        <w:ind w:firstLine="480" w:firstLineChars="200"/>
        <w:rPr>
          <w:rFonts w:ascii="宋体" w:hAnsi="宋体" w:cs="宋体"/>
          <w:color w:val="auto"/>
          <w:highlight w:val="none"/>
        </w:rPr>
      </w:pPr>
      <w:r>
        <w:rPr>
          <w:rFonts w:hint="eastAsia" w:ascii="宋体" w:hAnsi="宋体" w:cs="宋体"/>
          <w:color w:val="auto"/>
          <w:sz w:val="24"/>
          <w:highlight w:val="none"/>
        </w:rPr>
        <w:t>21.1 磋商小组所有成员与投标人分别进行单独磋商。在磋商中，磋商的任何一方不得透露与磋商有关的其他服务商的技术资料、价格和其他信息。在磋商过程中，磋商小组可以根据磋商文件和磋商情况实质性变动采购需求中的技术、服务要求以及合同草案条款。采购文件有实质性变动的，磋商小组应以书面形式通知所有参加磋商的投标人。</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21.2　招标方不接受不符合国家有关部门相关规定的投标报价或优惠方案。</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21.3　投标人不得误导、干扰招标方的评标活动，否则将废除其投标。</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21.4　磋商小组应当根据采购文件，审查并逐项列出响应性文件电子标书的全部投标偏差。投标偏差分为重大偏差和细微偏差。</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 初步评审</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22.1  磋商小组可以以书面方式要求投标人对响应性文件电子标书中含义不明确、对同类问题表述不一致或者有明显文字和计算错误的内容作必要的澄清、说明或补正。澄清、说明或补正应以书面方式进行,且不得超出响应性文件的范围或者改变响应性文件的实质性内容。</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22.2　招标方不接受不符合国家有关部门相关规定的投标报价或优惠方案。</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22.3　在评标过程中，磋商小组发现投标人以他人名义投标、串通投标、以行贿手段谋取中标或者以其他弄虚作假方式投标的，该投标人的投标应作无效标处理。</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22.4  投标人拒不按照要求对响应性文件进行澄清、说明或补正的，磋商小组可以否决其投标。</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22.5  磋商小组应当审查每一响应性文件电子标书是否对采购文件提出的所有符合性审查要求和条件做出满足。未能在实质上满足的投标，应作无效标处理。</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22.6　投标人不得误导、干扰招标方的评标活动，否则将废除其投标。</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22.7  对响应性文件满足采购文件条款的审查：</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（1）开标后，磋商小组将组织对响应性文件进行审查，检查响应性文件是否完整，是否出现计算性错误，响应性文件正本是否满足采购文件的格式要求；</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磋商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（3）磋商小组判断响应性文件的满足性仅基于响应性文件本身而不靠外部证据；</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（4）磋商小组将拒绝被确定为非实质性满足的投标。投标人不能通过修正或撤消不符合之处而使其投标成为实质性满足的投标。</w:t>
      </w:r>
    </w:p>
    <w:p>
      <w:pPr>
        <w:spacing w:line="440" w:lineRule="exact"/>
        <w:jc w:val="center"/>
        <w:rPr>
          <w:rFonts w:ascii="宋体" w:hAnsi="宋体" w:cs="宋体"/>
          <w:color w:val="auto"/>
          <w:highlight w:val="none"/>
        </w:rPr>
      </w:pPr>
      <w:r>
        <w:rPr>
          <w:rFonts w:hint="eastAsia" w:ascii="宋体" w:hAnsi="宋体" w:cs="宋体"/>
          <w:color w:val="auto"/>
          <w:spacing w:val="-2"/>
          <w:sz w:val="24"/>
          <w:highlight w:val="none"/>
        </w:rPr>
        <w:t>符合性审查</w:t>
      </w:r>
    </w:p>
    <w:tbl>
      <w:tblPr>
        <w:tblStyle w:val="28"/>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2340"/>
        <w:gridCol w:w="578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777" w:type="dxa"/>
            <w:gridSpan w:val="2"/>
            <w:vAlign w:val="center"/>
          </w:tcPr>
          <w:p>
            <w:pPr>
              <w:spacing w:line="440" w:lineRule="exact"/>
              <w:jc w:val="center"/>
              <w:rPr>
                <w:rFonts w:ascii="宋体" w:hAnsi="宋体"/>
                <w:b/>
                <w:color w:val="auto"/>
                <w:spacing w:val="-2"/>
                <w:szCs w:val="21"/>
                <w:highlight w:val="none"/>
              </w:rPr>
            </w:pPr>
            <w:r>
              <w:rPr>
                <w:rFonts w:hint="eastAsia" w:ascii="宋体" w:hAnsi="宋体"/>
                <w:b/>
                <w:color w:val="auto"/>
                <w:spacing w:val="-2"/>
                <w:szCs w:val="21"/>
                <w:highlight w:val="none"/>
              </w:rPr>
              <w:t>评审内容</w:t>
            </w:r>
          </w:p>
        </w:tc>
        <w:tc>
          <w:tcPr>
            <w:tcW w:w="5782" w:type="dxa"/>
            <w:vAlign w:val="center"/>
          </w:tcPr>
          <w:p>
            <w:pPr>
              <w:spacing w:line="440" w:lineRule="exact"/>
              <w:jc w:val="center"/>
              <w:rPr>
                <w:rFonts w:ascii="宋体" w:hAnsi="宋体"/>
                <w:b/>
                <w:color w:val="auto"/>
                <w:spacing w:val="-2"/>
                <w:szCs w:val="21"/>
                <w:highlight w:val="none"/>
              </w:rPr>
            </w:pPr>
            <w:r>
              <w:rPr>
                <w:rFonts w:hint="eastAsia" w:ascii="宋体" w:hAnsi="宋体"/>
                <w:b/>
                <w:color w:val="auto"/>
                <w:spacing w:val="-2"/>
                <w:szCs w:val="21"/>
                <w:highlight w:val="none"/>
              </w:rPr>
              <w:t>评审标准</w:t>
            </w:r>
          </w:p>
        </w:tc>
        <w:tc>
          <w:tcPr>
            <w:tcW w:w="1172" w:type="dxa"/>
            <w:vAlign w:val="center"/>
          </w:tcPr>
          <w:p>
            <w:pPr>
              <w:spacing w:line="440" w:lineRule="exact"/>
              <w:jc w:val="center"/>
              <w:rPr>
                <w:rFonts w:ascii="宋体" w:hAnsi="宋体"/>
                <w:b/>
                <w:color w:val="auto"/>
                <w:spacing w:val="-2"/>
                <w:szCs w:val="21"/>
                <w:highlight w:val="none"/>
              </w:rPr>
            </w:pPr>
            <w:r>
              <w:rPr>
                <w:rFonts w:ascii="宋体" w:hAnsi="宋体"/>
                <w:b/>
                <w:color w:val="auto"/>
                <w:spacing w:val="-2"/>
                <w:szCs w:val="21"/>
                <w:highlight w:val="none"/>
              </w:rPr>
              <w:t>评审意见</w:t>
            </w:r>
            <w:r>
              <w:rPr>
                <w:rFonts w:hint="eastAsia" w:ascii="宋体" w:hAnsi="宋体"/>
                <w:b/>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2340" w:type="dxa"/>
            <w:vAlign w:val="center"/>
          </w:tcPr>
          <w:p>
            <w:pPr>
              <w:spacing w:after="100" w:afterAutospacing="1"/>
              <w:rPr>
                <w:rFonts w:ascii="宋体" w:hAnsi="宋体" w:cs="宋体"/>
                <w:color w:val="auto"/>
                <w:szCs w:val="21"/>
                <w:highlight w:val="none"/>
              </w:rPr>
            </w:pPr>
            <w:r>
              <w:rPr>
                <w:rFonts w:ascii="宋体" w:hAnsi="宋体" w:cs="宋体"/>
                <w:color w:val="auto"/>
                <w:szCs w:val="21"/>
                <w:highlight w:val="none"/>
              </w:rPr>
              <w:t>响应性文件格式</w:t>
            </w:r>
          </w:p>
        </w:tc>
        <w:tc>
          <w:tcPr>
            <w:tcW w:w="5782" w:type="dxa"/>
            <w:vAlign w:val="center"/>
          </w:tcPr>
          <w:p>
            <w:pPr>
              <w:spacing w:after="100" w:afterAutospacing="1"/>
              <w:rPr>
                <w:rFonts w:ascii="宋体" w:hAnsi="宋体" w:cs="宋体"/>
                <w:color w:val="auto"/>
                <w:szCs w:val="21"/>
                <w:highlight w:val="none"/>
              </w:rPr>
            </w:pPr>
            <w:r>
              <w:rPr>
                <w:rFonts w:ascii="宋体" w:hAnsi="宋体" w:cs="宋体"/>
                <w:color w:val="auto"/>
                <w:szCs w:val="21"/>
                <w:highlight w:val="none"/>
              </w:rPr>
              <w:t>响应性文件按照磋商文件规定的内容、格式填写，字迹清晰可辨</w:t>
            </w:r>
          </w:p>
        </w:tc>
        <w:tc>
          <w:tcPr>
            <w:tcW w:w="1172"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2340" w:type="dxa"/>
            <w:vAlign w:val="center"/>
          </w:tcPr>
          <w:p>
            <w:pPr>
              <w:spacing w:after="100" w:afterAutospacing="1"/>
              <w:rPr>
                <w:rFonts w:ascii="宋体" w:hAnsi="宋体" w:cs="宋体"/>
                <w:color w:val="auto"/>
                <w:szCs w:val="21"/>
                <w:highlight w:val="none"/>
              </w:rPr>
            </w:pPr>
            <w:r>
              <w:rPr>
                <w:rFonts w:ascii="宋体" w:hAnsi="宋体" w:cs="宋体"/>
                <w:color w:val="auto"/>
                <w:szCs w:val="21"/>
                <w:highlight w:val="none"/>
              </w:rPr>
              <w:t>授权委托书</w:t>
            </w:r>
          </w:p>
        </w:tc>
        <w:tc>
          <w:tcPr>
            <w:tcW w:w="5782" w:type="dxa"/>
            <w:vAlign w:val="center"/>
          </w:tcPr>
          <w:p>
            <w:pPr>
              <w:spacing w:after="100" w:afterAutospacing="1"/>
              <w:rPr>
                <w:rFonts w:ascii="宋体" w:hAnsi="宋体" w:cs="宋体"/>
                <w:color w:val="auto"/>
                <w:szCs w:val="21"/>
                <w:highlight w:val="none"/>
              </w:rPr>
            </w:pPr>
            <w:r>
              <w:rPr>
                <w:rFonts w:ascii="宋体" w:hAnsi="宋体" w:cs="宋体"/>
                <w:color w:val="auto"/>
                <w:szCs w:val="21"/>
                <w:highlight w:val="none"/>
              </w:rPr>
              <w:t>响应性文件提供法定代表人授权委托书或提供法定代表人身份证明</w:t>
            </w:r>
          </w:p>
        </w:tc>
        <w:tc>
          <w:tcPr>
            <w:tcW w:w="1172"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340" w:type="dxa"/>
            <w:vAlign w:val="center"/>
          </w:tcPr>
          <w:p>
            <w:pPr>
              <w:spacing w:after="100" w:afterAutospacing="1"/>
              <w:rPr>
                <w:rFonts w:ascii="宋体" w:hAnsi="宋体" w:cs="宋体"/>
                <w:color w:val="auto"/>
                <w:szCs w:val="21"/>
                <w:highlight w:val="none"/>
              </w:rPr>
            </w:pPr>
            <w:r>
              <w:rPr>
                <w:rFonts w:ascii="宋体" w:hAnsi="宋体" w:cs="宋体"/>
                <w:color w:val="auto"/>
                <w:szCs w:val="21"/>
                <w:highlight w:val="none"/>
              </w:rPr>
              <w:t>签字或盖章</w:t>
            </w:r>
          </w:p>
        </w:tc>
        <w:tc>
          <w:tcPr>
            <w:tcW w:w="5782" w:type="dxa"/>
            <w:vAlign w:val="center"/>
          </w:tcPr>
          <w:p>
            <w:pPr>
              <w:spacing w:after="100" w:afterAutospacing="1"/>
              <w:rPr>
                <w:rFonts w:ascii="宋体" w:hAnsi="宋体" w:cs="宋体"/>
                <w:color w:val="auto"/>
                <w:szCs w:val="21"/>
                <w:highlight w:val="none"/>
              </w:rPr>
            </w:pPr>
            <w:r>
              <w:rPr>
                <w:rFonts w:ascii="宋体" w:hAnsi="宋体" w:cs="宋体"/>
                <w:color w:val="auto"/>
                <w:szCs w:val="21"/>
                <w:highlight w:val="none"/>
              </w:rPr>
              <w:t>响应性文件上法定代表人或其授权代理人的签字、投标人的单位章齐全符合磋商文件规定</w:t>
            </w:r>
          </w:p>
        </w:tc>
        <w:tc>
          <w:tcPr>
            <w:tcW w:w="1172"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37"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23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不参与围标串标承诺书</w:t>
            </w:r>
          </w:p>
        </w:tc>
        <w:tc>
          <w:tcPr>
            <w:tcW w:w="5782"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提供不参与围标串标承诺书</w:t>
            </w:r>
          </w:p>
        </w:tc>
        <w:tc>
          <w:tcPr>
            <w:tcW w:w="1172"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7"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2340" w:type="dxa"/>
            <w:vAlign w:val="center"/>
          </w:tcPr>
          <w:p>
            <w:pPr>
              <w:spacing w:after="100" w:afterAutospacing="1"/>
              <w:rPr>
                <w:rFonts w:ascii="宋体" w:hAnsi="宋体" w:cs="宋体"/>
                <w:color w:val="auto"/>
                <w:szCs w:val="21"/>
                <w:highlight w:val="none"/>
              </w:rPr>
            </w:pPr>
            <w:r>
              <w:rPr>
                <w:rFonts w:ascii="宋体" w:hAnsi="宋体" w:cs="宋体"/>
                <w:color w:val="auto"/>
                <w:szCs w:val="21"/>
                <w:highlight w:val="none"/>
              </w:rPr>
              <w:t>报价</w:t>
            </w:r>
            <w:r>
              <w:rPr>
                <w:rFonts w:hint="eastAsia" w:ascii="宋体" w:hAnsi="宋体" w:cs="宋体"/>
                <w:color w:val="auto"/>
                <w:szCs w:val="21"/>
                <w:highlight w:val="none"/>
              </w:rPr>
              <w:t>限制</w:t>
            </w:r>
          </w:p>
        </w:tc>
        <w:tc>
          <w:tcPr>
            <w:tcW w:w="5782"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投标报价是否超过采购项目预算</w:t>
            </w:r>
          </w:p>
        </w:tc>
        <w:tc>
          <w:tcPr>
            <w:tcW w:w="1172"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3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方案唯一性</w:t>
            </w:r>
          </w:p>
        </w:tc>
        <w:tc>
          <w:tcPr>
            <w:tcW w:w="5782"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本项目不接受选择性的技术方案、商务方案、产品以及其他备选方案，若出现将被作为无效投标处理</w:t>
            </w:r>
          </w:p>
        </w:tc>
        <w:tc>
          <w:tcPr>
            <w:tcW w:w="1172"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3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服务期限</w:t>
            </w:r>
          </w:p>
        </w:tc>
        <w:tc>
          <w:tcPr>
            <w:tcW w:w="5782"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是否响应磋商文件要求</w:t>
            </w:r>
          </w:p>
        </w:tc>
        <w:tc>
          <w:tcPr>
            <w:tcW w:w="1172"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340"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质保期限</w:t>
            </w:r>
          </w:p>
        </w:tc>
        <w:tc>
          <w:tcPr>
            <w:tcW w:w="5782" w:type="dxa"/>
            <w:vAlign w:val="center"/>
          </w:tcPr>
          <w:p>
            <w:pPr>
              <w:spacing w:after="100" w:afterAutospacing="1"/>
              <w:rPr>
                <w:rFonts w:ascii="宋体" w:hAnsi="宋体" w:cs="宋体"/>
                <w:color w:val="auto"/>
                <w:szCs w:val="21"/>
                <w:highlight w:val="none"/>
              </w:rPr>
            </w:pPr>
            <w:r>
              <w:rPr>
                <w:rFonts w:hint="eastAsia" w:ascii="宋体" w:hAnsi="宋体" w:cs="宋体"/>
                <w:color w:val="auto"/>
                <w:szCs w:val="21"/>
                <w:highlight w:val="none"/>
              </w:rPr>
              <w:t>是否响应磋商文件要求</w:t>
            </w:r>
          </w:p>
        </w:tc>
        <w:tc>
          <w:tcPr>
            <w:tcW w:w="1172"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340" w:type="dxa"/>
            <w:vAlign w:val="center"/>
          </w:tcPr>
          <w:p>
            <w:pPr>
              <w:spacing w:after="100" w:afterAutospacing="1"/>
              <w:rPr>
                <w:rFonts w:ascii="宋体" w:hAnsi="宋体" w:cs="宋体"/>
                <w:color w:val="auto"/>
                <w:szCs w:val="21"/>
                <w:highlight w:val="none"/>
              </w:rPr>
            </w:pPr>
            <w:r>
              <w:rPr>
                <w:rFonts w:ascii="宋体" w:hAnsi="宋体" w:cs="宋体"/>
                <w:color w:val="auto"/>
                <w:szCs w:val="21"/>
                <w:highlight w:val="none"/>
              </w:rPr>
              <w:t>其他要求</w:t>
            </w:r>
          </w:p>
        </w:tc>
        <w:tc>
          <w:tcPr>
            <w:tcW w:w="5782" w:type="dxa"/>
            <w:vAlign w:val="center"/>
          </w:tcPr>
          <w:p>
            <w:pPr>
              <w:spacing w:after="100" w:afterAutospacing="1"/>
              <w:rPr>
                <w:rFonts w:ascii="宋体" w:hAnsi="宋体" w:cs="宋体"/>
                <w:color w:val="auto"/>
                <w:szCs w:val="21"/>
                <w:highlight w:val="none"/>
              </w:rPr>
            </w:pPr>
            <w:r>
              <w:rPr>
                <w:rFonts w:ascii="宋体" w:hAnsi="宋体" w:cs="宋体"/>
                <w:color w:val="auto"/>
                <w:szCs w:val="21"/>
                <w:highlight w:val="none"/>
              </w:rPr>
              <w:t>响应性文件未附有采购人不能接受的条件或不符合磋商文件的其他要求</w:t>
            </w:r>
          </w:p>
        </w:tc>
        <w:tc>
          <w:tcPr>
            <w:tcW w:w="1172" w:type="dxa"/>
            <w:vAlign w:val="center"/>
          </w:tcPr>
          <w:p>
            <w:pPr>
              <w:spacing w:line="440" w:lineRule="exact"/>
              <w:jc w:val="center"/>
              <w:rPr>
                <w:rFonts w:ascii="宋体" w:hAnsi="宋体"/>
                <w:color w:val="auto"/>
                <w:szCs w:val="21"/>
                <w:highlight w:val="none"/>
              </w:rPr>
            </w:pPr>
          </w:p>
        </w:tc>
      </w:tr>
    </w:tbl>
    <w:p>
      <w:pPr>
        <w:jc w:val="left"/>
        <w:rPr>
          <w:rFonts w:ascii="宋体" w:hAnsi="宋体" w:cs="宋体"/>
          <w:color w:val="auto"/>
          <w:sz w:val="24"/>
          <w:highlight w:val="none"/>
        </w:rPr>
      </w:pPr>
      <w:r>
        <w:rPr>
          <w:rFonts w:hint="eastAsia" w:ascii="宋体" w:hAnsi="宋体" w:cs="宋体"/>
          <w:color w:val="auto"/>
          <w:sz w:val="24"/>
          <w:highlight w:val="none"/>
        </w:rPr>
        <w:t>审查项目有一项不满足则结论为不合格。</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响应性文件符合性审查通过的投标企业，进入下一步详细评审阶段，未通过响应性文件符合性审查的企业，其投标作为无效标，不进入后期评审阶段。</w:t>
      </w:r>
    </w:p>
    <w:p>
      <w:pPr>
        <w:spacing w:line="440" w:lineRule="exact"/>
        <w:ind w:firstLine="480" w:firstLineChars="200"/>
        <w:rPr>
          <w:rFonts w:ascii="宋体" w:hAnsi="宋体" w:cs="宋体"/>
          <w:color w:val="auto"/>
          <w:sz w:val="24"/>
          <w:highlight w:val="none"/>
        </w:rPr>
      </w:pPr>
      <w:bookmarkStart w:id="19" w:name="_Toc502852415"/>
      <w:r>
        <w:rPr>
          <w:rFonts w:hint="eastAsia" w:ascii="宋体" w:hAnsi="宋体" w:cs="宋体"/>
          <w:color w:val="auto"/>
          <w:sz w:val="24"/>
          <w:highlight w:val="none"/>
        </w:rPr>
        <w:t>22.8评标委员会将根据政府采购政策支持中小企业政策对最后报价进行价格折扣，折扣的价格将作为评审价格。</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中小企业价格折扣比例及方法</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根据中华人民共和国财政部、中华人民共和国建筑业和信息化部《政府采购促进中小企业发展管理办法》（财库〔2020〕46号）文件的规定，属于中小企业评审优惠内容及幅度如下：</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（一）中小企业（含中型、小型、微型企业）应当同时符合以下条件：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①符合中小企业划分标准（按《关于印发中小企业划型标准规定的通知》（工信部联企业〔2011〕300号）执行）；</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②提供本企业制造的货物、承担的项目或者服务，或者提供其他中小企业制造的货物。本项所称货物不包括使用大型企业注册商标的货物；</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在货物采购项目中，供应商提供的货物既有中小企业制造货物，也有大型企业制造货物的，不享受本办法规定的中小企业扶持政策。</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（二）价格扣除办法：</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对于非专门面向中小企业的项目，对小型和微型企业（或联合体各方均为小型、</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微型企业的，残疾人福利性单位、监狱企业视为小微企业）产品的价格给予10%的扣除，用扣除后的价格参与价格的评审。</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（三）小型和微型企业适用价格扣除办法时应提供的相关资料：</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、供应商《中小企业声明函》或残疾人福利性单位声明函或监狱企业证明文件；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22.9在前款基础上，评标委员会将根据政府采购政策支持节能、环保产品优先采购政策等对最后报价进行价格折扣，折扣的价格将作为评审价格。</w:t>
      </w:r>
    </w:p>
    <w:p>
      <w:pPr>
        <w:spacing w:line="44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节能产品及环保产品价格折扣比例及方法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序号</w:t>
            </w:r>
          </w:p>
        </w:tc>
        <w:tc>
          <w:tcPr>
            <w:tcW w:w="1807" w:type="dxa"/>
            <w:tcBorders>
              <w:top w:val="single" w:color="auto" w:sz="4" w:space="0"/>
            </w:tcBorders>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w:t>
            </w:r>
          </w:p>
        </w:tc>
        <w:tc>
          <w:tcPr>
            <w:tcW w:w="7203" w:type="dxa"/>
            <w:tcBorders>
              <w:top w:val="single" w:color="auto" w:sz="4" w:space="0"/>
            </w:tcBorders>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p>
        </w:tc>
        <w:tc>
          <w:tcPr>
            <w:tcW w:w="1807"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节能产品</w:t>
            </w:r>
          </w:p>
        </w:tc>
        <w:tc>
          <w:tcPr>
            <w:tcW w:w="7203"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p>
        </w:tc>
        <w:tc>
          <w:tcPr>
            <w:tcW w:w="1807"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环保产品</w:t>
            </w:r>
          </w:p>
        </w:tc>
        <w:tc>
          <w:tcPr>
            <w:tcW w:w="7203" w:type="dxa"/>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p>
        </w:tc>
        <w:tc>
          <w:tcPr>
            <w:tcW w:w="1807" w:type="dxa"/>
            <w:tcBorders>
              <w:bottom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证明材料说明</w:t>
            </w:r>
          </w:p>
        </w:tc>
        <w:tc>
          <w:tcPr>
            <w:tcW w:w="7203" w:type="dxa"/>
            <w:tcBorders>
              <w:bottom w:val="single" w:color="auto" w:sz="4" w:space="0"/>
            </w:tcBorders>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1、须提供中国政府采购网节能环保查询结果</w:t>
            </w:r>
          </w:p>
        </w:tc>
      </w:tr>
    </w:tbl>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说明：1.如有多种产品符合此项政策时，折扣价格为每种产品的折扣金额汇总。</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2.若所投产品同时属于节能产品及环保产品，只进行一次价格折扣认定。</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3.若节能、环境标志清单内的产品仅是构成投标产品的部件、组件或零件的，该产品不进行价格折扣认定。</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 详细评审</w:t>
      </w:r>
    </w:p>
    <w:p>
      <w:pPr>
        <w:spacing w:line="440" w:lineRule="exact"/>
        <w:ind w:firstLine="472" w:firstLineChars="200"/>
        <w:rPr>
          <w:rFonts w:ascii="宋体" w:hAnsi="宋体" w:cs="宋体"/>
          <w:color w:val="auto"/>
          <w:sz w:val="24"/>
          <w:highlight w:val="none"/>
        </w:rPr>
      </w:pPr>
      <w:r>
        <w:rPr>
          <w:rFonts w:hint="eastAsia" w:ascii="宋体" w:hAnsi="宋体" w:cs="宋体"/>
          <w:color w:val="auto"/>
          <w:spacing w:val="-2"/>
          <w:sz w:val="24"/>
          <w:highlight w:val="none"/>
        </w:rPr>
        <w:t>23.1  经初步评审合格的响应性文件，磋商小组应当根据采购文件确定的评标标准和方法，对</w:t>
      </w:r>
      <w:r>
        <w:rPr>
          <w:rFonts w:hint="eastAsia" w:ascii="宋体" w:hAnsi="宋体" w:cs="宋体"/>
          <w:color w:val="auto"/>
          <w:sz w:val="24"/>
          <w:highlight w:val="none"/>
        </w:rPr>
        <w:t>投标人所有投标产品的</w:t>
      </w:r>
      <w:r>
        <w:rPr>
          <w:rFonts w:hint="eastAsia" w:ascii="宋体" w:hAnsi="宋体" w:cs="宋体"/>
          <w:color w:val="auto"/>
          <w:spacing w:val="-2"/>
          <w:sz w:val="24"/>
          <w:highlight w:val="none"/>
        </w:rPr>
        <w:t>技术和商务部分进行详细评审</w:t>
      </w:r>
      <w:r>
        <w:rPr>
          <w:rFonts w:hint="eastAsia" w:ascii="宋体" w:hAnsi="宋体" w:cs="宋体"/>
          <w:color w:val="auto"/>
          <w:sz w:val="24"/>
          <w:highlight w:val="none"/>
        </w:rPr>
        <w:t>。</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23.2  在评审过程中，为了有助于对响应性文件进行审查、评估，投标人有责任按照招标方通知的时间、地点指派专人进行答疑和澄清。磋商小组可能要求投标人就响应性文件中的内容进行答辩，投标人应按要求进行答辩。</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23.3采用综合评分法衡量响应性文件在是否最大限度地满足采购文件实质性要求前提下，按照采购文件中规定的各项因素进行综合评审后，依据得分高低，依次确定为中标候选人。</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提供相同品牌型号产品且通过资格审查、符合性审查的不同投标人参加同一合同项下投标的，按一家投标人计算，评审后得分最高的同品牌型号投标人获得中标人推荐资格；评审得分相同的，由采购人或者采购人委托磋商小组按照采购文件规定的方式确定一个投标人获得中标人推荐资格，采购文件未规定的采取随机抽取方式确定，其他同品牌型号投标人不作为中标候选人。</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非单一产品采购项目，采购人应当根据采购项目技术构成、产品价格比重等合理确定核心产品，并在采购文件中载明。多家投标人提供的核心产品品牌型号相同的，按前款规定处理。</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23.3.1当投标人总得分相同时，以投标价格低者排位在前。</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23.4根据综合评分法完成评标后，磋商小组应当拟定一份书面评标报告提交招标方。</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pPr>
        <w:pStyle w:val="3"/>
        <w:rPr>
          <w:rFonts w:cs="宋体"/>
          <w:color w:val="auto"/>
          <w:sz w:val="32"/>
          <w:szCs w:val="32"/>
          <w:highlight w:val="none"/>
        </w:rPr>
      </w:pPr>
      <w:bookmarkStart w:id="20" w:name="_Toc24660"/>
      <w:r>
        <w:rPr>
          <w:rFonts w:hint="eastAsia" w:cs="宋体"/>
          <w:color w:val="auto"/>
          <w:sz w:val="32"/>
          <w:szCs w:val="32"/>
          <w:highlight w:val="none"/>
        </w:rPr>
        <w:t>第五章  定　标</w:t>
      </w:r>
      <w:bookmarkEnd w:id="19"/>
      <w:bookmarkEnd w:id="20"/>
    </w:p>
    <w:p>
      <w:pPr>
        <w:spacing w:line="440" w:lineRule="exact"/>
        <w:ind w:firstLine="474" w:firstLineChars="200"/>
        <w:rPr>
          <w:rFonts w:ascii="宋体" w:hAnsi="宋体" w:cs="宋体"/>
          <w:b/>
          <w:color w:val="auto"/>
          <w:spacing w:val="-2"/>
          <w:sz w:val="24"/>
          <w:highlight w:val="none"/>
        </w:rPr>
      </w:pPr>
      <w:bookmarkStart w:id="21" w:name="_Toc502852416"/>
      <w:r>
        <w:rPr>
          <w:rFonts w:hint="eastAsia" w:ascii="宋体" w:hAnsi="宋体" w:cs="宋体"/>
          <w:b/>
          <w:color w:val="auto"/>
          <w:spacing w:val="-2"/>
          <w:sz w:val="24"/>
          <w:highlight w:val="none"/>
        </w:rPr>
        <w:t>24</w:t>
      </w:r>
      <w:r>
        <w:rPr>
          <w:rFonts w:hint="eastAsia" w:ascii="宋体" w:hAnsi="宋体" w:cs="宋体"/>
          <w:b/>
          <w:color w:val="auto"/>
          <w:sz w:val="24"/>
          <w:highlight w:val="none"/>
        </w:rPr>
        <w:t>.</w:t>
      </w:r>
      <w:r>
        <w:rPr>
          <w:rFonts w:hint="eastAsia" w:ascii="宋体" w:hAnsi="宋体" w:cs="宋体"/>
          <w:b/>
          <w:color w:val="auto"/>
          <w:spacing w:val="-2"/>
          <w:sz w:val="24"/>
          <w:highlight w:val="none"/>
        </w:rPr>
        <w:t>定标标准</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lang w:val="en-US" w:eastAsia="zh-CN"/>
        </w:rPr>
        <w:t>4</w:t>
      </w:r>
      <w:r>
        <w:rPr>
          <w:rFonts w:hint="eastAsia" w:ascii="宋体" w:hAnsi="宋体" w:cs="宋体"/>
          <w:color w:val="auto"/>
          <w:spacing w:val="-2"/>
          <w:sz w:val="24"/>
          <w:highlight w:val="none"/>
        </w:rPr>
        <w:t>.1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lang w:val="en-US" w:eastAsia="zh-CN"/>
        </w:rPr>
        <w:t>4</w:t>
      </w:r>
      <w:r>
        <w:rPr>
          <w:rFonts w:hint="eastAsia" w:ascii="宋体" w:hAnsi="宋体" w:cs="宋体"/>
          <w:color w:val="auto"/>
          <w:spacing w:val="-2"/>
          <w:sz w:val="24"/>
          <w:highlight w:val="none"/>
        </w:rPr>
        <w:t>.2　如果确定中标人没有条件圆满履行合同，招标方有权按照投标人的得分高低把合同授予下一个中标候选人。</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25.接受和拒绝任何或所有投标的权力</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25.1　为维护国家利益，磋商小组在授予合同之前仍有选择或拒绝任何投标的权力。</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26.成交通知书</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lang w:val="en-US" w:eastAsia="zh-CN"/>
        </w:rPr>
        <w:t>6</w:t>
      </w:r>
      <w:r>
        <w:rPr>
          <w:rFonts w:hint="eastAsia" w:ascii="宋体" w:hAnsi="宋体" w:cs="宋体"/>
          <w:color w:val="auto"/>
          <w:spacing w:val="-2"/>
          <w:sz w:val="24"/>
          <w:highlight w:val="none"/>
        </w:rPr>
        <w:t>.1　采购人确认成交结果后，新疆同孚招投标有限公司将以书面形式发出《成交通知书》。《成交通知书》一经发出即发生法律效力。</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lang w:val="en-US" w:eastAsia="zh-CN"/>
        </w:rPr>
        <w:t>6</w:t>
      </w:r>
      <w:r>
        <w:rPr>
          <w:rFonts w:hint="eastAsia" w:ascii="宋体" w:hAnsi="宋体" w:cs="宋体"/>
          <w:color w:val="auto"/>
          <w:spacing w:val="-2"/>
          <w:sz w:val="24"/>
          <w:highlight w:val="none"/>
        </w:rPr>
        <w:t>.2　《成交通知书》将作为签订合同的依据。</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lang w:val="en-US" w:eastAsia="zh-CN"/>
        </w:rPr>
        <w:t>6</w:t>
      </w:r>
      <w:r>
        <w:rPr>
          <w:rFonts w:hint="eastAsia" w:ascii="宋体" w:hAnsi="宋体" w:cs="宋体"/>
          <w:color w:val="auto"/>
          <w:spacing w:val="-2"/>
          <w:sz w:val="24"/>
          <w:highlight w:val="none"/>
        </w:rPr>
        <w:t>.3  成交人在领取《成交通知书》时，必须按磋商文件规定向招标代理机构缴纳招标代理服务费。</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lang w:val="en-US" w:eastAsia="zh-CN"/>
        </w:rPr>
        <w:t>7</w:t>
      </w:r>
      <w:r>
        <w:rPr>
          <w:rFonts w:hint="eastAsia" w:ascii="宋体" w:hAnsi="宋体" w:cs="宋体"/>
          <w:color w:val="auto"/>
          <w:spacing w:val="-2"/>
          <w:sz w:val="24"/>
          <w:highlight w:val="none"/>
        </w:rPr>
        <w:t>、合同的履约</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lang w:val="en-US" w:eastAsia="zh-CN"/>
        </w:rPr>
        <w:t>7</w:t>
      </w:r>
      <w:r>
        <w:rPr>
          <w:rFonts w:hint="eastAsia" w:ascii="宋体" w:hAnsi="宋体" w:cs="宋体"/>
          <w:color w:val="auto"/>
          <w:spacing w:val="-2"/>
          <w:sz w:val="24"/>
          <w:highlight w:val="none"/>
        </w:rPr>
        <w:t>.1．如果成交人没有按照上述规定签订合同，招标人有理由取消该投标人的所用中标资格。</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lang w:val="en-US" w:eastAsia="zh-CN"/>
        </w:rPr>
        <w:t>7</w:t>
      </w:r>
      <w:r>
        <w:rPr>
          <w:rFonts w:hint="eastAsia" w:ascii="宋体" w:hAnsi="宋体" w:cs="宋体"/>
          <w:color w:val="auto"/>
          <w:spacing w:val="-2"/>
          <w:sz w:val="24"/>
          <w:highlight w:val="none"/>
        </w:rPr>
        <w:t>.2．成交人必须有能力履约合同义务，不得向他人转让成交项目，也不得将成交项目分包给他人。如果成交在履行合同时发生违约行为，招标人有权终止采购合同。</w:t>
      </w:r>
    </w:p>
    <w:p>
      <w:pPr>
        <w:pStyle w:val="3"/>
        <w:rPr>
          <w:rFonts w:cs="宋体"/>
          <w:color w:val="auto"/>
          <w:sz w:val="32"/>
          <w:szCs w:val="32"/>
          <w:highlight w:val="none"/>
        </w:rPr>
      </w:pPr>
      <w:bookmarkStart w:id="22" w:name="_Toc10326"/>
      <w:r>
        <w:rPr>
          <w:rFonts w:hint="eastAsia" w:cs="宋体"/>
          <w:color w:val="auto"/>
          <w:sz w:val="32"/>
          <w:szCs w:val="32"/>
          <w:highlight w:val="none"/>
        </w:rPr>
        <w:t>第六章  授予合同</w:t>
      </w:r>
      <w:bookmarkEnd w:id="21"/>
      <w:bookmarkEnd w:id="22"/>
    </w:p>
    <w:p>
      <w:pPr>
        <w:spacing w:line="440" w:lineRule="exact"/>
        <w:ind w:firstLine="482" w:firstLineChars="200"/>
        <w:rPr>
          <w:rFonts w:ascii="宋体" w:hAnsi="宋体" w:cs="宋体"/>
          <w:b/>
          <w:color w:val="auto"/>
          <w:sz w:val="24"/>
          <w:highlight w:val="none"/>
        </w:rPr>
      </w:pPr>
      <w:bookmarkStart w:id="23" w:name="_Toc392612352"/>
      <w:bookmarkStart w:id="24" w:name="_Toc396292516"/>
      <w:bookmarkStart w:id="25" w:name="_Toc502852417"/>
      <w:r>
        <w:rPr>
          <w:rFonts w:hint="eastAsia" w:ascii="宋体" w:hAnsi="宋体" w:cs="宋体"/>
          <w:b/>
          <w:color w:val="auto"/>
          <w:sz w:val="24"/>
          <w:highlight w:val="none"/>
        </w:rPr>
        <w:t>28. 签订合同</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28.1  中标人收到招标方的《成交通知书》后三十日内，按照采购文件和中标人响应性文件中的约定与采购人签订书面合同，所签订的合同不得对采购文件和中标人的响应性文件作实质性修改。</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28.2  招标方在授予合同时，有权对招标文件中规定的货物和服务的数量在10%的幅度内予以增加。</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28.3  如中标人拒签合同，则按违约处理。</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28.4  招标文件、中标人的投标文件及其澄清文件等，均为签订合同的依据。</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28.5  不允许中标人将中标项目标项或转交他人承担。</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29 投标人低价恶意中标不能按要求供货的，五年内禁止参加</w:t>
      </w:r>
      <w:r>
        <w:rPr>
          <w:rFonts w:hint="eastAsia" w:ascii="宋体" w:hAnsi="宋体" w:cs="宋体"/>
          <w:color w:val="auto"/>
          <w:spacing w:val="-2"/>
          <w:sz w:val="24"/>
          <w:highlight w:val="none"/>
          <w:lang w:eastAsia="zh-CN"/>
        </w:rPr>
        <w:t>乌鲁木齐市第一百一十六中学</w:t>
      </w:r>
      <w:r>
        <w:rPr>
          <w:rFonts w:hint="eastAsia" w:ascii="宋体" w:hAnsi="宋体" w:cs="宋体"/>
          <w:color w:val="auto"/>
          <w:spacing w:val="-2"/>
          <w:sz w:val="24"/>
          <w:highlight w:val="none"/>
        </w:rPr>
        <w:t>的任何招标活动。</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30  合同签订、货物（服务）交付采购人使用后，采购人将依据采购文件中采购需求及中标（成交）人投标（响应）文件中的响应内容组织项目履约验收。</w:t>
      </w:r>
    </w:p>
    <w:p>
      <w:pPr>
        <w:spacing w:line="440" w:lineRule="exact"/>
        <w:ind w:firstLine="474" w:firstLineChars="200"/>
        <w:rPr>
          <w:rFonts w:ascii="宋体" w:hAnsi="宋体" w:cs="宋体"/>
          <w:b/>
          <w:bCs/>
          <w:color w:val="auto"/>
          <w:spacing w:val="-2"/>
          <w:sz w:val="24"/>
          <w:highlight w:val="none"/>
        </w:rPr>
      </w:pPr>
      <w:r>
        <w:rPr>
          <w:rFonts w:hint="eastAsia" w:ascii="宋体" w:hAnsi="宋体" w:cs="宋体"/>
          <w:b/>
          <w:bCs/>
          <w:color w:val="auto"/>
          <w:spacing w:val="-2"/>
          <w:sz w:val="24"/>
          <w:highlight w:val="none"/>
        </w:rPr>
        <w:t>31  中标人与采购人签订合同时，必须提供产品合法来源证明材料。</w:t>
      </w:r>
    </w:p>
    <w:p>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32 中标人将政府采购合同扫描件于签订合同之日起3个工作日发送到本项目招标代理机构联系邮箱以进行备案留存。</w:t>
      </w:r>
    </w:p>
    <w:p>
      <w:pPr>
        <w:pStyle w:val="130"/>
        <w:spacing w:line="360" w:lineRule="auto"/>
        <w:ind w:firstLine="472" w:firstLineChars="200"/>
        <w:rPr>
          <w:rFonts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33.保密和披露</w:t>
      </w:r>
    </w:p>
    <w:p>
      <w:pPr>
        <w:pStyle w:val="130"/>
        <w:spacing w:line="360" w:lineRule="auto"/>
        <w:ind w:firstLine="472" w:firstLineChars="200"/>
        <w:rPr>
          <w:rFonts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33.1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130"/>
        <w:spacing w:line="360" w:lineRule="auto"/>
        <w:ind w:firstLine="472" w:firstLineChars="200"/>
        <w:rPr>
          <w:rFonts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33.2采购代理机构有权将投标人提供的所有资料向有关政府部门或评审标书的有关人员披露。</w:t>
      </w:r>
    </w:p>
    <w:p>
      <w:pPr>
        <w:pStyle w:val="130"/>
        <w:spacing w:line="360" w:lineRule="auto"/>
        <w:ind w:firstLine="472" w:firstLineChars="200"/>
        <w:rPr>
          <w:rFonts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33.3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spacing w:line="440" w:lineRule="exact"/>
        <w:jc w:val="left"/>
        <w:outlineLvl w:val="0"/>
        <w:rPr>
          <w:rFonts w:ascii="宋体" w:hAnsi="宋体" w:cs="宋体"/>
          <w:b/>
          <w:color w:val="auto"/>
          <w:sz w:val="28"/>
          <w:szCs w:val="28"/>
          <w:highlight w:val="none"/>
        </w:rPr>
      </w:pPr>
    </w:p>
    <w:p>
      <w:pPr>
        <w:rPr>
          <w:rFonts w:ascii="宋体" w:hAnsi="宋体" w:cs="宋体"/>
          <w:b/>
          <w:color w:val="auto"/>
          <w:sz w:val="36"/>
          <w:highlight w:val="none"/>
        </w:rPr>
      </w:pPr>
      <w:r>
        <w:rPr>
          <w:rFonts w:hint="eastAsia" w:ascii="宋体" w:hAnsi="宋体" w:cs="宋体"/>
          <w:b/>
          <w:color w:val="auto"/>
          <w:sz w:val="36"/>
          <w:highlight w:val="none"/>
        </w:rPr>
        <w:br w:type="page"/>
      </w:r>
    </w:p>
    <w:p>
      <w:pPr>
        <w:spacing w:line="440" w:lineRule="exact"/>
        <w:jc w:val="center"/>
        <w:outlineLvl w:val="0"/>
        <w:rPr>
          <w:rFonts w:ascii="宋体" w:hAnsi="宋体" w:cs="宋体"/>
          <w:b/>
          <w:color w:val="auto"/>
          <w:sz w:val="36"/>
          <w:szCs w:val="36"/>
          <w:highlight w:val="none"/>
        </w:rPr>
      </w:pPr>
    </w:p>
    <w:p>
      <w:pPr>
        <w:spacing w:line="440" w:lineRule="exact"/>
        <w:jc w:val="center"/>
        <w:outlineLvl w:val="0"/>
        <w:rPr>
          <w:rFonts w:hint="eastAsia"/>
          <w:highlight w:val="none"/>
        </w:rPr>
      </w:pPr>
      <w:bookmarkStart w:id="26" w:name="_Toc2499"/>
      <w:r>
        <w:rPr>
          <w:rFonts w:hint="eastAsia" w:ascii="宋体" w:hAnsi="宋体" w:cs="宋体"/>
          <w:b/>
          <w:color w:val="auto"/>
          <w:sz w:val="36"/>
          <w:szCs w:val="36"/>
          <w:highlight w:val="none"/>
        </w:rPr>
        <w:t>第四部分</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采购</w:t>
      </w:r>
      <w:r>
        <w:rPr>
          <w:rFonts w:hint="eastAsia" w:ascii="宋体" w:hAnsi="宋体" w:cs="宋体"/>
          <w:b/>
          <w:color w:val="auto"/>
          <w:sz w:val="36"/>
          <w:szCs w:val="36"/>
          <w:highlight w:val="none"/>
          <w:lang w:val="en-US" w:eastAsia="zh-CN"/>
        </w:rPr>
        <w:t>需</w:t>
      </w:r>
      <w:r>
        <w:rPr>
          <w:rFonts w:hint="eastAsia" w:ascii="宋体" w:hAnsi="宋体" w:cs="宋体"/>
          <w:b/>
          <w:color w:val="auto"/>
          <w:sz w:val="36"/>
          <w:szCs w:val="36"/>
          <w:highlight w:val="none"/>
        </w:rPr>
        <w:t>求</w:t>
      </w:r>
      <w:bookmarkEnd w:id="23"/>
      <w:bookmarkEnd w:id="24"/>
      <w:bookmarkEnd w:id="26"/>
    </w:p>
    <w:p>
      <w:pPr>
        <w:spacing w:line="480" w:lineRule="auto"/>
        <w:jc w:val="left"/>
        <w:outlineLvl w:val="0"/>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1.小学室外厕所地下室2个排污管向地下室内渗水，经检查为生铁管壁破裂，需要更换，2个排污管分别长度2米，室外开挖并重新砌井。</w:t>
      </w:r>
    </w:p>
    <w:p>
      <w:pPr>
        <w:spacing w:line="480" w:lineRule="auto"/>
        <w:jc w:val="left"/>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2.中学水房、拖布池、排污管坡度不足经常堵塞，并导致1至4楼排水管道堵塞，时常反水，严重影响室内卫生环境，房间原来吊顶因为经常疏通下水，已损坏，急需改造，此项维修共四层。</w:t>
      </w:r>
    </w:p>
    <w:p>
      <w:pPr>
        <w:spacing w:line="480" w:lineRule="auto"/>
        <w:jc w:val="left"/>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3.中学楼楼内40处窗口墙皮脱落；12处墙砖空鼓更换新砖；3块玻璃破损更换；中学七二班暖气阀门更新；422室内墙壁大面积开裂，需墙壁两侧粉刷、 抹砂浆。</w:t>
      </w:r>
    </w:p>
    <w:p>
      <w:pPr>
        <w:spacing w:line="480" w:lineRule="auto"/>
        <w:jc w:val="left"/>
        <w:rPr>
          <w:b w:val="0"/>
          <w:bCs/>
          <w:sz w:val="22"/>
          <w:szCs w:val="28"/>
          <w:highlight w:val="none"/>
        </w:rPr>
      </w:pPr>
      <w:r>
        <w:rPr>
          <w:rFonts w:hint="eastAsia" w:ascii="宋体" w:hAnsi="宋体" w:cs="宋体"/>
          <w:b w:val="0"/>
          <w:bCs/>
          <w:color w:val="auto"/>
          <w:sz w:val="28"/>
          <w:szCs w:val="28"/>
          <w:highlight w:val="none"/>
        </w:rPr>
        <w:t>4.中学楼男卫生间小便池排水管向地下室渗水，小便池防水层需要重新铺设，拆除不锈钢小便池后需重新安装。</w:t>
      </w:r>
    </w:p>
    <w:p>
      <w:pPr>
        <w:spacing w:line="440" w:lineRule="exact"/>
        <w:jc w:val="center"/>
        <w:outlineLvl w:val="0"/>
        <w:rPr>
          <w:rFonts w:hint="eastAsia" w:ascii="宋体" w:hAnsi="宋体" w:cs="宋体"/>
          <w:b/>
          <w:color w:val="auto"/>
          <w:sz w:val="36"/>
          <w:szCs w:val="36"/>
          <w:highlight w:val="none"/>
        </w:rPr>
      </w:pPr>
      <w:bookmarkStart w:id="27" w:name="_Toc25743"/>
    </w:p>
    <w:p>
      <w:pPr>
        <w:spacing w:line="440" w:lineRule="exact"/>
        <w:jc w:val="center"/>
        <w:outlineLvl w:val="0"/>
        <w:rPr>
          <w:rFonts w:hint="eastAsia" w:ascii="宋体" w:hAnsi="宋体" w:cs="宋体"/>
          <w:b/>
          <w:color w:val="auto"/>
          <w:sz w:val="36"/>
          <w:szCs w:val="36"/>
          <w:highlight w:val="none"/>
        </w:rPr>
      </w:pPr>
    </w:p>
    <w:p>
      <w:pPr>
        <w:spacing w:line="440" w:lineRule="exact"/>
        <w:jc w:val="center"/>
        <w:outlineLvl w:val="0"/>
        <w:rPr>
          <w:rFonts w:hint="eastAsia" w:ascii="宋体" w:hAnsi="宋体" w:cs="宋体"/>
          <w:b/>
          <w:color w:val="auto"/>
          <w:sz w:val="36"/>
          <w:szCs w:val="36"/>
          <w:highlight w:val="none"/>
        </w:rPr>
      </w:pPr>
    </w:p>
    <w:p>
      <w:pPr>
        <w:spacing w:line="440" w:lineRule="exact"/>
        <w:jc w:val="center"/>
        <w:outlineLvl w:val="0"/>
        <w:rPr>
          <w:rFonts w:hint="eastAsia" w:ascii="宋体" w:hAnsi="宋体" w:cs="宋体"/>
          <w:b/>
          <w:color w:val="auto"/>
          <w:sz w:val="36"/>
          <w:szCs w:val="36"/>
          <w:highlight w:val="none"/>
        </w:rPr>
      </w:pPr>
    </w:p>
    <w:p>
      <w:pPr>
        <w:pStyle w:val="4"/>
        <w:rPr>
          <w:rFonts w:hint="eastAsia" w:ascii="宋体" w:hAnsi="宋体" w:cs="宋体"/>
          <w:b/>
          <w:color w:val="auto"/>
          <w:sz w:val="36"/>
          <w:szCs w:val="36"/>
          <w:highlight w:val="none"/>
        </w:rPr>
      </w:pPr>
    </w:p>
    <w:p>
      <w:pPr>
        <w:rPr>
          <w:rFonts w:hint="eastAsia" w:ascii="宋体" w:hAnsi="宋体" w:cs="宋体"/>
          <w:b/>
          <w:color w:val="auto"/>
          <w:sz w:val="36"/>
          <w:szCs w:val="36"/>
          <w:highlight w:val="none"/>
        </w:rPr>
      </w:pPr>
    </w:p>
    <w:p>
      <w:pPr>
        <w:pStyle w:val="4"/>
        <w:rPr>
          <w:rFonts w:hint="eastAsia"/>
          <w:highlight w:val="none"/>
        </w:rPr>
      </w:pPr>
    </w:p>
    <w:p>
      <w:pPr>
        <w:spacing w:line="440" w:lineRule="exact"/>
        <w:jc w:val="center"/>
        <w:outlineLvl w:val="0"/>
        <w:rPr>
          <w:rFonts w:hint="eastAsia" w:ascii="宋体" w:hAnsi="宋体" w:cs="宋体"/>
          <w:b/>
          <w:color w:val="auto"/>
          <w:sz w:val="36"/>
          <w:szCs w:val="36"/>
          <w:highlight w:val="none"/>
        </w:rPr>
      </w:pPr>
    </w:p>
    <w:p>
      <w:pPr>
        <w:spacing w:line="440" w:lineRule="exact"/>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合同部分</w:t>
      </w:r>
      <w:bookmarkEnd w:id="27"/>
    </w:p>
    <w:p>
      <w:pPr>
        <w:pStyle w:val="13"/>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640" w:firstLineChars="200"/>
        <w:jc w:val="center"/>
        <w:rPr>
          <w:rFonts w:hAnsi="宋体" w:eastAsia="宋体" w:cs="宋体"/>
          <w:color w:val="auto"/>
          <w:sz w:val="32"/>
          <w:szCs w:val="32"/>
          <w:highlight w:val="none"/>
          <w:u w:val="single"/>
        </w:rPr>
      </w:pPr>
      <w:r>
        <w:rPr>
          <w:rFonts w:hint="eastAsia" w:hAnsi="宋体" w:eastAsia="宋体" w:cs="宋体"/>
          <w:color w:val="auto"/>
          <w:sz w:val="32"/>
          <w:szCs w:val="32"/>
          <w:highlight w:val="none"/>
          <w:u w:val="single"/>
          <w:lang w:eastAsia="zh-CN"/>
        </w:rPr>
        <w:t>乌鲁木齐市第一百一十六中学暑假维修项目</w:t>
      </w:r>
      <w:r>
        <w:rPr>
          <w:rFonts w:hint="eastAsia" w:hAnsi="宋体" w:eastAsia="宋体" w:cs="宋体"/>
          <w:color w:val="auto"/>
          <w:sz w:val="32"/>
          <w:szCs w:val="32"/>
          <w:highlight w:val="none"/>
          <w:u w:val="single"/>
        </w:rPr>
        <w:t xml:space="preserve"> </w:t>
      </w: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p>
    <w:p>
      <w:pPr>
        <w:pStyle w:val="124"/>
        <w:ind w:firstLine="420"/>
        <w:jc w:val="center"/>
        <w:rPr>
          <w:rFonts w:ascii="宋体" w:hAnsi="宋体" w:cs="宋体"/>
          <w:color w:val="auto"/>
          <w:highlight w:val="none"/>
        </w:rPr>
      </w:pPr>
    </w:p>
    <w:p>
      <w:pPr>
        <w:pStyle w:val="124"/>
        <w:ind w:firstLine="800"/>
        <w:jc w:val="center"/>
        <w:rPr>
          <w:rFonts w:ascii="宋体" w:hAnsi="宋体" w:cs="宋体"/>
          <w:color w:val="auto"/>
          <w:sz w:val="40"/>
          <w:highlight w:val="none"/>
        </w:rPr>
      </w:pPr>
      <w:r>
        <w:rPr>
          <w:rFonts w:hint="eastAsia" w:ascii="宋体" w:hAnsi="宋体" w:cs="宋体"/>
          <w:color w:val="auto"/>
          <w:sz w:val="40"/>
          <w:highlight w:val="none"/>
        </w:rPr>
        <w:t>合　　同</w:t>
      </w:r>
    </w:p>
    <w:p>
      <w:pPr>
        <w:pStyle w:val="124"/>
        <w:ind w:firstLine="420"/>
        <w:jc w:val="center"/>
        <w:rPr>
          <w:rFonts w:ascii="宋体" w:hAnsi="宋体" w:cs="宋体"/>
          <w:color w:val="auto"/>
          <w:highlight w:val="none"/>
        </w:rPr>
      </w:pPr>
    </w:p>
    <w:p>
      <w:pPr>
        <w:pStyle w:val="124"/>
        <w:ind w:firstLine="420"/>
        <w:jc w:val="center"/>
        <w:rPr>
          <w:rFonts w:ascii="宋体" w:hAnsi="宋体" w:cs="宋体"/>
          <w:color w:val="auto"/>
          <w:highlight w:val="none"/>
        </w:rPr>
      </w:pPr>
    </w:p>
    <w:p>
      <w:pPr>
        <w:pStyle w:val="124"/>
        <w:ind w:firstLine="420"/>
        <w:jc w:val="center"/>
        <w:rPr>
          <w:rFonts w:ascii="宋体" w:hAnsi="宋体" w:cs="宋体"/>
          <w:color w:val="auto"/>
          <w:highlight w:val="none"/>
        </w:rPr>
      </w:pPr>
    </w:p>
    <w:p>
      <w:pPr>
        <w:pStyle w:val="124"/>
        <w:ind w:firstLine="420"/>
        <w:jc w:val="center"/>
        <w:rPr>
          <w:rFonts w:ascii="宋体" w:hAnsi="宋体" w:cs="宋体"/>
          <w:color w:val="auto"/>
          <w:highlight w:val="none"/>
        </w:rPr>
      </w:pPr>
    </w:p>
    <w:p>
      <w:pPr>
        <w:pStyle w:val="124"/>
        <w:ind w:firstLine="420"/>
        <w:jc w:val="center"/>
        <w:rPr>
          <w:rFonts w:ascii="宋体" w:hAnsi="宋体" w:cs="宋体"/>
          <w:color w:val="auto"/>
          <w:highlight w:val="none"/>
        </w:rPr>
      </w:pPr>
    </w:p>
    <w:p>
      <w:pPr>
        <w:pStyle w:val="124"/>
        <w:ind w:firstLine="420"/>
        <w:jc w:val="center"/>
        <w:rPr>
          <w:rFonts w:ascii="宋体" w:hAnsi="宋体" w:cs="宋体"/>
          <w:color w:val="auto"/>
          <w:highlight w:val="none"/>
        </w:rPr>
      </w:pPr>
    </w:p>
    <w:p>
      <w:pPr>
        <w:pStyle w:val="124"/>
        <w:ind w:firstLine="420"/>
        <w:jc w:val="center"/>
        <w:rPr>
          <w:rFonts w:ascii="宋体" w:hAnsi="宋体" w:cs="宋体"/>
          <w:color w:val="auto"/>
          <w:highlight w:val="none"/>
        </w:rPr>
      </w:pPr>
    </w:p>
    <w:p>
      <w:pPr>
        <w:pStyle w:val="13"/>
        <w:spacing w:line="440" w:lineRule="exact"/>
        <w:ind w:firstLine="2880" w:firstLineChars="1200"/>
        <w:rPr>
          <w:rFonts w:hAnsi="宋体" w:eastAsia="宋体" w:cs="宋体"/>
          <w:color w:val="auto"/>
          <w:sz w:val="24"/>
          <w:szCs w:val="24"/>
          <w:highlight w:val="none"/>
          <w:u w:val="single"/>
        </w:rPr>
      </w:pPr>
      <w:r>
        <w:rPr>
          <w:rFonts w:hint="eastAsia" w:hAnsi="宋体" w:eastAsia="宋体" w:cs="宋体"/>
          <w:color w:val="auto"/>
          <w:sz w:val="24"/>
          <w:szCs w:val="24"/>
          <w:highlight w:val="none"/>
        </w:rPr>
        <w:t>合同编号：</w:t>
      </w:r>
    </w:p>
    <w:p>
      <w:pPr>
        <w:pStyle w:val="13"/>
        <w:spacing w:line="440" w:lineRule="exact"/>
        <w:ind w:firstLine="1320" w:firstLineChars="550"/>
        <w:jc w:val="center"/>
        <w:rPr>
          <w:rFonts w:hAnsi="宋体" w:eastAsia="宋体" w:cs="宋体"/>
          <w:color w:val="auto"/>
          <w:sz w:val="24"/>
          <w:szCs w:val="24"/>
          <w:highlight w:val="none"/>
          <w:u w:val="single"/>
        </w:rPr>
      </w:pPr>
    </w:p>
    <w:p>
      <w:pPr>
        <w:pStyle w:val="13"/>
        <w:spacing w:line="440" w:lineRule="exact"/>
        <w:ind w:firstLine="2880" w:firstLineChars="1200"/>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甲　　方：</w:t>
      </w:r>
      <w:r>
        <w:rPr>
          <w:rFonts w:hint="eastAsia" w:hAnsi="宋体" w:eastAsia="宋体" w:cs="宋体"/>
          <w:color w:val="auto"/>
          <w:sz w:val="24"/>
          <w:szCs w:val="24"/>
          <w:highlight w:val="none"/>
          <w:u w:val="single"/>
          <w:lang w:eastAsia="zh-CN"/>
        </w:rPr>
        <w:t>乌鲁木齐市第一百一十六中学</w:t>
      </w:r>
    </w:p>
    <w:p>
      <w:pPr>
        <w:pStyle w:val="13"/>
        <w:spacing w:line="440" w:lineRule="exact"/>
        <w:jc w:val="center"/>
        <w:rPr>
          <w:rFonts w:hAnsi="宋体" w:eastAsia="宋体" w:cs="宋体"/>
          <w:color w:val="auto"/>
          <w:sz w:val="24"/>
          <w:szCs w:val="24"/>
          <w:highlight w:val="none"/>
        </w:rPr>
      </w:pPr>
    </w:p>
    <w:p>
      <w:pPr>
        <w:pStyle w:val="13"/>
        <w:spacing w:line="440" w:lineRule="exact"/>
        <w:ind w:firstLine="1440" w:firstLineChars="600"/>
        <w:jc w:val="center"/>
        <w:rPr>
          <w:rFonts w:hAnsi="宋体" w:eastAsia="宋体" w:cs="宋体"/>
          <w:color w:val="auto"/>
          <w:sz w:val="24"/>
          <w:szCs w:val="24"/>
          <w:highlight w:val="none"/>
        </w:rPr>
      </w:pPr>
      <w:r>
        <w:rPr>
          <w:rFonts w:hint="eastAsia" w:hAnsi="宋体" w:eastAsia="宋体" w:cs="宋体"/>
          <w:color w:val="auto"/>
          <w:sz w:val="24"/>
          <w:szCs w:val="24"/>
          <w:highlight w:val="none"/>
        </w:rPr>
        <w:t>乙　　方：____________________(供应商名称)</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highlight w:val="none"/>
        </w:rPr>
        <w:br w:type="page"/>
      </w:r>
      <w:r>
        <w:rPr>
          <w:rFonts w:hint="eastAsia" w:hAnsi="宋体" w:eastAsia="宋体" w:cs="宋体"/>
          <w:color w:val="auto"/>
          <w:sz w:val="24"/>
          <w:szCs w:val="24"/>
          <w:highlight w:val="none"/>
        </w:rPr>
        <w:t>根据《中华人民共和国政府采购法》、《中华人民共和国合同法》等有关法律法规规定，</w:t>
      </w:r>
      <w:r>
        <w:rPr>
          <w:rFonts w:hint="eastAsia" w:hAnsi="宋体" w:eastAsia="宋体" w:cs="宋体"/>
          <w:color w:val="auto"/>
          <w:sz w:val="24"/>
          <w:szCs w:val="24"/>
          <w:highlight w:val="none"/>
          <w:u w:val="single"/>
          <w:lang w:eastAsia="zh-CN"/>
        </w:rPr>
        <w:t>乌鲁木齐市第一百一十六中学</w:t>
      </w:r>
      <w:r>
        <w:rPr>
          <w:rFonts w:hint="eastAsia" w:hAnsi="宋体" w:eastAsia="宋体" w:cs="宋体"/>
          <w:color w:val="auto"/>
          <w:sz w:val="24"/>
          <w:szCs w:val="24"/>
          <w:highlight w:val="none"/>
        </w:rPr>
        <w:t>(以下简称：“甲方”)通过</w:t>
      </w:r>
      <w:r>
        <w:rPr>
          <w:rFonts w:hint="eastAsia" w:hAnsi="宋体" w:eastAsia="宋体" w:cs="宋体"/>
          <w:color w:val="auto"/>
          <w:sz w:val="24"/>
          <w:szCs w:val="24"/>
          <w:highlight w:val="none"/>
          <w:u w:val="single"/>
        </w:rPr>
        <w:t>竞争性磋商</w:t>
      </w:r>
      <w:r>
        <w:rPr>
          <w:rFonts w:hint="eastAsia" w:hAnsi="宋体" w:eastAsia="宋体" w:cs="宋体"/>
          <w:color w:val="auto"/>
          <w:sz w:val="24"/>
          <w:szCs w:val="24"/>
          <w:highlight w:val="none"/>
        </w:rPr>
        <w:t>采购确定__________________(供应商名称)(以下简称：“乙方”)为</w:t>
      </w:r>
      <w:r>
        <w:rPr>
          <w:rFonts w:hint="eastAsia" w:hAnsi="宋体" w:eastAsia="宋体" w:cs="宋体"/>
          <w:color w:val="auto"/>
          <w:sz w:val="24"/>
          <w:szCs w:val="24"/>
          <w:highlight w:val="none"/>
          <w:lang w:eastAsia="zh-CN"/>
        </w:rPr>
        <w:t>乌鲁木齐市第一百一十六中学暑假维修项目</w:t>
      </w:r>
      <w:r>
        <w:rPr>
          <w:rFonts w:hint="eastAsia" w:hAnsi="宋体" w:eastAsia="宋体" w:cs="宋体"/>
          <w:color w:val="auto"/>
          <w:sz w:val="24"/>
          <w:szCs w:val="24"/>
          <w:highlight w:val="none"/>
        </w:rPr>
        <w:t>的成交供应商。甲乙双方同意签署《</w:t>
      </w:r>
      <w:r>
        <w:rPr>
          <w:rFonts w:hint="eastAsia" w:hAnsi="宋体" w:eastAsia="宋体" w:cs="宋体"/>
          <w:color w:val="auto"/>
          <w:sz w:val="24"/>
          <w:szCs w:val="24"/>
          <w:highlight w:val="none"/>
          <w:lang w:eastAsia="zh-CN"/>
        </w:rPr>
        <w:t>乌鲁木齐市第一百一十六中学暑假维修项目</w:t>
      </w:r>
      <w:r>
        <w:rPr>
          <w:rFonts w:hint="eastAsia" w:hAnsi="宋体" w:eastAsia="宋体" w:cs="宋体"/>
          <w:color w:val="auto"/>
          <w:sz w:val="24"/>
          <w:szCs w:val="24"/>
          <w:highlight w:val="none"/>
        </w:rPr>
        <w:t>合同》(合同编号：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，以下简称：“合同”)。</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1.合同文件</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下列文件是构成本合同不可分割的部分：</w:t>
      </w:r>
    </w:p>
    <w:p>
      <w:pPr>
        <w:pStyle w:val="13"/>
        <w:numPr>
          <w:ilvl w:val="0"/>
          <w:numId w:val="8"/>
        </w:numPr>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合同条款；</w:t>
      </w:r>
    </w:p>
    <w:p>
      <w:pPr>
        <w:pStyle w:val="13"/>
        <w:numPr>
          <w:ilvl w:val="0"/>
          <w:numId w:val="8"/>
        </w:numPr>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报价表；</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（3）响应文件技术部分；</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（4）成交通知书复印件；</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（5）验收单</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（6）其他。</w:t>
      </w: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2.合同标的(详情见招响应文件)</w:t>
      </w:r>
    </w:p>
    <w:p>
      <w:pPr>
        <w:pStyle w:val="13"/>
        <w:spacing w:line="440" w:lineRule="exact"/>
        <w:ind w:firstLine="480" w:firstLineChars="200"/>
        <w:rPr>
          <w:rFonts w:hAnsi="宋体" w:eastAsia="宋体" w:cs="宋体"/>
          <w:color w:val="auto"/>
          <w:sz w:val="24"/>
          <w:szCs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875"/>
        <w:gridCol w:w="87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vAlign w:val="center"/>
          </w:tcPr>
          <w:p>
            <w:pPr>
              <w:pStyle w:val="13"/>
              <w:spacing w:line="440" w:lineRule="exact"/>
              <w:jc w:val="center"/>
              <w:rPr>
                <w:rFonts w:hAnsi="宋体" w:eastAsia="宋体" w:cs="宋体"/>
                <w:color w:val="auto"/>
                <w:sz w:val="24"/>
                <w:szCs w:val="24"/>
                <w:highlight w:val="none"/>
              </w:rPr>
            </w:pPr>
            <w:r>
              <w:rPr>
                <w:rFonts w:hint="eastAsia" w:hAnsi="宋体" w:eastAsia="宋体" w:cs="宋体"/>
                <w:color w:val="auto"/>
                <w:sz w:val="24"/>
                <w:szCs w:val="24"/>
                <w:highlight w:val="none"/>
              </w:rPr>
              <w:t>服务名称</w:t>
            </w:r>
          </w:p>
        </w:tc>
        <w:tc>
          <w:tcPr>
            <w:tcW w:w="875" w:type="dxa"/>
            <w:vAlign w:val="center"/>
          </w:tcPr>
          <w:p>
            <w:pPr>
              <w:pStyle w:val="13"/>
              <w:spacing w:line="440" w:lineRule="exact"/>
              <w:jc w:val="center"/>
              <w:rPr>
                <w:rFonts w:hAnsi="宋体" w:eastAsia="宋体" w:cs="宋体"/>
                <w:color w:val="auto"/>
                <w:sz w:val="24"/>
                <w:szCs w:val="24"/>
                <w:highlight w:val="none"/>
              </w:rPr>
            </w:pPr>
            <w:r>
              <w:rPr>
                <w:rFonts w:hint="eastAsia" w:hAnsi="宋体" w:eastAsia="宋体" w:cs="宋体"/>
                <w:color w:val="auto"/>
                <w:sz w:val="24"/>
                <w:szCs w:val="24"/>
                <w:highlight w:val="none"/>
              </w:rPr>
              <w:t>数量</w:t>
            </w:r>
          </w:p>
        </w:tc>
        <w:tc>
          <w:tcPr>
            <w:tcW w:w="875" w:type="dxa"/>
            <w:vAlign w:val="center"/>
          </w:tcPr>
          <w:p>
            <w:pPr>
              <w:pStyle w:val="13"/>
              <w:spacing w:line="440" w:lineRule="exact"/>
              <w:jc w:val="center"/>
              <w:rPr>
                <w:rFonts w:hAnsi="宋体" w:eastAsia="宋体" w:cs="宋体"/>
                <w:color w:val="auto"/>
                <w:sz w:val="24"/>
                <w:szCs w:val="24"/>
                <w:highlight w:val="none"/>
              </w:rPr>
            </w:pPr>
            <w:r>
              <w:rPr>
                <w:rFonts w:hint="eastAsia" w:hAnsi="宋体" w:eastAsia="宋体" w:cs="宋体"/>
                <w:color w:val="auto"/>
                <w:sz w:val="24"/>
                <w:szCs w:val="24"/>
                <w:highlight w:val="none"/>
              </w:rPr>
              <w:t>单位</w:t>
            </w:r>
          </w:p>
        </w:tc>
        <w:tc>
          <w:tcPr>
            <w:tcW w:w="5531" w:type="dxa"/>
            <w:vAlign w:val="center"/>
          </w:tcPr>
          <w:p>
            <w:pPr>
              <w:pStyle w:val="13"/>
              <w:spacing w:line="440" w:lineRule="exact"/>
              <w:jc w:val="center"/>
              <w:rPr>
                <w:rFonts w:hAnsi="宋体" w:eastAsia="宋体" w:cs="宋体"/>
                <w:color w:val="auto"/>
                <w:sz w:val="24"/>
                <w:szCs w:val="24"/>
                <w:highlight w:val="none"/>
              </w:rPr>
            </w:pPr>
            <w:r>
              <w:rPr>
                <w:rFonts w:hint="eastAsia" w:hAnsi="宋体" w:eastAsia="宋体" w:cs="宋体"/>
                <w:color w:val="auto"/>
                <w:sz w:val="24"/>
                <w:szCs w:val="24"/>
                <w:highlight w:val="none"/>
              </w:rPr>
              <w:t>具体服务承诺</w:t>
            </w:r>
          </w:p>
          <w:p>
            <w:pPr>
              <w:pStyle w:val="13"/>
              <w:spacing w:line="440" w:lineRule="exact"/>
              <w:jc w:val="center"/>
              <w:rPr>
                <w:rFonts w:hAnsi="宋体" w:eastAsia="宋体" w:cs="宋体"/>
                <w:color w:val="auto"/>
                <w:sz w:val="24"/>
                <w:szCs w:val="24"/>
                <w:highlight w:val="none"/>
              </w:rPr>
            </w:pPr>
            <w:r>
              <w:rPr>
                <w:rFonts w:hint="eastAsia" w:hAnsi="宋体" w:eastAsia="宋体" w:cs="宋体"/>
                <w:color w:val="auto"/>
                <w:sz w:val="24"/>
                <w:szCs w:val="24"/>
                <w:highlight w:val="none"/>
              </w:rPr>
              <w:t>(包含但不限于服务内容、范围和基本要求)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vAlign w:val="center"/>
          </w:tcPr>
          <w:p>
            <w:pPr>
              <w:pStyle w:val="13"/>
              <w:spacing w:line="440" w:lineRule="exact"/>
              <w:jc w:val="center"/>
              <w:rPr>
                <w:rFonts w:hAnsi="宋体" w:eastAsia="宋体" w:cs="宋体"/>
                <w:color w:val="auto"/>
                <w:sz w:val="24"/>
                <w:szCs w:val="24"/>
                <w:highlight w:val="none"/>
              </w:rPr>
            </w:pPr>
          </w:p>
        </w:tc>
        <w:tc>
          <w:tcPr>
            <w:tcW w:w="875" w:type="dxa"/>
            <w:vAlign w:val="center"/>
          </w:tcPr>
          <w:p>
            <w:pPr>
              <w:pStyle w:val="13"/>
              <w:spacing w:line="440" w:lineRule="exact"/>
              <w:jc w:val="center"/>
              <w:rPr>
                <w:rFonts w:hAnsi="宋体" w:eastAsia="宋体" w:cs="宋体"/>
                <w:color w:val="auto"/>
                <w:sz w:val="24"/>
                <w:szCs w:val="24"/>
                <w:highlight w:val="none"/>
              </w:rPr>
            </w:pPr>
          </w:p>
        </w:tc>
        <w:tc>
          <w:tcPr>
            <w:tcW w:w="875" w:type="dxa"/>
            <w:vAlign w:val="center"/>
          </w:tcPr>
          <w:p>
            <w:pPr>
              <w:pStyle w:val="13"/>
              <w:spacing w:line="440" w:lineRule="exact"/>
              <w:jc w:val="center"/>
              <w:rPr>
                <w:rFonts w:hAnsi="宋体" w:eastAsia="宋体" w:cs="宋体"/>
                <w:color w:val="auto"/>
                <w:sz w:val="24"/>
                <w:szCs w:val="24"/>
                <w:highlight w:val="none"/>
              </w:rPr>
            </w:pPr>
            <w:r>
              <w:rPr>
                <w:rFonts w:hint="eastAsia" w:hAnsi="宋体" w:eastAsia="宋体" w:cs="宋体"/>
                <w:color w:val="auto"/>
                <w:sz w:val="24"/>
                <w:szCs w:val="24"/>
                <w:highlight w:val="none"/>
              </w:rPr>
              <w:t>项</w:t>
            </w:r>
          </w:p>
        </w:tc>
        <w:tc>
          <w:tcPr>
            <w:tcW w:w="5531" w:type="dxa"/>
            <w:vAlign w:val="center"/>
          </w:tcPr>
          <w:p>
            <w:pPr>
              <w:pStyle w:val="13"/>
              <w:spacing w:line="440" w:lineRule="exact"/>
              <w:jc w:val="center"/>
              <w:rPr>
                <w:rFonts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vAlign w:val="center"/>
          </w:tcPr>
          <w:p>
            <w:pPr>
              <w:pStyle w:val="13"/>
              <w:spacing w:line="440" w:lineRule="exact"/>
              <w:jc w:val="center"/>
              <w:rPr>
                <w:rFonts w:hAnsi="宋体" w:eastAsia="宋体" w:cs="宋体"/>
                <w:color w:val="auto"/>
                <w:sz w:val="24"/>
                <w:szCs w:val="24"/>
                <w:highlight w:val="none"/>
              </w:rPr>
            </w:pPr>
            <w:r>
              <w:rPr>
                <w:rFonts w:hint="eastAsia" w:hAnsi="宋体" w:eastAsia="宋体" w:cs="宋体"/>
                <w:color w:val="auto"/>
                <w:sz w:val="24"/>
                <w:szCs w:val="24"/>
                <w:highlight w:val="none"/>
              </w:rPr>
              <w:t>…</w:t>
            </w:r>
          </w:p>
        </w:tc>
        <w:tc>
          <w:tcPr>
            <w:tcW w:w="875" w:type="dxa"/>
            <w:vAlign w:val="center"/>
          </w:tcPr>
          <w:p>
            <w:pPr>
              <w:pStyle w:val="13"/>
              <w:spacing w:line="440" w:lineRule="exact"/>
              <w:jc w:val="center"/>
              <w:rPr>
                <w:rFonts w:hAnsi="宋体" w:eastAsia="宋体" w:cs="宋体"/>
                <w:color w:val="auto"/>
                <w:sz w:val="24"/>
                <w:szCs w:val="24"/>
                <w:highlight w:val="none"/>
              </w:rPr>
            </w:pPr>
          </w:p>
        </w:tc>
        <w:tc>
          <w:tcPr>
            <w:tcW w:w="875" w:type="dxa"/>
            <w:vAlign w:val="center"/>
          </w:tcPr>
          <w:p>
            <w:pPr>
              <w:pStyle w:val="13"/>
              <w:spacing w:line="440" w:lineRule="exact"/>
              <w:jc w:val="center"/>
              <w:rPr>
                <w:rFonts w:hAnsi="宋体" w:eastAsia="宋体" w:cs="宋体"/>
                <w:color w:val="auto"/>
                <w:sz w:val="24"/>
                <w:szCs w:val="24"/>
                <w:highlight w:val="none"/>
              </w:rPr>
            </w:pPr>
          </w:p>
        </w:tc>
        <w:tc>
          <w:tcPr>
            <w:tcW w:w="5531" w:type="dxa"/>
            <w:vAlign w:val="center"/>
          </w:tcPr>
          <w:p>
            <w:pPr>
              <w:pStyle w:val="13"/>
              <w:spacing w:line="440" w:lineRule="exact"/>
              <w:jc w:val="center"/>
              <w:rPr>
                <w:rFonts w:hAnsi="宋体" w:eastAsia="宋体" w:cs="宋体"/>
                <w:color w:val="auto"/>
                <w:sz w:val="24"/>
                <w:szCs w:val="24"/>
                <w:highlight w:val="none"/>
              </w:rPr>
            </w:pPr>
          </w:p>
        </w:tc>
      </w:tr>
    </w:tbl>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3.合同金额</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本合同总金额为人民币______元(￥______)。本合同项下所有服务的全部税费均已包含于合同价中，甲方不再另行支付。</w:t>
      </w: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4.合同签订地</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根据实际情况填写</w:t>
      </w: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5.合同生效</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本合同一式______份，，甲方执份，乙方执份，经甲乙双方法定代表人或其授权代表签字盖章后生效。</w:t>
      </w: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甲方：</w:t>
      </w:r>
      <w:r>
        <w:rPr>
          <w:rFonts w:hint="eastAsia" w:hAnsi="宋体" w:eastAsia="宋体" w:cs="宋体"/>
          <w:color w:val="auto"/>
          <w:sz w:val="24"/>
          <w:szCs w:val="24"/>
          <w:highlight w:val="none"/>
          <w:lang w:eastAsia="zh-CN"/>
        </w:rPr>
        <w:t>乌鲁木齐市第一百一十六中学</w:t>
      </w:r>
      <w:r>
        <w:rPr>
          <w:rFonts w:hint="eastAsia" w:hAnsi="宋体" w:eastAsia="宋体" w:cs="宋体"/>
          <w:color w:val="auto"/>
          <w:sz w:val="24"/>
          <w:szCs w:val="24"/>
          <w:highlight w:val="none"/>
        </w:rPr>
        <w:t>　　　乙方：(供应商名称)</w:t>
      </w: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法定代表人或其授权代表</w:t>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 xml:space="preserve">          法定代表人或其授权代表</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签字(签章):                       签字(签章)：</w:t>
      </w:r>
    </w:p>
    <w:p>
      <w:pPr>
        <w:pStyle w:val="13"/>
        <w:spacing w:line="440" w:lineRule="exact"/>
        <w:ind w:firstLine="480" w:firstLineChars="200"/>
        <w:rPr>
          <w:rFonts w:hAnsi="宋体" w:eastAsia="宋体" w:cs="宋体"/>
          <w:color w:val="auto"/>
          <w:sz w:val="24"/>
          <w:szCs w:val="24"/>
          <w:highlight w:val="none"/>
        </w:rPr>
      </w:pP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盖章：</w:t>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 xml:space="preserve">      盖章：</w:t>
      </w:r>
    </w:p>
    <w:p>
      <w:pPr>
        <w:pStyle w:val="13"/>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日期：______年____月____日</w:t>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ab/>
      </w:r>
      <w:r>
        <w:rPr>
          <w:rFonts w:hint="eastAsia" w:hAnsi="宋体" w:eastAsia="宋体" w:cs="宋体"/>
          <w:color w:val="auto"/>
          <w:sz w:val="24"/>
          <w:szCs w:val="24"/>
          <w:highlight w:val="none"/>
        </w:rPr>
        <w:t xml:space="preserve">  日期：______年____月____日</w:t>
      </w:r>
    </w:p>
    <w:p>
      <w:pPr>
        <w:pStyle w:val="13"/>
        <w:spacing w:line="440" w:lineRule="exact"/>
        <w:rPr>
          <w:rFonts w:hAnsi="宋体" w:eastAsia="宋体" w:cs="宋体"/>
          <w:color w:val="auto"/>
          <w:sz w:val="24"/>
          <w:szCs w:val="24"/>
          <w:highlight w:val="none"/>
        </w:rPr>
      </w:pPr>
    </w:p>
    <w:p>
      <w:pPr>
        <w:tabs>
          <w:tab w:val="left" w:pos="2880"/>
        </w:tabs>
        <w:spacing w:line="440" w:lineRule="exact"/>
        <w:outlineLvl w:val="1"/>
        <w:rPr>
          <w:rFonts w:ascii="宋体" w:hAnsi="宋体" w:cs="宋体"/>
          <w:b/>
          <w:color w:val="auto"/>
          <w:sz w:val="32"/>
          <w:szCs w:val="32"/>
          <w:highlight w:val="none"/>
        </w:rPr>
      </w:pPr>
    </w:p>
    <w:p>
      <w:pPr>
        <w:spacing w:line="360" w:lineRule="auto"/>
        <w:rPr>
          <w:rFonts w:ascii="宋体" w:hAnsi="宋体" w:cs="宋体"/>
          <w:color w:val="auto"/>
          <w:sz w:val="24"/>
          <w:highlight w:val="none"/>
        </w:rPr>
      </w:pPr>
    </w:p>
    <w:p>
      <w:pPr>
        <w:rPr>
          <w:rFonts w:ascii="宋体" w:hAnsi="宋体" w:cs="宋体"/>
          <w:b/>
          <w:bCs/>
          <w:color w:val="auto"/>
          <w:highlight w:val="none"/>
        </w:rPr>
      </w:pPr>
      <w:bookmarkStart w:id="28" w:name="_Toc19351"/>
      <w:bookmarkStart w:id="29" w:name="_Toc12655"/>
      <w:bookmarkStart w:id="30" w:name="_Toc27285"/>
      <w:bookmarkStart w:id="31" w:name="_Toc30752"/>
      <w:r>
        <w:rPr>
          <w:rFonts w:hint="eastAsia"/>
          <w:b/>
          <w:bCs/>
          <w:color w:val="auto"/>
          <w:sz w:val="24"/>
          <w:highlight w:val="none"/>
        </w:rPr>
        <w:t>备注：最终与以甲方单位签订合同为准。</w:t>
      </w:r>
      <w:bookmarkEnd w:id="28"/>
      <w:bookmarkEnd w:id="29"/>
      <w:bookmarkEnd w:id="30"/>
      <w:bookmarkEnd w:id="31"/>
    </w:p>
    <w:p>
      <w:pPr>
        <w:rPr>
          <w:rFonts w:ascii="宋体" w:hAnsi="宋体" w:cs="宋体"/>
          <w:b/>
          <w:color w:val="auto"/>
          <w:sz w:val="36"/>
          <w:highlight w:val="none"/>
        </w:rPr>
      </w:pPr>
      <w:r>
        <w:rPr>
          <w:rFonts w:hint="eastAsia" w:ascii="宋体" w:hAnsi="宋体" w:cs="宋体"/>
          <w:b/>
          <w:color w:val="auto"/>
          <w:sz w:val="36"/>
          <w:highlight w:val="none"/>
        </w:rPr>
        <w:br w:type="page"/>
      </w:r>
    </w:p>
    <w:p>
      <w:pPr>
        <w:spacing w:line="440" w:lineRule="exact"/>
        <w:jc w:val="center"/>
        <w:outlineLvl w:val="0"/>
        <w:rPr>
          <w:rFonts w:ascii="宋体" w:hAnsi="宋体" w:cs="宋体"/>
          <w:b/>
          <w:color w:val="auto"/>
          <w:sz w:val="30"/>
          <w:szCs w:val="30"/>
          <w:highlight w:val="none"/>
        </w:rPr>
      </w:pPr>
      <w:bookmarkStart w:id="32" w:name="_Toc983"/>
      <w:bookmarkStart w:id="33" w:name="_Toc28376"/>
      <w:bookmarkStart w:id="34" w:name="_Toc26545"/>
    </w:p>
    <w:p>
      <w:pPr>
        <w:spacing w:line="440" w:lineRule="exact"/>
        <w:jc w:val="center"/>
        <w:outlineLvl w:val="0"/>
        <w:rPr>
          <w:rFonts w:ascii="宋体" w:hAnsi="宋体" w:cs="宋体"/>
          <w:b/>
          <w:color w:val="auto"/>
          <w:sz w:val="36"/>
          <w:szCs w:val="36"/>
          <w:highlight w:val="none"/>
        </w:rPr>
      </w:pPr>
      <w:bookmarkStart w:id="35" w:name="_Toc5282"/>
      <w:r>
        <w:rPr>
          <w:rFonts w:hint="eastAsia" w:ascii="宋体" w:hAnsi="宋体" w:cs="宋体"/>
          <w:b/>
          <w:color w:val="auto"/>
          <w:sz w:val="36"/>
          <w:szCs w:val="36"/>
          <w:highlight w:val="none"/>
        </w:rPr>
        <w:t xml:space="preserve">第六部分  </w:t>
      </w:r>
      <w:bookmarkEnd w:id="32"/>
      <w:bookmarkEnd w:id="33"/>
      <w:bookmarkEnd w:id="34"/>
      <w:r>
        <w:rPr>
          <w:rFonts w:hint="eastAsia" w:ascii="宋体" w:hAnsi="宋体" w:cs="宋体"/>
          <w:b/>
          <w:color w:val="auto"/>
          <w:sz w:val="36"/>
          <w:szCs w:val="36"/>
          <w:highlight w:val="none"/>
        </w:rPr>
        <w:t>响应性文件格式</w:t>
      </w:r>
      <w:bookmarkEnd w:id="35"/>
    </w:p>
    <w:p>
      <w:pPr>
        <w:rPr>
          <w:rFonts w:ascii="宋体" w:hAnsi="宋体" w:cs="宋体"/>
          <w:b/>
          <w:color w:val="auto"/>
          <w:highlight w:val="none"/>
        </w:rPr>
      </w:pPr>
    </w:p>
    <w:p>
      <w:pPr>
        <w:rPr>
          <w:rFonts w:ascii="宋体" w:hAnsi="宋体" w:cs="宋体"/>
          <w:b/>
          <w:color w:val="auto"/>
          <w:highlight w:val="none"/>
        </w:rPr>
      </w:pPr>
    </w:p>
    <w:p>
      <w:pPr>
        <w:spacing w:line="440" w:lineRule="exact"/>
        <w:jc w:val="left"/>
        <w:outlineLvl w:val="0"/>
        <w:rPr>
          <w:rFonts w:ascii="宋体" w:hAnsi="宋体" w:cs="宋体"/>
          <w:b/>
          <w:color w:val="auto"/>
          <w:sz w:val="28"/>
          <w:szCs w:val="28"/>
          <w:highlight w:val="none"/>
        </w:rPr>
      </w:pPr>
      <w:bookmarkStart w:id="36" w:name="_Toc18937"/>
      <w:r>
        <w:rPr>
          <w:rFonts w:hint="eastAsia" w:ascii="宋体" w:hAnsi="宋体" w:cs="宋体"/>
          <w:b/>
          <w:color w:val="auto"/>
          <w:sz w:val="28"/>
          <w:szCs w:val="28"/>
          <w:highlight w:val="none"/>
        </w:rPr>
        <w:t>（一）报价要求响应文件</w:t>
      </w:r>
      <w:bookmarkEnd w:id="36"/>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 磋商响应报价表（附件1-1）</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 明细报价表（附件1-2）</w:t>
      </w:r>
    </w:p>
    <w:p>
      <w:pPr>
        <w:spacing w:line="460" w:lineRule="atLeast"/>
        <w:jc w:val="center"/>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附件1-1  磋商响应报价表</w:t>
      </w:r>
    </w:p>
    <w:p>
      <w:pPr>
        <w:pStyle w:val="122"/>
        <w:spacing w:line="440" w:lineRule="exact"/>
        <w:ind w:left="210" w:leftChars="-86" w:hanging="391" w:hangingChars="163"/>
        <w:jc w:val="both"/>
        <w:rPr>
          <w:rFonts w:ascii="宋体" w:hAnsi="宋体" w:cs="宋体"/>
          <w:color w:val="auto"/>
          <w:sz w:val="24"/>
          <w:highlight w:val="none"/>
        </w:rPr>
      </w:pPr>
      <w:r>
        <w:rPr>
          <w:rFonts w:hint="eastAsia" w:ascii="宋体" w:hAnsi="宋体" w:cs="宋体"/>
          <w:color w:val="auto"/>
          <w:sz w:val="24"/>
          <w:highlight w:val="none"/>
        </w:rPr>
        <w:t xml:space="preserve">招标项目名称：                          投标单位名称：                            </w:t>
      </w:r>
    </w:p>
    <w:p>
      <w:pPr>
        <w:pStyle w:val="122"/>
        <w:spacing w:line="440" w:lineRule="exact"/>
        <w:ind w:left="210" w:leftChars="-86" w:hanging="391" w:hangingChars="163"/>
        <w:jc w:val="both"/>
        <w:rPr>
          <w:rFonts w:ascii="宋体" w:hAnsi="宋体" w:cs="宋体"/>
          <w:color w:val="auto"/>
          <w:sz w:val="24"/>
          <w:highlight w:val="none"/>
        </w:rPr>
      </w:pPr>
      <w:r>
        <w:rPr>
          <w:rFonts w:hint="eastAsia" w:ascii="宋体" w:hAnsi="宋体" w:cs="宋体"/>
          <w:color w:val="auto"/>
          <w:sz w:val="24"/>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spacing w:line="440" w:lineRule="exact"/>
              <w:jc w:val="center"/>
              <w:rPr>
                <w:rFonts w:ascii="宋体" w:hAnsi="宋体" w:cs="宋体"/>
                <w:bCs/>
                <w:color w:val="auto"/>
                <w:sz w:val="24"/>
                <w:highlight w:val="none"/>
              </w:rPr>
            </w:pPr>
            <w:r>
              <w:rPr>
                <w:rFonts w:hint="eastAsia" w:ascii="宋体" w:hAnsi="宋体" w:cs="宋体"/>
                <w:color w:val="auto"/>
                <w:sz w:val="24"/>
                <w:highlight w:val="none"/>
              </w:rPr>
              <w:t>标项序号、名称</w:t>
            </w:r>
          </w:p>
        </w:tc>
        <w:tc>
          <w:tcPr>
            <w:tcW w:w="6687" w:type="dxa"/>
            <w:vAlign w:val="center"/>
          </w:tcPr>
          <w:p>
            <w:pPr>
              <w:spacing w:line="440" w:lineRule="exact"/>
              <w:jc w:val="center"/>
              <w:rPr>
                <w:rFonts w:hint="eastAsia" w:ascii="宋体" w:hAnsi="宋体" w:eastAsia="宋体" w:cs="宋体"/>
                <w:bCs/>
                <w:color w:val="auto"/>
                <w:sz w:val="24"/>
                <w:highlight w:val="none"/>
                <w:lang w:eastAsia="zh-CN"/>
              </w:rPr>
            </w:pPr>
            <w:r>
              <w:rPr>
                <w:rFonts w:hint="eastAsia" w:ascii="宋体" w:hAnsi="宋体" w:cs="宋体"/>
                <w:b/>
                <w:color w:val="auto"/>
                <w:sz w:val="24"/>
                <w:highlight w:val="none"/>
              </w:rPr>
              <w:t>投标</w:t>
            </w:r>
            <w:r>
              <w:rPr>
                <w:rFonts w:hint="eastAsia" w:ascii="宋体" w:hAnsi="宋体" w:cs="宋体"/>
                <w:b/>
                <w:color w:val="auto"/>
                <w:sz w:val="24"/>
                <w:highlight w:val="none"/>
                <w:lang w:val="en-US" w:eastAsia="zh-CN"/>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zh-CN"/>
              </w:rPr>
              <w:t>乌鲁木齐市第一百一十六中学暑假维修项目</w:t>
            </w:r>
          </w:p>
        </w:tc>
        <w:tc>
          <w:tcPr>
            <w:tcW w:w="6687"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spacing w:line="440" w:lineRule="exact"/>
              <w:jc w:val="center"/>
              <w:rPr>
                <w:rFonts w:ascii="宋体" w:hAnsi="宋体" w:cs="宋体"/>
                <w:color w:val="auto"/>
                <w:sz w:val="24"/>
                <w:highlight w:val="none"/>
              </w:rPr>
            </w:pPr>
          </w:p>
        </w:tc>
        <w:tc>
          <w:tcPr>
            <w:tcW w:w="6687"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工期要求</w:t>
            </w:r>
          </w:p>
        </w:tc>
        <w:tc>
          <w:tcPr>
            <w:tcW w:w="6687" w:type="dxa"/>
            <w:vAlign w:val="center"/>
          </w:tcPr>
          <w:p>
            <w:pPr>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40天</w:t>
            </w:r>
          </w:p>
        </w:tc>
      </w:tr>
    </w:tbl>
    <w:p>
      <w:pPr>
        <w:pStyle w:val="122"/>
        <w:rPr>
          <w:color w:val="auto"/>
          <w:sz w:val="24"/>
          <w:szCs w:val="36"/>
          <w:highlight w:val="none"/>
        </w:rPr>
      </w:pPr>
    </w:p>
    <w:p>
      <w:pPr>
        <w:pStyle w:val="122"/>
        <w:rPr>
          <w:color w:val="auto"/>
          <w:sz w:val="24"/>
          <w:szCs w:val="36"/>
          <w:highlight w:val="none"/>
        </w:rPr>
      </w:pPr>
      <w:r>
        <w:rPr>
          <w:rFonts w:hint="eastAsia"/>
          <w:color w:val="auto"/>
          <w:sz w:val="24"/>
          <w:szCs w:val="36"/>
          <w:highlight w:val="none"/>
        </w:rPr>
        <w:t>兹声明：以上投标报价在投标有效期内一直有效。</w:t>
      </w:r>
    </w:p>
    <w:p>
      <w:pPr>
        <w:pStyle w:val="122"/>
        <w:rPr>
          <w:color w:val="auto"/>
          <w:sz w:val="24"/>
          <w:szCs w:val="36"/>
          <w:highlight w:val="none"/>
        </w:rPr>
      </w:pPr>
      <w:r>
        <w:rPr>
          <w:rFonts w:hint="eastAsia"/>
          <w:color w:val="auto"/>
          <w:sz w:val="24"/>
          <w:szCs w:val="36"/>
          <w:highlight w:val="none"/>
        </w:rPr>
        <w:t xml:space="preserve">投标人名称（加盖公章）：                               </w:t>
      </w:r>
    </w:p>
    <w:p>
      <w:pPr>
        <w:pStyle w:val="122"/>
        <w:rPr>
          <w:color w:val="auto"/>
          <w:sz w:val="24"/>
          <w:szCs w:val="36"/>
          <w:highlight w:val="none"/>
        </w:rPr>
      </w:pPr>
      <w:bookmarkStart w:id="37" w:name="_Toc4266"/>
      <w:bookmarkStart w:id="38" w:name="_Toc16749"/>
      <w:bookmarkStart w:id="39" w:name="_Toc12574"/>
      <w:bookmarkStart w:id="40" w:name="_Toc21103"/>
      <w:r>
        <w:rPr>
          <w:rFonts w:hint="eastAsia"/>
          <w:color w:val="auto"/>
          <w:sz w:val="24"/>
          <w:szCs w:val="36"/>
          <w:highlight w:val="none"/>
        </w:rPr>
        <w:t>投标人代表签字：</w:t>
      </w:r>
      <w:bookmarkEnd w:id="37"/>
      <w:bookmarkEnd w:id="38"/>
      <w:bookmarkEnd w:id="39"/>
      <w:bookmarkEnd w:id="40"/>
      <w:r>
        <w:rPr>
          <w:rFonts w:hint="eastAsia"/>
          <w:color w:val="auto"/>
          <w:sz w:val="24"/>
          <w:szCs w:val="36"/>
          <w:highlight w:val="none"/>
        </w:rPr>
        <w:t xml:space="preserve">                  </w:t>
      </w:r>
    </w:p>
    <w:p>
      <w:pPr>
        <w:pStyle w:val="122"/>
        <w:rPr>
          <w:color w:val="auto"/>
          <w:sz w:val="24"/>
          <w:szCs w:val="36"/>
          <w:highlight w:val="none"/>
        </w:rPr>
      </w:pPr>
      <w:bookmarkStart w:id="41" w:name="_Toc15383"/>
      <w:bookmarkStart w:id="42" w:name="_Toc16737"/>
      <w:bookmarkStart w:id="43" w:name="_Toc7182"/>
      <w:bookmarkStart w:id="44" w:name="_Toc208"/>
      <w:r>
        <w:rPr>
          <w:rFonts w:hint="eastAsia"/>
          <w:color w:val="auto"/>
          <w:sz w:val="24"/>
          <w:szCs w:val="36"/>
          <w:highlight w:val="none"/>
        </w:rPr>
        <w:t>日期：       年     月    日</w:t>
      </w:r>
      <w:bookmarkEnd w:id="41"/>
      <w:bookmarkEnd w:id="42"/>
      <w:bookmarkEnd w:id="43"/>
      <w:bookmarkEnd w:id="44"/>
    </w:p>
    <w:p>
      <w:pPr>
        <w:pStyle w:val="122"/>
        <w:rPr>
          <w:b/>
          <w:bCs/>
          <w:color w:val="auto"/>
          <w:sz w:val="24"/>
          <w:szCs w:val="36"/>
          <w:highlight w:val="none"/>
        </w:rPr>
      </w:pPr>
      <w:bookmarkStart w:id="45" w:name="_Toc10202"/>
      <w:bookmarkStart w:id="46" w:name="_Toc3857"/>
      <w:bookmarkStart w:id="47" w:name="_Toc28919"/>
      <w:bookmarkStart w:id="48" w:name="_Toc1472"/>
    </w:p>
    <w:p>
      <w:pPr>
        <w:pStyle w:val="122"/>
        <w:rPr>
          <w:b/>
          <w:bCs/>
          <w:color w:val="auto"/>
          <w:sz w:val="24"/>
          <w:szCs w:val="36"/>
          <w:highlight w:val="none"/>
        </w:rPr>
      </w:pPr>
      <w:r>
        <w:rPr>
          <w:rFonts w:hint="eastAsia"/>
          <w:b/>
          <w:bCs/>
          <w:color w:val="auto"/>
          <w:sz w:val="24"/>
          <w:szCs w:val="36"/>
          <w:highlight w:val="none"/>
        </w:rPr>
        <w:t>注：1、此表需密封后单独提交。</w:t>
      </w:r>
      <w:bookmarkEnd w:id="45"/>
      <w:bookmarkEnd w:id="46"/>
      <w:bookmarkEnd w:id="47"/>
      <w:bookmarkEnd w:id="48"/>
    </w:p>
    <w:p>
      <w:pPr>
        <w:pStyle w:val="122"/>
        <w:rPr>
          <w:b/>
          <w:bCs/>
          <w:color w:val="auto"/>
          <w:sz w:val="24"/>
          <w:szCs w:val="36"/>
          <w:highlight w:val="none"/>
        </w:rPr>
      </w:pPr>
      <w:r>
        <w:rPr>
          <w:rFonts w:hint="eastAsia"/>
          <w:b/>
          <w:bCs/>
          <w:color w:val="auto"/>
          <w:sz w:val="24"/>
          <w:szCs w:val="36"/>
          <w:highlight w:val="none"/>
        </w:rPr>
        <w:t>2、本表格式不得更改，投标人只能按要求填报。</w:t>
      </w:r>
    </w:p>
    <w:p>
      <w:pPr>
        <w:jc w:val="center"/>
        <w:rPr>
          <w:rFonts w:ascii="宋体" w:hAnsi="宋体" w:cs="宋体"/>
          <w:color w:val="auto"/>
          <w:highlight w:val="none"/>
        </w:rPr>
      </w:pPr>
      <w:r>
        <w:rPr>
          <w:rFonts w:hint="eastAsia" w:ascii="宋体" w:hAnsi="宋体" w:cs="宋体"/>
          <w:color w:val="auto"/>
          <w:highlight w:val="none"/>
        </w:rPr>
        <w:br w:type="page"/>
      </w:r>
      <w:bookmarkStart w:id="49" w:name="_Toc24346"/>
      <w:bookmarkStart w:id="50" w:name="_Toc22293"/>
      <w:bookmarkStart w:id="51" w:name="_Toc18495"/>
      <w:bookmarkStart w:id="52" w:name="_Toc28845"/>
      <w:bookmarkStart w:id="53" w:name="_Toc545"/>
    </w:p>
    <w:p>
      <w:pPr>
        <w:jc w:val="center"/>
        <w:rPr>
          <w:rFonts w:ascii="宋体" w:hAnsi="宋体" w:cs="宋体"/>
          <w:color w:val="auto"/>
          <w:highlight w:val="none"/>
        </w:rPr>
      </w:pPr>
    </w:p>
    <w:p>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附件1-2  明细报价表</w:t>
      </w:r>
      <w:bookmarkEnd w:id="49"/>
      <w:bookmarkEnd w:id="50"/>
      <w:bookmarkEnd w:id="51"/>
      <w:bookmarkEnd w:id="52"/>
      <w:bookmarkEnd w:id="53"/>
    </w:p>
    <w:p>
      <w:pPr>
        <w:tabs>
          <w:tab w:val="left" w:pos="5100"/>
        </w:tabs>
        <w:spacing w:line="440" w:lineRule="exact"/>
        <w:ind w:firstLine="352" w:firstLineChars="147"/>
        <w:rPr>
          <w:rFonts w:ascii="宋体" w:hAnsi="宋体" w:cs="宋体"/>
          <w:bCs/>
          <w:color w:val="auto"/>
          <w:sz w:val="24"/>
          <w:highlight w:val="none"/>
        </w:rPr>
      </w:pPr>
      <w:r>
        <w:rPr>
          <w:rFonts w:hint="eastAsia" w:ascii="宋体" w:hAnsi="宋体" w:cs="宋体"/>
          <w:bCs/>
          <w:color w:val="auto"/>
          <w:sz w:val="24"/>
          <w:highlight w:val="none"/>
        </w:rPr>
        <w:t xml:space="preserve">项目名称：                              </w:t>
      </w:r>
      <w:r>
        <w:rPr>
          <w:rFonts w:hint="eastAsia" w:ascii="宋体" w:hAnsi="宋体" w:cs="宋体"/>
          <w:color w:val="auto"/>
          <w:sz w:val="24"/>
          <w:highlight w:val="none"/>
        </w:rPr>
        <w:t xml:space="preserve">投标单位名称：   </w:t>
      </w:r>
    </w:p>
    <w:p>
      <w:pPr>
        <w:pStyle w:val="122"/>
        <w:spacing w:line="440" w:lineRule="exact"/>
        <w:ind w:left="208" w:leftChars="99" w:firstLine="120" w:firstLineChars="50"/>
        <w:jc w:val="both"/>
        <w:rPr>
          <w:rFonts w:ascii="宋体" w:hAnsi="宋体" w:cs="宋体"/>
          <w:bCs/>
          <w:color w:val="auto"/>
          <w:kern w:val="2"/>
          <w:sz w:val="24"/>
          <w:highlight w:val="none"/>
        </w:rPr>
      </w:pPr>
      <w:r>
        <w:rPr>
          <w:rFonts w:hint="eastAsia" w:ascii="宋体" w:hAnsi="宋体" w:cs="宋体"/>
          <w:bCs/>
          <w:color w:val="auto"/>
          <w:kern w:val="2"/>
          <w:sz w:val="24"/>
          <w:highlight w:val="none"/>
        </w:rPr>
        <w:t xml:space="preserve">招标编号：                              </w:t>
      </w:r>
      <w:r>
        <w:rPr>
          <w:rFonts w:hint="eastAsia" w:ascii="宋体" w:hAnsi="宋体" w:cs="宋体"/>
          <w:color w:val="auto"/>
          <w:sz w:val="24"/>
          <w:highlight w:val="none"/>
        </w:rPr>
        <w:t>标项序号、名称：</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188"/>
        <w:gridCol w:w="1416"/>
        <w:gridCol w:w="696"/>
        <w:gridCol w:w="696"/>
        <w:gridCol w:w="189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名称</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规格及型号</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综合单价（元）</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c>
          <w:tcPr>
            <w:tcW w:w="0" w:type="auto"/>
            <w:vAlign w:val="center"/>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合计金额（小写）</w:t>
            </w:r>
          </w:p>
        </w:tc>
        <w:tc>
          <w:tcPr>
            <w:tcW w:w="0" w:type="auto"/>
            <w:gridSpan w:val="5"/>
            <w:vAlign w:val="center"/>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合计金额（大写）：</w:t>
            </w:r>
          </w:p>
        </w:tc>
        <w:tc>
          <w:tcPr>
            <w:tcW w:w="0" w:type="auto"/>
            <w:gridSpan w:val="5"/>
            <w:vAlign w:val="center"/>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质保年限</w:t>
            </w:r>
          </w:p>
        </w:tc>
        <w:tc>
          <w:tcPr>
            <w:tcW w:w="0" w:type="auto"/>
            <w:gridSpan w:val="5"/>
            <w:vAlign w:val="center"/>
          </w:tcPr>
          <w:p>
            <w:pPr>
              <w:spacing w:line="440" w:lineRule="exact"/>
              <w:rPr>
                <w:rFonts w:ascii="宋体" w:hAnsi="宋体" w:cs="宋体"/>
                <w:color w:val="auto"/>
                <w:sz w:val="24"/>
                <w:highlight w:val="none"/>
              </w:rPr>
            </w:pPr>
          </w:p>
        </w:tc>
      </w:tr>
    </w:tbl>
    <w:p>
      <w:pPr>
        <w:spacing w:line="460" w:lineRule="atLeast"/>
        <w:rPr>
          <w:rFonts w:ascii="宋体" w:hAnsi="宋体" w:cs="宋体"/>
          <w:color w:val="auto"/>
          <w:sz w:val="24"/>
          <w:highlight w:val="none"/>
        </w:rPr>
      </w:pPr>
      <w:r>
        <w:rPr>
          <w:rFonts w:hint="eastAsia" w:ascii="宋体" w:hAnsi="宋体" w:cs="宋体"/>
          <w:color w:val="auto"/>
          <w:sz w:val="24"/>
          <w:highlight w:val="none"/>
        </w:rPr>
        <w:t>投标人代表签字：</w:t>
      </w:r>
    </w:p>
    <w:p>
      <w:pPr>
        <w:spacing w:line="460" w:lineRule="atLeast"/>
        <w:rPr>
          <w:rFonts w:ascii="宋体" w:hAnsi="宋体" w:cs="宋体"/>
          <w:color w:val="auto"/>
          <w:sz w:val="24"/>
          <w:highlight w:val="none"/>
        </w:rPr>
      </w:pPr>
      <w:r>
        <w:rPr>
          <w:rFonts w:hint="eastAsia" w:ascii="宋体" w:hAnsi="宋体" w:cs="宋体"/>
          <w:color w:val="auto"/>
          <w:sz w:val="24"/>
          <w:highlight w:val="none"/>
        </w:rPr>
        <w:t>日期：</w:t>
      </w:r>
    </w:p>
    <w:p>
      <w:pPr>
        <w:spacing w:line="440" w:lineRule="exact"/>
        <w:rPr>
          <w:rFonts w:ascii="宋体" w:hAnsi="宋体" w:cs="宋体"/>
          <w:color w:val="auto"/>
          <w:sz w:val="24"/>
          <w:highlight w:val="none"/>
        </w:rPr>
      </w:pPr>
      <w:r>
        <w:rPr>
          <w:rFonts w:hint="eastAsia" w:ascii="宋体" w:hAnsi="宋体" w:cs="宋体"/>
          <w:color w:val="auto"/>
          <w:sz w:val="24"/>
          <w:highlight w:val="none"/>
        </w:rPr>
        <w:t>注：1、合计金额应为各分项价格之和。</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2、上述报价包含一切由供方承担的费用。</w:t>
      </w:r>
    </w:p>
    <w:p>
      <w:pPr>
        <w:spacing w:line="44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3、请各投标人根据投标方案，在本表中详细写明所有产品型号规格、主要技术参数、数量、综合单价、总价。</w:t>
      </w:r>
    </w:p>
    <w:p>
      <w:pPr>
        <w:spacing w:line="360" w:lineRule="auto"/>
        <w:ind w:firstLine="470" w:firstLineChars="196"/>
        <w:rPr>
          <w:rFonts w:ascii="宋体" w:hAnsi="宋体" w:cs="宋体"/>
          <w:b/>
          <w:color w:val="auto"/>
          <w:sz w:val="24"/>
          <w:highlight w:val="none"/>
        </w:rPr>
      </w:pPr>
      <w:r>
        <w:rPr>
          <w:rFonts w:hint="eastAsia" w:ascii="宋体" w:hAnsi="宋体" w:cs="宋体"/>
          <w:color w:val="auto"/>
          <w:sz w:val="24"/>
          <w:highlight w:val="none"/>
        </w:rPr>
        <w:t>4、综合单价必须包括货物、安装、调试、技术支持、运输、保险、售后服务、培训及其它必需服务的报价。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为保证采购人自动数据抓取的工作效率，要求投标文件的关于价格明细或分项报价的表格，需为word或者Execl形式的原始表格(比如在word中创建表格，再通过政采云平台转为PDF的投标文件)，而不能是拍照或者扫描图片。</w:t>
      </w:r>
    </w:p>
    <w:p>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6</w:t>
      </w:r>
      <w:r>
        <w:rPr>
          <w:rFonts w:ascii="宋体" w:hAnsi="宋体" w:cs="宋体"/>
          <w:color w:val="auto"/>
          <w:sz w:val="24"/>
          <w:highlight w:val="none"/>
        </w:rPr>
        <w:t>、开启新一轮报价时，供应商随报价同时提交附件，附件内容为单一来源文件所发《明细报价表.xls》，明细报价表合计金额须与新一轮报价一致。</w:t>
      </w:r>
      <w:r>
        <w:rPr>
          <w:rFonts w:hint="eastAsia" w:ascii="宋体" w:hAnsi="宋体" w:cs="宋体"/>
          <w:color w:val="auto"/>
          <w:sz w:val="24"/>
          <w:highlight w:val="none"/>
        </w:rPr>
        <w:br w:type="page"/>
      </w:r>
    </w:p>
    <w:p>
      <w:pPr>
        <w:spacing w:line="440" w:lineRule="exact"/>
        <w:jc w:val="left"/>
        <w:outlineLvl w:val="0"/>
        <w:rPr>
          <w:rFonts w:ascii="宋体" w:hAnsi="宋体" w:cs="宋体"/>
          <w:b/>
          <w:color w:val="auto"/>
          <w:sz w:val="30"/>
          <w:szCs w:val="30"/>
          <w:highlight w:val="none"/>
        </w:rPr>
      </w:pPr>
      <w:bookmarkStart w:id="54" w:name="_Toc1136"/>
      <w:r>
        <w:rPr>
          <w:rFonts w:hint="eastAsia" w:ascii="宋体" w:hAnsi="宋体" w:cs="宋体"/>
          <w:b/>
          <w:color w:val="auto"/>
          <w:sz w:val="30"/>
          <w:szCs w:val="30"/>
          <w:highlight w:val="none"/>
        </w:rPr>
        <w:t>（二）资格响应文件</w:t>
      </w:r>
      <w:bookmarkEnd w:id="54"/>
    </w:p>
    <w:p>
      <w:pPr>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1、资格文件组成</w:t>
      </w:r>
    </w:p>
    <w:p>
      <w:pPr>
        <w:spacing w:line="460" w:lineRule="exact"/>
        <w:rPr>
          <w:rFonts w:ascii="宋体" w:hAnsi="宋体" w:cs="宋体"/>
          <w:color w:val="auto"/>
          <w:sz w:val="24"/>
          <w:highlight w:val="none"/>
        </w:rPr>
      </w:pPr>
      <w:bookmarkStart w:id="55" w:name="_Toc15731"/>
      <w:bookmarkStart w:id="56" w:name="_Toc14936"/>
      <w:bookmarkStart w:id="57" w:name="_Toc18205"/>
      <w:bookmarkStart w:id="58" w:name="_Toc19503"/>
      <w:r>
        <w:rPr>
          <w:rFonts w:hint="eastAsia" w:ascii="宋体" w:hAnsi="宋体" w:cs="宋体"/>
          <w:color w:val="auto"/>
          <w:sz w:val="24"/>
          <w:highlight w:val="none"/>
        </w:rPr>
        <w:t>一、法人或者其他组织的营业执照副本复印件或自然人的身份证明复印件</w:t>
      </w:r>
    </w:p>
    <w:bookmarkEnd w:id="55"/>
    <w:bookmarkEnd w:id="56"/>
    <w:bookmarkEnd w:id="57"/>
    <w:bookmarkEnd w:id="58"/>
    <w:p>
      <w:pPr>
        <w:spacing w:line="460" w:lineRule="exact"/>
        <w:rPr>
          <w:rFonts w:ascii="宋体" w:hAnsi="宋体" w:cs="宋体"/>
          <w:color w:val="auto"/>
          <w:sz w:val="24"/>
          <w:highlight w:val="none"/>
        </w:rPr>
      </w:pPr>
      <w:r>
        <w:rPr>
          <w:rFonts w:hint="eastAsia" w:ascii="宋体" w:hAnsi="宋体" w:cs="宋体"/>
          <w:color w:val="auto"/>
          <w:sz w:val="24"/>
          <w:highlight w:val="none"/>
        </w:rPr>
        <w:t>二、健全的财务会计制度</w:t>
      </w:r>
      <w:r>
        <w:rPr>
          <w:rFonts w:hint="eastAsia" w:ascii="宋体" w:hAnsi="宋体" w:cs="宋体"/>
          <w:color w:val="auto"/>
          <w:sz w:val="24"/>
          <w:highlight w:val="none"/>
        </w:rPr>
        <w:tab/>
      </w:r>
      <w:r>
        <w:rPr>
          <w:rFonts w:hint="eastAsia" w:ascii="宋体" w:hAnsi="宋体" w:cs="宋体"/>
          <w:color w:val="auto"/>
          <w:sz w:val="24"/>
          <w:highlight w:val="none"/>
        </w:rPr>
        <w:t>供应商是法人的应提供经审计的上一年度的财务报告（财务审计报告必须为第三方提供并加盖第三方公章的完整版，企业自身报告无效），成立不足一年的提供截止开标前近3个月的财务报表和其截止开标前1个月的基本开户银行出具的资信证明（资信证明内容须包含商业信誉良好相关内容）；另：部分其他组织或自然人，没有经审计的财务报告，应当提供截止开标前近1个月的银行出具的资信证明（资信证明内容须包含商业信誉良好相关内容）。</w:t>
      </w:r>
      <w:r>
        <w:rPr>
          <w:rFonts w:hint="eastAsia" w:ascii="宋体" w:hAnsi="宋体" w:cs="宋体"/>
          <w:color w:val="auto"/>
          <w:sz w:val="24"/>
          <w:highlight w:val="none"/>
        </w:rPr>
        <w:tab/>
      </w:r>
      <w:r>
        <w:rPr>
          <w:rFonts w:hint="eastAsia" w:ascii="宋体" w:hAnsi="宋体" w:cs="宋体"/>
          <w:color w:val="auto"/>
          <w:sz w:val="24"/>
          <w:highlight w:val="none"/>
        </w:rPr>
        <w:t>；</w:t>
      </w:r>
    </w:p>
    <w:p>
      <w:pPr>
        <w:spacing w:line="460" w:lineRule="exact"/>
        <w:rPr>
          <w:rFonts w:ascii="宋体" w:hAnsi="宋体" w:cs="宋体"/>
          <w:color w:val="auto"/>
          <w:sz w:val="24"/>
          <w:highlight w:val="none"/>
        </w:rPr>
      </w:pPr>
      <w:r>
        <w:rPr>
          <w:rFonts w:hint="eastAsia" w:ascii="宋体" w:hAnsi="宋体" w:cs="宋体"/>
          <w:color w:val="auto"/>
          <w:sz w:val="24"/>
          <w:highlight w:val="none"/>
        </w:rPr>
        <w:t>三、提供截止开标前近半年内任三个月税收缴纳完成的证明资料（提供截止开标前近半年内任三个月税收部门出具的完成税收缴纳证明，申报表、征集单、银行的缴纳回执单等不予认可。其它无需纳税或免税的必须提供税收部门相关证明）。</w:t>
      </w:r>
    </w:p>
    <w:p>
      <w:pPr>
        <w:spacing w:line="460" w:lineRule="exact"/>
        <w:rPr>
          <w:rFonts w:ascii="宋体" w:hAnsi="宋体" w:cs="宋体"/>
          <w:color w:val="auto"/>
          <w:sz w:val="24"/>
          <w:highlight w:val="none"/>
        </w:rPr>
      </w:pPr>
      <w:r>
        <w:rPr>
          <w:rFonts w:hint="eastAsia" w:ascii="宋体" w:hAnsi="宋体" w:cs="宋体"/>
          <w:color w:val="auto"/>
          <w:sz w:val="24"/>
          <w:highlight w:val="none"/>
        </w:rPr>
        <w:t>四、提供截止开标前近半年内任三个月税收部门或社保机构出具的完成社保缴纳证明（提供截止开标前近半年内任三个月税收部门或社保机构出具的完成社保缴纳证明，申报表、征集单、银行的缴纳回执单等不予认可。如委托其他机构代缴代扣，还需同时提供供应商与机构签署的服务合同或代缴协议，其中应明确写明第三方为供应商代缴其社会保险，否则不予认可），其他组织和自然人也需提供上述证明。</w:t>
      </w:r>
    </w:p>
    <w:p>
      <w:pPr>
        <w:spacing w:line="460" w:lineRule="exact"/>
        <w:rPr>
          <w:rFonts w:ascii="宋体" w:hAnsi="宋体" w:cs="宋体"/>
          <w:color w:val="auto"/>
          <w:sz w:val="24"/>
          <w:highlight w:val="none"/>
        </w:rPr>
      </w:pPr>
      <w:r>
        <w:rPr>
          <w:rFonts w:hint="eastAsia" w:ascii="宋体" w:hAnsi="宋体" w:cs="宋体"/>
          <w:color w:val="auto"/>
          <w:sz w:val="24"/>
          <w:highlight w:val="none"/>
        </w:rPr>
        <w:t>五、具有履行合同所必需的设备和专业技术能力的证明材料或声明(由供应商根据项目需求提供说明材料)</w:t>
      </w:r>
    </w:p>
    <w:p>
      <w:pPr>
        <w:spacing w:line="460" w:lineRule="exact"/>
        <w:rPr>
          <w:rFonts w:ascii="宋体" w:hAnsi="宋体" w:cs="宋体"/>
          <w:color w:val="auto"/>
          <w:sz w:val="24"/>
          <w:highlight w:val="none"/>
        </w:rPr>
      </w:pPr>
      <w:r>
        <w:rPr>
          <w:rFonts w:hint="eastAsia" w:ascii="宋体" w:hAnsi="宋体" w:cs="宋体"/>
          <w:color w:val="auto"/>
          <w:sz w:val="24"/>
          <w:highlight w:val="none"/>
        </w:rPr>
        <w:t>六、参加政府采购活动前三年内在经营活动中没有重大违法记录的书面声明</w:t>
      </w:r>
    </w:p>
    <w:p>
      <w:pPr>
        <w:spacing w:line="460" w:lineRule="exact"/>
        <w:rPr>
          <w:rFonts w:ascii="宋体" w:hAnsi="宋体" w:cs="宋体"/>
          <w:color w:val="auto"/>
          <w:sz w:val="24"/>
          <w:highlight w:val="none"/>
        </w:rPr>
      </w:pPr>
      <w:r>
        <w:rPr>
          <w:rFonts w:hint="eastAsia" w:ascii="宋体" w:hAnsi="宋体" w:cs="宋体"/>
          <w:color w:val="auto"/>
          <w:sz w:val="24"/>
          <w:highlight w:val="none"/>
        </w:rPr>
        <w:t>七、其他特定资质：</w:t>
      </w:r>
      <w:r>
        <w:rPr>
          <w:rFonts w:hint="eastAsia" w:ascii="宋体" w:hAnsi="宋体" w:cs="宋体"/>
          <w:color w:val="auto"/>
          <w:sz w:val="24"/>
          <w:highlight w:val="none"/>
          <w:lang w:eastAsia="zh-CN"/>
        </w:rPr>
        <w:t>无</w:t>
      </w:r>
      <w:r>
        <w:rPr>
          <w:rFonts w:hint="eastAsia" w:ascii="宋体" w:hAnsi="宋体" w:cs="宋体"/>
          <w:color w:val="auto"/>
          <w:sz w:val="24"/>
          <w:highlight w:val="none"/>
        </w:rPr>
        <w:t>。</w:t>
      </w:r>
    </w:p>
    <w:p>
      <w:pPr>
        <w:spacing w:line="460" w:lineRule="exact"/>
        <w:rPr>
          <w:rFonts w:ascii="宋体" w:hAnsi="宋体" w:cs="宋体"/>
          <w:color w:val="auto"/>
          <w:sz w:val="24"/>
          <w:highlight w:val="none"/>
        </w:rPr>
      </w:pPr>
      <w:r>
        <w:rPr>
          <w:rFonts w:hint="eastAsia" w:ascii="宋体" w:hAnsi="宋体" w:cs="宋体"/>
          <w:color w:val="auto"/>
          <w:sz w:val="24"/>
          <w:highlight w:val="none"/>
        </w:rPr>
        <w:t>八、落实政府采购政策需满足的资格证明文件</w:t>
      </w:r>
    </w:p>
    <w:p>
      <w:pPr>
        <w:spacing w:line="46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本项目为专门面向中小企业</w:t>
      </w:r>
      <w:r>
        <w:rPr>
          <w:rFonts w:hint="eastAsia" w:ascii="宋体" w:hAnsi="宋体" w:cs="宋体"/>
          <w:color w:val="auto"/>
          <w:sz w:val="24"/>
          <w:highlight w:val="none"/>
        </w:rPr>
        <w:t>（含中型、小型、微型企业）采购项目。监狱企业、残疾人福利性单位视同为小微企业。本项目采购标的对应的中小企业划分标准所属行业为</w:t>
      </w:r>
      <w:r>
        <w:rPr>
          <w:rFonts w:hint="eastAsia" w:ascii="宋体" w:hAnsi="宋体" w:cs="宋体"/>
          <w:b/>
          <w:bCs/>
          <w:color w:val="auto"/>
          <w:sz w:val="24"/>
          <w:highlight w:val="none"/>
        </w:rPr>
        <w:t>建筑业</w:t>
      </w:r>
      <w:r>
        <w:rPr>
          <w:rFonts w:hint="eastAsia" w:ascii="宋体" w:hAnsi="宋体" w:cs="宋体"/>
          <w:color w:val="auto"/>
          <w:sz w:val="24"/>
          <w:highlight w:val="none"/>
        </w:rPr>
        <w:t>。</w:t>
      </w:r>
    </w:p>
    <w:p>
      <w:pPr>
        <w:spacing w:line="460" w:lineRule="exact"/>
        <w:rPr>
          <w:rFonts w:ascii="宋体" w:hAnsi="宋体" w:cs="宋体"/>
          <w:color w:val="auto"/>
          <w:sz w:val="24"/>
          <w:highlight w:val="none"/>
        </w:rPr>
      </w:pPr>
      <w:r>
        <w:rPr>
          <w:rFonts w:hint="eastAsia" w:ascii="宋体" w:hAnsi="宋体" w:cs="宋体"/>
          <w:color w:val="auto"/>
          <w:sz w:val="24"/>
          <w:highlight w:val="none"/>
        </w:rPr>
        <w:t xml:space="preserve">注： </w:t>
      </w:r>
      <w:r>
        <w:rPr>
          <w:rFonts w:hint="eastAsia" w:ascii="宋体" w:hAnsi="宋体" w:cs="宋体"/>
          <w:b/>
          <w:bCs/>
          <w:color w:val="auto"/>
          <w:sz w:val="24"/>
          <w:highlight w:val="none"/>
        </w:rPr>
        <w:t>货物由中小企业制造，即货物由中小企业生产且使用该中小企业商号或者注册商标</w:t>
      </w:r>
      <w:r>
        <w:rPr>
          <w:rFonts w:hint="eastAsia" w:ascii="宋体" w:hAnsi="宋体" w:cs="宋体"/>
          <w:color w:val="auto"/>
          <w:sz w:val="24"/>
          <w:highlight w:val="none"/>
        </w:rPr>
        <w:t>）</w:t>
      </w:r>
    </w:p>
    <w:p>
      <w:pPr>
        <w:spacing w:line="360" w:lineRule="auto"/>
        <w:ind w:firstLine="240" w:firstLineChars="100"/>
        <w:rPr>
          <w:rFonts w:ascii="宋体" w:hAnsi="宋体" w:cs="宋体"/>
          <w:color w:val="auto"/>
          <w:sz w:val="24"/>
          <w:highlight w:val="none"/>
        </w:rPr>
      </w:pPr>
      <w:bookmarkStart w:id="59" w:name="_Toc7039"/>
      <w:bookmarkStart w:id="60" w:name="_Toc28913"/>
      <w:r>
        <w:rPr>
          <w:rFonts w:hint="eastAsia" w:ascii="宋体" w:hAnsi="宋体" w:cs="宋体"/>
          <w:color w:val="auto"/>
          <w:sz w:val="24"/>
          <w:highlight w:val="none"/>
        </w:rPr>
        <w:t>1中小企业声明函（附件1-1）</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2监狱企业证明文件（附件1-2）</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3残疾人福利性单位声明函（附件1-3）</w:t>
      </w:r>
    </w:p>
    <w:p>
      <w:pPr>
        <w:spacing w:line="460" w:lineRule="exact"/>
        <w:rPr>
          <w:rFonts w:ascii="宋体" w:hAnsi="宋体" w:cs="宋体"/>
          <w:color w:val="auto"/>
          <w:sz w:val="24"/>
          <w:highlight w:val="none"/>
        </w:rPr>
      </w:pPr>
      <w:bookmarkStart w:id="61" w:name="_Toc11518"/>
      <w:bookmarkStart w:id="62" w:name="_Toc10770"/>
      <w:bookmarkStart w:id="63" w:name="_Toc11364"/>
      <w:bookmarkStart w:id="64" w:name="_Toc1351"/>
      <w:r>
        <w:rPr>
          <w:rFonts w:hint="eastAsia" w:ascii="宋体" w:hAnsi="宋体" w:cs="宋体"/>
          <w:color w:val="auto"/>
          <w:sz w:val="24"/>
          <w:highlight w:val="none"/>
        </w:rPr>
        <w:t>九、其他资料</w:t>
      </w:r>
      <w:bookmarkEnd w:id="59"/>
      <w:bookmarkEnd w:id="60"/>
      <w:bookmarkEnd w:id="61"/>
      <w:bookmarkEnd w:id="62"/>
      <w:bookmarkEnd w:id="63"/>
      <w:bookmarkEnd w:id="64"/>
    </w:p>
    <w:p>
      <w:pPr>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投标保证金凭证（电汇凭证或收据等）复印件</w:t>
      </w:r>
    </w:p>
    <w:p>
      <w:pPr>
        <w:spacing w:line="460" w:lineRule="exact"/>
        <w:ind w:firstLine="241" w:firstLineChars="100"/>
        <w:rPr>
          <w:rFonts w:ascii="宋体" w:hAnsi="宋体" w:cs="宋体"/>
          <w:bCs/>
          <w:color w:val="auto"/>
          <w:sz w:val="24"/>
          <w:highlight w:val="none"/>
        </w:rPr>
      </w:pPr>
      <w:r>
        <w:rPr>
          <w:rFonts w:hint="eastAsia" w:ascii="宋体" w:hAnsi="宋体" w:cs="宋体"/>
          <w:b/>
          <w:color w:val="auto"/>
          <w:sz w:val="24"/>
          <w:highlight w:val="none"/>
        </w:rPr>
        <w:t>注：1.投标人制作投标文件，应按照投标文件组成顺序制作，编好始末页码且在投标文件目录中一一列明并对应。</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2.招标文件没有提供格式的，投标人可自行设置。</w:t>
      </w:r>
    </w:p>
    <w:p>
      <w:pPr>
        <w:spacing w:line="360" w:lineRule="auto"/>
        <w:rPr>
          <w:rFonts w:ascii="宋体" w:hAnsi="宋体" w:cs="宋体"/>
          <w:color w:val="auto"/>
          <w:sz w:val="24"/>
          <w:highlight w:val="none"/>
        </w:rPr>
      </w:pPr>
      <w:r>
        <w:rPr>
          <w:rFonts w:hint="eastAsia" w:ascii="宋体" w:hAnsi="宋体" w:cs="宋体"/>
          <w:b/>
          <w:color w:val="auto"/>
          <w:highlight w:val="none"/>
        </w:rPr>
        <w:br w:type="page"/>
      </w:r>
      <w:r>
        <w:rPr>
          <w:rFonts w:hint="eastAsia" w:ascii="宋体" w:hAnsi="宋体" w:cs="宋体"/>
          <w:b/>
          <w:color w:val="auto"/>
          <w:sz w:val="24"/>
          <w:highlight w:val="none"/>
        </w:rPr>
        <w:t>2、资格文件格式</w:t>
      </w:r>
    </w:p>
    <w:p>
      <w:pPr>
        <w:jc w:val="center"/>
        <w:rPr>
          <w:rFonts w:ascii="宋体" w:hAnsi="宋体" w:cs="宋体"/>
          <w:color w:val="auto"/>
          <w:sz w:val="28"/>
          <w:szCs w:val="28"/>
          <w:highlight w:val="none"/>
        </w:rPr>
      </w:pPr>
      <w:r>
        <w:rPr>
          <w:rFonts w:hint="eastAsia" w:ascii="宋体" w:hAnsi="宋体" w:cs="宋体"/>
          <w:b/>
          <w:color w:val="auto"/>
          <w:sz w:val="28"/>
          <w:szCs w:val="28"/>
          <w:highlight w:val="none"/>
        </w:rPr>
        <w:t>附件1-1    中小微企业声明函</w:t>
      </w:r>
    </w:p>
    <w:p>
      <w:pPr>
        <w:jc w:val="center"/>
        <w:rPr>
          <w:rFonts w:ascii="宋体" w:hAnsi="宋体" w:cs="宋体"/>
          <w:color w:val="auto"/>
          <w:sz w:val="24"/>
          <w:highlight w:val="none"/>
        </w:rPr>
      </w:pPr>
      <w:r>
        <w:rPr>
          <w:rFonts w:hint="eastAsia" w:ascii="宋体" w:hAnsi="宋体" w:cs="宋体"/>
          <w:color w:val="auto"/>
          <w:sz w:val="24"/>
          <w:highlight w:val="none"/>
        </w:rPr>
        <w:t>中小微企业声明函（服务、工程）</w:t>
      </w:r>
    </w:p>
    <w:p>
      <w:pPr>
        <w:jc w:val="center"/>
        <w:rPr>
          <w:rFonts w:ascii="宋体" w:hAnsi="宋体" w:cs="宋体"/>
          <w:color w:val="auto"/>
          <w:sz w:val="24"/>
          <w:highlight w:val="none"/>
        </w:rPr>
      </w:pP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本公司郑重声明，根据《政府采购促进中小企业发展管理办法》（财库﹝ 2020﹞ 46 号）的规定，本公司参加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采购活动，工程的施工单位为符合政策要求的中小企业。企业的具体情况如下：</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（采购文件中明确的所属行业）行业</w:t>
      </w:r>
      <w:r>
        <w:rPr>
          <w:rFonts w:hint="eastAsia" w:ascii="宋体" w:hAnsi="宋体" w:cs="宋体"/>
          <w:color w:val="auto"/>
          <w:kern w:val="0"/>
          <w:sz w:val="24"/>
          <w:highlight w:val="none"/>
        </w:rPr>
        <w:t>；承接企业为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，从业人员人，营业收入为万元，资产总额为万元</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pPr>
        <w:widowControl/>
        <w:wordWrap w:val="0"/>
        <w:spacing w:line="360" w:lineRule="auto"/>
        <w:ind w:firstLine="480" w:firstLineChars="200"/>
        <w:jc w:val="right"/>
        <w:rPr>
          <w:rFonts w:ascii="宋体" w:hAnsi="宋体" w:cs="宋体"/>
          <w:color w:val="auto"/>
          <w:kern w:val="0"/>
          <w:sz w:val="24"/>
          <w:highlight w:val="none"/>
        </w:rPr>
      </w:pPr>
    </w:p>
    <w:p>
      <w:pPr>
        <w:widowControl/>
        <w:wordWrap w:val="0"/>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企业名称（盖章）：</w:t>
      </w:r>
    </w:p>
    <w:p>
      <w:pPr>
        <w:widowControl/>
        <w:wordWrap w:val="0"/>
        <w:spacing w:line="360" w:lineRule="auto"/>
        <w:ind w:firstLine="480" w:firstLineChars="200"/>
        <w:jc w:val="center"/>
        <w:rPr>
          <w:rFonts w:ascii="宋体" w:hAnsi="宋体" w:cs="宋体"/>
          <w:color w:val="auto"/>
          <w:kern w:val="0"/>
          <w:sz w:val="24"/>
          <w:highlight w:val="none"/>
        </w:rPr>
      </w:pPr>
      <w:r>
        <w:rPr>
          <w:rFonts w:hint="eastAsia" w:ascii="宋体" w:hAnsi="宋体" w:cs="宋体"/>
          <w:color w:val="auto"/>
          <w:kern w:val="0"/>
          <w:sz w:val="24"/>
          <w:highlight w:val="none"/>
        </w:rPr>
        <w:t>日期：</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从业人员、营业收入、资产总额填报上一年度数据，无上一年度数据的新成立企业可不填报。</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tabs>
          <w:tab w:val="left" w:pos="3777"/>
          <w:tab w:val="center" w:pos="4819"/>
        </w:tabs>
        <w:spacing w:line="360" w:lineRule="auto"/>
        <w:ind w:firstLine="2409" w:firstLineChars="750"/>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tabs>
          <w:tab w:val="left" w:pos="3777"/>
          <w:tab w:val="center" w:pos="4819"/>
        </w:tabs>
        <w:spacing w:line="360" w:lineRule="auto"/>
        <w:ind w:firstLine="2951" w:firstLineChars="1050"/>
        <w:rPr>
          <w:rFonts w:ascii="宋体" w:hAnsi="宋体" w:cs="宋体"/>
          <w:b/>
          <w:color w:val="auto"/>
          <w:sz w:val="28"/>
          <w:szCs w:val="28"/>
          <w:highlight w:val="none"/>
        </w:rPr>
      </w:pPr>
      <w:r>
        <w:rPr>
          <w:rFonts w:hint="eastAsia" w:ascii="宋体" w:hAnsi="宋体" w:cs="宋体"/>
          <w:b/>
          <w:color w:val="auto"/>
          <w:sz w:val="28"/>
          <w:szCs w:val="28"/>
          <w:highlight w:val="none"/>
        </w:rPr>
        <w:t>附件1-2  监狱企业证明文件</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（监狱企业适用）</w:t>
      </w:r>
    </w:p>
    <w:p>
      <w:pPr>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p>
    <w:p>
      <w:pPr>
        <w:tabs>
          <w:tab w:val="left" w:pos="3600"/>
        </w:tabs>
        <w:adjustRightInd w:val="0"/>
        <w:snapToGrid w:val="0"/>
        <w:spacing w:line="440" w:lineRule="exact"/>
        <w:jc w:val="center"/>
        <w:rPr>
          <w:rFonts w:ascii="宋体" w:hAnsi="宋体" w:cs="宋体"/>
          <w:color w:val="auto"/>
          <w:sz w:val="24"/>
          <w:highlight w:val="none"/>
        </w:rPr>
      </w:pPr>
    </w:p>
    <w:p>
      <w:pPr>
        <w:pStyle w:val="23"/>
        <w:rPr>
          <w:rFonts w:ascii="宋体" w:hAnsi="宋体" w:cs="宋体"/>
          <w:color w:val="auto"/>
          <w:highlight w:val="none"/>
        </w:rPr>
      </w:pPr>
    </w:p>
    <w:p>
      <w:pPr>
        <w:pStyle w:val="23"/>
        <w:rPr>
          <w:rFonts w:ascii="宋体" w:hAnsi="宋体" w:cs="宋体"/>
          <w:color w:val="auto"/>
          <w:highlight w:val="none"/>
        </w:rPr>
      </w:pPr>
    </w:p>
    <w:p>
      <w:pPr>
        <w:tabs>
          <w:tab w:val="left" w:pos="3600"/>
        </w:tabs>
        <w:adjustRightInd w:val="0"/>
        <w:snapToGrid w:val="0"/>
        <w:spacing w:line="440" w:lineRule="exact"/>
        <w:jc w:val="center"/>
        <w:rPr>
          <w:rFonts w:ascii="宋体" w:hAnsi="宋体" w:cs="宋体"/>
          <w:b/>
          <w:bCs/>
          <w:color w:val="auto"/>
          <w:spacing w:val="6"/>
          <w:sz w:val="28"/>
          <w:szCs w:val="28"/>
          <w:highlight w:val="none"/>
        </w:rPr>
      </w:pPr>
      <w:r>
        <w:rPr>
          <w:rFonts w:hint="eastAsia" w:ascii="宋体" w:hAnsi="宋体" w:cs="宋体"/>
          <w:b/>
          <w:color w:val="auto"/>
          <w:sz w:val="28"/>
          <w:szCs w:val="28"/>
          <w:highlight w:val="none"/>
        </w:rPr>
        <w:t xml:space="preserve">附件1-3  </w:t>
      </w:r>
      <w:r>
        <w:rPr>
          <w:rFonts w:hint="eastAsia" w:ascii="宋体" w:hAnsi="宋体" w:cs="宋体"/>
          <w:b/>
          <w:bCs/>
          <w:color w:val="auto"/>
          <w:spacing w:val="6"/>
          <w:sz w:val="28"/>
          <w:szCs w:val="28"/>
          <w:highlight w:val="none"/>
        </w:rPr>
        <w:t>残疾人福利性单位声明函</w:t>
      </w:r>
    </w:p>
    <w:p>
      <w:pPr>
        <w:autoSpaceDE w:val="0"/>
        <w:autoSpaceDN w:val="0"/>
        <w:adjustRightInd w:val="0"/>
        <w:spacing w:line="440" w:lineRule="exact"/>
        <w:rPr>
          <w:rFonts w:ascii="宋体" w:hAnsi="宋体" w:cs="宋体"/>
          <w:b/>
          <w:bCs/>
          <w:color w:val="auto"/>
          <w:spacing w:val="6"/>
          <w:highlight w:val="none"/>
        </w:rPr>
      </w:pPr>
    </w:p>
    <w:p>
      <w:pPr>
        <w:adjustRightInd w:val="0"/>
        <w:snapToGrid w:val="0"/>
        <w:spacing w:line="4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 xml:space="preserve">本单位对上述声明的真实性负责。如有虚假，将依法承担相应责任。 </w:t>
      </w:r>
    </w:p>
    <w:p>
      <w:pPr>
        <w:adjustRightInd w:val="0"/>
        <w:snapToGrid w:val="0"/>
        <w:spacing w:line="440" w:lineRule="exact"/>
        <w:ind w:firstLine="504" w:firstLineChars="200"/>
        <w:rPr>
          <w:rFonts w:ascii="宋体" w:hAnsi="宋体" w:cs="宋体"/>
          <w:color w:val="auto"/>
          <w:spacing w:val="6"/>
          <w:sz w:val="24"/>
          <w:highlight w:val="none"/>
        </w:rPr>
      </w:pPr>
    </w:p>
    <w:p>
      <w:pPr>
        <w:adjustRightInd w:val="0"/>
        <w:snapToGrid w:val="0"/>
        <w:spacing w:line="440" w:lineRule="exact"/>
        <w:ind w:firstLine="5544" w:firstLineChars="2200"/>
        <w:rPr>
          <w:rFonts w:ascii="宋体" w:hAnsi="宋体" w:cs="宋体"/>
          <w:color w:val="auto"/>
          <w:spacing w:val="6"/>
          <w:sz w:val="24"/>
          <w:highlight w:val="none"/>
        </w:rPr>
      </w:pPr>
      <w:r>
        <w:rPr>
          <w:rFonts w:hint="eastAsia" w:ascii="宋体" w:hAnsi="宋体" w:cs="宋体"/>
          <w:color w:val="auto"/>
          <w:spacing w:val="6"/>
          <w:sz w:val="24"/>
          <w:highlight w:val="none"/>
        </w:rPr>
        <w:t>单位名称（盖章）：</w:t>
      </w:r>
    </w:p>
    <w:p>
      <w:pPr>
        <w:adjustRightInd w:val="0"/>
        <w:snapToGrid w:val="0"/>
        <w:spacing w:line="4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pPr>
        <w:pStyle w:val="19"/>
        <w:rPr>
          <w:rFonts w:ascii="宋体" w:hAnsi="宋体" w:eastAsia="宋体" w:cs="宋体"/>
          <w:color w:val="auto"/>
          <w:highlight w:val="none"/>
        </w:rPr>
      </w:pPr>
      <w:r>
        <w:rPr>
          <w:rFonts w:hint="eastAsia" w:ascii="宋体" w:hAnsi="宋体" w:eastAsia="宋体" w:cs="宋体"/>
          <w:color w:val="auto"/>
          <w:highlight w:val="none"/>
        </w:rPr>
        <w:br w:type="page"/>
      </w:r>
    </w:p>
    <w:p>
      <w:pPr>
        <w:spacing w:line="440" w:lineRule="exact"/>
        <w:jc w:val="left"/>
        <w:outlineLvl w:val="0"/>
        <w:rPr>
          <w:rFonts w:ascii="宋体" w:hAnsi="宋体" w:cs="宋体"/>
          <w:b/>
          <w:color w:val="auto"/>
          <w:sz w:val="28"/>
          <w:szCs w:val="28"/>
          <w:highlight w:val="none"/>
        </w:rPr>
      </w:pPr>
      <w:bookmarkStart w:id="65" w:name="_Toc1029"/>
      <w:r>
        <w:rPr>
          <w:rFonts w:hint="eastAsia" w:ascii="宋体" w:hAnsi="宋体" w:cs="宋体"/>
          <w:b/>
          <w:color w:val="auto"/>
          <w:sz w:val="28"/>
          <w:szCs w:val="28"/>
          <w:highlight w:val="none"/>
        </w:rPr>
        <w:t>（三）商务技术响应文件</w:t>
      </w:r>
      <w:bookmarkEnd w:id="65"/>
    </w:p>
    <w:p>
      <w:pPr>
        <w:rPr>
          <w:rFonts w:ascii="宋体" w:hAnsi="宋体" w:cs="宋体"/>
          <w:b/>
          <w:color w:val="auto"/>
          <w:sz w:val="24"/>
          <w:highlight w:val="none"/>
        </w:rPr>
      </w:pPr>
      <w:r>
        <w:rPr>
          <w:rFonts w:hint="eastAsia" w:ascii="宋体" w:hAnsi="宋体" w:cs="宋体"/>
          <w:b/>
          <w:color w:val="auto"/>
          <w:sz w:val="24"/>
          <w:highlight w:val="none"/>
        </w:rPr>
        <w:t>1、商务技术响应文件封面</w:t>
      </w:r>
    </w:p>
    <w:p>
      <w:pPr>
        <w:rPr>
          <w:rFonts w:ascii="宋体" w:hAnsi="宋体" w:cs="宋体"/>
          <w:color w:val="auto"/>
          <w:sz w:val="24"/>
          <w:highlight w:val="none"/>
        </w:rPr>
      </w:pPr>
    </w:p>
    <w:p>
      <w:pPr>
        <w:rPr>
          <w:rFonts w:ascii="宋体" w:hAnsi="宋体" w:cs="宋体"/>
          <w:color w:val="auto"/>
          <w:sz w:val="24"/>
          <w:highlight w:val="none"/>
        </w:rPr>
      </w:pPr>
    </w:p>
    <w:p>
      <w:pPr>
        <w:jc w:val="center"/>
        <w:rPr>
          <w:rFonts w:ascii="宋体" w:hAnsi="宋体" w:cs="宋体"/>
          <w:b/>
          <w:color w:val="auto"/>
          <w:sz w:val="24"/>
          <w:highlight w:val="none"/>
        </w:rPr>
      </w:pPr>
    </w:p>
    <w:p>
      <w:pPr>
        <w:jc w:val="center"/>
        <w:rPr>
          <w:rFonts w:ascii="宋体" w:hAnsi="宋体" w:cs="宋体"/>
          <w:b/>
          <w:color w:val="auto"/>
          <w:sz w:val="24"/>
          <w:highlight w:val="none"/>
        </w:rPr>
      </w:pPr>
    </w:p>
    <w:p>
      <w:pPr>
        <w:jc w:val="center"/>
        <w:rPr>
          <w:rFonts w:ascii="宋体" w:hAnsi="宋体" w:cs="宋体"/>
          <w:b/>
          <w:color w:val="auto"/>
          <w:sz w:val="24"/>
          <w:highlight w:val="none"/>
        </w:rPr>
      </w:pPr>
    </w:p>
    <w:p>
      <w:pPr>
        <w:spacing w:line="360" w:lineRule="auto"/>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乌鲁木齐市第一百一十六中学暑假维修项目</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商务技术响应文件</w:t>
      </w:r>
    </w:p>
    <w:p>
      <w:pPr>
        <w:spacing w:line="360" w:lineRule="auto"/>
        <w:ind w:firstLine="480"/>
        <w:rPr>
          <w:rFonts w:ascii="宋体" w:hAnsi="宋体" w:cs="宋体"/>
          <w:color w:val="auto"/>
          <w:sz w:val="24"/>
          <w:highlight w:val="none"/>
        </w:rPr>
      </w:pPr>
    </w:p>
    <w:p>
      <w:pPr>
        <w:spacing w:line="360" w:lineRule="auto"/>
        <w:ind w:firstLine="480"/>
        <w:rPr>
          <w:rFonts w:ascii="宋体" w:hAnsi="宋体" w:cs="宋体"/>
          <w:color w:val="auto"/>
          <w:sz w:val="24"/>
          <w:highlight w:val="none"/>
        </w:rPr>
      </w:pPr>
    </w:p>
    <w:p>
      <w:pPr>
        <w:spacing w:line="360" w:lineRule="auto"/>
        <w:ind w:firstLine="480"/>
        <w:rPr>
          <w:rFonts w:ascii="宋体" w:hAnsi="宋体" w:cs="宋体"/>
          <w:color w:val="auto"/>
          <w:sz w:val="24"/>
          <w:highlight w:val="none"/>
        </w:rPr>
      </w:pPr>
    </w:p>
    <w:p>
      <w:pPr>
        <w:spacing w:line="360" w:lineRule="auto"/>
        <w:ind w:firstLine="480"/>
        <w:rPr>
          <w:rFonts w:ascii="宋体" w:hAnsi="宋体" w:cs="宋体"/>
          <w:color w:val="auto"/>
          <w:sz w:val="24"/>
          <w:highlight w:val="none"/>
        </w:rPr>
      </w:pPr>
    </w:p>
    <w:p>
      <w:pPr>
        <w:spacing w:line="360" w:lineRule="auto"/>
        <w:ind w:firstLine="480"/>
        <w:rPr>
          <w:rFonts w:ascii="宋体" w:hAnsi="宋体" w:cs="宋体"/>
          <w:color w:val="auto"/>
          <w:sz w:val="24"/>
          <w:highlight w:val="none"/>
        </w:rPr>
      </w:pP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项目编号：</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投标单位名称：</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投标内容：</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投标单位联系人：</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投标单位联系电话：</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二〇  年  月</w:t>
      </w:r>
    </w:p>
    <w:p>
      <w:pPr>
        <w:spacing w:line="360" w:lineRule="auto"/>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2、</w:t>
      </w:r>
      <w:r>
        <w:rPr>
          <w:rFonts w:hint="eastAsia" w:ascii="宋体" w:hAnsi="宋体" w:cs="宋体"/>
          <w:b/>
          <w:color w:val="auto"/>
          <w:sz w:val="24"/>
          <w:highlight w:val="none"/>
        </w:rPr>
        <w:t>商务技术响应文件组成</w:t>
      </w:r>
    </w:p>
    <w:p>
      <w:pPr>
        <w:rPr>
          <w:rFonts w:ascii="宋体" w:hAnsi="宋体" w:cs="宋体"/>
          <w:color w:val="auto"/>
          <w:sz w:val="24"/>
          <w:highlight w:val="none"/>
        </w:rPr>
      </w:pPr>
      <w:bookmarkStart w:id="66" w:name="_Toc26454"/>
      <w:bookmarkStart w:id="67" w:name="_Toc3043"/>
      <w:bookmarkStart w:id="68" w:name="_Toc12222"/>
      <w:bookmarkStart w:id="69" w:name="_Toc1692"/>
      <w:r>
        <w:rPr>
          <w:rFonts w:hint="eastAsia" w:ascii="宋体" w:hAnsi="宋体" w:cs="宋体"/>
          <w:color w:val="auto"/>
          <w:sz w:val="24"/>
          <w:highlight w:val="none"/>
        </w:rPr>
        <w:t>一、投标人代表身份证明</w:t>
      </w:r>
      <w:bookmarkEnd w:id="66"/>
      <w:bookmarkEnd w:id="67"/>
      <w:bookmarkEnd w:id="68"/>
      <w:bookmarkEnd w:id="69"/>
    </w:p>
    <w:p>
      <w:pPr>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  法定代表人身份证明复印件(法定代表人参加投标)（附件2-0-1）</w:t>
      </w:r>
    </w:p>
    <w:p>
      <w:pPr>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  法定代表人授权委托书(授权代表参加投标) （附件2-0-2）</w:t>
      </w:r>
    </w:p>
    <w:p>
      <w:pPr>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3  授权委托书 (适用于自然人委托投标) （附件2-0-3）</w:t>
      </w:r>
    </w:p>
    <w:p>
      <w:pPr>
        <w:spacing w:line="360" w:lineRule="auto"/>
        <w:rPr>
          <w:rFonts w:ascii="宋体" w:hAnsi="宋体" w:cs="宋体"/>
          <w:color w:val="auto"/>
          <w:sz w:val="24"/>
          <w:highlight w:val="none"/>
        </w:rPr>
      </w:pPr>
      <w:r>
        <w:rPr>
          <w:rFonts w:hint="eastAsia" w:ascii="宋体" w:hAnsi="宋体" w:cs="宋体"/>
          <w:color w:val="auto"/>
          <w:sz w:val="24"/>
          <w:highlight w:val="none"/>
        </w:rPr>
        <w:t>二、响应承诺书（附件2-1）</w:t>
      </w:r>
    </w:p>
    <w:p>
      <w:pPr>
        <w:spacing w:line="360" w:lineRule="auto"/>
        <w:rPr>
          <w:rFonts w:ascii="宋体" w:hAnsi="宋体" w:cs="宋体"/>
          <w:color w:val="auto"/>
          <w:sz w:val="24"/>
          <w:highlight w:val="none"/>
        </w:rPr>
      </w:pPr>
      <w:r>
        <w:rPr>
          <w:rFonts w:hint="eastAsia" w:ascii="宋体" w:hAnsi="宋体" w:cs="宋体"/>
          <w:color w:val="auto"/>
          <w:sz w:val="24"/>
          <w:highlight w:val="none"/>
        </w:rPr>
        <w:t>三、反商业贿赂承诺书；（附件2-2）</w:t>
      </w:r>
    </w:p>
    <w:p>
      <w:pPr>
        <w:spacing w:line="360" w:lineRule="auto"/>
        <w:rPr>
          <w:rFonts w:ascii="宋体" w:hAnsi="宋体" w:cs="宋体"/>
          <w:color w:val="auto"/>
          <w:sz w:val="24"/>
          <w:highlight w:val="none"/>
        </w:rPr>
      </w:pPr>
      <w:r>
        <w:rPr>
          <w:rFonts w:hint="eastAsia" w:ascii="宋体" w:hAnsi="宋体" w:cs="宋体"/>
          <w:color w:val="auto"/>
          <w:sz w:val="24"/>
          <w:highlight w:val="none"/>
        </w:rPr>
        <w:t>四、商务条款偏离表（附件2-3）</w:t>
      </w:r>
    </w:p>
    <w:p>
      <w:pPr>
        <w:spacing w:line="360" w:lineRule="auto"/>
        <w:rPr>
          <w:rFonts w:ascii="宋体" w:hAnsi="宋体" w:cs="宋体"/>
          <w:color w:val="auto"/>
          <w:sz w:val="24"/>
          <w:highlight w:val="none"/>
        </w:rPr>
      </w:pPr>
      <w:r>
        <w:rPr>
          <w:rFonts w:hint="eastAsia" w:ascii="宋体" w:hAnsi="宋体" w:cs="宋体"/>
          <w:color w:val="auto"/>
          <w:sz w:val="24"/>
          <w:highlight w:val="none"/>
        </w:rPr>
        <w:t>五、提供符合政府采购政策的证明材料（如有提供，不享受相关政策的投标人无需提供。）</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 节能、环境标志产品优惠明细表（附件2-4）</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2节能、环境标志产品证明材料（附件2-5）</w:t>
      </w:r>
    </w:p>
    <w:p>
      <w:pPr>
        <w:spacing w:line="360" w:lineRule="auto"/>
        <w:rPr>
          <w:rFonts w:ascii="宋体" w:hAnsi="宋体" w:cs="宋体"/>
          <w:color w:val="auto"/>
          <w:sz w:val="24"/>
          <w:highlight w:val="none"/>
        </w:rPr>
      </w:pPr>
      <w:r>
        <w:rPr>
          <w:rFonts w:hint="eastAsia" w:ascii="宋体" w:hAnsi="宋体" w:cs="宋体"/>
          <w:color w:val="auto"/>
          <w:sz w:val="24"/>
          <w:highlight w:val="none"/>
        </w:rPr>
        <w:t>六、项目负责人简历表及拟投入本项目主要成员表（附件2-6）</w:t>
      </w:r>
    </w:p>
    <w:p>
      <w:pPr>
        <w:spacing w:line="360" w:lineRule="auto"/>
        <w:rPr>
          <w:rFonts w:ascii="宋体" w:hAnsi="宋体" w:cs="宋体"/>
          <w:color w:val="auto"/>
          <w:sz w:val="24"/>
          <w:highlight w:val="none"/>
        </w:rPr>
      </w:pPr>
      <w:r>
        <w:rPr>
          <w:rFonts w:hint="eastAsia" w:ascii="宋体" w:hAnsi="宋体" w:cs="宋体"/>
          <w:color w:val="auto"/>
          <w:sz w:val="24"/>
          <w:highlight w:val="none"/>
        </w:rPr>
        <w:t>七、近三年经营业绩表（附件2-7）</w:t>
      </w:r>
    </w:p>
    <w:p>
      <w:pPr>
        <w:spacing w:line="360" w:lineRule="auto"/>
        <w:rPr>
          <w:rFonts w:ascii="宋体" w:hAnsi="宋体" w:cs="宋体"/>
          <w:color w:val="auto"/>
          <w:sz w:val="24"/>
          <w:highlight w:val="none"/>
        </w:rPr>
      </w:pPr>
      <w:r>
        <w:rPr>
          <w:rFonts w:hint="eastAsia" w:ascii="宋体" w:hAnsi="宋体" w:cs="宋体"/>
          <w:color w:val="auto"/>
          <w:sz w:val="24"/>
          <w:highlight w:val="none"/>
        </w:rPr>
        <w:t>八、产品简要说明一览表（附件2-8）</w:t>
      </w:r>
    </w:p>
    <w:p>
      <w:pPr>
        <w:spacing w:line="360" w:lineRule="auto"/>
        <w:rPr>
          <w:rFonts w:ascii="宋体" w:hAnsi="宋体" w:cs="宋体"/>
          <w:color w:val="auto"/>
          <w:sz w:val="24"/>
          <w:highlight w:val="none"/>
        </w:rPr>
      </w:pPr>
      <w:r>
        <w:rPr>
          <w:rFonts w:hint="eastAsia" w:ascii="宋体" w:hAnsi="宋体" w:cs="宋体"/>
          <w:color w:val="auto"/>
          <w:sz w:val="24"/>
          <w:highlight w:val="none"/>
        </w:rPr>
        <w:t>九、规格、技术参数偏离表（附件2-9）</w:t>
      </w:r>
    </w:p>
    <w:p>
      <w:pPr>
        <w:spacing w:line="360" w:lineRule="auto"/>
        <w:rPr>
          <w:rFonts w:ascii="宋体" w:hAnsi="宋体" w:cs="宋体"/>
          <w:color w:val="auto"/>
          <w:sz w:val="24"/>
          <w:highlight w:val="none"/>
        </w:rPr>
      </w:pPr>
      <w:r>
        <w:rPr>
          <w:rFonts w:hint="eastAsia" w:ascii="宋体" w:hAnsi="宋体" w:cs="宋体"/>
          <w:color w:val="auto"/>
          <w:sz w:val="24"/>
          <w:highlight w:val="none"/>
        </w:rPr>
        <w:t>十、售后服务承诺书（附件2-10）</w:t>
      </w:r>
    </w:p>
    <w:p>
      <w:pPr>
        <w:spacing w:line="360" w:lineRule="auto"/>
        <w:rPr>
          <w:rFonts w:ascii="宋体" w:hAnsi="宋体" w:cs="宋体"/>
          <w:color w:val="auto"/>
          <w:sz w:val="24"/>
          <w:highlight w:val="none"/>
        </w:rPr>
      </w:pPr>
      <w:r>
        <w:rPr>
          <w:rFonts w:hint="eastAsia" w:ascii="宋体" w:hAnsi="宋体" w:cs="宋体"/>
          <w:color w:val="auto"/>
          <w:sz w:val="24"/>
          <w:highlight w:val="none"/>
        </w:rPr>
        <w:t>十一、服务方案（服务承诺详述、维修、培训以及服务联系人、联系方式等详述）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包含但不限于配送方案及应急处理方案、培训方案，服务明确响应时间、出现质量问题解决时间、服务响应的联系人及联系方式，配送车辆安排等相关信息及证明材料。</w:t>
      </w:r>
    </w:p>
    <w:p>
      <w:pPr>
        <w:spacing w:line="360" w:lineRule="auto"/>
        <w:rPr>
          <w:rFonts w:ascii="宋体" w:hAnsi="宋体" w:cs="宋体"/>
          <w:color w:val="auto"/>
          <w:sz w:val="24"/>
          <w:highlight w:val="none"/>
        </w:rPr>
      </w:pPr>
      <w:r>
        <w:rPr>
          <w:rFonts w:hint="eastAsia" w:ascii="宋体" w:hAnsi="宋体" w:cs="宋体"/>
          <w:color w:val="auto"/>
          <w:sz w:val="24"/>
          <w:highlight w:val="none"/>
        </w:rPr>
        <w:t>十二、售后服务机构及联系方式：（后附相关房产证明等证明材料）</w:t>
      </w:r>
    </w:p>
    <w:p>
      <w:pPr>
        <w:spacing w:line="360" w:lineRule="auto"/>
        <w:rPr>
          <w:rFonts w:ascii="宋体" w:hAnsi="宋体" w:cs="宋体"/>
          <w:color w:val="auto"/>
          <w:sz w:val="24"/>
          <w:highlight w:val="none"/>
        </w:rPr>
      </w:pPr>
      <w:r>
        <w:rPr>
          <w:rFonts w:hint="eastAsia" w:ascii="宋体" w:hAnsi="宋体" w:cs="宋体"/>
          <w:color w:val="auto"/>
          <w:sz w:val="24"/>
          <w:highlight w:val="none"/>
        </w:rPr>
        <w:t>十三、质量保证承诺书</w:t>
      </w:r>
    </w:p>
    <w:p>
      <w:pPr>
        <w:spacing w:line="360" w:lineRule="auto"/>
        <w:rPr>
          <w:rFonts w:ascii="宋体" w:hAnsi="宋体" w:cs="宋体"/>
          <w:color w:val="auto"/>
          <w:sz w:val="24"/>
          <w:highlight w:val="none"/>
        </w:rPr>
      </w:pPr>
      <w:r>
        <w:rPr>
          <w:rFonts w:hint="eastAsia" w:ascii="宋体" w:hAnsi="宋体" w:cs="宋体"/>
          <w:bCs/>
          <w:color w:val="auto"/>
          <w:sz w:val="24"/>
          <w:highlight w:val="none"/>
        </w:rPr>
        <w:t>十四、</w:t>
      </w:r>
      <w:r>
        <w:rPr>
          <w:rFonts w:hint="eastAsia" w:ascii="宋体" w:hAnsi="宋体" w:cs="宋体"/>
          <w:color w:val="auto"/>
          <w:sz w:val="24"/>
          <w:highlight w:val="none"/>
        </w:rPr>
        <w:t>其他资料</w:t>
      </w:r>
    </w:p>
    <w:p>
      <w:pPr>
        <w:spacing w:line="360" w:lineRule="auto"/>
        <w:rPr>
          <w:rFonts w:ascii="宋体" w:hAnsi="宋体" w:cs="宋体"/>
          <w:color w:val="auto"/>
          <w:sz w:val="24"/>
          <w:highlight w:val="none"/>
        </w:rPr>
      </w:pPr>
      <w:r>
        <w:rPr>
          <w:rFonts w:hint="eastAsia" w:ascii="宋体" w:hAnsi="宋体" w:cs="宋体"/>
          <w:color w:val="auto"/>
          <w:sz w:val="24"/>
          <w:highlight w:val="none"/>
        </w:rPr>
        <w:t>十五、招标文件中要求提交的和投标人认为需要提供的其它说明和资料。</w:t>
      </w:r>
    </w:p>
    <w:p>
      <w:pPr>
        <w:spacing w:line="440" w:lineRule="exact"/>
        <w:rPr>
          <w:rFonts w:ascii="宋体" w:hAnsi="宋体" w:cs="宋体"/>
          <w:bCs/>
          <w:color w:val="auto"/>
          <w:sz w:val="24"/>
          <w:highlight w:val="none"/>
        </w:rPr>
      </w:pPr>
      <w:r>
        <w:rPr>
          <w:rFonts w:hint="eastAsia" w:ascii="宋体" w:hAnsi="宋体" w:cs="宋体"/>
          <w:b/>
          <w:color w:val="auto"/>
          <w:sz w:val="24"/>
          <w:highlight w:val="none"/>
        </w:rPr>
        <w:t>注：1.投标人制作商务技术响应文件，应按照商务技术响应文件组成顺序制作，编好始末页码且在投标文件目录中一一列明并对应。</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2.招标文件没有提供格式的，投标人可自行设置。</w:t>
      </w:r>
    </w:p>
    <w:p>
      <w:pPr>
        <w:spacing w:line="440" w:lineRule="exact"/>
        <w:rPr>
          <w:rFonts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24"/>
          <w:highlight w:val="none"/>
        </w:rPr>
        <w:t>3、商务技术响应文件格式</w:t>
      </w:r>
    </w:p>
    <w:p>
      <w:pPr>
        <w:jc w:val="center"/>
        <w:rPr>
          <w:rFonts w:ascii="宋体" w:hAnsi="宋体" w:cs="宋体"/>
          <w:b/>
          <w:bCs/>
          <w:color w:val="auto"/>
          <w:sz w:val="28"/>
          <w:szCs w:val="28"/>
          <w:highlight w:val="none"/>
        </w:rPr>
      </w:pPr>
      <w:bookmarkStart w:id="70" w:name="_Toc25801"/>
      <w:bookmarkStart w:id="71" w:name="_Toc26845"/>
      <w:bookmarkStart w:id="72" w:name="_Toc23192"/>
      <w:bookmarkStart w:id="73" w:name="_Toc24180"/>
      <w:bookmarkStart w:id="74" w:name="_Toc3192"/>
      <w:bookmarkStart w:id="75" w:name="_Toc27542"/>
      <w:r>
        <w:rPr>
          <w:rFonts w:hint="eastAsia" w:ascii="宋体" w:hAnsi="宋体" w:cs="宋体"/>
          <w:b/>
          <w:bCs/>
          <w:color w:val="auto"/>
          <w:sz w:val="28"/>
          <w:szCs w:val="28"/>
          <w:highlight w:val="none"/>
        </w:rPr>
        <w:t>附件</w:t>
      </w:r>
      <w:r>
        <w:rPr>
          <w:rFonts w:hint="eastAsia" w:ascii="宋体" w:hAnsi="宋体" w:cs="宋体"/>
          <w:b/>
          <w:color w:val="auto"/>
          <w:sz w:val="28"/>
          <w:szCs w:val="28"/>
          <w:highlight w:val="none"/>
        </w:rPr>
        <w:t>2-0-1</w:t>
      </w:r>
      <w:r>
        <w:rPr>
          <w:rFonts w:hint="eastAsia" w:ascii="宋体" w:hAnsi="宋体" w:cs="宋体"/>
          <w:b/>
          <w:bCs/>
          <w:color w:val="auto"/>
          <w:sz w:val="28"/>
          <w:szCs w:val="28"/>
          <w:highlight w:val="none"/>
        </w:rPr>
        <w:t xml:space="preserve">  法定代表人资格证明书</w:t>
      </w:r>
      <w:bookmarkEnd w:id="70"/>
      <w:bookmarkEnd w:id="71"/>
      <w:bookmarkEnd w:id="72"/>
      <w:bookmarkEnd w:id="73"/>
      <w:bookmarkEnd w:id="74"/>
      <w:bookmarkEnd w:id="75"/>
    </w:p>
    <w:p>
      <w:pPr>
        <w:spacing w:before="187" w:beforeLines="50" w:after="187" w:afterLines="50" w:line="360" w:lineRule="auto"/>
        <w:ind w:left="546" w:leftChars="260"/>
        <w:rPr>
          <w:rFonts w:ascii="宋体" w:hAnsi="宋体" w:cs="宋体"/>
          <w:color w:val="auto"/>
          <w:sz w:val="24"/>
          <w:highlight w:val="none"/>
          <w:u w:val="single"/>
        </w:rPr>
      </w:pPr>
      <w:r>
        <w:rPr>
          <w:rFonts w:hint="eastAsia" w:ascii="宋体" w:hAnsi="宋体" w:cs="宋体"/>
          <w:color w:val="auto"/>
          <w:sz w:val="24"/>
          <w:highlight w:val="none"/>
        </w:rPr>
        <w:t>单位名称：</w:t>
      </w:r>
    </w:p>
    <w:p>
      <w:pPr>
        <w:spacing w:before="187" w:beforeLines="50" w:after="187" w:afterLines="50" w:line="360" w:lineRule="auto"/>
        <w:ind w:left="546" w:leftChars="260"/>
        <w:rPr>
          <w:rFonts w:ascii="宋体" w:hAnsi="宋体" w:cs="宋体"/>
          <w:color w:val="auto"/>
          <w:sz w:val="24"/>
          <w:highlight w:val="none"/>
          <w:u w:val="single"/>
        </w:rPr>
      </w:pPr>
      <w:r>
        <w:rPr>
          <w:rFonts w:hint="eastAsia" w:ascii="宋体" w:hAnsi="宋体" w:cs="宋体"/>
          <w:color w:val="auto"/>
          <w:sz w:val="24"/>
          <w:highlight w:val="none"/>
        </w:rPr>
        <w:t>单位性质：</w:t>
      </w:r>
    </w:p>
    <w:p>
      <w:pPr>
        <w:spacing w:before="187" w:beforeLines="50" w:after="187" w:afterLines="50" w:line="360" w:lineRule="auto"/>
        <w:ind w:left="546" w:leftChars="260"/>
        <w:rPr>
          <w:rFonts w:ascii="宋体" w:hAnsi="宋体" w:cs="宋体"/>
          <w:color w:val="auto"/>
          <w:sz w:val="24"/>
          <w:highlight w:val="none"/>
        </w:rPr>
      </w:pPr>
      <w:r>
        <w:rPr>
          <w:rFonts w:hint="eastAsia" w:ascii="宋体" w:hAnsi="宋体" w:cs="宋体"/>
          <w:color w:val="auto"/>
          <w:sz w:val="24"/>
          <w:highlight w:val="none"/>
        </w:rPr>
        <w:t>地址：</w:t>
      </w:r>
    </w:p>
    <w:p>
      <w:pPr>
        <w:spacing w:before="187" w:beforeLines="50" w:after="187" w:afterLines="50" w:line="360" w:lineRule="auto"/>
        <w:ind w:left="546" w:leftChars="260"/>
        <w:rPr>
          <w:rFonts w:ascii="宋体" w:hAnsi="宋体" w:cs="宋体"/>
          <w:color w:val="auto"/>
          <w:sz w:val="24"/>
          <w:highlight w:val="none"/>
          <w:u w:val="single"/>
        </w:rPr>
      </w:pPr>
      <w:r>
        <w:rPr>
          <w:rFonts w:hint="eastAsia" w:ascii="宋体" w:hAnsi="宋体" w:cs="宋体"/>
          <w:color w:val="auto"/>
          <w:sz w:val="24"/>
          <w:highlight w:val="none"/>
        </w:rPr>
        <w:t>成立时间：</w:t>
      </w:r>
    </w:p>
    <w:p>
      <w:pPr>
        <w:spacing w:before="187" w:beforeLines="50" w:after="187" w:afterLines="50" w:line="360" w:lineRule="auto"/>
        <w:ind w:left="546" w:leftChars="260"/>
        <w:rPr>
          <w:rFonts w:ascii="宋体" w:hAnsi="宋体" w:cs="宋体"/>
          <w:color w:val="auto"/>
          <w:sz w:val="24"/>
          <w:highlight w:val="none"/>
        </w:rPr>
      </w:pPr>
      <w:r>
        <w:rPr>
          <w:rFonts w:hint="eastAsia" w:ascii="宋体" w:hAnsi="宋体" w:cs="宋体"/>
          <w:color w:val="auto"/>
          <w:sz w:val="24"/>
          <w:highlight w:val="none"/>
        </w:rPr>
        <w:t>经营期限：</w:t>
      </w:r>
    </w:p>
    <w:p>
      <w:pPr>
        <w:spacing w:before="187" w:beforeLines="50" w:after="187" w:afterLines="50" w:line="360" w:lineRule="auto"/>
        <w:ind w:left="546" w:leftChars="260"/>
        <w:rPr>
          <w:rFonts w:ascii="宋体" w:hAnsi="宋体" w:cs="宋体"/>
          <w:color w:val="auto"/>
          <w:sz w:val="24"/>
          <w:highlight w:val="none"/>
        </w:rPr>
      </w:pPr>
      <w:r>
        <w:rPr>
          <w:rFonts w:hint="eastAsia" w:ascii="宋体" w:hAnsi="宋体" w:cs="宋体"/>
          <w:color w:val="auto"/>
          <w:sz w:val="24"/>
          <w:highlight w:val="none"/>
        </w:rPr>
        <w:t>姓名：性别：年龄：职务：</w:t>
      </w:r>
    </w:p>
    <w:p>
      <w:pPr>
        <w:spacing w:before="187" w:beforeLines="50" w:after="187"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（投标人）</w:t>
      </w:r>
      <w:r>
        <w:rPr>
          <w:rFonts w:hint="eastAsia" w:ascii="宋体" w:hAnsi="宋体" w:cs="宋体"/>
          <w:color w:val="auto"/>
          <w:sz w:val="24"/>
          <w:highlight w:val="none"/>
        </w:rPr>
        <w:t>的法定代表人。</w:t>
      </w:r>
      <w:r>
        <w:rPr>
          <w:rFonts w:hint="eastAsia" w:ascii="宋体" w:hAnsi="宋体" w:cs="宋体"/>
          <w:color w:val="auto"/>
          <w:sz w:val="24"/>
          <w:highlight w:val="none"/>
        </w:rPr>
        <w:cr/>
      </w:r>
    </w:p>
    <w:p>
      <w:pPr>
        <w:spacing w:before="187" w:beforeLines="50" w:after="187"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pPr>
        <w:spacing w:before="187" w:beforeLines="50" w:after="187"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（附法定代表人身份证复印件）</w:t>
      </w:r>
    </w:p>
    <w:p>
      <w:pPr>
        <w:spacing w:before="187" w:beforeLines="50" w:after="187" w:afterLines="50" w:line="360" w:lineRule="auto"/>
        <w:ind w:firstLine="480" w:firstLineChars="200"/>
        <w:rPr>
          <w:rFonts w:ascii="宋体" w:hAnsi="宋体" w:cs="宋体"/>
          <w:color w:val="auto"/>
          <w:sz w:val="24"/>
          <w:highlight w:val="none"/>
        </w:rPr>
      </w:pPr>
    </w:p>
    <w:p>
      <w:pPr>
        <w:spacing w:before="187" w:beforeLines="50" w:after="187"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投标人公章：[投标人盖章]</w:t>
      </w:r>
    </w:p>
    <w:p>
      <w:pPr>
        <w:spacing w:before="187" w:beforeLines="50" w:after="187" w:afterLines="50" w:line="360" w:lineRule="auto"/>
        <w:ind w:firstLine="496" w:firstLineChars="200"/>
        <w:rPr>
          <w:rFonts w:ascii="宋体" w:hAnsi="宋体" w:cs="宋体"/>
          <w:color w:val="auto"/>
          <w:sz w:val="24"/>
          <w:highlight w:val="none"/>
        </w:rPr>
      </w:pPr>
      <w:r>
        <w:rPr>
          <w:rFonts w:hint="eastAsia" w:ascii="宋体" w:hAnsi="宋体" w:cs="宋体"/>
          <w:color w:val="auto"/>
          <w:spacing w:val="4"/>
          <w:sz w:val="24"/>
          <w:highlight w:val="none"/>
        </w:rPr>
        <w:t>日期：</w:t>
      </w:r>
      <w:r>
        <w:rPr>
          <w:rFonts w:hint="eastAsia" w:ascii="宋体" w:hAnsi="宋体" w:cs="宋体"/>
          <w:color w:val="auto"/>
          <w:sz w:val="24"/>
          <w:highlight w:val="none"/>
        </w:rPr>
        <w:t>年月日</w:t>
      </w:r>
    </w:p>
    <w:p>
      <w:pPr>
        <w:jc w:val="center"/>
        <w:rPr>
          <w:rFonts w:ascii="宋体" w:hAnsi="宋体" w:cs="宋体"/>
          <w:b/>
          <w:color w:val="auto"/>
          <w:szCs w:val="30"/>
          <w:highlight w:val="none"/>
        </w:rPr>
      </w:pPr>
      <w:r>
        <w:rPr>
          <w:rFonts w:hint="eastAsia" w:ascii="宋体" w:hAnsi="宋体" w:cs="宋体"/>
          <w:b/>
          <w:color w:val="auto"/>
          <w:szCs w:val="30"/>
          <w:highlight w:val="none"/>
        </w:rPr>
        <w:br w:type="page"/>
      </w:r>
      <w:bookmarkStart w:id="76" w:name="_Toc9855"/>
      <w:bookmarkStart w:id="77" w:name="_Toc12725"/>
      <w:bookmarkStart w:id="78" w:name="_Toc26741"/>
      <w:bookmarkStart w:id="79" w:name="_Toc24839"/>
      <w:bookmarkStart w:id="80" w:name="_Toc17758"/>
      <w:bookmarkStart w:id="81" w:name="_Toc1238"/>
    </w:p>
    <w:p>
      <w:pPr>
        <w:jc w:val="center"/>
        <w:rPr>
          <w:rFonts w:ascii="宋体" w:hAnsi="宋体" w:cs="宋体"/>
          <w:b/>
          <w:color w:val="auto"/>
          <w:szCs w:val="30"/>
          <w:highlight w:val="none"/>
        </w:rPr>
      </w:pPr>
    </w:p>
    <w:p>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r>
        <w:rPr>
          <w:rFonts w:hint="eastAsia" w:ascii="宋体" w:hAnsi="宋体" w:cs="宋体"/>
          <w:b/>
          <w:color w:val="auto"/>
          <w:sz w:val="28"/>
          <w:szCs w:val="28"/>
          <w:highlight w:val="none"/>
        </w:rPr>
        <w:t>2-0-2</w:t>
      </w:r>
      <w:r>
        <w:rPr>
          <w:rFonts w:hint="eastAsia" w:ascii="宋体" w:hAnsi="宋体" w:cs="宋体"/>
          <w:b/>
          <w:bCs/>
          <w:color w:val="auto"/>
          <w:sz w:val="28"/>
          <w:szCs w:val="28"/>
          <w:highlight w:val="none"/>
        </w:rPr>
        <w:t xml:space="preserve">  法定代表人授权委托书</w:t>
      </w:r>
      <w:bookmarkEnd w:id="76"/>
      <w:bookmarkEnd w:id="77"/>
      <w:bookmarkEnd w:id="78"/>
      <w:bookmarkEnd w:id="79"/>
      <w:bookmarkEnd w:id="80"/>
      <w:bookmarkEnd w:id="81"/>
    </w:p>
    <w:p>
      <w:pPr>
        <w:jc w:val="center"/>
        <w:rPr>
          <w:b/>
          <w:bCs/>
          <w:color w:val="auto"/>
          <w:sz w:val="28"/>
          <w:szCs w:val="28"/>
          <w:highlight w:val="none"/>
        </w:rPr>
      </w:pPr>
    </w:p>
    <w:p>
      <w:pPr>
        <w:autoSpaceDE w:val="0"/>
        <w:autoSpaceDN w:val="0"/>
        <w:adjustRightInd w:val="0"/>
        <w:spacing w:line="440" w:lineRule="exact"/>
        <w:ind w:firstLine="422"/>
        <w:rPr>
          <w:rFonts w:ascii="宋体" w:hAnsi="宋体" w:cs="宋体"/>
          <w:color w:val="auto"/>
          <w:sz w:val="24"/>
          <w:highlight w:val="none"/>
        </w:rPr>
      </w:pPr>
      <w:r>
        <w:rPr>
          <w:rFonts w:hint="eastAsia" w:ascii="宋体" w:hAnsi="宋体" w:cs="宋体"/>
          <w:color w:val="auto"/>
          <w:sz w:val="24"/>
          <w:highlight w:val="none"/>
        </w:rPr>
        <w:t>本授权声明：注册于中华人民共和国的</w:t>
      </w:r>
      <w:r>
        <w:rPr>
          <w:rFonts w:hint="eastAsia" w:ascii="宋体" w:hAnsi="宋体" w:cs="宋体"/>
          <w:color w:val="auto"/>
          <w:sz w:val="24"/>
          <w:highlight w:val="none"/>
          <w:u w:val="single"/>
        </w:rPr>
        <w:t>（投标人名称、住址）</w:t>
      </w:r>
      <w:r>
        <w:rPr>
          <w:rFonts w:hint="eastAsia" w:ascii="宋体" w:hAnsi="宋体" w:cs="宋体"/>
          <w:color w:val="auto"/>
          <w:sz w:val="24"/>
          <w:highlight w:val="none"/>
        </w:rPr>
        <w:t>的法人代表</w:t>
      </w:r>
      <w:r>
        <w:rPr>
          <w:rFonts w:hint="eastAsia" w:ascii="宋体" w:hAnsi="宋体" w:cs="宋体"/>
          <w:color w:val="auto"/>
          <w:sz w:val="24"/>
          <w:highlight w:val="none"/>
          <w:u w:val="single"/>
        </w:rPr>
        <w:t>（法定代表人姓名）</w:t>
      </w:r>
      <w:r>
        <w:rPr>
          <w:rFonts w:hint="eastAsia" w:ascii="宋体" w:hAnsi="宋体" w:cs="宋体"/>
          <w:color w:val="auto"/>
          <w:sz w:val="24"/>
          <w:highlight w:val="none"/>
        </w:rPr>
        <w:t>代表本公司授权在下面签字的</w:t>
      </w:r>
      <w:r>
        <w:rPr>
          <w:rFonts w:hint="eastAsia" w:ascii="宋体" w:hAnsi="宋体" w:cs="宋体"/>
          <w:color w:val="auto"/>
          <w:sz w:val="24"/>
          <w:highlight w:val="none"/>
          <w:u w:val="single"/>
        </w:rPr>
        <w:t>（授权代表姓名）</w:t>
      </w:r>
      <w:r>
        <w:rPr>
          <w:rFonts w:hint="eastAsia" w:ascii="宋体" w:hAnsi="宋体" w:cs="宋体"/>
          <w:color w:val="auto"/>
          <w:sz w:val="24"/>
          <w:highlight w:val="none"/>
        </w:rPr>
        <w:t>为本公司的合法代理人，就此次</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项目，项目编号为（</w:t>
      </w:r>
      <w:r>
        <w:rPr>
          <w:rFonts w:hint="eastAsia" w:ascii="宋体" w:hAnsi="宋体" w:cs="宋体"/>
          <w:color w:val="auto"/>
          <w:sz w:val="24"/>
          <w:highlight w:val="none"/>
          <w:u w:val="single"/>
          <w:lang w:eastAsia="zh-CN"/>
        </w:rPr>
        <w:t>XJTF(CS)2023ZF97</w:t>
      </w:r>
      <w:r>
        <w:rPr>
          <w:rFonts w:hint="eastAsia" w:ascii="宋体" w:hAnsi="宋体" w:cs="宋体"/>
          <w:color w:val="auto"/>
          <w:sz w:val="24"/>
          <w:highlight w:val="none"/>
        </w:rPr>
        <w:t>）的投标及相关事务代表本公司处理与之有关的一切事务。</w:t>
      </w:r>
    </w:p>
    <w:p>
      <w:pPr>
        <w:autoSpaceDE w:val="0"/>
        <w:autoSpaceDN w:val="0"/>
        <w:adjustRightInd w:val="0"/>
        <w:spacing w:line="44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年月日</w:t>
      </w:r>
      <w:r>
        <w:rPr>
          <w:rFonts w:hint="eastAsia" w:ascii="宋体" w:hAnsi="宋体" w:cs="宋体"/>
          <w:color w:val="auto"/>
          <w:sz w:val="24"/>
          <w:highlight w:val="none"/>
        </w:rPr>
        <w:t>签字生效，特此声明。</w:t>
      </w:r>
    </w:p>
    <w:p>
      <w:pPr>
        <w:autoSpaceDE w:val="0"/>
        <w:autoSpaceDN w:val="0"/>
        <w:adjustRightIn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法定代表人签字或盖章：</w:t>
      </w:r>
    </w:p>
    <w:p>
      <w:pPr>
        <w:autoSpaceDE w:val="0"/>
        <w:autoSpaceDN w:val="0"/>
        <w:adjustRightIn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授权代表签字或盖章：</w:t>
      </w:r>
    </w:p>
    <w:p>
      <w:pPr>
        <w:autoSpaceDE w:val="0"/>
        <w:autoSpaceDN w:val="0"/>
        <w:adjustRightIn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单位名称：</w:t>
      </w:r>
    </w:p>
    <w:p>
      <w:pPr>
        <w:spacing w:line="440" w:lineRule="exact"/>
        <w:ind w:firstLine="480"/>
        <w:rPr>
          <w:rFonts w:ascii="宋体" w:hAnsi="宋体" w:cs="宋体"/>
          <w:color w:val="auto"/>
          <w:sz w:val="24"/>
          <w:highlight w:val="none"/>
        </w:rPr>
      </w:pPr>
      <w:r>
        <w:rPr>
          <w:rFonts w:hint="eastAsia" w:ascii="宋体" w:hAnsi="宋体" w:cs="宋体"/>
          <w:color w:val="auto"/>
          <w:sz w:val="24"/>
          <w:highlight w:val="none"/>
        </w:rPr>
        <w:t>授权日期：20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rPr>
        <w:t>日</w:t>
      </w:r>
    </w:p>
    <w:p>
      <w:pPr>
        <w:spacing w:line="440" w:lineRule="exact"/>
        <w:ind w:firstLine="480"/>
        <w:rPr>
          <w:rFonts w:ascii="宋体" w:hAnsi="宋体" w:cs="宋体"/>
          <w:color w:val="auto"/>
          <w:highlight w:val="none"/>
        </w:rPr>
      </w:pPr>
    </w:p>
    <w:p>
      <w:pPr>
        <w:spacing w:line="440" w:lineRule="exact"/>
        <w:ind w:firstLine="5460" w:firstLineChars="2600"/>
        <w:rPr>
          <w:rFonts w:ascii="宋体" w:hAnsi="宋体" w:cs="宋体"/>
          <w:color w:val="auto"/>
          <w:highlight w:val="none"/>
        </w:rPr>
      </w:pPr>
      <w:r>
        <w:rPr>
          <w:rFonts w:hint="eastAsia" w:ascii="宋体" w:hAnsi="宋体" w:cs="宋体"/>
          <w:color w:val="auto"/>
          <w:highlight w:val="none"/>
        </w:rPr>
        <w:t>（单位公章）</w:t>
      </w:r>
    </w:p>
    <w:p>
      <w:pPr>
        <w:spacing w:line="440" w:lineRule="exact"/>
        <w:ind w:firstLine="5565" w:firstLineChars="2650"/>
        <w:rPr>
          <w:rFonts w:ascii="宋体" w:hAnsi="宋体" w:cs="宋体"/>
          <w:color w:val="auto"/>
          <w:highlight w:val="none"/>
        </w:rPr>
      </w:pPr>
      <w:r>
        <w:rPr>
          <w:rFonts w:hint="eastAsia" w:ascii="宋体" w:hAnsi="宋体" w:cs="宋体"/>
          <w:color w:val="auto"/>
          <w:highlight w:val="none"/>
        </w:rPr>
        <w:t>20    年    月   日</w:t>
      </w:r>
    </w:p>
    <w:p>
      <w:pPr>
        <w:spacing w:line="440" w:lineRule="exact"/>
        <w:ind w:firstLine="422" w:firstLineChars="200"/>
        <w:rPr>
          <w:rFonts w:ascii="宋体" w:hAnsi="宋体" w:cs="宋体"/>
          <w:b/>
          <w:color w:val="auto"/>
          <w:highlight w:val="none"/>
          <w:em w:val="dot"/>
        </w:rPr>
      </w:pPr>
    </w:p>
    <w:p>
      <w:pPr>
        <w:spacing w:line="440" w:lineRule="exact"/>
        <w:rPr>
          <w:rFonts w:ascii="宋体" w:hAnsi="宋体" w:cs="宋体"/>
          <w:b/>
          <w:color w:val="auto"/>
          <w:highlight w:val="none"/>
          <w:em w:val="dot"/>
        </w:rPr>
      </w:pPr>
    </w:p>
    <w:p>
      <w:pPr>
        <w:spacing w:line="440" w:lineRule="exact"/>
        <w:rPr>
          <w:rFonts w:ascii="宋体" w:hAnsi="宋体" w:cs="宋体"/>
          <w:b/>
          <w:color w:val="auto"/>
          <w:highlight w:val="none"/>
          <w:em w:val="dot"/>
        </w:rPr>
      </w:pPr>
      <w:permStart w:id="1" w:edGrp="everyone"/>
      <w:permEnd w:id="1"/>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3"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numPr>
                                <w:ilvl w:val="0"/>
                                <w:numId w:val="0"/>
                              </w:numPr>
                              <w:ind w:left="2940"/>
                              <w:jc w:val="both"/>
                            </w:pPr>
                          </w:p>
                        </w:txbxContent>
                      </wps:txbx>
                      <wps:bodyPr upright="1"/>
                    </wps:wsp>
                  </a:graphicData>
                </a:graphic>
              </wp:anchor>
            </w:drawing>
          </mc:Choice>
          <mc:Fallback>
            <w:pict>
              <v:shape id="Text Box 7" o:spid="_x0000_s1026" o:spt="202" type="#_x0000_t202" style="position:absolute;left:0pt;margin-left:2.5pt;margin-top:8.35pt;height:124.8pt;width:435.8pt;z-index:251660288;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tXeY9cAAAAIAQAADwAAAAAAAAABACAAAAAiAAAAZHJzL2Rvd25y&#10;ZXYueG1sUEsBAhQAFAAAAAgAh07iQFgXs4n/AQAANwQAAA4AAAAAAAAAAQAgAAAAJgEAAGRycy9l&#10;Mm9Eb2MueG1sUEsFBgAAAAAGAAYAWQEAAJcFAAAAAA==&#10;">
                <v:fill on="t" focussize="0,0"/>
                <v:stroke color="#000000" joinstyle="miter" dashstyle="1 1"/>
                <v:imagedata o:title=""/>
                <o:lock v:ext="edit" aspectratio="f"/>
                <v:textbo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numPr>
                          <w:ilvl w:val="0"/>
                          <w:numId w:val="0"/>
                        </w:numPr>
                        <w:ind w:left="2940"/>
                        <w:jc w:val="both"/>
                      </w:pPr>
                    </w:p>
                  </w:txbxContent>
                </v:textbox>
              </v:shape>
            </w:pict>
          </mc:Fallback>
        </mc:AlternateContent>
      </w:r>
    </w:p>
    <w:p>
      <w:pPr>
        <w:spacing w:line="440" w:lineRule="exact"/>
        <w:rPr>
          <w:rFonts w:ascii="宋体" w:hAnsi="宋体" w:cs="宋体"/>
          <w:b/>
          <w:color w:val="auto"/>
          <w:highlight w:val="none"/>
          <w:em w:val="dot"/>
        </w:rPr>
      </w:pPr>
    </w:p>
    <w:p>
      <w:pPr>
        <w:spacing w:line="440" w:lineRule="exact"/>
        <w:rPr>
          <w:rFonts w:ascii="宋体" w:hAnsi="宋体" w:cs="宋体"/>
          <w:b/>
          <w:color w:val="auto"/>
          <w:highlight w:val="none"/>
        </w:rPr>
      </w:pPr>
    </w:p>
    <w:p>
      <w:pPr>
        <w:spacing w:line="440" w:lineRule="exact"/>
        <w:rPr>
          <w:rFonts w:ascii="宋体" w:hAnsi="宋体" w:cs="宋体"/>
          <w:b/>
          <w:color w:val="auto"/>
          <w:highlight w:val="none"/>
        </w:rPr>
      </w:pPr>
    </w:p>
    <w:p>
      <w:pPr>
        <w:spacing w:line="440" w:lineRule="exact"/>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30"/>
          <w:szCs w:val="30"/>
          <w:highlight w:val="none"/>
        </w:rPr>
      </w:pP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4"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3" w:edGrp="everyone"/>
                            <w:permEnd w:id="3"/>
                          </w:p>
                          <w:p>
                            <w:pPr>
                              <w:rPr>
                                <w:b/>
                              </w:rPr>
                            </w:pPr>
                          </w:p>
                          <w:p>
                            <w:pPr>
                              <w:pStyle w:val="5"/>
                              <w:numPr>
                                <w:ilvl w:val="0"/>
                                <w:numId w:val="0"/>
                              </w:numPr>
                              <w:ind w:left="2940"/>
                              <w:jc w:val="both"/>
                            </w:pPr>
                            <w:r>
                              <w:rPr>
                                <w:rFonts w:hint="eastAsia"/>
                                <w:sz w:val="24"/>
                              </w:rPr>
                              <w:t>此处附被授权人身份证复印件正反面</w:t>
                            </w:r>
                          </w:p>
                          <w:p/>
                        </w:txbxContent>
                      </wps:txbx>
                      <wps:bodyPr upright="1"/>
                    </wps:wsp>
                  </a:graphicData>
                </a:graphic>
              </wp:anchor>
            </w:drawing>
          </mc:Choice>
          <mc:Fallback>
            <w:pict>
              <v:shape id="Text Box 6" o:spid="_x0000_s1026" o:spt="202" type="#_x0000_t202" style="position:absolute;left:0pt;margin-left:-0.5pt;margin-top:14.3pt;height:124.8pt;width:438.8pt;z-index:251661312;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k8h7v1wAAAAkBAAAPAAAAAAAAAAEAIAAAACIAAABkcnMvZG93bnJl&#10;di54bWxQSwECFAAUAAAACACHTuJATadgXP4BAAA3BAAADgAAAAAAAAABACAAAAAmAQAAZHJzL2Uy&#10;b0RvYy54bWxQSwUGAAAAAAYABgBZAQAAlgUAAAAA&#10;">
                <v:fill on="t" focussize="0,0"/>
                <v:stroke color="#000000" joinstyle="miter" dashstyle="1 1"/>
                <v:imagedata o:title=""/>
                <o:lock v:ext="edit" aspectratio="f"/>
                <v:textbox>
                  <w:txbxContent>
                    <w:p>
                      <w:pPr>
                        <w:jc w:val="center"/>
                      </w:pPr>
                      <w:permStart w:id="3" w:edGrp="everyone"/>
                      <w:permEnd w:id="3"/>
                    </w:p>
                    <w:p>
                      <w:pPr>
                        <w:rPr>
                          <w:b/>
                        </w:rPr>
                      </w:pPr>
                    </w:p>
                    <w:p>
                      <w:pPr>
                        <w:pStyle w:val="5"/>
                        <w:numPr>
                          <w:ilvl w:val="0"/>
                          <w:numId w:val="0"/>
                        </w:numPr>
                        <w:ind w:left="2940"/>
                        <w:jc w:val="both"/>
                      </w:pPr>
                      <w:r>
                        <w:rPr>
                          <w:rFonts w:hint="eastAsia"/>
                          <w:sz w:val="24"/>
                        </w:rPr>
                        <w:t>此处附被授权人身份证复印件正反面</w:t>
                      </w:r>
                    </w:p>
                    <w:p/>
                  </w:txbxContent>
                </v:textbox>
              </v:shape>
            </w:pict>
          </mc:Fallback>
        </mc:AlternateContent>
      </w:r>
      <w:r>
        <w:rPr>
          <w:rFonts w:hint="eastAsia" w:ascii="宋体" w:hAnsi="宋体" w:cs="宋体"/>
          <w:b/>
          <w:color w:val="auto"/>
          <w:sz w:val="30"/>
          <w:szCs w:val="30"/>
          <w:highlight w:val="none"/>
        </w:rPr>
        <w:br w:type="page"/>
      </w:r>
    </w:p>
    <w:p>
      <w:pPr>
        <w:spacing w:line="440" w:lineRule="exact"/>
        <w:jc w:val="center"/>
        <w:rPr>
          <w:rFonts w:ascii="宋体" w:hAnsi="宋体" w:cs="宋体"/>
          <w:b/>
          <w:color w:val="auto"/>
          <w:sz w:val="30"/>
          <w:szCs w:val="30"/>
          <w:highlight w:val="none"/>
        </w:rPr>
      </w:pPr>
    </w:p>
    <w:p>
      <w:pPr>
        <w:spacing w:line="44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附件2-0-3授权委托书 (适用于自然人委托投标)</w:t>
      </w:r>
    </w:p>
    <w:p>
      <w:pPr>
        <w:spacing w:before="187" w:beforeLines="50" w:after="187" w:afterLines="50" w:line="360" w:lineRule="auto"/>
        <w:ind w:left="546" w:leftChars="260"/>
        <w:rPr>
          <w:rFonts w:ascii="宋体" w:hAnsi="宋体" w:cs="宋体"/>
          <w:color w:val="auto"/>
          <w:sz w:val="24"/>
          <w:highlight w:val="none"/>
        </w:rPr>
      </w:pPr>
      <w:r>
        <w:rPr>
          <w:rFonts w:hint="eastAsia" w:ascii="宋体" w:hAnsi="宋体" w:cs="宋体"/>
          <w:color w:val="auto"/>
          <w:sz w:val="24"/>
          <w:highlight w:val="none"/>
        </w:rPr>
        <w:t>致：____________(采购人或采购代理机构)</w:t>
      </w:r>
    </w:p>
    <w:p>
      <w:pPr>
        <w:spacing w:before="187" w:beforeLines="50" w:after="187" w:afterLines="50" w:line="360" w:lineRule="auto"/>
        <w:ind w:left="546" w:leftChars="260"/>
        <w:rPr>
          <w:rFonts w:ascii="宋体" w:hAnsi="宋体" w:cs="宋体"/>
          <w:color w:val="auto"/>
          <w:sz w:val="24"/>
          <w:highlight w:val="none"/>
        </w:rPr>
      </w:pPr>
      <w:r>
        <w:rPr>
          <w:rFonts w:hint="eastAsia" w:ascii="宋体" w:hAnsi="宋体" w:cs="宋体"/>
          <w:color w:val="auto"/>
          <w:sz w:val="24"/>
          <w:highlight w:val="none"/>
        </w:rPr>
        <w:t>我________(姓名)系自然人，现授权委托____________(姓名)以本人名义参加____________(项目名称) ，项目编号为（</w:t>
      </w:r>
      <w:r>
        <w:rPr>
          <w:rFonts w:hint="eastAsia" w:ascii="宋体" w:hAnsi="宋体" w:cs="宋体"/>
          <w:color w:val="auto"/>
          <w:sz w:val="24"/>
          <w:highlight w:val="none"/>
          <w:u w:val="single"/>
          <w:lang w:eastAsia="zh-CN"/>
        </w:rPr>
        <w:t>XJTF(CS)2023ZF97</w:t>
      </w:r>
      <w:r>
        <w:rPr>
          <w:rFonts w:hint="eastAsia" w:ascii="宋体" w:hAnsi="宋体" w:cs="宋体"/>
          <w:color w:val="auto"/>
          <w:sz w:val="24"/>
          <w:highlight w:val="none"/>
        </w:rPr>
        <w:t>）的投标活动，并代表本人全权办理针对上述项目的投标、签约等具体事务和签署相关文件。</w:t>
      </w:r>
    </w:p>
    <w:p>
      <w:pPr>
        <w:spacing w:before="187" w:beforeLines="50" w:after="187" w:afterLines="50" w:line="360" w:lineRule="auto"/>
        <w:ind w:left="546" w:leftChars="260"/>
        <w:rPr>
          <w:rFonts w:ascii="宋体" w:hAnsi="宋体" w:cs="宋体"/>
          <w:color w:val="auto"/>
          <w:sz w:val="24"/>
          <w:highlight w:val="none"/>
        </w:rPr>
      </w:pPr>
      <w:r>
        <w:rPr>
          <w:rFonts w:hint="eastAsia" w:ascii="宋体" w:hAnsi="宋体" w:cs="宋体"/>
          <w:color w:val="auto"/>
          <w:sz w:val="24"/>
          <w:highlight w:val="none"/>
        </w:rPr>
        <w:t>本人对授权代表的签字事项负全部责任。</w:t>
      </w:r>
    </w:p>
    <w:p>
      <w:pPr>
        <w:spacing w:before="187" w:beforeLines="50" w:after="187" w:afterLines="50" w:line="360" w:lineRule="auto"/>
        <w:ind w:left="546" w:leftChars="260"/>
        <w:rPr>
          <w:rFonts w:ascii="宋体" w:hAnsi="宋体" w:cs="宋体"/>
          <w:color w:val="auto"/>
          <w:sz w:val="24"/>
          <w:highlight w:val="none"/>
        </w:rPr>
      </w:pPr>
      <w:r>
        <w:rPr>
          <w:rFonts w:hint="eastAsia" w:ascii="宋体" w:hAnsi="宋体" w:cs="宋体"/>
          <w:color w:val="auto"/>
          <w:sz w:val="24"/>
          <w:highlight w:val="none"/>
        </w:rPr>
        <w:t>授权委托代理期限：从　　　年　　月　　日起至　　　年　　月　　日止。</w:t>
      </w:r>
    </w:p>
    <w:p>
      <w:pPr>
        <w:spacing w:before="187" w:beforeLines="50" w:after="187" w:afterLines="50" w:line="360" w:lineRule="auto"/>
        <w:ind w:left="546" w:leftChars="260"/>
        <w:rPr>
          <w:rFonts w:ascii="宋体" w:hAnsi="宋体" w:cs="宋体"/>
          <w:color w:val="auto"/>
          <w:sz w:val="24"/>
          <w:highlight w:val="none"/>
        </w:rPr>
      </w:pPr>
    </w:p>
    <w:p>
      <w:pPr>
        <w:spacing w:before="187" w:beforeLines="50" w:after="187" w:afterLines="50" w:line="360" w:lineRule="auto"/>
        <w:ind w:left="546" w:leftChars="260"/>
        <w:rPr>
          <w:rFonts w:ascii="宋体" w:hAnsi="宋体" w:cs="宋体"/>
          <w:color w:val="auto"/>
          <w:sz w:val="24"/>
          <w:highlight w:val="none"/>
        </w:rPr>
      </w:pPr>
      <w:r>
        <w:rPr>
          <w:rFonts w:hint="eastAsia" w:ascii="宋体" w:hAnsi="宋体" w:cs="宋体"/>
          <w:color w:val="auto"/>
          <w:sz w:val="24"/>
          <w:highlight w:val="none"/>
        </w:rPr>
        <w:t>代理人无转委托权，特此委托。</w:t>
      </w:r>
    </w:p>
    <w:p>
      <w:pPr>
        <w:spacing w:before="187" w:beforeLines="50" w:after="187" w:afterLines="50" w:line="360" w:lineRule="auto"/>
        <w:ind w:left="546" w:leftChars="260"/>
        <w:rPr>
          <w:rFonts w:ascii="宋体" w:hAnsi="宋体" w:cs="宋体"/>
          <w:color w:val="auto"/>
          <w:sz w:val="24"/>
          <w:highlight w:val="none"/>
        </w:rPr>
      </w:pPr>
    </w:p>
    <w:p>
      <w:pPr>
        <w:spacing w:before="187" w:beforeLines="50" w:after="187" w:afterLines="50" w:line="360" w:lineRule="auto"/>
        <w:ind w:left="546" w:leftChars="260"/>
        <w:rPr>
          <w:rFonts w:ascii="宋体" w:hAnsi="宋体" w:cs="宋体"/>
          <w:color w:val="auto"/>
          <w:sz w:val="24"/>
          <w:highlight w:val="none"/>
        </w:rPr>
      </w:pPr>
      <w:r>
        <w:rPr>
          <w:rFonts w:hint="eastAsia" w:ascii="宋体" w:hAnsi="宋体" w:cs="宋体"/>
          <w:color w:val="auto"/>
          <w:sz w:val="24"/>
          <w:highlight w:val="none"/>
        </w:rPr>
        <w:t>我已在下面签字，以资证明。</w:t>
      </w:r>
    </w:p>
    <w:p>
      <w:pPr>
        <w:spacing w:before="187" w:beforeLines="50" w:after="187" w:afterLines="50" w:line="360" w:lineRule="auto"/>
        <w:ind w:left="546" w:leftChars="260"/>
        <w:rPr>
          <w:rFonts w:ascii="宋体" w:hAnsi="宋体" w:cs="宋体"/>
          <w:color w:val="auto"/>
          <w:sz w:val="24"/>
          <w:highlight w:val="none"/>
        </w:rPr>
      </w:pPr>
    </w:p>
    <w:p>
      <w:pPr>
        <w:rPr>
          <w:rFonts w:ascii="宋体" w:hAnsi="宋体" w:cs="宋体"/>
          <w:b/>
          <w:color w:val="auto"/>
          <w:sz w:val="28"/>
          <w:szCs w:val="28"/>
          <w:highlight w:val="none"/>
        </w:rPr>
      </w:pPr>
      <w:r>
        <w:rPr>
          <w:rFonts w:hint="eastAsia" w:ascii="宋体" w:hAnsi="宋体" w:cs="宋体"/>
          <w:color w:val="auto"/>
          <w:sz w:val="24"/>
          <w:highlight w:val="none"/>
        </w:rPr>
        <w:t>自然人签字：　　　　年　　月　　日</w:t>
      </w:r>
    </w:p>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pPr>
        <w:spacing w:line="44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附件2-1  响应承诺书</w:t>
      </w:r>
    </w:p>
    <w:p>
      <w:pPr>
        <w:spacing w:line="440" w:lineRule="exact"/>
        <w:rPr>
          <w:rFonts w:ascii="宋体" w:hAnsi="宋体" w:cs="宋体"/>
          <w:color w:val="auto"/>
          <w:sz w:val="24"/>
          <w:highlight w:val="none"/>
        </w:rPr>
      </w:pPr>
      <w:r>
        <w:rPr>
          <w:rFonts w:hint="eastAsia" w:ascii="宋体" w:hAnsi="宋体" w:cs="宋体"/>
          <w:color w:val="auto"/>
          <w:sz w:val="24"/>
          <w:highlight w:val="none"/>
        </w:rPr>
        <w:t>致：新疆同孚招投标有限公司:</w:t>
      </w:r>
    </w:p>
    <w:p>
      <w:pPr>
        <w:spacing w:line="440" w:lineRule="exact"/>
        <w:ind w:firstLine="555"/>
        <w:rPr>
          <w:rFonts w:ascii="宋体" w:hAnsi="宋体" w:cs="宋体"/>
          <w:color w:val="auto"/>
          <w:sz w:val="24"/>
          <w:highlight w:val="none"/>
        </w:rPr>
      </w:pPr>
      <w:r>
        <w:rPr>
          <w:rFonts w:hint="eastAsia" w:ascii="宋体" w:hAnsi="宋体" w:cs="宋体"/>
          <w:color w:val="auto"/>
          <w:sz w:val="24"/>
          <w:highlight w:val="none"/>
        </w:rPr>
        <w:t>根据贵方为项目招标的投标邀请</w:t>
      </w:r>
      <w:r>
        <w:rPr>
          <w:rFonts w:hint="eastAsia" w:ascii="宋体" w:hAnsi="宋体" w:cs="宋体"/>
          <w:color w:val="auto"/>
          <w:sz w:val="24"/>
          <w:highlight w:val="none"/>
          <w:u w:val="single"/>
        </w:rPr>
        <w:t xml:space="preserve"> 项目编号 </w:t>
      </w:r>
      <w:r>
        <w:rPr>
          <w:rFonts w:hint="eastAsia" w:ascii="宋体" w:hAnsi="宋体" w:cs="宋体"/>
          <w:color w:val="auto"/>
          <w:sz w:val="24"/>
          <w:highlight w:val="none"/>
        </w:rPr>
        <w:t>，签字代表</w:t>
      </w:r>
      <w:r>
        <w:rPr>
          <w:rFonts w:hint="eastAsia" w:ascii="宋体" w:hAnsi="宋体" w:cs="宋体"/>
          <w:color w:val="auto"/>
          <w:sz w:val="24"/>
          <w:highlight w:val="none"/>
          <w:u w:val="single"/>
        </w:rPr>
        <w:t>（姓名、职务）</w:t>
      </w:r>
      <w:r>
        <w:rPr>
          <w:rFonts w:hint="eastAsia" w:ascii="宋体" w:hAnsi="宋体" w:cs="宋体"/>
          <w:color w:val="auto"/>
          <w:sz w:val="24"/>
          <w:highlight w:val="none"/>
        </w:rPr>
        <w:t>经正式授权并代表投标人</w:t>
      </w:r>
      <w:r>
        <w:rPr>
          <w:rFonts w:hint="eastAsia" w:ascii="宋体" w:hAnsi="宋体" w:cs="宋体"/>
          <w:color w:val="auto"/>
          <w:sz w:val="24"/>
          <w:highlight w:val="none"/>
          <w:u w:val="single"/>
        </w:rPr>
        <w:t>（投标人名称、地址）</w:t>
      </w:r>
      <w:r>
        <w:rPr>
          <w:rFonts w:hint="eastAsia" w:ascii="宋体" w:hAnsi="宋体" w:cs="宋体"/>
          <w:color w:val="auto"/>
          <w:sz w:val="24"/>
          <w:highlight w:val="none"/>
        </w:rPr>
        <w:t>对此项目进行投标。据此函，签字代表宣布并同意如下：</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1.我方同意在本项目招标文件中规定的开标日起</w:t>
      </w:r>
      <w:r>
        <w:rPr>
          <w:rFonts w:hint="eastAsia" w:ascii="宋体" w:hAnsi="宋体" w:cs="宋体"/>
          <w:color w:val="auto"/>
          <w:sz w:val="24"/>
          <w:highlight w:val="none"/>
          <w:u w:val="single"/>
        </w:rPr>
        <w:t>九十日内</w:t>
      </w:r>
      <w:r>
        <w:rPr>
          <w:rFonts w:hint="eastAsia" w:ascii="宋体" w:hAnsi="宋体" w:cs="宋体"/>
          <w:color w:val="auto"/>
          <w:sz w:val="24"/>
          <w:highlight w:val="none"/>
        </w:rPr>
        <w:t>遵守本投标文件中的承诺且在此期限期满之前均具有约束力。</w:t>
      </w:r>
    </w:p>
    <w:p>
      <w:pPr>
        <w:spacing w:line="440" w:lineRule="exact"/>
        <w:ind w:firstLine="480" w:firstLineChars="200"/>
        <w:rPr>
          <w:rFonts w:ascii="宋体" w:hAnsi="宋体" w:cs="宋体"/>
          <w:color w:val="auto"/>
          <w:spacing w:val="-2"/>
          <w:sz w:val="24"/>
          <w:highlight w:val="none"/>
        </w:rPr>
      </w:pPr>
      <w:r>
        <w:rPr>
          <w:rFonts w:hint="eastAsia" w:ascii="宋体" w:hAnsi="宋体" w:cs="宋体"/>
          <w:color w:val="auto"/>
          <w:sz w:val="24"/>
          <w:highlight w:val="none"/>
        </w:rPr>
        <w:t>2.</w:t>
      </w:r>
      <w:r>
        <w:rPr>
          <w:rFonts w:hint="eastAsia" w:ascii="宋体" w:hAnsi="宋体" w:cs="宋体"/>
          <w:color w:val="auto"/>
          <w:spacing w:val="-2"/>
          <w:sz w:val="24"/>
          <w:highlight w:val="none"/>
        </w:rPr>
        <w:t>若我方中标，我方承诺按投标产品规格向甲方提供供货服务。</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3.已详细审阅全部招标文件(包括招标文件澄清函)，理解投标人须知的所有条款。</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4.完全理解贵方“最低报价不能作为中标的保证”的规定。</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5.接受招标文件中全部合同条款，且无任何异议；保证忠实地执行双方所签订的合同，并承担合同规定的责任和义务。</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6.完全满足和响应招标文件中的各项商务和技术要求，若有偏差，已在投标文件中明确说明。</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7.愿意提供任何与投标有关的数据、情况和技术资料等。</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8.我方已详细审核全部投标文件、参考资料及有关附件，确认无误。</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9.对本次招标内容及与本项目有关的知识产权、技术资料、商业秘密及相关信息保密。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10.与采购人和采购代理机构无任何的隶属关系或者其他利害关系。</w:t>
      </w:r>
    </w:p>
    <w:p>
      <w:pPr>
        <w:adjustRightInd w:val="0"/>
        <w:snapToGrid w:val="0"/>
        <w:spacing w:line="440" w:lineRule="exact"/>
        <w:rPr>
          <w:rFonts w:ascii="宋体" w:hAnsi="宋体" w:cs="宋体"/>
          <w:color w:val="auto"/>
          <w:sz w:val="24"/>
          <w:highlight w:val="none"/>
        </w:rPr>
      </w:pPr>
    </w:p>
    <w:p>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与本投标有关的一切正式往来信函请寄：</w:t>
      </w:r>
    </w:p>
    <w:p>
      <w:pPr>
        <w:spacing w:line="440" w:lineRule="exact"/>
        <w:ind w:firstLine="240" w:firstLineChars="1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w:t>
      </w:r>
      <w:r>
        <w:rPr>
          <w:rFonts w:hint="eastAsia" w:ascii="宋体" w:hAnsi="宋体" w:cs="宋体"/>
          <w:color w:val="auto"/>
          <w:sz w:val="24"/>
          <w:highlight w:val="none"/>
        </w:rPr>
        <w:t>邮编：</w:t>
      </w:r>
      <w:r>
        <w:rPr>
          <w:rFonts w:hint="eastAsia" w:ascii="宋体" w:hAnsi="宋体" w:cs="宋体"/>
          <w:color w:val="auto"/>
          <w:sz w:val="24"/>
          <w:highlight w:val="none"/>
          <w:u w:val="singl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　电　　　　　话：</w:t>
      </w:r>
      <w:r>
        <w:rPr>
          <w:rFonts w:hint="eastAsia" w:ascii="宋体" w:hAnsi="宋体" w:cs="宋体"/>
          <w:color w:val="auto"/>
          <w:sz w:val="24"/>
          <w:highlight w:val="none"/>
          <w:u w:val="single"/>
        </w:rPr>
        <w:t>　　　　　　　　　　</w:t>
      </w:r>
      <w:r>
        <w:rPr>
          <w:rFonts w:hint="eastAsia" w:ascii="宋体" w:hAnsi="宋体" w:cs="宋体"/>
          <w:color w:val="auto"/>
          <w:sz w:val="24"/>
          <w:highlight w:val="none"/>
        </w:rPr>
        <w:t>传真：</w:t>
      </w:r>
      <w:r>
        <w:rPr>
          <w:rFonts w:hint="eastAsia" w:ascii="宋体" w:hAnsi="宋体" w:cs="宋体"/>
          <w:color w:val="auto"/>
          <w:sz w:val="24"/>
          <w:highlight w:val="none"/>
          <w:u w:val="singl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　投标人代表签字：</w:t>
      </w:r>
      <w:r>
        <w:rPr>
          <w:rFonts w:hint="eastAsia" w:ascii="宋体" w:hAnsi="宋体" w:cs="宋体"/>
          <w:color w:val="auto"/>
          <w:sz w:val="24"/>
          <w:highlight w:val="none"/>
          <w:u w:val="singl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　投标人名称：</w:t>
      </w:r>
      <w:r>
        <w:rPr>
          <w:rFonts w:hint="eastAsia" w:ascii="宋体" w:hAnsi="宋体" w:cs="宋体"/>
          <w:color w:val="auto"/>
          <w:sz w:val="24"/>
          <w:highlight w:val="none"/>
          <w:u w:val="single"/>
        </w:rPr>
        <w:t>　　　　　　　　　　</w:t>
      </w:r>
    </w:p>
    <w:p>
      <w:pPr>
        <w:spacing w:line="440" w:lineRule="exact"/>
        <w:ind w:firstLine="6240" w:firstLineChars="2600"/>
        <w:rPr>
          <w:rFonts w:ascii="宋体" w:hAnsi="宋体" w:cs="宋体"/>
          <w:color w:val="auto"/>
          <w:sz w:val="24"/>
          <w:highlight w:val="none"/>
        </w:rPr>
      </w:pPr>
      <w:r>
        <w:rPr>
          <w:rFonts w:hint="eastAsia" w:ascii="宋体" w:hAnsi="宋体" w:cs="宋体"/>
          <w:color w:val="auto"/>
          <w:sz w:val="24"/>
          <w:highlight w:val="none"/>
        </w:rPr>
        <w:t>（单位公章）</w:t>
      </w:r>
    </w:p>
    <w:p>
      <w:pPr>
        <w:spacing w:line="440" w:lineRule="exact"/>
        <w:ind w:firstLine="5880" w:firstLineChars="2450"/>
        <w:rPr>
          <w:rFonts w:ascii="宋体" w:hAnsi="宋体" w:cs="宋体"/>
          <w:color w:val="auto"/>
          <w:sz w:val="24"/>
          <w:highlight w:val="none"/>
        </w:rPr>
      </w:pPr>
      <w:r>
        <w:rPr>
          <w:rFonts w:hint="eastAsia" w:ascii="宋体" w:hAnsi="宋体" w:cs="宋体"/>
          <w:color w:val="auto"/>
          <w:sz w:val="24"/>
          <w:highlight w:val="none"/>
        </w:rPr>
        <w:t>20  年  月  日</w:t>
      </w:r>
    </w:p>
    <w:p>
      <w:pPr>
        <w:adjustRightInd w:val="0"/>
        <w:snapToGrid w:val="0"/>
        <w:spacing w:line="440" w:lineRule="exact"/>
        <w:ind w:firstLine="482" w:firstLineChars="200"/>
        <w:rPr>
          <w:rFonts w:ascii="宋体" w:hAnsi="宋体" w:cs="宋体"/>
          <w:b/>
          <w:color w:val="auto"/>
          <w:sz w:val="24"/>
          <w:highlight w:val="none"/>
          <w:em w:val="dot"/>
        </w:rPr>
      </w:pPr>
      <w:r>
        <w:rPr>
          <w:rFonts w:hint="eastAsia" w:ascii="宋体" w:hAnsi="宋体" w:cs="宋体"/>
          <w:b/>
          <w:color w:val="auto"/>
          <w:sz w:val="24"/>
          <w:highlight w:val="none"/>
          <w:em w:val="dot"/>
        </w:rPr>
        <w:t>注：除可填报项目外，对本投标函的任何修改将被视为非实质性响应投标，从而导致该投标被拒绝。</w:t>
      </w:r>
    </w:p>
    <w:p>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p>
    <w:p>
      <w:pPr>
        <w:spacing w:line="440" w:lineRule="exact"/>
        <w:jc w:val="center"/>
        <w:rPr>
          <w:rFonts w:ascii="宋体" w:hAnsi="宋体" w:cs="宋体"/>
          <w:b/>
          <w:color w:val="auto"/>
          <w:sz w:val="24"/>
          <w:highlight w:val="none"/>
        </w:rPr>
      </w:pPr>
    </w:p>
    <w:p>
      <w:pPr>
        <w:spacing w:line="44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附件2-2  反商业贿赂承诺书</w:t>
      </w:r>
    </w:p>
    <w:p>
      <w:pPr>
        <w:pStyle w:val="11"/>
        <w:spacing w:line="440" w:lineRule="exact"/>
        <w:ind w:left="480" w:firstLine="482"/>
        <w:rPr>
          <w:rFonts w:cs="宋体"/>
          <w:color w:val="auto"/>
          <w:sz w:val="24"/>
          <w:highlight w:val="none"/>
        </w:rPr>
      </w:pPr>
      <w:r>
        <w:rPr>
          <w:rFonts w:hint="eastAsia" w:cs="宋体"/>
          <w:color w:val="auto"/>
          <w:sz w:val="24"/>
          <w:highlight w:val="none"/>
        </w:rPr>
        <w:t>我公司承诺在</w:t>
      </w:r>
      <w:r>
        <w:rPr>
          <w:rFonts w:hint="eastAsia" w:cs="宋体"/>
          <w:color w:val="auto"/>
          <w:sz w:val="24"/>
          <w:highlight w:val="none"/>
          <w:u w:val="single"/>
        </w:rPr>
        <w:t>（项目名称、项目编号）</w:t>
      </w:r>
      <w:r>
        <w:rPr>
          <w:rFonts w:hint="eastAsia" w:cs="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40" w:lineRule="exact"/>
        <w:ind w:left="480" w:firstLine="482"/>
        <w:rPr>
          <w:rFonts w:cs="宋体"/>
          <w:color w:val="auto"/>
          <w:sz w:val="24"/>
          <w:highlight w:val="none"/>
        </w:rPr>
      </w:pPr>
      <w:r>
        <w:rPr>
          <w:rFonts w:hint="eastAsia" w:cs="宋体"/>
          <w:color w:val="auto"/>
          <w:sz w:val="24"/>
          <w:highlight w:val="none"/>
        </w:rPr>
        <w:t>公司法定代表：</w:t>
      </w:r>
    </w:p>
    <w:p>
      <w:pPr>
        <w:pStyle w:val="11"/>
        <w:spacing w:line="440" w:lineRule="exact"/>
        <w:ind w:left="480" w:firstLine="482"/>
        <w:rPr>
          <w:rFonts w:cs="宋体"/>
          <w:color w:val="auto"/>
          <w:sz w:val="24"/>
          <w:highlight w:val="none"/>
        </w:rPr>
      </w:pPr>
      <w:r>
        <w:rPr>
          <w:rFonts w:hint="eastAsia" w:cs="宋体"/>
          <w:color w:val="auto"/>
          <w:sz w:val="24"/>
          <w:highlight w:val="none"/>
        </w:rPr>
        <w:t>法人授权代表：</w:t>
      </w:r>
    </w:p>
    <w:p>
      <w:pPr>
        <w:pStyle w:val="11"/>
        <w:spacing w:line="440" w:lineRule="exact"/>
        <w:ind w:left="480" w:firstLine="480" w:firstLineChars="200"/>
        <w:rPr>
          <w:rFonts w:cs="宋体"/>
          <w:color w:val="auto"/>
          <w:sz w:val="24"/>
          <w:highlight w:val="none"/>
        </w:rPr>
      </w:pPr>
      <w:r>
        <w:rPr>
          <w:rFonts w:hint="eastAsia" w:cs="宋体"/>
          <w:color w:val="auto"/>
          <w:sz w:val="24"/>
          <w:highlight w:val="none"/>
        </w:rPr>
        <w:t>日期：</w:t>
      </w:r>
    </w:p>
    <w:p>
      <w:pPr>
        <w:spacing w:line="440" w:lineRule="exact"/>
        <w:jc w:val="center"/>
        <w:rPr>
          <w:rFonts w:ascii="宋体" w:hAnsi="宋体" w:cs="宋体"/>
          <w:color w:val="auto"/>
          <w:highlight w:val="none"/>
        </w:rPr>
      </w:pPr>
      <w:r>
        <w:rPr>
          <w:rFonts w:hint="eastAsia" w:ascii="宋体" w:hAnsi="宋体" w:cs="宋体"/>
          <w:color w:val="auto"/>
          <w:highlight w:val="none"/>
        </w:rPr>
        <w:br w:type="page"/>
      </w:r>
    </w:p>
    <w:p>
      <w:pPr>
        <w:spacing w:line="440" w:lineRule="exact"/>
        <w:jc w:val="center"/>
        <w:rPr>
          <w:rFonts w:ascii="宋体" w:hAnsi="宋体" w:cs="宋体"/>
          <w:color w:val="auto"/>
          <w:highlight w:val="none"/>
        </w:rPr>
      </w:pPr>
    </w:p>
    <w:p>
      <w:pPr>
        <w:spacing w:line="440" w:lineRule="exact"/>
        <w:jc w:val="center"/>
        <w:rPr>
          <w:rFonts w:ascii="宋体" w:hAnsi="宋体" w:cs="宋体"/>
          <w:b/>
          <w:color w:val="auto"/>
          <w:sz w:val="32"/>
          <w:szCs w:val="32"/>
          <w:highlight w:val="none"/>
        </w:rPr>
      </w:pPr>
      <w:r>
        <w:rPr>
          <w:rFonts w:hint="eastAsia" w:ascii="宋体" w:hAnsi="宋体" w:cs="宋体"/>
          <w:b/>
          <w:color w:val="auto"/>
          <w:sz w:val="28"/>
          <w:szCs w:val="28"/>
          <w:highlight w:val="none"/>
        </w:rPr>
        <w:t>附件2-3  商务条款偏离表</w:t>
      </w:r>
    </w:p>
    <w:p>
      <w:pPr>
        <w:spacing w:line="440" w:lineRule="exact"/>
        <w:ind w:firstLine="120" w:firstLineChars="50"/>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line="44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标项序号、名称：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02"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招标文件</w:t>
            </w:r>
          </w:p>
          <w:p>
            <w:pPr>
              <w:spacing w:line="440" w:lineRule="exact"/>
              <w:rPr>
                <w:rFonts w:ascii="宋体" w:hAnsi="宋体" w:cs="宋体"/>
                <w:color w:val="auto"/>
                <w:sz w:val="24"/>
                <w:highlight w:val="none"/>
              </w:rPr>
            </w:pPr>
            <w:r>
              <w:rPr>
                <w:rFonts w:hint="eastAsia" w:ascii="宋体" w:hAnsi="宋体" w:cs="宋体"/>
                <w:color w:val="auto"/>
                <w:sz w:val="24"/>
                <w:highlight w:val="none"/>
              </w:rPr>
              <w:t>条目号</w:t>
            </w:r>
          </w:p>
        </w:tc>
        <w:tc>
          <w:tcPr>
            <w:tcW w:w="2458"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招标文件的商务条款</w:t>
            </w:r>
          </w:p>
        </w:tc>
        <w:tc>
          <w:tcPr>
            <w:tcW w:w="2885"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投标文件的商务条款</w:t>
            </w:r>
          </w:p>
        </w:tc>
        <w:tc>
          <w:tcPr>
            <w:tcW w:w="2018"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1602" w:type="dxa"/>
          </w:tcPr>
          <w:p>
            <w:pPr>
              <w:spacing w:line="440" w:lineRule="exact"/>
              <w:jc w:val="center"/>
              <w:rPr>
                <w:rFonts w:ascii="宋体" w:hAnsi="宋体" w:cs="宋体"/>
                <w:color w:val="auto"/>
                <w:sz w:val="24"/>
                <w:highlight w:val="none"/>
              </w:rPr>
            </w:pPr>
          </w:p>
        </w:tc>
        <w:tc>
          <w:tcPr>
            <w:tcW w:w="2458" w:type="dxa"/>
          </w:tcPr>
          <w:p>
            <w:pPr>
              <w:spacing w:line="440" w:lineRule="exact"/>
              <w:rPr>
                <w:rFonts w:ascii="宋体" w:hAnsi="宋体" w:cs="宋体"/>
                <w:color w:val="auto"/>
                <w:sz w:val="24"/>
                <w:highlight w:val="none"/>
              </w:rPr>
            </w:pPr>
          </w:p>
        </w:tc>
        <w:tc>
          <w:tcPr>
            <w:tcW w:w="2885" w:type="dxa"/>
          </w:tcPr>
          <w:p>
            <w:pPr>
              <w:spacing w:line="440" w:lineRule="exact"/>
              <w:rPr>
                <w:rFonts w:ascii="宋体" w:hAnsi="宋体" w:cs="宋体"/>
                <w:color w:val="auto"/>
                <w:sz w:val="24"/>
                <w:highlight w:val="none"/>
              </w:rPr>
            </w:pPr>
          </w:p>
        </w:tc>
        <w:tc>
          <w:tcPr>
            <w:tcW w:w="20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1602" w:type="dxa"/>
          </w:tcPr>
          <w:p>
            <w:pPr>
              <w:spacing w:line="440" w:lineRule="exact"/>
              <w:rPr>
                <w:rFonts w:ascii="宋体" w:hAnsi="宋体" w:cs="宋体"/>
                <w:color w:val="auto"/>
                <w:sz w:val="24"/>
                <w:highlight w:val="none"/>
              </w:rPr>
            </w:pPr>
          </w:p>
        </w:tc>
        <w:tc>
          <w:tcPr>
            <w:tcW w:w="2458" w:type="dxa"/>
          </w:tcPr>
          <w:p>
            <w:pPr>
              <w:spacing w:line="440" w:lineRule="exact"/>
              <w:rPr>
                <w:rFonts w:ascii="宋体" w:hAnsi="宋体" w:cs="宋体"/>
                <w:color w:val="auto"/>
                <w:sz w:val="24"/>
                <w:highlight w:val="none"/>
              </w:rPr>
            </w:pPr>
          </w:p>
        </w:tc>
        <w:tc>
          <w:tcPr>
            <w:tcW w:w="2885" w:type="dxa"/>
          </w:tcPr>
          <w:p>
            <w:pPr>
              <w:spacing w:line="440" w:lineRule="exact"/>
              <w:rPr>
                <w:rFonts w:ascii="宋体" w:hAnsi="宋体" w:cs="宋体"/>
                <w:color w:val="auto"/>
                <w:sz w:val="24"/>
                <w:highlight w:val="none"/>
              </w:rPr>
            </w:pPr>
          </w:p>
        </w:tc>
        <w:tc>
          <w:tcPr>
            <w:tcW w:w="20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1602" w:type="dxa"/>
          </w:tcPr>
          <w:p>
            <w:pPr>
              <w:spacing w:line="440" w:lineRule="exact"/>
              <w:rPr>
                <w:rFonts w:ascii="宋体" w:hAnsi="宋体" w:cs="宋体"/>
                <w:color w:val="auto"/>
                <w:sz w:val="24"/>
                <w:highlight w:val="none"/>
              </w:rPr>
            </w:pPr>
          </w:p>
        </w:tc>
        <w:tc>
          <w:tcPr>
            <w:tcW w:w="2458" w:type="dxa"/>
            <w:vAlign w:val="center"/>
          </w:tcPr>
          <w:p>
            <w:pPr>
              <w:spacing w:line="440" w:lineRule="exact"/>
              <w:rPr>
                <w:rFonts w:ascii="宋体" w:hAnsi="宋体" w:cs="宋体"/>
                <w:color w:val="auto"/>
                <w:sz w:val="24"/>
                <w:highlight w:val="none"/>
              </w:rPr>
            </w:pPr>
          </w:p>
        </w:tc>
        <w:tc>
          <w:tcPr>
            <w:tcW w:w="2885" w:type="dxa"/>
          </w:tcPr>
          <w:p>
            <w:pPr>
              <w:spacing w:line="440" w:lineRule="exact"/>
              <w:rPr>
                <w:rFonts w:ascii="宋体" w:hAnsi="宋体" w:cs="宋体"/>
                <w:color w:val="auto"/>
                <w:sz w:val="24"/>
                <w:highlight w:val="none"/>
              </w:rPr>
            </w:pPr>
          </w:p>
        </w:tc>
        <w:tc>
          <w:tcPr>
            <w:tcW w:w="20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1602" w:type="dxa"/>
          </w:tcPr>
          <w:p>
            <w:pPr>
              <w:spacing w:line="440" w:lineRule="exact"/>
              <w:rPr>
                <w:rFonts w:ascii="宋体" w:hAnsi="宋体" w:cs="宋体"/>
                <w:color w:val="auto"/>
                <w:sz w:val="24"/>
                <w:highlight w:val="none"/>
              </w:rPr>
            </w:pPr>
          </w:p>
        </w:tc>
        <w:tc>
          <w:tcPr>
            <w:tcW w:w="2458" w:type="dxa"/>
            <w:vAlign w:val="center"/>
          </w:tcPr>
          <w:p>
            <w:pPr>
              <w:pStyle w:val="109"/>
              <w:spacing w:line="440" w:lineRule="exact"/>
              <w:rPr>
                <w:color w:val="auto"/>
                <w:kern w:val="2"/>
                <w:highlight w:val="none"/>
              </w:rPr>
            </w:pPr>
          </w:p>
        </w:tc>
        <w:tc>
          <w:tcPr>
            <w:tcW w:w="2885" w:type="dxa"/>
          </w:tcPr>
          <w:p>
            <w:pPr>
              <w:spacing w:line="440" w:lineRule="exact"/>
              <w:rPr>
                <w:rFonts w:ascii="宋体" w:hAnsi="宋体" w:cs="宋体"/>
                <w:color w:val="auto"/>
                <w:sz w:val="24"/>
                <w:highlight w:val="none"/>
              </w:rPr>
            </w:pPr>
          </w:p>
        </w:tc>
        <w:tc>
          <w:tcPr>
            <w:tcW w:w="20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1602" w:type="dxa"/>
          </w:tcPr>
          <w:p>
            <w:pPr>
              <w:spacing w:line="440" w:lineRule="exact"/>
              <w:rPr>
                <w:rFonts w:ascii="宋体" w:hAnsi="宋体" w:cs="宋体"/>
                <w:color w:val="auto"/>
                <w:sz w:val="24"/>
                <w:highlight w:val="none"/>
              </w:rPr>
            </w:pPr>
          </w:p>
        </w:tc>
        <w:tc>
          <w:tcPr>
            <w:tcW w:w="2458" w:type="dxa"/>
          </w:tcPr>
          <w:p>
            <w:pPr>
              <w:spacing w:line="440" w:lineRule="exact"/>
              <w:rPr>
                <w:rFonts w:ascii="宋体" w:hAnsi="宋体" w:cs="宋体"/>
                <w:color w:val="auto"/>
                <w:sz w:val="24"/>
                <w:highlight w:val="none"/>
              </w:rPr>
            </w:pPr>
          </w:p>
        </w:tc>
        <w:tc>
          <w:tcPr>
            <w:tcW w:w="2885" w:type="dxa"/>
          </w:tcPr>
          <w:p>
            <w:pPr>
              <w:spacing w:line="440" w:lineRule="exact"/>
              <w:rPr>
                <w:rFonts w:ascii="宋体" w:hAnsi="宋体" w:cs="宋体"/>
                <w:color w:val="auto"/>
                <w:sz w:val="24"/>
                <w:highlight w:val="none"/>
              </w:rPr>
            </w:pPr>
          </w:p>
        </w:tc>
        <w:tc>
          <w:tcPr>
            <w:tcW w:w="20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1602" w:type="dxa"/>
          </w:tcPr>
          <w:p>
            <w:pPr>
              <w:spacing w:line="440" w:lineRule="exact"/>
              <w:rPr>
                <w:rFonts w:ascii="宋体" w:hAnsi="宋体" w:cs="宋体"/>
                <w:color w:val="auto"/>
                <w:sz w:val="24"/>
                <w:highlight w:val="none"/>
              </w:rPr>
            </w:pPr>
          </w:p>
        </w:tc>
        <w:tc>
          <w:tcPr>
            <w:tcW w:w="2458" w:type="dxa"/>
          </w:tcPr>
          <w:p>
            <w:pPr>
              <w:snapToGrid w:val="0"/>
              <w:spacing w:line="440" w:lineRule="exact"/>
              <w:ind w:firstLine="480" w:firstLineChars="200"/>
              <w:rPr>
                <w:rFonts w:ascii="宋体" w:hAnsi="宋体" w:cs="宋体"/>
                <w:color w:val="auto"/>
                <w:sz w:val="24"/>
                <w:highlight w:val="none"/>
              </w:rPr>
            </w:pPr>
          </w:p>
        </w:tc>
        <w:tc>
          <w:tcPr>
            <w:tcW w:w="2885" w:type="dxa"/>
          </w:tcPr>
          <w:p>
            <w:pPr>
              <w:spacing w:line="440" w:lineRule="exact"/>
              <w:rPr>
                <w:rFonts w:ascii="宋体" w:hAnsi="宋体" w:cs="宋体"/>
                <w:color w:val="auto"/>
                <w:sz w:val="24"/>
                <w:highlight w:val="none"/>
              </w:rPr>
            </w:pPr>
          </w:p>
        </w:tc>
        <w:tc>
          <w:tcPr>
            <w:tcW w:w="20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7</w:t>
            </w:r>
          </w:p>
        </w:tc>
        <w:tc>
          <w:tcPr>
            <w:tcW w:w="1602" w:type="dxa"/>
          </w:tcPr>
          <w:p>
            <w:pPr>
              <w:spacing w:line="440" w:lineRule="exact"/>
              <w:rPr>
                <w:rFonts w:ascii="宋体" w:hAnsi="宋体" w:cs="宋体"/>
                <w:color w:val="auto"/>
                <w:sz w:val="24"/>
                <w:highlight w:val="none"/>
              </w:rPr>
            </w:pPr>
          </w:p>
        </w:tc>
        <w:tc>
          <w:tcPr>
            <w:tcW w:w="2458" w:type="dxa"/>
          </w:tcPr>
          <w:p>
            <w:pPr>
              <w:snapToGrid w:val="0"/>
              <w:spacing w:line="440" w:lineRule="exact"/>
              <w:rPr>
                <w:rFonts w:ascii="宋体" w:hAnsi="宋体" w:cs="宋体"/>
                <w:color w:val="auto"/>
                <w:sz w:val="24"/>
                <w:highlight w:val="none"/>
              </w:rPr>
            </w:pPr>
          </w:p>
        </w:tc>
        <w:tc>
          <w:tcPr>
            <w:tcW w:w="2885" w:type="dxa"/>
          </w:tcPr>
          <w:p>
            <w:pPr>
              <w:spacing w:line="440" w:lineRule="exact"/>
              <w:rPr>
                <w:rFonts w:ascii="宋体" w:hAnsi="宋体" w:cs="宋体"/>
                <w:color w:val="auto"/>
                <w:sz w:val="24"/>
                <w:highlight w:val="none"/>
              </w:rPr>
            </w:pPr>
          </w:p>
        </w:tc>
        <w:tc>
          <w:tcPr>
            <w:tcW w:w="20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1602" w:type="dxa"/>
          </w:tcPr>
          <w:p>
            <w:pPr>
              <w:spacing w:line="440" w:lineRule="exact"/>
              <w:rPr>
                <w:rFonts w:ascii="宋体" w:hAnsi="宋体" w:cs="宋体"/>
                <w:color w:val="auto"/>
                <w:sz w:val="24"/>
                <w:highlight w:val="none"/>
              </w:rPr>
            </w:pPr>
          </w:p>
        </w:tc>
        <w:tc>
          <w:tcPr>
            <w:tcW w:w="2458" w:type="dxa"/>
          </w:tcPr>
          <w:p>
            <w:pPr>
              <w:spacing w:line="440" w:lineRule="exact"/>
              <w:rPr>
                <w:rFonts w:ascii="宋体" w:hAnsi="宋体" w:cs="宋体"/>
                <w:color w:val="auto"/>
                <w:sz w:val="24"/>
                <w:highlight w:val="none"/>
              </w:rPr>
            </w:pPr>
          </w:p>
        </w:tc>
        <w:tc>
          <w:tcPr>
            <w:tcW w:w="2885" w:type="dxa"/>
          </w:tcPr>
          <w:p>
            <w:pPr>
              <w:spacing w:line="440" w:lineRule="exact"/>
              <w:rPr>
                <w:rFonts w:ascii="宋体" w:hAnsi="宋体" w:cs="宋体"/>
                <w:color w:val="auto"/>
                <w:sz w:val="24"/>
                <w:highlight w:val="none"/>
              </w:rPr>
            </w:pPr>
          </w:p>
        </w:tc>
        <w:tc>
          <w:tcPr>
            <w:tcW w:w="2018" w:type="dxa"/>
          </w:tcPr>
          <w:p>
            <w:pPr>
              <w:spacing w:line="440" w:lineRule="exact"/>
              <w:rPr>
                <w:rFonts w:ascii="宋体" w:hAnsi="宋体" w:cs="宋体"/>
                <w:color w:val="auto"/>
                <w:sz w:val="24"/>
                <w:highlight w:val="none"/>
              </w:rPr>
            </w:pPr>
          </w:p>
        </w:tc>
      </w:tr>
    </w:tbl>
    <w:p>
      <w:pPr>
        <w:spacing w:line="440" w:lineRule="exact"/>
        <w:rPr>
          <w:rFonts w:ascii="宋体" w:hAnsi="宋体" w:cs="宋体"/>
          <w:color w:val="auto"/>
          <w:sz w:val="24"/>
          <w:highlight w:val="none"/>
        </w:rPr>
      </w:pPr>
      <w:r>
        <w:rPr>
          <w:rFonts w:hint="eastAsia" w:ascii="宋体" w:hAnsi="宋体" w:cs="宋体"/>
          <w:color w:val="auto"/>
          <w:sz w:val="24"/>
          <w:highlight w:val="none"/>
        </w:rPr>
        <w:t>投标人代表签字：</w:t>
      </w:r>
    </w:p>
    <w:p>
      <w:pPr>
        <w:spacing w:line="440" w:lineRule="exact"/>
        <w:rPr>
          <w:rFonts w:ascii="宋体" w:hAnsi="宋体" w:cs="宋体"/>
          <w:color w:val="auto"/>
          <w:sz w:val="24"/>
          <w:highlight w:val="none"/>
        </w:rPr>
      </w:pPr>
      <w:r>
        <w:rPr>
          <w:rFonts w:hint="eastAsia" w:ascii="宋体" w:hAnsi="宋体" w:cs="宋体"/>
          <w:color w:val="auto"/>
          <w:sz w:val="24"/>
          <w:highlight w:val="none"/>
        </w:rPr>
        <w:t>日期：20年</w:t>
      </w:r>
      <w:r>
        <w:rPr>
          <w:rFonts w:hint="eastAsia" w:ascii="宋体" w:hAnsi="宋体" w:cs="宋体"/>
          <w:color w:val="auto"/>
          <w:sz w:val="24"/>
          <w:highlight w:val="none"/>
          <w:u w:val="single"/>
        </w:rPr>
        <w:t>　</w:t>
      </w:r>
      <w:r>
        <w:rPr>
          <w:rFonts w:hint="eastAsia" w:ascii="宋体" w:hAnsi="宋体" w:cs="宋体"/>
          <w:color w:val="auto"/>
          <w:sz w:val="24"/>
          <w:highlight w:val="none"/>
        </w:rPr>
        <w:t>月</w:t>
      </w:r>
      <w:r>
        <w:rPr>
          <w:rFonts w:hint="eastAsia" w:ascii="宋体" w:hAnsi="宋体" w:cs="宋体"/>
          <w:color w:val="auto"/>
          <w:sz w:val="24"/>
          <w:highlight w:val="none"/>
          <w:u w:val="single"/>
        </w:rPr>
        <w:t>　</w:t>
      </w:r>
      <w:r>
        <w:rPr>
          <w:rFonts w:hint="eastAsia" w:ascii="宋体" w:hAnsi="宋体" w:cs="宋体"/>
          <w:color w:val="auto"/>
          <w:sz w:val="24"/>
          <w:highlight w:val="none"/>
        </w:rPr>
        <w:t>日　</w:t>
      </w:r>
    </w:p>
    <w:p>
      <w:pPr>
        <w:spacing w:line="440" w:lineRule="exact"/>
        <w:jc w:val="center"/>
        <w:rPr>
          <w:rFonts w:ascii="宋体" w:hAnsi="宋体" w:cs="宋体"/>
          <w:b/>
          <w:color w:val="auto"/>
          <w:sz w:val="30"/>
          <w:szCs w:val="30"/>
          <w:highlight w:val="none"/>
        </w:rPr>
      </w:pPr>
      <w:r>
        <w:rPr>
          <w:rFonts w:hint="eastAsia" w:ascii="宋体" w:hAnsi="宋体" w:cs="宋体"/>
          <w:color w:val="auto"/>
          <w:highlight w:val="none"/>
        </w:rPr>
        <w:br w:type="page"/>
      </w:r>
    </w:p>
    <w:p>
      <w:pPr>
        <w:spacing w:line="440" w:lineRule="exact"/>
        <w:ind w:firstLine="551" w:firstLineChars="196"/>
        <w:jc w:val="center"/>
        <w:rPr>
          <w:rFonts w:ascii="宋体" w:hAnsi="宋体" w:cs="宋体"/>
          <w:b/>
          <w:color w:val="auto"/>
          <w:sz w:val="28"/>
          <w:szCs w:val="28"/>
          <w:highlight w:val="none"/>
        </w:rPr>
      </w:pPr>
    </w:p>
    <w:p>
      <w:pPr>
        <w:spacing w:line="440" w:lineRule="exact"/>
        <w:ind w:firstLine="551" w:firstLineChars="196"/>
        <w:jc w:val="center"/>
        <w:rPr>
          <w:rFonts w:ascii="宋体" w:hAnsi="宋体" w:cs="宋体"/>
          <w:b/>
          <w:color w:val="auto"/>
          <w:sz w:val="28"/>
          <w:szCs w:val="28"/>
          <w:highlight w:val="none"/>
        </w:rPr>
      </w:pPr>
      <w:r>
        <w:rPr>
          <w:rFonts w:hint="eastAsia" w:ascii="宋体" w:hAnsi="宋体" w:cs="宋体"/>
          <w:b/>
          <w:color w:val="auto"/>
          <w:sz w:val="28"/>
          <w:szCs w:val="28"/>
          <w:highlight w:val="none"/>
        </w:rPr>
        <w:t>附件2-4 节能、环境标志产品优惠明细表</w:t>
      </w:r>
    </w:p>
    <w:p>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(若有，请如实填写)</w:t>
      </w:r>
    </w:p>
    <w:p>
      <w:pPr>
        <w:spacing w:line="440" w:lineRule="exact"/>
        <w:ind w:firstLine="120" w:firstLineChars="50"/>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line="44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标项序号、名称：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p>
    <w:p>
      <w:pPr>
        <w:spacing w:line="440" w:lineRule="exact"/>
        <w:rPr>
          <w:rFonts w:ascii="宋体" w:hAnsi="宋体" w:cs="宋体"/>
          <w:color w:val="auto"/>
          <w:sz w:val="24"/>
          <w:highlight w:val="none"/>
        </w:rPr>
      </w:pPr>
      <w:r>
        <w:rPr>
          <w:rFonts w:hint="eastAsia" w:ascii="宋体" w:hAnsi="宋体" w:cs="宋体"/>
          <w:color w:val="auto"/>
          <w:sz w:val="24"/>
          <w:highlight w:val="none"/>
        </w:rPr>
        <w:t>（1）节能产品明细清单                        报价货币种类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金额单位：元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605"/>
        <w:gridCol w:w="1739"/>
        <w:gridCol w:w="1918"/>
        <w:gridCol w:w="2120"/>
        <w:gridCol w:w="605"/>
        <w:gridCol w:w="605"/>
        <w:gridCol w:w="60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产品名称、规格型号</w:t>
            </w:r>
          </w:p>
        </w:tc>
        <w:tc>
          <w:tcPr>
            <w:tcW w:w="1918"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节字标志认证证书号</w:t>
            </w:r>
          </w:p>
        </w:tc>
        <w:tc>
          <w:tcPr>
            <w:tcW w:w="2121"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节能产品认证证书有效截止日期</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1918" w:type="dxa"/>
            <w:vAlign w:val="center"/>
          </w:tcPr>
          <w:p>
            <w:pPr>
              <w:spacing w:line="440" w:lineRule="exact"/>
              <w:jc w:val="center"/>
              <w:rPr>
                <w:rFonts w:ascii="宋体" w:hAnsi="宋体" w:cs="宋体"/>
                <w:color w:val="auto"/>
                <w:sz w:val="24"/>
                <w:highlight w:val="none"/>
              </w:rPr>
            </w:pPr>
          </w:p>
        </w:tc>
        <w:tc>
          <w:tcPr>
            <w:tcW w:w="2121" w:type="dxa"/>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1918" w:type="dxa"/>
            <w:vAlign w:val="center"/>
          </w:tcPr>
          <w:p>
            <w:pPr>
              <w:spacing w:line="440" w:lineRule="exact"/>
              <w:jc w:val="center"/>
              <w:rPr>
                <w:rFonts w:ascii="宋体" w:hAnsi="宋体" w:cs="宋体"/>
                <w:color w:val="auto"/>
                <w:sz w:val="24"/>
                <w:highlight w:val="none"/>
              </w:rPr>
            </w:pPr>
          </w:p>
        </w:tc>
        <w:tc>
          <w:tcPr>
            <w:tcW w:w="2121" w:type="dxa"/>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总计金额</w:t>
            </w:r>
          </w:p>
        </w:tc>
        <w:tc>
          <w:tcPr>
            <w:tcW w:w="0" w:type="auto"/>
            <w:gridSpan w:val="4"/>
            <w:vAlign w:val="center"/>
          </w:tcPr>
          <w:p>
            <w:pPr>
              <w:spacing w:line="440" w:lineRule="exact"/>
              <w:jc w:val="center"/>
              <w:rPr>
                <w:rFonts w:ascii="宋体" w:hAnsi="宋体" w:cs="宋体"/>
                <w:color w:val="auto"/>
                <w:sz w:val="24"/>
                <w:highlight w:val="none"/>
              </w:rPr>
            </w:pPr>
          </w:p>
        </w:tc>
      </w:tr>
    </w:tbl>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r>
        <w:rPr>
          <w:rFonts w:hint="eastAsia" w:ascii="宋体" w:hAnsi="宋体" w:cs="宋体"/>
          <w:color w:val="auto"/>
          <w:sz w:val="24"/>
          <w:highlight w:val="none"/>
        </w:rPr>
        <w:t>（2）环保产品明细清单                    报价货币种类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金额单位：元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609"/>
        <w:gridCol w:w="1767"/>
        <w:gridCol w:w="1867"/>
        <w:gridCol w:w="2107"/>
        <w:gridCol w:w="609"/>
        <w:gridCol w:w="609"/>
        <w:gridCol w:w="609"/>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产品名称、规格型号</w:t>
            </w:r>
          </w:p>
        </w:tc>
        <w:tc>
          <w:tcPr>
            <w:tcW w:w="1867"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中国环境标志认证证书编号</w:t>
            </w:r>
          </w:p>
        </w:tc>
        <w:tc>
          <w:tcPr>
            <w:tcW w:w="2107"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认证证书有效截止日期</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0" w:type="auto"/>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1867" w:type="dxa"/>
            <w:vAlign w:val="center"/>
          </w:tcPr>
          <w:p>
            <w:pPr>
              <w:spacing w:line="440" w:lineRule="exact"/>
              <w:jc w:val="center"/>
              <w:rPr>
                <w:rFonts w:ascii="宋体" w:hAnsi="宋体" w:cs="宋体"/>
                <w:color w:val="auto"/>
                <w:sz w:val="24"/>
                <w:highlight w:val="none"/>
              </w:rPr>
            </w:pPr>
          </w:p>
        </w:tc>
        <w:tc>
          <w:tcPr>
            <w:tcW w:w="2107" w:type="dxa"/>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1867" w:type="dxa"/>
            <w:vAlign w:val="center"/>
          </w:tcPr>
          <w:p>
            <w:pPr>
              <w:spacing w:line="440" w:lineRule="exact"/>
              <w:jc w:val="center"/>
              <w:rPr>
                <w:rFonts w:ascii="宋体" w:hAnsi="宋体" w:cs="宋体"/>
                <w:color w:val="auto"/>
                <w:sz w:val="24"/>
                <w:highlight w:val="none"/>
              </w:rPr>
            </w:pPr>
          </w:p>
        </w:tc>
        <w:tc>
          <w:tcPr>
            <w:tcW w:w="2107" w:type="dxa"/>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c>
          <w:tcPr>
            <w:tcW w:w="0" w:type="auto"/>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vAlign w:val="center"/>
          </w:tcPr>
          <w:p>
            <w:pPr>
              <w:spacing w:line="440" w:lineRule="exact"/>
              <w:jc w:val="left"/>
              <w:rPr>
                <w:rFonts w:ascii="宋体" w:hAnsi="宋体" w:cs="宋体"/>
                <w:color w:val="auto"/>
                <w:sz w:val="24"/>
                <w:highlight w:val="none"/>
              </w:rPr>
            </w:pPr>
            <w:r>
              <w:rPr>
                <w:rFonts w:hint="eastAsia" w:ascii="宋体" w:hAnsi="宋体" w:cs="宋体"/>
                <w:color w:val="auto"/>
                <w:sz w:val="24"/>
                <w:highlight w:val="none"/>
              </w:rPr>
              <w:t>总计金额</w:t>
            </w:r>
          </w:p>
        </w:tc>
        <w:tc>
          <w:tcPr>
            <w:tcW w:w="0" w:type="auto"/>
            <w:gridSpan w:val="4"/>
            <w:vAlign w:val="center"/>
          </w:tcPr>
          <w:p>
            <w:pPr>
              <w:spacing w:line="440" w:lineRule="exact"/>
              <w:jc w:val="center"/>
              <w:rPr>
                <w:rFonts w:ascii="宋体" w:hAnsi="宋体" w:cs="宋体"/>
                <w:color w:val="auto"/>
                <w:sz w:val="24"/>
                <w:highlight w:val="none"/>
              </w:rPr>
            </w:pPr>
          </w:p>
        </w:tc>
      </w:tr>
    </w:tbl>
    <w:p>
      <w:pPr>
        <w:tabs>
          <w:tab w:val="left" w:pos="13000"/>
        </w:tabs>
        <w:spacing w:line="440" w:lineRule="exact"/>
        <w:rPr>
          <w:rFonts w:ascii="宋体" w:hAnsi="宋体" w:cs="宋体"/>
          <w:color w:val="auto"/>
          <w:sz w:val="24"/>
          <w:highlight w:val="none"/>
        </w:rPr>
      </w:pPr>
      <w:r>
        <w:rPr>
          <w:rFonts w:hint="eastAsia" w:ascii="宋体" w:hAnsi="宋体" w:cs="宋体"/>
          <w:color w:val="auto"/>
          <w:sz w:val="24"/>
          <w:highlight w:val="none"/>
        </w:rPr>
        <w:t>注：</w:t>
      </w:r>
    </w:p>
    <w:p>
      <w:pPr>
        <w:tabs>
          <w:tab w:val="left" w:pos="13000"/>
        </w:tabs>
        <w:spacing w:line="440" w:lineRule="exact"/>
        <w:rPr>
          <w:rFonts w:ascii="宋体" w:hAnsi="宋体" w:cs="宋体"/>
          <w:b/>
          <w:color w:val="auto"/>
          <w:sz w:val="24"/>
          <w:highlight w:val="none"/>
        </w:rPr>
      </w:pPr>
      <w:r>
        <w:rPr>
          <w:rFonts w:hint="eastAsia" w:ascii="宋体" w:hAnsi="宋体" w:cs="宋体"/>
          <w:b/>
          <w:color w:val="auto"/>
          <w:sz w:val="24"/>
          <w:highlight w:val="none"/>
        </w:rPr>
        <w:t>若无货物属于优先采购节能、环境标志产品的，则不填写此表。</w:t>
      </w:r>
    </w:p>
    <w:p>
      <w:pPr>
        <w:adjustRightInd w:val="0"/>
        <w:snapToGrid w:val="0"/>
        <w:spacing w:line="440" w:lineRule="exact"/>
        <w:rPr>
          <w:rFonts w:ascii="宋体" w:hAnsi="宋体" w:cs="宋体"/>
          <w:color w:val="auto"/>
          <w:sz w:val="24"/>
          <w:highlight w:val="none"/>
        </w:rPr>
      </w:pPr>
    </w:p>
    <w:p>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投标人（加盖公章）：</w:t>
      </w:r>
    </w:p>
    <w:p>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法定代表人或其授权代表签字：</w:t>
      </w:r>
      <w:r>
        <w:rPr>
          <w:rFonts w:hint="eastAsia" w:ascii="宋体" w:hAnsi="宋体" w:cs="宋体"/>
          <w:color w:val="auto"/>
          <w:sz w:val="24"/>
          <w:highlight w:val="none"/>
          <w:u w:val="single"/>
        </w:rPr>
        <w:t xml:space="preserve">       </w:t>
      </w:r>
    </w:p>
    <w:p>
      <w:pPr>
        <w:spacing w:line="440" w:lineRule="exac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napToGrid w:val="0"/>
        <w:spacing w:line="440" w:lineRule="exact"/>
        <w:ind w:right="24"/>
        <w:rPr>
          <w:rFonts w:ascii="宋体" w:hAnsi="宋体" w:cs="宋体"/>
          <w:color w:val="auto"/>
          <w:sz w:val="24"/>
          <w:highlight w:val="none"/>
        </w:rPr>
      </w:pPr>
    </w:p>
    <w:p>
      <w:pPr>
        <w:adjustRightInd w:val="0"/>
        <w:snapToGrid w:val="0"/>
        <w:spacing w:line="440" w:lineRule="exact"/>
        <w:ind w:right="24"/>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pPr>
        <w:adjustRightInd w:val="0"/>
        <w:snapToGrid w:val="0"/>
        <w:spacing w:line="440" w:lineRule="exact"/>
        <w:ind w:right="24"/>
        <w:jc w:val="center"/>
        <w:rPr>
          <w:rFonts w:ascii="宋体" w:hAnsi="宋体" w:cs="宋体"/>
          <w:b/>
          <w:color w:val="auto"/>
          <w:sz w:val="30"/>
          <w:szCs w:val="30"/>
          <w:highlight w:val="none"/>
        </w:rPr>
      </w:pPr>
    </w:p>
    <w:p>
      <w:pPr>
        <w:adjustRightInd w:val="0"/>
        <w:snapToGrid w:val="0"/>
        <w:spacing w:line="440" w:lineRule="exact"/>
        <w:ind w:right="24"/>
        <w:jc w:val="center"/>
        <w:rPr>
          <w:rFonts w:ascii="宋体" w:hAnsi="宋体" w:cs="宋体"/>
          <w:b/>
          <w:bCs/>
          <w:color w:val="auto"/>
          <w:sz w:val="28"/>
          <w:szCs w:val="28"/>
          <w:highlight w:val="none"/>
        </w:rPr>
      </w:pPr>
      <w:r>
        <w:rPr>
          <w:rFonts w:hint="eastAsia" w:ascii="宋体" w:hAnsi="宋体" w:cs="宋体"/>
          <w:b/>
          <w:color w:val="auto"/>
          <w:sz w:val="28"/>
          <w:szCs w:val="28"/>
          <w:highlight w:val="none"/>
        </w:rPr>
        <w:t>附件2-5  节能、环境标志产品证明材料</w:t>
      </w:r>
    </w:p>
    <w:p>
      <w:pPr>
        <w:adjustRightInd w:val="0"/>
        <w:snapToGrid w:val="0"/>
        <w:spacing w:line="440" w:lineRule="exact"/>
        <w:ind w:right="24"/>
        <w:rPr>
          <w:rFonts w:ascii="宋体" w:hAnsi="宋体" w:cs="宋体"/>
          <w:bCs/>
          <w:color w:val="auto"/>
          <w:highlight w:val="none"/>
        </w:rPr>
      </w:pPr>
    </w:p>
    <w:p>
      <w:pPr>
        <w:spacing w:line="440" w:lineRule="exact"/>
        <w:ind w:firstLine="420"/>
        <w:rPr>
          <w:rFonts w:ascii="宋体" w:hAnsi="宋体" w:cs="宋体"/>
          <w:color w:val="auto"/>
          <w:sz w:val="24"/>
          <w:highlight w:val="none"/>
        </w:rPr>
      </w:pPr>
      <w:r>
        <w:rPr>
          <w:rFonts w:hint="eastAsia" w:ascii="宋体" w:hAnsi="宋体" w:cs="宋体"/>
          <w:color w:val="auto"/>
          <w:sz w:val="24"/>
          <w:highlight w:val="none"/>
        </w:rPr>
        <w:t>1.节能产品：应在</w:t>
      </w:r>
    </w:p>
    <w:p>
      <w:pPr>
        <w:spacing w:line="440" w:lineRule="exact"/>
        <w:ind w:firstLine="420"/>
        <w:rPr>
          <w:rFonts w:ascii="宋体" w:hAnsi="宋体" w:cs="宋体"/>
          <w:color w:val="auto"/>
          <w:sz w:val="24"/>
          <w:highlight w:val="none"/>
        </w:rPr>
      </w:pPr>
      <w:r>
        <w:rPr>
          <w:rFonts w:hint="eastAsia" w:ascii="宋体" w:hAnsi="宋体" w:cs="宋体"/>
          <w:color w:val="auto"/>
          <w:sz w:val="24"/>
          <w:highlight w:val="none"/>
        </w:rPr>
        <w:t>中国政府采购网（ http://www.ccgp.gov.cn ）</w:t>
      </w:r>
    </w:p>
    <w:p>
      <w:pPr>
        <w:spacing w:line="440" w:lineRule="exact"/>
        <w:ind w:firstLine="420"/>
        <w:rPr>
          <w:rFonts w:ascii="宋体" w:hAnsi="宋体" w:cs="宋体"/>
          <w:color w:val="auto"/>
          <w:sz w:val="24"/>
          <w:highlight w:val="none"/>
        </w:rPr>
      </w:pPr>
      <w:r>
        <w:rPr>
          <w:rFonts w:hint="eastAsia" w:ascii="宋体" w:hAnsi="宋体" w:cs="宋体"/>
          <w:color w:val="auto"/>
          <w:sz w:val="24"/>
          <w:highlight w:val="none"/>
        </w:rPr>
        <w:t>2.环境标志产品：应在</w:t>
      </w:r>
    </w:p>
    <w:p>
      <w:pPr>
        <w:spacing w:line="440" w:lineRule="exact"/>
        <w:ind w:firstLine="420"/>
        <w:rPr>
          <w:rFonts w:ascii="宋体" w:hAnsi="宋体" w:cs="宋体"/>
          <w:color w:val="auto"/>
          <w:sz w:val="24"/>
          <w:highlight w:val="none"/>
        </w:rPr>
      </w:pPr>
      <w:r>
        <w:rPr>
          <w:rFonts w:hint="eastAsia" w:ascii="宋体" w:hAnsi="宋体" w:cs="宋体"/>
          <w:color w:val="auto"/>
          <w:sz w:val="24"/>
          <w:highlight w:val="none"/>
        </w:rPr>
        <w:t>中国政府采购网（ http://www.ccgp.gov.cn ）</w:t>
      </w:r>
    </w:p>
    <w:p>
      <w:pPr>
        <w:spacing w:line="440" w:lineRule="exact"/>
        <w:ind w:firstLine="420"/>
        <w:rPr>
          <w:rFonts w:ascii="宋体" w:hAnsi="宋体" w:cs="宋体"/>
          <w:color w:val="auto"/>
          <w:sz w:val="24"/>
          <w:highlight w:val="none"/>
        </w:rPr>
      </w:pPr>
      <w:r>
        <w:rPr>
          <w:rFonts w:hint="eastAsia" w:ascii="宋体" w:hAnsi="宋体" w:cs="宋体"/>
          <w:color w:val="auto"/>
          <w:sz w:val="24"/>
          <w:highlight w:val="none"/>
        </w:rPr>
        <w:t>3.属优先采购节能、环境标志产品须从以上权威媒体网站上查询并打印结果。</w:t>
      </w:r>
    </w:p>
    <w:p>
      <w:pPr>
        <w:spacing w:line="440" w:lineRule="exact"/>
        <w:ind w:firstLine="360" w:firstLineChars="150"/>
        <w:rPr>
          <w:rFonts w:ascii="宋体" w:hAnsi="宋体" w:cs="宋体"/>
          <w:b/>
          <w:color w:val="auto"/>
          <w:sz w:val="24"/>
          <w:highlight w:val="none"/>
        </w:rPr>
      </w:pPr>
      <w:r>
        <w:rPr>
          <w:rFonts w:hint="eastAsia" w:ascii="宋体" w:hAnsi="宋体" w:cs="宋体"/>
          <w:color w:val="auto"/>
          <w:sz w:val="24"/>
          <w:highlight w:val="none"/>
        </w:rPr>
        <w:t>4.证明材料加盖投标人公章。</w:t>
      </w:r>
    </w:p>
    <w:p>
      <w:pPr>
        <w:adjustRightInd w:val="0"/>
        <w:snapToGrid w:val="0"/>
        <w:spacing w:line="440" w:lineRule="exact"/>
        <w:ind w:firstLine="482" w:firstLineChars="200"/>
        <w:rPr>
          <w:rFonts w:ascii="宋体" w:hAnsi="宋体" w:cs="宋体"/>
          <w:color w:val="auto"/>
          <w:spacing w:val="6"/>
          <w:sz w:val="24"/>
          <w:highlight w:val="none"/>
        </w:rPr>
      </w:pPr>
      <w:r>
        <w:rPr>
          <w:rFonts w:hint="eastAsia" w:ascii="宋体" w:hAnsi="宋体" w:cs="宋体"/>
          <w:b/>
          <w:color w:val="auto"/>
          <w:sz w:val="24"/>
          <w:highlight w:val="none"/>
        </w:rPr>
        <w:br w:type="page"/>
      </w:r>
    </w:p>
    <w:p>
      <w:pPr>
        <w:spacing w:line="460" w:lineRule="atLeast"/>
        <w:jc w:val="center"/>
        <w:rPr>
          <w:rFonts w:ascii="宋体" w:hAnsi="宋体" w:cs="宋体"/>
          <w:b/>
          <w:color w:val="auto"/>
          <w:sz w:val="30"/>
          <w:szCs w:val="30"/>
          <w:highlight w:val="none"/>
        </w:rPr>
      </w:pPr>
    </w:p>
    <w:p>
      <w:pPr>
        <w:spacing w:line="44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附件2-6  项目负责人简历表及拟投入本项目主要成员表</w:t>
      </w:r>
    </w:p>
    <w:p>
      <w:pPr>
        <w:numPr>
          <w:ilvl w:val="0"/>
          <w:numId w:val="9"/>
        </w:numPr>
        <w:spacing w:line="440" w:lineRule="exact"/>
        <w:rPr>
          <w:rFonts w:ascii="宋体" w:hAnsi="宋体" w:cs="宋体"/>
          <w:b/>
          <w:color w:val="auto"/>
          <w:sz w:val="24"/>
          <w:highlight w:val="none"/>
        </w:rPr>
      </w:pPr>
      <w:r>
        <w:rPr>
          <w:rFonts w:hint="eastAsia" w:ascii="宋体" w:hAnsi="宋体" w:cs="宋体"/>
          <w:b/>
          <w:color w:val="auto"/>
          <w:sz w:val="24"/>
          <w:highlight w:val="none"/>
        </w:rPr>
        <w:t>项目负责人简历表</w:t>
      </w:r>
    </w:p>
    <w:tbl>
      <w:tblPr>
        <w:tblStyle w:val="28"/>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r>
              <w:rPr>
                <w:rFonts w:hint="eastAsia" w:ascii="宋体" w:hAnsi="宋体" w:cs="宋体"/>
                <w:color w:val="auto"/>
                <w:sz w:val="24"/>
                <w:highlight w:val="none"/>
              </w:rPr>
              <w:t>主要经历</w:t>
            </w:r>
          </w:p>
          <w:p>
            <w:pPr>
              <w:spacing w:line="440" w:lineRule="exact"/>
              <w:rPr>
                <w:rFonts w:ascii="宋体" w:hAnsi="宋体" w:cs="宋体"/>
                <w:color w:val="auto"/>
                <w:sz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r>
              <w:rPr>
                <w:rFonts w:hint="eastAsia" w:ascii="宋体" w:hAnsi="宋体" w:cs="宋体"/>
                <w:color w:val="auto"/>
                <w:sz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color w:val="auto"/>
                <w:sz w:val="24"/>
                <w:highlight w:val="none"/>
              </w:rPr>
            </w:pPr>
          </w:p>
        </w:tc>
      </w:tr>
    </w:tbl>
    <w:p>
      <w:pPr>
        <w:autoSpaceDE w:val="0"/>
        <w:autoSpaceDN w:val="0"/>
        <w:adjustRightInd w:val="0"/>
        <w:spacing w:line="440" w:lineRule="exact"/>
        <w:rPr>
          <w:rFonts w:ascii="宋体" w:hAnsi="宋体" w:cs="宋体"/>
          <w:b/>
          <w:bCs/>
          <w:color w:val="auto"/>
          <w:highlight w:val="none"/>
        </w:rPr>
      </w:pPr>
      <w:r>
        <w:rPr>
          <w:rFonts w:hint="eastAsia" w:ascii="宋体" w:hAnsi="宋体" w:cs="宋体"/>
          <w:b/>
          <w:bCs/>
          <w:color w:val="auto"/>
          <w:highlight w:val="none"/>
        </w:rPr>
        <w:t>2、拟投入本项目的主要成员表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序号</w:t>
            </w:r>
          </w:p>
        </w:tc>
        <w:tc>
          <w:tcPr>
            <w:tcW w:w="1330" w:type="dxa"/>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姓名</w:t>
            </w:r>
          </w:p>
        </w:tc>
        <w:tc>
          <w:tcPr>
            <w:tcW w:w="2040" w:type="dxa"/>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性别</w:t>
            </w:r>
          </w:p>
        </w:tc>
        <w:tc>
          <w:tcPr>
            <w:tcW w:w="1939" w:type="dxa"/>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职称</w:t>
            </w:r>
          </w:p>
        </w:tc>
        <w:tc>
          <w:tcPr>
            <w:tcW w:w="1799" w:type="dxa"/>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岗位</w:t>
            </w:r>
          </w:p>
        </w:tc>
        <w:tc>
          <w:tcPr>
            <w:tcW w:w="2006" w:type="dxa"/>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宋体"/>
                <w:color w:val="auto"/>
                <w:highlight w:val="none"/>
              </w:rPr>
            </w:pPr>
            <w:r>
              <w:rPr>
                <w:rFonts w:hint="eastAsia" w:ascii="宋体" w:hAnsi="宋体" w:cs="宋体"/>
                <w:color w:val="auto"/>
                <w:highlight w:val="none"/>
              </w:rPr>
              <w:t>1</w:t>
            </w:r>
          </w:p>
        </w:tc>
        <w:tc>
          <w:tcPr>
            <w:tcW w:w="1330" w:type="dxa"/>
          </w:tcPr>
          <w:p>
            <w:pPr>
              <w:spacing w:line="440" w:lineRule="exact"/>
              <w:jc w:val="center"/>
              <w:rPr>
                <w:rFonts w:ascii="宋体" w:hAnsi="宋体" w:cs="宋体"/>
                <w:color w:val="auto"/>
                <w:highlight w:val="none"/>
              </w:rPr>
            </w:pPr>
          </w:p>
        </w:tc>
        <w:tc>
          <w:tcPr>
            <w:tcW w:w="2040" w:type="dxa"/>
          </w:tcPr>
          <w:p>
            <w:pPr>
              <w:spacing w:line="440" w:lineRule="exact"/>
              <w:jc w:val="center"/>
              <w:rPr>
                <w:rFonts w:ascii="宋体" w:hAnsi="宋体" w:cs="宋体"/>
                <w:color w:val="auto"/>
                <w:highlight w:val="none"/>
              </w:rPr>
            </w:pPr>
          </w:p>
        </w:tc>
        <w:tc>
          <w:tcPr>
            <w:tcW w:w="1939" w:type="dxa"/>
          </w:tcPr>
          <w:p>
            <w:pPr>
              <w:spacing w:line="440" w:lineRule="exact"/>
              <w:jc w:val="center"/>
              <w:rPr>
                <w:rFonts w:ascii="宋体" w:hAnsi="宋体" w:cs="宋体"/>
                <w:color w:val="auto"/>
                <w:highlight w:val="none"/>
              </w:rPr>
            </w:pPr>
          </w:p>
        </w:tc>
        <w:tc>
          <w:tcPr>
            <w:tcW w:w="1799" w:type="dxa"/>
          </w:tcPr>
          <w:p>
            <w:pPr>
              <w:spacing w:line="440" w:lineRule="exact"/>
              <w:jc w:val="center"/>
              <w:rPr>
                <w:rFonts w:ascii="宋体" w:hAnsi="宋体" w:cs="宋体"/>
                <w:color w:val="auto"/>
                <w:highlight w:val="none"/>
              </w:rPr>
            </w:pPr>
          </w:p>
        </w:tc>
        <w:tc>
          <w:tcPr>
            <w:tcW w:w="2006" w:type="dxa"/>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cs="宋体"/>
                <w:color w:val="auto"/>
                <w:highlight w:val="none"/>
              </w:rPr>
            </w:pPr>
            <w:r>
              <w:rPr>
                <w:rFonts w:hint="eastAsia" w:ascii="宋体" w:hAnsi="宋体" w:cs="宋体"/>
                <w:color w:val="auto"/>
                <w:highlight w:val="none"/>
              </w:rPr>
              <w:t>2</w:t>
            </w:r>
          </w:p>
        </w:tc>
        <w:tc>
          <w:tcPr>
            <w:tcW w:w="1330" w:type="dxa"/>
          </w:tcPr>
          <w:p>
            <w:pPr>
              <w:spacing w:line="440" w:lineRule="exact"/>
              <w:jc w:val="center"/>
              <w:rPr>
                <w:rFonts w:ascii="宋体" w:hAnsi="宋体" w:cs="宋体"/>
                <w:color w:val="auto"/>
                <w:highlight w:val="none"/>
              </w:rPr>
            </w:pPr>
          </w:p>
        </w:tc>
        <w:tc>
          <w:tcPr>
            <w:tcW w:w="2040" w:type="dxa"/>
          </w:tcPr>
          <w:p>
            <w:pPr>
              <w:spacing w:line="440" w:lineRule="exact"/>
              <w:jc w:val="center"/>
              <w:rPr>
                <w:rFonts w:ascii="宋体" w:hAnsi="宋体" w:cs="宋体"/>
                <w:color w:val="auto"/>
                <w:highlight w:val="none"/>
              </w:rPr>
            </w:pPr>
          </w:p>
        </w:tc>
        <w:tc>
          <w:tcPr>
            <w:tcW w:w="1939" w:type="dxa"/>
          </w:tcPr>
          <w:p>
            <w:pPr>
              <w:spacing w:line="440" w:lineRule="exact"/>
              <w:jc w:val="center"/>
              <w:rPr>
                <w:rFonts w:ascii="宋体" w:hAnsi="宋体" w:cs="宋体"/>
                <w:color w:val="auto"/>
                <w:highlight w:val="none"/>
              </w:rPr>
            </w:pPr>
          </w:p>
        </w:tc>
        <w:tc>
          <w:tcPr>
            <w:tcW w:w="1799" w:type="dxa"/>
          </w:tcPr>
          <w:p>
            <w:pPr>
              <w:spacing w:line="440" w:lineRule="exact"/>
              <w:jc w:val="center"/>
              <w:rPr>
                <w:rFonts w:ascii="宋体" w:hAnsi="宋体" w:cs="宋体"/>
                <w:color w:val="auto"/>
                <w:highlight w:val="none"/>
              </w:rPr>
            </w:pPr>
          </w:p>
        </w:tc>
        <w:tc>
          <w:tcPr>
            <w:tcW w:w="2006" w:type="dxa"/>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宋体"/>
                <w:color w:val="auto"/>
                <w:highlight w:val="none"/>
              </w:rPr>
            </w:pPr>
            <w:r>
              <w:rPr>
                <w:rFonts w:hint="eastAsia" w:ascii="宋体" w:hAnsi="宋体" w:cs="宋体"/>
                <w:color w:val="auto"/>
                <w:highlight w:val="none"/>
              </w:rPr>
              <w:t>3</w:t>
            </w:r>
          </w:p>
        </w:tc>
        <w:tc>
          <w:tcPr>
            <w:tcW w:w="1330" w:type="dxa"/>
          </w:tcPr>
          <w:p>
            <w:pPr>
              <w:spacing w:line="440" w:lineRule="exact"/>
              <w:jc w:val="center"/>
              <w:rPr>
                <w:rFonts w:ascii="宋体" w:hAnsi="宋体" w:cs="宋体"/>
                <w:color w:val="auto"/>
                <w:highlight w:val="none"/>
              </w:rPr>
            </w:pPr>
          </w:p>
        </w:tc>
        <w:tc>
          <w:tcPr>
            <w:tcW w:w="2040" w:type="dxa"/>
          </w:tcPr>
          <w:p>
            <w:pPr>
              <w:spacing w:line="440" w:lineRule="exact"/>
              <w:jc w:val="center"/>
              <w:rPr>
                <w:rFonts w:ascii="宋体" w:hAnsi="宋体" w:cs="宋体"/>
                <w:color w:val="auto"/>
                <w:highlight w:val="none"/>
              </w:rPr>
            </w:pPr>
          </w:p>
        </w:tc>
        <w:tc>
          <w:tcPr>
            <w:tcW w:w="1939" w:type="dxa"/>
          </w:tcPr>
          <w:p>
            <w:pPr>
              <w:spacing w:line="440" w:lineRule="exact"/>
              <w:jc w:val="center"/>
              <w:rPr>
                <w:rFonts w:ascii="宋体" w:hAnsi="宋体" w:cs="宋体"/>
                <w:color w:val="auto"/>
                <w:highlight w:val="none"/>
              </w:rPr>
            </w:pPr>
          </w:p>
        </w:tc>
        <w:tc>
          <w:tcPr>
            <w:tcW w:w="1799" w:type="dxa"/>
          </w:tcPr>
          <w:p>
            <w:pPr>
              <w:spacing w:line="440" w:lineRule="exact"/>
              <w:jc w:val="center"/>
              <w:rPr>
                <w:rFonts w:ascii="宋体" w:hAnsi="宋体" w:cs="宋体"/>
                <w:color w:val="auto"/>
                <w:highlight w:val="none"/>
              </w:rPr>
            </w:pPr>
          </w:p>
        </w:tc>
        <w:tc>
          <w:tcPr>
            <w:tcW w:w="2006" w:type="dxa"/>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宋体"/>
                <w:color w:val="auto"/>
                <w:highlight w:val="none"/>
              </w:rPr>
            </w:pPr>
            <w:r>
              <w:rPr>
                <w:rFonts w:hint="eastAsia" w:ascii="宋体" w:hAnsi="宋体" w:cs="宋体"/>
                <w:color w:val="auto"/>
                <w:highlight w:val="none"/>
              </w:rPr>
              <w:t>…</w:t>
            </w:r>
          </w:p>
        </w:tc>
        <w:tc>
          <w:tcPr>
            <w:tcW w:w="1330" w:type="dxa"/>
          </w:tcPr>
          <w:p>
            <w:pPr>
              <w:spacing w:line="440" w:lineRule="exact"/>
              <w:jc w:val="center"/>
              <w:rPr>
                <w:rFonts w:ascii="宋体" w:hAnsi="宋体" w:cs="宋体"/>
                <w:color w:val="auto"/>
                <w:highlight w:val="none"/>
              </w:rPr>
            </w:pPr>
          </w:p>
        </w:tc>
        <w:tc>
          <w:tcPr>
            <w:tcW w:w="2040" w:type="dxa"/>
          </w:tcPr>
          <w:p>
            <w:pPr>
              <w:spacing w:line="440" w:lineRule="exact"/>
              <w:jc w:val="center"/>
              <w:rPr>
                <w:rFonts w:ascii="宋体" w:hAnsi="宋体" w:cs="宋体"/>
                <w:color w:val="auto"/>
                <w:highlight w:val="none"/>
              </w:rPr>
            </w:pPr>
          </w:p>
        </w:tc>
        <w:tc>
          <w:tcPr>
            <w:tcW w:w="1939" w:type="dxa"/>
          </w:tcPr>
          <w:p>
            <w:pPr>
              <w:spacing w:line="440" w:lineRule="exact"/>
              <w:jc w:val="center"/>
              <w:rPr>
                <w:rFonts w:ascii="宋体" w:hAnsi="宋体" w:cs="宋体"/>
                <w:color w:val="auto"/>
                <w:highlight w:val="none"/>
              </w:rPr>
            </w:pPr>
          </w:p>
        </w:tc>
        <w:tc>
          <w:tcPr>
            <w:tcW w:w="1799" w:type="dxa"/>
          </w:tcPr>
          <w:p>
            <w:pPr>
              <w:spacing w:line="440" w:lineRule="exact"/>
              <w:jc w:val="center"/>
              <w:rPr>
                <w:rFonts w:ascii="宋体" w:hAnsi="宋体" w:cs="宋体"/>
                <w:color w:val="auto"/>
                <w:highlight w:val="none"/>
              </w:rPr>
            </w:pPr>
          </w:p>
        </w:tc>
        <w:tc>
          <w:tcPr>
            <w:tcW w:w="2006" w:type="dxa"/>
          </w:tcPr>
          <w:p>
            <w:pPr>
              <w:spacing w:line="440" w:lineRule="exact"/>
              <w:jc w:val="center"/>
              <w:rPr>
                <w:rFonts w:ascii="宋体" w:hAnsi="宋体" w:cs="宋体"/>
                <w:color w:val="auto"/>
                <w:highlight w:val="none"/>
              </w:rPr>
            </w:pPr>
          </w:p>
        </w:tc>
      </w:tr>
    </w:tbl>
    <w:p>
      <w:pPr>
        <w:spacing w:line="440" w:lineRule="exact"/>
        <w:rPr>
          <w:rFonts w:ascii="宋体" w:hAnsi="宋体" w:cs="宋体"/>
          <w:color w:val="auto"/>
          <w:highlight w:val="none"/>
          <w:u w:val="single"/>
        </w:rPr>
      </w:pPr>
      <w:r>
        <w:rPr>
          <w:rFonts w:hint="eastAsia" w:ascii="宋体" w:hAnsi="宋体" w:cs="宋体"/>
          <w:color w:val="auto"/>
          <w:highlight w:val="none"/>
        </w:rPr>
        <w:t>投标人名称（公章）：</w:t>
      </w:r>
      <w:r>
        <w:rPr>
          <w:rFonts w:hint="eastAsia" w:ascii="宋体" w:hAnsi="宋体" w:cs="宋体"/>
          <w:color w:val="auto"/>
          <w:highlight w:val="none"/>
          <w:u w:val="single"/>
        </w:rPr>
        <w:t xml:space="preserve">　　　　　         </w:t>
      </w:r>
    </w:p>
    <w:p>
      <w:pPr>
        <w:spacing w:line="440" w:lineRule="exact"/>
        <w:rPr>
          <w:rFonts w:ascii="宋体" w:hAnsi="宋体" w:cs="宋体"/>
          <w:color w:val="auto"/>
          <w:highlight w:val="none"/>
        </w:rPr>
      </w:pPr>
      <w:r>
        <w:rPr>
          <w:rFonts w:hint="eastAsia" w:ascii="宋体" w:hAnsi="宋体" w:cs="宋体"/>
          <w:color w:val="auto"/>
          <w:highlight w:val="none"/>
        </w:rPr>
        <w:t>投标人代表签字：</w:t>
      </w:r>
    </w:p>
    <w:p>
      <w:pPr>
        <w:spacing w:line="440" w:lineRule="exact"/>
        <w:rPr>
          <w:rFonts w:ascii="宋体" w:hAnsi="宋体" w:cs="宋体"/>
          <w:color w:val="auto"/>
          <w:highlight w:val="none"/>
        </w:rPr>
      </w:pPr>
      <w:r>
        <w:rPr>
          <w:rFonts w:hint="eastAsia" w:ascii="宋体" w:hAnsi="宋体" w:cs="宋体"/>
          <w:color w:val="auto"/>
          <w:highlight w:val="none"/>
        </w:rPr>
        <w:t>日期：20年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　</w:t>
      </w:r>
    </w:p>
    <w:p>
      <w:pPr>
        <w:adjustRightInd w:val="0"/>
        <w:snapToGrid w:val="0"/>
        <w:spacing w:line="440" w:lineRule="exact"/>
        <w:ind w:firstLine="422" w:firstLineChars="200"/>
        <w:rPr>
          <w:rFonts w:ascii="宋体" w:hAnsi="宋体" w:cs="宋体"/>
          <w:b/>
          <w:color w:val="auto"/>
          <w:highlight w:val="none"/>
        </w:rPr>
      </w:pPr>
      <w:r>
        <w:rPr>
          <w:rFonts w:hint="eastAsia" w:ascii="宋体" w:hAnsi="宋体" w:cs="宋体"/>
          <w:b/>
          <w:color w:val="auto"/>
          <w:highlight w:val="none"/>
        </w:rPr>
        <w:t>注：后附人员相关资格证书复印件。</w:t>
      </w:r>
    </w:p>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附件2-7  近三年经营业绩表</w:t>
      </w:r>
    </w:p>
    <w:p>
      <w:pPr>
        <w:spacing w:line="440" w:lineRule="exact"/>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line="440" w:lineRule="exact"/>
        <w:rPr>
          <w:rFonts w:ascii="宋体" w:hAnsi="宋体" w:cs="宋体"/>
          <w:color w:val="auto"/>
          <w:sz w:val="24"/>
          <w:highlight w:val="none"/>
          <w:u w:val="single"/>
        </w:rPr>
      </w:pPr>
      <w:r>
        <w:rPr>
          <w:rFonts w:hint="eastAsia" w:ascii="宋体" w:hAnsi="宋体" w:cs="宋体"/>
          <w:color w:val="auto"/>
          <w:sz w:val="24"/>
          <w:highlight w:val="none"/>
        </w:rPr>
        <w:t>标项序号、名称：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地区</w:t>
            </w:r>
          </w:p>
        </w:tc>
        <w:tc>
          <w:tcPr>
            <w:tcW w:w="3763" w:type="dxa"/>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2154" w:type="dxa"/>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金额</w:t>
            </w:r>
          </w:p>
        </w:tc>
        <w:tc>
          <w:tcPr>
            <w:tcW w:w="1719" w:type="dxa"/>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宋体"/>
                <w:color w:val="auto"/>
                <w:sz w:val="24"/>
                <w:highlight w:val="none"/>
              </w:rPr>
            </w:pPr>
          </w:p>
        </w:tc>
        <w:tc>
          <w:tcPr>
            <w:tcW w:w="3763" w:type="dxa"/>
          </w:tcPr>
          <w:p>
            <w:pPr>
              <w:spacing w:line="440" w:lineRule="exact"/>
              <w:jc w:val="center"/>
              <w:rPr>
                <w:rFonts w:ascii="宋体" w:hAnsi="宋体" w:cs="宋体"/>
                <w:color w:val="auto"/>
                <w:sz w:val="24"/>
                <w:highlight w:val="none"/>
              </w:rPr>
            </w:pPr>
          </w:p>
        </w:tc>
        <w:tc>
          <w:tcPr>
            <w:tcW w:w="2154" w:type="dxa"/>
          </w:tcPr>
          <w:p>
            <w:pPr>
              <w:spacing w:line="440" w:lineRule="exact"/>
              <w:jc w:val="center"/>
              <w:rPr>
                <w:rFonts w:ascii="宋体" w:hAnsi="宋体" w:cs="宋体"/>
                <w:color w:val="auto"/>
                <w:sz w:val="24"/>
                <w:highlight w:val="none"/>
              </w:rPr>
            </w:pPr>
          </w:p>
        </w:tc>
        <w:tc>
          <w:tcPr>
            <w:tcW w:w="1719" w:type="dxa"/>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宋体"/>
                <w:color w:val="auto"/>
                <w:sz w:val="24"/>
                <w:highlight w:val="none"/>
              </w:rPr>
            </w:pPr>
          </w:p>
        </w:tc>
        <w:tc>
          <w:tcPr>
            <w:tcW w:w="3763" w:type="dxa"/>
          </w:tcPr>
          <w:p>
            <w:pPr>
              <w:spacing w:line="440" w:lineRule="exact"/>
              <w:jc w:val="center"/>
              <w:rPr>
                <w:rFonts w:ascii="宋体" w:hAnsi="宋体" w:cs="宋体"/>
                <w:color w:val="auto"/>
                <w:sz w:val="24"/>
                <w:highlight w:val="none"/>
              </w:rPr>
            </w:pPr>
          </w:p>
        </w:tc>
        <w:tc>
          <w:tcPr>
            <w:tcW w:w="2154" w:type="dxa"/>
          </w:tcPr>
          <w:p>
            <w:pPr>
              <w:spacing w:line="440" w:lineRule="exact"/>
              <w:jc w:val="center"/>
              <w:rPr>
                <w:rFonts w:ascii="宋体" w:hAnsi="宋体" w:cs="宋体"/>
                <w:color w:val="auto"/>
                <w:sz w:val="24"/>
                <w:highlight w:val="none"/>
              </w:rPr>
            </w:pPr>
          </w:p>
        </w:tc>
        <w:tc>
          <w:tcPr>
            <w:tcW w:w="1719" w:type="dxa"/>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宋体"/>
                <w:color w:val="auto"/>
                <w:sz w:val="24"/>
                <w:highlight w:val="none"/>
              </w:rPr>
            </w:pPr>
          </w:p>
        </w:tc>
        <w:tc>
          <w:tcPr>
            <w:tcW w:w="3763" w:type="dxa"/>
          </w:tcPr>
          <w:p>
            <w:pPr>
              <w:spacing w:line="440" w:lineRule="exact"/>
              <w:jc w:val="center"/>
              <w:rPr>
                <w:rFonts w:ascii="宋体" w:hAnsi="宋体" w:cs="宋体"/>
                <w:color w:val="auto"/>
                <w:sz w:val="24"/>
                <w:highlight w:val="none"/>
              </w:rPr>
            </w:pPr>
          </w:p>
        </w:tc>
        <w:tc>
          <w:tcPr>
            <w:tcW w:w="2154" w:type="dxa"/>
          </w:tcPr>
          <w:p>
            <w:pPr>
              <w:spacing w:line="440" w:lineRule="exact"/>
              <w:jc w:val="center"/>
              <w:rPr>
                <w:rFonts w:ascii="宋体" w:hAnsi="宋体" w:cs="宋体"/>
                <w:color w:val="auto"/>
                <w:sz w:val="24"/>
                <w:highlight w:val="none"/>
              </w:rPr>
            </w:pPr>
          </w:p>
        </w:tc>
        <w:tc>
          <w:tcPr>
            <w:tcW w:w="1719" w:type="dxa"/>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3763" w:type="dxa"/>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2154" w:type="dxa"/>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19" w:type="dxa"/>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r>
    </w:tbl>
    <w:p>
      <w:pPr>
        <w:spacing w:line="440" w:lineRule="exact"/>
        <w:rPr>
          <w:rFonts w:ascii="宋体" w:hAnsi="宋体" w:cs="宋体"/>
          <w:b/>
          <w:color w:val="auto"/>
          <w:sz w:val="24"/>
          <w:highlight w:val="none"/>
        </w:rPr>
      </w:pPr>
      <w:r>
        <w:rPr>
          <w:rFonts w:hint="eastAsia" w:ascii="宋体" w:hAnsi="宋体" w:cs="宋体"/>
          <w:b/>
          <w:color w:val="auto"/>
          <w:sz w:val="24"/>
          <w:highlight w:val="none"/>
        </w:rPr>
        <w:t>附合同或中标通知书复印件。</w:t>
      </w:r>
    </w:p>
    <w:p>
      <w:pPr>
        <w:spacing w:before="187" w:beforeLines="50" w:after="187" w:afterLines="50" w:line="440" w:lineRule="exact"/>
        <w:jc w:val="center"/>
        <w:rPr>
          <w:rFonts w:ascii="宋体" w:hAnsi="宋体" w:cs="宋体"/>
          <w:b/>
          <w:color w:val="auto"/>
          <w:sz w:val="30"/>
          <w:szCs w:val="30"/>
          <w:highlight w:val="none"/>
        </w:rPr>
      </w:pPr>
    </w:p>
    <w:p>
      <w:pPr>
        <w:tabs>
          <w:tab w:val="left" w:pos="2880"/>
        </w:tabs>
        <w:spacing w:line="460" w:lineRule="atLeast"/>
        <w:rPr>
          <w:rFonts w:ascii="宋体" w:hAnsi="宋体" w:cs="宋体"/>
          <w:color w:val="auto"/>
          <w:highlight w:val="none"/>
        </w:rPr>
      </w:pPr>
    </w:p>
    <w:p>
      <w:pPr>
        <w:tabs>
          <w:tab w:val="left" w:pos="3600"/>
        </w:tabs>
        <w:adjustRightInd w:val="0"/>
        <w:snapToGrid w:val="0"/>
        <w:spacing w:line="440" w:lineRule="exact"/>
        <w:jc w:val="center"/>
        <w:rPr>
          <w:rFonts w:ascii="宋体" w:hAnsi="宋体" w:cs="宋体"/>
          <w:color w:val="auto"/>
          <w:highlight w:val="none"/>
        </w:rPr>
      </w:pPr>
      <w:r>
        <w:rPr>
          <w:rFonts w:hint="eastAsia" w:ascii="宋体" w:hAnsi="宋体" w:cs="宋体"/>
          <w:color w:val="auto"/>
          <w:highlight w:val="none"/>
        </w:rPr>
        <w:br w:type="page"/>
      </w:r>
    </w:p>
    <w:p>
      <w:pPr>
        <w:tabs>
          <w:tab w:val="left" w:pos="3600"/>
        </w:tabs>
        <w:adjustRightInd w:val="0"/>
        <w:snapToGrid w:val="0"/>
        <w:spacing w:line="440" w:lineRule="exact"/>
        <w:jc w:val="center"/>
        <w:rPr>
          <w:rFonts w:ascii="宋体" w:hAnsi="宋体" w:cs="宋体"/>
          <w:color w:val="auto"/>
          <w:highlight w:val="none"/>
        </w:rPr>
      </w:pPr>
    </w:p>
    <w:p>
      <w:pPr>
        <w:tabs>
          <w:tab w:val="left" w:pos="3600"/>
        </w:tabs>
        <w:adjustRightInd w:val="0"/>
        <w:snapToGrid w:val="0"/>
        <w:spacing w:line="440" w:lineRule="exact"/>
        <w:jc w:val="center"/>
        <w:rPr>
          <w:rFonts w:ascii="宋体" w:hAnsi="宋体" w:cs="宋体"/>
          <w:b/>
          <w:color w:val="auto"/>
          <w:sz w:val="30"/>
          <w:szCs w:val="30"/>
          <w:highlight w:val="none"/>
        </w:rPr>
      </w:pPr>
      <w:r>
        <w:rPr>
          <w:rFonts w:hint="eastAsia" w:ascii="宋体" w:hAnsi="宋体" w:cs="宋体"/>
          <w:b/>
          <w:color w:val="auto"/>
          <w:sz w:val="28"/>
          <w:szCs w:val="28"/>
          <w:highlight w:val="none"/>
        </w:rPr>
        <w:t>附件2-8  产品简要说明一览表</w:t>
      </w:r>
    </w:p>
    <w:p>
      <w:pPr>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标项序号、名称：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94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64"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2783"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规格型号及主要技术参数</w:t>
            </w:r>
          </w:p>
        </w:tc>
        <w:tc>
          <w:tcPr>
            <w:tcW w:w="3082"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性能说明</w:t>
            </w:r>
          </w:p>
        </w:tc>
        <w:tc>
          <w:tcPr>
            <w:tcW w:w="1579"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464" w:type="dxa"/>
            <w:vAlign w:val="center"/>
          </w:tcPr>
          <w:p>
            <w:pPr>
              <w:spacing w:line="440" w:lineRule="exact"/>
              <w:jc w:val="center"/>
              <w:rPr>
                <w:rFonts w:ascii="宋体" w:hAnsi="宋体" w:cs="宋体"/>
                <w:color w:val="auto"/>
                <w:sz w:val="24"/>
                <w:highlight w:val="none"/>
              </w:rPr>
            </w:pPr>
          </w:p>
        </w:tc>
        <w:tc>
          <w:tcPr>
            <w:tcW w:w="2783" w:type="dxa"/>
            <w:vAlign w:val="center"/>
          </w:tcPr>
          <w:p>
            <w:pPr>
              <w:spacing w:line="440" w:lineRule="exact"/>
              <w:jc w:val="center"/>
              <w:rPr>
                <w:rFonts w:ascii="宋体" w:hAnsi="宋体" w:cs="宋体"/>
                <w:color w:val="auto"/>
                <w:sz w:val="24"/>
                <w:highlight w:val="none"/>
              </w:rPr>
            </w:pPr>
          </w:p>
        </w:tc>
        <w:tc>
          <w:tcPr>
            <w:tcW w:w="3082" w:type="dxa"/>
            <w:vAlign w:val="center"/>
          </w:tcPr>
          <w:p>
            <w:pPr>
              <w:spacing w:line="440" w:lineRule="exact"/>
              <w:jc w:val="center"/>
              <w:rPr>
                <w:rFonts w:ascii="宋体" w:hAnsi="宋体" w:cs="宋体"/>
                <w:color w:val="auto"/>
                <w:sz w:val="24"/>
                <w:highlight w:val="none"/>
              </w:rPr>
            </w:pPr>
          </w:p>
        </w:tc>
        <w:tc>
          <w:tcPr>
            <w:tcW w:w="1579" w:type="dxa"/>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464" w:type="dxa"/>
            <w:vAlign w:val="center"/>
          </w:tcPr>
          <w:p>
            <w:pPr>
              <w:spacing w:line="440" w:lineRule="exact"/>
              <w:jc w:val="center"/>
              <w:rPr>
                <w:rFonts w:ascii="宋体" w:hAnsi="宋体" w:cs="宋体"/>
                <w:color w:val="auto"/>
                <w:sz w:val="24"/>
                <w:highlight w:val="none"/>
              </w:rPr>
            </w:pPr>
          </w:p>
        </w:tc>
        <w:tc>
          <w:tcPr>
            <w:tcW w:w="2783" w:type="dxa"/>
            <w:vAlign w:val="center"/>
          </w:tcPr>
          <w:p>
            <w:pPr>
              <w:spacing w:line="440" w:lineRule="exact"/>
              <w:jc w:val="center"/>
              <w:rPr>
                <w:rFonts w:ascii="宋体" w:hAnsi="宋体" w:cs="宋体"/>
                <w:color w:val="auto"/>
                <w:sz w:val="24"/>
                <w:highlight w:val="none"/>
              </w:rPr>
            </w:pPr>
          </w:p>
        </w:tc>
        <w:tc>
          <w:tcPr>
            <w:tcW w:w="3082" w:type="dxa"/>
            <w:vAlign w:val="center"/>
          </w:tcPr>
          <w:p>
            <w:pPr>
              <w:spacing w:line="440" w:lineRule="exact"/>
              <w:jc w:val="center"/>
              <w:rPr>
                <w:rFonts w:ascii="宋体" w:hAnsi="宋体" w:cs="宋体"/>
                <w:color w:val="auto"/>
                <w:sz w:val="24"/>
                <w:highlight w:val="none"/>
              </w:rPr>
            </w:pPr>
          </w:p>
        </w:tc>
        <w:tc>
          <w:tcPr>
            <w:tcW w:w="1579" w:type="dxa"/>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464" w:type="dxa"/>
            <w:vAlign w:val="center"/>
          </w:tcPr>
          <w:p>
            <w:pPr>
              <w:spacing w:line="440" w:lineRule="exact"/>
              <w:jc w:val="center"/>
              <w:rPr>
                <w:rFonts w:ascii="宋体" w:hAnsi="宋体" w:cs="宋体"/>
                <w:color w:val="auto"/>
                <w:sz w:val="24"/>
                <w:highlight w:val="none"/>
              </w:rPr>
            </w:pPr>
          </w:p>
        </w:tc>
        <w:tc>
          <w:tcPr>
            <w:tcW w:w="2783" w:type="dxa"/>
            <w:vAlign w:val="center"/>
          </w:tcPr>
          <w:p>
            <w:pPr>
              <w:spacing w:line="440" w:lineRule="exact"/>
              <w:jc w:val="center"/>
              <w:rPr>
                <w:rFonts w:ascii="宋体" w:hAnsi="宋体" w:cs="宋体"/>
                <w:color w:val="auto"/>
                <w:sz w:val="24"/>
                <w:highlight w:val="none"/>
              </w:rPr>
            </w:pPr>
          </w:p>
        </w:tc>
        <w:tc>
          <w:tcPr>
            <w:tcW w:w="3082" w:type="dxa"/>
            <w:vAlign w:val="center"/>
          </w:tcPr>
          <w:p>
            <w:pPr>
              <w:spacing w:line="440" w:lineRule="exact"/>
              <w:jc w:val="center"/>
              <w:rPr>
                <w:rFonts w:ascii="宋体" w:hAnsi="宋体" w:cs="宋体"/>
                <w:color w:val="auto"/>
                <w:sz w:val="24"/>
                <w:highlight w:val="none"/>
              </w:rPr>
            </w:pPr>
          </w:p>
        </w:tc>
        <w:tc>
          <w:tcPr>
            <w:tcW w:w="1579" w:type="dxa"/>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464" w:type="dxa"/>
            <w:vAlign w:val="center"/>
          </w:tcPr>
          <w:p>
            <w:pPr>
              <w:spacing w:line="440" w:lineRule="exact"/>
              <w:jc w:val="center"/>
              <w:rPr>
                <w:rFonts w:ascii="宋体" w:hAnsi="宋体" w:cs="宋体"/>
                <w:color w:val="auto"/>
                <w:sz w:val="24"/>
                <w:highlight w:val="none"/>
              </w:rPr>
            </w:pPr>
          </w:p>
        </w:tc>
        <w:tc>
          <w:tcPr>
            <w:tcW w:w="2783" w:type="dxa"/>
            <w:vAlign w:val="center"/>
          </w:tcPr>
          <w:p>
            <w:pPr>
              <w:spacing w:line="440" w:lineRule="exact"/>
              <w:jc w:val="center"/>
              <w:rPr>
                <w:rFonts w:ascii="宋体" w:hAnsi="宋体" w:cs="宋体"/>
                <w:color w:val="auto"/>
                <w:sz w:val="24"/>
                <w:highlight w:val="none"/>
              </w:rPr>
            </w:pPr>
          </w:p>
        </w:tc>
        <w:tc>
          <w:tcPr>
            <w:tcW w:w="3082" w:type="dxa"/>
            <w:vAlign w:val="center"/>
          </w:tcPr>
          <w:p>
            <w:pPr>
              <w:spacing w:line="440" w:lineRule="exact"/>
              <w:jc w:val="center"/>
              <w:rPr>
                <w:rFonts w:ascii="宋体" w:hAnsi="宋体" w:cs="宋体"/>
                <w:color w:val="auto"/>
                <w:sz w:val="24"/>
                <w:highlight w:val="none"/>
              </w:rPr>
            </w:pPr>
          </w:p>
        </w:tc>
        <w:tc>
          <w:tcPr>
            <w:tcW w:w="1579" w:type="dxa"/>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464" w:type="dxa"/>
            <w:vAlign w:val="center"/>
          </w:tcPr>
          <w:p>
            <w:pPr>
              <w:spacing w:line="440" w:lineRule="exact"/>
              <w:jc w:val="center"/>
              <w:rPr>
                <w:rFonts w:ascii="宋体" w:hAnsi="宋体" w:cs="宋体"/>
                <w:color w:val="auto"/>
                <w:sz w:val="24"/>
                <w:highlight w:val="none"/>
              </w:rPr>
            </w:pPr>
          </w:p>
        </w:tc>
        <w:tc>
          <w:tcPr>
            <w:tcW w:w="2783" w:type="dxa"/>
            <w:vAlign w:val="center"/>
          </w:tcPr>
          <w:p>
            <w:pPr>
              <w:spacing w:line="440" w:lineRule="exact"/>
              <w:jc w:val="center"/>
              <w:rPr>
                <w:rFonts w:ascii="宋体" w:hAnsi="宋体" w:cs="宋体"/>
                <w:color w:val="auto"/>
                <w:sz w:val="24"/>
                <w:highlight w:val="none"/>
              </w:rPr>
            </w:pPr>
          </w:p>
        </w:tc>
        <w:tc>
          <w:tcPr>
            <w:tcW w:w="3082" w:type="dxa"/>
            <w:vAlign w:val="center"/>
          </w:tcPr>
          <w:p>
            <w:pPr>
              <w:spacing w:line="440" w:lineRule="exact"/>
              <w:jc w:val="center"/>
              <w:rPr>
                <w:rFonts w:ascii="宋体" w:hAnsi="宋体" w:cs="宋体"/>
                <w:color w:val="auto"/>
                <w:sz w:val="24"/>
                <w:highlight w:val="none"/>
              </w:rPr>
            </w:pPr>
          </w:p>
        </w:tc>
        <w:tc>
          <w:tcPr>
            <w:tcW w:w="1579" w:type="dxa"/>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464" w:type="dxa"/>
            <w:vAlign w:val="center"/>
          </w:tcPr>
          <w:p>
            <w:pPr>
              <w:spacing w:line="440" w:lineRule="exact"/>
              <w:jc w:val="center"/>
              <w:rPr>
                <w:rFonts w:ascii="宋体" w:hAnsi="宋体" w:cs="宋体"/>
                <w:color w:val="auto"/>
                <w:sz w:val="24"/>
                <w:highlight w:val="none"/>
              </w:rPr>
            </w:pPr>
          </w:p>
        </w:tc>
        <w:tc>
          <w:tcPr>
            <w:tcW w:w="2783" w:type="dxa"/>
            <w:vAlign w:val="center"/>
          </w:tcPr>
          <w:p>
            <w:pPr>
              <w:spacing w:line="440" w:lineRule="exact"/>
              <w:jc w:val="center"/>
              <w:rPr>
                <w:rFonts w:ascii="宋体" w:hAnsi="宋体" w:cs="宋体"/>
                <w:color w:val="auto"/>
                <w:sz w:val="24"/>
                <w:highlight w:val="none"/>
              </w:rPr>
            </w:pPr>
          </w:p>
        </w:tc>
        <w:tc>
          <w:tcPr>
            <w:tcW w:w="3082" w:type="dxa"/>
            <w:vAlign w:val="center"/>
          </w:tcPr>
          <w:p>
            <w:pPr>
              <w:spacing w:line="440" w:lineRule="exact"/>
              <w:jc w:val="center"/>
              <w:rPr>
                <w:rFonts w:ascii="宋体" w:hAnsi="宋体" w:cs="宋体"/>
                <w:color w:val="auto"/>
                <w:sz w:val="24"/>
                <w:highlight w:val="none"/>
              </w:rPr>
            </w:pPr>
          </w:p>
        </w:tc>
        <w:tc>
          <w:tcPr>
            <w:tcW w:w="1579" w:type="dxa"/>
            <w:vAlign w:val="center"/>
          </w:tcPr>
          <w:p>
            <w:pPr>
              <w:spacing w:line="44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464" w:type="dxa"/>
            <w:vAlign w:val="center"/>
          </w:tcPr>
          <w:p>
            <w:pPr>
              <w:spacing w:line="440" w:lineRule="exact"/>
              <w:jc w:val="center"/>
              <w:rPr>
                <w:rFonts w:ascii="宋体" w:hAnsi="宋体" w:cs="宋体"/>
                <w:color w:val="auto"/>
                <w:sz w:val="24"/>
                <w:highlight w:val="none"/>
              </w:rPr>
            </w:pPr>
          </w:p>
        </w:tc>
        <w:tc>
          <w:tcPr>
            <w:tcW w:w="2783" w:type="dxa"/>
            <w:vAlign w:val="center"/>
          </w:tcPr>
          <w:p>
            <w:pPr>
              <w:spacing w:line="440" w:lineRule="exact"/>
              <w:jc w:val="center"/>
              <w:rPr>
                <w:rFonts w:ascii="宋体" w:hAnsi="宋体" w:cs="宋体"/>
                <w:color w:val="auto"/>
                <w:sz w:val="24"/>
                <w:highlight w:val="none"/>
              </w:rPr>
            </w:pPr>
          </w:p>
        </w:tc>
        <w:tc>
          <w:tcPr>
            <w:tcW w:w="3082" w:type="dxa"/>
            <w:vAlign w:val="center"/>
          </w:tcPr>
          <w:p>
            <w:pPr>
              <w:spacing w:line="440" w:lineRule="exact"/>
              <w:jc w:val="center"/>
              <w:rPr>
                <w:rFonts w:ascii="宋体" w:hAnsi="宋体" w:cs="宋体"/>
                <w:color w:val="auto"/>
                <w:sz w:val="24"/>
                <w:highlight w:val="none"/>
              </w:rPr>
            </w:pPr>
          </w:p>
        </w:tc>
        <w:tc>
          <w:tcPr>
            <w:tcW w:w="1579" w:type="dxa"/>
            <w:vAlign w:val="center"/>
          </w:tcPr>
          <w:p>
            <w:pPr>
              <w:spacing w:line="440" w:lineRule="exact"/>
              <w:jc w:val="center"/>
              <w:rPr>
                <w:rFonts w:ascii="宋体" w:hAnsi="宋体" w:cs="宋体"/>
                <w:color w:val="auto"/>
                <w:sz w:val="24"/>
                <w:highlight w:val="none"/>
              </w:rPr>
            </w:pPr>
          </w:p>
        </w:tc>
      </w:tr>
    </w:tbl>
    <w:p>
      <w:pPr>
        <w:tabs>
          <w:tab w:val="left" w:pos="2880"/>
        </w:tabs>
        <w:spacing w:line="460" w:lineRule="atLeast"/>
        <w:rPr>
          <w:rFonts w:ascii="宋体" w:hAnsi="宋体" w:cs="宋体"/>
          <w:color w:val="auto"/>
          <w:sz w:val="24"/>
          <w:highlight w:val="none"/>
        </w:rPr>
      </w:pPr>
      <w:r>
        <w:rPr>
          <w:rFonts w:hint="eastAsia" w:ascii="宋体" w:hAnsi="宋体" w:cs="宋体"/>
          <w:color w:val="auto"/>
          <w:sz w:val="24"/>
          <w:highlight w:val="none"/>
        </w:rPr>
        <w:t>注：此表需详列投标的每种设备。</w:t>
      </w:r>
    </w:p>
    <w:p>
      <w:pPr>
        <w:pStyle w:val="122"/>
        <w:spacing w:line="440" w:lineRule="exact"/>
        <w:ind w:firstLine="470" w:firstLineChars="196"/>
        <w:rPr>
          <w:rFonts w:ascii="宋体" w:hAnsi="宋体" w:cs="宋体"/>
          <w:bCs/>
          <w:color w:val="auto"/>
          <w:kern w:val="2"/>
          <w:sz w:val="24"/>
          <w:highlight w:val="none"/>
        </w:rPr>
      </w:pPr>
    </w:p>
    <w:p>
      <w:pPr>
        <w:spacing w:line="440" w:lineRule="exact"/>
        <w:rPr>
          <w:rFonts w:ascii="宋体" w:hAnsi="宋体" w:cs="宋体"/>
          <w:color w:val="auto"/>
          <w:sz w:val="24"/>
          <w:highlight w:val="none"/>
          <w:u w:val="single"/>
        </w:rPr>
      </w:pPr>
      <w:r>
        <w:rPr>
          <w:rFonts w:hint="eastAsia" w:ascii="宋体" w:hAnsi="宋体" w:cs="宋体"/>
          <w:color w:val="auto"/>
          <w:sz w:val="24"/>
          <w:highlight w:val="none"/>
        </w:rPr>
        <w:t>投标人代表签字：</w:t>
      </w:r>
      <w:r>
        <w:rPr>
          <w:rFonts w:hint="eastAsia" w:ascii="宋体" w:hAnsi="宋体" w:cs="宋体"/>
          <w:color w:val="auto"/>
          <w:sz w:val="24"/>
          <w:highlight w:val="none"/>
          <w:u w:val="single"/>
        </w:rPr>
        <w:t>　　　　　　　　　</w:t>
      </w:r>
    </w:p>
    <w:p>
      <w:pPr>
        <w:spacing w:line="440" w:lineRule="exact"/>
        <w:rPr>
          <w:rFonts w:ascii="宋体" w:hAnsi="宋体" w:cs="宋体"/>
          <w:bCs/>
          <w:color w:val="auto"/>
          <w:sz w:val="24"/>
          <w:highlight w:val="none"/>
        </w:rPr>
      </w:pPr>
      <w:r>
        <w:rPr>
          <w:rFonts w:hint="eastAsia" w:ascii="宋体" w:hAnsi="宋体" w:cs="宋体"/>
          <w:color w:val="auto"/>
          <w:sz w:val="24"/>
          <w:highlight w:val="none"/>
        </w:rPr>
        <w:t>日期：</w:t>
      </w:r>
      <w:r>
        <w:rPr>
          <w:rFonts w:hint="eastAsia" w:ascii="宋体" w:hAnsi="宋体" w:cs="宋体"/>
          <w:bCs/>
          <w:color w:val="auto"/>
          <w:sz w:val="24"/>
          <w:highlight w:val="none"/>
        </w:rPr>
        <w:t>20</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w:t>
      </w:r>
      <w:r>
        <w:rPr>
          <w:rFonts w:hint="eastAsia" w:ascii="宋体" w:hAnsi="宋体" w:cs="宋体"/>
          <w:bCs/>
          <w:color w:val="auto"/>
          <w:sz w:val="24"/>
          <w:highlight w:val="none"/>
        </w:rPr>
        <w:t>日</w:t>
      </w:r>
    </w:p>
    <w:p>
      <w:pPr>
        <w:spacing w:line="440" w:lineRule="exact"/>
        <w:rPr>
          <w:rFonts w:ascii="宋体" w:hAnsi="宋体" w:cs="宋体"/>
          <w:b/>
          <w:color w:val="auto"/>
          <w:sz w:val="32"/>
          <w:szCs w:val="32"/>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p>
    <w:p>
      <w:pPr>
        <w:pStyle w:val="4"/>
        <w:rPr>
          <w:color w:val="auto"/>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p>
    <w:p>
      <w:pPr>
        <w:spacing w:line="44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附件2-9  规格、技术参数偏离表</w:t>
      </w: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line="440" w:lineRule="exact"/>
        <w:rPr>
          <w:rFonts w:ascii="宋体" w:hAnsi="宋体" w:cs="宋体"/>
          <w:color w:val="auto"/>
          <w:sz w:val="24"/>
          <w:highlight w:val="none"/>
          <w:u w:val="single"/>
        </w:rPr>
      </w:pPr>
      <w:r>
        <w:rPr>
          <w:rFonts w:hint="eastAsia" w:ascii="宋体" w:hAnsi="宋体" w:cs="宋体"/>
          <w:color w:val="auto"/>
          <w:sz w:val="24"/>
          <w:highlight w:val="none"/>
        </w:rPr>
        <w:t>标项序号、名称：</w:t>
      </w:r>
      <w:r>
        <w:rPr>
          <w:rFonts w:hint="eastAsia" w:ascii="宋体" w:hAnsi="宋体" w:cs="宋体"/>
          <w:color w:val="auto"/>
          <w:sz w:val="24"/>
          <w:highlight w:val="none"/>
          <w:u w:val="singl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72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740"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招标文件规格条目号</w:t>
            </w:r>
          </w:p>
        </w:tc>
        <w:tc>
          <w:tcPr>
            <w:tcW w:w="2056"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招标规格</w:t>
            </w:r>
          </w:p>
        </w:tc>
        <w:tc>
          <w:tcPr>
            <w:tcW w:w="2393"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投标规格</w:t>
            </w:r>
          </w:p>
        </w:tc>
        <w:tc>
          <w:tcPr>
            <w:tcW w:w="1721"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偏离</w:t>
            </w:r>
          </w:p>
        </w:tc>
        <w:tc>
          <w:tcPr>
            <w:tcW w:w="1218"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cs="宋体"/>
                <w:color w:val="auto"/>
                <w:sz w:val="24"/>
                <w:highlight w:val="none"/>
              </w:rPr>
            </w:pPr>
            <w:r>
              <w:rPr>
                <w:rFonts w:hint="eastAsia" w:ascii="宋体" w:hAnsi="宋体" w:cs="宋体"/>
                <w:color w:val="auto"/>
                <w:sz w:val="24"/>
                <w:highlight w:val="none"/>
              </w:rPr>
              <w:t>1</w:t>
            </w:r>
          </w:p>
        </w:tc>
        <w:tc>
          <w:tcPr>
            <w:tcW w:w="1740" w:type="dxa"/>
          </w:tcPr>
          <w:p>
            <w:pPr>
              <w:spacing w:line="440" w:lineRule="exact"/>
              <w:rPr>
                <w:rFonts w:ascii="宋体" w:hAnsi="宋体" w:cs="宋体"/>
                <w:color w:val="auto"/>
                <w:sz w:val="24"/>
                <w:highlight w:val="none"/>
              </w:rPr>
            </w:pPr>
          </w:p>
        </w:tc>
        <w:tc>
          <w:tcPr>
            <w:tcW w:w="2056" w:type="dxa"/>
          </w:tcPr>
          <w:p>
            <w:pPr>
              <w:spacing w:line="440" w:lineRule="exact"/>
              <w:rPr>
                <w:rFonts w:ascii="宋体" w:hAnsi="宋体" w:cs="宋体"/>
                <w:color w:val="auto"/>
                <w:sz w:val="24"/>
                <w:highlight w:val="none"/>
              </w:rPr>
            </w:pPr>
          </w:p>
        </w:tc>
        <w:tc>
          <w:tcPr>
            <w:tcW w:w="2393" w:type="dxa"/>
          </w:tcPr>
          <w:p>
            <w:pPr>
              <w:spacing w:line="440" w:lineRule="exact"/>
              <w:rPr>
                <w:rFonts w:ascii="宋体" w:hAnsi="宋体" w:cs="宋体"/>
                <w:color w:val="auto"/>
                <w:sz w:val="24"/>
                <w:highlight w:val="none"/>
              </w:rPr>
            </w:pPr>
          </w:p>
        </w:tc>
        <w:tc>
          <w:tcPr>
            <w:tcW w:w="1721" w:type="dxa"/>
          </w:tcPr>
          <w:p>
            <w:pPr>
              <w:spacing w:line="440" w:lineRule="exact"/>
              <w:rPr>
                <w:rFonts w:ascii="宋体" w:hAnsi="宋体" w:cs="宋体"/>
                <w:color w:val="auto"/>
                <w:sz w:val="24"/>
                <w:highlight w:val="none"/>
              </w:rPr>
            </w:pPr>
          </w:p>
        </w:tc>
        <w:tc>
          <w:tcPr>
            <w:tcW w:w="12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cs="宋体"/>
                <w:color w:val="auto"/>
                <w:sz w:val="24"/>
                <w:highlight w:val="none"/>
              </w:rPr>
            </w:pPr>
            <w:r>
              <w:rPr>
                <w:rFonts w:hint="eastAsia" w:ascii="宋体" w:hAnsi="宋体" w:cs="宋体"/>
                <w:color w:val="auto"/>
                <w:sz w:val="24"/>
                <w:highlight w:val="none"/>
              </w:rPr>
              <w:t>2</w:t>
            </w:r>
          </w:p>
        </w:tc>
        <w:tc>
          <w:tcPr>
            <w:tcW w:w="1740" w:type="dxa"/>
          </w:tcPr>
          <w:p>
            <w:pPr>
              <w:spacing w:line="440" w:lineRule="exact"/>
              <w:rPr>
                <w:rFonts w:ascii="宋体" w:hAnsi="宋体" w:cs="宋体"/>
                <w:color w:val="auto"/>
                <w:sz w:val="24"/>
                <w:highlight w:val="none"/>
              </w:rPr>
            </w:pPr>
          </w:p>
        </w:tc>
        <w:tc>
          <w:tcPr>
            <w:tcW w:w="2056" w:type="dxa"/>
          </w:tcPr>
          <w:p>
            <w:pPr>
              <w:spacing w:line="440" w:lineRule="exact"/>
              <w:rPr>
                <w:rFonts w:ascii="宋体" w:hAnsi="宋体" w:cs="宋体"/>
                <w:color w:val="auto"/>
                <w:sz w:val="24"/>
                <w:highlight w:val="none"/>
              </w:rPr>
            </w:pPr>
          </w:p>
        </w:tc>
        <w:tc>
          <w:tcPr>
            <w:tcW w:w="2393" w:type="dxa"/>
          </w:tcPr>
          <w:p>
            <w:pPr>
              <w:spacing w:line="440" w:lineRule="exact"/>
              <w:rPr>
                <w:rFonts w:ascii="宋体" w:hAnsi="宋体" w:cs="宋体"/>
                <w:color w:val="auto"/>
                <w:sz w:val="24"/>
                <w:highlight w:val="none"/>
              </w:rPr>
            </w:pPr>
          </w:p>
        </w:tc>
        <w:tc>
          <w:tcPr>
            <w:tcW w:w="1721" w:type="dxa"/>
          </w:tcPr>
          <w:p>
            <w:pPr>
              <w:spacing w:line="440" w:lineRule="exact"/>
              <w:rPr>
                <w:rFonts w:ascii="宋体" w:hAnsi="宋体" w:cs="宋体"/>
                <w:color w:val="auto"/>
                <w:sz w:val="24"/>
                <w:highlight w:val="none"/>
              </w:rPr>
            </w:pPr>
          </w:p>
        </w:tc>
        <w:tc>
          <w:tcPr>
            <w:tcW w:w="12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cs="宋体"/>
                <w:color w:val="auto"/>
                <w:sz w:val="24"/>
                <w:highlight w:val="none"/>
              </w:rPr>
            </w:pPr>
            <w:r>
              <w:rPr>
                <w:rFonts w:hint="eastAsia" w:ascii="宋体" w:hAnsi="宋体" w:cs="宋体"/>
                <w:color w:val="auto"/>
                <w:sz w:val="24"/>
                <w:highlight w:val="none"/>
              </w:rPr>
              <w:t>3</w:t>
            </w:r>
          </w:p>
        </w:tc>
        <w:tc>
          <w:tcPr>
            <w:tcW w:w="1740" w:type="dxa"/>
          </w:tcPr>
          <w:p>
            <w:pPr>
              <w:spacing w:line="440" w:lineRule="exact"/>
              <w:rPr>
                <w:rFonts w:ascii="宋体" w:hAnsi="宋体" w:cs="宋体"/>
                <w:color w:val="auto"/>
                <w:sz w:val="24"/>
                <w:highlight w:val="none"/>
              </w:rPr>
            </w:pPr>
          </w:p>
        </w:tc>
        <w:tc>
          <w:tcPr>
            <w:tcW w:w="2056" w:type="dxa"/>
          </w:tcPr>
          <w:p>
            <w:pPr>
              <w:spacing w:line="440" w:lineRule="exact"/>
              <w:rPr>
                <w:rFonts w:ascii="宋体" w:hAnsi="宋体" w:cs="宋体"/>
                <w:color w:val="auto"/>
                <w:sz w:val="24"/>
                <w:highlight w:val="none"/>
              </w:rPr>
            </w:pPr>
          </w:p>
        </w:tc>
        <w:tc>
          <w:tcPr>
            <w:tcW w:w="2393" w:type="dxa"/>
          </w:tcPr>
          <w:p>
            <w:pPr>
              <w:spacing w:line="440" w:lineRule="exact"/>
              <w:rPr>
                <w:rFonts w:ascii="宋体" w:hAnsi="宋体" w:cs="宋体"/>
                <w:color w:val="auto"/>
                <w:sz w:val="24"/>
                <w:highlight w:val="none"/>
              </w:rPr>
            </w:pPr>
          </w:p>
        </w:tc>
        <w:tc>
          <w:tcPr>
            <w:tcW w:w="1721" w:type="dxa"/>
          </w:tcPr>
          <w:p>
            <w:pPr>
              <w:spacing w:line="440" w:lineRule="exact"/>
              <w:rPr>
                <w:rFonts w:ascii="宋体" w:hAnsi="宋体" w:cs="宋体"/>
                <w:color w:val="auto"/>
                <w:sz w:val="24"/>
                <w:highlight w:val="none"/>
              </w:rPr>
            </w:pPr>
          </w:p>
        </w:tc>
        <w:tc>
          <w:tcPr>
            <w:tcW w:w="1218" w:type="dxa"/>
          </w:tcPr>
          <w:p>
            <w:pPr>
              <w:spacing w:line="44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cs="宋体"/>
                <w:color w:val="auto"/>
                <w:sz w:val="24"/>
                <w:highlight w:val="none"/>
              </w:rPr>
            </w:pPr>
            <w:r>
              <w:rPr>
                <w:rFonts w:hint="eastAsia" w:ascii="宋体" w:hAnsi="宋体" w:cs="宋体"/>
                <w:color w:val="auto"/>
                <w:sz w:val="24"/>
                <w:highlight w:val="none"/>
              </w:rPr>
              <w:t>…</w:t>
            </w:r>
          </w:p>
        </w:tc>
        <w:tc>
          <w:tcPr>
            <w:tcW w:w="1740" w:type="dxa"/>
          </w:tcPr>
          <w:p>
            <w:pPr>
              <w:spacing w:line="440" w:lineRule="exact"/>
              <w:rPr>
                <w:rFonts w:ascii="宋体" w:hAnsi="宋体" w:cs="宋体"/>
                <w:color w:val="auto"/>
                <w:sz w:val="24"/>
                <w:highlight w:val="none"/>
              </w:rPr>
            </w:pPr>
          </w:p>
        </w:tc>
        <w:tc>
          <w:tcPr>
            <w:tcW w:w="2056" w:type="dxa"/>
          </w:tcPr>
          <w:p>
            <w:pPr>
              <w:spacing w:line="440" w:lineRule="exact"/>
              <w:rPr>
                <w:rFonts w:ascii="宋体" w:hAnsi="宋体" w:cs="宋体"/>
                <w:color w:val="auto"/>
                <w:sz w:val="24"/>
                <w:highlight w:val="none"/>
              </w:rPr>
            </w:pPr>
          </w:p>
        </w:tc>
        <w:tc>
          <w:tcPr>
            <w:tcW w:w="2393" w:type="dxa"/>
          </w:tcPr>
          <w:p>
            <w:pPr>
              <w:spacing w:line="440" w:lineRule="exact"/>
              <w:rPr>
                <w:rFonts w:ascii="宋体" w:hAnsi="宋体" w:cs="宋体"/>
                <w:color w:val="auto"/>
                <w:sz w:val="24"/>
                <w:highlight w:val="none"/>
              </w:rPr>
            </w:pPr>
          </w:p>
        </w:tc>
        <w:tc>
          <w:tcPr>
            <w:tcW w:w="1721" w:type="dxa"/>
          </w:tcPr>
          <w:p>
            <w:pPr>
              <w:spacing w:line="440" w:lineRule="exact"/>
              <w:rPr>
                <w:rFonts w:ascii="宋体" w:hAnsi="宋体" w:cs="宋体"/>
                <w:color w:val="auto"/>
                <w:sz w:val="24"/>
                <w:highlight w:val="none"/>
              </w:rPr>
            </w:pPr>
          </w:p>
        </w:tc>
        <w:tc>
          <w:tcPr>
            <w:tcW w:w="1218" w:type="dxa"/>
          </w:tcPr>
          <w:p>
            <w:pPr>
              <w:spacing w:line="440" w:lineRule="exact"/>
              <w:rPr>
                <w:rFonts w:ascii="宋体" w:hAnsi="宋体" w:cs="宋体"/>
                <w:color w:val="auto"/>
                <w:sz w:val="24"/>
                <w:highlight w:val="none"/>
              </w:rPr>
            </w:pPr>
          </w:p>
        </w:tc>
      </w:tr>
    </w:tbl>
    <w:p>
      <w:pPr>
        <w:spacing w:line="440" w:lineRule="exact"/>
        <w:rPr>
          <w:rFonts w:ascii="宋体" w:hAnsi="宋体" w:cs="宋体"/>
          <w:color w:val="auto"/>
          <w:sz w:val="24"/>
          <w:highlight w:val="none"/>
        </w:rPr>
      </w:pPr>
      <w:r>
        <w:rPr>
          <w:rFonts w:hint="eastAsia" w:ascii="宋体" w:hAnsi="宋体" w:cs="宋体"/>
          <w:color w:val="auto"/>
          <w:sz w:val="24"/>
          <w:highlight w:val="none"/>
        </w:rPr>
        <w:t>注：与招标文件要求逐条对应填写。</w:t>
      </w:r>
    </w:p>
    <w:p>
      <w:pPr>
        <w:spacing w:line="440" w:lineRule="exact"/>
        <w:rPr>
          <w:rFonts w:ascii="宋体" w:hAnsi="宋体" w:cs="宋体"/>
          <w:color w:val="auto"/>
          <w:sz w:val="24"/>
          <w:highlight w:val="none"/>
          <w:u w:val="single"/>
        </w:rPr>
      </w:pPr>
      <w:r>
        <w:rPr>
          <w:rFonts w:hint="eastAsia" w:ascii="宋体" w:hAnsi="宋体" w:cs="宋体"/>
          <w:color w:val="auto"/>
          <w:sz w:val="24"/>
          <w:highlight w:val="none"/>
        </w:rPr>
        <w:t>投标人代表签字：</w:t>
      </w:r>
    </w:p>
    <w:p>
      <w:pPr>
        <w:spacing w:line="440" w:lineRule="exact"/>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bCs/>
          <w:color w:val="auto"/>
          <w:sz w:val="24"/>
          <w:highlight w:val="none"/>
        </w:rPr>
        <w:t>20</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w:t>
      </w:r>
      <w:r>
        <w:rPr>
          <w:rFonts w:hint="eastAsia" w:ascii="宋体" w:hAnsi="宋体" w:cs="宋体"/>
          <w:bCs/>
          <w:color w:val="auto"/>
          <w:sz w:val="24"/>
          <w:highlight w:val="none"/>
        </w:rPr>
        <w:t>日</w:t>
      </w:r>
    </w:p>
    <w:p>
      <w:pPr>
        <w:spacing w:line="440" w:lineRule="exact"/>
        <w:rPr>
          <w:rFonts w:ascii="宋体" w:hAnsi="宋体" w:cs="宋体"/>
          <w:b/>
          <w:color w:val="auto"/>
          <w:sz w:val="32"/>
          <w:szCs w:val="32"/>
          <w:highlight w:val="none"/>
        </w:rPr>
      </w:pPr>
    </w:p>
    <w:p>
      <w:pPr>
        <w:jc w:val="center"/>
        <w:rPr>
          <w:rFonts w:ascii="宋体" w:hAnsi="宋体" w:cs="宋体"/>
          <w:b/>
          <w:color w:val="auto"/>
          <w:sz w:val="30"/>
          <w:szCs w:val="30"/>
          <w:highlight w:val="none"/>
        </w:rPr>
      </w:pPr>
    </w:p>
    <w:p>
      <w:pPr>
        <w:jc w:val="center"/>
        <w:rPr>
          <w:rFonts w:ascii="宋体" w:hAnsi="宋体" w:cs="宋体"/>
          <w:b/>
          <w:color w:val="auto"/>
          <w:sz w:val="30"/>
          <w:szCs w:val="30"/>
          <w:highlight w:val="none"/>
        </w:rPr>
      </w:pPr>
    </w:p>
    <w:p>
      <w:pPr>
        <w:jc w:val="center"/>
        <w:rPr>
          <w:rFonts w:ascii="宋体" w:hAnsi="宋体" w:cs="宋体"/>
          <w:b/>
          <w:color w:val="auto"/>
          <w:sz w:val="30"/>
          <w:szCs w:val="30"/>
          <w:highlight w:val="none"/>
        </w:rPr>
      </w:pPr>
    </w:p>
    <w:p>
      <w:pPr>
        <w:jc w:val="center"/>
        <w:rPr>
          <w:rFonts w:ascii="宋体" w:hAnsi="宋体" w:cs="宋体"/>
          <w:b/>
          <w:color w:val="auto"/>
          <w:sz w:val="30"/>
          <w:szCs w:val="30"/>
          <w:highlight w:val="none"/>
        </w:rPr>
      </w:pPr>
    </w:p>
    <w:p>
      <w:pPr>
        <w:jc w:val="center"/>
        <w:rPr>
          <w:rFonts w:ascii="宋体" w:hAnsi="宋体" w:cs="宋体"/>
          <w:b/>
          <w:color w:val="auto"/>
          <w:sz w:val="30"/>
          <w:szCs w:val="30"/>
          <w:highlight w:val="none"/>
        </w:rPr>
      </w:pPr>
    </w:p>
    <w:p>
      <w:pPr>
        <w:jc w:val="center"/>
        <w:rPr>
          <w:rFonts w:ascii="宋体" w:hAnsi="宋体" w:cs="宋体"/>
          <w:b/>
          <w:color w:val="auto"/>
          <w:sz w:val="30"/>
          <w:szCs w:val="30"/>
          <w:highlight w:val="none"/>
        </w:rPr>
      </w:pPr>
    </w:p>
    <w:p>
      <w:pPr>
        <w:jc w:val="center"/>
        <w:rPr>
          <w:rFonts w:ascii="宋体" w:hAnsi="宋体" w:cs="宋体"/>
          <w:b/>
          <w:color w:val="auto"/>
          <w:sz w:val="30"/>
          <w:szCs w:val="30"/>
          <w:highlight w:val="none"/>
        </w:rPr>
      </w:pPr>
    </w:p>
    <w:p>
      <w:pPr>
        <w:pStyle w:val="4"/>
        <w:rPr>
          <w:color w:val="auto"/>
          <w:highlight w:val="none"/>
        </w:rPr>
      </w:pPr>
    </w:p>
    <w:p>
      <w:pPr>
        <w:rPr>
          <w:highlight w:val="none"/>
        </w:rPr>
      </w:pPr>
    </w:p>
    <w:p>
      <w:pPr>
        <w:ind w:firstLine="2530" w:firstLineChars="900"/>
        <w:rPr>
          <w:rFonts w:ascii="宋体" w:hAnsi="宋体" w:cs="宋体"/>
          <w:b/>
          <w:color w:val="auto"/>
          <w:sz w:val="28"/>
          <w:szCs w:val="28"/>
          <w:highlight w:val="none"/>
        </w:rPr>
      </w:pPr>
    </w:p>
    <w:p>
      <w:pPr>
        <w:spacing w:line="440" w:lineRule="exact"/>
        <w:ind w:left="2880" w:hanging="2880"/>
        <w:jc w:val="center"/>
        <w:rPr>
          <w:rFonts w:ascii="宋体" w:hAnsi="宋体" w:cs="宋体"/>
          <w:b/>
          <w:color w:val="auto"/>
          <w:sz w:val="28"/>
          <w:szCs w:val="28"/>
          <w:highlight w:val="none"/>
        </w:rPr>
      </w:pPr>
      <w:r>
        <w:rPr>
          <w:rFonts w:hint="eastAsia" w:ascii="宋体" w:hAnsi="宋体" w:cs="宋体"/>
          <w:b/>
          <w:color w:val="auto"/>
          <w:sz w:val="28"/>
          <w:szCs w:val="28"/>
          <w:highlight w:val="none"/>
        </w:rPr>
        <w:t>附件2-10  售后服务承诺书</w:t>
      </w:r>
    </w:p>
    <w:p>
      <w:pPr>
        <w:shd w:val="clear" w:color="auto" w:fill="FFFFFF"/>
        <w:spacing w:line="440" w:lineRule="exact"/>
        <w:ind w:firstLine="475" w:firstLineChars="198"/>
        <w:rPr>
          <w:rFonts w:ascii="宋体" w:hAnsi="宋体" w:cs="宋体"/>
          <w:color w:val="auto"/>
          <w:sz w:val="24"/>
          <w:highlight w:val="none"/>
        </w:rPr>
      </w:pPr>
      <w:r>
        <w:rPr>
          <w:rFonts w:hint="eastAsia" w:ascii="宋体" w:hAnsi="宋体" w:cs="宋体"/>
          <w:color w:val="auto"/>
          <w:sz w:val="24"/>
          <w:highlight w:val="none"/>
        </w:rPr>
        <w:t>投标人必须按提交的售后服务承诺书，提供售后服务。</w:t>
      </w:r>
    </w:p>
    <w:p>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一、拟提供售后服务的项目：</w:t>
      </w:r>
      <w:r>
        <w:rPr>
          <w:rFonts w:hint="eastAsia" w:ascii="宋体" w:hAnsi="宋体" w:cs="宋体"/>
          <w:color w:val="auto"/>
          <w:sz w:val="24"/>
          <w:highlight w:val="none"/>
          <w:u w:val="single"/>
        </w:rPr>
        <w:t xml:space="preserve">                       </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二、拟提供售后服务期限：</w:t>
      </w:r>
      <w:r>
        <w:rPr>
          <w:rFonts w:hint="eastAsia" w:ascii="宋体" w:hAnsi="宋体" w:cs="宋体"/>
          <w:color w:val="auto"/>
          <w:sz w:val="24"/>
          <w:highlight w:val="none"/>
          <w:u w:val="single"/>
        </w:rPr>
        <w:t xml:space="preserve">                       </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三、免费质保期后，如维修是否收取材料费：</w:t>
      </w:r>
      <w:r>
        <w:rPr>
          <w:rFonts w:hint="eastAsia" w:ascii="宋体" w:hAnsi="宋体" w:cs="宋体"/>
          <w:color w:val="auto"/>
          <w:sz w:val="24"/>
          <w:highlight w:val="none"/>
          <w:u w:val="single"/>
        </w:rPr>
        <w:t xml:space="preserve">                       </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四、免费质保期后，如维修是否收取服务费：</w:t>
      </w:r>
      <w:r>
        <w:rPr>
          <w:rFonts w:hint="eastAsia" w:ascii="宋体" w:hAnsi="宋体" w:cs="宋体"/>
          <w:color w:val="auto"/>
          <w:sz w:val="24"/>
          <w:highlight w:val="none"/>
          <w:u w:val="single"/>
        </w:rPr>
        <w:t xml:space="preserve">                       </w:t>
      </w:r>
    </w:p>
    <w:p>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五、服务响应及到达现场的时间：</w:t>
      </w:r>
      <w:r>
        <w:rPr>
          <w:rFonts w:hint="eastAsia" w:ascii="宋体" w:hAnsi="宋体" w:cs="宋体"/>
          <w:color w:val="auto"/>
          <w:sz w:val="24"/>
          <w:highlight w:val="none"/>
          <w:u w:val="single"/>
        </w:rPr>
        <w:t xml:space="preserve">                       </w:t>
      </w:r>
    </w:p>
    <w:p>
      <w:pPr>
        <w:spacing w:before="100" w:beforeAutospacing="1" w:after="100" w:afterAutospacing="1" w:line="440" w:lineRule="exact"/>
        <w:ind w:firstLine="899"/>
        <w:rPr>
          <w:rFonts w:ascii="宋体" w:hAnsi="宋体" w:cs="宋体"/>
          <w:color w:val="auto"/>
          <w:sz w:val="24"/>
          <w:highlight w:val="none"/>
        </w:rPr>
      </w:pPr>
      <w:r>
        <w:rPr>
          <w:rFonts w:hint="eastAsia" w:ascii="宋体" w:hAnsi="宋体" w:cs="宋体"/>
          <w:color w:val="auto"/>
          <w:sz w:val="24"/>
          <w:highlight w:val="none"/>
        </w:rPr>
        <w:t>公司法人代表(盖章或签字)：</w:t>
      </w:r>
      <w:r>
        <w:rPr>
          <w:rFonts w:hint="eastAsia" w:ascii="宋体" w:hAnsi="宋体" w:cs="宋体"/>
          <w:color w:val="auto"/>
          <w:sz w:val="24"/>
          <w:highlight w:val="none"/>
          <w:u w:val="single"/>
        </w:rPr>
        <w:t xml:space="preserve">                       </w:t>
      </w:r>
    </w:p>
    <w:p>
      <w:pPr>
        <w:spacing w:before="100" w:beforeAutospacing="1" w:after="100" w:afterAutospacing="1" w:line="440" w:lineRule="exact"/>
        <w:ind w:firstLine="899"/>
        <w:rPr>
          <w:rFonts w:ascii="宋体" w:hAnsi="宋体" w:cs="宋体"/>
          <w:color w:val="auto"/>
          <w:sz w:val="24"/>
          <w:highlight w:val="none"/>
        </w:rPr>
      </w:pPr>
      <w:r>
        <w:rPr>
          <w:rFonts w:hint="eastAsia" w:ascii="宋体" w:hAnsi="宋体" w:cs="宋体"/>
          <w:color w:val="auto"/>
          <w:sz w:val="24"/>
          <w:highlight w:val="none"/>
        </w:rPr>
        <w:t>法人授权代表(盖章或签字)：</w:t>
      </w:r>
      <w:r>
        <w:rPr>
          <w:rFonts w:hint="eastAsia" w:ascii="宋体" w:hAnsi="宋体" w:cs="宋体"/>
          <w:color w:val="auto"/>
          <w:sz w:val="24"/>
          <w:highlight w:val="none"/>
          <w:u w:val="single"/>
        </w:rPr>
        <w:t xml:space="preserve">                       </w:t>
      </w:r>
    </w:p>
    <w:p>
      <w:pPr>
        <w:spacing w:before="100" w:beforeAutospacing="1" w:after="100" w:afterAutospacing="1" w:line="440" w:lineRule="exact"/>
        <w:ind w:firstLine="897"/>
        <w:rPr>
          <w:rFonts w:ascii="宋体" w:hAnsi="宋体" w:cs="宋体"/>
          <w:color w:val="auto"/>
          <w:sz w:val="24"/>
          <w:highlight w:val="none"/>
        </w:rPr>
      </w:pPr>
      <w:r>
        <w:rPr>
          <w:rFonts w:hint="eastAsia" w:ascii="宋体" w:hAnsi="宋体" w:cs="宋体"/>
          <w:color w:val="auto"/>
          <w:sz w:val="24"/>
          <w:highlight w:val="none"/>
        </w:rPr>
        <w:t>项目经办人(盖章或签字)：</w:t>
      </w:r>
      <w:r>
        <w:rPr>
          <w:rFonts w:hint="eastAsia" w:ascii="宋体" w:hAnsi="宋体" w:cs="宋体"/>
          <w:color w:val="auto"/>
          <w:sz w:val="24"/>
          <w:highlight w:val="none"/>
          <w:u w:val="single"/>
        </w:rPr>
        <w:t xml:space="preserve">                       </w:t>
      </w:r>
    </w:p>
    <w:p>
      <w:pPr>
        <w:adjustRightInd w:val="0"/>
        <w:spacing w:line="44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日期：20  年  月  日</w:t>
      </w:r>
    </w:p>
    <w:p>
      <w:pPr>
        <w:spacing w:before="187" w:beforeLines="50" w:after="187" w:afterLines="50" w:line="440" w:lineRule="exact"/>
        <w:jc w:val="center"/>
        <w:rPr>
          <w:rFonts w:ascii="宋体" w:hAnsi="宋体" w:cs="宋体"/>
          <w:b/>
          <w:color w:val="auto"/>
          <w:sz w:val="30"/>
          <w:szCs w:val="30"/>
          <w:highlight w:val="none"/>
        </w:rPr>
      </w:pPr>
    </w:p>
    <w:p>
      <w:pPr>
        <w:tabs>
          <w:tab w:val="left" w:pos="2880"/>
        </w:tabs>
        <w:spacing w:line="460" w:lineRule="atLeast"/>
        <w:rPr>
          <w:rFonts w:ascii="宋体" w:hAnsi="宋体" w:cs="宋体"/>
          <w:color w:val="auto"/>
          <w:sz w:val="24"/>
          <w:highlight w:val="none"/>
        </w:rPr>
      </w:pPr>
    </w:p>
    <w:p>
      <w:pPr>
        <w:tabs>
          <w:tab w:val="left" w:pos="3600"/>
        </w:tabs>
        <w:adjustRightInd w:val="0"/>
        <w:snapToGrid w:val="0"/>
        <w:spacing w:line="440" w:lineRule="exac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spacing w:line="440" w:lineRule="exact"/>
        <w:jc w:val="center"/>
        <w:rPr>
          <w:rFonts w:ascii="宋体" w:hAnsi="宋体" w:cs="宋体"/>
          <w:b/>
          <w:color w:val="auto"/>
          <w:sz w:val="36"/>
          <w:highlight w:val="none"/>
        </w:rPr>
      </w:pPr>
    </w:p>
    <w:p>
      <w:pPr>
        <w:spacing w:line="440" w:lineRule="exact"/>
        <w:jc w:val="center"/>
        <w:rPr>
          <w:rFonts w:ascii="宋体" w:hAnsi="宋体" w:cs="宋体"/>
          <w:b/>
          <w:color w:val="auto"/>
          <w:sz w:val="36"/>
          <w:highlight w:val="none"/>
        </w:rPr>
      </w:pPr>
    </w:p>
    <w:p>
      <w:pPr>
        <w:spacing w:line="440" w:lineRule="exact"/>
        <w:jc w:val="center"/>
        <w:rPr>
          <w:rFonts w:ascii="宋体" w:hAnsi="宋体" w:cs="宋体"/>
          <w:b/>
          <w:color w:val="auto"/>
          <w:sz w:val="36"/>
          <w:highlight w:val="none"/>
        </w:rPr>
      </w:pPr>
    </w:p>
    <w:p>
      <w:pPr>
        <w:spacing w:line="440" w:lineRule="exact"/>
        <w:jc w:val="center"/>
        <w:rPr>
          <w:rFonts w:ascii="宋体" w:hAnsi="宋体" w:cs="宋体"/>
          <w:b/>
          <w:color w:val="auto"/>
          <w:sz w:val="36"/>
          <w:highlight w:val="none"/>
        </w:rPr>
      </w:pPr>
    </w:p>
    <w:p>
      <w:pPr>
        <w:spacing w:line="440" w:lineRule="exact"/>
        <w:jc w:val="center"/>
        <w:rPr>
          <w:rFonts w:ascii="宋体" w:hAnsi="宋体" w:cs="宋体"/>
          <w:b/>
          <w:color w:val="auto"/>
          <w:sz w:val="36"/>
          <w:highlight w:val="none"/>
        </w:rPr>
      </w:pPr>
    </w:p>
    <w:p>
      <w:pPr>
        <w:spacing w:line="440" w:lineRule="exact"/>
        <w:jc w:val="center"/>
        <w:rPr>
          <w:rFonts w:ascii="宋体" w:hAnsi="宋体" w:cs="宋体"/>
          <w:b/>
          <w:color w:val="auto"/>
          <w:sz w:val="36"/>
          <w:highlight w:val="none"/>
        </w:rPr>
      </w:pPr>
    </w:p>
    <w:p>
      <w:pPr>
        <w:spacing w:line="440" w:lineRule="exact"/>
        <w:jc w:val="center"/>
        <w:rPr>
          <w:rFonts w:ascii="宋体" w:hAnsi="宋体" w:cs="宋体"/>
          <w:b/>
          <w:color w:val="auto"/>
          <w:sz w:val="36"/>
          <w:highlight w:val="none"/>
        </w:rPr>
      </w:pPr>
    </w:p>
    <w:p>
      <w:pPr>
        <w:spacing w:line="440" w:lineRule="exact"/>
        <w:jc w:val="center"/>
        <w:rPr>
          <w:rFonts w:ascii="宋体" w:hAnsi="宋体" w:cs="宋体"/>
          <w:b/>
          <w:color w:val="auto"/>
          <w:sz w:val="36"/>
          <w:highlight w:val="none"/>
        </w:rPr>
      </w:pPr>
    </w:p>
    <w:p>
      <w:pPr>
        <w:spacing w:line="440" w:lineRule="exact"/>
        <w:rPr>
          <w:rFonts w:ascii="宋体" w:hAnsi="宋体" w:cs="宋体"/>
          <w:b/>
          <w:color w:val="auto"/>
          <w:sz w:val="36"/>
          <w:highlight w:val="none"/>
        </w:rPr>
      </w:pPr>
    </w:p>
    <w:p>
      <w:pPr>
        <w:spacing w:line="440" w:lineRule="exact"/>
        <w:jc w:val="center"/>
        <w:rPr>
          <w:rFonts w:ascii="宋体" w:hAnsi="宋体" w:cs="宋体"/>
          <w:b/>
          <w:color w:val="auto"/>
          <w:sz w:val="36"/>
          <w:highlight w:val="none"/>
        </w:rPr>
      </w:pPr>
    </w:p>
    <w:bookmarkEnd w:id="25"/>
    <w:p>
      <w:pPr>
        <w:spacing w:line="440" w:lineRule="exact"/>
        <w:jc w:val="center"/>
        <w:rPr>
          <w:rStyle w:val="39"/>
          <w:color w:val="auto"/>
          <w:sz w:val="28"/>
          <w:szCs w:val="28"/>
          <w:highlight w:val="none"/>
        </w:rPr>
      </w:pPr>
    </w:p>
    <w:p>
      <w:pPr>
        <w:rPr>
          <w:rStyle w:val="39"/>
          <w:rFonts w:hint="eastAsia"/>
          <w:color w:val="auto"/>
          <w:sz w:val="28"/>
          <w:szCs w:val="28"/>
          <w:highlight w:val="none"/>
        </w:rPr>
      </w:pPr>
      <w:bookmarkStart w:id="82" w:name="_Toc32009"/>
      <w:r>
        <w:rPr>
          <w:rStyle w:val="39"/>
          <w:rFonts w:hint="eastAsia"/>
          <w:color w:val="auto"/>
          <w:sz w:val="28"/>
          <w:szCs w:val="28"/>
          <w:highlight w:val="none"/>
        </w:rPr>
        <w:br w:type="page"/>
      </w:r>
    </w:p>
    <w:p>
      <w:pPr>
        <w:spacing w:line="440" w:lineRule="exact"/>
        <w:jc w:val="center"/>
        <w:rPr>
          <w:rFonts w:ascii="宋体" w:hAnsi="宋体" w:cs="宋体"/>
          <w:b/>
          <w:color w:val="auto"/>
          <w:sz w:val="28"/>
          <w:szCs w:val="28"/>
          <w:highlight w:val="none"/>
        </w:rPr>
      </w:pPr>
      <w:r>
        <w:rPr>
          <w:rStyle w:val="39"/>
          <w:rFonts w:hint="eastAsia"/>
          <w:color w:val="auto"/>
          <w:sz w:val="28"/>
          <w:szCs w:val="28"/>
          <w:highlight w:val="none"/>
        </w:rPr>
        <w:t>评分标准</w:t>
      </w:r>
      <w:bookmarkEnd w:id="82"/>
      <w:r>
        <w:rPr>
          <w:rFonts w:hint="eastAsia" w:ascii="宋体" w:hAnsi="宋体" w:cs="宋体"/>
          <w:b/>
          <w:color w:val="auto"/>
          <w:sz w:val="28"/>
          <w:szCs w:val="28"/>
          <w:highlight w:val="none"/>
        </w:rPr>
        <w:t>100%（以下得分保留小数点后2位）</w:t>
      </w:r>
    </w:p>
    <w:p>
      <w:pPr>
        <w:spacing w:line="440" w:lineRule="exact"/>
        <w:jc w:val="center"/>
        <w:rPr>
          <w:rFonts w:ascii="宋体" w:hAnsi="宋体" w:cs="宋体"/>
          <w:b/>
          <w:bCs/>
          <w:color w:val="auto"/>
          <w:sz w:val="32"/>
          <w:szCs w:val="32"/>
          <w:highlight w:val="none"/>
        </w:rPr>
      </w:pPr>
      <w:r>
        <w:rPr>
          <w:rFonts w:hint="eastAsia" w:ascii="宋体" w:hAnsi="宋体" w:cs="宋体"/>
          <w:b/>
          <w:bCs/>
          <w:color w:val="auto"/>
          <w:sz w:val="24"/>
          <w:highlight w:val="none"/>
        </w:rPr>
        <w:t>技术商务部分（占总分值的</w:t>
      </w: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0%）</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278"/>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pStyle w:val="118"/>
              <w:spacing w:before="0" w:after="0" w:line="440" w:lineRule="exact"/>
              <w:ind w:firstLine="0" w:firstLineChars="0"/>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序号</w:t>
            </w:r>
          </w:p>
        </w:tc>
        <w:tc>
          <w:tcPr>
            <w:tcW w:w="2278" w:type="dxa"/>
            <w:vAlign w:val="center"/>
          </w:tcPr>
          <w:p>
            <w:pPr>
              <w:pStyle w:val="118"/>
              <w:spacing w:before="0" w:after="0" w:line="440" w:lineRule="exact"/>
              <w:ind w:firstLine="0" w:firstLineChars="0"/>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评审项目</w:t>
            </w:r>
          </w:p>
        </w:tc>
        <w:tc>
          <w:tcPr>
            <w:tcW w:w="6904" w:type="dxa"/>
            <w:vAlign w:val="center"/>
          </w:tcPr>
          <w:p>
            <w:pPr>
              <w:pStyle w:val="118"/>
              <w:spacing w:before="0" w:after="0" w:line="440" w:lineRule="exact"/>
              <w:ind w:firstLine="0" w:firstLineChars="0"/>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tabs>
                <w:tab w:val="left" w:pos="2880"/>
              </w:tabs>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278" w:type="dxa"/>
            <w:vAlign w:val="center"/>
          </w:tcPr>
          <w:p>
            <w:pPr>
              <w:pStyle w:val="118"/>
              <w:spacing w:before="0" w:after="0" w:line="440" w:lineRule="exact"/>
              <w:ind w:firstLine="0" w:firstLineChars="0"/>
              <w:jc w:val="center"/>
              <w:rPr>
                <w:rFonts w:ascii="宋体" w:hAnsi="宋体" w:cs="宋体"/>
                <w:color w:val="auto"/>
                <w:sz w:val="24"/>
                <w:highlight w:val="none"/>
              </w:rPr>
            </w:pPr>
            <w:r>
              <w:rPr>
                <w:rFonts w:hint="eastAsia" w:ascii="宋体" w:hAnsi="宋体" w:cs="宋体"/>
                <w:color w:val="auto"/>
                <w:sz w:val="18"/>
                <w:szCs w:val="18"/>
                <w:highlight w:val="none"/>
              </w:rPr>
              <w:t>施工组织设计  （28分）</w:t>
            </w:r>
          </w:p>
        </w:tc>
        <w:tc>
          <w:tcPr>
            <w:tcW w:w="6904" w:type="dxa"/>
            <w:vAlign w:val="center"/>
          </w:tcPr>
          <w:p>
            <w:pPr>
              <w:pStyle w:val="118"/>
              <w:spacing w:before="0" w:after="0" w:line="440" w:lineRule="exact"/>
              <w:ind w:firstLine="0" w:firstLineChars="0"/>
              <w:rPr>
                <w:rFonts w:hint="eastAsia" w:ascii="宋体" w:hAnsi="宋体"/>
                <w:color w:val="auto"/>
                <w:sz w:val="18"/>
                <w:szCs w:val="18"/>
                <w:highlight w:val="none"/>
              </w:rPr>
            </w:pPr>
            <w:r>
              <w:rPr>
                <w:rFonts w:hint="eastAsia" w:ascii="宋体" w:hAnsi="宋体"/>
                <w:color w:val="auto"/>
                <w:sz w:val="18"/>
                <w:szCs w:val="18"/>
                <w:highlight w:val="none"/>
                <w:lang w:val="en-US" w:eastAsia="zh-CN"/>
              </w:rPr>
              <w:t>根据</w:t>
            </w:r>
            <w:r>
              <w:rPr>
                <w:rFonts w:hint="eastAsia" w:ascii="宋体" w:hAnsi="宋体"/>
                <w:color w:val="auto"/>
                <w:sz w:val="18"/>
                <w:szCs w:val="18"/>
                <w:highlight w:val="none"/>
              </w:rPr>
              <w:t>供应商提供的施工组织设计方案</w:t>
            </w:r>
            <w:r>
              <w:rPr>
                <w:rFonts w:hint="eastAsia" w:ascii="宋体" w:hAnsi="宋体"/>
                <w:color w:val="auto"/>
                <w:sz w:val="18"/>
                <w:szCs w:val="18"/>
                <w:highlight w:val="none"/>
                <w:lang w:val="en-US" w:eastAsia="zh-CN"/>
              </w:rPr>
              <w:t>进行综合评审，</w:t>
            </w:r>
            <w:r>
              <w:rPr>
                <w:rFonts w:hint="eastAsia" w:ascii="宋体" w:hAnsi="宋体" w:cs="宋体"/>
                <w:color w:val="auto"/>
                <w:sz w:val="18"/>
                <w:szCs w:val="18"/>
                <w:highlight w:val="none"/>
              </w:rPr>
              <w:t>施工组织设计</w:t>
            </w:r>
            <w:r>
              <w:rPr>
                <w:rFonts w:hint="eastAsia" w:ascii="宋体" w:hAnsi="宋体" w:cs="宋体"/>
                <w:color w:val="auto"/>
                <w:sz w:val="18"/>
                <w:szCs w:val="18"/>
                <w:highlight w:val="none"/>
                <w:lang w:val="en-US" w:eastAsia="zh-CN"/>
              </w:rPr>
              <w:t>内容</w:t>
            </w:r>
            <w:r>
              <w:rPr>
                <w:rFonts w:hint="eastAsia" w:ascii="宋体" w:hAnsi="宋体"/>
                <w:color w:val="auto"/>
                <w:sz w:val="18"/>
                <w:szCs w:val="18"/>
                <w:highlight w:val="none"/>
              </w:rPr>
              <w:t>包含</w:t>
            </w:r>
            <w:r>
              <w:rPr>
                <w:rFonts w:hint="eastAsia" w:ascii="宋体" w:hAnsi="宋体"/>
                <w:color w:val="auto"/>
                <w:sz w:val="18"/>
                <w:szCs w:val="18"/>
                <w:highlight w:val="none"/>
                <w:lang w:val="en-US" w:eastAsia="zh-CN"/>
              </w:rPr>
              <w:t>但不限于①</w:t>
            </w:r>
            <w:r>
              <w:rPr>
                <w:rFonts w:hint="eastAsia" w:ascii="宋体" w:hAnsi="宋体"/>
                <w:color w:val="auto"/>
                <w:sz w:val="18"/>
                <w:szCs w:val="18"/>
                <w:highlight w:val="none"/>
              </w:rPr>
              <w:t>进度计划、</w:t>
            </w:r>
            <w:r>
              <w:rPr>
                <w:rFonts w:hint="eastAsia" w:ascii="宋体" w:hAnsi="宋体"/>
                <w:color w:val="auto"/>
                <w:sz w:val="18"/>
                <w:szCs w:val="18"/>
                <w:highlight w:val="none"/>
                <w:lang w:val="en-US" w:eastAsia="zh-CN"/>
              </w:rPr>
              <w:t>②</w:t>
            </w:r>
            <w:r>
              <w:rPr>
                <w:rFonts w:hint="eastAsia" w:ascii="宋体" w:hAnsi="宋体"/>
                <w:color w:val="auto"/>
                <w:sz w:val="18"/>
                <w:szCs w:val="18"/>
                <w:highlight w:val="none"/>
              </w:rPr>
              <w:t>质量保证措施、</w:t>
            </w:r>
            <w:r>
              <w:rPr>
                <w:rFonts w:hint="eastAsia" w:ascii="宋体" w:hAnsi="宋体"/>
                <w:color w:val="auto"/>
                <w:sz w:val="18"/>
                <w:szCs w:val="18"/>
                <w:highlight w:val="none"/>
                <w:lang w:val="en-US" w:eastAsia="zh-CN"/>
              </w:rPr>
              <w:t>③</w:t>
            </w:r>
            <w:r>
              <w:rPr>
                <w:rFonts w:hint="eastAsia" w:ascii="宋体" w:hAnsi="宋体"/>
                <w:color w:val="auto"/>
                <w:sz w:val="18"/>
                <w:szCs w:val="18"/>
                <w:highlight w:val="none"/>
              </w:rPr>
              <w:t>安全保证措施、</w:t>
            </w:r>
            <w:r>
              <w:rPr>
                <w:rFonts w:hint="eastAsia" w:ascii="宋体" w:hAnsi="宋体"/>
                <w:color w:val="auto"/>
                <w:sz w:val="18"/>
                <w:szCs w:val="18"/>
                <w:highlight w:val="none"/>
                <w:lang w:val="en-US" w:eastAsia="zh-CN"/>
              </w:rPr>
              <w:t>④</w:t>
            </w:r>
            <w:r>
              <w:rPr>
                <w:rFonts w:hint="eastAsia" w:ascii="宋体" w:hAnsi="宋体"/>
                <w:color w:val="auto"/>
                <w:sz w:val="18"/>
                <w:szCs w:val="18"/>
                <w:highlight w:val="none"/>
              </w:rPr>
              <w:t>资源配置计划、</w:t>
            </w:r>
            <w:r>
              <w:rPr>
                <w:rFonts w:hint="eastAsia" w:ascii="宋体" w:hAnsi="宋体"/>
                <w:color w:val="auto"/>
                <w:sz w:val="18"/>
                <w:szCs w:val="18"/>
                <w:highlight w:val="none"/>
                <w:lang w:val="en-US" w:eastAsia="zh-CN"/>
              </w:rPr>
              <w:t>⑤</w:t>
            </w:r>
            <w:r>
              <w:rPr>
                <w:rFonts w:hint="eastAsia" w:ascii="宋体" w:hAnsi="宋体"/>
                <w:color w:val="auto"/>
                <w:sz w:val="18"/>
                <w:szCs w:val="18"/>
                <w:highlight w:val="none"/>
              </w:rPr>
              <w:t>环保文明措施、</w:t>
            </w:r>
            <w:r>
              <w:rPr>
                <w:rFonts w:hint="eastAsia" w:ascii="宋体" w:hAnsi="宋体"/>
                <w:color w:val="auto"/>
                <w:sz w:val="18"/>
                <w:szCs w:val="18"/>
                <w:highlight w:val="none"/>
                <w:lang w:val="en-US" w:eastAsia="zh-CN"/>
              </w:rPr>
              <w:t>⑥</w:t>
            </w:r>
            <w:r>
              <w:rPr>
                <w:rFonts w:hint="eastAsia" w:ascii="宋体" w:hAnsi="宋体"/>
                <w:color w:val="auto"/>
                <w:sz w:val="18"/>
                <w:szCs w:val="18"/>
                <w:highlight w:val="none"/>
              </w:rPr>
              <w:t>应急预案、</w:t>
            </w:r>
            <w:r>
              <w:rPr>
                <w:rFonts w:hint="eastAsia" w:ascii="宋体" w:hAnsi="宋体"/>
                <w:color w:val="auto"/>
                <w:sz w:val="18"/>
                <w:szCs w:val="18"/>
                <w:highlight w:val="none"/>
                <w:lang w:val="en-US" w:eastAsia="zh-CN"/>
              </w:rPr>
              <w:t>⑦</w:t>
            </w:r>
            <w:r>
              <w:rPr>
                <w:rFonts w:hint="eastAsia" w:ascii="宋体" w:hAnsi="宋体"/>
                <w:color w:val="auto"/>
                <w:sz w:val="18"/>
                <w:szCs w:val="18"/>
                <w:highlight w:val="none"/>
              </w:rPr>
              <w:t>施工工艺内容每提供一项的得</w:t>
            </w: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分，未提供的不得分。</w:t>
            </w:r>
          </w:p>
          <w:p>
            <w:pPr>
              <w:pStyle w:val="118"/>
              <w:spacing w:before="0" w:after="0" w:line="440" w:lineRule="exact"/>
              <w:ind w:firstLine="0" w:firstLineChars="0"/>
              <w:rPr>
                <w:rFonts w:ascii="宋体" w:hAnsi="宋体" w:cs="宋体"/>
                <w:color w:val="auto"/>
                <w:sz w:val="24"/>
                <w:highlight w:val="none"/>
              </w:rPr>
            </w:pPr>
            <w:r>
              <w:rPr>
                <w:rFonts w:hint="eastAsia" w:ascii="宋体" w:hAnsi="宋体"/>
                <w:color w:val="auto"/>
                <w:sz w:val="18"/>
                <w:szCs w:val="18"/>
                <w:highlight w:val="none"/>
              </w:rPr>
              <w:t>在此得分基础上，根据每项的内容清晰完善、合理可行性进行加分，每项加分区间为0-1分，最多可加</w:t>
            </w:r>
            <w:r>
              <w:rPr>
                <w:rFonts w:hint="eastAsia" w:ascii="宋体" w:hAnsi="宋体"/>
                <w:color w:val="auto"/>
                <w:sz w:val="18"/>
                <w:szCs w:val="18"/>
                <w:highlight w:val="none"/>
                <w:lang w:val="en-US" w:eastAsia="zh-CN"/>
              </w:rPr>
              <w:t>7</w:t>
            </w:r>
            <w:r>
              <w:rPr>
                <w:rFonts w:hint="eastAsia" w:ascii="宋体" w:hAnsi="宋体"/>
                <w:color w:val="auto"/>
                <w:sz w:val="18"/>
                <w:szCs w:val="18"/>
                <w:highlight w:val="none"/>
              </w:rPr>
              <w:t>分，本项满分</w:t>
            </w:r>
            <w:r>
              <w:rPr>
                <w:rFonts w:hint="eastAsia" w:ascii="宋体" w:hAnsi="宋体"/>
                <w:color w:val="auto"/>
                <w:sz w:val="18"/>
                <w:szCs w:val="18"/>
                <w:highlight w:val="none"/>
                <w:lang w:val="en-US" w:eastAsia="zh-CN"/>
              </w:rPr>
              <w:t>28</w:t>
            </w:r>
            <w:r>
              <w:rPr>
                <w:rFonts w:hint="eastAsia" w:ascii="宋体" w:hAnsi="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tabs>
                <w:tab w:val="left" w:pos="2880"/>
              </w:tabs>
              <w:spacing w:line="44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278" w:type="dxa"/>
            <w:vAlign w:val="center"/>
          </w:tcPr>
          <w:p>
            <w:pPr>
              <w:pStyle w:val="118"/>
              <w:spacing w:before="0" w:after="0" w:line="440" w:lineRule="exact"/>
              <w:ind w:firstLine="0" w:firstLineChars="0"/>
              <w:jc w:val="center"/>
              <w:rPr>
                <w:rFonts w:ascii="宋体" w:hAnsi="宋体" w:cs="宋体"/>
                <w:color w:val="auto"/>
                <w:sz w:val="24"/>
                <w:highlight w:val="none"/>
              </w:rPr>
            </w:pPr>
            <w:r>
              <w:rPr>
                <w:rFonts w:ascii="宋体" w:hAnsi="宋体" w:cs="宋体"/>
                <w:color w:val="auto"/>
                <w:sz w:val="18"/>
                <w:szCs w:val="18"/>
                <w:highlight w:val="none"/>
              </w:rPr>
              <w:t>拟投入的设备配置情况（</w:t>
            </w:r>
            <w:r>
              <w:rPr>
                <w:rFonts w:hint="eastAsia" w:ascii="宋体" w:hAnsi="宋体" w:cs="宋体"/>
                <w:color w:val="auto"/>
                <w:sz w:val="18"/>
                <w:szCs w:val="18"/>
                <w:highlight w:val="none"/>
                <w:lang w:val="en-US" w:eastAsia="zh-CN"/>
              </w:rPr>
              <w:t>12</w:t>
            </w:r>
            <w:r>
              <w:rPr>
                <w:rFonts w:ascii="宋体" w:hAnsi="宋体" w:cs="宋体"/>
                <w:color w:val="auto"/>
                <w:sz w:val="18"/>
                <w:szCs w:val="18"/>
                <w:highlight w:val="none"/>
              </w:rPr>
              <w:t>分）</w:t>
            </w:r>
          </w:p>
        </w:tc>
        <w:tc>
          <w:tcPr>
            <w:tcW w:w="6904" w:type="dxa"/>
            <w:vAlign w:val="center"/>
          </w:tcPr>
          <w:p>
            <w:pPr>
              <w:pStyle w:val="118"/>
              <w:spacing w:before="0" w:after="0" w:line="440" w:lineRule="exact"/>
              <w:ind w:firstLine="0"/>
              <w:rPr>
                <w:rFonts w:hint="eastAsia" w:ascii="宋体" w:hAnsi="宋体"/>
                <w:color w:val="auto"/>
                <w:sz w:val="18"/>
                <w:szCs w:val="18"/>
                <w:highlight w:val="none"/>
              </w:rPr>
            </w:pPr>
            <w:r>
              <w:rPr>
                <w:rFonts w:hint="eastAsia" w:ascii="宋体" w:hAnsi="宋体"/>
                <w:color w:val="auto"/>
                <w:sz w:val="18"/>
                <w:szCs w:val="18"/>
                <w:highlight w:val="none"/>
              </w:rPr>
              <w:t>供应商针对本项目拟投入的安装设备配置情况：</w:t>
            </w:r>
          </w:p>
          <w:p>
            <w:pPr>
              <w:pStyle w:val="118"/>
              <w:spacing w:before="0" w:after="0" w:line="440" w:lineRule="exact"/>
              <w:ind w:firstLine="0"/>
              <w:rPr>
                <w:rFonts w:ascii="宋体" w:hAnsi="宋体"/>
                <w:color w:val="auto"/>
                <w:sz w:val="18"/>
                <w:szCs w:val="18"/>
                <w:highlight w:val="none"/>
              </w:rPr>
            </w:pPr>
            <w:r>
              <w:rPr>
                <w:rFonts w:ascii="宋体" w:hAnsi="宋体"/>
                <w:color w:val="auto"/>
                <w:sz w:val="18"/>
                <w:szCs w:val="18"/>
                <w:highlight w:val="none"/>
              </w:rPr>
              <w:t>磋商小组认为</w:t>
            </w:r>
            <w:r>
              <w:rPr>
                <w:rFonts w:hint="eastAsia" w:ascii="宋体" w:hAnsi="宋体"/>
                <w:color w:val="auto"/>
                <w:sz w:val="18"/>
                <w:szCs w:val="18"/>
                <w:highlight w:val="none"/>
              </w:rPr>
              <w:t>清单完整详细、配置合理，施工安装专业、先进、数量充足齐全的，得</w:t>
            </w:r>
            <w:r>
              <w:rPr>
                <w:rFonts w:hint="eastAsia" w:ascii="宋体" w:hAnsi="宋体"/>
                <w:color w:val="auto"/>
                <w:sz w:val="18"/>
                <w:szCs w:val="18"/>
                <w:highlight w:val="none"/>
                <w:lang w:val="en-US" w:eastAsia="zh-CN"/>
              </w:rPr>
              <w:t>12</w:t>
            </w:r>
            <w:r>
              <w:rPr>
                <w:rFonts w:ascii="宋体" w:hAnsi="宋体"/>
                <w:color w:val="auto"/>
                <w:sz w:val="18"/>
                <w:szCs w:val="18"/>
                <w:highlight w:val="none"/>
              </w:rPr>
              <w:t>分；</w:t>
            </w:r>
          </w:p>
          <w:p>
            <w:pPr>
              <w:pStyle w:val="118"/>
              <w:spacing w:before="0" w:after="0" w:line="440" w:lineRule="exact"/>
              <w:ind w:firstLine="0"/>
              <w:rPr>
                <w:rFonts w:ascii="宋体" w:hAnsi="宋体"/>
                <w:color w:val="auto"/>
                <w:sz w:val="18"/>
                <w:szCs w:val="18"/>
                <w:highlight w:val="none"/>
              </w:rPr>
            </w:pPr>
            <w:r>
              <w:rPr>
                <w:rFonts w:hint="eastAsia" w:ascii="宋体" w:hAnsi="宋体"/>
                <w:color w:val="auto"/>
                <w:sz w:val="18"/>
                <w:szCs w:val="18"/>
                <w:highlight w:val="none"/>
              </w:rPr>
              <w:t>清单较完整详细、配置较合理，施工安装较专业、较先进、较齐全的，得</w:t>
            </w:r>
            <w:r>
              <w:rPr>
                <w:rFonts w:hint="eastAsia" w:ascii="宋体" w:hAnsi="宋体"/>
                <w:color w:val="auto"/>
                <w:sz w:val="18"/>
                <w:szCs w:val="18"/>
                <w:highlight w:val="none"/>
                <w:lang w:val="en-US" w:eastAsia="zh-CN"/>
              </w:rPr>
              <w:t>9</w:t>
            </w:r>
            <w:r>
              <w:rPr>
                <w:rFonts w:ascii="宋体" w:hAnsi="宋体"/>
                <w:color w:val="auto"/>
                <w:sz w:val="18"/>
                <w:szCs w:val="18"/>
                <w:highlight w:val="none"/>
              </w:rPr>
              <w:t>分；</w:t>
            </w:r>
          </w:p>
          <w:p>
            <w:pPr>
              <w:pStyle w:val="118"/>
              <w:spacing w:before="0" w:after="0" w:line="440" w:lineRule="exact"/>
              <w:ind w:firstLine="0"/>
              <w:rPr>
                <w:rFonts w:ascii="宋体" w:hAnsi="宋体"/>
                <w:color w:val="auto"/>
                <w:sz w:val="18"/>
                <w:szCs w:val="18"/>
                <w:highlight w:val="none"/>
              </w:rPr>
            </w:pPr>
            <w:r>
              <w:rPr>
                <w:rFonts w:hint="eastAsia" w:ascii="宋体" w:hAnsi="宋体"/>
                <w:color w:val="auto"/>
                <w:sz w:val="18"/>
                <w:szCs w:val="18"/>
                <w:highlight w:val="none"/>
              </w:rPr>
              <w:t>清单基本完整、配置一般，施工安装专业性、先进性一般、基本齐全的，得</w:t>
            </w:r>
            <w:r>
              <w:rPr>
                <w:rFonts w:hint="eastAsia" w:ascii="宋体" w:hAnsi="宋体"/>
                <w:color w:val="auto"/>
                <w:sz w:val="18"/>
                <w:szCs w:val="18"/>
                <w:highlight w:val="none"/>
                <w:lang w:val="en-US" w:eastAsia="zh-CN"/>
              </w:rPr>
              <w:t>6</w:t>
            </w:r>
            <w:r>
              <w:rPr>
                <w:rFonts w:ascii="宋体" w:hAnsi="宋体"/>
                <w:color w:val="auto"/>
                <w:sz w:val="18"/>
                <w:szCs w:val="18"/>
                <w:highlight w:val="none"/>
              </w:rPr>
              <w:t>分；</w:t>
            </w:r>
          </w:p>
          <w:p>
            <w:pPr>
              <w:pStyle w:val="118"/>
              <w:spacing w:before="0" w:after="0" w:line="440" w:lineRule="exact"/>
              <w:ind w:firstLine="0"/>
              <w:rPr>
                <w:rFonts w:ascii="宋体" w:hAnsi="宋体"/>
                <w:color w:val="auto"/>
                <w:sz w:val="18"/>
                <w:szCs w:val="18"/>
                <w:highlight w:val="none"/>
              </w:rPr>
            </w:pPr>
            <w:r>
              <w:rPr>
                <w:rFonts w:hint="eastAsia" w:ascii="宋体" w:hAnsi="宋体"/>
                <w:color w:val="auto"/>
                <w:sz w:val="18"/>
                <w:szCs w:val="18"/>
                <w:highlight w:val="none"/>
              </w:rPr>
              <w:t>清单不够完整、配置欠合理，施工安装专业性欠缺、不齐全的，得</w:t>
            </w:r>
            <w:r>
              <w:rPr>
                <w:rFonts w:hint="eastAsia" w:ascii="宋体" w:hAnsi="宋体"/>
                <w:color w:val="auto"/>
                <w:sz w:val="18"/>
                <w:szCs w:val="18"/>
                <w:highlight w:val="none"/>
                <w:lang w:val="en-US" w:eastAsia="zh-CN"/>
              </w:rPr>
              <w:t>3</w:t>
            </w:r>
            <w:r>
              <w:rPr>
                <w:rFonts w:ascii="宋体" w:hAnsi="宋体"/>
                <w:color w:val="auto"/>
                <w:sz w:val="18"/>
                <w:szCs w:val="18"/>
                <w:highlight w:val="none"/>
              </w:rPr>
              <w:t>分；</w:t>
            </w:r>
          </w:p>
          <w:p>
            <w:pPr>
              <w:pStyle w:val="118"/>
              <w:spacing w:before="0" w:after="0" w:line="440" w:lineRule="exact"/>
              <w:ind w:firstLine="0" w:firstLineChars="0"/>
              <w:rPr>
                <w:rFonts w:ascii="宋体" w:hAnsi="宋体" w:cs="宋体"/>
                <w:color w:val="auto"/>
                <w:highlight w:val="none"/>
              </w:rPr>
            </w:pPr>
            <w:r>
              <w:rPr>
                <w:rFonts w:hint="eastAsia" w:ascii="宋体" w:hAnsi="宋体"/>
                <w:color w:val="auto"/>
                <w:sz w:val="18"/>
                <w:szCs w:val="18"/>
                <w:highlight w:val="none"/>
              </w:rPr>
              <w:t>设备配置差或未提供不得分。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tabs>
                <w:tab w:val="left" w:pos="2880"/>
              </w:tabs>
              <w:spacing w:line="4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278" w:type="dxa"/>
            <w:vAlign w:val="center"/>
          </w:tcPr>
          <w:p>
            <w:pPr>
              <w:pStyle w:val="118"/>
              <w:spacing w:before="0" w:after="0" w:line="440" w:lineRule="exact"/>
              <w:ind w:firstLine="0" w:firstLineChars="0"/>
              <w:jc w:val="center"/>
              <w:rPr>
                <w:rFonts w:ascii="宋体" w:hAnsi="宋体" w:cs="宋体"/>
                <w:color w:val="auto"/>
                <w:sz w:val="24"/>
                <w:highlight w:val="none"/>
              </w:rPr>
            </w:pPr>
            <w:r>
              <w:rPr>
                <w:rFonts w:hint="eastAsia" w:ascii="宋体" w:hAnsi="宋体" w:cs="宋体"/>
                <w:color w:val="auto"/>
                <w:sz w:val="18"/>
                <w:szCs w:val="18"/>
                <w:highlight w:val="none"/>
              </w:rPr>
              <w:t>安全考核制度（</w:t>
            </w:r>
            <w:r>
              <w:rPr>
                <w:rFonts w:hint="eastAsia" w:ascii="宋体" w:hAnsi="宋体" w:cs="宋体"/>
                <w:color w:val="auto"/>
                <w:sz w:val="18"/>
                <w:szCs w:val="18"/>
                <w:highlight w:val="none"/>
                <w:lang w:val="en-US" w:eastAsia="zh-CN"/>
              </w:rPr>
              <w:t>8分</w:t>
            </w:r>
            <w:r>
              <w:rPr>
                <w:rFonts w:hint="eastAsia" w:ascii="宋体" w:hAnsi="宋体" w:cs="宋体"/>
                <w:color w:val="auto"/>
                <w:sz w:val="18"/>
                <w:szCs w:val="18"/>
                <w:highlight w:val="none"/>
              </w:rPr>
              <w:t>）</w:t>
            </w:r>
          </w:p>
        </w:tc>
        <w:tc>
          <w:tcPr>
            <w:tcW w:w="6904" w:type="dxa"/>
            <w:vAlign w:val="center"/>
          </w:tcPr>
          <w:p>
            <w:pPr>
              <w:pStyle w:val="118"/>
              <w:spacing w:before="0" w:after="0" w:line="440" w:lineRule="exact"/>
              <w:ind w:firstLine="0" w:firstLineChars="0"/>
              <w:rPr>
                <w:rFonts w:hint="eastAsia" w:ascii="宋体" w:hAnsi="宋体"/>
                <w:color w:val="auto"/>
                <w:sz w:val="18"/>
                <w:szCs w:val="18"/>
                <w:highlight w:val="none"/>
              </w:rPr>
            </w:pPr>
            <w:r>
              <w:rPr>
                <w:rFonts w:hint="eastAsia" w:ascii="宋体" w:hAnsi="宋体"/>
                <w:color w:val="auto"/>
                <w:sz w:val="18"/>
                <w:szCs w:val="18"/>
                <w:highlight w:val="none"/>
              </w:rPr>
              <w:t>供应商提供的针对本项目的施工工作制定人员安全操作考核制度：</w:t>
            </w:r>
          </w:p>
          <w:p>
            <w:pPr>
              <w:pStyle w:val="118"/>
              <w:spacing w:before="0" w:after="0" w:line="440" w:lineRule="exact"/>
              <w:ind w:firstLine="0" w:firstLineChars="0"/>
              <w:rPr>
                <w:rFonts w:ascii="宋体" w:hAnsi="宋体"/>
                <w:color w:val="auto"/>
                <w:sz w:val="18"/>
                <w:szCs w:val="18"/>
                <w:highlight w:val="none"/>
              </w:rPr>
            </w:pPr>
            <w:r>
              <w:rPr>
                <w:rFonts w:ascii="宋体" w:hAnsi="宋体"/>
                <w:color w:val="auto"/>
                <w:sz w:val="18"/>
                <w:szCs w:val="18"/>
                <w:highlight w:val="none"/>
              </w:rPr>
              <w:t>磋商小组认为</w:t>
            </w:r>
            <w:r>
              <w:rPr>
                <w:rFonts w:hint="eastAsia" w:ascii="宋体" w:hAnsi="宋体"/>
                <w:color w:val="auto"/>
                <w:sz w:val="18"/>
                <w:szCs w:val="18"/>
                <w:highlight w:val="none"/>
              </w:rPr>
              <w:t>考核制度完善、详细、严谨，可操作性强，得</w:t>
            </w:r>
            <w:r>
              <w:rPr>
                <w:rFonts w:hint="eastAsia" w:ascii="宋体" w:hAnsi="宋体"/>
                <w:color w:val="auto"/>
                <w:sz w:val="18"/>
                <w:szCs w:val="18"/>
                <w:highlight w:val="none"/>
                <w:lang w:val="en-US" w:eastAsia="zh-CN"/>
              </w:rPr>
              <w:t>8</w:t>
            </w:r>
            <w:r>
              <w:rPr>
                <w:rFonts w:ascii="宋体" w:hAnsi="宋体"/>
                <w:color w:val="auto"/>
                <w:sz w:val="18"/>
                <w:szCs w:val="18"/>
                <w:highlight w:val="none"/>
              </w:rPr>
              <w:t>分；</w:t>
            </w:r>
          </w:p>
          <w:p>
            <w:pPr>
              <w:pStyle w:val="118"/>
              <w:spacing w:before="0" w:after="0" w:line="440" w:lineRule="exact"/>
              <w:ind w:firstLine="0" w:firstLineChars="0"/>
              <w:rPr>
                <w:rFonts w:ascii="宋体" w:hAnsi="宋体"/>
                <w:color w:val="auto"/>
                <w:sz w:val="18"/>
                <w:szCs w:val="18"/>
                <w:highlight w:val="none"/>
              </w:rPr>
            </w:pPr>
            <w:r>
              <w:rPr>
                <w:rFonts w:hint="eastAsia" w:ascii="宋体" w:hAnsi="宋体"/>
                <w:color w:val="auto"/>
                <w:sz w:val="18"/>
                <w:szCs w:val="18"/>
                <w:highlight w:val="none"/>
              </w:rPr>
              <w:t>考核制度较完善、较详细、较严谨，可操作性较强，得</w:t>
            </w:r>
            <w:r>
              <w:rPr>
                <w:rFonts w:hint="eastAsia" w:ascii="宋体" w:hAnsi="宋体"/>
                <w:color w:val="auto"/>
                <w:sz w:val="18"/>
                <w:szCs w:val="18"/>
                <w:highlight w:val="none"/>
                <w:lang w:val="en-US" w:eastAsia="zh-CN"/>
              </w:rPr>
              <w:t>6</w:t>
            </w:r>
            <w:r>
              <w:rPr>
                <w:rFonts w:ascii="宋体" w:hAnsi="宋体"/>
                <w:color w:val="auto"/>
                <w:sz w:val="18"/>
                <w:szCs w:val="18"/>
                <w:highlight w:val="none"/>
              </w:rPr>
              <w:t>分；</w:t>
            </w:r>
          </w:p>
          <w:p>
            <w:pPr>
              <w:pStyle w:val="118"/>
              <w:spacing w:before="0" w:after="0" w:line="440" w:lineRule="exact"/>
              <w:ind w:firstLine="0" w:firstLineChars="0"/>
              <w:rPr>
                <w:rFonts w:ascii="宋体" w:hAnsi="宋体"/>
                <w:color w:val="auto"/>
                <w:sz w:val="18"/>
                <w:szCs w:val="18"/>
                <w:highlight w:val="none"/>
              </w:rPr>
            </w:pPr>
            <w:r>
              <w:rPr>
                <w:rFonts w:hint="eastAsia" w:ascii="宋体" w:hAnsi="宋体"/>
                <w:color w:val="auto"/>
                <w:sz w:val="18"/>
                <w:szCs w:val="18"/>
                <w:highlight w:val="none"/>
              </w:rPr>
              <w:t>考核制度详细程度、严谨性一般，可操作性一般，得</w:t>
            </w:r>
            <w:r>
              <w:rPr>
                <w:rFonts w:ascii="宋体" w:hAnsi="宋体"/>
                <w:color w:val="auto"/>
                <w:sz w:val="18"/>
                <w:szCs w:val="18"/>
                <w:highlight w:val="none"/>
              </w:rPr>
              <w:t>4分；</w:t>
            </w:r>
          </w:p>
          <w:p>
            <w:pPr>
              <w:pStyle w:val="118"/>
              <w:spacing w:before="0" w:after="0" w:line="440" w:lineRule="exact"/>
              <w:ind w:firstLine="0" w:firstLineChars="0"/>
              <w:rPr>
                <w:rFonts w:ascii="宋体" w:hAnsi="宋体"/>
                <w:color w:val="auto"/>
                <w:sz w:val="18"/>
                <w:szCs w:val="18"/>
                <w:highlight w:val="none"/>
              </w:rPr>
            </w:pPr>
            <w:r>
              <w:rPr>
                <w:rFonts w:hint="eastAsia" w:ascii="宋体" w:hAnsi="宋体"/>
                <w:color w:val="auto"/>
                <w:sz w:val="18"/>
                <w:szCs w:val="18"/>
                <w:highlight w:val="none"/>
              </w:rPr>
              <w:t>考核制度不够详细、不够严谨，可操作性较差，得</w:t>
            </w:r>
            <w:r>
              <w:rPr>
                <w:rFonts w:ascii="宋体" w:hAnsi="宋体"/>
                <w:color w:val="auto"/>
                <w:sz w:val="18"/>
                <w:szCs w:val="18"/>
                <w:highlight w:val="none"/>
              </w:rPr>
              <w:t>2分；</w:t>
            </w:r>
          </w:p>
          <w:p>
            <w:pPr>
              <w:pStyle w:val="118"/>
              <w:spacing w:before="0" w:after="0" w:line="440" w:lineRule="exact"/>
              <w:ind w:firstLine="0" w:firstLineChars="0"/>
              <w:rPr>
                <w:rFonts w:ascii="宋体" w:hAnsi="宋体" w:cs="宋体"/>
                <w:color w:val="auto"/>
                <w:highlight w:val="none"/>
              </w:rPr>
            </w:pPr>
            <w:r>
              <w:rPr>
                <w:rFonts w:hint="eastAsia" w:ascii="宋体" w:hAnsi="宋体"/>
                <w:color w:val="auto"/>
                <w:sz w:val="18"/>
                <w:szCs w:val="18"/>
                <w:highlight w:val="none"/>
              </w:rPr>
              <w:t>考核制度不满足需要或未提供，得</w:t>
            </w:r>
            <w:r>
              <w:rPr>
                <w:rFonts w:ascii="宋体" w:hAnsi="宋体"/>
                <w:color w:val="auto"/>
                <w:sz w:val="18"/>
                <w:szCs w:val="18"/>
                <w:highlight w:val="none"/>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72" w:type="dxa"/>
            <w:vAlign w:val="center"/>
          </w:tcPr>
          <w:p>
            <w:pPr>
              <w:tabs>
                <w:tab w:val="left" w:pos="2880"/>
              </w:tabs>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278" w:type="dxa"/>
            <w:vAlign w:val="center"/>
          </w:tcPr>
          <w:p>
            <w:pPr>
              <w:spacing w:line="440" w:lineRule="exact"/>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应急管理预案（8分）</w:t>
            </w:r>
          </w:p>
        </w:tc>
        <w:tc>
          <w:tcPr>
            <w:tcW w:w="6904" w:type="dxa"/>
            <w:vAlign w:val="center"/>
          </w:tcPr>
          <w:p>
            <w:pPr>
              <w:pStyle w:val="118"/>
              <w:spacing w:before="0" w:after="0" w:line="440" w:lineRule="exact"/>
              <w:ind w:firstLine="0" w:firstLineChars="0"/>
              <w:rPr>
                <w:rFonts w:hint="default"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根据投标人提供的</w:t>
            </w:r>
            <w:r>
              <w:rPr>
                <w:rFonts w:hint="eastAsia" w:ascii="宋体" w:hAnsi="宋体" w:cs="宋体"/>
                <w:color w:val="auto"/>
                <w:sz w:val="18"/>
                <w:szCs w:val="18"/>
                <w:highlight w:val="none"/>
                <w:lang w:val="en-US" w:eastAsia="zh-CN"/>
              </w:rPr>
              <w:t>应急管理预案进行综合评审，包括但不限于</w:t>
            </w:r>
            <w:r>
              <w:rPr>
                <w:rFonts w:hint="eastAsia" w:ascii="宋体" w:hAnsi="宋体" w:eastAsia="宋体" w:cs="Times New Roman"/>
                <w:color w:val="auto"/>
                <w:sz w:val="18"/>
                <w:szCs w:val="18"/>
                <w:highlight w:val="none"/>
                <w:lang w:val="en-US" w:eastAsia="zh-CN"/>
              </w:rPr>
              <w:t>各种突发事件处置应急措施及补偿措施等内容；</w:t>
            </w:r>
          </w:p>
          <w:p>
            <w:pPr>
              <w:pStyle w:val="118"/>
              <w:spacing w:before="0" w:after="0" w:line="440" w:lineRule="exact"/>
              <w:ind w:firstLine="0" w:firstLineChars="0"/>
              <w:rPr>
                <w:rFonts w:hint="eastAsia" w:ascii="宋体" w:hAnsi="宋体" w:eastAsia="宋体" w:cs="Times New Roman"/>
                <w:color w:val="auto"/>
                <w:sz w:val="18"/>
                <w:szCs w:val="18"/>
                <w:highlight w:val="none"/>
                <w:lang w:val="en-US" w:eastAsia="zh-CN"/>
              </w:rPr>
            </w:pPr>
            <w:r>
              <w:rPr>
                <w:rFonts w:hint="eastAsia" w:ascii="宋体" w:hAnsi="宋体" w:cs="宋体"/>
                <w:color w:val="auto"/>
                <w:sz w:val="18"/>
                <w:szCs w:val="18"/>
                <w:highlight w:val="none"/>
                <w:lang w:val="en-US" w:eastAsia="zh-CN"/>
              </w:rPr>
              <w:t>应急管理预案内容</w:t>
            </w:r>
            <w:r>
              <w:rPr>
                <w:rFonts w:hint="eastAsia" w:ascii="宋体" w:hAnsi="宋体" w:eastAsia="宋体" w:cs="Times New Roman"/>
                <w:color w:val="auto"/>
                <w:sz w:val="18"/>
                <w:szCs w:val="18"/>
                <w:highlight w:val="none"/>
                <w:lang w:val="en-US" w:eastAsia="zh-CN"/>
              </w:rPr>
              <w:t>合理得当，应急措施完善合理、方案可行的得8分，</w:t>
            </w:r>
          </w:p>
          <w:p>
            <w:pPr>
              <w:pStyle w:val="118"/>
              <w:spacing w:before="0" w:after="0" w:line="440" w:lineRule="exact"/>
              <w:ind w:firstLine="0" w:firstLineChars="0"/>
              <w:rPr>
                <w:rFonts w:hint="eastAsia" w:ascii="宋体" w:hAnsi="宋体" w:eastAsia="宋体" w:cs="Times New Roman"/>
                <w:color w:val="auto"/>
                <w:sz w:val="18"/>
                <w:szCs w:val="18"/>
                <w:highlight w:val="none"/>
                <w:lang w:val="en-US" w:eastAsia="zh-CN"/>
              </w:rPr>
            </w:pPr>
            <w:r>
              <w:rPr>
                <w:rFonts w:hint="eastAsia" w:ascii="宋体" w:hAnsi="宋体" w:cs="宋体"/>
                <w:color w:val="auto"/>
                <w:sz w:val="18"/>
                <w:szCs w:val="18"/>
                <w:highlight w:val="none"/>
                <w:lang w:val="en-US" w:eastAsia="zh-CN"/>
              </w:rPr>
              <w:t>应急管理预案内容较</w:t>
            </w:r>
            <w:r>
              <w:rPr>
                <w:rFonts w:hint="eastAsia" w:ascii="宋体" w:hAnsi="宋体" w:eastAsia="宋体" w:cs="Times New Roman"/>
                <w:color w:val="auto"/>
                <w:sz w:val="18"/>
                <w:szCs w:val="18"/>
                <w:highlight w:val="none"/>
                <w:lang w:val="en-US" w:eastAsia="zh-CN"/>
              </w:rPr>
              <w:t>合理，应急措施较完善合理、方案一般的得5分</w:t>
            </w:r>
          </w:p>
          <w:p>
            <w:pPr>
              <w:pStyle w:val="118"/>
              <w:spacing w:before="0" w:after="0" w:line="440" w:lineRule="exact"/>
              <w:ind w:firstLine="0" w:firstLineChars="0"/>
              <w:rPr>
                <w:rFonts w:hint="eastAsia" w:ascii="宋体" w:hAnsi="宋体" w:eastAsia="宋体" w:cs="Times New Roman"/>
                <w:color w:val="auto"/>
                <w:sz w:val="18"/>
                <w:szCs w:val="18"/>
                <w:highlight w:val="none"/>
                <w:lang w:val="en-US" w:eastAsia="zh-CN"/>
              </w:rPr>
            </w:pPr>
            <w:r>
              <w:rPr>
                <w:rFonts w:hint="eastAsia" w:ascii="宋体" w:hAnsi="宋体" w:cs="宋体"/>
                <w:color w:val="auto"/>
                <w:sz w:val="18"/>
                <w:szCs w:val="18"/>
                <w:highlight w:val="none"/>
                <w:lang w:val="en-US" w:eastAsia="zh-CN"/>
              </w:rPr>
              <w:t>应急管理预案内容不够</w:t>
            </w:r>
            <w:r>
              <w:rPr>
                <w:rFonts w:hint="eastAsia" w:ascii="宋体" w:hAnsi="宋体" w:eastAsia="宋体" w:cs="Times New Roman"/>
                <w:color w:val="auto"/>
                <w:sz w:val="18"/>
                <w:szCs w:val="18"/>
                <w:highlight w:val="none"/>
                <w:lang w:val="en-US" w:eastAsia="zh-CN"/>
              </w:rPr>
              <w:t>合理得当，应急措施不够完善合理、方案可行性较差的得2分</w:t>
            </w:r>
          </w:p>
          <w:p>
            <w:pPr>
              <w:pStyle w:val="118"/>
              <w:spacing w:before="0" w:after="0" w:line="440" w:lineRule="exact"/>
              <w:ind w:firstLine="0" w:firstLineChars="0"/>
              <w:rPr>
                <w:rFonts w:hint="eastAsia" w:ascii="宋体" w:hAnsi="宋体" w:eastAsia="宋体" w:cs="Times New Roman"/>
                <w:color w:val="auto"/>
                <w:sz w:val="18"/>
                <w:szCs w:val="18"/>
                <w:highlight w:val="none"/>
              </w:rPr>
            </w:pPr>
            <w:r>
              <w:rPr>
                <w:rFonts w:hint="eastAsia" w:ascii="宋体" w:hAnsi="宋体" w:cs="宋体"/>
                <w:color w:val="auto"/>
                <w:sz w:val="18"/>
                <w:szCs w:val="18"/>
                <w:highlight w:val="none"/>
                <w:lang w:val="en-US" w:eastAsia="zh-CN"/>
              </w:rPr>
              <w:t>应急管理预案</w:t>
            </w:r>
            <w:r>
              <w:rPr>
                <w:rFonts w:hint="eastAsia" w:ascii="宋体" w:hAnsi="宋体"/>
                <w:color w:val="auto"/>
                <w:sz w:val="18"/>
                <w:szCs w:val="18"/>
                <w:highlight w:val="none"/>
              </w:rPr>
              <w:t>不满足或未提供，得</w:t>
            </w:r>
            <w:r>
              <w:rPr>
                <w:rFonts w:ascii="宋体" w:hAnsi="宋体"/>
                <w:color w:val="auto"/>
                <w:sz w:val="18"/>
                <w:szCs w:val="18"/>
                <w:highlight w:val="none"/>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72" w:type="dxa"/>
            <w:vAlign w:val="center"/>
          </w:tcPr>
          <w:p>
            <w:pPr>
              <w:tabs>
                <w:tab w:val="left" w:pos="2880"/>
              </w:tabs>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278" w:type="dxa"/>
            <w:vAlign w:val="center"/>
          </w:tcPr>
          <w:p>
            <w:pPr>
              <w:spacing w:line="440" w:lineRule="exact"/>
              <w:jc w:val="center"/>
              <w:rPr>
                <w:rFonts w:ascii="宋体" w:hAnsi="宋体" w:cs="宋体"/>
                <w:color w:val="auto"/>
                <w:sz w:val="24"/>
                <w:highlight w:val="none"/>
              </w:rPr>
            </w:pPr>
            <w:r>
              <w:rPr>
                <w:rFonts w:hint="eastAsia" w:ascii="宋体" w:hAnsi="宋体" w:eastAsia="宋体" w:cs="宋体"/>
                <w:color w:val="auto"/>
                <w:sz w:val="18"/>
                <w:szCs w:val="18"/>
                <w:highlight w:val="none"/>
              </w:rPr>
              <w:t>项目售后方案（</w:t>
            </w:r>
            <w:r>
              <w:rPr>
                <w:rFonts w:hint="eastAsia" w:ascii="宋体" w:hAnsi="宋体" w:cs="宋体"/>
                <w:color w:val="auto"/>
                <w:sz w:val="18"/>
                <w:szCs w:val="18"/>
                <w:highlight w:val="none"/>
                <w:lang w:val="en-US" w:eastAsia="zh-CN"/>
              </w:rPr>
              <w:t>24</w:t>
            </w:r>
            <w:r>
              <w:rPr>
                <w:rFonts w:hint="eastAsia" w:ascii="宋体" w:hAnsi="宋体" w:eastAsia="宋体" w:cs="宋体"/>
                <w:color w:val="auto"/>
                <w:sz w:val="18"/>
                <w:szCs w:val="18"/>
                <w:highlight w:val="none"/>
              </w:rPr>
              <w:t>分）</w:t>
            </w:r>
          </w:p>
        </w:tc>
        <w:tc>
          <w:tcPr>
            <w:tcW w:w="6904" w:type="dxa"/>
            <w:vAlign w:val="center"/>
          </w:tcPr>
          <w:p>
            <w:pPr>
              <w:pStyle w:val="118"/>
              <w:spacing w:before="0" w:after="0" w:line="440" w:lineRule="exact"/>
              <w:ind w:firstLine="0" w:firstLineChars="0"/>
              <w:rPr>
                <w:rFonts w:hint="eastAsia" w:ascii="宋体" w:hAnsi="宋体"/>
                <w:color w:val="auto"/>
                <w:sz w:val="18"/>
                <w:szCs w:val="18"/>
                <w:highlight w:val="none"/>
              </w:rPr>
            </w:pPr>
            <w:r>
              <w:rPr>
                <w:rFonts w:ascii="宋体" w:hAnsi="宋体" w:eastAsia="宋体"/>
                <w:color w:val="auto"/>
                <w:sz w:val="18"/>
                <w:szCs w:val="18"/>
                <w:highlight w:val="none"/>
              </w:rPr>
              <w:t>根据投标</w:t>
            </w:r>
            <w:r>
              <w:rPr>
                <w:rFonts w:hint="eastAsia" w:ascii="宋体" w:hAnsi="宋体" w:eastAsia="宋体"/>
                <w:color w:val="auto"/>
                <w:sz w:val="18"/>
                <w:szCs w:val="18"/>
                <w:highlight w:val="none"/>
              </w:rPr>
              <w:t>人</w:t>
            </w:r>
            <w:r>
              <w:rPr>
                <w:rFonts w:ascii="宋体" w:hAnsi="宋体" w:eastAsia="宋体"/>
                <w:color w:val="auto"/>
                <w:sz w:val="18"/>
                <w:szCs w:val="18"/>
                <w:highlight w:val="none"/>
              </w:rPr>
              <w:t>提供的售后服务方案内容进行综合评审。售后服务方案内容</w:t>
            </w:r>
            <w:r>
              <w:rPr>
                <w:rFonts w:hint="eastAsia" w:ascii="宋体" w:hAnsi="宋体" w:eastAsia="宋体"/>
                <w:color w:val="auto"/>
                <w:sz w:val="18"/>
                <w:szCs w:val="18"/>
                <w:highlight w:val="none"/>
              </w:rPr>
              <w:t>包括</w:t>
            </w:r>
            <w:r>
              <w:rPr>
                <w:rFonts w:hint="eastAsia" w:ascii="宋体" w:hAnsi="宋体"/>
                <w:color w:val="auto"/>
                <w:sz w:val="18"/>
                <w:szCs w:val="18"/>
                <w:highlight w:val="none"/>
                <w:lang w:val="en-US" w:eastAsia="zh-CN"/>
              </w:rPr>
              <w:t>但不限于①</w:t>
            </w:r>
            <w:r>
              <w:rPr>
                <w:rFonts w:ascii="宋体" w:hAnsi="宋体" w:eastAsia="宋体"/>
                <w:color w:val="auto"/>
                <w:sz w:val="18"/>
                <w:szCs w:val="18"/>
                <w:highlight w:val="none"/>
              </w:rPr>
              <w:t>服务方案承诺</w:t>
            </w:r>
            <w:r>
              <w:rPr>
                <w:rFonts w:hint="eastAsia" w:ascii="宋体" w:hAnsi="宋体" w:eastAsia="宋体"/>
                <w:color w:val="auto"/>
                <w:sz w:val="18"/>
                <w:szCs w:val="18"/>
                <w:highlight w:val="none"/>
              </w:rPr>
              <w:t>；</w:t>
            </w:r>
            <w:r>
              <w:rPr>
                <w:rFonts w:hint="eastAsia" w:ascii="宋体" w:hAnsi="宋体"/>
                <w:color w:val="auto"/>
                <w:sz w:val="18"/>
                <w:szCs w:val="18"/>
                <w:highlight w:val="none"/>
                <w:lang w:val="en-US" w:eastAsia="zh-CN"/>
              </w:rPr>
              <w:t>②</w:t>
            </w:r>
            <w:r>
              <w:rPr>
                <w:rFonts w:ascii="宋体" w:hAnsi="宋体" w:eastAsia="宋体"/>
                <w:color w:val="auto"/>
                <w:sz w:val="18"/>
                <w:szCs w:val="18"/>
                <w:highlight w:val="none"/>
              </w:rPr>
              <w:t>响应时间</w:t>
            </w:r>
            <w:r>
              <w:rPr>
                <w:rFonts w:hint="eastAsia" w:ascii="宋体" w:hAnsi="宋体" w:eastAsia="宋体"/>
                <w:color w:val="auto"/>
                <w:sz w:val="18"/>
                <w:szCs w:val="18"/>
                <w:highlight w:val="none"/>
              </w:rPr>
              <w:t>；</w:t>
            </w:r>
            <w:r>
              <w:rPr>
                <w:rFonts w:hint="eastAsia" w:ascii="宋体" w:hAnsi="宋体"/>
                <w:color w:val="auto"/>
                <w:sz w:val="18"/>
                <w:szCs w:val="18"/>
                <w:highlight w:val="none"/>
                <w:lang w:val="en-US" w:eastAsia="zh-CN"/>
              </w:rPr>
              <w:t>③</w:t>
            </w:r>
            <w:r>
              <w:rPr>
                <w:rFonts w:ascii="宋体" w:hAnsi="宋体" w:eastAsia="宋体"/>
                <w:color w:val="auto"/>
                <w:sz w:val="18"/>
                <w:szCs w:val="18"/>
                <w:highlight w:val="none"/>
              </w:rPr>
              <w:t>服务流程（包括故障处理、上门维护、紧急维护、重要服务、电话回访维护等）</w:t>
            </w:r>
            <w:r>
              <w:rPr>
                <w:rFonts w:hint="eastAsia" w:ascii="宋体" w:hAnsi="宋体"/>
                <w:color w:val="auto"/>
                <w:sz w:val="18"/>
                <w:szCs w:val="18"/>
                <w:highlight w:val="none"/>
                <w:lang w:val="en-US" w:eastAsia="zh-CN"/>
              </w:rPr>
              <w:t>④</w:t>
            </w:r>
            <w:r>
              <w:rPr>
                <w:rFonts w:ascii="宋体" w:hAnsi="宋体" w:eastAsia="宋体"/>
                <w:color w:val="auto"/>
                <w:sz w:val="18"/>
                <w:szCs w:val="18"/>
                <w:highlight w:val="none"/>
              </w:rPr>
              <w:t>应急预案</w:t>
            </w:r>
            <w:r>
              <w:rPr>
                <w:rFonts w:hint="eastAsia" w:ascii="宋体" w:hAnsi="宋体" w:eastAsia="宋体"/>
                <w:color w:val="auto"/>
                <w:sz w:val="18"/>
                <w:szCs w:val="18"/>
                <w:highlight w:val="none"/>
              </w:rPr>
              <w:t>；</w:t>
            </w:r>
            <w:r>
              <w:rPr>
                <w:rFonts w:hint="eastAsia" w:ascii="宋体" w:hAnsi="宋体"/>
                <w:color w:val="auto"/>
                <w:sz w:val="18"/>
                <w:szCs w:val="18"/>
                <w:highlight w:val="none"/>
                <w:lang w:val="en-US" w:eastAsia="zh-CN"/>
              </w:rPr>
              <w:t>⑤</w:t>
            </w:r>
            <w:r>
              <w:rPr>
                <w:rFonts w:ascii="宋体" w:hAnsi="宋体" w:eastAsia="宋体"/>
                <w:color w:val="auto"/>
                <w:sz w:val="18"/>
                <w:szCs w:val="18"/>
                <w:highlight w:val="none"/>
              </w:rPr>
              <w:t>培训方案</w:t>
            </w:r>
            <w:r>
              <w:rPr>
                <w:rFonts w:hint="eastAsia" w:ascii="宋体" w:hAnsi="宋体" w:eastAsia="宋体"/>
                <w:color w:val="auto"/>
                <w:sz w:val="18"/>
                <w:szCs w:val="18"/>
                <w:highlight w:val="none"/>
              </w:rPr>
              <w:t>；</w:t>
            </w:r>
            <w:r>
              <w:rPr>
                <w:rFonts w:hint="eastAsia" w:ascii="宋体" w:hAnsi="宋体"/>
                <w:color w:val="auto"/>
                <w:sz w:val="18"/>
                <w:szCs w:val="18"/>
                <w:highlight w:val="none"/>
                <w:lang w:val="en-US" w:eastAsia="zh-CN"/>
              </w:rPr>
              <w:t>⑥</w:t>
            </w:r>
            <w:r>
              <w:rPr>
                <w:rFonts w:ascii="宋体" w:hAnsi="宋体" w:eastAsia="宋体"/>
                <w:color w:val="auto"/>
                <w:sz w:val="18"/>
                <w:szCs w:val="18"/>
                <w:highlight w:val="none"/>
              </w:rPr>
              <w:t>售后服务记录（包括服务报告、质量考核评估、满意度调查、电话回访记录）</w:t>
            </w:r>
            <w:r>
              <w:rPr>
                <w:rFonts w:hint="eastAsia" w:ascii="宋体" w:hAnsi="宋体" w:eastAsia="宋体"/>
                <w:color w:val="auto"/>
                <w:sz w:val="18"/>
                <w:szCs w:val="18"/>
                <w:highlight w:val="none"/>
              </w:rPr>
              <w:t>，</w:t>
            </w:r>
            <w:r>
              <w:rPr>
                <w:rFonts w:hint="eastAsia" w:ascii="宋体" w:hAnsi="宋体"/>
                <w:color w:val="auto"/>
                <w:sz w:val="18"/>
                <w:szCs w:val="18"/>
                <w:highlight w:val="none"/>
              </w:rPr>
              <w:t>每提供一项的得</w:t>
            </w: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分，未提供的不得分。</w:t>
            </w:r>
          </w:p>
          <w:p>
            <w:pPr>
              <w:spacing w:line="440" w:lineRule="exact"/>
              <w:rPr>
                <w:rFonts w:ascii="宋体" w:hAnsi="宋体" w:cs="宋体"/>
                <w:color w:val="auto"/>
                <w:highlight w:val="none"/>
              </w:rPr>
            </w:pPr>
            <w:r>
              <w:rPr>
                <w:rFonts w:hint="eastAsia" w:ascii="宋体" w:hAnsi="宋体"/>
                <w:color w:val="auto"/>
                <w:sz w:val="18"/>
                <w:szCs w:val="18"/>
                <w:highlight w:val="none"/>
              </w:rPr>
              <w:t>在此得分基础上，根据每项的内容清晰完善、合理可行性进行加分，每项加分区间为0-1分，最多可加</w:t>
            </w:r>
            <w:r>
              <w:rPr>
                <w:rFonts w:hint="eastAsia" w:ascii="宋体" w:hAnsi="宋体"/>
                <w:color w:val="auto"/>
                <w:sz w:val="18"/>
                <w:szCs w:val="18"/>
                <w:highlight w:val="none"/>
                <w:lang w:val="en-US" w:eastAsia="zh-CN"/>
              </w:rPr>
              <w:t>6</w:t>
            </w:r>
            <w:r>
              <w:rPr>
                <w:rFonts w:hint="eastAsia" w:ascii="宋体" w:hAnsi="宋体"/>
                <w:color w:val="auto"/>
                <w:sz w:val="18"/>
                <w:szCs w:val="18"/>
                <w:highlight w:val="none"/>
              </w:rPr>
              <w:t>分，本项满分</w:t>
            </w:r>
            <w:r>
              <w:rPr>
                <w:rFonts w:hint="eastAsia" w:ascii="宋体" w:hAnsi="宋体"/>
                <w:color w:val="auto"/>
                <w:sz w:val="18"/>
                <w:szCs w:val="18"/>
                <w:highlight w:val="none"/>
                <w:lang w:val="en-US" w:eastAsia="zh-CN"/>
              </w:rPr>
              <w:t>24</w:t>
            </w:r>
            <w:r>
              <w:rPr>
                <w:rFonts w:hint="eastAsia" w:ascii="宋体" w:hAnsi="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72" w:type="dxa"/>
            <w:vAlign w:val="center"/>
          </w:tcPr>
          <w:p>
            <w:pPr>
              <w:tabs>
                <w:tab w:val="left" w:pos="2880"/>
              </w:tabs>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2278" w:type="dxa"/>
            <w:vAlign w:val="center"/>
          </w:tcPr>
          <w:p>
            <w:pPr>
              <w:spacing w:line="4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相关项目业绩（10分）</w:t>
            </w:r>
          </w:p>
        </w:tc>
        <w:tc>
          <w:tcPr>
            <w:tcW w:w="6904" w:type="dxa"/>
            <w:vAlign w:val="center"/>
          </w:tcPr>
          <w:p>
            <w:pPr>
              <w:spacing w:line="4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根据响应文件投标人提供的近三年业绩情况进行评定打分：（同时提供合同</w:t>
            </w:r>
            <w:r>
              <w:rPr>
                <w:rFonts w:hint="eastAsia" w:ascii="宋体" w:hAnsi="宋体" w:cs="宋体"/>
                <w:color w:val="auto"/>
                <w:sz w:val="18"/>
                <w:szCs w:val="18"/>
                <w:highlight w:val="none"/>
                <w:lang w:val="en-US" w:eastAsia="zh-CN"/>
              </w:rPr>
              <w:t>或</w:t>
            </w:r>
            <w:r>
              <w:rPr>
                <w:rFonts w:hint="eastAsia" w:ascii="宋体" w:hAnsi="宋体" w:eastAsia="宋体" w:cs="宋体"/>
                <w:color w:val="auto"/>
                <w:sz w:val="18"/>
                <w:szCs w:val="18"/>
                <w:highlight w:val="none"/>
              </w:rPr>
              <w:t>中标通知书扫描件，上述材料缺一不可，未同时提供上述材料不得分）每一个业绩加2分，直至满10分。</w:t>
            </w:r>
          </w:p>
        </w:tc>
      </w:tr>
    </w:tbl>
    <w:p>
      <w:pPr>
        <w:rPr>
          <w:rFonts w:ascii="宋体" w:hAnsi="宋体" w:cs="宋体"/>
          <w:color w:val="auto"/>
          <w:highlight w:val="none"/>
        </w:rPr>
      </w:pPr>
    </w:p>
    <w:tbl>
      <w:tblPr>
        <w:tblStyle w:val="28"/>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63"/>
        <w:gridCol w:w="6703"/>
        <w:gridCol w:w="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0" w:type="dxa"/>
            <w:gridSpan w:val="4"/>
            <w:vAlign w:val="center"/>
          </w:tcPr>
          <w:p>
            <w:pPr>
              <w:tabs>
                <w:tab w:val="left" w:pos="2880"/>
              </w:tabs>
              <w:spacing w:line="460" w:lineRule="atLeast"/>
              <w:jc w:val="center"/>
              <w:rPr>
                <w:rFonts w:ascii="宋体" w:hAnsi="宋体" w:cs="宋体"/>
                <w:b/>
                <w:color w:val="auto"/>
                <w:sz w:val="24"/>
                <w:highlight w:val="none"/>
              </w:rPr>
            </w:pPr>
            <w:r>
              <w:rPr>
                <w:rFonts w:hint="eastAsia" w:ascii="宋体" w:hAnsi="宋体" w:cs="宋体"/>
                <w:b/>
                <w:color w:val="auto"/>
                <w:sz w:val="24"/>
                <w:highlight w:val="none"/>
              </w:rPr>
              <w:t>经济部分（占总分值的</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tabs>
                <w:tab w:val="left" w:pos="2880"/>
              </w:tabs>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63" w:type="dxa"/>
            <w:vAlign w:val="center"/>
          </w:tcPr>
          <w:p>
            <w:pPr>
              <w:pStyle w:val="118"/>
              <w:spacing w:before="0" w:after="0" w:line="440" w:lineRule="exact"/>
              <w:ind w:firstLine="0" w:firstLineChars="0"/>
              <w:rPr>
                <w:rFonts w:hint="eastAsia" w:ascii="宋体" w:hAnsi="宋体"/>
                <w:color w:val="auto"/>
                <w:sz w:val="18"/>
                <w:szCs w:val="18"/>
                <w:highlight w:val="none"/>
              </w:rPr>
            </w:pPr>
            <w:r>
              <w:rPr>
                <w:rFonts w:hint="eastAsia" w:ascii="宋体" w:hAnsi="宋体"/>
                <w:color w:val="auto"/>
                <w:sz w:val="18"/>
                <w:szCs w:val="18"/>
                <w:highlight w:val="none"/>
              </w:rPr>
              <w:t>投标人报价(</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0分)</w:t>
            </w:r>
          </w:p>
        </w:tc>
        <w:tc>
          <w:tcPr>
            <w:tcW w:w="6703" w:type="dxa"/>
            <w:vAlign w:val="center"/>
          </w:tcPr>
          <w:p>
            <w:pPr>
              <w:pStyle w:val="118"/>
              <w:spacing w:before="0" w:after="0" w:line="440" w:lineRule="exact"/>
              <w:ind w:firstLine="0" w:firstLineChars="0"/>
              <w:rPr>
                <w:rFonts w:hint="eastAsia" w:ascii="宋体" w:hAnsi="宋体"/>
                <w:color w:val="auto"/>
                <w:sz w:val="18"/>
                <w:szCs w:val="18"/>
                <w:highlight w:val="none"/>
              </w:rPr>
            </w:pPr>
            <w:r>
              <w:rPr>
                <w:rFonts w:hint="eastAsia" w:ascii="宋体" w:hAnsi="宋体"/>
                <w:color w:val="auto"/>
                <w:sz w:val="18"/>
                <w:szCs w:val="18"/>
                <w:highlight w:val="none"/>
              </w:rPr>
              <w:t>在满足招标文件要求的前提下，取各投标人有效报价的最低投标报价作为评标基准价,满分为</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0分；价格分的计算投标报价得分=(评标基准价／投标报价)×0.</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0×100 。（计算分值时，百分比按四舍五入原则，保留小数点后二位数）</w:t>
            </w:r>
          </w:p>
        </w:tc>
        <w:tc>
          <w:tcPr>
            <w:tcW w:w="406" w:type="dxa"/>
            <w:vAlign w:val="center"/>
          </w:tcPr>
          <w:p>
            <w:pPr>
              <w:tabs>
                <w:tab w:val="left" w:pos="2880"/>
              </w:tabs>
              <w:spacing w:line="460" w:lineRule="atLeast"/>
              <w:jc w:val="center"/>
              <w:rPr>
                <w:rFonts w:ascii="宋体" w:hAnsi="宋体" w:cs="宋体"/>
                <w:color w:val="auto"/>
                <w:sz w:val="24"/>
                <w:highlight w:val="none"/>
              </w:rPr>
            </w:pPr>
          </w:p>
        </w:tc>
      </w:tr>
    </w:tbl>
    <w:p>
      <w:pPr>
        <w:jc w:val="center"/>
        <w:rPr>
          <w:rFonts w:ascii="宋体" w:hAnsi="宋体" w:cs="宋体"/>
          <w:color w:val="auto"/>
          <w:highlight w:val="none"/>
        </w:rPr>
      </w:pPr>
    </w:p>
    <w:p>
      <w:pPr>
        <w:pStyle w:val="5"/>
        <w:numPr>
          <w:ilvl w:val="0"/>
          <w:numId w:val="0"/>
        </w:numPr>
        <w:jc w:val="both"/>
        <w:rPr>
          <w:rFonts w:cs="宋体"/>
          <w:color w:val="auto"/>
          <w:highlight w:val="none"/>
        </w:rPr>
      </w:pPr>
    </w:p>
    <w:sectPr>
      <w:footerReference r:id="rId6" w:type="default"/>
      <w:pgSz w:w="11906" w:h="16838"/>
      <w:pgMar w:top="1134" w:right="1134" w:bottom="1134" w:left="1134" w:header="851" w:footer="992" w:gutter="0"/>
      <w:pgNumType w:fmt="decimal"/>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11</w:t>
                    </w:r>
                    <w:r>
                      <w:fldChar w:fldCharType="end"/>
                    </w:r>
                  </w:p>
                </w:txbxContent>
              </v:textbox>
            </v:shape>
          </w:pict>
        </mc:Fallback>
      </mc:AlternateContent>
    </w:r>
  </w:p>
  <w:p>
    <w:pPr>
      <w:pStyle w:val="17"/>
      <w:ind w:right="360"/>
      <w:jc w:val="both"/>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hAnsi="宋体"/>
        <w:b/>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7845425"/>
          <wp:effectExtent l="0" t="0" r="8890" b="3175"/>
          <wp:wrapNone/>
          <wp:docPr id="5" name="WordPictureWatermark35092" descr="同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5092" descr="同孚logo"/>
                  <pic:cNvPicPr>
                    <a:picLocks noChangeAspect="1"/>
                  </pic:cNvPicPr>
                </pic:nvPicPr>
                <pic:blipFill>
                  <a:blip r:embed="rId1">
                    <a:lum bright="69998" contrast="-70001"/>
                  </a:blip>
                  <a:stretch>
                    <a:fillRect/>
                  </a:stretch>
                </pic:blipFill>
                <pic:spPr>
                  <a:xfrm>
                    <a:off x="0" y="0"/>
                    <a:ext cx="5274310" cy="78454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13895"/>
    <w:multiLevelType w:val="singleLevel"/>
    <w:tmpl w:val="97D13895"/>
    <w:lvl w:ilvl="0" w:tentative="0">
      <w:start w:val="1"/>
      <w:numFmt w:val="decimal"/>
      <w:suff w:val="nothing"/>
      <w:lvlText w:val="（%1）"/>
      <w:lvlJc w:val="left"/>
    </w:lvl>
  </w:abstractNum>
  <w:abstractNum w:abstractNumId="1">
    <w:nsid w:val="4EE97EC9"/>
    <w:multiLevelType w:val="singleLevel"/>
    <w:tmpl w:val="4EE97EC9"/>
    <w:lvl w:ilvl="0" w:tentative="0">
      <w:start w:val="2"/>
      <w:numFmt w:val="decimal"/>
      <w:lvlText w:val="%1."/>
      <w:lvlJc w:val="left"/>
      <w:pPr>
        <w:tabs>
          <w:tab w:val="left" w:pos="312"/>
        </w:tabs>
      </w:pPr>
    </w:lvl>
  </w:abstractNum>
  <w:abstractNum w:abstractNumId="2">
    <w:nsid w:val="554BD5EE"/>
    <w:multiLevelType w:val="singleLevel"/>
    <w:tmpl w:val="554BD5EE"/>
    <w:lvl w:ilvl="0" w:tentative="0">
      <w:start w:val="2"/>
      <w:numFmt w:val="decimal"/>
      <w:suff w:val="nothing"/>
      <w:lvlText w:val="%1、"/>
      <w:lvlJc w:val="left"/>
    </w:lvl>
  </w:abstractNum>
  <w:abstractNum w:abstractNumId="3">
    <w:nsid w:val="5D194D29"/>
    <w:multiLevelType w:val="multilevel"/>
    <w:tmpl w:val="5D194D29"/>
    <w:lvl w:ilvl="0" w:tentative="0">
      <w:start w:val="3"/>
      <w:numFmt w:val="japaneseCounting"/>
      <w:pStyle w:val="5"/>
      <w:lvlText w:val="第%1章"/>
      <w:lvlJc w:val="left"/>
      <w:pPr>
        <w:tabs>
          <w:tab w:val="left" w:pos="1080"/>
        </w:tabs>
        <w:ind w:left="4020" w:hanging="1080"/>
      </w:pPr>
      <w:rPr>
        <w:rFonts w:hint="eastAsia"/>
        <w:b w:val="0"/>
        <w:sz w:val="28"/>
      </w:rPr>
    </w:lvl>
    <w:lvl w:ilvl="1" w:tentative="0">
      <w:start w:val="1"/>
      <w:numFmt w:val="lowerLetter"/>
      <w:lvlText w:val="%2)"/>
      <w:lvlJc w:val="left"/>
      <w:pPr>
        <w:tabs>
          <w:tab w:val="left" w:pos="840"/>
        </w:tabs>
        <w:ind w:left="3780" w:hanging="420"/>
      </w:pPr>
    </w:lvl>
    <w:lvl w:ilvl="2" w:tentative="0">
      <w:start w:val="1"/>
      <w:numFmt w:val="lowerRoman"/>
      <w:lvlText w:val="%3."/>
      <w:lvlJc w:val="right"/>
      <w:pPr>
        <w:tabs>
          <w:tab w:val="left" w:pos="1260"/>
        </w:tabs>
        <w:ind w:left="4200" w:hanging="420"/>
      </w:pPr>
    </w:lvl>
    <w:lvl w:ilvl="3" w:tentative="0">
      <w:start w:val="1"/>
      <w:numFmt w:val="decimal"/>
      <w:lvlText w:val="%4."/>
      <w:lvlJc w:val="left"/>
      <w:pPr>
        <w:tabs>
          <w:tab w:val="left" w:pos="1680"/>
        </w:tabs>
        <w:ind w:left="4620" w:hanging="420"/>
      </w:pPr>
    </w:lvl>
    <w:lvl w:ilvl="4" w:tentative="0">
      <w:start w:val="1"/>
      <w:numFmt w:val="lowerLetter"/>
      <w:lvlText w:val="%5)"/>
      <w:lvlJc w:val="left"/>
      <w:pPr>
        <w:tabs>
          <w:tab w:val="left" w:pos="2100"/>
        </w:tabs>
        <w:ind w:left="5040" w:hanging="420"/>
      </w:pPr>
    </w:lvl>
    <w:lvl w:ilvl="5" w:tentative="0">
      <w:start w:val="1"/>
      <w:numFmt w:val="lowerRoman"/>
      <w:lvlText w:val="%6."/>
      <w:lvlJc w:val="right"/>
      <w:pPr>
        <w:tabs>
          <w:tab w:val="left" w:pos="2520"/>
        </w:tabs>
        <w:ind w:left="5460" w:hanging="420"/>
      </w:pPr>
    </w:lvl>
    <w:lvl w:ilvl="6" w:tentative="0">
      <w:start w:val="1"/>
      <w:numFmt w:val="decimal"/>
      <w:lvlText w:val="%7."/>
      <w:lvlJc w:val="left"/>
      <w:pPr>
        <w:tabs>
          <w:tab w:val="left" w:pos="2940"/>
        </w:tabs>
        <w:ind w:left="5880" w:hanging="420"/>
      </w:pPr>
    </w:lvl>
    <w:lvl w:ilvl="7" w:tentative="0">
      <w:start w:val="1"/>
      <w:numFmt w:val="lowerLetter"/>
      <w:lvlText w:val="%8)"/>
      <w:lvlJc w:val="left"/>
      <w:pPr>
        <w:tabs>
          <w:tab w:val="left" w:pos="3360"/>
        </w:tabs>
        <w:ind w:left="6300" w:hanging="420"/>
      </w:pPr>
    </w:lvl>
    <w:lvl w:ilvl="8" w:tentative="0">
      <w:start w:val="1"/>
      <w:numFmt w:val="lowerRoman"/>
      <w:lvlText w:val="%9."/>
      <w:lvlJc w:val="right"/>
      <w:pPr>
        <w:tabs>
          <w:tab w:val="left" w:pos="3780"/>
        </w:tabs>
        <w:ind w:left="6720" w:hanging="420"/>
      </w:pPr>
    </w:lvl>
  </w:abstractNum>
  <w:abstractNum w:abstractNumId="4">
    <w:nsid w:val="61A934C7"/>
    <w:multiLevelType w:val="singleLevel"/>
    <w:tmpl w:val="61A934C7"/>
    <w:lvl w:ilvl="0" w:tentative="0">
      <w:start w:val="2"/>
      <w:numFmt w:val="chineseCounting"/>
      <w:suff w:val="space"/>
      <w:lvlText w:val="第%1部分"/>
      <w:lvlJc w:val="left"/>
      <w:rPr>
        <w:rFonts w:hint="eastAsia"/>
      </w:rPr>
    </w:lvl>
  </w:abstractNum>
  <w:abstractNum w:abstractNumId="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D314CDA"/>
    <w:multiLevelType w:val="singleLevel"/>
    <w:tmpl w:val="6D314CDA"/>
    <w:lvl w:ilvl="0" w:tentative="0">
      <w:start w:val="6"/>
      <w:numFmt w:val="decimal"/>
      <w:suff w:val="nothing"/>
      <w:lvlText w:val="%1、"/>
      <w:lvlJc w:val="left"/>
    </w:lvl>
  </w:abstractNum>
  <w:abstractNum w:abstractNumId="8">
    <w:nsid w:val="757ED0B0"/>
    <w:multiLevelType w:val="singleLevel"/>
    <w:tmpl w:val="757ED0B0"/>
    <w:lvl w:ilvl="0" w:tentative="0">
      <w:start w:val="2"/>
      <w:numFmt w:val="chineseCounting"/>
      <w:suff w:val="nothing"/>
      <w:lvlText w:val="%1、"/>
      <w:lvlJc w:val="left"/>
      <w:rPr>
        <w:rFonts w:hint="eastAsia"/>
      </w:rPr>
    </w:lvl>
  </w:abstractNum>
  <w:num w:numId="1">
    <w:abstractNumId w:val="3"/>
  </w:num>
  <w:num w:numId="2">
    <w:abstractNumId w:val="5"/>
  </w:num>
  <w:num w:numId="3">
    <w:abstractNumId w:val="8"/>
  </w:num>
  <w:num w:numId="4">
    <w:abstractNumId w:val="1"/>
  </w:num>
  <w:num w:numId="5">
    <w:abstractNumId w:val="2"/>
  </w:num>
  <w:num w:numId="6">
    <w:abstractNumId w:val="4"/>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ODZkYjY2MmY1MjM1MjBlMzdmOWQ5YzQ2NjI4N2QifQ=="/>
    <w:docVar w:name="KSO_WPS_MARK_KEY" w:val="82daead4-8e0a-481f-bae7-960ce7a32515"/>
  </w:docVars>
  <w:rsids>
    <w:rsidRoot w:val="00A27307"/>
    <w:rsid w:val="000325B3"/>
    <w:rsid w:val="00092321"/>
    <w:rsid w:val="000935B5"/>
    <w:rsid w:val="000E6232"/>
    <w:rsid w:val="001C2D7C"/>
    <w:rsid w:val="001F080B"/>
    <w:rsid w:val="00241A30"/>
    <w:rsid w:val="00274760"/>
    <w:rsid w:val="00284B98"/>
    <w:rsid w:val="002A1AD7"/>
    <w:rsid w:val="002F7FC5"/>
    <w:rsid w:val="0030738B"/>
    <w:rsid w:val="00313E84"/>
    <w:rsid w:val="00317A65"/>
    <w:rsid w:val="003865E1"/>
    <w:rsid w:val="00386A15"/>
    <w:rsid w:val="00387C02"/>
    <w:rsid w:val="003B2579"/>
    <w:rsid w:val="003C7791"/>
    <w:rsid w:val="00421281"/>
    <w:rsid w:val="004310FA"/>
    <w:rsid w:val="00442AB9"/>
    <w:rsid w:val="00496165"/>
    <w:rsid w:val="00496DE5"/>
    <w:rsid w:val="004E6E51"/>
    <w:rsid w:val="00581671"/>
    <w:rsid w:val="005D1DBF"/>
    <w:rsid w:val="00602E13"/>
    <w:rsid w:val="0061421E"/>
    <w:rsid w:val="006372D9"/>
    <w:rsid w:val="00655887"/>
    <w:rsid w:val="006726B9"/>
    <w:rsid w:val="00687259"/>
    <w:rsid w:val="006E535E"/>
    <w:rsid w:val="006F10DB"/>
    <w:rsid w:val="007508AA"/>
    <w:rsid w:val="00771ABA"/>
    <w:rsid w:val="007750E3"/>
    <w:rsid w:val="00791EC1"/>
    <w:rsid w:val="007A4FA4"/>
    <w:rsid w:val="007D3B8F"/>
    <w:rsid w:val="007F1A9D"/>
    <w:rsid w:val="007F4D7F"/>
    <w:rsid w:val="00825842"/>
    <w:rsid w:val="00864248"/>
    <w:rsid w:val="008664C5"/>
    <w:rsid w:val="008C5BFB"/>
    <w:rsid w:val="008C6404"/>
    <w:rsid w:val="008D1225"/>
    <w:rsid w:val="00906866"/>
    <w:rsid w:val="00907B88"/>
    <w:rsid w:val="00931623"/>
    <w:rsid w:val="00931A22"/>
    <w:rsid w:val="009B2715"/>
    <w:rsid w:val="009C345A"/>
    <w:rsid w:val="009D5668"/>
    <w:rsid w:val="00A27307"/>
    <w:rsid w:val="00A34625"/>
    <w:rsid w:val="00A66A2D"/>
    <w:rsid w:val="00A87966"/>
    <w:rsid w:val="00AC23B0"/>
    <w:rsid w:val="00AC619E"/>
    <w:rsid w:val="00AE13A8"/>
    <w:rsid w:val="00B9442B"/>
    <w:rsid w:val="00BB1344"/>
    <w:rsid w:val="00C06ECA"/>
    <w:rsid w:val="00C50E47"/>
    <w:rsid w:val="00C72CE7"/>
    <w:rsid w:val="00C81164"/>
    <w:rsid w:val="00C81CD4"/>
    <w:rsid w:val="00CA7CD4"/>
    <w:rsid w:val="00CB2334"/>
    <w:rsid w:val="00CB5E03"/>
    <w:rsid w:val="00CC4DD8"/>
    <w:rsid w:val="00CE22B7"/>
    <w:rsid w:val="00CE3C6A"/>
    <w:rsid w:val="00CE7386"/>
    <w:rsid w:val="00D007B2"/>
    <w:rsid w:val="00D10BC6"/>
    <w:rsid w:val="00D14020"/>
    <w:rsid w:val="00D40290"/>
    <w:rsid w:val="00D5036F"/>
    <w:rsid w:val="00D5091B"/>
    <w:rsid w:val="00D566DD"/>
    <w:rsid w:val="00D848B5"/>
    <w:rsid w:val="00D856FA"/>
    <w:rsid w:val="00D97F5B"/>
    <w:rsid w:val="00DA0EDC"/>
    <w:rsid w:val="00DF2936"/>
    <w:rsid w:val="00E31671"/>
    <w:rsid w:val="00E64A31"/>
    <w:rsid w:val="00E72DD8"/>
    <w:rsid w:val="00E93D99"/>
    <w:rsid w:val="00EB5861"/>
    <w:rsid w:val="00EF0FF4"/>
    <w:rsid w:val="00F17FA1"/>
    <w:rsid w:val="00F402C9"/>
    <w:rsid w:val="00F8155E"/>
    <w:rsid w:val="00F93142"/>
    <w:rsid w:val="00FA5D1E"/>
    <w:rsid w:val="00FE2A25"/>
    <w:rsid w:val="010722A2"/>
    <w:rsid w:val="011E3FA4"/>
    <w:rsid w:val="01564A50"/>
    <w:rsid w:val="01613B08"/>
    <w:rsid w:val="018F6A3E"/>
    <w:rsid w:val="01AE6F66"/>
    <w:rsid w:val="0286338C"/>
    <w:rsid w:val="02E4201D"/>
    <w:rsid w:val="053738A9"/>
    <w:rsid w:val="05635C83"/>
    <w:rsid w:val="063B2C47"/>
    <w:rsid w:val="06E13113"/>
    <w:rsid w:val="07401531"/>
    <w:rsid w:val="074B7895"/>
    <w:rsid w:val="0826365B"/>
    <w:rsid w:val="08DF371D"/>
    <w:rsid w:val="09F33B33"/>
    <w:rsid w:val="0A917CCA"/>
    <w:rsid w:val="0ACE5F5E"/>
    <w:rsid w:val="0C3E353A"/>
    <w:rsid w:val="0CAD3361"/>
    <w:rsid w:val="0E236AF6"/>
    <w:rsid w:val="0E771A21"/>
    <w:rsid w:val="0F8A6E34"/>
    <w:rsid w:val="0FAA05C3"/>
    <w:rsid w:val="1016262D"/>
    <w:rsid w:val="10AD2BA6"/>
    <w:rsid w:val="1105350E"/>
    <w:rsid w:val="11240E3A"/>
    <w:rsid w:val="11272B91"/>
    <w:rsid w:val="12023B46"/>
    <w:rsid w:val="12B8603D"/>
    <w:rsid w:val="12B878BF"/>
    <w:rsid w:val="131B207F"/>
    <w:rsid w:val="137837D5"/>
    <w:rsid w:val="14114AF0"/>
    <w:rsid w:val="1494496C"/>
    <w:rsid w:val="14F2423F"/>
    <w:rsid w:val="152509E8"/>
    <w:rsid w:val="15847BC1"/>
    <w:rsid w:val="16120512"/>
    <w:rsid w:val="16B26FFE"/>
    <w:rsid w:val="17665057"/>
    <w:rsid w:val="17FA4991"/>
    <w:rsid w:val="18F526FE"/>
    <w:rsid w:val="195E7E77"/>
    <w:rsid w:val="1AA32C66"/>
    <w:rsid w:val="1B1338F8"/>
    <w:rsid w:val="1B2A68F2"/>
    <w:rsid w:val="1B4A5CD7"/>
    <w:rsid w:val="1B5F6D30"/>
    <w:rsid w:val="1BB21231"/>
    <w:rsid w:val="1C2E2831"/>
    <w:rsid w:val="1C597F1C"/>
    <w:rsid w:val="1C8D69A6"/>
    <w:rsid w:val="1D2A6E33"/>
    <w:rsid w:val="1D861BE1"/>
    <w:rsid w:val="1F514A10"/>
    <w:rsid w:val="1F65724C"/>
    <w:rsid w:val="1F864F29"/>
    <w:rsid w:val="1FEE3E3B"/>
    <w:rsid w:val="20481DE0"/>
    <w:rsid w:val="20761D56"/>
    <w:rsid w:val="20B247A2"/>
    <w:rsid w:val="216D6DFE"/>
    <w:rsid w:val="21D83ADB"/>
    <w:rsid w:val="23153ACC"/>
    <w:rsid w:val="23235A92"/>
    <w:rsid w:val="232B5C53"/>
    <w:rsid w:val="237B352E"/>
    <w:rsid w:val="23C73273"/>
    <w:rsid w:val="23CB6D64"/>
    <w:rsid w:val="23F23B6C"/>
    <w:rsid w:val="24507467"/>
    <w:rsid w:val="245F2F71"/>
    <w:rsid w:val="253F23A5"/>
    <w:rsid w:val="265614B5"/>
    <w:rsid w:val="26890340"/>
    <w:rsid w:val="26AF6683"/>
    <w:rsid w:val="272653C6"/>
    <w:rsid w:val="27957192"/>
    <w:rsid w:val="27BB63D8"/>
    <w:rsid w:val="27C44DE4"/>
    <w:rsid w:val="27EB2370"/>
    <w:rsid w:val="284814A3"/>
    <w:rsid w:val="28AA30D1"/>
    <w:rsid w:val="28E30E54"/>
    <w:rsid w:val="290E3BD3"/>
    <w:rsid w:val="2B2C6BA2"/>
    <w:rsid w:val="2B7065F0"/>
    <w:rsid w:val="2C0D038C"/>
    <w:rsid w:val="2C381846"/>
    <w:rsid w:val="2CE42831"/>
    <w:rsid w:val="2E4511F3"/>
    <w:rsid w:val="2F565D8D"/>
    <w:rsid w:val="2FAC52F8"/>
    <w:rsid w:val="31091AB9"/>
    <w:rsid w:val="317B3AFC"/>
    <w:rsid w:val="31C51DEA"/>
    <w:rsid w:val="31D75B44"/>
    <w:rsid w:val="326A764E"/>
    <w:rsid w:val="36200AF6"/>
    <w:rsid w:val="36583786"/>
    <w:rsid w:val="36F249C1"/>
    <w:rsid w:val="370D27A4"/>
    <w:rsid w:val="37892452"/>
    <w:rsid w:val="37E02AB9"/>
    <w:rsid w:val="38A10BDB"/>
    <w:rsid w:val="392C01F9"/>
    <w:rsid w:val="3A0D6176"/>
    <w:rsid w:val="3A3D4080"/>
    <w:rsid w:val="3B81506E"/>
    <w:rsid w:val="3BA4256D"/>
    <w:rsid w:val="3CC2766C"/>
    <w:rsid w:val="3D406863"/>
    <w:rsid w:val="3D415E7D"/>
    <w:rsid w:val="3D4F2F4A"/>
    <w:rsid w:val="3F0B5F98"/>
    <w:rsid w:val="3F6D0389"/>
    <w:rsid w:val="41A23DED"/>
    <w:rsid w:val="43BB670C"/>
    <w:rsid w:val="43EC504E"/>
    <w:rsid w:val="44107D72"/>
    <w:rsid w:val="44847B74"/>
    <w:rsid w:val="44917BC1"/>
    <w:rsid w:val="44F90DA8"/>
    <w:rsid w:val="45A313DB"/>
    <w:rsid w:val="46617E5B"/>
    <w:rsid w:val="475A15D7"/>
    <w:rsid w:val="475C1964"/>
    <w:rsid w:val="478701BD"/>
    <w:rsid w:val="47B36031"/>
    <w:rsid w:val="4897631C"/>
    <w:rsid w:val="48ED0B47"/>
    <w:rsid w:val="4AB472E3"/>
    <w:rsid w:val="4B4333B4"/>
    <w:rsid w:val="4BEC7B31"/>
    <w:rsid w:val="4C464998"/>
    <w:rsid w:val="4DD02869"/>
    <w:rsid w:val="4EB73900"/>
    <w:rsid w:val="4EC64C8F"/>
    <w:rsid w:val="4EF83441"/>
    <w:rsid w:val="4F086B2B"/>
    <w:rsid w:val="4FAD5FDA"/>
    <w:rsid w:val="51D163A4"/>
    <w:rsid w:val="51F0233E"/>
    <w:rsid w:val="52790FB0"/>
    <w:rsid w:val="53323405"/>
    <w:rsid w:val="547849B9"/>
    <w:rsid w:val="556C4241"/>
    <w:rsid w:val="55CA2A50"/>
    <w:rsid w:val="563621E8"/>
    <w:rsid w:val="565C4C78"/>
    <w:rsid w:val="57307CF2"/>
    <w:rsid w:val="57F55992"/>
    <w:rsid w:val="587677E4"/>
    <w:rsid w:val="58821D8A"/>
    <w:rsid w:val="58846FB0"/>
    <w:rsid w:val="58D37F39"/>
    <w:rsid w:val="58D81BED"/>
    <w:rsid w:val="59F46C34"/>
    <w:rsid w:val="5A865020"/>
    <w:rsid w:val="5AB37D1F"/>
    <w:rsid w:val="5AF51D3C"/>
    <w:rsid w:val="5B7351D0"/>
    <w:rsid w:val="5BAD1F16"/>
    <w:rsid w:val="5BD27778"/>
    <w:rsid w:val="5C0E2967"/>
    <w:rsid w:val="5C4D086E"/>
    <w:rsid w:val="5C975CEE"/>
    <w:rsid w:val="5D3A292D"/>
    <w:rsid w:val="5DE42300"/>
    <w:rsid w:val="5E1B4A56"/>
    <w:rsid w:val="5E7728F9"/>
    <w:rsid w:val="5EB92359"/>
    <w:rsid w:val="5FB82EC5"/>
    <w:rsid w:val="60D41C30"/>
    <w:rsid w:val="612919F4"/>
    <w:rsid w:val="618C17C7"/>
    <w:rsid w:val="61D51403"/>
    <w:rsid w:val="62FE1A5A"/>
    <w:rsid w:val="640E515B"/>
    <w:rsid w:val="6423341D"/>
    <w:rsid w:val="64604FAA"/>
    <w:rsid w:val="64F07AF4"/>
    <w:rsid w:val="6587394B"/>
    <w:rsid w:val="66495ED8"/>
    <w:rsid w:val="66C509AD"/>
    <w:rsid w:val="66ED4AB6"/>
    <w:rsid w:val="66FC17B7"/>
    <w:rsid w:val="67332E10"/>
    <w:rsid w:val="67A9431B"/>
    <w:rsid w:val="67E67640"/>
    <w:rsid w:val="6A965E43"/>
    <w:rsid w:val="6B863F96"/>
    <w:rsid w:val="6C0B1393"/>
    <w:rsid w:val="6DBB431D"/>
    <w:rsid w:val="6EF2535F"/>
    <w:rsid w:val="6F7B35A7"/>
    <w:rsid w:val="705E5A59"/>
    <w:rsid w:val="71796498"/>
    <w:rsid w:val="71E83933"/>
    <w:rsid w:val="72EF1622"/>
    <w:rsid w:val="73510E4C"/>
    <w:rsid w:val="738430F5"/>
    <w:rsid w:val="74903E64"/>
    <w:rsid w:val="74B25035"/>
    <w:rsid w:val="74C81EF3"/>
    <w:rsid w:val="75010DBB"/>
    <w:rsid w:val="759F5B15"/>
    <w:rsid w:val="76442BAE"/>
    <w:rsid w:val="777F554B"/>
    <w:rsid w:val="77905715"/>
    <w:rsid w:val="78992CEF"/>
    <w:rsid w:val="78FA586B"/>
    <w:rsid w:val="79022D94"/>
    <w:rsid w:val="792610B1"/>
    <w:rsid w:val="79591305"/>
    <w:rsid w:val="799326AA"/>
    <w:rsid w:val="79D27AA2"/>
    <w:rsid w:val="7A711512"/>
    <w:rsid w:val="7D493119"/>
    <w:rsid w:val="7D9C1935"/>
    <w:rsid w:val="7E211435"/>
    <w:rsid w:val="7EAF49DC"/>
    <w:rsid w:val="7EBB3C4F"/>
    <w:rsid w:val="7FDC1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4">
    <w:name w:val="heading 2"/>
    <w:basedOn w:val="1"/>
    <w:next w:val="1"/>
    <w:link w:val="40"/>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link w:val="41"/>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6">
    <w:name w:val="heading 4"/>
    <w:basedOn w:val="1"/>
    <w:next w:val="1"/>
    <w:link w:val="133"/>
    <w:qFormat/>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132"/>
    <w:semiHidden/>
    <w:unhideWhenUsed/>
    <w:qFormat/>
    <w:uiPriority w:val="9"/>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8"/>
    <w:qFormat/>
    <w:uiPriority w:val="0"/>
    <w:pPr>
      <w:spacing w:after="120"/>
    </w:pPr>
    <w:rPr>
      <w:rFonts w:asciiTheme="minorHAnsi" w:hAnsiTheme="minorHAnsi" w:cstheme="minorBidi"/>
    </w:rPr>
  </w:style>
  <w:style w:type="paragraph" w:styleId="8">
    <w:name w:val="Normal Indent"/>
    <w:basedOn w:val="1"/>
    <w:link w:val="131"/>
    <w:qFormat/>
    <w:uiPriority w:val="0"/>
    <w:pPr>
      <w:ind w:firstLine="420" w:firstLineChars="200"/>
    </w:pPr>
  </w:style>
  <w:style w:type="paragraph" w:styleId="9">
    <w:name w:val="Document Map"/>
    <w:basedOn w:val="1"/>
    <w:link w:val="95"/>
    <w:semiHidden/>
    <w:qFormat/>
    <w:uiPriority w:val="0"/>
    <w:pPr>
      <w:shd w:val="clear" w:color="auto" w:fill="000080"/>
    </w:pPr>
  </w:style>
  <w:style w:type="paragraph" w:styleId="10">
    <w:name w:val="annotation text"/>
    <w:basedOn w:val="1"/>
    <w:link w:val="96"/>
    <w:semiHidden/>
    <w:qFormat/>
    <w:uiPriority w:val="99"/>
    <w:pPr>
      <w:jc w:val="left"/>
    </w:pPr>
    <w:rPr>
      <w:rFonts w:asciiTheme="minorHAnsi" w:hAnsiTheme="minorHAnsi" w:eastAsiaTheme="minorEastAsia" w:cstheme="minorBidi"/>
      <w:sz w:val="28"/>
      <w:szCs w:val="22"/>
    </w:rPr>
  </w:style>
  <w:style w:type="paragraph" w:styleId="11">
    <w:name w:val="Body Text Indent"/>
    <w:basedOn w:val="1"/>
    <w:link w:val="97"/>
    <w:qFormat/>
    <w:uiPriority w:val="0"/>
    <w:pPr>
      <w:ind w:firstLine="570"/>
    </w:pPr>
    <w:rPr>
      <w:rFonts w:ascii="宋体" w:hAnsi="宋体"/>
      <w:sz w:val="28"/>
    </w:rPr>
  </w:style>
  <w:style w:type="paragraph" w:styleId="12">
    <w:name w:val="toc 3"/>
    <w:basedOn w:val="1"/>
    <w:next w:val="1"/>
    <w:semiHidden/>
    <w:unhideWhenUsed/>
    <w:qFormat/>
    <w:uiPriority w:val="39"/>
    <w:pPr>
      <w:ind w:left="840" w:leftChars="400"/>
    </w:pPr>
  </w:style>
  <w:style w:type="paragraph" w:styleId="13">
    <w:name w:val="Plain Text"/>
    <w:basedOn w:val="1"/>
    <w:link w:val="99"/>
    <w:qFormat/>
    <w:uiPriority w:val="0"/>
    <w:rPr>
      <w:rFonts w:ascii="宋体" w:hAnsi="Courier New" w:eastAsiaTheme="minorEastAsia" w:cstheme="minorBidi"/>
      <w:szCs w:val="22"/>
    </w:rPr>
  </w:style>
  <w:style w:type="paragraph" w:styleId="14">
    <w:name w:val="Date"/>
    <w:basedOn w:val="1"/>
    <w:next w:val="1"/>
    <w:link w:val="101"/>
    <w:qFormat/>
    <w:uiPriority w:val="0"/>
    <w:rPr>
      <w:szCs w:val="20"/>
    </w:rPr>
  </w:style>
  <w:style w:type="paragraph" w:styleId="15">
    <w:name w:val="Body Text Indent 2"/>
    <w:basedOn w:val="1"/>
    <w:link w:val="102"/>
    <w:qFormat/>
    <w:uiPriority w:val="0"/>
    <w:pPr>
      <w:spacing w:after="120" w:line="480" w:lineRule="auto"/>
      <w:ind w:left="420" w:leftChars="200"/>
    </w:pPr>
  </w:style>
  <w:style w:type="paragraph" w:styleId="16">
    <w:name w:val="Balloon Text"/>
    <w:basedOn w:val="1"/>
    <w:link w:val="103"/>
    <w:semiHidden/>
    <w:qFormat/>
    <w:uiPriority w:val="0"/>
    <w:rPr>
      <w:sz w:val="18"/>
      <w:szCs w:val="18"/>
    </w:rPr>
  </w:style>
  <w:style w:type="paragraph" w:styleId="17">
    <w:name w:val="footer"/>
    <w:basedOn w:val="1"/>
    <w:link w:val="38"/>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628"/>
      </w:tabs>
      <w:spacing w:line="360" w:lineRule="auto"/>
      <w:jc w:val="center"/>
    </w:pPr>
    <w:rPr>
      <w:rFonts w:ascii="仿宋" w:hAnsi="仿宋" w:eastAsia="仿宋"/>
      <w:b/>
      <w:bCs/>
      <w:sz w:val="32"/>
      <w:szCs w:val="32"/>
    </w:rPr>
  </w:style>
  <w:style w:type="paragraph" w:styleId="20">
    <w:name w:val="Body Text Indent 3"/>
    <w:basedOn w:val="1"/>
    <w:link w:val="100"/>
    <w:qFormat/>
    <w:uiPriority w:val="0"/>
    <w:pPr>
      <w:spacing w:after="120"/>
      <w:ind w:left="420" w:leftChars="200"/>
    </w:pPr>
    <w:rPr>
      <w:sz w:val="16"/>
      <w:szCs w:val="16"/>
    </w:rPr>
  </w:style>
  <w:style w:type="paragraph" w:styleId="21">
    <w:name w:val="toc 2"/>
    <w:basedOn w:val="1"/>
    <w:next w:val="1"/>
    <w:qFormat/>
    <w:uiPriority w:val="39"/>
    <w:pPr>
      <w:ind w:left="420" w:leftChars="200"/>
    </w:pPr>
  </w:style>
  <w:style w:type="paragraph" w:styleId="22">
    <w:name w:val="List 4"/>
    <w:basedOn w:val="1"/>
    <w:qFormat/>
    <w:uiPriority w:val="0"/>
    <w:pPr>
      <w:ind w:left="100" w:leftChars="600" w:hanging="200" w:hangingChars="200"/>
    </w:pPr>
  </w:style>
  <w:style w:type="paragraph" w:styleId="23">
    <w:name w:val="HTML Preformatted"/>
    <w:basedOn w:val="1"/>
    <w:qFormat/>
    <w:uiPriority w:val="0"/>
    <w:pPr>
      <w:widowControl/>
      <w:spacing w:line="360" w:lineRule="auto"/>
    </w:pPr>
    <w:rPr>
      <w:rFonts w:ascii="Courier New" w:hAnsi="Courier New"/>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104"/>
    <w:qFormat/>
    <w:uiPriority w:val="0"/>
    <w:pPr>
      <w:spacing w:before="240" w:after="60"/>
      <w:jc w:val="center"/>
      <w:outlineLvl w:val="0"/>
    </w:pPr>
    <w:rPr>
      <w:rFonts w:ascii="Cambria" w:hAnsi="Cambria" w:eastAsiaTheme="minorEastAsia"/>
      <w:b/>
      <w:bCs/>
      <w:sz w:val="32"/>
      <w:szCs w:val="32"/>
    </w:rPr>
  </w:style>
  <w:style w:type="paragraph" w:styleId="26">
    <w:name w:val="annotation subject"/>
    <w:basedOn w:val="10"/>
    <w:next w:val="10"/>
    <w:link w:val="105"/>
    <w:semiHidden/>
    <w:qFormat/>
    <w:uiPriority w:val="0"/>
    <w:rPr>
      <w:b/>
      <w:bCs/>
      <w:sz w:val="21"/>
      <w:szCs w:val="24"/>
    </w:rPr>
  </w:style>
  <w:style w:type="paragraph" w:styleId="27">
    <w:name w:val="Body Text First Indent"/>
    <w:basedOn w:val="2"/>
    <w:qFormat/>
    <w:uiPriority w:val="0"/>
    <w:pPr>
      <w:ind w:firstLine="420" w:firstLineChars="100"/>
    </w:pPr>
    <w:rPr>
      <w:rFonts w:ascii="Times New Roman" w:hAnsi="Times New Roman"/>
    </w:rPr>
  </w:style>
  <w:style w:type="table" w:styleId="29">
    <w:name w:val="Table Grid"/>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99"/>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Hyperlink"/>
    <w:qFormat/>
    <w:uiPriority w:val="0"/>
    <w:rPr>
      <w:color w:val="262626"/>
      <w:u w:val="none"/>
    </w:rPr>
  </w:style>
  <w:style w:type="character" w:styleId="35">
    <w:name w:val="annotation reference"/>
    <w:semiHidden/>
    <w:qFormat/>
    <w:uiPriority w:val="99"/>
    <w:rPr>
      <w:rFonts w:cs="Times New Roman"/>
      <w:sz w:val="21"/>
      <w:szCs w:val="21"/>
    </w:rPr>
  </w:style>
  <w:style w:type="paragraph" w:customStyle="1" w:styleId="36">
    <w:name w:val="目录 53"/>
    <w:basedOn w:val="1"/>
    <w:next w:val="1"/>
    <w:qFormat/>
    <w:uiPriority w:val="0"/>
    <w:pPr>
      <w:ind w:left="840"/>
    </w:pPr>
    <w:rPr>
      <w:sz w:val="18"/>
    </w:rPr>
  </w:style>
  <w:style w:type="character" w:customStyle="1" w:styleId="37">
    <w:name w:val="页眉 Char"/>
    <w:basedOn w:val="30"/>
    <w:link w:val="18"/>
    <w:qFormat/>
    <w:uiPriority w:val="0"/>
    <w:rPr>
      <w:sz w:val="18"/>
      <w:szCs w:val="18"/>
    </w:rPr>
  </w:style>
  <w:style w:type="character" w:customStyle="1" w:styleId="38">
    <w:name w:val="页脚 Char"/>
    <w:basedOn w:val="30"/>
    <w:link w:val="17"/>
    <w:qFormat/>
    <w:uiPriority w:val="99"/>
    <w:rPr>
      <w:sz w:val="18"/>
      <w:szCs w:val="18"/>
    </w:rPr>
  </w:style>
  <w:style w:type="character" w:customStyle="1" w:styleId="39">
    <w:name w:val="标题 1 Char"/>
    <w:basedOn w:val="30"/>
    <w:link w:val="3"/>
    <w:qFormat/>
    <w:uiPriority w:val="0"/>
    <w:rPr>
      <w:rFonts w:ascii="宋体" w:hAnsi="宋体" w:eastAsia="宋体" w:cs="Times New Roman"/>
      <w:b/>
      <w:bCs/>
      <w:color w:val="000000"/>
      <w:kern w:val="44"/>
      <w:sz w:val="30"/>
      <w:szCs w:val="30"/>
    </w:rPr>
  </w:style>
  <w:style w:type="character" w:customStyle="1" w:styleId="40">
    <w:name w:val="标题 2 Char"/>
    <w:basedOn w:val="30"/>
    <w:link w:val="4"/>
    <w:qFormat/>
    <w:uiPriority w:val="0"/>
    <w:rPr>
      <w:rFonts w:ascii="Arial Black" w:hAnsi="Arial Black" w:eastAsia="黑体" w:cs="Times New Roman"/>
      <w:b/>
      <w:bCs/>
      <w:sz w:val="32"/>
      <w:szCs w:val="32"/>
    </w:rPr>
  </w:style>
  <w:style w:type="character" w:customStyle="1" w:styleId="41">
    <w:name w:val="标题 3 Char"/>
    <w:basedOn w:val="30"/>
    <w:link w:val="5"/>
    <w:qFormat/>
    <w:uiPriority w:val="0"/>
    <w:rPr>
      <w:rFonts w:ascii="宋体" w:hAnsi="宋体" w:eastAsia="宋体" w:cs="Times New Roman"/>
      <w:sz w:val="28"/>
      <w:szCs w:val="32"/>
    </w:rPr>
  </w:style>
  <w:style w:type="character" w:customStyle="1" w:styleId="42">
    <w:name w:val="font81"/>
    <w:qFormat/>
    <w:uiPriority w:val="0"/>
    <w:rPr>
      <w:rFonts w:ascii="Arial" w:hAnsi="Arial" w:cs="Arial"/>
      <w:color w:val="FF0000"/>
      <w:sz w:val="21"/>
      <w:szCs w:val="21"/>
      <w:u w:val="none"/>
    </w:rPr>
  </w:style>
  <w:style w:type="character" w:customStyle="1" w:styleId="43">
    <w:name w:val="bookmark-item uuid-1536114681261 code-00009"/>
    <w:basedOn w:val="30"/>
    <w:qFormat/>
    <w:uiPriority w:val="0"/>
  </w:style>
  <w:style w:type="character" w:customStyle="1" w:styleId="44">
    <w:name w:val="bookmark-item uuid-1536114351935 code-23009"/>
    <w:basedOn w:val="30"/>
    <w:qFormat/>
    <w:uiPriority w:val="0"/>
  </w:style>
  <w:style w:type="character" w:customStyle="1" w:styleId="45">
    <w:name w:val="font91"/>
    <w:qFormat/>
    <w:uiPriority w:val="0"/>
    <w:rPr>
      <w:rFonts w:ascii="Arial" w:hAnsi="Arial" w:cs="Arial"/>
      <w:color w:val="000000"/>
      <w:sz w:val="21"/>
      <w:szCs w:val="21"/>
      <w:u w:val="none"/>
    </w:rPr>
  </w:style>
  <w:style w:type="character" w:customStyle="1" w:styleId="46">
    <w:name w:val="font112"/>
    <w:qFormat/>
    <w:uiPriority w:val="0"/>
    <w:rPr>
      <w:rFonts w:hint="eastAsia" w:ascii="宋体" w:hAnsi="宋体" w:eastAsia="宋体" w:cs="宋体"/>
      <w:b/>
      <w:color w:val="000000"/>
      <w:sz w:val="24"/>
      <w:szCs w:val="24"/>
      <w:u w:val="none"/>
    </w:rPr>
  </w:style>
  <w:style w:type="character" w:customStyle="1" w:styleId="47">
    <w:name w:val="采购一级 Char"/>
    <w:link w:val="48"/>
    <w:qFormat/>
    <w:uiPriority w:val="0"/>
    <w:rPr>
      <w:rFonts w:ascii="方正小标宋简体" w:hAnsi="仿宋" w:eastAsia="方正小标宋简体"/>
      <w:b/>
      <w:kern w:val="44"/>
      <w:sz w:val="36"/>
      <w:szCs w:val="36"/>
    </w:rPr>
  </w:style>
  <w:style w:type="paragraph" w:customStyle="1" w:styleId="48">
    <w:name w:val="采购一级"/>
    <w:link w:val="47"/>
    <w:qFormat/>
    <w:uiPriority w:val="0"/>
    <w:pPr>
      <w:widowControl w:val="0"/>
      <w:autoSpaceDE w:val="0"/>
      <w:autoSpaceDN w:val="0"/>
      <w:snapToGrid w:val="0"/>
      <w:spacing w:line="560" w:lineRule="exact"/>
      <w:jc w:val="center"/>
      <w:outlineLvl w:val="0"/>
    </w:pPr>
    <w:rPr>
      <w:rFonts w:ascii="方正小标宋简体" w:hAnsi="仿宋" w:eastAsia="方正小标宋简体" w:cstheme="minorBidi"/>
      <w:b/>
      <w:kern w:val="44"/>
      <w:sz w:val="36"/>
      <w:szCs w:val="36"/>
      <w:lang w:val="en-US" w:eastAsia="zh-CN" w:bidi="ar-SA"/>
    </w:rPr>
  </w:style>
  <w:style w:type="character" w:customStyle="1" w:styleId="49">
    <w:name w:val="纯文本 Char"/>
    <w:qFormat/>
    <w:uiPriority w:val="0"/>
    <w:rPr>
      <w:rFonts w:ascii="宋体" w:hAnsi="Courier New"/>
    </w:rPr>
  </w:style>
  <w:style w:type="character" w:customStyle="1" w:styleId="50">
    <w:name w:val="批注文字 Char"/>
    <w:semiHidden/>
    <w:qFormat/>
    <w:uiPriority w:val="99"/>
    <w:rPr>
      <w:sz w:val="28"/>
    </w:rPr>
  </w:style>
  <w:style w:type="character" w:customStyle="1" w:styleId="51">
    <w:name w:val="bookmark-item uuid-1536114730799 code-00016"/>
    <w:basedOn w:val="30"/>
    <w:qFormat/>
    <w:uiPriority w:val="0"/>
  </w:style>
  <w:style w:type="character" w:customStyle="1" w:styleId="52">
    <w:name w:val="bookmark-item uuid-1536114715836 code-00014"/>
    <w:basedOn w:val="30"/>
    <w:qFormat/>
    <w:uiPriority w:val="0"/>
  </w:style>
  <w:style w:type="character" w:customStyle="1" w:styleId="53">
    <w:name w:val="fontstyle21"/>
    <w:qFormat/>
    <w:uiPriority w:val="0"/>
    <w:rPr>
      <w:rFonts w:hint="eastAsia" w:ascii="宋体" w:hAnsi="宋体" w:eastAsia="宋体"/>
      <w:color w:val="000000"/>
      <w:sz w:val="22"/>
      <w:szCs w:val="22"/>
    </w:rPr>
  </w:style>
  <w:style w:type="character" w:customStyle="1" w:styleId="54">
    <w:name w:val="纯文本 Char2"/>
    <w:qFormat/>
    <w:locked/>
    <w:uiPriority w:val="0"/>
    <w:rPr>
      <w:rFonts w:ascii="宋体" w:eastAsia="宋体"/>
      <w:kern w:val="2"/>
      <w:sz w:val="21"/>
    </w:rPr>
  </w:style>
  <w:style w:type="character" w:customStyle="1" w:styleId="55">
    <w:name w:val="标题 2 Char Char Char Char Char Char Char Char Char Char Char Char Char Char Char Char Char Char Char Char Char"/>
    <w:basedOn w:val="30"/>
    <w:qFormat/>
    <w:uiPriority w:val="0"/>
  </w:style>
  <w:style w:type="character" w:customStyle="1" w:styleId="56">
    <w:name w:val="font11"/>
    <w:qFormat/>
    <w:uiPriority w:val="0"/>
    <w:rPr>
      <w:rFonts w:hint="eastAsia" w:ascii="宋体" w:hAnsi="宋体" w:eastAsia="宋体" w:cs="宋体"/>
      <w:color w:val="000000"/>
      <w:sz w:val="21"/>
      <w:szCs w:val="21"/>
      <w:u w:val="none"/>
    </w:rPr>
  </w:style>
  <w:style w:type="character" w:customStyle="1" w:styleId="57">
    <w:name w:val="bookmark-item uuid-1536114769643 code-00021"/>
    <w:basedOn w:val="30"/>
    <w:qFormat/>
    <w:uiPriority w:val="0"/>
  </w:style>
  <w:style w:type="character" w:customStyle="1" w:styleId="58">
    <w:name w:val="bookmark-item uuid-1536114708792 code-00013"/>
    <w:basedOn w:val="30"/>
    <w:qFormat/>
    <w:uiPriority w:val="0"/>
  </w:style>
  <w:style w:type="character" w:customStyle="1" w:styleId="59">
    <w:name w:val="bookmark-item uuid-1536114672385 code-23021"/>
    <w:basedOn w:val="30"/>
    <w:qFormat/>
    <w:uiPriority w:val="0"/>
  </w:style>
  <w:style w:type="character" w:customStyle="1" w:styleId="60">
    <w:name w:val="font61"/>
    <w:qFormat/>
    <w:uiPriority w:val="0"/>
    <w:rPr>
      <w:rFonts w:hint="default" w:ascii="Times New Roman" w:hAnsi="Times New Roman" w:cs="Times New Roman"/>
      <w:color w:val="000000"/>
      <w:sz w:val="21"/>
      <w:szCs w:val="21"/>
      <w:u w:val="none"/>
    </w:rPr>
  </w:style>
  <w:style w:type="character" w:customStyle="1" w:styleId="61">
    <w:name w:val="font71"/>
    <w:qFormat/>
    <w:uiPriority w:val="0"/>
    <w:rPr>
      <w:rFonts w:hint="default" w:ascii="Times New Roman" w:hAnsi="Times New Roman" w:cs="Times New Roman"/>
      <w:color w:val="FF0000"/>
      <w:sz w:val="21"/>
      <w:szCs w:val="21"/>
      <w:u w:val="none"/>
    </w:rPr>
  </w:style>
  <w:style w:type="character" w:customStyle="1" w:styleId="62">
    <w:name w:val="Default Char Char"/>
    <w:link w:val="63"/>
    <w:qFormat/>
    <w:locked/>
    <w:uiPriority w:val="0"/>
    <w:rPr>
      <w:rFonts w:ascii="宋体"/>
      <w:color w:val="000000"/>
      <w:sz w:val="24"/>
    </w:rPr>
  </w:style>
  <w:style w:type="paragraph" w:customStyle="1" w:styleId="63">
    <w:name w:val="Default"/>
    <w:link w:val="62"/>
    <w:qFormat/>
    <w:uiPriority w:val="0"/>
    <w:pPr>
      <w:widowControl w:val="0"/>
      <w:autoSpaceDE w:val="0"/>
      <w:autoSpaceDN w:val="0"/>
      <w:adjustRightInd w:val="0"/>
    </w:pPr>
    <w:rPr>
      <w:rFonts w:ascii="宋体" w:hAnsiTheme="minorHAnsi" w:eastAsiaTheme="minorEastAsia" w:cstheme="minorBidi"/>
      <w:color w:val="000000"/>
      <w:kern w:val="2"/>
      <w:sz w:val="24"/>
      <w:szCs w:val="22"/>
      <w:lang w:val="en-US" w:eastAsia="zh-CN" w:bidi="ar-SA"/>
    </w:rPr>
  </w:style>
  <w:style w:type="character" w:customStyle="1" w:styleId="64">
    <w:name w:val="bookmark-item uuid-1536114761735 code-00020"/>
    <w:basedOn w:val="30"/>
    <w:qFormat/>
    <w:uiPriority w:val="0"/>
  </w:style>
  <w:style w:type="character" w:customStyle="1" w:styleId="65">
    <w:name w:val="font31"/>
    <w:qFormat/>
    <w:uiPriority w:val="0"/>
    <w:rPr>
      <w:rFonts w:hint="default" w:ascii="Times New Roman" w:hAnsi="Times New Roman" w:cs="Times New Roman"/>
      <w:b/>
      <w:color w:val="000000"/>
      <w:sz w:val="21"/>
      <w:szCs w:val="21"/>
      <w:u w:val="none"/>
    </w:rPr>
  </w:style>
  <w:style w:type="character" w:customStyle="1" w:styleId="66">
    <w:name w:val="bookmark-item uuid-1536114688571 code-00010"/>
    <w:basedOn w:val="30"/>
    <w:qFormat/>
    <w:uiPriority w:val="0"/>
  </w:style>
  <w:style w:type="character" w:customStyle="1" w:styleId="67">
    <w:name w:val="bookmark-item uuid-1536114744629 code-00018"/>
    <w:basedOn w:val="30"/>
    <w:qFormat/>
    <w:uiPriority w:val="0"/>
  </w:style>
  <w:style w:type="character" w:customStyle="1" w:styleId="68">
    <w:name w:val="样式3 Char"/>
    <w:link w:val="69"/>
    <w:qFormat/>
    <w:uiPriority w:val="0"/>
    <w:rPr>
      <w:rFonts w:ascii="宋体" w:hAnsi="Courier New"/>
      <w:sz w:val="28"/>
      <w:szCs w:val="24"/>
    </w:rPr>
  </w:style>
  <w:style w:type="paragraph" w:customStyle="1" w:styleId="69">
    <w:name w:val="样式3"/>
    <w:basedOn w:val="13"/>
    <w:link w:val="68"/>
    <w:qFormat/>
    <w:uiPriority w:val="0"/>
    <w:pPr>
      <w:spacing w:line="0" w:lineRule="atLeast"/>
      <w:outlineLvl w:val="0"/>
    </w:pPr>
    <w:rPr>
      <w:sz w:val="28"/>
      <w:szCs w:val="24"/>
    </w:rPr>
  </w:style>
  <w:style w:type="character" w:customStyle="1" w:styleId="70">
    <w:name w:val="font121"/>
    <w:qFormat/>
    <w:uiPriority w:val="0"/>
    <w:rPr>
      <w:rFonts w:ascii="Arial" w:hAnsi="Arial" w:cs="Arial"/>
      <w:b/>
      <w:color w:val="000000"/>
      <w:sz w:val="21"/>
      <w:szCs w:val="21"/>
      <w:u w:val="none"/>
    </w:rPr>
  </w:style>
  <w:style w:type="character" w:customStyle="1" w:styleId="71">
    <w:name w:val="bookmark-item uuid-1536114367028 code-23012"/>
    <w:basedOn w:val="30"/>
    <w:qFormat/>
    <w:uiPriority w:val="0"/>
  </w:style>
  <w:style w:type="character" w:customStyle="1" w:styleId="72">
    <w:name w:val="bookmark-item uuid-1536114752958 code-00019"/>
    <w:basedOn w:val="30"/>
    <w:qFormat/>
    <w:uiPriority w:val="0"/>
  </w:style>
  <w:style w:type="character" w:customStyle="1" w:styleId="73">
    <w:name w:val="bookmark-item uuid-1536114695490 code-00011"/>
    <w:basedOn w:val="30"/>
    <w:qFormat/>
    <w:uiPriority w:val="0"/>
  </w:style>
  <w:style w:type="character" w:customStyle="1" w:styleId="74">
    <w:name w:val="p2"/>
    <w:basedOn w:val="30"/>
    <w:qFormat/>
    <w:uiPriority w:val="0"/>
  </w:style>
  <w:style w:type="character" w:customStyle="1" w:styleId="75">
    <w:name w:val="hs14"/>
    <w:basedOn w:val="30"/>
    <w:qFormat/>
    <w:uiPriority w:val="0"/>
  </w:style>
  <w:style w:type="character" w:customStyle="1" w:styleId="76">
    <w:name w:val="bookmark-item uuid-1536114230642 code-00004"/>
    <w:basedOn w:val="30"/>
    <w:qFormat/>
    <w:uiPriority w:val="0"/>
  </w:style>
  <w:style w:type="character" w:customStyle="1" w:styleId="77">
    <w:name w:val="fontstyle01"/>
    <w:qFormat/>
    <w:uiPriority w:val="0"/>
    <w:rPr>
      <w:rFonts w:hint="eastAsia" w:ascii="黑体" w:hAnsi="黑体" w:eastAsia="黑体"/>
      <w:color w:val="000000"/>
      <w:sz w:val="32"/>
      <w:szCs w:val="32"/>
    </w:rPr>
  </w:style>
  <w:style w:type="character" w:customStyle="1" w:styleId="78">
    <w:name w:val="bookmark-item uuid-1536114308002 code-23005"/>
    <w:basedOn w:val="30"/>
    <w:qFormat/>
    <w:uiPriority w:val="0"/>
  </w:style>
  <w:style w:type="character" w:customStyle="1" w:styleId="79">
    <w:name w:val="font151"/>
    <w:qFormat/>
    <w:uiPriority w:val="0"/>
    <w:rPr>
      <w:rFonts w:hint="default" w:ascii="Times New Roman" w:hAnsi="Times New Roman" w:cs="Times New Roman"/>
      <w:color w:val="000000"/>
      <w:sz w:val="21"/>
      <w:szCs w:val="21"/>
      <w:u w:val="none"/>
    </w:rPr>
  </w:style>
  <w:style w:type="character" w:customStyle="1" w:styleId="80">
    <w:name w:val="正文文本 Char"/>
    <w:qFormat/>
    <w:uiPriority w:val="0"/>
    <w:rPr>
      <w:rFonts w:eastAsia="宋体"/>
      <w:szCs w:val="24"/>
    </w:rPr>
  </w:style>
  <w:style w:type="character" w:customStyle="1" w:styleId="81">
    <w:name w:val="font131"/>
    <w:qFormat/>
    <w:uiPriority w:val="0"/>
    <w:rPr>
      <w:rFonts w:hint="eastAsia" w:ascii="宋体" w:hAnsi="宋体" w:eastAsia="宋体" w:cs="宋体"/>
      <w:color w:val="FF0000"/>
      <w:sz w:val="21"/>
      <w:szCs w:val="21"/>
      <w:u w:val="none"/>
    </w:rPr>
  </w:style>
  <w:style w:type="character" w:customStyle="1" w:styleId="82">
    <w:name w:val="标题 Char"/>
    <w:qFormat/>
    <w:uiPriority w:val="0"/>
    <w:rPr>
      <w:rFonts w:ascii="Cambria" w:hAnsi="Cambria" w:cs="Times New Roman"/>
      <w:b/>
      <w:bCs/>
      <w:sz w:val="32"/>
      <w:szCs w:val="32"/>
    </w:rPr>
  </w:style>
  <w:style w:type="character" w:customStyle="1" w:styleId="83">
    <w:name w:val="fontstyle11"/>
    <w:qFormat/>
    <w:uiPriority w:val="0"/>
    <w:rPr>
      <w:rFonts w:hint="eastAsia" w:ascii="宋体" w:hAnsi="宋体" w:eastAsia="宋体"/>
      <w:b/>
      <w:bCs/>
      <w:color w:val="000000"/>
      <w:sz w:val="20"/>
      <w:szCs w:val="20"/>
    </w:rPr>
  </w:style>
  <w:style w:type="character" w:customStyle="1" w:styleId="84">
    <w:name w:val="font21"/>
    <w:qFormat/>
    <w:uiPriority w:val="0"/>
    <w:rPr>
      <w:rFonts w:hint="eastAsia" w:ascii="宋体" w:hAnsi="宋体" w:eastAsia="宋体" w:cs="宋体"/>
      <w:color w:val="000000"/>
      <w:sz w:val="21"/>
      <w:szCs w:val="21"/>
      <w:u w:val="none"/>
    </w:rPr>
  </w:style>
  <w:style w:type="character" w:customStyle="1" w:styleId="85">
    <w:name w:val="font141"/>
    <w:qFormat/>
    <w:uiPriority w:val="0"/>
    <w:rPr>
      <w:rFonts w:hint="eastAsia" w:ascii="宋体" w:hAnsi="宋体" w:eastAsia="宋体" w:cs="宋体"/>
      <w:b/>
      <w:color w:val="000000"/>
      <w:sz w:val="21"/>
      <w:szCs w:val="21"/>
      <w:u w:val="none"/>
    </w:rPr>
  </w:style>
  <w:style w:type="character" w:customStyle="1" w:styleId="86">
    <w:name w:val="fontstyle31"/>
    <w:qFormat/>
    <w:uiPriority w:val="0"/>
    <w:rPr>
      <w:rFonts w:hint="eastAsia" w:ascii="宋体" w:hAnsi="宋体" w:eastAsia="宋体"/>
      <w:color w:val="000000"/>
      <w:sz w:val="20"/>
      <w:szCs w:val="20"/>
    </w:rPr>
  </w:style>
  <w:style w:type="character" w:customStyle="1" w:styleId="87">
    <w:name w:val="apple-converted-space"/>
    <w:qFormat/>
    <w:uiPriority w:val="0"/>
    <w:rPr>
      <w:rFonts w:cs="Times New Roman"/>
    </w:rPr>
  </w:style>
  <w:style w:type="character" w:customStyle="1" w:styleId="88">
    <w:name w:val="bookmark-item uuid-1536114797846 code-23002"/>
    <w:basedOn w:val="30"/>
    <w:qFormat/>
    <w:uiPriority w:val="0"/>
  </w:style>
  <w:style w:type="character" w:customStyle="1" w:styleId="89">
    <w:name w:val="bookmark-item uuid-1536114237662 code-00006"/>
    <w:basedOn w:val="30"/>
    <w:qFormat/>
    <w:uiPriority w:val="0"/>
  </w:style>
  <w:style w:type="character" w:customStyle="1" w:styleId="90">
    <w:name w:val="bookmark-item uuid-1536114315631 code-23006"/>
    <w:basedOn w:val="30"/>
    <w:qFormat/>
    <w:uiPriority w:val="0"/>
  </w:style>
  <w:style w:type="character" w:customStyle="1" w:styleId="91">
    <w:name w:val="bookmark-item uuid-1536114326115 code-23007"/>
    <w:basedOn w:val="30"/>
    <w:qFormat/>
    <w:uiPriority w:val="0"/>
  </w:style>
  <w:style w:type="character" w:customStyle="1" w:styleId="92">
    <w:name w:val="bookmark-item uuid-1541657111286 code-23008"/>
    <w:basedOn w:val="30"/>
    <w:qFormat/>
    <w:uiPriority w:val="0"/>
  </w:style>
  <w:style w:type="character" w:customStyle="1" w:styleId="93">
    <w:name w:val="bookmark-item uuid-1536114381259 code-23015"/>
    <w:basedOn w:val="30"/>
    <w:qFormat/>
    <w:uiPriority w:val="0"/>
  </w:style>
  <w:style w:type="character" w:customStyle="1" w:styleId="94">
    <w:name w:val="bookmark-item uuid-1536114722887 code-00015"/>
    <w:basedOn w:val="30"/>
    <w:qFormat/>
    <w:uiPriority w:val="0"/>
  </w:style>
  <w:style w:type="character" w:customStyle="1" w:styleId="95">
    <w:name w:val="文档结构图 Char"/>
    <w:basedOn w:val="30"/>
    <w:link w:val="9"/>
    <w:semiHidden/>
    <w:qFormat/>
    <w:uiPriority w:val="0"/>
    <w:rPr>
      <w:rFonts w:ascii="Calibri" w:hAnsi="Calibri" w:eastAsia="宋体" w:cs="Times New Roman"/>
      <w:szCs w:val="24"/>
      <w:shd w:val="clear" w:color="auto" w:fill="000080"/>
    </w:rPr>
  </w:style>
  <w:style w:type="character" w:customStyle="1" w:styleId="96">
    <w:name w:val="批注文字 Char1"/>
    <w:basedOn w:val="30"/>
    <w:link w:val="10"/>
    <w:semiHidden/>
    <w:qFormat/>
    <w:uiPriority w:val="99"/>
    <w:rPr>
      <w:rFonts w:ascii="Calibri" w:hAnsi="Calibri" w:eastAsia="宋体" w:cs="Times New Roman"/>
      <w:szCs w:val="24"/>
    </w:rPr>
  </w:style>
  <w:style w:type="character" w:customStyle="1" w:styleId="97">
    <w:name w:val="正文文本缩进 Char"/>
    <w:basedOn w:val="30"/>
    <w:link w:val="11"/>
    <w:qFormat/>
    <w:uiPriority w:val="0"/>
    <w:rPr>
      <w:rFonts w:ascii="宋体" w:hAnsi="宋体" w:eastAsia="宋体" w:cs="Times New Roman"/>
      <w:sz w:val="28"/>
      <w:szCs w:val="24"/>
    </w:rPr>
  </w:style>
  <w:style w:type="character" w:customStyle="1" w:styleId="98">
    <w:name w:val="正文文本 Char1"/>
    <w:basedOn w:val="30"/>
    <w:link w:val="2"/>
    <w:semiHidden/>
    <w:qFormat/>
    <w:uiPriority w:val="99"/>
    <w:rPr>
      <w:rFonts w:ascii="Calibri" w:hAnsi="Calibri" w:eastAsia="宋体" w:cs="Times New Roman"/>
      <w:szCs w:val="24"/>
    </w:rPr>
  </w:style>
  <w:style w:type="character" w:customStyle="1" w:styleId="99">
    <w:name w:val="纯文本 Char1"/>
    <w:basedOn w:val="30"/>
    <w:link w:val="13"/>
    <w:semiHidden/>
    <w:qFormat/>
    <w:uiPriority w:val="99"/>
    <w:rPr>
      <w:rFonts w:ascii="宋体" w:hAnsi="Courier New" w:eastAsia="宋体" w:cs="Courier New"/>
      <w:szCs w:val="21"/>
    </w:rPr>
  </w:style>
  <w:style w:type="character" w:customStyle="1" w:styleId="100">
    <w:name w:val="正文文本缩进 3 Char"/>
    <w:basedOn w:val="30"/>
    <w:link w:val="20"/>
    <w:qFormat/>
    <w:uiPriority w:val="0"/>
    <w:rPr>
      <w:rFonts w:ascii="Calibri" w:hAnsi="Calibri" w:eastAsia="宋体" w:cs="Times New Roman"/>
      <w:sz w:val="16"/>
      <w:szCs w:val="16"/>
    </w:rPr>
  </w:style>
  <w:style w:type="character" w:customStyle="1" w:styleId="101">
    <w:name w:val="日期 Char"/>
    <w:basedOn w:val="30"/>
    <w:link w:val="14"/>
    <w:qFormat/>
    <w:uiPriority w:val="0"/>
    <w:rPr>
      <w:rFonts w:ascii="Calibri" w:hAnsi="Calibri" w:eastAsia="宋体" w:cs="Times New Roman"/>
      <w:szCs w:val="20"/>
    </w:rPr>
  </w:style>
  <w:style w:type="character" w:customStyle="1" w:styleId="102">
    <w:name w:val="正文文本缩进 2 Char"/>
    <w:basedOn w:val="30"/>
    <w:link w:val="15"/>
    <w:qFormat/>
    <w:uiPriority w:val="0"/>
    <w:rPr>
      <w:rFonts w:ascii="Calibri" w:hAnsi="Calibri" w:eastAsia="宋体" w:cs="Times New Roman"/>
      <w:szCs w:val="24"/>
    </w:rPr>
  </w:style>
  <w:style w:type="character" w:customStyle="1" w:styleId="103">
    <w:name w:val="批注框文本 Char"/>
    <w:basedOn w:val="30"/>
    <w:link w:val="16"/>
    <w:semiHidden/>
    <w:qFormat/>
    <w:uiPriority w:val="0"/>
    <w:rPr>
      <w:rFonts w:ascii="Calibri" w:hAnsi="Calibri" w:eastAsia="宋体" w:cs="Times New Roman"/>
      <w:sz w:val="18"/>
      <w:szCs w:val="18"/>
    </w:rPr>
  </w:style>
  <w:style w:type="character" w:customStyle="1" w:styleId="104">
    <w:name w:val="标题 Char1"/>
    <w:basedOn w:val="30"/>
    <w:link w:val="25"/>
    <w:qFormat/>
    <w:uiPriority w:val="10"/>
    <w:rPr>
      <w:rFonts w:eastAsia="宋体" w:asciiTheme="majorHAnsi" w:hAnsiTheme="majorHAnsi" w:cstheme="majorBidi"/>
      <w:b/>
      <w:bCs/>
      <w:sz w:val="32"/>
      <w:szCs w:val="32"/>
    </w:rPr>
  </w:style>
  <w:style w:type="character" w:customStyle="1" w:styleId="105">
    <w:name w:val="批注主题 Char"/>
    <w:basedOn w:val="96"/>
    <w:link w:val="26"/>
    <w:semiHidden/>
    <w:qFormat/>
    <w:uiPriority w:val="0"/>
    <w:rPr>
      <w:rFonts w:ascii="Calibri" w:hAnsi="Calibri" w:eastAsia="宋体" w:cs="Times New Roman"/>
      <w:b/>
      <w:bCs/>
      <w:szCs w:val="24"/>
    </w:rPr>
  </w:style>
  <w:style w:type="paragraph" w:customStyle="1" w:styleId="106">
    <w:name w:val="Char Char Char"/>
    <w:basedOn w:val="1"/>
    <w:qFormat/>
    <w:uiPriority w:val="0"/>
    <w:pPr>
      <w:spacing w:line="360" w:lineRule="auto"/>
      <w:ind w:firstLine="560" w:firstLineChars="200"/>
    </w:pPr>
    <w:rPr>
      <w:szCs w:val="20"/>
    </w:rPr>
  </w:style>
  <w:style w:type="paragraph" w:customStyle="1" w:styleId="107">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0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1">
    <w:name w:val="正文文字2"/>
    <w:basedOn w:val="2"/>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12">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1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5">
    <w:name w:val="List Paragraph1"/>
    <w:basedOn w:val="1"/>
    <w:qFormat/>
    <w:uiPriority w:val="0"/>
    <w:pPr>
      <w:ind w:firstLine="420" w:firstLineChars="200"/>
    </w:pPr>
  </w:style>
  <w:style w:type="paragraph" w:customStyle="1" w:styleId="116">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Char1"/>
    <w:basedOn w:val="1"/>
    <w:qFormat/>
    <w:uiPriority w:val="0"/>
    <w:rPr>
      <w:rFonts w:ascii="Tahoma" w:hAnsi="Tahoma"/>
      <w:sz w:val="24"/>
      <w:szCs w:val="20"/>
    </w:rPr>
  </w:style>
  <w:style w:type="paragraph" w:customStyle="1" w:styleId="11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styleId="119">
    <w:name w:val="List Paragraph"/>
    <w:basedOn w:val="1"/>
    <w:qFormat/>
    <w:uiPriority w:val="0"/>
    <w:pPr>
      <w:spacing w:line="360" w:lineRule="auto"/>
      <w:ind w:firstLine="420" w:firstLineChars="200"/>
    </w:pPr>
    <w:rPr>
      <w:sz w:val="24"/>
      <w:szCs w:val="22"/>
    </w:rPr>
  </w:style>
  <w:style w:type="paragraph" w:customStyle="1" w:styleId="120">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21">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2">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123">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24">
    <w:name w:val="_正文"/>
    <w:basedOn w:val="1"/>
    <w:qFormat/>
    <w:uiPriority w:val="99"/>
    <w:pPr>
      <w:adjustRightInd w:val="0"/>
      <w:snapToGrid w:val="0"/>
      <w:spacing w:line="360" w:lineRule="auto"/>
      <w:ind w:firstLine="200" w:firstLineChars="200"/>
    </w:pPr>
    <w:rPr>
      <w:color w:val="000000"/>
      <w:szCs w:val="20"/>
    </w:rPr>
  </w:style>
  <w:style w:type="paragraph" w:customStyle="1" w:styleId="125">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p0"/>
    <w:basedOn w:val="1"/>
    <w:qFormat/>
    <w:uiPriority w:val="0"/>
    <w:pPr>
      <w:spacing w:line="360" w:lineRule="auto"/>
      <w:ind w:firstLine="420"/>
    </w:pPr>
    <w:rPr>
      <w:kern w:val="0"/>
      <w:sz w:val="24"/>
    </w:rPr>
  </w:style>
  <w:style w:type="paragraph" w:customStyle="1" w:styleId="12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2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130">
    <w:name w:val="正文1"/>
    <w:qFormat/>
    <w:uiPriority w:val="0"/>
    <w:pPr>
      <w:widowControl w:val="0"/>
      <w:jc w:val="both"/>
    </w:pPr>
    <w:rPr>
      <w:rFonts w:ascii="Times New Roman" w:hAnsi="Times New Roman" w:eastAsia="Times New Roman" w:cs="Times New Roman"/>
      <w:lang w:val="en-US" w:eastAsia="zh-CN" w:bidi="ar-SA"/>
    </w:rPr>
  </w:style>
  <w:style w:type="character" w:customStyle="1" w:styleId="131">
    <w:name w:val="正文缩进 Char"/>
    <w:link w:val="8"/>
    <w:qFormat/>
    <w:uiPriority w:val="0"/>
  </w:style>
  <w:style w:type="character" w:customStyle="1" w:styleId="132">
    <w:name w:val="标题 5 Char"/>
    <w:link w:val="7"/>
    <w:qFormat/>
    <w:uiPriority w:val="0"/>
    <w:rPr>
      <w:b/>
      <w:sz w:val="28"/>
    </w:rPr>
  </w:style>
  <w:style w:type="character" w:customStyle="1" w:styleId="133">
    <w:name w:val="标题 4 Char"/>
    <w:link w:val="6"/>
    <w:qFormat/>
    <w:uiPriority w:val="0"/>
    <w:rPr>
      <w:rFonts w:ascii="Arial" w:hAnsi="Arial" w:eastAsia="黑体"/>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25256</Words>
  <Characters>26989</Characters>
  <Lines>271</Lines>
  <Paragraphs>76</Paragraphs>
  <TotalTime>29</TotalTime>
  <ScaleCrop>false</ScaleCrop>
  <LinksUpToDate>false</LinksUpToDate>
  <CharactersWithSpaces>28492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2020-11-14T15:41:00Z</dcterms:created>
  <dc:creator>谭婷</dc:creator>
  <cp:lastModifiedBy>新疆同孚</cp:lastModifiedBy>
  <dcterms:modified xsi:type="dcterms:W3CDTF">2023-05-18T07:05:06Z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6EC54CC514E94740A8ABD87F37C08928_13</vt:lpwstr>
  </property>
</Properties>
</file>