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ascii="仿宋" w:hAnsi="仿宋" w:eastAsia="仿宋" w:cs="仿宋"/>
          <w:b/>
          <w:bCs/>
          <w:color w:val="auto"/>
          <w:sz w:val="44"/>
          <w:szCs w:val="44"/>
          <w:highlight w:val="none"/>
          <w:lang w:eastAsia="zh-CN"/>
        </w:rPr>
      </w:pP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塔什库尔干县</w:t>
      </w:r>
      <w:r>
        <w:rPr>
          <w:rFonts w:hint="eastAsia" w:ascii="仿宋" w:hAnsi="仿宋" w:eastAsia="仿宋" w:cs="仿宋"/>
          <w:b/>
          <w:bCs/>
          <w:color w:val="auto"/>
          <w:sz w:val="44"/>
          <w:szCs w:val="44"/>
          <w:highlight w:val="none"/>
          <w:lang w:val="en-US" w:eastAsia="zh-CN"/>
        </w:rPr>
        <w:t>2023年</w:t>
      </w:r>
      <w:r>
        <w:rPr>
          <w:rFonts w:hint="eastAsia" w:ascii="仿宋" w:hAnsi="仿宋" w:eastAsia="仿宋" w:cs="仿宋"/>
          <w:b/>
          <w:bCs/>
          <w:color w:val="auto"/>
          <w:sz w:val="44"/>
          <w:szCs w:val="44"/>
          <w:highlight w:val="none"/>
          <w:lang w:eastAsia="zh-CN"/>
        </w:rPr>
        <w:t>各乡镇小学学生课桌椅采购项目</w:t>
      </w:r>
    </w:p>
    <w:p>
      <w:pPr>
        <w:pStyle w:val="8"/>
        <w:rPr>
          <w:rFonts w:hint="eastAsia"/>
          <w:lang w:eastAsia="zh-CN"/>
        </w:rPr>
      </w:pPr>
    </w:p>
    <w:p>
      <w:pPr>
        <w:rPr>
          <w:rFonts w:hint="eastAsia"/>
          <w:lang w:eastAsia="zh-CN"/>
        </w:rPr>
      </w:pPr>
    </w:p>
    <w:p>
      <w:pPr>
        <w:rPr>
          <w:rFonts w:hint="eastAsia"/>
          <w:lang w:eastAsia="zh-CN"/>
        </w:rPr>
      </w:pPr>
    </w:p>
    <w:p>
      <w:pPr>
        <w:pStyle w:val="2"/>
        <w:rPr>
          <w:rFonts w:hint="eastAsia"/>
          <w:lang w:eastAsia="zh-CN"/>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eastAsia="zh-CN"/>
        </w:rPr>
        <w:t>竞争性磋商文件</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6"/>
        <w:rPr>
          <w:rFonts w:hint="eastAsia" w:ascii="仿宋" w:hAnsi="仿宋" w:eastAsia="仿宋" w:cs="仿宋"/>
          <w:color w:val="auto"/>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KSTX(CS)2023-02</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jc w:val="both"/>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pStyle w:val="6"/>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cs="Times New Roman"/>
          <w:b/>
          <w:bCs/>
          <w:color w:val="000000"/>
          <w:sz w:val="30"/>
          <w:highlight w:val="none"/>
        </w:rPr>
      </w:pPr>
      <w:r>
        <w:rPr>
          <w:rFonts w:hint="eastAsia" w:ascii="宋体" w:hAnsi="宋体" w:eastAsia="宋体" w:cs="Times New Roman"/>
          <w:b/>
          <w:bCs/>
          <w:color w:val="000000"/>
          <w:sz w:val="30"/>
          <w:highlight w:val="none"/>
          <w:lang w:eastAsia="zh-CN"/>
        </w:rPr>
        <w:t>采</w:t>
      </w:r>
      <w:r>
        <w:rPr>
          <w:rFonts w:hint="eastAsia" w:ascii="宋体" w:hAnsi="宋体" w:eastAsia="宋体" w:cs="Times New Roman"/>
          <w:b/>
          <w:bCs/>
          <w:color w:val="000000"/>
          <w:sz w:val="30"/>
          <w:highlight w:val="none"/>
        </w:rPr>
        <w:t xml:space="preserve">   </w:t>
      </w:r>
      <w:r>
        <w:rPr>
          <w:rFonts w:hint="eastAsia" w:ascii="宋体" w:hAnsi="宋体" w:eastAsia="宋体" w:cs="Times New Roman"/>
          <w:b/>
          <w:bCs/>
          <w:color w:val="000000"/>
          <w:sz w:val="30"/>
          <w:highlight w:val="none"/>
          <w:lang w:eastAsia="zh-CN"/>
        </w:rPr>
        <w:t>购</w:t>
      </w:r>
      <w:r>
        <w:rPr>
          <w:rFonts w:hint="eastAsia" w:ascii="宋体" w:hAnsi="宋体" w:eastAsia="宋体" w:cs="Times New Roman"/>
          <w:b/>
          <w:bCs/>
          <w:color w:val="000000"/>
          <w:sz w:val="30"/>
          <w:highlight w:val="none"/>
        </w:rPr>
        <w:t xml:space="preserve">   人：</w:t>
      </w:r>
      <w:r>
        <w:rPr>
          <w:rFonts w:hint="eastAsia" w:ascii="宋体" w:hAnsi="宋体" w:eastAsia="宋体" w:cs="Times New Roman"/>
          <w:b/>
          <w:bCs/>
          <w:color w:val="000000"/>
          <w:sz w:val="30"/>
          <w:highlight w:val="none"/>
          <w:lang w:eastAsia="zh-CN"/>
        </w:rPr>
        <w:t>塔什库尔干塔吉克自治县教育和科学技术局</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default" w:ascii="宋体" w:hAnsi="宋体" w:eastAsia="宋体" w:cs="Times New Roman"/>
          <w:b/>
          <w:bCs/>
          <w:color w:val="000000"/>
          <w:sz w:val="30"/>
          <w:highlight w:val="none"/>
          <w:lang w:val="en-US" w:eastAsia="zh-CN"/>
        </w:rPr>
      </w:pPr>
      <w:r>
        <w:rPr>
          <w:rFonts w:hint="eastAsia" w:ascii="宋体" w:hAnsi="宋体" w:eastAsia="宋体" w:cs="Times New Roman"/>
          <w:b/>
          <w:bCs/>
          <w:color w:val="000000"/>
          <w:sz w:val="30"/>
          <w:highlight w:val="none"/>
        </w:rPr>
        <w:t>联</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rPr>
        <w:t>系</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rPr>
        <w:t>人：</w:t>
      </w:r>
      <w:r>
        <w:rPr>
          <w:rFonts w:hint="eastAsia" w:ascii="宋体" w:hAnsi="宋体" w:eastAsia="宋体" w:cs="Times New Roman"/>
          <w:b/>
          <w:bCs/>
          <w:color w:val="000000"/>
          <w:sz w:val="30"/>
          <w:highlight w:val="none"/>
          <w:lang w:val="en-US" w:eastAsia="zh-CN"/>
        </w:rPr>
        <w:t>卡拉米丁·阿曼比克</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cs="Times New Roman"/>
          <w:b/>
          <w:bCs/>
          <w:color w:val="000000"/>
          <w:sz w:val="30"/>
          <w:highlight w:val="none"/>
          <w:lang w:eastAsia="zh-CN"/>
        </w:rPr>
      </w:pPr>
      <w:r>
        <w:rPr>
          <w:rFonts w:hint="eastAsia" w:ascii="宋体" w:hAnsi="宋体" w:eastAsia="宋体" w:cs="Times New Roman"/>
          <w:b/>
          <w:bCs/>
          <w:color w:val="000000"/>
          <w:sz w:val="30"/>
          <w:highlight w:val="none"/>
          <w:lang w:eastAsia="zh-CN"/>
        </w:rPr>
        <w:t>联</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系</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电</w:t>
      </w:r>
      <w:r>
        <w:rPr>
          <w:rFonts w:hint="eastAsia" w:ascii="宋体" w:hAnsi="宋体" w:eastAsia="宋体" w:cs="Times New Roman"/>
          <w:b/>
          <w:bCs/>
          <w:color w:val="000000"/>
          <w:sz w:val="30"/>
          <w:highlight w:val="none"/>
          <w:lang w:val="en-US" w:eastAsia="zh-CN"/>
        </w:rPr>
        <w:t xml:space="preserve"> </w:t>
      </w:r>
      <w:r>
        <w:rPr>
          <w:rFonts w:hint="eastAsia" w:ascii="宋体" w:hAnsi="宋体" w:eastAsia="宋体" w:cs="Times New Roman"/>
          <w:b/>
          <w:bCs/>
          <w:color w:val="000000"/>
          <w:sz w:val="30"/>
          <w:highlight w:val="none"/>
          <w:lang w:eastAsia="zh-CN"/>
        </w:rPr>
        <w:t>话：13999649790</w:t>
      </w:r>
    </w:p>
    <w:p>
      <w:pPr>
        <w:pStyle w:val="17"/>
        <w:rPr>
          <w:rFonts w:hint="eastAsia"/>
          <w:lang w:eastAsia="zh-CN"/>
        </w:rPr>
      </w:pP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b/>
          <w:bCs/>
          <w:color w:val="000000"/>
          <w:sz w:val="30"/>
          <w:highlight w:val="none"/>
        </w:rPr>
      </w:pPr>
      <w:r>
        <w:rPr>
          <w:rFonts w:hint="eastAsia" w:ascii="宋体" w:hAnsi="宋体"/>
          <w:b/>
          <w:bCs/>
          <w:color w:val="000000"/>
          <w:sz w:val="30"/>
          <w:highlight w:val="none"/>
        </w:rPr>
        <w:t>采购代理机构：</w:t>
      </w:r>
      <w:r>
        <w:rPr>
          <w:rFonts w:hint="eastAsia" w:ascii="宋体" w:hAnsi="宋体"/>
          <w:b/>
          <w:bCs/>
          <w:color w:val="000000"/>
          <w:sz w:val="30"/>
          <w:highlight w:val="none"/>
          <w:lang w:eastAsia="zh-CN"/>
        </w:rPr>
        <w:t>塔什库尔干县政府采购中心</w:t>
      </w:r>
      <w:r>
        <w:rPr>
          <w:rFonts w:hint="eastAsia" w:ascii="宋体" w:hAnsi="宋体"/>
          <w:b/>
          <w:bCs/>
          <w:color w:val="000000"/>
          <w:sz w:val="30"/>
          <w:highlight w:val="none"/>
        </w:rPr>
        <w:t xml:space="preserve"> </w:t>
      </w:r>
    </w:p>
    <w:p>
      <w:pPr>
        <w:keepNext w:val="0"/>
        <w:keepLines w:val="0"/>
        <w:pageBreakBefore w:val="0"/>
        <w:widowControl w:val="0"/>
        <w:kinsoku/>
        <w:wordWrap/>
        <w:overflowPunct/>
        <w:topLinePunct w:val="0"/>
        <w:autoSpaceDE/>
        <w:autoSpaceDN/>
        <w:bidi w:val="0"/>
        <w:adjustRightInd/>
        <w:spacing w:line="360" w:lineRule="auto"/>
        <w:ind w:left="0" w:hanging="2108" w:hangingChars="700"/>
        <w:jc w:val="left"/>
        <w:textAlignment w:val="auto"/>
        <w:rPr>
          <w:rFonts w:hint="eastAsia" w:ascii="宋体" w:hAnsi="宋体" w:eastAsia="宋体"/>
          <w:b/>
          <w:bCs/>
          <w:color w:val="000000"/>
          <w:sz w:val="30"/>
          <w:highlight w:val="none"/>
          <w:lang w:eastAsia="zh-CN"/>
        </w:rPr>
      </w:pPr>
      <w:r>
        <w:rPr>
          <w:rFonts w:hint="eastAsia" w:ascii="宋体" w:hAnsi="宋体"/>
          <w:b/>
          <w:bCs/>
          <w:color w:val="000000"/>
          <w:sz w:val="30"/>
          <w:highlight w:val="none"/>
        </w:rPr>
        <w:t>代理机构地址：</w:t>
      </w:r>
      <w:r>
        <w:rPr>
          <w:rFonts w:hint="eastAsia" w:ascii="宋体" w:hAnsi="宋体"/>
          <w:b/>
          <w:bCs/>
          <w:color w:val="000000"/>
          <w:sz w:val="30"/>
          <w:highlight w:val="none"/>
          <w:lang w:eastAsia="zh-CN"/>
        </w:rPr>
        <w:t>塔什库尔干县审批局</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宋体" w:hAnsi="宋体" w:eastAsia="宋体"/>
          <w:b/>
          <w:bCs/>
          <w:color w:val="000000"/>
          <w:sz w:val="30"/>
          <w:szCs w:val="30"/>
          <w:highlight w:val="none"/>
          <w:lang w:eastAsia="zh-CN"/>
        </w:rPr>
      </w:pPr>
      <w:r>
        <w:rPr>
          <w:rFonts w:hint="eastAsia" w:ascii="宋体" w:hAnsi="宋体"/>
          <w:b/>
          <w:bCs/>
          <w:color w:val="000000"/>
          <w:sz w:val="30"/>
          <w:szCs w:val="30"/>
          <w:highlight w:val="none"/>
        </w:rPr>
        <w:t>联   系   人：</w:t>
      </w:r>
      <w:r>
        <w:rPr>
          <w:rFonts w:hint="eastAsia" w:ascii="宋体" w:hAnsi="宋体"/>
          <w:b/>
          <w:bCs/>
          <w:color w:val="000000"/>
          <w:sz w:val="30"/>
          <w:szCs w:val="30"/>
          <w:highlight w:val="none"/>
          <w:lang w:eastAsia="zh-CN"/>
        </w:rPr>
        <w:t>尼加提</w:t>
      </w:r>
    </w:p>
    <w:p>
      <w:pPr>
        <w:keepNext w:val="0"/>
        <w:keepLines w:val="0"/>
        <w:pageBreakBefore w:val="0"/>
        <w:widowControl w:val="0"/>
        <w:kinsoku/>
        <w:wordWrap/>
        <w:overflowPunct/>
        <w:topLinePunct w:val="0"/>
        <w:autoSpaceDE/>
        <w:autoSpaceDN/>
        <w:bidi w:val="0"/>
        <w:adjustRightInd/>
        <w:spacing w:line="360" w:lineRule="auto"/>
        <w:ind w:left="0"/>
        <w:jc w:val="left"/>
        <w:textAlignment w:val="auto"/>
        <w:rPr>
          <w:rFonts w:hint="eastAsia" w:ascii="仿宋" w:hAnsi="仿宋" w:eastAsia="仿宋" w:cs="仿宋"/>
          <w:b/>
          <w:bCs/>
          <w:color w:val="auto"/>
          <w:sz w:val="32"/>
          <w:szCs w:val="32"/>
          <w:highlight w:val="none"/>
        </w:rPr>
      </w:pPr>
      <w:r>
        <w:rPr>
          <w:rFonts w:hint="eastAsia" w:ascii="宋体" w:hAnsi="宋体"/>
          <w:b/>
          <w:bCs/>
          <w:color w:val="000000"/>
          <w:sz w:val="30"/>
          <w:szCs w:val="30"/>
          <w:highlight w:val="none"/>
        </w:rPr>
        <w:t>联  系 电</w:t>
      </w:r>
      <w:r>
        <w:rPr>
          <w:rFonts w:hint="eastAsia" w:ascii="宋体" w:hAnsi="宋体"/>
          <w:b/>
          <w:bCs/>
          <w:color w:val="000000"/>
          <w:sz w:val="30"/>
          <w:highlight w:val="none"/>
        </w:rPr>
        <w:t xml:space="preserve"> 话：</w:t>
      </w:r>
      <w:r>
        <w:rPr>
          <w:rFonts w:hint="eastAsia" w:ascii="宋体" w:hAnsi="宋体"/>
          <w:b/>
          <w:bCs/>
          <w:color w:val="000000"/>
          <w:sz w:val="30"/>
          <w:highlight w:val="none"/>
          <w:lang w:eastAsia="zh-CN"/>
        </w:rPr>
        <w:t>13899135173</w:t>
      </w:r>
    </w:p>
    <w:p>
      <w:pPr>
        <w:keepNext w:val="0"/>
        <w:keepLines w:val="0"/>
        <w:pageBreakBefore w:val="0"/>
        <w:widowControl w:val="0"/>
        <w:kinsoku/>
        <w:wordWrap/>
        <w:overflowPunct/>
        <w:topLinePunct w:val="0"/>
        <w:autoSpaceDE/>
        <w:autoSpaceDN/>
        <w:bidi w:val="0"/>
        <w:adjustRightInd/>
        <w:snapToGrid/>
        <w:spacing w:line="10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发出日期：</w:t>
      </w:r>
      <w:r>
        <w:rPr>
          <w:rFonts w:hint="eastAsia" w:ascii="仿宋" w:hAnsi="仿宋" w:eastAsia="仿宋" w:cs="仿宋"/>
          <w:b/>
          <w:bCs/>
          <w:color w:val="auto"/>
          <w:sz w:val="32"/>
          <w:szCs w:val="32"/>
          <w:highlight w:val="none"/>
          <w:u w:val="single"/>
        </w:rPr>
        <w:t>20</w:t>
      </w:r>
      <w:r>
        <w:rPr>
          <w:rFonts w:hint="eastAsia" w:ascii="仿宋" w:hAnsi="仿宋" w:eastAsia="仿宋" w:cs="仿宋"/>
          <w:b/>
          <w:bCs/>
          <w:color w:val="auto"/>
          <w:sz w:val="32"/>
          <w:szCs w:val="32"/>
          <w:highlight w:val="none"/>
          <w:u w:val="single"/>
          <w:lang w:val="en-US" w:eastAsia="zh-CN"/>
        </w:rPr>
        <w:t>23</w:t>
      </w:r>
      <w:r>
        <w:rPr>
          <w:rFonts w:hint="eastAsia" w:ascii="仿宋" w:hAnsi="仿宋" w:eastAsia="仿宋" w:cs="仿宋"/>
          <w:b/>
          <w:bCs/>
          <w:color w:val="auto"/>
          <w:sz w:val="32"/>
          <w:szCs w:val="32"/>
          <w:highlight w:val="none"/>
          <w:u w:val="single"/>
        </w:rPr>
        <w:t>年</w:t>
      </w:r>
      <w:r>
        <w:rPr>
          <w:rFonts w:hint="eastAsia" w:ascii="仿宋" w:hAnsi="仿宋" w:eastAsia="仿宋" w:cs="仿宋"/>
          <w:b/>
          <w:bCs/>
          <w:color w:val="auto"/>
          <w:sz w:val="32"/>
          <w:szCs w:val="32"/>
          <w:highlight w:val="none"/>
          <w:u w:val="single"/>
          <w:lang w:val="en-US" w:eastAsia="zh-CN"/>
        </w:rPr>
        <w:t>5</w:t>
      </w:r>
      <w:r>
        <w:rPr>
          <w:rFonts w:hint="eastAsia" w:ascii="仿宋" w:hAnsi="仿宋" w:eastAsia="仿宋" w:cs="仿宋"/>
          <w:b/>
          <w:bCs/>
          <w:color w:val="auto"/>
          <w:sz w:val="32"/>
          <w:szCs w:val="32"/>
          <w:highlight w:val="none"/>
          <w:u w:val="single"/>
        </w:rPr>
        <w:t>月</w:t>
      </w: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br w:type="page"/>
      </w:r>
      <w:r>
        <w:rPr>
          <w:rFonts w:hint="eastAsia" w:ascii="仿宋" w:hAnsi="仿宋" w:eastAsia="仿宋" w:cs="仿宋"/>
          <w:b/>
          <w:bCs/>
          <w:color w:val="auto"/>
          <w:sz w:val="44"/>
          <w:szCs w:val="44"/>
          <w:highlight w:val="none"/>
          <w:lang w:eastAsia="zh-CN"/>
        </w:rPr>
        <w:t>塔什库尔干县教育局各乡镇小学课桌椅采购项目</w:t>
      </w:r>
    </w:p>
    <w:p>
      <w:pPr>
        <w:spacing w:line="240" w:lineRule="atLeast"/>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p>
    <w:p>
      <w:pPr>
        <w:pStyle w:val="4"/>
        <w:rPr>
          <w:rFonts w:hint="eastAsia" w:ascii="仿宋" w:hAnsi="仿宋" w:eastAsia="仿宋" w:cs="仿宋"/>
          <w:b/>
          <w:bCs/>
          <w:color w:val="auto"/>
          <w:kern w:val="2"/>
          <w:sz w:val="44"/>
          <w:szCs w:val="44"/>
          <w:highlight w:val="none"/>
          <w:lang w:val="en-US" w:eastAsia="zh-CN" w:bidi="ar-SA"/>
        </w:rPr>
      </w:pPr>
    </w:p>
    <w:p>
      <w:pPr>
        <w:rPr>
          <w:rFonts w:hint="eastAsia"/>
          <w:lang w:val="en-US" w:eastAsia="zh-CN"/>
        </w:rPr>
      </w:pPr>
    </w:p>
    <w:p>
      <w:pPr>
        <w:spacing w:line="240" w:lineRule="atLeast"/>
        <w:jc w:val="center"/>
        <w:rPr>
          <w:rFonts w:hint="eastAsia" w:ascii="仿宋" w:hAnsi="仿宋" w:eastAsia="仿宋" w:cs="仿宋"/>
          <w:b/>
          <w:bCs/>
          <w:color w:val="auto"/>
          <w:sz w:val="44"/>
          <w:szCs w:val="44"/>
          <w:highlight w:val="none"/>
          <w:lang w:eastAsia="zh-CN"/>
        </w:rPr>
      </w:pPr>
    </w:p>
    <w:p>
      <w:pPr>
        <w:pStyle w:val="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6"/>
        <w:rPr>
          <w:rFonts w:hint="eastAsia" w:ascii="仿宋" w:hAnsi="仿宋" w:eastAsia="仿宋" w:cs="仿宋"/>
          <w:color w:val="auto"/>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KSTX(CS)2023-02</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0000FF"/>
          <w:sz w:val="40"/>
          <w:szCs w:val="40"/>
          <w:highlight w:val="none"/>
        </w:rPr>
      </w:pPr>
    </w:p>
    <w:p>
      <w:pPr>
        <w:spacing w:line="240" w:lineRule="atLeast"/>
        <w:ind w:left="1080" w:leftChars="257" w:hanging="540"/>
        <w:jc w:val="both"/>
        <w:rPr>
          <w:rFonts w:hint="eastAsia" w:ascii="仿宋" w:hAnsi="仿宋" w:eastAsia="仿宋" w:cs="仿宋"/>
          <w:b/>
          <w:bCs/>
          <w:color w:val="auto"/>
          <w:sz w:val="40"/>
          <w:szCs w:val="40"/>
          <w:highlight w:val="none"/>
        </w:rPr>
      </w:pPr>
    </w:p>
    <w:p>
      <w:pPr>
        <w:spacing w:line="240" w:lineRule="atLeast"/>
        <w:ind w:left="1080" w:leftChars="257" w:hanging="540"/>
        <w:jc w:val="center"/>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 xml:space="preserve"> </w:t>
      </w: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第一册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rPr>
          <w:rFonts w:hint="eastAsia" w:ascii="仿宋" w:hAnsi="仿宋" w:eastAsia="仿宋" w:cs="仿宋"/>
          <w:b/>
          <w:color w:val="auto"/>
          <w:szCs w:val="21"/>
          <w:highlight w:val="none"/>
        </w:rPr>
      </w:pPr>
    </w:p>
    <w:p>
      <w:pPr>
        <w:spacing w:line="240" w:lineRule="atLeast"/>
        <w:ind w:left="1080" w:leftChars="257" w:hanging="540"/>
        <w:jc w:val="center"/>
        <w:rPr>
          <w:rFonts w:hint="eastAsia" w:ascii="仿宋" w:hAnsi="仿宋" w:eastAsia="仿宋" w:cs="仿宋"/>
          <w:b/>
          <w:color w:val="auto"/>
          <w:sz w:val="32"/>
          <w:highlight w:val="none"/>
        </w:rPr>
        <w:sectPr>
          <w:headerReference r:id="rId3" w:type="default"/>
          <w:footerReference r:id="rId4" w:type="default"/>
          <w:pgSz w:w="11906" w:h="16838"/>
          <w:pgMar w:top="1440" w:right="1797" w:bottom="1440" w:left="1797" w:header="283" w:footer="992" w:gutter="0"/>
          <w:pgNumType w:fmt="decimal"/>
          <w:cols w:space="720" w:num="1"/>
          <w:docGrid w:linePitch="312" w:charSpace="0"/>
        </w:sectPr>
      </w:pPr>
    </w:p>
    <w:p>
      <w:pPr>
        <w:spacing w:line="240" w:lineRule="atLeast"/>
        <w:ind w:left="1080" w:leftChars="257" w:hanging="54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目  录</w:t>
      </w:r>
    </w:p>
    <w:p>
      <w:pPr>
        <w:spacing w:line="240" w:lineRule="atLeast"/>
        <w:ind w:left="1080" w:leftChars="257" w:hanging="540"/>
        <w:jc w:val="center"/>
        <w:rPr>
          <w:rFonts w:hint="eastAsia" w:ascii="仿宋" w:hAnsi="仿宋" w:eastAsia="仿宋" w:cs="仿宋"/>
          <w:b/>
          <w:color w:val="auto"/>
          <w:sz w:val="32"/>
          <w:highlight w:val="none"/>
        </w:rPr>
      </w:pP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TOC \o "1-3" \h \z \u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第1章</w:t>
      </w:r>
      <w:r>
        <w:rPr>
          <w:rFonts w:hint="eastAsia" w:ascii="仿宋" w:hAnsi="仿宋" w:eastAsia="仿宋" w:cs="仿宋"/>
          <w:color w:val="auto"/>
          <w:sz w:val="24"/>
          <w:szCs w:val="24"/>
          <w:highlight w:val="none"/>
          <w:lang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_Toc17722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_Toc10803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一   总  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_Toc10803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_Toc13595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1.采购人、采购代理机构及</w:t>
      </w:r>
      <w:r>
        <w:rPr>
          <w:rFonts w:hint="eastAsia" w:ascii="仿宋" w:hAnsi="仿宋" w:eastAsia="仿宋" w:cs="仿宋"/>
          <w:color w:val="auto"/>
          <w:sz w:val="24"/>
          <w:szCs w:val="24"/>
          <w:highlight w:val="none"/>
          <w:lang w:eastAsia="zh-CN"/>
        </w:rPr>
        <w:t>投标人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_Toc13595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_Toc2008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2.资金来源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_Toc2008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keepNext w:val="0"/>
        <w:keepLines w:val="0"/>
        <w:pageBreakBefore w:val="0"/>
        <w:widowControl w:val="0"/>
        <w:tabs>
          <w:tab w:val="right" w:leader="dot" w:pos="8312"/>
          <w:tab w:val="clear" w:pos="1260"/>
          <w:tab w:val="clear" w:pos="8630"/>
        </w:tabs>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3.投标费用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_Toc4722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_Toc4773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4.适用法律</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_Toc4773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_Toc30903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二   </w:t>
      </w:r>
      <w:r>
        <w:rPr>
          <w:rFonts w:hint="eastAsia" w:ascii="仿宋" w:hAnsi="仿宋" w:eastAsia="仿宋" w:cs="仿宋"/>
          <w:color w:val="auto"/>
          <w:sz w:val="24"/>
          <w:szCs w:val="24"/>
          <w:highlight w:val="none"/>
          <w:lang w:eastAsia="zh-CN"/>
        </w:rPr>
        <w:t>磋商文件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_Toc30903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_Toc32371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构成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_Toc32371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_Toc16795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的澄清与修改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_Toc16795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_Toc18045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7.投标截止时间的顺延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_Toc18045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_Toc10869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三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的编制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_Toc10869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pos="3600"/>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_Toc19878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投标范围及</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中标准和计量单位的使用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_Toc19878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_Toc16888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构成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_Toc16888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pos="3600"/>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_Toc10692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证明投标标的的合格性和符合</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规定的响应文件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_Toc10692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_Toc18634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11.投标报价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_Toc18634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_Toc14951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12.</w:t>
      </w:r>
      <w:r>
        <w:rPr>
          <w:rFonts w:hint="eastAsia" w:ascii="仿宋" w:hAnsi="仿宋" w:eastAsia="仿宋" w:cs="仿宋"/>
          <w:color w:val="auto"/>
          <w:sz w:val="24"/>
          <w:szCs w:val="24"/>
          <w:highlight w:val="none"/>
          <w:lang w:eastAsia="zh-CN"/>
        </w:rPr>
        <w:t>磋商保证金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_Toc14951 \h </w:instrText>
      </w:r>
      <w:r>
        <w:rPr>
          <w:color w:val="auto"/>
          <w:sz w:val="24"/>
          <w:szCs w:val="24"/>
          <w:highlight w:val="none"/>
        </w:rPr>
        <w:fldChar w:fldCharType="separate"/>
      </w:r>
      <w:r>
        <w:rPr>
          <w:color w:val="auto"/>
          <w:sz w:val="24"/>
          <w:szCs w:val="24"/>
          <w:highlight w:val="none"/>
        </w:rPr>
        <w:t>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_Toc17337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13.投标有效期</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_Toc17337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_Toc28340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14.</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的签署及规定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_Toc28340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_Toc31570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 xml:space="preserve">四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的递交</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_Toc31570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_Toc22296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15.</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的密封和标记</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_Toc22296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_Toc2167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16.投标截止</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_Toc2167 \h </w:instrText>
      </w:r>
      <w:r>
        <w:rPr>
          <w:color w:val="auto"/>
          <w:sz w:val="24"/>
          <w:szCs w:val="24"/>
          <w:highlight w:val="none"/>
        </w:rPr>
        <w:fldChar w:fldCharType="separate"/>
      </w:r>
      <w:r>
        <w:rPr>
          <w:color w:val="auto"/>
          <w:sz w:val="24"/>
          <w:szCs w:val="24"/>
          <w:highlight w:val="none"/>
        </w:rPr>
        <w:t>8</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_Toc26870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17.</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的接收、修改与撤回</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_Toc26870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_Toc24979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五   开标及评标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_Toc24979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_Toc417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18.开标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_Toc417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_Toc15154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19.资格审查及组建</w:t>
      </w:r>
      <w:r>
        <w:rPr>
          <w:rFonts w:hint="eastAsia" w:ascii="仿宋" w:hAnsi="仿宋" w:eastAsia="仿宋" w:cs="仿宋"/>
          <w:color w:val="auto"/>
          <w:sz w:val="24"/>
          <w:szCs w:val="24"/>
          <w:highlight w:val="none"/>
          <w:lang w:eastAsia="zh-CN"/>
        </w:rPr>
        <w:t>磋商小组</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_Toc15154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_Toc2311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20.</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的符合性审查与澄清</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_Toc2311 \h </w:instrText>
      </w:r>
      <w:r>
        <w:rPr>
          <w:color w:val="auto"/>
          <w:sz w:val="24"/>
          <w:szCs w:val="24"/>
          <w:highlight w:val="none"/>
        </w:rPr>
        <w:fldChar w:fldCharType="separate"/>
      </w:r>
      <w:r>
        <w:rPr>
          <w:color w:val="auto"/>
          <w:sz w:val="24"/>
          <w:szCs w:val="24"/>
          <w:highlight w:val="none"/>
        </w:rPr>
        <w:t>10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_Toc15825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21.投标偏离</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_Toc15825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_Toc27970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22.投标无效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_Toc27970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_Toc5678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23.比较与评价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_Toc5678 \h </w:instrText>
      </w:r>
      <w:r>
        <w:rPr>
          <w:color w:val="auto"/>
          <w:sz w:val="24"/>
          <w:szCs w:val="24"/>
          <w:highlight w:val="none"/>
        </w:rPr>
        <w:fldChar w:fldCharType="separate"/>
      </w:r>
      <w:r>
        <w:rPr>
          <w:color w:val="auto"/>
          <w:sz w:val="24"/>
          <w:szCs w:val="24"/>
          <w:highlight w:val="none"/>
        </w:rPr>
        <w:t>12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_Toc21406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24.废标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_Toc21406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_Toc6371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25.保密原则</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_Toc6371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_Toc7622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六   确定中标</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_Toc7622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_Toc26808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26.中标候选人的确定原则及标准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_Toc26808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_Toc13316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27.确定中标候选人和中标人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_Toc13316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_Toc25319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28.采购任务取消</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_Toc25319 \h </w:instrText>
      </w:r>
      <w:r>
        <w:rPr>
          <w:color w:val="auto"/>
          <w:sz w:val="24"/>
          <w:szCs w:val="24"/>
          <w:highlight w:val="none"/>
        </w:rPr>
        <w:fldChar w:fldCharType="separate"/>
      </w:r>
      <w:r>
        <w:rPr>
          <w:color w:val="auto"/>
          <w:sz w:val="24"/>
          <w:szCs w:val="24"/>
          <w:highlight w:val="none"/>
        </w:rPr>
        <w:t>13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_Toc9309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29.中标通知书和</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rPr>
        <w:t>标结果通知书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_Toc9309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_Toc13387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30.签订合同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_Toc13387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_Toc2944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31.履约保证金</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_Toc2944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_Toc9492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32.中标服务费</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_Toc9492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_Toc7729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33.政府采购信用担保</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_Toc7729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_Toc14079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34.廉洁自律规定</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_Toc14079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_Toc7964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35.人员回避</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_Toc7964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0"/>
        <w:pageBreakBefore w:val="0"/>
        <w:widowControl w:val="0"/>
        <w:tabs>
          <w:tab w:val="right" w:leader="dot" w:pos="8312"/>
          <w:tab w:val="clear" w:pos="1260"/>
          <w:tab w:val="clear" w:pos="8630"/>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_Toc21087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36.质疑与接收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_Toc21087 \h </w:instrText>
      </w:r>
      <w:r>
        <w:rPr>
          <w:color w:val="auto"/>
          <w:sz w:val="24"/>
          <w:szCs w:val="24"/>
          <w:highlight w:val="none"/>
        </w:rPr>
        <w:fldChar w:fldCharType="separate"/>
      </w:r>
      <w:r>
        <w:rPr>
          <w:color w:val="auto"/>
          <w:sz w:val="24"/>
          <w:szCs w:val="24"/>
          <w:highlight w:val="none"/>
        </w:rPr>
        <w:t>15</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_Toc11316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附件1：履约保证金保函（格式）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_Toc11316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_Toc24712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附件2：履约担保函格式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_Toc24712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_Toc26630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（采用政府采购信用担保形式时使用）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_Toc26630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_Toc26189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 xml:space="preserve">第2章 </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_Toc26189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_Toc26281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第一部分 开标一览表及资格证明文件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_Toc26281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8"/>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_Toc10727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rPr>
        <w:t>第二部分  商务及技术文件</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_Toc10727 \h </w:instrText>
      </w:r>
      <w:r>
        <w:rPr>
          <w:color w:val="auto"/>
          <w:sz w:val="24"/>
          <w:szCs w:val="24"/>
          <w:highlight w:val="none"/>
        </w:rPr>
        <w:fldChar w:fldCharType="separate"/>
      </w:r>
      <w:r>
        <w:rPr>
          <w:color w:val="auto"/>
          <w:sz w:val="24"/>
          <w:szCs w:val="24"/>
          <w:highlight w:val="none"/>
        </w:rPr>
        <w:t>31</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_Toc5125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第3章 竞争性磋商公告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_Toc5125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_Toc17489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第4章</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须知资料表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_Toc17489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_Toc12237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第5章</w:t>
      </w:r>
      <w:r>
        <w:rPr>
          <w:rFonts w:hint="eastAsia" w:ascii="仿宋" w:hAnsi="仿宋" w:eastAsia="仿宋" w:cs="仿宋"/>
          <w:color w:val="auto"/>
          <w:sz w:val="24"/>
          <w:szCs w:val="24"/>
          <w:highlight w:val="none"/>
        </w:rPr>
        <w:t>服务需求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_Toc12237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_Toc998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第6章</w:t>
      </w:r>
      <w:r>
        <w:rPr>
          <w:rFonts w:hint="eastAsia" w:ascii="仿宋" w:hAnsi="仿宋" w:eastAsia="仿宋" w:cs="仿宋"/>
          <w:color w:val="auto"/>
          <w:sz w:val="24"/>
          <w:szCs w:val="24"/>
          <w:highlight w:val="none"/>
        </w:rPr>
        <w:t>评标方法和标准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_Toc998 \h </w:instrText>
      </w:r>
      <w:r>
        <w:rPr>
          <w:color w:val="auto"/>
          <w:sz w:val="24"/>
          <w:szCs w:val="24"/>
          <w:highlight w:val="none"/>
        </w:rPr>
        <w:fldChar w:fldCharType="separate"/>
      </w:r>
      <w:r>
        <w:rPr>
          <w:color w:val="auto"/>
          <w:sz w:val="24"/>
          <w:szCs w:val="24"/>
          <w:highlight w:val="none"/>
        </w:rPr>
        <w:t>67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16"/>
        <w:pageBreakBefore w:val="0"/>
        <w:widowControl w:val="0"/>
        <w:tabs>
          <w:tab w:val="right" w:leader="dot" w:pos="8312"/>
        </w:tabs>
        <w:kinsoku/>
        <w:wordWrap/>
        <w:overflowPunct/>
        <w:topLinePunct w:val="0"/>
        <w:bidi w:val="0"/>
        <w:snapToGrid/>
        <w:spacing w:line="360" w:lineRule="exact"/>
        <w:textAlignment w:val="auto"/>
        <w:rPr>
          <w:color w:val="auto"/>
          <w:sz w:val="24"/>
          <w:szCs w:val="24"/>
          <w:highlight w:val="none"/>
        </w:rPr>
      </w:pPr>
      <w:r>
        <w:rPr>
          <w:rFonts w:hint="eastAsia" w:ascii="仿宋" w:hAnsi="仿宋" w:eastAsia="仿宋" w:cs="仿宋"/>
          <w:color w:val="auto"/>
          <w:kern w:val="0"/>
          <w:sz w:val="24"/>
          <w:szCs w:val="24"/>
          <w:highlight w:val="none"/>
        </w:rPr>
        <w:fldChar w:fldCharType="begin"/>
      </w:r>
      <w:r>
        <w:rPr>
          <w:rFonts w:hint="eastAsia" w:ascii="仿宋" w:hAnsi="仿宋" w:eastAsia="仿宋" w:cs="仿宋"/>
          <w:color w:val="auto"/>
          <w:kern w:val="0"/>
          <w:sz w:val="24"/>
          <w:szCs w:val="24"/>
          <w:highlight w:val="none"/>
        </w:rPr>
        <w:instrText xml:space="preserve"> HYPERLINK \l _Toc11722 </w:instrText>
      </w:r>
      <w:r>
        <w:rPr>
          <w:rFonts w:hint="eastAsia" w:ascii="仿宋" w:hAnsi="仿宋" w:eastAsia="仿宋" w:cs="仿宋"/>
          <w:color w:val="auto"/>
          <w:kern w:val="0"/>
          <w:sz w:val="24"/>
          <w:szCs w:val="24"/>
          <w:highlight w:val="none"/>
        </w:rPr>
        <w:fldChar w:fldCharType="separate"/>
      </w:r>
      <w:r>
        <w:rPr>
          <w:rFonts w:hint="eastAsia" w:ascii="仿宋" w:hAnsi="仿宋" w:eastAsia="仿宋" w:cs="仿宋"/>
          <w:color w:val="auto"/>
          <w:sz w:val="24"/>
          <w:szCs w:val="24"/>
          <w:highlight w:val="none"/>
          <w:lang w:val="en-US" w:eastAsia="zh-CN"/>
        </w:rPr>
        <w:t>第7章</w:t>
      </w:r>
      <w:r>
        <w:rPr>
          <w:rFonts w:hint="eastAsia" w:ascii="仿宋" w:hAnsi="仿宋" w:eastAsia="仿宋" w:cs="仿宋"/>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_Toc11722 \h </w:instrText>
      </w:r>
      <w:r>
        <w:rPr>
          <w:color w:val="auto"/>
          <w:sz w:val="24"/>
          <w:szCs w:val="24"/>
          <w:highlight w:val="none"/>
        </w:rPr>
        <w:fldChar w:fldCharType="separate"/>
      </w:r>
      <w:r>
        <w:rPr>
          <w:color w:val="auto"/>
          <w:sz w:val="24"/>
          <w:szCs w:val="24"/>
          <w:highlight w:val="none"/>
        </w:rPr>
        <w:t>77</w:t>
      </w:r>
      <w:r>
        <w:rPr>
          <w:color w:val="auto"/>
          <w:sz w:val="24"/>
          <w:szCs w:val="24"/>
          <w:highlight w:val="none"/>
        </w:rPr>
        <w:fldChar w:fldCharType="end"/>
      </w:r>
      <w:r>
        <w:rPr>
          <w:rFonts w:hint="eastAsia" w:ascii="仿宋" w:hAnsi="仿宋" w:eastAsia="仿宋" w:cs="仿宋"/>
          <w:color w:val="auto"/>
          <w:kern w:val="0"/>
          <w:sz w:val="24"/>
          <w:szCs w:val="24"/>
          <w:highlight w:val="none"/>
        </w:rPr>
        <w:fldChar w:fldCharType="end"/>
      </w:r>
    </w:p>
    <w:p>
      <w:pPr>
        <w:pStyle w:val="3"/>
        <w:pageBreakBefore w:val="0"/>
        <w:widowControl w:val="0"/>
        <w:numPr>
          <w:ilvl w:val="0"/>
          <w:numId w:val="0"/>
        </w:numPr>
        <w:tabs>
          <w:tab w:val="left" w:pos="0"/>
        </w:tabs>
        <w:kinsoku/>
        <w:wordWrap/>
        <w:overflowPunct/>
        <w:topLinePunct w:val="0"/>
        <w:bidi w:val="0"/>
        <w:snapToGrid/>
        <w:spacing w:before="0" w:after="0" w:line="360" w:lineRule="exact"/>
        <w:ind w:leftChars="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fldChar w:fldCharType="end"/>
      </w:r>
      <w:bookmarkStart w:id="0" w:name="_Toc216582804"/>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kern w:val="0"/>
          <w:szCs w:val="21"/>
          <w:highlight w:val="none"/>
        </w:rPr>
      </w:pPr>
    </w:p>
    <w:p>
      <w:pPr>
        <w:rPr>
          <w:rFonts w:hint="eastAsia" w:ascii="仿宋" w:hAnsi="仿宋" w:eastAsia="仿宋" w:cs="仿宋"/>
          <w:color w:val="auto"/>
          <w:kern w:val="0"/>
          <w:szCs w:val="21"/>
          <w:highlight w:val="none"/>
        </w:rPr>
      </w:pPr>
    </w:p>
    <w:p>
      <w:pPr>
        <w:pStyle w:val="4"/>
        <w:rPr>
          <w:rFonts w:hint="eastAsia" w:ascii="仿宋" w:hAnsi="仿宋" w:eastAsia="仿宋" w:cs="仿宋"/>
          <w:color w:val="auto"/>
          <w:kern w:val="0"/>
          <w:szCs w:val="21"/>
          <w:highlight w:val="none"/>
        </w:rPr>
      </w:pPr>
    </w:p>
    <w:p>
      <w:pPr>
        <w:rPr>
          <w:rFonts w:hint="eastAsia" w:ascii="仿宋" w:hAnsi="仿宋" w:eastAsia="仿宋" w:cs="仿宋"/>
          <w:color w:val="auto"/>
          <w:kern w:val="0"/>
          <w:szCs w:val="21"/>
          <w:highlight w:val="none"/>
        </w:rPr>
      </w:pPr>
    </w:p>
    <w:p>
      <w:pPr>
        <w:pStyle w:val="3"/>
        <w:pageBreakBefore w:val="0"/>
        <w:widowControl w:val="0"/>
        <w:numPr>
          <w:ilvl w:val="0"/>
          <w:numId w:val="0"/>
        </w:numPr>
        <w:tabs>
          <w:tab w:val="left" w:pos="0"/>
        </w:tabs>
        <w:kinsoku/>
        <w:wordWrap/>
        <w:overflowPunct/>
        <w:topLinePunct w:val="0"/>
        <w:bidi w:val="0"/>
        <w:snapToGrid/>
        <w:spacing w:before="0" w:after="0" w:line="360" w:lineRule="auto"/>
        <w:ind w:leftChars="0"/>
        <w:jc w:val="center"/>
        <w:textAlignment w:val="auto"/>
        <w:rPr>
          <w:rFonts w:hint="eastAsia" w:ascii="仿宋" w:hAnsi="仿宋" w:eastAsia="仿宋" w:cs="仿宋"/>
          <w:color w:val="auto"/>
          <w:highlight w:val="none"/>
        </w:rPr>
      </w:pPr>
      <w:bookmarkStart w:id="1" w:name="_Toc17722"/>
      <w:r>
        <w:rPr>
          <w:rFonts w:hint="eastAsia" w:ascii="仿宋" w:hAnsi="仿宋" w:eastAsia="仿宋" w:cs="仿宋"/>
          <w:b/>
          <w:color w:val="auto"/>
          <w:highlight w:val="none"/>
          <w:lang w:val="en-US" w:eastAsia="zh-CN"/>
        </w:rPr>
        <w:br w:type="page"/>
      </w:r>
      <w:r>
        <w:rPr>
          <w:rFonts w:hint="eastAsia" w:ascii="仿宋" w:hAnsi="仿宋" w:eastAsia="仿宋" w:cs="仿宋"/>
          <w:b/>
          <w:color w:val="auto"/>
          <w:highlight w:val="none"/>
          <w:lang w:val="en-US" w:eastAsia="zh-CN"/>
        </w:rPr>
        <w:t>第1章</w:t>
      </w:r>
      <w:r>
        <w:rPr>
          <w:rFonts w:hint="eastAsia" w:ascii="仿宋" w:hAnsi="仿宋" w:eastAsia="仿宋" w:cs="仿宋"/>
          <w:b/>
          <w:color w:val="auto"/>
          <w:highlight w:val="none"/>
          <w:lang w:eastAsia="zh-CN"/>
        </w:rPr>
        <w:t xml:space="preserve"> </w:t>
      </w:r>
      <w:r>
        <w:rPr>
          <w:rFonts w:hint="eastAsia" w:ascii="仿宋" w:hAnsi="仿宋" w:eastAsia="仿宋" w:cs="仿宋"/>
          <w:color w:val="auto"/>
          <w:highlight w:val="none"/>
        </w:rPr>
        <w:t xml:space="preserve"> </w:t>
      </w:r>
      <w:bookmarkStart w:id="2" w:name="_Toc518923059"/>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须知</w:t>
      </w:r>
      <w:bookmarkEnd w:id="0"/>
      <w:bookmarkEnd w:id="1"/>
      <w:bookmarkEnd w:id="2"/>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highlight w:val="none"/>
        </w:rPr>
      </w:pPr>
      <w:bookmarkStart w:id="3" w:name="_Toc520356143"/>
      <w:bookmarkStart w:id="4" w:name="_Toc216582805"/>
      <w:bookmarkStart w:id="5" w:name="_Toc10803"/>
      <w:bookmarkStart w:id="6" w:name="_Toc518923060"/>
      <w:r>
        <w:rPr>
          <w:rFonts w:hint="eastAsia" w:ascii="仿宋" w:hAnsi="仿宋" w:eastAsia="仿宋" w:cs="仿宋"/>
          <w:color w:val="auto"/>
          <w:sz w:val="28"/>
          <w:highlight w:val="none"/>
        </w:rPr>
        <w:t xml:space="preserve">一   </w:t>
      </w:r>
      <w:bookmarkEnd w:id="3"/>
      <w:bookmarkEnd w:id="4"/>
      <w:r>
        <w:rPr>
          <w:rFonts w:hint="eastAsia" w:ascii="仿宋" w:hAnsi="仿宋" w:eastAsia="仿宋" w:cs="仿宋"/>
          <w:color w:val="auto"/>
          <w:sz w:val="28"/>
          <w:highlight w:val="none"/>
        </w:rPr>
        <w:t>总  则</w:t>
      </w:r>
      <w:bookmarkEnd w:id="5"/>
      <w:bookmarkEnd w:id="6"/>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lang w:eastAsia="zh-CN"/>
        </w:rPr>
      </w:pPr>
      <w:bookmarkStart w:id="7" w:name="_Toc13595"/>
      <w:bookmarkStart w:id="8" w:name="_Toc520356144"/>
      <w:bookmarkStart w:id="9" w:name="_Toc518923061"/>
      <w:r>
        <w:rPr>
          <w:rFonts w:hint="eastAsia" w:ascii="仿宋" w:hAnsi="仿宋" w:eastAsia="仿宋" w:cs="仿宋"/>
          <w:color w:val="auto"/>
          <w:highlight w:val="none"/>
          <w:u w:val="none"/>
        </w:rPr>
        <w:t>1.采购人、采购代理机构及</w:t>
      </w:r>
      <w:bookmarkEnd w:id="7"/>
      <w:bookmarkEnd w:id="8"/>
      <w:bookmarkEnd w:id="9"/>
      <w:r>
        <w:rPr>
          <w:rFonts w:hint="eastAsia" w:ascii="仿宋" w:hAnsi="仿宋" w:eastAsia="仿宋" w:cs="仿宋"/>
          <w:color w:val="auto"/>
          <w:highlight w:val="none"/>
          <w:u w:val="none"/>
          <w:lang w:eastAsia="zh-CN"/>
        </w:rPr>
        <w:t>投标人</w:t>
      </w:r>
    </w:p>
    <w:p>
      <w:pPr>
        <w:pageBreakBefore w:val="0"/>
        <w:widowControl w:val="0"/>
        <w:numPr>
          <w:ilvl w:val="1"/>
          <w:numId w:val="1"/>
        </w:numPr>
        <w:tabs>
          <w:tab w:val="left" w:pos="0"/>
          <w:tab w:val="clear" w:pos="900"/>
        </w:tabs>
        <w:kinsoku/>
        <w:wordWrap/>
        <w:overflowPunct/>
        <w:topLinePunct w:val="0"/>
        <w:bidi w:val="0"/>
        <w:snapToGrid/>
        <w:spacing w:line="360" w:lineRule="auto"/>
        <w:ind w:hanging="89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采购人：是指依法开展政府采购活动的国家机关、事业单位、团体组织。</w:t>
      </w:r>
    </w:p>
    <w:p>
      <w:pPr>
        <w:pageBreakBefore w:val="0"/>
        <w:widowControl w:val="0"/>
        <w:tabs>
          <w:tab w:val="left" w:pos="0"/>
        </w:tabs>
        <w:kinsoku/>
        <w:wordWrap/>
        <w:overflowPunct/>
        <w:topLinePunct w:val="0"/>
        <w:bidi w:val="0"/>
        <w:snapToGrid/>
        <w:spacing w:line="360" w:lineRule="auto"/>
        <w:ind w:left="9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本项目的采购人见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numPr>
          <w:ilvl w:val="1"/>
          <w:numId w:val="1"/>
        </w:numPr>
        <w:tabs>
          <w:tab w:val="left" w:pos="0"/>
          <w:tab w:val="clear" w:pos="900"/>
        </w:tabs>
        <w:kinsoku/>
        <w:wordWrap/>
        <w:overflowPunct/>
        <w:topLinePunct w:val="0"/>
        <w:bidi w:val="0"/>
        <w:snapToGrid/>
        <w:spacing w:line="360" w:lineRule="auto"/>
        <w:ind w:hanging="89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采购代理机构：是指集中采购机构或从事采购代理业务的社会中介机构。本项目的采购代理机构见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numPr>
          <w:ilvl w:val="1"/>
          <w:numId w:val="1"/>
        </w:numPr>
        <w:kinsoku/>
        <w:wordWrap/>
        <w:overflowPunct/>
        <w:topLinePunct w:val="0"/>
        <w:bidi w:val="0"/>
        <w:snapToGrid/>
        <w:spacing w:line="360" w:lineRule="auto"/>
        <w:ind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：是指向采购人提供货物、工程或者服务的法人、非法人组织或者自然人。本项目的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须满足以下条件：</w:t>
      </w:r>
    </w:p>
    <w:p>
      <w:pPr>
        <w:pageBreakBefore w:val="0"/>
        <w:widowControl w:val="0"/>
        <w:kinsoku/>
        <w:wordWrap/>
        <w:overflowPunct/>
        <w:topLinePunct w:val="0"/>
        <w:bidi w:val="0"/>
        <w:snapToGrid/>
        <w:spacing w:line="360" w:lineRule="auto"/>
        <w:ind w:left="850" w:hanging="849" w:hangingChars="35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在中华人民共和国境内注册，能够独立承担民事责任，有生产或供应能力的本国</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  具备《中华人民共和国政府采购法》第二十二条关于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条件的规定，遵守本项目采购人本级和上级财政部门政府采购的有关规定。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1.3.3   以采购代理机构认可的方式获得了本项目的</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1.3.4   符合</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中规定的其他要求。</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1.3.5   若</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中写明专门面向中小企业采购的，如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为非中小企业，其投标将被认定为投标无效。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     如</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中允许联合体投标，对联合体规定如下：</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   两个以上</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可以组成一个投标联合体，以一个</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的身份投标。</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   联合体各方均应符合《中华人民共和国政府采购法》第二十二条规定的条件。</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1.4.3   采购人根据采购项目对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的特殊要求，联合体中至少应当有一方符合相关规定。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1.4.4   联合体各方应签订共同投标协议，明确约定联合体各方承担的工作和相应的责任，并将共同投标协议连同</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一并提交招标采购单位。</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1.4.5   大中型企业、其他自然人、法人或者非法人组织与小型、微型企业组成联合体共同参加投标，共同投标协议中应写明小型、微型企业的协议合同金额占到共同投标协议投标总金额的比例。</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1.4.6  联合体中有同类资质的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按照联合体分工承担相同工作的，按照资质等级较低的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确定资质等级。</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1.4.7  以联合体形式参加政府采购活动的，联合体各方不得再单独参加或者与其他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另外组成联合体参加本项目投标，否则相关投标将被认定为投标无效。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1.4.8   对联合体投标的其他资格要求见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1.5    单位负责人为同一人或者存在直接控股、管理关系的不同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，其相关投标将被认定为投标无效。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    为本项目提供过整体设计、规范编制或者项目管理、监理、检测等服务的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，不得再参加本项目上述服务以外的其他采购活动。否则其投标将被认定为投标无效。</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1.7</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在投标过程中不得向采购人提供或给予影响其正常决策行为的任何有价值物品或服务。一经发现，其投标将被认定为投标无效。</w:t>
      </w:r>
    </w:p>
    <w:p>
      <w:pPr>
        <w:pStyle w:val="5"/>
        <w:spacing w:before="0" w:after="0" w:line="240" w:lineRule="atLeast"/>
        <w:rPr>
          <w:rFonts w:hint="eastAsia" w:ascii="仿宋" w:hAnsi="仿宋" w:eastAsia="仿宋" w:cs="仿宋"/>
          <w:color w:val="auto"/>
          <w:highlight w:val="none"/>
          <w:u w:val="none"/>
        </w:rPr>
      </w:pPr>
      <w:bookmarkStart w:id="10" w:name="_Toc2008"/>
      <w:bookmarkStart w:id="11" w:name="_Toc518923062"/>
      <w:r>
        <w:rPr>
          <w:rFonts w:hint="eastAsia" w:ascii="仿宋" w:hAnsi="仿宋" w:eastAsia="仿宋" w:cs="仿宋"/>
          <w:color w:val="auto"/>
          <w:highlight w:val="none"/>
          <w:u w:val="none"/>
        </w:rPr>
        <w:t>2.资金来源</w:t>
      </w:r>
      <w:bookmarkEnd w:id="10"/>
      <w:bookmarkEnd w:id="11"/>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2.2    项目预算金额和分项或分包最高限价</w:t>
      </w:r>
      <w:r>
        <w:rPr>
          <w:rFonts w:hint="eastAsia" w:ascii="仿宋" w:hAnsi="仿宋" w:eastAsia="仿宋" w:cs="仿宋"/>
          <w:color w:val="auto"/>
          <w:sz w:val="24"/>
          <w:highlight w:val="none"/>
          <w:u w:val="single"/>
        </w:rPr>
        <w:t>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报价超过</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规定的预算金额或者分项、分包最高限价的，其投标将被认定为投标无效。</w:t>
      </w:r>
    </w:p>
    <w:p>
      <w:pPr>
        <w:pStyle w:val="5"/>
        <w:spacing w:before="0" w:after="0" w:line="240" w:lineRule="atLeast"/>
        <w:rPr>
          <w:rFonts w:hint="eastAsia" w:ascii="仿宋" w:hAnsi="仿宋" w:eastAsia="仿宋" w:cs="仿宋"/>
          <w:color w:val="auto"/>
          <w:highlight w:val="none"/>
          <w:u w:val="none"/>
        </w:rPr>
      </w:pPr>
      <w:bookmarkStart w:id="12" w:name="_Toc518923063"/>
      <w:bookmarkStart w:id="13" w:name="_Toc4722"/>
      <w:bookmarkStart w:id="14" w:name="_Toc520356145"/>
      <w:r>
        <w:rPr>
          <w:rFonts w:hint="eastAsia" w:ascii="仿宋" w:hAnsi="仿宋" w:eastAsia="仿宋" w:cs="仿宋"/>
          <w:color w:val="auto"/>
          <w:highlight w:val="none"/>
          <w:u w:val="none"/>
        </w:rPr>
        <w:t>3.投标费用</w:t>
      </w:r>
      <w:bookmarkEnd w:id="12"/>
      <w:bookmarkEnd w:id="13"/>
      <w:bookmarkEnd w:id="14"/>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不论投标的结果如何，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应承担所有与准备和参加投标有关的费用。</w:t>
      </w:r>
    </w:p>
    <w:p>
      <w:pPr>
        <w:pStyle w:val="5"/>
        <w:spacing w:before="0" w:after="0" w:line="240" w:lineRule="atLeast"/>
        <w:rPr>
          <w:rFonts w:hint="eastAsia" w:ascii="仿宋" w:hAnsi="仿宋" w:eastAsia="仿宋" w:cs="仿宋"/>
          <w:color w:val="auto"/>
          <w:highlight w:val="none"/>
          <w:u w:val="none"/>
        </w:rPr>
      </w:pPr>
      <w:bookmarkStart w:id="15" w:name="_Toc4773"/>
      <w:bookmarkStart w:id="16" w:name="_Toc518923064"/>
      <w:r>
        <w:rPr>
          <w:rFonts w:hint="eastAsia" w:ascii="仿宋" w:hAnsi="仿宋" w:eastAsia="仿宋" w:cs="仿宋"/>
          <w:color w:val="auto"/>
          <w:highlight w:val="none"/>
          <w:u w:val="none"/>
        </w:rPr>
        <w:t>4.适用法律</w:t>
      </w:r>
      <w:bookmarkEnd w:id="15"/>
      <w:bookmarkEnd w:id="16"/>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本项目采购人、采购代理机构、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的相关行为均受《中华人民共和国政府采购法》、《中华人民共和国政府采购法实施条例》及本项目本级和上级财政部门政府采购有关规定的约束，其权利受到上述法律法规的保护。</w:t>
      </w:r>
    </w:p>
    <w:p>
      <w:pPr>
        <w:pStyle w:val="4"/>
        <w:spacing w:before="0" w:line="240" w:lineRule="atLeast"/>
        <w:ind w:left="1080" w:leftChars="257" w:hanging="540"/>
        <w:rPr>
          <w:rFonts w:hint="eastAsia" w:ascii="仿宋" w:hAnsi="仿宋" w:eastAsia="仿宋" w:cs="仿宋"/>
          <w:color w:val="auto"/>
          <w:sz w:val="28"/>
          <w:highlight w:val="none"/>
          <w:lang w:eastAsia="zh-CN"/>
        </w:rPr>
      </w:pPr>
      <w:bookmarkStart w:id="17" w:name="_Toc518923065"/>
      <w:bookmarkStart w:id="18" w:name="_Toc216582806"/>
      <w:bookmarkStart w:id="19" w:name="_Toc520356146"/>
      <w:bookmarkStart w:id="20" w:name="_Toc30903"/>
      <w:r>
        <w:rPr>
          <w:rFonts w:hint="eastAsia" w:ascii="仿宋" w:hAnsi="仿宋" w:eastAsia="仿宋" w:cs="仿宋"/>
          <w:color w:val="auto"/>
          <w:sz w:val="28"/>
          <w:highlight w:val="none"/>
        </w:rPr>
        <w:t xml:space="preserve">二   </w:t>
      </w:r>
      <w:bookmarkEnd w:id="17"/>
      <w:bookmarkEnd w:id="18"/>
      <w:bookmarkEnd w:id="19"/>
      <w:r>
        <w:rPr>
          <w:rFonts w:hint="eastAsia" w:ascii="仿宋" w:hAnsi="仿宋" w:eastAsia="仿宋" w:cs="仿宋"/>
          <w:color w:val="auto"/>
          <w:sz w:val="28"/>
          <w:highlight w:val="none"/>
          <w:lang w:eastAsia="zh-CN"/>
        </w:rPr>
        <w:t>磋商文件</w:t>
      </w:r>
      <w:bookmarkEnd w:id="20"/>
    </w:p>
    <w:p>
      <w:pPr>
        <w:pStyle w:val="6"/>
        <w:rPr>
          <w:rFonts w:hint="eastAsia" w:ascii="仿宋" w:hAnsi="仿宋" w:eastAsia="仿宋" w:cs="仿宋"/>
          <w:color w:val="auto"/>
          <w:highlight w:val="none"/>
        </w:rPr>
      </w:pP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21" w:name="_Toc32371"/>
      <w:bookmarkStart w:id="22" w:name="_Toc520356147"/>
      <w:bookmarkStart w:id="23" w:name="_Toc518923066"/>
      <w:r>
        <w:rPr>
          <w:rFonts w:hint="eastAsia" w:ascii="仿宋" w:hAnsi="仿宋" w:eastAsia="仿宋" w:cs="仿宋"/>
          <w:color w:val="auto"/>
          <w:highlight w:val="none"/>
          <w:u w:val="none"/>
        </w:rPr>
        <w:t>5.</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构成</w:t>
      </w:r>
      <w:bookmarkEnd w:id="21"/>
      <w:bookmarkEnd w:id="22"/>
      <w:bookmarkEnd w:id="2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分为三册共7章，内容如下：</w:t>
      </w:r>
    </w:p>
    <w:p>
      <w:pPr>
        <w:pageBreakBefore w:val="0"/>
        <w:widowControl w:val="0"/>
        <w:kinsoku/>
        <w:wordWrap/>
        <w:overflowPunct/>
        <w:topLinePunct w:val="0"/>
        <w:bidi w:val="0"/>
        <w:snapToGrid/>
        <w:spacing w:line="360" w:lineRule="auto"/>
        <w:ind w:left="1079" w:leftChars="428" w:hanging="180" w:hangingChars="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第一册</w:t>
      </w:r>
    </w:p>
    <w:p>
      <w:pPr>
        <w:pageBreakBefore w:val="0"/>
        <w:widowControl w:val="0"/>
        <w:numPr>
          <w:ilvl w:val="0"/>
          <w:numId w:val="2"/>
        </w:numPr>
        <w:tabs>
          <w:tab w:val="left" w:pos="0"/>
          <w:tab w:val="clear" w:pos="1680"/>
        </w:tabs>
        <w:kinsoku/>
        <w:wordWrap/>
        <w:overflowPunct/>
        <w:topLinePunct w:val="0"/>
        <w:bidi w:val="0"/>
        <w:snapToGrid/>
        <w:spacing w:line="360" w:lineRule="auto"/>
        <w:ind w:left="84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w:t>
      </w:r>
    </w:p>
    <w:p>
      <w:pPr>
        <w:pageBreakBefore w:val="0"/>
        <w:widowControl w:val="0"/>
        <w:numPr>
          <w:ilvl w:val="0"/>
          <w:numId w:val="2"/>
        </w:numPr>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格式</w:t>
      </w:r>
    </w:p>
    <w:p>
      <w:pPr>
        <w:pageBreakBefore w:val="0"/>
        <w:widowControl w:val="0"/>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第二册</w:t>
      </w:r>
    </w:p>
    <w:p>
      <w:pPr>
        <w:pageBreakBefore w:val="0"/>
        <w:widowControl w:val="0"/>
        <w:numPr>
          <w:ilvl w:val="0"/>
          <w:numId w:val="2"/>
        </w:numPr>
        <w:kinsoku/>
        <w:wordWrap/>
        <w:overflowPunct/>
        <w:topLinePunct w:val="0"/>
        <w:bidi w:val="0"/>
        <w:snapToGrid/>
        <w:spacing w:line="360" w:lineRule="auto"/>
        <w:ind w:left="1081" w:leftChars="429" w:hanging="18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投标邀请</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须知资料表</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服务需求</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评标方法和标准</w:t>
      </w:r>
    </w:p>
    <w:p>
      <w:pPr>
        <w:spacing w:line="240" w:lineRule="atLeast"/>
        <w:ind w:left="901"/>
        <w:rPr>
          <w:rFonts w:hint="eastAsia" w:ascii="仿宋" w:hAnsi="仿宋" w:eastAsia="仿宋" w:cs="仿宋"/>
          <w:color w:val="auto"/>
          <w:sz w:val="24"/>
          <w:highlight w:val="none"/>
        </w:rPr>
      </w:pPr>
      <w:r>
        <w:rPr>
          <w:rFonts w:hint="eastAsia" w:ascii="仿宋" w:hAnsi="仿宋" w:eastAsia="仿宋" w:cs="仿宋"/>
          <w:color w:val="auto"/>
          <w:sz w:val="24"/>
          <w:highlight w:val="none"/>
        </w:rPr>
        <w:t>第三册</w:t>
      </w:r>
    </w:p>
    <w:p>
      <w:pPr>
        <w:numPr>
          <w:ilvl w:val="0"/>
          <w:numId w:val="2"/>
        </w:numPr>
        <w:spacing w:line="240" w:lineRule="atLeast"/>
        <w:ind w:left="1081" w:leftChars="429" w:hanging="180"/>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政府采购合同格式</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如本文件的前后内容不一致，以最后描述为准。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5.3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应认真阅读</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所有的事项、格式、条款和技术规范等。如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没有按照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要求提交全部资料，或者</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没有对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在各方面都做出实质性响应，可能导致其投标被认定为投标无效。</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val="0"/>
          <w:color w:val="auto"/>
          <w:highlight w:val="none"/>
          <w:u w:val="none"/>
        </w:rPr>
      </w:pPr>
      <w:bookmarkStart w:id="24" w:name="_Toc520356148"/>
      <w:bookmarkStart w:id="25" w:name="_Toc16795"/>
      <w:bookmarkStart w:id="26" w:name="_Toc518923067"/>
      <w:r>
        <w:rPr>
          <w:rFonts w:hint="eastAsia" w:ascii="仿宋" w:hAnsi="仿宋" w:eastAsia="仿宋" w:cs="仿宋"/>
          <w:color w:val="auto"/>
          <w:highlight w:val="none"/>
          <w:u w:val="none"/>
        </w:rPr>
        <w:t>6.</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的澄清</w:t>
      </w:r>
      <w:bookmarkEnd w:id="24"/>
      <w:r>
        <w:rPr>
          <w:rFonts w:hint="eastAsia" w:ascii="仿宋" w:hAnsi="仿宋" w:eastAsia="仿宋" w:cs="仿宋"/>
          <w:color w:val="auto"/>
          <w:highlight w:val="none"/>
          <w:u w:val="none"/>
        </w:rPr>
        <w:t>与修改</w:t>
      </w:r>
      <w:bookmarkEnd w:id="25"/>
      <w:bookmarkEnd w:id="26"/>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6.1    为了保证对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的澄清和修改满足法律的时限要求，任何要求对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进行澄清的</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，均应在投标截止期五日前，以书面形式将澄清要求通知采购人或采购代理机构。</w:t>
      </w:r>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bookmarkStart w:id="27" w:name="_Ref467378678"/>
      <w:bookmarkStart w:id="28" w:name="_Toc520356149"/>
      <w:r>
        <w:rPr>
          <w:rFonts w:hint="eastAsia" w:ascii="仿宋" w:hAnsi="仿宋" w:eastAsia="仿宋" w:cs="仿宋"/>
          <w:color w:val="auto"/>
          <w:szCs w:val="24"/>
          <w:highlight w:val="none"/>
        </w:rPr>
        <w:t>6.2</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采购人可主动地或在解答</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提出的澄清问题时对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澄清或修改。采购代理机构将以发布澄清（更正）公告的方式，澄清或修改</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，澄清或修改内容作为</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的组成部分。</w:t>
      </w:r>
    </w:p>
    <w:p>
      <w:pPr>
        <w:pStyle w:val="6"/>
        <w:pageBreakBefore w:val="0"/>
        <w:widowControl w:val="0"/>
        <w:kinsoku/>
        <w:wordWrap/>
        <w:overflowPunct/>
        <w:topLinePunct w:val="0"/>
        <w:bidi w:val="0"/>
        <w:snapToGrid/>
        <w:spacing w:line="360" w:lineRule="auto"/>
        <w:ind w:left="840" w:hanging="840" w:hangingChars="350"/>
        <w:textAlignment w:val="auto"/>
        <w:rPr>
          <w:rFonts w:hint="eastAsia" w:ascii="仿宋" w:hAnsi="仿宋" w:eastAsia="仿宋" w:cs="仿宋"/>
          <w:color w:val="auto"/>
          <w:szCs w:val="24"/>
          <w:highlight w:val="none"/>
        </w:rPr>
      </w:pPr>
      <w:r>
        <w:rPr>
          <w:rFonts w:hint="eastAsia" w:ascii="仿宋" w:hAnsi="仿宋" w:eastAsia="仿宋" w:cs="仿宋"/>
          <w:color w:val="auto"/>
          <w:szCs w:val="24"/>
          <w:highlight w:val="none"/>
        </w:rPr>
        <w:t>6.3</w:t>
      </w:r>
      <w:r>
        <w:rPr>
          <w:rFonts w:hint="eastAsia" w:ascii="仿宋" w:hAnsi="仿宋" w:eastAsia="仿宋" w:cs="仿宋"/>
          <w:color w:val="auto"/>
          <w:szCs w:val="24"/>
          <w:highlight w:val="none"/>
        </w:rPr>
        <w:tab/>
      </w:r>
      <w:r>
        <w:rPr>
          <w:rFonts w:hint="eastAsia" w:ascii="仿宋" w:hAnsi="仿宋" w:eastAsia="仿宋" w:cs="仿宋"/>
          <w:color w:val="auto"/>
          <w:szCs w:val="24"/>
          <w:highlight w:val="none"/>
        </w:rPr>
        <w:t>澄清或者修改的内容可能影响</w:t>
      </w:r>
      <w:r>
        <w:rPr>
          <w:rFonts w:hint="eastAsia" w:ascii="仿宋" w:hAnsi="仿宋" w:eastAsia="仿宋" w:cs="仿宋"/>
          <w:color w:val="auto"/>
          <w:szCs w:val="24"/>
          <w:highlight w:val="none"/>
          <w:lang w:eastAsia="zh-CN"/>
        </w:rPr>
        <w:t>响应文件</w:t>
      </w:r>
      <w:r>
        <w:rPr>
          <w:rFonts w:hint="eastAsia" w:ascii="仿宋" w:hAnsi="仿宋" w:eastAsia="仿宋" w:cs="仿宋"/>
          <w:color w:val="auto"/>
          <w:szCs w:val="24"/>
          <w:highlight w:val="none"/>
        </w:rPr>
        <w:t>编制的，采购代理机构将以书面形式通知所有购买</w:t>
      </w:r>
      <w:r>
        <w:rPr>
          <w:rFonts w:hint="eastAsia" w:ascii="仿宋" w:hAnsi="仿宋" w:eastAsia="仿宋" w:cs="仿宋"/>
          <w:color w:val="auto"/>
          <w:szCs w:val="24"/>
          <w:highlight w:val="none"/>
          <w:lang w:eastAsia="zh-CN"/>
        </w:rPr>
        <w:t>磋商文件</w:t>
      </w:r>
      <w:r>
        <w:rPr>
          <w:rFonts w:hint="eastAsia" w:ascii="仿宋" w:hAnsi="仿宋" w:eastAsia="仿宋" w:cs="仿宋"/>
          <w:color w:val="auto"/>
          <w:szCs w:val="24"/>
          <w:highlight w:val="none"/>
        </w:rPr>
        <w:t>的潜在</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，并对其具有约束力。</w:t>
      </w:r>
      <w:r>
        <w:rPr>
          <w:rFonts w:hint="eastAsia" w:ascii="仿宋" w:hAnsi="仿宋" w:eastAsia="仿宋" w:cs="仿宋"/>
          <w:color w:val="auto"/>
          <w:szCs w:val="24"/>
          <w:highlight w:val="none"/>
          <w:lang w:eastAsia="zh-CN"/>
        </w:rPr>
        <w:t>投标人</w:t>
      </w:r>
      <w:r>
        <w:rPr>
          <w:rFonts w:hint="eastAsia" w:ascii="仿宋" w:hAnsi="仿宋" w:eastAsia="仿宋" w:cs="仿宋"/>
          <w:color w:val="auto"/>
          <w:szCs w:val="24"/>
          <w:highlight w:val="none"/>
        </w:rPr>
        <w:t>在收到上述通知后，应及时向采购代理机构回函确认。</w:t>
      </w: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29" w:name="_Toc18045"/>
      <w:bookmarkStart w:id="30" w:name="_Toc518923068"/>
      <w:r>
        <w:rPr>
          <w:rFonts w:hint="eastAsia" w:ascii="仿宋" w:hAnsi="仿宋" w:eastAsia="仿宋" w:cs="仿宋"/>
          <w:color w:val="auto"/>
          <w:highlight w:val="none"/>
          <w:u w:val="none"/>
        </w:rPr>
        <w:t>7</w:t>
      </w:r>
      <w:bookmarkEnd w:id="27"/>
      <w:bookmarkEnd w:id="28"/>
      <w:r>
        <w:rPr>
          <w:rFonts w:hint="eastAsia" w:ascii="仿宋" w:hAnsi="仿宋" w:eastAsia="仿宋" w:cs="仿宋"/>
          <w:color w:val="auto"/>
          <w:highlight w:val="none"/>
          <w:u w:val="none"/>
        </w:rPr>
        <w:t>.投标截止时间的顺延</w:t>
      </w:r>
      <w:bookmarkEnd w:id="29"/>
      <w:bookmarkEnd w:id="30"/>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为使</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准备投标时有足够的时间对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的澄清或者修改部分进行研究，采购人将依法决定是否顺延投标截止时间。</w:t>
      </w:r>
    </w:p>
    <w:p>
      <w:pPr>
        <w:pStyle w:val="4"/>
        <w:tabs>
          <w:tab w:val="left" w:pos="900"/>
        </w:tabs>
        <w:spacing w:before="0" w:line="240" w:lineRule="atLeast"/>
        <w:ind w:left="1080" w:leftChars="257" w:hanging="540"/>
        <w:rPr>
          <w:rFonts w:hint="eastAsia" w:ascii="仿宋" w:hAnsi="仿宋" w:eastAsia="仿宋" w:cs="仿宋"/>
          <w:color w:val="auto"/>
          <w:sz w:val="28"/>
          <w:highlight w:val="none"/>
        </w:rPr>
      </w:pPr>
      <w:bookmarkStart w:id="31" w:name="_Toc516367020"/>
      <w:bookmarkStart w:id="32" w:name="_Toc518923069"/>
      <w:bookmarkStart w:id="33" w:name="_Toc10869"/>
      <w:bookmarkStart w:id="34" w:name="_Toc216582807"/>
      <w:bookmarkStart w:id="35" w:name="_Toc520356150"/>
      <w:r>
        <w:rPr>
          <w:rFonts w:hint="eastAsia" w:ascii="仿宋" w:hAnsi="仿宋" w:eastAsia="仿宋" w:cs="仿宋"/>
          <w:color w:val="auto"/>
          <w:sz w:val="28"/>
          <w:highlight w:val="none"/>
        </w:rPr>
        <w:t xml:space="preserve">三   </w:t>
      </w:r>
      <w:bookmarkEnd w:id="31"/>
      <w:r>
        <w:rPr>
          <w:rFonts w:hint="eastAsia" w:ascii="仿宋" w:hAnsi="仿宋" w:eastAsia="仿宋" w:cs="仿宋"/>
          <w:color w:val="auto"/>
          <w:sz w:val="28"/>
          <w:highlight w:val="none"/>
          <w:lang w:eastAsia="zh-CN"/>
        </w:rPr>
        <w:t>响应文件</w:t>
      </w:r>
      <w:r>
        <w:rPr>
          <w:rFonts w:hint="eastAsia" w:ascii="仿宋" w:hAnsi="仿宋" w:eastAsia="仿宋" w:cs="仿宋"/>
          <w:color w:val="auto"/>
          <w:sz w:val="28"/>
          <w:highlight w:val="none"/>
        </w:rPr>
        <w:t>的编制</w:t>
      </w:r>
      <w:bookmarkEnd w:id="32"/>
      <w:bookmarkEnd w:id="33"/>
      <w:bookmarkEnd w:id="34"/>
      <w:bookmarkEnd w:id="35"/>
    </w:p>
    <w:p>
      <w:pPr>
        <w:pStyle w:val="6"/>
        <w:rPr>
          <w:rFonts w:hint="eastAsia" w:ascii="仿宋" w:hAnsi="仿宋" w:eastAsia="仿宋" w:cs="仿宋"/>
          <w:color w:val="auto"/>
          <w:highlight w:val="none"/>
        </w:rPr>
      </w:pP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36" w:name="_Toc520356151"/>
      <w:bookmarkStart w:id="37" w:name="_Toc518923070"/>
      <w:bookmarkStart w:id="38" w:name="_Toc19878"/>
      <w:bookmarkStart w:id="39" w:name="_Toc516367021"/>
      <w:r>
        <w:rPr>
          <w:rFonts w:hint="eastAsia" w:ascii="仿宋" w:hAnsi="仿宋" w:eastAsia="仿宋" w:cs="仿宋"/>
          <w:color w:val="auto"/>
          <w:highlight w:val="none"/>
          <w:u w:val="none"/>
        </w:rPr>
        <w:t>8.</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投标范围及</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中标准和计量单位的使用</w:t>
      </w:r>
      <w:bookmarkEnd w:id="36"/>
      <w:bookmarkEnd w:id="37"/>
      <w:bookmarkEnd w:id="38"/>
      <w:bookmarkEnd w:id="3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项目有分包的，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其中一个或几个分包进行投标，除非在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中另有规定。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8.2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应当对所投分包</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中“服务需求”所列的所有服务内容进行投标，如仅响应分包中的部分内容，其投标将被认定为投标无效。</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8.3     无论</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第5章服务需求中是否要求，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所投服务均应符合国家强制性标准。</w:t>
      </w:r>
    </w:p>
    <w:p>
      <w:pPr>
        <w:spacing w:line="240" w:lineRule="atLeast"/>
        <w:ind w:left="900" w:hanging="900" w:hangingChars="375"/>
        <w:rPr>
          <w:rFonts w:hint="eastAsia" w:ascii="仿宋" w:hAnsi="仿宋" w:eastAsia="仿宋" w:cs="仿宋"/>
          <w:color w:val="auto"/>
          <w:sz w:val="24"/>
          <w:highlight w:val="none"/>
        </w:rPr>
      </w:pPr>
      <w:r>
        <w:rPr>
          <w:rFonts w:hint="eastAsia" w:ascii="仿宋" w:hAnsi="仿宋" w:eastAsia="仿宋" w:cs="仿宋"/>
          <w:color w:val="auto"/>
          <w:sz w:val="24"/>
          <w:highlight w:val="none"/>
        </w:rPr>
        <w:t>8.4     除</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中有特殊要求外，</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中所使用的计量单位，应采用中华人民共和国法定计量单位。</w:t>
      </w:r>
    </w:p>
    <w:p>
      <w:pPr>
        <w:pStyle w:val="5"/>
        <w:pageBreakBefore w:val="0"/>
        <w:widowControl w:val="0"/>
        <w:tabs>
          <w:tab w:val="left" w:pos="900"/>
        </w:tabs>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40" w:name="_Toc516367022"/>
      <w:bookmarkStart w:id="41" w:name="_Ref467306195"/>
      <w:bookmarkStart w:id="42" w:name="_Ref467306676"/>
      <w:bookmarkStart w:id="43" w:name="_Toc16888"/>
      <w:bookmarkStart w:id="44" w:name="_Toc520356152"/>
      <w:bookmarkStart w:id="45" w:name="_Toc518923071"/>
      <w:r>
        <w:rPr>
          <w:rFonts w:hint="eastAsia" w:ascii="仿宋" w:hAnsi="仿宋" w:eastAsia="仿宋" w:cs="仿宋"/>
          <w:color w:val="auto"/>
          <w:highlight w:val="none"/>
          <w:u w:val="none"/>
        </w:rPr>
        <w:t>9.</w:t>
      </w:r>
      <w:bookmarkEnd w:id="40"/>
      <w:bookmarkEnd w:id="41"/>
      <w:bookmarkEnd w:id="42"/>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构成</w:t>
      </w:r>
      <w:bookmarkEnd w:id="43"/>
      <w:bookmarkEnd w:id="44"/>
      <w:bookmarkEnd w:id="45"/>
    </w:p>
    <w:p>
      <w:pPr>
        <w:pageBreakBefore w:val="0"/>
        <w:widowControl w:val="0"/>
        <w:tabs>
          <w:tab w:val="left" w:pos="900"/>
          <w:tab w:val="left" w:pos="5580"/>
        </w:tabs>
        <w:kinsoku/>
        <w:wordWrap/>
        <w:overflowPunct/>
        <w:topLinePunct w:val="0"/>
        <w:bidi w:val="0"/>
        <w:spacing w:line="360" w:lineRule="auto"/>
        <w:ind w:left="960" w:hanging="960" w:hangingChars="400"/>
        <w:jc w:val="left"/>
        <w:textAlignment w:val="auto"/>
        <w:rPr>
          <w:rFonts w:hint="eastAsia" w:ascii="仿宋" w:hAnsi="仿宋" w:eastAsia="仿宋" w:cs="仿宋"/>
          <w:b/>
          <w:bCs/>
          <w:color w:val="auto"/>
          <w:sz w:val="24"/>
          <w:highlight w:val="none"/>
          <w:u w:val="single"/>
          <w:lang w:eastAsia="zh-CN"/>
        </w:rPr>
      </w:pPr>
      <w:bookmarkStart w:id="46" w:name="_Ref467052588"/>
      <w:r>
        <w:rPr>
          <w:rFonts w:hint="eastAsia" w:ascii="仿宋" w:hAnsi="仿宋" w:eastAsia="仿宋" w:cs="仿宋"/>
          <w:color w:val="auto"/>
          <w:sz w:val="24"/>
          <w:highlight w:val="none"/>
        </w:rPr>
        <w:t xml:space="preserve">9.1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应完整地按</w:t>
      </w:r>
      <w:r>
        <w:rPr>
          <w:rFonts w:hint="eastAsia" w:ascii="仿宋" w:hAnsi="仿宋" w:eastAsia="仿宋" w:cs="仿宋"/>
          <w:b/>
          <w:bCs/>
          <w:color w:val="auto"/>
          <w:sz w:val="24"/>
          <w:highlight w:val="none"/>
          <w:u w:val="single"/>
          <w:lang w:eastAsia="zh-CN"/>
        </w:rPr>
        <w:t>磋商文件</w:t>
      </w:r>
      <w:r>
        <w:rPr>
          <w:rFonts w:hint="eastAsia" w:ascii="仿宋" w:hAnsi="仿宋" w:eastAsia="仿宋" w:cs="仿宋"/>
          <w:b/>
          <w:bCs/>
          <w:color w:val="auto"/>
          <w:sz w:val="24"/>
          <w:highlight w:val="none"/>
          <w:u w:val="single"/>
        </w:rPr>
        <w:t>提供的</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rPr>
        <w:t>格式及要求编写</w:t>
      </w:r>
      <w:r>
        <w:rPr>
          <w:rFonts w:hint="eastAsia" w:ascii="仿宋" w:hAnsi="仿宋" w:eastAsia="仿宋" w:cs="仿宋"/>
          <w:b/>
          <w:bCs/>
          <w:color w:val="auto"/>
          <w:sz w:val="24"/>
          <w:highlight w:val="none"/>
          <w:u w:val="single"/>
          <w:lang w:eastAsia="zh-CN"/>
        </w:rPr>
        <w:t>响应文件，</w:t>
      </w:r>
      <w:bookmarkEnd w:id="46"/>
      <w:r>
        <w:rPr>
          <w:rFonts w:hint="eastAsia" w:ascii="仿宋" w:hAnsi="仿宋" w:eastAsia="仿宋" w:cs="仿宋"/>
          <w:b/>
          <w:bCs/>
          <w:color w:val="auto"/>
          <w:sz w:val="24"/>
          <w:highlight w:val="none"/>
          <w:u w:val="single"/>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9.2    上述文件应按照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w:t>
      </w:r>
    </w:p>
    <w:p>
      <w:pPr>
        <w:pStyle w:val="5"/>
        <w:pageBreakBefore w:val="0"/>
        <w:widowControl w:val="0"/>
        <w:tabs>
          <w:tab w:val="left" w:pos="900"/>
        </w:tabs>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47" w:name="_Toc508185920"/>
      <w:bookmarkStart w:id="48" w:name="_Toc518923072"/>
      <w:bookmarkStart w:id="49" w:name="_Toc10692"/>
      <w:bookmarkStart w:id="50" w:name="_Toc516367023"/>
      <w:bookmarkStart w:id="51" w:name="_Toc520356153"/>
      <w:bookmarkStart w:id="52" w:name="_Toc520356155"/>
      <w:r>
        <w:rPr>
          <w:rFonts w:hint="eastAsia" w:ascii="仿宋" w:hAnsi="仿宋" w:eastAsia="仿宋" w:cs="仿宋"/>
          <w:color w:val="auto"/>
          <w:highlight w:val="none"/>
          <w:u w:val="none"/>
        </w:rPr>
        <w:t>10.</w:t>
      </w:r>
      <w:r>
        <w:rPr>
          <w:rFonts w:hint="eastAsia" w:ascii="仿宋" w:hAnsi="仿宋" w:eastAsia="仿宋" w:cs="仿宋"/>
          <w:color w:val="auto"/>
          <w:highlight w:val="none"/>
          <w:u w:val="none"/>
        </w:rPr>
        <w:tab/>
      </w:r>
      <w:r>
        <w:rPr>
          <w:rFonts w:hint="eastAsia" w:ascii="仿宋" w:hAnsi="仿宋" w:eastAsia="仿宋" w:cs="仿宋"/>
          <w:color w:val="auto"/>
          <w:highlight w:val="none"/>
          <w:u w:val="none"/>
        </w:rPr>
        <w:t>证明投标标的的合格性和符合</w:t>
      </w:r>
      <w:r>
        <w:rPr>
          <w:rFonts w:hint="eastAsia" w:ascii="仿宋" w:hAnsi="仿宋" w:eastAsia="仿宋" w:cs="仿宋"/>
          <w:color w:val="auto"/>
          <w:highlight w:val="none"/>
          <w:u w:val="none"/>
          <w:lang w:eastAsia="zh-CN"/>
        </w:rPr>
        <w:t>磋商文件</w:t>
      </w:r>
      <w:r>
        <w:rPr>
          <w:rFonts w:hint="eastAsia" w:ascii="仿宋" w:hAnsi="仿宋" w:eastAsia="仿宋" w:cs="仿宋"/>
          <w:color w:val="auto"/>
          <w:highlight w:val="none"/>
          <w:u w:val="none"/>
        </w:rPr>
        <w:t>规定的响应文件</w:t>
      </w:r>
      <w:bookmarkEnd w:id="47"/>
      <w:bookmarkEnd w:id="48"/>
      <w:bookmarkEnd w:id="49"/>
      <w:bookmarkEnd w:id="50"/>
      <w:bookmarkEnd w:id="51"/>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应提交证明文件，证明其投标内容符合</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规定。该证明文件是</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的一部分。</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bookmarkStart w:id="53" w:name="_Ref467306244"/>
      <w:r>
        <w:rPr>
          <w:rFonts w:hint="eastAsia" w:ascii="仿宋" w:hAnsi="仿宋" w:eastAsia="仿宋" w:cs="仿宋"/>
          <w:color w:val="auto"/>
          <w:sz w:val="24"/>
          <w:highlight w:val="none"/>
        </w:rPr>
        <w:t>10.2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上款所述的证明文件，可以是文字资料、图纸和数据</w:t>
      </w:r>
      <w:bookmarkEnd w:id="53"/>
      <w:r>
        <w:rPr>
          <w:rFonts w:hint="eastAsia" w:ascii="仿宋" w:hAnsi="仿宋" w:eastAsia="仿宋" w:cs="仿宋"/>
          <w:color w:val="auto"/>
          <w:sz w:val="24"/>
          <w:highlight w:val="none"/>
        </w:rPr>
        <w:t>。</w:t>
      </w:r>
    </w:p>
    <w:p>
      <w:pPr>
        <w:pStyle w:val="5"/>
        <w:pageBreakBefore w:val="0"/>
        <w:widowControl w:val="0"/>
        <w:kinsoku/>
        <w:wordWrap/>
        <w:overflowPunct/>
        <w:topLinePunct w:val="0"/>
        <w:bidi w:val="0"/>
        <w:spacing w:before="0" w:after="0" w:line="360" w:lineRule="auto"/>
        <w:textAlignment w:val="auto"/>
        <w:rPr>
          <w:rFonts w:hint="eastAsia" w:ascii="仿宋" w:hAnsi="仿宋" w:eastAsia="仿宋" w:cs="仿宋"/>
          <w:color w:val="auto"/>
          <w:highlight w:val="none"/>
          <w:u w:val="none"/>
        </w:rPr>
      </w:pPr>
      <w:bookmarkStart w:id="54" w:name="_Toc518923073"/>
      <w:bookmarkStart w:id="55" w:name="_Toc18634"/>
      <w:r>
        <w:rPr>
          <w:rFonts w:hint="eastAsia" w:ascii="仿宋" w:hAnsi="仿宋" w:eastAsia="仿宋" w:cs="仿宋"/>
          <w:color w:val="auto"/>
          <w:highlight w:val="none"/>
          <w:u w:val="none"/>
        </w:rPr>
        <w:t>11.投标报价</w:t>
      </w:r>
      <w:bookmarkEnd w:id="52"/>
      <w:bookmarkEnd w:id="54"/>
      <w:bookmarkEnd w:id="55"/>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所有投标均以人民币报价。</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的投标报价应遵守《中华人民共和国价格法》。同时，根据《中华人民共和国政府采购法》第二条的规定，为保证公平竞争，如有主体投标标的的赠与行为，其投标将被认定为投标无效。</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应在投标分项报价表上标明分项服务的价格（如适用）和总价，并由法定代表人或其委托代理人签署。</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采购人不接受具有附加条件的报价。</w:t>
      </w:r>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11.4</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所报的各分项投标报价在合同履行过程中是固定不变的，不得以任何理由予以变更。任何包含价格调整要求的投标，将被认定为投标无效。</w:t>
      </w:r>
    </w:p>
    <w:p>
      <w:pPr>
        <w:pStyle w:val="8"/>
        <w:pageBreakBefore w:val="0"/>
        <w:widowControl w:val="0"/>
        <w:kinsoku/>
        <w:wordWrap/>
        <w:overflowPunct/>
        <w:topLinePunct w:val="0"/>
        <w:bidi w:val="0"/>
        <w:spacing w:line="360" w:lineRule="auto"/>
        <w:textAlignment w:val="auto"/>
        <w:rPr>
          <w:rFonts w:hint="eastAsia" w:ascii="仿宋" w:hAnsi="仿宋" w:eastAsia="仿宋" w:cs="仿宋"/>
          <w:b/>
          <w:bCs/>
          <w:iCs/>
          <w:color w:val="auto"/>
          <w:highlight w:val="none"/>
          <w:u w:val="single"/>
        </w:rPr>
      </w:pPr>
      <w:r>
        <w:rPr>
          <w:rFonts w:hint="eastAsia" w:ascii="仿宋" w:hAnsi="仿宋" w:eastAsia="仿宋" w:cs="仿宋"/>
          <w:color w:val="auto"/>
          <w:highlight w:val="none"/>
        </w:rPr>
        <w:t xml:space="preserve">11.5 </w:t>
      </w:r>
      <w:r>
        <w:rPr>
          <w:rFonts w:hint="eastAsia" w:ascii="仿宋" w:hAnsi="仿宋" w:eastAsia="仿宋" w:cs="仿宋"/>
          <w:color w:val="FF0000"/>
          <w:highlight w:val="none"/>
        </w:rPr>
        <w:t xml:space="preserve"> </w:t>
      </w:r>
      <w:r>
        <w:rPr>
          <w:rFonts w:hint="eastAsia" w:ascii="仿宋" w:hAnsi="仿宋" w:eastAsia="仿宋" w:cs="仿宋"/>
          <w:b/>
          <w:bCs/>
          <w:iCs/>
          <w:color w:val="FF0000"/>
          <w:highlight w:val="none"/>
        </w:rPr>
        <w:t xml:space="preserve">  </w:t>
      </w:r>
      <w:r>
        <w:rPr>
          <w:rFonts w:hint="eastAsia" w:ascii="仿宋" w:hAnsi="仿宋" w:eastAsia="仿宋" w:cs="仿宋"/>
          <w:b/>
          <w:bCs/>
          <w:iCs/>
          <w:color w:val="auto"/>
          <w:highlight w:val="none"/>
          <w:u w:val="single"/>
        </w:rPr>
        <w:t>竞争性磋商采用两次报价的方式。</w:t>
      </w:r>
    </w:p>
    <w:p>
      <w:pPr>
        <w:pStyle w:val="17"/>
        <w:pageBreakBefore w:val="0"/>
        <w:widowControl w:val="0"/>
        <w:kinsoku/>
        <w:wordWrap/>
        <w:overflowPunct/>
        <w:topLinePunct w:val="0"/>
        <w:bidi w:val="0"/>
        <w:spacing w:line="360" w:lineRule="auto"/>
        <w:ind w:left="958" w:leftChars="456"/>
        <w:textAlignment w:val="auto"/>
        <w:rPr>
          <w:rFonts w:hint="eastAsia" w:ascii="仿宋" w:hAnsi="仿宋" w:eastAsia="仿宋" w:cs="仿宋"/>
          <w:b/>
          <w:bCs/>
          <w:iCs/>
          <w:color w:val="FF0000"/>
          <w:sz w:val="24"/>
          <w:highlight w:val="none"/>
          <w:u w:val="single"/>
        </w:rPr>
      </w:pPr>
      <w:r>
        <w:rPr>
          <w:rFonts w:hint="eastAsia" w:ascii="仿宋" w:hAnsi="仿宋" w:eastAsia="仿宋" w:cs="仿宋"/>
          <w:b/>
          <w:bCs/>
          <w:iCs/>
          <w:color w:val="auto"/>
          <w:sz w:val="24"/>
          <w:highlight w:val="none"/>
          <w:u w:val="single"/>
        </w:rPr>
        <w:t>二次报价为最终报价，磋商小组所有成员集中与单一</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分别或对本项目存在的共性问题共同进行磋商，并给予所有参加磋商的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平等的磋商机会， 磋商小组要求所有实质性响应的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在规定时间内提交最后报价，最后报价是</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响应文件的有效组成部分，经磋商确定最终采购需求和提交最后报价的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后，由磋商小组采用综合评分法对提交最后报价的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的响应文件和最后报价进行综合评分。磋商小组应当从服务质量和合同履约能力均能满足采购文件实质性响应要求的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中，按照综合评分由</w:t>
      </w:r>
      <w:r>
        <w:rPr>
          <w:rFonts w:hint="eastAsia" w:ascii="仿宋" w:hAnsi="仿宋" w:eastAsia="仿宋" w:cs="仿宋"/>
          <w:b/>
          <w:bCs/>
          <w:iCs/>
          <w:color w:val="auto"/>
          <w:sz w:val="24"/>
          <w:highlight w:val="none"/>
          <w:u w:val="single"/>
          <w:lang w:eastAsia="zh-CN"/>
        </w:rPr>
        <w:t>高</w:t>
      </w:r>
      <w:r>
        <w:rPr>
          <w:rFonts w:hint="eastAsia" w:ascii="仿宋" w:hAnsi="仿宋" w:eastAsia="仿宋" w:cs="仿宋"/>
          <w:b/>
          <w:bCs/>
          <w:iCs/>
          <w:color w:val="auto"/>
          <w:sz w:val="24"/>
          <w:highlight w:val="none"/>
          <w:u w:val="single"/>
        </w:rPr>
        <w:t>到</w:t>
      </w:r>
      <w:r>
        <w:rPr>
          <w:rFonts w:hint="eastAsia" w:ascii="仿宋" w:hAnsi="仿宋" w:eastAsia="仿宋" w:cs="仿宋"/>
          <w:b/>
          <w:bCs/>
          <w:iCs/>
          <w:color w:val="auto"/>
          <w:sz w:val="24"/>
          <w:highlight w:val="none"/>
          <w:u w:val="single"/>
          <w:lang w:eastAsia="zh-CN"/>
        </w:rPr>
        <w:t>低</w:t>
      </w:r>
      <w:r>
        <w:rPr>
          <w:rFonts w:hint="eastAsia" w:ascii="仿宋" w:hAnsi="仿宋" w:eastAsia="仿宋" w:cs="仿宋"/>
          <w:b/>
          <w:bCs/>
          <w:iCs/>
          <w:color w:val="auto"/>
          <w:sz w:val="24"/>
          <w:highlight w:val="none"/>
          <w:u w:val="single"/>
        </w:rPr>
        <w:t>的顺序提出成交候选人，并编写评审报告，将结果通知所有参加磋商的未成交的</w:t>
      </w:r>
      <w:r>
        <w:rPr>
          <w:rFonts w:hint="eastAsia" w:ascii="仿宋" w:hAnsi="仿宋" w:eastAsia="仿宋" w:cs="仿宋"/>
          <w:b/>
          <w:bCs/>
          <w:iCs/>
          <w:color w:val="auto"/>
          <w:sz w:val="24"/>
          <w:highlight w:val="none"/>
          <w:u w:val="single"/>
          <w:lang w:eastAsia="zh-CN"/>
        </w:rPr>
        <w:t>投标人</w:t>
      </w:r>
      <w:r>
        <w:rPr>
          <w:rFonts w:hint="eastAsia" w:ascii="仿宋" w:hAnsi="仿宋" w:eastAsia="仿宋" w:cs="仿宋"/>
          <w:b/>
          <w:bCs/>
          <w:iCs/>
          <w:color w:val="auto"/>
          <w:sz w:val="24"/>
          <w:highlight w:val="none"/>
          <w:u w:val="single"/>
        </w:rPr>
        <w:t>；</w:t>
      </w:r>
    </w:p>
    <w:p>
      <w:pPr>
        <w:pStyle w:val="5"/>
        <w:pageBreakBefore w:val="0"/>
        <w:widowControl w:val="0"/>
        <w:kinsoku/>
        <w:wordWrap/>
        <w:overflowPunct/>
        <w:topLinePunct w:val="0"/>
        <w:bidi w:val="0"/>
        <w:spacing w:before="0" w:after="0" w:line="360" w:lineRule="auto"/>
        <w:textAlignment w:val="auto"/>
        <w:rPr>
          <w:rFonts w:hint="eastAsia" w:ascii="仿宋" w:hAnsi="仿宋" w:eastAsia="仿宋" w:cs="仿宋"/>
          <w:color w:val="auto"/>
          <w:highlight w:val="none"/>
          <w:u w:val="none"/>
          <w:lang w:eastAsia="zh-CN"/>
        </w:rPr>
      </w:pPr>
      <w:bookmarkStart w:id="56" w:name="_Ref467306513"/>
      <w:bookmarkStart w:id="57" w:name="_Toc518923074"/>
      <w:bookmarkStart w:id="58" w:name="_Toc520356156"/>
      <w:bookmarkStart w:id="59" w:name="_Toc14951"/>
      <w:r>
        <w:rPr>
          <w:rFonts w:hint="eastAsia" w:ascii="仿宋" w:hAnsi="仿宋" w:eastAsia="仿宋" w:cs="仿宋"/>
          <w:color w:val="auto"/>
          <w:highlight w:val="none"/>
          <w:u w:val="none"/>
        </w:rPr>
        <w:t>12.</w:t>
      </w:r>
      <w:bookmarkEnd w:id="56"/>
      <w:bookmarkEnd w:id="57"/>
      <w:bookmarkEnd w:id="58"/>
      <w:r>
        <w:rPr>
          <w:rFonts w:hint="eastAsia" w:ascii="仿宋" w:hAnsi="仿宋" w:eastAsia="仿宋" w:cs="仿宋"/>
          <w:color w:val="auto"/>
          <w:highlight w:val="none"/>
          <w:u w:val="none"/>
          <w:lang w:eastAsia="zh-CN"/>
        </w:rPr>
        <w:t>磋商保证金</w:t>
      </w:r>
      <w:bookmarkEnd w:id="59"/>
    </w:p>
    <w:p>
      <w:pPr>
        <w:pageBreakBefore w:val="0"/>
        <w:widowControl w:val="0"/>
        <w:kinsoku/>
        <w:wordWrap/>
        <w:overflowPunct/>
        <w:topLinePunct w:val="0"/>
        <w:bidi w:val="0"/>
        <w:spacing w:line="360" w:lineRule="auto"/>
        <w:ind w:left="900" w:hanging="900" w:hangingChars="375"/>
        <w:textAlignment w:val="auto"/>
        <w:rPr>
          <w:rFonts w:hint="eastAsia" w:ascii="仿宋" w:hAnsi="仿宋" w:eastAsia="仿宋" w:cs="仿宋"/>
          <w:color w:val="auto"/>
          <w:sz w:val="24"/>
          <w:highlight w:val="none"/>
        </w:rPr>
      </w:pPr>
      <w:bookmarkStart w:id="60" w:name="_Ref467306302"/>
      <w:r>
        <w:rPr>
          <w:rFonts w:hint="eastAsia" w:ascii="仿宋" w:hAnsi="仿宋" w:eastAsia="仿宋" w:cs="仿宋"/>
          <w:color w:val="auto"/>
          <w:sz w:val="24"/>
          <w:highlight w:val="none"/>
        </w:rPr>
        <w:t>12.1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应提交</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w:t>
      </w:r>
      <w:bookmarkEnd w:id="60"/>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，并作为其投标的一部分。</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12.2</w:t>
      </w:r>
      <w:r>
        <w:rPr>
          <w:rFonts w:hint="eastAsia" w:ascii="仿宋" w:hAnsi="仿宋" w:eastAsia="仿宋" w:cs="仿宋"/>
          <w:color w:val="auto"/>
          <w:sz w:val="24"/>
          <w:highlight w:val="none"/>
        </w:rPr>
        <w:tab/>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存在下列情形的，</w:t>
      </w:r>
      <w:r>
        <w:rPr>
          <w:rFonts w:hint="eastAsia" w:ascii="仿宋" w:hAnsi="仿宋" w:eastAsia="仿宋" w:cs="仿宋"/>
          <w:b/>
          <w:bCs/>
          <w:color w:val="auto"/>
          <w:sz w:val="24"/>
          <w:highlight w:val="none"/>
          <w:lang w:eastAsia="zh-CN"/>
        </w:rPr>
        <w:t>磋商保证金</w:t>
      </w:r>
      <w:r>
        <w:rPr>
          <w:rFonts w:hint="eastAsia" w:ascii="仿宋" w:hAnsi="仿宋" w:eastAsia="仿宋" w:cs="仿宋"/>
          <w:b/>
          <w:bCs/>
          <w:color w:val="auto"/>
          <w:sz w:val="24"/>
          <w:highlight w:val="none"/>
        </w:rPr>
        <w:t>不予退还：</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（1）在投标有效期内，撤销投标的；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（2）中标后不按本须知第30条的规定与采购人签订合同的；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（3）中标后不按本须知第31条的规定提交履约保证金的；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（4）中标后不按本须知第32条的规定缴纳中标服务费的；</w:t>
      </w:r>
    </w:p>
    <w:p>
      <w:pPr>
        <w:pStyle w:val="11"/>
        <w:keepNext w:val="0"/>
        <w:keepLines w:val="0"/>
        <w:pageBreakBefore w:val="0"/>
        <w:widowControl w:val="0"/>
        <w:tabs>
          <w:tab w:val="left" w:pos="2240"/>
        </w:tabs>
        <w:kinsoku/>
        <w:wordWrap/>
        <w:overflowPunct/>
        <w:topLinePunct w:val="0"/>
        <w:autoSpaceDE/>
        <w:autoSpaceDN/>
        <w:bidi w:val="0"/>
        <w:adjustRightInd/>
        <w:snapToGrid/>
        <w:spacing w:line="360" w:lineRule="auto"/>
        <w:ind w:left="1079" w:leftChars="371" w:hanging="300" w:hangingChars="1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（5）存在其他违法违规行为的。</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bookmarkStart w:id="61" w:name="_Ref467306336"/>
      <w:r>
        <w:rPr>
          <w:rFonts w:hint="eastAsia" w:ascii="仿宋" w:hAnsi="仿宋" w:eastAsia="仿宋" w:cs="仿宋"/>
          <w:color w:val="auto"/>
          <w:sz w:val="24"/>
          <w:highlight w:val="none"/>
        </w:rPr>
        <w:t>12.3</w:t>
      </w:r>
      <w:r>
        <w:rPr>
          <w:rFonts w:hint="eastAsia" w:ascii="仿宋" w:hAnsi="仿宋" w:eastAsia="仿宋" w:cs="仿宋"/>
          <w:color w:val="auto"/>
          <w:sz w:val="24"/>
          <w:highlight w:val="none"/>
        </w:rPr>
        <w:tab/>
      </w:r>
      <w:bookmarkEnd w:id="61"/>
      <w:r>
        <w:rPr>
          <w:rFonts w:hint="eastAsia" w:ascii="仿宋" w:hAnsi="仿宋" w:eastAsia="仿宋" w:cs="仿宋"/>
          <w:color w:val="auto"/>
          <w:sz w:val="24"/>
          <w:highlight w:val="none"/>
        </w:rPr>
        <w:t>政府采购信用担保试点范围内的项目，接受符合财政部门规定的政府采购投标担保函原件。</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未按本须知第12.1和12.3条规定提交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12.4.1  采用电汇形式的，一般可以实时入账；</w:t>
      </w:r>
    </w:p>
    <w:p>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12.4.2  采用支票形式的，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则应充分考虑支票入账时间，以确保</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能按时进入指定账户。根据银行信息交换和付款时间，支票从递交至实际入账一般需要4-5个工作日。如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未及时提交支票或支票不符合银行委托收款要求（如污损、折叠、胶装等），导致</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不能按时进入指定账户的，将按照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的第22.2条相关规定处理。</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12.5    联合体投标的，可以由联合体中的一方或者共同提交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。以一方名义提交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的，对联合体各方均具有约束力。</w:t>
      </w:r>
    </w:p>
    <w:p>
      <w:pPr>
        <w:keepNext w:val="0"/>
        <w:keepLines w:val="0"/>
        <w:pageBreakBefore w:val="0"/>
        <w:widowControl w:val="0"/>
        <w:kinsoku/>
        <w:wordWrap/>
        <w:overflowPunct/>
        <w:topLinePunct w:val="0"/>
        <w:autoSpaceDE/>
        <w:autoSpaceDN/>
        <w:bidi w:val="0"/>
        <w:adjustRightInd/>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lang w:eastAsia="zh-CN"/>
        </w:rPr>
        <w:t>磋商保证金</w:t>
      </w:r>
      <w:r>
        <w:rPr>
          <w:rFonts w:hint="eastAsia" w:ascii="仿宋" w:hAnsi="仿宋" w:eastAsia="仿宋" w:cs="仿宋"/>
          <w:b/>
          <w:color w:val="auto"/>
          <w:sz w:val="24"/>
          <w:highlight w:val="none"/>
        </w:rPr>
        <w:t>的退还</w:t>
      </w:r>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12.6.1  中标人应在与采购人签订合同之日起5个工作日内，及时联系保证金收受机构办理</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无息退还手续。</w:t>
      </w:r>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12.6.2  未中标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将在中标通知书发出之日暨中标结果公告公布之日起5个工作日内无息退还。</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及时联系保证金收受机构办理退还</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手续。</w:t>
      </w:r>
      <w:bookmarkStart w:id="62" w:name="_Toc518923075"/>
    </w:p>
    <w:p>
      <w:pPr>
        <w:keepNext w:val="0"/>
        <w:keepLines w:val="0"/>
        <w:pageBreakBefore w:val="0"/>
        <w:widowControl w:val="0"/>
        <w:kinsoku/>
        <w:wordWrap/>
        <w:overflowPunct/>
        <w:topLinePunct w:val="0"/>
        <w:autoSpaceDE/>
        <w:autoSpaceDN/>
        <w:bidi w:val="0"/>
        <w:adjustRightInd/>
        <w:snapToGrid/>
        <w:spacing w:line="360" w:lineRule="auto"/>
        <w:ind w:left="1020" w:hanging="1020" w:hangingChars="425"/>
        <w:textAlignment w:val="auto"/>
        <w:rPr>
          <w:rFonts w:hint="eastAsia" w:ascii="仿宋" w:hAnsi="仿宋" w:eastAsia="仿宋" w:cs="仿宋"/>
          <w:bCs/>
          <w:color w:val="auto"/>
          <w:sz w:val="24"/>
          <w:szCs w:val="32"/>
          <w:highlight w:val="none"/>
        </w:rPr>
      </w:pPr>
      <w:r>
        <w:rPr>
          <w:rFonts w:hint="eastAsia" w:ascii="仿宋" w:hAnsi="仿宋" w:eastAsia="仿宋" w:cs="仿宋"/>
          <w:bCs/>
          <w:color w:val="auto"/>
          <w:sz w:val="24"/>
          <w:szCs w:val="32"/>
          <w:highlight w:val="none"/>
        </w:rPr>
        <w:t>12.6.3  政府采购投标担保函不予退回。</w:t>
      </w:r>
      <w:bookmarkEnd w:id="62"/>
    </w:p>
    <w:p>
      <w:pPr>
        <w:keepNext w:val="0"/>
        <w:keepLines w:val="0"/>
        <w:pageBreakBefore w:val="0"/>
        <w:widowControl w:val="0"/>
        <w:kinsoku/>
        <w:wordWrap/>
        <w:overflowPunct/>
        <w:topLinePunct w:val="0"/>
        <w:autoSpaceDE/>
        <w:autoSpaceDN/>
        <w:bidi w:val="0"/>
        <w:adjustRightInd/>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12.7    因</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自身原因导致无法及时退还的，采购人或采购代理机构将不承担相应责任。</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63" w:name="_Toc518923076"/>
      <w:bookmarkStart w:id="64" w:name="_Toc17337"/>
      <w:bookmarkStart w:id="65" w:name="_Toc520356157"/>
      <w:r>
        <w:rPr>
          <w:rFonts w:hint="eastAsia" w:ascii="仿宋" w:hAnsi="仿宋" w:eastAsia="仿宋" w:cs="仿宋"/>
          <w:color w:val="auto"/>
          <w:highlight w:val="none"/>
          <w:u w:val="none"/>
        </w:rPr>
        <w:t>13.投标有效期</w:t>
      </w:r>
      <w:bookmarkEnd w:id="63"/>
      <w:bookmarkEnd w:id="64"/>
      <w:bookmarkEnd w:id="6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投标应在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中规定时间内保持有效。投标有效期不满足要求的投标，其投标将被认定为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为保证有充分时间签订合同，采购人或采购代理机构可根据实际情况，在原投标有效期截止之前，要求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延长</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的有效期。接受该要求的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将不会被要求和允许修正其投标，且本须知中有关</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的要求须在延长的有效期内继续有效。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可以拒绝延长投标有效期的要求，其</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将及时按规定无息退还。上述要求和答复都应以书面形式提交。</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66" w:name="_Toc520356158"/>
      <w:bookmarkStart w:id="67" w:name="_Toc518923077"/>
      <w:bookmarkStart w:id="68" w:name="_Toc28340"/>
      <w:r>
        <w:rPr>
          <w:rFonts w:hint="eastAsia" w:ascii="仿宋" w:hAnsi="仿宋" w:eastAsia="仿宋" w:cs="仿宋"/>
          <w:color w:val="auto"/>
          <w:highlight w:val="none"/>
          <w:u w:val="none"/>
        </w:rPr>
        <w:t>14.</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的签署</w:t>
      </w:r>
      <w:bookmarkEnd w:id="66"/>
      <w:r>
        <w:rPr>
          <w:rFonts w:hint="eastAsia" w:ascii="仿宋" w:hAnsi="仿宋" w:eastAsia="仿宋" w:cs="仿宋"/>
          <w:color w:val="auto"/>
          <w:highlight w:val="none"/>
          <w:u w:val="none"/>
        </w:rPr>
        <w:t>及规定</w:t>
      </w:r>
      <w:bookmarkEnd w:id="67"/>
      <w:bookmarkEnd w:id="6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中的规定，准备和递交</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加密上传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电子</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 xml:space="preserve">   所有</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应按照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w:t>
      </w:r>
      <w:r>
        <w:rPr>
          <w:rFonts w:hint="eastAsia" w:ascii="仿宋" w:hAnsi="仿宋" w:eastAsia="仿宋" w:cs="仿宋"/>
          <w:color w:val="auto"/>
          <w:sz w:val="24"/>
          <w:highlight w:val="none"/>
          <w:lang w:eastAsia="zh-CN"/>
        </w:rPr>
        <w:t>。</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因字迹潦草、表达不清或</w:t>
      </w:r>
      <w:r>
        <w:rPr>
          <w:rFonts w:hint="eastAsia" w:ascii="仿宋" w:hAnsi="仿宋" w:eastAsia="仿宋" w:cs="仿宋"/>
          <w:color w:val="auto"/>
          <w:sz w:val="24"/>
          <w:highlight w:val="none"/>
          <w:lang w:val="en-US" w:eastAsia="zh-CN"/>
        </w:rPr>
        <w:t>未按照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规定的格式填写、签署和盖章所引起的后果由</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负责。</w:t>
      </w:r>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1"/>
          <w:highlight w:val="none"/>
        </w:rPr>
      </w:pPr>
      <w:bookmarkStart w:id="69" w:name="_Toc216582808"/>
      <w:bookmarkStart w:id="70" w:name="_Toc31570"/>
      <w:bookmarkStart w:id="71" w:name="_Toc518923078"/>
      <w:bookmarkStart w:id="72" w:name="_Toc520356159"/>
      <w:r>
        <w:rPr>
          <w:rFonts w:hint="eastAsia" w:ascii="仿宋" w:hAnsi="仿宋" w:eastAsia="仿宋" w:cs="仿宋"/>
          <w:color w:val="auto"/>
          <w:sz w:val="28"/>
          <w:szCs w:val="21"/>
          <w:highlight w:val="none"/>
        </w:rPr>
        <w:t xml:space="preserve">四   </w:t>
      </w:r>
      <w:r>
        <w:rPr>
          <w:rFonts w:hint="eastAsia" w:ascii="仿宋" w:hAnsi="仿宋" w:eastAsia="仿宋" w:cs="仿宋"/>
          <w:color w:val="auto"/>
          <w:sz w:val="28"/>
          <w:szCs w:val="21"/>
          <w:highlight w:val="none"/>
          <w:lang w:eastAsia="zh-CN"/>
        </w:rPr>
        <w:t>响应文件</w:t>
      </w:r>
      <w:r>
        <w:rPr>
          <w:rFonts w:hint="eastAsia" w:ascii="仿宋" w:hAnsi="仿宋" w:eastAsia="仿宋" w:cs="仿宋"/>
          <w:color w:val="auto"/>
          <w:sz w:val="28"/>
          <w:szCs w:val="21"/>
          <w:highlight w:val="none"/>
        </w:rPr>
        <w:t>的递交</w:t>
      </w:r>
      <w:bookmarkEnd w:id="69"/>
      <w:bookmarkEnd w:id="70"/>
      <w:bookmarkEnd w:id="71"/>
      <w:bookmarkEnd w:id="72"/>
    </w:p>
    <w:p>
      <w:pPr>
        <w:pStyle w:val="6"/>
        <w:pageBreakBefore w:val="0"/>
        <w:widowControl w:val="0"/>
        <w:kinsoku/>
        <w:wordWrap/>
        <w:overflowPunct/>
        <w:topLinePunct w:val="0"/>
        <w:bidi w:val="0"/>
        <w:snapToGrid/>
        <w:spacing w:line="360" w:lineRule="auto"/>
        <w:textAlignment w:val="auto"/>
        <w:rPr>
          <w:rFonts w:hint="eastAsia" w:ascii="仿宋" w:hAnsi="仿宋" w:eastAsia="仿宋" w:cs="仿宋"/>
          <w:color w:val="auto"/>
          <w:highlight w:val="none"/>
        </w:rPr>
      </w:pP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3" w:name="_Toc518923079"/>
      <w:bookmarkStart w:id="74" w:name="_Toc520356160"/>
      <w:bookmarkStart w:id="75" w:name="_Toc22296"/>
      <w:r>
        <w:rPr>
          <w:rFonts w:hint="eastAsia" w:ascii="仿宋" w:hAnsi="仿宋" w:eastAsia="仿宋" w:cs="仿宋"/>
          <w:color w:val="auto"/>
          <w:highlight w:val="none"/>
          <w:u w:val="none"/>
        </w:rPr>
        <w:t>15.</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的密封和标记</w:t>
      </w:r>
      <w:bookmarkEnd w:id="73"/>
      <w:bookmarkEnd w:id="74"/>
      <w:bookmarkEnd w:id="7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r>
        <w:rPr>
          <w:rFonts w:hint="eastAsia" w:ascii="仿宋" w:hAnsi="仿宋" w:eastAsia="仿宋" w:cs="仿宋"/>
          <w:color w:val="auto"/>
          <w:sz w:val="24"/>
          <w:highlight w:val="none"/>
          <w:lang w:val="en-US" w:eastAsia="zh-CN"/>
        </w:rPr>
        <w:t xml:space="preserve"> </w:t>
      </w:r>
      <w:r>
        <w:rPr>
          <w:rFonts w:hint="eastAsia" w:ascii="仿宋" w:hAnsi="仿宋" w:eastAsia="仿宋" w:cs="仿宋"/>
          <w:b/>
          <w:bCs/>
          <w:color w:val="auto"/>
          <w:sz w:val="24"/>
          <w:highlight w:val="none"/>
          <w:u w:val="single"/>
        </w:rPr>
        <w:t>为方便</w:t>
      </w:r>
      <w:r>
        <w:rPr>
          <w:rFonts w:hint="eastAsia" w:ascii="仿宋" w:hAnsi="仿宋" w:eastAsia="仿宋" w:cs="仿宋"/>
          <w:b/>
          <w:bCs/>
          <w:color w:val="auto"/>
          <w:sz w:val="24"/>
          <w:highlight w:val="none"/>
          <w:u w:val="single"/>
          <w:lang w:val="en-US" w:eastAsia="zh-CN"/>
        </w:rPr>
        <w:t>评审</w:t>
      </w:r>
      <w:r>
        <w:rPr>
          <w:rFonts w:hint="eastAsia" w:ascii="仿宋" w:hAnsi="仿宋" w:eastAsia="仿宋" w:cs="仿宋"/>
          <w:b/>
          <w:bCs/>
          <w:color w:val="auto"/>
          <w:sz w:val="24"/>
          <w:highlight w:val="none"/>
          <w:u w:val="single"/>
        </w:rPr>
        <w:t>及进行资格审查，</w:t>
      </w:r>
      <w:r>
        <w:rPr>
          <w:rFonts w:hint="eastAsia" w:ascii="仿宋" w:hAnsi="仿宋" w:eastAsia="仿宋" w:cs="仿宋"/>
          <w:b/>
          <w:bCs/>
          <w:color w:val="auto"/>
          <w:sz w:val="24"/>
          <w:highlight w:val="none"/>
          <w:u w:val="single"/>
          <w:lang w:eastAsia="zh-CN"/>
        </w:rPr>
        <w:t>投标人</w:t>
      </w:r>
      <w:r>
        <w:rPr>
          <w:rFonts w:hint="eastAsia" w:ascii="仿宋" w:hAnsi="仿宋" w:eastAsia="仿宋" w:cs="仿宋"/>
          <w:b/>
          <w:bCs/>
          <w:color w:val="auto"/>
          <w:sz w:val="24"/>
          <w:highlight w:val="none"/>
          <w:u w:val="single"/>
        </w:rPr>
        <w:t>应完整地按</w:t>
      </w:r>
      <w:r>
        <w:rPr>
          <w:rFonts w:hint="eastAsia" w:ascii="仿宋" w:hAnsi="仿宋" w:eastAsia="仿宋" w:cs="仿宋"/>
          <w:b/>
          <w:bCs/>
          <w:color w:val="auto"/>
          <w:sz w:val="24"/>
          <w:highlight w:val="none"/>
          <w:u w:val="single"/>
          <w:lang w:eastAsia="zh-CN"/>
        </w:rPr>
        <w:t>磋商文件</w:t>
      </w:r>
      <w:r>
        <w:rPr>
          <w:rFonts w:hint="eastAsia" w:ascii="仿宋" w:hAnsi="仿宋" w:eastAsia="仿宋" w:cs="仿宋"/>
          <w:b/>
          <w:bCs/>
          <w:color w:val="auto"/>
          <w:sz w:val="24"/>
          <w:highlight w:val="none"/>
          <w:u w:val="single"/>
        </w:rPr>
        <w:t>提供的</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rPr>
        <w:t>格式及要求编写</w:t>
      </w:r>
      <w:r>
        <w:rPr>
          <w:rFonts w:hint="eastAsia" w:ascii="仿宋" w:hAnsi="仿宋" w:eastAsia="仿宋" w:cs="仿宋"/>
          <w:b/>
          <w:bCs/>
          <w:color w:val="auto"/>
          <w:sz w:val="24"/>
          <w:highlight w:val="none"/>
          <w:u w:val="single"/>
          <w:lang w:eastAsia="zh-CN"/>
        </w:rPr>
        <w:t>响应文件，</w:t>
      </w:r>
      <w:r>
        <w:rPr>
          <w:rFonts w:hint="eastAsia" w:ascii="仿宋" w:hAnsi="仿宋" w:eastAsia="仿宋" w:cs="仿宋"/>
          <w:b/>
          <w:bCs/>
          <w:color w:val="auto"/>
          <w:sz w:val="24"/>
          <w:highlight w:val="none"/>
          <w:u w:val="single"/>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6" w:name="_Toc2167"/>
      <w:bookmarkStart w:id="77" w:name="_Toc520356161"/>
      <w:bookmarkStart w:id="78" w:name="_Toc518923080"/>
      <w:r>
        <w:rPr>
          <w:rFonts w:hint="eastAsia" w:ascii="仿宋" w:hAnsi="仿宋" w:eastAsia="仿宋" w:cs="仿宋"/>
          <w:color w:val="auto"/>
          <w:highlight w:val="none"/>
          <w:u w:val="none"/>
        </w:rPr>
        <w:t>16.投标截止</w:t>
      </w:r>
      <w:bookmarkEnd w:id="76"/>
      <w:bookmarkEnd w:id="77"/>
      <w:bookmarkEnd w:id="7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16.1</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应在投标邀请书中规定的截止时间前，将</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递交到投标邀请书中规定的地点。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采购人和采购代理机构有权按本须知的规定，延迟投标截止时间。在此情况下，采购人、采购代理机构和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受投标截止时间制约的所有权利和义务均应延长至新的截止时间。</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79" w:name="_Toc26870"/>
      <w:bookmarkStart w:id="80" w:name="_Toc520356162"/>
      <w:bookmarkStart w:id="81" w:name="_Toc518923081"/>
      <w:r>
        <w:rPr>
          <w:rFonts w:hint="eastAsia" w:ascii="仿宋" w:hAnsi="仿宋" w:eastAsia="仿宋" w:cs="仿宋"/>
          <w:color w:val="auto"/>
          <w:highlight w:val="none"/>
          <w:u w:val="none"/>
        </w:rPr>
        <w:t>17.</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的接收、修改与撤回</w:t>
      </w:r>
      <w:bookmarkEnd w:id="79"/>
      <w:bookmarkEnd w:id="80"/>
      <w:bookmarkEnd w:id="81"/>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b/>
          <w:color w:val="auto"/>
          <w:highlight w:val="none"/>
        </w:rPr>
      </w:pPr>
      <w:r>
        <w:rPr>
          <w:rFonts w:hint="eastAsia" w:ascii="仿宋" w:hAnsi="仿宋" w:eastAsia="仿宋" w:cs="仿宋"/>
          <w:color w:val="auto"/>
          <w:sz w:val="24"/>
          <w:highlight w:val="none"/>
        </w:rPr>
        <w:t>17.1   在投标截止时间后送达</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的，采购人和采购代理机构将拒绝接收。</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采购人或者采购代理机构收到</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后，应当如实记载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的送达时间和密封情况，并向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出具以下签收回执。</w:t>
      </w:r>
    </w:p>
    <w:p>
      <w:pPr>
        <w:pageBreakBefore w:val="0"/>
        <w:widowControl w:val="0"/>
        <w:kinsoku/>
        <w:wordWrap/>
        <w:overflowPunct/>
        <w:topLinePunct w:val="0"/>
        <w:bidi w:val="0"/>
        <w:snapToGrid/>
        <w:spacing w:line="360" w:lineRule="auto"/>
        <w:textAlignment w:val="auto"/>
        <w:rPr>
          <w:rFonts w:hint="eastAsia" w:ascii="仿宋" w:hAnsi="仿宋" w:eastAsia="仿宋" w:cs="仿宋"/>
          <w:color w:val="auto"/>
          <w:sz w:val="24"/>
          <w:highlight w:val="none"/>
        </w:rPr>
      </w:pP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   递交</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以后，如果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要进行修改或撤回投标，须提出书面申请并在投标截止时间前送达开标地点，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的修改或撤回通知应按本须知规定编制、密封、标记。</w:t>
      </w:r>
    </w:p>
    <w:p>
      <w:pPr>
        <w:pageBreakBefore w:val="0"/>
        <w:widowControl w:val="0"/>
        <w:kinsoku/>
        <w:wordWrap/>
        <w:overflowPunct/>
        <w:topLinePunct w:val="0"/>
        <w:bidi w:val="0"/>
        <w:snapToGrid/>
        <w:spacing w:line="360" w:lineRule="auto"/>
        <w:ind w:left="735" w:leftChars="350" w:firstLine="120" w:firstLineChars="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采购人和采购代理机构将予以接收，并视为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的组成部分。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在投标截止期之后，采购人和采购代理机构不接受</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主动对其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做任何修改。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17.5</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采购人和采购代理机构对所接收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概不退回。</w:t>
      </w:r>
      <w:bookmarkStart w:id="82" w:name="_Toc216582809"/>
      <w:bookmarkStart w:id="83" w:name="_Toc518923082"/>
      <w:bookmarkStart w:id="84" w:name="_Toc24979"/>
      <w:bookmarkStart w:id="85" w:name="_Toc520356163"/>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1"/>
          <w:highlight w:val="none"/>
        </w:rPr>
      </w:pPr>
      <w:r>
        <w:rPr>
          <w:rFonts w:hint="eastAsia" w:ascii="仿宋" w:hAnsi="仿宋" w:eastAsia="仿宋" w:cs="仿宋"/>
          <w:color w:val="auto"/>
          <w:sz w:val="28"/>
          <w:szCs w:val="21"/>
          <w:highlight w:val="none"/>
        </w:rPr>
        <w:t>五   开标及评标</w:t>
      </w:r>
      <w:bookmarkEnd w:id="82"/>
      <w:bookmarkEnd w:id="83"/>
      <w:bookmarkEnd w:id="84"/>
      <w:bookmarkEnd w:id="85"/>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86" w:name="_Toc520356164"/>
      <w:bookmarkStart w:id="87" w:name="_Toc518923083"/>
      <w:bookmarkStart w:id="88" w:name="_Toc417"/>
      <w:r>
        <w:rPr>
          <w:rFonts w:hint="eastAsia" w:ascii="仿宋" w:hAnsi="仿宋" w:eastAsia="仿宋" w:cs="仿宋"/>
          <w:color w:val="auto"/>
          <w:highlight w:val="none"/>
          <w:u w:val="none"/>
        </w:rPr>
        <w:t>18.开标</w:t>
      </w:r>
      <w:bookmarkEnd w:id="86"/>
      <w:bookmarkEnd w:id="87"/>
      <w:bookmarkEnd w:id="88"/>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采购人和采购代理机构将按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中规定的开标时间和地点组织</w:t>
      </w:r>
      <w:r>
        <w:rPr>
          <w:rFonts w:hint="eastAsia" w:ascii="仿宋" w:hAnsi="仿宋" w:eastAsia="仿宋" w:cs="仿宋"/>
          <w:color w:val="auto"/>
          <w:sz w:val="24"/>
          <w:highlight w:val="none"/>
          <w:lang w:val="en-US" w:eastAsia="zh-CN"/>
        </w:rPr>
        <w:t>采购活动</w:t>
      </w:r>
      <w:r>
        <w:rPr>
          <w:rFonts w:hint="eastAsia" w:ascii="仿宋" w:hAnsi="仿宋" w:eastAsia="仿宋" w:cs="仿宋"/>
          <w:color w:val="auto"/>
          <w:sz w:val="24"/>
          <w:highlight w:val="none"/>
        </w:rPr>
        <w:t>并邀请所有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w:t>
      </w:r>
      <w:r>
        <w:rPr>
          <w:rFonts w:hint="eastAsia" w:ascii="仿宋" w:hAnsi="仿宋" w:eastAsia="仿宋" w:cs="仿宋"/>
          <w:color w:val="auto"/>
          <w:sz w:val="24"/>
          <w:highlight w:val="none"/>
          <w:lang w:val="en-US" w:eastAsia="zh-CN"/>
        </w:rPr>
        <w:t>线上</w:t>
      </w:r>
      <w:r>
        <w:rPr>
          <w:rFonts w:hint="eastAsia" w:ascii="仿宋" w:hAnsi="仿宋" w:eastAsia="仿宋" w:cs="仿宋"/>
          <w:color w:val="auto"/>
          <w:sz w:val="24"/>
          <w:highlight w:val="none"/>
        </w:rPr>
        <w:t xml:space="preserve">参加。  </w:t>
      </w:r>
    </w:p>
    <w:p>
      <w:pPr>
        <w:pageBreakBefore w:val="0"/>
        <w:widowControl w:val="0"/>
        <w:kinsoku/>
        <w:wordWrap/>
        <w:overflowPunct/>
        <w:topLinePunct w:val="0"/>
        <w:bidi w:val="0"/>
        <w:snapToGrid/>
        <w:spacing w:line="360" w:lineRule="auto"/>
        <w:ind w:firstLine="960" w:firstLine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不足3家的，不得开标。</w:t>
      </w:r>
    </w:p>
    <w:p>
      <w:pPr>
        <w:pStyle w:val="6"/>
        <w:pageBreakBefore w:val="0"/>
        <w:widowControl w:val="0"/>
        <w:kinsoku/>
        <w:wordWrap/>
        <w:overflowPunct/>
        <w:topLinePunct w:val="0"/>
        <w:bidi w:val="0"/>
        <w:snapToGrid/>
        <w:spacing w:line="360" w:lineRule="auto"/>
        <w:ind w:left="720" w:leftChars="0" w:hanging="720" w:hangingChars="300"/>
        <w:textAlignment w:val="auto"/>
        <w:rPr>
          <w:rFonts w:hint="default" w:ascii="仿宋" w:hAnsi="仿宋" w:eastAsia="仿宋" w:cs="仿宋"/>
          <w:color w:val="auto"/>
          <w:kern w:val="2"/>
          <w:sz w:val="24"/>
          <w:szCs w:val="24"/>
          <w:highlight w:val="none"/>
          <w:lang w:val="en-US" w:eastAsia="zh-CN" w:bidi="ar-SA"/>
        </w:rPr>
      </w:pPr>
      <w:bookmarkStart w:id="89" w:name="_Toc26459"/>
      <w:r>
        <w:rPr>
          <w:rFonts w:hint="eastAsia" w:ascii="仿宋" w:hAnsi="仿宋" w:eastAsia="仿宋" w:cs="仿宋"/>
          <w:b w:val="0"/>
          <w:bCs/>
          <w:color w:val="auto"/>
          <w:sz w:val="24"/>
          <w:szCs w:val="24"/>
          <w:u w:val="none"/>
        </w:rPr>
        <w:t xml:space="preserve">18.2 </w:t>
      </w:r>
      <w:bookmarkEnd w:id="89"/>
      <w:r>
        <w:rPr>
          <w:rFonts w:hint="eastAsia" w:ascii="仿宋" w:hAnsi="仿宋" w:eastAsia="仿宋" w:cs="仿宋"/>
          <w:color w:val="auto"/>
          <w:kern w:val="2"/>
          <w:sz w:val="24"/>
          <w:szCs w:val="24"/>
          <w:highlight w:val="none"/>
          <w:lang w:val="en-US" w:eastAsia="zh-CN" w:bidi="ar-SA"/>
        </w:rPr>
        <w:t>投标人应当按照本采购文件载明的时间和模式等要求参加开标。开标时，投标人应当使用上传本项目（采购包）电子响应文件时加密所用数字证书在开始解密后按照代理机构规定的时间内完成电子响应文件的解密，如遇不可抗力等其他特殊情况，采购代理机构可视情况延长解密时间。投标人未携带数字证书或其他非系统原因导致的在规定时间内未解密响应文件，将作无效投标处理。（采用不见面电子开标，各投标人在参加开标以前须自行对使用电脑的网络环境、驱动安装、客户端安装以及数字证书的有效性等进行检测，确保可以正常使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 xml:space="preserve">  采购人或采购代理机构将对开标过程进行记录</w:t>
      </w:r>
      <w:bookmarkStart w:id="90" w:name="_Toc520356165"/>
      <w:r>
        <w:rPr>
          <w:rFonts w:hint="eastAsia" w:ascii="仿宋" w:hAnsi="仿宋" w:eastAsia="仿宋" w:cs="仿宋"/>
          <w:color w:val="auto"/>
          <w:sz w:val="24"/>
          <w:highlight w:val="none"/>
        </w:rPr>
        <w:t>，由参加开标的各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代表和相关工作人员签字确认，并存档备查。</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18.</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代表对开标过程和开标记录有疑义，以及认为采购人、采购代理机构相关工作人员有需要回避的情形的，应当场提出询问或者回避申请。</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lang w:eastAsia="zh-CN"/>
        </w:rPr>
      </w:pPr>
      <w:bookmarkStart w:id="91" w:name="_Toc518923084"/>
      <w:bookmarkStart w:id="92" w:name="_Toc15154"/>
      <w:r>
        <w:rPr>
          <w:rFonts w:hint="eastAsia" w:ascii="仿宋" w:hAnsi="仿宋" w:eastAsia="仿宋" w:cs="仿宋"/>
          <w:color w:val="auto"/>
          <w:highlight w:val="none"/>
          <w:u w:val="none"/>
        </w:rPr>
        <w:t>19</w:t>
      </w:r>
      <w:bookmarkEnd w:id="90"/>
      <w:r>
        <w:rPr>
          <w:rFonts w:hint="eastAsia" w:ascii="仿宋" w:hAnsi="仿宋" w:eastAsia="仿宋" w:cs="仿宋"/>
          <w:color w:val="auto"/>
          <w:highlight w:val="none"/>
          <w:u w:val="none"/>
        </w:rPr>
        <w:t>.资格审查及组建</w:t>
      </w:r>
      <w:bookmarkEnd w:id="91"/>
      <w:r>
        <w:rPr>
          <w:rFonts w:hint="eastAsia" w:ascii="仿宋" w:hAnsi="仿宋" w:eastAsia="仿宋" w:cs="仿宋"/>
          <w:color w:val="auto"/>
          <w:highlight w:val="none"/>
          <w:u w:val="none"/>
          <w:lang w:eastAsia="zh-CN"/>
        </w:rPr>
        <w:t>磋商小组</w:t>
      </w:r>
      <w:bookmarkEnd w:id="92"/>
    </w:p>
    <w:p>
      <w:pPr>
        <w:pageBreakBefore w:val="0"/>
        <w:widowControl w:val="0"/>
        <w:kinsoku/>
        <w:wordWrap/>
        <w:overflowPunct/>
        <w:topLinePunct w:val="0"/>
        <w:bidi w:val="0"/>
        <w:snapToGrid/>
        <w:spacing w:line="360" w:lineRule="auto"/>
        <w:ind w:left="960" w:hanging="960" w:hangingChars="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19.1    </w:t>
      </w:r>
      <w:r>
        <w:rPr>
          <w:rFonts w:hint="eastAsia" w:ascii="仿宋" w:hAnsi="仿宋" w:eastAsia="仿宋" w:cs="仿宋"/>
          <w:b w:val="0"/>
          <w:bCs/>
          <w:color w:val="auto"/>
          <w:kern w:val="0"/>
          <w:sz w:val="24"/>
          <w:szCs w:val="24"/>
          <w:u w:val="none"/>
          <w:lang w:val="en-US" w:eastAsia="zh-CN" w:bidi="ar-SA"/>
        </w:rPr>
        <w:t>资格审查小组</w:t>
      </w:r>
      <w:r>
        <w:rPr>
          <w:rFonts w:hint="eastAsia" w:ascii="仿宋" w:hAnsi="仿宋" w:eastAsia="仿宋" w:cs="仿宋"/>
          <w:color w:val="auto"/>
          <w:sz w:val="24"/>
          <w:highlight w:val="none"/>
        </w:rPr>
        <w:t>依据法律法规和</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中规定的内容，对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的资格进行审查。未通过资格审查的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不进入评标；进入评标的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不足3家的，不得评标。</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   采购人或采购代理机构将在开标后1小时的期间内查询</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的信用记录。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存在不良信用记录的，其投标将被认定为</w:t>
      </w:r>
      <w:r>
        <w:rPr>
          <w:rFonts w:hint="eastAsia" w:ascii="仿宋" w:hAnsi="仿宋" w:eastAsia="仿宋" w:cs="仿宋"/>
          <w:b/>
          <w:bCs/>
          <w:color w:val="auto"/>
          <w:sz w:val="24"/>
          <w:highlight w:val="none"/>
          <w:u w:val="none"/>
        </w:rPr>
        <w:t>投标无效</w:t>
      </w:r>
      <w:r>
        <w:rPr>
          <w:rFonts w:hint="eastAsia" w:ascii="仿宋" w:hAnsi="仿宋" w:eastAsia="仿宋" w:cs="仿宋"/>
          <w:color w:val="auto"/>
          <w:sz w:val="24"/>
          <w:highlight w:val="none"/>
          <w:u w:val="none"/>
        </w:rPr>
        <w:t>。</w:t>
      </w:r>
    </w:p>
    <w:p>
      <w:pPr>
        <w:pageBreakBefore w:val="0"/>
        <w:widowControl w:val="0"/>
        <w:kinsoku/>
        <w:wordWrap/>
        <w:overflowPunct/>
        <w:topLinePunct w:val="0"/>
        <w:bidi w:val="0"/>
        <w:snapToGrid/>
        <w:spacing w:line="360" w:lineRule="auto"/>
        <w:ind w:left="857" w:leftChars="2" w:hanging="853"/>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19.2.1 不良信用记录指：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以联合体形式参加投标的，联合体任何成员存在以上不良信用记录的，联合体投标将被认定为投标无效。</w:t>
      </w:r>
    </w:p>
    <w:p>
      <w:pPr>
        <w:pStyle w:val="6"/>
        <w:pageBreakBefore w:val="0"/>
        <w:widowControl w:val="0"/>
        <w:kinsoku/>
        <w:wordWrap/>
        <w:overflowPunct/>
        <w:topLinePunct w:val="0"/>
        <w:bidi w:val="0"/>
        <w:snapToGrid/>
        <w:spacing w:line="360" w:lineRule="auto"/>
        <w:ind w:left="850" w:hanging="849" w:hangingChars="354"/>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19.2.2 查询及记录方式：采购人或采购代理机构经办人将查询网页</w:t>
      </w:r>
      <w:r>
        <w:rPr>
          <w:rFonts w:hint="eastAsia" w:ascii="仿宋" w:hAnsi="仿宋" w:eastAsia="仿宋" w:cs="仿宋"/>
          <w:color w:val="auto"/>
          <w:highlight w:val="none"/>
          <w:lang w:val="en-US" w:eastAsia="zh-CN"/>
        </w:rPr>
        <w:t>截图通过开标系统上传至政采云平台</w:t>
      </w:r>
      <w:r>
        <w:rPr>
          <w:rFonts w:hint="eastAsia" w:ascii="仿宋" w:hAnsi="仿宋" w:eastAsia="仿宋" w:cs="仿宋"/>
          <w:color w:val="auto"/>
          <w:highlight w:val="none"/>
        </w:rPr>
        <w:t>并存档备查。</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不良信用记录以采购人或采购代理机构查询结果为准。</w:t>
      </w:r>
    </w:p>
    <w:p>
      <w:pPr>
        <w:pStyle w:val="6"/>
        <w:pageBreakBefore w:val="0"/>
        <w:widowControl w:val="0"/>
        <w:kinsoku/>
        <w:wordWrap/>
        <w:overflowPunct/>
        <w:topLinePunct w:val="0"/>
        <w:bidi w:val="0"/>
        <w:snapToGrid/>
        <w:spacing w:line="360" w:lineRule="auto"/>
        <w:ind w:left="850" w:leftChars="405" w:firstLine="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rPr>
        <w:t>在本</w:t>
      </w:r>
      <w:r>
        <w:rPr>
          <w:rFonts w:hint="eastAsia" w:ascii="仿宋" w:hAnsi="仿宋" w:eastAsia="仿宋" w:cs="仿宋"/>
          <w:color w:val="auto"/>
          <w:highlight w:val="none"/>
          <w:lang w:eastAsia="zh-CN"/>
        </w:rPr>
        <w:t>磋商文件</w:t>
      </w:r>
      <w:r>
        <w:rPr>
          <w:rFonts w:hint="eastAsia" w:ascii="仿宋" w:hAnsi="仿宋" w:eastAsia="仿宋" w:cs="仿宋"/>
          <w:color w:val="auto"/>
          <w:highlight w:val="none"/>
        </w:rPr>
        <w:t>规定的查询时间之后，网站信息发生的任何变更均不再作为评标依据。</w:t>
      </w:r>
    </w:p>
    <w:p>
      <w:pPr>
        <w:pStyle w:val="6"/>
        <w:pageBreakBefore w:val="0"/>
        <w:widowControl w:val="0"/>
        <w:kinsoku/>
        <w:wordWrap/>
        <w:overflowPunct/>
        <w:topLinePunct w:val="0"/>
        <w:bidi w:val="0"/>
        <w:snapToGrid/>
        <w:spacing w:line="360" w:lineRule="auto"/>
        <w:ind w:left="850" w:leftChars="405" w:firstLine="0"/>
        <w:jc w:val="both"/>
        <w:textAlignment w:val="auto"/>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自行提供的与网站信息不一致的其他证明材料亦不作为资格审查的依据。</w:t>
      </w:r>
      <w:bookmarkStart w:id="93" w:name="_Toc520356166"/>
      <w:bookmarkStart w:id="94" w:name="_Toc2311"/>
      <w:bookmarkStart w:id="95" w:name="_Toc518923085"/>
    </w:p>
    <w:p>
      <w:pPr>
        <w:pageBreakBefore w:val="0"/>
        <w:widowControl w:val="0"/>
        <w:kinsoku/>
        <w:wordWrap/>
        <w:overflowPunct/>
        <w:topLinePunct w:val="0"/>
        <w:bidi w:val="0"/>
        <w:snapToGrid/>
        <w:spacing w:line="360" w:lineRule="auto"/>
        <w:ind w:left="0" w:leftChars="0" w:firstLine="480" w:firstLineChars="200"/>
        <w:textAlignment w:val="auto"/>
        <w:rPr>
          <w:rFonts w:hint="eastAsia"/>
        </w:rPr>
      </w:pPr>
      <w:r>
        <w:rPr>
          <w:rFonts w:hint="eastAsia" w:ascii="仿宋" w:hAnsi="仿宋" w:eastAsia="仿宋" w:cs="仿宋"/>
          <w:color w:val="auto"/>
          <w:sz w:val="24"/>
          <w:szCs w:val="24"/>
        </w:rPr>
        <w:t>19.3按照《中华人民共和国政府采购法》、《中华人民共和国政府采购法实施条例》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政府采购竞争性磋商采购方式管理暂行办法</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本项目本级和上级财政部门的有关规定依法组建的评标委员会，负责评标工作。</w:t>
      </w:r>
      <w:r>
        <w:rPr>
          <w:rFonts w:hint="eastAsia" w:ascii="仿宋" w:hAnsi="仿宋" w:eastAsia="仿宋" w:cs="仿宋"/>
          <w:b/>
          <w:bCs/>
          <w:color w:val="auto"/>
          <w:sz w:val="24"/>
          <w:szCs w:val="24"/>
          <w:u w:val="single"/>
        </w:rPr>
        <w:t>本项目评标委员会由</w:t>
      </w:r>
      <w:r>
        <w:rPr>
          <w:rFonts w:hint="eastAsia" w:ascii="仿宋" w:hAnsi="仿宋" w:eastAsia="仿宋" w:cs="仿宋"/>
          <w:b/>
          <w:bCs/>
          <w:color w:val="auto"/>
          <w:sz w:val="24"/>
          <w:szCs w:val="24"/>
          <w:u w:val="single"/>
          <w:lang w:val="en-US" w:eastAsia="zh-CN"/>
        </w:rPr>
        <w:t>3</w:t>
      </w:r>
      <w:r>
        <w:rPr>
          <w:rFonts w:hint="eastAsia" w:ascii="仿宋" w:hAnsi="仿宋" w:eastAsia="仿宋" w:cs="仿宋"/>
          <w:b/>
          <w:bCs/>
          <w:color w:val="auto"/>
          <w:sz w:val="24"/>
          <w:szCs w:val="24"/>
          <w:u w:val="single"/>
        </w:rPr>
        <w:t>人组成（</w:t>
      </w:r>
      <w:r>
        <w:rPr>
          <w:rFonts w:hint="eastAsia" w:ascii="仿宋" w:hAnsi="仿宋" w:eastAsia="仿宋" w:cs="仿宋"/>
          <w:b/>
          <w:bCs/>
          <w:color w:val="auto"/>
          <w:sz w:val="24"/>
          <w:szCs w:val="24"/>
          <w:u w:val="single"/>
          <w:lang w:eastAsia="zh-CN"/>
        </w:rPr>
        <w:t>政采云专家库</w:t>
      </w:r>
      <w:r>
        <w:rPr>
          <w:rFonts w:hint="eastAsia" w:ascii="仿宋" w:hAnsi="仿宋" w:eastAsia="仿宋" w:cs="仿宋"/>
          <w:b/>
          <w:bCs/>
          <w:color w:val="auto"/>
          <w:sz w:val="24"/>
          <w:szCs w:val="24"/>
          <w:u w:val="single"/>
        </w:rPr>
        <w:t>随机抽取专家</w:t>
      </w:r>
      <w:r>
        <w:rPr>
          <w:rFonts w:hint="eastAsia" w:ascii="仿宋" w:hAnsi="仿宋" w:eastAsia="仿宋" w:cs="仿宋"/>
          <w:b/>
          <w:bCs/>
          <w:color w:val="auto"/>
          <w:sz w:val="24"/>
          <w:szCs w:val="24"/>
          <w:u w:val="single"/>
          <w:lang w:val="en-US" w:eastAsia="zh-CN"/>
        </w:rPr>
        <w:t>3人</w:t>
      </w:r>
      <w:r>
        <w:rPr>
          <w:rFonts w:hint="eastAsia" w:ascii="仿宋" w:hAnsi="仿宋" w:eastAsia="仿宋" w:cs="仿宋"/>
          <w:b/>
          <w:bCs/>
          <w:color w:val="auto"/>
          <w:sz w:val="24"/>
          <w:szCs w:val="24"/>
          <w:u w:val="single"/>
        </w:rPr>
        <w:t>）。</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val="0"/>
          <w:bCs/>
          <w:color w:val="auto"/>
          <w:highlight w:val="none"/>
          <w:bdr w:val="single" w:color="auto" w:sz="4" w:space="0"/>
        </w:rPr>
      </w:pPr>
      <w:r>
        <w:rPr>
          <w:rFonts w:hint="eastAsia" w:ascii="仿宋" w:hAnsi="仿宋" w:eastAsia="仿宋" w:cs="仿宋"/>
          <w:color w:val="auto"/>
          <w:highlight w:val="none"/>
          <w:u w:val="none"/>
        </w:rPr>
        <w:t>20.</w:t>
      </w:r>
      <w:r>
        <w:rPr>
          <w:rFonts w:hint="eastAsia" w:ascii="仿宋" w:hAnsi="仿宋" w:eastAsia="仿宋" w:cs="仿宋"/>
          <w:color w:val="auto"/>
          <w:highlight w:val="none"/>
          <w:u w:val="none"/>
          <w:lang w:eastAsia="zh-CN"/>
        </w:rPr>
        <w:t>响应文件</w:t>
      </w:r>
      <w:r>
        <w:rPr>
          <w:rFonts w:hint="eastAsia" w:ascii="仿宋" w:hAnsi="仿宋" w:eastAsia="仿宋" w:cs="仿宋"/>
          <w:color w:val="auto"/>
          <w:highlight w:val="none"/>
          <w:u w:val="none"/>
        </w:rPr>
        <w:t>的</w:t>
      </w:r>
      <w:bookmarkEnd w:id="93"/>
      <w:r>
        <w:rPr>
          <w:rFonts w:hint="eastAsia" w:ascii="仿宋" w:hAnsi="仿宋" w:eastAsia="仿宋" w:cs="仿宋"/>
          <w:color w:val="auto"/>
          <w:highlight w:val="none"/>
          <w:u w:val="none"/>
        </w:rPr>
        <w:t>符合性审查与澄清</w:t>
      </w:r>
      <w:bookmarkEnd w:id="94"/>
      <w:bookmarkEnd w:id="9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20.1   符合性审查是指依据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的规定，从</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的有效性和完整性对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的响应程度进行审查，以确定是否对</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的实质性要求做出响应。</w:t>
      </w:r>
      <w:bookmarkStart w:id="96" w:name="_Hlt522424701"/>
      <w:bookmarkEnd w:id="96"/>
      <w:bookmarkStart w:id="97" w:name="_Toc52035616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w:t>
      </w: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的澄清</w:t>
      </w:r>
    </w:p>
    <w:p>
      <w:pPr>
        <w:keepNext w:val="0"/>
        <w:keepLines w:val="0"/>
        <w:pageBreakBefore w:val="0"/>
        <w:widowControl w:val="0"/>
        <w:kinsoku/>
        <w:wordWrap/>
        <w:overflowPunct/>
        <w:topLinePunct w:val="0"/>
        <w:autoSpaceDE/>
        <w:autoSpaceDN/>
        <w:bidi w:val="0"/>
        <w:adjustRightInd/>
        <w:snapToGrid/>
        <w:spacing w:line="360" w:lineRule="auto"/>
        <w:ind w:left="900" w:leftChars="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20.2.1  在评标期间，</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将以书面方式要求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对其</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中含义不明确、对同类问题表述不一致或者有明显文字和计算错误的内容，以及</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的报价明显低于其他通过符合性检查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的报价，有可能影响履约的情况作必要的澄清、说明或补正。</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澄清、说明或补正。应在</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规定的时间内以书面方式进行，并不得超出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范围或者改变</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的实质性内容。</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20.2.2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的澄清、说明或补正将作为</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的一部分。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20.3   </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报价出现前后不一致的，按照下列规定修正：</w:t>
      </w:r>
    </w:p>
    <w:p>
      <w:pPr>
        <w:pageBreakBefore w:val="0"/>
        <w:widowControl w:val="0"/>
        <w:kinsoku/>
        <w:wordWrap/>
        <w:overflowPunct/>
        <w:topLinePunct w:val="0"/>
        <w:bidi w:val="0"/>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（一）</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中开标一览表（报价表）内容与</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中相应内容不一致的，以开标一览表（报价表）为准；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（二）大写金额和小写金额不一致的，以大写金额为准；</w:t>
      </w:r>
    </w:p>
    <w:p>
      <w:pPr>
        <w:pageBreakBefore w:val="0"/>
        <w:widowControl w:val="0"/>
        <w:kinsoku/>
        <w:wordWrap/>
        <w:overflowPunct/>
        <w:topLinePunct w:val="0"/>
        <w:bidi w:val="0"/>
        <w:snapToGrid/>
        <w:spacing w:line="360" w:lineRule="auto"/>
        <w:ind w:left="1020" w:hanging="1020" w:hangingChars="42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（三）单价金额小数点或者百分比有明显错位的，以开标一览表的总价为准，并修改单价；</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（四）总价金额与按单价汇总金额不一致的，以单价金额计算结果为准。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同时出现两种以上不一致的，按照前款规定的顺序修正。修正后的报价按照第20.2条的规定经</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确认后产生约束力，</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不确认的，将被认定为</w:t>
      </w:r>
      <w:r>
        <w:rPr>
          <w:rFonts w:hint="eastAsia" w:ascii="仿宋" w:hAnsi="仿宋" w:eastAsia="仿宋" w:cs="仿宋"/>
          <w:b/>
          <w:bCs/>
          <w:color w:val="auto"/>
          <w:sz w:val="24"/>
          <w:highlight w:val="none"/>
        </w:rPr>
        <w:t>投标无效</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735" w:leftChars="350" w:firstLine="120" w:firstLineChars="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对不同文字文本</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的解释发生异议的，以中文文本为准。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20.4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98" w:name="_Toc15825"/>
      <w:bookmarkStart w:id="99" w:name="_Toc518923086"/>
      <w:r>
        <w:rPr>
          <w:rFonts w:hint="eastAsia" w:ascii="仿宋" w:hAnsi="仿宋" w:eastAsia="仿宋" w:cs="仿宋"/>
          <w:color w:val="auto"/>
          <w:highlight w:val="none"/>
          <w:u w:val="none"/>
        </w:rPr>
        <w:t>21.投标偏离</w:t>
      </w:r>
      <w:bookmarkEnd w:id="98"/>
      <w:bookmarkEnd w:id="99"/>
    </w:p>
    <w:p>
      <w:pPr>
        <w:pageBreakBefore w:val="0"/>
        <w:widowControl w:val="0"/>
        <w:kinsoku/>
        <w:wordWrap/>
        <w:overflowPunct/>
        <w:topLinePunct w:val="0"/>
        <w:bidi w:val="0"/>
        <w:snapToGrid/>
        <w:spacing w:line="360" w:lineRule="auto"/>
        <w:ind w:left="848" w:leftChars="99" w:hanging="640" w:hangingChars="26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可以接受</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中不构成实质性偏离的不正规或不一致。</w:t>
      </w:r>
      <w:bookmarkStart w:id="100" w:name="_Toc518923087"/>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color w:val="auto"/>
          <w:highlight w:val="none"/>
          <w:u w:val="none"/>
        </w:rPr>
      </w:pPr>
      <w:bookmarkStart w:id="101" w:name="_Toc27970"/>
      <w:r>
        <w:rPr>
          <w:rFonts w:hint="eastAsia" w:ascii="仿宋" w:hAnsi="仿宋" w:eastAsia="仿宋" w:cs="仿宋"/>
          <w:b/>
          <w:color w:val="auto"/>
          <w:highlight w:val="none"/>
          <w:u w:val="none"/>
        </w:rPr>
        <w:t>22.投标无效</w:t>
      </w:r>
      <w:bookmarkEnd w:id="100"/>
      <w:bookmarkEnd w:id="101"/>
    </w:p>
    <w:p>
      <w:pPr>
        <w:pageBreakBefore w:val="0"/>
        <w:widowControl w:val="0"/>
        <w:kinsoku/>
        <w:wordWrap/>
        <w:overflowPunct/>
        <w:topLinePunct w:val="0"/>
        <w:bidi w:val="0"/>
        <w:snapToGrid/>
        <w:spacing w:line="360" w:lineRule="auto"/>
        <w:ind w:left="852" w:leftChars="-23"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22.1   在比较与评价之前，根据本须知的规定，</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要审查每份</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是否实质上响应了</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的要求。实质上响应的投标应该是与</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要求的全部条款、条件和规格相符，没有重大偏离的投标。对关键条款的偏离，将被认定为投标无效。</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不得通过修正或撤销不符合要求的偏离从而使其投标成为实质上响应的投标。</w:t>
      </w:r>
    </w:p>
    <w:p>
      <w:pPr>
        <w:pageBreakBefore w:val="0"/>
        <w:widowControl w:val="0"/>
        <w:kinsoku/>
        <w:wordWrap/>
        <w:overflowPunct/>
        <w:topLinePunct w:val="0"/>
        <w:bidi w:val="0"/>
        <w:snapToGrid/>
        <w:spacing w:line="360" w:lineRule="auto"/>
        <w:ind w:left="792" w:leftChars="377"/>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决定投标的响应性只根据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要求、</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内容及财政主管部门指定相关信息发布媒体。</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22.2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如发现下列情况之一的，其投标将被认定为投标无效：（</w:t>
      </w:r>
      <w:r>
        <w:rPr>
          <w:rFonts w:hint="eastAsia" w:ascii="仿宋" w:hAnsi="仿宋" w:eastAsia="仿宋" w:cs="仿宋"/>
          <w:b/>
          <w:color w:val="auto"/>
          <w:sz w:val="24"/>
          <w:highlight w:val="none"/>
        </w:rPr>
        <w:t>以下情形应当在</w:t>
      </w:r>
      <w:r>
        <w:rPr>
          <w:rFonts w:hint="eastAsia" w:ascii="仿宋" w:hAnsi="仿宋" w:eastAsia="仿宋" w:cs="仿宋"/>
          <w:b/>
          <w:color w:val="auto"/>
          <w:sz w:val="24"/>
          <w:highlight w:val="none"/>
          <w:lang w:eastAsia="zh-CN"/>
        </w:rPr>
        <w:t>磋商文件</w:t>
      </w:r>
      <w:r>
        <w:rPr>
          <w:rFonts w:hint="eastAsia" w:ascii="仿宋" w:hAnsi="仿宋" w:eastAsia="仿宋" w:cs="仿宋"/>
          <w:b/>
          <w:color w:val="auto"/>
          <w:sz w:val="24"/>
          <w:highlight w:val="none"/>
        </w:rPr>
        <w:t>中规定，并以醒目的方式标明</w:t>
      </w:r>
      <w:r>
        <w:rPr>
          <w:rFonts w:hint="eastAsia" w:ascii="仿宋" w:hAnsi="仿宋" w:eastAsia="仿宋" w:cs="仿宋"/>
          <w:color w:val="auto"/>
          <w:sz w:val="24"/>
          <w:highlight w:val="none"/>
        </w:rPr>
        <w:t>）</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规定的形式和金额提交</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规定要求签署、盖章的；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未满足</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中技术条款的实质性要求；</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串通投标，或者与</w:t>
      </w:r>
      <w:r>
        <w:rPr>
          <w:rFonts w:hint="eastAsia" w:ascii="仿宋" w:hAnsi="仿宋" w:eastAsia="仿宋" w:cs="仿宋"/>
          <w:color w:val="auto"/>
          <w:sz w:val="24"/>
          <w:highlight w:val="none"/>
          <w:lang w:eastAsia="zh-CN"/>
        </w:rPr>
        <w:t>采购人</w:t>
      </w:r>
      <w:r>
        <w:rPr>
          <w:rFonts w:hint="eastAsia" w:ascii="仿宋" w:hAnsi="仿宋" w:eastAsia="仿宋" w:cs="仿宋"/>
          <w:color w:val="auto"/>
          <w:sz w:val="24"/>
          <w:highlight w:val="none"/>
        </w:rPr>
        <w:t>串通投标；</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规定的其他投标无效情形；</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的报价明显低于其他通过符合性检查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的报价，有可能影响履约的，且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未按照规定证明其报价合理性的；</w:t>
      </w:r>
    </w:p>
    <w:p>
      <w:pPr>
        <w:pageBreakBefore w:val="0"/>
        <w:widowControl w:val="0"/>
        <w:numPr>
          <w:ilvl w:val="0"/>
          <w:numId w:val="3"/>
        </w:numPr>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含有采购人不能接受的附加条件的；</w:t>
      </w:r>
    </w:p>
    <w:p>
      <w:pPr>
        <w:pageBreakBefore w:val="0"/>
        <w:widowControl w:val="0"/>
        <w:numPr>
          <w:ilvl w:val="0"/>
          <w:numId w:val="3"/>
        </w:numPr>
        <w:tabs>
          <w:tab w:val="left" w:pos="0"/>
        </w:tabs>
        <w:kinsoku/>
        <w:wordWrap/>
        <w:overflowPunct/>
        <w:topLinePunct w:val="0"/>
        <w:bidi w:val="0"/>
        <w:snapToGrid/>
        <w:spacing w:line="360" w:lineRule="auto"/>
        <w:ind w:left="1020" w:leftChars="0" w:hanging="180" w:firstLineChars="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不符合法规和</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中规定的其他实质性要求的。</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b/>
          <w:color w:val="auto"/>
          <w:highlight w:val="none"/>
          <w:u w:val="none"/>
        </w:rPr>
      </w:pPr>
      <w:bookmarkStart w:id="102" w:name="_Toc5678"/>
      <w:bookmarkStart w:id="103" w:name="_Toc518923088"/>
      <w:r>
        <w:rPr>
          <w:rFonts w:hint="eastAsia" w:ascii="仿宋" w:hAnsi="仿宋" w:eastAsia="仿宋" w:cs="仿宋"/>
          <w:b/>
          <w:color w:val="auto"/>
          <w:highlight w:val="none"/>
          <w:u w:val="none"/>
        </w:rPr>
        <w:t>23</w:t>
      </w:r>
      <w:bookmarkEnd w:id="97"/>
      <w:r>
        <w:rPr>
          <w:rFonts w:hint="eastAsia" w:ascii="仿宋" w:hAnsi="仿宋" w:eastAsia="仿宋" w:cs="仿宋"/>
          <w:b/>
          <w:color w:val="auto"/>
          <w:highlight w:val="none"/>
          <w:u w:val="none"/>
        </w:rPr>
        <w:t>.比较与评价</w:t>
      </w:r>
      <w:bookmarkEnd w:id="102"/>
      <w:bookmarkEnd w:id="10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23.1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经符合性审查合格的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将根据</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确定的评标方法和标准，对其技术部分和商务部分作进一步的比较和评价。</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23.2  </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评标严格按照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的要求和条件进行。根据实际情况，在</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中规定采用下列一种评标方法，详细评标标准见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第六章：</w:t>
      </w:r>
    </w:p>
    <w:p>
      <w:pPr>
        <w:pStyle w:val="11"/>
        <w:pageBreakBefore w:val="0"/>
        <w:widowControl w:val="0"/>
        <w:kinsoku/>
        <w:wordWrap/>
        <w:overflowPunct/>
        <w:topLinePunct w:val="0"/>
        <w:bidi w:val="0"/>
        <w:snapToGrid/>
        <w:spacing w:line="360" w:lineRule="auto"/>
        <w:ind w:left="899" w:leftChars="342" w:hanging="181"/>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最低评标价法，是指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全部实质性要求，且投标报价最低的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为中标候选人的评标方法。</w:t>
      </w:r>
    </w:p>
    <w:p>
      <w:pPr>
        <w:pStyle w:val="11"/>
        <w:pageBreakBefore w:val="0"/>
        <w:widowControl w:val="0"/>
        <w:kinsoku/>
        <w:wordWrap/>
        <w:overflowPunct/>
        <w:topLinePunct w:val="0"/>
        <w:bidi w:val="0"/>
        <w:snapToGrid/>
        <w:spacing w:line="360" w:lineRule="auto"/>
        <w:ind w:left="898" w:leftChars="342" w:hanging="1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综合评分法，是指</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满足</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全部实质性要求，且按照评审因素的量化指标评审得分最高的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为中标候选人的评标方法。</w:t>
      </w:r>
    </w:p>
    <w:p>
      <w:pPr>
        <w:pStyle w:val="11"/>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   根据《政府采购促进中小企业发展暂行办法》（财库[20</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46</w:t>
      </w:r>
      <w:r>
        <w:rPr>
          <w:rFonts w:hint="eastAsia" w:ascii="仿宋" w:hAnsi="仿宋" w:eastAsia="仿宋" w:cs="仿宋"/>
          <w:color w:val="auto"/>
          <w:sz w:val="24"/>
          <w:szCs w:val="24"/>
          <w:highlight w:val="none"/>
        </w:rPr>
        <w:t>号）、《财政部 司法部关于政府采购支持监狱企业发展有关问题的通知》（财库〔2014〕68号）和《三部门联合发布关于促进残疾人就业政府采购政策的通知》（</w:t>
      </w:r>
      <w:bookmarkStart w:id="104" w:name="sendNo"/>
      <w:r>
        <w:rPr>
          <w:rFonts w:hint="eastAsia" w:ascii="仿宋" w:hAnsi="仿宋" w:eastAsia="仿宋" w:cs="仿宋"/>
          <w:bCs/>
          <w:color w:val="auto"/>
          <w:sz w:val="24"/>
          <w:szCs w:val="24"/>
          <w:highlight w:val="none"/>
        </w:rPr>
        <w:t>财库〔</w:t>
      </w:r>
      <w:bookmarkEnd w:id="104"/>
      <w:r>
        <w:rPr>
          <w:rFonts w:hint="eastAsia" w:ascii="仿宋" w:hAnsi="仿宋" w:eastAsia="仿宋" w:cs="仿宋"/>
          <w:bCs/>
          <w:color w:val="auto"/>
          <w:sz w:val="24"/>
          <w:szCs w:val="24"/>
          <w:highlight w:val="none"/>
        </w:rPr>
        <w:t>2017〕141号</w:t>
      </w:r>
      <w:r>
        <w:rPr>
          <w:rFonts w:hint="eastAsia" w:ascii="仿宋" w:hAnsi="仿宋" w:eastAsia="仿宋" w:cs="仿宋"/>
          <w:color w:val="auto"/>
          <w:sz w:val="24"/>
          <w:szCs w:val="24"/>
          <w:highlight w:val="none"/>
        </w:rPr>
        <w:t>）的规定，对满足价格扣除条件且在</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中提交了《</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企业类型声明函》或省级以上监狱管理局、戒毒管理局（含新疆生产建设兵团）出具的属于监狱企业的证明文件的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，具体办法详见</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第6章。</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05" w:name="_Toc520356168"/>
      <w:bookmarkStart w:id="106" w:name="_Toc518923089"/>
      <w:bookmarkStart w:id="107" w:name="_Toc21406"/>
      <w:r>
        <w:rPr>
          <w:rFonts w:hint="eastAsia" w:ascii="仿宋" w:hAnsi="仿宋" w:eastAsia="仿宋" w:cs="仿宋"/>
          <w:color w:val="auto"/>
          <w:highlight w:val="none"/>
          <w:u w:val="none"/>
        </w:rPr>
        <w:t>24</w:t>
      </w:r>
      <w:bookmarkEnd w:id="105"/>
      <w:r>
        <w:rPr>
          <w:rFonts w:hint="eastAsia" w:ascii="仿宋" w:hAnsi="仿宋" w:eastAsia="仿宋" w:cs="仿宋"/>
          <w:color w:val="auto"/>
          <w:highlight w:val="none"/>
          <w:u w:val="none"/>
        </w:rPr>
        <w:t>.废标</w:t>
      </w:r>
      <w:bookmarkEnd w:id="106"/>
      <w:bookmarkEnd w:id="107"/>
    </w:p>
    <w:p>
      <w:pPr>
        <w:pageBreakBefore w:val="0"/>
        <w:widowControl w:val="0"/>
        <w:kinsoku/>
        <w:wordWrap/>
        <w:overflowPunct/>
        <w:topLinePunct w:val="0"/>
        <w:bidi w:val="0"/>
        <w:snapToGrid/>
        <w:spacing w:line="360" w:lineRule="auto"/>
        <w:ind w:left="898" w:leftChars="399" w:hanging="60" w:hangingChars="2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出现下列情形之一，将导致项目废标： </w:t>
      </w:r>
    </w:p>
    <w:p>
      <w:pPr>
        <w:pageBreakBefore w:val="0"/>
        <w:widowControl w:val="0"/>
        <w:kinsoku/>
        <w:wordWrap/>
        <w:overflowPunct/>
        <w:topLinePunct w:val="0"/>
        <w:bidi w:val="0"/>
        <w:snapToGrid/>
        <w:spacing w:line="360" w:lineRule="auto"/>
        <w:ind w:left="900" w:hanging="904" w:hangingChars="37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（1）符合专业条件的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或者对</w:t>
      </w:r>
      <w:r>
        <w:rPr>
          <w:rFonts w:hint="eastAsia" w:ascii="仿宋" w:hAnsi="仿宋" w:eastAsia="仿宋" w:cs="仿宋"/>
          <w:b/>
          <w:bCs/>
          <w:color w:val="auto"/>
          <w:sz w:val="24"/>
          <w:highlight w:val="none"/>
          <w:lang w:eastAsia="zh-CN"/>
        </w:rPr>
        <w:t>磋商文件</w:t>
      </w:r>
      <w:r>
        <w:rPr>
          <w:rFonts w:hint="eastAsia" w:ascii="仿宋" w:hAnsi="仿宋" w:eastAsia="仿宋" w:cs="仿宋"/>
          <w:b/>
          <w:bCs/>
          <w:color w:val="auto"/>
          <w:sz w:val="24"/>
          <w:highlight w:val="none"/>
        </w:rPr>
        <w:t>做实质性响应的</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不足三家；</w:t>
      </w:r>
    </w:p>
    <w:p>
      <w:pPr>
        <w:pageBreakBefore w:val="0"/>
        <w:widowControl w:val="0"/>
        <w:kinsoku/>
        <w:wordWrap/>
        <w:overflowPunct/>
        <w:topLinePunct w:val="0"/>
        <w:bidi w:val="0"/>
        <w:snapToGrid/>
        <w:spacing w:line="360" w:lineRule="auto"/>
        <w:ind w:left="900" w:hanging="904" w:hangingChars="375"/>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ab/>
      </w:r>
      <w:r>
        <w:rPr>
          <w:rFonts w:hint="eastAsia" w:ascii="仿宋" w:hAnsi="仿宋" w:eastAsia="仿宋" w:cs="仿宋"/>
          <w:b/>
          <w:bCs/>
          <w:color w:val="auto"/>
          <w:sz w:val="24"/>
          <w:highlight w:val="none"/>
        </w:rPr>
        <w:t>（2）出现影响采购公正的违法、违规行为的；</w:t>
      </w:r>
    </w:p>
    <w:p>
      <w:pPr>
        <w:pageBreakBefore w:val="0"/>
        <w:widowControl w:val="0"/>
        <w:kinsoku/>
        <w:wordWrap/>
        <w:overflowPunct/>
        <w:topLinePunct w:val="0"/>
        <w:bidi w:val="0"/>
        <w:snapToGrid/>
        <w:spacing w:line="360" w:lineRule="auto"/>
        <w:ind w:firstLine="843" w:firstLineChars="35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的报价均超过了采购预算，采购人不能支付的；</w:t>
      </w:r>
    </w:p>
    <w:p>
      <w:pPr>
        <w:pageBreakBefore w:val="0"/>
        <w:widowControl w:val="0"/>
        <w:kinsoku/>
        <w:wordWrap/>
        <w:overflowPunct/>
        <w:topLinePunct w:val="0"/>
        <w:bidi w:val="0"/>
        <w:snapToGrid/>
        <w:spacing w:line="360" w:lineRule="auto"/>
        <w:ind w:firstLine="843" w:firstLineChars="35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（4）因重大变故，采购任务取消的。   </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08" w:name="_Toc518923090"/>
      <w:bookmarkStart w:id="109" w:name="_Toc6371"/>
      <w:bookmarkStart w:id="110" w:name="_Toc520356169"/>
      <w:r>
        <w:rPr>
          <w:rFonts w:hint="eastAsia" w:ascii="仿宋" w:hAnsi="仿宋" w:eastAsia="仿宋" w:cs="仿宋"/>
          <w:color w:val="auto"/>
          <w:highlight w:val="none"/>
          <w:u w:val="none"/>
        </w:rPr>
        <w:t>25.保密原则</w:t>
      </w:r>
      <w:bookmarkEnd w:id="108"/>
      <w:bookmarkEnd w:id="10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评标将在严格保密的情况下进行。</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25.2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政府采购评审专家应当遵守评审工作纪律，不得泄露评审文件、评审情况和评审中获悉的商业秘密。</w:t>
      </w:r>
    </w:p>
    <w:p>
      <w:pPr>
        <w:pStyle w:val="4"/>
        <w:pageBreakBefore w:val="0"/>
        <w:widowControl w:val="0"/>
        <w:kinsoku/>
        <w:wordWrap/>
        <w:overflowPunct/>
        <w:topLinePunct w:val="0"/>
        <w:bidi w:val="0"/>
        <w:snapToGrid/>
        <w:spacing w:before="0" w:line="360" w:lineRule="auto"/>
        <w:ind w:left="1080" w:leftChars="257" w:hanging="540"/>
        <w:textAlignment w:val="auto"/>
        <w:rPr>
          <w:rFonts w:hint="eastAsia" w:ascii="仿宋" w:hAnsi="仿宋" w:eastAsia="仿宋" w:cs="仿宋"/>
          <w:color w:val="auto"/>
          <w:sz w:val="28"/>
          <w:szCs w:val="28"/>
          <w:highlight w:val="none"/>
        </w:rPr>
      </w:pPr>
      <w:bookmarkStart w:id="111" w:name="_Toc7622"/>
      <w:bookmarkStart w:id="112" w:name="_Toc216582810"/>
      <w:bookmarkStart w:id="113" w:name="_Toc518923091"/>
      <w:r>
        <w:rPr>
          <w:rFonts w:hint="eastAsia" w:ascii="仿宋" w:hAnsi="仿宋" w:eastAsia="仿宋" w:cs="仿宋"/>
          <w:color w:val="auto"/>
          <w:sz w:val="28"/>
          <w:szCs w:val="28"/>
          <w:highlight w:val="none"/>
        </w:rPr>
        <w:t xml:space="preserve">六   </w:t>
      </w:r>
      <w:bookmarkEnd w:id="110"/>
      <w:r>
        <w:rPr>
          <w:rFonts w:hint="eastAsia" w:ascii="仿宋" w:hAnsi="仿宋" w:eastAsia="仿宋" w:cs="仿宋"/>
          <w:color w:val="auto"/>
          <w:sz w:val="28"/>
          <w:szCs w:val="28"/>
          <w:highlight w:val="none"/>
        </w:rPr>
        <w:t>确定中标</w:t>
      </w:r>
      <w:bookmarkEnd w:id="111"/>
      <w:bookmarkEnd w:id="112"/>
      <w:bookmarkEnd w:id="113"/>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14" w:name="_Ref467307010"/>
      <w:bookmarkStart w:id="115" w:name="_Toc520356170"/>
      <w:bookmarkStart w:id="116" w:name="_Toc26808"/>
      <w:bookmarkStart w:id="117" w:name="_Toc518923092"/>
      <w:r>
        <w:rPr>
          <w:rFonts w:hint="eastAsia" w:ascii="仿宋" w:hAnsi="仿宋" w:eastAsia="仿宋" w:cs="仿宋"/>
          <w:color w:val="auto"/>
          <w:highlight w:val="none"/>
          <w:u w:val="none"/>
        </w:rPr>
        <w:t>26.中标候选人的确定原则及标准</w:t>
      </w:r>
      <w:bookmarkEnd w:id="114"/>
      <w:bookmarkEnd w:id="115"/>
      <w:bookmarkEnd w:id="116"/>
      <w:bookmarkEnd w:id="11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除第28条规定外，对实质上响应</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按下列方法进行排序，确定中标候选人：</w:t>
      </w:r>
    </w:p>
    <w:p>
      <w:pPr>
        <w:pageBreakBefore w:val="0"/>
        <w:widowControl w:val="0"/>
        <w:kinsoku/>
        <w:wordWrap/>
        <w:overflowPunct/>
        <w:topLinePunct w:val="0"/>
        <w:bidi w:val="0"/>
        <w:snapToGrid/>
        <w:spacing w:line="360" w:lineRule="auto"/>
        <w:ind w:left="901"/>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（1）采用最低评标价法的，除了算术修正和落实政府采购政策需进行的价格扣除外，不对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的投标价格进行任何调整。评标结果按修正和扣除后的投标报价由低到高顺序排列。报价相同的处理方式详见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第6章。</w:t>
      </w:r>
    </w:p>
    <w:p>
      <w:pPr>
        <w:pageBreakBefore w:val="0"/>
        <w:widowControl w:val="0"/>
        <w:kinsoku/>
        <w:wordWrap/>
        <w:overflowPunct/>
        <w:topLinePunct w:val="0"/>
        <w:bidi w:val="0"/>
        <w:snapToGrid/>
        <w:spacing w:line="360" w:lineRule="auto"/>
        <w:ind w:left="901"/>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（2）采用综合评分法的，评标结果按评审后得分由高到低顺序排列。得分相同的，按修正和扣除后的投标报价由低到高顺序排列。得分与投标报价均相同的处理方式详见</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第6章。</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18" w:name="_Toc520356171"/>
      <w:bookmarkStart w:id="119" w:name="_Toc13316"/>
      <w:bookmarkStart w:id="120" w:name="_Toc518923093"/>
      <w:r>
        <w:rPr>
          <w:rFonts w:hint="eastAsia" w:ascii="仿宋" w:hAnsi="仿宋" w:eastAsia="仿宋" w:cs="仿宋"/>
          <w:color w:val="auto"/>
          <w:highlight w:val="none"/>
          <w:u w:val="none"/>
        </w:rPr>
        <w:t>27</w:t>
      </w:r>
      <w:bookmarkEnd w:id="118"/>
      <w:r>
        <w:rPr>
          <w:rFonts w:hint="eastAsia" w:ascii="仿宋" w:hAnsi="仿宋" w:eastAsia="仿宋" w:cs="仿宋"/>
          <w:color w:val="auto"/>
          <w:highlight w:val="none"/>
          <w:u w:val="none"/>
        </w:rPr>
        <w:t>.确定中标候选人和中标人</w:t>
      </w:r>
      <w:bookmarkEnd w:id="119"/>
      <w:bookmarkEnd w:id="120"/>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lang w:eastAsia="zh-CN"/>
        </w:rPr>
        <w:t>磋商小组</w:t>
      </w:r>
      <w:r>
        <w:rPr>
          <w:rFonts w:hint="eastAsia" w:ascii="仿宋" w:hAnsi="仿宋" w:eastAsia="仿宋" w:cs="仿宋"/>
          <w:color w:val="auto"/>
          <w:sz w:val="24"/>
          <w:highlight w:val="none"/>
        </w:rPr>
        <w:t>将根据评标标准，按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须知资料表中</w:t>
      </w:r>
      <w:r>
        <w:rPr>
          <w:rFonts w:hint="eastAsia" w:ascii="仿宋" w:hAnsi="仿宋" w:eastAsia="仿宋" w:cs="仿宋"/>
          <w:color w:val="auto"/>
          <w:sz w:val="24"/>
          <w:highlight w:val="none"/>
        </w:rPr>
        <w:t>规定数量推荐中标候选人；或根据采购人的委托，直接确定中标人。</w:t>
      </w:r>
    </w:p>
    <w:p>
      <w:pPr>
        <w:pStyle w:val="5"/>
        <w:pageBreakBefore w:val="0"/>
        <w:widowControl w:val="0"/>
        <w:tabs>
          <w:tab w:val="left" w:pos="900"/>
        </w:tabs>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1" w:name="_Toc520356173"/>
      <w:bookmarkStart w:id="122" w:name="_Ref467306874"/>
      <w:bookmarkStart w:id="123" w:name="_Toc25319"/>
      <w:bookmarkStart w:id="124" w:name="_Toc518923094"/>
      <w:r>
        <w:rPr>
          <w:rFonts w:hint="eastAsia" w:ascii="仿宋" w:hAnsi="仿宋" w:eastAsia="仿宋" w:cs="仿宋"/>
          <w:color w:val="auto"/>
          <w:highlight w:val="none"/>
          <w:u w:val="none"/>
        </w:rPr>
        <w:t>28</w:t>
      </w:r>
      <w:bookmarkEnd w:id="121"/>
      <w:bookmarkEnd w:id="122"/>
      <w:r>
        <w:rPr>
          <w:rFonts w:hint="eastAsia" w:ascii="仿宋" w:hAnsi="仿宋" w:eastAsia="仿宋" w:cs="仿宋"/>
          <w:color w:val="auto"/>
          <w:highlight w:val="none"/>
          <w:u w:val="none"/>
        </w:rPr>
        <w:t>.采购任务取消</w:t>
      </w:r>
      <w:bookmarkEnd w:id="123"/>
      <w:bookmarkEnd w:id="124"/>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因重大变故采购任务取消时，采购人有权拒绝任何</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中标，且对受影响的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不承担任何责任。</w:t>
      </w:r>
      <w:bookmarkStart w:id="125" w:name="_Toc520356174"/>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6" w:name="_Toc518923095"/>
      <w:bookmarkStart w:id="127" w:name="_Toc9309"/>
      <w:r>
        <w:rPr>
          <w:rFonts w:hint="eastAsia" w:ascii="仿宋" w:hAnsi="仿宋" w:eastAsia="仿宋" w:cs="仿宋"/>
          <w:color w:val="auto"/>
          <w:highlight w:val="none"/>
          <w:u w:val="none"/>
        </w:rPr>
        <w:t>29.中标通知书</w:t>
      </w:r>
      <w:bookmarkEnd w:id="125"/>
      <w:r>
        <w:rPr>
          <w:rFonts w:hint="eastAsia" w:ascii="仿宋" w:hAnsi="仿宋" w:eastAsia="仿宋" w:cs="仿宋"/>
          <w:color w:val="auto"/>
          <w:highlight w:val="none"/>
          <w:u w:val="none"/>
        </w:rPr>
        <w:t>和</w:t>
      </w:r>
      <w:r>
        <w:rPr>
          <w:rFonts w:hint="eastAsia" w:ascii="仿宋" w:hAnsi="仿宋" w:eastAsia="仿宋" w:cs="仿宋"/>
          <w:color w:val="auto"/>
          <w:highlight w:val="none"/>
          <w:u w:val="none"/>
          <w:lang w:val="en-US" w:eastAsia="zh-CN"/>
        </w:rPr>
        <w:t>中</w:t>
      </w:r>
      <w:r>
        <w:rPr>
          <w:rFonts w:hint="eastAsia" w:ascii="仿宋" w:hAnsi="仿宋" w:eastAsia="仿宋" w:cs="仿宋"/>
          <w:color w:val="auto"/>
          <w:highlight w:val="none"/>
          <w:u w:val="none"/>
        </w:rPr>
        <w:t>标结果通知书</w:t>
      </w:r>
      <w:bookmarkEnd w:id="126"/>
      <w:bookmarkEnd w:id="12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29.1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在投标有效期内，中标人确定后，采购人或者采购代理机构发布中标公告，同时以书面形式向中标人发出中标通知书；</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29.2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中标通知书是合同的组成部分；</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29.3    </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标结果通知书和中标通知书同时发出。</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标结果通知书中将告知未通过资格审查的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未通过的原因；采用综合评分法评审的，还将告知未中标人本人的评审得分和排序。</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28" w:name="_Toc520356175"/>
      <w:bookmarkStart w:id="129" w:name="_Toc518923096"/>
      <w:bookmarkStart w:id="130" w:name="_Ref467307204"/>
      <w:bookmarkStart w:id="131" w:name="_Toc13387"/>
      <w:bookmarkStart w:id="132" w:name="_Ref467306377"/>
      <w:bookmarkStart w:id="133" w:name="_Ref467306978"/>
      <w:bookmarkStart w:id="134" w:name="_Ref467307062"/>
      <w:r>
        <w:rPr>
          <w:rFonts w:hint="eastAsia" w:ascii="仿宋" w:hAnsi="仿宋" w:eastAsia="仿宋" w:cs="仿宋"/>
          <w:color w:val="auto"/>
          <w:highlight w:val="none"/>
          <w:u w:val="none"/>
        </w:rPr>
        <w:t>30.签订合同</w:t>
      </w:r>
      <w:bookmarkEnd w:id="128"/>
      <w:bookmarkEnd w:id="129"/>
      <w:bookmarkEnd w:id="130"/>
      <w:bookmarkEnd w:id="131"/>
      <w:bookmarkEnd w:id="132"/>
      <w:bookmarkEnd w:id="133"/>
      <w:bookmarkEnd w:id="134"/>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中标人应当自发出中标通知书之日起30日内，与采购人签订合同。</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30.2</w:t>
      </w:r>
      <w:r>
        <w:rPr>
          <w:rFonts w:hint="eastAsia" w:ascii="仿宋" w:hAnsi="仿宋" w:eastAsia="仿宋" w:cs="仿宋"/>
          <w:color w:val="auto"/>
          <w:sz w:val="24"/>
          <w:highlight w:val="none"/>
        </w:rPr>
        <w:tab/>
      </w:r>
      <w:bookmarkStart w:id="135" w:name="_Toc520356176"/>
      <w:bookmarkStart w:id="136" w:name="_Ref467306425"/>
      <w:bookmarkStart w:id="137" w:name="_Ref467307090"/>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、中标人的</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及其澄清文件等，均为签订合同的依据。</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30.3   中标人拒绝与采购人签订合同的，采购人可以按照评审报告推荐的中标候选人名单排序，确定下一中标候选人为中标人，也可以重新开展政府采购活动。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30.4   当出现法规规定的</w:t>
      </w:r>
      <w:r>
        <w:rPr>
          <w:rFonts w:hint="eastAsia" w:ascii="仿宋" w:hAnsi="仿宋" w:eastAsia="仿宋" w:cs="仿宋"/>
          <w:b/>
          <w:color w:val="auto"/>
          <w:sz w:val="24"/>
          <w:highlight w:val="none"/>
        </w:rPr>
        <w:t>中标无效或中标结果无效</w:t>
      </w:r>
      <w:r>
        <w:rPr>
          <w:rFonts w:hint="eastAsia" w:ascii="仿宋" w:hAnsi="仿宋" w:eastAsia="仿宋" w:cs="仿宋"/>
          <w:color w:val="auto"/>
          <w:sz w:val="24"/>
          <w:highlight w:val="none"/>
        </w:rPr>
        <w:t>情形时，采购人可与排名下一位的中标候选人另行签订合同，或依法重新开展采购活动。</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38" w:name="_Toc518923097"/>
      <w:bookmarkStart w:id="139" w:name="_Toc2944"/>
      <w:r>
        <w:rPr>
          <w:rFonts w:hint="eastAsia" w:ascii="仿宋" w:hAnsi="仿宋" w:eastAsia="仿宋" w:cs="仿宋"/>
          <w:color w:val="auto"/>
          <w:highlight w:val="none"/>
          <w:u w:val="none"/>
        </w:rPr>
        <w:t>31.履约保证金</w:t>
      </w:r>
      <w:bookmarkEnd w:id="135"/>
      <w:bookmarkEnd w:id="136"/>
      <w:bookmarkEnd w:id="137"/>
      <w:bookmarkEnd w:id="138"/>
      <w:bookmarkEnd w:id="139"/>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31.1</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中标人应按照</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规定向采购人缴纳履约保证金（如采用保函形式，格式见本章附件1）。</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31.2</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政府采购利用担保试点范围内的项目，除31.1规定的情形外，中标人也可以按照财政部门的规定，向采购人提供合格的履约担保函（格式见本章附件2）。</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31.3   如果中标人没有按照上述履约保证金的规定执行，将视为放弃中标资格，中标人的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将不予退还。在此情况下，采购人可确定下一候选人为中标人，也可以重新开展采购活动。</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0" w:name="_Toc518923098"/>
      <w:bookmarkStart w:id="141" w:name="_Toc9492"/>
      <w:r>
        <w:rPr>
          <w:rFonts w:hint="eastAsia" w:ascii="仿宋" w:hAnsi="仿宋" w:eastAsia="仿宋" w:cs="仿宋"/>
          <w:color w:val="auto"/>
          <w:highlight w:val="none"/>
          <w:u w:val="none"/>
        </w:rPr>
        <w:t>32.中标服务费</w:t>
      </w:r>
      <w:bookmarkEnd w:id="140"/>
      <w:bookmarkEnd w:id="141"/>
    </w:p>
    <w:p>
      <w:pPr>
        <w:pageBreakBefore w:val="0"/>
        <w:widowControl w:val="0"/>
        <w:kinsoku/>
        <w:wordWrap/>
        <w:overflowPunct/>
        <w:topLinePunct w:val="0"/>
        <w:bidi w:val="0"/>
        <w:snapToGrid/>
        <w:spacing w:line="360" w:lineRule="auto"/>
        <w:ind w:left="840" w:leftChars="200" w:hanging="420" w:hangingChars="1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中标人须按照</w:t>
      </w:r>
      <w:r>
        <w:rPr>
          <w:rFonts w:hint="eastAsia" w:ascii="仿宋" w:hAnsi="仿宋" w:eastAsia="仿宋" w:cs="仿宋"/>
          <w:color w:val="auto"/>
          <w:sz w:val="24"/>
          <w:highlight w:val="none"/>
          <w:u w:val="single"/>
        </w:rPr>
        <w:t>投标须知资料表</w:t>
      </w:r>
      <w:r>
        <w:rPr>
          <w:rFonts w:hint="eastAsia" w:ascii="仿宋" w:hAnsi="仿宋" w:eastAsia="仿宋" w:cs="仿宋"/>
          <w:color w:val="auto"/>
          <w:sz w:val="24"/>
          <w:highlight w:val="none"/>
        </w:rPr>
        <w:t>规定，向采购代理机构支付中标服务费。</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2" w:name="_Toc7729"/>
      <w:bookmarkStart w:id="143" w:name="_Toc518923099"/>
      <w:r>
        <w:rPr>
          <w:rFonts w:hint="eastAsia" w:ascii="仿宋" w:hAnsi="仿宋" w:eastAsia="仿宋" w:cs="仿宋"/>
          <w:color w:val="auto"/>
          <w:highlight w:val="none"/>
          <w:u w:val="none"/>
        </w:rPr>
        <w:t>33.政府采购信用担保</w:t>
      </w:r>
      <w:bookmarkEnd w:id="142"/>
      <w:bookmarkEnd w:id="143"/>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33.1   本项目是否属于信用担保试点范围见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ageBreakBefore w:val="0"/>
        <w:widowControl w:val="0"/>
        <w:kinsoku/>
        <w:wordWrap/>
        <w:overflowPunct/>
        <w:topLinePunct w:val="0"/>
        <w:bidi w:val="0"/>
        <w:snapToGrid/>
        <w:spacing w:line="360" w:lineRule="auto"/>
        <w:ind w:left="850" w:hanging="849" w:hangingChars="354"/>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   如属于政府采购信用担保试点范围内，中小型企业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可以自由按照财政部门的规定，采用投标担保、履约担保和融资担保。</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33.2.1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递交的投标担保函和履约担保函应符合本</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33.2.2 中标人可以采取融资担保的形式为政府采购项目履约进行融资。</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33.2.3 合格的政府采购专业信用担保机构见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r>
        <w:rPr>
          <w:rFonts w:hint="eastAsia" w:ascii="仿宋" w:hAnsi="仿宋" w:eastAsia="仿宋" w:cs="仿宋"/>
          <w:color w:val="auto"/>
          <w:sz w:val="24"/>
          <w:highlight w:val="none"/>
        </w:rPr>
        <w:t>。</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4" w:name="_Toc14079"/>
      <w:bookmarkStart w:id="145" w:name="_Toc518923100"/>
      <w:r>
        <w:rPr>
          <w:rFonts w:hint="eastAsia" w:ascii="仿宋" w:hAnsi="仿宋" w:eastAsia="仿宋" w:cs="仿宋"/>
          <w:color w:val="auto"/>
          <w:highlight w:val="none"/>
          <w:u w:val="none"/>
        </w:rPr>
        <w:t>34.廉洁自律规定</w:t>
      </w:r>
      <w:bookmarkEnd w:id="144"/>
      <w:bookmarkEnd w:id="145"/>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34.1   采购代理机构工作人员不得以不正当手段获取政府采购代理业务，不得与采购人、</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恶意串通操纵政府采购活动。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34.2   采购代理机构工作人员不得接受采购人或者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组织的宴请、旅游、娱乐，不得收受礼品、现金、有价证券等，不得向采购人或者</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报销应当由个人承担的费用。</w:t>
      </w:r>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34.3   为强化采购代理机构内部监督机制，</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可按</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须知资料表中的</w:t>
      </w:r>
      <w:r>
        <w:rPr>
          <w:rFonts w:hint="eastAsia" w:ascii="仿宋" w:hAnsi="仿宋" w:eastAsia="仿宋" w:cs="仿宋"/>
          <w:color w:val="auto"/>
          <w:sz w:val="24"/>
          <w:highlight w:val="none"/>
        </w:rPr>
        <w:t>监督电话和信箱，反映采购代理机构的廉洁自律等问题。</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6" w:name="_Toc518923101"/>
      <w:bookmarkStart w:id="147" w:name="_Toc7964"/>
      <w:r>
        <w:rPr>
          <w:rFonts w:hint="eastAsia" w:ascii="仿宋" w:hAnsi="仿宋" w:eastAsia="仿宋" w:cs="仿宋"/>
          <w:color w:val="auto"/>
          <w:highlight w:val="none"/>
          <w:u w:val="none"/>
        </w:rPr>
        <w:t>35.人员回避</w:t>
      </w:r>
      <w:bookmarkEnd w:id="146"/>
      <w:bookmarkEnd w:id="147"/>
    </w:p>
    <w:p>
      <w:pPr>
        <w:pageBreakBefore w:val="0"/>
        <w:widowControl w:val="0"/>
        <w:kinsoku/>
        <w:wordWrap/>
        <w:overflowPunct/>
        <w:topLinePunct w:val="0"/>
        <w:bidi w:val="0"/>
        <w:snapToGrid/>
        <w:spacing w:line="360" w:lineRule="auto"/>
        <w:ind w:left="900" w:hanging="900" w:hangingChars="37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认为采购人员及其相关人员有法律法规所列与其他</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有利害关系的，可以向采购人或采购代理机构书面提出回避申请，并说明理由。</w:t>
      </w:r>
    </w:p>
    <w:p>
      <w:pPr>
        <w:pStyle w:val="5"/>
        <w:pageBreakBefore w:val="0"/>
        <w:widowControl w:val="0"/>
        <w:kinsoku/>
        <w:wordWrap/>
        <w:overflowPunct/>
        <w:topLinePunct w:val="0"/>
        <w:bidi w:val="0"/>
        <w:snapToGrid/>
        <w:spacing w:before="0" w:after="0" w:line="360" w:lineRule="auto"/>
        <w:textAlignment w:val="auto"/>
        <w:rPr>
          <w:rFonts w:hint="eastAsia" w:ascii="仿宋" w:hAnsi="仿宋" w:eastAsia="仿宋" w:cs="仿宋"/>
          <w:color w:val="auto"/>
          <w:highlight w:val="none"/>
          <w:u w:val="none"/>
        </w:rPr>
      </w:pPr>
      <w:bookmarkStart w:id="148" w:name="_Toc21087"/>
      <w:bookmarkStart w:id="149" w:name="_Toc518923102"/>
      <w:r>
        <w:rPr>
          <w:rFonts w:hint="eastAsia" w:ascii="仿宋" w:hAnsi="仿宋" w:eastAsia="仿宋" w:cs="仿宋"/>
          <w:color w:val="auto"/>
          <w:highlight w:val="none"/>
          <w:u w:val="none"/>
        </w:rPr>
        <w:t>36.质疑与接收</w:t>
      </w:r>
      <w:bookmarkEnd w:id="148"/>
      <w:bookmarkEnd w:id="149"/>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36.1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36.2  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将依法承担不利后果。</w:t>
      </w:r>
    </w:p>
    <w:p>
      <w:pPr>
        <w:pageBreakBefore w:val="0"/>
        <w:widowControl w:val="0"/>
        <w:kinsoku/>
        <w:wordWrap/>
        <w:overflowPunct/>
        <w:topLinePunct w:val="0"/>
        <w:bidi w:val="0"/>
        <w:snapToGrid/>
        <w:spacing w:line="360" w:lineRule="auto"/>
        <w:ind w:left="851" w:leftChars="68" w:hanging="708" w:hangingChars="29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36.3  采购代理机构质疑函接收部门、联系电话和通讯地址, 见</w:t>
      </w:r>
      <w:r>
        <w:rPr>
          <w:rFonts w:hint="eastAsia" w:ascii="仿宋" w:hAnsi="仿宋" w:eastAsia="仿宋" w:cs="仿宋"/>
          <w:color w:val="auto"/>
          <w:sz w:val="24"/>
          <w:highlight w:val="none"/>
          <w:u w:val="single"/>
          <w:lang w:eastAsia="zh-CN"/>
        </w:rPr>
        <w:t>投标人</w:t>
      </w:r>
      <w:r>
        <w:rPr>
          <w:rFonts w:hint="eastAsia" w:ascii="仿宋" w:hAnsi="仿宋" w:eastAsia="仿宋" w:cs="仿宋"/>
          <w:color w:val="auto"/>
          <w:sz w:val="24"/>
          <w:highlight w:val="none"/>
          <w:u w:val="single"/>
        </w:rPr>
        <w:t>须知资料表。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36.4质疑的提出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36.5 本采购文件中所称质疑及答复，是指参加本次采购活动的</w:t>
      </w:r>
      <w:r>
        <w:rPr>
          <w:rFonts w:hint="eastAsia" w:ascii="仿宋" w:hAnsi="仿宋" w:eastAsia="仿宋" w:cs="仿宋"/>
          <w:sz w:val="24"/>
          <w:szCs w:val="24"/>
          <w:lang w:eastAsia="zh-CN"/>
        </w:rPr>
        <w:t>投标人</w:t>
      </w:r>
      <w:r>
        <w:rPr>
          <w:rFonts w:hint="eastAsia" w:ascii="仿宋" w:hAnsi="仿宋" w:eastAsia="仿宋" w:cs="仿宋"/>
          <w:sz w:val="24"/>
          <w:szCs w:val="24"/>
        </w:rPr>
        <w:t>对政府采购活动中的采购文件、采购过程和成交结果向采购方提出质疑，采购方答复质疑的行为。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36.6 </w:t>
      </w:r>
      <w:r>
        <w:rPr>
          <w:rFonts w:hint="eastAsia" w:ascii="仿宋" w:hAnsi="仿宋" w:eastAsia="仿宋" w:cs="仿宋"/>
          <w:sz w:val="24"/>
          <w:szCs w:val="24"/>
          <w:lang w:eastAsia="zh-CN"/>
        </w:rPr>
        <w:t>投标人</w:t>
      </w:r>
      <w:r>
        <w:rPr>
          <w:rFonts w:hint="eastAsia" w:ascii="仿宋" w:hAnsi="仿宋" w:eastAsia="仿宋" w:cs="仿宋"/>
          <w:sz w:val="24"/>
          <w:szCs w:val="24"/>
        </w:rPr>
        <w:t>认为采购文件、采购过程和成交结果使自己的权益受到损害的，可以在知道或者应知其权益受到损害之日起7个工作日内，以书面形式向采购方提出质疑。</w:t>
      </w:r>
      <w:r>
        <w:rPr>
          <w:rFonts w:hint="eastAsia" w:ascii="仿宋" w:hAnsi="仿宋" w:eastAsia="仿宋" w:cs="仿宋"/>
          <w:sz w:val="24"/>
          <w:szCs w:val="24"/>
          <w:lang w:eastAsia="zh-CN"/>
        </w:rPr>
        <w:t>投标人</w:t>
      </w:r>
      <w:r>
        <w:rPr>
          <w:rFonts w:hint="eastAsia" w:ascii="仿宋" w:hAnsi="仿宋" w:eastAsia="仿宋" w:cs="仿宋"/>
          <w:sz w:val="24"/>
          <w:szCs w:val="24"/>
        </w:rPr>
        <w:t>应知其权益受到损害之日，是指：</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（一）对可以质疑的采购文件提出质疑的，为收到采购文件之日或者采购文件公告期限届满之日；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（二）对采购过程提出质疑的，为各采购程序环节结束之日；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（三）对成交结果提出质疑的，为成交结果公告期限届满之日。</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36.7对可以质疑的采购文件提出质疑的，质疑人为参与本项目的报价方或潜在报价方。可质疑的文件为采购公告以及采购文件（包括属于其组成部分的澄清、修改、补充文件和评审标准、合同文本等）。</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36.8对采购过程和成交结果提出质疑的，质疑人为直接参与本项目的报价方。采购过程,即从采购项目信息公告发布起到成交结果公告止，包括采购文件的发出、提交</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开启、评审等各个采购程序环节。</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36.9 提出质疑应当符合下列条件：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（一）质疑主体应当符合有关规定；</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（二）在质疑法定期限内提出；</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（三）属于可以提出质疑的政府采购事项受理范围和本项目采购人的管辖权范围；</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（四）政府采购法律、法规、规章规定的其他条件。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40.1 质疑人所提供的证明材料应当具有真实性、合法性以及与质疑事项的关联性和证明力，否则不能作为认定该质疑事项成立的依据。</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40.2 质疑人提出质疑时应当提交质疑函。质疑函包括下列内容：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（一）提出质疑的质疑人的名称、地址、邮编、联系人及联系电话等；</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（二）质疑项目的名称、编号；</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（三）质疑事项；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（四）事实依据和证明材料；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（五）法律依据；</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（六）提出质疑的日期。</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质疑函采用实名制。质疑人为自然人的应当由本人签字，并附有效身份证明文件；质疑人为法人或者非法人组织的应当由法定代表人或者负责人签字并加盖公章，并附有效身份证明文件。</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40.3 质疑人可以委托代理人进行质疑。代理人应当提交授权委托书。授权委托书应当载明委托代理的具体权限、期限和相关事项。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40.4、质疑的审查和受理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采购方在收到质疑函后应当及时审查是否符合质疑受理条件，对符合质疑受理条件的，及时予以受理。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40.5 对不符合质疑受理条件的，分别按照下列不同情形予以处理：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（一）质疑函内容不符合规定的，告知质疑人进行修改并重新提出质疑。修改后质疑事项仍不具体、不明确或者最终递交质疑函的时间超过质疑法定期限的，不予受理；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（二）质疑主体不符合有关规定的，告知质疑人不予受理；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（三）超过质疑法定期限提出质疑的，告知质疑人不予受理；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（四）对不属于可以提出质疑的政府采购事项提出质疑的，告知质疑人不予受理；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（五）质疑不属于本项目采购方管辖的，告知质疑人向有管辖权的采购人提出质疑；</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（六）质疑不符合其他条件的，告知质疑人不予受理。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40.6、质疑的处理和答复</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40.7 采购方受理质疑后，将及时把质疑函发送给被质疑人，并要求其在一定限期人提交书面答复，同时提供有关证据、依据和相关材料。</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40.8  对于质疑事项中涉及的问题较多、情况比较复杂的，为了全面查清事实、取得充分的证据，采购方认为有必要时，可以进行调查取证或者组织质证。</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40.9 对评审过程、成交结果提出质疑的，采购方可以组织原评审委员会协助答复质疑。</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41.质疑处理过程中，质疑人书面申请撤回质疑的，将终止质疑处理程序。</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41.1质疑人拒绝配合采购方依法对质疑进行调查处理的，采购方将按质疑人自动撤回质疑处理；被质疑人拒绝配合采购方依法对质疑进行调查处理的，采购方将视同其认可质疑事项。</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41.2采购方将在正式受理质疑后7个工作日内作出答复，但处理质疑需要进行调查取证、组织专家评审、质疑人及被质疑人提交或补正材料等所需时间，不计算在质疑处理期限内。</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41.3 采购方经调查、论证、核实，认定质疑不能成立的，继续开展采购活动；认定质疑成立的，按照以下情况处理：</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41.4 采购方将书面答复质疑，质疑答复包括下列内容：</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（一）质疑人名称；</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（二）收到质疑函的日期、质疑项目名称及编号;</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rPr>
        <w:t>三</w:t>
      </w:r>
      <w:r>
        <w:rPr>
          <w:rFonts w:hint="eastAsia" w:ascii="仿宋" w:hAnsi="仿宋" w:eastAsia="仿宋" w:cs="仿宋"/>
          <w:sz w:val="24"/>
          <w:szCs w:val="24"/>
          <w:lang w:eastAsia="zh-CN"/>
        </w:rPr>
        <w:t>）</w:t>
      </w:r>
      <w:r>
        <w:rPr>
          <w:rFonts w:hint="eastAsia" w:ascii="仿宋" w:hAnsi="仿宋" w:eastAsia="仿宋" w:cs="仿宋"/>
          <w:sz w:val="24"/>
          <w:szCs w:val="24"/>
        </w:rPr>
        <w:t>质疑事项、质疑答复的具体内容、事实依据和法律依据；</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（四）告知质疑人依法投诉的权利；</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（五）质疑答复日期。</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41.5 质疑人有下列行为之一的，属于虚假、恶意质疑，将由采购方建议财政部门将其列入不良行为记录名单，禁止其1至3年内参加政府采购活动：</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（一）捏造事实；</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（二）提供虚假材料；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（三）以非法手段取得证明材料或者无法提供证据的合法来源；</w:t>
      </w:r>
    </w:p>
    <w:p>
      <w:pPr>
        <w:pStyle w:val="4"/>
        <w:spacing w:before="0" w:line="240" w:lineRule="atLeast"/>
        <w:ind w:firstLine="480" w:firstLineChars="200"/>
        <w:jc w:val="both"/>
        <w:rPr>
          <w:rFonts w:hint="eastAsia" w:ascii="仿宋" w:hAnsi="仿宋" w:eastAsia="仿宋" w:cs="仿宋"/>
          <w:color w:val="auto"/>
          <w:szCs w:val="24"/>
          <w:highlight w:val="none"/>
        </w:rPr>
      </w:pPr>
      <w:r>
        <w:rPr>
          <w:rFonts w:hint="eastAsia" w:ascii="仿宋" w:hAnsi="仿宋" w:eastAsia="仿宋" w:cs="仿宋"/>
          <w:b w:val="0"/>
          <w:bCs/>
          <w:sz w:val="24"/>
          <w:szCs w:val="24"/>
        </w:rPr>
        <w:t>（四）法律法规规定的其他违法情形。</w:t>
      </w:r>
      <w:r>
        <w:rPr>
          <w:rFonts w:hint="eastAsia" w:ascii="仿宋" w:hAnsi="仿宋" w:eastAsia="仿宋" w:cs="仿宋"/>
          <w:color w:val="auto"/>
          <w:highlight w:val="none"/>
        </w:rPr>
        <w:br w:type="page"/>
      </w:r>
      <w:bookmarkStart w:id="150" w:name="_Toc518923103"/>
      <w:bookmarkStart w:id="151" w:name="_Toc11316"/>
      <w:r>
        <w:rPr>
          <w:rFonts w:hint="eastAsia" w:ascii="仿宋" w:hAnsi="仿宋" w:eastAsia="仿宋" w:cs="仿宋"/>
          <w:color w:val="auto"/>
          <w:szCs w:val="24"/>
          <w:highlight w:val="none"/>
        </w:rPr>
        <w:t>附件1：履约保证金保函（格式）</w:t>
      </w:r>
      <w:bookmarkEnd w:id="150"/>
      <w:bookmarkEnd w:id="151"/>
    </w:p>
    <w:p>
      <w:pPr>
        <w:pStyle w:val="11"/>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（中标后开具）</w:t>
      </w:r>
    </w:p>
    <w:p>
      <w:pPr>
        <w:pStyle w:val="11"/>
        <w:spacing w:line="240" w:lineRule="atLeast"/>
        <w:ind w:left="1080" w:leftChars="257" w:hanging="540"/>
        <w:rPr>
          <w:rFonts w:hint="eastAsia" w:ascii="仿宋" w:hAnsi="仿宋" w:eastAsia="仿宋" w:cs="仿宋"/>
          <w:b/>
          <w:color w:val="auto"/>
          <w:sz w:val="24"/>
          <w:highlight w:val="none"/>
        </w:rPr>
      </w:pPr>
    </w:p>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致: (</w:t>
      </w:r>
      <w:r>
        <w:rPr>
          <w:rFonts w:hint="eastAsia" w:ascii="仿宋" w:hAnsi="仿宋" w:eastAsia="仿宋" w:cs="仿宋"/>
          <w:i/>
          <w:color w:val="auto"/>
          <w:sz w:val="24"/>
          <w:highlight w:val="none"/>
          <w:u w:val="single"/>
        </w:rPr>
        <w:t>买方名称</w:t>
      </w:r>
      <w:r>
        <w:rPr>
          <w:rFonts w:hint="eastAsia" w:ascii="仿宋" w:hAnsi="仿宋" w:eastAsia="仿宋" w:cs="仿宋"/>
          <w:color w:val="auto"/>
          <w:sz w:val="24"/>
          <w:highlight w:val="none"/>
        </w:rPr>
        <w:t>)</w:t>
      </w:r>
    </w:p>
    <w:p>
      <w:pPr>
        <w:pStyle w:val="11"/>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号合同履约保函</w:t>
      </w:r>
    </w:p>
    <w:p>
      <w:pPr>
        <w:pStyle w:val="11"/>
        <w:spacing w:line="240" w:lineRule="atLeast"/>
        <w:ind w:left="1080" w:leftChars="257" w:hanging="540"/>
        <w:jc w:val="center"/>
        <w:rPr>
          <w:rFonts w:hint="eastAsia" w:ascii="仿宋" w:hAnsi="仿宋" w:eastAsia="仿宋" w:cs="仿宋"/>
          <w:color w:val="auto"/>
          <w:sz w:val="24"/>
          <w:highlight w:val="none"/>
        </w:rPr>
      </w:pPr>
    </w:p>
    <w:p>
      <w:pPr>
        <w:pStyle w:val="11"/>
        <w:spacing w:line="240" w:lineRule="atLeast"/>
        <w:ind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本保函作为贵方与(</w:t>
      </w:r>
      <w:r>
        <w:rPr>
          <w:rFonts w:hint="eastAsia" w:ascii="仿宋" w:hAnsi="仿宋" w:eastAsia="仿宋" w:cs="仿宋"/>
          <w:i/>
          <w:color w:val="auto"/>
          <w:sz w:val="24"/>
          <w:highlight w:val="none"/>
          <w:u w:val="single"/>
        </w:rPr>
        <w:t>卖方名称</w:t>
      </w:r>
      <w:r>
        <w:rPr>
          <w:rFonts w:hint="eastAsia" w:ascii="仿宋" w:hAnsi="仿宋" w:eastAsia="仿宋" w:cs="仿宋"/>
          <w:color w:val="auto"/>
          <w:sz w:val="24"/>
          <w:highlight w:val="none"/>
        </w:rPr>
        <w:t>)(以下简称卖方)于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项目(以下简称项目)项下提供(</w:t>
      </w:r>
      <w:r>
        <w:rPr>
          <w:rFonts w:hint="eastAsia" w:ascii="仿宋" w:hAnsi="仿宋" w:eastAsia="仿宋" w:cs="仿宋"/>
          <w:i/>
          <w:color w:val="auto"/>
          <w:sz w:val="24"/>
          <w:highlight w:val="none"/>
          <w:u w:val="single"/>
        </w:rPr>
        <w:t>服务名称</w:t>
      </w:r>
      <w:r>
        <w:rPr>
          <w:rFonts w:hint="eastAsia" w:ascii="仿宋" w:hAnsi="仿宋" w:eastAsia="仿宋" w:cs="仿宋"/>
          <w:color w:val="auto"/>
          <w:sz w:val="24"/>
          <w:highlight w:val="none"/>
        </w:rPr>
        <w:t>)(以下简称服务)签订的(</w:t>
      </w:r>
      <w:r>
        <w:rPr>
          <w:rFonts w:hint="eastAsia" w:ascii="仿宋" w:hAnsi="仿宋" w:eastAsia="仿宋" w:cs="仿宋"/>
          <w:i/>
          <w:color w:val="auto"/>
          <w:sz w:val="24"/>
          <w:highlight w:val="none"/>
          <w:u w:val="single"/>
        </w:rPr>
        <w:t>合同号</w:t>
      </w:r>
      <w:r>
        <w:rPr>
          <w:rFonts w:hint="eastAsia" w:ascii="仿宋" w:hAnsi="仿宋" w:eastAsia="仿宋" w:cs="仿宋"/>
          <w:color w:val="auto"/>
          <w:sz w:val="24"/>
          <w:highlight w:val="none"/>
        </w:rPr>
        <w:t>)号合同的履约保函。</w:t>
      </w:r>
    </w:p>
    <w:p>
      <w:pPr>
        <w:pStyle w:val="11"/>
        <w:spacing w:line="240" w:lineRule="atLeast"/>
        <w:ind w:firstLine="540" w:firstLineChars="225"/>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出具保函的银行名称</w:t>
      </w:r>
      <w:r>
        <w:rPr>
          <w:rFonts w:hint="eastAsia" w:ascii="仿宋" w:hAnsi="仿宋" w:eastAsia="仿宋" w:cs="仿宋"/>
          <w:color w:val="auto"/>
          <w:sz w:val="24"/>
          <w:highlight w:val="none"/>
        </w:rPr>
        <w:t>)(以下简称银行)无条件地、不可撤销地具结保证本行、其继承人和受让人无追索地向贵方以(</w:t>
      </w:r>
      <w:r>
        <w:rPr>
          <w:rFonts w:hint="eastAsia" w:ascii="仿宋" w:hAnsi="仿宋" w:eastAsia="仿宋" w:cs="仿宋"/>
          <w:i/>
          <w:color w:val="auto"/>
          <w:sz w:val="24"/>
          <w:highlight w:val="none"/>
          <w:u w:val="single"/>
        </w:rPr>
        <w:t>货币名称</w:t>
      </w:r>
      <w:r>
        <w:rPr>
          <w:rFonts w:hint="eastAsia" w:ascii="仿宋" w:hAnsi="仿宋" w:eastAsia="仿宋" w:cs="仿宋"/>
          <w:color w:val="auto"/>
          <w:sz w:val="24"/>
          <w:highlight w:val="none"/>
        </w:rPr>
        <w:t>)支付总额不超过(</w:t>
      </w:r>
      <w:r>
        <w:rPr>
          <w:rFonts w:hint="eastAsia" w:ascii="仿宋" w:hAnsi="仿宋" w:eastAsia="仿宋" w:cs="仿宋"/>
          <w:i/>
          <w:color w:val="auto"/>
          <w:sz w:val="24"/>
          <w:highlight w:val="none"/>
          <w:u w:val="single"/>
        </w:rPr>
        <w:t>货币数量</w:t>
      </w:r>
      <w:r>
        <w:rPr>
          <w:rFonts w:hint="eastAsia" w:ascii="仿宋" w:hAnsi="仿宋" w:eastAsia="仿宋" w:cs="仿宋"/>
          <w:color w:val="auto"/>
          <w:sz w:val="24"/>
          <w:highlight w:val="none"/>
        </w:rPr>
        <w:t>),即相当于合同价格的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%,并以此约定如下:</w:t>
      </w:r>
    </w:p>
    <w:p>
      <w:pPr>
        <w:pStyle w:val="11"/>
        <w:spacing w:line="240" w:lineRule="atLeast"/>
        <w:ind w:left="540" w:leftChars="257"/>
        <w:rPr>
          <w:rFonts w:hint="eastAsia" w:ascii="仿宋" w:hAnsi="仿宋" w:eastAsia="仿宋" w:cs="仿宋"/>
          <w:color w:val="auto"/>
          <w:sz w:val="24"/>
          <w:highlight w:val="none"/>
        </w:rPr>
      </w:pPr>
      <w:r>
        <w:rPr>
          <w:rFonts w:hint="eastAsia" w:ascii="仿宋" w:hAnsi="仿宋" w:eastAsia="仿宋" w:cs="仿宋"/>
          <w:color w:val="auto"/>
          <w:sz w:val="24"/>
          <w:highlight w:val="none"/>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1"/>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2.本保函项下的任何支付应为免税和净值。对于现有或将来的税收、关税、收费、费用扣减或预提税款，不论这些款项是何种性质和由谁征收，都不应从本保函项下的支付中扣除。</w:t>
      </w:r>
    </w:p>
    <w:p>
      <w:pPr>
        <w:pStyle w:val="11"/>
        <w:spacing w:line="240" w:lineRule="atLeast"/>
        <w:ind w:left="540"/>
        <w:rPr>
          <w:rFonts w:hint="eastAsia" w:ascii="仿宋" w:hAnsi="仿宋" w:eastAsia="仿宋" w:cs="仿宋"/>
          <w:color w:val="auto"/>
          <w:sz w:val="24"/>
          <w:highlight w:val="none"/>
        </w:rPr>
      </w:pPr>
      <w:r>
        <w:rPr>
          <w:rFonts w:hint="eastAsia" w:ascii="仿宋" w:hAnsi="仿宋" w:eastAsia="仿宋" w:cs="仿宋"/>
          <w:color w:val="auto"/>
          <w:sz w:val="24"/>
          <w:highlight w:val="none"/>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4.本保函在本合同规定的保证期期满前完全有效。</w:t>
      </w: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谨启</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出具保函银行名称：</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签字人姓名和职务：</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签字人签名：</w:t>
      </w:r>
      <w:r>
        <w:rPr>
          <w:rFonts w:hint="eastAsia" w:ascii="仿宋" w:hAnsi="仿宋" w:eastAsia="仿宋" w:cs="仿宋"/>
          <w:color w:val="auto"/>
          <w:sz w:val="24"/>
          <w:highlight w:val="none"/>
          <w:u w:val="single"/>
        </w:rPr>
        <w:t xml:space="preserve">                                   </w:t>
      </w: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公章：</w:t>
      </w:r>
      <w:r>
        <w:rPr>
          <w:rFonts w:hint="eastAsia" w:ascii="仿宋" w:hAnsi="仿宋" w:eastAsia="仿宋" w:cs="仿宋"/>
          <w:color w:val="auto"/>
          <w:sz w:val="24"/>
          <w:highlight w:val="none"/>
          <w:u w:val="single"/>
        </w:rPr>
        <w:t xml:space="preserve">                                         </w:t>
      </w:r>
    </w:p>
    <w:p>
      <w:pPr>
        <w:pStyle w:val="4"/>
        <w:spacing w:before="0" w:line="240" w:lineRule="atLeast"/>
        <w:ind w:left="1080" w:leftChars="257" w:hanging="540"/>
        <w:rPr>
          <w:rFonts w:hint="eastAsia" w:ascii="仿宋" w:hAnsi="仿宋" w:eastAsia="仿宋" w:cs="仿宋"/>
          <w:color w:val="auto"/>
          <w:szCs w:val="24"/>
          <w:highlight w:val="none"/>
        </w:rPr>
      </w:pPr>
      <w:r>
        <w:rPr>
          <w:rFonts w:hint="eastAsia" w:ascii="仿宋" w:hAnsi="仿宋" w:eastAsia="仿宋" w:cs="仿宋"/>
          <w:color w:val="auto"/>
          <w:highlight w:val="none"/>
        </w:rPr>
        <w:br w:type="page"/>
      </w:r>
      <w:bookmarkStart w:id="152" w:name="_Toc518923104"/>
      <w:bookmarkStart w:id="153" w:name="_Toc24712"/>
      <w:r>
        <w:rPr>
          <w:rFonts w:hint="eastAsia" w:ascii="仿宋" w:hAnsi="仿宋" w:eastAsia="仿宋" w:cs="仿宋"/>
          <w:color w:val="auto"/>
          <w:szCs w:val="24"/>
          <w:highlight w:val="none"/>
        </w:rPr>
        <w:t>附件2：履约担保函格式</w:t>
      </w:r>
      <w:bookmarkEnd w:id="152"/>
      <w:bookmarkEnd w:id="153"/>
    </w:p>
    <w:p>
      <w:pPr>
        <w:pStyle w:val="4"/>
        <w:spacing w:before="0" w:line="240" w:lineRule="atLeast"/>
        <w:ind w:left="1080" w:leftChars="257" w:hanging="540"/>
        <w:rPr>
          <w:rFonts w:hint="eastAsia" w:ascii="仿宋" w:hAnsi="仿宋" w:eastAsia="仿宋" w:cs="仿宋"/>
          <w:b w:val="0"/>
          <w:color w:val="auto"/>
          <w:highlight w:val="none"/>
        </w:rPr>
      </w:pPr>
      <w:bookmarkStart w:id="154" w:name="_Toc515904842"/>
      <w:bookmarkStart w:id="155" w:name="_Toc26630"/>
      <w:bookmarkStart w:id="156" w:name="_Toc518923105"/>
      <w:r>
        <w:rPr>
          <w:rFonts w:hint="eastAsia" w:ascii="仿宋" w:hAnsi="仿宋" w:eastAsia="仿宋" w:cs="仿宋"/>
          <w:color w:val="auto"/>
          <w:szCs w:val="24"/>
          <w:highlight w:val="none"/>
        </w:rPr>
        <w:t>（采用政府采购信用担保形式时使用）</w:t>
      </w:r>
      <w:bookmarkEnd w:id="154"/>
      <w:bookmarkEnd w:id="155"/>
      <w:bookmarkEnd w:id="156"/>
    </w:p>
    <w:p>
      <w:pPr>
        <w:spacing w:line="240" w:lineRule="atLeast"/>
        <w:ind w:left="1080" w:leftChars="257" w:hanging="540"/>
        <w:rPr>
          <w:rFonts w:hint="eastAsia" w:ascii="仿宋" w:hAnsi="仿宋" w:eastAsia="仿宋" w:cs="仿宋"/>
          <w:b/>
          <w:color w:val="auto"/>
          <w:kern w:val="0"/>
          <w:sz w:val="24"/>
          <w:szCs w:val="20"/>
          <w:highlight w:val="none"/>
        </w:rPr>
      </w:pPr>
    </w:p>
    <w:p>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政府采购履约担保函（项目用）</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编号：</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pPr>
        <w:rPr>
          <w:rFonts w:hint="eastAsia" w:ascii="仿宋" w:hAnsi="仿宋" w:eastAsia="仿宋" w:cs="仿宋"/>
          <w:color w:val="auto"/>
          <w:sz w:val="24"/>
          <w:highlight w:val="none"/>
        </w:rPr>
      </w:pP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鉴于你方与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（以下简称</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日签定编号为   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政府采购合同》（以下简称主合同），且依据该合同的约定，</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日前向你方交纳履约保证金，且可以履约担保函的形式交纳履约保证金。应</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的申请，我方以保证的方式向你方提供如下履约保证金担保：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一、保证责任的情形及保证金额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（一）在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出现下列情形之一时，我方承担保证责任：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1．将中标项目转让给他人，或者在</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中未说明，且未经采购招标机构人同意，将中标项目分包给他人的；</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2．主合同约定的应当缴纳履约保证金的情形: </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（1）未按主合同约定的质量、数量和期限供应货物/提供服务/完成工程的；</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（二）我方的保证范围是主合同约定的合同价款总额的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%数额为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），币种为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。（即主合同履约保证金金额）</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二、保证的方式及保证期间</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我方保证的方式为：连带责任保证。</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我方保证的期间为：自本合同生效之日起至</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按照主合同约定的供货/完工期限届满后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日内。</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未按主合同约定向贵方供应货物/提供服务/完成工程的，由我方在保证金额内向你方支付上述款项。</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三、承担保证责任的程序</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1．你方要求我方承担保证责任的，应在本保函保证期间内向我方发出书面索赔通知。索赔通知应写明要求索赔的金额，支付款项应到达的帐号。并附有证明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违约事实的证明材料。</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因货物质量问题产生争议，你方还需同时提供</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 我方收到你方的书面索赔通知及相应证明材料，在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工作日内进行核定后按照本保函的承诺承担保证责任。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四、保证责任的终止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3．按照法律法规的规定或出现应终止我方保证责任的其它情形的，我方在本保函项下的保证责任亦终止。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修改主合同，加重我方保证责任的，我方对加重部分不承担保证责任，但该等修改事先经我方书面同意的除外；你方与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修改主合同履行期限，我方保证期间仍依修改前的履行期限计算，但该等修改事先经我方书面同意的除外。</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五、免责条款</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1．因你方违反主合同约定致使</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不能履行义务的，我方不承担保证责任。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2．依照法律法规的规定或你方与</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的另行约定，全部或者部分免除</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应缴纳的保证金义务的，我方亦免除相应的保证责任。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3．因不可抗力造成</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不能履行供货义务的，我方不承担保证责任。</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六、争议的解决</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因本保函发生的纠纷，由你我双方协商解决，协商不成的，通过诉讼程序解决，诉讼管辖地法院为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法院。</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七、保函的生效</w:t>
      </w:r>
    </w:p>
    <w:p>
      <w:pPr>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本保函自我方加盖公章之日起生效。</w:t>
      </w:r>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ind w:firstLine="5400" w:firstLineChars="2250"/>
        <w:rPr>
          <w:rFonts w:hint="eastAsia" w:ascii="仿宋" w:hAnsi="仿宋" w:eastAsia="仿宋" w:cs="仿宋"/>
          <w:color w:val="auto"/>
          <w:sz w:val="24"/>
          <w:highlight w:val="none"/>
        </w:rPr>
      </w:pPr>
      <w:r>
        <w:rPr>
          <w:rFonts w:hint="eastAsia" w:ascii="仿宋" w:hAnsi="仿宋" w:eastAsia="仿宋" w:cs="仿宋"/>
          <w:color w:val="auto"/>
          <w:sz w:val="24"/>
          <w:highlight w:val="none"/>
        </w:rPr>
        <w:t>保证人：（公章）</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年     月      日</w:t>
      </w:r>
    </w:p>
    <w:p>
      <w:pPr>
        <w:pStyle w:val="6"/>
        <w:spacing w:line="240" w:lineRule="atLeast"/>
        <w:ind w:firstLine="0"/>
        <w:rPr>
          <w:rFonts w:hint="eastAsia" w:ascii="仿宋" w:hAnsi="仿宋" w:eastAsia="仿宋" w:cs="仿宋"/>
          <w:color w:val="auto"/>
          <w:kern w:val="2"/>
          <w:szCs w:val="24"/>
          <w:highlight w:val="none"/>
        </w:rPr>
      </w:pPr>
      <w:r>
        <w:rPr>
          <w:rFonts w:hint="eastAsia" w:ascii="仿宋" w:hAnsi="仿宋" w:eastAsia="仿宋" w:cs="仿宋"/>
          <w:b/>
          <w:color w:val="auto"/>
          <w:highlight w:val="none"/>
        </w:rPr>
        <w:br w:type="page"/>
      </w:r>
    </w:p>
    <w:p>
      <w:pPr>
        <w:pStyle w:val="3"/>
        <w:numPr>
          <w:ilvl w:val="0"/>
          <w:numId w:val="0"/>
        </w:numPr>
        <w:spacing w:before="0" w:after="0" w:line="240" w:lineRule="atLeast"/>
        <w:ind w:left="1844" w:leftChars="0" w:firstLine="643" w:firstLineChars="200"/>
        <w:jc w:val="both"/>
        <w:rPr>
          <w:rFonts w:hint="eastAsia" w:ascii="仿宋" w:hAnsi="仿宋" w:eastAsia="仿宋" w:cs="仿宋"/>
          <w:color w:val="auto"/>
          <w:highlight w:val="none"/>
        </w:rPr>
      </w:pPr>
      <w:bookmarkStart w:id="157" w:name="_Toc216582812"/>
      <w:bookmarkStart w:id="158" w:name="_Toc26189"/>
      <w:r>
        <w:rPr>
          <w:rFonts w:hint="eastAsia" w:ascii="仿宋" w:hAnsi="仿宋" w:eastAsia="仿宋" w:cs="仿宋"/>
          <w:b/>
          <w:color w:val="auto"/>
          <w:highlight w:val="none"/>
          <w:lang w:val="en-US" w:eastAsia="zh-CN"/>
        </w:rPr>
        <w:t>第2章</w:t>
      </w:r>
      <w:bookmarkStart w:id="159" w:name="_Toc518923106"/>
      <w:r>
        <w:rPr>
          <w:rFonts w:hint="eastAsia" w:ascii="仿宋" w:hAnsi="仿宋" w:eastAsia="仿宋" w:cs="仿宋"/>
          <w:b/>
          <w:color w:val="auto"/>
          <w:highlight w:val="none"/>
          <w:lang w:val="en-US" w:eastAsia="zh-CN"/>
        </w:rPr>
        <w:t xml:space="preserve"> </w:t>
      </w:r>
      <w:r>
        <w:rPr>
          <w:rFonts w:hint="eastAsia" w:ascii="仿宋" w:hAnsi="仿宋" w:eastAsia="仿宋" w:cs="仿宋"/>
          <w:b/>
          <w:color w:val="auto"/>
          <w:highlight w:val="none"/>
          <w:lang w:eastAsia="zh-CN"/>
        </w:rPr>
        <w:t>响</w:t>
      </w:r>
      <w:r>
        <w:rPr>
          <w:rFonts w:hint="eastAsia" w:ascii="仿宋" w:hAnsi="仿宋" w:eastAsia="仿宋" w:cs="仿宋"/>
          <w:color w:val="auto"/>
          <w:highlight w:val="none"/>
          <w:lang w:eastAsia="zh-CN"/>
        </w:rPr>
        <w:t>应文件</w:t>
      </w:r>
      <w:r>
        <w:rPr>
          <w:rFonts w:hint="eastAsia" w:ascii="仿宋" w:hAnsi="仿宋" w:eastAsia="仿宋" w:cs="仿宋"/>
          <w:color w:val="auto"/>
          <w:highlight w:val="none"/>
        </w:rPr>
        <w:t>格式</w:t>
      </w:r>
      <w:bookmarkEnd w:id="157"/>
      <w:bookmarkEnd w:id="158"/>
      <w:bookmarkEnd w:id="159"/>
    </w:p>
    <w:p>
      <w:pPr>
        <w:spacing w:line="240" w:lineRule="atLeast"/>
        <w:ind w:left="735" w:leftChars="350" w:firstLine="120" w:firstLineChars="50"/>
        <w:rPr>
          <w:rFonts w:hint="eastAsia" w:ascii="仿宋" w:hAnsi="仿宋" w:eastAsia="仿宋" w:cs="仿宋"/>
          <w:color w:val="auto"/>
          <w:sz w:val="24"/>
          <w:highlight w:val="none"/>
        </w:rPr>
      </w:pPr>
    </w:p>
    <w:p>
      <w:pPr>
        <w:pStyle w:val="4"/>
        <w:spacing w:before="0" w:line="240" w:lineRule="atLeast"/>
        <w:ind w:left="1080" w:leftChars="257" w:hanging="540"/>
        <w:rPr>
          <w:rFonts w:hint="eastAsia" w:ascii="仿宋" w:hAnsi="仿宋" w:eastAsia="仿宋" w:cs="仿宋"/>
          <w:color w:val="auto"/>
          <w:sz w:val="24"/>
          <w:highlight w:val="none"/>
        </w:rPr>
      </w:pPr>
      <w:bookmarkStart w:id="160" w:name="_Toc518923107"/>
      <w:bookmarkStart w:id="161" w:name="_Toc26281"/>
      <w:r>
        <w:rPr>
          <w:rFonts w:hint="eastAsia" w:ascii="仿宋" w:hAnsi="仿宋" w:eastAsia="仿宋" w:cs="仿宋"/>
          <w:color w:val="auto"/>
          <w:sz w:val="24"/>
          <w:highlight w:val="none"/>
        </w:rPr>
        <w:t>第一部分 开标一览表及资格证明文件</w:t>
      </w:r>
      <w:bookmarkEnd w:id="160"/>
      <w:bookmarkEnd w:id="161"/>
    </w:p>
    <w:p>
      <w:pPr>
        <w:spacing w:line="240" w:lineRule="atLeast"/>
        <w:ind w:left="708" w:hanging="708" w:hangingChars="295"/>
        <w:jc w:val="center"/>
        <w:rPr>
          <w:rFonts w:hint="eastAsia" w:ascii="仿宋" w:hAnsi="仿宋" w:eastAsia="仿宋" w:cs="仿宋"/>
          <w:color w:val="auto"/>
          <w:sz w:val="24"/>
          <w:highlight w:val="none"/>
        </w:rPr>
      </w:pP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开标一览表；</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（2）具有合法有效的营业执照；</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（3）2021年度或2022年度的财务审计报告（新成立未满一年的公司需提供有效的银行资信证明）；</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（4）法定代表人授权书及被委托人身份证（法定代表人投标提供法定代表人身份证明及身份证）； </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（5）参加采购活动前三年内，在经营活动中无重大违法声明(受行政主管部门的处罚不能参加投标)；提供针对本次项目《反商业贿赂承诺书》；</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p>
      <w:pPr>
        <w:keepNext w:val="0"/>
        <w:keepLines w:val="0"/>
        <w:pageBreakBefore w:val="0"/>
        <w:widowControl w:val="0"/>
        <w:tabs>
          <w:tab w:val="left" w:pos="5580"/>
        </w:tabs>
        <w:kinsoku/>
        <w:wordWrap/>
        <w:overflowPunct/>
        <w:topLinePunct w:val="0"/>
        <w:bidi w:val="0"/>
        <w:snapToGrid/>
        <w:spacing w:line="360" w:lineRule="auto"/>
        <w:ind w:left="1" w:firstLine="564" w:firstLineChars="235"/>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（7）磋商保证金缴纳凭证；</w:t>
      </w:r>
    </w:p>
    <w:p>
      <w:pPr>
        <w:keepNext w:val="0"/>
        <w:keepLines w:val="0"/>
        <w:pageBreakBefore w:val="0"/>
        <w:widowControl w:val="0"/>
        <w:tabs>
          <w:tab w:val="left" w:pos="5580"/>
        </w:tabs>
        <w:kinsoku/>
        <w:wordWrap/>
        <w:overflowPunct/>
        <w:topLinePunct w:val="0"/>
        <w:bidi w:val="0"/>
        <w:snapToGrid/>
        <w:spacing w:line="360" w:lineRule="auto"/>
        <w:ind w:firstLine="720" w:firstLineChars="3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须知资料表要求的其他资格证明文件;</w:t>
      </w: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tabs>
          <w:tab w:val="left" w:pos="5580"/>
        </w:tabs>
        <w:spacing w:line="240" w:lineRule="atLeast"/>
        <w:ind w:left="1" w:firstLine="564" w:firstLineChars="235"/>
        <w:rPr>
          <w:rFonts w:hint="eastAsia" w:ascii="仿宋" w:hAnsi="仿宋" w:eastAsia="仿宋" w:cs="仿宋"/>
          <w:color w:val="auto"/>
          <w:sz w:val="24"/>
          <w:highlight w:val="none"/>
        </w:rPr>
      </w:pPr>
    </w:p>
    <w:p>
      <w:pPr>
        <w:spacing w:before="0" w:line="240" w:lineRule="atLeast"/>
        <w:ind w:left="1080" w:leftChars="257" w:hanging="540"/>
        <w:jc w:val="center"/>
        <w:outlineLvl w:val="9"/>
        <w:rPr>
          <w:rFonts w:hint="eastAsia" w:ascii="仿宋" w:hAnsi="仿宋" w:eastAsia="仿宋" w:cs="仿宋"/>
          <w:color w:val="auto"/>
          <w:sz w:val="28"/>
          <w:szCs w:val="28"/>
          <w:highlight w:val="none"/>
        </w:rPr>
      </w:pPr>
      <w:bookmarkStart w:id="162" w:name="_Toc518923108"/>
      <w:bookmarkStart w:id="163" w:name="_Toc480942349"/>
      <w:bookmarkStart w:id="164" w:name="_Ref467988698"/>
      <w:bookmarkStart w:id="165" w:name="_Toc520356217"/>
      <w:bookmarkStart w:id="166" w:name="_Toc216582813"/>
      <w:r>
        <w:rPr>
          <w:rFonts w:hint="eastAsia" w:ascii="仿宋" w:hAnsi="仿宋" w:eastAsia="仿宋" w:cs="仿宋"/>
          <w:b/>
          <w:bCs/>
          <w:color w:val="auto"/>
          <w:sz w:val="28"/>
          <w:szCs w:val="28"/>
          <w:highlight w:val="none"/>
        </w:rPr>
        <w:br w:type="page"/>
      </w:r>
      <w:r>
        <w:rPr>
          <w:rFonts w:hint="eastAsia" w:ascii="仿宋" w:hAnsi="仿宋" w:eastAsia="仿宋" w:cs="仿宋"/>
          <w:b/>
          <w:bCs/>
          <w:color w:val="auto"/>
          <w:sz w:val="28"/>
          <w:szCs w:val="28"/>
          <w:highlight w:val="none"/>
        </w:rPr>
        <w:t>1</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开标一览表</w:t>
      </w:r>
      <w:bookmarkEnd w:id="162"/>
    </w:p>
    <w:p>
      <w:pPr>
        <w:pStyle w:val="11"/>
        <w:tabs>
          <w:tab w:val="left" w:pos="5580"/>
        </w:tabs>
        <w:spacing w:line="240" w:lineRule="atLeast"/>
        <w:ind w:left="269" w:leftChars="128"/>
        <w:rPr>
          <w:rFonts w:hint="eastAsia" w:ascii="仿宋" w:hAnsi="仿宋" w:eastAsia="仿宋" w:cs="仿宋"/>
          <w:color w:val="auto"/>
          <w:sz w:val="24"/>
          <w:highlight w:val="none"/>
        </w:rPr>
      </w:pPr>
    </w:p>
    <w:p>
      <w:pPr>
        <w:pStyle w:val="11"/>
        <w:tabs>
          <w:tab w:val="left" w:pos="5580"/>
        </w:tabs>
        <w:spacing w:line="240" w:lineRule="atLeast"/>
        <w:ind w:left="269" w:leftChars="128"/>
        <w:rPr>
          <w:rFonts w:hint="eastAsia" w:ascii="仿宋" w:hAnsi="仿宋" w:eastAsia="仿宋" w:cs="仿宋"/>
          <w:color w:val="auto"/>
          <w:sz w:val="24"/>
          <w:szCs w:val="24"/>
          <w:highlight w:val="none"/>
        </w:rPr>
      </w:pPr>
    </w:p>
    <w:p>
      <w:pPr>
        <w:pStyle w:val="6"/>
        <w:tabs>
          <w:tab w:val="left" w:pos="5580"/>
        </w:tabs>
        <w:spacing w:line="240" w:lineRule="atLeast"/>
        <w:ind w:left="1080" w:leftChars="257" w:hanging="540"/>
        <w:jc w:val="center"/>
        <w:rPr>
          <w:rFonts w:hint="eastAsia" w:ascii="仿宋" w:hAnsi="仿宋" w:eastAsia="仿宋" w:cs="仿宋"/>
          <w:b/>
          <w:color w:val="auto"/>
          <w:highlight w:val="none"/>
        </w:rPr>
      </w:pPr>
      <w:bookmarkStart w:id="167" w:name="_Hlt520356241"/>
      <w:bookmarkEnd w:id="167"/>
      <w:bookmarkStart w:id="168" w:name="_Toc494296984"/>
      <w:r>
        <w:rPr>
          <w:rFonts w:hint="eastAsia" w:ascii="仿宋" w:hAnsi="仿宋" w:eastAsia="仿宋" w:cs="仿宋"/>
          <w:b/>
          <w:color w:val="auto"/>
          <w:highlight w:val="none"/>
        </w:rPr>
        <w:t>开标一览表</w:t>
      </w:r>
      <w:bookmarkEnd w:id="168"/>
      <w:r>
        <w:rPr>
          <w:rFonts w:hint="eastAsia" w:ascii="仿宋" w:hAnsi="仿宋" w:eastAsia="仿宋" w:cs="仿宋"/>
          <w:b/>
          <w:color w:val="auto"/>
          <w:highlight w:val="none"/>
        </w:rPr>
        <w:cr/>
      </w:r>
    </w:p>
    <w:p>
      <w:pPr>
        <w:pStyle w:val="6"/>
        <w:tabs>
          <w:tab w:val="left" w:pos="5580"/>
        </w:tabs>
        <w:spacing w:line="240" w:lineRule="atLeast"/>
        <w:ind w:left="1080" w:leftChars="257" w:hanging="540"/>
        <w:rPr>
          <w:rFonts w:hint="eastAsia" w:ascii="仿宋" w:hAnsi="仿宋" w:eastAsia="仿宋" w:cs="仿宋"/>
          <w:color w:val="auto"/>
          <w:highlight w:val="none"/>
        </w:rPr>
      </w:pPr>
    </w:p>
    <w:p>
      <w:pPr>
        <w:tabs>
          <w:tab w:val="left" w:pos="5580"/>
        </w:tabs>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项目名称：                                       招标编号：    </w:t>
      </w:r>
    </w:p>
    <w:p>
      <w:pPr>
        <w:tabs>
          <w:tab w:val="left" w:pos="5580"/>
        </w:tabs>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报价单位：人民币：元</w:t>
      </w:r>
    </w:p>
    <w:tbl>
      <w:tblPr>
        <w:tblStyle w:val="24"/>
        <w:tblW w:w="9155" w:type="dxa"/>
        <w:tblInd w:w="-61" w:type="dxa"/>
        <w:tblLayout w:type="fixed"/>
        <w:tblCellMar>
          <w:top w:w="0" w:type="dxa"/>
          <w:left w:w="0" w:type="dxa"/>
          <w:bottom w:w="0" w:type="dxa"/>
          <w:right w:w="0" w:type="dxa"/>
        </w:tblCellMar>
      </w:tblPr>
      <w:tblGrid>
        <w:gridCol w:w="1420"/>
        <w:gridCol w:w="2340"/>
        <w:gridCol w:w="1805"/>
        <w:gridCol w:w="1445"/>
        <w:gridCol w:w="1250"/>
        <w:gridCol w:w="895"/>
      </w:tblGrid>
      <w:tr>
        <w:tblPrEx>
          <w:tblLayout w:type="fixed"/>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项目</w:t>
            </w:r>
            <w:r>
              <w:rPr>
                <w:rFonts w:hint="eastAsia" w:ascii="仿宋" w:hAnsi="仿宋" w:eastAsia="仿宋" w:cs="仿宋"/>
                <w:color w:val="auto"/>
                <w:sz w:val="24"/>
                <w:highlight w:val="none"/>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磋商保证金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交货期</w:t>
            </w:r>
          </w:p>
        </w:tc>
        <w:tc>
          <w:tcPr>
            <w:tcW w:w="1250"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交货</w:t>
            </w:r>
            <w:r>
              <w:rPr>
                <w:rFonts w:hint="eastAsia" w:ascii="仿宋" w:hAnsi="仿宋" w:eastAsia="仿宋" w:cs="仿宋"/>
                <w:color w:val="auto"/>
                <w:sz w:val="24"/>
                <w:highlight w:val="none"/>
              </w:rPr>
              <w:t>地点</w:t>
            </w:r>
          </w:p>
        </w:tc>
        <w:tc>
          <w:tcPr>
            <w:tcW w:w="895"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Layout w:type="fixed"/>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p>
          <w:p>
            <w:pPr>
              <w:tabs>
                <w:tab w:val="left" w:pos="5580"/>
              </w:tabs>
              <w:spacing w:line="240" w:lineRule="atLeas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1250"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c>
          <w:tcPr>
            <w:tcW w:w="895"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hint="eastAsia" w:ascii="仿宋" w:hAnsi="仿宋" w:eastAsia="仿宋" w:cs="仿宋"/>
                <w:color w:val="auto"/>
                <w:sz w:val="24"/>
                <w:highlight w:val="none"/>
              </w:rPr>
            </w:pPr>
          </w:p>
        </w:tc>
      </w:tr>
    </w:tbl>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p>
    <w:p>
      <w:pPr>
        <w:pStyle w:val="11"/>
        <w:tabs>
          <w:tab w:val="left" w:pos="5580"/>
        </w:tabs>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kern w:val="2"/>
          <w:sz w:val="24"/>
          <w:szCs w:val="24"/>
          <w:highlight w:val="none"/>
          <w:lang w:val="en-US" w:eastAsia="zh-CN" w:bidi="ar-SA"/>
        </w:rPr>
        <w:t>投标人名称（单位章）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58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kern w:val="2"/>
          <w:sz w:val="24"/>
          <w:szCs w:val="24"/>
          <w:highlight w:val="none"/>
          <w:lang w:val="en-US" w:eastAsia="zh-CN" w:bidi="ar-SA"/>
        </w:rPr>
        <w:t>法定代表人或其委托代理人(签章)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lang w:val="en-US" w:eastAsia="zh-CN"/>
        </w:rPr>
        <w:t xml:space="preserve"> </w:t>
      </w: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left="0" w:leftChars="0" w:firstLine="960" w:firstLineChars="4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、此表中，每包的投标总价应和投标分项报价表的总价相一致。</w:t>
      </w:r>
    </w:p>
    <w:p>
      <w:pPr>
        <w:pStyle w:val="11"/>
        <w:keepNext w:val="0"/>
        <w:keepLines w:val="0"/>
        <w:pageBreakBefore w:val="0"/>
        <w:widowControl w:val="0"/>
        <w:tabs>
          <w:tab w:val="left" w:pos="5580"/>
        </w:tabs>
        <w:kinsoku/>
        <w:wordWrap/>
        <w:overflowPunct/>
        <w:topLinePunct w:val="0"/>
        <w:autoSpaceDE/>
        <w:autoSpaceDN/>
        <w:bidi w:val="0"/>
        <w:adjustRightInd/>
        <w:snapToGrid/>
        <w:spacing w:line="240" w:lineRule="auto"/>
        <w:ind w:left="0" w:leftChars="0" w:firstLine="960" w:firstLineChars="400"/>
        <w:textAlignment w:val="auto"/>
        <w:rPr>
          <w:rFonts w:hint="eastAsia" w:ascii="仿宋" w:hAnsi="仿宋" w:eastAsia="仿宋" w:cs="仿宋"/>
          <w:b/>
          <w:bCs/>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b w:val="0"/>
          <w:bCs w:val="0"/>
          <w:sz w:val="24"/>
          <w:szCs w:val="24"/>
        </w:rPr>
        <w:t>此报价</w:t>
      </w:r>
      <w:r>
        <w:rPr>
          <w:rFonts w:hint="eastAsia" w:ascii="仿宋" w:hAnsi="仿宋" w:eastAsia="仿宋" w:cs="仿宋"/>
          <w:b w:val="0"/>
          <w:bCs w:val="0"/>
          <w:sz w:val="24"/>
          <w:szCs w:val="24"/>
          <w:lang w:eastAsia="zh-CN"/>
        </w:rPr>
        <w:t>包括</w:t>
      </w:r>
      <w:r>
        <w:rPr>
          <w:rFonts w:hint="eastAsia" w:ascii="仿宋" w:hAnsi="仿宋" w:eastAsia="仿宋" w:cs="仿宋"/>
          <w:b w:val="0"/>
          <w:bCs w:val="0"/>
          <w:sz w:val="24"/>
          <w:szCs w:val="24"/>
          <w:lang w:val="en-US" w:eastAsia="zh-CN"/>
        </w:rPr>
        <w:t>安装、调试、运输等采购内容的全部费用</w:t>
      </w:r>
      <w:r>
        <w:rPr>
          <w:rFonts w:hint="eastAsia" w:ascii="仿宋" w:hAnsi="仿宋" w:eastAsia="仿宋" w:cs="仿宋"/>
          <w:b w:val="0"/>
          <w:bCs w:val="0"/>
          <w:sz w:val="24"/>
          <w:szCs w:val="24"/>
        </w:rPr>
        <w:t>。</w:t>
      </w:r>
    </w:p>
    <w:p>
      <w:pPr>
        <w:spacing w:before="0" w:line="240" w:lineRule="atLeast"/>
        <w:ind w:left="1080" w:leftChars="257" w:hanging="540"/>
        <w:jc w:val="both"/>
        <w:outlineLvl w:val="9"/>
        <w:rPr>
          <w:rFonts w:hint="eastAsia" w:ascii="仿宋" w:hAnsi="仿宋" w:eastAsia="仿宋" w:cs="仿宋"/>
          <w:b/>
          <w:bCs/>
          <w:color w:val="FF0000"/>
          <w:sz w:val="28"/>
          <w:szCs w:val="28"/>
          <w:highlight w:val="none"/>
          <w:lang w:val="zh-CN" w:eastAsia="zh-CN"/>
        </w:rPr>
      </w:pPr>
      <w:r>
        <w:rPr>
          <w:rFonts w:hint="eastAsia" w:ascii="仿宋" w:hAnsi="仿宋" w:eastAsia="仿宋" w:cs="仿宋"/>
          <w:color w:val="auto"/>
          <w:kern w:val="2"/>
          <w:sz w:val="24"/>
          <w:szCs w:val="24"/>
          <w:highlight w:val="none"/>
          <w:lang w:val="en-US" w:eastAsia="zh-CN" w:bidi="ar-SA"/>
        </w:rPr>
        <w:br w:type="page"/>
      </w:r>
      <w:bookmarkStart w:id="169" w:name="_Toc518923109"/>
      <w:bookmarkStart w:id="170" w:name="_Toc223"/>
      <w:r>
        <w:rPr>
          <w:rFonts w:hint="eastAsia" w:ascii="仿宋" w:hAnsi="仿宋" w:eastAsia="仿宋" w:cs="仿宋"/>
          <w:b/>
          <w:bCs/>
          <w:color w:val="auto"/>
          <w:sz w:val="28"/>
          <w:szCs w:val="28"/>
          <w:highlight w:val="none"/>
        </w:rPr>
        <w:t>2</w:t>
      </w:r>
      <w:bookmarkEnd w:id="169"/>
      <w:bookmarkEnd w:id="170"/>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lang w:val="zh-CN" w:eastAsia="zh-CN"/>
        </w:rPr>
        <w:t>具有合法有效的营业执照</w:t>
      </w:r>
    </w:p>
    <w:p>
      <w:pPr>
        <w:spacing w:before="0" w:line="240" w:lineRule="atLeast"/>
        <w:jc w:val="both"/>
        <w:outlineLvl w:val="9"/>
        <w:rPr>
          <w:rFonts w:hint="eastAsia" w:ascii="仿宋" w:hAnsi="仿宋" w:eastAsia="仿宋" w:cs="仿宋"/>
          <w:b/>
          <w:bCs/>
          <w:color w:val="auto"/>
          <w:sz w:val="24"/>
          <w:highlight w:val="none"/>
          <w:lang w:val="en-US" w:eastAsia="zh-CN"/>
        </w:rPr>
      </w:pPr>
    </w:p>
    <w:p>
      <w:pPr>
        <w:pStyle w:val="11"/>
        <w:tabs>
          <w:tab w:val="left" w:pos="5580"/>
        </w:tabs>
        <w:spacing w:line="240" w:lineRule="atLeast"/>
        <w:ind w:left="1080" w:leftChars="257" w:hanging="540"/>
        <w:jc w:val="center"/>
        <w:rPr>
          <w:rFonts w:hint="eastAsia" w:ascii="仿宋" w:hAnsi="仿宋" w:eastAsia="仿宋" w:cs="仿宋"/>
          <w:b/>
          <w:color w:val="auto"/>
          <w:sz w:val="24"/>
          <w:highlight w:val="none"/>
        </w:rPr>
      </w:pPr>
    </w:p>
    <w:p>
      <w:pPr>
        <w:pStyle w:val="11"/>
        <w:tabs>
          <w:tab w:val="left" w:pos="5580"/>
        </w:tabs>
        <w:spacing w:line="240" w:lineRule="atLeast"/>
        <w:ind w:left="1080" w:leftChars="257" w:hanging="540"/>
        <w:rPr>
          <w:rFonts w:hint="eastAsia" w:ascii="仿宋" w:hAnsi="仿宋" w:eastAsia="仿宋" w:cs="仿宋"/>
          <w:b/>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说明：1.企业法人或事业法人或其他组织或自然人资格证明文件复印件，复印件上应加盖本单位章。</w:t>
      </w:r>
    </w:p>
    <w:p>
      <w:pPr>
        <w:pStyle w:val="11"/>
        <w:tabs>
          <w:tab w:val="left" w:pos="5580"/>
        </w:tabs>
        <w:spacing w:line="240" w:lineRule="atLeast"/>
        <w:ind w:left="1080" w:leftChars="257" w:hanging="54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2.投标人为自然人的，应提供身份证明的复印件。</w:t>
      </w:r>
    </w:p>
    <w:p>
      <w:pPr>
        <w:pStyle w:val="11"/>
        <w:tabs>
          <w:tab w:val="left" w:pos="5580"/>
        </w:tabs>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color w:val="auto"/>
          <w:kern w:val="2"/>
          <w:sz w:val="24"/>
          <w:szCs w:val="20"/>
          <w:highlight w:val="none"/>
          <w:lang w:val="en-US" w:eastAsia="zh-CN" w:bidi="ar-SA"/>
        </w:rPr>
        <w:t xml:space="preserve">      3.联合体投标应提供联合体各方满足以上要求的证明文件。</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r>
        <w:rPr>
          <w:rFonts w:hint="eastAsia" w:ascii="仿宋" w:hAnsi="仿宋" w:eastAsia="仿宋" w:cs="仿宋"/>
          <w:b/>
          <w:bCs/>
          <w:color w:val="auto"/>
          <w:sz w:val="28"/>
          <w:szCs w:val="21"/>
          <w:highlight w:val="none"/>
          <w:lang w:val="en-US" w:eastAsia="zh-CN"/>
        </w:rPr>
        <w:t>3、2021年度或2022年度</w:t>
      </w:r>
      <w:r>
        <w:rPr>
          <w:rFonts w:hint="eastAsia" w:ascii="仿宋" w:hAnsi="仿宋" w:eastAsia="仿宋" w:cs="仿宋"/>
          <w:b/>
          <w:bCs/>
          <w:color w:val="auto"/>
          <w:sz w:val="28"/>
          <w:szCs w:val="21"/>
          <w:highlight w:val="none"/>
          <w:lang w:val="zh-CN" w:eastAsia="zh-CN"/>
        </w:rPr>
        <w:t>的财务审计报告（新成立未满一年的公司需提供有效的银行资信证明）；</w:t>
      </w:r>
      <w:r>
        <w:rPr>
          <w:rFonts w:hint="eastAsia" w:ascii="仿宋" w:hAnsi="仿宋" w:eastAsia="仿宋" w:cs="仿宋"/>
          <w:color w:val="auto"/>
          <w:sz w:val="24"/>
          <w:highlight w:val="none"/>
        </w:rPr>
        <w:br w:type="page"/>
      </w:r>
    </w:p>
    <w:p>
      <w:pPr>
        <w:pStyle w:val="11"/>
        <w:tabs>
          <w:tab w:val="left" w:pos="5580"/>
        </w:tabs>
        <w:spacing w:line="240" w:lineRule="atLeast"/>
        <w:ind w:left="1082" w:leftChars="114" w:hanging="843" w:hangingChars="300"/>
        <w:jc w:val="center"/>
        <w:rPr>
          <w:rFonts w:hint="eastAsia" w:ascii="仿宋" w:hAnsi="仿宋" w:eastAsia="仿宋" w:cs="仿宋"/>
          <w:b/>
          <w:bCs/>
          <w:color w:val="auto"/>
          <w:sz w:val="28"/>
          <w:szCs w:val="28"/>
          <w:highlight w:val="none"/>
        </w:rPr>
      </w:pPr>
      <w:bookmarkStart w:id="171" w:name="_Toc518923110"/>
      <w:r>
        <w:rPr>
          <w:rFonts w:hint="eastAsia" w:ascii="仿宋" w:hAnsi="仿宋" w:eastAsia="仿宋" w:cs="仿宋"/>
          <w:b/>
          <w:bCs/>
          <w:color w:val="auto"/>
          <w:sz w:val="28"/>
          <w:szCs w:val="21"/>
          <w:highlight w:val="none"/>
          <w:lang w:val="en-US" w:eastAsia="zh-CN"/>
        </w:rPr>
        <w:t>4</w:t>
      </w:r>
      <w:bookmarkEnd w:id="171"/>
      <w:r>
        <w:rPr>
          <w:rFonts w:hint="eastAsia" w:ascii="仿宋" w:hAnsi="仿宋" w:eastAsia="仿宋" w:cs="仿宋"/>
          <w:color w:val="auto"/>
          <w:sz w:val="28"/>
          <w:szCs w:val="21"/>
          <w:highlight w:val="none"/>
          <w:lang w:eastAsia="zh-CN"/>
        </w:rPr>
        <w:t>、</w:t>
      </w:r>
      <w:r>
        <w:rPr>
          <w:rFonts w:hint="eastAsia" w:ascii="仿宋" w:hAnsi="仿宋" w:eastAsia="仿宋" w:cs="仿宋"/>
          <w:b/>
          <w:bCs/>
          <w:color w:val="auto"/>
          <w:sz w:val="28"/>
          <w:szCs w:val="21"/>
          <w:highlight w:val="none"/>
          <w:lang w:val="en-US" w:eastAsia="zh-CN"/>
        </w:rPr>
        <w:t>法定代表人授权书及被委托人身份证（法定代表人投标提供法定代表人身份证明及身份证）</w:t>
      </w:r>
      <w:r>
        <w:rPr>
          <w:rFonts w:hint="eastAsia" w:ascii="仿宋" w:hAnsi="仿宋" w:eastAsia="仿宋" w:cs="仿宋"/>
          <w:b/>
          <w:bCs/>
          <w:color w:val="auto"/>
          <w:kern w:val="0"/>
          <w:sz w:val="28"/>
          <w:szCs w:val="28"/>
          <w:highlight w:val="none"/>
          <w:u w:val="none"/>
          <w:lang w:val="en-US" w:eastAsia="zh-CN" w:bidi="ar-SA"/>
        </w:rPr>
        <w:t>；</w:t>
      </w:r>
    </w:p>
    <w:p>
      <w:pPr>
        <w:pStyle w:val="4"/>
        <w:spacing w:before="0" w:line="240" w:lineRule="atLeast"/>
        <w:ind w:left="1080" w:leftChars="257" w:hanging="540"/>
        <w:rPr>
          <w:rFonts w:hint="eastAsia" w:ascii="仿宋" w:hAnsi="仿宋" w:eastAsia="仿宋" w:cs="仿宋"/>
          <w:color w:val="auto"/>
          <w:sz w:val="24"/>
          <w:highlight w:val="none"/>
        </w:rPr>
      </w:pPr>
      <w:bookmarkStart w:id="172" w:name="_Toc8101"/>
      <w:bookmarkStart w:id="173" w:name="_Toc22472"/>
      <w:bookmarkStart w:id="174" w:name="_Toc21648"/>
      <w:bookmarkStart w:id="175" w:name="_Toc31942"/>
      <w:bookmarkStart w:id="176" w:name="_Toc5570"/>
      <w:bookmarkStart w:id="177" w:name="_Toc25640"/>
      <w:bookmarkStart w:id="178" w:name="_Toc9627"/>
      <w:bookmarkStart w:id="179" w:name="_Toc515647807"/>
      <w:bookmarkStart w:id="180" w:name="_Toc21571"/>
      <w:bookmarkStart w:id="181" w:name="_Toc1083"/>
      <w:bookmarkStart w:id="182" w:name="_Toc18201"/>
    </w:p>
    <w:p>
      <w:pPr>
        <w:spacing w:before="0" w:line="240" w:lineRule="atLeast"/>
        <w:ind w:left="1080" w:leftChars="257" w:hanging="540"/>
        <w:jc w:val="center"/>
        <w:outlineLvl w:val="9"/>
        <w:rPr>
          <w:rFonts w:hint="eastAsia" w:ascii="仿宋" w:hAnsi="仿宋" w:eastAsia="仿宋" w:cs="仿宋"/>
          <w:b/>
          <w:bCs/>
          <w:color w:val="auto"/>
          <w:sz w:val="24"/>
          <w:highlight w:val="none"/>
          <w:u w:val="single"/>
        </w:rPr>
      </w:pPr>
      <w:bookmarkStart w:id="183" w:name="_Toc29511"/>
      <w:r>
        <w:rPr>
          <w:rFonts w:hint="eastAsia" w:ascii="仿宋" w:hAnsi="仿宋" w:eastAsia="仿宋" w:cs="仿宋"/>
          <w:b/>
          <w:bCs/>
          <w:color w:val="auto"/>
          <w:sz w:val="24"/>
          <w:highlight w:val="none"/>
          <w:lang w:val="en-US" w:eastAsia="zh-CN"/>
        </w:rPr>
        <w:t xml:space="preserve">4.1 </w:t>
      </w:r>
      <w:r>
        <w:rPr>
          <w:rFonts w:hint="eastAsia" w:ascii="仿宋" w:hAnsi="仿宋" w:eastAsia="仿宋" w:cs="仿宋"/>
          <w:b/>
          <w:bCs/>
          <w:color w:val="auto"/>
          <w:sz w:val="24"/>
          <w:highlight w:val="none"/>
        </w:rPr>
        <w:t>法定代表人授权委托书</w:t>
      </w:r>
      <w:bookmarkEnd w:id="172"/>
      <w:bookmarkEnd w:id="173"/>
      <w:bookmarkEnd w:id="174"/>
      <w:bookmarkEnd w:id="175"/>
      <w:bookmarkEnd w:id="176"/>
      <w:bookmarkEnd w:id="177"/>
      <w:bookmarkEnd w:id="178"/>
      <w:bookmarkEnd w:id="179"/>
      <w:bookmarkEnd w:id="180"/>
      <w:bookmarkEnd w:id="181"/>
      <w:bookmarkEnd w:id="182"/>
      <w:bookmarkEnd w:id="183"/>
    </w:p>
    <w:p>
      <w:pPr>
        <w:pStyle w:val="11"/>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xml:space="preserve">    本授权书声明：注册于</w:t>
      </w:r>
      <w:r>
        <w:rPr>
          <w:rFonts w:hint="eastAsia" w:ascii="仿宋" w:hAnsi="仿宋" w:eastAsia="仿宋" w:cs="仿宋"/>
          <w:color w:val="auto"/>
          <w:sz w:val="24"/>
          <w:highlight w:val="none"/>
          <w:u w:val="single"/>
        </w:rPr>
        <w:t>（国家或地区的名称）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lang w:eastAsia="zh-CN"/>
        </w:rPr>
        <w:t>投标人</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法人代表姓名、职务</w:t>
      </w:r>
      <w:r>
        <w:rPr>
          <w:rFonts w:hint="eastAsia" w:ascii="仿宋" w:hAnsi="仿宋" w:eastAsia="仿宋" w:cs="仿宋"/>
          <w:color w:val="auto"/>
          <w:sz w:val="24"/>
          <w:highlight w:val="none"/>
        </w:rPr>
        <w:t>）代表我单位授权（</w:t>
      </w:r>
      <w:r>
        <w:rPr>
          <w:rFonts w:hint="eastAsia" w:ascii="仿宋" w:hAnsi="仿宋" w:eastAsia="仿宋" w:cs="仿宋"/>
          <w:i/>
          <w:color w:val="auto"/>
          <w:sz w:val="24"/>
          <w:highlight w:val="none"/>
          <w:u w:val="single"/>
        </w:rPr>
        <w:t>单位名称</w:t>
      </w:r>
      <w:r>
        <w:rPr>
          <w:rFonts w:hint="eastAsia" w:ascii="仿宋" w:hAnsi="仿宋" w:eastAsia="仿宋" w:cs="仿宋"/>
          <w:color w:val="auto"/>
          <w:sz w:val="24"/>
          <w:highlight w:val="none"/>
        </w:rPr>
        <w:t>）的在下面签字的（</w:t>
      </w:r>
      <w:r>
        <w:rPr>
          <w:rFonts w:hint="eastAsia" w:ascii="仿宋" w:hAnsi="仿宋" w:eastAsia="仿宋" w:cs="仿宋"/>
          <w:i/>
          <w:color w:val="auto"/>
          <w:sz w:val="24"/>
          <w:highlight w:val="none"/>
          <w:u w:val="single"/>
        </w:rPr>
        <w:t>被授权人的姓名、职务</w:t>
      </w:r>
      <w:r>
        <w:rPr>
          <w:rFonts w:hint="eastAsia" w:ascii="仿宋" w:hAnsi="仿宋" w:eastAsia="仿宋" w:cs="仿宋"/>
          <w:color w:val="auto"/>
          <w:sz w:val="24"/>
          <w:highlight w:val="none"/>
        </w:rPr>
        <w:t>）为我单位的合法代理人，就（</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）的（</w:t>
      </w:r>
      <w:r>
        <w:rPr>
          <w:rFonts w:hint="eastAsia" w:ascii="仿宋" w:hAnsi="仿宋" w:eastAsia="仿宋" w:cs="仿宋"/>
          <w:i/>
          <w:color w:val="auto"/>
          <w:sz w:val="24"/>
          <w:highlight w:val="none"/>
          <w:u w:val="single"/>
        </w:rPr>
        <w:t>合同名称</w:t>
      </w:r>
      <w:r>
        <w:rPr>
          <w:rFonts w:hint="eastAsia" w:ascii="仿宋" w:hAnsi="仿宋" w:eastAsia="仿宋" w:cs="仿宋"/>
          <w:color w:val="auto"/>
          <w:sz w:val="24"/>
          <w:highlight w:val="none"/>
        </w:rPr>
        <w:t>）投标，以我单位名义处理一切与之有关的事务。</w:t>
      </w:r>
      <w:r>
        <w:rPr>
          <w:rFonts w:hint="eastAsia" w:ascii="仿宋" w:hAnsi="仿宋" w:eastAsia="仿宋" w:cs="仿宋"/>
          <w:color w:val="auto"/>
          <w:sz w:val="24"/>
          <w:highlight w:val="none"/>
        </w:rPr>
        <w:cr/>
      </w:r>
      <w:r>
        <w:rPr>
          <w:rFonts w:hint="eastAsia" w:ascii="仿宋" w:hAnsi="仿宋" w:eastAsia="仿宋" w:cs="仿宋"/>
          <w:color w:val="auto"/>
          <w:sz w:val="24"/>
          <w:highlight w:val="none"/>
        </w:rPr>
        <w:t>　　</w: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本授权书于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日签字生效,特此声明。</w: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184785</wp:posOffset>
                </wp:positionV>
                <wp:extent cx="2745740" cy="1230630"/>
                <wp:effectExtent l="7620" t="7620" r="8890" b="19050"/>
                <wp:wrapNone/>
                <wp:docPr id="5" name="圆角矩形 5"/>
                <wp:cNvGraphicFramePr/>
                <a:graphic xmlns:a="http://schemas.openxmlformats.org/drawingml/2006/main">
                  <a:graphicData uri="http://schemas.microsoft.com/office/word/2010/wordprocessingShape">
                    <wps:wsp>
                      <wps:cNvSpPr/>
                      <wps:spPr>
                        <a:xfrm>
                          <a:off x="0" y="0"/>
                          <a:ext cx="2745740" cy="123063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szCs w:val="21"/>
                                <w:lang w:val="en-US" w:eastAsia="zh-CN"/>
                              </w:rPr>
                            </w:pPr>
                            <w:r>
                              <w:rPr>
                                <w:rFonts w:hint="eastAsia" w:hAnsi="宋体"/>
                                <w:szCs w:val="21"/>
                              </w:rPr>
                              <w:t>法定代表人身份证复印件</w:t>
                            </w:r>
                          </w:p>
                          <w:p/>
                        </w:txbxContent>
                      </wps:txbx>
                      <wps:bodyPr upright="1"/>
                    </wps:wsp>
                  </a:graphicData>
                </a:graphic>
              </wp:anchor>
            </w:drawing>
          </mc:Choice>
          <mc:Fallback>
            <w:pict>
              <v:roundrect id="_x0000_s1026" o:spid="_x0000_s1026" o:spt="2" style="position:absolute;left:0pt;margin-left:-4.9pt;margin-top:14.55pt;height:96.9pt;width:216.2pt;z-index:251659264;mso-width-relative:page;mso-height-relative:page;" fillcolor="#FFFFFF" filled="t" stroked="t" coordsize="21600,21600" arcsize="0.166666666666667" o:gfxdata="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9jfGUNoAAAAJAQAADwAAAAAAAAABACAA&#10;AAAiAAAAZHJzL2Rvd25yZXYueG1sUEsBAhQAFAAAAAgAh07iQLof4/gLAgAACgQAAA4AAAAAAAAA&#10;AQAgAAAAKQEAAGRycy9lMm9Eb2MueG1sUEsFBgAAAAAGAAYAWQEAAKYFAAAAAA==&#10;">
                <v:fill on="t" focussize="0,0"/>
                <v:stroke weight="1.25pt" color="#808080" joinstyle="round"/>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szCs w:val="21"/>
                          <w:lang w:val="en-US" w:eastAsia="zh-CN"/>
                        </w:rPr>
                      </w:pPr>
                      <w:r>
                        <w:rPr>
                          <w:rFonts w:hint="eastAsia" w:hAnsi="宋体"/>
                          <w:szCs w:val="21"/>
                        </w:rPr>
                        <w:t>法定代表人身份证复印件</w:t>
                      </w:r>
                    </w:p>
                    <w:p/>
                  </w:txbxContent>
                </v:textbox>
              </v:roundrect>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58240" behindDoc="0" locked="0" layoutInCell="1" allowOverlap="1">
                <wp:simplePos x="0" y="0"/>
                <wp:positionH relativeFrom="column">
                  <wp:posOffset>2930525</wp:posOffset>
                </wp:positionH>
                <wp:positionV relativeFrom="paragraph">
                  <wp:posOffset>24765</wp:posOffset>
                </wp:positionV>
                <wp:extent cx="2702560" cy="1219200"/>
                <wp:effectExtent l="7620" t="7620" r="13970" b="11430"/>
                <wp:wrapNone/>
                <wp:docPr id="6" name="圆角矩形 6"/>
                <wp:cNvGraphicFramePr/>
                <a:graphic xmlns:a="http://schemas.openxmlformats.org/drawingml/2006/main">
                  <a:graphicData uri="http://schemas.microsoft.com/office/word/2010/wordprocessingShape">
                    <wps:wsp>
                      <wps:cNvSpPr/>
                      <wps:spPr>
                        <a:xfrm>
                          <a:off x="0" y="0"/>
                          <a:ext cx="2702560" cy="12192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default" w:eastAsia="宋体"/>
                                <w:szCs w:val="21"/>
                                <w:lang w:val="en-US" w:eastAsia="zh-CN"/>
                              </w:rPr>
                            </w:pPr>
                            <w:r>
                              <w:rPr>
                                <w:rFonts w:hint="eastAsia" w:hAnsi="宋体"/>
                                <w:szCs w:val="21"/>
                              </w:rPr>
                              <w:t>法定代表人身份证复印件</w:t>
                            </w:r>
                          </w:p>
                          <w:p/>
                        </w:txbxContent>
                      </wps:txbx>
                      <wps:bodyPr upright="1"/>
                    </wps:wsp>
                  </a:graphicData>
                </a:graphic>
              </wp:anchor>
            </w:drawing>
          </mc:Choice>
          <mc:Fallback>
            <w:pict>
              <v:roundrect id="_x0000_s1026" o:spid="_x0000_s1026" o:spt="2" style="position:absolute;left:0pt;margin-left:230.75pt;margin-top:1.95pt;height:96pt;width:212.8pt;z-index:251658240;mso-width-relative:page;mso-height-relative:page;" fillcolor="#FFFFFF" filled="t" stroked="t" coordsize="21600,21600" arcsize="0.166666666666667" o:gfxdata="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Z07TbAAAACQEAAA8AAAAAAAAAAQAgAAAA&#10;IgAAAGRycy9kb3ducmV2LnhtbFBLAQIUABQAAAAIAIdO4kDmy2KtCAIAAAoEAAAOAAAAAAAAAAEA&#10;IAAAACoBAABkcnMvZTJvRG9jLnhtbFBLBQYAAAAABgAGAFkBAACkBQAAAAA=&#10;">
                <v:fill on="t" focussize="0,0"/>
                <v:stroke weight="1.25pt" color="#808080" joinstyle="round"/>
                <v:imagedata o:title=""/>
                <o:lock v:ext="edit" aspectratio="f"/>
                <v:textbox>
                  <w:txbxContent>
                    <w:p>
                      <w:pPr>
                        <w:jc w:val="center"/>
                        <w:rPr>
                          <w:rFonts w:hint="eastAsia" w:hAnsi="宋体"/>
                        </w:rPr>
                      </w:pPr>
                      <w:r>
                        <w:rPr>
                          <w:rFonts w:hint="eastAsia" w:hAnsi="宋体"/>
                        </w:rPr>
                        <w:t xml:space="preserve">  </w:t>
                      </w:r>
                    </w:p>
                    <w:p>
                      <w:pPr>
                        <w:jc w:val="center"/>
                        <w:rPr>
                          <w:rFonts w:hint="eastAsia" w:hAnsi="宋体"/>
                        </w:rPr>
                      </w:pPr>
                    </w:p>
                    <w:p>
                      <w:pPr>
                        <w:jc w:val="center"/>
                        <w:rPr>
                          <w:rFonts w:hint="eastAsia" w:hAnsi="宋体"/>
                        </w:rPr>
                      </w:pPr>
                    </w:p>
                    <w:p>
                      <w:pPr>
                        <w:jc w:val="center"/>
                        <w:rPr>
                          <w:rFonts w:hint="default" w:eastAsia="宋体"/>
                          <w:szCs w:val="21"/>
                          <w:lang w:val="en-US" w:eastAsia="zh-CN"/>
                        </w:rPr>
                      </w:pPr>
                      <w:r>
                        <w:rPr>
                          <w:rFonts w:hint="eastAsia" w:hAnsi="宋体"/>
                          <w:szCs w:val="21"/>
                        </w:rPr>
                        <w:t>法定代表人身份证复印件</w:t>
                      </w:r>
                    </w:p>
                    <w:p/>
                  </w:txbxContent>
                </v:textbox>
              </v:roundrect>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1312" behindDoc="0" locked="0" layoutInCell="1" allowOverlap="1">
                <wp:simplePos x="0" y="0"/>
                <wp:positionH relativeFrom="column">
                  <wp:posOffset>102870</wp:posOffset>
                </wp:positionH>
                <wp:positionV relativeFrom="paragraph">
                  <wp:posOffset>167640</wp:posOffset>
                </wp:positionV>
                <wp:extent cx="2789555" cy="1270000"/>
                <wp:effectExtent l="7620" t="7620" r="22225" b="17780"/>
                <wp:wrapNone/>
                <wp:docPr id="7" name="圆角矩形 7"/>
                <wp:cNvGraphicFramePr/>
                <a:graphic xmlns:a="http://schemas.openxmlformats.org/drawingml/2006/main">
                  <a:graphicData uri="http://schemas.microsoft.com/office/word/2010/wordprocessingShape">
                    <wps:wsp>
                      <wps:cNvSpPr/>
                      <wps:spPr>
                        <a:xfrm>
                          <a:off x="0" y="0"/>
                          <a:ext cx="2789555" cy="127000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rPr>
                                <w:rFonts w:hint="eastAsia" w:hAnsi="宋体"/>
                              </w:rPr>
                            </w:pPr>
                          </w:p>
                          <w:p>
                            <w:pPr>
                              <w:rPr>
                                <w:rFonts w:hint="eastAsia" w:hAnsi="宋体"/>
                              </w:rPr>
                            </w:pPr>
                          </w:p>
                          <w:p>
                            <w:pPr>
                              <w:rPr>
                                <w:rFonts w:hint="eastAsia" w:hAnsi="宋体"/>
                              </w:rPr>
                            </w:pPr>
                          </w:p>
                          <w:p>
                            <w:pPr>
                              <w:jc w:val="center"/>
                              <w:rPr>
                                <w:rFonts w:hint="default" w:eastAsia="宋体"/>
                                <w:lang w:val="en-US" w:eastAsia="zh-CN"/>
                              </w:rPr>
                            </w:pPr>
                            <w:r>
                              <w:rPr>
                                <w:rFonts w:hint="eastAsia" w:hAnsi="宋体"/>
                              </w:rPr>
                              <w:t>授权委托人身份证复印件</w:t>
                            </w:r>
                          </w:p>
                          <w:p/>
                        </w:txbxContent>
                      </wps:txbx>
                      <wps:bodyPr upright="1"/>
                    </wps:wsp>
                  </a:graphicData>
                </a:graphic>
              </wp:anchor>
            </w:drawing>
          </mc:Choice>
          <mc:Fallback>
            <w:pict>
              <v:roundrect id="_x0000_s1026" o:spid="_x0000_s1026" o:spt="2" style="position:absolute;left:0pt;margin-left:8.1pt;margin-top:13.2pt;height:100pt;width:219.65pt;z-index:251661312;mso-width-relative:page;mso-height-relative:page;" fillcolor="#FFFFFF" filled="t" stroked="t" coordsize="21600,21600" arcsize="0.166666666666667" o:gfxdata="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5rgu3YAAAACQEAAA8AAAAAAAAAAQAgAAAAIgAA&#10;AGRycy9kb3ducmV2LnhtbFBLAQIUABQAAAAIAIdO4kAhRaqgCAIAAAoEAAAOAAAAAAAAAAEAIAAA&#10;ACcBAABkcnMvZTJvRG9jLnhtbFBLBQYAAAAABgAGAFkBAAChBQAAAAA=&#10;">
                <v:fill on="t" focussize="0,0"/>
                <v:stroke weight="1.25pt" color="#808080" joinstyle="round"/>
                <v:imagedata o:title=""/>
                <o:lock v:ext="edit" aspectratio="f"/>
                <v:textbox>
                  <w:txbxContent>
                    <w:p>
                      <w:pPr>
                        <w:rPr>
                          <w:rFonts w:hint="eastAsia" w:hAnsi="宋体"/>
                        </w:rPr>
                      </w:pPr>
                    </w:p>
                    <w:p>
                      <w:pPr>
                        <w:rPr>
                          <w:rFonts w:hint="eastAsia" w:hAnsi="宋体"/>
                        </w:rPr>
                      </w:pPr>
                    </w:p>
                    <w:p>
                      <w:pPr>
                        <w:rPr>
                          <w:rFonts w:hint="eastAsia" w:hAnsi="宋体"/>
                        </w:rPr>
                      </w:pPr>
                    </w:p>
                    <w:p>
                      <w:pPr>
                        <w:jc w:val="center"/>
                        <w:rPr>
                          <w:rFonts w:hint="default" w:eastAsia="宋体"/>
                          <w:lang w:val="en-US" w:eastAsia="zh-CN"/>
                        </w:rPr>
                      </w:pPr>
                      <w:r>
                        <w:rPr>
                          <w:rFonts w:hint="eastAsia" w:hAnsi="宋体"/>
                        </w:rPr>
                        <w:t>授权委托人身份证复印件</w:t>
                      </w:r>
                    </w:p>
                    <w:p/>
                  </w:txbxContent>
                </v:textbox>
              </v:roundrect>
            </w:pict>
          </mc:Fallback>
        </mc:AlternateContent>
      </w:r>
      <w:r>
        <w:rPr>
          <w:rFonts w:hint="eastAsia" w:ascii="仿宋" w:hAnsi="仿宋" w:eastAsia="仿宋" w:cs="仿宋"/>
          <w:color w:val="auto"/>
          <w:sz w:val="24"/>
          <w:highlight w:val="none"/>
          <w:lang w:val="en-US" w:eastAsia="zh-CN"/>
        </w:rPr>
        <mc:AlternateContent>
          <mc:Choice Requires="wps">
            <w:drawing>
              <wp:anchor distT="0" distB="0" distL="114300" distR="114300" simplePos="0" relativeHeight="251660288" behindDoc="1" locked="0" layoutInCell="1" allowOverlap="1">
                <wp:simplePos x="0" y="0"/>
                <wp:positionH relativeFrom="column">
                  <wp:posOffset>-93345</wp:posOffset>
                </wp:positionH>
                <wp:positionV relativeFrom="paragraph">
                  <wp:posOffset>196850</wp:posOffset>
                </wp:positionV>
                <wp:extent cx="2819400" cy="1242060"/>
                <wp:effectExtent l="4445" t="4445" r="14605" b="10795"/>
                <wp:wrapThrough wrapText="bothSides">
                  <wp:wrapPolygon>
                    <wp:start x="550" y="-77"/>
                    <wp:lineTo x="-34" y="1248"/>
                    <wp:lineTo x="-34" y="19800"/>
                    <wp:lineTo x="258" y="21125"/>
                    <wp:lineTo x="550" y="21456"/>
                    <wp:lineTo x="20836" y="21456"/>
                    <wp:lineTo x="21566" y="19800"/>
                    <wp:lineTo x="21566" y="1248"/>
                    <wp:lineTo x="20982" y="-77"/>
                    <wp:lineTo x="550" y="-77"/>
                  </wp:wrapPolygon>
                </wp:wrapThrough>
                <wp:docPr id="8" name="流程图: 可选过程 8"/>
                <wp:cNvGraphicFramePr/>
                <a:graphic xmlns:a="http://schemas.openxmlformats.org/drawingml/2006/main">
                  <a:graphicData uri="http://schemas.microsoft.com/office/word/2010/wordprocessingShape">
                    <wps:wsp>
                      <wps:cNvSpPr/>
                      <wps:spPr>
                        <a:xfrm>
                          <a:off x="0" y="0"/>
                          <a:ext cx="2819400" cy="12420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lang w:val="en-US" w:eastAsia="zh-CN"/>
                              </w:rPr>
                            </w:pPr>
                            <w:r>
                              <w:rPr>
                                <w:rFonts w:hint="eastAsia" w:hAnsi="宋体"/>
                              </w:rPr>
                              <w:t>授权委托人身份证复印件</w:t>
                            </w:r>
                          </w:p>
                        </w:txbxContent>
                      </wps:txbx>
                      <wps:bodyPr upright="1"/>
                    </wps:wsp>
                  </a:graphicData>
                </a:graphic>
              </wp:anchor>
            </w:drawing>
          </mc:Choice>
          <mc:Fallback>
            <w:pict>
              <v:shape id="_x0000_s1026" o:spid="_x0000_s1026" o:spt="176" type="#_x0000_t176" style="position:absolute;left:0pt;margin-left:-7.35pt;margin-top:15.5pt;height:97.8pt;width:222pt;mso-wrap-distance-left:9pt;mso-wrap-distance-right:9pt;z-index:-251656192;mso-width-relative:page;mso-height-relative:page;" fillcolor="#FFFFFF" filled="t" stroked="t" coordsize="21600,21600" wrapcoords="550 -77 -34 1248 -34 19800 258 21125 550 21456 20836 21456 21566 19800 21566 1248 20982 -77 550 -77" o:gfxdata="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o2u2dkAAAAKAQAADwAAAAAAAAAB&#10;ACAAAAAiAAAAZHJzL2Rvd25yZXYueG1sUEsBAhQAFAAAAAgAh07iQEnV1ZoPAgAAAgQAAA4AAAAA&#10;AAAAAQAgAAAAKAEAAGRycy9lMm9Eb2MueG1sUEsFBgAAAAAGAAYAWQEAAKkFAAAAAA==&#10;">
                <v:fill on="t" focussize="0,0"/>
                <v:stroke color="#000000" joinstyle="miter"/>
                <v:imagedata o:title=""/>
                <o:lock v:ext="edit"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rPr>
                          <w:rFonts w:hint="eastAsia" w:eastAsia="宋体"/>
                          <w:lang w:val="en-US" w:eastAsia="zh-CN"/>
                        </w:rPr>
                      </w:pPr>
                      <w:r>
                        <w:rPr>
                          <w:rFonts w:hint="eastAsia" w:hAnsi="宋体"/>
                        </w:rPr>
                        <w:t>授权委托人身份证复印件</w:t>
                      </w:r>
                    </w:p>
                  </w:txbxContent>
                </v:textbox>
                <w10:wrap type="through"/>
              </v:shape>
            </w:pict>
          </mc:Fallback>
        </mc:AlternateContent>
      </w: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ind w:left="1080" w:leftChars="257" w:hanging="540"/>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lang w:val="en-US" w:eastAsia="zh-CN"/>
        </w:rPr>
      </w:pPr>
    </w:p>
    <w:p>
      <w:pPr>
        <w:pStyle w:val="11"/>
        <w:tabs>
          <w:tab w:val="left" w:pos="5580"/>
        </w:tabs>
        <w:spacing w:line="240" w:lineRule="atLeast"/>
        <w:rPr>
          <w:rFonts w:hint="eastAsia" w:ascii="仿宋" w:hAnsi="仿宋" w:eastAsia="仿宋" w:cs="仿宋"/>
          <w:color w:val="auto"/>
          <w:sz w:val="24"/>
          <w:highlight w:val="none"/>
        </w:rPr>
      </w:pPr>
    </w:p>
    <w:p>
      <w:pPr>
        <w:pStyle w:val="11"/>
        <w:tabs>
          <w:tab w:val="left" w:pos="5580"/>
        </w:tabs>
        <w:spacing w:line="240" w:lineRule="atLeast"/>
        <w:ind w:left="-540" w:leftChars="-257" w:firstLine="900" w:firstLineChars="375"/>
        <w:rPr>
          <w:rFonts w:hint="eastAsia" w:ascii="仿宋" w:hAnsi="仿宋" w:eastAsia="仿宋" w:cs="仿宋"/>
          <w:color w:val="auto"/>
          <w:sz w:val="24"/>
          <w:highlight w:val="non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FFFFFF"/>
          <w:lang w:eastAsia="zh-CN"/>
        </w:rPr>
        <w:t>投标人</w:t>
      </w:r>
      <w:r>
        <w:rPr>
          <w:rFonts w:hint="eastAsia" w:ascii="仿宋" w:hAnsi="仿宋" w:eastAsia="仿宋" w:cs="仿宋"/>
          <w:color w:val="auto"/>
          <w:sz w:val="24"/>
          <w:highlight w:val="none"/>
          <w:u w:val="none"/>
        </w:rPr>
        <w:t>（盖单位章）;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法定代表人（签字或签章）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EEECE1"/>
        </w:rPr>
        <w:t>身份证号</w:t>
      </w:r>
      <w:r>
        <w:rPr>
          <w:rFonts w:hint="eastAsia" w:ascii="仿宋" w:hAnsi="仿宋" w:eastAsia="仿宋" w:cs="仿宋"/>
          <w:color w:val="auto"/>
          <w:sz w:val="24"/>
          <w:highlight w:val="none"/>
          <w:u w:val="none" w:color="auto"/>
        </w:rPr>
        <w:t>码：</w:t>
      </w:r>
      <w:r>
        <w:rPr>
          <w:rFonts w:hint="eastAsia" w:ascii="仿宋" w:hAnsi="仿宋" w:eastAsia="仿宋" w:cs="仿宋"/>
          <w:color w:val="auto"/>
          <w:sz w:val="24"/>
          <w:highlight w:val="none"/>
          <w:u w:val="single"/>
        </w:rPr>
        <w:t xml:space="preserve">__________________________________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rPr>
        <w:t>委托代理人：</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none"/>
        </w:rPr>
        <w:t>身份证号码：</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详细通讯地址</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 xml:space="preserve">邮 政 编 码 </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color="FFFFFF"/>
        </w:rPr>
        <w:t>传　　　　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color="FFFFFF"/>
        </w:rPr>
        <w:t>电　　　　话</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ind w:firstLine="480" w:firstLineChars="200"/>
        <w:rPr>
          <w:rFonts w:hint="eastAsia" w:ascii="仿宋" w:hAnsi="仿宋" w:eastAsia="仿宋" w:cs="仿宋"/>
          <w:color w:val="auto"/>
          <w:sz w:val="24"/>
          <w:highlight w:val="none"/>
          <w:u w:val="single"/>
        </w:rPr>
      </w:pPr>
    </w:p>
    <w:p>
      <w:pPr>
        <w:pStyle w:val="11"/>
        <w:tabs>
          <w:tab w:val="left" w:pos="5580"/>
        </w:tabs>
        <w:spacing w:line="240" w:lineRule="atLeast"/>
        <w:rPr>
          <w:rFonts w:hint="eastAsia" w:ascii="仿宋" w:hAnsi="仿宋" w:eastAsia="仿宋" w:cs="仿宋"/>
          <w:color w:val="auto"/>
          <w:sz w:val="24"/>
          <w:highlight w:val="none"/>
          <w:u w:val="single"/>
        </w:rPr>
      </w:pPr>
    </w:p>
    <w:p>
      <w:pPr>
        <w:spacing w:before="0" w:line="440" w:lineRule="exact"/>
        <w:jc w:val="center"/>
        <w:outlineLvl w:val="9"/>
        <w:rPr>
          <w:rFonts w:hint="eastAsia" w:ascii="仿宋" w:hAnsi="仿宋" w:eastAsia="仿宋" w:cs="仿宋"/>
          <w:b/>
          <w:bCs/>
          <w:color w:val="auto"/>
          <w:sz w:val="28"/>
          <w:szCs w:val="28"/>
          <w:highlight w:val="none"/>
          <w:lang w:eastAsia="zh-CN"/>
        </w:rPr>
      </w:pPr>
      <w:bookmarkStart w:id="184" w:name="_Toc15498"/>
      <w:bookmarkStart w:id="185" w:name="_Toc13996"/>
      <w:bookmarkStart w:id="186" w:name="_Toc8895"/>
      <w:bookmarkStart w:id="187" w:name="_Toc23635"/>
      <w:bookmarkStart w:id="188" w:name="_Toc2262"/>
      <w:bookmarkStart w:id="189" w:name="_Toc21910"/>
      <w:bookmarkStart w:id="190" w:name="_Toc22222"/>
      <w:bookmarkStart w:id="191" w:name="_Toc20323"/>
      <w:bookmarkStart w:id="192" w:name="_Toc5526"/>
      <w:r>
        <w:rPr>
          <w:rFonts w:hint="eastAsia" w:ascii="仿宋" w:hAnsi="仿宋" w:eastAsia="仿宋" w:cs="仿宋"/>
          <w:b/>
          <w:bCs/>
          <w:color w:val="auto"/>
          <w:kern w:val="2"/>
          <w:sz w:val="28"/>
          <w:szCs w:val="21"/>
          <w:highlight w:val="none"/>
          <w:lang w:val="en-US" w:eastAsia="zh-CN" w:bidi="ar-SA"/>
        </w:rPr>
        <w:t>4.2 法定代表人身份证明（法人投标用）</w:t>
      </w:r>
      <w:bookmarkEnd w:id="184"/>
      <w:bookmarkEnd w:id="185"/>
      <w:bookmarkEnd w:id="186"/>
      <w:bookmarkEnd w:id="187"/>
      <w:bookmarkEnd w:id="188"/>
      <w:bookmarkEnd w:id="189"/>
      <w:bookmarkEnd w:id="190"/>
      <w:bookmarkEnd w:id="191"/>
      <w:bookmarkEnd w:id="192"/>
    </w:p>
    <w:p>
      <w:pPr>
        <w:rPr>
          <w:rFonts w:hint="eastAsia" w:ascii="仿宋" w:hAnsi="仿宋" w:eastAsia="仿宋" w:cs="仿宋"/>
          <w:color w:val="auto"/>
          <w:highlight w:val="none"/>
        </w:rPr>
      </w:pP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sz w:val="24"/>
          <w:highlight w:val="none"/>
        </w:rPr>
        <w:t xml:space="preserve"> </w:t>
      </w:r>
      <w:r>
        <w:rPr>
          <w:rFonts w:hint="eastAsia" w:ascii="仿宋" w:hAnsi="仿宋" w:eastAsia="仿宋" w:cs="仿宋"/>
          <w:color w:val="auto"/>
          <w:kern w:val="2"/>
          <w:sz w:val="24"/>
          <w:szCs w:val="20"/>
          <w:highlight w:val="none"/>
          <w:lang w:val="en-US" w:eastAsia="zh-CN" w:bidi="ar-SA"/>
        </w:rPr>
        <w:t xml:space="preserve"> </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同志，现任我单位</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职务，为法定代表人，特此证明。</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签发日期：</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单位：</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附：代表人性别：</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年龄：</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身份证号码：</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ind w:firstLine="240" w:firstLineChars="100"/>
        <w:rPr>
          <w:rFonts w:hint="eastAsia" w:ascii="仿宋" w:hAnsi="仿宋" w:eastAsia="仿宋" w:cs="仿宋"/>
          <w:color w:val="auto"/>
          <w:kern w:val="2"/>
          <w:sz w:val="24"/>
          <w:szCs w:val="20"/>
          <w:highlight w:val="none"/>
          <w:u w:val="single"/>
          <w:lang w:val="en-US" w:eastAsia="zh-CN" w:bidi="ar-SA"/>
        </w:rPr>
      </w:pPr>
      <w:r>
        <w:rPr>
          <w:rFonts w:hint="eastAsia" w:ascii="仿宋" w:hAnsi="仿宋" w:eastAsia="仿宋" w:cs="仿宋"/>
          <w:color w:val="auto"/>
          <w:kern w:val="2"/>
          <w:sz w:val="24"/>
          <w:szCs w:val="20"/>
          <w:highlight w:val="none"/>
          <w:lang w:val="en-US" w:eastAsia="zh-CN" w:bidi="ar-SA"/>
        </w:rPr>
        <w:t>联系电话：</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营业执照号码</w:t>
      </w:r>
      <w:r>
        <w:rPr>
          <w:rFonts w:hint="eastAsia" w:ascii="仿宋" w:hAnsi="仿宋" w:eastAsia="仿宋" w:cs="仿宋"/>
          <w:color w:val="auto"/>
          <w:kern w:val="2"/>
          <w:sz w:val="24"/>
          <w:szCs w:val="20"/>
          <w:highlight w:val="none"/>
          <w:u w:val="single"/>
          <w:lang w:val="en-US" w:eastAsia="zh-CN" w:bidi="ar-SA"/>
        </w:rPr>
        <w:t xml:space="preserve">：             </w:t>
      </w:r>
      <w:r>
        <w:rPr>
          <w:rFonts w:hint="eastAsia" w:ascii="仿宋" w:hAnsi="仿宋" w:eastAsia="仿宋" w:cs="仿宋"/>
          <w:color w:val="auto"/>
          <w:kern w:val="2"/>
          <w:sz w:val="24"/>
          <w:szCs w:val="20"/>
          <w:highlight w:val="none"/>
          <w:lang w:val="en-US" w:eastAsia="zh-CN" w:bidi="ar-SA"/>
        </w:rPr>
        <w:t xml:space="preserve"> 经济性质：</w:t>
      </w:r>
      <w:r>
        <w:rPr>
          <w:rFonts w:hint="eastAsia" w:ascii="仿宋" w:hAnsi="仿宋" w:eastAsia="仿宋" w:cs="仿宋"/>
          <w:color w:val="auto"/>
          <w:kern w:val="2"/>
          <w:sz w:val="24"/>
          <w:szCs w:val="20"/>
          <w:highlight w:val="none"/>
          <w:u w:val="single"/>
          <w:lang w:val="en-US" w:eastAsia="zh-CN" w:bidi="ar-SA"/>
        </w:rPr>
        <w:t xml:space="preserve">       </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说明：</w:t>
      </w:r>
    </w:p>
    <w:p>
      <w:pPr>
        <w:spacing w:line="360" w:lineRule="auto"/>
        <w:ind w:firstLine="240" w:firstLineChars="1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1、法定代表人为企业事业单位、国家机关、社会团体的主要行政负责人。</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2、内容必须填写真实、清楚、涂改无效，不得转让。</w:t>
      </w:r>
    </w:p>
    <w:p>
      <w:pPr>
        <w:spacing w:line="360" w:lineRule="auto"/>
        <w:ind w:firstLine="240" w:firstLineChars="100"/>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3、将此证明书原件提交采购代理机构作为响应文件附件。</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  (为避免废标，请投标人务必提供本附件)</w:t>
      </w:r>
    </w:p>
    <w:p>
      <w:pPr>
        <w:spacing w:line="360" w:lineRule="auto"/>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154305</wp:posOffset>
                </wp:positionH>
                <wp:positionV relativeFrom="paragraph">
                  <wp:posOffset>10795</wp:posOffset>
                </wp:positionV>
                <wp:extent cx="2333625" cy="1584325"/>
                <wp:effectExtent l="5080" t="4445" r="4445"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val="en-US" w:eastAsia="zh-CN"/>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2336;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HlZOvXWAAAACAEAAA8AAAAAAAAA&#10;AQAgAAAAIgAAAGRycy9kb3ducmV2LnhtbFBLAQIUABQAAAAIAIdO4kAHChysEwIAABIEAAAOAAAA&#10;AAAAAAEAIAAAACUBAABkcnMvZTJvRG9jLnhtbFBLBQYAAAAABgAGAFkBAACq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eastAsia="宋体"/>
                          <w:szCs w:val="21"/>
                          <w:lang w:val="en-US" w:eastAsia="zh-CN"/>
                        </w:rPr>
                      </w:pPr>
                      <w:r>
                        <w:rPr>
                          <w:rFonts w:hint="eastAsia" w:hAnsi="宋体"/>
                          <w:szCs w:val="21"/>
                        </w:rPr>
                        <w:t>法定代表人身份证复印件</w:t>
                      </w:r>
                    </w:p>
                  </w:txbxContent>
                </v:textbox>
              </v:shape>
            </w:pict>
          </mc:Fallback>
        </mc:AlternateContent>
      </w:r>
      <w:r>
        <w:rPr>
          <w:rFonts w:hint="eastAsia" w:ascii="仿宋" w:hAnsi="仿宋" w:eastAsia="仿宋" w:cs="仿宋"/>
          <w:color w:val="auto"/>
          <w:kern w:val="2"/>
          <w:sz w:val="24"/>
          <w:szCs w:val="20"/>
          <w:highlight w:val="none"/>
          <w:lang w:val="en-US" w:eastAsia="zh-CN" w:bidi="ar-SA"/>
        </w:rPr>
        <mc:AlternateContent>
          <mc:Choice Requires="wps">
            <w:drawing>
              <wp:anchor distT="0" distB="0" distL="114300" distR="114300" simplePos="0" relativeHeight="251663360"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default" w:eastAsia="宋体"/>
                                <w:szCs w:val="21"/>
                                <w:lang w:val="en-US" w:eastAsia="zh-CN"/>
                              </w:rPr>
                            </w:pPr>
                            <w:r>
                              <w:rPr>
                                <w:rFonts w:hint="eastAsia" w:hAnsi="宋体"/>
                                <w:szCs w:val="21"/>
                              </w:rPr>
                              <w:t>法定代表人身份证复印件</w:t>
                            </w:r>
                          </w:p>
                          <w:p/>
                          <w:p>
                            <w:pPr>
                              <w:pStyle w:val="6"/>
                            </w:pPr>
                          </w:p>
                          <w:p>
                            <w:pPr>
                              <w:pStyle w:val="6"/>
                            </w:pPr>
                          </w:p>
                          <w:p>
                            <w:pPr>
                              <w:pStyle w:val="6"/>
                            </w:pPr>
                          </w:p>
                          <w:p>
                            <w:pPr>
                              <w:pStyle w:val="6"/>
                            </w:pPr>
                          </w:p>
                        </w:txbxContent>
                      </wps:txbx>
                      <wps:bodyPr upright="1"/>
                    </wps:wsp>
                  </a:graphicData>
                </a:graphic>
              </wp:anchor>
            </w:drawing>
          </mc:Choice>
          <mc:Fallback>
            <w:pict>
              <v:roundrect id="_x0000_s1026" o:spid="_x0000_s1026" o:spt="2" style="position:absolute;left:0pt;margin-left:229.8pt;margin-top:2.25pt;height:122.6pt;width:205.5pt;z-index:251663360;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9jX9oAAAAJAQAADwAAAAAA&#10;AAABACAAAAAiAAAAZHJzL2Rvd25yZXYueG1sUEsBAhQAFAAAAAgAh07iQDULHsMRAgAAGgQAAA4A&#10;AAAAAAAAAQAgAAAAKQEAAGRycy9lMm9Eb2MueG1sUEsFBgAAAAAGAAYAWQEAAKwFA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rFonts w:hint="default" w:eastAsia="宋体"/>
                          <w:szCs w:val="21"/>
                          <w:lang w:val="en-US" w:eastAsia="zh-CN"/>
                        </w:rPr>
                      </w:pPr>
                      <w:r>
                        <w:rPr>
                          <w:rFonts w:hint="eastAsia" w:hAnsi="宋体"/>
                          <w:szCs w:val="21"/>
                        </w:rPr>
                        <w:t>法定代表人身份证复印件</w:t>
                      </w:r>
                    </w:p>
                    <w:p/>
                    <w:p>
                      <w:pPr>
                        <w:pStyle w:val="6"/>
                      </w:pPr>
                    </w:p>
                    <w:p>
                      <w:pPr>
                        <w:pStyle w:val="6"/>
                      </w:pPr>
                    </w:p>
                    <w:p>
                      <w:pPr>
                        <w:pStyle w:val="6"/>
                      </w:pPr>
                    </w:p>
                    <w:p>
                      <w:pPr>
                        <w:pStyle w:val="6"/>
                      </w:pPr>
                    </w:p>
                  </w:txbxContent>
                </v:textbox>
              </v:roundrect>
            </w:pict>
          </mc:Fallback>
        </mc:AlternateContent>
      </w:r>
    </w:p>
    <w:p>
      <w:pPr>
        <w:spacing w:line="360" w:lineRule="auto"/>
        <w:rPr>
          <w:rFonts w:hint="eastAsia" w:ascii="仿宋" w:hAnsi="仿宋" w:eastAsia="仿宋" w:cs="仿宋"/>
          <w:color w:val="auto"/>
          <w:sz w:val="24"/>
          <w:szCs w:val="20"/>
          <w:highlight w:val="none"/>
        </w:rPr>
      </w:pPr>
    </w:p>
    <w:p>
      <w:pPr>
        <w:spacing w:line="360" w:lineRule="auto"/>
        <w:rPr>
          <w:rFonts w:hint="eastAsia" w:ascii="仿宋" w:hAnsi="仿宋" w:eastAsia="仿宋" w:cs="仿宋"/>
          <w:color w:val="auto"/>
          <w:sz w:val="24"/>
          <w:szCs w:val="20"/>
          <w:highlight w:val="none"/>
        </w:rPr>
      </w:pPr>
    </w:p>
    <w:p>
      <w:pPr>
        <w:autoSpaceDE w:val="0"/>
        <w:autoSpaceDN w:val="0"/>
        <w:adjustRightInd w:val="0"/>
        <w:spacing w:line="360" w:lineRule="auto"/>
        <w:ind w:right="246"/>
        <w:rPr>
          <w:rFonts w:hint="eastAsia" w:ascii="仿宋" w:hAnsi="仿宋" w:eastAsia="仿宋" w:cs="仿宋"/>
          <w:color w:val="auto"/>
          <w:sz w:val="24"/>
          <w:szCs w:val="20"/>
          <w:highlight w:val="none"/>
        </w:rPr>
      </w:pPr>
    </w:p>
    <w:p>
      <w:pPr>
        <w:autoSpaceDE w:val="0"/>
        <w:autoSpaceDN w:val="0"/>
        <w:adjustRightInd w:val="0"/>
        <w:spacing w:line="360" w:lineRule="auto"/>
        <w:ind w:right="246" w:firstLine="784" w:firstLineChars="327"/>
        <w:rPr>
          <w:rFonts w:hint="eastAsia" w:ascii="仿宋" w:hAnsi="仿宋" w:eastAsia="仿宋" w:cs="仿宋"/>
          <w:color w:val="auto"/>
          <w:sz w:val="24"/>
          <w:szCs w:val="20"/>
          <w:highlight w:val="none"/>
        </w:rPr>
      </w:pPr>
      <w:r>
        <w:rPr>
          <w:rFonts w:hint="eastAsia" w:ascii="仿宋" w:hAnsi="仿宋" w:eastAsia="仿宋" w:cs="仿宋"/>
          <w:color w:val="auto"/>
          <w:sz w:val="24"/>
          <w:szCs w:val="20"/>
          <w:highlight w:val="none"/>
          <w:lang w:eastAsia="zh-CN"/>
        </w:rPr>
        <w:t>投标人</w:t>
      </w:r>
      <w:r>
        <w:rPr>
          <w:rFonts w:hint="eastAsia" w:ascii="仿宋" w:hAnsi="仿宋" w:eastAsia="仿宋" w:cs="仿宋"/>
          <w:color w:val="auto"/>
          <w:sz w:val="24"/>
          <w:szCs w:val="20"/>
          <w:highlight w:val="none"/>
        </w:rPr>
        <w:t xml:space="preserve">（盖章）：                              </w:t>
      </w:r>
    </w:p>
    <w:p>
      <w:pPr>
        <w:adjustRightInd w:val="0"/>
        <w:snapToGrid w:val="0"/>
        <w:spacing w:line="360" w:lineRule="auto"/>
        <w:ind w:firstLine="784" w:firstLineChars="327"/>
        <w:rPr>
          <w:rFonts w:hint="eastAsia" w:ascii="仿宋" w:hAnsi="仿宋" w:eastAsia="仿宋" w:cs="仿宋"/>
          <w:color w:val="auto"/>
          <w:sz w:val="24"/>
          <w:szCs w:val="20"/>
          <w:highlight w:val="none"/>
        </w:rPr>
      </w:pP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投标人（盖单位章）;                           </w:t>
      </w: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法定代表人（签字或签章）：                     </w:t>
      </w:r>
    </w:p>
    <w:p>
      <w:pPr>
        <w:adjustRightInd w:val="0"/>
        <w:snapToGrid w:val="0"/>
        <w:spacing w:line="360" w:lineRule="auto"/>
        <w:ind w:firstLine="784" w:firstLineChars="327"/>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 xml:space="preserve">日期：  年   月   日                                       </w:t>
      </w:r>
    </w:p>
    <w:p>
      <w:pPr>
        <w:pStyle w:val="11"/>
        <w:tabs>
          <w:tab w:val="left" w:pos="5580"/>
        </w:tabs>
        <w:spacing w:line="240" w:lineRule="atLeast"/>
        <w:ind w:firstLine="360" w:firstLineChars="150"/>
        <w:rPr>
          <w:rFonts w:hint="eastAsia" w:ascii="仿宋" w:hAnsi="仿宋" w:eastAsia="仿宋" w:cs="仿宋"/>
          <w:color w:val="auto"/>
          <w:kern w:val="2"/>
          <w:sz w:val="24"/>
          <w:szCs w:val="20"/>
          <w:highlight w:val="none"/>
          <w:lang w:val="en-US" w:eastAsia="zh-CN" w:bidi="ar-SA"/>
        </w:rPr>
      </w:pPr>
    </w:p>
    <w:p>
      <w:pPr>
        <w:spacing w:line="360" w:lineRule="auto"/>
        <w:ind w:firstLine="570"/>
        <w:rPr>
          <w:rFonts w:hint="eastAsia" w:ascii="仿宋" w:hAnsi="仿宋" w:eastAsia="仿宋" w:cs="仿宋"/>
          <w:color w:val="auto"/>
          <w:sz w:val="24"/>
          <w:highlight w:val="none"/>
        </w:rPr>
      </w:pPr>
    </w:p>
    <w:p>
      <w:pPr>
        <w:pStyle w:val="11"/>
        <w:tabs>
          <w:tab w:val="left" w:pos="5580"/>
        </w:tabs>
        <w:spacing w:line="240" w:lineRule="atLeast"/>
        <w:ind w:left="1260" w:leftChars="344" w:hanging="538"/>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br w:type="page"/>
      </w:r>
    </w:p>
    <w:p>
      <w:pPr>
        <w:pStyle w:val="11"/>
        <w:tabs>
          <w:tab w:val="left" w:pos="5580"/>
        </w:tabs>
        <w:spacing w:line="240" w:lineRule="atLeast"/>
        <w:ind w:left="1260" w:leftChars="344" w:hanging="538"/>
        <w:rPr>
          <w:rFonts w:hint="eastAsia" w:ascii="仿宋" w:hAnsi="仿宋" w:eastAsia="仿宋" w:cs="仿宋"/>
          <w:b/>
          <w:color w:val="auto"/>
          <w:kern w:val="0"/>
          <w:sz w:val="24"/>
          <w:highlight w:val="none"/>
        </w:rPr>
      </w:pPr>
    </w:p>
    <w:p>
      <w:pPr>
        <w:pStyle w:val="11"/>
        <w:tabs>
          <w:tab w:val="left" w:pos="5580"/>
        </w:tabs>
        <w:spacing w:line="240" w:lineRule="atLeast"/>
        <w:ind w:firstLine="84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color w:val="auto"/>
          <w:kern w:val="0"/>
          <w:sz w:val="28"/>
          <w:szCs w:val="21"/>
          <w:highlight w:val="none"/>
          <w:lang w:val="en-US" w:eastAsia="zh-CN"/>
        </w:rPr>
        <w:t>5</w:t>
      </w:r>
      <w:r>
        <w:rPr>
          <w:rFonts w:hint="eastAsia" w:ascii="仿宋" w:hAnsi="仿宋" w:eastAsia="仿宋" w:cs="仿宋"/>
          <w:b/>
          <w:bCs/>
          <w:color w:val="auto"/>
          <w:sz w:val="28"/>
          <w:szCs w:val="21"/>
          <w:highlight w:val="none"/>
          <w:lang w:val="en-US" w:eastAsia="zh-CN"/>
        </w:rPr>
        <w:t>、参加采购活动前三年内，在经营活动中无重大违法声明；提供针对本次项目《反商业贿赂承诺书》；</w:t>
      </w:r>
    </w:p>
    <w:p>
      <w:pPr>
        <w:pStyle w:val="11"/>
        <w:tabs>
          <w:tab w:val="left" w:pos="5580"/>
        </w:tabs>
        <w:spacing w:line="240" w:lineRule="atLeast"/>
        <w:ind w:firstLine="723" w:firstLineChars="300"/>
        <w:rPr>
          <w:rFonts w:hint="eastAsia" w:ascii="仿宋" w:hAnsi="仿宋" w:eastAsia="仿宋" w:cs="仿宋"/>
          <w:b/>
          <w:bCs/>
          <w:color w:val="auto"/>
          <w:sz w:val="24"/>
          <w:highlight w:val="none"/>
          <w:lang w:val="en-US" w:eastAsia="zh-CN"/>
        </w:rPr>
      </w:pPr>
    </w:p>
    <w:p>
      <w:pPr>
        <w:pStyle w:val="11"/>
        <w:keepNext w:val="0"/>
        <w:keepLines w:val="0"/>
        <w:pageBreakBefore w:val="0"/>
        <w:widowControl w:val="0"/>
        <w:tabs>
          <w:tab w:val="left" w:pos="5580"/>
        </w:tabs>
        <w:kinsoku/>
        <w:wordWrap/>
        <w:overflowPunct/>
        <w:topLinePunct w:val="0"/>
        <w:bidi w:val="0"/>
        <w:snapToGrid/>
        <w:spacing w:line="360" w:lineRule="auto"/>
        <w:jc w:val="both"/>
        <w:textAlignment w:val="auto"/>
        <w:rPr>
          <w:rFonts w:hint="eastAsia" w:ascii="仿宋" w:hAnsi="仿宋" w:eastAsia="仿宋" w:cs="仿宋"/>
          <w:sz w:val="24"/>
          <w:szCs w:val="24"/>
        </w:rPr>
      </w:pPr>
      <w:r>
        <w:rPr>
          <w:rFonts w:hint="eastAsia" w:ascii="仿宋" w:hAnsi="仿宋" w:eastAsia="仿宋" w:cs="仿宋"/>
          <w:sz w:val="24"/>
          <w:szCs w:val="24"/>
        </w:rPr>
        <w:t>说明：</w:t>
      </w:r>
    </w:p>
    <w:p>
      <w:pPr>
        <w:pStyle w:val="11"/>
        <w:keepNext w:val="0"/>
        <w:keepLines w:val="0"/>
        <w:pageBreakBefore w:val="0"/>
        <w:widowControl w:val="0"/>
        <w:tabs>
          <w:tab w:val="left" w:pos="5580"/>
        </w:tabs>
        <w:kinsoku/>
        <w:wordWrap/>
        <w:overflowPunct/>
        <w:topLinePunct w:val="0"/>
        <w:bidi w:val="0"/>
        <w:snapToGrid/>
        <w:spacing w:line="360" w:lineRule="auto"/>
        <w:ind w:firstLine="720" w:firstLineChars="300"/>
        <w:jc w:val="both"/>
        <w:textAlignment w:val="auto"/>
        <w:rPr>
          <w:rFonts w:hint="eastAsia" w:ascii="仿宋" w:hAnsi="仿宋" w:eastAsia="仿宋" w:cs="仿宋"/>
          <w:sz w:val="24"/>
          <w:szCs w:val="24"/>
        </w:rPr>
      </w:pPr>
      <w:r>
        <w:rPr>
          <w:rFonts w:hint="eastAsia" w:ascii="仿宋" w:hAnsi="仿宋" w:eastAsia="仿宋" w:cs="仿宋"/>
          <w:sz w:val="24"/>
          <w:szCs w:val="24"/>
        </w:rPr>
        <w:t>1.投标人应按照相关法规规定如实作出说明。</w:t>
      </w:r>
    </w:p>
    <w:p>
      <w:pPr>
        <w:pStyle w:val="11"/>
        <w:tabs>
          <w:tab w:val="left" w:pos="5580"/>
        </w:tabs>
        <w:spacing w:line="240" w:lineRule="atLeast"/>
        <w:ind w:firstLine="720" w:firstLineChars="3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按照</w:t>
      </w:r>
      <w:r>
        <w:rPr>
          <w:rFonts w:hint="eastAsia" w:ascii="仿宋" w:hAnsi="仿宋" w:eastAsia="仿宋" w:cs="仿宋"/>
          <w:sz w:val="24"/>
          <w:szCs w:val="24"/>
          <w:lang w:eastAsia="zh-CN"/>
        </w:rPr>
        <w:t>磋商文件</w:t>
      </w:r>
      <w:r>
        <w:rPr>
          <w:rFonts w:hint="eastAsia" w:ascii="仿宋" w:hAnsi="仿宋" w:eastAsia="仿宋" w:cs="仿宋"/>
          <w:sz w:val="24"/>
          <w:szCs w:val="24"/>
        </w:rPr>
        <w:t>的规定加盖单位章。</w:t>
      </w:r>
    </w:p>
    <w:p>
      <w:pPr>
        <w:rPr>
          <w:rFonts w:hint="eastAsia" w:ascii="仿宋" w:hAnsi="仿宋" w:eastAsia="仿宋" w:cs="仿宋"/>
          <w:b/>
          <w:bCs/>
          <w:color w:val="auto"/>
          <w:sz w:val="24"/>
          <w:highlight w:val="none"/>
          <w:lang w:val="en-US" w:eastAsia="zh-CN"/>
        </w:rPr>
      </w:pPr>
    </w:p>
    <w:p>
      <w:pPr>
        <w:pStyle w:val="6"/>
        <w:rPr>
          <w:rFonts w:hint="eastAsia" w:ascii="仿宋" w:hAnsi="仿宋" w:eastAsia="仿宋" w:cs="仿宋"/>
          <w:b/>
          <w:bCs/>
          <w:color w:val="auto"/>
          <w:sz w:val="24"/>
          <w:highlight w:val="none"/>
          <w:lang w:val="en-US" w:eastAsia="zh-CN"/>
        </w:rPr>
      </w:pPr>
    </w:p>
    <w:p>
      <w:pPr>
        <w:rPr>
          <w:rFonts w:hint="eastAsia"/>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6、提供税务部门出具的近六个月中任意一个月的完税证明，依法免税的应提供相应文件证明（完税证明或税务部门出具的其他证明，非社会保险类）及近六个月内任意1个月缴纳社会保障金的证明；</w:t>
      </w:r>
    </w:p>
    <w:p>
      <w:pPr>
        <w:keepNext w:val="0"/>
        <w:keepLines w:val="0"/>
        <w:pageBreakBefore w:val="0"/>
        <w:widowControl w:val="0"/>
        <w:tabs>
          <w:tab w:val="left" w:pos="5580"/>
        </w:tabs>
        <w:kinsoku/>
        <w:wordWrap/>
        <w:overflowPunct/>
        <w:topLinePunct w:val="0"/>
        <w:bidi w:val="0"/>
        <w:snapToGrid/>
        <w:spacing w:line="360" w:lineRule="auto"/>
        <w:ind w:left="1" w:firstLine="661" w:firstLineChars="235"/>
        <w:textAlignment w:val="auto"/>
        <w:rPr>
          <w:rFonts w:hint="eastAsia" w:ascii="仿宋" w:hAnsi="仿宋" w:eastAsia="仿宋" w:cs="仿宋"/>
          <w:b/>
          <w:bCs/>
          <w:color w:val="auto"/>
          <w:sz w:val="28"/>
          <w:szCs w:val="28"/>
          <w:highlight w:val="none"/>
          <w:lang w:val="en-US" w:eastAsia="zh-CN"/>
        </w:rPr>
      </w:pPr>
    </w:p>
    <w:p>
      <w:pPr>
        <w:pStyle w:val="11"/>
        <w:tabs>
          <w:tab w:val="left" w:pos="5580"/>
        </w:tabs>
        <w:spacing w:line="240" w:lineRule="atLeast"/>
        <w:ind w:firstLine="72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br w:type="page"/>
      </w:r>
    </w:p>
    <w:p>
      <w:pPr>
        <w:pStyle w:val="11"/>
        <w:tabs>
          <w:tab w:val="left" w:pos="5580"/>
        </w:tabs>
        <w:spacing w:line="240" w:lineRule="atLeast"/>
        <w:ind w:firstLine="843" w:firstLineChars="3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8"/>
          <w:szCs w:val="21"/>
          <w:highlight w:val="none"/>
          <w:lang w:val="en-US" w:eastAsia="zh-CN"/>
        </w:rPr>
        <w:t>7、磋商保证金缴纳凭证</w:t>
      </w:r>
    </w:p>
    <w:p>
      <w:pPr>
        <w:pStyle w:val="11"/>
        <w:numPr>
          <w:ilvl w:val="0"/>
          <w:numId w:val="0"/>
        </w:numPr>
        <w:tabs>
          <w:tab w:val="left" w:pos="5580"/>
        </w:tabs>
        <w:spacing w:line="240" w:lineRule="atLeast"/>
        <w:rPr>
          <w:rFonts w:hint="eastAsia" w:ascii="仿宋" w:hAnsi="仿宋" w:eastAsia="仿宋" w:cs="仿宋"/>
          <w:b/>
          <w:color w:val="auto"/>
          <w:kern w:val="0"/>
          <w:sz w:val="24"/>
          <w:highlight w:val="none"/>
          <w:lang w:val="en-US" w:eastAsia="zh-CN"/>
        </w:rPr>
      </w:pPr>
    </w:p>
    <w:p>
      <w:pPr>
        <w:pStyle w:val="11"/>
        <w:numPr>
          <w:ilvl w:val="0"/>
          <w:numId w:val="0"/>
        </w:numPr>
        <w:tabs>
          <w:tab w:val="left" w:pos="5580"/>
        </w:tabs>
        <w:spacing w:line="240" w:lineRule="atLeast"/>
        <w:ind w:leftChars="344"/>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ascii="仿宋" w:hAnsi="仿宋" w:eastAsia="仿宋" w:cs="仿宋"/>
          <w:b/>
          <w:color w:val="auto"/>
          <w:kern w:val="0"/>
          <w:sz w:val="24"/>
          <w:highlight w:val="none"/>
          <w:lang w:val="en-US" w:eastAsia="zh-CN"/>
        </w:rPr>
      </w:pPr>
    </w:p>
    <w:p>
      <w:pPr>
        <w:rPr>
          <w:rFonts w:hint="eastAsia" w:ascii="仿宋" w:hAnsi="仿宋" w:eastAsia="仿宋" w:cs="仿宋"/>
          <w:b/>
          <w:color w:val="auto"/>
          <w:kern w:val="0"/>
          <w:sz w:val="24"/>
          <w:highlight w:val="none"/>
          <w:lang w:val="en-US" w:eastAsia="zh-CN"/>
        </w:rPr>
      </w:pPr>
    </w:p>
    <w:p>
      <w:pPr>
        <w:pStyle w:val="6"/>
        <w:rPr>
          <w:rFonts w:hint="eastAsia"/>
          <w:lang w:val="en-US" w:eastAsia="zh-CN"/>
        </w:rPr>
      </w:pPr>
    </w:p>
    <w:p>
      <w:pPr>
        <w:rPr>
          <w:rFonts w:hint="eastAsia" w:ascii="仿宋" w:hAnsi="仿宋" w:eastAsia="仿宋" w:cs="仿宋"/>
          <w:b/>
          <w:color w:val="auto"/>
          <w:kern w:val="0"/>
          <w:sz w:val="24"/>
          <w:highlight w:val="none"/>
          <w:lang w:val="en-US" w:eastAsia="zh-CN"/>
        </w:rPr>
      </w:pPr>
    </w:p>
    <w:p>
      <w:pPr>
        <w:pStyle w:val="11"/>
        <w:tabs>
          <w:tab w:val="left" w:pos="5580"/>
        </w:tabs>
        <w:spacing w:line="240" w:lineRule="atLeast"/>
        <w:rPr>
          <w:rFonts w:hint="eastAsia" w:ascii="仿宋" w:hAnsi="仿宋" w:eastAsia="仿宋" w:cs="仿宋"/>
          <w:b/>
          <w:bCs/>
          <w:color w:val="auto"/>
          <w:sz w:val="24"/>
          <w:highlight w:val="none"/>
          <w:lang w:val="en-US" w:eastAsia="zh-CN"/>
        </w:rPr>
      </w:pPr>
      <w:bookmarkStart w:id="193" w:name="_Toc518923114"/>
      <w:r>
        <w:rPr>
          <w:rFonts w:hint="eastAsia" w:ascii="仿宋" w:hAnsi="仿宋" w:eastAsia="仿宋" w:cs="仿宋"/>
          <w:b/>
          <w:bCs/>
          <w:color w:val="auto"/>
          <w:sz w:val="28"/>
          <w:szCs w:val="21"/>
          <w:highlight w:val="none"/>
          <w:lang w:val="en-US" w:eastAsia="zh-CN"/>
        </w:rPr>
        <w:br w:type="page"/>
      </w:r>
      <w:r>
        <w:rPr>
          <w:rFonts w:hint="eastAsia" w:ascii="仿宋" w:hAnsi="仿宋" w:eastAsia="仿宋" w:cs="仿宋"/>
          <w:b/>
          <w:bCs/>
          <w:color w:val="auto"/>
          <w:sz w:val="28"/>
          <w:szCs w:val="21"/>
          <w:highlight w:val="none"/>
          <w:lang w:val="en-US" w:eastAsia="zh-CN"/>
        </w:rPr>
        <w:t>8、投标人须知资料表要求的其他资格证明文件</w:t>
      </w:r>
      <w:bookmarkEnd w:id="193"/>
    </w:p>
    <w:p>
      <w:pPr>
        <w:spacing w:line="240" w:lineRule="atLeast"/>
        <w:ind w:left="1080" w:leftChars="257" w:hanging="540"/>
        <w:jc w:val="center"/>
        <w:rPr>
          <w:rFonts w:hint="eastAsia" w:ascii="仿宋" w:hAnsi="仿宋" w:eastAsia="仿宋" w:cs="仿宋"/>
          <w:b/>
          <w:bCs/>
          <w:color w:val="auto"/>
          <w:sz w:val="24"/>
          <w:highlight w:val="none"/>
        </w:rPr>
      </w:pPr>
    </w:p>
    <w:p>
      <w:pPr>
        <w:pStyle w:val="11"/>
        <w:tabs>
          <w:tab w:val="left" w:pos="5580"/>
        </w:tabs>
        <w:spacing w:line="240" w:lineRule="atLeast"/>
        <w:rPr>
          <w:rFonts w:hint="eastAsia" w:ascii="仿宋" w:hAnsi="仿宋" w:eastAsia="仿宋" w:cs="仿宋"/>
          <w:sz w:val="24"/>
          <w:szCs w:val="24"/>
        </w:rPr>
      </w:pPr>
      <w:r>
        <w:rPr>
          <w:rFonts w:hint="eastAsia" w:ascii="仿宋" w:hAnsi="仿宋" w:eastAsia="仿宋" w:cs="仿宋"/>
          <w:sz w:val="24"/>
          <w:szCs w:val="24"/>
        </w:rPr>
        <w:t>说明：</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exact"/>
        <w:ind w:left="0" w:leftChars="0" w:firstLine="720" w:firstLineChars="300"/>
        <w:textAlignment w:val="auto"/>
        <w:rPr>
          <w:rFonts w:hint="eastAsia" w:ascii="仿宋" w:hAnsi="仿宋" w:eastAsia="仿宋" w:cs="仿宋"/>
          <w:sz w:val="24"/>
          <w:szCs w:val="24"/>
        </w:rPr>
      </w:pPr>
      <w:r>
        <w:rPr>
          <w:rFonts w:hint="eastAsia" w:ascii="仿宋" w:hAnsi="仿宋" w:eastAsia="仿宋" w:cs="仿宋"/>
          <w:sz w:val="24"/>
          <w:szCs w:val="24"/>
        </w:rPr>
        <w:t>1.应提供</w:t>
      </w:r>
      <w:r>
        <w:rPr>
          <w:rFonts w:hint="eastAsia" w:ascii="仿宋" w:hAnsi="仿宋" w:eastAsia="仿宋" w:cs="仿宋"/>
          <w:sz w:val="24"/>
          <w:szCs w:val="24"/>
          <w:u w:val="single"/>
        </w:rPr>
        <w:t>投标人须知资料表</w:t>
      </w:r>
      <w:r>
        <w:rPr>
          <w:rFonts w:hint="eastAsia" w:ascii="仿宋" w:hAnsi="仿宋" w:eastAsia="仿宋" w:cs="仿宋"/>
          <w:sz w:val="24"/>
          <w:szCs w:val="24"/>
        </w:rPr>
        <w:t>要求的其他资格证明文件。</w:t>
      </w:r>
    </w:p>
    <w:p>
      <w:pPr>
        <w:pStyle w:val="11"/>
        <w:keepNext w:val="0"/>
        <w:keepLines w:val="0"/>
        <w:pageBreakBefore w:val="0"/>
        <w:widowControl w:val="0"/>
        <w:tabs>
          <w:tab w:val="left" w:pos="5580"/>
        </w:tabs>
        <w:kinsoku/>
        <w:wordWrap/>
        <w:overflowPunct/>
        <w:topLinePunct w:val="0"/>
        <w:autoSpaceDE/>
        <w:autoSpaceDN/>
        <w:bidi w:val="0"/>
        <w:adjustRightInd/>
        <w:snapToGrid/>
        <w:spacing w:line="360" w:lineRule="exact"/>
        <w:ind w:left="0" w:leftChars="0" w:hanging="540"/>
        <w:textAlignment w:val="auto"/>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2.复印件上应加盖本单位章。</w:t>
      </w:r>
    </w:p>
    <w:p>
      <w:pPr>
        <w:pStyle w:val="11"/>
        <w:ind w:left="1080" w:leftChars="257" w:hanging="540"/>
        <w:rPr>
          <w:rFonts w:hint="eastAsia" w:ascii="仿宋_GB2312" w:hAnsi="宋体" w:eastAsia="仿宋_GB2312"/>
          <w:b/>
          <w:bCs/>
          <w:color w:val="auto"/>
          <w:sz w:val="24"/>
          <w:lang w:eastAsia="zh-CN"/>
        </w:rPr>
      </w:pPr>
      <w:r>
        <w:rPr>
          <w:rFonts w:hint="eastAsia" w:ascii="仿宋_GB2312" w:hAnsi="宋体" w:eastAsia="仿宋_GB2312"/>
          <w:b/>
          <w:bCs/>
          <w:color w:val="auto"/>
          <w:sz w:val="24"/>
          <w:lang w:eastAsia="zh-CN"/>
        </w:rPr>
        <w:t>注：为了便于查找，请按上述顺序编制投标文件内容，并在目录中标明每项内容的起始页码。</w:t>
      </w:r>
    </w:p>
    <w:p>
      <w:pPr>
        <w:pStyle w:val="11"/>
        <w:tabs>
          <w:tab w:val="left" w:pos="5580"/>
        </w:tabs>
        <w:spacing w:line="240" w:lineRule="atLeast"/>
        <w:ind w:left="1260" w:leftChars="344" w:hanging="538"/>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4"/>
        <w:spacing w:before="0" w:line="240" w:lineRule="atLeast"/>
        <w:ind w:left="1080" w:leftChars="257" w:hanging="540"/>
        <w:rPr>
          <w:rFonts w:hint="eastAsia" w:ascii="仿宋" w:hAnsi="仿宋" w:eastAsia="仿宋" w:cs="仿宋"/>
          <w:color w:val="auto"/>
          <w:sz w:val="24"/>
          <w:highlight w:val="none"/>
        </w:rPr>
      </w:pPr>
      <w:bookmarkStart w:id="194" w:name="_Toc10727"/>
      <w:bookmarkStart w:id="195" w:name="_Toc518923115"/>
      <w:r>
        <w:rPr>
          <w:rFonts w:hint="eastAsia" w:ascii="仿宋" w:hAnsi="仿宋" w:eastAsia="仿宋" w:cs="仿宋"/>
          <w:color w:val="auto"/>
          <w:sz w:val="24"/>
          <w:highlight w:val="none"/>
        </w:rPr>
        <w:br w:type="page"/>
      </w:r>
      <w:r>
        <w:rPr>
          <w:rFonts w:hint="eastAsia" w:ascii="仿宋" w:hAnsi="仿宋" w:eastAsia="仿宋" w:cs="仿宋"/>
          <w:color w:val="auto"/>
          <w:sz w:val="28"/>
          <w:szCs w:val="21"/>
          <w:highlight w:val="none"/>
          <w:lang w:val="en-US" w:eastAsia="zh-CN"/>
        </w:rPr>
        <w:t xml:space="preserve"> </w:t>
      </w:r>
      <w:r>
        <w:rPr>
          <w:rFonts w:hint="eastAsia" w:ascii="仿宋" w:hAnsi="仿宋" w:eastAsia="仿宋" w:cs="仿宋"/>
          <w:color w:val="auto"/>
          <w:sz w:val="28"/>
          <w:szCs w:val="21"/>
          <w:highlight w:val="none"/>
        </w:rPr>
        <w:t>第二部分  商务及技术文件</w:t>
      </w:r>
      <w:bookmarkEnd w:id="194"/>
      <w:bookmarkEnd w:id="195"/>
    </w:p>
    <w:p>
      <w:pPr>
        <w:pStyle w:val="11"/>
        <w:ind w:left="1080" w:leftChars="257" w:hanging="540"/>
        <w:rPr>
          <w:rFonts w:hint="eastAsia" w:ascii="仿宋" w:hAnsi="仿宋" w:eastAsia="仿宋" w:cs="仿宋"/>
          <w:color w:val="auto"/>
          <w:sz w:val="24"/>
          <w:highlight w:val="none"/>
        </w:rPr>
      </w:pP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1、投标书</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缴纳凭证复印件或政府采购投标担保函</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3、投标分项报价表</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4、商务条款偏离表</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5、符合《政府采购促进中小企业发展暂行办法》、《关于政府采购支持监狱企业发展有关问题的通知》和《三部门联合发布关于促进残疾人就业政府采购政策的通知》价格扣减条件的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须提交）</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中小企业声明函</w:t>
      </w:r>
      <w:r>
        <w:rPr>
          <w:rFonts w:hint="eastAsia" w:ascii="仿宋" w:hAnsi="仿宋" w:eastAsia="仿宋" w:cs="仿宋"/>
          <w:color w:val="auto"/>
          <w:sz w:val="24"/>
          <w:highlight w:val="none"/>
        </w:rPr>
        <w:t>》</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关联单位的说明（格式自拟）</w:t>
      </w:r>
    </w:p>
    <w:p>
      <w:pPr>
        <w:pStyle w:val="11"/>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还应包括</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须知第10条的所有技术文件</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项目配备人员情况一览表 </w:t>
      </w:r>
    </w:p>
    <w:p>
      <w:pPr>
        <w:pStyle w:val="11"/>
        <w:keepNext w:val="0"/>
        <w:keepLines w:val="0"/>
        <w:pageBreakBefore w:val="0"/>
        <w:widowControl w:val="0"/>
        <w:kinsoku/>
        <w:wordWrap/>
        <w:overflowPunct/>
        <w:topLinePunct w:val="0"/>
        <w:autoSpaceDE/>
        <w:autoSpaceDN/>
        <w:bidi w:val="0"/>
        <w:adjustRightInd/>
        <w:snapToGrid/>
        <w:spacing w:line="360" w:lineRule="auto"/>
        <w:ind w:left="311" w:leftChars="148" w:firstLine="228"/>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lang w:eastAsia="zh-CN"/>
        </w:rPr>
        <w:t>类似业绩</w:t>
      </w:r>
      <w:r>
        <w:rPr>
          <w:rFonts w:hint="eastAsia" w:ascii="仿宋" w:hAnsi="仿宋" w:eastAsia="仿宋" w:cs="仿宋"/>
          <w:color w:val="auto"/>
          <w:sz w:val="24"/>
          <w:highlight w:val="none"/>
        </w:rPr>
        <w:t>一览表 </w:t>
      </w:r>
    </w:p>
    <w:p>
      <w:pPr>
        <w:pStyle w:val="12"/>
        <w:rPr>
          <w:rFonts w:hint="eastAsia" w:ascii="仿宋" w:hAnsi="仿宋" w:eastAsia="仿宋" w:cs="仿宋"/>
          <w:color w:val="auto"/>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before="0" w:line="240" w:lineRule="atLeast"/>
        <w:ind w:left="1080" w:leftChars="257" w:hanging="540"/>
        <w:jc w:val="center"/>
        <w:outlineLvl w:val="9"/>
        <w:rPr>
          <w:rFonts w:hint="eastAsia" w:ascii="仿宋" w:hAnsi="仿宋" w:eastAsia="仿宋" w:cs="仿宋"/>
          <w:color w:val="auto"/>
          <w:sz w:val="28"/>
          <w:szCs w:val="28"/>
          <w:highlight w:val="none"/>
        </w:rPr>
      </w:pPr>
      <w:bookmarkStart w:id="196" w:name="_Toc518923116"/>
      <w:r>
        <w:rPr>
          <w:rFonts w:hint="eastAsia" w:ascii="仿宋" w:hAnsi="仿宋" w:eastAsia="仿宋" w:cs="仿宋"/>
          <w:b/>
          <w:bCs/>
          <w:color w:val="auto"/>
          <w:sz w:val="28"/>
          <w:szCs w:val="28"/>
          <w:highlight w:val="none"/>
        </w:rPr>
        <w:t xml:space="preserve">1   </w:t>
      </w:r>
      <w:bookmarkStart w:id="197" w:name="_Hlt520355504"/>
      <w:bookmarkEnd w:id="197"/>
      <w:r>
        <w:rPr>
          <w:rFonts w:hint="eastAsia" w:ascii="仿宋" w:hAnsi="仿宋" w:eastAsia="仿宋" w:cs="仿宋"/>
          <w:b/>
          <w:bCs/>
          <w:color w:val="auto"/>
          <w:sz w:val="28"/>
          <w:szCs w:val="28"/>
          <w:highlight w:val="none"/>
        </w:rPr>
        <w:t>投标</w:t>
      </w:r>
      <w:bookmarkEnd w:id="163"/>
      <w:bookmarkEnd w:id="164"/>
      <w:r>
        <w:rPr>
          <w:rFonts w:hint="eastAsia" w:ascii="仿宋" w:hAnsi="仿宋" w:eastAsia="仿宋" w:cs="仿宋"/>
          <w:b/>
          <w:bCs/>
          <w:color w:val="auto"/>
          <w:sz w:val="28"/>
          <w:szCs w:val="28"/>
          <w:highlight w:val="none"/>
        </w:rPr>
        <w:t>书</w:t>
      </w:r>
      <w:bookmarkEnd w:id="165"/>
      <w:bookmarkEnd w:id="166"/>
      <w:bookmarkEnd w:id="196"/>
    </w:p>
    <w:p>
      <w:pPr>
        <w:tabs>
          <w:tab w:val="left" w:pos="5580"/>
        </w:tabs>
        <w:spacing w:line="240" w:lineRule="atLeast"/>
        <w:ind w:left="1080" w:leftChars="257" w:hanging="540"/>
        <w:rPr>
          <w:rFonts w:hint="eastAsia" w:ascii="仿宋" w:hAnsi="仿宋" w:eastAsia="仿宋" w:cs="仿宋"/>
          <w:color w:val="auto"/>
          <w:sz w:val="24"/>
          <w:highlight w:val="none"/>
        </w:rPr>
      </w:pPr>
    </w:p>
    <w:p>
      <w:pPr>
        <w:tabs>
          <w:tab w:val="left" w:pos="5580"/>
        </w:tabs>
        <w:spacing w:line="240" w:lineRule="atLeast"/>
        <w:ind w:left="1080" w:hanging="1080"/>
        <w:rPr>
          <w:rFonts w:hint="eastAsia" w:ascii="仿宋" w:hAnsi="仿宋" w:eastAsia="仿宋" w:cs="仿宋"/>
          <w:color w:val="auto"/>
          <w:sz w:val="24"/>
          <w:highlight w:val="none"/>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u w:val="single"/>
        </w:rPr>
        <w:t>采购代理机构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2" w:leftChars="1"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根据贵方(</w:t>
      </w:r>
      <w:r>
        <w:rPr>
          <w:rFonts w:hint="eastAsia" w:ascii="仿宋" w:hAnsi="仿宋" w:eastAsia="仿宋" w:cs="仿宋"/>
          <w:i/>
          <w:color w:val="auto"/>
          <w:sz w:val="24"/>
          <w:highlight w:val="none"/>
          <w:u w:val="single"/>
        </w:rPr>
        <w:t>项目名称</w:t>
      </w:r>
      <w:r>
        <w:rPr>
          <w:rFonts w:hint="eastAsia" w:ascii="仿宋" w:hAnsi="仿宋" w:eastAsia="仿宋" w:cs="仿宋"/>
          <w:color w:val="auto"/>
          <w:sz w:val="24"/>
          <w:highlight w:val="none"/>
        </w:rPr>
        <w:t>)项目的投标邀请(</w:t>
      </w:r>
      <w:r>
        <w:rPr>
          <w:rFonts w:hint="eastAsia" w:ascii="仿宋" w:hAnsi="仿宋" w:eastAsia="仿宋" w:cs="仿宋"/>
          <w:i/>
          <w:color w:val="auto"/>
          <w:sz w:val="24"/>
          <w:highlight w:val="none"/>
          <w:u w:val="single"/>
        </w:rPr>
        <w:t>招标编号</w:t>
      </w:r>
      <w:r>
        <w:rPr>
          <w:rFonts w:hint="eastAsia" w:ascii="仿宋" w:hAnsi="仿宋" w:eastAsia="仿宋" w:cs="仿宋"/>
          <w:color w:val="auto"/>
          <w:sz w:val="24"/>
          <w:highlight w:val="none"/>
        </w:rPr>
        <w:t>),签字代表(</w:t>
      </w:r>
      <w:r>
        <w:rPr>
          <w:rFonts w:hint="eastAsia" w:ascii="仿宋" w:hAnsi="仿宋" w:eastAsia="仿宋" w:cs="仿宋"/>
          <w:i/>
          <w:color w:val="auto"/>
          <w:sz w:val="24"/>
          <w:highlight w:val="none"/>
          <w:u w:val="single"/>
        </w:rPr>
        <w:t>姓名、职务</w:t>
      </w:r>
      <w:r>
        <w:rPr>
          <w:rFonts w:hint="eastAsia" w:ascii="仿宋" w:hAnsi="仿宋" w:eastAsia="仿宋" w:cs="仿宋"/>
          <w:color w:val="auto"/>
          <w:sz w:val="24"/>
          <w:highlight w:val="none"/>
        </w:rPr>
        <w:t>)经正式授权并代表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i/>
          <w:color w:val="auto"/>
          <w:sz w:val="24"/>
          <w:highlight w:val="none"/>
          <w:u w:val="single"/>
        </w:rPr>
        <w:t>名称、地址</w:t>
      </w:r>
      <w:r>
        <w:rPr>
          <w:rFonts w:hint="eastAsia" w:ascii="仿宋" w:hAnsi="仿宋" w:eastAsia="仿宋" w:cs="仿宋"/>
          <w:color w:val="auto"/>
          <w:sz w:val="24"/>
          <w:highlight w:val="none"/>
        </w:rPr>
        <w:t>）提交下述文件</w:t>
      </w:r>
      <w:r>
        <w:rPr>
          <w:rFonts w:hint="eastAsia" w:ascii="仿宋" w:hAnsi="仿宋" w:eastAsia="仿宋" w:cs="仿宋"/>
          <w:color w:val="auto"/>
          <w:sz w:val="24"/>
          <w:highlight w:val="none"/>
          <w:lang w:val="en-US" w:eastAsia="zh-CN"/>
        </w:rPr>
        <w:t>电子加密文件</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并以</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形式出具的金额为人民币</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rPr>
        <w:t>元的</w:t>
      </w:r>
      <w:r>
        <w:rPr>
          <w:rFonts w:hint="eastAsia" w:ascii="仿宋" w:hAnsi="仿宋" w:eastAsia="仿宋" w:cs="仿宋"/>
          <w:color w:val="auto"/>
          <w:sz w:val="24"/>
          <w:highlight w:val="none"/>
          <w:lang w:eastAsia="zh-CN"/>
        </w:rPr>
        <w:t>磋商保证金</w:t>
      </w:r>
      <w:r>
        <w:rPr>
          <w:rFonts w:hint="eastAsia" w:ascii="仿宋" w:hAnsi="仿宋" w:eastAsia="仿宋" w:cs="仿宋"/>
          <w:color w:val="auto"/>
          <w:sz w:val="24"/>
          <w:highlight w:val="none"/>
        </w:rPr>
        <w:t>。</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据此，签字代表宣布同意如下：</w:t>
      </w:r>
    </w:p>
    <w:p>
      <w:pPr>
        <w:pStyle w:val="11"/>
        <w:tabs>
          <w:tab w:val="left" w:pos="720"/>
          <w:tab w:val="left" w:pos="900"/>
        </w:tabs>
        <w:spacing w:line="240" w:lineRule="atLeast"/>
        <w:ind w:left="769" w:leftChars="257" w:hanging="229"/>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（1）附投标价格表中规定的应提供</w:t>
      </w:r>
      <w:r>
        <w:rPr>
          <w:rFonts w:hint="eastAsia" w:ascii="仿宋" w:hAnsi="仿宋" w:eastAsia="仿宋" w:cs="仿宋"/>
          <w:color w:val="auto"/>
          <w:sz w:val="24"/>
          <w:highlight w:val="none"/>
          <w:lang w:val="en-US" w:eastAsia="zh-CN"/>
        </w:rPr>
        <w:t>货物</w:t>
      </w:r>
      <w:r>
        <w:rPr>
          <w:rFonts w:hint="eastAsia" w:ascii="仿宋" w:hAnsi="仿宋" w:eastAsia="仿宋" w:cs="仿宋"/>
          <w:color w:val="auto"/>
          <w:sz w:val="24"/>
          <w:highlight w:val="none"/>
        </w:rPr>
        <w:t>的投标总价详见开标一览表，</w:t>
      </w:r>
      <w:r>
        <w:rPr>
          <w:rFonts w:hint="eastAsia" w:ascii="仿宋" w:hAnsi="仿宋" w:eastAsia="仿宋" w:cs="仿宋"/>
          <w:color w:val="auto"/>
          <w:sz w:val="24"/>
          <w:highlight w:val="none"/>
          <w:u w:val="single"/>
        </w:rPr>
        <w:t>其中</w:t>
      </w:r>
      <w:r>
        <w:rPr>
          <w:rFonts w:hint="eastAsia" w:ascii="仿宋" w:hAnsi="仿宋" w:eastAsia="仿宋" w:cs="仿宋"/>
          <w:color w:val="auto"/>
          <w:sz w:val="24"/>
          <w:highlight w:val="none"/>
          <w:u w:val="single"/>
          <w:lang w:val="en-US" w:eastAsia="zh-CN"/>
        </w:rPr>
        <w:t>货物</w:t>
      </w:r>
      <w:r>
        <w:rPr>
          <w:rFonts w:hint="eastAsia" w:ascii="仿宋" w:hAnsi="仿宋" w:eastAsia="仿宋" w:cs="仿宋"/>
          <w:color w:val="auto"/>
          <w:sz w:val="24"/>
          <w:highlight w:val="none"/>
          <w:u w:val="single"/>
          <w:lang w:eastAsia="zh-CN"/>
        </w:rPr>
        <w:t>全部由符合政策要求的中小企业承接</w:t>
      </w:r>
      <w:r>
        <w:rPr>
          <w:rFonts w:hint="eastAsia" w:ascii="仿宋" w:hAnsi="仿宋" w:eastAsia="仿宋" w:cs="仿宋"/>
          <w:color w:val="auto"/>
          <w:sz w:val="24"/>
          <w:highlight w:val="none"/>
        </w:rPr>
        <w:t>价格为</w:t>
      </w:r>
      <w:r>
        <w:rPr>
          <w:rFonts w:hint="eastAsia" w:ascii="仿宋" w:hAnsi="仿宋" w:eastAsia="仿宋" w:cs="仿宋"/>
          <w:color w:val="auto"/>
          <w:sz w:val="24"/>
          <w:highlight w:val="none"/>
          <w:u w:val="single"/>
        </w:rPr>
        <w:t>　　  （用文字和数字表示），占投标总价   %</w:t>
      </w:r>
      <w:r>
        <w:rPr>
          <w:rFonts w:hint="eastAsia" w:ascii="仿宋" w:hAnsi="仿宋" w:eastAsia="仿宋" w:cs="仿宋"/>
          <w:color w:val="auto"/>
          <w:sz w:val="24"/>
          <w:highlight w:val="none"/>
        </w:rPr>
        <w:t>。</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（2）本投标有效期为自投标截止之日起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个日历日。</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（3）联合体中的大中型企业和其他自然人、法人或者非法人组织，与联合体中的小型、微型企业之间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存在、不存在）投资关系（如果联合体的话）。</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（4）已详细审查全部</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，包括所有补充通知（如果有的话），完全理解并同意放弃对这方面有不明、误解和质疑的权力。</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（5）在规定的开标时间后，遵守</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中有关保证金的规定。</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（6）根据</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须知第1条规定，我方不是为本项目提供整体设计、规范编制或者项目管理、监理、检测等服务的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，我方不是采购代理机构的附属机构。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（7）在领取中标通知书的同时按</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规定的形式，向贵方一次性支付中标服务费。</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（8）按照贵方可能要求，提供与其投标有关的一切数据或资料，完全理解贵方不一定接受最低价的投标或收到的任何投标。</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（9）按照</w:t>
      </w: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的规定履行合同责任和义务。</w:t>
      </w:r>
    </w:p>
    <w:p>
      <w:pPr>
        <w:pStyle w:val="11"/>
        <w:tabs>
          <w:tab w:val="left" w:pos="5580"/>
        </w:tabs>
        <w:spacing w:line="240" w:lineRule="atLeast"/>
        <w:ind w:left="359" w:leftChars="68" w:hanging="216"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pStyle w:val="11"/>
        <w:tabs>
          <w:tab w:val="left" w:pos="5580"/>
        </w:tabs>
        <w:spacing w:line="240" w:lineRule="atLeast"/>
        <w:ind w:left="359" w:leftChars="68" w:hanging="216" w:hangingChars="90"/>
        <w:rPr>
          <w:rFonts w:hint="eastAsia" w:ascii="仿宋" w:hAnsi="仿宋" w:eastAsia="仿宋" w:cs="仿宋"/>
          <w:color w:val="auto"/>
          <w:sz w:val="24"/>
          <w:highlight w:val="none"/>
        </w:rPr>
      </w:pPr>
      <w:r>
        <w:rPr>
          <w:rFonts w:hint="eastAsia" w:ascii="仿宋" w:hAnsi="仿宋" w:eastAsia="仿宋" w:cs="仿宋"/>
          <w:color w:val="auto"/>
          <w:sz w:val="24"/>
          <w:highlight w:val="none"/>
        </w:rPr>
        <w:t>与本投标有关的一切正式往来信函请寄：</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传真：</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b/>
          <w:color w:val="auto"/>
          <w:sz w:val="24"/>
          <w:highlight w:val="none"/>
        </w:rPr>
      </w:pPr>
      <w:r>
        <w:rPr>
          <w:rFonts w:hint="eastAsia" w:ascii="仿宋" w:hAnsi="仿宋" w:eastAsia="仿宋" w:cs="仿宋"/>
          <w:color w:val="auto"/>
          <w:sz w:val="24"/>
          <w:highlight w:val="none"/>
        </w:rPr>
        <w:t>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电子函件：</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名称（全称）：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开户银行（全称）：</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银行帐号：</w:t>
      </w:r>
      <w:r>
        <w:rPr>
          <w:rFonts w:hint="eastAsia" w:ascii="仿宋" w:hAnsi="仿宋" w:eastAsia="仿宋" w:cs="仿宋"/>
          <w:color w:val="auto"/>
          <w:sz w:val="24"/>
          <w:highlight w:val="none"/>
          <w:u w:val="single"/>
        </w:rPr>
        <w:t>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单位章：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580"/>
        </w:tabs>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spacing w:before="0" w:line="240" w:lineRule="atLeast"/>
        <w:ind w:left="1080" w:leftChars="257" w:hanging="540"/>
        <w:jc w:val="center"/>
        <w:outlineLvl w:val="9"/>
        <w:rPr>
          <w:rFonts w:hint="eastAsia" w:ascii="仿宋" w:hAnsi="仿宋" w:eastAsia="仿宋" w:cs="仿宋"/>
          <w:b/>
          <w:bCs/>
          <w:color w:val="auto"/>
          <w:sz w:val="24"/>
          <w:highlight w:val="none"/>
        </w:rPr>
      </w:pPr>
      <w:bookmarkStart w:id="198" w:name="_Hlt520356243"/>
      <w:bookmarkEnd w:id="198"/>
      <w:bookmarkStart w:id="199" w:name="_Hlt520355938"/>
      <w:bookmarkEnd w:id="199"/>
      <w:bookmarkStart w:id="200" w:name="_Toc216582815"/>
      <w:r>
        <w:rPr>
          <w:rFonts w:hint="eastAsia" w:ascii="仿宋" w:hAnsi="仿宋" w:eastAsia="仿宋" w:cs="仿宋"/>
          <w:color w:val="auto"/>
          <w:sz w:val="24"/>
          <w:highlight w:val="none"/>
        </w:rPr>
        <w:br w:type="page"/>
      </w:r>
      <w:bookmarkStart w:id="201" w:name="_Toc518923118"/>
      <w:r>
        <w:rPr>
          <w:rFonts w:hint="eastAsia" w:ascii="仿宋" w:hAnsi="仿宋" w:eastAsia="仿宋" w:cs="仿宋"/>
          <w:b/>
          <w:bCs/>
          <w:color w:val="auto"/>
          <w:sz w:val="28"/>
          <w:szCs w:val="28"/>
          <w:highlight w:val="none"/>
          <w:lang w:val="en-US" w:eastAsia="zh-CN"/>
        </w:rPr>
        <w:t>2</w:t>
      </w:r>
      <w:r>
        <w:rPr>
          <w:rFonts w:hint="eastAsia" w:ascii="仿宋" w:hAnsi="仿宋" w:eastAsia="仿宋" w:cs="仿宋"/>
          <w:b/>
          <w:bCs/>
          <w:color w:val="auto"/>
          <w:sz w:val="28"/>
          <w:szCs w:val="28"/>
          <w:highlight w:val="none"/>
        </w:rPr>
        <w:t xml:space="preserve">   投标分项报价表</w:t>
      </w:r>
      <w:bookmarkEnd w:id="200"/>
      <w:bookmarkEnd w:id="201"/>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41" w:leftChars="-67"/>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分包号: 　        　</w:t>
      </w:r>
    </w:p>
    <w:p>
      <w:pPr>
        <w:pStyle w:val="11"/>
        <w:spacing w:line="240" w:lineRule="atLeast"/>
        <w:ind w:left="-141" w:leftChars="-67" w:firstLine="6120" w:firstLineChars="2550"/>
        <w:rPr>
          <w:rFonts w:hint="eastAsia" w:ascii="仿宋" w:hAnsi="仿宋" w:eastAsia="仿宋" w:cs="仿宋"/>
          <w:color w:val="auto"/>
          <w:sz w:val="24"/>
          <w:highlight w:val="none"/>
        </w:rPr>
      </w:pPr>
      <w:r>
        <w:rPr>
          <w:rFonts w:hint="eastAsia" w:ascii="仿宋" w:hAnsi="仿宋" w:eastAsia="仿宋" w:cs="仿宋"/>
          <w:color w:val="auto"/>
          <w:sz w:val="24"/>
          <w:highlight w:val="none"/>
        </w:rPr>
        <w:t>报价单位：人民币元</w:t>
      </w:r>
    </w:p>
    <w:tbl>
      <w:tblPr>
        <w:tblStyle w:val="24"/>
        <w:tblW w:w="8523" w:type="dxa"/>
        <w:jc w:val="center"/>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626"/>
        <w:gridCol w:w="1280"/>
        <w:gridCol w:w="908"/>
        <w:gridCol w:w="775"/>
        <w:gridCol w:w="732"/>
        <w:gridCol w:w="753"/>
        <w:gridCol w:w="1105"/>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6"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626"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名称</w:t>
            </w:r>
          </w:p>
        </w:tc>
        <w:tc>
          <w:tcPr>
            <w:tcW w:w="1280" w:type="dxa"/>
            <w:vAlign w:val="center"/>
          </w:tcPr>
          <w:p>
            <w:pPr>
              <w:pStyle w:val="11"/>
              <w:spacing w:line="240" w:lineRule="atLeast"/>
              <w:ind w:left="-141" w:leftChars="-67"/>
              <w:jc w:val="center"/>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规格</w:t>
            </w:r>
            <w:r>
              <w:rPr>
                <w:rFonts w:hint="eastAsia" w:ascii="仿宋" w:hAnsi="仿宋" w:eastAsia="仿宋" w:cs="仿宋"/>
                <w:color w:val="auto"/>
                <w:sz w:val="24"/>
                <w:highlight w:val="none"/>
                <w:lang w:eastAsia="zh-CN"/>
              </w:rPr>
              <w:t>参数</w:t>
            </w:r>
          </w:p>
        </w:tc>
        <w:tc>
          <w:tcPr>
            <w:tcW w:w="908"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数量</w:t>
            </w:r>
          </w:p>
        </w:tc>
        <w:tc>
          <w:tcPr>
            <w:tcW w:w="775"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原产地</w:t>
            </w:r>
          </w:p>
        </w:tc>
        <w:tc>
          <w:tcPr>
            <w:tcW w:w="732"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制造商名称</w:t>
            </w:r>
          </w:p>
        </w:tc>
        <w:tc>
          <w:tcPr>
            <w:tcW w:w="753"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单价</w:t>
            </w:r>
          </w:p>
        </w:tc>
        <w:tc>
          <w:tcPr>
            <w:tcW w:w="1105"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总价</w:t>
            </w:r>
          </w:p>
        </w:tc>
        <w:tc>
          <w:tcPr>
            <w:tcW w:w="619" w:type="dxa"/>
            <w:vAlign w:val="center"/>
          </w:tcPr>
          <w:p>
            <w:pPr>
              <w:pStyle w:val="11"/>
              <w:spacing w:line="240" w:lineRule="atLeast"/>
              <w:ind w:left="-141" w:leftChars="-67"/>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4"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626" w:type="dxa"/>
            <w:vAlign w:val="center"/>
          </w:tcPr>
          <w:p>
            <w:pPr>
              <w:pStyle w:val="11"/>
              <w:keepNext w:val="0"/>
              <w:keepLines w:val="0"/>
              <w:suppressLineNumbers w:val="0"/>
              <w:spacing w:beforeAutospacing="0" w:afterAutospacing="0" w:line="240" w:lineRule="atLeast"/>
              <w:jc w:val="center"/>
              <w:rPr>
                <w:rFonts w:hint="eastAsia" w:ascii="宋体" w:hAnsi="宋体" w:eastAsia="宋体" w:cs="宋体"/>
                <w:color w:val="000000"/>
                <w:sz w:val="24"/>
                <w:szCs w:val="24"/>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626" w:type="dxa"/>
            <w:vAlign w:val="center"/>
          </w:tcPr>
          <w:p>
            <w:pPr>
              <w:pStyle w:val="11"/>
              <w:keepNext w:val="0"/>
              <w:keepLines w:val="0"/>
              <w:suppressLineNumbers w:val="0"/>
              <w:spacing w:beforeAutospacing="0" w:afterAutospacing="0" w:line="240" w:lineRule="atLeast"/>
              <w:jc w:val="center"/>
              <w:rPr>
                <w:rFonts w:hint="eastAsia" w:ascii="宋体" w:hAnsi="宋体" w:eastAsia="宋体" w:cs="宋体"/>
                <w:color w:val="000000"/>
                <w:sz w:val="24"/>
                <w:szCs w:val="24"/>
                <w:lang w:val="en-US" w:eastAsia="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4</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5</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3" w:hRule="atLeast"/>
          <w:jc w:val="center"/>
        </w:trPr>
        <w:tc>
          <w:tcPr>
            <w:tcW w:w="725" w:type="dxa"/>
            <w:vAlign w:val="center"/>
          </w:tcPr>
          <w:p>
            <w:pPr>
              <w:pStyle w:val="11"/>
              <w:keepNext w:val="0"/>
              <w:keepLines w:val="0"/>
              <w:suppressLineNumbers w:val="0"/>
              <w:spacing w:beforeAutospacing="0" w:afterAutospacing="0" w:line="240" w:lineRule="atLeast"/>
              <w:ind w:left="269" w:leftChars="128"/>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w:t>
            </w:r>
          </w:p>
        </w:tc>
        <w:tc>
          <w:tcPr>
            <w:tcW w:w="1626" w:type="dxa"/>
            <w:vAlign w:val="center"/>
          </w:tcPr>
          <w:p>
            <w:pPr>
              <w:pStyle w:val="11"/>
              <w:keepNext w:val="0"/>
              <w:keepLines w:val="0"/>
              <w:suppressLineNumbers w:val="0"/>
              <w:spacing w:beforeAutospacing="0" w:afterAutospacing="0" w:line="240" w:lineRule="atLeast"/>
              <w:ind w:left="0" w:leftChars="0" w:right="0" w:rightChars="0"/>
              <w:jc w:val="center"/>
              <w:rPr>
                <w:rFonts w:hint="eastAsia" w:ascii="宋体" w:hAnsi="宋体" w:eastAsia="宋体" w:cs="宋体"/>
                <w:color w:val="000000"/>
                <w:sz w:val="24"/>
                <w:szCs w:val="24"/>
                <w:lang w:val="zh-CN" w:eastAsia="zh-CN" w:bidi="zh-CN"/>
              </w:rPr>
            </w:pPr>
          </w:p>
        </w:tc>
        <w:tc>
          <w:tcPr>
            <w:tcW w:w="1280"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908"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7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32"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753"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1105"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c>
          <w:tcPr>
            <w:tcW w:w="619" w:type="dxa"/>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3" w:hRule="atLeast"/>
          <w:jc w:val="center"/>
        </w:trPr>
        <w:tc>
          <w:tcPr>
            <w:tcW w:w="6799" w:type="dxa"/>
            <w:gridSpan w:val="7"/>
            <w:vAlign w:val="center"/>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r>
              <w:rPr>
                <w:rFonts w:hint="eastAsia" w:ascii="宋体" w:hAnsi="宋体" w:eastAsia="宋体" w:cs="宋体"/>
                <w:color w:val="000000"/>
                <w:sz w:val="24"/>
                <w:szCs w:val="24"/>
              </w:rPr>
              <w:t>总价：</w:t>
            </w:r>
          </w:p>
        </w:tc>
        <w:tc>
          <w:tcPr>
            <w:tcW w:w="1724" w:type="dxa"/>
            <w:gridSpan w:val="2"/>
            <w:vAlign w:val="center"/>
          </w:tcPr>
          <w:p>
            <w:pPr>
              <w:pStyle w:val="11"/>
              <w:keepNext w:val="0"/>
              <w:keepLines w:val="0"/>
              <w:suppressLineNumbers w:val="0"/>
              <w:spacing w:beforeAutospacing="0" w:afterAutospacing="0" w:line="240" w:lineRule="atLeast"/>
              <w:ind w:left="1080" w:leftChars="257" w:hanging="540"/>
              <w:jc w:val="center"/>
              <w:rPr>
                <w:rFonts w:hint="eastAsia" w:ascii="宋体" w:hAnsi="宋体" w:eastAsia="宋体" w:cs="宋体"/>
                <w:color w:val="000000"/>
                <w:sz w:val="24"/>
                <w:szCs w:val="24"/>
              </w:rPr>
            </w:pPr>
          </w:p>
        </w:tc>
      </w:tr>
    </w:tbl>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79" w:leftChars="428" w:hanging="180" w:hangingChars="75"/>
        <w:rPr>
          <w:rFonts w:hint="eastAsia" w:ascii="仿宋" w:hAnsi="仿宋" w:eastAsia="仿宋" w:cs="仿宋"/>
          <w:sz w:val="24"/>
          <w:szCs w:val="24"/>
        </w:rPr>
      </w:pPr>
      <w:r>
        <w:rPr>
          <w:rFonts w:hint="eastAsia" w:ascii="仿宋" w:hAnsi="仿宋" w:eastAsia="仿宋" w:cs="仿宋"/>
          <w:sz w:val="24"/>
          <w:szCs w:val="24"/>
        </w:rPr>
        <w:t>注:1.如果按单价计算的结果与总价不一致,以单价为准修正总价。</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2</w:t>
      </w:r>
      <w:r>
        <w:rPr>
          <w:rFonts w:hint="eastAsia" w:ascii="仿宋" w:hAnsi="仿宋" w:eastAsia="仿宋" w:cs="仿宋"/>
          <w:sz w:val="24"/>
          <w:szCs w:val="24"/>
        </w:rPr>
        <w:t>.如果不提供详细分项报价将视为没有实质性响应</w:t>
      </w:r>
      <w:r>
        <w:rPr>
          <w:rFonts w:hint="eastAsia" w:ascii="仿宋" w:hAnsi="仿宋" w:eastAsia="仿宋" w:cs="仿宋"/>
          <w:sz w:val="24"/>
          <w:szCs w:val="24"/>
          <w:lang w:eastAsia="zh-CN"/>
        </w:rPr>
        <w:t>磋商文件</w:t>
      </w:r>
      <w:r>
        <w:rPr>
          <w:rFonts w:hint="eastAsia" w:ascii="仿宋" w:hAnsi="仿宋" w:eastAsia="仿宋" w:cs="仿宋"/>
          <w:sz w:val="24"/>
          <w:szCs w:val="24"/>
        </w:rPr>
        <w:t>。</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3</w:t>
      </w:r>
      <w:r>
        <w:rPr>
          <w:rFonts w:hint="eastAsia" w:ascii="仿宋" w:hAnsi="仿宋" w:eastAsia="仿宋" w:cs="仿宋"/>
          <w:sz w:val="24"/>
          <w:szCs w:val="24"/>
        </w:rPr>
        <w:t>.上述各项的详细分项报价，应另页描述。</w:t>
      </w:r>
    </w:p>
    <w:p>
      <w:pPr>
        <w:pStyle w:val="11"/>
        <w:spacing w:line="240" w:lineRule="atLeast"/>
        <w:ind w:left="1080" w:leftChars="257" w:hanging="540"/>
        <w:rPr>
          <w:rFonts w:hint="eastAsia" w:ascii="仿宋" w:hAnsi="仿宋" w:eastAsia="仿宋" w:cs="仿宋"/>
          <w:sz w:val="24"/>
          <w:szCs w:val="24"/>
          <w:lang w:eastAsia="zh-CN"/>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4</w:t>
      </w:r>
      <w:r>
        <w:rPr>
          <w:rFonts w:hint="eastAsia" w:ascii="仿宋" w:hAnsi="仿宋" w:eastAsia="仿宋" w:cs="仿宋"/>
          <w:sz w:val="24"/>
          <w:szCs w:val="24"/>
        </w:rPr>
        <w:t>.如果开标一览表（报价表）内容与</w:t>
      </w:r>
      <w:r>
        <w:rPr>
          <w:rFonts w:hint="eastAsia" w:ascii="仿宋" w:hAnsi="仿宋" w:eastAsia="仿宋" w:cs="仿宋"/>
          <w:sz w:val="24"/>
          <w:szCs w:val="24"/>
          <w:lang w:eastAsia="zh-CN"/>
        </w:rPr>
        <w:t>响应文件</w:t>
      </w:r>
      <w:r>
        <w:rPr>
          <w:rFonts w:hint="eastAsia" w:ascii="仿宋" w:hAnsi="仿宋" w:eastAsia="仿宋" w:cs="仿宋"/>
          <w:sz w:val="24"/>
          <w:szCs w:val="24"/>
        </w:rPr>
        <w:t>中明细表内容不一致的，以开标一览表（报价表）内容为准</w:t>
      </w:r>
      <w:r>
        <w:rPr>
          <w:rFonts w:hint="eastAsia" w:ascii="仿宋" w:hAnsi="仿宋" w:eastAsia="仿宋" w:cs="仿宋"/>
          <w:sz w:val="24"/>
          <w:szCs w:val="24"/>
          <w:lang w:eastAsia="zh-CN"/>
        </w:rPr>
        <w:t>。</w:t>
      </w:r>
    </w:p>
    <w:p>
      <w:pPr>
        <w:pStyle w:val="4"/>
        <w:spacing w:before="0" w:line="240" w:lineRule="atLeast"/>
        <w:ind w:left="1080" w:leftChars="257" w:hanging="540"/>
        <w:rPr>
          <w:rFonts w:hint="eastAsia" w:ascii="宋体" w:hAnsi="宋体" w:eastAsia="宋体" w:cs="宋体"/>
          <w:b/>
          <w:bCs/>
          <w:color w:val="000000"/>
          <w:sz w:val="28"/>
          <w:szCs w:val="21"/>
        </w:rPr>
      </w:pPr>
      <w:r>
        <w:rPr>
          <w:rFonts w:hint="eastAsia" w:ascii="仿宋" w:hAnsi="仿宋" w:eastAsia="仿宋" w:cs="仿宋"/>
          <w:sz w:val="24"/>
          <w:szCs w:val="24"/>
          <w:lang w:eastAsia="zh-CN"/>
        </w:rPr>
        <w:br w:type="page"/>
      </w:r>
      <w:bookmarkStart w:id="202" w:name="_Toc11800"/>
      <w:r>
        <w:rPr>
          <w:rFonts w:hint="eastAsia" w:ascii="宋体" w:hAnsi="宋体" w:eastAsia="宋体" w:cs="宋体"/>
          <w:b/>
          <w:bCs/>
          <w:color w:val="000000"/>
          <w:sz w:val="28"/>
          <w:szCs w:val="21"/>
        </w:rPr>
        <w:t>3  货物说明一览表</w:t>
      </w:r>
      <w:bookmarkEnd w:id="202"/>
    </w:p>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项目名称:                          </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lang w:eastAsia="zh-CN"/>
        </w:rPr>
        <w:t>项目编号</w:t>
      </w:r>
      <w:r>
        <w:rPr>
          <w:rFonts w:hint="eastAsia" w:ascii="仿宋" w:hAnsi="仿宋" w:eastAsia="仿宋" w:cs="仿宋"/>
          <w:sz w:val="24"/>
          <w:szCs w:val="24"/>
        </w:rPr>
        <w:t xml:space="preserve">:                                           </w:t>
      </w:r>
    </w:p>
    <w:tbl>
      <w:tblPr>
        <w:tblStyle w:val="24"/>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1307"/>
        <w:gridCol w:w="1219"/>
        <w:gridCol w:w="1096"/>
        <w:gridCol w:w="1340"/>
        <w:gridCol w:w="1461"/>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6" w:hRule="atLeast"/>
        </w:trPr>
        <w:tc>
          <w:tcPr>
            <w:tcW w:w="617" w:type="dxa"/>
            <w:vAlign w:val="center"/>
          </w:tcPr>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序号</w:t>
            </w:r>
          </w:p>
        </w:tc>
        <w:tc>
          <w:tcPr>
            <w:tcW w:w="1307"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货物名称</w:t>
            </w:r>
          </w:p>
        </w:tc>
        <w:tc>
          <w:tcPr>
            <w:tcW w:w="1219" w:type="dxa"/>
            <w:vAlign w:val="center"/>
          </w:tcPr>
          <w:p>
            <w:pPr>
              <w:pStyle w:val="11"/>
              <w:spacing w:line="240" w:lineRule="atLeast"/>
              <w:jc w:val="left"/>
              <w:rPr>
                <w:rFonts w:hint="eastAsia" w:ascii="仿宋" w:hAnsi="仿宋" w:eastAsia="仿宋" w:cs="仿宋"/>
                <w:sz w:val="24"/>
                <w:szCs w:val="24"/>
                <w:lang w:eastAsia="zh-CN"/>
              </w:rPr>
            </w:pPr>
            <w:r>
              <w:rPr>
                <w:rFonts w:hint="eastAsia" w:ascii="仿宋" w:hAnsi="仿宋" w:eastAsia="仿宋" w:cs="仿宋"/>
                <w:sz w:val="24"/>
                <w:szCs w:val="24"/>
              </w:rPr>
              <w:t>规格</w:t>
            </w:r>
            <w:r>
              <w:rPr>
                <w:rFonts w:hint="eastAsia" w:ascii="仿宋" w:hAnsi="仿宋" w:eastAsia="仿宋" w:cs="仿宋"/>
                <w:sz w:val="24"/>
                <w:szCs w:val="24"/>
                <w:lang w:eastAsia="zh-CN"/>
              </w:rPr>
              <w:t>参数</w:t>
            </w:r>
          </w:p>
        </w:tc>
        <w:tc>
          <w:tcPr>
            <w:tcW w:w="1096"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数量</w:t>
            </w:r>
          </w:p>
        </w:tc>
        <w:tc>
          <w:tcPr>
            <w:tcW w:w="1340"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交货期</w:t>
            </w:r>
          </w:p>
        </w:tc>
        <w:tc>
          <w:tcPr>
            <w:tcW w:w="1461" w:type="dxa"/>
            <w:vAlign w:val="center"/>
          </w:tcPr>
          <w:p>
            <w:pPr>
              <w:pStyle w:val="11"/>
              <w:spacing w:line="240" w:lineRule="atLeast"/>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1340" w:type="dxa"/>
            <w:vAlign w:val="center"/>
          </w:tcPr>
          <w:p>
            <w:pPr>
              <w:pStyle w:val="11"/>
              <w:spacing w:line="240" w:lineRule="atLeast"/>
              <w:ind w:left="1080" w:leftChars="257" w:hanging="540"/>
              <w:jc w:val="left"/>
              <w:rPr>
                <w:rFonts w:hint="eastAsia" w:ascii="仿宋" w:hAnsi="仿宋" w:eastAsia="仿宋" w:cs="仿宋"/>
                <w:sz w:val="24"/>
                <w:szCs w:val="24"/>
              </w:rPr>
            </w:pPr>
            <w:r>
              <w:rPr>
                <w:rFonts w:hint="eastAsia" w:ascii="仿宋" w:hAnsi="仿宋" w:eastAsia="仿宋" w:cs="仿宋"/>
                <w:sz w:val="24"/>
                <w:szCs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atLeast"/>
        </w:trPr>
        <w:tc>
          <w:tcPr>
            <w:tcW w:w="617" w:type="dxa"/>
            <w:vAlign w:val="top"/>
          </w:tcPr>
          <w:p>
            <w:pPr>
              <w:pStyle w:val="11"/>
              <w:spacing w:line="240" w:lineRule="atLeast"/>
              <w:ind w:left="1080" w:leftChars="257" w:hanging="540"/>
              <w:rPr>
                <w:rFonts w:hint="eastAsia" w:ascii="仿宋" w:hAnsi="仿宋" w:eastAsia="仿宋" w:cs="仿宋"/>
                <w:sz w:val="24"/>
                <w:szCs w:val="24"/>
              </w:rPr>
            </w:pPr>
          </w:p>
        </w:tc>
        <w:tc>
          <w:tcPr>
            <w:tcW w:w="1307" w:type="dxa"/>
            <w:vAlign w:val="top"/>
          </w:tcPr>
          <w:p>
            <w:pPr>
              <w:pStyle w:val="11"/>
              <w:spacing w:line="240" w:lineRule="atLeast"/>
              <w:ind w:left="1080" w:leftChars="257" w:hanging="540"/>
              <w:rPr>
                <w:rFonts w:hint="eastAsia" w:ascii="仿宋" w:hAnsi="仿宋" w:eastAsia="仿宋" w:cs="仿宋"/>
                <w:sz w:val="24"/>
                <w:szCs w:val="24"/>
              </w:rPr>
            </w:pPr>
          </w:p>
        </w:tc>
        <w:tc>
          <w:tcPr>
            <w:tcW w:w="1219" w:type="dxa"/>
            <w:vAlign w:val="top"/>
          </w:tcPr>
          <w:p>
            <w:pPr>
              <w:pStyle w:val="11"/>
              <w:spacing w:line="240" w:lineRule="atLeast"/>
              <w:ind w:left="1080" w:leftChars="257" w:hanging="540"/>
              <w:rPr>
                <w:rFonts w:hint="eastAsia" w:ascii="仿宋" w:hAnsi="仿宋" w:eastAsia="仿宋" w:cs="仿宋"/>
                <w:sz w:val="24"/>
                <w:szCs w:val="24"/>
              </w:rPr>
            </w:pPr>
          </w:p>
        </w:tc>
        <w:tc>
          <w:tcPr>
            <w:tcW w:w="1096"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c>
          <w:tcPr>
            <w:tcW w:w="1461" w:type="dxa"/>
            <w:vAlign w:val="top"/>
          </w:tcPr>
          <w:p>
            <w:pPr>
              <w:pStyle w:val="11"/>
              <w:spacing w:line="240" w:lineRule="atLeast"/>
              <w:ind w:left="1080" w:leftChars="257" w:hanging="540"/>
              <w:rPr>
                <w:rFonts w:hint="eastAsia" w:ascii="仿宋" w:hAnsi="仿宋" w:eastAsia="仿宋" w:cs="仿宋"/>
                <w:sz w:val="24"/>
                <w:szCs w:val="24"/>
              </w:rPr>
            </w:pPr>
          </w:p>
        </w:tc>
        <w:tc>
          <w:tcPr>
            <w:tcW w:w="1340" w:type="dxa"/>
            <w:vAlign w:val="top"/>
          </w:tcPr>
          <w:p>
            <w:pPr>
              <w:pStyle w:val="11"/>
              <w:spacing w:line="240" w:lineRule="atLeast"/>
              <w:ind w:left="1080" w:leftChars="257" w:hanging="540"/>
              <w:rPr>
                <w:rFonts w:hint="eastAsia" w:ascii="仿宋" w:hAnsi="仿宋" w:eastAsia="仿宋" w:cs="仿宋"/>
                <w:sz w:val="24"/>
                <w:szCs w:val="24"/>
              </w:rPr>
            </w:pPr>
          </w:p>
        </w:tc>
      </w:tr>
    </w:tbl>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 xml:space="preserve">法定代表人或其委托代理人签字（或盖章）: </w:t>
      </w:r>
      <w:r>
        <w:rPr>
          <w:rFonts w:hint="eastAsia" w:ascii="仿宋" w:hAnsi="仿宋" w:eastAsia="仿宋" w:cs="仿宋"/>
          <w:sz w:val="24"/>
          <w:szCs w:val="24"/>
        </w:rPr>
        <w:tab/>
      </w:r>
      <w:r>
        <w:rPr>
          <w:rFonts w:hint="eastAsia" w:ascii="仿宋" w:hAnsi="仿宋" w:eastAsia="仿宋" w:cs="仿宋"/>
          <w:sz w:val="24"/>
          <w:szCs w:val="24"/>
        </w:rPr>
        <w:t xml:space="preserve">                 </w:t>
      </w: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lang w:eastAsia="zh-CN"/>
        </w:rPr>
        <w:t>供应商</w:t>
      </w:r>
      <w:r>
        <w:rPr>
          <w:rFonts w:hint="eastAsia" w:ascii="仿宋" w:hAnsi="仿宋" w:eastAsia="仿宋" w:cs="仿宋"/>
          <w:sz w:val="24"/>
          <w:szCs w:val="24"/>
        </w:rPr>
        <w:t>(盖单位章):</w:t>
      </w:r>
      <w:r>
        <w:rPr>
          <w:rFonts w:hint="eastAsia" w:ascii="仿宋" w:hAnsi="仿宋" w:eastAsia="仿宋" w:cs="仿宋"/>
          <w:sz w:val="24"/>
          <w:szCs w:val="24"/>
        </w:rPr>
        <w:tab/>
      </w:r>
    </w:p>
    <w:p>
      <w:pPr>
        <w:pStyle w:val="11"/>
        <w:spacing w:line="240" w:lineRule="atLeast"/>
        <w:ind w:left="1080" w:leftChars="257" w:hanging="540"/>
        <w:rPr>
          <w:rFonts w:hint="eastAsia" w:ascii="仿宋" w:hAnsi="仿宋" w:eastAsia="仿宋" w:cs="仿宋"/>
          <w:sz w:val="24"/>
          <w:szCs w:val="24"/>
        </w:rPr>
      </w:pPr>
    </w:p>
    <w:p>
      <w:pPr>
        <w:pStyle w:val="11"/>
        <w:spacing w:line="240" w:lineRule="atLeast"/>
        <w:ind w:left="1080" w:leftChars="257" w:hanging="540"/>
        <w:rPr>
          <w:rFonts w:hint="eastAsia" w:ascii="仿宋" w:hAnsi="仿宋" w:eastAsia="仿宋" w:cs="仿宋"/>
          <w:sz w:val="24"/>
          <w:szCs w:val="24"/>
        </w:rPr>
      </w:pPr>
      <w:r>
        <w:rPr>
          <w:rFonts w:hint="eastAsia" w:ascii="仿宋" w:hAnsi="仿宋" w:eastAsia="仿宋" w:cs="仿宋"/>
          <w:sz w:val="24"/>
          <w:szCs w:val="24"/>
        </w:rPr>
        <w:t>注: 各项货物详细技术性能</w:t>
      </w:r>
      <w:r>
        <w:rPr>
          <w:rFonts w:hint="eastAsia" w:ascii="仿宋" w:hAnsi="仿宋" w:eastAsia="仿宋" w:cs="仿宋"/>
          <w:sz w:val="24"/>
          <w:szCs w:val="24"/>
          <w:lang w:val="en-US" w:eastAsia="zh-CN"/>
        </w:rPr>
        <w:t>可</w:t>
      </w:r>
      <w:r>
        <w:rPr>
          <w:rFonts w:hint="eastAsia" w:ascii="仿宋" w:hAnsi="仿宋" w:eastAsia="仿宋" w:cs="仿宋"/>
          <w:sz w:val="24"/>
          <w:szCs w:val="24"/>
        </w:rPr>
        <w:t>另页描述。</w:t>
      </w:r>
    </w:p>
    <w:p>
      <w:pPr>
        <w:pStyle w:val="11"/>
        <w:spacing w:line="240" w:lineRule="atLeast"/>
        <w:ind w:left="1080" w:leftChars="257" w:hanging="540"/>
        <w:rPr>
          <w:rFonts w:hint="eastAsia" w:ascii="仿宋" w:hAnsi="仿宋" w:eastAsia="仿宋" w:cs="仿宋"/>
          <w:sz w:val="24"/>
          <w:szCs w:val="24"/>
          <w:lang w:eastAsia="zh-CN"/>
        </w:rPr>
        <w:sectPr>
          <w:footerReference r:id="rId5" w:type="default"/>
          <w:pgSz w:w="11906" w:h="16838"/>
          <w:pgMar w:top="1440" w:right="1797" w:bottom="1440" w:left="1797" w:header="283" w:footer="992" w:gutter="0"/>
          <w:pgNumType w:fmt="decimal" w:start="1"/>
          <w:cols w:space="720" w:num="1"/>
          <w:docGrid w:linePitch="312" w:charSpace="0"/>
        </w:sectPr>
      </w:pPr>
    </w:p>
    <w:p>
      <w:pPr>
        <w:pStyle w:val="11"/>
        <w:spacing w:line="240" w:lineRule="atLeast"/>
        <w:ind w:left="1080" w:leftChars="257" w:hanging="540"/>
        <w:jc w:val="center"/>
        <w:rPr>
          <w:rFonts w:hint="eastAsia" w:ascii="仿宋" w:hAnsi="仿宋" w:eastAsia="仿宋" w:cs="仿宋"/>
          <w:color w:val="auto"/>
          <w:sz w:val="24"/>
          <w:highlight w:val="none"/>
        </w:rPr>
      </w:pPr>
      <w:r>
        <w:rPr>
          <w:rFonts w:hint="eastAsia" w:ascii="仿宋" w:hAnsi="仿宋" w:eastAsia="仿宋" w:cs="仿宋"/>
          <w:b/>
          <w:bCs/>
          <w:color w:val="auto"/>
          <w:sz w:val="28"/>
          <w:szCs w:val="21"/>
          <w:highlight w:val="none"/>
          <w:lang w:val="en-US" w:eastAsia="zh-CN"/>
        </w:rPr>
        <w:t>4、</w:t>
      </w:r>
      <w:r>
        <w:rPr>
          <w:rFonts w:hint="eastAsia" w:ascii="仿宋" w:hAnsi="仿宋" w:eastAsia="仿宋" w:cs="仿宋"/>
          <w:b/>
          <w:bCs/>
          <w:color w:val="auto"/>
          <w:sz w:val="28"/>
          <w:szCs w:val="21"/>
          <w:highlight w:val="none"/>
        </w:rPr>
        <w:t>技术</w:t>
      </w:r>
      <w:r>
        <w:rPr>
          <w:rFonts w:hint="eastAsia" w:ascii="仿宋" w:hAnsi="仿宋" w:eastAsia="仿宋" w:cs="仿宋"/>
          <w:b/>
          <w:bCs/>
          <w:color w:val="auto"/>
          <w:sz w:val="28"/>
          <w:szCs w:val="21"/>
          <w:highlight w:val="none"/>
          <w:lang w:val="en-US" w:eastAsia="zh-CN"/>
        </w:rPr>
        <w:t>规格</w:t>
      </w:r>
      <w:r>
        <w:rPr>
          <w:rFonts w:hint="eastAsia" w:ascii="仿宋" w:hAnsi="仿宋" w:eastAsia="仿宋" w:cs="仿宋"/>
          <w:b/>
          <w:bCs/>
          <w:color w:val="auto"/>
          <w:sz w:val="28"/>
          <w:szCs w:val="21"/>
          <w:highlight w:val="none"/>
        </w:rPr>
        <w:t>偏离表</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项目名称:                       </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项目编号</w:t>
      </w:r>
      <w:r>
        <w:rPr>
          <w:rFonts w:hint="eastAsia" w:ascii="仿宋" w:hAnsi="仿宋" w:eastAsia="仿宋" w:cs="仿宋"/>
          <w:color w:val="auto"/>
          <w:sz w:val="24"/>
          <w:highlight w:val="none"/>
        </w:rPr>
        <w:t xml:space="preserve">:                 </w:t>
      </w:r>
    </w:p>
    <w:tbl>
      <w:tblPr>
        <w:tblStyle w:val="24"/>
        <w:tblW w:w="87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货物名称</w:t>
            </w:r>
          </w:p>
        </w:tc>
        <w:tc>
          <w:tcPr>
            <w:tcW w:w="234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磋商</w:t>
            </w:r>
            <w:r>
              <w:rPr>
                <w:rFonts w:hint="eastAsia" w:ascii="仿宋" w:hAnsi="仿宋" w:eastAsia="仿宋" w:cs="仿宋"/>
                <w:color w:val="auto"/>
                <w:sz w:val="24"/>
                <w:highlight w:val="none"/>
                <w:lang w:eastAsia="zh-CN"/>
              </w:rPr>
              <w:t>文件</w:t>
            </w:r>
            <w:r>
              <w:rPr>
                <w:rFonts w:hint="eastAsia" w:ascii="仿宋" w:hAnsi="仿宋" w:eastAsia="仿宋" w:cs="仿宋"/>
                <w:color w:val="auto"/>
                <w:sz w:val="24"/>
                <w:highlight w:val="none"/>
              </w:rPr>
              <w:t>条款号</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招标规格</w:t>
            </w:r>
          </w:p>
        </w:tc>
        <w:tc>
          <w:tcPr>
            <w:tcW w:w="1260" w:type="dxa"/>
            <w:vAlign w:val="center"/>
          </w:tcPr>
          <w:p>
            <w:pPr>
              <w:pStyle w:val="11"/>
              <w:spacing w:line="240" w:lineRule="atLeas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投标规格</w:t>
            </w:r>
          </w:p>
        </w:tc>
        <w:tc>
          <w:tcPr>
            <w:tcW w:w="900" w:type="dxa"/>
            <w:vAlign w:val="center"/>
          </w:tcPr>
          <w:p>
            <w:pPr>
              <w:pStyle w:val="11"/>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偏离</w:t>
            </w:r>
          </w:p>
        </w:tc>
        <w:tc>
          <w:tcPr>
            <w:tcW w:w="900" w:type="dxa"/>
            <w:vAlign w:val="center"/>
          </w:tcPr>
          <w:p>
            <w:pPr>
              <w:pStyle w:val="11"/>
              <w:spacing w:line="240" w:lineRule="atLeas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1" w:hRule="atLeast"/>
          <w:jc w:val="center"/>
        </w:trPr>
        <w:tc>
          <w:tcPr>
            <w:tcW w:w="828"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234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126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c>
          <w:tcPr>
            <w:tcW w:w="900" w:type="dxa"/>
            <w:vAlign w:val="top"/>
          </w:tcPr>
          <w:p>
            <w:pPr>
              <w:pStyle w:val="11"/>
              <w:keepNext w:val="0"/>
              <w:keepLines w:val="0"/>
              <w:suppressLineNumbers w:val="0"/>
              <w:spacing w:beforeAutospacing="0" w:afterAutospacing="0" w:line="240" w:lineRule="atLeast"/>
              <w:ind w:left="1080" w:leftChars="257" w:hanging="540"/>
              <w:rPr>
                <w:rFonts w:hint="eastAsia" w:ascii="宋体" w:hAnsi="宋体" w:eastAsia="宋体" w:cs="宋体"/>
                <w:color w:val="000000"/>
                <w:sz w:val="24"/>
                <w:szCs w:val="24"/>
              </w:rPr>
            </w:pPr>
          </w:p>
        </w:tc>
      </w:tr>
    </w:tbl>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注：1、</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应对照技术条款要求，对竞争性磋商采购文件的技术要求做出实质性的响应，并申明与技术条款要求的偏差和例外。特别对有具体技术要求的指标，</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必须提供所投标项目的具体参数值。</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所提供项目和服务已对竞争性磋商采购文件要求的招标项目规模、技术要求和服务条件的偏离只能优于竞争性磋商采购文件，否则评标委员会有权按竞争性磋商采购文件中相应规定作否决投标处理。</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3、没有说明的其他条款将被认为完全满足本招标项目技术条款要求。</w:t>
      </w:r>
    </w:p>
    <w:p>
      <w:pPr>
        <w:pStyle w:val="11"/>
        <w:spacing w:line="240" w:lineRule="atLeast"/>
        <w:ind w:left="1154" w:leftChars="485" w:hanging="136" w:hangingChars="57"/>
        <w:rPr>
          <w:rFonts w:hint="eastAsia" w:ascii="仿宋" w:hAnsi="仿宋" w:eastAsia="仿宋" w:cs="仿宋"/>
          <w:color w:val="auto"/>
          <w:sz w:val="24"/>
          <w:highlight w:val="none"/>
        </w:rPr>
      </w:pPr>
      <w:r>
        <w:rPr>
          <w:rFonts w:hint="eastAsia" w:ascii="仿宋" w:hAnsi="仿宋" w:eastAsia="仿宋" w:cs="仿宋"/>
          <w:color w:val="auto"/>
          <w:sz w:val="24"/>
          <w:highlight w:val="none"/>
        </w:rPr>
        <w:t>4、各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按此表格式自行填写，表格不够时可自行添加。</w:t>
      </w:r>
    </w:p>
    <w:p>
      <w:pPr>
        <w:pStyle w:val="11"/>
        <w:spacing w:line="240" w:lineRule="atLeast"/>
        <w:ind w:left="1080" w:leftChars="257" w:hanging="540"/>
        <w:jc w:val="right"/>
        <w:rPr>
          <w:rFonts w:hint="eastAsia" w:ascii="仿宋" w:hAnsi="仿宋" w:eastAsia="仿宋" w:cs="仿宋"/>
          <w:color w:val="auto"/>
          <w:sz w:val="24"/>
          <w:highlight w:val="none"/>
          <w:lang w:eastAsia="zh-CN"/>
        </w:rPr>
      </w:pPr>
    </w:p>
    <w:p>
      <w:pPr>
        <w:pStyle w:val="11"/>
        <w:spacing w:line="240" w:lineRule="atLeast"/>
        <w:ind w:left="1080" w:leftChars="257" w:hanging="54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 xml:space="preserve"> （盖章）：</w:t>
      </w: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pPr>
        <w:spacing w:before="0" w:line="240" w:lineRule="atLeast"/>
        <w:ind w:left="1080" w:leftChars="257" w:hanging="540"/>
        <w:jc w:val="center"/>
        <w:outlineLvl w:val="9"/>
        <w:rPr>
          <w:rFonts w:hint="eastAsia" w:ascii="仿宋" w:hAnsi="仿宋" w:eastAsia="仿宋" w:cs="仿宋"/>
          <w:b/>
          <w:bCs/>
          <w:color w:val="auto"/>
          <w:sz w:val="28"/>
          <w:szCs w:val="28"/>
          <w:highlight w:val="none"/>
        </w:rPr>
      </w:pPr>
      <w:bookmarkStart w:id="203" w:name="_Toc518923119"/>
      <w:bookmarkStart w:id="204" w:name="_Toc216582818"/>
      <w:r>
        <w:rPr>
          <w:rFonts w:hint="eastAsia" w:ascii="仿宋" w:hAnsi="仿宋" w:eastAsia="仿宋" w:cs="仿宋"/>
          <w:b/>
          <w:bCs/>
          <w:color w:val="auto"/>
          <w:sz w:val="28"/>
          <w:szCs w:val="28"/>
          <w:highlight w:val="none"/>
          <w:lang w:val="en-US" w:eastAsia="zh-CN"/>
        </w:rPr>
        <w:t>5</w:t>
      </w:r>
      <w:r>
        <w:rPr>
          <w:rFonts w:hint="eastAsia" w:ascii="仿宋" w:hAnsi="仿宋" w:eastAsia="仿宋" w:cs="仿宋"/>
          <w:b/>
          <w:bCs/>
          <w:color w:val="auto"/>
          <w:sz w:val="28"/>
          <w:szCs w:val="28"/>
          <w:highlight w:val="none"/>
        </w:rPr>
        <w:t xml:space="preserve">   商务条款偏离表</w:t>
      </w:r>
      <w:bookmarkEnd w:id="203"/>
      <w:bookmarkEnd w:id="204"/>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                      招标编号:             分包号:</w:t>
      </w:r>
    </w:p>
    <w:p>
      <w:pPr>
        <w:pStyle w:val="11"/>
        <w:spacing w:line="240" w:lineRule="atLeast"/>
        <w:ind w:left="1080" w:leftChars="257" w:hanging="540"/>
        <w:rPr>
          <w:rFonts w:hint="eastAsia" w:ascii="仿宋" w:hAnsi="仿宋" w:eastAsia="仿宋" w:cs="仿宋"/>
          <w:color w:val="auto"/>
          <w:sz w:val="24"/>
          <w:highlight w:val="none"/>
        </w:rPr>
      </w:pPr>
    </w:p>
    <w:tbl>
      <w:tblPr>
        <w:tblStyle w:val="24"/>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204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条款号</w:t>
            </w:r>
          </w:p>
        </w:tc>
        <w:tc>
          <w:tcPr>
            <w:tcW w:w="252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磋商文件</w:t>
            </w:r>
            <w:r>
              <w:rPr>
                <w:rFonts w:hint="eastAsia" w:ascii="仿宋" w:hAnsi="仿宋" w:eastAsia="仿宋" w:cs="仿宋"/>
                <w:color w:val="auto"/>
                <w:sz w:val="24"/>
                <w:highlight w:val="none"/>
              </w:rPr>
              <w:t>的商务条款</w:t>
            </w:r>
          </w:p>
        </w:tc>
        <w:tc>
          <w:tcPr>
            <w:tcW w:w="252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响应文件</w:t>
            </w:r>
            <w:r>
              <w:rPr>
                <w:rFonts w:hint="eastAsia" w:ascii="仿宋" w:hAnsi="仿宋" w:eastAsia="仿宋" w:cs="仿宋"/>
                <w:color w:val="auto"/>
                <w:sz w:val="24"/>
                <w:highlight w:val="none"/>
              </w:rPr>
              <w:t>的商务条款</w:t>
            </w:r>
          </w:p>
        </w:tc>
        <w:tc>
          <w:tcPr>
            <w:tcW w:w="900" w:type="dxa"/>
            <w:vAlign w:val="top"/>
          </w:tcPr>
          <w:p>
            <w:pPr>
              <w:pStyle w:val="11"/>
              <w:spacing w:line="240" w:lineRule="atLeas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jc w:val="center"/>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jc w:val="center"/>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948"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04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2520" w:type="dxa"/>
            <w:vAlign w:val="top"/>
          </w:tcPr>
          <w:p>
            <w:pPr>
              <w:pStyle w:val="11"/>
              <w:spacing w:line="240" w:lineRule="atLeast"/>
              <w:ind w:left="1080" w:leftChars="257" w:hanging="540"/>
              <w:rPr>
                <w:rFonts w:hint="eastAsia" w:ascii="仿宋" w:hAnsi="仿宋" w:eastAsia="仿宋" w:cs="仿宋"/>
                <w:color w:val="auto"/>
                <w:sz w:val="24"/>
                <w:highlight w:val="none"/>
              </w:rPr>
            </w:pPr>
          </w:p>
        </w:tc>
        <w:tc>
          <w:tcPr>
            <w:tcW w:w="900" w:type="dxa"/>
            <w:vAlign w:val="top"/>
          </w:tcPr>
          <w:p>
            <w:pPr>
              <w:pStyle w:val="11"/>
              <w:spacing w:line="240" w:lineRule="atLeast"/>
              <w:ind w:left="1080" w:leftChars="257" w:hanging="540"/>
              <w:rPr>
                <w:rFonts w:hint="eastAsia" w:ascii="仿宋" w:hAnsi="仿宋" w:eastAsia="仿宋" w:cs="仿宋"/>
                <w:color w:val="auto"/>
                <w:sz w:val="24"/>
                <w:highlight w:val="none"/>
              </w:rPr>
            </w:pPr>
          </w:p>
        </w:tc>
      </w:tr>
    </w:tbl>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1"/>
        <w:spacing w:line="240" w:lineRule="atLeast"/>
        <w:jc w:val="center"/>
        <w:rPr>
          <w:rFonts w:hint="eastAsia" w:ascii="仿宋" w:hAnsi="仿宋" w:eastAsia="仿宋" w:cs="仿宋"/>
          <w:b/>
          <w:bCs/>
          <w:color w:val="auto"/>
          <w:sz w:val="28"/>
          <w:szCs w:val="28"/>
          <w:highlight w:val="none"/>
        </w:rPr>
      </w:pPr>
      <w:r>
        <w:rPr>
          <w:rFonts w:hint="eastAsia" w:ascii="仿宋" w:hAnsi="仿宋" w:eastAsia="仿宋" w:cs="仿宋"/>
          <w:color w:val="auto"/>
          <w:sz w:val="24"/>
          <w:highlight w:val="none"/>
          <w:u w:val="single"/>
        </w:rPr>
        <w:br w:type="page"/>
      </w:r>
      <w:bookmarkStart w:id="205" w:name="_Hlt520343392"/>
      <w:bookmarkEnd w:id="205"/>
      <w:bookmarkStart w:id="206" w:name="_Hlt520350918"/>
      <w:bookmarkEnd w:id="206"/>
      <w:bookmarkStart w:id="207" w:name="_Hlt520273973"/>
      <w:bookmarkEnd w:id="207"/>
      <w:bookmarkStart w:id="208" w:name="_Hlt520274911"/>
      <w:bookmarkEnd w:id="208"/>
      <w:bookmarkStart w:id="209" w:name="_Hlt520274065"/>
      <w:bookmarkEnd w:id="209"/>
      <w:bookmarkStart w:id="210" w:name="_Hlt520274407"/>
      <w:bookmarkEnd w:id="210"/>
      <w:bookmarkStart w:id="211" w:name="_Hlt520274393"/>
      <w:bookmarkEnd w:id="211"/>
      <w:bookmarkStart w:id="212" w:name="_Hlt520271212"/>
      <w:bookmarkEnd w:id="212"/>
      <w:bookmarkStart w:id="213" w:name="_Hlt520273711"/>
      <w:bookmarkEnd w:id="213"/>
      <w:bookmarkStart w:id="214" w:name="_Hlt520343000"/>
      <w:bookmarkEnd w:id="214"/>
      <w:bookmarkStart w:id="215" w:name="_Hlt520350957"/>
      <w:bookmarkEnd w:id="215"/>
      <w:bookmarkStart w:id="216" w:name="_Toc518923120"/>
      <w:r>
        <w:rPr>
          <w:rFonts w:hint="eastAsia" w:ascii="仿宋" w:hAnsi="仿宋" w:eastAsia="仿宋" w:cs="仿宋"/>
          <w:b/>
          <w:bCs/>
          <w:color w:val="auto"/>
          <w:sz w:val="28"/>
          <w:szCs w:val="28"/>
          <w:highlight w:val="none"/>
          <w:lang w:val="en-US" w:eastAsia="zh-CN"/>
        </w:rPr>
        <w:t>6</w:t>
      </w:r>
      <w:r>
        <w:rPr>
          <w:rFonts w:hint="eastAsia" w:ascii="仿宋" w:hAnsi="仿宋" w:eastAsia="仿宋" w:cs="仿宋"/>
          <w:b/>
          <w:bCs/>
          <w:color w:val="auto"/>
          <w:sz w:val="28"/>
          <w:szCs w:val="28"/>
          <w:highlight w:val="none"/>
        </w:rPr>
        <w:t xml:space="preserve">-1  </w:t>
      </w:r>
      <w:r>
        <w:rPr>
          <w:rFonts w:hint="eastAsia" w:ascii="仿宋" w:hAnsi="仿宋" w:eastAsia="仿宋" w:cs="仿宋"/>
          <w:b/>
          <w:bCs/>
          <w:color w:val="auto"/>
          <w:kern w:val="0"/>
          <w:sz w:val="28"/>
          <w:szCs w:val="28"/>
          <w:highlight w:val="none"/>
        </w:rPr>
        <w:t>中小企业声明函</w:t>
      </w:r>
      <w:bookmarkEnd w:id="216"/>
    </w:p>
    <w:p>
      <w:pPr>
        <w:spacing w:line="240" w:lineRule="atLeast"/>
        <w:ind w:left="1080" w:leftChars="257" w:hanging="540"/>
        <w:jc w:val="center"/>
        <w:rPr>
          <w:rFonts w:hint="eastAsia" w:ascii="仿宋" w:hAnsi="仿宋" w:eastAsia="仿宋" w:cs="仿宋"/>
          <w:b/>
          <w:color w:val="auto"/>
          <w:kern w:val="0"/>
          <w:sz w:val="24"/>
          <w:szCs w:val="20"/>
          <w:highlight w:val="none"/>
        </w:rPr>
      </w:pPr>
    </w:p>
    <w:p>
      <w:pPr>
        <w:tabs>
          <w:tab w:val="left" w:pos="940"/>
        </w:tabs>
        <w:bidi w:val="0"/>
        <w:jc w:val="center"/>
        <w:rPr>
          <w:rFonts w:hint="eastAsia" w:ascii="仿宋" w:hAnsi="仿宋" w:eastAsia="仿宋" w:cs="仿宋"/>
          <w:sz w:val="24"/>
          <w:szCs w:val="32"/>
          <w:lang w:eastAsia="zh-CN"/>
        </w:rPr>
      </w:pPr>
      <w:r>
        <w:rPr>
          <w:rFonts w:hint="eastAsia" w:ascii="仿宋" w:hAnsi="仿宋" w:eastAsia="仿宋" w:cs="仿宋"/>
          <w:b/>
          <w:bCs/>
          <w:sz w:val="24"/>
          <w:szCs w:val="32"/>
          <w:lang w:eastAsia="zh-CN"/>
        </w:rPr>
        <w:t>中小企业声明函（货物）</w:t>
      </w:r>
    </w:p>
    <w:p>
      <w:pPr>
        <w:tabs>
          <w:tab w:val="left" w:pos="940"/>
        </w:tabs>
        <w:bidi w:val="0"/>
        <w:jc w:val="left"/>
        <w:rPr>
          <w:rFonts w:hint="eastAsia" w:ascii="仿宋" w:hAnsi="仿宋" w:eastAsia="仿宋" w:cs="仿宋"/>
          <w:lang w:eastAsia="zh-CN"/>
        </w:rPr>
      </w:pPr>
      <w:r>
        <w:rPr>
          <w:rFonts w:hint="eastAsia" w:ascii="仿宋" w:hAnsi="仿宋" w:eastAsia="仿宋" w:cs="仿宋"/>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公司（联合体）郑重声明，根据《政府采购促进中小企业发展管理办法》（财库〔2020〕[2020]46号）的规定，本公司（联合体）参加（单位名称）的（项目名称）采购活动，提供的货物全部由符合政策要求的中小企业制造。相关企业（含联合体中的中小企业、签订分包意向协议的中小企业）的具体情况如下：</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1.（标的名称），属于（采购文件中明确的所属行业）；制造商为（企业名称），从业人员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2. （标的名称），属于（采购文件中明确的所属行业）；制造商为（企业名称），从业人员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以上企业，不属于大企业的分支机构，不存在控股股东为大企业的情形，也不存在与大企业的负责人为同一人的情形。</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本企业对上述声明内容的真实性负责。如有虚假，将依法承担相应责任。</w:t>
      </w:r>
    </w:p>
    <w:p>
      <w:pPr>
        <w:tabs>
          <w:tab w:val="left" w:pos="940"/>
        </w:tabs>
        <w:bidi w:val="0"/>
        <w:jc w:val="left"/>
        <w:rPr>
          <w:rFonts w:hint="eastAsia" w:ascii="仿宋" w:hAnsi="仿宋" w:eastAsia="仿宋" w:cs="仿宋"/>
          <w:sz w:val="24"/>
          <w:szCs w:val="32"/>
          <w:lang w:eastAsia="zh-CN"/>
        </w:rPr>
      </w:pPr>
      <w:r>
        <w:rPr>
          <w:rFonts w:hint="eastAsia" w:ascii="仿宋" w:hAnsi="仿宋" w:eastAsia="仿宋" w:cs="仿宋"/>
          <w:sz w:val="24"/>
          <w:szCs w:val="32"/>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企业名称（盖章）：</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日期：                    </w:t>
      </w:r>
    </w:p>
    <w:p>
      <w:pPr>
        <w:tabs>
          <w:tab w:val="left" w:pos="940"/>
        </w:tabs>
        <w:bidi w:val="0"/>
        <w:jc w:val="center"/>
        <w:rPr>
          <w:rFonts w:hint="eastAsia" w:ascii="仿宋" w:hAnsi="仿宋" w:eastAsia="仿宋" w:cs="仿宋"/>
          <w:lang w:eastAsia="zh-CN"/>
        </w:rPr>
      </w:pPr>
      <w:r>
        <w:rPr>
          <w:rFonts w:hint="eastAsia" w:ascii="仿宋" w:hAnsi="仿宋" w:eastAsia="仿宋" w:cs="仿宋"/>
          <w:lang w:eastAsia="zh-CN"/>
        </w:rPr>
        <w:br w:type="page"/>
      </w:r>
      <w:r>
        <w:rPr>
          <w:rFonts w:hint="eastAsia" w:ascii="仿宋" w:hAnsi="仿宋" w:eastAsia="仿宋" w:cs="仿宋"/>
          <w:b/>
          <w:bCs/>
          <w:sz w:val="24"/>
          <w:szCs w:val="32"/>
          <w:lang w:eastAsia="zh-CN"/>
        </w:rPr>
        <w:t>中小企业声明函（工程、服务)</w:t>
      </w:r>
    </w:p>
    <w:p>
      <w:pPr>
        <w:tabs>
          <w:tab w:val="left" w:pos="940"/>
        </w:tabs>
        <w:bidi w:val="0"/>
        <w:jc w:val="left"/>
        <w:rPr>
          <w:rFonts w:hint="eastAsia" w:ascii="仿宋" w:hAnsi="仿宋" w:eastAsia="仿宋" w:cs="仿宋"/>
          <w:lang w:eastAsia="zh-CN"/>
        </w:rPr>
      </w:pPr>
      <w:r>
        <w:rPr>
          <w:rFonts w:hint="eastAsia" w:ascii="仿宋" w:hAnsi="仿宋" w:eastAsia="仿宋" w:cs="仿宋"/>
          <w:lang w:eastAsia="zh-CN"/>
        </w:rPr>
        <w:t> </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1.（标的名称），属于（采购文件中明确的所属行业）；承建（承接）企业为（企业名称），从业人员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2. （标的名称），属于（采购文件中明确的所属行业）；承建（承接）企业为（企业名称），从业人员  人，营业收入为  万元，资产总额为  万元，属于（中型企业、小型企业、微型企业）；</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以上企业，不属于大企业的分支机构，不存在控股股东为大企业的情形，也不存在与大企业的负责人为同一人的情形。</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本企业对上述声明内容的真实性负责。如有虚假，将依法承担相应责任。</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企业名称（盖章）：</w:t>
      </w:r>
    </w:p>
    <w:p>
      <w:pPr>
        <w:keepNext w:val="0"/>
        <w:keepLines w:val="0"/>
        <w:pageBreakBefore w:val="0"/>
        <w:widowControl w:val="0"/>
        <w:tabs>
          <w:tab w:val="left" w:pos="940"/>
        </w:tabs>
        <w:kinsoku/>
        <w:wordWrap/>
        <w:overflowPunct/>
        <w:topLinePunct w:val="0"/>
        <w:autoSpaceDE/>
        <w:autoSpaceDN/>
        <w:bidi w:val="0"/>
        <w:adjustRightInd/>
        <w:snapToGrid/>
        <w:spacing w:line="360" w:lineRule="auto"/>
        <w:jc w:val="left"/>
        <w:textAlignment w:val="auto"/>
        <w:rPr>
          <w:rFonts w:hint="eastAsia" w:ascii="仿宋" w:hAnsi="仿宋" w:eastAsia="仿宋" w:cs="仿宋"/>
          <w:sz w:val="24"/>
          <w:szCs w:val="32"/>
          <w:lang w:eastAsia="zh-CN"/>
        </w:rPr>
      </w:pPr>
      <w:r>
        <w:rPr>
          <w:rFonts w:hint="eastAsia" w:ascii="仿宋" w:hAnsi="仿宋" w:eastAsia="仿宋" w:cs="仿宋"/>
          <w:sz w:val="24"/>
          <w:szCs w:val="32"/>
          <w:lang w:eastAsia="zh-CN"/>
        </w:rPr>
        <w:t>                      日期：                    </w:t>
      </w: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ind w:firstLine="3720" w:firstLineChars="1550"/>
        <w:jc w:val="left"/>
        <w:rPr>
          <w:rFonts w:hint="eastAsia" w:ascii="仿宋" w:hAnsi="仿宋" w:eastAsia="仿宋" w:cs="仿宋"/>
          <w:color w:val="auto"/>
          <w:kern w:val="0"/>
          <w:sz w:val="24"/>
          <w:highlight w:val="none"/>
          <w:u w:val="single"/>
        </w:rPr>
      </w:pPr>
    </w:p>
    <w:p>
      <w:pPr>
        <w:widowControl/>
        <w:spacing w:before="100" w:beforeAutospacing="1" w:after="100" w:afterAutospacing="1" w:line="330" w:lineRule="atLeast"/>
        <w:jc w:val="left"/>
        <w:rPr>
          <w:rFonts w:hint="eastAsia" w:ascii="仿宋" w:hAnsi="仿宋" w:eastAsia="仿宋" w:cs="仿宋"/>
          <w:color w:val="auto"/>
          <w:highlight w:val="none"/>
        </w:rPr>
      </w:pPr>
    </w:p>
    <w:p>
      <w:pPr>
        <w:pStyle w:val="6"/>
        <w:ind w:left="0" w:leftChars="0" w:firstLine="0" w:firstLineChars="0"/>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spacing w:before="0" w:line="240" w:lineRule="atLeast"/>
        <w:ind w:left="1080" w:leftChars="257" w:hanging="540"/>
        <w:jc w:val="center"/>
        <w:outlineLvl w:val="9"/>
        <w:rPr>
          <w:rFonts w:hint="eastAsia" w:ascii="仿宋" w:hAnsi="仿宋" w:eastAsia="仿宋" w:cs="仿宋"/>
          <w:b/>
          <w:bCs/>
          <w:color w:val="auto"/>
          <w:sz w:val="24"/>
          <w:highlight w:val="none"/>
        </w:rPr>
      </w:pPr>
      <w:bookmarkStart w:id="217" w:name="_Toc518923122"/>
      <w:r>
        <w:rPr>
          <w:rFonts w:hint="eastAsia" w:ascii="仿宋" w:hAnsi="仿宋" w:eastAsia="仿宋" w:cs="仿宋"/>
          <w:b/>
          <w:bCs/>
          <w:color w:val="auto"/>
          <w:sz w:val="24"/>
          <w:highlight w:val="none"/>
        </w:rPr>
        <w:br w:type="page"/>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 xml:space="preserve">  </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关联单位的说明</w:t>
      </w:r>
      <w:bookmarkEnd w:id="217"/>
    </w:p>
    <w:p>
      <w:pPr>
        <w:pStyle w:val="6"/>
        <w:ind w:firstLine="480" w:firstLineChars="200"/>
        <w:rPr>
          <w:rFonts w:hint="eastAsia" w:ascii="仿宋" w:hAnsi="仿宋" w:eastAsia="仿宋" w:cs="仿宋"/>
          <w:color w:val="auto"/>
          <w:highlight w:val="none"/>
        </w:rPr>
      </w:pPr>
    </w:p>
    <w:p>
      <w:pPr>
        <w:pStyle w:val="6"/>
        <w:ind w:firstLine="480" w:firstLineChars="200"/>
        <w:rPr>
          <w:rFonts w:hint="eastAsia" w:ascii="仿宋" w:hAnsi="仿宋" w:eastAsia="仿宋" w:cs="仿宋"/>
          <w:color w:val="auto"/>
          <w:highlight w:val="none"/>
        </w:rPr>
      </w:pPr>
    </w:p>
    <w:p>
      <w:pPr>
        <w:pStyle w:val="6"/>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说明：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应当如实披露与本单位存在下列关联关系的单位名称：</w:t>
      </w:r>
    </w:p>
    <w:p>
      <w:pPr>
        <w:pStyle w:val="6"/>
        <w:numPr>
          <w:ilvl w:val="0"/>
          <w:numId w:val="4"/>
        </w:num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单位负责人为同一人的其他单位；</w:t>
      </w:r>
    </w:p>
    <w:p>
      <w:pPr>
        <w:pStyle w:val="6"/>
        <w:numPr>
          <w:ilvl w:val="0"/>
          <w:numId w:val="4"/>
        </w:numPr>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与</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存在直接控股、管理关系的其他单位。</w:t>
      </w:r>
    </w:p>
    <w:p>
      <w:pPr>
        <w:widowControl w:val="0"/>
        <w:numPr>
          <w:ilvl w:val="0"/>
          <w:numId w:val="0"/>
        </w:numPr>
        <w:jc w:val="both"/>
        <w:rPr>
          <w:rFonts w:hint="eastAsia" w:ascii="仿宋" w:hAnsi="仿宋" w:eastAsia="仿宋" w:cs="仿宋"/>
          <w:color w:val="auto"/>
          <w:highlight w:val="none"/>
        </w:rPr>
      </w:pPr>
    </w:p>
    <w:p>
      <w:pPr>
        <w:pStyle w:val="4"/>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rPr>
          <w:rFonts w:hint="eastAsia" w:ascii="仿宋" w:hAnsi="仿宋" w:eastAsia="仿宋" w:cs="仿宋"/>
          <w:color w:val="auto"/>
          <w:highlight w:val="none"/>
        </w:rPr>
      </w:pPr>
    </w:p>
    <w:p>
      <w:pPr>
        <w:pStyle w:val="6"/>
        <w:rPr>
          <w:rFonts w:hint="eastAsia" w:ascii="仿宋" w:hAnsi="仿宋" w:eastAsia="仿宋" w:cs="仿宋"/>
          <w:color w:val="auto"/>
          <w:highlight w:val="none"/>
        </w:rPr>
      </w:pPr>
    </w:p>
    <w:p>
      <w:pPr>
        <w:rPr>
          <w:rFonts w:hint="eastAsia"/>
        </w:rPr>
      </w:pPr>
    </w:p>
    <w:p>
      <w:pPr>
        <w:pStyle w:val="6"/>
        <w:jc w:val="center"/>
        <w:rPr>
          <w:rFonts w:hint="eastAsia" w:ascii="仿宋" w:hAnsi="仿宋" w:eastAsia="仿宋" w:cs="仿宋"/>
          <w:color w:val="auto"/>
          <w:highlight w:val="none"/>
        </w:rPr>
      </w:pPr>
    </w:p>
    <w:p>
      <w:pPr>
        <w:pStyle w:val="6"/>
        <w:ind w:left="0" w:leftChars="0" w:firstLine="0" w:firstLineChars="0"/>
        <w:jc w:val="center"/>
        <w:rPr>
          <w:rFonts w:hint="eastAsia" w:ascii="仿宋" w:hAnsi="仿宋" w:eastAsia="仿宋" w:cs="仿宋"/>
          <w:b/>
          <w:bCs/>
          <w:color w:val="auto"/>
          <w:sz w:val="24"/>
          <w:highlight w:val="none"/>
          <w:lang w:val="en-US" w:eastAsia="zh-CN"/>
        </w:rPr>
      </w:pPr>
      <w:bookmarkStart w:id="218" w:name="_Toc518923123"/>
    </w:p>
    <w:p>
      <w:pPr>
        <w:pStyle w:val="6"/>
        <w:ind w:left="0" w:leftChars="0" w:firstLine="0" w:firstLineChars="0"/>
        <w:jc w:val="center"/>
        <w:rPr>
          <w:rFonts w:hint="eastAsia" w:ascii="仿宋" w:hAnsi="仿宋" w:eastAsia="仿宋" w:cs="仿宋"/>
          <w:b/>
          <w:bCs/>
          <w:color w:val="auto"/>
          <w:sz w:val="24"/>
          <w:highlight w:val="none"/>
          <w:lang w:val="en-US" w:eastAsia="zh-CN"/>
        </w:rPr>
      </w:pPr>
    </w:p>
    <w:p>
      <w:pPr>
        <w:pStyle w:val="6"/>
        <w:ind w:left="0" w:leftChars="0" w:firstLine="0" w:firstLineChars="0"/>
        <w:jc w:val="center"/>
        <w:rPr>
          <w:rFonts w:hint="eastAsia" w:ascii="仿宋" w:hAnsi="仿宋" w:eastAsia="仿宋" w:cs="仿宋"/>
          <w:color w:val="auto"/>
          <w:sz w:val="24"/>
          <w:highlight w:val="none"/>
        </w:rPr>
      </w:pPr>
      <w:r>
        <w:rPr>
          <w:rFonts w:hint="eastAsia" w:ascii="仿宋" w:hAnsi="仿宋" w:eastAsia="仿宋" w:cs="仿宋"/>
          <w:b/>
          <w:bCs/>
          <w:color w:val="auto"/>
          <w:sz w:val="28"/>
          <w:szCs w:val="21"/>
          <w:highlight w:val="none"/>
          <w:lang w:val="en-US" w:eastAsia="zh-CN"/>
        </w:rPr>
        <w:t>8</w:t>
      </w:r>
      <w:r>
        <w:rPr>
          <w:rFonts w:hint="eastAsia" w:ascii="仿宋" w:hAnsi="仿宋" w:eastAsia="仿宋" w:cs="仿宋"/>
          <w:b/>
          <w:bCs/>
          <w:color w:val="auto"/>
          <w:sz w:val="28"/>
          <w:szCs w:val="21"/>
          <w:highlight w:val="none"/>
        </w:rPr>
        <w:t xml:space="preserve">  </w:t>
      </w:r>
      <w:r>
        <w:rPr>
          <w:rFonts w:hint="eastAsia" w:ascii="仿宋" w:hAnsi="仿宋" w:eastAsia="仿宋" w:cs="仿宋"/>
          <w:b/>
          <w:bCs/>
          <w:color w:val="auto"/>
          <w:sz w:val="28"/>
          <w:szCs w:val="21"/>
          <w:highlight w:val="none"/>
          <w:lang w:eastAsia="zh-CN"/>
        </w:rPr>
        <w:t>响应文件</w:t>
      </w:r>
      <w:r>
        <w:rPr>
          <w:rFonts w:hint="eastAsia" w:ascii="仿宋" w:hAnsi="仿宋" w:eastAsia="仿宋" w:cs="仿宋"/>
          <w:b/>
          <w:bCs/>
          <w:color w:val="auto"/>
          <w:sz w:val="28"/>
          <w:szCs w:val="21"/>
          <w:highlight w:val="none"/>
        </w:rPr>
        <w:t>还应包括</w:t>
      </w:r>
      <w:r>
        <w:rPr>
          <w:rFonts w:hint="eastAsia" w:ascii="仿宋" w:hAnsi="仿宋" w:eastAsia="仿宋" w:cs="仿宋"/>
          <w:b/>
          <w:bCs/>
          <w:color w:val="auto"/>
          <w:sz w:val="28"/>
          <w:szCs w:val="21"/>
          <w:highlight w:val="none"/>
          <w:lang w:eastAsia="zh-CN"/>
        </w:rPr>
        <w:t>投标人</w:t>
      </w:r>
      <w:r>
        <w:rPr>
          <w:rFonts w:hint="eastAsia" w:ascii="仿宋" w:hAnsi="仿宋" w:eastAsia="仿宋" w:cs="仿宋"/>
          <w:b/>
          <w:bCs/>
          <w:color w:val="auto"/>
          <w:sz w:val="28"/>
          <w:szCs w:val="21"/>
          <w:highlight w:val="none"/>
        </w:rPr>
        <w:t>须知第10条的所有响应文件</w:t>
      </w:r>
      <w:bookmarkEnd w:id="218"/>
    </w:p>
    <w:p>
      <w:pPr>
        <w:rPr>
          <w:rFonts w:hint="eastAsia" w:ascii="仿宋" w:hAnsi="仿宋" w:eastAsia="仿宋" w:cs="仿宋"/>
          <w:color w:val="auto"/>
          <w:sz w:val="24"/>
          <w:highlight w:val="none"/>
        </w:rPr>
      </w:pPr>
    </w:p>
    <w:p>
      <w:pPr>
        <w:rPr>
          <w:rFonts w:hint="eastAsia" w:ascii="仿宋" w:hAnsi="仿宋" w:eastAsia="仿宋" w:cs="仿宋"/>
          <w:color w:val="auto"/>
          <w:sz w:val="24"/>
          <w:highlight w:val="none"/>
        </w:rPr>
      </w:pPr>
    </w:p>
    <w:p>
      <w:pPr>
        <w:pStyle w:val="6"/>
        <w:ind w:firstLine="480" w:firstLineChars="200"/>
        <w:rPr>
          <w:rFonts w:hint="eastAsia" w:ascii="仿宋" w:hAnsi="仿宋" w:eastAsia="仿宋" w:cs="仿宋"/>
          <w:sz w:val="24"/>
          <w:szCs w:val="24"/>
        </w:rPr>
      </w:pPr>
      <w:r>
        <w:rPr>
          <w:rFonts w:hint="eastAsia" w:ascii="仿宋" w:hAnsi="仿宋" w:eastAsia="仿宋" w:cs="仿宋"/>
          <w:sz w:val="24"/>
          <w:szCs w:val="24"/>
        </w:rPr>
        <w:t>注：参照“第六章评分方法和标准”，提供有力于投标人的其他证明文件或服务方案、</w:t>
      </w:r>
      <w:r>
        <w:rPr>
          <w:rFonts w:hint="eastAsia" w:ascii="仿宋" w:hAnsi="仿宋" w:eastAsia="仿宋" w:cs="仿宋"/>
          <w:sz w:val="24"/>
          <w:szCs w:val="24"/>
          <w:lang w:eastAsia="zh-CN"/>
        </w:rPr>
        <w:t>实施方案</w:t>
      </w:r>
      <w:r>
        <w:rPr>
          <w:rFonts w:hint="eastAsia" w:ascii="仿宋" w:hAnsi="仿宋" w:eastAsia="仿宋" w:cs="仿宋"/>
          <w:sz w:val="24"/>
          <w:szCs w:val="24"/>
        </w:rPr>
        <w:t>等。</w:t>
      </w:r>
    </w:p>
    <w:p>
      <w:pPr>
        <w:pStyle w:val="26"/>
        <w:rPr>
          <w:rFonts w:hint="eastAsia" w:ascii="仿宋" w:hAnsi="仿宋" w:eastAsia="仿宋" w:cs="仿宋"/>
          <w:color w:val="auto"/>
          <w:highlight w:val="none"/>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04" w:firstLineChars="43"/>
        <w:jc w:val="center"/>
        <w:outlineLvl w:val="9"/>
        <w:rPr>
          <w:rFonts w:hint="eastAsia" w:ascii="仿宋" w:hAnsi="仿宋" w:eastAsia="仿宋" w:cs="仿宋"/>
          <w:b/>
          <w:color w:val="auto"/>
          <w:kern w:val="0"/>
          <w:sz w:val="24"/>
          <w:szCs w:val="20"/>
          <w:highlight w:val="none"/>
          <w:lang w:val="en-US" w:eastAsia="zh-CN" w:bidi="ar-SA"/>
        </w:rPr>
      </w:pPr>
    </w:p>
    <w:p>
      <w:pPr>
        <w:spacing w:before="0" w:line="240" w:lineRule="atLeast"/>
        <w:ind w:left="1258" w:leftChars="599" w:firstLine="121" w:firstLineChars="43"/>
        <w:jc w:val="center"/>
        <w:outlineLvl w:val="9"/>
        <w:rPr>
          <w:rFonts w:hint="eastAsia" w:ascii="仿宋" w:hAnsi="仿宋" w:eastAsia="仿宋" w:cs="仿宋"/>
          <w:b/>
          <w:color w:val="auto"/>
          <w:kern w:val="0"/>
          <w:sz w:val="28"/>
          <w:szCs w:val="21"/>
          <w:highlight w:val="none"/>
          <w:lang w:val="en-US" w:eastAsia="zh-CN" w:bidi="ar-SA"/>
        </w:rPr>
      </w:pPr>
      <w:r>
        <w:rPr>
          <w:rFonts w:hint="eastAsia" w:ascii="仿宋" w:hAnsi="仿宋" w:eastAsia="仿宋" w:cs="仿宋"/>
          <w:b/>
          <w:color w:val="auto"/>
          <w:kern w:val="0"/>
          <w:sz w:val="28"/>
          <w:szCs w:val="21"/>
          <w:highlight w:val="none"/>
          <w:lang w:val="en-US" w:eastAsia="zh-CN" w:bidi="ar-SA"/>
        </w:rPr>
        <w:t>9  项目配备人员情况一览表</w:t>
      </w:r>
    </w:p>
    <w:p>
      <w:pPr>
        <w:pStyle w:val="26"/>
        <w:rPr>
          <w:rFonts w:hint="eastAsia" w:ascii="仿宋" w:hAnsi="仿宋" w:eastAsia="仿宋" w:cs="仿宋"/>
          <w:color w:val="auto"/>
          <w:highlight w:val="none"/>
        </w:rPr>
      </w:pPr>
    </w:p>
    <w:p>
      <w:pPr>
        <w:pStyle w:val="6"/>
        <w:ind w:firstLine="0"/>
        <w:rPr>
          <w:rFonts w:hint="eastAsia" w:ascii="仿宋" w:hAnsi="仿宋" w:eastAsia="仿宋" w:cs="仿宋"/>
          <w:color w:val="auto"/>
          <w:highlight w:val="none"/>
        </w:rPr>
      </w:pPr>
      <w:r>
        <w:rPr>
          <w:rFonts w:hint="eastAsia" w:ascii="仿宋" w:hAnsi="仿宋" w:eastAsia="仿宋" w:cs="仿宋"/>
          <w:color w:val="auto"/>
          <w:highlight w:val="none"/>
        </w:rPr>
        <w:t xml:space="preserve">项目名称:                      项目编号:         </w:t>
      </w:r>
    </w:p>
    <w:tbl>
      <w:tblPr>
        <w:tblStyle w:val="24"/>
        <w:tblW w:w="9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9"/>
        <w:gridCol w:w="837"/>
        <w:gridCol w:w="853"/>
        <w:gridCol w:w="1283"/>
        <w:gridCol w:w="695"/>
        <w:gridCol w:w="1032"/>
        <w:gridCol w:w="736"/>
        <w:gridCol w:w="1651"/>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职务</w:t>
            </w:r>
          </w:p>
        </w:tc>
        <w:tc>
          <w:tcPr>
            <w:tcW w:w="837"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姓名</w:t>
            </w:r>
          </w:p>
        </w:tc>
        <w:tc>
          <w:tcPr>
            <w:tcW w:w="853" w:type="dxa"/>
            <w:vMerge w:val="restart"/>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职称</w:t>
            </w:r>
          </w:p>
        </w:tc>
        <w:tc>
          <w:tcPr>
            <w:tcW w:w="5397" w:type="dxa"/>
            <w:gridSpan w:val="5"/>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执业或职业资格证明</w:t>
            </w:r>
          </w:p>
        </w:tc>
        <w:tc>
          <w:tcPr>
            <w:tcW w:w="681"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Merge w:val="continue"/>
            <w:vAlign w:val="center"/>
          </w:tcPr>
          <w:p>
            <w:pPr>
              <w:spacing w:line="440" w:lineRule="exact"/>
              <w:jc w:val="center"/>
              <w:rPr>
                <w:rFonts w:hint="eastAsia" w:ascii="仿宋" w:hAnsi="仿宋" w:eastAsia="仿宋" w:cs="仿宋"/>
                <w:color w:val="auto"/>
                <w:szCs w:val="21"/>
                <w:highlight w:val="none"/>
              </w:rPr>
            </w:pPr>
          </w:p>
        </w:tc>
        <w:tc>
          <w:tcPr>
            <w:tcW w:w="837" w:type="dxa"/>
            <w:vMerge w:val="continue"/>
            <w:vAlign w:val="center"/>
          </w:tcPr>
          <w:p>
            <w:pPr>
              <w:spacing w:line="440" w:lineRule="exact"/>
              <w:jc w:val="center"/>
              <w:rPr>
                <w:rFonts w:hint="eastAsia" w:ascii="仿宋" w:hAnsi="仿宋" w:eastAsia="仿宋" w:cs="仿宋"/>
                <w:color w:val="auto"/>
                <w:szCs w:val="21"/>
                <w:highlight w:val="none"/>
              </w:rPr>
            </w:pPr>
          </w:p>
        </w:tc>
        <w:tc>
          <w:tcPr>
            <w:tcW w:w="853" w:type="dxa"/>
            <w:vMerge w:val="continue"/>
            <w:vAlign w:val="center"/>
          </w:tcPr>
          <w:p>
            <w:pPr>
              <w:spacing w:line="440" w:lineRule="exact"/>
              <w:jc w:val="center"/>
              <w:rPr>
                <w:rFonts w:hint="eastAsia" w:ascii="仿宋" w:hAnsi="仿宋" w:eastAsia="仿宋" w:cs="仿宋"/>
                <w:color w:val="auto"/>
                <w:szCs w:val="21"/>
                <w:highlight w:val="none"/>
              </w:rPr>
            </w:pPr>
          </w:p>
        </w:tc>
        <w:tc>
          <w:tcPr>
            <w:tcW w:w="1283"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证书名称</w:t>
            </w:r>
          </w:p>
        </w:tc>
        <w:tc>
          <w:tcPr>
            <w:tcW w:w="695"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级别</w:t>
            </w:r>
          </w:p>
        </w:tc>
        <w:tc>
          <w:tcPr>
            <w:tcW w:w="1032"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证号</w:t>
            </w:r>
          </w:p>
        </w:tc>
        <w:tc>
          <w:tcPr>
            <w:tcW w:w="736"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专业</w:t>
            </w:r>
          </w:p>
        </w:tc>
        <w:tc>
          <w:tcPr>
            <w:tcW w:w="1651" w:type="dxa"/>
            <w:vAlign w:val="center"/>
          </w:tcPr>
          <w:p>
            <w:pPr>
              <w:spacing w:line="440" w:lineRule="exact"/>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社保</w:t>
            </w:r>
          </w:p>
        </w:tc>
        <w:tc>
          <w:tcPr>
            <w:tcW w:w="681" w:type="dxa"/>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spacing w:line="440" w:lineRule="exact"/>
              <w:jc w:val="center"/>
              <w:rPr>
                <w:rFonts w:hint="eastAsia" w:ascii="仿宋" w:hAnsi="仿宋" w:eastAsia="仿宋" w:cs="仿宋"/>
                <w:color w:val="auto"/>
                <w:szCs w:val="21"/>
                <w:highlight w:val="none"/>
              </w:rPr>
            </w:pPr>
          </w:p>
        </w:tc>
        <w:tc>
          <w:tcPr>
            <w:tcW w:w="837" w:type="dxa"/>
            <w:vAlign w:val="center"/>
          </w:tcPr>
          <w:p>
            <w:pPr>
              <w:spacing w:line="440" w:lineRule="exact"/>
              <w:jc w:val="center"/>
              <w:rPr>
                <w:rFonts w:hint="eastAsia" w:ascii="仿宋" w:hAnsi="仿宋" w:eastAsia="仿宋" w:cs="仿宋"/>
                <w:color w:val="auto"/>
                <w:szCs w:val="21"/>
                <w:highlight w:val="none"/>
              </w:rPr>
            </w:pPr>
          </w:p>
        </w:tc>
        <w:tc>
          <w:tcPr>
            <w:tcW w:w="853" w:type="dxa"/>
            <w:vAlign w:val="center"/>
          </w:tcPr>
          <w:p>
            <w:pPr>
              <w:spacing w:line="440" w:lineRule="exact"/>
              <w:jc w:val="center"/>
              <w:rPr>
                <w:rFonts w:hint="eastAsia" w:ascii="仿宋" w:hAnsi="仿宋" w:eastAsia="仿宋" w:cs="仿宋"/>
                <w:color w:val="auto"/>
                <w:szCs w:val="21"/>
                <w:highlight w:val="none"/>
              </w:rPr>
            </w:pPr>
          </w:p>
        </w:tc>
        <w:tc>
          <w:tcPr>
            <w:tcW w:w="1283" w:type="dxa"/>
            <w:vAlign w:val="center"/>
          </w:tcPr>
          <w:p>
            <w:pPr>
              <w:spacing w:line="440" w:lineRule="exact"/>
              <w:jc w:val="center"/>
              <w:rPr>
                <w:rFonts w:hint="eastAsia" w:ascii="仿宋" w:hAnsi="仿宋" w:eastAsia="仿宋" w:cs="仿宋"/>
                <w:color w:val="auto"/>
                <w:szCs w:val="21"/>
                <w:highlight w:val="none"/>
              </w:rPr>
            </w:pPr>
          </w:p>
        </w:tc>
        <w:tc>
          <w:tcPr>
            <w:tcW w:w="695" w:type="dxa"/>
            <w:vAlign w:val="center"/>
          </w:tcPr>
          <w:p>
            <w:pPr>
              <w:spacing w:line="440" w:lineRule="exact"/>
              <w:jc w:val="center"/>
              <w:rPr>
                <w:rFonts w:hint="eastAsia" w:ascii="仿宋" w:hAnsi="仿宋" w:eastAsia="仿宋" w:cs="仿宋"/>
                <w:color w:val="auto"/>
                <w:szCs w:val="21"/>
                <w:highlight w:val="none"/>
              </w:rPr>
            </w:pPr>
          </w:p>
        </w:tc>
        <w:tc>
          <w:tcPr>
            <w:tcW w:w="1032" w:type="dxa"/>
            <w:vAlign w:val="center"/>
          </w:tcPr>
          <w:p>
            <w:pPr>
              <w:spacing w:line="440" w:lineRule="exact"/>
              <w:jc w:val="center"/>
              <w:rPr>
                <w:rFonts w:hint="eastAsia" w:ascii="仿宋" w:hAnsi="仿宋" w:eastAsia="仿宋" w:cs="仿宋"/>
                <w:color w:val="auto"/>
                <w:szCs w:val="21"/>
                <w:highlight w:val="none"/>
              </w:rPr>
            </w:pPr>
          </w:p>
        </w:tc>
        <w:tc>
          <w:tcPr>
            <w:tcW w:w="736" w:type="dxa"/>
            <w:vAlign w:val="center"/>
          </w:tcPr>
          <w:p>
            <w:pPr>
              <w:spacing w:line="440" w:lineRule="exact"/>
              <w:jc w:val="center"/>
              <w:rPr>
                <w:rFonts w:hint="eastAsia" w:ascii="仿宋" w:hAnsi="仿宋" w:eastAsia="仿宋" w:cs="仿宋"/>
                <w:color w:val="auto"/>
                <w:szCs w:val="21"/>
                <w:highlight w:val="none"/>
              </w:rPr>
            </w:pPr>
          </w:p>
        </w:tc>
        <w:tc>
          <w:tcPr>
            <w:tcW w:w="1651" w:type="dxa"/>
            <w:vAlign w:val="center"/>
          </w:tcPr>
          <w:p>
            <w:pPr>
              <w:spacing w:line="440" w:lineRule="exact"/>
              <w:jc w:val="center"/>
              <w:rPr>
                <w:rFonts w:hint="eastAsia" w:ascii="仿宋" w:hAnsi="仿宋" w:eastAsia="仿宋" w:cs="仿宋"/>
                <w:color w:val="auto"/>
                <w:szCs w:val="21"/>
                <w:highlight w:val="none"/>
              </w:rPr>
            </w:pPr>
          </w:p>
        </w:tc>
        <w:tc>
          <w:tcPr>
            <w:tcW w:w="681" w:type="dxa"/>
            <w:vAlign w:val="center"/>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center"/>
          </w:tcPr>
          <w:p>
            <w:pPr>
              <w:jc w:val="center"/>
              <w:rPr>
                <w:rFonts w:hint="eastAsia" w:ascii="仿宋" w:hAnsi="仿宋" w:eastAsia="仿宋" w:cs="仿宋"/>
                <w:bCs/>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trPr>
        <w:tc>
          <w:tcPr>
            <w:tcW w:w="1569" w:type="dxa"/>
            <w:vAlign w:val="top"/>
          </w:tcPr>
          <w:p>
            <w:pPr>
              <w:spacing w:line="440" w:lineRule="exact"/>
              <w:jc w:val="center"/>
              <w:rPr>
                <w:rFonts w:hint="eastAsia" w:ascii="仿宋" w:hAnsi="仿宋" w:eastAsia="仿宋" w:cs="仿宋"/>
                <w:color w:val="auto"/>
                <w:szCs w:val="21"/>
                <w:highlight w:val="none"/>
              </w:rPr>
            </w:pPr>
          </w:p>
        </w:tc>
        <w:tc>
          <w:tcPr>
            <w:tcW w:w="837" w:type="dxa"/>
            <w:vAlign w:val="top"/>
          </w:tcPr>
          <w:p>
            <w:pPr>
              <w:spacing w:line="440" w:lineRule="exact"/>
              <w:jc w:val="center"/>
              <w:rPr>
                <w:rFonts w:hint="eastAsia" w:ascii="仿宋" w:hAnsi="仿宋" w:eastAsia="仿宋" w:cs="仿宋"/>
                <w:color w:val="auto"/>
                <w:szCs w:val="21"/>
                <w:highlight w:val="none"/>
              </w:rPr>
            </w:pPr>
          </w:p>
        </w:tc>
        <w:tc>
          <w:tcPr>
            <w:tcW w:w="853" w:type="dxa"/>
            <w:vAlign w:val="top"/>
          </w:tcPr>
          <w:p>
            <w:pPr>
              <w:spacing w:line="440" w:lineRule="exact"/>
              <w:jc w:val="center"/>
              <w:rPr>
                <w:rFonts w:hint="eastAsia" w:ascii="仿宋" w:hAnsi="仿宋" w:eastAsia="仿宋" w:cs="仿宋"/>
                <w:color w:val="auto"/>
                <w:szCs w:val="21"/>
                <w:highlight w:val="none"/>
              </w:rPr>
            </w:pPr>
          </w:p>
        </w:tc>
        <w:tc>
          <w:tcPr>
            <w:tcW w:w="1283" w:type="dxa"/>
            <w:vAlign w:val="top"/>
          </w:tcPr>
          <w:p>
            <w:pPr>
              <w:spacing w:line="440" w:lineRule="exact"/>
              <w:jc w:val="center"/>
              <w:rPr>
                <w:rFonts w:hint="eastAsia" w:ascii="仿宋" w:hAnsi="仿宋" w:eastAsia="仿宋" w:cs="仿宋"/>
                <w:color w:val="auto"/>
                <w:szCs w:val="21"/>
                <w:highlight w:val="none"/>
              </w:rPr>
            </w:pPr>
          </w:p>
        </w:tc>
        <w:tc>
          <w:tcPr>
            <w:tcW w:w="695" w:type="dxa"/>
            <w:vAlign w:val="top"/>
          </w:tcPr>
          <w:p>
            <w:pPr>
              <w:spacing w:line="440" w:lineRule="exact"/>
              <w:jc w:val="center"/>
              <w:rPr>
                <w:rFonts w:hint="eastAsia" w:ascii="仿宋" w:hAnsi="仿宋" w:eastAsia="仿宋" w:cs="仿宋"/>
                <w:color w:val="auto"/>
                <w:szCs w:val="21"/>
                <w:highlight w:val="none"/>
              </w:rPr>
            </w:pPr>
          </w:p>
        </w:tc>
        <w:tc>
          <w:tcPr>
            <w:tcW w:w="1032" w:type="dxa"/>
            <w:vAlign w:val="top"/>
          </w:tcPr>
          <w:p>
            <w:pPr>
              <w:spacing w:line="440" w:lineRule="exact"/>
              <w:jc w:val="center"/>
              <w:rPr>
                <w:rFonts w:hint="eastAsia" w:ascii="仿宋" w:hAnsi="仿宋" w:eastAsia="仿宋" w:cs="仿宋"/>
                <w:color w:val="auto"/>
                <w:szCs w:val="21"/>
                <w:highlight w:val="none"/>
              </w:rPr>
            </w:pPr>
          </w:p>
        </w:tc>
        <w:tc>
          <w:tcPr>
            <w:tcW w:w="736" w:type="dxa"/>
            <w:vAlign w:val="top"/>
          </w:tcPr>
          <w:p>
            <w:pPr>
              <w:spacing w:line="440" w:lineRule="exact"/>
              <w:jc w:val="center"/>
              <w:rPr>
                <w:rFonts w:hint="eastAsia" w:ascii="仿宋" w:hAnsi="仿宋" w:eastAsia="仿宋" w:cs="仿宋"/>
                <w:color w:val="auto"/>
                <w:szCs w:val="21"/>
                <w:highlight w:val="none"/>
              </w:rPr>
            </w:pPr>
          </w:p>
        </w:tc>
        <w:tc>
          <w:tcPr>
            <w:tcW w:w="1651" w:type="dxa"/>
            <w:vAlign w:val="top"/>
          </w:tcPr>
          <w:p>
            <w:pPr>
              <w:spacing w:line="440" w:lineRule="exact"/>
              <w:jc w:val="center"/>
              <w:rPr>
                <w:rFonts w:hint="eastAsia" w:ascii="仿宋" w:hAnsi="仿宋" w:eastAsia="仿宋" w:cs="仿宋"/>
                <w:color w:val="auto"/>
                <w:szCs w:val="21"/>
                <w:highlight w:val="none"/>
              </w:rPr>
            </w:pPr>
          </w:p>
        </w:tc>
        <w:tc>
          <w:tcPr>
            <w:tcW w:w="681" w:type="dxa"/>
            <w:vAlign w:val="top"/>
          </w:tcPr>
          <w:p>
            <w:pPr>
              <w:spacing w:line="440" w:lineRule="exact"/>
              <w:jc w:val="center"/>
              <w:rPr>
                <w:rFonts w:hint="eastAsia" w:ascii="仿宋" w:hAnsi="仿宋" w:eastAsia="仿宋" w:cs="仿宋"/>
                <w:color w:val="auto"/>
                <w:szCs w:val="21"/>
                <w:highlight w:val="none"/>
              </w:rPr>
            </w:pPr>
          </w:p>
        </w:tc>
      </w:tr>
    </w:tbl>
    <w:p>
      <w:pPr>
        <w:pStyle w:val="17"/>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rPr>
      </w:pPr>
    </w:p>
    <w:p>
      <w:pPr>
        <w:pStyle w:val="17"/>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注：一览表中所提供项目人员需附人员简历表</w:t>
      </w:r>
      <w:r>
        <w:rPr>
          <w:rFonts w:hint="eastAsia" w:ascii="仿宋" w:hAnsi="仿宋" w:eastAsia="仿宋" w:cs="仿宋"/>
          <w:color w:val="auto"/>
          <w:sz w:val="24"/>
          <w:highlight w:val="none"/>
          <w:lang w:val="en-US" w:eastAsia="zh-CN"/>
        </w:rPr>
        <w:t>及相关证件、证书、社保复印件</w:t>
      </w:r>
    </w:p>
    <w:p>
      <w:pPr>
        <w:spacing w:before="0" w:line="240" w:lineRule="atLeast"/>
        <w:ind w:firstLine="480" w:firstLineChars="200"/>
        <w:jc w:val="both"/>
        <w:outlineLvl w:val="9"/>
        <w:rPr>
          <w:rFonts w:hint="eastAsia" w:ascii="仿宋" w:hAnsi="仿宋" w:eastAsia="仿宋" w:cs="仿宋"/>
          <w:b/>
          <w:color w:val="auto"/>
          <w:kern w:val="0"/>
          <w:sz w:val="24"/>
          <w:szCs w:val="20"/>
          <w:highlight w:val="none"/>
          <w:lang w:val="en-US" w:eastAsia="zh-CN" w:bidi="ar-SA"/>
        </w:rPr>
      </w:pPr>
      <w:r>
        <w:rPr>
          <w:rFonts w:hint="eastAsia" w:ascii="仿宋" w:hAnsi="仿宋" w:eastAsia="仿宋" w:cs="仿宋"/>
          <w:color w:val="auto"/>
          <w:sz w:val="24"/>
          <w:highlight w:val="none"/>
        </w:rPr>
        <w:br w:type="page"/>
      </w:r>
      <w:r>
        <w:rPr>
          <w:rFonts w:hint="eastAsia" w:ascii="仿宋" w:hAnsi="仿宋" w:eastAsia="仿宋" w:cs="仿宋"/>
          <w:b/>
          <w:color w:val="auto"/>
          <w:kern w:val="0"/>
          <w:sz w:val="24"/>
          <w:szCs w:val="20"/>
          <w:highlight w:val="none"/>
          <w:lang w:val="en-US" w:eastAsia="zh-CN" w:bidi="ar-SA"/>
        </w:rPr>
        <w:t>10  类似业绩一览表</w:t>
      </w:r>
    </w:p>
    <w:p>
      <w:pPr>
        <w:spacing w:line="240" w:lineRule="atLeast"/>
        <w:ind w:left="1080" w:leftChars="257" w:hanging="540"/>
        <w:jc w:val="center"/>
        <w:rPr>
          <w:rFonts w:hint="eastAsia" w:ascii="仿宋" w:hAnsi="仿宋" w:eastAsia="仿宋" w:cs="仿宋"/>
          <w:b/>
          <w:bCs/>
          <w:color w:val="auto"/>
          <w:sz w:val="24"/>
          <w:highlight w:val="none"/>
        </w:rPr>
      </w:pPr>
    </w:p>
    <w:p>
      <w:pPr>
        <w:pStyle w:val="6"/>
        <w:rPr>
          <w:rFonts w:hint="eastAsia" w:ascii="仿宋" w:hAnsi="仿宋" w:eastAsia="仿宋" w:cs="仿宋"/>
          <w:color w:val="auto"/>
          <w:highlight w:val="none"/>
        </w:rPr>
      </w:pPr>
    </w:p>
    <w:tbl>
      <w:tblPr>
        <w:tblStyle w:val="24"/>
        <w:tblW w:w="8789" w:type="dxa"/>
        <w:tblInd w:w="108" w:type="dxa"/>
        <w:tblLayout w:type="fixed"/>
        <w:tblCellMar>
          <w:top w:w="0" w:type="dxa"/>
          <w:left w:w="108" w:type="dxa"/>
          <w:bottom w:w="0" w:type="dxa"/>
          <w:right w:w="108" w:type="dxa"/>
        </w:tblCellMar>
      </w:tblPr>
      <w:tblGrid>
        <w:gridCol w:w="2127"/>
        <w:gridCol w:w="3260"/>
        <w:gridCol w:w="1843"/>
        <w:gridCol w:w="1559"/>
      </w:tblGrid>
      <w:tr>
        <w:tblPrEx>
          <w:tblLayout w:type="fixed"/>
          <w:tblCellMar>
            <w:top w:w="0" w:type="dxa"/>
            <w:left w:w="108" w:type="dxa"/>
            <w:bottom w:w="0" w:type="dxa"/>
            <w:right w:w="108" w:type="dxa"/>
          </w:tblCellMar>
        </w:tblPrEx>
        <w:trPr>
          <w:trHeight w:val="510" w:hRule="atLeast"/>
        </w:trPr>
        <w:tc>
          <w:tcPr>
            <w:tcW w:w="2127"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项目名称</w:t>
            </w:r>
          </w:p>
        </w:tc>
        <w:tc>
          <w:tcPr>
            <w:tcW w:w="3260"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简要描述</w:t>
            </w:r>
          </w:p>
        </w:tc>
        <w:tc>
          <w:tcPr>
            <w:tcW w:w="1843"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项目周期</w:t>
            </w:r>
          </w:p>
        </w:tc>
        <w:tc>
          <w:tcPr>
            <w:tcW w:w="1559" w:type="dxa"/>
            <w:tcBorders>
              <w:top w:val="single" w:color="auto" w:sz="6" w:space="0"/>
              <w:left w:val="single" w:color="auto" w:sz="6" w:space="0"/>
              <w:bottom w:val="single" w:color="auto" w:sz="6" w:space="0"/>
              <w:right w:val="single" w:color="auto" w:sz="6" w:space="0"/>
            </w:tcBorders>
            <w:vAlign w:val="center"/>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备注</w:t>
            </w:r>
          </w:p>
        </w:tc>
      </w:tr>
      <w:tr>
        <w:tblPrEx>
          <w:tblLayout w:type="fixed"/>
          <w:tblCellMar>
            <w:top w:w="0" w:type="dxa"/>
            <w:left w:w="108" w:type="dxa"/>
            <w:bottom w:w="0" w:type="dxa"/>
            <w:right w:w="108" w:type="dxa"/>
          </w:tblCellMar>
        </w:tblPrEx>
        <w:trPr>
          <w:trHeight w:val="594"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jc w:val="center"/>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6"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lang w:val="zh-CN"/>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r>
        <w:tblPrEx>
          <w:tblLayout w:type="fixed"/>
          <w:tblCellMar>
            <w:top w:w="0" w:type="dxa"/>
            <w:left w:w="108" w:type="dxa"/>
            <w:bottom w:w="0" w:type="dxa"/>
            <w:right w:w="108" w:type="dxa"/>
          </w:tblCellMar>
        </w:tblPrEx>
        <w:trPr>
          <w:trHeight w:val="610" w:hRule="atLeast"/>
        </w:trPr>
        <w:tc>
          <w:tcPr>
            <w:tcW w:w="2127"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3260"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843"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c>
          <w:tcPr>
            <w:tcW w:w="1559" w:type="dxa"/>
            <w:tcBorders>
              <w:top w:val="single" w:color="auto" w:sz="6" w:space="0"/>
              <w:left w:val="single" w:color="auto" w:sz="6" w:space="0"/>
              <w:bottom w:val="single" w:color="auto" w:sz="6" w:space="0"/>
              <w:right w:val="single" w:color="auto" w:sz="6" w:space="0"/>
            </w:tcBorders>
            <w:vAlign w:val="top"/>
          </w:tcPr>
          <w:p>
            <w:pPr>
              <w:pageBreakBefore w:val="0"/>
              <w:kinsoku/>
              <w:wordWrap/>
              <w:overflowPunct/>
              <w:topLinePunct w:val="0"/>
              <w:autoSpaceDE w:val="0"/>
              <w:autoSpaceDN w:val="0"/>
              <w:bidi w:val="0"/>
              <w:adjustRightInd w:val="0"/>
              <w:spacing w:line="560" w:lineRule="exact"/>
              <w:rPr>
                <w:rFonts w:hint="eastAsia" w:ascii="仿宋" w:hAnsi="仿宋" w:eastAsia="仿宋" w:cs="仿宋"/>
                <w:color w:val="auto"/>
                <w:sz w:val="24"/>
                <w:szCs w:val="24"/>
                <w:highlight w:val="none"/>
              </w:rPr>
            </w:pPr>
          </w:p>
        </w:tc>
      </w:tr>
    </w:tbl>
    <w:p>
      <w:pPr>
        <w:pStyle w:val="11"/>
        <w:spacing w:line="240" w:lineRule="atLeast"/>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rPr>
      </w:pPr>
    </w:p>
    <w:p>
      <w:pPr>
        <w:pStyle w:val="11"/>
        <w:spacing w:line="240" w:lineRule="atLeast"/>
        <w:ind w:left="1080" w:leftChars="257" w:hanging="54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法定代表人或其委托代理人签字: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 xml:space="preserve">                 </w:t>
      </w:r>
    </w:p>
    <w:p>
      <w:pPr>
        <w:pStyle w:val="12"/>
        <w:rPr>
          <w:rFonts w:hint="eastAsia" w:ascii="仿宋" w:hAnsi="仿宋" w:eastAsia="仿宋" w:cs="仿宋"/>
          <w:color w:val="auto"/>
          <w:highlight w:val="none"/>
        </w:rPr>
      </w:pPr>
    </w:p>
    <w:p>
      <w:pPr>
        <w:pStyle w:val="11"/>
        <w:tabs>
          <w:tab w:val="left" w:pos="5370"/>
        </w:tabs>
        <w:spacing w:line="240" w:lineRule="atLeast"/>
        <w:ind w:left="1080" w:leftChars="257" w:hanging="540"/>
        <w:rPr>
          <w:rFonts w:hint="default" w:ascii="仿宋" w:hAnsi="仿宋" w:eastAsia="仿宋" w:cs="仿宋"/>
          <w:color w:val="auto"/>
          <w:sz w:val="24"/>
          <w:highlight w:val="none"/>
          <w:u w:val="single"/>
          <w:lang w:val="en-US" w:eastAsia="zh-CN"/>
        </w:rPr>
      </w:pPr>
      <w:r>
        <w:rPr>
          <w:rFonts w:hint="eastAsia" w:ascii="仿宋" w:hAnsi="仿宋" w:eastAsia="仿宋" w:cs="仿宋"/>
          <w:color w:val="auto"/>
          <w:sz w:val="24"/>
          <w:highlight w:val="none"/>
          <w:lang w:val="en-US" w:eastAsia="zh-CN"/>
        </w:rPr>
        <w:t>投标人</w:t>
      </w:r>
      <w:r>
        <w:rPr>
          <w:rFonts w:hint="eastAsia" w:ascii="仿宋" w:hAnsi="仿宋" w:eastAsia="仿宋" w:cs="仿宋"/>
          <w:color w:val="auto"/>
          <w:sz w:val="24"/>
          <w:highlight w:val="none"/>
        </w:rPr>
        <w:t>(盖单位章):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lang w:val="en-US" w:eastAsia="zh-CN"/>
        </w:rPr>
        <w:t xml:space="preserve">       </w:t>
      </w:r>
    </w:p>
    <w:p>
      <w:pPr>
        <w:spacing w:line="240" w:lineRule="atLeast"/>
        <w:ind w:left="1080" w:leftChars="257" w:hanging="540"/>
        <w:jc w:val="center"/>
        <w:rPr>
          <w:rFonts w:hint="eastAsia" w:ascii="仿宋" w:hAnsi="仿宋" w:eastAsia="仿宋" w:cs="仿宋"/>
          <w:color w:val="auto"/>
          <w:sz w:val="24"/>
          <w:highlight w:val="none"/>
        </w:rPr>
      </w:pPr>
    </w:p>
    <w:p>
      <w:pPr>
        <w:spacing w:line="240" w:lineRule="atLeast"/>
        <w:ind w:left="1080" w:leftChars="257" w:hanging="540"/>
        <w:jc w:val="center"/>
        <w:rPr>
          <w:rFonts w:hint="eastAsia" w:ascii="仿宋" w:hAnsi="仿宋" w:eastAsia="仿宋" w:cs="仿宋"/>
          <w:color w:val="auto"/>
          <w:sz w:val="24"/>
          <w:highlight w:val="none"/>
        </w:rPr>
      </w:pPr>
    </w:p>
    <w:p>
      <w:pPr>
        <w:spacing w:line="240" w:lineRule="atLeast"/>
        <w:ind w:left="1080" w:leftChars="257" w:hanging="54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注：</w:t>
      </w:r>
      <w:r>
        <w:rPr>
          <w:rFonts w:hint="eastAsia" w:ascii="仿宋" w:hAnsi="仿宋" w:eastAsia="仿宋" w:cs="仿宋"/>
          <w:color w:val="auto"/>
          <w:sz w:val="24"/>
          <w:highlight w:val="none"/>
        </w:rPr>
        <w:t>填报与本采购项目类似的业绩并附合同</w:t>
      </w:r>
      <w:r>
        <w:rPr>
          <w:rFonts w:hint="eastAsia" w:ascii="仿宋" w:hAnsi="仿宋" w:eastAsia="仿宋" w:cs="仿宋"/>
          <w:color w:val="auto"/>
          <w:sz w:val="24"/>
          <w:highlight w:val="none"/>
          <w:lang w:val="en-US" w:eastAsia="zh-CN"/>
        </w:rPr>
        <w:t>协议书</w:t>
      </w:r>
      <w:r>
        <w:rPr>
          <w:rFonts w:hint="eastAsia" w:ascii="仿宋" w:hAnsi="仿宋" w:eastAsia="仿宋" w:cs="仿宋"/>
          <w:color w:val="auto"/>
          <w:sz w:val="24"/>
          <w:highlight w:val="none"/>
        </w:rPr>
        <w:t>或成交（中标）通知书或客户评价等证明材料</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br w:type="page"/>
      </w:r>
    </w:p>
    <w:p>
      <w:pPr>
        <w:spacing w:line="240" w:lineRule="atLeast"/>
        <w:ind w:left="1080" w:leftChars="257" w:hanging="540"/>
        <w:jc w:val="center"/>
        <w:rPr>
          <w:rFonts w:hint="eastAsia" w:ascii="仿宋" w:hAnsi="仿宋" w:eastAsia="仿宋" w:cs="仿宋"/>
          <w:b/>
          <w:color w:val="auto"/>
          <w:sz w:val="30"/>
          <w:szCs w:val="30"/>
          <w:highlight w:val="none"/>
        </w:rPr>
      </w:pP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塔什库尔干县教育局各乡镇小学课桌椅采购项目</w:t>
      </w:r>
    </w:p>
    <w:p>
      <w:pPr>
        <w:spacing w:line="240" w:lineRule="atLeast"/>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pStyle w:val="2"/>
        <w:rPr>
          <w:rFonts w:hint="eastAsia" w:ascii="仿宋" w:hAnsi="仿宋" w:eastAsia="仿宋" w:cs="仿宋"/>
          <w:b/>
          <w:bCs/>
          <w:color w:val="auto"/>
          <w:sz w:val="44"/>
          <w:szCs w:val="44"/>
          <w:highlight w:val="none"/>
          <w:lang w:eastAsia="zh-CN"/>
        </w:rPr>
      </w:pPr>
    </w:p>
    <w:p>
      <w:pPr>
        <w:rPr>
          <w:rFonts w:hint="eastAsia"/>
          <w:lang w:eastAsia="zh-CN"/>
        </w:rPr>
      </w:pPr>
    </w:p>
    <w:p>
      <w:pPr>
        <w:pStyle w:val="2"/>
        <w:rPr>
          <w:rFonts w:hint="eastAsia"/>
          <w:lang w:eastAsia="zh-CN"/>
        </w:rPr>
      </w:pPr>
    </w:p>
    <w:p>
      <w:pPr>
        <w:rPr>
          <w:rFonts w:hint="eastAsia"/>
          <w:lang w:eastAsia="zh-CN"/>
        </w:rPr>
      </w:pPr>
    </w:p>
    <w:p>
      <w:pPr>
        <w:pStyle w:val="2"/>
        <w:rPr>
          <w:rFonts w:hint="eastAsia"/>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pStyle w:val="2"/>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lang w:eastAsia="zh-CN"/>
        </w:rPr>
      </w:pPr>
    </w:p>
    <w:p>
      <w:pPr>
        <w:pStyle w:val="2"/>
        <w:rPr>
          <w:rFonts w:hint="eastAsia"/>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KSTX(CS)2023-02</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FF0000"/>
          <w:sz w:val="40"/>
          <w:szCs w:val="40"/>
          <w:highlight w:val="none"/>
        </w:rPr>
      </w:pPr>
    </w:p>
    <w:p>
      <w:pPr>
        <w:spacing w:line="240" w:lineRule="atLeast"/>
        <w:ind w:left="1080" w:leftChars="257" w:hanging="540"/>
        <w:jc w:val="center"/>
        <w:rPr>
          <w:rFonts w:hint="eastAsia" w:ascii="仿宋" w:hAnsi="仿宋" w:eastAsia="仿宋" w:cs="仿宋"/>
          <w:b/>
          <w:bCs/>
          <w:color w:val="auto"/>
          <w:sz w:val="40"/>
          <w:szCs w:val="40"/>
          <w:highlight w:val="none"/>
        </w:rPr>
      </w:pPr>
    </w:p>
    <w:p>
      <w:pPr>
        <w:pStyle w:val="6"/>
        <w:rPr>
          <w:rFonts w:hint="eastAsia"/>
          <w:lang w:eastAsia="zh-CN"/>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val="en-US" w:eastAsia="zh-CN"/>
        </w:rPr>
        <w:t>二</w:t>
      </w:r>
      <w:r>
        <w:rPr>
          <w:rFonts w:hint="eastAsia" w:ascii="仿宋" w:hAnsi="仿宋" w:eastAsia="仿宋" w:cs="仿宋"/>
          <w:b/>
          <w:color w:val="auto"/>
          <w:sz w:val="48"/>
          <w:szCs w:val="48"/>
          <w:highlight w:val="none"/>
        </w:rPr>
        <w:t>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jc w:val="both"/>
        <w:rPr>
          <w:rFonts w:hint="eastAsia" w:ascii="仿宋" w:hAnsi="仿宋" w:eastAsia="仿宋" w:cs="仿宋"/>
          <w:b/>
          <w:color w:val="auto"/>
          <w:sz w:val="52"/>
          <w:highlight w:val="none"/>
        </w:rPr>
      </w:pPr>
    </w:p>
    <w:p>
      <w:pPr>
        <w:pStyle w:val="3"/>
        <w:pageBreakBefore w:val="0"/>
        <w:numPr>
          <w:ilvl w:val="0"/>
          <w:numId w:val="0"/>
        </w:numPr>
        <w:tabs>
          <w:tab w:val="left" w:pos="0"/>
        </w:tabs>
        <w:kinsoku/>
        <w:wordWrap/>
        <w:overflowPunct/>
        <w:topLinePunct w:val="0"/>
        <w:bidi w:val="0"/>
        <w:snapToGrid/>
        <w:spacing w:before="0" w:after="0" w:line="380" w:lineRule="exact"/>
        <w:ind w:leftChars="0"/>
        <w:jc w:val="center"/>
        <w:textAlignment w:val="auto"/>
        <w:rPr>
          <w:rFonts w:hint="eastAsia" w:ascii="仿宋" w:hAnsi="仿宋" w:eastAsia="仿宋" w:cs="仿宋"/>
          <w:color w:val="auto"/>
          <w:highlight w:val="none"/>
        </w:rPr>
      </w:pPr>
      <w:bookmarkStart w:id="219" w:name="_Toc26628"/>
      <w:bookmarkStart w:id="220" w:name="_Toc5125"/>
      <w:r>
        <w:rPr>
          <w:rFonts w:hint="eastAsia" w:ascii="仿宋" w:hAnsi="仿宋" w:eastAsia="仿宋" w:cs="仿宋"/>
          <w:b/>
          <w:color w:val="auto"/>
          <w:highlight w:val="none"/>
          <w:lang w:val="en-US" w:eastAsia="zh-CN"/>
        </w:rPr>
        <w:t xml:space="preserve">第3章 </w:t>
      </w:r>
      <w:bookmarkEnd w:id="219"/>
      <w:bookmarkEnd w:id="220"/>
      <w:r>
        <w:rPr>
          <w:rFonts w:hint="eastAsia" w:ascii="仿宋" w:hAnsi="仿宋" w:eastAsia="仿宋" w:cs="仿宋"/>
          <w:lang w:val="en-US" w:eastAsia="zh-CN"/>
        </w:rPr>
        <w:t>投标邀请</w:t>
      </w:r>
      <w:bookmarkStart w:id="221" w:name="_Toc518923125"/>
      <w:bookmarkStart w:id="222" w:name="_Toc17489"/>
      <w:bookmarkStart w:id="223" w:name="_Toc216582823"/>
      <w:bookmarkStart w:id="224" w:name="_Toc507399903"/>
      <w:bookmarkStart w:id="225" w:name="_Toc512937850"/>
    </w:p>
    <w:p>
      <w:pPr>
        <w:pStyle w:val="3"/>
        <w:tabs>
          <w:tab w:val="left" w:pos="0"/>
        </w:tabs>
        <w:spacing w:before="0" w:after="0" w:line="380" w:lineRule="exact"/>
        <w:rPr>
          <w:rFonts w:hint="eastAsia" w:ascii="仿宋" w:hAnsi="仿宋" w:eastAsia="仿宋" w:cs="仿宋"/>
          <w:lang w:eastAsia="zh-CN"/>
        </w:rPr>
      </w:pPr>
      <w:r>
        <w:rPr>
          <w:rFonts w:hint="eastAsia" w:ascii="仿宋" w:hAnsi="仿宋" w:eastAsia="仿宋" w:cs="仿宋"/>
          <w:lang w:eastAsia="zh-CN"/>
        </w:rPr>
        <w:t>塔什库尔干县教育局各乡镇小学课桌椅采购项目</w:t>
      </w:r>
    </w:p>
    <w:p>
      <w:pPr>
        <w:pStyle w:val="3"/>
        <w:tabs>
          <w:tab w:val="left" w:pos="0"/>
        </w:tabs>
        <w:spacing w:before="0" w:after="0" w:line="380" w:lineRule="exact"/>
        <w:rPr>
          <w:rFonts w:hint="eastAsia" w:ascii="仿宋" w:hAnsi="仿宋" w:eastAsia="仿宋" w:cs="仿宋"/>
        </w:rPr>
      </w:pPr>
      <w:r>
        <w:rPr>
          <w:rFonts w:hint="eastAsia" w:ascii="仿宋" w:hAnsi="仿宋" w:eastAsia="仿宋" w:cs="仿宋"/>
        </w:rPr>
        <w:t>竞争性磋商公告</w:t>
      </w:r>
    </w:p>
    <w:p>
      <w:pPr>
        <w:rPr>
          <w:rFonts w:hint="eastAsia" w:ascii="仿宋" w:hAnsi="仿宋" w:eastAsia="仿宋" w:cs="仿宋"/>
        </w:rPr>
      </w:pPr>
    </w:p>
    <w:p>
      <w:pPr>
        <w:pStyle w:val="2"/>
      </w:pPr>
    </w:p>
    <w:tbl>
      <w:tblPr>
        <w:tblStyle w:val="2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8" w:type="dxa"/>
            <w:vAlign w:val="top"/>
          </w:tcPr>
          <w:p>
            <w:pPr>
              <w:spacing w:line="380" w:lineRule="exact"/>
              <w:rPr>
                <w:rFonts w:ascii="仿宋" w:hAnsi="仿宋" w:eastAsia="仿宋" w:cs="仿宋"/>
                <w:color w:val="auto"/>
                <w:sz w:val="24"/>
              </w:rPr>
            </w:pPr>
            <w:r>
              <w:rPr>
                <w:rFonts w:hint="eastAsia" w:ascii="仿宋" w:hAnsi="仿宋" w:eastAsia="仿宋" w:cs="仿宋"/>
                <w:color w:val="auto"/>
                <w:sz w:val="24"/>
              </w:rPr>
              <w:t>项目概况</w:t>
            </w:r>
          </w:p>
          <w:p>
            <w:pPr>
              <w:spacing w:line="380" w:lineRule="exact"/>
              <w:ind w:firstLine="480" w:firstLineChars="200"/>
              <w:jc w:val="left"/>
              <w:rPr>
                <w:rFonts w:ascii="仿宋" w:hAnsi="仿宋" w:eastAsia="仿宋" w:cs="仿宋"/>
                <w:color w:val="auto"/>
                <w:sz w:val="24"/>
                <w:u w:val="single"/>
              </w:rPr>
            </w:pPr>
            <w:r>
              <w:rPr>
                <w:rFonts w:hint="eastAsia" w:ascii="仿宋" w:hAnsi="仿宋" w:eastAsia="仿宋" w:cs="仿宋"/>
                <w:color w:val="auto"/>
                <w:sz w:val="24"/>
                <w:u w:val="single"/>
                <w:lang w:eastAsia="zh-CN"/>
              </w:rPr>
              <w:t>塔什库尔干县教育局各乡镇小学课桌椅采购项目</w:t>
            </w:r>
            <w:r>
              <w:rPr>
                <w:rFonts w:hint="eastAsia" w:ascii="仿宋" w:hAnsi="仿宋" w:eastAsia="仿宋" w:cs="仿宋"/>
                <w:color w:val="auto"/>
                <w:sz w:val="24"/>
              </w:rPr>
              <w:t>招标项目的潜在供应商应在政采云平台自行获取磋商文件，并于</w:t>
            </w:r>
            <w:r>
              <w:rPr>
                <w:rFonts w:hint="eastAsia" w:ascii="仿宋" w:hAnsi="仿宋" w:eastAsia="仿宋" w:cs="仿宋"/>
                <w:color w:val="auto"/>
                <w:sz w:val="24"/>
                <w:u w:val="single"/>
                <w:lang w:eastAsia="zh-CN"/>
              </w:rPr>
              <w:t>2023年0</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u w:val="single"/>
                <w:lang w:eastAsia="zh-CN"/>
              </w:rPr>
              <w:t>月</w:t>
            </w:r>
            <w:r>
              <w:rPr>
                <w:rFonts w:hint="eastAsia" w:ascii="仿宋" w:hAnsi="仿宋" w:eastAsia="仿宋" w:cs="仿宋"/>
                <w:color w:val="auto"/>
                <w:sz w:val="24"/>
                <w:u w:val="single"/>
                <w:lang w:val="en-US" w:eastAsia="zh-CN"/>
              </w:rPr>
              <w:t>29</w:t>
            </w:r>
            <w:r>
              <w:rPr>
                <w:rFonts w:hint="eastAsia" w:ascii="仿宋" w:hAnsi="仿宋" w:eastAsia="仿宋" w:cs="仿宋"/>
                <w:color w:val="auto"/>
                <w:sz w:val="24"/>
                <w:u w:val="single"/>
                <w:lang w:eastAsia="zh-CN"/>
              </w:rPr>
              <w:t>日 11:00（北京时间）</w:t>
            </w:r>
            <w:r>
              <w:rPr>
                <w:rFonts w:hint="eastAsia" w:ascii="仿宋" w:hAnsi="仿宋" w:eastAsia="仿宋" w:cs="仿宋"/>
                <w:color w:val="auto"/>
                <w:sz w:val="24"/>
              </w:rPr>
              <w:t>前递交响应文件。</w:t>
            </w:r>
          </w:p>
        </w:tc>
      </w:tr>
    </w:tbl>
    <w:p>
      <w:pPr>
        <w:spacing w:line="380" w:lineRule="exact"/>
        <w:rPr>
          <w:rFonts w:ascii="仿宋" w:hAnsi="仿宋" w:eastAsia="仿宋" w:cs="仿宋"/>
          <w:color w:val="auto"/>
          <w:sz w:val="24"/>
        </w:rPr>
      </w:pPr>
      <w:bookmarkStart w:id="226" w:name="_Toc28359002"/>
      <w:bookmarkStart w:id="227" w:name="_Toc35393621"/>
      <w:bookmarkStart w:id="228" w:name="_Toc28359079"/>
      <w:bookmarkStart w:id="229" w:name="_Toc35393790"/>
      <w:bookmarkStart w:id="230" w:name="_Hlk24379207"/>
      <w:r>
        <w:rPr>
          <w:rFonts w:hint="eastAsia" w:ascii="仿宋" w:hAnsi="仿宋" w:eastAsia="仿宋" w:cs="仿宋"/>
          <w:b/>
          <w:bCs/>
          <w:color w:val="auto"/>
          <w:sz w:val="24"/>
        </w:rPr>
        <w:t>一、项目基本情况</w:t>
      </w:r>
      <w:bookmarkEnd w:id="226"/>
      <w:bookmarkEnd w:id="227"/>
      <w:bookmarkEnd w:id="228"/>
      <w:bookmarkEnd w:id="229"/>
      <w:r>
        <w:rPr>
          <w:rFonts w:hint="eastAsia" w:ascii="仿宋" w:hAnsi="仿宋" w:eastAsia="仿宋" w:cs="仿宋"/>
          <w:color w:val="auto"/>
          <w:sz w:val="24"/>
        </w:rPr>
        <w:tab/>
      </w:r>
      <w:r>
        <w:rPr>
          <w:rFonts w:hint="eastAsia" w:ascii="仿宋" w:hAnsi="仿宋" w:eastAsia="仿宋" w:cs="仿宋"/>
          <w:color w:val="auto"/>
          <w:sz w:val="24"/>
        </w:rPr>
        <w:tab/>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eastAsia="zh-CN"/>
        </w:rPr>
        <w:t>项目编号：</w:t>
      </w:r>
      <w:r>
        <w:rPr>
          <w:rFonts w:hint="eastAsia" w:ascii="仿宋" w:hAnsi="仿宋" w:eastAsia="仿宋" w:cs="仿宋"/>
          <w:color w:val="auto"/>
          <w:sz w:val="24"/>
          <w:lang w:val="en-US" w:eastAsia="zh-CN"/>
        </w:rPr>
        <w:t>KSTX(CS)2023-02</w:t>
      </w:r>
    </w:p>
    <w:p>
      <w:pPr>
        <w:spacing w:line="380" w:lineRule="exact"/>
        <w:ind w:firstLine="480" w:firstLineChars="200"/>
        <w:rPr>
          <w:rFonts w:hint="eastAsia" w:ascii="仿宋" w:hAnsi="仿宋" w:eastAsia="仿宋" w:cs="仿宋"/>
          <w:color w:val="auto"/>
          <w:sz w:val="24"/>
          <w:u w:val="single"/>
          <w:lang w:eastAsia="zh-CN"/>
        </w:rPr>
      </w:pPr>
      <w:r>
        <w:rPr>
          <w:rFonts w:hint="eastAsia" w:ascii="仿宋" w:hAnsi="仿宋" w:eastAsia="仿宋" w:cs="仿宋"/>
          <w:color w:val="auto"/>
          <w:sz w:val="24"/>
        </w:rPr>
        <w:t>项目名称：</w:t>
      </w:r>
      <w:bookmarkEnd w:id="230"/>
      <w:r>
        <w:rPr>
          <w:rFonts w:hint="eastAsia" w:ascii="仿宋" w:hAnsi="仿宋" w:eastAsia="仿宋" w:cs="仿宋"/>
          <w:color w:val="auto"/>
          <w:sz w:val="24"/>
          <w:u w:val="single"/>
          <w:lang w:eastAsia="zh-CN"/>
        </w:rPr>
        <w:t>塔什库尔干县教育局各乡镇小学课桌椅采购项目</w:t>
      </w:r>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采购方式：□竞争性谈判 ☑竞争性磋商 □询价</w:t>
      </w:r>
    </w:p>
    <w:p>
      <w:pPr>
        <w:spacing w:line="380" w:lineRule="exact"/>
        <w:ind w:firstLine="480" w:firstLineChars="200"/>
        <w:rPr>
          <w:rFonts w:hint="eastAsia" w:ascii="仿宋" w:hAnsi="仿宋" w:eastAsia="仿宋" w:cs="仿宋"/>
          <w:color w:val="auto"/>
          <w:sz w:val="24"/>
          <w:lang w:val="en-US" w:eastAsia="zh-CN"/>
        </w:rPr>
      </w:pPr>
      <w:r>
        <w:rPr>
          <w:rFonts w:hint="eastAsia" w:ascii="仿宋" w:hAnsi="仿宋" w:eastAsia="仿宋" w:cs="仿宋"/>
          <w:color w:val="auto"/>
          <w:sz w:val="24"/>
        </w:rPr>
        <w:t>预算</w:t>
      </w:r>
      <w:r>
        <w:rPr>
          <w:rFonts w:hint="eastAsia" w:ascii="仿宋" w:hAnsi="仿宋" w:eastAsia="仿宋" w:cs="仿宋"/>
          <w:color w:val="auto"/>
          <w:sz w:val="24"/>
          <w:lang w:val="en-US" w:eastAsia="zh-CN"/>
        </w:rPr>
        <w:t>金额：121.974万元</w:t>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最高限价：1207122</w:t>
      </w:r>
      <w:r>
        <w:rPr>
          <w:rFonts w:hint="eastAsia" w:ascii="仿宋" w:hAnsi="仿宋" w:eastAsia="仿宋" w:cs="仿宋"/>
          <w:color w:val="auto"/>
          <w:sz w:val="24"/>
          <w:lang w:eastAsia="zh-CN"/>
        </w:rPr>
        <w:t>元</w:t>
      </w:r>
    </w:p>
    <w:p>
      <w:pPr>
        <w:spacing w:line="3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标项名称:</w:t>
      </w:r>
      <w:r>
        <w:rPr>
          <w:rFonts w:hint="eastAsia" w:ascii="仿宋" w:hAnsi="仿宋" w:eastAsia="仿宋" w:cs="仿宋"/>
          <w:color w:val="auto"/>
          <w:sz w:val="24"/>
          <w:u w:val="single"/>
          <w:lang w:eastAsia="zh-CN"/>
        </w:rPr>
        <w:t>塔什库尔干县教育局各乡镇小学课桌椅采购项目</w:t>
      </w:r>
      <w:r>
        <w:rPr>
          <w:rFonts w:hint="eastAsia" w:ascii="仿宋" w:hAnsi="仿宋" w:eastAsia="仿宋" w:cs="仿宋"/>
          <w:color w:val="auto"/>
          <w:sz w:val="24"/>
        </w:rPr>
        <w:t xml:space="preserve">  </w:t>
      </w:r>
    </w:p>
    <w:p>
      <w:pPr>
        <w:spacing w:line="38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 简要规格描述或项目基本概况介绍、用途：</w:t>
      </w:r>
      <w:r>
        <w:rPr>
          <w:rFonts w:hint="eastAsia" w:ascii="仿宋" w:hAnsi="仿宋" w:eastAsia="仿宋" w:cs="仿宋"/>
          <w:color w:val="auto"/>
          <w:sz w:val="24"/>
          <w:lang w:val="en-US" w:eastAsia="zh-CN"/>
        </w:rPr>
        <w:t>课桌椅</w:t>
      </w:r>
      <w:r>
        <w:rPr>
          <w:rFonts w:hint="eastAsia" w:ascii="仿宋" w:hAnsi="仿宋" w:eastAsia="仿宋" w:cs="仿宋"/>
          <w:color w:val="auto"/>
          <w:sz w:val="24"/>
        </w:rPr>
        <w:t>（详见</w:t>
      </w:r>
      <w:r>
        <w:rPr>
          <w:rFonts w:hint="eastAsia" w:ascii="仿宋" w:hAnsi="仿宋" w:eastAsia="仿宋" w:cs="仿宋"/>
          <w:color w:val="auto"/>
          <w:sz w:val="24"/>
          <w:lang w:val="en-US" w:eastAsia="zh-CN"/>
        </w:rPr>
        <w:t>磋商</w:t>
      </w:r>
      <w:r>
        <w:rPr>
          <w:rFonts w:hint="eastAsia" w:ascii="仿宋" w:hAnsi="仿宋" w:eastAsia="仿宋" w:cs="仿宋"/>
          <w:color w:val="auto"/>
          <w:sz w:val="24"/>
        </w:rPr>
        <w:t>文件）。</w:t>
      </w:r>
    </w:p>
    <w:p>
      <w:pPr>
        <w:spacing w:line="38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   备注：</w:t>
      </w:r>
    </w:p>
    <w:p>
      <w:pPr>
        <w:spacing w:line="380" w:lineRule="exact"/>
        <w:ind w:firstLine="480" w:firstLineChars="200"/>
        <w:rPr>
          <w:rFonts w:hint="eastAsia" w:ascii="仿宋" w:hAnsi="仿宋" w:eastAsia="仿宋" w:cs="仿宋"/>
          <w:color w:val="auto"/>
          <w:sz w:val="24"/>
        </w:rPr>
      </w:pPr>
      <w:bookmarkStart w:id="231" w:name="_Toc35393791"/>
      <w:bookmarkStart w:id="232" w:name="_Toc28359003"/>
      <w:bookmarkStart w:id="233" w:name="_Toc28359080"/>
      <w:bookmarkStart w:id="234" w:name="_Toc35393622"/>
      <w:r>
        <w:rPr>
          <w:rFonts w:hint="eastAsia" w:ascii="仿宋" w:hAnsi="仿宋" w:eastAsia="仿宋" w:cs="仿宋"/>
          <w:color w:val="auto"/>
          <w:sz w:val="24"/>
        </w:rPr>
        <w:t>合同履约期限：详见招标文件。</w:t>
      </w:r>
    </w:p>
    <w:p>
      <w:pPr>
        <w:spacing w:line="380" w:lineRule="exact"/>
        <w:rPr>
          <w:rFonts w:ascii="仿宋" w:hAnsi="仿宋" w:eastAsia="仿宋" w:cs="仿宋"/>
          <w:b/>
          <w:bCs/>
          <w:color w:val="auto"/>
          <w:sz w:val="24"/>
        </w:rPr>
      </w:pPr>
      <w:r>
        <w:rPr>
          <w:rFonts w:hint="eastAsia" w:ascii="仿宋" w:hAnsi="仿宋" w:eastAsia="仿宋" w:cs="仿宋"/>
          <w:b/>
          <w:bCs/>
          <w:color w:val="auto"/>
          <w:sz w:val="24"/>
        </w:rPr>
        <w:t>二、申请人的资格要求：</w:t>
      </w:r>
      <w:bookmarkEnd w:id="231"/>
      <w:bookmarkEnd w:id="232"/>
      <w:bookmarkEnd w:id="233"/>
      <w:bookmarkEnd w:id="234"/>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1.满足《中华人民共和国政府采购法》第二十二条规定；</w:t>
      </w:r>
    </w:p>
    <w:p>
      <w:pPr>
        <w:pStyle w:val="26"/>
        <w:spacing w:line="380" w:lineRule="exact"/>
        <w:ind w:firstLine="480"/>
        <w:rPr>
          <w:rFonts w:hint="default" w:ascii="仿宋" w:hAnsi="仿宋" w:eastAsia="仿宋" w:cs="仿宋"/>
          <w:color w:val="auto"/>
          <w:szCs w:val="24"/>
          <w:lang w:val="en-US" w:eastAsia="zh-CN"/>
        </w:rPr>
      </w:pPr>
      <w:bookmarkStart w:id="235" w:name="_Toc28359081"/>
      <w:bookmarkStart w:id="236" w:name="_Toc28359004"/>
      <w:r>
        <w:rPr>
          <w:rFonts w:hint="eastAsia" w:ascii="仿宋" w:hAnsi="仿宋" w:eastAsia="仿宋" w:cs="仿宋"/>
          <w:color w:val="auto"/>
          <w:szCs w:val="24"/>
        </w:rPr>
        <w:t>2.落实政府采购政策需满足的资格要求：供应商为中小微企业;</w:t>
      </w:r>
    </w:p>
    <w:p>
      <w:pPr>
        <w:spacing w:line="240" w:lineRule="atLeast"/>
        <w:rPr>
          <w:rFonts w:ascii="仿宋" w:hAnsi="仿宋" w:eastAsia="仿宋" w:cs="仿宋"/>
          <w:color w:val="auto"/>
          <w:sz w:val="24"/>
          <w:lang w:val="zh-CN"/>
        </w:rPr>
      </w:pPr>
      <w:r>
        <w:rPr>
          <w:rFonts w:hint="eastAsia" w:ascii="仿宋" w:hAnsi="仿宋" w:eastAsia="仿宋" w:cs="仿宋"/>
          <w:color w:val="auto"/>
          <w:sz w:val="24"/>
          <w:lang w:val="zh-CN"/>
        </w:rPr>
        <w:t>（1）具有合法有效的营业执照；</w:t>
      </w:r>
    </w:p>
    <w:p>
      <w:pPr>
        <w:pStyle w:val="14"/>
        <w:ind w:firstLine="0" w:firstLineChars="0"/>
        <w:rPr>
          <w:color w:val="auto"/>
          <w:lang w:val="zh-CN"/>
        </w:rPr>
      </w:pPr>
      <w:r>
        <w:rPr>
          <w:rFonts w:hint="eastAsia" w:ascii="仿宋" w:hAnsi="仿宋" w:eastAsia="仿宋" w:cs="仿宋"/>
          <w:color w:val="auto"/>
          <w:kern w:val="2"/>
          <w:sz w:val="24"/>
          <w:lang w:val="zh-CN"/>
        </w:rPr>
        <w:t>（</w:t>
      </w:r>
      <w:r>
        <w:rPr>
          <w:rFonts w:hint="eastAsia" w:ascii="仿宋" w:hAnsi="仿宋" w:eastAsia="仿宋" w:cs="仿宋"/>
          <w:color w:val="auto"/>
          <w:kern w:val="2"/>
          <w:sz w:val="24"/>
        </w:rPr>
        <w:t>2</w:t>
      </w:r>
      <w:r>
        <w:rPr>
          <w:rFonts w:hint="eastAsia" w:ascii="仿宋" w:hAnsi="仿宋" w:eastAsia="仿宋" w:cs="仿宋"/>
          <w:color w:val="auto"/>
          <w:kern w:val="2"/>
          <w:sz w:val="24"/>
          <w:lang w:val="zh-CN"/>
        </w:rPr>
        <w:t>）</w:t>
      </w:r>
      <w:r>
        <w:rPr>
          <w:rFonts w:hint="eastAsia" w:ascii="仿宋" w:hAnsi="仿宋" w:eastAsia="仿宋" w:cs="仿宋"/>
          <w:color w:val="auto"/>
          <w:kern w:val="2"/>
          <w:sz w:val="24"/>
          <w:lang w:val="zh-CN" w:eastAsia="zh-CN"/>
        </w:rPr>
        <w:t>2021年度或2022年度</w:t>
      </w:r>
      <w:r>
        <w:rPr>
          <w:rFonts w:hint="eastAsia" w:ascii="仿宋" w:hAnsi="仿宋" w:eastAsia="仿宋" w:cs="仿宋"/>
          <w:color w:val="auto"/>
          <w:kern w:val="2"/>
          <w:sz w:val="24"/>
          <w:lang w:val="zh-CN"/>
        </w:rPr>
        <w:t>的财务审计报告（新成立未满一年的公司需提供有效的银行资信证明）；</w:t>
      </w:r>
    </w:p>
    <w:p>
      <w:pPr>
        <w:spacing w:line="240" w:lineRule="atLeast"/>
        <w:jc w:val="left"/>
        <w:rPr>
          <w:rFonts w:ascii="仿宋" w:hAnsi="仿宋" w:eastAsia="仿宋" w:cs="仿宋"/>
          <w:color w:val="auto"/>
          <w:sz w:val="24"/>
          <w:lang w:val="zh-CN"/>
        </w:rPr>
      </w:pPr>
      <w:r>
        <w:rPr>
          <w:rFonts w:hint="eastAsia" w:ascii="仿宋" w:hAnsi="仿宋" w:eastAsia="仿宋" w:cs="仿宋"/>
          <w:color w:val="auto"/>
          <w:sz w:val="24"/>
          <w:lang w:val="zh-CN"/>
        </w:rPr>
        <w:t>（</w:t>
      </w:r>
      <w:r>
        <w:rPr>
          <w:rFonts w:hint="eastAsia" w:ascii="仿宋" w:hAnsi="仿宋" w:eastAsia="仿宋" w:cs="仿宋"/>
          <w:color w:val="auto"/>
          <w:sz w:val="24"/>
        </w:rPr>
        <w:t>3</w:t>
      </w:r>
      <w:r>
        <w:rPr>
          <w:rFonts w:hint="eastAsia" w:ascii="仿宋" w:hAnsi="仿宋" w:eastAsia="仿宋" w:cs="仿宋"/>
          <w:color w:val="auto"/>
          <w:sz w:val="24"/>
          <w:lang w:val="zh-CN"/>
        </w:rPr>
        <w:t xml:space="preserve">）法定代表人授权书及被委托人身份证（法定代表人投标提供法定代表人身份证明及身份证）； </w:t>
      </w:r>
    </w:p>
    <w:p>
      <w:pPr>
        <w:pStyle w:val="19"/>
        <w:widowControl/>
        <w:spacing w:before="75" w:beforeAutospacing="0" w:after="75" w:afterAutospacing="0" w:line="420" w:lineRule="exact"/>
        <w:rPr>
          <w:rFonts w:ascii="仿宋" w:hAnsi="仿宋" w:eastAsia="仿宋" w:cs="仿宋"/>
          <w:color w:val="auto"/>
          <w:kern w:val="2"/>
          <w:lang w:val="zh-CN"/>
        </w:rPr>
      </w:pPr>
      <w:r>
        <w:rPr>
          <w:rFonts w:hint="eastAsia" w:ascii="仿宋" w:hAnsi="仿宋" w:eastAsia="仿宋" w:cs="仿宋"/>
          <w:color w:val="auto"/>
          <w:kern w:val="2"/>
          <w:lang w:val="zh-CN"/>
        </w:rPr>
        <w:t>（</w:t>
      </w:r>
      <w:r>
        <w:rPr>
          <w:rFonts w:hint="eastAsia" w:ascii="仿宋" w:hAnsi="仿宋" w:eastAsia="仿宋" w:cs="仿宋"/>
          <w:color w:val="auto"/>
          <w:kern w:val="2"/>
        </w:rPr>
        <w:t>4</w:t>
      </w:r>
      <w:r>
        <w:rPr>
          <w:rFonts w:hint="eastAsia" w:ascii="仿宋" w:hAnsi="仿宋" w:eastAsia="仿宋" w:cs="仿宋"/>
          <w:color w:val="auto"/>
          <w:kern w:val="2"/>
          <w:lang w:val="zh-CN"/>
        </w:rPr>
        <w:t>）参加采购活动前三年内，在经营活动中无重大违法声明；</w:t>
      </w:r>
      <w:r>
        <w:rPr>
          <w:rFonts w:hint="eastAsia" w:ascii="仿宋" w:hAnsi="仿宋" w:eastAsia="仿宋" w:cs="仿宋"/>
          <w:color w:val="auto"/>
          <w:kern w:val="2"/>
        </w:rPr>
        <w:t>提供针对本次项目《反商业贿赂承诺书》；</w:t>
      </w:r>
    </w:p>
    <w:p>
      <w:pPr>
        <w:keepNext w:val="0"/>
        <w:keepLines w:val="0"/>
        <w:pageBreakBefore w:val="0"/>
        <w:widowControl w:val="0"/>
        <w:tabs>
          <w:tab w:val="left" w:pos="5580"/>
        </w:tabs>
        <w:kinsoku/>
        <w:wordWrap/>
        <w:overflowPunct/>
        <w:topLinePunct w:val="0"/>
        <w:bidi w:val="0"/>
        <w:snapToGrid/>
        <w:spacing w:line="360" w:lineRule="auto"/>
        <w:textAlignment w:val="auto"/>
        <w:rPr>
          <w:rFonts w:hint="eastAsia" w:ascii="仿宋" w:hAnsi="仿宋" w:eastAsia="仿宋" w:cs="仿宋"/>
          <w:color w:val="auto"/>
          <w:kern w:val="2"/>
          <w:sz w:val="24"/>
          <w:szCs w:val="24"/>
          <w:lang w:val="zh-CN" w:eastAsia="zh-CN" w:bidi="ar"/>
        </w:rPr>
      </w:pPr>
      <w:r>
        <w:rPr>
          <w:rFonts w:hint="eastAsia" w:ascii="仿宋" w:hAnsi="仿宋" w:eastAsia="仿宋" w:cs="仿宋"/>
          <w:color w:val="auto"/>
          <w:kern w:val="2"/>
          <w:sz w:val="24"/>
          <w:szCs w:val="24"/>
          <w:lang w:val="zh-CN" w:eastAsia="zh-CN" w:bidi="ar"/>
        </w:rPr>
        <w:t>（5）</w:t>
      </w:r>
      <w:r>
        <w:rPr>
          <w:rFonts w:hint="eastAsia" w:ascii="仿宋" w:hAnsi="仿宋" w:eastAsia="仿宋" w:cs="仿宋"/>
          <w:color w:val="auto"/>
          <w:sz w:val="24"/>
          <w:highlight w:val="none"/>
          <w:lang w:val="en-US" w:eastAsia="zh-CN"/>
        </w:rPr>
        <w:t>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p>
      <w:pPr>
        <w:spacing w:line="240" w:lineRule="atLeast"/>
        <w:rPr>
          <w:rFonts w:ascii="仿宋" w:hAnsi="仿宋" w:eastAsia="仿宋" w:cs="仿宋"/>
          <w:b/>
          <w:bCs/>
          <w:color w:val="auto"/>
          <w:sz w:val="24"/>
          <w:lang w:val="zh-CN"/>
        </w:rPr>
      </w:pPr>
      <w:r>
        <w:rPr>
          <w:rFonts w:hint="eastAsia" w:ascii="仿宋" w:hAnsi="仿宋" w:eastAsia="仿宋" w:cs="仿宋"/>
          <w:color w:val="auto"/>
          <w:sz w:val="24"/>
          <w:lang w:val="zh-CN"/>
        </w:rPr>
        <w:t>（</w:t>
      </w:r>
      <w:r>
        <w:rPr>
          <w:rFonts w:hint="eastAsia" w:ascii="仿宋" w:hAnsi="仿宋" w:eastAsia="仿宋" w:cs="仿宋"/>
          <w:color w:val="auto"/>
          <w:sz w:val="24"/>
        </w:rPr>
        <w:t>6</w:t>
      </w:r>
      <w:r>
        <w:rPr>
          <w:rFonts w:hint="eastAsia" w:ascii="仿宋" w:hAnsi="仿宋" w:eastAsia="仿宋" w:cs="仿宋"/>
          <w:color w:val="auto"/>
          <w:sz w:val="24"/>
          <w:lang w:val="zh-CN"/>
        </w:rPr>
        <w:t>）供应商在“信用中国”（www.creditchina.gov.cn）和中国政府采购网（www.ccgp.gov.cn）网站上未列入失信被执行人、重大税收违法案件当事人名单、政府采购严重违法失信行为记录名单（财库[2016]125号）</w:t>
      </w:r>
      <w:r>
        <w:rPr>
          <w:rFonts w:hint="eastAsia" w:ascii="仿宋" w:hAnsi="仿宋" w:eastAsia="仿宋" w:cs="仿宋"/>
          <w:b/>
          <w:bCs/>
          <w:color w:val="auto"/>
          <w:sz w:val="24"/>
          <w:lang w:val="zh-CN"/>
        </w:rPr>
        <w:t>（</w:t>
      </w:r>
      <w:r>
        <w:rPr>
          <w:rFonts w:hint="eastAsia" w:ascii="仿宋" w:hAnsi="仿宋" w:eastAsia="仿宋" w:cs="仿宋"/>
          <w:b/>
          <w:bCs/>
          <w:color w:val="auto"/>
          <w:kern w:val="2"/>
          <w:sz w:val="24"/>
          <w:szCs w:val="24"/>
          <w:lang w:val="en-US" w:eastAsia="zh-CN" w:bidi="ar-SA"/>
        </w:rPr>
        <w:t>以开标现场招标代理或采购人查询为准）</w:t>
      </w:r>
      <w:r>
        <w:rPr>
          <w:rFonts w:hint="eastAsia" w:ascii="仿宋" w:hAnsi="仿宋" w:eastAsia="仿宋" w:cs="仿宋"/>
          <w:b/>
          <w:bCs/>
          <w:color w:val="auto"/>
          <w:sz w:val="24"/>
          <w:lang w:val="zh-CN"/>
        </w:rPr>
        <w:t>；</w:t>
      </w:r>
    </w:p>
    <w:p>
      <w:pPr>
        <w:spacing w:line="240" w:lineRule="atLeast"/>
        <w:ind w:firstLine="241" w:firstLineChars="100"/>
        <w:rPr>
          <w:rFonts w:hint="eastAsia" w:ascii="仿宋" w:hAnsi="仿宋" w:eastAsia="仿宋" w:cs="仿宋"/>
          <w:b/>
          <w:bCs/>
          <w:color w:val="auto"/>
          <w:sz w:val="24"/>
          <w:lang w:val="zh-CN"/>
        </w:rPr>
      </w:pPr>
      <w:r>
        <w:rPr>
          <w:rFonts w:hint="eastAsia" w:ascii="仿宋" w:hAnsi="仿宋" w:eastAsia="仿宋" w:cs="仿宋"/>
          <w:b/>
          <w:bCs/>
          <w:color w:val="auto"/>
          <w:sz w:val="24"/>
          <w:lang w:val="zh-CN"/>
        </w:rPr>
        <w:t>本项目</w:t>
      </w:r>
      <w:r>
        <w:rPr>
          <w:rFonts w:hint="eastAsia" w:ascii="仿宋" w:hAnsi="仿宋" w:eastAsia="仿宋" w:cs="仿宋"/>
          <w:b/>
          <w:bCs/>
          <w:color w:val="auto"/>
          <w:sz w:val="24"/>
          <w:lang w:val="en-US" w:eastAsia="zh-CN"/>
        </w:rPr>
        <w:t>不</w:t>
      </w:r>
      <w:r>
        <w:rPr>
          <w:rFonts w:hint="eastAsia" w:ascii="仿宋" w:hAnsi="仿宋" w:eastAsia="仿宋" w:cs="仿宋"/>
          <w:b/>
          <w:bCs/>
          <w:color w:val="auto"/>
          <w:sz w:val="24"/>
          <w:lang w:val="zh-CN"/>
        </w:rPr>
        <w:t>接受联合体投标。</w:t>
      </w:r>
    </w:p>
    <w:p>
      <w:pPr>
        <w:spacing w:line="380" w:lineRule="exact"/>
        <w:rPr>
          <w:rFonts w:ascii="仿宋" w:hAnsi="仿宋" w:eastAsia="仿宋" w:cs="仿宋"/>
          <w:b/>
          <w:bCs/>
          <w:color w:val="auto"/>
          <w:sz w:val="24"/>
        </w:rPr>
      </w:pPr>
      <w:bookmarkStart w:id="237" w:name="_Toc35393623"/>
      <w:bookmarkStart w:id="238" w:name="_Toc35393792"/>
      <w:r>
        <w:rPr>
          <w:rFonts w:hint="eastAsia" w:ascii="仿宋" w:hAnsi="仿宋" w:eastAsia="仿宋" w:cs="仿宋"/>
          <w:b/>
          <w:bCs/>
          <w:color w:val="auto"/>
          <w:sz w:val="24"/>
        </w:rPr>
        <w:t>三、获取</w:t>
      </w:r>
      <w:bookmarkEnd w:id="235"/>
      <w:bookmarkEnd w:id="236"/>
      <w:bookmarkEnd w:id="237"/>
      <w:bookmarkEnd w:id="238"/>
      <w:r>
        <w:rPr>
          <w:rFonts w:hint="eastAsia" w:ascii="仿宋" w:hAnsi="仿宋" w:eastAsia="仿宋" w:cs="仿宋"/>
          <w:b/>
          <w:bCs/>
          <w:color w:val="auto"/>
          <w:sz w:val="24"/>
        </w:rPr>
        <w:t>磋商文件</w:t>
      </w:r>
    </w:p>
    <w:p>
      <w:pPr>
        <w:spacing w:line="380" w:lineRule="exact"/>
        <w:ind w:firstLine="539"/>
        <w:rPr>
          <w:rFonts w:ascii="仿宋" w:hAnsi="仿宋" w:eastAsia="仿宋" w:cs="仿宋"/>
          <w:color w:val="auto"/>
          <w:sz w:val="24"/>
        </w:rPr>
      </w:pPr>
      <w:r>
        <w:rPr>
          <w:rFonts w:hint="eastAsia" w:ascii="仿宋" w:hAnsi="仿宋" w:eastAsia="仿宋" w:cs="仿宋"/>
          <w:color w:val="auto"/>
          <w:sz w:val="24"/>
        </w:rPr>
        <w:t>时间：</w:t>
      </w:r>
      <w:r>
        <w:rPr>
          <w:rFonts w:hint="eastAsia" w:ascii="仿宋" w:hAnsi="仿宋" w:eastAsia="仿宋" w:cs="仿宋"/>
          <w:color w:val="auto"/>
          <w:sz w:val="24"/>
          <w:u w:val="single"/>
        </w:rPr>
        <w:t>202</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年</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18</w:t>
      </w:r>
      <w:r>
        <w:rPr>
          <w:rFonts w:hint="eastAsia" w:ascii="仿宋" w:hAnsi="仿宋" w:eastAsia="仿宋" w:cs="仿宋"/>
          <w:color w:val="auto"/>
          <w:sz w:val="24"/>
          <w:u w:val="single"/>
        </w:rPr>
        <w:t>日</w:t>
      </w:r>
      <w:r>
        <w:rPr>
          <w:rFonts w:hint="eastAsia" w:ascii="仿宋" w:hAnsi="仿宋" w:eastAsia="仿宋" w:cs="仿宋"/>
          <w:color w:val="auto"/>
          <w:sz w:val="24"/>
          <w:u w:val="single"/>
          <w:lang w:val="en-US" w:eastAsia="zh-CN"/>
        </w:rPr>
        <w:t>00</w:t>
      </w:r>
      <w:r>
        <w:rPr>
          <w:rFonts w:hint="eastAsia" w:ascii="仿宋" w:hAnsi="仿宋" w:eastAsia="仿宋" w:cs="仿宋"/>
          <w:color w:val="auto"/>
          <w:sz w:val="24"/>
          <w:u w:val="single"/>
        </w:rPr>
        <w:t>时00分</w:t>
      </w:r>
      <w:r>
        <w:rPr>
          <w:rFonts w:hint="eastAsia" w:ascii="仿宋" w:hAnsi="仿宋" w:eastAsia="仿宋" w:cs="仿宋"/>
          <w:color w:val="auto"/>
          <w:sz w:val="24"/>
        </w:rPr>
        <w:t>至</w:t>
      </w:r>
      <w:r>
        <w:rPr>
          <w:rFonts w:hint="eastAsia" w:ascii="仿宋" w:hAnsi="仿宋" w:eastAsia="仿宋" w:cs="仿宋"/>
          <w:color w:val="auto"/>
          <w:sz w:val="24"/>
          <w:u w:val="single"/>
        </w:rPr>
        <w:t>202</w:t>
      </w:r>
      <w:r>
        <w:rPr>
          <w:rFonts w:hint="eastAsia" w:ascii="仿宋" w:hAnsi="仿宋" w:eastAsia="仿宋" w:cs="仿宋"/>
          <w:color w:val="auto"/>
          <w:sz w:val="24"/>
          <w:u w:val="single"/>
          <w:lang w:val="en-US" w:eastAsia="zh-CN"/>
        </w:rPr>
        <w:t>3</w:t>
      </w:r>
      <w:r>
        <w:rPr>
          <w:rFonts w:hint="eastAsia" w:ascii="仿宋" w:hAnsi="仿宋" w:eastAsia="仿宋" w:cs="仿宋"/>
          <w:color w:val="auto"/>
          <w:sz w:val="24"/>
          <w:u w:val="single"/>
        </w:rPr>
        <w:t>年</w:t>
      </w:r>
      <w:r>
        <w:rPr>
          <w:rFonts w:hint="eastAsia" w:ascii="仿宋" w:hAnsi="仿宋" w:eastAsia="仿宋" w:cs="仿宋"/>
          <w:color w:val="auto"/>
          <w:sz w:val="24"/>
          <w:u w:val="single"/>
          <w:lang w:val="en-US" w:eastAsia="zh-CN"/>
        </w:rPr>
        <w:t>05</w:t>
      </w:r>
      <w:r>
        <w:rPr>
          <w:rFonts w:hint="eastAsia" w:ascii="仿宋" w:hAnsi="仿宋" w:eastAsia="仿宋" w:cs="仿宋"/>
          <w:color w:val="auto"/>
          <w:sz w:val="24"/>
          <w:u w:val="single"/>
        </w:rPr>
        <w:t>月</w:t>
      </w:r>
      <w:r>
        <w:rPr>
          <w:rFonts w:hint="eastAsia" w:ascii="仿宋" w:hAnsi="仿宋" w:eastAsia="仿宋" w:cs="仿宋"/>
          <w:color w:val="auto"/>
          <w:sz w:val="24"/>
          <w:u w:val="single"/>
          <w:lang w:val="en-US" w:eastAsia="zh-CN"/>
        </w:rPr>
        <w:t>25</w:t>
      </w:r>
      <w:r>
        <w:rPr>
          <w:rFonts w:hint="eastAsia" w:ascii="仿宋" w:hAnsi="仿宋" w:eastAsia="仿宋" w:cs="仿宋"/>
          <w:color w:val="auto"/>
          <w:sz w:val="24"/>
          <w:u w:val="single"/>
        </w:rPr>
        <w:t>日</w:t>
      </w:r>
      <w:r>
        <w:rPr>
          <w:rFonts w:hint="eastAsia" w:ascii="仿宋" w:hAnsi="仿宋" w:eastAsia="仿宋" w:cs="仿宋"/>
          <w:color w:val="auto"/>
          <w:sz w:val="24"/>
          <w:u w:val="single"/>
          <w:lang w:val="en-US" w:eastAsia="zh-CN"/>
        </w:rPr>
        <w:t>23</w:t>
      </w:r>
      <w:r>
        <w:rPr>
          <w:rFonts w:hint="eastAsia" w:ascii="仿宋" w:hAnsi="仿宋" w:eastAsia="仿宋" w:cs="仿宋"/>
          <w:color w:val="auto"/>
          <w:sz w:val="24"/>
          <w:u w:val="single"/>
        </w:rPr>
        <w:t>时</w:t>
      </w:r>
      <w:r>
        <w:rPr>
          <w:rFonts w:hint="eastAsia" w:ascii="仿宋" w:hAnsi="仿宋" w:eastAsia="仿宋" w:cs="仿宋"/>
          <w:color w:val="auto"/>
          <w:sz w:val="24"/>
          <w:u w:val="single"/>
          <w:lang w:val="en-US" w:eastAsia="zh-CN"/>
        </w:rPr>
        <w:t>59</w:t>
      </w:r>
      <w:r>
        <w:rPr>
          <w:rFonts w:hint="eastAsia" w:ascii="仿宋" w:hAnsi="仿宋" w:eastAsia="仿宋" w:cs="仿宋"/>
          <w:color w:val="auto"/>
          <w:sz w:val="24"/>
          <w:u w:val="single"/>
        </w:rPr>
        <w:t>分</w:t>
      </w:r>
      <w:r>
        <w:rPr>
          <w:rFonts w:hint="eastAsia" w:ascii="仿宋" w:hAnsi="仿宋" w:eastAsia="仿宋" w:cs="仿宋"/>
          <w:color w:val="auto"/>
          <w:sz w:val="24"/>
        </w:rPr>
        <w:t>，（北京时间，法定节假日除外）</w:t>
      </w:r>
      <w:bookmarkStart w:id="420" w:name="_GoBack"/>
      <w:bookmarkEnd w:id="420"/>
    </w:p>
    <w:p>
      <w:pPr>
        <w:pStyle w:val="8"/>
        <w:spacing w:before="5" w:line="242" w:lineRule="auto"/>
        <w:ind w:left="255" w:right="151" w:firstLine="240" w:firstLineChars="100"/>
        <w:rPr>
          <w:rFonts w:ascii="仿宋" w:hAnsi="仿宋" w:eastAsia="仿宋" w:cs="仿宋"/>
          <w:color w:val="auto"/>
        </w:rPr>
      </w:pPr>
      <w:r>
        <w:rPr>
          <w:rFonts w:hint="eastAsia" w:ascii="仿宋" w:hAnsi="仿宋" w:eastAsia="仿宋" w:cs="仿宋"/>
          <w:color w:val="auto"/>
        </w:rPr>
        <w:t>地点：供应商登陆政采云平台http://www.zcygov.cn/，在线申请获取采购文件（登录政府采购云平台 → 项目采购 → 获取 采购文件→ 申请，审核通过后可下载采购文件，如有操作性问题，可与政采云在线客服进行咨询，咨询电话：400-881-7190）。</w:t>
      </w:r>
    </w:p>
    <w:p>
      <w:pPr>
        <w:pStyle w:val="8"/>
        <w:spacing w:before="5" w:line="242" w:lineRule="auto"/>
        <w:ind w:left="255" w:right="151" w:firstLine="240" w:firstLineChars="100"/>
        <w:rPr>
          <w:rFonts w:ascii="仿宋" w:hAnsi="仿宋" w:eastAsia="仿宋" w:cs="仿宋"/>
          <w:color w:val="auto"/>
        </w:rPr>
      </w:pPr>
      <w:r>
        <w:rPr>
          <w:rFonts w:hint="eastAsia" w:ascii="仿宋" w:hAnsi="仿宋" w:eastAsia="仿宋" w:cs="仿宋"/>
          <w:color w:val="auto"/>
        </w:rPr>
        <w:t>方式：（1）线上获取（登录政府采购云平台 → 项目采购 → 获取采购文件 → 申请，审核通过后可下载采购文件）。</w:t>
      </w:r>
    </w:p>
    <w:p>
      <w:pPr>
        <w:pStyle w:val="8"/>
        <w:spacing w:before="5" w:line="242" w:lineRule="auto"/>
        <w:ind w:left="255" w:right="151"/>
        <w:rPr>
          <w:rFonts w:ascii="仿宋" w:hAnsi="仿宋" w:eastAsia="仿宋" w:cs="仿宋"/>
          <w:color w:val="auto"/>
        </w:rPr>
      </w:pPr>
      <w:r>
        <w:rPr>
          <w:rFonts w:hint="eastAsia" w:ascii="仿宋" w:hAnsi="仿宋" w:eastAsia="仿宋" w:cs="仿宋"/>
          <w:color w:val="auto"/>
        </w:rPr>
        <w:t>（2）供应商获取采购文件前应注册成为政府采购云平台正式供应商。</w:t>
      </w:r>
    </w:p>
    <w:p>
      <w:pPr>
        <w:pStyle w:val="8"/>
        <w:spacing w:before="5" w:line="242" w:lineRule="auto"/>
        <w:ind w:right="151" w:firstLine="240" w:firstLineChars="100"/>
        <w:rPr>
          <w:rFonts w:ascii="仿宋" w:hAnsi="仿宋" w:eastAsia="仿宋" w:cs="仿宋"/>
          <w:color w:val="auto"/>
        </w:rPr>
      </w:pPr>
      <w:r>
        <w:rPr>
          <w:rFonts w:hint="eastAsia" w:ascii="仿宋" w:hAnsi="仿宋" w:eastAsia="仿宋" w:cs="仿宋"/>
          <w:color w:val="auto"/>
        </w:rPr>
        <w:t>售价（元）：0</w:t>
      </w:r>
    </w:p>
    <w:p>
      <w:pPr>
        <w:spacing w:line="380" w:lineRule="exact"/>
        <w:rPr>
          <w:rFonts w:ascii="仿宋" w:hAnsi="仿宋" w:eastAsia="仿宋" w:cs="仿宋"/>
          <w:color w:val="FF0000"/>
          <w:sz w:val="24"/>
        </w:rPr>
      </w:pPr>
      <w:bookmarkStart w:id="239" w:name="_Toc35393793"/>
      <w:bookmarkStart w:id="240" w:name="_Toc28359082"/>
      <w:bookmarkStart w:id="241" w:name="_Toc35393624"/>
      <w:bookmarkStart w:id="242" w:name="_Toc28359005"/>
      <w:r>
        <w:rPr>
          <w:rFonts w:hint="eastAsia" w:ascii="仿宋" w:hAnsi="仿宋" w:eastAsia="仿宋" w:cs="仿宋"/>
          <w:color w:val="auto"/>
          <w:sz w:val="24"/>
        </w:rPr>
        <w:t>四、</w:t>
      </w:r>
      <w:bookmarkEnd w:id="239"/>
      <w:bookmarkEnd w:id="240"/>
      <w:bookmarkEnd w:id="241"/>
      <w:bookmarkEnd w:id="242"/>
      <w:r>
        <w:rPr>
          <w:rFonts w:hint="eastAsia" w:ascii="仿宋" w:hAnsi="仿宋" w:eastAsia="仿宋" w:cs="仿宋"/>
          <w:color w:val="auto"/>
          <w:sz w:val="24"/>
        </w:rPr>
        <w:t>响应文件提交</w:t>
      </w:r>
    </w:p>
    <w:p>
      <w:pPr>
        <w:spacing w:line="380" w:lineRule="exact"/>
        <w:ind w:firstLine="540"/>
        <w:rPr>
          <w:rFonts w:ascii="仿宋" w:hAnsi="仿宋" w:eastAsia="仿宋" w:cs="仿宋"/>
          <w:color w:val="auto"/>
          <w:sz w:val="24"/>
        </w:rPr>
      </w:pPr>
      <w:r>
        <w:rPr>
          <w:rFonts w:hint="eastAsia" w:ascii="仿宋" w:hAnsi="仿宋" w:eastAsia="仿宋" w:cs="仿宋"/>
          <w:color w:val="auto"/>
          <w:sz w:val="24"/>
        </w:rPr>
        <w:t>截止时间：</w:t>
      </w:r>
      <w:r>
        <w:rPr>
          <w:rFonts w:hint="eastAsia" w:ascii="仿宋" w:hAnsi="仿宋" w:eastAsia="仿宋" w:cs="仿宋"/>
          <w:color w:val="auto"/>
          <w:sz w:val="24"/>
          <w:lang w:eastAsia="zh-CN"/>
        </w:rPr>
        <w:t>2023年0</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29</w:t>
      </w:r>
      <w:r>
        <w:rPr>
          <w:rFonts w:hint="eastAsia" w:ascii="仿宋" w:hAnsi="仿宋" w:eastAsia="仿宋" w:cs="仿宋"/>
          <w:color w:val="auto"/>
          <w:sz w:val="24"/>
          <w:lang w:eastAsia="zh-CN"/>
        </w:rPr>
        <w:t>日 11:00（北京时间）</w:t>
      </w:r>
    </w:p>
    <w:p>
      <w:pPr>
        <w:spacing w:line="380" w:lineRule="exact"/>
        <w:ind w:firstLine="540"/>
        <w:rPr>
          <w:rFonts w:ascii="仿宋" w:hAnsi="仿宋" w:eastAsia="仿宋" w:cs="仿宋"/>
          <w:color w:val="auto"/>
          <w:sz w:val="24"/>
        </w:rPr>
      </w:pPr>
      <w:r>
        <w:rPr>
          <w:rFonts w:hint="eastAsia" w:ascii="仿宋" w:hAnsi="仿宋" w:eastAsia="仿宋" w:cs="仿宋"/>
          <w:color w:val="auto"/>
          <w:sz w:val="24"/>
        </w:rPr>
        <w:t>地    点：新疆政采云平台https://www.zcygov.cn</w:t>
      </w:r>
    </w:p>
    <w:p>
      <w:pPr>
        <w:spacing w:line="380" w:lineRule="exact"/>
        <w:rPr>
          <w:rFonts w:ascii="仿宋" w:hAnsi="仿宋" w:eastAsia="仿宋" w:cs="仿宋"/>
          <w:color w:val="auto"/>
          <w:sz w:val="24"/>
        </w:rPr>
      </w:pPr>
      <w:r>
        <w:rPr>
          <w:rFonts w:hint="eastAsia" w:ascii="仿宋" w:hAnsi="仿宋" w:eastAsia="仿宋" w:cs="仿宋"/>
          <w:color w:val="auto"/>
          <w:sz w:val="24"/>
        </w:rPr>
        <w:t>五、响应文件开启</w:t>
      </w:r>
    </w:p>
    <w:p>
      <w:pPr>
        <w:spacing w:line="380" w:lineRule="exact"/>
        <w:ind w:firstLine="480" w:firstLineChars="200"/>
        <w:rPr>
          <w:rFonts w:ascii="仿宋" w:hAnsi="仿宋" w:eastAsia="仿宋" w:cs="仿宋"/>
          <w:color w:val="auto"/>
          <w:sz w:val="24"/>
        </w:rPr>
      </w:pPr>
      <w:r>
        <w:rPr>
          <w:rFonts w:hint="eastAsia" w:ascii="仿宋" w:hAnsi="仿宋" w:eastAsia="仿宋" w:cs="仿宋"/>
          <w:color w:val="auto"/>
          <w:sz w:val="24"/>
        </w:rPr>
        <w:t>开启时间：</w:t>
      </w:r>
      <w:r>
        <w:rPr>
          <w:rFonts w:hint="eastAsia" w:ascii="仿宋" w:hAnsi="仿宋" w:eastAsia="仿宋" w:cs="仿宋"/>
          <w:color w:val="auto"/>
          <w:sz w:val="24"/>
          <w:lang w:eastAsia="zh-CN"/>
        </w:rPr>
        <w:t>2023年0</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月</w:t>
      </w:r>
      <w:r>
        <w:rPr>
          <w:rFonts w:hint="eastAsia" w:ascii="仿宋" w:hAnsi="仿宋" w:eastAsia="仿宋" w:cs="仿宋"/>
          <w:color w:val="auto"/>
          <w:sz w:val="24"/>
          <w:lang w:val="en-US" w:eastAsia="zh-CN"/>
        </w:rPr>
        <w:t>29</w:t>
      </w:r>
      <w:r>
        <w:rPr>
          <w:rFonts w:hint="eastAsia" w:ascii="仿宋" w:hAnsi="仿宋" w:eastAsia="仿宋" w:cs="仿宋"/>
          <w:color w:val="auto"/>
          <w:sz w:val="24"/>
          <w:lang w:eastAsia="zh-CN"/>
        </w:rPr>
        <w:t>日 11:00（北京时间）</w:t>
      </w:r>
    </w:p>
    <w:p>
      <w:pPr>
        <w:spacing w:line="380" w:lineRule="exact"/>
        <w:ind w:firstLine="480" w:firstLineChars="200"/>
        <w:rPr>
          <w:rFonts w:hint="default" w:ascii="仿宋" w:hAnsi="仿宋" w:eastAsia="仿宋" w:cs="仿宋"/>
          <w:color w:val="auto"/>
          <w:sz w:val="24"/>
          <w:lang w:val="en-US" w:eastAsia="zh-CN"/>
        </w:rPr>
      </w:pPr>
      <w:r>
        <w:rPr>
          <w:rFonts w:hint="eastAsia" w:ascii="仿宋" w:hAnsi="仿宋" w:eastAsia="仿宋" w:cs="仿宋"/>
          <w:color w:val="auto"/>
          <w:sz w:val="24"/>
        </w:rPr>
        <w:t>地    点：</w:t>
      </w:r>
      <w:r>
        <w:rPr>
          <w:rFonts w:hint="eastAsia" w:ascii="仿宋" w:hAnsi="仿宋" w:eastAsia="仿宋" w:cs="仿宋"/>
          <w:color w:val="auto"/>
          <w:sz w:val="24"/>
          <w:lang w:val="en-US" w:eastAsia="zh-CN"/>
        </w:rPr>
        <w:t>喀什市前海宾馆3楼会议室</w:t>
      </w:r>
    </w:p>
    <w:p>
      <w:pPr>
        <w:pStyle w:val="19"/>
        <w:widowControl/>
        <w:spacing w:before="170" w:beforeAutospacing="0" w:after="170" w:afterAutospacing="0" w:line="380" w:lineRule="exact"/>
        <w:jc w:val="both"/>
        <w:rPr>
          <w:rFonts w:ascii="仿宋" w:hAnsi="仿宋" w:eastAsia="仿宋" w:cs="仿宋"/>
          <w:kern w:val="2"/>
        </w:rPr>
      </w:pPr>
      <w:r>
        <w:rPr>
          <w:rFonts w:hint="eastAsia" w:ascii="仿宋" w:hAnsi="仿宋" w:eastAsia="仿宋" w:cs="仿宋"/>
          <w:color w:val="auto"/>
          <w:kern w:val="2"/>
        </w:rPr>
        <w:t>六、公告期限 </w:t>
      </w:r>
    </w:p>
    <w:p>
      <w:pPr>
        <w:pStyle w:val="19"/>
        <w:widowControl/>
        <w:spacing w:before="50" w:beforeAutospacing="0" w:after="50" w:afterAutospacing="0" w:line="380" w:lineRule="exact"/>
        <w:rPr>
          <w:rFonts w:ascii="仿宋" w:hAnsi="仿宋" w:eastAsia="仿宋" w:cs="仿宋"/>
          <w:kern w:val="2"/>
        </w:rPr>
      </w:pPr>
      <w:r>
        <w:rPr>
          <w:rFonts w:hint="eastAsia" w:ascii="仿宋" w:hAnsi="仿宋" w:eastAsia="仿宋" w:cs="仿宋"/>
          <w:kern w:val="2"/>
        </w:rPr>
        <w:t>    自本公告发布之日起5个工作日。</w:t>
      </w:r>
    </w:p>
    <w:p>
      <w:pPr>
        <w:pStyle w:val="19"/>
        <w:widowControl/>
        <w:numPr>
          <w:ilvl w:val="0"/>
          <w:numId w:val="5"/>
        </w:numPr>
        <w:spacing w:before="170" w:beforeAutospacing="0" w:after="170" w:afterAutospacing="0" w:line="380" w:lineRule="exact"/>
        <w:jc w:val="both"/>
        <w:rPr>
          <w:rFonts w:hint="eastAsia" w:ascii="仿宋" w:hAnsi="仿宋" w:eastAsia="仿宋" w:cs="仿宋"/>
          <w:b/>
          <w:bCs/>
          <w:sz w:val="22"/>
          <w:szCs w:val="22"/>
        </w:rPr>
      </w:pPr>
      <w:r>
        <w:rPr>
          <w:rFonts w:hint="eastAsia" w:ascii="仿宋" w:hAnsi="仿宋" w:eastAsia="仿宋" w:cs="仿宋"/>
          <w:kern w:val="2"/>
        </w:rPr>
        <w:t>其他补充事宜</w:t>
      </w:r>
      <w:bookmarkStart w:id="243" w:name="_Toc35393627"/>
      <w:bookmarkStart w:id="244" w:name="_Toc28359008"/>
      <w:bookmarkStart w:id="245" w:name="_Toc35393796"/>
      <w:bookmarkStart w:id="246" w:name="_Toc28359085"/>
      <w:r>
        <w:rPr>
          <w:rFonts w:hint="eastAsia" w:ascii="仿宋" w:hAnsi="仿宋" w:eastAsia="仿宋" w:cs="仿宋"/>
          <w:b/>
          <w:bCs/>
          <w:sz w:val="22"/>
          <w:szCs w:val="22"/>
        </w:rPr>
        <w:br w:type="textWrapping"/>
      </w:r>
      <w:r>
        <w:rPr>
          <w:rFonts w:hint="eastAsia" w:ascii="仿宋" w:hAnsi="仿宋" w:eastAsia="仿宋" w:cs="仿宋"/>
          <w:b/>
          <w:bCs/>
          <w:sz w:val="22"/>
          <w:szCs w:val="22"/>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 2.本项目实行网上投标，采用电子投标文件(供应商须使用CA加密设备通过政采云电子投标客户端制作投标文件)。若供应商参与投标，自行承担投标一切费用。 3.各供应商应在开标前应确保成为新疆政府采购网正式注册入库供应商，并完成CA数字证书申领。因未注册入库、未办理CA数字证书等原因造成无法投标或投标失败等后果由供应商自行承担。 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 5.供应商在开标时须使用制作加密电子投标文件所使用的CA锁及电脑，电脑须提前配置好浏览器（建议使用360浏览器或谷歌浏览器），以便开标时解锁。 6.投标保证金缴纳及确认时间：凡拟参加本次招标项目的供应商，必须在开标前将投标保证金汇入指定账户。否则，届时其投标将被拒绝。 7.供应商对不见面开评标系统的技术操作咨询，可通过https://edu.zcygov.cn/luban/xinjiang-e-biding自助查询，也可在政采云帮助中心常见问题解答和操作流程讲解视频中自助查询，网址为：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b/>
          <w:bCs/>
          <w:sz w:val="22"/>
          <w:szCs w:val="22"/>
        </w:rPr>
        <w:fldChar w:fldCharType="begin"/>
      </w:r>
      <w:r>
        <w:rPr>
          <w:rFonts w:hint="eastAsia" w:ascii="仿宋" w:hAnsi="仿宋" w:eastAsia="仿宋" w:cs="仿宋"/>
          <w:b/>
          <w:bCs/>
          <w:sz w:val="22"/>
          <w:szCs w:val="22"/>
        </w:rPr>
        <w:instrText xml:space="preserve"> HYPERLINK "https://service.zcygov.cn/#/help，\“项目采购\”—\“操作流程-电子招投标\”—\“政府采购项目电子交易管理操作指南-供应商\”版面获取操作指南，同时对自助查询无法解决的问题可通过钉钉群及政采云在线客服获取服务支持。" </w:instrText>
      </w:r>
      <w:r>
        <w:rPr>
          <w:rFonts w:hint="eastAsia" w:ascii="仿宋" w:hAnsi="仿宋" w:eastAsia="仿宋" w:cs="仿宋"/>
          <w:b/>
          <w:bCs/>
          <w:sz w:val="22"/>
          <w:szCs w:val="22"/>
        </w:rPr>
        <w:fldChar w:fldCharType="separate"/>
      </w:r>
      <w:r>
        <w:rPr>
          <w:rStyle w:val="23"/>
          <w:rFonts w:hint="eastAsia" w:ascii="仿宋" w:hAnsi="仿宋" w:eastAsia="仿宋" w:cs="仿宋"/>
          <w:b/>
          <w:bCs/>
          <w:sz w:val="22"/>
          <w:szCs w:val="22"/>
        </w:rPr>
        <w:t>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b/>
          <w:bCs/>
          <w:sz w:val="22"/>
          <w:szCs w:val="22"/>
        </w:rPr>
        <w:fldChar w:fldCharType="end"/>
      </w:r>
    </w:p>
    <w:p>
      <w:pPr>
        <w:pStyle w:val="19"/>
        <w:widowControl/>
        <w:numPr>
          <w:ilvl w:val="0"/>
          <w:numId w:val="0"/>
        </w:numPr>
        <w:spacing w:before="170" w:beforeAutospacing="0" w:after="170" w:afterAutospacing="0" w:line="380" w:lineRule="exact"/>
        <w:ind w:right="0" w:rightChars="0"/>
        <w:jc w:val="both"/>
        <w:rPr>
          <w:rFonts w:ascii="仿宋" w:hAnsi="仿宋" w:eastAsia="仿宋" w:cs="仿宋"/>
          <w:b/>
          <w:bCs/>
          <w:sz w:val="22"/>
          <w:szCs w:val="22"/>
        </w:rPr>
      </w:pPr>
      <w:r>
        <w:rPr>
          <w:rFonts w:hint="eastAsia" w:ascii="仿宋" w:hAnsi="仿宋" w:eastAsia="仿宋" w:cs="仿宋"/>
          <w:b/>
          <w:bCs/>
          <w:sz w:val="22"/>
          <w:szCs w:val="22"/>
        </w:rPr>
        <w:t>特别提示：</w:t>
      </w:r>
    </w:p>
    <w:p>
      <w:pPr>
        <w:spacing w:line="380" w:lineRule="exact"/>
        <w:rPr>
          <w:rFonts w:ascii="仿宋" w:hAnsi="仿宋" w:eastAsia="仿宋" w:cs="仿宋"/>
          <w:b/>
          <w:bCs/>
          <w:sz w:val="22"/>
          <w:szCs w:val="22"/>
        </w:rPr>
      </w:pPr>
      <w:r>
        <w:rPr>
          <w:rFonts w:hint="eastAsia" w:ascii="仿宋" w:hAnsi="仿宋" w:eastAsia="仿宋" w:cs="仿宋"/>
          <w:b/>
          <w:bCs/>
          <w:sz w:val="22"/>
          <w:szCs w:val="22"/>
        </w:rPr>
        <w:t>1、超过200万元的货物和服务采购项目、超过400万元的工程采购项目中适宜由中小企业提供的，预留该部分采购项目预算总额的40%以上专门面向中小企业采购，其中预留给小微企业的比例不低于60%。</w:t>
      </w:r>
    </w:p>
    <w:p>
      <w:pPr>
        <w:spacing w:line="380" w:lineRule="exact"/>
        <w:rPr>
          <w:rFonts w:ascii="仿宋" w:hAnsi="仿宋" w:eastAsia="仿宋" w:cs="仿宋"/>
          <w:b/>
          <w:bCs/>
          <w:sz w:val="22"/>
          <w:szCs w:val="22"/>
        </w:rPr>
      </w:pPr>
      <w:r>
        <w:rPr>
          <w:rFonts w:hint="eastAsia" w:ascii="仿宋" w:hAnsi="仿宋" w:eastAsia="仿宋" w:cs="仿宋"/>
          <w:b/>
          <w:bCs/>
          <w:sz w:val="22"/>
          <w:szCs w:val="22"/>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line="380" w:lineRule="exact"/>
        <w:rPr>
          <w:rFonts w:ascii="仿宋" w:hAnsi="仿宋" w:eastAsia="仿宋" w:cs="仿宋"/>
          <w:b/>
          <w:bCs/>
          <w:sz w:val="22"/>
          <w:szCs w:val="22"/>
        </w:rPr>
      </w:pPr>
      <w:r>
        <w:rPr>
          <w:rFonts w:hint="eastAsia" w:ascii="仿宋" w:hAnsi="仿宋" w:eastAsia="仿宋" w:cs="仿宋"/>
          <w:b/>
          <w:bCs/>
          <w:sz w:val="22"/>
          <w:szCs w:val="22"/>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line="380" w:lineRule="exact"/>
        <w:rPr>
          <w:rFonts w:ascii="仿宋" w:hAnsi="仿宋" w:eastAsia="仿宋" w:cs="仿宋"/>
          <w:b/>
          <w:bCs/>
          <w:sz w:val="24"/>
        </w:rPr>
      </w:pPr>
      <w:r>
        <w:rPr>
          <w:rFonts w:hint="eastAsia" w:ascii="仿宋" w:hAnsi="仿宋" w:eastAsia="仿宋" w:cs="仿宋"/>
          <w:sz w:val="24"/>
        </w:rPr>
        <w:t>八、对本次招标提出询问，请按以下方式联系。</w:t>
      </w:r>
      <w:bookmarkEnd w:id="243"/>
      <w:bookmarkEnd w:id="244"/>
      <w:bookmarkEnd w:id="245"/>
      <w:bookmarkEnd w:id="246"/>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1.采购人信息</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名 称：塔什库尔干塔吉克自治县教育和科学技术局</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地 址：塔什库尔干塔吉克自治县</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联系方式：13999649790</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2.采购代理机构信息</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名 称：</w:t>
      </w:r>
      <w:r>
        <w:rPr>
          <w:rFonts w:hint="eastAsia" w:ascii="仿宋" w:hAnsi="仿宋" w:eastAsia="仿宋" w:cs="仿宋"/>
          <w:sz w:val="24"/>
          <w:lang w:val="en-US" w:eastAsia="zh-CN"/>
        </w:rPr>
        <w:t>塔什库尔干县政府采购中心</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地 址：</w:t>
      </w:r>
      <w:r>
        <w:rPr>
          <w:rFonts w:hint="eastAsia" w:ascii="仿宋" w:hAnsi="仿宋" w:eastAsia="仿宋" w:cs="仿宋"/>
          <w:sz w:val="24"/>
          <w:lang w:val="en-US" w:eastAsia="zh-CN"/>
        </w:rPr>
        <w:t>塔什库尔干县审批局二楼</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联系方式：</w:t>
      </w:r>
      <w:r>
        <w:rPr>
          <w:rFonts w:hint="eastAsia" w:ascii="仿宋" w:hAnsi="仿宋" w:eastAsia="仿宋" w:cs="仿宋"/>
          <w:sz w:val="24"/>
          <w:lang w:val="en-US" w:eastAsia="zh-CN"/>
        </w:rPr>
        <w:t>13899135173</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3.项目联系方式</w:t>
      </w:r>
    </w:p>
    <w:p>
      <w:pPr>
        <w:spacing w:line="380" w:lineRule="exact"/>
        <w:rPr>
          <w:rFonts w:hint="default" w:ascii="仿宋" w:hAnsi="仿宋" w:eastAsia="仿宋" w:cs="仿宋"/>
          <w:sz w:val="24"/>
          <w:lang w:val="en-US" w:eastAsia="zh-CN"/>
        </w:rPr>
      </w:pPr>
      <w:r>
        <w:rPr>
          <w:rFonts w:hint="default" w:ascii="仿宋" w:hAnsi="仿宋" w:eastAsia="仿宋" w:cs="仿宋"/>
          <w:sz w:val="24"/>
          <w:lang w:val="en-US" w:eastAsia="zh-CN"/>
        </w:rPr>
        <w:t>项目联系人：</w:t>
      </w:r>
      <w:r>
        <w:rPr>
          <w:rFonts w:hint="eastAsia" w:ascii="仿宋" w:hAnsi="仿宋" w:eastAsia="仿宋" w:cs="仿宋"/>
          <w:sz w:val="24"/>
          <w:lang w:val="en-US" w:eastAsia="zh-CN"/>
        </w:rPr>
        <w:t>尼加提</w:t>
      </w:r>
      <w:r>
        <w:rPr>
          <w:rFonts w:hint="default" w:ascii="仿宋" w:hAnsi="仿宋" w:eastAsia="仿宋" w:cs="仿宋"/>
          <w:sz w:val="24"/>
          <w:lang w:val="en-US" w:eastAsia="zh-CN"/>
        </w:rPr>
        <w:t xml:space="preserve">   电 话：</w:t>
      </w:r>
      <w:r>
        <w:rPr>
          <w:rFonts w:hint="eastAsia" w:ascii="仿宋" w:hAnsi="仿宋" w:eastAsia="仿宋" w:cs="仿宋"/>
          <w:sz w:val="24"/>
          <w:lang w:val="en-US" w:eastAsia="zh-CN"/>
        </w:rPr>
        <w:t>13899135173</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仿宋" w:hAnsi="仿宋" w:eastAsia="仿宋" w:cs="仿宋"/>
          <w:color w:val="auto"/>
          <w:highlight w:val="none"/>
          <w:u w:val="single"/>
          <w:lang w:val="en-US" w:eastAsia="zh-CN"/>
        </w:rPr>
      </w:pPr>
      <w:r>
        <w:rPr>
          <w:rFonts w:hint="default" w:ascii="仿宋" w:hAnsi="仿宋" w:eastAsia="仿宋" w:cs="仿宋"/>
          <w:color w:val="auto"/>
          <w:highlight w:val="none"/>
          <w:u w:val="single"/>
          <w:lang w:val="en-US" w:eastAsia="zh-CN"/>
        </w:rPr>
        <w:br w:type="page"/>
      </w:r>
    </w:p>
    <w:p>
      <w:pPr>
        <w:pStyle w:val="3"/>
        <w:pageBreakBefore w:val="0"/>
        <w:widowControl w:val="0"/>
        <w:numPr>
          <w:ilvl w:val="0"/>
          <w:numId w:val="0"/>
        </w:numPr>
        <w:tabs>
          <w:tab w:val="left" w:pos="0"/>
        </w:tabs>
        <w:kinsoku/>
        <w:wordWrap/>
        <w:overflowPunct/>
        <w:topLinePunct w:val="0"/>
        <w:bidi w:val="0"/>
        <w:snapToGrid/>
        <w:spacing w:before="0" w:after="0" w:line="360" w:lineRule="auto"/>
        <w:ind w:leftChars="0"/>
        <w:jc w:val="center"/>
        <w:textAlignment w:val="auto"/>
        <w:rPr>
          <w:rFonts w:hint="eastAsia" w:ascii="仿宋" w:hAnsi="仿宋" w:eastAsia="仿宋" w:cs="仿宋"/>
          <w:b w:val="0"/>
          <w:color w:val="auto"/>
          <w:szCs w:val="32"/>
          <w:highlight w:val="none"/>
        </w:rPr>
      </w:pPr>
      <w:r>
        <w:rPr>
          <w:rFonts w:hint="eastAsia" w:ascii="仿宋" w:hAnsi="仿宋" w:eastAsia="仿宋" w:cs="仿宋"/>
          <w:b/>
          <w:color w:val="auto"/>
          <w:highlight w:val="none"/>
          <w:lang w:val="en-US" w:eastAsia="zh-CN"/>
        </w:rPr>
        <w:t>第4章</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须知资料表</w:t>
      </w:r>
      <w:bookmarkEnd w:id="221"/>
      <w:bookmarkEnd w:id="222"/>
      <w:bookmarkEnd w:id="223"/>
      <w:bookmarkEnd w:id="224"/>
    </w:p>
    <w:bookmarkEnd w:id="225"/>
    <w:p>
      <w:pPr>
        <w:pageBreakBefore w:val="0"/>
        <w:widowControl w:val="0"/>
        <w:kinsoku/>
        <w:wordWrap/>
        <w:overflowPunct/>
        <w:topLinePunct w:val="0"/>
        <w:bidi w:val="0"/>
        <w:snapToGrid/>
        <w:spacing w:line="360" w:lineRule="auto"/>
        <w:ind w:firstLine="360" w:firstLineChars="15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本表是本招标项目的具体资料，是对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须知的具体补充和修改，如有矛盾，应</w:t>
      </w:r>
      <w:r>
        <w:rPr>
          <w:rFonts w:hint="eastAsia" w:ascii="仿宋" w:hAnsi="仿宋" w:eastAsia="仿宋" w:cs="仿宋"/>
          <w:b/>
          <w:color w:val="auto"/>
          <w:sz w:val="24"/>
          <w:highlight w:val="none"/>
        </w:rPr>
        <w:t>以本资料表为准</w:t>
      </w:r>
      <w:r>
        <w:rPr>
          <w:rFonts w:hint="eastAsia" w:ascii="仿宋" w:hAnsi="仿宋" w:eastAsia="仿宋" w:cs="仿宋"/>
          <w:color w:val="auto"/>
          <w:sz w:val="24"/>
          <w:highlight w:val="none"/>
        </w:rPr>
        <w:t>。</w:t>
      </w:r>
    </w:p>
    <w:tbl>
      <w:tblPr>
        <w:tblStyle w:val="24"/>
        <w:tblW w:w="89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73"/>
        <w:gridCol w:w="7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06" w:hRule="atLeast"/>
          <w:jc w:val="center"/>
        </w:trPr>
        <w:tc>
          <w:tcPr>
            <w:tcW w:w="1473" w:type="dxa"/>
            <w:shd w:val="clear" w:color="auto" w:fill="FEFEFE"/>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条款号</w:t>
            </w:r>
          </w:p>
        </w:tc>
        <w:tc>
          <w:tcPr>
            <w:tcW w:w="7486" w:type="dxa"/>
            <w:shd w:val="clear" w:color="auto" w:fill="FEFEFE"/>
            <w:vAlign w:val="center"/>
          </w:tcPr>
          <w:p>
            <w:pPr>
              <w:spacing w:line="240" w:lineRule="atLeast"/>
              <w:jc w:val="center"/>
              <w:rPr>
                <w:rFonts w:hint="eastAsia" w:ascii="仿宋" w:hAnsi="仿宋" w:eastAsia="仿宋" w:cs="仿宋"/>
                <w:b/>
                <w:color w:val="000000"/>
                <w:sz w:val="24"/>
                <w:highlight w:val="none"/>
                <w:shd w:val="clear" w:color="auto" w:fill="auto"/>
              </w:rPr>
            </w:pPr>
            <w:r>
              <w:rPr>
                <w:rFonts w:hint="eastAsia" w:ascii="仿宋" w:hAnsi="仿宋" w:eastAsia="仿宋" w:cs="仿宋"/>
                <w:b/>
                <w:color w:val="000000"/>
                <w:sz w:val="24"/>
                <w:highlight w:val="none"/>
                <w:shd w:val="clear" w:color="auto" w:fill="auto"/>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241"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p>
        </w:tc>
        <w:tc>
          <w:tcPr>
            <w:tcW w:w="7486" w:type="dxa"/>
            <w:shd w:val="clear" w:color="auto" w:fill="EBEBEB"/>
            <w:vAlign w:val="center"/>
          </w:tcPr>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eastAsia="zh-CN"/>
              </w:rPr>
            </w:pPr>
            <w:r>
              <w:rPr>
                <w:rFonts w:hint="default" w:ascii="仿宋" w:hAnsi="仿宋" w:eastAsia="仿宋" w:cs="仿宋"/>
                <w:color w:val="000000"/>
                <w:sz w:val="24"/>
                <w:highlight w:val="none"/>
                <w:shd w:val="clear" w:color="auto" w:fill="auto"/>
                <w:lang w:val="en-US"/>
              </w:rPr>
              <w:t>采 购 人：</w:t>
            </w:r>
            <w:r>
              <w:rPr>
                <w:rFonts w:hint="default" w:ascii="仿宋" w:hAnsi="仿宋" w:eastAsia="仿宋" w:cs="仿宋"/>
                <w:color w:val="000000"/>
                <w:sz w:val="24"/>
                <w:highlight w:val="none"/>
                <w:shd w:val="clear" w:color="auto" w:fill="auto"/>
                <w:lang w:val="en-US" w:eastAsia="zh-CN"/>
              </w:rPr>
              <w:t>塔什库尔干塔吉克自治县教育和科学技术局</w:t>
            </w:r>
          </w:p>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eastAsia="zh-CN"/>
              </w:rPr>
            </w:pPr>
            <w:r>
              <w:rPr>
                <w:rFonts w:hint="default" w:ascii="仿宋" w:hAnsi="仿宋" w:eastAsia="仿宋" w:cs="仿宋"/>
                <w:color w:val="000000"/>
                <w:sz w:val="24"/>
                <w:highlight w:val="none"/>
                <w:shd w:val="clear" w:color="auto" w:fill="auto"/>
                <w:lang w:val="en-US"/>
              </w:rPr>
              <w:t>联 系 人：</w:t>
            </w:r>
            <w:r>
              <w:rPr>
                <w:rFonts w:hint="default" w:ascii="仿宋" w:hAnsi="仿宋" w:eastAsia="仿宋" w:cs="仿宋"/>
                <w:color w:val="000000"/>
                <w:sz w:val="24"/>
                <w:highlight w:val="none"/>
                <w:shd w:val="clear" w:color="auto" w:fill="auto"/>
                <w:lang w:val="en-US" w:eastAsia="zh-CN"/>
              </w:rPr>
              <w:t>卡拉米丁·阿曼比克</w:t>
            </w:r>
          </w:p>
          <w:p>
            <w:pPr>
              <w:pStyle w:val="14"/>
              <w:spacing w:line="360" w:lineRule="auto"/>
              <w:ind w:left="0" w:leftChars="0" w:firstLine="0" w:firstLineChars="0"/>
              <w:rPr>
                <w:rFonts w:hint="default" w:ascii="仿宋" w:hAnsi="仿宋" w:eastAsia="仿宋" w:cs="仿宋"/>
                <w:color w:val="000000"/>
                <w:sz w:val="24"/>
                <w:highlight w:val="none"/>
                <w:shd w:val="clear" w:color="auto" w:fill="auto"/>
                <w:lang w:val="en-US"/>
              </w:rPr>
            </w:pPr>
            <w:r>
              <w:rPr>
                <w:rFonts w:hint="default" w:ascii="仿宋" w:hAnsi="仿宋" w:eastAsia="仿宋" w:cs="仿宋"/>
                <w:color w:val="000000"/>
                <w:sz w:val="24"/>
                <w:highlight w:val="none"/>
                <w:shd w:val="clear" w:color="auto" w:fill="auto"/>
                <w:lang w:val="en-US"/>
              </w:rPr>
              <w:t>联系方式：</w:t>
            </w:r>
            <w:r>
              <w:rPr>
                <w:rFonts w:hint="default" w:ascii="仿宋" w:hAnsi="仿宋" w:eastAsia="仿宋" w:cs="仿宋"/>
                <w:color w:val="000000"/>
                <w:sz w:val="24"/>
                <w:highlight w:val="none"/>
                <w:shd w:val="clear" w:color="auto" w:fill="auto"/>
                <w:lang w:val="en-US" w:eastAsia="zh-CN"/>
              </w:rPr>
              <w:t>13999649790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131"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2</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采购代理机构：</w:t>
            </w:r>
            <w:r>
              <w:rPr>
                <w:rFonts w:hint="eastAsia" w:ascii="仿宋" w:hAnsi="仿宋" w:eastAsia="仿宋" w:cs="仿宋"/>
                <w:color w:val="000000"/>
                <w:sz w:val="24"/>
                <w:highlight w:val="none"/>
                <w:shd w:val="clear" w:color="auto" w:fill="auto"/>
                <w:lang w:val="en-US" w:eastAsia="zh-CN"/>
              </w:rPr>
              <w:t>塔什库尔干县政府采购中心</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联系人：</w:t>
            </w:r>
            <w:r>
              <w:rPr>
                <w:rFonts w:hint="eastAsia" w:ascii="仿宋" w:hAnsi="仿宋" w:eastAsia="仿宋" w:cs="仿宋"/>
                <w:color w:val="000000"/>
                <w:sz w:val="24"/>
                <w:highlight w:val="none"/>
                <w:shd w:val="clear" w:color="auto" w:fill="auto"/>
                <w:lang w:val="en-US" w:eastAsia="zh-CN"/>
              </w:rPr>
              <w:t>尼加提</w:t>
            </w:r>
          </w:p>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电话：</w:t>
            </w:r>
            <w:r>
              <w:rPr>
                <w:rFonts w:hint="eastAsia" w:ascii="仿宋" w:hAnsi="仿宋" w:eastAsia="仿宋" w:cs="仿宋"/>
                <w:color w:val="000000"/>
                <w:sz w:val="24"/>
                <w:highlight w:val="none"/>
                <w:shd w:val="clear" w:color="auto" w:fill="auto"/>
                <w:lang w:val="en-US" w:eastAsia="zh-CN"/>
              </w:rPr>
              <w:t>13899135173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363"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3</w:t>
            </w:r>
          </w:p>
        </w:tc>
        <w:tc>
          <w:tcPr>
            <w:tcW w:w="7486" w:type="dxa"/>
            <w:shd w:val="clear" w:color="auto" w:fill="EBEBEB"/>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1.满足《中华人民共和国政府采购法》第二十二条规定；</w:t>
            </w:r>
          </w:p>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2.落实政府采购政策需满足的资格要求：供应商为中小微企业;</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（1）具有合法有效的营业执照；</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2</w:t>
            </w: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2021年度或2022年度</w:t>
            </w:r>
            <w:r>
              <w:rPr>
                <w:rFonts w:hint="eastAsia" w:ascii="仿宋" w:hAnsi="仿宋" w:eastAsia="仿宋" w:cs="仿宋"/>
                <w:color w:val="000000"/>
                <w:sz w:val="24"/>
                <w:highlight w:val="none"/>
                <w:shd w:val="clear" w:color="auto" w:fill="auto"/>
                <w:lang w:val="zh-CN" w:eastAsia="zh-CN"/>
              </w:rPr>
              <w:t>的财务审计报告（新成立未满一年的公司需提供有效的银行资信证明）；</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3</w:t>
            </w:r>
            <w:r>
              <w:rPr>
                <w:rFonts w:hint="eastAsia" w:ascii="仿宋" w:hAnsi="仿宋" w:eastAsia="仿宋" w:cs="仿宋"/>
                <w:color w:val="000000"/>
                <w:sz w:val="24"/>
                <w:highlight w:val="none"/>
                <w:shd w:val="clear" w:color="auto" w:fill="auto"/>
                <w:lang w:val="zh-CN" w:eastAsia="zh-CN"/>
              </w:rPr>
              <w:t xml:space="preserve">）法定代表人授权书及被委托人身份证（法定代表人投标提供法定代表人身份证明及身份证）； </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4</w:t>
            </w:r>
            <w:r>
              <w:rPr>
                <w:rFonts w:hint="eastAsia" w:ascii="仿宋" w:hAnsi="仿宋" w:eastAsia="仿宋" w:cs="仿宋"/>
                <w:color w:val="000000"/>
                <w:sz w:val="24"/>
                <w:highlight w:val="none"/>
                <w:shd w:val="clear" w:color="auto" w:fill="auto"/>
                <w:lang w:val="zh-CN" w:eastAsia="zh-CN"/>
              </w:rPr>
              <w:t>）参加采购活动前三年内，在经营活动中无重大违法声明；</w:t>
            </w:r>
            <w:r>
              <w:rPr>
                <w:rFonts w:hint="eastAsia" w:ascii="仿宋" w:hAnsi="仿宋" w:eastAsia="仿宋" w:cs="仿宋"/>
                <w:color w:val="000000"/>
                <w:sz w:val="24"/>
                <w:highlight w:val="none"/>
                <w:shd w:val="clear" w:color="auto" w:fill="auto"/>
                <w:lang w:val="en-US" w:eastAsia="zh-CN"/>
              </w:rPr>
              <w:t>提供针对本次项目《反商业贿赂承诺书》；</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en-US" w:eastAsia="zh-CN"/>
              </w:rPr>
              <w:t>（5）提供税务部门出具的近六个月任意一个月的税收证明（完税证明或税务部门出具的其他证明，非社会保险类）及近六个月内任意1个月缴纳社会保障金的证明；</w:t>
            </w:r>
          </w:p>
          <w:p>
            <w:pPr>
              <w:spacing w:line="360" w:lineRule="auto"/>
              <w:rPr>
                <w:rFonts w:hint="eastAsia" w:ascii="仿宋" w:hAnsi="仿宋" w:eastAsia="仿宋" w:cs="仿宋"/>
                <w:color w:val="000000"/>
                <w:sz w:val="24"/>
                <w:highlight w:val="none"/>
                <w:shd w:val="clear" w:color="auto" w:fill="auto"/>
                <w:lang w:val="zh-CN"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6</w:t>
            </w:r>
            <w:r>
              <w:rPr>
                <w:rFonts w:hint="eastAsia" w:ascii="仿宋" w:hAnsi="仿宋" w:eastAsia="仿宋" w:cs="仿宋"/>
                <w:color w:val="000000"/>
                <w:sz w:val="24"/>
                <w:highlight w:val="none"/>
                <w:shd w:val="clear" w:color="auto" w:fill="auto"/>
                <w:lang w:val="zh-CN" w:eastAsia="zh-CN"/>
              </w:rPr>
              <w:t>）投标人在“信用中国”（www.creditchina.gov.cn）和中国政府采购网（www.ccgp.gov.cn）网站上未列入失信被执行人、重大税收违法案件当事人名单、政府采购严重违法失信行为记录名单（财库[2016]125号）（以开标现场招标代理或采购人查询为准）；</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7</w:t>
            </w:r>
            <w:r>
              <w:rPr>
                <w:rFonts w:hint="eastAsia" w:ascii="仿宋" w:hAnsi="仿宋" w:eastAsia="仿宋" w:cs="仿宋"/>
                <w:color w:val="000000"/>
                <w:sz w:val="24"/>
                <w:highlight w:val="none"/>
                <w:shd w:val="clear" w:color="auto" w:fill="auto"/>
                <w:lang w:val="zh-CN" w:eastAsia="zh-CN"/>
              </w:rPr>
              <w:t>）</w:t>
            </w:r>
            <w:r>
              <w:rPr>
                <w:rFonts w:hint="eastAsia" w:ascii="仿宋" w:hAnsi="仿宋" w:eastAsia="仿宋" w:cs="仿宋"/>
                <w:color w:val="000000"/>
                <w:sz w:val="24"/>
                <w:highlight w:val="none"/>
                <w:shd w:val="clear" w:color="auto" w:fill="auto"/>
                <w:lang w:val="en-US" w:eastAsia="zh-CN"/>
              </w:rPr>
              <w:t>磋商保证金缴纳凭证；</w:t>
            </w:r>
          </w:p>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b/>
                <w:bCs/>
                <w:color w:val="000000"/>
                <w:sz w:val="24"/>
                <w:highlight w:val="none"/>
                <w:shd w:val="clear" w:color="auto" w:fill="auto"/>
                <w:lang w:val="zh-CN" w:eastAsia="zh-CN"/>
              </w:rPr>
              <w:t>本项目</w:t>
            </w:r>
            <w:r>
              <w:rPr>
                <w:rFonts w:hint="eastAsia" w:ascii="仿宋" w:hAnsi="仿宋" w:eastAsia="仿宋" w:cs="仿宋"/>
                <w:b/>
                <w:bCs/>
                <w:color w:val="000000"/>
                <w:sz w:val="24"/>
                <w:highlight w:val="none"/>
                <w:shd w:val="clear" w:color="auto" w:fill="auto"/>
                <w:lang w:val="en-US" w:eastAsia="zh-CN"/>
              </w:rPr>
              <w:t>不</w:t>
            </w:r>
            <w:r>
              <w:rPr>
                <w:rFonts w:hint="eastAsia" w:ascii="仿宋" w:hAnsi="仿宋" w:eastAsia="仿宋" w:cs="仿宋"/>
                <w:b/>
                <w:bCs/>
                <w:color w:val="000000"/>
                <w:sz w:val="24"/>
                <w:highlight w:val="none"/>
                <w:shd w:val="clear" w:color="auto" w:fill="auto"/>
                <w:lang w:val="zh-CN" w:eastAsia="zh-CN"/>
              </w:rPr>
              <w:t>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07"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4</w:t>
            </w:r>
          </w:p>
        </w:tc>
        <w:tc>
          <w:tcPr>
            <w:tcW w:w="7486" w:type="dxa"/>
            <w:shd w:val="clear" w:color="auto" w:fill="E0E0E0"/>
            <w:vAlign w:val="center"/>
          </w:tcPr>
          <w:p>
            <w:pPr>
              <w:pStyle w:val="26"/>
              <w:spacing w:line="380" w:lineRule="exact"/>
              <w:ind w:left="0" w:leftChars="0" w:firstLine="0" w:firstLineChars="0"/>
              <w:rPr>
                <w:rFonts w:hint="eastAsia" w:ascii="仿宋" w:hAnsi="仿宋" w:eastAsia="仿宋" w:cs="仿宋"/>
                <w:b w:val="0"/>
                <w:bCs w:val="0"/>
                <w:color w:val="000000"/>
                <w:sz w:val="24"/>
                <w:szCs w:val="32"/>
                <w:highlight w:val="none"/>
                <w:shd w:val="clear" w:color="auto" w:fill="auto"/>
                <w:lang w:eastAsia="zh-CN"/>
              </w:rPr>
            </w:pPr>
            <w:r>
              <w:rPr>
                <w:rFonts w:hint="eastAsia" w:ascii="仿宋" w:hAnsi="仿宋" w:eastAsia="仿宋" w:cs="仿宋"/>
                <w:b w:val="0"/>
                <w:bCs w:val="0"/>
                <w:color w:val="000000"/>
                <w:sz w:val="24"/>
                <w:szCs w:val="32"/>
                <w:highlight w:val="none"/>
                <w:shd w:val="clear" w:color="auto" w:fill="auto"/>
              </w:rPr>
              <w:t>是否为专门面向中小企业采购：</w:t>
            </w:r>
            <w:r>
              <w:rPr>
                <w:rFonts w:hint="eastAsia" w:ascii="仿宋" w:hAnsi="仿宋" w:eastAsia="仿宋" w:cs="仿宋"/>
                <w:b w:val="0"/>
                <w:bCs w:val="0"/>
                <w:color w:val="000000"/>
                <w:sz w:val="24"/>
                <w:szCs w:val="32"/>
                <w:highlight w:val="none"/>
                <w:shd w:val="clear" w:color="auto" w:fill="auto"/>
                <w:lang w:eastAsia="zh-CN"/>
              </w:rPr>
              <w:t>是</w:t>
            </w:r>
          </w:p>
          <w:p>
            <w:pPr>
              <w:pStyle w:val="26"/>
              <w:spacing w:line="380" w:lineRule="exact"/>
              <w:ind w:left="0" w:leftChars="0" w:firstLine="0" w:firstLineChars="0"/>
              <w:rPr>
                <w:rFonts w:hint="eastAsia"/>
                <w:b w:val="0"/>
                <w:bCs w:val="0"/>
                <w:color w:val="000000"/>
                <w:highlight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88"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5</w:t>
            </w:r>
          </w:p>
        </w:tc>
        <w:tc>
          <w:tcPr>
            <w:tcW w:w="7486" w:type="dxa"/>
            <w:shd w:val="clear" w:color="auto" w:fill="EBEBEB"/>
            <w:vAlign w:val="center"/>
          </w:tcPr>
          <w:p>
            <w:pPr>
              <w:spacing w:line="360" w:lineRule="auto"/>
              <w:rPr>
                <w:rFonts w:hint="eastAsia" w:ascii="仿宋" w:hAnsi="仿宋" w:eastAsia="仿宋" w:cs="仿宋"/>
                <w:b w:val="0"/>
                <w:bCs w:val="0"/>
                <w:color w:val="000000"/>
                <w:sz w:val="24"/>
                <w:highlight w:val="none"/>
                <w:shd w:val="clear" w:color="auto" w:fill="auto"/>
              </w:rPr>
            </w:pPr>
            <w:r>
              <w:rPr>
                <w:rFonts w:hint="eastAsia" w:ascii="仿宋" w:hAnsi="仿宋" w:eastAsia="仿宋" w:cs="仿宋"/>
                <w:b w:val="0"/>
                <w:bCs w:val="0"/>
                <w:i w:val="0"/>
                <w:iCs w:val="0"/>
                <w:color w:val="000000"/>
                <w:sz w:val="24"/>
                <w:highlight w:val="none"/>
                <w:shd w:val="clear" w:color="auto" w:fill="auto"/>
              </w:rPr>
              <w:t>是否允许联合体投标：</w:t>
            </w:r>
            <w:r>
              <w:rPr>
                <w:rFonts w:hint="eastAsia" w:ascii="仿宋" w:hAnsi="仿宋" w:eastAsia="仿宋" w:cs="仿宋"/>
                <w:b w:val="0"/>
                <w:bCs w:val="0"/>
                <w:i w:val="0"/>
                <w:iCs w:val="0"/>
                <w:color w:val="000000"/>
                <w:sz w:val="24"/>
                <w:highlight w:val="none"/>
                <w:u w:val="single"/>
                <w:shd w:val="clear" w:color="auto" w:fill="auto"/>
              </w:rPr>
              <w:t xml:space="preserve"> </w:t>
            </w:r>
            <w:r>
              <w:rPr>
                <w:rFonts w:hint="eastAsia" w:ascii="仿宋" w:hAnsi="仿宋" w:eastAsia="仿宋" w:cs="仿宋"/>
                <w:b w:val="0"/>
                <w:bCs w:val="0"/>
                <w:i w:val="0"/>
                <w:iCs w:val="0"/>
                <w:color w:val="000000"/>
                <w:sz w:val="24"/>
                <w:highlight w:val="none"/>
                <w:u w:val="single"/>
                <w:shd w:val="clear" w:color="auto" w:fill="auto"/>
                <w:lang w:val="en-US" w:eastAsia="zh-CN"/>
              </w:rPr>
              <w:t>否</w:t>
            </w:r>
            <w:r>
              <w:rPr>
                <w:rFonts w:hint="eastAsia" w:ascii="仿宋" w:hAnsi="仿宋" w:eastAsia="仿宋" w:cs="仿宋"/>
                <w:b w:val="0"/>
                <w:bCs w:val="0"/>
                <w:i w:val="0"/>
                <w:iCs w:val="0"/>
                <w:color w:val="000000"/>
                <w:sz w:val="24"/>
                <w:highlight w:val="none"/>
                <w:u w:val="single"/>
                <w:shd w:val="clear" w:color="auto" w:fill="auto"/>
              </w:rPr>
              <w:t xml:space="preserve"> </w:t>
            </w:r>
            <w:r>
              <w:rPr>
                <w:rFonts w:hint="eastAsia" w:ascii="仿宋" w:hAnsi="仿宋" w:eastAsia="仿宋" w:cs="仿宋"/>
                <w:b w:val="0"/>
                <w:bCs w:val="0"/>
                <w:i w:val="0"/>
                <w:iCs w:val="0"/>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eastAsia" w:ascii="仿宋" w:hAnsi="仿宋" w:eastAsia="仿宋" w:cs="仿宋"/>
                <w:b w:val="0"/>
                <w:bCs w:val="0"/>
                <w:color w:val="000000"/>
                <w:sz w:val="24"/>
                <w:highlight w:val="none"/>
                <w:shd w:val="clear" w:color="auto" w:fill="auto"/>
                <w:lang w:eastAsia="zh-CN"/>
              </w:rPr>
            </w:pPr>
            <w:r>
              <w:rPr>
                <w:rFonts w:hint="eastAsia" w:ascii="仿宋" w:hAnsi="仿宋" w:eastAsia="仿宋" w:cs="仿宋"/>
                <w:b w:val="0"/>
                <w:bCs w:val="0"/>
                <w:color w:val="000000"/>
                <w:sz w:val="24"/>
                <w:highlight w:val="none"/>
                <w:shd w:val="clear" w:color="auto" w:fill="auto"/>
                <w:lang w:val="en-US" w:eastAsia="zh-CN"/>
              </w:rPr>
              <w:t>6</w:t>
            </w:r>
          </w:p>
        </w:tc>
        <w:tc>
          <w:tcPr>
            <w:tcW w:w="7486" w:type="dxa"/>
            <w:shd w:val="clear" w:color="auto" w:fill="E0E0E0"/>
            <w:vAlign w:val="center"/>
          </w:tcPr>
          <w:p>
            <w:pPr>
              <w:spacing w:line="360" w:lineRule="auto"/>
              <w:rPr>
                <w:rFonts w:hint="eastAsia" w:ascii="仿宋" w:hAnsi="仿宋" w:eastAsia="仿宋" w:cs="仿宋"/>
                <w:b w:val="0"/>
                <w:bCs w:val="0"/>
                <w:color w:val="000000"/>
                <w:sz w:val="24"/>
                <w:highlight w:val="none"/>
                <w:shd w:val="clear" w:color="auto" w:fill="auto"/>
                <w:lang w:val="en-US" w:eastAsia="zh-CN"/>
              </w:rPr>
            </w:pPr>
            <w:r>
              <w:rPr>
                <w:rFonts w:hint="eastAsia" w:ascii="仿宋" w:hAnsi="仿宋" w:eastAsia="仿宋" w:cs="仿宋"/>
                <w:b w:val="0"/>
                <w:bCs w:val="0"/>
                <w:color w:val="000000"/>
                <w:sz w:val="24"/>
                <w:highlight w:val="none"/>
                <w:shd w:val="clear" w:color="auto" w:fill="auto"/>
              </w:rPr>
              <w:t>联合体的其他资格要求：</w:t>
            </w:r>
            <w:r>
              <w:rPr>
                <w:rFonts w:hint="eastAsia" w:ascii="仿宋" w:hAnsi="仿宋" w:eastAsia="仿宋" w:cs="仿宋"/>
                <w:b w:val="0"/>
                <w:bCs w:val="0"/>
                <w:color w:val="000000"/>
                <w:sz w:val="24"/>
                <w:highlight w:val="none"/>
                <w:shd w:val="clear" w:color="auto" w:fill="auto"/>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45"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val="en-US" w:eastAsia="zh-CN"/>
              </w:rPr>
              <w:t>7</w:t>
            </w:r>
          </w:p>
        </w:tc>
        <w:tc>
          <w:tcPr>
            <w:tcW w:w="7486" w:type="dxa"/>
            <w:shd w:val="clear" w:color="auto" w:fill="EBEBEB"/>
            <w:vAlign w:val="center"/>
          </w:tcPr>
          <w:p>
            <w:pPr>
              <w:spacing w:line="360" w:lineRule="auto"/>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本项目最高限价：1207122.00元</w:t>
            </w:r>
          </w:p>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注：各投标人投标报价高于最高限价的做无效投标处理。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8</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如投标商对多个分包进行投标，可以中标</w:t>
            </w:r>
            <w:r>
              <w:rPr>
                <w:rFonts w:hint="eastAsia" w:ascii="仿宋" w:hAnsi="仿宋" w:eastAsia="仿宋" w:cs="仿宋"/>
                <w:color w:val="000000"/>
                <w:sz w:val="24"/>
                <w:highlight w:val="none"/>
                <w:u w:val="single"/>
                <w:shd w:val="clear" w:color="auto" w:fill="auto"/>
              </w:rPr>
              <w:t xml:space="preserve">  </w:t>
            </w:r>
            <w:r>
              <w:rPr>
                <w:rFonts w:hint="eastAsia" w:ascii="仿宋" w:hAnsi="仿宋" w:eastAsia="仿宋" w:cs="仿宋"/>
                <w:color w:val="000000"/>
                <w:sz w:val="24"/>
                <w:highlight w:val="none"/>
                <w:u w:val="single"/>
                <w:shd w:val="clear" w:color="auto" w:fill="auto"/>
                <w:lang w:val="en-US" w:eastAsia="zh-CN"/>
              </w:rPr>
              <w:t>/</w:t>
            </w:r>
            <w:r>
              <w:rPr>
                <w:rFonts w:hint="eastAsia" w:ascii="仿宋" w:hAnsi="仿宋" w:eastAsia="仿宋" w:cs="仿宋"/>
                <w:color w:val="000000"/>
                <w:sz w:val="24"/>
                <w:highlight w:val="none"/>
                <w:u w:val="single"/>
                <w:shd w:val="clear" w:color="auto" w:fill="auto"/>
              </w:rPr>
              <w:t xml:space="preserve"> </w:t>
            </w:r>
            <w:r>
              <w:rPr>
                <w:rFonts w:hint="eastAsia" w:ascii="仿宋" w:hAnsi="仿宋" w:eastAsia="仿宋" w:cs="仿宋"/>
                <w:color w:val="000000"/>
                <w:sz w:val="24"/>
                <w:highlight w:val="none"/>
                <w:shd w:val="clear" w:color="auto" w:fill="auto"/>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528" w:hRule="atLeast"/>
          <w:jc w:val="center"/>
        </w:trPr>
        <w:tc>
          <w:tcPr>
            <w:tcW w:w="1473" w:type="dxa"/>
            <w:shd w:val="clear" w:color="auto" w:fill="EBEBEB"/>
            <w:vAlign w:val="center"/>
          </w:tcPr>
          <w:p>
            <w:pPr>
              <w:spacing w:line="240" w:lineRule="atLeast"/>
              <w:ind w:left="1080" w:leftChars="257" w:hanging="540"/>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val="en-US" w:eastAsia="zh-CN"/>
              </w:rPr>
              <w:t>9</w:t>
            </w:r>
          </w:p>
        </w:tc>
        <w:tc>
          <w:tcPr>
            <w:tcW w:w="7486" w:type="dxa"/>
            <w:shd w:val="clear" w:color="auto" w:fill="EBEBEB"/>
            <w:vAlign w:val="center"/>
          </w:tcPr>
          <w:p>
            <w:pPr>
              <w:pStyle w:val="27"/>
              <w:tabs>
                <w:tab w:val="left" w:pos="2435"/>
                <w:tab w:val="left" w:pos="3395"/>
              </w:tabs>
              <w:spacing w:before="3" w:line="360" w:lineRule="auto"/>
              <w:ind w:left="35"/>
              <w:rPr>
                <w:rFonts w:hint="eastAsia" w:ascii="仿宋" w:hAnsi="仿宋" w:eastAsia="仿宋"/>
                <w:color w:val="000000"/>
                <w:sz w:val="24"/>
                <w:highlight w:val="none"/>
                <w:shd w:val="clear" w:color="auto" w:fill="auto"/>
              </w:rPr>
            </w:pPr>
            <w:r>
              <w:rPr>
                <w:rFonts w:hint="eastAsia" w:ascii="仿宋" w:hAnsi="仿宋" w:eastAsia="仿宋"/>
                <w:color w:val="000000"/>
                <w:sz w:val="24"/>
                <w:highlight w:val="none"/>
                <w:shd w:val="clear" w:color="auto" w:fill="auto"/>
              </w:rPr>
              <w:t>保证金形式：</w:t>
            </w:r>
            <w:r>
              <w:rPr>
                <w:rFonts w:hint="eastAsia" w:ascii="MS UI Gothic" w:hAnsi="MS UI Gothic"/>
                <w:color w:val="000000"/>
                <w:sz w:val="24"/>
                <w:highlight w:val="none"/>
                <w:shd w:val="clear" w:color="auto" w:fill="auto"/>
                <w:lang w:eastAsia="zh-CN"/>
              </w:rPr>
              <w:t>☑</w:t>
            </w:r>
            <w:r>
              <w:rPr>
                <w:rFonts w:hint="eastAsia" w:ascii="仿宋" w:hAnsi="仿宋" w:eastAsia="仿宋" w:cs="Times New Roman"/>
                <w:color w:val="000000"/>
                <w:sz w:val="24"/>
                <w:highlight w:val="none"/>
                <w:shd w:val="clear" w:color="auto" w:fill="auto"/>
                <w:lang w:val="en-US" w:eastAsia="zh-CN"/>
              </w:rPr>
              <w:t>电子</w:t>
            </w:r>
            <w:r>
              <w:rPr>
                <w:rFonts w:hint="eastAsia" w:ascii="仿宋" w:hAnsi="仿宋" w:eastAsia="仿宋" w:cs="Times New Roman"/>
                <w:color w:val="000000"/>
                <w:sz w:val="24"/>
                <w:highlight w:val="none"/>
                <w:shd w:val="clear" w:color="auto" w:fill="auto"/>
              </w:rPr>
              <w:t>保</w:t>
            </w:r>
            <w:r>
              <w:rPr>
                <w:rFonts w:hint="eastAsia" w:ascii="仿宋" w:hAnsi="仿宋" w:eastAsia="仿宋"/>
                <w:color w:val="000000"/>
                <w:sz w:val="24"/>
                <w:highlight w:val="none"/>
                <w:shd w:val="clear" w:color="auto" w:fill="auto"/>
              </w:rPr>
              <w:t>函</w:t>
            </w:r>
            <w:r>
              <w:rPr>
                <w:rFonts w:hint="eastAsia" w:ascii="MS UI Gothic" w:hAnsi="MS UI Gothic" w:eastAsia="MS UI Gothic"/>
                <w:color w:val="000000"/>
                <w:sz w:val="24"/>
                <w:highlight w:val="none"/>
                <w:shd w:val="clear" w:color="auto" w:fill="auto"/>
              </w:rPr>
              <w:t>☑</w:t>
            </w:r>
            <w:r>
              <w:rPr>
                <w:rFonts w:hint="eastAsia" w:ascii="仿宋" w:hAnsi="仿宋" w:eastAsia="仿宋"/>
                <w:color w:val="000000"/>
                <w:sz w:val="24"/>
                <w:highlight w:val="none"/>
                <w:shd w:val="clear" w:color="auto" w:fill="auto"/>
              </w:rPr>
              <w:t>电汇</w:t>
            </w:r>
            <w:r>
              <w:rPr>
                <w:rFonts w:hint="eastAsia" w:ascii="MS UI Gothic" w:hAnsi="MS UI Gothic"/>
                <w:color w:val="000000"/>
                <w:sz w:val="24"/>
                <w:highlight w:val="none"/>
                <w:shd w:val="clear" w:color="auto" w:fill="auto"/>
                <w:lang w:eastAsia="zh-CN"/>
              </w:rPr>
              <w:t>☑</w:t>
            </w:r>
            <w:r>
              <w:rPr>
                <w:rFonts w:hint="eastAsia" w:ascii="仿宋" w:hAnsi="仿宋" w:eastAsia="仿宋"/>
                <w:color w:val="000000"/>
                <w:sz w:val="24"/>
                <w:highlight w:val="none"/>
                <w:u w:val="none"/>
                <w:shd w:val="clear" w:color="auto" w:fill="auto"/>
              </w:rPr>
              <w:t>网银</w:t>
            </w:r>
            <w:r>
              <w:rPr>
                <w:rFonts w:hint="eastAsia" w:ascii="仿宋" w:hAnsi="仿宋" w:eastAsia="仿宋"/>
                <w:color w:val="000000"/>
                <w:sz w:val="24"/>
                <w:highlight w:val="none"/>
                <w:shd w:val="clear" w:color="auto" w:fill="auto"/>
              </w:rPr>
              <w:t xml:space="preserve">（本项目允许的其他形式） </w:t>
            </w:r>
          </w:p>
          <w:p>
            <w:pPr>
              <w:spacing w:line="360" w:lineRule="auto"/>
              <w:rPr>
                <w:rFonts w:hint="default" w:ascii="仿宋" w:hAnsi="仿宋" w:eastAsia="仿宋" w:cs="仿宋"/>
                <w:color w:val="000000"/>
                <w:sz w:val="24"/>
                <w:highlight w:val="none"/>
                <w:shd w:val="clear" w:color="auto" w:fill="auto"/>
                <w:lang w:val="en-US" w:eastAsia="zh-CN"/>
              </w:rPr>
            </w:pPr>
            <w:r>
              <w:rPr>
                <w:rFonts w:hint="eastAsia" w:ascii="仿宋" w:hAnsi="仿宋" w:eastAsia="仿宋"/>
                <w:color w:val="000000"/>
                <w:sz w:val="24"/>
                <w:highlight w:val="none"/>
                <w:shd w:val="clear" w:color="auto" w:fill="auto"/>
              </w:rPr>
              <w:t>保证金数额：</w:t>
            </w:r>
            <w:r>
              <w:rPr>
                <w:rFonts w:hint="eastAsia" w:ascii="仿宋" w:hAnsi="仿宋" w:eastAsia="仿宋" w:cs="仿宋"/>
                <w:color w:val="000000"/>
                <w:sz w:val="24"/>
                <w:highlight w:val="none"/>
                <w:shd w:val="clear" w:color="auto" w:fill="auto"/>
                <w:lang w:val="en-US" w:eastAsia="zh-CN"/>
              </w:rPr>
              <w:t>24000.00元</w:t>
            </w:r>
          </w:p>
          <w:p>
            <w:pPr>
              <w:pStyle w:val="27"/>
              <w:tabs>
                <w:tab w:val="left" w:pos="2435"/>
                <w:tab w:val="left" w:pos="3395"/>
              </w:tabs>
              <w:spacing w:before="3" w:line="360" w:lineRule="auto"/>
              <w:ind w:left="35"/>
              <w:rPr>
                <w:rFonts w:hint="eastAsia" w:ascii="仿宋" w:eastAsia="仿宋"/>
                <w:color w:val="000000"/>
                <w:sz w:val="24"/>
                <w:highlight w:val="none"/>
                <w:shd w:val="clear" w:color="auto" w:fill="auto"/>
              </w:rPr>
            </w:pPr>
            <w:r>
              <w:rPr>
                <w:rFonts w:hint="eastAsia" w:ascii="仿宋" w:eastAsia="仿宋"/>
                <w:color w:val="000000"/>
                <w:sz w:val="24"/>
                <w:highlight w:val="none"/>
                <w:shd w:val="clear" w:color="auto" w:fill="auto"/>
              </w:rPr>
              <w:t>（按照</w:t>
            </w:r>
            <w:r>
              <w:rPr>
                <w:rFonts w:hint="eastAsia" w:ascii="仿宋" w:eastAsia="仿宋"/>
                <w:color w:val="000000"/>
                <w:sz w:val="24"/>
                <w:highlight w:val="none"/>
                <w:shd w:val="clear" w:color="auto" w:fill="auto"/>
                <w:lang w:val="en-US" w:eastAsia="zh-CN"/>
              </w:rPr>
              <w:t>最高限价</w:t>
            </w:r>
            <w:r>
              <w:rPr>
                <w:rFonts w:hint="eastAsia" w:ascii="仿宋" w:eastAsia="仿宋"/>
                <w:color w:val="000000"/>
                <w:sz w:val="24"/>
                <w:highlight w:val="none"/>
                <w:shd w:val="clear" w:color="auto" w:fill="auto"/>
              </w:rPr>
              <w:t xml:space="preserve">控制金额2%以内的整数计算） </w:t>
            </w:r>
          </w:p>
          <w:p>
            <w:pPr>
              <w:pStyle w:val="27"/>
              <w:spacing w:line="360" w:lineRule="auto"/>
              <w:rPr>
                <w:rFonts w:hint="eastAsia" w:ascii="仿宋" w:hAnsi="Times New Roman" w:eastAsia="仿宋" w:cs="Times New Roman"/>
                <w:color w:val="000000"/>
                <w:sz w:val="24"/>
                <w:highlight w:val="none"/>
                <w:shd w:val="clear" w:color="auto" w:fill="auto"/>
              </w:rPr>
            </w:pPr>
            <w:r>
              <w:rPr>
                <w:rFonts w:hint="eastAsia" w:ascii="仿宋" w:eastAsia="仿宋"/>
                <w:b/>
                <w:color w:val="000000"/>
                <w:sz w:val="24"/>
                <w:highlight w:val="none"/>
                <w:shd w:val="clear" w:color="auto" w:fill="auto"/>
              </w:rPr>
              <w:t>投标保证金账户：</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账户：塔什库尔干塔吉克自治县教育和科学技术局 </w:t>
            </w:r>
          </w:p>
          <w:p>
            <w:pPr>
              <w:pStyle w:val="2"/>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账户号码：30579901040000416 </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开户行行号：103895357998</w:t>
            </w:r>
          </w:p>
          <w:p>
            <w:pPr>
              <w:pStyle w:val="27"/>
              <w:spacing w:line="360" w:lineRule="auto"/>
              <w:rPr>
                <w:rFonts w:hint="eastAsia" w:ascii="仿宋" w:hAnsi="Times New Roman" w:eastAsia="仿宋" w:cs="Times New Roman"/>
                <w:color w:val="000000"/>
                <w:sz w:val="24"/>
                <w:highlight w:val="none"/>
                <w:shd w:val="clear" w:color="auto" w:fill="auto"/>
                <w:lang w:val="en-US" w:eastAsia="zh-CN"/>
              </w:rPr>
            </w:pPr>
            <w:r>
              <w:rPr>
                <w:rFonts w:hint="eastAsia" w:ascii="仿宋" w:hAnsi="Times New Roman" w:eastAsia="仿宋" w:cs="Times New Roman"/>
                <w:color w:val="000000"/>
                <w:sz w:val="24"/>
                <w:highlight w:val="none"/>
                <w:shd w:val="clear" w:color="auto" w:fill="auto"/>
                <w:lang w:val="en-US" w:eastAsia="zh-CN"/>
              </w:rPr>
              <w:t xml:space="preserve">开户银行：农行塔什库尔干县支行 </w:t>
            </w:r>
          </w:p>
          <w:p>
            <w:pPr>
              <w:pStyle w:val="27"/>
              <w:spacing w:line="360" w:lineRule="auto"/>
              <w:rPr>
                <w:rFonts w:hint="eastAsia" w:ascii="仿宋" w:eastAsia="仿宋"/>
                <w:color w:val="000000"/>
                <w:sz w:val="24"/>
                <w:highlight w:val="none"/>
                <w:shd w:val="clear" w:color="auto" w:fill="auto"/>
              </w:rPr>
            </w:pPr>
            <w:r>
              <w:rPr>
                <w:rFonts w:hint="eastAsia" w:ascii="仿宋" w:eastAsia="仿宋"/>
                <w:color w:val="000000"/>
                <w:sz w:val="24"/>
                <w:highlight w:val="none"/>
                <w:shd w:val="clear" w:color="auto" w:fill="auto"/>
                <w:lang w:val="en-US" w:eastAsia="zh-CN"/>
              </w:rPr>
              <w:t>磋商</w:t>
            </w:r>
            <w:r>
              <w:rPr>
                <w:rFonts w:hint="eastAsia" w:ascii="仿宋" w:eastAsia="仿宋"/>
                <w:color w:val="000000"/>
                <w:sz w:val="24"/>
                <w:highlight w:val="none"/>
                <w:shd w:val="clear" w:color="auto" w:fill="auto"/>
              </w:rPr>
              <w:t>保证金截止时间：</w:t>
            </w:r>
            <w:r>
              <w:rPr>
                <w:rFonts w:hint="eastAsia" w:ascii="仿宋" w:eastAsia="仿宋"/>
                <w:color w:val="000000"/>
                <w:sz w:val="24"/>
                <w:highlight w:val="none"/>
                <w:shd w:val="clear" w:color="auto" w:fill="auto"/>
                <w:lang w:eastAsia="zh-CN"/>
              </w:rPr>
              <w:t>202</w:t>
            </w:r>
            <w:r>
              <w:rPr>
                <w:rFonts w:hint="eastAsia" w:ascii="仿宋" w:eastAsia="仿宋"/>
                <w:color w:val="000000"/>
                <w:sz w:val="24"/>
                <w:highlight w:val="none"/>
                <w:shd w:val="clear" w:color="auto" w:fill="auto"/>
                <w:lang w:val="en-US" w:eastAsia="zh-CN"/>
              </w:rPr>
              <w:t>3</w:t>
            </w:r>
            <w:r>
              <w:rPr>
                <w:rFonts w:hint="eastAsia" w:ascii="仿宋" w:eastAsia="仿宋"/>
                <w:color w:val="000000"/>
                <w:sz w:val="24"/>
                <w:highlight w:val="none"/>
                <w:shd w:val="clear" w:color="auto" w:fill="auto"/>
                <w:lang w:eastAsia="zh-CN"/>
              </w:rPr>
              <w:t>年</w:t>
            </w:r>
            <w:r>
              <w:rPr>
                <w:rFonts w:hint="eastAsia" w:ascii="仿宋" w:eastAsia="仿宋"/>
                <w:color w:val="000000"/>
                <w:sz w:val="24"/>
                <w:highlight w:val="none"/>
                <w:shd w:val="clear" w:color="auto" w:fill="auto"/>
                <w:lang w:val="en-US" w:eastAsia="zh-CN"/>
              </w:rPr>
              <w:t>5</w:t>
            </w:r>
            <w:r>
              <w:rPr>
                <w:rFonts w:hint="eastAsia" w:ascii="仿宋" w:eastAsia="仿宋"/>
                <w:color w:val="000000"/>
                <w:sz w:val="24"/>
                <w:highlight w:val="none"/>
                <w:shd w:val="clear" w:color="auto" w:fill="auto"/>
                <w:lang w:eastAsia="zh-CN"/>
              </w:rPr>
              <w:t>月</w:t>
            </w:r>
            <w:r>
              <w:rPr>
                <w:rFonts w:hint="eastAsia" w:ascii="仿宋" w:eastAsia="仿宋"/>
                <w:color w:val="000000"/>
                <w:sz w:val="24"/>
                <w:highlight w:val="none"/>
                <w:shd w:val="clear" w:color="auto" w:fill="auto"/>
                <w:lang w:val="en-US" w:eastAsia="zh-CN"/>
              </w:rPr>
              <w:t>29</w:t>
            </w:r>
            <w:r>
              <w:rPr>
                <w:rFonts w:hint="eastAsia" w:ascii="仿宋" w:eastAsia="仿宋"/>
                <w:color w:val="000000"/>
                <w:sz w:val="24"/>
                <w:highlight w:val="none"/>
                <w:shd w:val="clear" w:color="auto" w:fill="auto"/>
                <w:lang w:eastAsia="zh-CN"/>
              </w:rPr>
              <w:t>日</w:t>
            </w:r>
            <w:r>
              <w:rPr>
                <w:rFonts w:hint="eastAsia" w:ascii="仿宋" w:eastAsia="仿宋"/>
                <w:color w:val="000000"/>
                <w:sz w:val="24"/>
                <w:highlight w:val="none"/>
                <w:shd w:val="clear" w:color="auto" w:fill="auto"/>
                <w:lang w:val="en-US" w:eastAsia="zh-CN"/>
              </w:rPr>
              <w:t>11:00</w:t>
            </w:r>
            <w:r>
              <w:rPr>
                <w:rFonts w:hint="eastAsia" w:ascii="仿宋" w:eastAsia="仿宋"/>
                <w:color w:val="000000"/>
                <w:sz w:val="24"/>
                <w:highlight w:val="none"/>
                <w:shd w:val="clear" w:color="auto" w:fill="auto"/>
              </w:rPr>
              <w:t>（北京时间）。</w:t>
            </w:r>
            <w:r>
              <w:rPr>
                <w:rFonts w:hint="eastAsia" w:ascii="仿宋" w:eastAsia="仿宋"/>
                <w:b/>
                <w:bCs/>
                <w:color w:val="000000"/>
                <w:sz w:val="24"/>
                <w:highlight w:val="none"/>
                <w:shd w:val="clear" w:color="auto" w:fill="auto"/>
              </w:rPr>
              <w:t>打款时注明投标保证金项目名称</w:t>
            </w:r>
            <w:r>
              <w:rPr>
                <w:rFonts w:hint="eastAsia" w:ascii="仿宋" w:eastAsia="仿宋"/>
                <w:b/>
                <w:bCs/>
                <w:color w:val="000000"/>
                <w:sz w:val="24"/>
                <w:highlight w:val="none"/>
                <w:shd w:val="clear" w:color="auto" w:fill="auto"/>
                <w:lang w:eastAsia="zh-CN"/>
              </w:rPr>
              <w:t>（</w:t>
            </w:r>
            <w:r>
              <w:rPr>
                <w:rFonts w:hint="eastAsia" w:ascii="仿宋" w:eastAsia="仿宋"/>
                <w:b/>
                <w:bCs/>
                <w:color w:val="000000"/>
                <w:sz w:val="24"/>
                <w:highlight w:val="none"/>
                <w:shd w:val="clear" w:color="auto" w:fill="auto"/>
                <w:lang w:val="en-US" w:eastAsia="zh-CN"/>
              </w:rPr>
              <w:t>包号</w:t>
            </w:r>
            <w:r>
              <w:rPr>
                <w:rFonts w:hint="eastAsia" w:ascii="仿宋" w:eastAsia="仿宋"/>
                <w:b/>
                <w:bCs/>
                <w:color w:val="000000"/>
                <w:sz w:val="24"/>
                <w:highlight w:val="none"/>
                <w:shd w:val="clear" w:color="auto" w:fill="auto"/>
                <w:lang w:eastAsia="zh-CN"/>
              </w:rPr>
              <w:t>）</w:t>
            </w:r>
            <w:r>
              <w:rPr>
                <w:rFonts w:hint="eastAsia" w:ascii="仿宋" w:eastAsia="仿宋"/>
                <w:b/>
                <w:bCs/>
                <w:color w:val="000000"/>
                <w:sz w:val="24"/>
                <w:highlight w:val="none"/>
                <w:shd w:val="clear" w:color="auto" w:fill="auto"/>
              </w:rPr>
              <w:t>及项目编号。</w:t>
            </w:r>
          </w:p>
          <w:p>
            <w:pPr>
              <w:pStyle w:val="27"/>
              <w:spacing w:line="360" w:lineRule="auto"/>
              <w:rPr>
                <w:rFonts w:hint="eastAsia" w:ascii="仿宋" w:hAnsi="仿宋" w:eastAsia="仿宋" w:cs="仿宋"/>
                <w:i/>
                <w:color w:val="000000"/>
                <w:sz w:val="24"/>
                <w:highlight w:val="none"/>
                <w:shd w:val="clear" w:color="auto" w:fill="auto"/>
                <w:lang w:eastAsia="zh-CN"/>
              </w:rPr>
            </w:pPr>
            <w:r>
              <w:rPr>
                <w:rFonts w:hint="eastAsia" w:ascii="仿宋" w:eastAsia="仿宋"/>
                <w:color w:val="000000"/>
                <w:sz w:val="24"/>
                <w:highlight w:val="none"/>
                <w:shd w:val="clear" w:color="auto" w:fill="auto"/>
              </w:rPr>
              <w:t>注：汇款时注明投标保证金项目名称及项目编号（如有包段，需注明包段）。</w:t>
            </w:r>
            <w:r>
              <w:rPr>
                <w:rFonts w:hint="eastAsia" w:ascii="仿宋" w:eastAsia="仿宋"/>
                <w:color w:val="000000"/>
                <w:sz w:val="24"/>
                <w:highlight w:val="none"/>
                <w:shd w:val="clear" w:color="auto" w:fill="auto"/>
                <w:lang w:val="en-US" w:eastAsia="zh-CN"/>
              </w:rPr>
              <w:t>磋商</w:t>
            </w:r>
            <w:r>
              <w:rPr>
                <w:rFonts w:hint="eastAsia" w:ascii="仿宋" w:eastAsia="仿宋"/>
                <w:color w:val="000000"/>
                <w:sz w:val="24"/>
                <w:highlight w:val="none"/>
                <w:shd w:val="clear" w:color="auto" w:fill="auto"/>
              </w:rPr>
              <w:t>保证金截止时间</w:t>
            </w:r>
            <w:r>
              <w:rPr>
                <w:rFonts w:hint="eastAsia" w:ascii="仿宋" w:eastAsia="仿宋"/>
                <w:color w:val="000000"/>
                <w:sz w:val="24"/>
                <w:highlight w:val="none"/>
                <w:shd w:val="clear" w:color="auto" w:fill="auto"/>
                <w:lang w:val="en-US" w:eastAsia="zh-CN"/>
              </w:rPr>
              <w:t>前将磋商</w:t>
            </w:r>
            <w:r>
              <w:rPr>
                <w:rFonts w:hint="eastAsia" w:ascii="仿宋" w:eastAsia="仿宋"/>
                <w:color w:val="000000"/>
                <w:sz w:val="24"/>
                <w:highlight w:val="none"/>
                <w:shd w:val="clear" w:color="auto" w:fill="auto"/>
              </w:rPr>
              <w:t>保证金</w:t>
            </w:r>
            <w:r>
              <w:rPr>
                <w:rFonts w:hint="eastAsia" w:ascii="仿宋" w:eastAsia="仿宋"/>
                <w:color w:val="000000"/>
                <w:sz w:val="24"/>
                <w:highlight w:val="none"/>
                <w:shd w:val="clear" w:color="auto" w:fill="auto"/>
                <w:lang w:val="en-US" w:eastAsia="zh-CN"/>
              </w:rPr>
              <w:t>从供应商基本账户</w:t>
            </w:r>
            <w:r>
              <w:rPr>
                <w:rFonts w:hint="eastAsia" w:ascii="仿宋" w:eastAsia="仿宋"/>
                <w:color w:val="000000"/>
                <w:sz w:val="24"/>
                <w:highlight w:val="none"/>
                <w:shd w:val="clear" w:color="auto" w:fill="auto"/>
              </w:rPr>
              <w:t>转入，</w:t>
            </w:r>
            <w:r>
              <w:rPr>
                <w:rFonts w:hint="eastAsia" w:ascii="仿宋" w:eastAsia="仿宋"/>
                <w:color w:val="000000"/>
                <w:sz w:val="24"/>
                <w:highlight w:val="none"/>
                <w:shd w:val="clear" w:color="auto" w:fill="auto"/>
                <w:lang w:val="en-US" w:eastAsia="zh-CN"/>
              </w:rPr>
              <w:t>将磋商保证金银行汇款凭证放入投标文件中</w:t>
            </w:r>
            <w:r>
              <w:rPr>
                <w:rFonts w:hint="eastAsia" w:ascii="仿宋" w:eastAsia="仿宋"/>
                <w:color w:val="000000"/>
                <w:sz w:val="24"/>
                <w:highlight w:val="none"/>
                <w:shd w:val="clear" w:color="auto" w:fill="auto"/>
              </w:rPr>
              <w:t>。（</w:t>
            </w:r>
            <w:r>
              <w:rPr>
                <w:rFonts w:hint="eastAsia" w:ascii="仿宋" w:eastAsia="仿宋"/>
                <w:color w:val="000000"/>
                <w:sz w:val="24"/>
                <w:highlight w:val="none"/>
                <w:shd w:val="clear" w:color="auto" w:fill="auto"/>
                <w:lang w:val="en-US" w:eastAsia="zh-CN"/>
              </w:rPr>
              <w:t>以保证金到账时间为准，供应商应充分考虑到账时间</w:t>
            </w:r>
            <w:r>
              <w:rPr>
                <w:rFonts w:hint="eastAsia" w:ascii="仿宋" w:eastAsia="仿宋"/>
                <w:color w:val="000000"/>
                <w:sz w:val="24"/>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40"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10</w:t>
            </w:r>
          </w:p>
        </w:tc>
        <w:tc>
          <w:tcPr>
            <w:tcW w:w="7486" w:type="dxa"/>
            <w:shd w:val="clear" w:color="auto" w:fill="E0E0E0"/>
            <w:vAlign w:val="center"/>
          </w:tcPr>
          <w:p>
            <w:pPr>
              <w:spacing w:line="24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color w:val="000000"/>
                <w:sz w:val="24"/>
                <w:highlight w:val="none"/>
                <w:shd w:val="clear" w:color="auto" w:fill="auto"/>
              </w:rPr>
              <w:t>投标有效期：</w:t>
            </w:r>
            <w:r>
              <w:rPr>
                <w:rFonts w:hint="eastAsia" w:ascii="仿宋" w:hAnsi="仿宋" w:eastAsia="仿宋" w:cs="仿宋"/>
                <w:color w:val="000000"/>
                <w:sz w:val="24"/>
                <w:highlight w:val="none"/>
                <w:u w:val="single"/>
                <w:shd w:val="clear" w:color="auto" w:fill="auto"/>
                <w:lang w:val="en-US" w:eastAsia="zh-CN"/>
              </w:rPr>
              <w:t>90</w:t>
            </w:r>
            <w:r>
              <w:rPr>
                <w:rFonts w:hint="eastAsia" w:ascii="仿宋" w:hAnsi="仿宋" w:eastAsia="仿宋" w:cs="仿宋"/>
                <w:color w:val="000000"/>
                <w:sz w:val="24"/>
                <w:highlight w:val="none"/>
                <w:shd w:val="clear" w:color="auto" w:fill="auto"/>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11</w:t>
            </w:r>
          </w:p>
        </w:tc>
        <w:tc>
          <w:tcPr>
            <w:tcW w:w="7486" w:type="dxa"/>
            <w:shd w:val="clear" w:color="auto" w:fill="EBEBEB"/>
            <w:vAlign w:val="center"/>
          </w:tcPr>
          <w:p>
            <w:pPr>
              <w:spacing w:line="360" w:lineRule="auto"/>
              <w:rPr>
                <w:rFonts w:hint="eastAsia" w:ascii="仿宋" w:hAnsi="仿宋" w:eastAsia="仿宋" w:cs="仿宋"/>
                <w:b/>
                <w:bCs/>
                <w:color w:val="000000"/>
                <w:sz w:val="24"/>
                <w:highlight w:val="none"/>
                <w:u w:val="single"/>
                <w:shd w:val="clear" w:color="auto" w:fill="auto"/>
                <w:lang w:val="en-US" w:eastAsia="zh-CN"/>
              </w:rPr>
            </w:pPr>
            <w:r>
              <w:rPr>
                <w:rFonts w:hint="eastAsia" w:ascii="仿宋" w:hAnsi="仿宋" w:eastAsia="仿宋" w:cs="仿宋"/>
                <w:b/>
                <w:bCs/>
                <w:color w:val="000000"/>
                <w:sz w:val="24"/>
                <w:highlight w:val="none"/>
                <w:u w:val="single"/>
                <w:shd w:val="clear" w:color="auto" w:fill="auto"/>
                <w:lang w:eastAsia="zh-CN"/>
              </w:rPr>
              <w:t>投标人</w:t>
            </w:r>
            <w:r>
              <w:rPr>
                <w:rFonts w:hint="eastAsia" w:ascii="仿宋" w:hAnsi="仿宋" w:eastAsia="仿宋" w:cs="仿宋"/>
                <w:b/>
                <w:bCs/>
                <w:color w:val="000000"/>
                <w:sz w:val="24"/>
                <w:highlight w:val="none"/>
                <w:u w:val="single"/>
                <w:shd w:val="clear" w:color="auto" w:fill="auto"/>
              </w:rPr>
              <w:t>应完整地按</w:t>
            </w:r>
            <w:r>
              <w:rPr>
                <w:rFonts w:hint="eastAsia" w:ascii="仿宋" w:hAnsi="仿宋" w:eastAsia="仿宋" w:cs="仿宋"/>
                <w:b/>
                <w:bCs/>
                <w:color w:val="000000"/>
                <w:sz w:val="24"/>
                <w:highlight w:val="none"/>
                <w:u w:val="single"/>
                <w:shd w:val="clear" w:color="auto" w:fill="auto"/>
                <w:lang w:eastAsia="zh-CN"/>
              </w:rPr>
              <w:t>磋商文件</w:t>
            </w:r>
            <w:r>
              <w:rPr>
                <w:rFonts w:hint="eastAsia" w:ascii="仿宋" w:hAnsi="仿宋" w:eastAsia="仿宋" w:cs="仿宋"/>
                <w:b/>
                <w:bCs/>
                <w:color w:val="000000"/>
                <w:sz w:val="24"/>
                <w:highlight w:val="none"/>
                <w:u w:val="single"/>
                <w:shd w:val="clear" w:color="auto" w:fill="auto"/>
              </w:rPr>
              <w:t>提供的</w:t>
            </w:r>
            <w:r>
              <w:rPr>
                <w:rFonts w:hint="eastAsia" w:ascii="仿宋" w:hAnsi="仿宋" w:eastAsia="仿宋" w:cs="仿宋"/>
                <w:b/>
                <w:bCs/>
                <w:color w:val="000000"/>
                <w:sz w:val="24"/>
                <w:highlight w:val="none"/>
                <w:u w:val="single"/>
                <w:shd w:val="clear" w:color="auto" w:fill="auto"/>
                <w:lang w:eastAsia="zh-CN"/>
              </w:rPr>
              <w:t>响应文件</w:t>
            </w:r>
            <w:r>
              <w:rPr>
                <w:rFonts w:hint="eastAsia" w:ascii="仿宋" w:hAnsi="仿宋" w:eastAsia="仿宋" w:cs="仿宋"/>
                <w:b/>
                <w:bCs/>
                <w:color w:val="000000"/>
                <w:sz w:val="24"/>
                <w:highlight w:val="none"/>
                <w:u w:val="single"/>
                <w:shd w:val="clear" w:color="auto" w:fill="auto"/>
              </w:rPr>
              <w:t>格式及要求编写</w:t>
            </w:r>
            <w:r>
              <w:rPr>
                <w:rFonts w:hint="eastAsia" w:ascii="仿宋" w:hAnsi="仿宋" w:eastAsia="仿宋" w:cs="仿宋"/>
                <w:b/>
                <w:bCs/>
                <w:color w:val="000000"/>
                <w:sz w:val="24"/>
                <w:highlight w:val="none"/>
                <w:u w:val="single"/>
                <w:shd w:val="clear" w:color="auto" w:fill="auto"/>
                <w:lang w:eastAsia="zh-CN"/>
              </w:rPr>
              <w:t>响应文件，</w:t>
            </w:r>
            <w:r>
              <w:rPr>
                <w:rFonts w:hint="eastAsia" w:ascii="仿宋" w:hAnsi="仿宋" w:eastAsia="仿宋" w:cs="仿宋"/>
                <w:b/>
                <w:bCs/>
                <w:color w:val="000000"/>
                <w:sz w:val="24"/>
                <w:highlight w:val="none"/>
                <w:u w:val="single"/>
                <w:shd w:val="clear" w:color="auto" w:fill="auto"/>
                <w:lang w:val="en-US" w:eastAsia="zh-CN"/>
              </w:rPr>
              <w:t xml:space="preserve"> 投标人须在投标截止时间前完成在系统上递交电子响应文件。投标人的电子响应文件是经过CA证书加密后上传提交的，任何单位或个人均无法在投标截止时间(即磋商时间)之前查看或篡改，不存在泄密风险。（严格按照政采云电子投标流程制作并上传电子响应文件）</w:t>
            </w:r>
          </w:p>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b/>
                <w:bCs/>
                <w:color w:val="000000"/>
                <w:sz w:val="24"/>
                <w:highlight w:val="none"/>
                <w:u w:val="single"/>
                <w:shd w:val="clear" w:color="auto" w:fill="auto"/>
                <w:lang w:val="en-US" w:eastAsia="zh-CN"/>
              </w:rPr>
              <w:t>代理机构开启第二轮报价环节后，各投标人应尽快在政采云系统提交各自的二轮报价，超过30分钟（自代理机构开启第二轮报价环节起计算）未提交二轮报价的视为放弃投标。敬请注意！！！整个开标环节需要投标人在系统确认的报价等信息最长时限均为30分钟。敬请注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9"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12</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投标截止时间：2023年05月29日 11:00（北京时间）</w:t>
            </w:r>
          </w:p>
          <w:p>
            <w:pPr>
              <w:spacing w:line="360" w:lineRule="auto"/>
              <w:rPr>
                <w:rFonts w:hint="eastAsia" w:ascii="仿宋" w:hAnsi="仿宋" w:eastAsia="仿宋" w:cs="仿宋"/>
                <w:color w:val="000000"/>
                <w:highlight w:val="none"/>
                <w:shd w:val="clear" w:color="auto" w:fill="auto"/>
              </w:rPr>
            </w:pPr>
            <w:r>
              <w:rPr>
                <w:rFonts w:hint="eastAsia" w:ascii="仿宋" w:hAnsi="仿宋" w:eastAsia="仿宋" w:cs="仿宋"/>
                <w:color w:val="000000"/>
                <w:sz w:val="24"/>
                <w:highlight w:val="none"/>
                <w:shd w:val="clear" w:color="auto" w:fill="auto"/>
                <w:lang w:val="en-US" w:eastAsia="zh-CN"/>
              </w:rPr>
              <w:t>投标地点：https://www.zcygov.cn在线投标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59"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13</w:t>
            </w:r>
          </w:p>
        </w:tc>
        <w:tc>
          <w:tcPr>
            <w:tcW w:w="7486" w:type="dxa"/>
            <w:shd w:val="clear" w:color="auto" w:fill="EBEBEB"/>
            <w:vAlign w:val="center"/>
          </w:tcPr>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color w:val="000000"/>
                <w:sz w:val="24"/>
                <w:highlight w:val="none"/>
                <w:shd w:val="clear" w:color="auto" w:fill="auto"/>
                <w:lang w:val="en-US" w:eastAsia="zh-CN"/>
              </w:rPr>
              <w:t>开标</w:t>
            </w:r>
            <w:r>
              <w:rPr>
                <w:rFonts w:hint="eastAsia" w:ascii="仿宋" w:hAnsi="仿宋" w:eastAsia="仿宋" w:cs="仿宋"/>
                <w:color w:val="000000"/>
                <w:sz w:val="24"/>
                <w:highlight w:val="none"/>
                <w:shd w:val="clear" w:color="auto" w:fill="auto"/>
              </w:rPr>
              <w:t>时间：</w:t>
            </w:r>
            <w:r>
              <w:rPr>
                <w:rFonts w:hint="eastAsia" w:ascii="仿宋" w:hAnsi="仿宋" w:eastAsia="仿宋" w:cs="仿宋"/>
                <w:color w:val="000000"/>
                <w:sz w:val="24"/>
                <w:highlight w:val="none"/>
                <w:shd w:val="clear" w:color="auto" w:fill="auto"/>
                <w:lang w:val="en-US" w:eastAsia="zh-CN"/>
              </w:rPr>
              <w:t>2023年05月29日 11:00（北京时间）</w:t>
            </w:r>
          </w:p>
          <w:p>
            <w:pPr>
              <w:spacing w:line="360" w:lineRule="auto"/>
              <w:rPr>
                <w:rFonts w:hint="default" w:ascii="仿宋" w:hAnsi="仿宋" w:eastAsia="仿宋" w:cs="仿宋"/>
                <w:color w:val="000000"/>
                <w:sz w:val="24"/>
                <w:highlight w:val="none"/>
                <w:shd w:val="clear" w:color="auto" w:fill="auto"/>
                <w:lang w:val="en-US"/>
              </w:rPr>
            </w:pPr>
            <w:r>
              <w:rPr>
                <w:rFonts w:hint="eastAsia" w:ascii="仿宋" w:hAnsi="仿宋" w:eastAsia="仿宋" w:cs="仿宋"/>
                <w:color w:val="000000"/>
                <w:sz w:val="24"/>
                <w:highlight w:val="none"/>
                <w:shd w:val="clear" w:color="auto" w:fill="auto"/>
                <w:lang w:val="en-US" w:eastAsia="zh-CN"/>
              </w:rPr>
              <w:t>开标</w:t>
            </w:r>
            <w:r>
              <w:rPr>
                <w:rFonts w:hint="eastAsia" w:ascii="仿宋" w:hAnsi="仿宋" w:eastAsia="仿宋" w:cs="仿宋"/>
                <w:color w:val="000000"/>
                <w:sz w:val="24"/>
                <w:highlight w:val="none"/>
                <w:shd w:val="clear" w:color="auto" w:fill="auto"/>
              </w:rPr>
              <w:t>地点：</w:t>
            </w:r>
            <w:r>
              <w:rPr>
                <w:rFonts w:hint="eastAsia" w:ascii="仿宋" w:hAnsi="仿宋" w:eastAsia="仿宋" w:cs="仿宋"/>
                <w:color w:val="auto"/>
                <w:sz w:val="24"/>
                <w:lang w:val="en-US" w:eastAsia="zh-CN"/>
              </w:rPr>
              <w:t>喀什市前海宾馆3楼会议室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14</w:t>
            </w:r>
          </w:p>
        </w:tc>
        <w:tc>
          <w:tcPr>
            <w:tcW w:w="7486" w:type="dxa"/>
            <w:shd w:val="clear" w:color="auto" w:fill="E0E0E0"/>
            <w:vAlign w:val="center"/>
          </w:tcPr>
          <w:p>
            <w:pPr>
              <w:spacing w:line="360" w:lineRule="auto"/>
              <w:rPr>
                <w:rFonts w:hint="eastAsia" w:ascii="仿宋" w:hAnsi="仿宋" w:eastAsia="仿宋" w:cs="仿宋"/>
                <w:i/>
                <w:color w:val="000000"/>
                <w:sz w:val="24"/>
                <w:highlight w:val="none"/>
                <w:shd w:val="clear" w:color="auto" w:fill="auto"/>
              </w:rPr>
            </w:pPr>
            <w:r>
              <w:rPr>
                <w:rFonts w:hint="eastAsia" w:ascii="仿宋" w:hAnsi="仿宋" w:eastAsia="仿宋" w:cs="仿宋"/>
                <w:color w:val="000000"/>
                <w:sz w:val="24"/>
                <w:highlight w:val="none"/>
                <w:shd w:val="clear" w:color="auto" w:fill="auto"/>
              </w:rPr>
              <w:t>评标方法：</w:t>
            </w:r>
            <w:r>
              <w:rPr>
                <w:rFonts w:hint="eastAsia" w:ascii="仿宋" w:hAnsi="仿宋" w:eastAsia="仿宋" w:cs="仿宋"/>
                <w:color w:val="000000"/>
                <w:sz w:val="24"/>
                <w:highlight w:val="none"/>
                <w:u w:val="none"/>
                <w:shd w:val="clear" w:color="auto" w:fill="auto"/>
              </w:rPr>
              <w:t>综合评分法　　</w:t>
            </w:r>
            <w:r>
              <w:rPr>
                <w:rFonts w:hint="eastAsia" w:ascii="仿宋" w:hAnsi="仿宋" w:eastAsia="仿宋" w:cs="仿宋"/>
                <w:color w:val="000000"/>
                <w:sz w:val="24"/>
                <w:highlight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15</w:t>
            </w:r>
          </w:p>
        </w:tc>
        <w:tc>
          <w:tcPr>
            <w:tcW w:w="7486" w:type="dxa"/>
            <w:shd w:val="clear" w:color="auto" w:fill="EBEBEB"/>
            <w:vAlign w:val="center"/>
          </w:tcPr>
          <w:p>
            <w:pPr>
              <w:spacing w:line="360" w:lineRule="auto"/>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推荐中标候选</w:t>
            </w:r>
            <w:r>
              <w:rPr>
                <w:rFonts w:hint="eastAsia" w:ascii="仿宋" w:hAnsi="仿宋" w:eastAsia="仿宋" w:cs="仿宋"/>
                <w:color w:val="000000"/>
                <w:sz w:val="24"/>
                <w:highlight w:val="none"/>
                <w:shd w:val="clear" w:color="auto" w:fill="auto"/>
                <w:lang w:eastAsia="zh-CN"/>
              </w:rPr>
              <w:t>投标人</w:t>
            </w:r>
            <w:r>
              <w:rPr>
                <w:rFonts w:hint="eastAsia" w:ascii="仿宋" w:hAnsi="仿宋" w:eastAsia="仿宋" w:cs="仿宋"/>
                <w:color w:val="000000"/>
                <w:sz w:val="24"/>
                <w:highlight w:val="none"/>
                <w:shd w:val="clear" w:color="auto" w:fill="auto"/>
              </w:rPr>
              <w:t>的数量：</w:t>
            </w:r>
            <w:r>
              <w:rPr>
                <w:rFonts w:hint="eastAsia" w:ascii="仿宋" w:hAnsi="仿宋" w:eastAsia="仿宋" w:cs="仿宋"/>
                <w:color w:val="000000"/>
                <w:sz w:val="24"/>
                <w:highlight w:val="none"/>
                <w:u w:val="single"/>
                <w:shd w:val="clear" w:color="auto" w:fill="auto"/>
                <w:lang w:val="en-US" w:eastAsia="zh-CN"/>
              </w:rPr>
              <w:t>三名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16</w:t>
            </w:r>
          </w:p>
        </w:tc>
        <w:tc>
          <w:tcPr>
            <w:tcW w:w="7486" w:type="dxa"/>
            <w:shd w:val="clear" w:color="auto" w:fill="E0E0E0"/>
            <w:vAlign w:val="center"/>
          </w:tcPr>
          <w:p>
            <w:pPr>
              <w:spacing w:line="36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lang w:eastAsia="zh-CN"/>
              </w:rPr>
              <w:t>采购人</w:t>
            </w:r>
            <w:r>
              <w:rPr>
                <w:rFonts w:hint="eastAsia" w:ascii="仿宋" w:hAnsi="仿宋" w:eastAsia="仿宋" w:cs="仿宋"/>
                <w:color w:val="000000"/>
                <w:sz w:val="24"/>
                <w:highlight w:val="none"/>
                <w:shd w:val="clear" w:color="auto" w:fill="auto"/>
              </w:rPr>
              <w:t>是否委托</w:t>
            </w:r>
            <w:r>
              <w:rPr>
                <w:rFonts w:hint="eastAsia" w:ascii="仿宋" w:hAnsi="仿宋" w:eastAsia="仿宋" w:cs="仿宋"/>
                <w:color w:val="000000"/>
                <w:sz w:val="24"/>
                <w:highlight w:val="none"/>
                <w:shd w:val="clear" w:color="auto" w:fill="auto"/>
                <w:lang w:eastAsia="zh-CN"/>
              </w:rPr>
              <w:t>磋商小组</w:t>
            </w:r>
            <w:r>
              <w:rPr>
                <w:rFonts w:hint="eastAsia" w:ascii="仿宋" w:hAnsi="仿宋" w:eastAsia="仿宋" w:cs="仿宋"/>
                <w:color w:val="000000"/>
                <w:sz w:val="24"/>
                <w:highlight w:val="none"/>
                <w:shd w:val="clear" w:color="auto" w:fill="auto"/>
              </w:rPr>
              <w:t>直接确定中标人：</w:t>
            </w:r>
            <w:r>
              <w:rPr>
                <w:rFonts w:hint="eastAsia" w:ascii="仿宋" w:hAnsi="仿宋" w:eastAsia="仿宋" w:cs="仿宋"/>
                <w:color w:val="000000"/>
                <w:sz w:val="24"/>
                <w:highlight w:val="none"/>
                <w:u w:val="single"/>
                <w:shd w:val="clear" w:color="auto" w:fill="auto"/>
                <w:lang w:val="en-US" w:eastAsia="zh-CN"/>
              </w:rPr>
              <w:t>否</w:t>
            </w:r>
            <w:r>
              <w:rPr>
                <w:rFonts w:hint="eastAsia" w:ascii="仿宋" w:hAnsi="仿宋" w:eastAsia="仿宋" w:cs="仿宋"/>
                <w:color w:val="000000"/>
                <w:sz w:val="24"/>
                <w:highlight w:val="none"/>
                <w:shd w:val="clear" w:color="auto" w:fill="auto"/>
              </w:rPr>
              <w:t xml:space="preserve"> </w:t>
            </w:r>
            <w:r>
              <w:rPr>
                <w:rFonts w:hint="eastAsia" w:ascii="仿宋" w:hAnsi="仿宋" w:eastAsia="仿宋" w:cs="仿宋"/>
                <w:i/>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451"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17</w:t>
            </w:r>
          </w:p>
        </w:tc>
        <w:tc>
          <w:tcPr>
            <w:tcW w:w="7486" w:type="dxa"/>
            <w:shd w:val="clear" w:color="auto" w:fill="EBEBEB"/>
            <w:vAlign w:val="center"/>
          </w:tcPr>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履约保证金金额：合同总价的</w:t>
            </w:r>
            <w:r>
              <w:rPr>
                <w:rFonts w:hint="eastAsia" w:ascii="仿宋" w:hAnsi="仿宋" w:eastAsia="仿宋" w:cs="仿宋"/>
                <w:b w:val="0"/>
                <w:bCs w:val="0"/>
                <w:i w:val="0"/>
                <w:iCs w:val="0"/>
                <w:color w:val="000000"/>
                <w:sz w:val="24"/>
                <w:highlight w:val="none"/>
                <w:shd w:val="clear" w:color="auto" w:fill="auto"/>
                <w:lang w:val="en-US" w:eastAsia="zh-CN"/>
              </w:rPr>
              <w:t>5%</w:t>
            </w:r>
            <w:r>
              <w:rPr>
                <w:rFonts w:hint="eastAsia" w:ascii="仿宋" w:hAnsi="仿宋" w:eastAsia="仿宋" w:cs="仿宋"/>
                <w:i w:val="0"/>
                <w:iCs w:val="0"/>
                <w:color w:val="000000"/>
                <w:sz w:val="24"/>
                <w:highlight w:val="none"/>
                <w:shd w:val="clear" w:color="auto" w:fill="auto"/>
                <w:lang w:val="en-US" w:eastAsia="zh-CN"/>
              </w:rPr>
              <w:t>（不得超过政府采购合同金额的10%）</w:t>
            </w:r>
          </w:p>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履约保证金形式：电汇、网银、银行保函</w:t>
            </w:r>
          </w:p>
          <w:p>
            <w:pPr>
              <w:spacing w:line="360" w:lineRule="auto"/>
              <w:rPr>
                <w:rFonts w:hint="eastAsia" w:ascii="仿宋" w:hAnsi="仿宋" w:eastAsia="仿宋" w:cs="仿宋"/>
                <w:i w:val="0"/>
                <w:iCs w:val="0"/>
                <w:color w:val="000000"/>
                <w:sz w:val="24"/>
                <w:highlight w:val="none"/>
                <w:shd w:val="clear" w:color="auto" w:fill="auto"/>
                <w:lang w:val="en-US" w:eastAsia="zh-CN"/>
              </w:rPr>
            </w:pPr>
            <w:r>
              <w:rPr>
                <w:rFonts w:hint="eastAsia" w:ascii="仿宋" w:hAnsi="仿宋" w:eastAsia="仿宋" w:cs="仿宋"/>
                <w:i w:val="0"/>
                <w:iCs w:val="0"/>
                <w:color w:val="000000"/>
                <w:sz w:val="24"/>
                <w:highlight w:val="none"/>
                <w:shd w:val="clear" w:color="auto" w:fill="auto"/>
                <w:lang w:val="en-US" w:eastAsia="zh-CN"/>
              </w:rPr>
              <w:t>提交履约保证金的时间：领取中标通知书 5日内（日历日）</w:t>
            </w:r>
          </w:p>
          <w:p>
            <w:pPr>
              <w:spacing w:line="360" w:lineRule="auto"/>
              <w:rPr>
                <w:rFonts w:hint="eastAsia" w:ascii="仿宋" w:hAnsi="仿宋" w:eastAsia="仿宋" w:cs="仿宋"/>
                <w:color w:val="000000"/>
                <w:sz w:val="24"/>
                <w:highlight w:val="none"/>
                <w:u w:val="single"/>
                <w:shd w:val="clear" w:color="auto" w:fill="auto"/>
              </w:rPr>
            </w:pPr>
            <w:r>
              <w:rPr>
                <w:rFonts w:hint="eastAsia" w:ascii="仿宋" w:hAnsi="仿宋" w:eastAsia="仿宋" w:cs="仿宋"/>
                <w:i w:val="0"/>
                <w:iCs w:val="0"/>
                <w:color w:val="000000"/>
                <w:sz w:val="24"/>
                <w:highlight w:val="none"/>
                <w:shd w:val="clear" w:color="auto" w:fill="auto"/>
              </w:rPr>
              <w:t>提交履约保证金</w:t>
            </w:r>
            <w:r>
              <w:rPr>
                <w:rFonts w:hint="eastAsia" w:ascii="仿宋" w:hAnsi="仿宋" w:eastAsia="仿宋" w:cs="仿宋"/>
                <w:i w:val="0"/>
                <w:iCs w:val="0"/>
                <w:color w:val="000000"/>
                <w:sz w:val="24"/>
                <w:highlight w:val="none"/>
                <w:shd w:val="clear" w:color="auto" w:fill="auto"/>
                <w:lang w:val="en-US" w:eastAsia="zh-CN"/>
              </w:rPr>
              <w:t>后2个工作日内双方签订合同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36" w:hRule="atLeast"/>
          <w:jc w:val="center"/>
        </w:trPr>
        <w:tc>
          <w:tcPr>
            <w:tcW w:w="1473" w:type="dxa"/>
            <w:shd w:val="clear" w:color="auto" w:fill="E0E0E0"/>
            <w:vAlign w:val="center"/>
          </w:tcPr>
          <w:p>
            <w:pPr>
              <w:spacing w:line="240" w:lineRule="atLeast"/>
              <w:ind w:left="1080" w:leftChars="257" w:hanging="540" w:firstLineChars="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21</w:t>
            </w:r>
          </w:p>
        </w:tc>
        <w:tc>
          <w:tcPr>
            <w:tcW w:w="7486" w:type="dxa"/>
            <w:shd w:val="clear" w:color="auto" w:fill="E0E0E0"/>
            <w:vAlign w:val="center"/>
          </w:tcPr>
          <w:p>
            <w:pPr>
              <w:spacing w:line="360" w:lineRule="auto"/>
              <w:ind w:left="1188" w:leftChars="-23" w:hanging="1236" w:hangingChars="515"/>
              <w:jc w:val="left"/>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95" w:hRule="atLeast"/>
          <w:jc w:val="center"/>
        </w:trPr>
        <w:tc>
          <w:tcPr>
            <w:tcW w:w="1473" w:type="dxa"/>
            <w:shd w:val="clear" w:color="auto" w:fill="EBEBEB"/>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19</w:t>
            </w:r>
          </w:p>
        </w:tc>
        <w:tc>
          <w:tcPr>
            <w:tcW w:w="7486" w:type="dxa"/>
            <w:shd w:val="clear" w:color="auto" w:fill="EBEBEB"/>
            <w:vAlign w:val="center"/>
          </w:tcPr>
          <w:p>
            <w:pPr>
              <w:spacing w:line="24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本项目是否属于信用担保试点范围：</w:t>
            </w:r>
            <w:r>
              <w:rPr>
                <w:rFonts w:hint="eastAsia" w:ascii="仿宋" w:hAnsi="仿宋" w:eastAsia="仿宋" w:cs="仿宋"/>
                <w:color w:val="000000"/>
                <w:sz w:val="24"/>
                <w:highlight w:val="none"/>
                <w:u w:val="single"/>
                <w:shd w:val="clear" w:color="auto" w:fill="auto"/>
                <w:lang w:val="en-US" w:eastAsia="zh-CN"/>
              </w:rPr>
              <w:t>否</w:t>
            </w:r>
            <w:r>
              <w:rPr>
                <w:rFonts w:hint="eastAsia" w:ascii="仿宋" w:hAnsi="仿宋" w:eastAsia="仿宋" w:cs="仿宋"/>
                <w:color w:val="000000"/>
                <w:sz w:val="24"/>
                <w:highlight w:val="none"/>
                <w:shd w:val="clear" w:color="auto" w:fill="auto"/>
              </w:rPr>
              <w:t xml:space="preserve"> </w:t>
            </w:r>
            <w:r>
              <w:rPr>
                <w:rFonts w:hint="eastAsia" w:ascii="仿宋" w:hAnsi="仿宋" w:eastAsia="仿宋" w:cs="仿宋"/>
                <w:i/>
                <w:color w:val="000000"/>
                <w:sz w:val="24"/>
                <w:highlight w:val="none"/>
                <w:shd w:val="clear" w:color="auto" w:fill="auto"/>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rPr>
                <w:rFonts w:hint="default"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lang w:val="en-US" w:eastAsia="zh-CN"/>
              </w:rPr>
              <w:t>20</w:t>
            </w:r>
          </w:p>
        </w:tc>
        <w:tc>
          <w:tcPr>
            <w:tcW w:w="7486" w:type="dxa"/>
            <w:shd w:val="clear" w:color="auto" w:fill="E0E0E0"/>
            <w:vAlign w:val="center"/>
          </w:tcPr>
          <w:p>
            <w:pPr>
              <w:spacing w:line="360" w:lineRule="auto"/>
              <w:ind w:left="710" w:leftChars="-23" w:hanging="758" w:hangingChars="316"/>
              <w:rPr>
                <w:rFonts w:hint="default" w:ascii="仿宋" w:hAnsi="仿宋" w:eastAsia="仿宋" w:cs="仿宋"/>
                <w:color w:val="000000"/>
                <w:sz w:val="24"/>
                <w:highlight w:val="none"/>
                <w:shd w:val="clear" w:color="auto" w:fill="auto"/>
                <w:lang w:val="en-US"/>
              </w:rPr>
            </w:pPr>
            <w:r>
              <w:rPr>
                <w:rFonts w:hint="eastAsia" w:ascii="仿宋" w:hAnsi="仿宋" w:eastAsia="仿宋" w:cs="仿宋"/>
                <w:color w:val="000000"/>
                <w:sz w:val="24"/>
                <w:highlight w:val="none"/>
                <w:shd w:val="clear" w:color="auto" w:fill="auto"/>
              </w:rPr>
              <w:t>反腐倡廉监督电话/邮箱：</w:t>
            </w:r>
            <w:r>
              <w:rPr>
                <w:rFonts w:hint="eastAsia" w:ascii="仿宋" w:hAnsi="仿宋" w:eastAsia="仿宋" w:cs="仿宋"/>
                <w:sz w:val="24"/>
                <w:lang w:val="en-US" w:eastAsia="zh-CN"/>
              </w:rPr>
              <w:t>18299030272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95" w:hRule="atLeast"/>
          <w:jc w:val="center"/>
        </w:trPr>
        <w:tc>
          <w:tcPr>
            <w:tcW w:w="8959" w:type="dxa"/>
            <w:gridSpan w:val="2"/>
            <w:shd w:val="clear" w:color="auto" w:fill="EBEBEB"/>
            <w:vAlign w:val="center"/>
          </w:tcPr>
          <w:p>
            <w:pPr>
              <w:tabs>
                <w:tab w:val="left" w:pos="2075"/>
              </w:tabs>
              <w:spacing w:line="360" w:lineRule="auto"/>
              <w:ind w:left="710" w:leftChars="-23" w:hanging="758" w:hangingChars="316"/>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lang w:eastAsia="zh-CN"/>
              </w:rPr>
              <w:tab/>
            </w:r>
            <w:r>
              <w:rPr>
                <w:rFonts w:hint="eastAsia" w:ascii="仿宋" w:hAnsi="仿宋" w:eastAsia="仿宋" w:cs="仿宋"/>
                <w:color w:val="000000"/>
                <w:sz w:val="24"/>
                <w:highlight w:val="none"/>
                <w:shd w:val="clear" w:color="auto" w:fill="auto"/>
              </w:rPr>
              <w:t>适用于本</w:t>
            </w:r>
            <w:r>
              <w:rPr>
                <w:rFonts w:hint="eastAsia" w:ascii="仿宋" w:hAnsi="仿宋" w:eastAsia="仿宋" w:cs="仿宋"/>
                <w:color w:val="000000"/>
                <w:sz w:val="24"/>
                <w:highlight w:val="none"/>
                <w:shd w:val="clear" w:color="auto" w:fill="auto"/>
                <w:lang w:eastAsia="zh-CN"/>
              </w:rPr>
              <w:t>投标人</w:t>
            </w:r>
            <w:r>
              <w:rPr>
                <w:rFonts w:hint="eastAsia" w:ascii="仿宋" w:hAnsi="仿宋" w:eastAsia="仿宋" w:cs="仿宋"/>
                <w:color w:val="000000"/>
                <w:sz w:val="24"/>
                <w:highlight w:val="none"/>
                <w:shd w:val="clear" w:color="auto" w:fill="auto"/>
              </w:rPr>
              <w:t>须知的额外增加的变动：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0E0E0"/>
            <w:vAlign w:val="center"/>
          </w:tcPr>
          <w:p>
            <w:pPr>
              <w:spacing w:line="240" w:lineRule="atLeast"/>
              <w:ind w:left="1080" w:leftChars="257" w:hanging="540" w:firstLineChars="0"/>
              <w:rPr>
                <w:rFonts w:hint="eastAsia" w:ascii="仿宋" w:hAnsi="仿宋" w:eastAsia="仿宋" w:cs="仿宋"/>
                <w:color w:val="000000"/>
                <w:sz w:val="24"/>
                <w:highlight w:val="none"/>
                <w:shd w:val="clear" w:color="auto" w:fill="auto"/>
                <w:lang w:val="en-US" w:eastAsia="zh-CN"/>
              </w:rPr>
            </w:pPr>
            <w:r>
              <w:rPr>
                <w:rFonts w:hint="eastAsia" w:ascii="仿宋" w:hAnsi="仿宋" w:eastAsia="仿宋" w:cs="仿宋"/>
                <w:color w:val="000000"/>
                <w:sz w:val="24"/>
                <w:highlight w:val="none"/>
                <w:shd w:val="clear" w:color="auto" w:fill="auto"/>
              </w:rPr>
              <w:t>其他</w:t>
            </w:r>
          </w:p>
        </w:tc>
        <w:tc>
          <w:tcPr>
            <w:tcW w:w="7486" w:type="dxa"/>
            <w:shd w:val="clear" w:color="auto" w:fill="E0E0E0"/>
            <w:vAlign w:val="center"/>
          </w:tcPr>
          <w:p>
            <w:pPr>
              <w:spacing w:line="240" w:lineRule="atLeast"/>
              <w:rPr>
                <w:rFonts w:hint="eastAsia" w:ascii="仿宋" w:hAnsi="仿宋" w:eastAsia="仿宋" w:cs="仿宋"/>
                <w:color w:val="000000"/>
                <w:sz w:val="24"/>
                <w:highlight w:val="none"/>
                <w:shd w:val="clear" w:color="auto" w:fill="auto"/>
                <w:lang w:eastAsia="zh-CN"/>
              </w:rPr>
            </w:pPr>
            <w:r>
              <w:rPr>
                <w:rFonts w:hint="eastAsia" w:ascii="仿宋" w:hAnsi="仿宋" w:eastAsia="仿宋" w:cs="仿宋"/>
                <w:color w:val="000000"/>
                <w:sz w:val="24"/>
                <w:highlight w:val="none"/>
                <w:shd w:val="clear" w:color="auto" w:fill="auto"/>
              </w:rPr>
              <w:t>不得将中标项目全部或部分转让（转包）给他人；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88" w:hRule="atLeast"/>
          <w:jc w:val="center"/>
        </w:trPr>
        <w:tc>
          <w:tcPr>
            <w:tcW w:w="1473" w:type="dxa"/>
            <w:shd w:val="clear" w:color="auto" w:fill="EBEBEB"/>
            <w:vAlign w:val="center"/>
          </w:tcPr>
          <w:p>
            <w:pPr>
              <w:spacing w:line="240" w:lineRule="atLeast"/>
              <w:ind w:left="1080" w:leftChars="257" w:hanging="540" w:firstLineChars="0"/>
              <w:rPr>
                <w:rFonts w:hint="eastAsia" w:ascii="仿宋" w:hAnsi="仿宋" w:eastAsia="仿宋" w:cs="仿宋"/>
                <w:color w:val="000000"/>
                <w:sz w:val="24"/>
                <w:highlight w:val="none"/>
                <w:shd w:val="clear" w:color="auto" w:fill="auto"/>
              </w:rPr>
            </w:pPr>
          </w:p>
        </w:tc>
        <w:tc>
          <w:tcPr>
            <w:tcW w:w="7486" w:type="dxa"/>
            <w:shd w:val="clear" w:color="auto" w:fill="EBEBEB"/>
            <w:vAlign w:val="center"/>
          </w:tcPr>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2.本项目实行网上投标，采用电子投标文件(供应商须使用CA加密设备通过政采云电子投标客户端制作投标文件)。若供应商参与投标，自行承担投标一切费用。</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3.各供应商应在开标前应确保成为新疆政府采购网正式注册入库供应商，并完成CA数字证书申领。因未注册入库、未办理CA数字证书等原因造成无法投标或投标失败等后果由供应商自行承担。</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5.供应商在开标时须使用制作加密电子投标文件所使用的CA锁及电脑，电脑须提前配置好浏览器（建议使用谷歌浏览器），以便开标时解锁。</w:t>
            </w:r>
          </w:p>
          <w:p>
            <w:pPr>
              <w:pageBreakBefore w:val="0"/>
              <w:kinsoku/>
              <w:wordWrap/>
              <w:overflowPunct/>
              <w:topLinePunct w:val="0"/>
              <w:bidi w:val="0"/>
              <w:snapToGrid/>
              <w:spacing w:line="380" w:lineRule="exact"/>
              <w:textAlignment w:val="auto"/>
              <w:rPr>
                <w:rFonts w:hint="eastAsia" w:ascii="仿宋" w:hAnsi="仿宋" w:eastAsia="仿宋" w:cs="仿宋"/>
                <w:color w:val="000000"/>
                <w:kern w:val="0"/>
                <w:sz w:val="24"/>
                <w:highlight w:val="none"/>
                <w:shd w:val="clear" w:color="auto" w:fill="auto"/>
              </w:rPr>
            </w:pPr>
            <w:r>
              <w:rPr>
                <w:rFonts w:hint="eastAsia" w:ascii="仿宋" w:hAnsi="仿宋" w:eastAsia="仿宋" w:cs="仿宋"/>
                <w:color w:val="000000"/>
                <w:kern w:val="0"/>
                <w:sz w:val="24"/>
                <w:highlight w:val="none"/>
                <w:shd w:val="clear" w:color="auto" w:fill="auto"/>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pageBreakBefore w:val="0"/>
              <w:kinsoku/>
              <w:wordWrap/>
              <w:overflowPunct/>
              <w:topLinePunct w:val="0"/>
              <w:bidi w:val="0"/>
              <w:snapToGrid/>
              <w:spacing w:line="380" w:lineRule="exact"/>
              <w:textAlignment w:val="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kern w:val="0"/>
                <w:sz w:val="24"/>
                <w:highlight w:val="none"/>
                <w:shd w:val="clear" w:color="auto" w:fill="auto"/>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8各供应商须在投标截止时间前完成在系统上递交电子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文件。供应商的电子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文件是经过CA证书加密后上传提交的，任何单位或个人均无法在投标截止时间(即开标时间)之前查看或篡改，不存在泄密风险。（严格按照政采云电子投标流程制作并上传电子</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9各供应商在投标截止时间前将“</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文件”上传至政采云平台。响应文件包括“报价一览表及资格证明文件”与“商务及技术文件”两部分合并成一册。响应文件应按照</w:t>
            </w:r>
            <w:r>
              <w:rPr>
                <w:rFonts w:hint="eastAsia" w:ascii="仿宋" w:hAnsi="仿宋" w:eastAsia="仿宋" w:cs="仿宋"/>
                <w:color w:val="000000"/>
                <w:sz w:val="24"/>
                <w:highlight w:val="none"/>
                <w:shd w:val="clear" w:color="auto" w:fill="auto"/>
                <w:lang w:val="en-US" w:eastAsia="zh-CN"/>
              </w:rPr>
              <w:t>招标</w:t>
            </w:r>
            <w:r>
              <w:rPr>
                <w:rFonts w:hint="eastAsia" w:ascii="仿宋" w:hAnsi="仿宋" w:eastAsia="仿宋" w:cs="仿宋"/>
                <w:color w:val="000000"/>
                <w:sz w:val="24"/>
                <w:highlight w:val="none"/>
                <w:shd w:val="clear" w:color="auto" w:fill="auto"/>
              </w:rPr>
              <w:t>文件规定的格式填写、签署和盖章，并以.jmbs格式上传至政采云开评标平台（</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文件为正本扫描件）。</w:t>
            </w:r>
          </w:p>
          <w:p>
            <w:pPr>
              <w:spacing w:line="240" w:lineRule="atLeast"/>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r>
              <w:rPr>
                <w:rFonts w:hint="eastAsia" w:ascii="仿宋" w:hAnsi="仿宋" w:eastAsia="仿宋" w:cs="仿宋"/>
                <w:color w:val="000000"/>
                <w:sz w:val="24"/>
                <w:highlight w:val="none"/>
                <w:shd w:val="clear" w:color="auto" w:fill="auto"/>
                <w:lang w:val="en-US" w:eastAsia="zh-CN"/>
              </w:rPr>
              <w:t>0</w:t>
            </w:r>
            <w:r>
              <w:rPr>
                <w:rFonts w:hint="eastAsia" w:ascii="仿宋" w:hAnsi="仿宋" w:eastAsia="仿宋" w:cs="仿宋"/>
                <w:color w:val="000000"/>
                <w:sz w:val="24"/>
                <w:highlight w:val="none"/>
                <w:shd w:val="clear" w:color="auto" w:fill="auto"/>
              </w:rPr>
              <w:t>解密时长为30分钟。</w:t>
            </w:r>
          </w:p>
          <w:p>
            <w:pPr>
              <w:spacing w:line="240" w:lineRule="auto"/>
              <w:rPr>
                <w:rFonts w:hint="eastAsia" w:ascii="仿宋" w:hAnsi="仿宋" w:eastAsia="仿宋" w:cs="仿宋"/>
                <w:color w:val="000000"/>
                <w:sz w:val="24"/>
                <w:highlight w:val="none"/>
                <w:shd w:val="clear" w:color="auto" w:fill="auto"/>
              </w:rPr>
            </w:pPr>
            <w:r>
              <w:rPr>
                <w:rFonts w:hint="eastAsia" w:ascii="仿宋" w:hAnsi="仿宋" w:eastAsia="仿宋" w:cs="仿宋"/>
                <w:color w:val="000000"/>
                <w:sz w:val="24"/>
                <w:highlight w:val="none"/>
                <w:shd w:val="clear" w:color="auto" w:fill="auto"/>
              </w:rPr>
              <w:t>1</w:t>
            </w:r>
            <w:r>
              <w:rPr>
                <w:rFonts w:hint="eastAsia" w:ascii="仿宋" w:hAnsi="仿宋" w:eastAsia="仿宋" w:cs="仿宋"/>
                <w:color w:val="000000"/>
                <w:sz w:val="24"/>
                <w:highlight w:val="none"/>
                <w:shd w:val="clear" w:color="auto" w:fill="auto"/>
                <w:lang w:val="en-US" w:eastAsia="zh-CN"/>
              </w:rPr>
              <w:t>1</w:t>
            </w:r>
            <w:r>
              <w:rPr>
                <w:rFonts w:hint="eastAsia" w:ascii="仿宋" w:hAnsi="仿宋" w:eastAsia="仿宋" w:cs="仿宋"/>
                <w:color w:val="000000"/>
                <w:sz w:val="24"/>
                <w:highlight w:val="none"/>
                <w:shd w:val="clear" w:color="auto" w:fill="auto"/>
              </w:rPr>
              <w:t>须供应商提供备份的</w:t>
            </w:r>
            <w:r>
              <w:rPr>
                <w:rFonts w:hint="eastAsia" w:ascii="仿宋" w:hAnsi="仿宋" w:eastAsia="仿宋" w:cs="仿宋"/>
                <w:color w:val="000000"/>
                <w:sz w:val="24"/>
                <w:highlight w:val="none"/>
                <w:shd w:val="clear" w:color="auto" w:fill="auto"/>
                <w:lang w:val="en-US" w:eastAsia="zh-CN"/>
              </w:rPr>
              <w:t>投标</w:t>
            </w:r>
            <w:r>
              <w:rPr>
                <w:rFonts w:hint="eastAsia" w:ascii="仿宋" w:hAnsi="仿宋" w:eastAsia="仿宋" w:cs="仿宋"/>
                <w:color w:val="000000"/>
                <w:sz w:val="24"/>
                <w:highlight w:val="none"/>
                <w:shd w:val="clear" w:color="auto" w:fill="auto"/>
              </w:rPr>
              <w:t>文件。</w:t>
            </w:r>
          </w:p>
        </w:tc>
      </w:tr>
    </w:tbl>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b/>
          <w:bCs/>
          <w:color w:val="auto"/>
          <w:sz w:val="28"/>
          <w:szCs w:val="28"/>
          <w:highlight w:val="none"/>
        </w:rPr>
      </w:pPr>
    </w:p>
    <w:p>
      <w:pPr>
        <w:pStyle w:val="7"/>
        <w:jc w:val="center"/>
        <w:rPr>
          <w:rFonts w:hint="eastAsia" w:ascii="仿宋" w:hAnsi="仿宋" w:eastAsia="仿宋" w:cs="仿宋"/>
          <w:color w:val="auto"/>
          <w:highlight w:val="none"/>
        </w:rPr>
      </w:pPr>
      <w:r>
        <w:rPr>
          <w:rFonts w:hint="eastAsia" w:ascii="仿宋" w:hAnsi="仿宋" w:eastAsia="仿宋" w:cs="仿宋"/>
          <w:b/>
          <w:bCs/>
          <w:color w:val="auto"/>
          <w:sz w:val="28"/>
          <w:szCs w:val="28"/>
          <w:highlight w:val="none"/>
        </w:rPr>
        <w:t>资格性审查表</w:t>
      </w:r>
    </w:p>
    <w:p>
      <w:pPr>
        <w:rPr>
          <w:rFonts w:hint="eastAsia"/>
        </w:rPr>
      </w:pPr>
    </w:p>
    <w:tbl>
      <w:tblPr>
        <w:tblStyle w:val="24"/>
        <w:tblpPr w:vertAnchor="text" w:tblpXSpec="center" w:tblpY="1"/>
        <w:tblW w:w="93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4"/>
        <w:gridCol w:w="6706"/>
        <w:gridCol w:w="696"/>
        <w:gridCol w:w="696"/>
        <w:gridCol w:w="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16" w:hRule="exact"/>
          <w:jc w:val="center"/>
        </w:trPr>
        <w:tc>
          <w:tcPr>
            <w:tcW w:w="524" w:type="dxa"/>
            <w:vMerge w:val="restart"/>
            <w:tcBorders>
              <w:tl2br w:val="nil"/>
              <w:tr2bl w:val="nil"/>
            </w:tcBorders>
            <w:vAlign w:val="center"/>
          </w:tcPr>
          <w:p>
            <w:pPr>
              <w:autoSpaceDE/>
              <w:autoSpaceDN/>
              <w:adjustRightInd/>
              <w:spacing w:beforeLines="0" w:afterLines="0" w:line="240" w:lineRule="auto"/>
              <w:ind w:lef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706" w:type="dxa"/>
            <w:vMerge w:val="restart"/>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lang w:val="en-US" w:eastAsia="zh-CN"/>
              </w:rPr>
            </w:pPr>
          </w:p>
          <w:p>
            <w:pPr>
              <w:autoSpaceDE/>
              <w:autoSpaceDN/>
              <w:adjustRightInd/>
              <w:spacing w:beforeLines="0" w:afterLine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审查项</w:t>
            </w:r>
          </w:p>
        </w:tc>
        <w:tc>
          <w:tcPr>
            <w:tcW w:w="2109" w:type="dxa"/>
            <w:gridSpan w:val="3"/>
            <w:tcBorders>
              <w:tl2br w:val="nil"/>
              <w:tr2bl w:val="nil"/>
            </w:tcBorders>
            <w:vAlign w:val="center"/>
          </w:tcPr>
          <w:p>
            <w:pPr>
              <w:autoSpaceDE/>
              <w:autoSpaceDN/>
              <w:adjustRightInd/>
              <w:spacing w:before="40" w:beforeLines="0" w:afterLines="0" w:line="200" w:lineRule="exact"/>
              <w:ind w:firstLine="960" w:firstLineChars="400"/>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6" w:hRule="exact"/>
          <w:jc w:val="center"/>
        </w:trPr>
        <w:tc>
          <w:tcPr>
            <w:tcW w:w="524" w:type="dxa"/>
            <w:vMerge w:val="continue"/>
            <w:tcBorders>
              <w:tl2br w:val="nil"/>
              <w:tr2bl w:val="nil"/>
            </w:tcBorders>
            <w:vAlign w:val="center"/>
          </w:tcPr>
          <w:p>
            <w:pPr>
              <w:autoSpaceDE/>
              <w:autoSpaceDN/>
              <w:adjustRightInd/>
              <w:spacing w:beforeLines="0" w:afterLines="0" w:line="200" w:lineRule="exact"/>
              <w:ind w:left="120"/>
              <w:jc w:val="center"/>
              <w:rPr>
                <w:rFonts w:hint="eastAsia" w:ascii="仿宋" w:hAnsi="仿宋" w:eastAsia="仿宋" w:cs="仿宋"/>
                <w:color w:val="auto"/>
                <w:sz w:val="24"/>
                <w:szCs w:val="24"/>
                <w:highlight w:val="none"/>
              </w:rPr>
            </w:pPr>
          </w:p>
        </w:tc>
        <w:tc>
          <w:tcPr>
            <w:tcW w:w="6706" w:type="dxa"/>
            <w:vMerge w:val="continue"/>
            <w:tcBorders>
              <w:tl2br w:val="nil"/>
              <w:tr2bl w:val="nil"/>
            </w:tcBorders>
            <w:vAlign w:val="center"/>
          </w:tcPr>
          <w:p>
            <w:pPr>
              <w:autoSpaceDE/>
              <w:autoSpaceDN/>
              <w:adjustRightInd/>
              <w:spacing w:beforeLines="0" w:afterLines="0" w:line="200" w:lineRule="exact"/>
              <w:ind w:left="312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评审内容</w:t>
            </w:r>
          </w:p>
        </w:tc>
        <w:tc>
          <w:tcPr>
            <w:tcW w:w="696"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c>
          <w:tcPr>
            <w:tcW w:w="696"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c>
          <w:tcPr>
            <w:tcW w:w="717" w:type="dxa"/>
            <w:tcBorders>
              <w:tl2br w:val="nil"/>
              <w:tr2bl w:val="nil"/>
            </w:tcBorders>
            <w:vAlign w:val="center"/>
          </w:tcPr>
          <w:p>
            <w:pPr>
              <w:autoSpaceDE/>
              <w:autoSpaceDN/>
              <w:adjustRightInd/>
              <w:spacing w:beforeLines="0" w:afterLines="0" w:line="240" w:lineRule="auto"/>
              <w:ind w:lef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是否</w:t>
            </w:r>
          </w:p>
          <w:p>
            <w:pPr>
              <w:autoSpaceDE/>
              <w:autoSpaceDN/>
              <w:adjustRightInd/>
              <w:spacing w:before="140" w:beforeLines="0" w:afterLines="0" w:line="2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0" w:hRule="exact"/>
          <w:jc w:val="center"/>
        </w:trPr>
        <w:tc>
          <w:tcPr>
            <w:tcW w:w="524" w:type="dxa"/>
            <w:tcBorders>
              <w:tl2br w:val="nil"/>
              <w:tr2bl w:val="nil"/>
            </w:tcBorders>
            <w:vAlign w:val="center"/>
          </w:tcPr>
          <w:p>
            <w:pPr>
              <w:autoSpaceDE/>
              <w:autoSpaceDN/>
              <w:adjustRightInd/>
              <w:spacing w:before="280" w:beforeLines="0" w:afterLines="0" w:line="2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6706" w:type="dxa"/>
            <w:tcBorders>
              <w:tl2br w:val="nil"/>
              <w:tr2bl w:val="nil"/>
            </w:tcBorders>
            <w:vAlign w:val="center"/>
          </w:tcPr>
          <w:p>
            <w:pPr>
              <w:autoSpaceDE/>
              <w:autoSpaceDN/>
              <w:adjustRightInd/>
              <w:spacing w:before="120" w:beforeLines="0" w:afterLines="0" w:line="24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rPr>
              <w:t>具有合法有效的营业执照；</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p>
            <w:pPr>
              <w:pStyle w:val="6"/>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9" w:hRule="exact"/>
          <w:jc w:val="center"/>
        </w:trPr>
        <w:tc>
          <w:tcPr>
            <w:tcW w:w="524" w:type="dxa"/>
            <w:tcBorders>
              <w:tl2br w:val="nil"/>
              <w:tr2bl w:val="nil"/>
            </w:tcBorders>
            <w:vAlign w:val="center"/>
          </w:tcPr>
          <w:p>
            <w:pPr>
              <w:autoSpaceDE/>
              <w:autoSpaceDN/>
              <w:adjustRightInd/>
              <w:spacing w:before="28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706" w:type="dxa"/>
            <w:tcBorders>
              <w:tl2br w:val="nil"/>
              <w:tr2bl w:val="nil"/>
            </w:tcBorders>
            <w:vAlign w:val="center"/>
          </w:tcPr>
          <w:p>
            <w:pPr>
              <w:autoSpaceDE/>
              <w:autoSpaceDN/>
              <w:adjustRightInd/>
              <w:spacing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2021年度或2022年度</w:t>
            </w:r>
            <w:r>
              <w:rPr>
                <w:rFonts w:hint="eastAsia" w:ascii="仿宋" w:hAnsi="仿宋" w:eastAsia="仿宋" w:cs="仿宋"/>
                <w:color w:val="auto"/>
                <w:sz w:val="24"/>
                <w:szCs w:val="24"/>
                <w:highlight w:val="none"/>
                <w:lang w:val="en-US" w:eastAsia="zh-CN"/>
              </w:rPr>
              <w:t>的财务审计报告（新成立未满一年的公司需提供有效的银行资信证明）；</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pStyle w:val="6"/>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4"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法定代表人授权书及被委托人身份证（法定代表人投标提供法定代表人身份证明及身份证）；</w:t>
            </w:r>
          </w:p>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09"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参加采购活动前三年内，在经营活动中无重大违法声明；提供针对本次项目《反商业贿赂承诺书》；</w:t>
            </w:r>
          </w:p>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80" w:hRule="exact"/>
          <w:jc w:val="center"/>
        </w:trPr>
        <w:tc>
          <w:tcPr>
            <w:tcW w:w="524" w:type="dxa"/>
            <w:tcBorders>
              <w:tl2br w:val="nil"/>
              <w:tr2bl w:val="nil"/>
            </w:tcBorders>
            <w:vAlign w:val="center"/>
          </w:tcPr>
          <w:p>
            <w:pPr>
              <w:autoSpaceDE/>
              <w:autoSpaceDN/>
              <w:adjustRightInd/>
              <w:spacing w:before="4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706" w:type="dxa"/>
            <w:tcBorders>
              <w:tl2br w:val="nil"/>
              <w:tr2bl w:val="nil"/>
            </w:tcBorders>
            <w:vAlign w:val="center"/>
          </w:tcPr>
          <w:p>
            <w:pPr>
              <w:autoSpaceDE/>
              <w:autoSpaceDN/>
              <w:adjustRightInd/>
              <w:spacing w:before="40" w:beforeLines="0" w:afterLines="0" w:line="240" w:lineRule="auto"/>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提供税务部门出具的近六个月中任意一个月的完税证明，依法免税的应提供相应文件证明（完税证明或税务部门出具的其他证明，非社会保险类）及</w:t>
            </w:r>
            <w:r>
              <w:rPr>
                <w:rFonts w:hint="eastAsia" w:ascii="仿宋_GB2312" w:hAnsi="Calibri" w:eastAsia="仿宋_GB2312" w:cs="Times New Roman"/>
                <w:color w:val="auto"/>
                <w:kern w:val="2"/>
                <w:sz w:val="24"/>
                <w:szCs w:val="22"/>
                <w:highlight w:val="none"/>
                <w:lang w:val="en-US" w:eastAsia="zh-CN" w:bidi="ar-SA"/>
              </w:rPr>
              <w:t>近六个月内任意1个月缴纳社会保障金的证明；</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09" w:hRule="exact"/>
          <w:jc w:val="center"/>
        </w:trPr>
        <w:tc>
          <w:tcPr>
            <w:tcW w:w="524" w:type="dxa"/>
            <w:tcBorders>
              <w:tl2br w:val="nil"/>
              <w:tr2bl w:val="nil"/>
            </w:tcBorders>
            <w:vAlign w:val="center"/>
          </w:tcPr>
          <w:p>
            <w:pPr>
              <w:autoSpaceDE/>
              <w:autoSpaceDN/>
              <w:adjustRightInd/>
              <w:spacing w:before="16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706" w:type="dxa"/>
            <w:tcBorders>
              <w:tl2br w:val="nil"/>
              <w:tr2bl w:val="nil"/>
            </w:tcBorders>
            <w:vAlign w:val="center"/>
          </w:tcPr>
          <w:p>
            <w:pPr>
              <w:spacing w:line="240" w:lineRule="atLeas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zh-CN" w:eastAsia="zh-CN"/>
              </w:rPr>
              <w:t>投标人在“信用中国”（www.creditchina.gov.cn）和中国政府采购网（www.ccgp.gov.cn）网站上未列入失信被执行人、重大税收违法案件当事人名单、政府采购严重违法失信行为记录名单（财库[2016]125号）（以开标现场查询为准）；</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4" w:hRule="exact"/>
          <w:jc w:val="center"/>
        </w:trPr>
        <w:tc>
          <w:tcPr>
            <w:tcW w:w="524" w:type="dxa"/>
            <w:tcBorders>
              <w:tl2br w:val="nil"/>
              <w:tr2bl w:val="nil"/>
            </w:tcBorders>
            <w:vAlign w:val="center"/>
          </w:tcPr>
          <w:p>
            <w:pPr>
              <w:autoSpaceDE/>
              <w:autoSpaceDN/>
              <w:adjustRightInd/>
              <w:spacing w:before="60" w:beforeLines="0" w:afterLines="0" w:line="2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706" w:type="dxa"/>
            <w:tcBorders>
              <w:tl2br w:val="nil"/>
              <w:tr2bl w:val="nil"/>
            </w:tcBorders>
            <w:vAlign w:val="center"/>
          </w:tcPr>
          <w:p>
            <w:pPr>
              <w:autoSpaceDE/>
              <w:autoSpaceDN/>
              <w:adjustRightInd/>
              <w:spacing w:before="60" w:beforeLines="0" w:afterLines="0" w:line="2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磋商保证金缴纳凭证；</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9" w:hRule="exact"/>
          <w:jc w:val="center"/>
        </w:trPr>
        <w:tc>
          <w:tcPr>
            <w:tcW w:w="524" w:type="dxa"/>
            <w:tcBorders>
              <w:tl2br w:val="nil"/>
              <w:tr2bl w:val="nil"/>
            </w:tcBorders>
            <w:vAlign w:val="center"/>
          </w:tcPr>
          <w:p>
            <w:pPr>
              <w:autoSpaceDE/>
              <w:autoSpaceDN/>
              <w:adjustRightInd/>
              <w:spacing w:before="60" w:beforeLines="0" w:afterLines="0" w:line="200" w:lineRule="exact"/>
              <w:ind w:left="100"/>
              <w:jc w:val="center"/>
              <w:rPr>
                <w:rFonts w:hint="eastAsia" w:ascii="仿宋" w:hAnsi="仿宋" w:eastAsia="仿宋" w:cs="仿宋"/>
                <w:color w:val="auto"/>
                <w:sz w:val="24"/>
                <w:szCs w:val="24"/>
                <w:highlight w:val="none"/>
              </w:rPr>
            </w:pPr>
          </w:p>
        </w:tc>
        <w:tc>
          <w:tcPr>
            <w:tcW w:w="6706" w:type="dxa"/>
            <w:tcBorders>
              <w:tl2br w:val="nil"/>
              <w:tr2bl w:val="nil"/>
            </w:tcBorders>
            <w:vAlign w:val="center"/>
          </w:tcPr>
          <w:p>
            <w:pPr>
              <w:autoSpaceDE/>
              <w:autoSpaceDN/>
              <w:adjustRightInd/>
              <w:spacing w:before="60" w:beforeLines="0" w:afterLines="0" w:line="200" w:lineRule="exact"/>
              <w:ind w:left="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结论</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通过评审打“√”，未通过评审打“×”</w:t>
            </w: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696"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c>
          <w:tcPr>
            <w:tcW w:w="717" w:type="dxa"/>
            <w:tcBorders>
              <w:tl2br w:val="nil"/>
              <w:tr2bl w:val="nil"/>
            </w:tcBorders>
            <w:vAlign w:val="center"/>
          </w:tcPr>
          <w:p>
            <w:pPr>
              <w:autoSpaceDE/>
              <w:autoSpaceDN/>
              <w:adjustRightInd/>
              <w:spacing w:beforeLines="0" w:afterLines="0"/>
              <w:jc w:val="both"/>
              <w:rPr>
                <w:rFonts w:hint="eastAsia" w:ascii="仿宋" w:hAnsi="仿宋" w:eastAsia="仿宋" w:cs="仿宋"/>
                <w:color w:val="auto"/>
                <w:sz w:val="24"/>
                <w:szCs w:val="24"/>
                <w:highlight w:val="none"/>
              </w:rPr>
            </w:pPr>
          </w:p>
        </w:tc>
      </w:tr>
    </w:tbl>
    <w:p>
      <w:pPr>
        <w:widowControl/>
        <w:jc w:val="left"/>
        <w:rPr>
          <w:rFonts w:hint="eastAsia" w:ascii="仿宋" w:hAnsi="仿宋" w:eastAsia="仿宋" w:cs="仿宋"/>
          <w:sz w:val="22"/>
          <w:szCs w:val="22"/>
        </w:rPr>
      </w:pPr>
      <w:r>
        <w:rPr>
          <w:rFonts w:hint="eastAsia" w:ascii="仿宋" w:hAnsi="仿宋" w:eastAsia="仿宋" w:cs="仿宋"/>
          <w:sz w:val="24"/>
          <w:szCs w:val="24"/>
        </w:rPr>
        <w:t>说明：</w:t>
      </w:r>
    </w:p>
    <w:p>
      <w:pPr>
        <w:spacing w:line="360" w:lineRule="exact"/>
        <w:rPr>
          <w:rFonts w:hint="eastAsia" w:ascii="仿宋" w:hAnsi="仿宋" w:eastAsia="仿宋" w:cs="仿宋"/>
          <w:sz w:val="22"/>
          <w:szCs w:val="22"/>
        </w:rPr>
      </w:pPr>
      <w:r>
        <w:rPr>
          <w:rFonts w:hint="eastAsia" w:ascii="仿宋" w:hAnsi="仿宋" w:eastAsia="仿宋" w:cs="仿宋"/>
          <w:sz w:val="22"/>
          <w:szCs w:val="22"/>
        </w:rPr>
        <w:t>（1）上述各项中用“√”表示</w:t>
      </w:r>
      <w:r>
        <w:rPr>
          <w:rFonts w:hint="eastAsia" w:ascii="仿宋" w:hAnsi="仿宋" w:eastAsia="仿宋" w:cs="仿宋"/>
          <w:sz w:val="22"/>
          <w:szCs w:val="22"/>
          <w:lang w:eastAsia="zh-CN"/>
        </w:rPr>
        <w:t>是</w:t>
      </w:r>
      <w:r>
        <w:rPr>
          <w:rFonts w:hint="eastAsia" w:ascii="仿宋" w:hAnsi="仿宋" w:eastAsia="仿宋" w:cs="仿宋"/>
          <w:sz w:val="22"/>
          <w:szCs w:val="22"/>
        </w:rPr>
        <w:t>，“×”表示</w:t>
      </w:r>
      <w:r>
        <w:rPr>
          <w:rFonts w:hint="eastAsia" w:ascii="仿宋" w:hAnsi="仿宋" w:eastAsia="仿宋" w:cs="仿宋"/>
          <w:sz w:val="22"/>
          <w:szCs w:val="22"/>
          <w:lang w:eastAsia="zh-CN"/>
        </w:rPr>
        <w:t>否</w:t>
      </w:r>
      <w:r>
        <w:rPr>
          <w:rFonts w:hint="eastAsia" w:ascii="仿宋" w:hAnsi="仿宋" w:eastAsia="仿宋" w:cs="仿宋"/>
          <w:sz w:val="22"/>
          <w:szCs w:val="22"/>
        </w:rPr>
        <w:t>；</w:t>
      </w:r>
    </w:p>
    <w:p>
      <w:pPr>
        <w:spacing w:line="360" w:lineRule="exact"/>
        <w:rPr>
          <w:rFonts w:hint="eastAsia" w:ascii="仿宋" w:hAnsi="仿宋" w:eastAsia="仿宋" w:cs="仿宋"/>
          <w:sz w:val="22"/>
          <w:szCs w:val="22"/>
        </w:rPr>
      </w:pPr>
      <w:r>
        <w:rPr>
          <w:rFonts w:hint="eastAsia" w:ascii="仿宋" w:hAnsi="仿宋" w:eastAsia="仿宋" w:cs="仿宋"/>
          <w:sz w:val="22"/>
          <w:szCs w:val="22"/>
        </w:rPr>
        <w:t>（2）上述各项中如有一项为“×”，则结论为“</w:t>
      </w:r>
      <w:r>
        <w:rPr>
          <w:rFonts w:hint="eastAsia" w:ascii="仿宋" w:hAnsi="仿宋" w:eastAsia="仿宋" w:cs="仿宋"/>
          <w:sz w:val="22"/>
          <w:szCs w:val="22"/>
          <w:lang w:eastAsia="zh-CN"/>
        </w:rPr>
        <w:t>不通过</w:t>
      </w:r>
      <w:r>
        <w:rPr>
          <w:rFonts w:hint="eastAsia" w:ascii="仿宋" w:hAnsi="仿宋" w:eastAsia="仿宋" w:cs="仿宋"/>
          <w:sz w:val="22"/>
          <w:szCs w:val="22"/>
        </w:rPr>
        <w:t>”，表示该响应文件中存在重大偏差，不能通过</w:t>
      </w:r>
      <w:r>
        <w:rPr>
          <w:rFonts w:hint="eastAsia" w:ascii="仿宋" w:hAnsi="仿宋" w:eastAsia="仿宋" w:cs="仿宋"/>
          <w:sz w:val="22"/>
          <w:szCs w:val="22"/>
          <w:lang w:val="en-US" w:eastAsia="zh-CN"/>
        </w:rPr>
        <w:t>资格审查</w:t>
      </w:r>
      <w:r>
        <w:rPr>
          <w:rFonts w:hint="eastAsia" w:ascii="仿宋" w:hAnsi="仿宋" w:eastAsia="仿宋" w:cs="仿宋"/>
          <w:sz w:val="22"/>
          <w:szCs w:val="22"/>
        </w:rPr>
        <w:t>；</w:t>
      </w:r>
    </w:p>
    <w:p>
      <w:pPr>
        <w:spacing w:line="360" w:lineRule="exact"/>
        <w:rPr>
          <w:rFonts w:hint="eastAsia" w:ascii="仿宋" w:hAnsi="仿宋" w:eastAsia="仿宋" w:cs="仿宋"/>
        </w:rPr>
      </w:pPr>
      <w:r>
        <w:rPr>
          <w:rFonts w:hint="eastAsia" w:ascii="仿宋" w:hAnsi="仿宋" w:eastAsia="仿宋" w:cs="仿宋"/>
          <w:b/>
          <w:bCs/>
          <w:sz w:val="22"/>
          <w:szCs w:val="22"/>
        </w:rPr>
        <w:t>备注：如果</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中有一项未通过上述审查标准，</w:t>
      </w:r>
      <w:r>
        <w:rPr>
          <w:rFonts w:hint="eastAsia" w:ascii="仿宋" w:hAnsi="仿宋" w:eastAsia="仿宋" w:cs="仿宋"/>
          <w:b/>
          <w:bCs/>
          <w:sz w:val="22"/>
          <w:szCs w:val="22"/>
          <w:lang w:val="en-US" w:eastAsia="zh-CN"/>
        </w:rPr>
        <w:t>资格审查小组</w:t>
      </w:r>
      <w:r>
        <w:rPr>
          <w:rFonts w:hint="eastAsia" w:ascii="仿宋" w:hAnsi="仿宋" w:eastAsia="仿宋" w:cs="仿宋"/>
          <w:b/>
          <w:bCs/>
          <w:sz w:val="22"/>
          <w:szCs w:val="22"/>
        </w:rPr>
        <w:t>会将认定整个</w:t>
      </w:r>
      <w:r>
        <w:rPr>
          <w:rFonts w:hint="eastAsia" w:ascii="仿宋" w:hAnsi="仿宋" w:eastAsia="仿宋" w:cs="仿宋"/>
          <w:b/>
          <w:bCs/>
          <w:sz w:val="22"/>
          <w:szCs w:val="22"/>
          <w:lang w:eastAsia="zh-CN"/>
        </w:rPr>
        <w:t>响应文件</w:t>
      </w:r>
      <w:r>
        <w:rPr>
          <w:rFonts w:hint="eastAsia" w:ascii="仿宋" w:hAnsi="仿宋" w:eastAsia="仿宋" w:cs="仿宋"/>
          <w:b/>
          <w:bCs/>
          <w:sz w:val="22"/>
          <w:szCs w:val="22"/>
        </w:rPr>
        <w:t>未响应</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而予以无效处理。</w:t>
      </w:r>
    </w:p>
    <w:p>
      <w:pPr>
        <w:spacing w:line="240" w:lineRule="atLeast"/>
        <w:ind w:left="1080" w:leftChars="257" w:hanging="540"/>
        <w:rPr>
          <w:rFonts w:hint="eastAsia" w:ascii="仿宋" w:hAnsi="仿宋" w:eastAsia="仿宋" w:cs="仿宋"/>
          <w:color w:val="auto"/>
          <w:sz w:val="24"/>
          <w:highlight w:val="none"/>
        </w:rPr>
        <w:sectPr>
          <w:headerReference r:id="rId6" w:type="default"/>
          <w:footerReference r:id="rId8" w:type="default"/>
          <w:headerReference r:id="rId7" w:type="even"/>
          <w:footerReference r:id="rId9" w:type="even"/>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312" w:charSpace="0"/>
        </w:sectPr>
      </w:pPr>
    </w:p>
    <w:p>
      <w:pPr>
        <w:pStyle w:val="3"/>
        <w:numPr>
          <w:ilvl w:val="0"/>
          <w:numId w:val="0"/>
        </w:numPr>
        <w:tabs>
          <w:tab w:val="left" w:pos="0"/>
        </w:tabs>
        <w:spacing w:before="0" w:after="0" w:line="240" w:lineRule="atLeast"/>
        <w:ind w:leftChars="0"/>
        <w:jc w:val="center"/>
        <w:rPr>
          <w:rFonts w:hint="eastAsia" w:ascii="仿宋" w:hAnsi="仿宋" w:eastAsia="仿宋" w:cs="仿宋"/>
          <w:color w:val="auto"/>
          <w:highlight w:val="none"/>
        </w:rPr>
      </w:pPr>
      <w:bookmarkStart w:id="247" w:name="_Toc512937852"/>
      <w:r>
        <w:rPr>
          <w:rFonts w:hint="eastAsia" w:ascii="仿宋" w:hAnsi="仿宋" w:eastAsia="仿宋" w:cs="仿宋"/>
          <w:color w:val="auto"/>
          <w:highlight w:val="none"/>
          <w:lang w:val="en-US" w:eastAsia="zh-CN"/>
        </w:rPr>
        <w:t>第5章货物</w:t>
      </w:r>
      <w:r>
        <w:rPr>
          <w:rFonts w:hint="eastAsia" w:ascii="仿宋" w:hAnsi="仿宋" w:eastAsia="仿宋" w:cs="仿宋"/>
          <w:color w:val="auto"/>
          <w:highlight w:val="none"/>
        </w:rPr>
        <w:t>需求</w:t>
      </w:r>
    </w:p>
    <w:p>
      <w:pPr>
        <w:widowControl/>
        <w:autoSpaceDE w:val="0"/>
        <w:autoSpaceDN w:val="0"/>
        <w:spacing w:line="240" w:lineRule="auto"/>
        <w:ind w:firstLine="482" w:firstLineChars="200"/>
        <w:textAlignment w:val="bottom"/>
        <w:rPr>
          <w:rFonts w:hint="eastAsia" w:ascii="仿宋" w:hAnsi="仿宋" w:eastAsia="仿宋" w:cs="仿宋"/>
          <w:b/>
          <w:bCs/>
          <w:sz w:val="24"/>
          <w:szCs w:val="24"/>
          <w:lang w:val="en-US" w:eastAsia="zh-CN"/>
        </w:rPr>
      </w:pPr>
    </w:p>
    <w:p>
      <w:pPr>
        <w:pStyle w:val="2"/>
        <w:jc w:val="center"/>
        <w:rPr>
          <w:rFonts w:hint="eastAsia"/>
          <w:lang w:val="en-US" w:eastAsia="zh-CN"/>
        </w:rPr>
      </w:pPr>
      <w:r>
        <w:rPr>
          <w:rFonts w:hint="eastAsia" w:eastAsia="宋体" w:cs="Times New Roman"/>
          <w:b/>
          <w:bCs/>
          <w:sz w:val="24"/>
          <w:szCs w:val="24"/>
          <w:lang w:val="en-US" w:eastAsia="zh-CN"/>
        </w:rPr>
        <w:t>塔什库尔干县2023年各乡镇小学学生</w:t>
      </w:r>
      <w:r>
        <w:rPr>
          <w:rFonts w:hint="default" w:eastAsia="宋体" w:cs="Times New Roman"/>
          <w:b/>
          <w:bCs/>
          <w:sz w:val="24"/>
          <w:szCs w:val="24"/>
          <w:lang w:val="en-US" w:eastAsia="zh-CN"/>
        </w:rPr>
        <w:t>课桌椅采购</w:t>
      </w:r>
      <w:r>
        <w:rPr>
          <w:rFonts w:hint="eastAsia" w:eastAsia="宋体" w:cs="Times New Roman"/>
          <w:b/>
          <w:bCs/>
          <w:sz w:val="24"/>
          <w:szCs w:val="24"/>
          <w:lang w:val="en-US" w:eastAsia="zh-CN"/>
        </w:rPr>
        <w:t>参数</w:t>
      </w:r>
      <w:r>
        <w:rPr>
          <w:rFonts w:hint="default" w:eastAsia="宋体" w:cs="Times New Roman"/>
          <w:b/>
          <w:bCs/>
          <w:sz w:val="24"/>
          <w:szCs w:val="24"/>
          <w:lang w:val="en-US" w:eastAsia="zh-CN"/>
        </w:rPr>
        <w:t>表</w:t>
      </w:r>
    </w:p>
    <w:tbl>
      <w:tblPr>
        <w:tblStyle w:val="24"/>
        <w:tblW w:w="89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4"/>
        <w:gridCol w:w="1552"/>
        <w:gridCol w:w="3997"/>
        <w:gridCol w:w="691"/>
        <w:gridCol w:w="1125"/>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34" w:type="dxa"/>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县城乡寄宿制小学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2686</w:t>
            </w:r>
          </w:p>
        </w:tc>
        <w:tc>
          <w:tcPr>
            <w:tcW w:w="1187" w:type="dxa"/>
            <w:vMerge w:val="restart"/>
            <w:tcBorders>
              <w:top w:val="single" w:color="000000" w:sz="4" w:space="0"/>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参数中的规格均为参考数值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34" w:type="dxa"/>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塔合曼乡寄宿制小学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375</w:t>
            </w:r>
          </w:p>
        </w:tc>
        <w:tc>
          <w:tcPr>
            <w:tcW w:w="118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34" w:type="dxa"/>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塔吉克阿巴提镇小学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374</w:t>
            </w:r>
          </w:p>
        </w:tc>
        <w:tc>
          <w:tcPr>
            <w:tcW w:w="118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34" w:type="dxa"/>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提孜那甫乡寄宿制小学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187</w:t>
            </w:r>
          </w:p>
        </w:tc>
        <w:tc>
          <w:tcPr>
            <w:tcW w:w="118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34"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达布达尔乡寄宿制小学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167</w:t>
            </w:r>
          </w:p>
        </w:tc>
        <w:tc>
          <w:tcPr>
            <w:tcW w:w="118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塔什库尔干乡寄宿制小学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131</w:t>
            </w:r>
          </w:p>
        </w:tc>
        <w:tc>
          <w:tcPr>
            <w:tcW w:w="118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17" w:hRule="atLeast"/>
        </w:trPr>
        <w:tc>
          <w:tcPr>
            <w:tcW w:w="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瓦恰乡寄宿制小学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122</w:t>
            </w:r>
          </w:p>
        </w:tc>
        <w:tc>
          <w:tcPr>
            <w:tcW w:w="118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库科西力克乡寄宿制乡小学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109</w:t>
            </w:r>
          </w:p>
        </w:tc>
        <w:tc>
          <w:tcPr>
            <w:tcW w:w="118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10" w:hRule="atLeast"/>
        </w:trPr>
        <w:tc>
          <w:tcPr>
            <w:tcW w:w="434"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科克亚柯尔克孜民族寄宿制乡小学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40</w:t>
            </w:r>
          </w:p>
        </w:tc>
        <w:tc>
          <w:tcPr>
            <w:tcW w:w="1187" w:type="dxa"/>
            <w:vMerge w:val="continue"/>
            <w:tcBorders>
              <w:left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434" w:type="dxa"/>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w:t>
            </w:r>
          </w:p>
        </w:tc>
        <w:tc>
          <w:tcPr>
            <w:tcW w:w="155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马尔洋乡寄宿制乡小学</w:t>
            </w:r>
          </w:p>
        </w:tc>
        <w:tc>
          <w:tcPr>
            <w:tcW w:w="3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单人课桌椅 （可升降）</w:t>
            </w:r>
          </w:p>
          <w:p>
            <w:pPr>
              <w:keepNext w:val="0"/>
              <w:keepLines w:val="0"/>
              <w:widowControl/>
              <w:suppressLineNumbers w:val="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产品尺寸桌子（长600mm*宽400mm*高760mm；</w:t>
            </w:r>
          </w:p>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椅子（长380mm*宽360mm*高440mm；产品材质：板式，防火饰面板 碳钢/ABS/加固多层板材；防磕碰圆润包边</w:t>
            </w:r>
          </w:p>
        </w:tc>
        <w:tc>
          <w:tcPr>
            <w:tcW w:w="6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套</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15</w:t>
            </w:r>
          </w:p>
        </w:tc>
        <w:tc>
          <w:tcPr>
            <w:tcW w:w="1187" w:type="dxa"/>
            <w:vMerge w:val="continue"/>
            <w:tcBorders>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仿宋" w:hAnsi="仿宋" w:eastAsia="仿宋" w:cs="仿宋"/>
                <w:i w:val="0"/>
                <w:color w:val="000000"/>
                <w:kern w:val="0"/>
                <w:sz w:val="24"/>
                <w:szCs w:val="24"/>
                <w:u w:val="none"/>
                <w:lang w:val="en-US" w:eastAsia="zh-CN" w:bidi="ar"/>
              </w:rPr>
            </w:pPr>
          </w:p>
        </w:tc>
      </w:tr>
    </w:tbl>
    <w:p>
      <w:pPr>
        <w:pStyle w:val="28"/>
        <w:rPr>
          <w:rFonts w:hint="eastAsia" w:eastAsia="宋体" w:cs="Times New Roman"/>
          <w:b/>
          <w:bCs/>
          <w:sz w:val="24"/>
          <w:szCs w:val="24"/>
          <w:lang w:val="en-US" w:eastAsia="zh-CN"/>
        </w:rPr>
      </w:pPr>
    </w:p>
    <w:p>
      <w:pPr>
        <w:pStyle w:val="28"/>
        <w:rPr>
          <w:rFonts w:hint="eastAsia" w:eastAsia="宋体" w:cs="Times New Roman"/>
          <w:b/>
          <w:bCs/>
          <w:sz w:val="24"/>
          <w:szCs w:val="24"/>
          <w:lang w:val="en-US" w:eastAsia="zh-CN"/>
        </w:rPr>
      </w:pPr>
    </w:p>
    <w:p>
      <w:pPr>
        <w:pStyle w:val="28"/>
        <w:rPr>
          <w:rFonts w:hint="eastAsia" w:eastAsia="宋体" w:cs="Times New Roman"/>
          <w:b/>
          <w:bCs/>
          <w:sz w:val="24"/>
          <w:szCs w:val="24"/>
          <w:lang w:val="en-US" w:eastAsia="zh-CN"/>
        </w:rPr>
      </w:pPr>
    </w:p>
    <w:p>
      <w:pPr>
        <w:pStyle w:val="28"/>
        <w:rPr>
          <w:rFonts w:hint="eastAsia" w:eastAsia="宋体" w:cs="Times New Roman"/>
          <w:b/>
          <w:bCs/>
          <w:sz w:val="24"/>
          <w:szCs w:val="24"/>
          <w:lang w:val="en-US" w:eastAsia="zh-CN"/>
        </w:rPr>
        <w:sectPr>
          <w:headerReference r:id="rId10" w:type="default"/>
          <w:footerReference r:id="rId11"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pPr>
    </w:p>
    <w:p>
      <w:pPr>
        <w:pStyle w:val="28"/>
        <w:spacing w:line="240" w:lineRule="auto"/>
        <w:ind w:left="0" w:leftChars="0" w:firstLine="0" w:firstLineChars="0"/>
        <w:rPr>
          <w:rFonts w:hint="eastAsia" w:ascii="仿宋" w:hAnsi="仿宋" w:eastAsia="仿宋" w:cs="仿宋"/>
          <w:sz w:val="24"/>
          <w:szCs w:val="24"/>
          <w:lang w:val="en-US" w:eastAsia="zh-CN"/>
        </w:rPr>
      </w:pPr>
    </w:p>
    <w:p>
      <w:pPr>
        <w:spacing w:line="240" w:lineRule="atLeast"/>
        <w:ind w:firstLine="482" w:firstLineChars="200"/>
        <w:jc w:val="both"/>
        <w:rPr>
          <w:rFonts w:hint="eastAsia" w:ascii="仿宋" w:hAnsi="仿宋" w:eastAsia="仿宋" w:cs="仿宋"/>
          <w:b/>
          <w:bCs/>
          <w:color w:val="auto"/>
          <w:sz w:val="44"/>
          <w:szCs w:val="44"/>
          <w:highlight w:val="none"/>
          <w:lang w:eastAsia="zh-CN"/>
        </w:rPr>
      </w:pPr>
      <w:r>
        <w:rPr>
          <w:rFonts w:hint="eastAsia" w:ascii="仿宋" w:hAnsi="仿宋" w:eastAsia="仿宋" w:cs="仿宋"/>
          <w:b/>
          <w:bCs/>
          <w:kern w:val="2"/>
          <w:sz w:val="24"/>
          <w:szCs w:val="24"/>
          <w:lang w:val="en-US" w:eastAsia="zh-CN" w:bidi="ar-SA"/>
        </w:rPr>
        <w:t>塔什库尔干县教育局各乡镇小学课桌椅采购项目</w:t>
      </w:r>
    </w:p>
    <w:bookmarkEnd w:id="247"/>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交货期：签订合同60日内</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质保期：一般产品1年</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核心产品：</w:t>
      </w:r>
      <w:r>
        <w:rPr>
          <w:rFonts w:hint="eastAsia" w:ascii="仿宋" w:hAnsi="仿宋" w:eastAsia="仿宋" w:cs="仿宋"/>
          <w:color w:val="auto"/>
          <w:sz w:val="24"/>
          <w:lang w:val="en-US" w:eastAsia="zh-CN"/>
        </w:rPr>
        <w:t>/</w:t>
      </w:r>
    </w:p>
    <w:p>
      <w:pPr>
        <w:spacing w:line="240" w:lineRule="auto"/>
        <w:ind w:firstLine="482" w:firstLineChars="200"/>
        <w:rPr>
          <w:rFonts w:hint="eastAsia" w:ascii="仿宋" w:hAnsi="仿宋" w:eastAsia="仿宋" w:cs="仿宋"/>
          <w:sz w:val="24"/>
          <w:szCs w:val="24"/>
          <w:lang w:val="en-US" w:eastAsia="zh-CN"/>
        </w:rPr>
      </w:pPr>
      <w:r>
        <w:rPr>
          <w:rFonts w:hint="eastAsia" w:ascii="仿宋" w:hAnsi="仿宋" w:eastAsia="仿宋" w:cs="仿宋"/>
          <w:b/>
          <w:bCs/>
          <w:kern w:val="2"/>
          <w:sz w:val="24"/>
          <w:szCs w:val="24"/>
          <w:lang w:val="en-US" w:eastAsia="zh-CN" w:bidi="ar-SA"/>
        </w:rPr>
        <w:t>交货地点：塔什库尔干县采购人指定地点</w:t>
      </w:r>
    </w:p>
    <w:p>
      <w:pPr>
        <w:pStyle w:val="3"/>
        <w:tabs>
          <w:tab w:val="left" w:pos="0"/>
        </w:tabs>
        <w:spacing w:before="0" w:after="0" w:line="240" w:lineRule="auto"/>
        <w:ind w:firstLine="482" w:firstLineChars="200"/>
        <w:jc w:val="left"/>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bidi="ar-SA"/>
        </w:rPr>
        <w:t>付款方式：签订合同后支付合同价30%，项目实施完成并验收合格后支付70%</w:t>
      </w:r>
      <w:r>
        <w:rPr>
          <w:rFonts w:hint="eastAsia" w:ascii="仿宋" w:hAnsi="仿宋" w:eastAsia="仿宋" w:cs="仿宋"/>
          <w:b/>
          <w:bCs/>
          <w:kern w:val="2"/>
          <w:sz w:val="24"/>
          <w:szCs w:val="24"/>
        </w:rPr>
        <w:t>注：</w:t>
      </w:r>
    </w:p>
    <w:p>
      <w:pPr>
        <w:pStyle w:val="3"/>
        <w:tabs>
          <w:tab w:val="left" w:pos="0"/>
        </w:tabs>
        <w:spacing w:before="0" w:after="0" w:line="240" w:lineRule="auto"/>
        <w:ind w:firstLine="482" w:firstLineChars="200"/>
        <w:jc w:val="left"/>
        <w:rPr>
          <w:rFonts w:hint="eastAsia" w:ascii="仿宋" w:hAnsi="仿宋" w:eastAsia="仿宋" w:cs="仿宋"/>
          <w:sz w:val="24"/>
          <w:szCs w:val="24"/>
        </w:rPr>
      </w:pPr>
      <w:r>
        <w:rPr>
          <w:rFonts w:hint="eastAsia" w:ascii="仿宋" w:hAnsi="仿宋" w:eastAsia="仿宋" w:cs="仿宋"/>
          <w:b/>
          <w:bCs/>
          <w:kern w:val="2"/>
          <w:sz w:val="24"/>
          <w:szCs w:val="24"/>
        </w:rPr>
        <w:t>以上技术规格参数表中所要求的技术参数未指向任何品牌、型号、供应商，若有指向只作参考，并无其他限制作用，供应商所投产品可以根据技术参数要求自主选择品牌。参数及要求以签订合同为准</w:t>
      </w:r>
      <w:r>
        <w:rPr>
          <w:rFonts w:hint="eastAsia" w:ascii="仿宋" w:hAnsi="仿宋" w:eastAsia="仿宋" w:cs="仿宋"/>
          <w:b/>
          <w:bCs/>
          <w:kern w:val="2"/>
          <w:sz w:val="24"/>
          <w:szCs w:val="24"/>
          <w:lang w:eastAsia="zh-CN"/>
        </w:rPr>
        <w:t>。</w:t>
      </w:r>
    </w:p>
    <w:p>
      <w:pPr>
        <w:tabs>
          <w:tab w:val="left" w:pos="900"/>
        </w:tabs>
        <w:snapToGrid w:val="0"/>
        <w:spacing w:line="240" w:lineRule="auto"/>
        <w:ind w:firstLine="482" w:firstLineChars="200"/>
        <w:jc w:val="lef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其他</w:t>
      </w:r>
    </w:p>
    <w:p>
      <w:pPr>
        <w:pStyle w:val="6"/>
        <w:numPr>
          <w:ilvl w:val="0"/>
          <w:numId w:val="0"/>
        </w:numPr>
        <w:spacing w:line="240" w:lineRule="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其他未尽事宜由供需双方在采购合同中详细约定。</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br w:type="page"/>
      </w:r>
    </w:p>
    <w:p>
      <w:pPr>
        <w:pStyle w:val="3"/>
        <w:numPr>
          <w:ilvl w:val="0"/>
          <w:numId w:val="0"/>
        </w:numPr>
        <w:tabs>
          <w:tab w:val="left" w:pos="0"/>
        </w:tabs>
        <w:spacing w:before="0" w:after="0" w:line="240" w:lineRule="atLeast"/>
        <w:ind w:left="-15" w:leftChars="0"/>
        <w:jc w:val="center"/>
        <w:rPr>
          <w:rFonts w:hint="eastAsia" w:ascii="仿宋" w:hAnsi="仿宋" w:eastAsia="仿宋" w:cs="仿宋"/>
          <w:color w:val="auto"/>
          <w:highlight w:val="none"/>
        </w:rPr>
      </w:pPr>
      <w:bookmarkStart w:id="248" w:name="_Toc218935355"/>
      <w:bookmarkStart w:id="249" w:name="_Toc219175639"/>
      <w:bookmarkStart w:id="250" w:name="_Toc216582826"/>
      <w:bookmarkStart w:id="251" w:name="_Toc998"/>
      <w:r>
        <w:rPr>
          <w:rFonts w:hint="eastAsia" w:ascii="仿宋" w:hAnsi="仿宋" w:eastAsia="仿宋" w:cs="仿宋"/>
          <w:color w:val="auto"/>
          <w:highlight w:val="none"/>
          <w:lang w:val="en-US" w:eastAsia="zh-CN"/>
        </w:rPr>
        <w:t>第6章</w:t>
      </w:r>
      <w:r>
        <w:rPr>
          <w:rFonts w:hint="eastAsia" w:ascii="仿宋" w:hAnsi="仿宋" w:eastAsia="仿宋" w:cs="仿宋"/>
          <w:color w:val="auto"/>
          <w:highlight w:val="none"/>
        </w:rPr>
        <w:t xml:space="preserve">  </w:t>
      </w:r>
      <w:bookmarkStart w:id="252" w:name="_Toc518923127"/>
      <w:bookmarkStart w:id="253" w:name="_Toc507399907"/>
      <w:r>
        <w:rPr>
          <w:rFonts w:hint="eastAsia" w:ascii="仿宋" w:hAnsi="仿宋" w:eastAsia="仿宋" w:cs="仿宋"/>
          <w:color w:val="auto"/>
          <w:highlight w:val="none"/>
        </w:rPr>
        <w:t>评标方法和标准</w:t>
      </w:r>
      <w:bookmarkEnd w:id="248"/>
      <w:bookmarkEnd w:id="249"/>
      <w:bookmarkEnd w:id="250"/>
      <w:bookmarkEnd w:id="251"/>
      <w:bookmarkEnd w:id="252"/>
      <w:bookmarkEnd w:id="253"/>
    </w:p>
    <w:p>
      <w:pPr>
        <w:pStyle w:val="8"/>
        <w:tabs>
          <w:tab w:val="clear" w:pos="567"/>
        </w:tabs>
        <w:spacing w:before="0" w:line="240" w:lineRule="atLeast"/>
        <w:ind w:firstLine="540" w:firstLineChars="225"/>
        <w:rPr>
          <w:rFonts w:hint="eastAsia" w:ascii="仿宋" w:hAnsi="仿宋" w:eastAsia="仿宋" w:cs="仿宋"/>
          <w:color w:val="auto"/>
          <w:highlight w:val="none"/>
        </w:rPr>
      </w:pPr>
    </w:p>
    <w:p>
      <w:pPr>
        <w:pStyle w:val="8"/>
        <w:numPr>
          <w:ilvl w:val="0"/>
          <w:numId w:val="0"/>
        </w:numPr>
        <w:tabs>
          <w:tab w:val="clear" w:pos="567"/>
        </w:tabs>
        <w:spacing w:before="0" w:line="360" w:lineRule="auto"/>
        <w:ind w:firstLine="480" w:firstLineChars="200"/>
        <w:jc w:val="left"/>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rPr>
        <w:t>本项目将按照磋商文件第一章供应商须知中“五 磋商开启及评审”、“六 确定</w:t>
      </w:r>
      <w:r>
        <w:rPr>
          <w:rFonts w:hint="eastAsia" w:ascii="仿宋" w:hAnsi="仿宋" w:eastAsia="仿宋" w:cs="仿宋"/>
          <w:b w:val="0"/>
          <w:bCs w:val="0"/>
          <w:color w:val="auto"/>
          <w:highlight w:val="none"/>
          <w:lang w:eastAsia="zh-CN"/>
        </w:rPr>
        <w:t>中标</w:t>
      </w:r>
      <w:r>
        <w:rPr>
          <w:rFonts w:hint="eastAsia" w:ascii="仿宋" w:hAnsi="仿宋" w:eastAsia="仿宋" w:cs="仿宋"/>
          <w:b w:val="0"/>
          <w:bCs w:val="0"/>
          <w:color w:val="auto"/>
          <w:highlight w:val="none"/>
        </w:rPr>
        <w:t>”及本章的规定评标。</w:t>
      </w:r>
    </w:p>
    <w:p>
      <w:pPr>
        <w:numPr>
          <w:ilvl w:val="0"/>
          <w:numId w:val="0"/>
        </w:numPr>
        <w:spacing w:line="36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一、</w:t>
      </w:r>
      <w:r>
        <w:rPr>
          <w:rFonts w:hint="eastAsia" w:ascii="仿宋" w:hAnsi="仿宋" w:eastAsia="仿宋" w:cs="仿宋"/>
          <w:b/>
          <w:bCs/>
          <w:i w:val="0"/>
          <w:caps w:val="0"/>
          <w:color w:val="auto"/>
          <w:spacing w:val="0"/>
          <w:kern w:val="0"/>
          <w:sz w:val="24"/>
          <w:szCs w:val="24"/>
          <w:lang w:val="en-US" w:eastAsia="zh-CN" w:bidi="ar"/>
        </w:rPr>
        <w:t>项目基本情况</w:t>
      </w:r>
    </w:p>
    <w:p>
      <w:pPr>
        <w:spacing w:line="240" w:lineRule="atLeast"/>
        <w:ind w:firstLine="480" w:firstLineChars="200"/>
        <w:jc w:val="both"/>
        <w:rPr>
          <w:rFonts w:hint="eastAsia" w:ascii="仿宋" w:hAnsi="仿宋" w:eastAsia="仿宋" w:cs="仿宋"/>
          <w:color w:val="auto"/>
          <w:sz w:val="24"/>
          <w:lang w:eastAsia="zh-CN"/>
        </w:rPr>
      </w:pPr>
      <w:r>
        <w:rPr>
          <w:rFonts w:hint="eastAsia" w:ascii="仿宋" w:hAnsi="仿宋" w:eastAsia="仿宋" w:cs="仿宋"/>
          <w:b w:val="0"/>
          <w:bCs w:val="0"/>
          <w:color w:val="auto"/>
          <w:sz w:val="24"/>
          <w:szCs w:val="24"/>
          <w:lang w:val="en-US" w:eastAsia="zh-CN"/>
        </w:rPr>
        <w:t>项目名称：</w:t>
      </w:r>
      <w:r>
        <w:rPr>
          <w:rFonts w:hint="eastAsia" w:ascii="仿宋" w:hAnsi="仿宋" w:eastAsia="仿宋" w:cs="仿宋"/>
          <w:color w:val="auto"/>
          <w:sz w:val="24"/>
          <w:lang w:val="en-US" w:eastAsia="zh-CN"/>
        </w:rPr>
        <w:t>塔什库尔干县教育局各乡镇小学课桌椅采购项目</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color w:val="auto"/>
          <w:sz w:val="24"/>
          <w:lang w:val="en-US" w:eastAsia="zh-CN"/>
        </w:rPr>
        <w:t xml:space="preserve">    </w:t>
      </w:r>
      <w:r>
        <w:rPr>
          <w:rFonts w:hint="eastAsia" w:ascii="仿宋" w:hAnsi="仿宋" w:eastAsia="仿宋" w:cs="仿宋"/>
          <w:b w:val="0"/>
          <w:bCs w:val="0"/>
          <w:color w:val="auto"/>
          <w:sz w:val="24"/>
          <w:szCs w:val="24"/>
          <w:lang w:val="en-US" w:eastAsia="zh-CN"/>
        </w:rPr>
        <w:t>地点：</w:t>
      </w:r>
      <w:r>
        <w:rPr>
          <w:rFonts w:hint="eastAsia" w:ascii="仿宋" w:hAnsi="仿宋" w:eastAsia="仿宋" w:cs="仿宋"/>
          <w:color w:val="auto"/>
          <w:sz w:val="24"/>
        </w:rPr>
        <w:t>新疆政采云平台https://www.zcygov.cn</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采购方式：竞争性磋商</w:t>
      </w:r>
    </w:p>
    <w:p>
      <w:pPr>
        <w:spacing w:line="360" w:lineRule="auto"/>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评标办法; 综合评分法</w:t>
      </w:r>
    </w:p>
    <w:p>
      <w:pPr>
        <w:numPr>
          <w:ilvl w:val="0"/>
          <w:numId w:val="0"/>
        </w:numPr>
        <w:spacing w:line="360" w:lineRule="auto"/>
        <w:ind w:leftChars="0"/>
        <w:rPr>
          <w:rFonts w:hint="eastAsia" w:ascii="仿宋_GB2312" w:eastAsia="仿宋_GB2312"/>
          <w:b w:val="0"/>
          <w:bCs w:val="0"/>
          <w:color w:val="auto"/>
          <w:sz w:val="24"/>
          <w:lang w:eastAsia="zh-CN"/>
        </w:rPr>
      </w:pPr>
      <w:r>
        <w:rPr>
          <w:rFonts w:hint="eastAsia" w:ascii="仿宋_GB2312" w:eastAsia="仿宋_GB2312"/>
          <w:b w:val="0"/>
          <w:bCs w:val="0"/>
          <w:color w:val="auto"/>
          <w:sz w:val="24"/>
          <w:lang w:eastAsia="zh-CN"/>
        </w:rPr>
        <w:t>是指响应文件满足磋商文件全部实质性要求且按评审因素的量化指标评审得分最高的供应商为成交候选供应商的评审方法。</w:t>
      </w:r>
    </w:p>
    <w:p>
      <w:pPr>
        <w:spacing w:line="360" w:lineRule="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拒绝接收响应文件的情形</w:t>
      </w:r>
    </w:p>
    <w:p>
      <w:pPr>
        <w:pageBreakBefore w:val="0"/>
        <w:kinsoku/>
        <w:wordWrap/>
        <w:overflowPunct/>
        <w:topLinePunct w:val="0"/>
        <w:bidi w:val="0"/>
        <w:spacing w:line="360" w:lineRule="auto"/>
        <w:ind w:left="0"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在递交</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截止时间后</w:t>
      </w:r>
      <w:r>
        <w:rPr>
          <w:rFonts w:hint="eastAsia" w:ascii="仿宋" w:hAnsi="仿宋" w:eastAsia="仿宋" w:cs="仿宋"/>
          <w:b w:val="0"/>
          <w:bCs w:val="0"/>
          <w:color w:val="auto"/>
          <w:sz w:val="24"/>
          <w:szCs w:val="24"/>
          <w:lang w:val="en-US" w:eastAsia="zh-CN"/>
        </w:rPr>
        <w:t>上传</w:t>
      </w:r>
      <w:r>
        <w:rPr>
          <w:rFonts w:hint="eastAsia" w:ascii="仿宋" w:hAnsi="仿宋" w:eastAsia="仿宋" w:cs="仿宋"/>
          <w:b w:val="0"/>
          <w:bCs w:val="0"/>
          <w:color w:val="auto"/>
          <w:sz w:val="24"/>
          <w:szCs w:val="24"/>
        </w:rPr>
        <w:t>的</w:t>
      </w:r>
      <w:r>
        <w:rPr>
          <w:rFonts w:hint="eastAsia" w:ascii="仿宋" w:hAnsi="仿宋" w:eastAsia="仿宋" w:cs="仿宋"/>
          <w:b w:val="0"/>
          <w:bCs w:val="0"/>
          <w:color w:val="auto"/>
          <w:sz w:val="24"/>
          <w:szCs w:val="24"/>
          <w:lang w:eastAsia="zh-CN"/>
        </w:rPr>
        <w:t>响应文件</w:t>
      </w:r>
      <w:r>
        <w:rPr>
          <w:rFonts w:hint="eastAsia" w:ascii="仿宋" w:hAnsi="仿宋" w:eastAsia="仿宋" w:cs="仿宋"/>
          <w:b w:val="0"/>
          <w:bCs w:val="0"/>
          <w:color w:val="auto"/>
          <w:sz w:val="24"/>
          <w:szCs w:val="24"/>
        </w:rPr>
        <w:t>。</w:t>
      </w:r>
    </w:p>
    <w:p>
      <w:pPr>
        <w:pageBreakBefore w:val="0"/>
        <w:numPr>
          <w:ilvl w:val="0"/>
          <w:numId w:val="0"/>
        </w:numPr>
        <w:kinsoku/>
        <w:wordWrap/>
        <w:overflowPunct/>
        <w:topLinePunct w:val="0"/>
        <w:bidi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三、不得开启响应文件的情形</w:t>
      </w:r>
    </w:p>
    <w:p>
      <w:pPr>
        <w:pageBreakBefore w:val="0"/>
        <w:numPr>
          <w:ilvl w:val="0"/>
          <w:numId w:val="0"/>
        </w:numPr>
        <w:kinsoku/>
        <w:wordWrap/>
        <w:overflowPunct/>
        <w:topLinePunct w:val="0"/>
        <w:bidi w:val="0"/>
        <w:spacing w:line="360" w:lineRule="auto"/>
        <w:ind w:firstLine="480" w:firstLineChars="200"/>
        <w:textAlignment w:val="auto"/>
        <w:rPr>
          <w:rFonts w:hint="eastAsia" w:ascii="仿宋" w:hAnsi="仿宋" w:eastAsia="仿宋" w:cs="仿宋"/>
          <w:b w:val="0"/>
          <w:bCs w:val="0"/>
          <w:color w:val="auto"/>
        </w:rPr>
      </w:pPr>
      <w:r>
        <w:rPr>
          <w:rFonts w:hint="eastAsia" w:ascii="仿宋" w:hAnsi="仿宋" w:eastAsia="仿宋" w:cs="仿宋"/>
          <w:b w:val="0"/>
          <w:bCs w:val="0"/>
          <w:color w:val="auto"/>
          <w:sz w:val="24"/>
          <w:szCs w:val="24"/>
          <w:highlight w:val="none"/>
        </w:rPr>
        <w:t>供应商不足3家的，不得开启</w:t>
      </w:r>
      <w:r>
        <w:rPr>
          <w:rFonts w:hint="eastAsia" w:ascii="仿宋" w:hAnsi="仿宋" w:eastAsia="仿宋" w:cs="仿宋"/>
          <w:b w:val="0"/>
          <w:bCs w:val="0"/>
          <w:color w:val="auto"/>
          <w:sz w:val="24"/>
          <w:szCs w:val="24"/>
          <w:highlight w:val="none"/>
          <w:lang w:eastAsia="zh-CN"/>
        </w:rPr>
        <w:t>响应文件</w:t>
      </w:r>
      <w:r>
        <w:rPr>
          <w:rFonts w:hint="eastAsia" w:ascii="仿宋" w:hAnsi="仿宋" w:eastAsia="仿宋" w:cs="仿宋"/>
          <w:b w:val="0"/>
          <w:bCs w:val="0"/>
          <w:color w:val="auto"/>
          <w:sz w:val="24"/>
          <w:szCs w:val="24"/>
          <w:highlight w:val="none"/>
        </w:rPr>
        <w:t>。</w:t>
      </w:r>
    </w:p>
    <w:p>
      <w:pPr>
        <w:pStyle w:val="8"/>
        <w:tabs>
          <w:tab w:val="clear" w:pos="567"/>
        </w:tabs>
        <w:spacing w:before="0" w:line="360" w:lineRule="auto"/>
        <w:rPr>
          <w:rFonts w:ascii="仿宋" w:hAnsi="仿宋" w:eastAsia="仿宋" w:cs="仿宋"/>
          <w:b/>
          <w:bCs/>
          <w:color w:val="auto"/>
        </w:rPr>
      </w:pPr>
      <w:r>
        <w:rPr>
          <w:rFonts w:hint="eastAsia" w:ascii="仿宋" w:hAnsi="仿宋" w:eastAsia="仿宋" w:cs="仿宋"/>
          <w:b/>
          <w:bCs/>
          <w:color w:val="auto"/>
          <w:lang w:val="en-US" w:eastAsia="zh-CN"/>
        </w:rPr>
        <w:t>四</w:t>
      </w:r>
      <w:r>
        <w:rPr>
          <w:rFonts w:hint="eastAsia" w:ascii="仿宋" w:hAnsi="仿宋" w:eastAsia="仿宋" w:cs="仿宋"/>
          <w:b/>
          <w:bCs/>
          <w:color w:val="auto"/>
        </w:rPr>
        <w:t>.</w:t>
      </w:r>
      <w:r>
        <w:rPr>
          <w:rFonts w:hint="eastAsia" w:ascii="仿宋" w:hAnsi="仿宋" w:eastAsia="仿宋" w:cs="仿宋"/>
          <w:b/>
          <w:bCs/>
          <w:color w:val="auto"/>
          <w:sz w:val="24"/>
          <w:szCs w:val="24"/>
          <w:lang w:val="en-US" w:eastAsia="zh-CN"/>
        </w:rPr>
        <w:t>响应文件</w:t>
      </w:r>
      <w:r>
        <w:rPr>
          <w:rFonts w:hint="eastAsia" w:ascii="仿宋" w:hAnsi="仿宋" w:eastAsia="仿宋" w:cs="仿宋"/>
          <w:b/>
          <w:bCs/>
          <w:color w:val="auto"/>
        </w:rPr>
        <w:t>无效的情形：</w:t>
      </w:r>
    </w:p>
    <w:p>
      <w:pPr>
        <w:keepNext w:val="0"/>
        <w:keepLines w:val="0"/>
        <w:pageBreakBefore w:val="0"/>
        <w:widowControl w:val="0"/>
        <w:numPr>
          <w:ilvl w:val="0"/>
          <w:numId w:val="0"/>
        </w:numPr>
        <w:kinsoku/>
        <w:wordWrap/>
        <w:overflowPunct/>
        <w:topLinePunct w:val="0"/>
        <w:bidi w:val="0"/>
        <w:adjustRightInd/>
        <w:snapToGrid/>
        <w:spacing w:line="360" w:lineRule="auto"/>
        <w:ind w:leftChars="0" w:firstLine="480" w:firstLineChars="200"/>
        <w:jc w:val="left"/>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w:t>
      </w:r>
      <w:r>
        <w:rPr>
          <w:rFonts w:hint="eastAsia" w:ascii="仿宋" w:hAnsi="仿宋" w:eastAsia="仿宋" w:cs="仿宋"/>
          <w:b w:val="0"/>
          <w:bCs w:val="0"/>
          <w:color w:val="auto"/>
          <w:sz w:val="24"/>
          <w:szCs w:val="24"/>
        </w:rPr>
        <w:t>采购人或采购代理机构将在</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开启前1个工作日至递交响应文件截止</w:t>
      </w:r>
      <w:r>
        <w:rPr>
          <w:rFonts w:hint="eastAsia" w:ascii="仿宋" w:hAnsi="仿宋" w:eastAsia="仿宋" w:cs="仿宋"/>
          <w:b w:val="0"/>
          <w:bCs w:val="0"/>
          <w:color w:val="auto"/>
          <w:sz w:val="24"/>
          <w:szCs w:val="24"/>
          <w:lang w:eastAsia="zh-CN"/>
        </w:rPr>
        <w:t>前</w:t>
      </w:r>
      <w:r>
        <w:rPr>
          <w:rFonts w:hint="eastAsia" w:ascii="仿宋" w:hAnsi="仿宋" w:eastAsia="仿宋" w:cs="仿宋"/>
          <w:b w:val="0"/>
          <w:bCs w:val="0"/>
          <w:color w:val="auto"/>
          <w:sz w:val="24"/>
          <w:szCs w:val="24"/>
        </w:rPr>
        <w:t>查询</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的信用记录。</w:t>
      </w:r>
      <w:r>
        <w:rPr>
          <w:rFonts w:hint="eastAsia" w:ascii="仿宋" w:hAnsi="仿宋" w:eastAsia="仿宋" w:cs="仿宋"/>
          <w:b w:val="0"/>
          <w:bCs w:val="0"/>
          <w:color w:val="auto"/>
          <w:sz w:val="24"/>
          <w:szCs w:val="24"/>
          <w:lang w:eastAsia="zh-CN"/>
        </w:rPr>
        <w:t>供应商</w:t>
      </w:r>
      <w:r>
        <w:rPr>
          <w:rFonts w:hint="eastAsia" w:ascii="仿宋" w:hAnsi="仿宋" w:eastAsia="仿宋" w:cs="仿宋"/>
          <w:b w:val="0"/>
          <w:bCs w:val="0"/>
          <w:color w:val="auto"/>
          <w:sz w:val="24"/>
          <w:szCs w:val="24"/>
        </w:rPr>
        <w:t>存在不良信用记录的，其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pStyle w:val="2"/>
        <w:keepNext w:val="0"/>
        <w:keepLines w:val="0"/>
        <w:pageBreakBefore w:val="0"/>
        <w:widowControl w:val="0"/>
        <w:kinsoku/>
        <w:wordWrap/>
        <w:overflowPunct/>
        <w:topLinePunct w:val="0"/>
        <w:bidi w:val="0"/>
        <w:adjustRightInd/>
        <w:snapToGrid/>
        <w:spacing w:line="360" w:lineRule="auto"/>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如采购人所采购产品为政府强制采购的节能产品，供应商所投产品的品牌及型号必须为清单中有效期内产品并提供证明文件，否则其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资格将被认定为无效。</w:t>
      </w:r>
    </w:p>
    <w:p>
      <w:pPr>
        <w:keepNext w:val="0"/>
        <w:keepLines w:val="0"/>
        <w:pageBreakBefore w:val="0"/>
        <w:widowControl w:val="0"/>
        <w:kinsoku/>
        <w:wordWrap/>
        <w:overflowPunct/>
        <w:topLinePunct w:val="0"/>
        <w:bidi w:val="0"/>
        <w:adjustRightInd/>
        <w:snapToGrid/>
        <w:spacing w:line="360" w:lineRule="auto"/>
        <w:ind w:leftChars="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3.</w:t>
      </w:r>
      <w:r>
        <w:rPr>
          <w:rFonts w:hint="eastAsia" w:ascii="仿宋" w:hAnsi="仿宋" w:eastAsia="仿宋" w:cs="仿宋"/>
          <w:b w:val="0"/>
          <w:bCs w:val="0"/>
          <w:color w:val="auto"/>
          <w:sz w:val="24"/>
          <w:szCs w:val="24"/>
        </w:rPr>
        <w:t>在比较与评价之前，根据本须知的规定，</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小组要审查每份响应文件是否实质上响应了</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文件的要求。实质上响应的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应该是与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文件要求的全部条款、条件和规格相符，没有重大偏离的响应文件。对关键条款的偏离，将被认定为无效。供应商不得通过修正或撤销不符合要求的偏离，从而使其</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成为实质上响应的</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4.</w:t>
      </w:r>
      <w:r>
        <w:rPr>
          <w:rFonts w:hint="eastAsia" w:ascii="仿宋" w:hAnsi="仿宋" w:eastAsia="仿宋" w:cs="仿宋"/>
          <w:b w:val="0"/>
          <w:bCs w:val="0"/>
          <w:color w:val="auto"/>
          <w:sz w:val="24"/>
          <w:szCs w:val="24"/>
        </w:rPr>
        <w:t>未按</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文件规定的形式和金额提交</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保证金的；</w:t>
      </w:r>
    </w:p>
    <w:p>
      <w:pPr>
        <w:pageBreakBefore w:val="0"/>
        <w:tabs>
          <w:tab w:val="left" w:pos="817"/>
        </w:tabs>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5.</w:t>
      </w:r>
      <w:r>
        <w:rPr>
          <w:rFonts w:hint="eastAsia" w:ascii="仿宋" w:hAnsi="仿宋" w:eastAsia="仿宋" w:cs="仿宋"/>
          <w:b w:val="0"/>
          <w:bCs w:val="0"/>
          <w:color w:val="auto"/>
          <w:sz w:val="24"/>
          <w:szCs w:val="24"/>
        </w:rPr>
        <w:t>未按照</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文件规定要求签署、盖章的；</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6.</w:t>
      </w:r>
      <w:r>
        <w:rPr>
          <w:rFonts w:hint="eastAsia" w:ascii="仿宋" w:hAnsi="仿宋" w:eastAsia="仿宋" w:cs="仿宋"/>
          <w:b w:val="0"/>
          <w:bCs w:val="0"/>
          <w:color w:val="auto"/>
          <w:sz w:val="24"/>
          <w:szCs w:val="24"/>
        </w:rPr>
        <w:t>未满足</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文件中技术条款的实质性要求；</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7.</w:t>
      </w:r>
      <w:r>
        <w:rPr>
          <w:rFonts w:hint="eastAsia" w:ascii="仿宋" w:hAnsi="仿宋" w:eastAsia="仿宋" w:cs="仿宋"/>
          <w:b w:val="0"/>
          <w:bCs w:val="0"/>
          <w:color w:val="auto"/>
          <w:sz w:val="24"/>
          <w:szCs w:val="24"/>
        </w:rPr>
        <w:t>与其他供应商串通参加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，或者与采购人串通参加</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8.</w:t>
      </w:r>
      <w:r>
        <w:rPr>
          <w:rFonts w:hint="eastAsia" w:ascii="仿宋" w:hAnsi="仿宋" w:eastAsia="仿宋" w:cs="仿宋"/>
          <w:b w:val="0"/>
          <w:bCs w:val="0"/>
          <w:color w:val="auto"/>
          <w:sz w:val="24"/>
          <w:szCs w:val="24"/>
        </w:rPr>
        <w:t>属于</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文件规定的其他无效情形；</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9.</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小组认为供应商的报价明显低于其他通过符合性检查供应商的报价，有可能影响履约的，且供应商未按照规定证明其报价合理性的；</w:t>
      </w:r>
    </w:p>
    <w:p>
      <w:pPr>
        <w:pageBreakBefore w:val="0"/>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10.</w:t>
      </w:r>
      <w:r>
        <w:rPr>
          <w:rFonts w:hint="eastAsia" w:ascii="仿宋" w:hAnsi="仿宋" w:eastAsia="仿宋" w:cs="仿宋"/>
          <w:b w:val="0"/>
          <w:bCs w:val="0"/>
          <w:color w:val="auto"/>
          <w:sz w:val="24"/>
          <w:szCs w:val="24"/>
        </w:rPr>
        <w:t>响应文件含有采购人不能接受的附加条件的；</w:t>
      </w:r>
    </w:p>
    <w:p>
      <w:pPr>
        <w:pageBreakBefore w:val="0"/>
        <w:tabs>
          <w:tab w:val="left" w:pos="0"/>
        </w:tabs>
        <w:kinsoku/>
        <w:wordWrap/>
        <w:overflowPunct/>
        <w:topLinePunct w:val="0"/>
        <w:bidi w:val="0"/>
        <w:spacing w:line="360" w:lineRule="auto"/>
        <w:ind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lang w:val="en-US" w:eastAsia="zh-CN"/>
        </w:rPr>
        <w:t>11.</w:t>
      </w:r>
      <w:r>
        <w:rPr>
          <w:rFonts w:hint="eastAsia" w:ascii="仿宋" w:hAnsi="仿宋" w:eastAsia="仿宋" w:cs="仿宋"/>
          <w:b w:val="0"/>
          <w:bCs w:val="0"/>
          <w:color w:val="auto"/>
          <w:sz w:val="24"/>
          <w:szCs w:val="24"/>
        </w:rPr>
        <w:t>不符合法规和</w:t>
      </w:r>
      <w:r>
        <w:rPr>
          <w:rFonts w:hint="eastAsia" w:ascii="仿宋" w:hAnsi="仿宋" w:eastAsia="仿宋" w:cs="仿宋"/>
          <w:b w:val="0"/>
          <w:bCs w:val="0"/>
          <w:color w:val="auto"/>
          <w:sz w:val="24"/>
          <w:szCs w:val="24"/>
          <w:lang w:eastAsia="zh-CN"/>
        </w:rPr>
        <w:t>磋商</w:t>
      </w:r>
      <w:r>
        <w:rPr>
          <w:rFonts w:hint="eastAsia" w:ascii="仿宋" w:hAnsi="仿宋" w:eastAsia="仿宋" w:cs="仿宋"/>
          <w:b w:val="0"/>
          <w:bCs w:val="0"/>
          <w:color w:val="auto"/>
          <w:sz w:val="24"/>
          <w:szCs w:val="24"/>
        </w:rPr>
        <w:t>文件中规定的其他实质性要求的。</w:t>
      </w:r>
    </w:p>
    <w:p>
      <w:pPr>
        <w:pStyle w:val="2"/>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五、响应文件的开启</w:t>
      </w:r>
    </w:p>
    <w:p>
      <w:pPr>
        <w:pStyle w:val="8"/>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w:t>
      </w:r>
    </w:p>
    <w:p>
      <w:pPr>
        <w:pStyle w:val="8"/>
        <w:tabs>
          <w:tab w:val="clear" w:pos="567"/>
        </w:tabs>
        <w:spacing w:before="0" w:line="360" w:lineRule="auto"/>
        <w:ind w:firstLine="480" w:firstLineChars="200"/>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b w:val="0"/>
          <w:bCs w:val="0"/>
          <w:color w:val="auto"/>
          <w:kern w:val="2"/>
          <w:sz w:val="24"/>
          <w:szCs w:val="24"/>
          <w:highlight w:val="none"/>
          <w:lang w:val="en-US" w:eastAsia="zh-CN" w:bidi="ar-SA"/>
        </w:rPr>
        <w:t>开标在磋商文件确定的提交响应文件截止时间后进行。开标由采购代理主持,供采用电子投标的供应商应委派代表参加电子磋商会议。</w:t>
      </w:r>
    </w:p>
    <w:p>
      <w:pPr>
        <w:pStyle w:val="11"/>
        <w:numPr>
          <w:ilvl w:val="0"/>
          <w:numId w:val="0"/>
        </w:numPr>
        <w:snapToGrid w:val="0"/>
        <w:spacing w:line="360" w:lineRule="auto"/>
        <w:ind w:firstLine="466" w:firstLineChars="200"/>
        <w:rPr>
          <w:rFonts w:hint="eastAsia" w:ascii="仿宋" w:hAnsi="仿宋" w:eastAsia="仿宋" w:cs="仿宋"/>
          <w:b/>
          <w:bCs/>
          <w:color w:val="auto"/>
          <w:spacing w:val="-4"/>
          <w:sz w:val="24"/>
          <w:szCs w:val="24"/>
          <w:lang w:val="en-US" w:eastAsia="zh-CN"/>
        </w:rPr>
      </w:pPr>
      <w:r>
        <w:rPr>
          <w:rFonts w:hint="eastAsia" w:ascii="仿宋" w:hAnsi="仿宋" w:eastAsia="仿宋" w:cs="仿宋"/>
          <w:b/>
          <w:bCs/>
          <w:color w:val="auto"/>
          <w:spacing w:val="-4"/>
          <w:sz w:val="24"/>
          <w:szCs w:val="24"/>
          <w:lang w:val="en-US" w:eastAsia="zh-CN"/>
        </w:rPr>
        <w:t>六、项目评审专家：</w:t>
      </w:r>
    </w:p>
    <w:p>
      <w:pPr>
        <w:pStyle w:val="11"/>
        <w:numPr>
          <w:ilvl w:val="0"/>
          <w:numId w:val="0"/>
        </w:numPr>
        <w:snapToGrid w:val="0"/>
        <w:spacing w:line="360" w:lineRule="auto"/>
        <w:ind w:firstLine="464" w:firstLineChars="200"/>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按照《中华人民共和国政府采购法》、《中华人民共和国政府采购法实施条例》、</w:t>
      </w:r>
      <w:r>
        <w:rPr>
          <w:rFonts w:hint="eastAsia" w:ascii="仿宋_GB2312" w:eastAsia="仿宋_GB2312"/>
          <w:color w:val="auto"/>
          <w:sz w:val="24"/>
          <w:lang w:eastAsia="zh-CN"/>
        </w:rPr>
        <w:t>《政府采购竞争性磋商采购方式管理暂行办法》</w:t>
      </w:r>
      <w:r>
        <w:rPr>
          <w:rFonts w:hint="eastAsia" w:ascii="仿宋" w:hAnsi="仿宋" w:eastAsia="仿宋" w:cs="仿宋"/>
          <w:b w:val="0"/>
          <w:bCs w:val="0"/>
          <w:color w:val="auto"/>
          <w:spacing w:val="-4"/>
          <w:sz w:val="24"/>
          <w:szCs w:val="24"/>
          <w:lang w:val="en-US" w:eastAsia="zh-CN"/>
        </w:rPr>
        <w:t>及本项目本级和上级财政部门的有关规定依法组建的评审小组，负责评审工作；本项目评审专家由3人组成。</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评审专家要求：</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1.组织评标委员会推选评标组长，采购人代表不得担任组长；</w:t>
      </w:r>
    </w:p>
    <w:p>
      <w:pPr>
        <w:pStyle w:val="11"/>
        <w:numPr>
          <w:ilvl w:val="0"/>
          <w:numId w:val="0"/>
        </w:numPr>
        <w:snapToGrid w:val="0"/>
        <w:spacing w:line="360" w:lineRule="auto"/>
        <w:rPr>
          <w:rFonts w:hint="eastAsia" w:ascii="黑体" w:hAnsi="黑体" w:eastAsia="黑体" w:cs="黑体"/>
          <w:b w:val="0"/>
          <w:bCs w:val="0"/>
          <w:color w:val="auto"/>
          <w:sz w:val="32"/>
          <w:szCs w:val="32"/>
        </w:rPr>
      </w:pPr>
      <w:r>
        <w:rPr>
          <w:rFonts w:hint="eastAsia" w:ascii="仿宋" w:hAnsi="仿宋" w:eastAsia="仿宋" w:cs="仿宋"/>
          <w:b w:val="0"/>
          <w:bCs w:val="0"/>
          <w:color w:val="auto"/>
          <w:spacing w:val="-4"/>
          <w:sz w:val="24"/>
          <w:szCs w:val="24"/>
          <w:lang w:val="en-US" w:eastAsia="zh-CN"/>
        </w:rPr>
        <w:t>　　2.在评标期间采取必要的通讯管理措施，保证评标活动不受外界干扰，将手机关闭或调成静音交由现场项目监督人员统一保管；</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3.审查、评价响应文件是否符合招标文件的商务、技术等实质性要求；</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4.要求投标人对响应文件有关事项作出澄清或者说明；</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5.对响应文件进行比较和评价；</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6.确定中标候选人名单，以及根据采购人委托直接确定中标人；</w:t>
      </w:r>
    </w:p>
    <w:p>
      <w:pPr>
        <w:pStyle w:val="11"/>
        <w:numPr>
          <w:ilvl w:val="0"/>
          <w:numId w:val="0"/>
        </w:numPr>
        <w:snapToGrid w:val="0"/>
        <w:spacing w:line="360" w:lineRule="auto"/>
        <w:rPr>
          <w:rFonts w:hint="eastAsia" w:ascii="仿宋" w:hAnsi="仿宋" w:eastAsia="仿宋" w:cs="仿宋"/>
          <w:b w:val="0"/>
          <w:bCs w:val="0"/>
          <w:color w:val="auto"/>
          <w:spacing w:val="-4"/>
          <w:sz w:val="24"/>
          <w:szCs w:val="24"/>
          <w:lang w:val="en-US" w:eastAsia="zh-CN"/>
        </w:rPr>
      </w:pPr>
      <w:r>
        <w:rPr>
          <w:rFonts w:hint="eastAsia" w:ascii="仿宋" w:hAnsi="仿宋" w:eastAsia="仿宋" w:cs="仿宋"/>
          <w:b w:val="0"/>
          <w:bCs w:val="0"/>
          <w:color w:val="auto"/>
          <w:spacing w:val="-4"/>
          <w:sz w:val="24"/>
          <w:szCs w:val="24"/>
          <w:lang w:val="en-US" w:eastAsia="zh-CN"/>
        </w:rPr>
        <w:t>　　7.向采购人、采购代理机构或者有关部门报告评标中发现的违法行为。</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七、</w:t>
      </w:r>
      <w:r>
        <w:rPr>
          <w:rFonts w:hint="eastAsia" w:ascii="仿宋" w:hAnsi="仿宋" w:eastAsia="仿宋" w:cs="仿宋"/>
          <w:b/>
          <w:bCs/>
          <w:color w:val="auto"/>
        </w:rPr>
        <w:t>评标</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1、评标的依据为磋商文件和响应文件；</w:t>
      </w:r>
    </w:p>
    <w:p>
      <w:pPr>
        <w:pStyle w:val="8"/>
        <w:tabs>
          <w:tab w:val="clear" w:pos="567"/>
        </w:tabs>
        <w:spacing w:before="0" w:line="360" w:lineRule="auto"/>
        <w:ind w:firstLine="480" w:firstLineChars="200"/>
        <w:rPr>
          <w:rFonts w:hint="eastAsia" w:ascii="仿宋" w:hAnsi="仿宋" w:eastAsia="仿宋" w:cs="仿宋"/>
          <w:b/>
          <w:bCs/>
          <w:color w:val="auto"/>
          <w:u w:val="single"/>
          <w:lang w:val="en-US" w:eastAsia="zh-CN"/>
        </w:rPr>
      </w:pPr>
      <w:r>
        <w:rPr>
          <w:rFonts w:hint="eastAsia" w:ascii="仿宋" w:hAnsi="仿宋" w:eastAsia="仿宋" w:cs="仿宋"/>
          <w:b w:val="0"/>
          <w:bCs w:val="0"/>
          <w:color w:val="auto"/>
          <w:lang w:val="en-US" w:eastAsia="zh-CN"/>
        </w:rPr>
        <w:t>2、本项目采用综合评分法：</w:t>
      </w:r>
      <w:r>
        <w:rPr>
          <w:rFonts w:hint="eastAsia" w:ascii="仿宋" w:hAnsi="仿宋" w:eastAsia="仿宋" w:cs="仿宋"/>
          <w:b/>
          <w:bCs/>
          <w:color w:val="auto"/>
          <w:u w:val="single"/>
          <w:lang w:val="en-US" w:eastAsia="zh-CN"/>
        </w:rPr>
        <w:t>总分100分，报价分值30分，商务及技术部分得分70分。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3、磋商小组成员到齐后，推选磋商小组组长。依据招标文件和响应文件进行认真查阅。审查响文件是否完整，是否有计算错误，要求的磋商保证金是否提供，文件是否恰当地签署；</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4、在对响应文件进行详细评估前，依据投标方提供的资格证明文件审查投标方的财务、技术和服务能力。如果确定投标方无资格履行合同，其投标将被拒绝；</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磋商小组将确定每一供应商是否对磋商文件的要求做出了实质性的响应，而没有重大偏离。实质性响应的响应是指投标符合磋商文件的所有条款、条件和规定且没有重大偏离或保留。重大偏离或保留系指影响到磋商文件规定的供货范围、服务和性能，或限制了买方的权利和投标方的义务的规定，而纠正这些偏离将影响到其他提交实质性投标的投标方的公平竞争地位。</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对响应文件的评估和比较：</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对响应文件的评估和比较分为两步进行，磋商小组首先按照磋商文件要求对响应文件中的投标人资格、投标人资格证明文件、重要技术指标以及技术和商务上要求的其它重要内容进行审核，审核合格后即视为实质性响应的响应文件，除考虑投标价格外，还应考虑以下因素：：响应文件中所报交货期及付款方式；货物的技术水平、性能和供货能力；货物的质量和适用性；配套产品的安全性、先进性；投标方为其所供货物提供零备件及售后服务的可能性；零备件、专用工具及相关服务的费用；磋商文件中所要求的有关服务费用；发货到最终目的地的内陆运输、保险及其他费用；其他特殊要求因素（如节能、安全和环保等）。</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初步评审</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评标委员会应当对投标人提交的响应文件进行初步审查。初审分为资格性检查和符合性检查</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资格性检查。依据法律法规和招标文件的规定，对响应文件中的资格证明进行审查，以确定投标人是否具备投标资格。</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响应文件的符合性审查</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    响应文件是否实质性响应磋商文件要求由磋商小组依据磋商文件规定认定。磋商小组决定响应文件的实质性只根据响应文件本身的真实无误的内容，而不依据外部的证据。依据磋商文件的规定，从响应文件的有效性、完整性和对磋商文件的响应程度进行审查，以确定是否对磋商文件的实质性要求作出响应。</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1.未按规定由投标人的法定代表人或投标投标人代表签字，或未加盖投标投标人公章的，或签字人未经法定代表人有效授权委托的。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2.投标有效期不满足磋商文件要求的；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 xml:space="preserve">3.投标人提交的投标报价高于最高投标限价的； </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4.响应文件付款方式不能满足磋商文件要求的；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5.响应文件的关键内容字迹模糊、无法辨认的,或者响应文件中经修正的内容字迹模糊难以辩认或者修改处未按规定签名盖章的；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6.投标有效期、交货期、供货范围等商务条款不能满足磋商文件要求的；</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7.未实质性响应或者擅自改变招标文件要求或者响应文件有招标方不能接受的附加条件的。</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详细评审</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经初步评审合格的响应文件，磋商小组应当根据本文件确定的评标标准和方法，对其技术和商务部分作进一步的评审和比较。磋商小组所有成员应当集中与单一供应商分别进行磋商，并给予所有参加磋商的供应商平等的磋商机会。在磋商中，磋商的任何一方不得透露与磋商有关的其他供应商的技术资料、价格和其他信息。磋商文件有实质性变动的，磋商小组应当以书面形式通知所有参加磋商的供应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2、磋商结束后，磋商小组应当要求所有实质性响应的供应商在规定时间内提交最终报价，</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经磋商确定最终采购需求和提交最后报价的供应商后，由磋商小组采用综合评分法对提交最终报价的供应商的响应文件和最终报价进行综合评分。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3、采用综合评分法，即响应文件满足招标文件全部实质性要求，且按照评审因素的量化指标评审得分最高的投标人为成交候选人。</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评标的保密性</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1、开标后，直到授予投标商合同为止，凡属于审查、澄清、评价和比较的有关资料以及授标建议等磋商小组成员或参与评标的有关工作人员均不得向投标商或其他无关人员透露，</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违者给予警告、取消担任磋商小组成员的资格，不得再参加任何项目的评标。</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2、投标商在评标过程中，所进行的力图影响评标结果的不符合《政府采购法》、《政府采购竞争性磋商采购方式管理暂行办法》及本次项目中有关规定的活动，将被取消中标资格。</w:t>
      </w:r>
    </w:p>
    <w:p>
      <w:pPr>
        <w:pStyle w:val="8"/>
        <w:tabs>
          <w:tab w:val="clear" w:pos="567"/>
        </w:tabs>
        <w:spacing w:before="0" w:line="360" w:lineRule="auto"/>
        <w:rPr>
          <w:rFonts w:hint="eastAsia" w:ascii="仿宋" w:hAnsi="仿宋" w:eastAsia="仿宋" w:cs="仿宋"/>
          <w:b/>
          <w:bCs/>
          <w:color w:val="auto"/>
          <w:lang w:val="en-US" w:eastAsia="zh-CN"/>
        </w:rPr>
      </w:pPr>
      <w:r>
        <w:rPr>
          <w:rFonts w:hint="eastAsia" w:ascii="仿宋" w:hAnsi="仿宋" w:eastAsia="仿宋" w:cs="仿宋"/>
          <w:b/>
          <w:bCs/>
          <w:color w:val="auto"/>
          <w:lang w:val="en-US" w:eastAsia="zh-CN"/>
        </w:rPr>
        <w:t>八、定标</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1.定标标准</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（一）原则：招标人将依据本项目根据磋商小组推荐的成交候选人名单，按顺序确定中标人。</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（二）程序：</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1、采购代理机构在评审结束后2个工作日内将评审报告送采购人确认。</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采购人或者采购代理机构应当在成交供应商确定后2个工作日内，在省级以上财政部门指定的政府采购信息发布媒体上公告成交结果，同时向成交供应商发出成交通知书，并将磋商文件随成交结果同时公告。 采购人与成交供应商应当在成交通知书发出之日起30日内，按照磋商文件确定的合同文本以及采购标的、规格型号、采购金额、采购数量、技术和服务要求等事项签订政府采购合同。</w:t>
      </w:r>
    </w:p>
    <w:p>
      <w:pPr>
        <w:pStyle w:val="8"/>
        <w:tabs>
          <w:tab w:val="clear" w:pos="567"/>
        </w:tabs>
        <w:spacing w:before="0" w:line="360" w:lineRule="auto"/>
        <w:ind w:firstLine="480" w:firstLineChars="200"/>
        <w:rPr>
          <w:rFonts w:hint="eastAsia" w:ascii="仿宋" w:hAnsi="仿宋" w:eastAsia="仿宋" w:cs="仿宋"/>
          <w:b w:val="0"/>
          <w:bCs w:val="0"/>
          <w:color w:val="auto"/>
          <w:lang w:val="en-US" w:eastAsia="zh-CN"/>
        </w:rPr>
      </w:pPr>
      <w:r>
        <w:rPr>
          <w:rFonts w:hint="eastAsia" w:ascii="仿宋" w:hAnsi="仿宋" w:eastAsia="仿宋" w:cs="仿宋"/>
          <w:b w:val="0"/>
          <w:bCs w:val="0"/>
          <w:color w:val="auto"/>
          <w:lang w:val="en-US" w:eastAsia="zh-CN"/>
        </w:rPr>
        <w:t>3、采购单位不退回投标人响应文件和其他资料。</w:t>
      </w:r>
    </w:p>
    <w:p>
      <w:pPr>
        <w:pStyle w:val="8"/>
        <w:tabs>
          <w:tab w:val="clear" w:pos="567"/>
        </w:tabs>
        <w:spacing w:before="0" w:line="360" w:lineRule="auto"/>
        <w:rPr>
          <w:rFonts w:hint="eastAsia" w:ascii="仿宋" w:hAnsi="仿宋" w:eastAsia="仿宋" w:cs="仿宋"/>
          <w:b w:val="0"/>
          <w:bCs w:val="0"/>
          <w:color w:val="auto"/>
          <w:lang w:val="en-US" w:eastAsia="zh-CN"/>
        </w:rPr>
      </w:pPr>
      <w:r>
        <w:rPr>
          <w:rFonts w:hint="eastAsia" w:ascii="仿宋" w:hAnsi="仿宋" w:eastAsia="仿宋" w:cs="仿宋"/>
          <w:b/>
          <w:bCs/>
          <w:color w:val="auto"/>
          <w:lang w:val="en-US" w:eastAsia="zh-CN"/>
        </w:rPr>
        <w:t>成交候选人并列式时的处理方式：</w:t>
      </w:r>
      <w:r>
        <w:rPr>
          <w:rFonts w:hint="eastAsia" w:ascii="仿宋" w:hAnsi="仿宋" w:eastAsia="仿宋" w:cs="仿宋"/>
          <w:b w:val="0"/>
          <w:bCs w:val="0"/>
          <w:color w:val="auto"/>
          <w:lang w:val="en-US" w:eastAsia="zh-CN"/>
        </w:rPr>
        <w:t xml:space="preserve">   </w:t>
      </w:r>
    </w:p>
    <w:p>
      <w:pPr>
        <w:pStyle w:val="8"/>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采用综合评标法，则：</w:t>
      </w:r>
      <w:r>
        <w:rPr>
          <w:rFonts w:hint="eastAsia" w:ascii="仿宋" w:hAnsi="仿宋" w:eastAsia="仿宋" w:cs="仿宋"/>
          <w:b w:val="0"/>
          <w:bCs w:val="0"/>
          <w:color w:val="auto"/>
          <w:u w:val="single"/>
          <w:lang w:val="en-US" w:eastAsia="zh-CN"/>
        </w:rPr>
        <w:t>（1）评标结果按评审后得分由高到低顺序排列。得分相同的，按投标报价由低到高顺序排列。得分且投标报价相同的并列。响应文件满足招标文件全部实质性要求，且按照评审因素的量化指标评审得分最高的供应商为排名第一的中标候选人</w:t>
      </w:r>
      <w:r>
        <w:rPr>
          <w:rFonts w:hint="eastAsia" w:ascii="仿宋" w:hAnsi="仿宋" w:eastAsia="仿宋" w:cs="仿宋"/>
          <w:b w:val="0"/>
          <w:bCs w:val="0"/>
          <w:color w:val="auto"/>
          <w:u w:val="none"/>
          <w:lang w:val="en-US" w:eastAsia="zh-CN"/>
        </w:rPr>
        <w:t xml:space="preserve">。  </w:t>
      </w:r>
    </w:p>
    <w:p>
      <w:pPr>
        <w:pStyle w:val="8"/>
        <w:tabs>
          <w:tab w:val="clear" w:pos="567"/>
        </w:tabs>
        <w:spacing w:before="0" w:line="360" w:lineRule="auto"/>
        <w:ind w:firstLine="480" w:firstLineChars="200"/>
        <w:rPr>
          <w:rFonts w:hint="eastAsia" w:ascii="仿宋" w:hAnsi="仿宋" w:eastAsia="仿宋" w:cs="仿宋"/>
          <w:b w:val="0"/>
          <w:bCs w:val="0"/>
          <w:color w:val="auto"/>
          <w:u w:val="single"/>
          <w:lang w:val="en-US" w:eastAsia="zh-CN"/>
        </w:rPr>
      </w:pPr>
      <w:r>
        <w:rPr>
          <w:rFonts w:hint="eastAsia" w:ascii="仿宋" w:hAnsi="仿宋" w:eastAsia="仿宋" w:cs="仿宋"/>
          <w:b w:val="0"/>
          <w:bCs w:val="0"/>
          <w:color w:val="auto"/>
          <w:lang w:val="en-US" w:eastAsia="zh-CN"/>
        </w:rPr>
        <w:t>（2）</w:t>
      </w:r>
      <w:r>
        <w:rPr>
          <w:rFonts w:hint="eastAsia" w:ascii="仿宋" w:hAnsi="仿宋" w:eastAsia="仿宋" w:cs="仿宋"/>
          <w:b w:val="0"/>
          <w:bCs w:val="0"/>
          <w:color w:val="auto"/>
          <w:u w:val="single"/>
          <w:lang w:val="en-US" w:eastAsia="zh-CN"/>
        </w:rPr>
        <w:t>评标结果按评审后得分由高到低顺序排列。得分不同的，最高分供应商为排名第一的中标候选人</w:t>
      </w:r>
      <w:r>
        <w:rPr>
          <w:rFonts w:hint="eastAsia" w:ascii="仿宋" w:hAnsi="仿宋" w:eastAsia="仿宋" w:cs="仿宋"/>
          <w:b w:val="0"/>
          <w:bCs w:val="0"/>
          <w:color w:val="auto"/>
          <w:u w:val="none"/>
          <w:lang w:val="en-US" w:eastAsia="zh-CN"/>
        </w:rPr>
        <w:t>。</w:t>
      </w:r>
    </w:p>
    <w:p>
      <w:pPr>
        <w:pStyle w:val="8"/>
        <w:tabs>
          <w:tab w:val="clear" w:pos="567"/>
        </w:tabs>
        <w:spacing w:before="0" w:line="360" w:lineRule="auto"/>
        <w:rPr>
          <w:rFonts w:ascii="仿宋" w:hAnsi="仿宋" w:eastAsia="仿宋" w:cs="仿宋"/>
          <w:b w:val="0"/>
          <w:bCs w:val="0"/>
          <w:color w:val="auto"/>
        </w:rPr>
      </w:pPr>
      <w:r>
        <w:rPr>
          <w:rFonts w:hint="eastAsia" w:ascii="仿宋" w:hAnsi="仿宋" w:eastAsia="仿宋" w:cs="仿宋"/>
          <w:b/>
          <w:bCs/>
          <w:color w:val="auto"/>
        </w:rPr>
        <w:t xml:space="preserve">中标候选人并列式时的处理方式： </w:t>
      </w:r>
      <w:r>
        <w:rPr>
          <w:rFonts w:hint="eastAsia" w:ascii="仿宋" w:hAnsi="仿宋" w:eastAsia="仿宋" w:cs="仿宋"/>
          <w:b w:val="0"/>
          <w:bCs w:val="0"/>
          <w:color w:val="auto"/>
        </w:rPr>
        <w:t xml:space="preserve">  </w:t>
      </w:r>
    </w:p>
    <w:p>
      <w:pPr>
        <w:pStyle w:val="8"/>
        <w:tabs>
          <w:tab w:val="clear" w:pos="567"/>
        </w:tabs>
        <w:spacing w:before="0" w:line="360" w:lineRule="auto"/>
        <w:ind w:firstLine="480" w:firstLineChars="200"/>
        <w:rPr>
          <w:rFonts w:ascii="仿宋" w:hAnsi="仿宋" w:eastAsia="仿宋" w:cs="仿宋"/>
          <w:b w:val="0"/>
          <w:bCs w:val="0"/>
          <w:color w:val="auto"/>
        </w:rPr>
      </w:pPr>
      <w:r>
        <w:rPr>
          <w:rFonts w:hint="eastAsia" w:ascii="仿宋" w:hAnsi="仿宋" w:eastAsia="仿宋" w:cs="仿宋"/>
          <w:b w:val="0"/>
          <w:bCs w:val="0"/>
          <w:color w:val="auto"/>
        </w:rPr>
        <w:t>采用综合评标法，则：</w:t>
      </w:r>
      <w:r>
        <w:rPr>
          <w:rFonts w:hint="eastAsia" w:ascii="仿宋" w:hAnsi="仿宋" w:eastAsia="仿宋" w:cs="仿宋"/>
          <w:b w:val="0"/>
          <w:bCs w:val="0"/>
          <w:color w:val="auto"/>
          <w:u w:val="single"/>
        </w:rPr>
        <w:t>评标结果按评审后得分由高到低顺序排列。得分相同的，按投标报价由低到高顺序排列。得分且投标报价相同的并列。</w:t>
      </w:r>
      <w:r>
        <w:rPr>
          <w:rFonts w:hint="eastAsia" w:ascii="仿宋" w:hAnsi="仿宋" w:eastAsia="仿宋" w:cs="仿宋"/>
          <w:b w:val="0"/>
          <w:bCs w:val="0"/>
          <w:color w:val="auto"/>
          <w:u w:val="single"/>
          <w:lang w:eastAsia="zh-CN"/>
        </w:rPr>
        <w:t>响应文件</w:t>
      </w:r>
      <w:r>
        <w:rPr>
          <w:rFonts w:hint="eastAsia" w:ascii="仿宋" w:hAnsi="仿宋" w:eastAsia="仿宋" w:cs="仿宋"/>
          <w:b w:val="0"/>
          <w:bCs w:val="0"/>
          <w:color w:val="auto"/>
          <w:u w:val="single"/>
        </w:rPr>
        <w:t>满足招标文件全部实质性要求，且按照评审因素的量化指标评审得分最高的供应商为排名第一的中标候选人</w:t>
      </w:r>
      <w:r>
        <w:rPr>
          <w:rFonts w:hint="eastAsia" w:ascii="仿宋" w:hAnsi="仿宋" w:eastAsia="仿宋" w:cs="仿宋"/>
          <w:b w:val="0"/>
          <w:bCs w:val="0"/>
          <w:color w:val="auto"/>
          <w:u w:val="none"/>
        </w:rPr>
        <w:t>。</w:t>
      </w:r>
    </w:p>
    <w:p>
      <w:pPr>
        <w:pStyle w:val="8"/>
        <w:tabs>
          <w:tab w:val="clear" w:pos="567"/>
        </w:tabs>
        <w:spacing w:before="0" w:line="360" w:lineRule="auto"/>
        <w:rPr>
          <w:rFonts w:hint="eastAsia" w:ascii="仿宋" w:hAnsi="仿宋" w:eastAsia="仿宋" w:cs="仿宋"/>
          <w:b/>
          <w:bCs/>
          <w:color w:val="auto"/>
        </w:rPr>
      </w:pPr>
      <w:r>
        <w:rPr>
          <w:rFonts w:hint="eastAsia" w:ascii="仿宋" w:hAnsi="仿宋" w:eastAsia="仿宋" w:cs="仿宋"/>
          <w:b/>
          <w:bCs/>
          <w:color w:val="auto"/>
          <w:sz w:val="24"/>
          <w:szCs w:val="24"/>
          <w:lang w:val="en-US" w:eastAsia="zh-CN"/>
        </w:rPr>
        <w:t>九、中小企业落实政策</w:t>
      </w:r>
    </w:p>
    <w:p>
      <w:pPr>
        <w:pStyle w:val="8"/>
        <w:tabs>
          <w:tab w:val="clear" w:pos="567"/>
        </w:tabs>
        <w:spacing w:before="0" w:line="360" w:lineRule="auto"/>
        <w:ind w:firstLine="482" w:firstLineChars="200"/>
        <w:rPr>
          <w:rFonts w:hint="eastAsia" w:ascii="仿宋" w:hAnsi="仿宋" w:eastAsia="仿宋" w:cs="仿宋"/>
          <w:b w:val="0"/>
          <w:bCs w:val="0"/>
          <w:color w:val="auto"/>
        </w:rPr>
      </w:pPr>
      <w:r>
        <w:rPr>
          <w:rFonts w:hint="eastAsia" w:ascii="仿宋" w:hAnsi="仿宋" w:eastAsia="仿宋" w:cs="仿宋"/>
          <w:b/>
          <w:bCs/>
          <w:color w:val="auto"/>
          <w:kern w:val="2"/>
          <w:sz w:val="24"/>
          <w:szCs w:val="24"/>
          <w:u w:val="none"/>
          <w:lang w:val="en-US" w:eastAsia="zh-CN" w:bidi="ar-SA"/>
        </w:rPr>
        <w:t>本项目为面向中小微企业采购</w:t>
      </w:r>
      <w:r>
        <w:rPr>
          <w:rFonts w:hint="eastAsia" w:ascii="仿宋" w:hAnsi="仿宋" w:eastAsia="仿宋" w:cs="仿宋"/>
          <w:b/>
          <w:bCs/>
          <w:color w:val="auto"/>
          <w:kern w:val="2"/>
          <w:sz w:val="24"/>
          <w:szCs w:val="20"/>
          <w:highlight w:val="none"/>
          <w:lang w:val="en-US" w:eastAsia="zh-CN" w:bidi="ar-SA"/>
        </w:rPr>
        <w:t>。</w:t>
      </w:r>
    </w:p>
    <w:p>
      <w:pPr>
        <w:pStyle w:val="8"/>
        <w:tabs>
          <w:tab w:val="clear" w:pos="567"/>
        </w:tabs>
        <w:spacing w:before="0" w:line="360" w:lineRule="auto"/>
        <w:ind w:firstLine="480" w:firstLineChars="200"/>
        <w:rPr>
          <w:rFonts w:ascii="仿宋" w:hAnsi="仿宋" w:eastAsia="仿宋" w:cs="仿宋"/>
          <w:b w:val="0"/>
          <w:bCs w:val="0"/>
          <w:color w:val="auto"/>
        </w:rPr>
      </w:pPr>
      <w:r>
        <w:rPr>
          <w:rFonts w:hint="eastAsia" w:ascii="仿宋" w:hAnsi="仿宋" w:eastAsia="仿宋" w:cs="仿宋"/>
          <w:b w:val="0"/>
          <w:bCs w:val="0"/>
          <w:color w:val="auto"/>
        </w:rPr>
        <w:t>1.根据《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
          <w:b w:val="0"/>
          <w:bCs w:val="0"/>
          <w:color w:val="auto"/>
          <w:lang w:eastAsia="zh-CN"/>
        </w:rPr>
        <w:t>响应文件</w:t>
      </w:r>
      <w:r>
        <w:rPr>
          <w:rFonts w:hint="eastAsia" w:ascii="仿宋" w:hAnsi="仿宋" w:eastAsia="仿宋" w:cs="仿宋"/>
          <w:b w:val="0"/>
          <w:bCs w:val="0"/>
          <w:color w:val="auto"/>
        </w:rPr>
        <w:t>中提交了《投标人企业类型声明函》、《残疾人福利性单位声明函》或省级以上监狱管理局、戒毒管理局（含新疆生产建设兵团）出具的属于监狱企业，其投标报价扣除</w:t>
      </w:r>
      <w:r>
        <w:rPr>
          <w:rFonts w:hint="eastAsia" w:ascii="仿宋" w:hAnsi="仿宋" w:eastAsia="仿宋" w:cs="仿宋"/>
          <w:b w:val="0"/>
          <w:bCs w:val="0"/>
          <w:color w:val="auto"/>
          <w:u w:val="single"/>
          <w:lang w:val="en-US" w:eastAsia="zh-CN"/>
        </w:rPr>
        <w:t xml:space="preserve">10 </w:t>
      </w:r>
      <w:r>
        <w:rPr>
          <w:rFonts w:hint="eastAsia" w:ascii="仿宋" w:hAnsi="仿宋" w:eastAsia="仿宋" w:cs="仿宋"/>
          <w:b w:val="0"/>
          <w:bCs w:val="0"/>
          <w:color w:val="auto"/>
        </w:rPr>
        <w:t>%后参与评审。对于同时属于小微企业、监狱企业残疾人福利性单位的，不重复进行投标报价扣除。</w:t>
      </w:r>
    </w:p>
    <w:p>
      <w:pPr>
        <w:widowControl/>
        <w:spacing w:line="360" w:lineRule="auto"/>
        <w:ind w:firstLine="480" w:firstLineChars="200"/>
        <w:jc w:val="left"/>
        <w:rPr>
          <w:rFonts w:ascii="仿宋" w:hAnsi="仿宋" w:eastAsia="仿宋" w:cs="仿宋"/>
          <w:b w:val="0"/>
          <w:bCs w:val="0"/>
          <w:color w:val="auto"/>
          <w:sz w:val="24"/>
        </w:rPr>
      </w:pPr>
      <w:r>
        <w:rPr>
          <w:rFonts w:hint="eastAsia" w:ascii="仿宋" w:hAnsi="仿宋" w:eastAsia="仿宋" w:cs="仿宋"/>
          <w:b w:val="0"/>
          <w:bCs w:val="0"/>
          <w:color w:val="auto"/>
          <w:sz w:val="24"/>
        </w:rPr>
        <w:t>2.联合协议中约定，小型、微型企业和监狱企业的协议合同金额占到联合体协议合同总金额30%以上的，可给予联合体</w:t>
      </w:r>
      <w:r>
        <w:rPr>
          <w:rFonts w:hint="eastAsia" w:ascii="仿宋" w:hAnsi="仿宋" w:eastAsia="仿宋" w:cs="仿宋"/>
          <w:b w:val="0"/>
          <w:bCs w:val="0"/>
          <w:color w:val="auto"/>
          <w:sz w:val="24"/>
          <w:u w:val="single"/>
        </w:rPr>
        <w:t xml:space="preserve">  /  </w:t>
      </w:r>
      <w:r>
        <w:rPr>
          <w:rFonts w:hint="eastAsia" w:ascii="仿宋" w:hAnsi="仿宋" w:eastAsia="仿宋" w:cs="仿宋"/>
          <w:b w:val="0"/>
          <w:bCs w:val="0"/>
          <w:color w:val="auto"/>
          <w:sz w:val="24"/>
        </w:rPr>
        <w:t>%的价格扣除。</w:t>
      </w:r>
    </w:p>
    <w:p>
      <w:pPr>
        <w:widowControl/>
        <w:spacing w:line="360" w:lineRule="auto"/>
        <w:jc w:val="left"/>
        <w:rPr>
          <w:rFonts w:ascii="仿宋" w:hAnsi="仿宋" w:eastAsia="仿宋" w:cs="仿宋"/>
          <w:b w:val="0"/>
          <w:bCs w:val="0"/>
          <w:color w:val="auto"/>
          <w:sz w:val="24"/>
        </w:rPr>
      </w:pPr>
      <w:r>
        <w:rPr>
          <w:rFonts w:hint="eastAsia" w:ascii="仿宋" w:hAnsi="仿宋" w:eastAsia="仿宋" w:cs="仿宋"/>
          <w:b w:val="0"/>
          <w:bCs w:val="0"/>
          <w:color w:val="auto"/>
          <w:sz w:val="24"/>
        </w:rPr>
        <w:t>联合体各方均为小型、微型企业和监狱企业的，联合体视同为小型、微型企业和监狱企业。</w:t>
      </w:r>
    </w:p>
    <w:p>
      <w:pPr>
        <w:pStyle w:val="8"/>
        <w:tabs>
          <w:tab w:val="clear" w:pos="567"/>
        </w:tabs>
        <w:spacing w:before="0" w:line="360" w:lineRule="auto"/>
        <w:ind w:firstLine="480" w:firstLineChars="200"/>
        <w:rPr>
          <w:rFonts w:ascii="仿宋" w:hAnsi="仿宋" w:eastAsia="仿宋" w:cs="仿宋"/>
          <w:b w:val="0"/>
          <w:bCs w:val="0"/>
          <w:color w:val="auto"/>
          <w:u w:val="single"/>
        </w:rPr>
      </w:pPr>
      <w:r>
        <w:rPr>
          <w:rFonts w:hint="eastAsia" w:ascii="仿宋" w:hAnsi="仿宋" w:eastAsia="仿宋" w:cs="仿宋"/>
          <w:b w:val="0"/>
          <w:bCs w:val="0"/>
          <w:color w:val="auto"/>
        </w:rPr>
        <w:t>3.投标人所投产品如被列入财政部与国家主管部门颁发的节能产品目录或环境标志产品目录或无线局域网产品目录，应提供相关证明，在评标时予以优先采购，具体优惠措施为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b w:val="0"/>
          <w:bCs w:val="0"/>
          <w:color w:val="auto"/>
          <w:lang w:eastAsia="zh-CN"/>
        </w:rPr>
        <w:t>：</w:t>
      </w:r>
      <w:r>
        <w:rPr>
          <w:rFonts w:hint="eastAsia" w:ascii="仿宋" w:hAnsi="仿宋" w:eastAsia="仿宋" w:cs="仿宋"/>
          <w:b w:val="0"/>
          <w:bCs w:val="0"/>
          <w:color w:val="auto"/>
          <w:u w:val="single"/>
        </w:rPr>
        <w:t xml:space="preserve">   无   </w:t>
      </w:r>
    </w:p>
    <w:p>
      <w:pPr>
        <w:pStyle w:val="8"/>
        <w:tabs>
          <w:tab w:val="clear" w:pos="567"/>
        </w:tabs>
        <w:spacing w:before="0" w:line="360" w:lineRule="auto"/>
        <w:ind w:left="-181" w:leftChars="-86" w:right="218" w:rightChars="104" w:firstLine="660" w:firstLineChars="275"/>
        <w:rPr>
          <w:rFonts w:ascii="仿宋" w:hAnsi="仿宋" w:eastAsia="仿宋" w:cs="仿宋"/>
          <w:b w:val="0"/>
          <w:bCs w:val="0"/>
          <w:color w:val="auto"/>
        </w:rPr>
      </w:pPr>
      <w:r>
        <w:rPr>
          <w:rFonts w:hint="eastAsia" w:ascii="仿宋" w:hAnsi="仿宋" w:eastAsia="仿宋" w:cs="仿宋"/>
          <w:b w:val="0"/>
          <w:bCs w:val="0"/>
          <w:color w:val="auto"/>
        </w:rPr>
        <w:t>4.如采购人所采购产品为政府强制采购的节能产品，投标人所投产品的品牌及型号必须为清单中有效期内产品并提供证明文件，否则其投标将被认定为投标无效。</w:t>
      </w:r>
    </w:p>
    <w:p>
      <w:pPr>
        <w:pStyle w:val="8"/>
        <w:tabs>
          <w:tab w:val="clear" w:pos="567"/>
        </w:tabs>
        <w:spacing w:before="0" w:line="360" w:lineRule="auto"/>
        <w:ind w:left="-181" w:leftChars="-86" w:firstLine="660" w:firstLineChars="275"/>
        <w:rPr>
          <w:rFonts w:ascii="仿宋" w:hAnsi="仿宋" w:eastAsia="仿宋" w:cs="仿宋"/>
          <w:b w:val="0"/>
          <w:bCs w:val="0"/>
          <w:color w:val="auto"/>
        </w:rPr>
      </w:pPr>
      <w:r>
        <w:rPr>
          <w:rFonts w:hint="eastAsia" w:ascii="仿宋" w:hAnsi="仿宋" w:eastAsia="仿宋" w:cs="仿宋"/>
          <w:b w:val="0"/>
          <w:bCs w:val="0"/>
          <w:color w:val="auto"/>
        </w:rPr>
        <w:t>5.对创新产品或创新性企业的优惠措施为</w:t>
      </w:r>
      <w:r>
        <w:rPr>
          <w:rFonts w:hint="eastAsia" w:ascii="仿宋" w:hAnsi="仿宋" w:eastAsia="仿宋" w:cs="仿宋"/>
          <w:b w:val="0"/>
          <w:bCs w:val="0"/>
          <w:color w:val="auto"/>
          <w:u w:val="none"/>
        </w:rPr>
        <w:t>：</w:t>
      </w:r>
      <w:r>
        <w:rPr>
          <w:rFonts w:hint="eastAsia" w:ascii="仿宋" w:hAnsi="仿宋" w:eastAsia="仿宋" w:cs="仿宋"/>
          <w:b w:val="0"/>
          <w:bCs w:val="0"/>
          <w:color w:val="auto"/>
          <w:u w:val="single"/>
        </w:rPr>
        <w:t xml:space="preserve">   无   </w:t>
      </w:r>
    </w:p>
    <w:p>
      <w:pPr>
        <w:pStyle w:val="8"/>
        <w:keepNext w:val="0"/>
        <w:keepLines w:val="0"/>
        <w:pageBreakBefore w:val="0"/>
        <w:tabs>
          <w:tab w:val="clear" w:pos="567"/>
        </w:tabs>
        <w:kinsoku/>
        <w:wordWrap/>
        <w:overflowPunct/>
        <w:topLinePunct w:val="0"/>
        <w:autoSpaceDE/>
        <w:autoSpaceDN/>
        <w:bidi w:val="0"/>
        <w:adjustRightInd/>
        <w:snapToGrid/>
        <w:spacing w:before="0" w:line="550" w:lineRule="exact"/>
        <w:ind w:firstLine="660" w:firstLineChars="275"/>
        <w:textAlignment w:val="auto"/>
        <w:rPr>
          <w:rFonts w:hint="eastAsia" w:ascii="仿宋" w:hAnsi="仿宋" w:eastAsia="仿宋" w:cs="仿宋"/>
          <w:color w:val="auto"/>
          <w:sz w:val="24"/>
          <w:szCs w:val="24"/>
          <w:highlight w:val="none"/>
        </w:rPr>
      </w:pPr>
    </w:p>
    <w:p>
      <w:pPr>
        <w:pStyle w:val="6"/>
        <w:rPr>
          <w:rFonts w:hint="eastAsia" w:ascii="仿宋" w:hAnsi="仿宋" w:eastAsia="仿宋" w:cs="仿宋"/>
          <w:color w:val="auto"/>
          <w:highlight w:val="none"/>
        </w:rPr>
      </w:pPr>
    </w:p>
    <w:p>
      <w:pPr>
        <w:spacing w:line="360" w:lineRule="exact"/>
        <w:jc w:val="center"/>
        <w:rPr>
          <w:rFonts w:hint="eastAsia" w:ascii="仿宋" w:hAnsi="仿宋" w:eastAsia="仿宋" w:cs="仿宋"/>
          <w:b/>
          <w:bCs/>
          <w:color w:val="auto"/>
          <w:sz w:val="20"/>
          <w:szCs w:val="20"/>
          <w:highlight w:val="none"/>
        </w:rPr>
      </w:pPr>
      <w:r>
        <w:rPr>
          <w:rFonts w:hint="eastAsia" w:ascii="仿宋" w:hAnsi="仿宋" w:eastAsia="仿宋" w:cs="仿宋"/>
          <w:color w:val="auto"/>
          <w:highlight w:val="none"/>
        </w:rPr>
        <w:br w:type="page"/>
      </w:r>
      <w:r>
        <w:rPr>
          <w:rFonts w:hint="eastAsia" w:ascii="仿宋" w:hAnsi="仿宋" w:eastAsia="仿宋" w:cs="仿宋"/>
          <w:b/>
          <w:bCs/>
          <w:color w:val="auto"/>
          <w:kern w:val="2"/>
          <w:sz w:val="28"/>
          <w:szCs w:val="28"/>
          <w:highlight w:val="none"/>
          <w:lang w:val="en-US" w:eastAsia="zh-CN" w:bidi="ar-SA"/>
        </w:rPr>
        <w:t>初步评审—符合性审查表</w:t>
      </w:r>
    </w:p>
    <w:p>
      <w:pPr>
        <w:pStyle w:val="17"/>
        <w:jc w:val="center"/>
        <w:rPr>
          <w:rFonts w:hint="eastAsia" w:ascii="仿宋" w:hAnsi="仿宋" w:eastAsia="仿宋" w:cs="仿宋"/>
          <w:b/>
          <w:bCs/>
          <w:color w:val="auto"/>
          <w:highlight w:val="none"/>
        </w:rPr>
      </w:pPr>
    </w:p>
    <w:tbl>
      <w:tblPr>
        <w:tblStyle w:val="24"/>
        <w:tblpPr w:leftFromText="180" w:rightFromText="180" w:vertAnchor="text" w:horzAnchor="page" w:tblpXSpec="center" w:tblpY="262"/>
        <w:tblOverlap w:val="never"/>
        <w:tblW w:w="90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7174"/>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jc w:val="center"/>
        </w:trPr>
        <w:tc>
          <w:tcPr>
            <w:tcW w:w="8022" w:type="dxa"/>
            <w:gridSpan w:val="2"/>
            <w:vAlign w:val="center"/>
          </w:tcPr>
          <w:p>
            <w:pPr>
              <w:spacing w:line="300" w:lineRule="auto"/>
              <w:jc w:val="center"/>
              <w:rPr>
                <w:rFonts w:hint="eastAsia" w:ascii="仿宋" w:hAnsi="仿宋" w:eastAsia="仿宋" w:cs="仿宋"/>
                <w:b/>
                <w:spacing w:val="-2"/>
                <w:sz w:val="24"/>
              </w:rPr>
            </w:pPr>
            <w:r>
              <w:rPr>
                <w:rFonts w:hint="eastAsia" w:ascii="仿宋" w:hAnsi="仿宋" w:eastAsia="仿宋" w:cs="仿宋"/>
                <w:b/>
                <w:spacing w:val="-2"/>
                <w:sz w:val="24"/>
              </w:rPr>
              <w:t>评审内容</w:t>
            </w:r>
          </w:p>
        </w:tc>
        <w:tc>
          <w:tcPr>
            <w:tcW w:w="1017"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b/>
                <w:sz w:val="24"/>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序号</w:t>
            </w:r>
          </w:p>
        </w:tc>
        <w:tc>
          <w:tcPr>
            <w:tcW w:w="7174" w:type="dxa"/>
            <w:vAlign w:val="center"/>
          </w:tcPr>
          <w:p>
            <w:pPr>
              <w:spacing w:line="300" w:lineRule="auto"/>
              <w:rPr>
                <w:rFonts w:hint="eastAsia" w:ascii="仿宋" w:hAnsi="仿宋" w:eastAsia="仿宋" w:cs="仿宋"/>
                <w:spacing w:val="-2"/>
                <w:sz w:val="24"/>
              </w:rPr>
            </w:pPr>
          </w:p>
        </w:tc>
        <w:tc>
          <w:tcPr>
            <w:tcW w:w="1017" w:type="dxa"/>
            <w:vAlign w:val="center"/>
          </w:tcPr>
          <w:p>
            <w:pPr>
              <w:spacing w:line="300" w:lineRule="auto"/>
              <w:jc w:val="center"/>
              <w:rPr>
                <w:rFonts w:hint="eastAsia" w:ascii="仿宋" w:hAnsi="仿宋" w:eastAsia="仿宋" w:cs="仿宋"/>
                <w:spacing w:val="-2"/>
                <w:sz w:val="24"/>
              </w:rPr>
            </w:pPr>
            <w:r>
              <w:rPr>
                <w:rFonts w:hint="eastAsia" w:ascii="仿宋" w:hAnsi="仿宋" w:eastAsia="仿宋" w:cs="仿宋"/>
                <w:spacing w:val="-2"/>
                <w:sz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1</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投标报价高于</w:t>
            </w:r>
            <w:r>
              <w:rPr>
                <w:rFonts w:hint="eastAsia" w:ascii="仿宋" w:hAnsi="仿宋" w:eastAsia="仿宋" w:cs="仿宋"/>
                <w:kern w:val="0"/>
                <w:sz w:val="24"/>
                <w:lang w:val="en-US" w:eastAsia="zh-CN" w:bidi="ar"/>
              </w:rPr>
              <w:t>最高限价的</w:t>
            </w:r>
            <w:r>
              <w:rPr>
                <w:rFonts w:hint="eastAsia" w:ascii="仿宋" w:hAnsi="仿宋" w:eastAsia="仿宋" w:cs="仿宋"/>
                <w:kern w:val="0"/>
                <w:sz w:val="24"/>
                <w:lang w:bidi="ar"/>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2</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投标人之间或者投标人与采购人串通投标的；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3</w:t>
            </w:r>
          </w:p>
        </w:tc>
        <w:tc>
          <w:tcPr>
            <w:tcW w:w="7174" w:type="dxa"/>
            <w:vAlign w:val="center"/>
          </w:tcPr>
          <w:p>
            <w:pPr>
              <w:widowControl/>
              <w:spacing w:line="300" w:lineRule="auto"/>
              <w:jc w:val="left"/>
              <w:textAlignment w:val="center"/>
              <w:rPr>
                <w:rFonts w:hint="eastAsia" w:ascii="仿宋" w:hAnsi="仿宋" w:eastAsia="仿宋" w:cs="仿宋"/>
                <w:sz w:val="24"/>
              </w:rPr>
            </w:pPr>
            <w:r>
              <w:rPr>
                <w:rFonts w:hint="eastAsia" w:ascii="仿宋" w:hAnsi="仿宋" w:eastAsia="仿宋" w:cs="仿宋"/>
                <w:kern w:val="0"/>
                <w:sz w:val="24"/>
                <w:lang w:bidi="ar"/>
              </w:rPr>
              <w:t>以行贿手段谋取中标或者以其他弄虚作假方式投标的；</w:t>
            </w:r>
          </w:p>
        </w:tc>
        <w:tc>
          <w:tcPr>
            <w:tcW w:w="1017"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4</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评标委员会共同确定有实质上不响应</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要求的；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6"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5</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没有投标单位法定代表人或其授权代表签字（章）和加盖投标单位公章的；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6</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bidi="ar"/>
              </w:rPr>
              <w:t>投标的政府采购项目完成期限超过</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规定期限的；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7</w:t>
            </w:r>
          </w:p>
        </w:tc>
        <w:tc>
          <w:tcPr>
            <w:tcW w:w="7174" w:type="dxa"/>
            <w:vAlign w:val="center"/>
          </w:tcPr>
          <w:p>
            <w:pPr>
              <w:widowControl/>
              <w:spacing w:line="300" w:lineRule="auto"/>
              <w:jc w:val="left"/>
              <w:textAlignment w:val="center"/>
              <w:rPr>
                <w:rFonts w:hint="eastAsia" w:ascii="仿宋" w:hAnsi="仿宋" w:eastAsia="仿宋" w:cs="仿宋"/>
                <w:spacing w:val="-2"/>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载明的技术规格、技术标准、检验标准和方法等，不符合</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要求的；</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3"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8</w:t>
            </w:r>
          </w:p>
        </w:tc>
        <w:tc>
          <w:tcPr>
            <w:tcW w:w="7174" w:type="dxa"/>
            <w:vAlign w:val="center"/>
          </w:tcPr>
          <w:p>
            <w:pPr>
              <w:widowControl/>
              <w:spacing w:line="300" w:lineRule="auto"/>
              <w:textAlignment w:val="center"/>
              <w:rPr>
                <w:rFonts w:hint="eastAsia" w:ascii="仿宋" w:hAnsi="仿宋" w:eastAsia="仿宋" w:cs="仿宋"/>
                <w:sz w:val="24"/>
              </w:rPr>
            </w:pPr>
            <w:r>
              <w:rPr>
                <w:rFonts w:hint="eastAsia" w:ascii="仿宋" w:hAnsi="仿宋" w:eastAsia="仿宋" w:cs="仿宋"/>
                <w:kern w:val="0"/>
                <w:sz w:val="24"/>
                <w:lang w:eastAsia="zh-CN" w:bidi="ar"/>
              </w:rPr>
              <w:t>响应文件</w:t>
            </w:r>
            <w:r>
              <w:rPr>
                <w:rFonts w:hint="eastAsia" w:ascii="仿宋" w:hAnsi="仿宋" w:eastAsia="仿宋" w:cs="仿宋"/>
                <w:kern w:val="0"/>
                <w:sz w:val="24"/>
                <w:lang w:bidi="ar"/>
              </w:rPr>
              <w:t>附有采购人不能接受条件的；</w:t>
            </w:r>
          </w:p>
        </w:tc>
        <w:tc>
          <w:tcPr>
            <w:tcW w:w="1017" w:type="dxa"/>
            <w:vAlign w:val="center"/>
          </w:tcPr>
          <w:p>
            <w:pPr>
              <w:spacing w:line="300" w:lineRule="auto"/>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848" w:type="dxa"/>
            <w:vAlign w:val="center"/>
          </w:tcPr>
          <w:p>
            <w:pPr>
              <w:spacing w:line="300" w:lineRule="auto"/>
              <w:jc w:val="center"/>
              <w:rPr>
                <w:rFonts w:hint="eastAsia" w:ascii="仿宋" w:hAnsi="仿宋" w:eastAsia="仿宋" w:cs="仿宋"/>
                <w:sz w:val="24"/>
              </w:rPr>
            </w:pPr>
            <w:r>
              <w:rPr>
                <w:rFonts w:hint="eastAsia" w:ascii="仿宋" w:hAnsi="仿宋" w:eastAsia="仿宋" w:cs="仿宋"/>
                <w:sz w:val="24"/>
              </w:rPr>
              <w:t>9</w:t>
            </w:r>
          </w:p>
        </w:tc>
        <w:tc>
          <w:tcPr>
            <w:tcW w:w="7174" w:type="dxa"/>
            <w:vAlign w:val="center"/>
          </w:tcPr>
          <w:p>
            <w:pPr>
              <w:widowControl/>
              <w:spacing w:line="300" w:lineRule="auto"/>
              <w:jc w:val="left"/>
              <w:textAlignment w:val="center"/>
              <w:rPr>
                <w:rFonts w:hint="eastAsia" w:ascii="仿宋" w:hAnsi="仿宋" w:eastAsia="仿宋" w:cs="仿宋"/>
                <w:spacing w:val="-2"/>
                <w:sz w:val="24"/>
                <w:lang w:eastAsia="zh-CN"/>
              </w:rPr>
            </w:pPr>
            <w:r>
              <w:rPr>
                <w:rFonts w:hint="eastAsia" w:ascii="仿宋" w:hAnsi="仿宋" w:eastAsia="仿宋" w:cs="仿宋"/>
                <w:kern w:val="0"/>
                <w:sz w:val="24"/>
                <w:lang w:bidi="ar"/>
              </w:rPr>
              <w:t>不满足</w:t>
            </w:r>
            <w:r>
              <w:rPr>
                <w:rFonts w:hint="eastAsia" w:ascii="仿宋" w:hAnsi="仿宋" w:eastAsia="仿宋" w:cs="仿宋"/>
                <w:kern w:val="0"/>
                <w:sz w:val="24"/>
                <w:lang w:eastAsia="zh-CN" w:bidi="ar"/>
              </w:rPr>
              <w:t>磋商文件</w:t>
            </w:r>
            <w:r>
              <w:rPr>
                <w:rFonts w:hint="eastAsia" w:ascii="仿宋" w:hAnsi="仿宋" w:eastAsia="仿宋" w:cs="仿宋"/>
                <w:kern w:val="0"/>
                <w:sz w:val="24"/>
                <w:lang w:bidi="ar"/>
              </w:rPr>
              <w:t>实质性要求的其他情形</w:t>
            </w:r>
            <w:r>
              <w:rPr>
                <w:rFonts w:hint="eastAsia" w:ascii="仿宋" w:hAnsi="仿宋" w:eastAsia="仿宋" w:cs="仿宋"/>
                <w:kern w:val="0"/>
                <w:sz w:val="24"/>
                <w:lang w:eastAsia="zh-CN" w:bidi="ar"/>
              </w:rPr>
              <w:t>。</w:t>
            </w:r>
          </w:p>
        </w:tc>
        <w:tc>
          <w:tcPr>
            <w:tcW w:w="1017" w:type="dxa"/>
            <w:vAlign w:val="center"/>
          </w:tcPr>
          <w:p>
            <w:pPr>
              <w:spacing w:line="300" w:lineRule="auto"/>
              <w:rPr>
                <w:rFonts w:hint="eastAsia" w:ascii="仿宋" w:hAnsi="仿宋" w:eastAsia="仿宋" w:cs="仿宋"/>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jc w:val="center"/>
        </w:trPr>
        <w:tc>
          <w:tcPr>
            <w:tcW w:w="8022" w:type="dxa"/>
            <w:gridSpan w:val="2"/>
            <w:vAlign w:val="center"/>
          </w:tcPr>
          <w:p>
            <w:pPr>
              <w:spacing w:line="300" w:lineRule="auto"/>
              <w:ind w:firstLine="424" w:firstLineChars="180"/>
              <w:rPr>
                <w:rFonts w:hint="eastAsia" w:ascii="仿宋" w:hAnsi="仿宋" w:eastAsia="仿宋" w:cs="仿宋"/>
                <w:spacing w:val="-2"/>
                <w:sz w:val="24"/>
              </w:rPr>
            </w:pPr>
            <w:r>
              <w:rPr>
                <w:rFonts w:hint="eastAsia" w:ascii="仿宋" w:hAnsi="仿宋" w:eastAsia="仿宋" w:cs="仿宋"/>
                <w:spacing w:val="-2"/>
                <w:sz w:val="24"/>
              </w:rPr>
              <w:t>结论：通过评审打“√”，未通过评审打“×”</w:t>
            </w:r>
          </w:p>
        </w:tc>
        <w:tc>
          <w:tcPr>
            <w:tcW w:w="1017" w:type="dxa"/>
            <w:vAlign w:val="center"/>
          </w:tcPr>
          <w:p>
            <w:pPr>
              <w:spacing w:line="300" w:lineRule="auto"/>
              <w:ind w:firstLine="424" w:firstLineChars="180"/>
              <w:rPr>
                <w:rFonts w:hint="eastAsia" w:ascii="仿宋" w:hAnsi="仿宋" w:eastAsia="仿宋" w:cs="仿宋"/>
                <w:spacing w:val="-2"/>
                <w:sz w:val="24"/>
              </w:rPr>
            </w:pPr>
          </w:p>
        </w:tc>
      </w:tr>
    </w:tbl>
    <w:p>
      <w:pPr>
        <w:pStyle w:val="5"/>
        <w:spacing w:before="0" w:after="0" w:line="240" w:lineRule="atLeast"/>
        <w:jc w:val="center"/>
        <w:rPr>
          <w:rFonts w:hint="eastAsia" w:ascii="仿宋" w:hAnsi="仿宋" w:eastAsia="仿宋" w:cs="仿宋"/>
          <w:color w:val="auto"/>
          <w:highlight w:val="none"/>
          <w:u w:val="none"/>
        </w:rPr>
      </w:pPr>
    </w:p>
    <w:p>
      <w:pPr>
        <w:widowControl/>
        <w:jc w:val="left"/>
        <w:rPr>
          <w:rFonts w:hint="eastAsia" w:ascii="仿宋" w:hAnsi="仿宋" w:eastAsia="仿宋" w:cs="仿宋"/>
          <w:sz w:val="22"/>
          <w:szCs w:val="22"/>
        </w:rPr>
      </w:pPr>
      <w:r>
        <w:rPr>
          <w:rFonts w:hint="eastAsia" w:ascii="仿宋" w:hAnsi="仿宋" w:eastAsia="仿宋" w:cs="仿宋"/>
          <w:sz w:val="24"/>
          <w:szCs w:val="24"/>
        </w:rPr>
        <w:t>说明：</w:t>
      </w:r>
    </w:p>
    <w:p>
      <w:pPr>
        <w:spacing w:line="360" w:lineRule="exact"/>
        <w:rPr>
          <w:rFonts w:hint="eastAsia" w:ascii="仿宋" w:hAnsi="仿宋" w:eastAsia="仿宋" w:cs="仿宋"/>
          <w:sz w:val="22"/>
          <w:szCs w:val="22"/>
        </w:rPr>
      </w:pPr>
      <w:r>
        <w:rPr>
          <w:rFonts w:hint="eastAsia" w:ascii="仿宋" w:hAnsi="仿宋" w:eastAsia="仿宋" w:cs="仿宋"/>
          <w:sz w:val="22"/>
          <w:szCs w:val="22"/>
        </w:rPr>
        <w:t>（1）上述各项中用“√”表示</w:t>
      </w:r>
      <w:r>
        <w:rPr>
          <w:rFonts w:hint="eastAsia" w:ascii="仿宋" w:hAnsi="仿宋" w:eastAsia="仿宋" w:cs="仿宋"/>
          <w:sz w:val="22"/>
          <w:szCs w:val="22"/>
          <w:lang w:eastAsia="zh-CN"/>
        </w:rPr>
        <w:t>是</w:t>
      </w:r>
      <w:r>
        <w:rPr>
          <w:rFonts w:hint="eastAsia" w:ascii="仿宋" w:hAnsi="仿宋" w:eastAsia="仿宋" w:cs="仿宋"/>
          <w:sz w:val="22"/>
          <w:szCs w:val="22"/>
        </w:rPr>
        <w:t>，“×”表示</w:t>
      </w:r>
      <w:r>
        <w:rPr>
          <w:rFonts w:hint="eastAsia" w:ascii="仿宋" w:hAnsi="仿宋" w:eastAsia="仿宋" w:cs="仿宋"/>
          <w:sz w:val="22"/>
          <w:szCs w:val="22"/>
          <w:lang w:eastAsia="zh-CN"/>
        </w:rPr>
        <w:t>否</w:t>
      </w:r>
      <w:r>
        <w:rPr>
          <w:rFonts w:hint="eastAsia" w:ascii="仿宋" w:hAnsi="仿宋" w:eastAsia="仿宋" w:cs="仿宋"/>
          <w:sz w:val="22"/>
          <w:szCs w:val="22"/>
        </w:rPr>
        <w:t>；</w:t>
      </w:r>
    </w:p>
    <w:p>
      <w:pPr>
        <w:spacing w:line="360" w:lineRule="exact"/>
        <w:rPr>
          <w:rFonts w:hint="eastAsia" w:ascii="仿宋" w:hAnsi="仿宋" w:eastAsia="仿宋" w:cs="仿宋"/>
          <w:sz w:val="22"/>
          <w:szCs w:val="22"/>
        </w:rPr>
      </w:pPr>
      <w:r>
        <w:rPr>
          <w:rFonts w:hint="eastAsia" w:ascii="仿宋" w:hAnsi="仿宋" w:eastAsia="仿宋" w:cs="仿宋"/>
          <w:sz w:val="22"/>
          <w:szCs w:val="22"/>
        </w:rPr>
        <w:t>（2）上述各项中如有一项为“×”，则结论为“</w:t>
      </w:r>
      <w:r>
        <w:rPr>
          <w:rFonts w:hint="eastAsia" w:ascii="仿宋" w:hAnsi="仿宋" w:eastAsia="仿宋" w:cs="仿宋"/>
          <w:sz w:val="22"/>
          <w:szCs w:val="22"/>
          <w:lang w:eastAsia="zh-CN"/>
        </w:rPr>
        <w:t>不通过</w:t>
      </w:r>
      <w:r>
        <w:rPr>
          <w:rFonts w:hint="eastAsia" w:ascii="仿宋" w:hAnsi="仿宋" w:eastAsia="仿宋" w:cs="仿宋"/>
          <w:sz w:val="22"/>
          <w:szCs w:val="22"/>
        </w:rPr>
        <w:t>”，表示该响应文件中存在重大偏差，不能通过初步评审；评委对某一分项评审认为不合格时，必须要写明原因。</w:t>
      </w:r>
    </w:p>
    <w:p>
      <w:pPr>
        <w:spacing w:line="360" w:lineRule="exact"/>
        <w:rPr>
          <w:rFonts w:hint="eastAsia" w:ascii="仿宋" w:hAnsi="仿宋" w:eastAsia="仿宋" w:cs="仿宋"/>
          <w:sz w:val="22"/>
          <w:szCs w:val="22"/>
        </w:rPr>
      </w:pPr>
      <w:r>
        <w:rPr>
          <w:rFonts w:hint="eastAsia" w:ascii="仿宋" w:hAnsi="仿宋" w:eastAsia="仿宋" w:cs="仿宋"/>
          <w:sz w:val="22"/>
          <w:szCs w:val="22"/>
        </w:rPr>
        <w:t>（3）</w:t>
      </w:r>
      <w:r>
        <w:rPr>
          <w:rFonts w:hint="eastAsia" w:ascii="仿宋" w:hAnsi="仿宋" w:eastAsia="仿宋" w:cs="仿宋"/>
          <w:sz w:val="22"/>
          <w:szCs w:val="22"/>
          <w:lang w:eastAsia="zh-CN"/>
        </w:rPr>
        <w:t>磋商文件</w:t>
      </w:r>
      <w:r>
        <w:rPr>
          <w:rFonts w:hint="eastAsia" w:ascii="仿宋" w:hAnsi="仿宋" w:eastAsia="仿宋" w:cs="仿宋"/>
          <w:sz w:val="22"/>
          <w:szCs w:val="22"/>
        </w:rPr>
        <w:t>最终合格与否，以所有评委的评审意见中少数服从多数为原则定论。</w:t>
      </w:r>
    </w:p>
    <w:p>
      <w:pPr>
        <w:spacing w:line="360" w:lineRule="exact"/>
        <w:rPr>
          <w:rFonts w:hint="eastAsia" w:ascii="仿宋" w:hAnsi="仿宋" w:eastAsia="仿宋" w:cs="仿宋"/>
        </w:rPr>
      </w:pPr>
      <w:r>
        <w:rPr>
          <w:rFonts w:hint="eastAsia" w:ascii="仿宋" w:hAnsi="仿宋" w:eastAsia="仿宋" w:cs="仿宋"/>
          <w:b/>
          <w:bCs/>
          <w:sz w:val="22"/>
          <w:szCs w:val="22"/>
        </w:rPr>
        <w:t>备注：如果</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中有一项未通过上述审查标准，</w:t>
      </w:r>
      <w:r>
        <w:rPr>
          <w:rFonts w:hint="eastAsia" w:ascii="仿宋" w:hAnsi="仿宋" w:eastAsia="仿宋" w:cs="仿宋"/>
          <w:b/>
          <w:bCs/>
          <w:sz w:val="22"/>
          <w:szCs w:val="22"/>
          <w:lang w:eastAsia="zh-CN"/>
        </w:rPr>
        <w:t>评标委员</w:t>
      </w:r>
      <w:r>
        <w:rPr>
          <w:rFonts w:hint="eastAsia" w:ascii="仿宋" w:hAnsi="仿宋" w:eastAsia="仿宋" w:cs="仿宋"/>
          <w:b/>
          <w:bCs/>
          <w:sz w:val="22"/>
          <w:szCs w:val="22"/>
        </w:rPr>
        <w:t>会将认定整个</w:t>
      </w:r>
      <w:r>
        <w:rPr>
          <w:rFonts w:hint="eastAsia" w:ascii="仿宋" w:hAnsi="仿宋" w:eastAsia="仿宋" w:cs="仿宋"/>
          <w:b/>
          <w:bCs/>
          <w:sz w:val="22"/>
          <w:szCs w:val="22"/>
          <w:lang w:eastAsia="zh-CN"/>
        </w:rPr>
        <w:t>响应文件</w:t>
      </w:r>
      <w:r>
        <w:rPr>
          <w:rFonts w:hint="eastAsia" w:ascii="仿宋" w:hAnsi="仿宋" w:eastAsia="仿宋" w:cs="仿宋"/>
          <w:b/>
          <w:bCs/>
          <w:sz w:val="22"/>
          <w:szCs w:val="22"/>
        </w:rPr>
        <w:t>未响应</w:t>
      </w:r>
      <w:r>
        <w:rPr>
          <w:rFonts w:hint="eastAsia" w:ascii="仿宋" w:hAnsi="仿宋" w:eastAsia="仿宋" w:cs="仿宋"/>
          <w:b/>
          <w:bCs/>
          <w:sz w:val="22"/>
          <w:szCs w:val="22"/>
          <w:lang w:eastAsia="zh-CN"/>
        </w:rPr>
        <w:t>磋商文件</w:t>
      </w:r>
      <w:r>
        <w:rPr>
          <w:rFonts w:hint="eastAsia" w:ascii="仿宋" w:hAnsi="仿宋" w:eastAsia="仿宋" w:cs="仿宋"/>
          <w:b/>
          <w:bCs/>
          <w:sz w:val="22"/>
          <w:szCs w:val="22"/>
        </w:rPr>
        <w:t>而予以无效处理。</w:t>
      </w:r>
    </w:p>
    <w:p>
      <w:pPr>
        <w:pStyle w:val="8"/>
        <w:tabs>
          <w:tab w:val="clear" w:pos="567"/>
        </w:tabs>
        <w:spacing w:before="0" w:line="240" w:lineRule="atLeast"/>
        <w:ind w:firstLine="472" w:firstLineChars="225"/>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ind w:firstLine="472" w:firstLineChars="225"/>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jc w:val="both"/>
        <w:rPr>
          <w:rFonts w:hint="eastAsia" w:ascii="仿宋" w:hAnsi="仿宋" w:eastAsia="仿宋" w:cs="仿宋"/>
          <w:b w:val="0"/>
          <w:bCs w:val="0"/>
          <w:color w:val="auto"/>
          <w:kern w:val="2"/>
          <w:sz w:val="21"/>
          <w:szCs w:val="21"/>
          <w:highlight w:val="none"/>
          <w:u w:val="none"/>
          <w:lang w:val="en-US" w:eastAsia="zh-CN" w:bidi="ar-SA"/>
        </w:rPr>
      </w:pPr>
    </w:p>
    <w:p>
      <w:pPr>
        <w:pStyle w:val="8"/>
        <w:tabs>
          <w:tab w:val="clear" w:pos="567"/>
        </w:tabs>
        <w:spacing w:before="0" w:line="240" w:lineRule="atLeast"/>
        <w:ind w:firstLine="542" w:firstLineChars="225"/>
        <w:jc w:val="center"/>
        <w:rPr>
          <w:rFonts w:hint="eastAsia" w:ascii="仿宋" w:hAnsi="仿宋" w:eastAsia="仿宋" w:cs="仿宋"/>
          <w:b/>
          <w:bCs/>
          <w:color w:val="auto"/>
          <w:kern w:val="2"/>
          <w:sz w:val="24"/>
          <w:szCs w:val="24"/>
          <w:highlight w:val="none"/>
          <w:lang w:val="en-US" w:eastAsia="zh-CN" w:bidi="ar-SA"/>
        </w:rPr>
      </w:pPr>
    </w:p>
    <w:p>
      <w:pPr>
        <w:pStyle w:val="8"/>
        <w:tabs>
          <w:tab w:val="clear" w:pos="567"/>
        </w:tabs>
        <w:spacing w:before="0" w:line="240" w:lineRule="atLeast"/>
        <w:ind w:firstLine="723" w:firstLineChars="225"/>
        <w:jc w:val="center"/>
        <w:rPr>
          <w:rFonts w:hint="eastAsia" w:ascii="仿宋" w:hAnsi="仿宋" w:eastAsia="仿宋" w:cs="仿宋"/>
          <w:b/>
          <w:bCs/>
          <w:color w:val="auto"/>
          <w:kern w:val="2"/>
          <w:sz w:val="32"/>
          <w:szCs w:val="32"/>
          <w:highlight w:val="none"/>
          <w:u w:val="none"/>
          <w:lang w:val="en-US" w:eastAsia="zh-CN" w:bidi="ar-SA"/>
        </w:rPr>
      </w:pPr>
      <w:r>
        <w:rPr>
          <w:rFonts w:hint="eastAsia" w:ascii="仿宋" w:hAnsi="仿宋" w:eastAsia="仿宋" w:cs="仿宋"/>
          <w:b/>
          <w:bCs/>
          <w:color w:val="auto"/>
          <w:kern w:val="2"/>
          <w:sz w:val="32"/>
          <w:szCs w:val="32"/>
          <w:highlight w:val="none"/>
          <w:u w:val="none"/>
          <w:lang w:val="en-US" w:eastAsia="zh-CN" w:bidi="ar-SA"/>
        </w:rPr>
        <w:br w:type="page"/>
      </w:r>
      <w:r>
        <w:rPr>
          <w:rFonts w:hint="eastAsia" w:ascii="仿宋" w:hAnsi="仿宋" w:eastAsia="仿宋" w:cs="仿宋"/>
          <w:b/>
          <w:bCs/>
          <w:color w:val="auto"/>
          <w:kern w:val="2"/>
          <w:sz w:val="28"/>
          <w:szCs w:val="28"/>
          <w:highlight w:val="none"/>
          <w:u w:val="none"/>
          <w:lang w:val="en-US" w:eastAsia="zh-CN" w:bidi="ar-SA"/>
        </w:rPr>
        <w:t>详细评审-评分标准</w:t>
      </w:r>
    </w:p>
    <w:tbl>
      <w:tblPr>
        <w:tblStyle w:val="24"/>
        <w:tblW w:w="9362" w:type="dxa"/>
        <w:tblInd w:w="112" w:type="dxa"/>
        <w:tblLayout w:type="fixed"/>
        <w:tblCellMar>
          <w:top w:w="0" w:type="dxa"/>
          <w:left w:w="108" w:type="dxa"/>
          <w:bottom w:w="0" w:type="dxa"/>
          <w:right w:w="108" w:type="dxa"/>
        </w:tblCellMar>
      </w:tblPr>
      <w:tblGrid>
        <w:gridCol w:w="1162"/>
        <w:gridCol w:w="1225"/>
        <w:gridCol w:w="5963"/>
        <w:gridCol w:w="1012"/>
      </w:tblGrid>
      <w:tr>
        <w:tblPrEx>
          <w:tblLayout w:type="fixed"/>
          <w:tblCellMar>
            <w:top w:w="0" w:type="dxa"/>
            <w:left w:w="108" w:type="dxa"/>
            <w:bottom w:w="0" w:type="dxa"/>
            <w:right w:w="108" w:type="dxa"/>
          </w:tblCellMar>
        </w:tblPrEx>
        <w:trPr>
          <w:trHeight w:val="602" w:hRule="atLeast"/>
        </w:trPr>
        <w:tc>
          <w:tcPr>
            <w:tcW w:w="238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考核项目</w:t>
            </w:r>
          </w:p>
        </w:tc>
        <w:tc>
          <w:tcPr>
            <w:tcW w:w="596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p>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评分标准</w:t>
            </w:r>
          </w:p>
        </w:tc>
        <w:tc>
          <w:tcPr>
            <w:tcW w:w="1012"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b/>
                <w:bCs/>
                <w:color w:val="000000"/>
                <w:kern w:val="0"/>
                <w:sz w:val="24"/>
              </w:rPr>
            </w:pPr>
            <w:r>
              <w:rPr>
                <w:rFonts w:hint="eastAsia" w:ascii="仿宋" w:hAnsi="仿宋" w:eastAsia="仿宋" w:cs="仿宋"/>
                <w:b/>
                <w:bCs/>
                <w:color w:val="000000"/>
                <w:kern w:val="0"/>
                <w:sz w:val="24"/>
              </w:rPr>
              <w:t>投标人　</w:t>
            </w:r>
          </w:p>
        </w:tc>
      </w:tr>
      <w:tr>
        <w:tblPrEx>
          <w:tblLayout w:type="fixed"/>
          <w:tblCellMar>
            <w:top w:w="0" w:type="dxa"/>
            <w:left w:w="108" w:type="dxa"/>
            <w:bottom w:w="0" w:type="dxa"/>
            <w:right w:w="108" w:type="dxa"/>
          </w:tblCellMar>
        </w:tblPrEx>
        <w:trPr>
          <w:trHeight w:val="3525" w:hRule="atLeast"/>
        </w:trPr>
        <w:tc>
          <w:tcPr>
            <w:tcW w:w="116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价格</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（30分）</w:t>
            </w:r>
          </w:p>
        </w:tc>
        <w:tc>
          <w:tcPr>
            <w:tcW w:w="7188" w:type="dxa"/>
            <w:gridSpan w:val="2"/>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仿宋"/>
                <w:sz w:val="24"/>
              </w:rPr>
            </w:pPr>
            <w:r>
              <w:rPr>
                <w:rFonts w:hint="eastAsia" w:ascii="仿宋" w:hAnsi="仿宋" w:eastAsia="仿宋" w:cs="仿宋"/>
                <w:color w:val="000000"/>
                <w:kern w:val="0"/>
                <w:sz w:val="24"/>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100；计算分数时四舍五入取小数点后两位,分数最高不超过30分。由监标人员负责核准每个合格供应商的价格得分。（备注：</w:t>
            </w:r>
            <w:r>
              <w:rPr>
                <w:rFonts w:hint="eastAsia" w:ascii="仿宋" w:hAnsi="仿宋" w:eastAsia="仿宋" w:cs="仿宋"/>
                <w:sz w:val="24"/>
              </w:rPr>
              <w:t>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hint="eastAsia" w:ascii="仿宋" w:hAnsi="仿宋" w:eastAsia="仿宋" w:cs="仿宋"/>
                <w:sz w:val="24"/>
                <w:u w:val="single"/>
              </w:rPr>
              <w:t xml:space="preserve">  10 </w:t>
            </w:r>
            <w:r>
              <w:rPr>
                <w:rFonts w:hint="eastAsia" w:ascii="仿宋" w:hAnsi="仿宋" w:eastAsia="仿宋" w:cs="仿宋"/>
                <w:sz w:val="24"/>
              </w:rPr>
              <w:t xml:space="preserve"> %后参与评审。对于同时属于小微企业、监狱企业或残疾人福利性单位的，不重复进行投标报价扣除。）</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775" w:hRule="atLeast"/>
        </w:trPr>
        <w:tc>
          <w:tcPr>
            <w:tcW w:w="1162"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技术</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（5</w:t>
            </w:r>
            <w:r>
              <w:rPr>
                <w:rFonts w:hint="eastAsia" w:ascii="仿宋" w:hAnsi="仿宋" w:eastAsia="仿宋" w:cs="仿宋"/>
                <w:color w:val="000000"/>
                <w:kern w:val="0"/>
                <w:sz w:val="24"/>
                <w:lang w:val="en-US" w:eastAsia="zh-CN"/>
              </w:rPr>
              <w:t>8</w:t>
            </w:r>
            <w:r>
              <w:rPr>
                <w:rFonts w:hint="eastAsia" w:ascii="仿宋" w:hAnsi="仿宋" w:eastAsia="仿宋" w:cs="仿宋"/>
                <w:color w:val="000000"/>
                <w:kern w:val="0"/>
                <w:sz w:val="24"/>
              </w:rPr>
              <w:t>分）</w:t>
            </w: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配置性能指标</w:t>
            </w:r>
          </w:p>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en-US" w:eastAsia="zh-CN"/>
              </w:rPr>
              <w:t>16</w:t>
            </w:r>
            <w:r>
              <w:rPr>
                <w:rFonts w:hint="eastAsia" w:ascii="仿宋" w:hAnsi="仿宋" w:eastAsia="仿宋" w:cs="仿宋"/>
                <w:color w:val="auto"/>
                <w:kern w:val="0"/>
                <w:sz w:val="24"/>
                <w:highlight w:val="none"/>
              </w:rPr>
              <w:t>分）</w:t>
            </w:r>
          </w:p>
        </w:tc>
        <w:tc>
          <w:tcPr>
            <w:tcW w:w="5963" w:type="dxa"/>
            <w:tcBorders>
              <w:top w:val="nil"/>
              <w:left w:val="nil"/>
              <w:bottom w:val="single" w:color="auto" w:sz="4" w:space="0"/>
              <w:right w:val="single" w:color="auto" w:sz="4" w:space="0"/>
            </w:tcBorders>
            <w:vAlign w:val="center"/>
          </w:tcPr>
          <w:p>
            <w:pPr>
              <w:pStyle w:val="17"/>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配置性能指标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根据所投产品清单的技术参数配置与性能指标的响应程度打分，招标文件中所有技术参数须逐条响应所提供的设备资料应尽可能全面详细。设备清单中要求的技术参数性能指标为最低满足项，不得低于要求的参数，未按要求提供材料视为不响应，评标专家根据所投产品的技术参数配置与性能指标的响应程度打分，全部响应招标文件的得 </w:t>
            </w:r>
            <w:r>
              <w:rPr>
                <w:rFonts w:hint="eastAsia" w:ascii="仿宋" w:hAnsi="仿宋" w:eastAsia="仿宋" w:cs="仿宋"/>
                <w:color w:val="auto"/>
                <w:sz w:val="24"/>
                <w:highlight w:val="none"/>
                <w:lang w:val="en-US" w:eastAsia="zh-CN"/>
              </w:rPr>
              <w:t>14</w:t>
            </w:r>
            <w:r>
              <w:rPr>
                <w:rFonts w:hint="eastAsia" w:ascii="仿宋" w:hAnsi="仿宋" w:eastAsia="仿宋" w:cs="仿宋"/>
                <w:color w:val="auto"/>
                <w:sz w:val="24"/>
                <w:highlight w:val="none"/>
              </w:rPr>
              <w:t xml:space="preserve"> 分，每有一项关键指标高于要求的加1分，最多加2分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FF0000"/>
                <w:kern w:val="0"/>
                <w:sz w:val="24"/>
                <w:highlight w:val="yellow"/>
              </w:rPr>
            </w:pPr>
          </w:p>
        </w:tc>
      </w:tr>
      <w:tr>
        <w:tblPrEx>
          <w:tblLayout w:type="fixed"/>
          <w:tblCellMar>
            <w:top w:w="0" w:type="dxa"/>
            <w:left w:w="108" w:type="dxa"/>
            <w:bottom w:w="0" w:type="dxa"/>
            <w:right w:w="108" w:type="dxa"/>
          </w:tblCellMar>
        </w:tblPrEx>
        <w:trPr>
          <w:trHeight w:val="429"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项目服务实施方案（</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根据项目需求，制定项目实施具体方案，阐述内容须包括但不限于以下内容：具体包括时间计划表、人员配置、工作流程、工序搭配、安装调试服务计划、维保服务方案等内容：</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实施方案内容详尽、合理，具有可行性，针对可能出现的重点、难点的环节提出相应对策、方法及应急预案，可得</w:t>
            </w:r>
            <w:r>
              <w:rPr>
                <w:rFonts w:hint="eastAsia" w:ascii="仿宋" w:hAnsi="仿宋" w:eastAsia="仿宋" w:cs="仿宋"/>
                <w:color w:val="auto"/>
                <w:kern w:val="0"/>
                <w:sz w:val="24"/>
                <w:highlight w:val="none"/>
                <w:lang w:val="en-US" w:eastAsia="zh-CN"/>
              </w:rPr>
              <w:t>22</w:t>
            </w:r>
            <w:r>
              <w:rPr>
                <w:rFonts w:hint="eastAsia" w:ascii="仿宋" w:hAnsi="仿宋" w:eastAsia="仿宋" w:cs="仿宋"/>
                <w:color w:val="auto"/>
                <w:kern w:val="0"/>
                <w:sz w:val="24"/>
                <w:highlight w:val="none"/>
              </w:rPr>
              <w:t>分；</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实施方案内容不是很详尽，但具有可行性，针对可能出现的重点、难点的环节能提出相应对策、方法及应急预案，可得</w:t>
            </w:r>
            <w:r>
              <w:rPr>
                <w:rFonts w:hint="eastAsia" w:ascii="仿宋" w:hAnsi="仿宋" w:eastAsia="仿宋" w:cs="仿宋"/>
                <w:color w:val="auto"/>
                <w:kern w:val="0"/>
                <w:sz w:val="24"/>
                <w:highlight w:val="none"/>
                <w:lang w:val="en-US" w:eastAsia="zh-CN"/>
              </w:rPr>
              <w:t>16</w:t>
            </w:r>
            <w:r>
              <w:rPr>
                <w:rFonts w:hint="eastAsia" w:ascii="仿宋" w:hAnsi="仿宋" w:eastAsia="仿宋" w:cs="仿宋"/>
                <w:color w:val="auto"/>
                <w:kern w:val="0"/>
                <w:sz w:val="24"/>
                <w:highlight w:val="none"/>
              </w:rPr>
              <w:t xml:space="preserve">分； </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实施方案内容不是很详尽，可行性不强，但针对可能出现的重点、难点的环节能提出相应对策、方法及应急预案，可得</w:t>
            </w:r>
            <w:r>
              <w:rPr>
                <w:rFonts w:hint="eastAsia" w:ascii="仿宋" w:hAnsi="仿宋" w:eastAsia="仿宋" w:cs="仿宋"/>
                <w:color w:val="auto"/>
                <w:kern w:val="0"/>
                <w:sz w:val="24"/>
                <w:highlight w:val="none"/>
                <w:lang w:val="en-US" w:eastAsia="zh-CN"/>
              </w:rPr>
              <w:t>10</w:t>
            </w:r>
            <w:r>
              <w:rPr>
                <w:rFonts w:hint="eastAsia" w:ascii="仿宋" w:hAnsi="仿宋" w:eastAsia="仿宋" w:cs="仿宋"/>
                <w:color w:val="auto"/>
                <w:kern w:val="0"/>
                <w:sz w:val="24"/>
                <w:highlight w:val="none"/>
              </w:rPr>
              <w:t>分；</w:t>
            </w:r>
          </w:p>
          <w:p>
            <w:pPr>
              <w:widowControl/>
              <w:numPr>
                <w:ilvl w:val="0"/>
                <w:numId w:val="6"/>
              </w:numPr>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实施方案内容不是很详尽，可行性不强，没有针对可能出现的重点、难点的环节提出相应对策、方法及应急预案，可得</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分；</w:t>
            </w:r>
          </w:p>
          <w:p>
            <w:pPr>
              <w:widowControl/>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5、未提供实施方案的不得分。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FF0000"/>
                <w:kern w:val="0"/>
                <w:sz w:val="24"/>
                <w:highlight w:val="yellow"/>
              </w:rPr>
            </w:pPr>
          </w:p>
        </w:tc>
      </w:tr>
      <w:tr>
        <w:tblPrEx>
          <w:tblLayout w:type="fixed"/>
          <w:tblCellMar>
            <w:top w:w="0" w:type="dxa"/>
            <w:left w:w="108" w:type="dxa"/>
            <w:bottom w:w="0" w:type="dxa"/>
            <w:right w:w="108" w:type="dxa"/>
          </w:tblCellMar>
        </w:tblPrEx>
        <w:trPr>
          <w:trHeight w:val="3945"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售后服务保障</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10</w:t>
            </w:r>
            <w:r>
              <w:rPr>
                <w:rFonts w:hint="eastAsia" w:ascii="仿宋" w:hAnsi="仿宋" w:eastAsia="仿宋" w:cs="仿宋"/>
                <w:color w:val="000000"/>
                <w:kern w:val="0"/>
                <w:sz w:val="24"/>
              </w:rPr>
              <w:t>分)</w:t>
            </w:r>
          </w:p>
        </w:tc>
        <w:tc>
          <w:tcPr>
            <w:tcW w:w="5963" w:type="dxa"/>
            <w:tcBorders>
              <w:top w:val="nil"/>
              <w:left w:val="nil"/>
              <w:bottom w:val="single" w:color="auto" w:sz="4" w:space="0"/>
              <w:right w:val="single" w:color="auto" w:sz="4" w:space="0"/>
            </w:tcBorders>
            <w:vAlign w:val="center"/>
          </w:tcPr>
          <w:p>
            <w:pPr>
              <w:pStyle w:val="17"/>
              <w:rPr>
                <w:rFonts w:hint="eastAsia" w:ascii="仿宋" w:hAnsi="仿宋" w:eastAsia="仿宋" w:cs="仿宋"/>
                <w:sz w:val="24"/>
              </w:rPr>
            </w:pPr>
            <w:r>
              <w:rPr>
                <w:rFonts w:hint="eastAsia" w:ascii="仿宋" w:hAnsi="仿宋" w:eastAsia="仿宋" w:cs="仿宋"/>
                <w:sz w:val="24"/>
              </w:rPr>
              <w:t>1、在本县有售后服务点或办公场地，服务方案细致合理、针对性强得</w:t>
            </w:r>
            <w:r>
              <w:rPr>
                <w:rFonts w:hint="eastAsia" w:ascii="仿宋" w:hAnsi="仿宋" w:eastAsia="仿宋" w:cs="仿宋"/>
                <w:sz w:val="24"/>
                <w:lang w:val="en-US" w:eastAsia="zh-CN"/>
              </w:rPr>
              <w:t>8</w:t>
            </w:r>
            <w:r>
              <w:rPr>
                <w:rFonts w:hint="eastAsia" w:ascii="仿宋" w:hAnsi="仿宋" w:eastAsia="仿宋" w:cs="仿宋"/>
                <w:sz w:val="24"/>
              </w:rPr>
              <w:t>分；在本地区有售后服务点或办公场地，服务方案合理、针对性较强，得</w:t>
            </w:r>
            <w:r>
              <w:rPr>
                <w:rFonts w:hint="eastAsia" w:ascii="仿宋" w:hAnsi="仿宋" w:eastAsia="仿宋" w:cs="仿宋"/>
                <w:sz w:val="24"/>
                <w:lang w:val="en-US" w:eastAsia="zh-CN"/>
              </w:rPr>
              <w:t>5</w:t>
            </w:r>
            <w:r>
              <w:rPr>
                <w:rFonts w:hint="eastAsia" w:ascii="仿宋" w:hAnsi="仿宋" w:eastAsia="仿宋" w:cs="仿宋"/>
                <w:sz w:val="24"/>
              </w:rPr>
              <w:t>分；本地区以外有售后服务点或办公场地，售后服务方案粗略、针对性一般，得</w:t>
            </w:r>
            <w:r>
              <w:rPr>
                <w:rFonts w:hint="eastAsia" w:ascii="仿宋" w:hAnsi="仿宋" w:eastAsia="仿宋" w:cs="仿宋"/>
                <w:sz w:val="24"/>
                <w:lang w:val="en-US" w:eastAsia="zh-CN"/>
              </w:rPr>
              <w:t>2</w:t>
            </w:r>
            <w:r>
              <w:rPr>
                <w:rFonts w:hint="eastAsia" w:ascii="仿宋" w:hAnsi="仿宋" w:eastAsia="仿宋" w:cs="仿宋"/>
                <w:sz w:val="24"/>
              </w:rPr>
              <w:t>分；不提供不得分。</w:t>
            </w:r>
          </w:p>
          <w:p>
            <w:pPr>
              <w:pStyle w:val="17"/>
              <w:rPr>
                <w:rFonts w:hint="eastAsia" w:ascii="仿宋" w:hAnsi="仿宋" w:eastAsia="仿宋" w:cs="仿宋"/>
                <w:sz w:val="24"/>
              </w:rPr>
            </w:pPr>
            <w:r>
              <w:rPr>
                <w:rFonts w:hint="eastAsia" w:ascii="仿宋" w:hAnsi="仿宋" w:eastAsia="仿宋" w:cs="仿宋"/>
                <w:sz w:val="24"/>
              </w:rPr>
              <w:t>2、有优质的售后服务措施，免费维</w:t>
            </w:r>
            <w:r>
              <w:rPr>
                <w:rFonts w:hint="eastAsia" w:ascii="仿宋" w:hAnsi="仿宋" w:eastAsia="仿宋" w:cs="仿宋"/>
                <w:sz w:val="24"/>
                <w:lang w:eastAsia="zh-CN"/>
              </w:rPr>
              <w:t>护</w:t>
            </w:r>
            <w:r>
              <w:rPr>
                <w:rFonts w:hint="eastAsia" w:ascii="仿宋" w:hAnsi="仿宋" w:eastAsia="仿宋" w:cs="仿宋"/>
                <w:sz w:val="24"/>
              </w:rPr>
              <w:t>与更换有缺陷的设备或部件的期限为中标单位接到业主正式通知后相关维修人员，相关人员达到指定位置的响应速度，根据投标人提供的售后服务方案、维护人员和机构等情况，质保期限的长短以及服务承诺的可行性、完整性以及服承诺落实的保障措施</w:t>
            </w:r>
            <w:r>
              <w:rPr>
                <w:rFonts w:hint="eastAsia" w:ascii="仿宋" w:hAnsi="仿宋" w:eastAsia="仿宋" w:cs="仿宋"/>
                <w:sz w:val="24"/>
                <w:lang w:eastAsia="zh-CN"/>
              </w:rPr>
              <w:t>。</w:t>
            </w:r>
            <w:r>
              <w:rPr>
                <w:rFonts w:hint="eastAsia" w:ascii="仿宋" w:hAnsi="仿宋" w:eastAsia="仿宋" w:cs="仿宋"/>
                <w:sz w:val="24"/>
              </w:rPr>
              <w:t>分值</w:t>
            </w:r>
            <w:r>
              <w:rPr>
                <w:rFonts w:hint="eastAsia" w:ascii="仿宋" w:hAnsi="仿宋" w:eastAsia="仿宋" w:cs="仿宋"/>
                <w:sz w:val="24"/>
                <w:lang w:val="en-US" w:eastAsia="zh-CN"/>
              </w:rPr>
              <w:t>2</w:t>
            </w:r>
            <w:r>
              <w:rPr>
                <w:rFonts w:hint="eastAsia" w:ascii="仿宋" w:hAnsi="仿宋" w:eastAsia="仿宋" w:cs="仿宋"/>
                <w:sz w:val="24"/>
              </w:rPr>
              <w:t>分，由评委视具体情况进行评分。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891" w:hRule="atLeast"/>
        </w:trPr>
        <w:tc>
          <w:tcPr>
            <w:tcW w:w="116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 (10分)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kern w:val="0"/>
                <w:sz w:val="24"/>
              </w:rPr>
            </w:pPr>
            <w:r>
              <w:rPr>
                <w:rFonts w:hint="eastAsia" w:ascii="仿宋" w:hAnsi="仿宋" w:eastAsia="仿宋" w:cs="仿宋"/>
                <w:color w:val="000000"/>
                <w:kern w:val="0"/>
                <w:sz w:val="24"/>
              </w:rPr>
              <w:t>提供针对本项目编制的项目售后服务方案（方案内容包括但不限于服务内容、服务方式、响应时间）：</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项目售后服务方案贴合实际，针对性和可实施性很强，完全满足且优于用户需求的，得10分。</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项目售后服务方案比较贴合实际，针对性和可实施性比较强，完全满足用户需求的，得6分。 </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项目售后服务方案不符合实际，针对性和可实施性较弱，不完全满足用户需求的，得2分。</w:t>
            </w:r>
          </w:p>
          <w:p>
            <w:pPr>
              <w:widowControl/>
              <w:numPr>
                <w:ilvl w:val="0"/>
                <w:numId w:val="7"/>
              </w:numPr>
              <w:jc w:val="left"/>
              <w:rPr>
                <w:rFonts w:hint="eastAsia" w:ascii="仿宋" w:hAnsi="仿宋" w:eastAsia="仿宋" w:cs="仿宋"/>
                <w:color w:val="000000"/>
                <w:kern w:val="0"/>
                <w:sz w:val="24"/>
              </w:rPr>
            </w:pPr>
            <w:r>
              <w:rPr>
                <w:rFonts w:hint="eastAsia" w:ascii="仿宋" w:hAnsi="仿宋" w:eastAsia="仿宋" w:cs="仿宋"/>
                <w:color w:val="000000"/>
                <w:kern w:val="0"/>
                <w:sz w:val="24"/>
              </w:rPr>
              <w:t xml:space="preserve"> 未提供方案，得0分。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2303" w:hRule="atLeast"/>
        </w:trPr>
        <w:tc>
          <w:tcPr>
            <w:tcW w:w="1162" w:type="dxa"/>
            <w:vMerge w:val="restart"/>
            <w:tcBorders>
              <w:top w:val="nil"/>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商务</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部分</w:t>
            </w:r>
          </w:p>
          <w:p>
            <w:pPr>
              <w:widowControl/>
              <w:jc w:val="center"/>
              <w:rPr>
                <w:rFonts w:hint="eastAsia" w:ascii="仿宋" w:hAnsi="仿宋" w:eastAsia="仿宋" w:cs="仿宋"/>
                <w:color w:val="000000"/>
                <w:kern w:val="0"/>
                <w:sz w:val="24"/>
              </w:rPr>
            </w:pPr>
            <w:r>
              <w:rPr>
                <w:rFonts w:hint="eastAsia" w:ascii="仿宋" w:hAnsi="仿宋" w:eastAsia="仿宋" w:cs="仿宋"/>
                <w:color w:val="000000"/>
                <w:kern w:val="0"/>
                <w:sz w:val="24"/>
              </w:rPr>
              <w:t>（</w:t>
            </w:r>
            <w:r>
              <w:rPr>
                <w:rFonts w:hint="eastAsia" w:ascii="仿宋" w:hAnsi="仿宋" w:eastAsia="仿宋" w:cs="仿宋"/>
                <w:color w:val="000000"/>
                <w:kern w:val="0"/>
                <w:sz w:val="24"/>
                <w:lang w:val="en-US" w:eastAsia="zh-CN"/>
              </w:rPr>
              <w:t>12</w:t>
            </w:r>
            <w:r>
              <w:rPr>
                <w:rFonts w:hint="eastAsia" w:ascii="仿宋" w:hAnsi="仿宋" w:eastAsia="仿宋" w:cs="仿宋"/>
                <w:color w:val="000000"/>
                <w:kern w:val="0"/>
                <w:sz w:val="24"/>
              </w:rPr>
              <w:t>分）</w:t>
            </w: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业绩</w:t>
            </w:r>
          </w:p>
          <w:p>
            <w:pPr>
              <w:widowControl/>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sz w:val="24"/>
                <w:highlight w:val="none"/>
              </w:rPr>
            </w:pPr>
            <w:r>
              <w:rPr>
                <w:rFonts w:hint="eastAsia" w:ascii="仿宋" w:hAnsi="仿宋" w:eastAsia="仿宋" w:cs="仿宋"/>
                <w:color w:val="000000"/>
                <w:sz w:val="24"/>
                <w:highlight w:val="none"/>
              </w:rPr>
              <w:t>供应商具有类似项目业绩（指供应商在2020年1月1日（以合同签订日期为准）至今承接的类似项目），1个得1分，最</w:t>
            </w:r>
            <w:r>
              <w:rPr>
                <w:rFonts w:hint="eastAsia" w:ascii="仿宋" w:hAnsi="仿宋" w:eastAsia="仿宋" w:cs="仿宋"/>
                <w:sz w:val="24"/>
                <w:highlight w:val="none"/>
              </w:rPr>
              <w:t>多</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分。</w:t>
            </w:r>
          </w:p>
          <w:p>
            <w:pPr>
              <w:pStyle w:val="17"/>
              <w:rPr>
                <w:rFonts w:hint="eastAsia" w:ascii="仿宋" w:hAnsi="仿宋" w:eastAsia="仿宋" w:cs="仿宋"/>
                <w:sz w:val="24"/>
                <w:highlight w:val="none"/>
              </w:rPr>
            </w:pPr>
            <w:r>
              <w:rPr>
                <w:rFonts w:hint="eastAsia" w:ascii="仿宋" w:hAnsi="仿宋" w:eastAsia="仿宋" w:cs="仿宋"/>
                <w:sz w:val="24"/>
                <w:highlight w:val="none"/>
              </w:rPr>
              <w:t>业绩证明需提供业绩合同</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中标通知书证明材料。提供的业绩材料均不得涂改遮挡，每份合同需提供合同首页、内容页、盖章页等证明材料。（证明材料：中标通知书、合同复印件，并加盖公章，不提供不得分。）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1716" w:hRule="atLeast"/>
        </w:trPr>
        <w:tc>
          <w:tcPr>
            <w:tcW w:w="1162"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highlight w:val="none"/>
              </w:rPr>
            </w:pPr>
            <w:r>
              <w:rPr>
                <w:rFonts w:hint="eastAsia" w:ascii="仿宋" w:hAnsi="仿宋" w:eastAsia="仿宋" w:cs="宋体"/>
                <w:sz w:val="24"/>
                <w:szCs w:val="24"/>
              </w:rPr>
              <w:t>质保期限</w:t>
            </w:r>
            <w:r>
              <w:rPr>
                <w:rFonts w:hint="eastAsia" w:ascii="仿宋" w:hAnsi="仿宋" w:eastAsia="仿宋" w:cs="仿宋"/>
                <w:color w:val="000000"/>
                <w:kern w:val="0"/>
                <w:sz w:val="24"/>
                <w:highlight w:val="none"/>
              </w:rPr>
              <w:t>(</w:t>
            </w:r>
            <w:r>
              <w:rPr>
                <w:rFonts w:hint="eastAsia" w:ascii="仿宋" w:hAnsi="仿宋" w:eastAsia="仿宋" w:cs="仿宋"/>
                <w:color w:val="000000"/>
                <w:kern w:val="0"/>
                <w:sz w:val="24"/>
                <w:highlight w:val="none"/>
                <w:lang w:val="en-US" w:eastAsia="zh-CN"/>
              </w:rPr>
              <w:t>5</w:t>
            </w:r>
            <w:r>
              <w:rPr>
                <w:rFonts w:hint="eastAsia" w:ascii="仿宋" w:hAnsi="仿宋" w:eastAsia="仿宋" w:cs="仿宋"/>
                <w:color w:val="000000"/>
                <w:kern w:val="0"/>
                <w:sz w:val="24"/>
                <w:highlight w:val="none"/>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color w:val="000000"/>
                <w:sz w:val="24"/>
                <w:highlight w:val="none"/>
              </w:rPr>
            </w:pPr>
            <w:r>
              <w:rPr>
                <w:rFonts w:hint="eastAsia" w:ascii="仿宋" w:hAnsi="仿宋" w:eastAsia="仿宋" w:cs="宋体"/>
                <w:b w:val="0"/>
                <w:color w:val="auto"/>
                <w:kern w:val="2"/>
                <w:sz w:val="24"/>
                <w:szCs w:val="24"/>
                <w:lang w:val="en-US" w:eastAsia="zh-CN"/>
              </w:rPr>
              <w:t>质保期延长六个月得1分，最多可得5分。不提供相关质保说明材料的不得分。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1390" w:hRule="atLeast"/>
        </w:trPr>
        <w:tc>
          <w:tcPr>
            <w:tcW w:w="1162" w:type="dxa"/>
            <w:vMerge w:val="continue"/>
            <w:tcBorders>
              <w:left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c>
          <w:tcPr>
            <w:tcW w:w="1225" w:type="dxa"/>
            <w:tcBorders>
              <w:top w:val="nil"/>
              <w:left w:val="nil"/>
              <w:bottom w:val="single" w:color="auto" w:sz="4" w:space="0"/>
              <w:right w:val="single" w:color="auto" w:sz="4" w:space="0"/>
            </w:tcBorders>
            <w:vAlign w:val="center"/>
          </w:tcPr>
          <w:p>
            <w:pPr>
              <w:widowControl/>
              <w:jc w:val="center"/>
              <w:rPr>
                <w:rFonts w:hint="eastAsia" w:ascii="仿宋" w:hAnsi="仿宋" w:eastAsia="仿宋" w:cs="宋体"/>
                <w:sz w:val="24"/>
                <w:szCs w:val="24"/>
              </w:rPr>
            </w:pPr>
            <w:r>
              <w:rPr>
                <w:rFonts w:hint="eastAsia" w:ascii="仿宋" w:hAnsi="仿宋" w:eastAsia="仿宋" w:cs="宋体"/>
                <w:sz w:val="24"/>
                <w:szCs w:val="24"/>
              </w:rPr>
              <w:t>标函质量</w:t>
            </w:r>
          </w:p>
          <w:p>
            <w:pPr>
              <w:widowControl/>
              <w:jc w:val="center"/>
              <w:rPr>
                <w:rFonts w:hint="eastAsia"/>
              </w:rPr>
            </w:pPr>
            <w:r>
              <w:rPr>
                <w:rFonts w:hint="eastAsia" w:ascii="仿宋" w:hAnsi="仿宋" w:eastAsia="仿宋" w:cs="宋体"/>
                <w:sz w:val="24"/>
                <w:szCs w:val="24"/>
              </w:rPr>
              <w:t>(</w:t>
            </w:r>
            <w:r>
              <w:rPr>
                <w:rFonts w:hint="eastAsia" w:ascii="仿宋" w:hAnsi="仿宋" w:eastAsia="仿宋" w:cs="宋体"/>
                <w:sz w:val="24"/>
                <w:szCs w:val="24"/>
                <w:lang w:val="en-US" w:eastAsia="zh-CN"/>
              </w:rPr>
              <w:t>2</w:t>
            </w:r>
            <w:r>
              <w:rPr>
                <w:rFonts w:hint="eastAsia" w:ascii="仿宋" w:hAnsi="仿宋" w:eastAsia="仿宋" w:cs="宋体"/>
                <w:sz w:val="24"/>
                <w:szCs w:val="24"/>
              </w:rPr>
              <w:t>分)</w:t>
            </w:r>
          </w:p>
        </w:tc>
        <w:tc>
          <w:tcPr>
            <w:tcW w:w="5963" w:type="dxa"/>
            <w:tcBorders>
              <w:top w:val="nil"/>
              <w:left w:val="nil"/>
              <w:bottom w:val="single" w:color="auto" w:sz="4" w:space="0"/>
              <w:right w:val="single" w:color="auto" w:sz="4" w:space="0"/>
            </w:tcBorders>
            <w:vAlign w:val="center"/>
          </w:tcPr>
          <w:p>
            <w:pPr>
              <w:widowControl/>
              <w:jc w:val="left"/>
              <w:rPr>
                <w:rFonts w:hint="eastAsia" w:ascii="仿宋" w:hAnsi="仿宋" w:eastAsia="仿宋" w:cs="宋体"/>
                <w:b w:val="0"/>
                <w:color w:val="FF0000"/>
                <w:kern w:val="2"/>
                <w:sz w:val="24"/>
                <w:szCs w:val="24"/>
                <w:lang w:val="en-US" w:eastAsia="zh-CN"/>
              </w:rPr>
            </w:pPr>
            <w:r>
              <w:rPr>
                <w:rFonts w:hint="eastAsia" w:ascii="仿宋" w:hAnsi="仿宋" w:eastAsia="仿宋" w:cs="宋体"/>
                <w:sz w:val="24"/>
                <w:szCs w:val="24"/>
              </w:rPr>
              <w:t>根据投标文件标函编制内容完整、齐全、叙述严谨；投标文件无涂改、错页、漏页现象；投标文件内容不得重复性、反复性出现资料，具体由评委视具体情况给分，分值</w:t>
            </w:r>
            <w:r>
              <w:rPr>
                <w:rFonts w:hint="eastAsia" w:ascii="仿宋" w:hAnsi="仿宋" w:eastAsia="仿宋" w:cs="宋体"/>
                <w:sz w:val="24"/>
                <w:szCs w:val="24"/>
                <w:lang w:val="en-US" w:eastAsia="zh-CN"/>
              </w:rPr>
              <w:t>2</w:t>
            </w:r>
            <w:r>
              <w:rPr>
                <w:rFonts w:hint="eastAsia" w:ascii="仿宋" w:hAnsi="仿宋" w:eastAsia="仿宋" w:cs="宋体"/>
                <w:sz w:val="24"/>
                <w:szCs w:val="24"/>
              </w:rPr>
              <w:t>分。</w:t>
            </w:r>
          </w:p>
        </w:tc>
        <w:tc>
          <w:tcPr>
            <w:tcW w:w="1012" w:type="dxa"/>
            <w:tcBorders>
              <w:top w:val="nil"/>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4"/>
              </w:rPr>
            </w:pPr>
          </w:p>
        </w:tc>
      </w:tr>
      <w:tr>
        <w:tblPrEx>
          <w:tblLayout w:type="fixed"/>
          <w:tblCellMar>
            <w:top w:w="0" w:type="dxa"/>
            <w:left w:w="108" w:type="dxa"/>
            <w:bottom w:w="0" w:type="dxa"/>
            <w:right w:w="108" w:type="dxa"/>
          </w:tblCellMar>
        </w:tblPrEx>
        <w:trPr>
          <w:trHeight w:val="526" w:hRule="atLeast"/>
        </w:trPr>
        <w:tc>
          <w:tcPr>
            <w:tcW w:w="835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0"/>
                <w:sz w:val="24"/>
              </w:rPr>
            </w:pPr>
            <w:r>
              <w:rPr>
                <w:rFonts w:hint="eastAsia" w:ascii="仿宋" w:hAnsi="仿宋" w:eastAsia="仿宋" w:cs="仿宋"/>
                <w:kern w:val="0"/>
                <w:sz w:val="24"/>
              </w:rPr>
              <w:t>最后得分</w:t>
            </w:r>
          </w:p>
        </w:tc>
        <w:tc>
          <w:tcPr>
            <w:tcW w:w="1012" w:type="dxa"/>
            <w:tcBorders>
              <w:top w:val="nil"/>
              <w:left w:val="nil"/>
              <w:bottom w:val="single" w:color="auto" w:sz="4" w:space="0"/>
              <w:right w:val="single" w:color="auto" w:sz="4" w:space="0"/>
            </w:tcBorders>
            <w:vAlign w:val="center"/>
          </w:tcPr>
          <w:p>
            <w:pPr>
              <w:widowControl/>
              <w:jc w:val="left"/>
              <w:rPr>
                <w:rFonts w:hint="eastAsia" w:ascii="仿宋" w:hAnsi="仿宋" w:eastAsia="仿宋" w:cs="仿宋"/>
                <w:kern w:val="0"/>
                <w:sz w:val="24"/>
              </w:rPr>
            </w:pPr>
            <w:r>
              <w:rPr>
                <w:rFonts w:hint="eastAsia" w:ascii="仿宋" w:hAnsi="仿宋" w:eastAsia="仿宋" w:cs="仿宋"/>
                <w:kern w:val="0"/>
                <w:sz w:val="24"/>
              </w:rPr>
              <w:t>　</w:t>
            </w:r>
          </w:p>
        </w:tc>
      </w:tr>
    </w:tbl>
    <w:p>
      <w:pPr>
        <w:ind w:right="-540" w:rightChars="-257"/>
        <w:rPr>
          <w:color w:val="auto"/>
          <w:sz w:val="21"/>
          <w:szCs w:val="21"/>
        </w:rPr>
      </w:pPr>
      <w:r>
        <w:rPr>
          <w:rFonts w:hint="eastAsia" w:ascii="仿宋" w:hAnsi="仿宋" w:eastAsia="仿宋" w:cs="仿宋"/>
          <w:color w:val="auto"/>
          <w:kern w:val="2"/>
          <w:sz w:val="21"/>
          <w:szCs w:val="21"/>
          <w:highlight w:val="none"/>
          <w:lang w:val="en-US" w:eastAsia="zh-CN" w:bidi="ar-SA"/>
        </w:rPr>
        <w:t>说明：各评分因素的计分方法：磋商小组全部成员对各供应商的有效记分的算术平均值为该评分因素的综合得分。计算各评分因素得分时，四舍五入保留二位小数。(价格评分仅限于有效投标人。)</w:t>
      </w:r>
    </w:p>
    <w:p>
      <w:pPr>
        <w:spacing w:after="0" w:line="289" w:lineRule="exact"/>
        <w:rPr>
          <w:sz w:val="24"/>
        </w:rPr>
        <w:sectPr>
          <w:footerReference r:id="rId12" w:type="default"/>
          <w:pgSz w:w="11910" w:h="16840"/>
          <w:pgMar w:top="1420" w:right="1280" w:bottom="1200" w:left="1120" w:header="891" w:footer="1013" w:gutter="0"/>
          <w:pgNumType w:fmt="decimal"/>
          <w:cols w:space="720" w:num="1"/>
        </w:sectPr>
      </w:pPr>
    </w:p>
    <w:p>
      <w:pPr>
        <w:rPr>
          <w:rFonts w:hint="eastAsia"/>
        </w:rPr>
      </w:pPr>
      <w:bookmarkStart w:id="254" w:name="_Toc507399904"/>
    </w:p>
    <w:p>
      <w:pPr>
        <w:spacing w:line="240" w:lineRule="atLeast"/>
        <w:ind w:left="1080" w:leftChars="257" w:hanging="540"/>
        <w:jc w:val="center"/>
        <w:rPr>
          <w:rFonts w:hint="eastAsia" w:ascii="仿宋" w:hAnsi="仿宋" w:eastAsia="仿宋" w:cs="仿宋"/>
          <w:color w:val="auto"/>
          <w:highlight w:val="none"/>
        </w:rPr>
      </w:pPr>
    </w:p>
    <w:p>
      <w:pPr>
        <w:spacing w:line="240" w:lineRule="atLeast"/>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塔什库尔干县教育局各乡镇小学课桌椅采购项目</w:t>
      </w:r>
    </w:p>
    <w:p>
      <w:pPr>
        <w:pStyle w:val="6"/>
        <w:jc w:val="center"/>
        <w:rPr>
          <w:rFonts w:hint="eastAsia" w:ascii="仿宋" w:hAnsi="仿宋" w:eastAsia="仿宋" w:cs="仿宋"/>
          <w:b/>
          <w:bCs/>
          <w:color w:val="FF0000"/>
          <w:sz w:val="48"/>
          <w:szCs w:val="48"/>
          <w:highlight w:val="none"/>
          <w:lang w:eastAsia="zh-CN"/>
        </w:rPr>
      </w:pPr>
    </w:p>
    <w:p>
      <w:pPr>
        <w:pStyle w:val="6"/>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lang w:eastAsia="zh-CN"/>
        </w:rPr>
      </w:pPr>
    </w:p>
    <w:p>
      <w:pPr>
        <w:rPr>
          <w:rFonts w:hint="default" w:ascii="仿宋" w:hAnsi="仿宋" w:eastAsia="仿宋" w:cs="仿宋"/>
          <w:b/>
          <w:bCs/>
          <w:color w:val="auto"/>
          <w:sz w:val="44"/>
          <w:szCs w:val="44"/>
          <w:highlight w:val="none"/>
          <w:lang w:val="en-US" w:eastAsia="zh-CN"/>
        </w:rPr>
      </w:pPr>
    </w:p>
    <w:p>
      <w:pPr>
        <w:pStyle w:val="6"/>
        <w:rPr>
          <w:rFonts w:hint="eastAsia" w:ascii="仿宋" w:hAnsi="仿宋" w:eastAsia="仿宋" w:cs="仿宋"/>
          <w:color w:val="auto"/>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r>
        <w:rPr>
          <w:rFonts w:hint="eastAsia" w:ascii="仿宋" w:hAnsi="仿宋" w:eastAsia="仿宋" w:cs="仿宋"/>
          <w:b/>
          <w:bCs/>
          <w:color w:val="auto"/>
          <w:sz w:val="44"/>
          <w:szCs w:val="44"/>
          <w:highlight w:val="none"/>
          <w:lang w:eastAsia="zh-CN"/>
        </w:rPr>
        <w:t>竞争性磋商文件</w:t>
      </w:r>
    </w:p>
    <w:p>
      <w:pPr>
        <w:pStyle w:val="2"/>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ascii="仿宋" w:hAnsi="仿宋" w:eastAsia="仿宋" w:cs="仿宋"/>
          <w:b/>
          <w:bCs/>
          <w:color w:val="auto"/>
          <w:sz w:val="44"/>
          <w:szCs w:val="44"/>
          <w:highlight w:val="none"/>
          <w:lang w:eastAsia="zh-CN"/>
        </w:rPr>
      </w:pPr>
    </w:p>
    <w:p>
      <w:pPr>
        <w:rPr>
          <w:rFonts w:hint="eastAsia" w:ascii="仿宋" w:hAnsi="仿宋" w:eastAsia="仿宋" w:cs="仿宋"/>
          <w:b/>
          <w:bCs/>
          <w:color w:val="auto"/>
          <w:sz w:val="44"/>
          <w:szCs w:val="44"/>
          <w:highlight w:val="none"/>
          <w:lang w:eastAsia="zh-CN"/>
        </w:rPr>
      </w:pPr>
    </w:p>
    <w:p>
      <w:pPr>
        <w:pStyle w:val="2"/>
        <w:rPr>
          <w:rFonts w:hint="eastAsia"/>
          <w:lang w:eastAsia="zh-CN"/>
        </w:rPr>
      </w:pPr>
    </w:p>
    <w:p>
      <w:pPr>
        <w:spacing w:line="240" w:lineRule="atLeast"/>
        <w:ind w:left="1080" w:leftChars="257" w:hanging="540"/>
        <w:jc w:val="center"/>
        <w:rPr>
          <w:rFonts w:hint="eastAsia" w:ascii="仿宋" w:hAnsi="仿宋" w:eastAsia="仿宋" w:cs="仿宋"/>
          <w:b/>
          <w:bCs/>
          <w:color w:val="auto"/>
          <w:sz w:val="40"/>
          <w:szCs w:val="40"/>
          <w:highlight w:val="none"/>
        </w:rPr>
      </w:pPr>
      <w:r>
        <w:rPr>
          <w:rFonts w:hint="eastAsia" w:ascii="仿宋" w:hAnsi="仿宋" w:eastAsia="仿宋" w:cs="仿宋"/>
          <w:b/>
          <w:bCs/>
          <w:color w:val="auto"/>
          <w:sz w:val="40"/>
          <w:szCs w:val="40"/>
          <w:highlight w:val="none"/>
        </w:rPr>
        <w:t>（</w:t>
      </w:r>
      <w:r>
        <w:rPr>
          <w:rFonts w:hint="eastAsia" w:ascii="仿宋" w:hAnsi="仿宋" w:eastAsia="仿宋" w:cs="仿宋"/>
          <w:b/>
          <w:bCs/>
          <w:color w:val="auto"/>
          <w:sz w:val="40"/>
          <w:szCs w:val="40"/>
          <w:highlight w:val="none"/>
          <w:lang w:eastAsia="zh-CN"/>
        </w:rPr>
        <w:t>项目编号：</w:t>
      </w:r>
      <w:r>
        <w:rPr>
          <w:rFonts w:hint="eastAsia" w:ascii="仿宋" w:hAnsi="仿宋" w:eastAsia="仿宋" w:cs="仿宋"/>
          <w:b/>
          <w:bCs/>
          <w:color w:val="auto"/>
          <w:sz w:val="40"/>
          <w:szCs w:val="40"/>
          <w:highlight w:val="none"/>
          <w:lang w:val="en-US" w:eastAsia="zh-CN"/>
        </w:rPr>
        <w:t>KSTX(CS)2023-02</w:t>
      </w:r>
      <w:r>
        <w:rPr>
          <w:rFonts w:hint="eastAsia" w:ascii="仿宋" w:hAnsi="仿宋" w:eastAsia="仿宋" w:cs="仿宋"/>
          <w:b/>
          <w:bCs/>
          <w:color w:val="auto"/>
          <w:sz w:val="40"/>
          <w:szCs w:val="40"/>
          <w:highlight w:val="none"/>
        </w:rPr>
        <w:t>）</w:t>
      </w:r>
    </w:p>
    <w:p>
      <w:pPr>
        <w:spacing w:line="240" w:lineRule="atLeast"/>
        <w:ind w:left="1080" w:leftChars="257" w:hanging="540"/>
        <w:jc w:val="center"/>
        <w:rPr>
          <w:rFonts w:hint="eastAsia" w:ascii="仿宋" w:hAnsi="仿宋" w:eastAsia="仿宋" w:cs="仿宋"/>
          <w:b/>
          <w:bCs/>
          <w:color w:val="auto"/>
          <w:sz w:val="40"/>
          <w:szCs w:val="40"/>
          <w:highlight w:val="none"/>
        </w:rPr>
      </w:pPr>
    </w:p>
    <w:p>
      <w:pPr>
        <w:spacing w:line="240" w:lineRule="atLeast"/>
        <w:ind w:left="1080" w:leftChars="257" w:hanging="540"/>
        <w:jc w:val="center"/>
        <w:rPr>
          <w:rFonts w:hint="eastAsia" w:ascii="仿宋" w:hAnsi="仿宋" w:eastAsia="仿宋" w:cs="仿宋"/>
          <w:b/>
          <w:bCs/>
          <w:color w:val="auto"/>
          <w:sz w:val="44"/>
          <w:szCs w:val="44"/>
          <w:highlight w:val="none"/>
          <w:lang w:eastAsia="zh-CN"/>
        </w:rPr>
      </w:pPr>
    </w:p>
    <w:p>
      <w:pPr>
        <w:spacing w:line="240" w:lineRule="atLeast"/>
        <w:ind w:left="1080" w:leftChars="257" w:hanging="540"/>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第</w:t>
      </w:r>
      <w:r>
        <w:rPr>
          <w:rFonts w:hint="eastAsia" w:ascii="仿宋" w:hAnsi="仿宋" w:eastAsia="仿宋" w:cs="仿宋"/>
          <w:b/>
          <w:color w:val="auto"/>
          <w:sz w:val="48"/>
          <w:szCs w:val="48"/>
          <w:highlight w:val="none"/>
          <w:lang w:val="en-US" w:eastAsia="zh-CN"/>
        </w:rPr>
        <w:t>三</w:t>
      </w:r>
      <w:r>
        <w:rPr>
          <w:rFonts w:hint="eastAsia" w:ascii="仿宋" w:hAnsi="仿宋" w:eastAsia="仿宋" w:cs="仿宋"/>
          <w:b/>
          <w:color w:val="auto"/>
          <w:sz w:val="48"/>
          <w:szCs w:val="48"/>
          <w:highlight w:val="none"/>
        </w:rPr>
        <w:t>册</w:t>
      </w: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jc w:val="center"/>
        <w:rPr>
          <w:rFonts w:hint="eastAsia" w:ascii="仿宋" w:hAnsi="仿宋" w:eastAsia="仿宋" w:cs="仿宋"/>
          <w:b/>
          <w:color w:val="auto"/>
          <w:sz w:val="52"/>
          <w:highlight w:val="none"/>
        </w:rPr>
      </w:pPr>
    </w:p>
    <w:p>
      <w:pPr>
        <w:spacing w:line="240" w:lineRule="atLeast"/>
        <w:ind w:left="1080" w:leftChars="257" w:hanging="540"/>
        <w:rPr>
          <w:rFonts w:hint="eastAsia" w:ascii="仿宋" w:hAnsi="仿宋" w:eastAsia="仿宋" w:cs="仿宋"/>
          <w:b/>
          <w:color w:val="auto"/>
          <w:szCs w:val="21"/>
          <w:highlight w:val="none"/>
        </w:rPr>
      </w:pPr>
    </w:p>
    <w:p>
      <w:pPr>
        <w:rPr>
          <w:rFonts w:hint="eastAsia" w:ascii="仿宋" w:hAnsi="仿宋" w:eastAsia="仿宋" w:cs="仿宋"/>
          <w:color w:val="auto"/>
          <w:highlight w:val="none"/>
        </w:rPr>
      </w:pPr>
      <w:r>
        <w:rPr>
          <w:rFonts w:hint="eastAsia" w:ascii="仿宋" w:hAnsi="仿宋" w:eastAsia="仿宋" w:cs="仿宋"/>
          <w:b/>
          <w:color w:val="auto"/>
          <w:sz w:val="52"/>
          <w:highlight w:val="none"/>
        </w:rPr>
        <w:br w:type="page"/>
      </w:r>
    </w:p>
    <w:p>
      <w:pPr>
        <w:pStyle w:val="3"/>
        <w:numPr>
          <w:ilvl w:val="0"/>
          <w:numId w:val="0"/>
        </w:numPr>
        <w:tabs>
          <w:tab w:val="left" w:pos="0"/>
        </w:tabs>
        <w:spacing w:before="0" w:after="0" w:line="240" w:lineRule="atLeast"/>
        <w:ind w:left="-15" w:leftChars="0"/>
        <w:jc w:val="center"/>
        <w:rPr>
          <w:rFonts w:hint="eastAsia" w:ascii="仿宋" w:hAnsi="仿宋" w:eastAsia="仿宋" w:cs="仿宋"/>
          <w:color w:val="auto"/>
          <w:highlight w:val="none"/>
        </w:rPr>
      </w:pPr>
      <w:bookmarkStart w:id="255" w:name="_Toc518923128"/>
      <w:bookmarkStart w:id="256" w:name="_Toc11722"/>
      <w:r>
        <w:rPr>
          <w:rFonts w:hint="eastAsia" w:ascii="仿宋" w:hAnsi="仿宋" w:eastAsia="仿宋" w:cs="仿宋"/>
          <w:color w:val="auto"/>
          <w:highlight w:val="none"/>
          <w:lang w:val="en-US" w:eastAsia="zh-CN"/>
        </w:rPr>
        <w:t>第7章</w:t>
      </w:r>
      <w:r>
        <w:rPr>
          <w:rFonts w:hint="eastAsia" w:ascii="仿宋" w:hAnsi="仿宋" w:eastAsia="仿宋" w:cs="仿宋"/>
          <w:color w:val="auto"/>
          <w:highlight w:val="none"/>
        </w:rPr>
        <w:t>政府采购合同</w:t>
      </w:r>
      <w:bookmarkEnd w:id="254"/>
      <w:bookmarkEnd w:id="255"/>
      <w:bookmarkEnd w:id="256"/>
      <w:bookmarkStart w:id="257" w:name="_Hlt487972895"/>
      <w:bookmarkEnd w:id="257"/>
      <w:bookmarkStart w:id="258" w:name="_Toc216513788"/>
      <w:bookmarkStart w:id="259" w:name="_Toc487900382"/>
    </w:p>
    <w:bookmarkEnd w:id="258"/>
    <w:bookmarkEnd w:id="259"/>
    <w:p>
      <w:pPr>
        <w:pStyle w:val="6"/>
        <w:spacing w:line="240" w:lineRule="atLeast"/>
        <w:ind w:left="1080" w:leftChars="257" w:hanging="540"/>
        <w:rPr>
          <w:rFonts w:hint="eastAsia" w:ascii="仿宋" w:hAnsi="仿宋" w:eastAsia="仿宋" w:cs="仿宋"/>
          <w:color w:val="auto"/>
          <w:sz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r>
        <w:rPr>
          <w:rFonts w:hint="eastAsia" w:ascii="仿宋" w:hAnsi="仿宋" w:eastAsia="仿宋" w:cs="仿宋"/>
          <w:color w:val="auto"/>
          <w:kern w:val="44"/>
          <w:sz w:val="28"/>
          <w:szCs w:val="28"/>
          <w:highlight w:val="none"/>
        </w:rPr>
        <w:t>请参照服务类政府采购合同参考范本订立采购合同。</w:t>
      </w: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ind w:left="-567" w:leftChars="-270" w:firstLine="540"/>
        <w:jc w:val="center"/>
        <w:rPr>
          <w:rFonts w:hint="eastAsia" w:ascii="仿宋" w:hAnsi="仿宋" w:eastAsia="仿宋" w:cs="仿宋"/>
          <w:color w:val="auto"/>
          <w:kern w:val="44"/>
          <w:sz w:val="28"/>
          <w:szCs w:val="28"/>
          <w:highlight w:val="none"/>
        </w:rPr>
      </w:pPr>
    </w:p>
    <w:p>
      <w:pPr>
        <w:spacing w:line="240" w:lineRule="atLeast"/>
        <w:jc w:val="both"/>
        <w:rPr>
          <w:rFonts w:hint="eastAsia" w:ascii="仿宋" w:hAnsi="仿宋" w:eastAsia="仿宋" w:cs="仿宋"/>
          <w:color w:val="auto"/>
          <w:kern w:val="44"/>
          <w:sz w:val="28"/>
          <w:szCs w:val="28"/>
          <w:highlight w:val="none"/>
        </w:rPr>
      </w:pPr>
    </w:p>
    <w:p>
      <w:pPr>
        <w:rPr>
          <w:rFonts w:hint="eastAsia" w:ascii="宋体" w:hAnsi="宋体" w:cs="宋体"/>
          <w:color w:val="000000"/>
          <w:sz w:val="24"/>
          <w:highlight w:val="none"/>
          <w:u w:val="single"/>
        </w:rPr>
      </w:pPr>
      <w:r>
        <w:rPr>
          <w:rFonts w:hint="eastAsia" w:ascii="宋体" w:hAnsi="宋体" w:cs="宋体"/>
          <w:color w:val="000000"/>
          <w:sz w:val="24"/>
          <w:highlight w:val="none"/>
        </w:rPr>
        <w:t>合同编号：</w:t>
      </w:r>
      <w:r>
        <w:rPr>
          <w:rFonts w:hint="eastAsia" w:ascii="宋体" w:hAnsi="宋体" w:cs="宋体"/>
          <w:color w:val="000000"/>
          <w:sz w:val="24"/>
          <w:highlight w:val="none"/>
          <w:u w:val="single"/>
        </w:rPr>
        <w:t xml:space="preserve">           </w:t>
      </w: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28"/>
          <w:szCs w:val="28"/>
          <w:highlight w:val="none"/>
        </w:rPr>
      </w:pPr>
    </w:p>
    <w:p>
      <w:pPr>
        <w:spacing w:line="480" w:lineRule="auto"/>
        <w:jc w:val="center"/>
        <w:rPr>
          <w:rFonts w:hint="eastAsia" w:ascii="宋体" w:hAnsi="宋体" w:cs="宋体"/>
          <w:b/>
          <w:color w:val="000000"/>
          <w:sz w:val="44"/>
          <w:szCs w:val="44"/>
          <w:highlight w:val="none"/>
        </w:rPr>
      </w:pPr>
      <w:r>
        <w:rPr>
          <w:rFonts w:hint="eastAsia" w:ascii="宋体" w:hAnsi="宋体" w:cs="宋体"/>
          <w:b/>
          <w:color w:val="000000"/>
          <w:sz w:val="44"/>
          <w:szCs w:val="44"/>
          <w:highlight w:val="none"/>
        </w:rPr>
        <w:t>政府采购合同参考范本</w:t>
      </w:r>
    </w:p>
    <w:p>
      <w:pPr>
        <w:spacing w:line="480" w:lineRule="auto"/>
        <w:jc w:val="center"/>
        <w:rPr>
          <w:rFonts w:hint="eastAsia" w:ascii="宋体" w:hAnsi="宋体" w:cs="宋体"/>
          <w:b/>
          <w:color w:val="000000"/>
          <w:sz w:val="24"/>
          <w:highlight w:val="none"/>
        </w:rPr>
      </w:pPr>
      <w:r>
        <w:rPr>
          <w:rFonts w:hint="eastAsia" w:ascii="宋体" w:hAnsi="宋体" w:cs="宋体"/>
          <w:b/>
          <w:color w:val="000000"/>
          <w:sz w:val="24"/>
          <w:highlight w:val="none"/>
        </w:rPr>
        <w:t>（货物类）</w:t>
      </w:r>
    </w:p>
    <w:p>
      <w:pPr>
        <w:pStyle w:val="29"/>
        <w:ind w:firstLine="0"/>
        <w:rPr>
          <w:rFonts w:hint="eastAsia" w:hAnsi="宋体" w:cs="宋体"/>
          <w:color w:val="000000"/>
          <w:szCs w:val="24"/>
          <w:highlight w:val="none"/>
        </w:rPr>
      </w:pPr>
    </w:p>
    <w:p>
      <w:pPr>
        <w:pStyle w:val="29"/>
        <w:ind w:firstLine="0"/>
        <w:rPr>
          <w:rFonts w:hint="eastAsia" w:hAnsi="宋体" w:cs="宋体"/>
          <w:color w:val="000000"/>
          <w:szCs w:val="24"/>
          <w:highlight w:val="none"/>
        </w:rPr>
      </w:pPr>
    </w:p>
    <w:p>
      <w:pPr>
        <w:pStyle w:val="29"/>
        <w:ind w:firstLine="0"/>
        <w:rPr>
          <w:rFonts w:hint="eastAsia" w:hAnsi="宋体" w:cs="宋体"/>
          <w:color w:val="000000"/>
          <w:szCs w:val="24"/>
          <w:highlight w:val="none"/>
        </w:rPr>
      </w:pPr>
    </w:p>
    <w:p>
      <w:pPr>
        <w:pStyle w:val="29"/>
        <w:ind w:firstLine="0"/>
        <w:jc w:val="center"/>
        <w:rPr>
          <w:rFonts w:hint="eastAsia" w:hAnsi="宋体" w:cs="宋体"/>
          <w:b/>
          <w:color w:val="000000"/>
          <w:szCs w:val="24"/>
          <w:highlight w:val="none"/>
        </w:rPr>
      </w:pPr>
      <w:r>
        <w:rPr>
          <w:rFonts w:hint="eastAsia" w:hAnsi="宋体" w:cs="宋体"/>
          <w:b/>
          <w:color w:val="000000"/>
          <w:szCs w:val="24"/>
          <w:highlight w:val="none"/>
        </w:rPr>
        <w:t>第一部分 合同书</w:t>
      </w:r>
    </w:p>
    <w:p>
      <w:pPr>
        <w:pStyle w:val="29"/>
        <w:ind w:firstLine="0"/>
        <w:rPr>
          <w:rFonts w:hint="eastAsia" w:hAnsi="宋体" w:cs="宋体"/>
          <w:color w:val="000000"/>
          <w:szCs w:val="24"/>
          <w:highlight w:val="none"/>
        </w:rPr>
      </w:pPr>
    </w:p>
    <w:p>
      <w:pPr>
        <w:pStyle w:val="29"/>
        <w:ind w:firstLine="0"/>
        <w:rPr>
          <w:rFonts w:hint="eastAsia" w:hAnsi="宋体" w:cs="宋体"/>
          <w:color w:val="000000"/>
          <w:szCs w:val="24"/>
          <w:highlight w:val="none"/>
        </w:rPr>
      </w:pP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rPr>
      </w:pPr>
      <w:r>
        <w:rPr>
          <w:rFonts w:hint="eastAsia" w:ascii="宋体" w:hAnsi="宋体" w:cs="宋体"/>
          <w:color w:val="000000"/>
          <w:sz w:val="24"/>
          <w:highlight w:val="none"/>
        </w:rPr>
        <w:t>项目名称：</w:t>
      </w:r>
      <w:r>
        <w:rPr>
          <w:rFonts w:hint="eastAsia" w:ascii="宋体" w:hAnsi="宋体" w:cs="宋体"/>
          <w:color w:val="000000"/>
          <w:sz w:val="24"/>
          <w:highlight w:val="none"/>
          <w:u w:val="single"/>
        </w:rPr>
        <w:t xml:space="preserve">                                   </w:t>
      </w:r>
    </w:p>
    <w:p>
      <w:pPr>
        <w:pStyle w:val="30"/>
        <w:spacing w:before="120" w:line="22" w:lineRule="atLeast"/>
        <w:rPr>
          <w:rFonts w:hint="eastAsia" w:ascii="宋体" w:hAnsi="宋体" w:eastAsia="宋体" w:cs="宋体"/>
          <w:color w:val="000000"/>
          <w:szCs w:val="24"/>
          <w:highlight w:val="none"/>
        </w:rPr>
      </w:pPr>
    </w:p>
    <w:p>
      <w:pPr>
        <w:pStyle w:val="30"/>
        <w:spacing w:before="120" w:line="22" w:lineRule="atLeast"/>
        <w:rPr>
          <w:rFonts w:hint="eastAsia" w:ascii="宋体" w:hAnsi="宋体" w:eastAsia="宋体" w:cs="宋体"/>
          <w:color w:val="000000"/>
          <w:szCs w:val="24"/>
          <w:highlight w:val="none"/>
        </w:rPr>
      </w:pPr>
    </w:p>
    <w:p>
      <w:pPr>
        <w:rPr>
          <w:rFonts w:hint="eastAsia" w:ascii="宋体" w:hAnsi="宋体" w:cs="宋体"/>
          <w:color w:val="000000"/>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甲方：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left="960"/>
        <w:rPr>
          <w:rFonts w:hint="eastAsia" w:ascii="宋体" w:hAnsi="宋体" w:cs="宋体"/>
          <w:color w:val="000000"/>
          <w:sz w:val="24"/>
          <w:highlight w:val="none"/>
          <w:u w:val="single"/>
        </w:rPr>
      </w:pPr>
      <w:r>
        <w:rPr>
          <w:rFonts w:hint="eastAsia" w:ascii="宋体" w:hAnsi="宋体" w:cs="宋体"/>
          <w:color w:val="000000"/>
          <w:sz w:val="24"/>
          <w:highlight w:val="none"/>
        </w:rPr>
        <w:t>乙方：</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签订地：</w:t>
      </w:r>
      <w:r>
        <w:rPr>
          <w:rFonts w:hint="eastAsia" w:ascii="宋体" w:hAnsi="宋体" w:cs="宋体"/>
          <w:color w:val="000000"/>
          <w:sz w:val="24"/>
          <w:highlight w:val="none"/>
          <w:u w:val="single"/>
        </w:rPr>
        <w:t xml:space="preserve">                                     </w:t>
      </w:r>
    </w:p>
    <w:p>
      <w:pPr>
        <w:spacing w:before="120" w:line="22" w:lineRule="atLeast"/>
        <w:rPr>
          <w:rFonts w:hint="eastAsia" w:ascii="宋体" w:hAnsi="宋体" w:cs="宋体"/>
          <w:color w:val="000000"/>
          <w:sz w:val="24"/>
          <w:highlight w:val="none"/>
        </w:rPr>
      </w:pPr>
    </w:p>
    <w:p>
      <w:pPr>
        <w:spacing w:before="120" w:line="22" w:lineRule="atLeast"/>
        <w:ind w:firstLine="960" w:firstLineChars="400"/>
        <w:rPr>
          <w:rFonts w:hint="eastAsia" w:ascii="宋体" w:hAnsi="宋体" w:cs="宋体"/>
          <w:color w:val="000000"/>
          <w:sz w:val="24"/>
          <w:highlight w:val="none"/>
          <w:u w:val="single"/>
        </w:rPr>
      </w:pPr>
      <w:r>
        <w:rPr>
          <w:rFonts w:hint="eastAsia" w:ascii="宋体" w:hAnsi="宋体" w:cs="宋体"/>
          <w:color w:val="000000"/>
          <w:sz w:val="24"/>
          <w:highlight w:val="none"/>
        </w:rPr>
        <w:t>签订日期：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p>
    <w:p>
      <w:pPr>
        <w:autoSpaceDE w:val="0"/>
        <w:autoSpaceDN w:val="0"/>
        <w:adjustRightInd w:val="0"/>
        <w:spacing w:line="600" w:lineRule="exact"/>
        <w:ind w:firstLine="640"/>
        <w:jc w:val="center"/>
        <w:rPr>
          <w:rFonts w:hint="eastAsia" w:ascii="宋体" w:hAnsi="宋体" w:cs="宋体"/>
          <w:color w:val="000000"/>
          <w:sz w:val="24"/>
          <w:highlight w:val="none"/>
        </w:rPr>
        <w:sectPr>
          <w:headerReference r:id="rId15" w:type="first"/>
          <w:footerReference r:id="rId18" w:type="first"/>
          <w:headerReference r:id="rId13" w:type="default"/>
          <w:footerReference r:id="rId16" w:type="default"/>
          <w:headerReference r:id="rId14" w:type="even"/>
          <w:footerReference r:id="rId17" w:type="even"/>
          <w:pgSz w:w="11907" w:h="16840"/>
          <w:pgMar w:top="1474" w:right="1814" w:bottom="1474" w:left="1814" w:header="851" w:footer="851" w:gutter="0"/>
          <w:cols w:space="720" w:num="1"/>
          <w:docGrid w:linePitch="462" w:charSpace="0"/>
        </w:sectPr>
      </w:pP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年</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月</w:t>
      </w:r>
      <w:r>
        <w:rPr>
          <w:rFonts w:hint="eastAsia" w:ascii="宋体" w:hAnsi="宋体" w:cs="宋体"/>
          <w:color w:val="000000"/>
          <w:sz w:val="24"/>
          <w:highlight w:val="none"/>
          <w:u w:val="single"/>
          <w:lang w:val="zh-CN"/>
        </w:rPr>
        <w:t xml:space="preserve">    </w:t>
      </w:r>
      <w:r>
        <w:rPr>
          <w:rFonts w:hint="eastAsia" w:ascii="宋体" w:hAnsi="宋体" w:cs="宋体"/>
          <w:color w:val="000000"/>
          <w:sz w:val="24"/>
          <w:highlight w:val="none"/>
          <w:lang w:val="zh-CN"/>
        </w:rPr>
        <w:t>日</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rPr>
        <w:t>以</w:t>
      </w:r>
      <w:r>
        <w:rPr>
          <w:rFonts w:hint="eastAsia" w:ascii="宋体" w:hAnsi="宋体" w:cs="宋体"/>
          <w:color w:val="000000"/>
          <w:sz w:val="24"/>
          <w:highlight w:val="none"/>
          <w:u w:val="single"/>
        </w:rPr>
        <w:t xml:space="preserve">   （政府采购方式）  </w:t>
      </w:r>
      <w:r>
        <w:rPr>
          <w:rFonts w:hint="eastAsia" w:ascii="宋体" w:hAnsi="宋体" w:cs="宋体"/>
          <w:color w:val="000000"/>
          <w:sz w:val="24"/>
          <w:highlight w:val="none"/>
        </w:rPr>
        <w:t>对</w:t>
      </w:r>
      <w:r>
        <w:rPr>
          <w:rFonts w:hint="eastAsia" w:ascii="宋体" w:hAnsi="宋体" w:cs="宋体"/>
          <w:color w:val="000000"/>
          <w:sz w:val="24"/>
          <w:highlight w:val="none"/>
          <w:u w:val="single"/>
        </w:rPr>
        <w:t xml:space="preserve">   （同前页项目名称）   </w:t>
      </w:r>
      <w:r>
        <w:rPr>
          <w:rFonts w:hint="eastAsia" w:ascii="宋体" w:hAnsi="宋体" w:cs="宋体"/>
          <w:color w:val="000000"/>
          <w:sz w:val="24"/>
          <w:highlight w:val="none"/>
        </w:rPr>
        <w:t>项目进行了采购。经</w:t>
      </w:r>
      <w:r>
        <w:rPr>
          <w:rFonts w:hint="eastAsia" w:ascii="宋体" w:hAnsi="宋体" w:cs="宋体"/>
          <w:color w:val="000000"/>
          <w:sz w:val="24"/>
          <w:highlight w:val="none"/>
          <w:u w:val="single"/>
        </w:rPr>
        <w:t xml:space="preserve">   （相关评定主体名称）   </w:t>
      </w:r>
      <w:r>
        <w:rPr>
          <w:rFonts w:hint="eastAsia" w:ascii="宋体" w:hAnsi="宋体" w:cs="宋体"/>
          <w:color w:val="000000"/>
          <w:sz w:val="24"/>
          <w:highlight w:val="none"/>
        </w:rPr>
        <w:t>评定，</w:t>
      </w:r>
      <w:r>
        <w:rPr>
          <w:rFonts w:hint="eastAsia" w:ascii="宋体" w:hAnsi="宋体" w:cs="宋体"/>
          <w:color w:val="000000"/>
          <w:sz w:val="24"/>
          <w:highlight w:val="none"/>
          <w:u w:val="single"/>
        </w:rPr>
        <w:t xml:space="preserve">   （中标供应商名称）</w:t>
      </w:r>
      <w:r>
        <w:rPr>
          <w:rFonts w:hint="eastAsia" w:ascii="宋体" w:hAnsi="宋体" w:cs="宋体"/>
          <w:color w:val="000000"/>
          <w:sz w:val="24"/>
          <w:highlight w:val="none"/>
        </w:rPr>
        <w:t>为该项目中标供应商。现于</w:t>
      </w:r>
      <w:r>
        <w:rPr>
          <w:rFonts w:hint="eastAsia" w:ascii="宋体" w:hAnsi="宋体" w:cs="宋体"/>
          <w:color w:val="000000"/>
          <w:sz w:val="24"/>
          <w:highlight w:val="none"/>
          <w:lang w:eastAsia="zh-CN"/>
        </w:rPr>
        <w:t>成交通知书</w:t>
      </w:r>
      <w:r>
        <w:rPr>
          <w:rFonts w:hint="eastAsia" w:ascii="宋体" w:hAnsi="宋体" w:cs="宋体"/>
          <w:color w:val="000000"/>
          <w:sz w:val="24"/>
          <w:highlight w:val="none"/>
        </w:rPr>
        <w:t>发出之日起三十日内，按照采购文件确定的事项签订本合同。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lang w:val="zh-CN"/>
        </w:rPr>
        <w:t>根据《中华人民共和国合同法》、《中华人民共和国政府采购法》等相关法律法规之规定，按照平等、自愿、公平和诚实信用的原则，经</w:t>
      </w:r>
      <w:r>
        <w:rPr>
          <w:rFonts w:hint="eastAsia" w:ascii="宋体" w:hAnsi="宋体" w:cs="宋体"/>
          <w:color w:val="000000"/>
          <w:sz w:val="24"/>
          <w:highlight w:val="none"/>
          <w:u w:val="single"/>
        </w:rPr>
        <w:t xml:space="preserve">   （采购人名称）   </w:t>
      </w:r>
      <w:r>
        <w:rPr>
          <w:rFonts w:hint="eastAsia" w:ascii="宋体" w:hAnsi="宋体" w:cs="宋体"/>
          <w:color w:val="000000"/>
          <w:sz w:val="24"/>
          <w:highlight w:val="none"/>
          <w:lang w:val="zh-CN"/>
        </w:rPr>
        <w:t>(以下简称：甲方)和</w:t>
      </w:r>
      <w:r>
        <w:rPr>
          <w:rFonts w:hint="eastAsia" w:ascii="宋体" w:hAnsi="宋体" w:cs="宋体"/>
          <w:color w:val="000000"/>
          <w:sz w:val="24"/>
          <w:highlight w:val="none"/>
          <w:u w:val="single"/>
        </w:rPr>
        <w:t xml:space="preserve">   （中标供应商名称）   </w:t>
      </w:r>
      <w:r>
        <w:rPr>
          <w:rFonts w:hint="eastAsia" w:ascii="宋体" w:hAnsi="宋体" w:cs="宋体"/>
          <w:color w:val="000000"/>
          <w:sz w:val="24"/>
          <w:highlight w:val="none"/>
          <w:lang w:val="zh-CN"/>
        </w:rPr>
        <w:t>(以下简称：乙方)协商一致，约定以下合同</w:t>
      </w:r>
      <w:r>
        <w:rPr>
          <w:rFonts w:hint="eastAsia" w:ascii="宋体" w:hAnsi="宋体" w:cs="宋体"/>
          <w:color w:val="000000"/>
          <w:sz w:val="24"/>
          <w:highlight w:val="none"/>
        </w:rPr>
        <w:t>条款，以兹共同遵守、全面履行。</w:t>
      </w:r>
    </w:p>
    <w:p>
      <w:pPr>
        <w:spacing w:line="560" w:lineRule="exact"/>
        <w:ind w:firstLine="482" w:firstLineChars="200"/>
        <w:outlineLvl w:val="0"/>
        <w:rPr>
          <w:rFonts w:hint="eastAsia" w:ascii="宋体" w:hAnsi="宋体" w:cs="宋体"/>
          <w:b/>
          <w:color w:val="000000"/>
          <w:sz w:val="24"/>
          <w:highlight w:val="none"/>
        </w:rPr>
      </w:pPr>
      <w:bookmarkStart w:id="260" w:name="_Toc24059"/>
      <w:bookmarkStart w:id="261" w:name="_Toc2232"/>
      <w:bookmarkStart w:id="262" w:name="_Toc3029"/>
      <w:r>
        <w:rPr>
          <w:rFonts w:hint="eastAsia" w:ascii="宋体" w:hAnsi="宋体" w:cs="宋体"/>
          <w:b/>
          <w:color w:val="000000"/>
          <w:sz w:val="24"/>
          <w:highlight w:val="none"/>
        </w:rPr>
        <w:t>1.1 合同组成部分</w:t>
      </w:r>
      <w:bookmarkEnd w:id="260"/>
      <w:bookmarkEnd w:id="261"/>
      <w:bookmarkEnd w:id="262"/>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1.1.1 本合同及其补充合同、变更协议；</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1.1.2 </w:t>
      </w:r>
      <w:r>
        <w:rPr>
          <w:rFonts w:hint="eastAsia" w:ascii="宋体" w:hAnsi="宋体" w:cs="宋体"/>
          <w:color w:val="000000"/>
          <w:sz w:val="24"/>
          <w:highlight w:val="none"/>
          <w:lang w:eastAsia="zh-CN"/>
        </w:rPr>
        <w:t>成交通知书</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1.1.3 </w:t>
      </w:r>
      <w:r>
        <w:rPr>
          <w:rFonts w:hint="eastAsia" w:ascii="宋体" w:hAnsi="宋体" w:cs="宋体"/>
          <w:color w:val="000000"/>
          <w:sz w:val="24"/>
          <w:highlight w:val="none"/>
          <w:lang w:eastAsia="zh-CN"/>
        </w:rPr>
        <w:t>响应文件</w:t>
      </w:r>
      <w:r>
        <w:rPr>
          <w:rFonts w:hint="eastAsia" w:ascii="宋体" w:hAnsi="宋体" w:cs="宋体"/>
          <w:color w:val="000000"/>
          <w:sz w:val="24"/>
          <w:highlight w:val="none"/>
        </w:rPr>
        <w:t>（含澄清或者说明文件）；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 xml:space="preserve">1.1.4 </w:t>
      </w:r>
      <w:r>
        <w:rPr>
          <w:rFonts w:hint="eastAsia" w:ascii="宋体" w:hAnsi="宋体" w:cs="宋体"/>
          <w:color w:val="000000"/>
          <w:sz w:val="24"/>
          <w:highlight w:val="none"/>
          <w:lang w:eastAsia="zh-CN"/>
        </w:rPr>
        <w:t>询价文件</w:t>
      </w:r>
      <w:r>
        <w:rPr>
          <w:rFonts w:hint="eastAsia" w:ascii="宋体" w:hAnsi="宋体" w:cs="宋体"/>
          <w:color w:val="000000"/>
          <w:sz w:val="24"/>
          <w:highlight w:val="none"/>
        </w:rPr>
        <w:t>（含澄清或者修改文件）；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1.1.5 其他相关采购文件。</w:t>
      </w:r>
    </w:p>
    <w:p>
      <w:pPr>
        <w:spacing w:line="560" w:lineRule="exact"/>
        <w:ind w:firstLine="482" w:firstLineChars="200"/>
        <w:outlineLvl w:val="0"/>
        <w:rPr>
          <w:rFonts w:hint="eastAsia" w:ascii="宋体" w:hAnsi="宋体" w:cs="宋体"/>
          <w:b/>
          <w:color w:val="000000"/>
          <w:sz w:val="24"/>
          <w:highlight w:val="none"/>
        </w:rPr>
      </w:pPr>
      <w:bookmarkStart w:id="263" w:name="_Toc24300"/>
      <w:bookmarkStart w:id="264" w:name="_Toc21295"/>
      <w:bookmarkStart w:id="265" w:name="_Toc27126"/>
      <w:r>
        <w:rPr>
          <w:rFonts w:hint="eastAsia" w:ascii="宋体" w:hAnsi="宋体" w:cs="宋体"/>
          <w:b/>
          <w:color w:val="000000"/>
          <w:sz w:val="24"/>
          <w:highlight w:val="none"/>
        </w:rPr>
        <w:t>1.2 货物</w:t>
      </w:r>
      <w:bookmarkEnd w:id="263"/>
      <w:bookmarkEnd w:id="264"/>
      <w:bookmarkEnd w:id="265"/>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1.2.1 货物名称：</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1.2.2 货物数量：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1.2.3 货物质量：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66" w:name="_Toc23292"/>
      <w:bookmarkStart w:id="267" w:name="_Toc21631"/>
      <w:bookmarkStart w:id="268" w:name="_Toc21551"/>
      <w:r>
        <w:rPr>
          <w:rFonts w:hint="eastAsia" w:ascii="宋体" w:hAnsi="宋体" w:cs="宋体"/>
          <w:b/>
          <w:color w:val="000000"/>
          <w:sz w:val="24"/>
          <w:highlight w:val="none"/>
        </w:rPr>
        <w:t>1.3 价款</w:t>
      </w:r>
      <w:bookmarkEnd w:id="266"/>
      <w:bookmarkEnd w:id="267"/>
      <w:bookmarkEnd w:id="26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本合同总价为：￥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元人民币）。</w:t>
      </w:r>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分项价格：</w:t>
      </w:r>
    </w:p>
    <w:tbl>
      <w:tblPr>
        <w:tblStyle w:val="24"/>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序号</w:t>
            </w:r>
          </w:p>
        </w:tc>
        <w:tc>
          <w:tcPr>
            <w:tcW w:w="340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分项名称</w:t>
            </w:r>
          </w:p>
        </w:tc>
        <w:tc>
          <w:tcPr>
            <w:tcW w:w="2552" w:type="dxa"/>
            <w:vAlign w:val="center"/>
          </w:tcPr>
          <w:p>
            <w:pPr>
              <w:pStyle w:val="31"/>
              <w:spacing w:line="560" w:lineRule="exact"/>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c>
          <w:tcPr>
            <w:tcW w:w="340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c>
          <w:tcPr>
            <w:tcW w:w="255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r>
              <w:rPr>
                <w:rFonts w:hint="eastAsia" w:hAnsi="宋体" w:cs="宋体"/>
                <w:color w:val="000000"/>
                <w:kern w:val="2"/>
                <w:sz w:val="24"/>
                <w:szCs w:val="24"/>
                <w:highlight w:val="none"/>
                <w:lang w:val="en-US" w:eastAsia="zh-CN"/>
              </w:rPr>
              <w:t>总价</w:t>
            </w:r>
          </w:p>
        </w:tc>
        <w:tc>
          <w:tcPr>
            <w:tcW w:w="2552" w:type="dxa"/>
            <w:vAlign w:val="center"/>
          </w:tcPr>
          <w:p>
            <w:pPr>
              <w:pStyle w:val="31"/>
              <w:spacing w:line="560" w:lineRule="exact"/>
              <w:ind w:firstLine="200"/>
              <w:jc w:val="center"/>
              <w:rPr>
                <w:rFonts w:hint="eastAsia" w:hAnsi="宋体" w:cs="宋体"/>
                <w:color w:val="000000"/>
                <w:kern w:val="2"/>
                <w:sz w:val="24"/>
                <w:szCs w:val="24"/>
                <w:highlight w:val="none"/>
                <w:lang w:val="en-US" w:eastAsia="zh-CN"/>
              </w:rPr>
            </w:pPr>
          </w:p>
        </w:tc>
      </w:tr>
    </w:tbl>
    <w:p>
      <w:pPr>
        <w:spacing w:line="560" w:lineRule="exact"/>
        <w:ind w:firstLine="482" w:firstLineChars="200"/>
        <w:outlineLvl w:val="0"/>
        <w:rPr>
          <w:rFonts w:hint="eastAsia" w:ascii="宋体" w:hAnsi="宋体" w:cs="宋体"/>
          <w:b/>
          <w:color w:val="000000"/>
          <w:sz w:val="24"/>
          <w:highlight w:val="none"/>
        </w:rPr>
      </w:pPr>
      <w:bookmarkStart w:id="269" w:name="_Toc22618"/>
      <w:bookmarkStart w:id="270" w:name="_Toc10340"/>
      <w:bookmarkStart w:id="271" w:name="_Toc1814"/>
      <w:r>
        <w:rPr>
          <w:rFonts w:hint="eastAsia" w:ascii="宋体" w:hAnsi="宋体" w:cs="宋体"/>
          <w:b/>
          <w:color w:val="000000"/>
          <w:sz w:val="24"/>
          <w:highlight w:val="none"/>
        </w:rPr>
        <w:t>1.4 付款方式和发票开具方式</w:t>
      </w:r>
      <w:bookmarkEnd w:id="269"/>
      <w:bookmarkEnd w:id="270"/>
      <w:bookmarkEnd w:id="27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1.4.1 付款方式：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1.4.2 发票开具方式：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72" w:name="_Toc2846"/>
      <w:bookmarkStart w:id="273" w:name="_Toc19304"/>
      <w:bookmarkStart w:id="274" w:name="_Toc32071"/>
      <w:r>
        <w:rPr>
          <w:rFonts w:hint="eastAsia" w:ascii="宋体" w:hAnsi="宋体" w:cs="宋体"/>
          <w:b/>
          <w:color w:val="000000"/>
          <w:sz w:val="24"/>
          <w:highlight w:val="none"/>
        </w:rPr>
        <w:t>1.5 货物交付期限、地点和方式</w:t>
      </w:r>
      <w:bookmarkEnd w:id="272"/>
      <w:bookmarkEnd w:id="273"/>
      <w:bookmarkEnd w:id="274"/>
    </w:p>
    <w:p>
      <w:pPr>
        <w:spacing w:line="560" w:lineRule="exact"/>
        <w:ind w:firstLine="480" w:firstLineChars="200"/>
        <w:rPr>
          <w:rFonts w:hint="eastAsia" w:ascii="宋体" w:hAnsi="宋体" w:cs="宋体"/>
          <w:color w:val="000000"/>
          <w:sz w:val="24"/>
          <w:highlight w:val="none"/>
          <w:u w:val="single"/>
        </w:rPr>
      </w:pPr>
      <w:r>
        <w:rPr>
          <w:rFonts w:hint="eastAsia" w:ascii="宋体" w:hAnsi="宋体" w:cs="宋体"/>
          <w:color w:val="000000"/>
          <w:sz w:val="24"/>
          <w:highlight w:val="none"/>
        </w:rPr>
        <w:t>1.5.1 交付期限：</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1.5.2 交付地点：</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1.5.3 交付方式：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275" w:name="_Toc19554"/>
      <w:bookmarkStart w:id="276" w:name="_Toc21423"/>
      <w:bookmarkStart w:id="277" w:name="_Toc27250"/>
      <w:r>
        <w:rPr>
          <w:rFonts w:hint="eastAsia" w:ascii="宋体" w:hAnsi="宋体" w:cs="宋体"/>
          <w:b/>
          <w:color w:val="000000"/>
          <w:sz w:val="24"/>
          <w:highlight w:val="none"/>
        </w:rPr>
        <w:t>1.6 违约责任</w:t>
      </w:r>
      <w:bookmarkEnd w:id="275"/>
      <w:bookmarkEnd w:id="276"/>
      <w:bookmarkEnd w:id="277"/>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%；迟延交付货物的违约金计算数额达到前述最高限额之日起，甲方有权在要求乙方支付违约金的同时，书面通知乙方解除本合同；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1.6.2 除不可抗力外，如果甲方没有按照本合同约定的付款方式付款，那么乙方可要求甲方支付违约金，违约金按每迟延付款一日的应付而未付款的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%计算，最高限额为本合同总价的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宋体" w:hAnsi="宋体" w:cs="宋体"/>
          <w:b/>
          <w:color w:val="000000"/>
          <w:sz w:val="24"/>
          <w:highlight w:val="none"/>
        </w:rPr>
      </w:pPr>
      <w:bookmarkStart w:id="278" w:name="_Toc16021"/>
      <w:bookmarkStart w:id="279" w:name="_Toc28375"/>
      <w:bookmarkStart w:id="280" w:name="_Toc15583"/>
      <w:r>
        <w:rPr>
          <w:rFonts w:hint="eastAsia" w:ascii="宋体" w:hAnsi="宋体" w:cs="宋体"/>
          <w:b/>
          <w:color w:val="000000"/>
          <w:sz w:val="24"/>
          <w:highlight w:val="none"/>
        </w:rPr>
        <w:t>1.7 合同争议的解决</w:t>
      </w:r>
      <w:bookmarkEnd w:id="278"/>
      <w:bookmarkEnd w:id="279"/>
      <w:bookmarkEnd w:id="280"/>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本合同履行过程中发生的任何争议，双方当事人均可通过和解或者调解解决；不愿和解、调解或者和解、调解不成的，可以选择下列第</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种方式解决：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1.7.1 将争议提交</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仲裁委员会依申请仲裁时其现行有效的仲裁规则裁决；</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1.7.2 向</w:t>
      </w:r>
      <w:r>
        <w:rPr>
          <w:rFonts w:hint="eastAsia" w:ascii="宋体" w:hAnsi="宋体" w:cs="宋体"/>
          <w:color w:val="000000"/>
          <w:sz w:val="24"/>
          <w:highlight w:val="none"/>
          <w:u w:val="single"/>
        </w:rPr>
        <w:t xml:space="preserve">   （被告住所地、合同履行地、合同签订地、原告住所地、标的物所在地等与争议有实际联系的地点中选出的人民法院名称）    </w:t>
      </w:r>
      <w:r>
        <w:rPr>
          <w:rFonts w:hint="eastAsia" w:ascii="宋体" w:hAnsi="宋体" w:cs="宋体"/>
          <w:color w:val="000000"/>
          <w:sz w:val="24"/>
          <w:highlight w:val="none"/>
        </w:rPr>
        <w:t>人民法院起诉。</w:t>
      </w:r>
    </w:p>
    <w:p>
      <w:pPr>
        <w:spacing w:line="560" w:lineRule="exact"/>
        <w:ind w:firstLine="482" w:firstLineChars="200"/>
        <w:outlineLvl w:val="0"/>
        <w:rPr>
          <w:rFonts w:hint="eastAsia" w:ascii="宋体" w:hAnsi="宋体" w:cs="宋体"/>
          <w:b/>
          <w:color w:val="000000"/>
          <w:sz w:val="24"/>
          <w:highlight w:val="none"/>
        </w:rPr>
      </w:pPr>
      <w:bookmarkStart w:id="281" w:name="_Toc15322"/>
      <w:bookmarkStart w:id="282" w:name="_Toc11173"/>
      <w:bookmarkStart w:id="283" w:name="_Toc7245"/>
      <w:r>
        <w:rPr>
          <w:rFonts w:hint="eastAsia" w:ascii="宋体" w:hAnsi="宋体" w:cs="宋体"/>
          <w:b/>
          <w:color w:val="000000"/>
          <w:sz w:val="24"/>
          <w:highlight w:val="none"/>
        </w:rPr>
        <w:t>1.8 合同生效</w:t>
      </w:r>
      <w:bookmarkEnd w:id="281"/>
      <w:bookmarkEnd w:id="282"/>
      <w:bookmarkEnd w:id="283"/>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本合同自双方当事人盖章或者签字时生效。</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b/>
          <w:color w:val="000000"/>
          <w:sz w:val="24"/>
          <w:highlight w:val="none"/>
          <w:lang w:val="zh-CN"/>
        </w:rPr>
        <w:t>甲方</w:t>
      </w:r>
      <w:r>
        <w:rPr>
          <w:rFonts w:hint="eastAsia" w:ascii="宋体" w:hAnsi="宋体" w:cs="宋体"/>
          <w:color w:val="000000"/>
          <w:sz w:val="24"/>
          <w:highlight w:val="none"/>
          <w:lang w:val="zh-CN"/>
        </w:rPr>
        <w:t xml:space="preserve">：                             </w:t>
      </w:r>
      <w:r>
        <w:rPr>
          <w:rFonts w:hint="eastAsia" w:ascii="宋体" w:hAnsi="宋体" w:cs="宋体"/>
          <w:b/>
          <w:color w:val="000000"/>
          <w:sz w:val="24"/>
          <w:highlight w:val="none"/>
          <w:lang w:val="zh-CN"/>
        </w:rPr>
        <w:t xml:space="preserve">      乙方</w:t>
      </w:r>
      <w:r>
        <w:rPr>
          <w:rFonts w:hint="eastAsia" w:ascii="宋体" w:hAnsi="宋体" w:cs="宋体"/>
          <w:color w:val="000000"/>
          <w:sz w:val="24"/>
          <w:highlight w:val="none"/>
          <w:lang w:val="zh-CN"/>
        </w:rPr>
        <w:t>：</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统一社会信用代码：                      统一社会信用代码或身份证号码：</w:t>
      </w:r>
    </w:p>
    <w:p>
      <w:pPr>
        <w:autoSpaceDE w:val="0"/>
        <w:autoSpaceDN w:val="0"/>
        <w:adjustRightInd w:val="0"/>
        <w:spacing w:line="560" w:lineRule="exact"/>
        <w:rPr>
          <w:rFonts w:hint="eastAsia" w:ascii="宋体" w:hAnsi="宋体" w:cs="宋体"/>
          <w:color w:val="000000"/>
          <w:sz w:val="24"/>
          <w:highlight w:val="none"/>
          <w:lang w:val="zh-CN"/>
        </w:rPr>
      </w:pP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住所：                                   住所：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法定代表人或                             法定代表人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授权代表（签字）：                        或授权代表（签字）: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联系人：                                 联系人：</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约定送达地址：                           约定送达地址：</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邮政编码：                               邮政编码：</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 xml:space="preserve">电话:                                    电话: </w:t>
      </w:r>
    </w:p>
    <w:p>
      <w:pPr>
        <w:autoSpaceDE w:val="0"/>
        <w:autoSpaceDN w:val="0"/>
        <w:adjustRightInd w:val="0"/>
        <w:spacing w:line="560" w:lineRule="exact"/>
        <w:rPr>
          <w:rFonts w:hint="eastAsia" w:ascii="宋体" w:hAnsi="宋体" w:cs="宋体"/>
          <w:color w:val="000000"/>
          <w:sz w:val="24"/>
          <w:highlight w:val="none"/>
          <w:lang w:val="zh-CN"/>
        </w:rPr>
      </w:pPr>
      <w:r>
        <w:rPr>
          <w:rFonts w:hint="eastAsia" w:ascii="宋体" w:hAnsi="宋体" w:cs="宋体"/>
          <w:color w:val="000000"/>
          <w:sz w:val="24"/>
          <w:highlight w:val="none"/>
          <w:lang w:val="zh-CN"/>
        </w:rPr>
        <w:t>传真:                                    传真:</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lang w:val="zh-CN"/>
        </w:rPr>
        <w:t>电子邮箱：                               电子邮箱：</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开户银行：                               开户银行：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 xml:space="preserve">开户名称：                               开户名称： </w:t>
      </w:r>
    </w:p>
    <w:p>
      <w:pPr>
        <w:autoSpaceDE w:val="0"/>
        <w:autoSpaceDN w:val="0"/>
        <w:adjustRightInd w:val="0"/>
        <w:spacing w:line="560" w:lineRule="exact"/>
        <w:rPr>
          <w:rFonts w:hint="eastAsia" w:ascii="宋体" w:hAnsi="宋体" w:cs="宋体"/>
          <w:color w:val="000000"/>
          <w:sz w:val="24"/>
          <w:highlight w:val="none"/>
        </w:rPr>
      </w:pPr>
      <w:r>
        <w:rPr>
          <w:rFonts w:hint="eastAsia" w:ascii="宋体" w:hAnsi="宋体" w:cs="宋体"/>
          <w:color w:val="000000"/>
          <w:sz w:val="24"/>
          <w:highlight w:val="none"/>
        </w:rPr>
        <w:t>开户账号：</w:t>
      </w:r>
      <w:r>
        <w:rPr>
          <w:rFonts w:hint="eastAsia" w:ascii="宋体" w:hAnsi="宋体" w:cs="宋体"/>
          <w:color w:val="000000"/>
          <w:sz w:val="24"/>
          <w:highlight w:val="none"/>
          <w:lang w:val="zh-CN"/>
        </w:rPr>
        <w:t xml:space="preserve">                               </w:t>
      </w:r>
      <w:r>
        <w:rPr>
          <w:rFonts w:hint="eastAsia" w:ascii="宋体" w:hAnsi="宋体" w:cs="宋体"/>
          <w:color w:val="000000"/>
          <w:sz w:val="24"/>
          <w:highlight w:val="none"/>
        </w:rPr>
        <w:t>开户账号：</w:t>
      </w:r>
    </w:p>
    <w:p>
      <w:pPr>
        <w:widowControl/>
        <w:spacing w:line="560" w:lineRule="exact"/>
        <w:jc w:val="left"/>
        <w:rPr>
          <w:rFonts w:hint="eastAsia" w:ascii="宋体" w:hAnsi="宋体" w:cs="宋体"/>
          <w:b/>
          <w:color w:val="000000"/>
          <w:kern w:val="0"/>
          <w:sz w:val="24"/>
          <w:highlight w:val="none"/>
        </w:rPr>
      </w:pPr>
      <w:bookmarkStart w:id="284" w:name="_Toc331685783"/>
    </w:p>
    <w:p>
      <w:pPr>
        <w:pStyle w:val="29"/>
        <w:spacing w:line="560" w:lineRule="exact"/>
        <w:ind w:firstLine="200"/>
        <w:jc w:val="center"/>
        <w:rPr>
          <w:rFonts w:hint="eastAsia" w:hAnsi="宋体" w:cs="宋体"/>
          <w:b/>
          <w:color w:val="000000"/>
          <w:szCs w:val="24"/>
          <w:highlight w:val="none"/>
        </w:rPr>
      </w:pPr>
    </w:p>
    <w:p>
      <w:pPr>
        <w:pStyle w:val="29"/>
        <w:spacing w:line="560" w:lineRule="exact"/>
        <w:ind w:firstLine="200"/>
        <w:jc w:val="center"/>
        <w:rPr>
          <w:rFonts w:hint="eastAsia" w:hAnsi="宋体" w:cs="宋体"/>
          <w:b/>
          <w:color w:val="000000"/>
          <w:szCs w:val="24"/>
          <w:highlight w:val="none"/>
        </w:rPr>
      </w:pPr>
    </w:p>
    <w:p>
      <w:pPr>
        <w:pStyle w:val="29"/>
        <w:spacing w:line="560" w:lineRule="exact"/>
        <w:ind w:firstLine="200"/>
        <w:jc w:val="center"/>
        <w:rPr>
          <w:rFonts w:hint="eastAsia" w:hAnsi="宋体" w:cs="宋体"/>
          <w:b/>
          <w:color w:val="000000"/>
          <w:szCs w:val="24"/>
          <w:highlight w:val="none"/>
        </w:rPr>
      </w:pPr>
      <w:r>
        <w:rPr>
          <w:rFonts w:hint="eastAsia" w:hAnsi="宋体" w:cs="宋体"/>
          <w:b/>
          <w:color w:val="000000"/>
          <w:szCs w:val="24"/>
          <w:highlight w:val="none"/>
        </w:rPr>
        <w:t>第二部分 合同一般条款</w:t>
      </w:r>
      <w:bookmarkEnd w:id="284"/>
    </w:p>
    <w:p>
      <w:pPr>
        <w:spacing w:line="560" w:lineRule="exact"/>
        <w:ind w:firstLine="482" w:firstLineChars="200"/>
        <w:outlineLvl w:val="0"/>
        <w:rPr>
          <w:rFonts w:hint="eastAsia" w:ascii="宋体" w:hAnsi="宋体" w:cs="宋体"/>
          <w:b/>
          <w:color w:val="000000"/>
          <w:sz w:val="24"/>
          <w:highlight w:val="none"/>
        </w:rPr>
      </w:pPr>
      <w:bookmarkStart w:id="285" w:name="_Ref467379205"/>
      <w:bookmarkStart w:id="286" w:name="_Ref467378404"/>
      <w:bookmarkStart w:id="287" w:name="_Ref467378499"/>
      <w:bookmarkStart w:id="288" w:name="_Toc19614"/>
      <w:bookmarkStart w:id="289" w:name="_Toc28763"/>
      <w:bookmarkStart w:id="290" w:name="_Toc487900349"/>
      <w:bookmarkStart w:id="291" w:name="_Ref467379214"/>
      <w:bookmarkStart w:id="292" w:name="_Toc279701240"/>
      <w:bookmarkStart w:id="293" w:name="_Ref467378463"/>
      <w:bookmarkStart w:id="294" w:name="_Ref467379225"/>
      <w:bookmarkStart w:id="295" w:name="_Toc16917"/>
      <w:bookmarkStart w:id="296" w:name="_Ref467379094"/>
      <w:bookmarkStart w:id="297" w:name="_Ref467379101"/>
      <w:bookmarkStart w:id="298" w:name="_Ref467379109"/>
      <w:bookmarkStart w:id="299" w:name="_Ref467379195"/>
      <w:bookmarkStart w:id="300" w:name="_Toc259093669"/>
      <w:r>
        <w:rPr>
          <w:rFonts w:hint="eastAsia" w:ascii="宋体" w:hAnsi="宋体" w:cs="宋体"/>
          <w:b/>
          <w:color w:val="000000"/>
          <w:sz w:val="24"/>
          <w:highlight w:val="none"/>
        </w:rPr>
        <w:t>2.1 定义</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本合同中的下列词语应按以下内容进行解释：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2.1.2 “合同价”系指根据合同约定，中标供应商在完全履行合同义务后，采购人应支付给中标供应商的价格。</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 “货物”系指中标供应商根据合同约定应向采购人交付的一切各种形态和种类的物品，包括原材料、燃料、设备、机械、仪表、备件、计算机软件、产品等，并包括工具、手册等其他相关资料。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hint="eastAsia" w:ascii="宋体" w:hAnsi="宋体" w:cs="宋体"/>
          <w:color w:val="000000"/>
          <w:sz w:val="24"/>
          <w:highlight w:val="none"/>
        </w:rPr>
      </w:pPr>
      <w:bookmarkStart w:id="301" w:name="_Ref467378840"/>
      <w:r>
        <w:rPr>
          <w:rFonts w:hint="eastAsia" w:ascii="宋体" w:hAnsi="宋体" w:cs="宋体"/>
          <w:color w:val="000000"/>
          <w:sz w:val="24"/>
          <w:highlight w:val="none"/>
        </w:rPr>
        <w:t>2.1.4 “甲方”系指与中标供应商签署合同的采购人</w:t>
      </w:r>
      <w:bookmarkEnd w:id="301"/>
      <w:r>
        <w:rPr>
          <w:rFonts w:hint="eastAsia" w:ascii="宋体" w:hAnsi="宋体" w:cs="宋体"/>
          <w:color w:val="000000"/>
          <w:sz w:val="24"/>
          <w:highlight w:val="none"/>
        </w:rPr>
        <w:t>；采购人委托采购代理机构代表其与乙方签订合同的，采购人的授权委托书作为合同附件。</w:t>
      </w:r>
    </w:p>
    <w:p>
      <w:pPr>
        <w:spacing w:line="560" w:lineRule="exact"/>
        <w:ind w:firstLine="480" w:firstLineChars="200"/>
        <w:rPr>
          <w:rFonts w:hint="eastAsia" w:ascii="宋体" w:hAnsi="宋体" w:cs="宋体"/>
          <w:color w:val="000000"/>
          <w:sz w:val="24"/>
          <w:highlight w:val="none"/>
        </w:rPr>
      </w:pPr>
      <w:bookmarkStart w:id="302" w:name="_Ref467379400"/>
      <w:r>
        <w:rPr>
          <w:rFonts w:hint="eastAsia" w:ascii="宋体" w:hAnsi="宋体" w:cs="宋体"/>
          <w:color w:val="000000"/>
          <w:sz w:val="24"/>
          <w:highlight w:val="none"/>
        </w:rPr>
        <w:t>2.1.5 “乙方”系指根据合同约定交付货物的中标供应商</w:t>
      </w:r>
      <w:bookmarkEnd w:id="302"/>
      <w:r>
        <w:rPr>
          <w:rFonts w:hint="eastAsia" w:ascii="宋体" w:hAnsi="宋体" w:cs="宋体"/>
          <w:color w:val="000000"/>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宋体" w:hAnsi="宋体" w:cs="宋体"/>
          <w:color w:val="000000"/>
          <w:sz w:val="24"/>
          <w:highlight w:val="none"/>
        </w:rPr>
      </w:pPr>
      <w:bookmarkStart w:id="303" w:name="_Ref467379436"/>
      <w:r>
        <w:rPr>
          <w:rFonts w:hint="eastAsia" w:ascii="宋体" w:hAnsi="宋体" w:cs="宋体"/>
          <w:color w:val="000000"/>
          <w:sz w:val="24"/>
          <w:highlight w:val="none"/>
        </w:rPr>
        <w:t>2.1.6 “现场”系指合同约定货物将要运至或者安装的地点。</w:t>
      </w:r>
      <w:bookmarkEnd w:id="303"/>
    </w:p>
    <w:p>
      <w:pPr>
        <w:spacing w:line="560" w:lineRule="exact"/>
        <w:ind w:firstLine="482" w:firstLineChars="200"/>
        <w:outlineLvl w:val="0"/>
        <w:rPr>
          <w:rFonts w:hint="eastAsia" w:ascii="宋体" w:hAnsi="宋体" w:cs="宋体"/>
          <w:b/>
          <w:color w:val="000000"/>
          <w:sz w:val="24"/>
          <w:highlight w:val="none"/>
        </w:rPr>
      </w:pPr>
      <w:bookmarkStart w:id="304" w:name="_Toc279701241"/>
      <w:bookmarkStart w:id="305" w:name="_Toc32504"/>
      <w:bookmarkStart w:id="306" w:name="_Toc259093670"/>
      <w:bookmarkStart w:id="307" w:name="_Toc27635"/>
      <w:bookmarkStart w:id="308" w:name="_Toc13336"/>
      <w:bookmarkStart w:id="309" w:name="_Toc487900350"/>
      <w:r>
        <w:rPr>
          <w:rFonts w:hint="eastAsia" w:ascii="宋体" w:hAnsi="宋体" w:cs="宋体"/>
          <w:b/>
          <w:color w:val="000000"/>
          <w:sz w:val="24"/>
          <w:highlight w:val="none"/>
        </w:rPr>
        <w:t>2.2 技术规范</w:t>
      </w:r>
      <w:bookmarkEnd w:id="304"/>
      <w:bookmarkEnd w:id="305"/>
      <w:bookmarkEnd w:id="306"/>
      <w:bookmarkEnd w:id="307"/>
      <w:bookmarkEnd w:id="308"/>
      <w:bookmarkEnd w:id="30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宋体" w:hAnsi="宋体" w:cs="宋体"/>
          <w:b/>
          <w:color w:val="000000"/>
          <w:sz w:val="24"/>
          <w:highlight w:val="none"/>
        </w:rPr>
      </w:pPr>
      <w:bookmarkStart w:id="310" w:name="_Toc31634"/>
      <w:bookmarkStart w:id="311" w:name="_Toc487900351"/>
      <w:bookmarkStart w:id="312" w:name="_Toc279701242"/>
      <w:bookmarkStart w:id="313" w:name="_Toc27853"/>
      <w:bookmarkStart w:id="314" w:name="_Toc259093671"/>
      <w:bookmarkStart w:id="315" w:name="_Toc9829"/>
      <w:r>
        <w:rPr>
          <w:rFonts w:hint="eastAsia" w:ascii="宋体" w:hAnsi="宋体" w:cs="宋体"/>
          <w:b/>
          <w:color w:val="000000"/>
          <w:sz w:val="24"/>
          <w:highlight w:val="none"/>
        </w:rPr>
        <w:t>2.3 知识产权</w:t>
      </w:r>
      <w:bookmarkEnd w:id="310"/>
      <w:bookmarkEnd w:id="311"/>
      <w:bookmarkEnd w:id="312"/>
      <w:bookmarkEnd w:id="313"/>
      <w:bookmarkEnd w:id="314"/>
      <w:bookmarkEnd w:id="31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2.3.2具有知识产权的计算机软件等货物的知识产权归属，详见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16" w:name="_Toc4194"/>
      <w:bookmarkStart w:id="317" w:name="_Toc29149"/>
      <w:bookmarkStart w:id="318" w:name="_Toc11932"/>
      <w:r>
        <w:rPr>
          <w:rFonts w:hint="eastAsia" w:ascii="宋体" w:hAnsi="宋体" w:cs="宋体"/>
          <w:b/>
          <w:color w:val="000000"/>
          <w:sz w:val="24"/>
          <w:highlight w:val="none"/>
        </w:rPr>
        <w:t>2.4 包装和装运</w:t>
      </w:r>
      <w:bookmarkEnd w:id="316"/>
      <w:bookmarkEnd w:id="317"/>
      <w:bookmarkEnd w:id="31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2.4.1除</w:t>
      </w:r>
      <w:r>
        <w:rPr>
          <w:rFonts w:hint="eastAsia" w:ascii="宋体" w:hAnsi="宋体" w:cs="宋体"/>
          <w:b w:val="0"/>
          <w:bCs/>
          <w:i/>
          <w:color w:val="000000"/>
          <w:sz w:val="24"/>
          <w:highlight w:val="none"/>
          <w:u w:val="single"/>
        </w:rPr>
        <w:t>合同专用条款</w:t>
      </w:r>
      <w:r>
        <w:rPr>
          <w:rFonts w:hint="eastAsia" w:ascii="宋体" w:hAnsi="宋体" w:cs="宋体"/>
          <w:color w:val="000000"/>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2.4.2 装运货物的要求和通知，详见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19" w:name="_Ref467378591"/>
      <w:bookmarkStart w:id="320" w:name="_Ref467379527"/>
      <w:bookmarkStart w:id="321" w:name="_Toc487900354"/>
      <w:bookmarkStart w:id="322" w:name="_Ref467379536"/>
      <w:bookmarkStart w:id="323" w:name="_Toc279701245"/>
      <w:bookmarkStart w:id="324" w:name="_Ref467379542"/>
      <w:bookmarkStart w:id="325" w:name="_Toc259093674"/>
      <w:bookmarkStart w:id="326" w:name="_Ref467378541"/>
      <w:bookmarkStart w:id="327" w:name="_Toc19074"/>
      <w:bookmarkStart w:id="328" w:name="_Toc30272"/>
      <w:bookmarkStart w:id="329" w:name="_Toc26182"/>
      <w:r>
        <w:rPr>
          <w:rFonts w:hint="eastAsia" w:ascii="宋体" w:hAnsi="宋体" w:cs="宋体"/>
          <w:b/>
          <w:color w:val="000000"/>
          <w:sz w:val="24"/>
          <w:highlight w:val="none"/>
        </w:rPr>
        <w:t>2.</w:t>
      </w:r>
      <w:bookmarkEnd w:id="319"/>
      <w:bookmarkEnd w:id="320"/>
      <w:bookmarkEnd w:id="321"/>
      <w:bookmarkEnd w:id="322"/>
      <w:bookmarkEnd w:id="323"/>
      <w:bookmarkEnd w:id="324"/>
      <w:bookmarkEnd w:id="325"/>
      <w:bookmarkEnd w:id="326"/>
      <w:r>
        <w:rPr>
          <w:rFonts w:hint="eastAsia" w:ascii="宋体" w:hAnsi="宋体" w:cs="宋体"/>
          <w:b/>
          <w:color w:val="000000"/>
          <w:sz w:val="24"/>
          <w:highlight w:val="none"/>
        </w:rPr>
        <w:t>5 履约检查和问题反馈</w:t>
      </w:r>
      <w:bookmarkEnd w:id="327"/>
      <w:bookmarkEnd w:id="328"/>
      <w:bookmarkEnd w:id="329"/>
    </w:p>
    <w:p>
      <w:pPr>
        <w:spacing w:line="560" w:lineRule="exact"/>
        <w:ind w:firstLine="480" w:firstLineChars="200"/>
        <w:rPr>
          <w:rFonts w:hint="eastAsia" w:ascii="宋体" w:hAnsi="宋体" w:cs="宋体"/>
          <w:color w:val="000000"/>
          <w:sz w:val="24"/>
          <w:highlight w:val="none"/>
        </w:rPr>
      </w:pPr>
      <w:bookmarkStart w:id="330" w:name="_Ref467379657"/>
      <w:r>
        <w:rPr>
          <w:rFonts w:hint="eastAsia" w:ascii="宋体" w:hAnsi="宋体" w:cs="宋体"/>
          <w:color w:val="000000"/>
          <w:sz w:val="24"/>
          <w:highlight w:val="none"/>
        </w:rPr>
        <w:t>2.5.1</w:t>
      </w:r>
      <w:bookmarkEnd w:id="330"/>
      <w:bookmarkStart w:id="331" w:name="_Toc186431854"/>
      <w:bookmarkStart w:id="332" w:name="_Toc259093676"/>
      <w:bookmarkStart w:id="333" w:name="_Toc279701247"/>
      <w:bookmarkStart w:id="334" w:name="_Toc487900357"/>
      <w:bookmarkStart w:id="335" w:name="_Ref467379807"/>
      <w:bookmarkStart w:id="336" w:name="_Ref467379793"/>
      <w:r>
        <w:rPr>
          <w:rFonts w:hint="eastAsia" w:ascii="宋体" w:hAnsi="宋体" w:cs="宋体"/>
          <w:color w:val="000000"/>
          <w:sz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2.5.2 合同履行期间，甲方有权将履行过程中出现的问题反馈给乙方，双方当事人应以书面形式约定需要完善和改进的内容</w:t>
      </w:r>
      <w:bookmarkEnd w:id="331"/>
      <w:bookmarkStart w:id="337" w:name="_Toc186431855"/>
      <w:r>
        <w:rPr>
          <w:rFonts w:hint="eastAsia" w:ascii="宋体" w:hAnsi="宋体" w:cs="宋体"/>
          <w:color w:val="000000"/>
          <w:sz w:val="24"/>
          <w:highlight w:val="none"/>
        </w:rPr>
        <w:t>。</w:t>
      </w:r>
    </w:p>
    <w:bookmarkEnd w:id="337"/>
    <w:p>
      <w:pPr>
        <w:spacing w:line="560" w:lineRule="exact"/>
        <w:ind w:firstLine="482" w:firstLineChars="200"/>
        <w:outlineLvl w:val="0"/>
        <w:rPr>
          <w:rFonts w:hint="eastAsia" w:ascii="宋体" w:hAnsi="宋体" w:cs="宋体"/>
          <w:b/>
          <w:color w:val="000000"/>
          <w:sz w:val="24"/>
          <w:highlight w:val="none"/>
        </w:rPr>
      </w:pPr>
      <w:bookmarkStart w:id="338" w:name="_Toc7836"/>
      <w:bookmarkStart w:id="339" w:name="_Toc28451"/>
      <w:bookmarkStart w:id="340" w:name="_Toc19219"/>
      <w:r>
        <w:rPr>
          <w:rFonts w:hint="eastAsia" w:ascii="宋体" w:hAnsi="宋体" w:cs="宋体"/>
          <w:b/>
          <w:color w:val="000000"/>
          <w:sz w:val="24"/>
          <w:highlight w:val="none"/>
        </w:rPr>
        <w:t>2.6 结算方式和付款条件</w:t>
      </w:r>
      <w:bookmarkEnd w:id="332"/>
      <w:bookmarkEnd w:id="333"/>
      <w:bookmarkEnd w:id="334"/>
      <w:bookmarkEnd w:id="335"/>
      <w:bookmarkEnd w:id="336"/>
      <w:bookmarkEnd w:id="338"/>
      <w:bookmarkEnd w:id="339"/>
      <w:bookmarkEnd w:id="340"/>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详见</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41" w:name="_Toc487900358"/>
      <w:bookmarkStart w:id="342" w:name="_Ref467379923"/>
      <w:bookmarkStart w:id="343" w:name="_Ref467379863"/>
      <w:bookmarkStart w:id="344" w:name="_Toc279701248"/>
      <w:bookmarkStart w:id="345" w:name="_Toc259093677"/>
      <w:bookmarkStart w:id="346" w:name="_Ref467379852"/>
      <w:bookmarkStart w:id="347" w:name="_Toc3225"/>
      <w:bookmarkStart w:id="348" w:name="_Toc16110"/>
      <w:bookmarkStart w:id="349" w:name="_Toc774"/>
      <w:r>
        <w:rPr>
          <w:rFonts w:hint="eastAsia" w:ascii="宋体" w:hAnsi="宋体" w:cs="宋体"/>
          <w:b/>
          <w:color w:val="000000"/>
          <w:sz w:val="24"/>
          <w:highlight w:val="none"/>
        </w:rPr>
        <w:t>2.7 技术资料</w:t>
      </w:r>
      <w:bookmarkEnd w:id="341"/>
      <w:bookmarkEnd w:id="342"/>
      <w:bookmarkEnd w:id="343"/>
      <w:bookmarkEnd w:id="344"/>
      <w:bookmarkEnd w:id="345"/>
      <w:bookmarkEnd w:id="346"/>
      <w:r>
        <w:rPr>
          <w:rFonts w:hint="eastAsia" w:ascii="宋体" w:hAnsi="宋体" w:cs="宋体"/>
          <w:b/>
          <w:color w:val="000000"/>
          <w:sz w:val="24"/>
          <w:highlight w:val="none"/>
        </w:rPr>
        <w:t>和保密义务</w:t>
      </w:r>
      <w:bookmarkEnd w:id="347"/>
      <w:bookmarkEnd w:id="348"/>
      <w:bookmarkEnd w:id="34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2.7.1 乙方有权依据合同约定和项目需要，向甲方了解有关情况，调阅有关资料等，甲方应予积极配合；</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2.7.2 乙方有义务妥善保管和保护由甲方提供的前款信息和资料等；</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宋体" w:hAnsi="宋体" w:cs="宋体"/>
          <w:b/>
          <w:color w:val="000000"/>
          <w:sz w:val="24"/>
          <w:highlight w:val="none"/>
        </w:rPr>
      </w:pPr>
      <w:bookmarkStart w:id="350" w:name="_Toc7860"/>
      <w:r>
        <w:rPr>
          <w:rFonts w:hint="eastAsia" w:ascii="宋体" w:hAnsi="宋体" w:cs="宋体"/>
          <w:b/>
          <w:color w:val="000000"/>
          <w:sz w:val="24"/>
          <w:highlight w:val="none"/>
        </w:rPr>
        <w:t>2.8 质量保证</w:t>
      </w:r>
      <w:bookmarkEnd w:id="350"/>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2.8.1 乙方应建立和完善履行合同的内部质量保证体系，并提供相关内部规章制度给甲方，以便甲方进行监督检查；</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2.8.2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宋体" w:hAnsi="宋体" w:cs="宋体"/>
          <w:b/>
          <w:color w:val="000000"/>
          <w:sz w:val="24"/>
          <w:highlight w:val="none"/>
        </w:rPr>
      </w:pPr>
      <w:bookmarkStart w:id="351" w:name="_Toc17244"/>
      <w:bookmarkStart w:id="352" w:name="_Toc487900362"/>
      <w:bookmarkStart w:id="353" w:name="_Toc279701252"/>
      <w:bookmarkStart w:id="354" w:name="_Toc259093681"/>
      <w:r>
        <w:rPr>
          <w:rFonts w:hint="eastAsia" w:ascii="宋体" w:hAnsi="宋体" w:cs="宋体"/>
          <w:b/>
          <w:color w:val="000000"/>
          <w:sz w:val="24"/>
          <w:highlight w:val="none"/>
        </w:rPr>
        <w:t>2.9 货物的风险负担</w:t>
      </w:r>
      <w:bookmarkEnd w:id="351"/>
    </w:p>
    <w:p>
      <w:pPr>
        <w:spacing w:line="560" w:lineRule="exact"/>
        <w:ind w:firstLine="480" w:firstLineChars="200"/>
        <w:rPr>
          <w:rFonts w:hint="eastAsia" w:ascii="宋体" w:hAnsi="宋体" w:cs="宋体"/>
          <w:b/>
          <w:color w:val="000000"/>
          <w:sz w:val="24"/>
          <w:highlight w:val="none"/>
        </w:rPr>
      </w:pPr>
      <w:r>
        <w:rPr>
          <w:rFonts w:hint="eastAsia" w:ascii="宋体" w:hAnsi="宋体" w:cs="宋体"/>
          <w:color w:val="000000"/>
          <w:sz w:val="24"/>
          <w:highlight w:val="none"/>
        </w:rPr>
        <w:t>货物或者在途货物或者交付给第一承运人后的货物毁损、灭失的风险负担详见</w:t>
      </w:r>
      <w:r>
        <w:rPr>
          <w:rFonts w:hint="eastAsia" w:ascii="宋体" w:hAnsi="宋体" w:cs="宋体"/>
          <w:b w:val="0"/>
          <w:bCs/>
          <w:i/>
          <w:color w:val="000000"/>
          <w:sz w:val="24"/>
          <w:highlight w:val="none"/>
          <w:u w:val="single"/>
        </w:rPr>
        <w:t>合同专用条款</w:t>
      </w:r>
      <w:r>
        <w:rPr>
          <w:rFonts w:hint="eastAsia" w:ascii="宋体" w:hAnsi="宋体" w:cs="宋体"/>
          <w:color w:val="000000"/>
          <w:sz w:val="24"/>
          <w:highlight w:val="none"/>
        </w:rPr>
        <w:t>。</w:t>
      </w:r>
    </w:p>
    <w:p>
      <w:pPr>
        <w:spacing w:line="560" w:lineRule="exact"/>
        <w:ind w:firstLine="482" w:firstLineChars="200"/>
        <w:outlineLvl w:val="0"/>
        <w:rPr>
          <w:rFonts w:hint="eastAsia" w:ascii="宋体" w:hAnsi="宋体" w:cs="宋体"/>
          <w:b/>
          <w:color w:val="000000"/>
          <w:sz w:val="24"/>
          <w:highlight w:val="none"/>
        </w:rPr>
      </w:pPr>
      <w:bookmarkStart w:id="355" w:name="_Toc14055"/>
      <w:r>
        <w:rPr>
          <w:rFonts w:hint="eastAsia" w:ascii="宋体" w:hAnsi="宋体" w:cs="宋体"/>
          <w:b/>
          <w:color w:val="000000"/>
          <w:sz w:val="24"/>
          <w:highlight w:val="none"/>
        </w:rPr>
        <w:t>2.10 延迟交货</w:t>
      </w:r>
      <w:bookmarkEnd w:id="352"/>
      <w:bookmarkEnd w:id="353"/>
      <w:bookmarkEnd w:id="354"/>
      <w:bookmarkEnd w:id="35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hint="eastAsia" w:ascii="宋体" w:hAnsi="宋体" w:cs="宋体"/>
          <w:b/>
          <w:color w:val="000000"/>
          <w:sz w:val="24"/>
          <w:highlight w:val="none"/>
        </w:rPr>
      </w:pPr>
      <w:bookmarkStart w:id="356" w:name="_Toc7502"/>
      <w:bookmarkStart w:id="357" w:name="_Toc487900364"/>
      <w:bookmarkStart w:id="358" w:name="_Ref467378121"/>
      <w:bookmarkStart w:id="359" w:name="_Toc259093683"/>
      <w:bookmarkStart w:id="360" w:name="_Toc279701254"/>
      <w:r>
        <w:rPr>
          <w:rFonts w:hint="eastAsia" w:ascii="宋体" w:hAnsi="宋体" w:cs="宋体"/>
          <w:b/>
          <w:color w:val="000000"/>
          <w:sz w:val="24"/>
          <w:highlight w:val="none"/>
        </w:rPr>
        <w:t>2.11 合同变更</w:t>
      </w:r>
      <w:bookmarkEnd w:id="35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2.11.2 合同继续履行将损害国家利益和社会公共利益的，双方当事人应当以书面形式变更合同。有过错的一方应当承担赔偿责任，双方当事人都有过错的，各自承担相应的责任。</w:t>
      </w:r>
      <w:bookmarkStart w:id="361" w:name="_Toc487900369"/>
      <w:bookmarkStart w:id="362" w:name="_Toc279701259"/>
      <w:bookmarkStart w:id="363" w:name="_Toc259093688"/>
    </w:p>
    <w:p>
      <w:pPr>
        <w:spacing w:line="560" w:lineRule="exact"/>
        <w:ind w:firstLine="482" w:firstLineChars="200"/>
        <w:outlineLvl w:val="0"/>
        <w:rPr>
          <w:rFonts w:hint="eastAsia" w:ascii="宋体" w:hAnsi="宋体" w:cs="宋体"/>
          <w:b/>
          <w:color w:val="000000"/>
          <w:sz w:val="24"/>
          <w:highlight w:val="none"/>
        </w:rPr>
      </w:pPr>
      <w:bookmarkStart w:id="364" w:name="_Toc22955"/>
      <w:bookmarkStart w:id="365" w:name="_Toc10366"/>
      <w:bookmarkStart w:id="366" w:name="_Toc15237"/>
      <w:r>
        <w:rPr>
          <w:rFonts w:hint="eastAsia" w:ascii="宋体" w:hAnsi="宋体" w:cs="宋体"/>
          <w:b/>
          <w:color w:val="000000"/>
          <w:sz w:val="24"/>
          <w:highlight w:val="none"/>
        </w:rPr>
        <w:t>2.12 合同转让</w:t>
      </w:r>
      <w:bookmarkEnd w:id="361"/>
      <w:bookmarkEnd w:id="362"/>
      <w:bookmarkEnd w:id="363"/>
      <w:r>
        <w:rPr>
          <w:rFonts w:hint="eastAsia" w:ascii="宋体" w:hAnsi="宋体" w:cs="宋体"/>
          <w:b/>
          <w:color w:val="000000"/>
          <w:sz w:val="24"/>
          <w:highlight w:val="none"/>
        </w:rPr>
        <w:t>和分包</w:t>
      </w:r>
      <w:bookmarkEnd w:id="364"/>
      <w:bookmarkEnd w:id="365"/>
      <w:bookmarkEnd w:id="366"/>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宋体" w:hAnsi="宋体" w:cs="宋体"/>
          <w:b/>
          <w:color w:val="000000"/>
          <w:sz w:val="24"/>
          <w:highlight w:val="none"/>
        </w:rPr>
      </w:pPr>
      <w:bookmarkStart w:id="367" w:name="_Toc13566"/>
      <w:bookmarkStart w:id="368" w:name="_Toc14066"/>
      <w:bookmarkStart w:id="369" w:name="_Toc16508"/>
      <w:r>
        <w:rPr>
          <w:rFonts w:hint="eastAsia" w:ascii="宋体" w:hAnsi="宋体" w:cs="宋体"/>
          <w:b/>
          <w:color w:val="000000"/>
          <w:sz w:val="24"/>
          <w:highlight w:val="none"/>
        </w:rPr>
        <w:t>2.13 不可抗力</w:t>
      </w:r>
      <w:bookmarkEnd w:id="367"/>
      <w:bookmarkEnd w:id="368"/>
      <w:bookmarkEnd w:id="36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2.13.2 因不可抗力致使不能实现合同目的的，当事人可以解除合同；</w:t>
      </w:r>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2.13.3 因不可抗力致使合同有变更必要的，双方当事人应</w:t>
      </w:r>
      <w:r>
        <w:rPr>
          <w:rFonts w:hint="eastAsia" w:ascii="宋体" w:hAnsi="宋体" w:cs="宋体"/>
          <w:b w:val="0"/>
          <w:bCs w:val="0"/>
          <w:color w:val="000000"/>
          <w:sz w:val="24"/>
          <w:highlight w:val="none"/>
        </w:rPr>
        <w:t>在</w:t>
      </w:r>
      <w:r>
        <w:rPr>
          <w:rFonts w:hint="eastAsia" w:ascii="宋体" w:hAnsi="宋体" w:cs="宋体"/>
          <w:b w:val="0"/>
          <w:bCs w:val="0"/>
          <w:i/>
          <w:color w:val="000000"/>
          <w:sz w:val="24"/>
          <w:highlight w:val="none"/>
          <w:u w:val="single"/>
        </w:rPr>
        <w:t>合</w:t>
      </w:r>
      <w:r>
        <w:rPr>
          <w:rFonts w:hint="eastAsia" w:ascii="宋体" w:hAnsi="宋体" w:cs="宋体"/>
          <w:b w:val="0"/>
          <w:bCs/>
          <w:i/>
          <w:color w:val="000000"/>
          <w:sz w:val="24"/>
          <w:highlight w:val="none"/>
          <w:u w:val="single"/>
        </w:rPr>
        <w:t>同专用条款</w:t>
      </w:r>
      <w:r>
        <w:rPr>
          <w:rFonts w:hint="eastAsia" w:ascii="宋体" w:hAnsi="宋体" w:cs="宋体"/>
          <w:b w:val="0"/>
          <w:bCs/>
          <w:color w:val="000000"/>
          <w:sz w:val="24"/>
          <w:highlight w:val="none"/>
        </w:rPr>
        <w:t>约定时间内以书面形式变更合同；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b w:val="0"/>
          <w:bCs/>
          <w:color w:val="000000"/>
          <w:sz w:val="24"/>
          <w:highlight w:val="none"/>
        </w:rPr>
        <w:t>2.13.4受不可抗力影响的一方在不可抗力发生后，应在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约定时间内以书面形式通知对方当事人，并在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约定时间内，将有关部</w:t>
      </w:r>
      <w:r>
        <w:rPr>
          <w:rFonts w:hint="eastAsia" w:ascii="宋体" w:hAnsi="宋体" w:cs="宋体"/>
          <w:color w:val="000000"/>
          <w:sz w:val="24"/>
          <w:highlight w:val="none"/>
        </w:rPr>
        <w:t>门出具的证明文件送达对方当事人。</w:t>
      </w:r>
    </w:p>
    <w:p>
      <w:pPr>
        <w:spacing w:line="560" w:lineRule="exact"/>
        <w:ind w:firstLine="482" w:firstLineChars="200"/>
        <w:outlineLvl w:val="0"/>
        <w:rPr>
          <w:rFonts w:hint="eastAsia" w:ascii="宋体" w:hAnsi="宋体" w:cs="宋体"/>
          <w:b/>
          <w:color w:val="000000"/>
          <w:sz w:val="24"/>
          <w:highlight w:val="none"/>
        </w:rPr>
      </w:pPr>
      <w:bookmarkStart w:id="370" w:name="_Toc259093684"/>
      <w:bookmarkStart w:id="371" w:name="_Toc487900365"/>
      <w:bookmarkStart w:id="372" w:name="_Toc279701255"/>
      <w:bookmarkStart w:id="373" w:name="_Toc6969"/>
      <w:bookmarkStart w:id="374" w:name="_Toc689"/>
      <w:bookmarkStart w:id="375" w:name="_Toc30676"/>
      <w:r>
        <w:rPr>
          <w:rFonts w:hint="eastAsia" w:ascii="宋体" w:hAnsi="宋体" w:cs="宋体"/>
          <w:b/>
          <w:color w:val="000000"/>
          <w:sz w:val="24"/>
          <w:highlight w:val="none"/>
        </w:rPr>
        <w:t>2.14 税费</w:t>
      </w:r>
      <w:bookmarkEnd w:id="370"/>
      <w:bookmarkEnd w:id="371"/>
      <w:bookmarkEnd w:id="372"/>
      <w:bookmarkEnd w:id="373"/>
      <w:bookmarkEnd w:id="374"/>
      <w:bookmarkEnd w:id="375"/>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与合同有关的一切税费，均按照中华人民共和国法律的相关规定。</w:t>
      </w:r>
    </w:p>
    <w:p>
      <w:pPr>
        <w:spacing w:line="560" w:lineRule="exact"/>
        <w:ind w:firstLine="482" w:firstLineChars="200"/>
        <w:outlineLvl w:val="0"/>
        <w:rPr>
          <w:rFonts w:hint="eastAsia" w:ascii="宋体" w:hAnsi="宋体" w:cs="宋体"/>
          <w:b/>
          <w:color w:val="000000"/>
          <w:sz w:val="24"/>
          <w:highlight w:val="none"/>
        </w:rPr>
      </w:pPr>
      <w:bookmarkStart w:id="376" w:name="_Toc279701258"/>
      <w:bookmarkStart w:id="377" w:name="_Toc487900368"/>
      <w:bookmarkStart w:id="378" w:name="_Toc259093687"/>
      <w:bookmarkStart w:id="379" w:name="_Toc8298"/>
      <w:bookmarkStart w:id="380" w:name="_Toc16959"/>
      <w:bookmarkStart w:id="381" w:name="_Toc7102"/>
      <w:r>
        <w:rPr>
          <w:rFonts w:hint="eastAsia" w:ascii="宋体" w:hAnsi="宋体" w:cs="宋体"/>
          <w:b/>
          <w:color w:val="000000"/>
          <w:sz w:val="24"/>
          <w:highlight w:val="none"/>
        </w:rPr>
        <w:t>2.15 乙方破产</w:t>
      </w:r>
      <w:bookmarkEnd w:id="376"/>
      <w:bookmarkEnd w:id="377"/>
      <w:bookmarkEnd w:id="378"/>
      <w:bookmarkEnd w:id="379"/>
      <w:bookmarkEnd w:id="380"/>
      <w:bookmarkEnd w:id="381"/>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宋体" w:hAnsi="宋体" w:cs="宋体"/>
          <w:b/>
          <w:color w:val="000000"/>
          <w:sz w:val="24"/>
          <w:highlight w:val="none"/>
        </w:rPr>
      </w:pPr>
      <w:bookmarkStart w:id="382" w:name="_Toc6134"/>
      <w:bookmarkStart w:id="383" w:name="_Toc29333"/>
      <w:bookmarkStart w:id="384" w:name="_Toc15387"/>
      <w:r>
        <w:rPr>
          <w:rFonts w:hint="eastAsia" w:ascii="宋体" w:hAnsi="宋体" w:cs="宋体"/>
          <w:b/>
          <w:color w:val="000000"/>
          <w:sz w:val="24"/>
          <w:highlight w:val="none"/>
        </w:rPr>
        <w:t>2.16 合同中止、终止</w:t>
      </w:r>
      <w:bookmarkEnd w:id="382"/>
      <w:bookmarkEnd w:id="383"/>
      <w:bookmarkEnd w:id="384"/>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2.16.1 双方当事人不得擅自中止或者终止合同；</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2.16.2合同继续履行将损害国家利益和社会公共利益的，双方当事人应当中止或者终止合同。有过错的一方应当承担赔偿责任，双方当事人都有过错的，各自承担相应的责任。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宋体" w:hAnsi="宋体" w:cs="宋体"/>
          <w:b/>
          <w:color w:val="000000"/>
          <w:sz w:val="24"/>
          <w:highlight w:val="none"/>
        </w:rPr>
      </w:pPr>
      <w:bookmarkStart w:id="385" w:name="_Toc1125"/>
      <w:bookmarkStart w:id="386" w:name="_Toc6596"/>
      <w:bookmarkStart w:id="387" w:name="_Toc14563"/>
      <w:r>
        <w:rPr>
          <w:rFonts w:hint="eastAsia" w:ascii="宋体" w:hAnsi="宋体" w:cs="宋体"/>
          <w:b/>
          <w:color w:val="000000"/>
          <w:sz w:val="24"/>
          <w:highlight w:val="none"/>
        </w:rPr>
        <w:t>2.17 检验和验收</w:t>
      </w:r>
      <w:bookmarkEnd w:id="385"/>
      <w:bookmarkEnd w:id="386"/>
      <w:bookmarkEnd w:id="387"/>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2.17.1货物交付前，乙方应对货物的质量、数量等方面进行详细、全面的检验，并向甲方出具证明货物符合合同约定的文件；货物交付时，乙方在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约定时间内组织验收，并可依法邀请相关方参加，验收应出具验收书。</w:t>
      </w:r>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hint="eastAsia" w:ascii="宋体" w:hAnsi="宋体" w:cs="宋体"/>
          <w:b w:val="0"/>
          <w:bCs/>
          <w:color w:val="000000"/>
          <w:sz w:val="24"/>
          <w:highlight w:val="none"/>
        </w:rPr>
      </w:pPr>
      <w:r>
        <w:rPr>
          <w:rFonts w:hint="eastAsia" w:ascii="宋体" w:hAnsi="宋体" w:cs="宋体"/>
          <w:b w:val="0"/>
          <w:bCs/>
          <w:color w:val="000000"/>
          <w:sz w:val="24"/>
          <w:highlight w:val="none"/>
        </w:rPr>
        <w:t>2.17.3 检验和验收标准、程序等具体内容以及前述验收书的效力详见</w:t>
      </w:r>
      <w:r>
        <w:rPr>
          <w:rFonts w:hint="eastAsia" w:ascii="宋体" w:hAnsi="宋体" w:cs="宋体"/>
          <w:b w:val="0"/>
          <w:bCs/>
          <w:i/>
          <w:color w:val="000000"/>
          <w:sz w:val="24"/>
          <w:highlight w:val="none"/>
          <w:u w:val="single"/>
        </w:rPr>
        <w:t>合同专用条款</w:t>
      </w:r>
      <w:r>
        <w:rPr>
          <w:rFonts w:hint="eastAsia" w:ascii="宋体" w:hAnsi="宋体" w:cs="宋体"/>
          <w:b w:val="0"/>
          <w:bCs/>
          <w:i/>
          <w:color w:val="000000"/>
          <w:sz w:val="24"/>
          <w:highlight w:val="none"/>
        </w:rPr>
        <w:t>。</w:t>
      </w:r>
    </w:p>
    <w:bookmarkEnd w:id="357"/>
    <w:bookmarkEnd w:id="358"/>
    <w:bookmarkEnd w:id="359"/>
    <w:bookmarkEnd w:id="360"/>
    <w:p>
      <w:pPr>
        <w:spacing w:line="560" w:lineRule="exact"/>
        <w:ind w:firstLine="482" w:firstLineChars="200"/>
        <w:outlineLvl w:val="0"/>
        <w:rPr>
          <w:rFonts w:hint="eastAsia" w:ascii="宋体" w:hAnsi="宋体" w:cs="宋体"/>
          <w:b/>
          <w:color w:val="000000"/>
          <w:sz w:val="24"/>
          <w:highlight w:val="none"/>
        </w:rPr>
      </w:pPr>
      <w:bookmarkStart w:id="388" w:name="_Toc259093690"/>
      <w:bookmarkStart w:id="389" w:name="_Toc487900371"/>
      <w:bookmarkStart w:id="390" w:name="_Toc279701261"/>
      <w:bookmarkStart w:id="391" w:name="_Toc19604"/>
      <w:bookmarkStart w:id="392" w:name="_Toc11284"/>
      <w:bookmarkStart w:id="393" w:name="_Toc25182"/>
      <w:r>
        <w:rPr>
          <w:rFonts w:hint="eastAsia" w:ascii="宋体" w:hAnsi="宋体" w:cs="宋体"/>
          <w:b/>
          <w:color w:val="000000"/>
          <w:sz w:val="24"/>
          <w:highlight w:val="none"/>
        </w:rPr>
        <w:t>2.18 通知</w:t>
      </w:r>
      <w:bookmarkEnd w:id="388"/>
      <w:bookmarkEnd w:id="389"/>
      <w:bookmarkEnd w:id="390"/>
      <w:r>
        <w:rPr>
          <w:rFonts w:hint="eastAsia" w:ascii="宋体" w:hAnsi="宋体" w:cs="宋体"/>
          <w:b/>
          <w:color w:val="000000"/>
          <w:sz w:val="24"/>
          <w:highlight w:val="none"/>
        </w:rPr>
        <w:t>和送达</w:t>
      </w:r>
      <w:bookmarkEnd w:id="391"/>
      <w:bookmarkEnd w:id="392"/>
      <w:bookmarkEnd w:id="393"/>
    </w:p>
    <w:p>
      <w:pPr>
        <w:spacing w:line="560" w:lineRule="exact"/>
        <w:ind w:firstLine="480" w:firstLineChars="200"/>
        <w:rPr>
          <w:rFonts w:hint="eastAsia" w:ascii="宋体" w:hAnsi="宋体" w:cs="宋体"/>
          <w:color w:val="000000"/>
          <w:sz w:val="24"/>
          <w:highlight w:val="none"/>
        </w:rPr>
      </w:pPr>
      <w:bookmarkStart w:id="394" w:name="_Toc6698"/>
      <w:bookmarkStart w:id="395" w:name="_Toc3135"/>
      <w:bookmarkStart w:id="396" w:name="_Toc487900372"/>
      <w:bookmarkStart w:id="397" w:name="_Toc279701262"/>
      <w:bookmarkStart w:id="398" w:name="_Toc259093691"/>
      <w:r>
        <w:rPr>
          <w:rFonts w:hint="eastAsia" w:ascii="宋体" w:hAnsi="宋体" w:cs="宋体"/>
          <w:color w:val="000000"/>
          <w:sz w:val="24"/>
          <w:highlight w:val="none"/>
        </w:rPr>
        <w:t>2.18.1 任何一方因履行合同而以合同第一部分尾部所列明的</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发出的所有通知、文件、材料，均视为已向对方当事人送达；任何一方变更上述送达方式或者地址的，应于</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个工作日内书面通知对方当事人，在对方当事人收到有关变更通知之前，变更前的约定送达方式或者地址仍视为有效。</w:t>
      </w:r>
      <w:bookmarkEnd w:id="394"/>
      <w:bookmarkEnd w:id="395"/>
    </w:p>
    <w:p>
      <w:pPr>
        <w:spacing w:line="560" w:lineRule="exact"/>
        <w:ind w:firstLine="480" w:firstLineChars="200"/>
        <w:rPr>
          <w:rFonts w:hint="eastAsia" w:ascii="宋体" w:hAnsi="宋体" w:cs="宋体"/>
          <w:color w:val="000000"/>
          <w:sz w:val="24"/>
          <w:highlight w:val="none"/>
        </w:rPr>
      </w:pPr>
      <w:bookmarkStart w:id="399" w:name="_Toc23128"/>
      <w:bookmarkStart w:id="400" w:name="_Toc23294"/>
      <w:r>
        <w:rPr>
          <w:rFonts w:hint="eastAsia" w:ascii="宋体" w:hAnsi="宋体" w:cs="宋体"/>
          <w:color w:val="000000"/>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99"/>
      <w:bookmarkEnd w:id="400"/>
    </w:p>
    <w:p>
      <w:pPr>
        <w:spacing w:line="560" w:lineRule="exact"/>
        <w:ind w:firstLine="482" w:firstLineChars="200"/>
        <w:outlineLvl w:val="0"/>
        <w:rPr>
          <w:rFonts w:hint="eastAsia" w:ascii="宋体" w:hAnsi="宋体" w:cs="宋体"/>
          <w:b/>
          <w:color w:val="000000"/>
          <w:sz w:val="24"/>
          <w:highlight w:val="none"/>
        </w:rPr>
      </w:pPr>
      <w:bookmarkStart w:id="401" w:name="_Toc18540"/>
      <w:bookmarkStart w:id="402" w:name="_Toc30599"/>
      <w:bookmarkStart w:id="403" w:name="_Toc4355"/>
      <w:r>
        <w:rPr>
          <w:rFonts w:hint="eastAsia" w:ascii="宋体" w:hAnsi="宋体" w:cs="宋体"/>
          <w:b/>
          <w:color w:val="000000"/>
          <w:sz w:val="24"/>
          <w:highlight w:val="none"/>
        </w:rPr>
        <w:t>2.19 计量单位</w:t>
      </w:r>
      <w:bookmarkEnd w:id="396"/>
      <w:bookmarkEnd w:id="397"/>
      <w:bookmarkEnd w:id="398"/>
      <w:bookmarkEnd w:id="401"/>
      <w:bookmarkEnd w:id="402"/>
      <w:bookmarkEnd w:id="403"/>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除技术规范中另有规定外,合同的计量单位均使用国家法定计量单位。</w:t>
      </w:r>
    </w:p>
    <w:p>
      <w:pPr>
        <w:spacing w:line="560" w:lineRule="exact"/>
        <w:ind w:firstLine="482" w:firstLineChars="200"/>
        <w:outlineLvl w:val="0"/>
        <w:rPr>
          <w:rFonts w:hint="eastAsia" w:ascii="宋体" w:hAnsi="宋体" w:cs="宋体"/>
          <w:b/>
          <w:color w:val="000000"/>
          <w:sz w:val="24"/>
          <w:highlight w:val="none"/>
        </w:rPr>
      </w:pPr>
      <w:bookmarkStart w:id="404" w:name="_Toc18567"/>
      <w:bookmarkStart w:id="405" w:name="_Toc12773"/>
      <w:bookmarkStart w:id="406" w:name="_Toc259093692"/>
      <w:bookmarkStart w:id="407" w:name="_Toc10330"/>
      <w:bookmarkStart w:id="408" w:name="_Toc487900373"/>
      <w:bookmarkStart w:id="409" w:name="_Toc279701263"/>
      <w:r>
        <w:rPr>
          <w:rFonts w:hint="eastAsia" w:ascii="宋体" w:hAnsi="宋体" w:cs="宋体"/>
          <w:b/>
          <w:color w:val="000000"/>
          <w:sz w:val="24"/>
          <w:highlight w:val="none"/>
        </w:rPr>
        <w:t>2.20 合同使用的文字和适用的法律</w:t>
      </w:r>
      <w:bookmarkEnd w:id="404"/>
      <w:bookmarkEnd w:id="405"/>
      <w:bookmarkEnd w:id="406"/>
      <w:bookmarkEnd w:id="407"/>
      <w:bookmarkEnd w:id="408"/>
      <w:bookmarkEnd w:id="40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2.20.1 合同使用汉语书就、变更和解释；</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2.20.2 合同适用中华人民共和国法律。</w:t>
      </w:r>
    </w:p>
    <w:p>
      <w:pPr>
        <w:spacing w:line="560" w:lineRule="exact"/>
        <w:ind w:firstLine="482" w:firstLineChars="200"/>
        <w:outlineLvl w:val="0"/>
        <w:rPr>
          <w:rFonts w:hint="eastAsia" w:ascii="宋体" w:hAnsi="宋体" w:cs="宋体"/>
          <w:b/>
          <w:color w:val="000000"/>
          <w:sz w:val="24"/>
          <w:highlight w:val="none"/>
        </w:rPr>
      </w:pPr>
      <w:bookmarkStart w:id="410" w:name="_Toc12004"/>
      <w:bookmarkStart w:id="411" w:name="_Toc16673"/>
      <w:bookmarkStart w:id="412" w:name="_Toc279701264"/>
      <w:bookmarkStart w:id="413" w:name="_Toc3148"/>
      <w:bookmarkStart w:id="414" w:name="_Toc259093693"/>
      <w:bookmarkStart w:id="415" w:name="_Toc487900374"/>
      <w:r>
        <w:rPr>
          <w:rFonts w:hint="eastAsia" w:ascii="宋体" w:hAnsi="宋体" w:cs="宋体"/>
          <w:b/>
          <w:color w:val="000000"/>
          <w:sz w:val="24"/>
          <w:highlight w:val="none"/>
        </w:rPr>
        <w:t>2.21 履约保证金</w:t>
      </w:r>
      <w:bookmarkEnd w:id="410"/>
      <w:bookmarkEnd w:id="411"/>
      <w:bookmarkEnd w:id="412"/>
      <w:bookmarkEnd w:id="413"/>
      <w:bookmarkEnd w:id="414"/>
    </w:p>
    <w:p>
      <w:pPr>
        <w:spacing w:line="560" w:lineRule="exact"/>
        <w:ind w:firstLine="480" w:firstLineChars="200"/>
        <w:rPr>
          <w:rFonts w:hint="eastAsia" w:ascii="宋体" w:hAnsi="宋体" w:cs="宋体"/>
          <w:b w:val="0"/>
          <w:bCs/>
          <w:color w:val="000000"/>
          <w:sz w:val="24"/>
          <w:highlight w:val="none"/>
        </w:rPr>
      </w:pPr>
      <w:r>
        <w:rPr>
          <w:rFonts w:hint="eastAsia" w:ascii="宋体" w:hAnsi="宋体" w:cs="宋体"/>
          <w:color w:val="000000"/>
          <w:sz w:val="24"/>
          <w:highlight w:val="none"/>
        </w:rPr>
        <w:t>2.21.1 采购文件要求乙方提交履约保证金的，乙方应按</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约定的方式，以支票、汇票、本票或者金融机构、担保机构出具的保函等非现金形式，提交不超过合同价10%的履约保证金；</w:t>
      </w:r>
    </w:p>
    <w:p>
      <w:pPr>
        <w:spacing w:line="560" w:lineRule="exact"/>
        <w:ind w:firstLine="480" w:firstLineChars="200"/>
        <w:rPr>
          <w:rFonts w:hint="eastAsia" w:ascii="宋体" w:hAnsi="宋体" w:cs="宋体"/>
          <w:color w:val="000000"/>
          <w:sz w:val="24"/>
          <w:highlight w:val="none"/>
        </w:rPr>
      </w:pPr>
      <w:r>
        <w:rPr>
          <w:rFonts w:hint="eastAsia" w:ascii="宋体" w:hAnsi="宋体" w:cs="宋体"/>
          <w:b w:val="0"/>
          <w:bCs/>
          <w:color w:val="000000"/>
          <w:sz w:val="24"/>
          <w:highlight w:val="none"/>
        </w:rPr>
        <w:t>2.21.2  履约保证金在</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约定期间内或者货物质量保证期内不予退还或者应完全有效，前述约定期间届满或者货物质量保证期届满之日起</w:t>
      </w:r>
      <w:r>
        <w:rPr>
          <w:rFonts w:hint="eastAsia" w:ascii="宋体" w:hAnsi="宋体" w:cs="宋体"/>
          <w:b w:val="0"/>
          <w:bCs/>
          <w:color w:val="000000"/>
          <w:sz w:val="24"/>
          <w:highlight w:val="none"/>
          <w:u w:val="single"/>
        </w:rPr>
        <w:t xml:space="preserve">  </w:t>
      </w:r>
      <w:r>
        <w:rPr>
          <w:rFonts w:hint="eastAsia" w:ascii="宋体" w:hAnsi="宋体" w:cs="宋体"/>
          <w:color w:val="000000"/>
          <w:sz w:val="24"/>
          <w:highlight w:val="none"/>
        </w:rPr>
        <w:t>个工作日内，甲方应将履约保证金退还乙方；</w:t>
      </w:r>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415"/>
    <w:p>
      <w:pPr>
        <w:spacing w:line="560" w:lineRule="exact"/>
        <w:ind w:firstLine="482" w:firstLineChars="200"/>
        <w:outlineLvl w:val="0"/>
        <w:rPr>
          <w:rFonts w:hint="eastAsia" w:ascii="宋体" w:hAnsi="宋体" w:cs="宋体"/>
          <w:b/>
          <w:color w:val="000000"/>
          <w:sz w:val="24"/>
          <w:highlight w:val="none"/>
        </w:rPr>
      </w:pPr>
      <w:bookmarkStart w:id="416" w:name="_Toc19890"/>
      <w:bookmarkStart w:id="417" w:name="_Toc6885"/>
      <w:bookmarkStart w:id="418" w:name="_Toc14001"/>
      <w:r>
        <w:rPr>
          <w:rFonts w:hint="eastAsia" w:ascii="宋体" w:hAnsi="宋体" w:cs="宋体"/>
          <w:b/>
          <w:color w:val="000000"/>
          <w:sz w:val="24"/>
          <w:highlight w:val="none"/>
        </w:rPr>
        <w:t>2.22 合同份数</w:t>
      </w:r>
      <w:bookmarkEnd w:id="416"/>
      <w:bookmarkEnd w:id="417"/>
      <w:bookmarkEnd w:id="418"/>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合同份数按</w:t>
      </w:r>
      <w:r>
        <w:rPr>
          <w:rFonts w:hint="eastAsia" w:ascii="宋体" w:hAnsi="宋体" w:cs="宋体"/>
          <w:b w:val="0"/>
          <w:bCs/>
          <w:i/>
          <w:color w:val="000000"/>
          <w:sz w:val="24"/>
          <w:highlight w:val="none"/>
          <w:u w:val="single"/>
        </w:rPr>
        <w:t>合同专用条款</w:t>
      </w:r>
      <w:r>
        <w:rPr>
          <w:rFonts w:hint="eastAsia" w:ascii="宋体" w:hAnsi="宋体" w:cs="宋体"/>
          <w:b w:val="0"/>
          <w:bCs/>
          <w:color w:val="000000"/>
          <w:sz w:val="24"/>
          <w:highlight w:val="none"/>
        </w:rPr>
        <w:t>规定</w:t>
      </w:r>
      <w:r>
        <w:rPr>
          <w:rFonts w:hint="eastAsia" w:ascii="宋体" w:hAnsi="宋体" w:cs="宋体"/>
          <w:color w:val="000000"/>
          <w:sz w:val="24"/>
          <w:highlight w:val="none"/>
        </w:rPr>
        <w:t>，每份均具有同等法律效力。</w:t>
      </w:r>
    </w:p>
    <w:p>
      <w:pPr>
        <w:pStyle w:val="29"/>
        <w:spacing w:line="560" w:lineRule="exact"/>
        <w:ind w:firstLine="0"/>
        <w:jc w:val="center"/>
        <w:rPr>
          <w:rFonts w:hint="eastAsia" w:hAnsi="宋体" w:cs="宋体"/>
          <w:b/>
          <w:color w:val="000000"/>
          <w:szCs w:val="24"/>
          <w:highlight w:val="none"/>
        </w:rPr>
      </w:pPr>
      <w:r>
        <w:rPr>
          <w:rFonts w:hint="eastAsia" w:hAnsi="宋体" w:cs="宋体"/>
          <w:color w:val="000000"/>
          <w:szCs w:val="24"/>
          <w:highlight w:val="none"/>
        </w:rPr>
        <w:br w:type="page"/>
      </w:r>
      <w:bookmarkStart w:id="419" w:name="_Toc331685784"/>
      <w:r>
        <w:rPr>
          <w:rFonts w:hint="eastAsia" w:hAnsi="宋体" w:cs="宋体"/>
          <w:b/>
          <w:color w:val="000000"/>
          <w:szCs w:val="24"/>
          <w:highlight w:val="none"/>
        </w:rPr>
        <w:t>第三部分  合同专用条款</w:t>
      </w:r>
      <w:bookmarkEnd w:id="419"/>
    </w:p>
    <w:p>
      <w:pPr>
        <w:spacing w:line="5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4"/>
        <w:tblW w:w="843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条款号</w:t>
            </w:r>
          </w:p>
        </w:tc>
        <w:tc>
          <w:tcPr>
            <w:tcW w:w="7633" w:type="dxa"/>
            <w:vAlign w:val="center"/>
          </w:tcPr>
          <w:p>
            <w:pPr>
              <w:spacing w:line="560" w:lineRule="exact"/>
              <w:jc w:val="center"/>
              <w:rPr>
                <w:rFonts w:hint="eastAsia" w:ascii="宋体" w:hAnsi="宋体" w:cs="宋体"/>
                <w:b/>
                <w:color w:val="000000"/>
                <w:sz w:val="24"/>
                <w:highlight w:val="none"/>
              </w:rPr>
            </w:pPr>
            <w:r>
              <w:rPr>
                <w:rFonts w:hint="eastAsia" w:ascii="宋体" w:hAnsi="宋体" w:cs="宋体"/>
                <w:b/>
                <w:color w:val="000000"/>
                <w:sz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hint="eastAsia" w:ascii="宋体" w:hAnsi="宋体" w:cs="宋体"/>
                <w:color w:val="000000"/>
                <w:sz w:val="24"/>
                <w:highlight w:val="none"/>
              </w:rPr>
            </w:pPr>
          </w:p>
        </w:tc>
        <w:tc>
          <w:tcPr>
            <w:tcW w:w="7633" w:type="dxa"/>
            <w:vAlign w:val="center"/>
          </w:tcPr>
          <w:p>
            <w:pPr>
              <w:spacing w:line="560" w:lineRule="exact"/>
              <w:rPr>
                <w:rFonts w:hint="eastAsia" w:ascii="宋体" w:hAnsi="宋体" w:cs="宋体"/>
                <w:color w:val="000000"/>
                <w:sz w:val="24"/>
                <w:highlight w:val="none"/>
              </w:rPr>
            </w:pPr>
          </w:p>
        </w:tc>
      </w:tr>
    </w:tbl>
    <w:p>
      <w:pPr>
        <w:pStyle w:val="4"/>
        <w:spacing w:before="0" w:line="240" w:lineRule="atLeast"/>
        <w:ind w:left="1080" w:leftChars="257" w:hanging="540"/>
        <w:rPr>
          <w:rFonts w:hint="eastAsia" w:ascii="仿宋" w:hAnsi="仿宋" w:eastAsia="仿宋" w:cs="仿宋"/>
          <w:color w:val="auto"/>
          <w:sz w:val="24"/>
          <w:highlight w:val="none"/>
        </w:rPr>
      </w:pPr>
    </w:p>
    <w:p/>
    <w:p/>
    <w:sectPr>
      <w:headerReference r:id="rId19" w:type="default"/>
      <w:footerReference r:id="rId20" w:type="default"/>
      <w:pgSz w:w="11907" w:h="16840"/>
      <w:pgMar w:top="1474" w:right="1814" w:bottom="1474" w:left="1814"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dEsWargBAABUAwAADgAAAAAAAAABACAAAAAeAQAAZHJzL2Uyb0RvYy54bWxQSwUGAAAAAAYABgBZ&#10;AQAASAU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w="9525">
                        <a:noFill/>
                      </a:ln>
                    </wps:spPr>
                    <wps:txbx>
                      <w:txbxContent>
                        <w:p>
                          <w:pPr>
                            <w:pStyle w:val="13"/>
                            <w:jc w:val="center"/>
                          </w:pPr>
                          <w:r>
                            <w:fldChar w:fldCharType="begin"/>
                          </w:r>
                          <w:r>
                            <w:instrText xml:space="preserve">PAGE   \* MERGEFORMAT</w:instrText>
                          </w:r>
                          <w:r>
                            <w:fldChar w:fldCharType="separate"/>
                          </w:r>
                          <w:r>
                            <w:rPr>
                              <w:lang w:val="zh-CN"/>
                            </w:rP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gLoFF0QAAAAMBAAAPAAAAAAAAAAEAIAAAACIAAABkcnMvZG93bnJldi54bWxQSwECFAAUAAAA&#10;CACHTuJAI0+MabwBAABUAwAADgAAAAAAAAABACAAAAAgAQAAZHJzL2Uyb0RvYy54bWxQSwUGAAAA&#10;AAYABgBZAQAATgU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43</w:t>
                    </w:r>
                    <w:r>
                      <w:fldChar w:fldCharType="end"/>
                    </w:r>
                  </w:p>
                </w:txbxContent>
              </v:textbox>
            </v:shape>
          </w:pict>
        </mc:Fallback>
      </mc:AlternateContent>
    </w:r>
  </w:p>
  <w:p>
    <w:pPr>
      <w:pStyle w:val="1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w="9525">
                        <a:noFill/>
                      </a:ln>
                    </wps:spPr>
                    <wps:txbx>
                      <w:txbxContent>
                        <w:p>
                          <w:pPr>
                            <w:pStyle w:val="13"/>
                            <w:rPr>
                              <w:rStyle w:val="22"/>
                            </w:rPr>
                          </w:pPr>
                          <w:r>
                            <w:fldChar w:fldCharType="begin"/>
                          </w:r>
                          <w:r>
                            <w:rPr>
                              <w:rStyle w:val="22"/>
                            </w:rPr>
                            <w:instrText xml:space="preserve">PAGE  </w:instrText>
                          </w:r>
                          <w:r>
                            <w:fldChar w:fldCharType="separate"/>
                          </w:r>
                          <w:r>
                            <w:rPr>
                              <w:rStyle w:val="22"/>
                            </w:rPr>
                            <w:t>37</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824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AugUXRAAAAAwEAAA8AAAAAAAAAAQAgAAAAIgAAAGRycy9kb3ducmV2LnhtbFBLAQIUABQAAAAI&#10;AIdO4kDbVnG2uwEAAFIDAAAOAAAAAAAAAAEAIAAAACABAABkcnMvZTJvRG9jLnhtbFBLBQYAAAAA&#10;BgAGAFkBAABNBQAAAAA=&#10;">
              <v:fill on="f" focussize="0,0"/>
              <v:stroke on="f"/>
              <v:imagedata o:title=""/>
              <o:lock v:ext="edit" aspectratio="f"/>
              <v:textbox inset="0mm,0mm,0mm,0mm" style="mso-fit-shape-to-text:t;">
                <w:txbxContent>
                  <w:p>
                    <w:pPr>
                      <w:pStyle w:val="13"/>
                      <w:rPr>
                        <w:rStyle w:val="22"/>
                      </w:rPr>
                    </w:pPr>
                    <w:r>
                      <w:fldChar w:fldCharType="begin"/>
                    </w:r>
                    <w:r>
                      <w:rPr>
                        <w:rStyle w:val="22"/>
                      </w:rPr>
                      <w:instrText xml:space="preserve">PAGE  </w:instrText>
                    </w:r>
                    <w:r>
                      <w:fldChar w:fldCharType="separate"/>
                    </w:r>
                    <w:r>
                      <w:rPr>
                        <w:rStyle w:val="22"/>
                      </w:rPr>
                      <w:t>37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2"/>
      </w:rPr>
    </w:pPr>
    <w:r>
      <w:fldChar w:fldCharType="begin"/>
    </w:r>
    <w:r>
      <w:rPr>
        <w:rStyle w:val="22"/>
      </w:rPr>
      <w:instrText xml:space="preserve">PAGE  </w:instrText>
    </w:r>
    <w:r>
      <w:fldChar w:fldCharType="end"/>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jc w:val="center"/>
                          </w:pPr>
                          <w:r>
                            <w:fldChar w:fldCharType="begin"/>
                          </w:r>
                          <w:r>
                            <w:instrText xml:space="preserve">PAGE   \* MERGEFORMAT</w:instrText>
                          </w:r>
                          <w:r>
                            <w:fldChar w:fldCharType="separate"/>
                          </w:r>
                          <w:r>
                            <w:rPr>
                              <w:lang w:val="zh-CN"/>
                            </w:rPr>
                            <w:t>11</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F&#10;ctq9twEAAFQDAAAOAAAAAAAAAAEAIAAAAB4BAABkcnMvZTJvRG9jLnhtbFBLBQYAAAAABgAGAFkB&#10;AABHBQAAAAA=&#10;">
              <v:fill on="f" focussize="0,0"/>
              <v:stroke on="f"/>
              <v:imagedata o:title=""/>
              <o:lock v:ext="edit" aspectratio="f"/>
              <v:textbox inset="0mm,0mm,0mm,0mm" style="mso-fit-shape-to-text:t;">
                <w:txbxContent>
                  <w:p>
                    <w:pPr>
                      <w:pStyle w:val="13"/>
                      <w:jc w:val="center"/>
                    </w:pPr>
                    <w:r>
                      <w:fldChar w:fldCharType="begin"/>
                    </w:r>
                    <w:r>
                      <w:instrText xml:space="preserve">PAGE   \* MERGEFORMAT</w:instrText>
                    </w:r>
                    <w:r>
                      <w:fldChar w:fldCharType="separate"/>
                    </w:r>
                    <w:r>
                      <w:rPr>
                        <w:lang w:val="zh-CN"/>
                      </w:rPr>
                      <w:t>11</w:t>
                    </w:r>
                    <w:r>
                      <w:rPr>
                        <w:lang w:val="zh-CN"/>
                      </w:rPr>
                      <w:fldChar w:fldCharType="end"/>
                    </w:r>
                  </w:p>
                </w:txbxContent>
              </v:textbox>
            </v:shape>
          </w:pict>
        </mc:Fallback>
      </mc:AlternateContent>
    </w:r>
  </w:p>
  <w:p>
    <w:pPr>
      <w:pStyle w:val="13"/>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3"/>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D9oF30bAgAAIwQAAA4A&#10;AAAAAAAAAQAgAAAAHwEAAGRycy9lMm9Eb2MueG1sUEsFBgAAAAAGAAYAWQEAAKw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w="9525">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438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ulvw/RAAAAAwEAAA8AAAAAAAAAAQAgAAAAIgAAAGRycy9kb3ducmV2LnhtbFBLAQIUABQAAAAI&#10;AIdO4kD5uZALuwEAAFIDAAAOAAAAAAAAAAEAIAAAACABAABkcnMvZTJvRG9jLnhtbFBLBQYAAAAA&#10;BgAGAFkBAABN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p>
                </w:txbxContent>
              </v:textbox>
            </v:shape>
          </w:pict>
        </mc:Fallback>
      </mc:AlternateContent>
    </w:r>
  </w:p>
  <w:p>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0"/>
      </w:pBdr>
      <w:jc w:val="both"/>
      <w:rPr>
        <w:rFonts w:hint="eastAsia" w:ascii="宋体" w:hAnsi="宋体" w:eastAsia="宋体" w:cs="宋体"/>
        <w:b/>
        <w:bCs w:val="0"/>
        <w:sz w:val="21"/>
        <w:szCs w:val="21"/>
        <w:lang w:val="en-US" w:eastAsia="zh-CN"/>
      </w:rPr>
    </w:pPr>
    <w:r>
      <w:rPr>
        <w:rFonts w:hint="eastAsia" w:ascii="宋体" w:hAnsi="宋体" w:eastAsia="宋体" w:cs="宋体"/>
        <w:b/>
        <w:bCs w:val="0"/>
        <w:sz w:val="21"/>
        <w:szCs w:val="21"/>
        <w:u w:val="none"/>
      </w:rPr>
      <w:t xml:space="preserve"> </w:t>
    </w:r>
    <w:r>
      <w:rPr>
        <w:rFonts w:hint="eastAsia" w:ascii="宋体" w:hAnsi="宋体" w:eastAsia="宋体" w:cs="宋体"/>
        <w:b/>
        <w:bCs w:val="0"/>
        <w:sz w:val="21"/>
        <w:szCs w:val="21"/>
        <w:u w:val="none"/>
        <w:lang w:val="en-US" w:eastAsia="zh-CN"/>
      </w:rPr>
      <w:t xml:space="preserve">            </w:t>
    </w:r>
  </w:p>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06E10F"/>
    <w:multiLevelType w:val="singleLevel"/>
    <w:tmpl w:val="AE06E10F"/>
    <w:lvl w:ilvl="0" w:tentative="0">
      <w:start w:val="7"/>
      <w:numFmt w:val="chineseCounting"/>
      <w:suff w:val="nothing"/>
      <w:lvlText w:val="%1、"/>
      <w:lvlJc w:val="left"/>
      <w:rPr>
        <w:rFonts w:hint="eastAsia"/>
      </w:rPr>
    </w:lvl>
  </w:abstractNum>
  <w:abstractNum w:abstractNumId="1">
    <w:nsid w:val="B6E48479"/>
    <w:multiLevelType w:val="singleLevel"/>
    <w:tmpl w:val="B6E48479"/>
    <w:lvl w:ilvl="0" w:tentative="0">
      <w:start w:val="1"/>
      <w:numFmt w:val="decimal"/>
      <w:suff w:val="nothing"/>
      <w:lvlText w:val="（%1）"/>
      <w:lvlJc w:val="left"/>
    </w:lvl>
  </w:abstractNum>
  <w:abstractNum w:abstractNumId="2">
    <w:nsid w:val="C25D2D37"/>
    <w:multiLevelType w:val="singleLevel"/>
    <w:tmpl w:val="C25D2D37"/>
    <w:lvl w:ilvl="0" w:tentative="0">
      <w:start w:val="1"/>
      <w:numFmt w:val="decimal"/>
      <w:suff w:val="nothing"/>
      <w:lvlText w:val="%1、"/>
      <w:lvlJc w:val="left"/>
      <w:pPr>
        <w:ind w:left="90" w:firstLine="0"/>
      </w:pPr>
    </w:lvl>
  </w:abstractNum>
  <w:abstractNum w:abstractNumId="3">
    <w:nsid w:val="E7FE443B"/>
    <w:multiLevelType w:val="singleLevel"/>
    <w:tmpl w:val="E7FE443B"/>
    <w:lvl w:ilvl="0" w:tentative="0">
      <w:start w:val="1"/>
      <w:numFmt w:val="decimal"/>
      <w:suff w:val="nothing"/>
      <w:lvlText w:val="%1、"/>
      <w:lvlJc w:val="left"/>
    </w:lvl>
  </w:abstractNum>
  <w:abstractNum w:abstractNumId="4">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682D47"/>
    <w:rsid w:val="0A762A4A"/>
    <w:rsid w:val="179D2121"/>
    <w:rsid w:val="2A12155B"/>
    <w:rsid w:val="467A48E2"/>
    <w:rsid w:val="49E516D7"/>
    <w:rsid w:val="51F33DE7"/>
    <w:rsid w:val="5B2F6B80"/>
    <w:rsid w:val="73C0598E"/>
    <w:rsid w:val="763D7017"/>
    <w:rsid w:val="7F9B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1">
    <w:name w:val="Default Paragraph Font"/>
    <w:semiHidden/>
    <w:uiPriority w:val="0"/>
  </w:style>
  <w:style w:type="table" w:default="1" w:styleId="24">
    <w:name w:val="Normal Table"/>
    <w:semiHidden/>
    <w:qFormat/>
    <w:uiPriority w:val="0"/>
    <w:tblPr>
      <w:tblLayout w:type="fixed"/>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styleId="6">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7">
    <w:name w:val="Body Text First Indent"/>
    <w:basedOn w:val="8"/>
    <w:next w:val="1"/>
    <w:unhideWhenUsed/>
    <w:qFormat/>
    <w:uiPriority w:val="99"/>
    <w:pPr>
      <w:tabs>
        <w:tab w:val="left" w:pos="567"/>
      </w:tabs>
      <w:ind w:firstLine="420" w:firstLineChars="100"/>
    </w:pPr>
  </w:style>
  <w:style w:type="paragraph" w:styleId="8">
    <w:name w:val="Body Text"/>
    <w:basedOn w:val="1"/>
    <w:next w:val="1"/>
    <w:qFormat/>
    <w:uiPriority w:val="0"/>
    <w:pPr>
      <w:tabs>
        <w:tab w:val="left" w:pos="567"/>
      </w:tabs>
      <w:spacing w:before="120" w:line="22" w:lineRule="atLeast"/>
    </w:pPr>
    <w:rPr>
      <w:rFonts w:ascii="宋体" w:hAnsi="宋体"/>
      <w:sz w:val="24"/>
    </w:rPr>
  </w:style>
  <w:style w:type="paragraph" w:styleId="9">
    <w:name w:val="Body Text Indent"/>
    <w:basedOn w:val="1"/>
    <w:next w:val="6"/>
    <w:qFormat/>
    <w:uiPriority w:val="0"/>
    <w:pPr>
      <w:spacing w:line="360" w:lineRule="auto"/>
      <w:ind w:firstLine="570"/>
    </w:pPr>
    <w:rPr>
      <w:sz w:val="24"/>
    </w:rPr>
  </w:style>
  <w:style w:type="paragraph" w:styleId="10">
    <w:name w:val="toc 3"/>
    <w:basedOn w:val="1"/>
    <w:next w:val="1"/>
    <w:qFormat/>
    <w:uiPriority w:val="39"/>
    <w:pPr>
      <w:tabs>
        <w:tab w:val="left" w:pos="1260"/>
        <w:tab w:val="right" w:leader="dot" w:pos="8630"/>
      </w:tabs>
      <w:ind w:left="840" w:leftChars="400"/>
    </w:pPr>
  </w:style>
  <w:style w:type="paragraph" w:styleId="11">
    <w:name w:val="Plain Text"/>
    <w:basedOn w:val="1"/>
    <w:next w:val="12"/>
    <w:qFormat/>
    <w:uiPriority w:val="0"/>
    <w:rPr>
      <w:rFonts w:ascii="宋体" w:hAnsi="Courier New"/>
      <w:szCs w:val="20"/>
    </w:rPr>
  </w:style>
  <w:style w:type="paragraph" w:styleId="12">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3">
    <w:name w:val="footer"/>
    <w:basedOn w:val="1"/>
    <w:next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4">
    <w:name w:val="Body Text First Indent 2"/>
    <w:basedOn w:val="9"/>
    <w:next w:val="6"/>
    <w:qFormat/>
    <w:uiPriority w:val="0"/>
    <w:pPr>
      <w:ind w:firstLine="420" w:firstLineChars="200"/>
    </w:pPr>
    <w:rPr>
      <w:kern w:val="0"/>
      <w:sz w:val="20"/>
      <w:szCs w:val="24"/>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footnote text"/>
    <w:basedOn w:val="1"/>
    <w:next w:val="8"/>
    <w:semiHidden/>
    <w:qFormat/>
    <w:uiPriority w:val="99"/>
    <w:pPr>
      <w:snapToGrid w:val="0"/>
      <w:jc w:val="left"/>
    </w:pPr>
    <w:rPr>
      <w:sz w:val="18"/>
      <w:szCs w:val="18"/>
    </w:rPr>
  </w:style>
  <w:style w:type="paragraph" w:styleId="18">
    <w:name w:val="toc 2"/>
    <w:basedOn w:val="1"/>
    <w:next w:val="1"/>
    <w:qFormat/>
    <w:uiPriority w:val="39"/>
    <w:pPr>
      <w:ind w:left="420" w:leftChars="200"/>
    </w:pPr>
  </w:style>
  <w:style w:type="paragraph" w:styleId="19">
    <w:name w:val="Normal (Web)"/>
    <w:basedOn w:val="1"/>
    <w:next w:val="20"/>
    <w:qFormat/>
    <w:uiPriority w:val="0"/>
    <w:pPr>
      <w:spacing w:before="100" w:beforeAutospacing="1" w:after="100" w:afterAutospacing="1"/>
      <w:ind w:left="0" w:right="0"/>
      <w:jc w:val="left"/>
    </w:pPr>
    <w:rPr>
      <w:kern w:val="0"/>
      <w:sz w:val="24"/>
      <w:lang w:val="en-US" w:eastAsia="zh-CN" w:bidi="ar"/>
    </w:rPr>
  </w:style>
  <w:style w:type="paragraph" w:customStyle="1" w:styleId="20">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styleId="22">
    <w:name w:val="page number"/>
    <w:basedOn w:val="21"/>
    <w:qFormat/>
    <w:uiPriority w:val="0"/>
  </w:style>
  <w:style w:type="character" w:styleId="23">
    <w:name w:val="Hyperlink"/>
    <w:qFormat/>
    <w:uiPriority w:val="99"/>
    <w:rPr>
      <w:color w:val="0000FF"/>
      <w:u w:val="single"/>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27">
    <w:name w:val="Table Paragraph"/>
    <w:basedOn w:val="1"/>
    <w:qFormat/>
    <w:uiPriority w:val="0"/>
  </w:style>
  <w:style w:type="paragraph" w:customStyle="1" w:styleId="28">
    <w:name w:val="NormalIndent"/>
    <w:basedOn w:val="1"/>
    <w:qFormat/>
    <w:uiPriority w:val="0"/>
    <w:pPr>
      <w:spacing w:line="360" w:lineRule="atLeast"/>
      <w:ind w:firstLine="420"/>
      <w:jc w:val="both"/>
      <w:textAlignment w:val="baseline"/>
    </w:pPr>
    <w:rPr>
      <w:rFonts w:ascii="Calibri" w:hAnsi="Calibri" w:eastAsia="宋体"/>
      <w:kern w:val="2"/>
      <w:sz w:val="21"/>
      <w:szCs w:val="20"/>
      <w:lang w:val="en-US" w:eastAsia="zh-CN" w:bidi="ar-SA"/>
    </w:rPr>
  </w:style>
  <w:style w:type="paragraph" w:customStyle="1" w:styleId="2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30">
    <w:name w:val="索引 11"/>
    <w:basedOn w:val="1"/>
    <w:next w:val="1"/>
    <w:qFormat/>
    <w:uiPriority w:val="0"/>
    <w:pPr>
      <w:spacing w:line="360" w:lineRule="auto"/>
    </w:pPr>
    <w:rPr>
      <w:rFonts w:ascii="仿宋_GB2312" w:eastAsia="仿宋_GB2312"/>
      <w:sz w:val="24"/>
      <w:szCs w:val="20"/>
    </w:rPr>
  </w:style>
  <w:style w:type="paragraph" w:customStyle="1" w:styleId="3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2023-05-18T03:42:55Z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