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b/>
          <w:sz w:val="40"/>
          <w:szCs w:val="40"/>
        </w:rPr>
      </w:pPr>
    </w:p>
    <w:p>
      <w:pPr>
        <w:spacing w:line="360" w:lineRule="auto"/>
        <w:jc w:val="center"/>
        <w:textAlignment w:val="baseline"/>
        <w:outlineLvl w:val="9"/>
        <w:rPr>
          <w:rFonts w:hint="eastAsia" w:ascii="宋体" w:hAnsi="宋体" w:eastAsia="宋体" w:cs="宋体"/>
          <w:b/>
          <w:sz w:val="40"/>
          <w:szCs w:val="40"/>
          <w:lang w:val="en-US" w:eastAsia="zh-CN"/>
        </w:rPr>
      </w:pPr>
      <w:r>
        <w:rPr>
          <w:rFonts w:hint="eastAsia" w:ascii="宋体" w:hAnsi="宋体" w:eastAsia="宋体" w:cs="宋体"/>
          <w:b/>
          <w:sz w:val="40"/>
          <w:szCs w:val="40"/>
          <w:lang w:val="en-US" w:eastAsia="zh-CN"/>
        </w:rPr>
        <w:t>哈密市中心医院针对哈密市中心医院医保管理方面提供智能化服务</w:t>
      </w:r>
    </w:p>
    <w:p>
      <w:pPr>
        <w:spacing w:line="360" w:lineRule="auto"/>
        <w:jc w:val="center"/>
        <w:textAlignment w:val="baseline"/>
        <w:outlineLvl w:val="9"/>
        <w:rPr>
          <w:rFonts w:hint="eastAsia" w:ascii="宋体" w:hAnsi="宋体" w:cs="宋体"/>
          <w:b/>
          <w:sz w:val="40"/>
          <w:szCs w:val="40"/>
        </w:rPr>
      </w:pPr>
    </w:p>
    <w:p>
      <w:pPr>
        <w:spacing w:line="360" w:lineRule="auto"/>
        <w:jc w:val="center"/>
        <w:textAlignment w:val="baseline"/>
        <w:outlineLvl w:val="9"/>
        <w:rPr>
          <w:rFonts w:hint="eastAsia" w:ascii="宋体" w:hAnsi="宋体" w:cs="宋体"/>
          <w:b/>
          <w:sz w:val="40"/>
          <w:szCs w:val="40"/>
        </w:rPr>
      </w:pPr>
      <w:r>
        <w:rPr>
          <w:rFonts w:hint="eastAsia" w:ascii="宋体" w:hAnsi="宋体" w:cs="宋体"/>
          <w:b/>
          <w:sz w:val="40"/>
          <w:szCs w:val="40"/>
        </w:rPr>
        <w:t>竞争性磋商文件</w:t>
      </w:r>
    </w:p>
    <w:p>
      <w:pPr>
        <w:spacing w:line="360" w:lineRule="auto"/>
        <w:jc w:val="center"/>
        <w:textAlignment w:val="baseline"/>
        <w:outlineLvl w:val="9"/>
        <w:rPr>
          <w:rFonts w:hint="eastAsia" w:ascii="宋体" w:hAnsi="宋体" w:cs="宋体"/>
          <w:b/>
          <w:sz w:val="40"/>
          <w:szCs w:val="40"/>
        </w:rPr>
      </w:pPr>
    </w:p>
    <w:p>
      <w:pPr>
        <w:jc w:val="both"/>
        <w:outlineLvl w:val="9"/>
        <w:rPr>
          <w:rFonts w:hint="eastAsia"/>
        </w:rPr>
      </w:pPr>
    </w:p>
    <w:p>
      <w:pPr>
        <w:outlineLvl w:val="9"/>
        <w:rPr>
          <w:rFonts w:hint="eastAsia"/>
        </w:rPr>
      </w:pPr>
    </w:p>
    <w:p>
      <w:pPr>
        <w:spacing w:line="360" w:lineRule="auto"/>
        <w:jc w:val="center"/>
        <w:textAlignment w:val="baseline"/>
        <w:outlineLvl w:val="9"/>
        <w:rPr>
          <w:rFonts w:hint="default" w:ascii="宋体" w:hAnsi="宋体" w:eastAsia="宋体" w:cs="宋体"/>
          <w:b/>
          <w:sz w:val="36"/>
          <w:szCs w:val="36"/>
          <w:lang w:val="en-US" w:eastAsia="zh-CN"/>
        </w:rPr>
      </w:pPr>
      <w:r>
        <w:rPr>
          <w:rFonts w:ascii="宋体" w:hAnsi="宋体" w:cs="宋体"/>
          <w:b/>
          <w:sz w:val="36"/>
          <w:szCs w:val="36"/>
        </w:rPr>
        <w:t>项目编号：JSXC-2023-</w:t>
      </w:r>
      <w:r>
        <w:rPr>
          <w:rFonts w:hint="eastAsia" w:ascii="宋体" w:hAnsi="宋体" w:cs="宋体"/>
          <w:b/>
          <w:sz w:val="36"/>
          <w:szCs w:val="36"/>
          <w:lang w:val="en-US" w:eastAsia="zh-CN"/>
        </w:rPr>
        <w:t>100</w:t>
      </w:r>
    </w:p>
    <w:p>
      <w:pPr>
        <w:outlineLvl w:val="9"/>
        <w:rPr>
          <w:rFonts w:hint="eastAsia" w:ascii="宋体" w:hAnsi="宋体" w:cs="宋体"/>
          <w:color w:val="auto"/>
          <w:sz w:val="28"/>
          <w:szCs w:val="28"/>
          <w:highlight w:val="none"/>
        </w:rPr>
      </w:pPr>
    </w:p>
    <w:p>
      <w:pPr>
        <w:spacing w:line="760" w:lineRule="exact"/>
        <w:ind w:firstLine="280" w:firstLineChars="100"/>
        <w:outlineLvl w:val="9"/>
        <w:rPr>
          <w:rFonts w:hint="eastAsia" w:hAnsi="Courier New" w:cs="Courier New"/>
          <w:b/>
          <w:kern w:val="0"/>
          <w:sz w:val="28"/>
          <w:szCs w:val="28"/>
          <w:u w:val="single"/>
          <w:lang w:bidi="ar"/>
        </w:rPr>
      </w:pPr>
      <w:r>
        <w:rPr>
          <w:rFonts w:hint="eastAsia" w:hAnsi="Courier New" w:cs="Courier New"/>
          <w:b/>
          <w:kern w:val="0"/>
          <w:sz w:val="28"/>
          <w:szCs w:val="28"/>
          <w:lang w:bidi="ar"/>
        </w:rPr>
        <w:t>项目名称：</w:t>
      </w:r>
      <w:r>
        <w:rPr>
          <w:rFonts w:hint="eastAsia" w:hAnsi="Courier New" w:cs="Courier New"/>
          <w:b/>
          <w:kern w:val="0"/>
          <w:sz w:val="28"/>
          <w:szCs w:val="28"/>
          <w:lang w:val="en-US" w:eastAsia="zh-CN" w:bidi="ar"/>
        </w:rPr>
        <w:t xml:space="preserve"> </w:t>
      </w:r>
      <w:r>
        <w:rPr>
          <w:rFonts w:hint="eastAsia" w:hAnsi="Courier New" w:cs="Courier New"/>
          <w:b/>
          <w:kern w:val="0"/>
          <w:sz w:val="28"/>
          <w:szCs w:val="28"/>
          <w:u w:val="single"/>
          <w:lang w:bidi="ar"/>
        </w:rPr>
        <w:t xml:space="preserve"> </w:t>
      </w:r>
      <w:r>
        <w:rPr>
          <w:rFonts w:hint="eastAsia" w:hAnsi="Courier New" w:cs="Courier New"/>
          <w:b/>
          <w:kern w:val="0"/>
          <w:sz w:val="28"/>
          <w:szCs w:val="28"/>
          <w:u w:val="single"/>
          <w:lang w:val="en-US" w:eastAsia="zh-CN" w:bidi="ar"/>
        </w:rPr>
        <w:t>哈密市中心医院针对哈密市中心医院医保管理方面提供智能化服务</w:t>
      </w:r>
      <w:r>
        <w:rPr>
          <w:rFonts w:hint="eastAsia" w:hAnsi="Courier New" w:cs="Courier New"/>
          <w:b/>
          <w:kern w:val="0"/>
          <w:sz w:val="28"/>
          <w:szCs w:val="28"/>
          <w:u w:val="single"/>
          <w:lang w:bidi="ar"/>
        </w:rPr>
        <w:t xml:space="preserve"> </w:t>
      </w:r>
    </w:p>
    <w:p>
      <w:pPr>
        <w:spacing w:line="760" w:lineRule="exact"/>
        <w:ind w:firstLine="280" w:firstLineChars="100"/>
        <w:outlineLvl w:val="9"/>
        <w:rPr>
          <w:rFonts w:hint="eastAsia" w:hAnsi="Courier New" w:cs="Courier New"/>
          <w:b/>
          <w:kern w:val="0"/>
          <w:sz w:val="28"/>
          <w:szCs w:val="28"/>
          <w:u w:val="single"/>
          <w:lang w:bidi="ar"/>
        </w:rPr>
      </w:pPr>
      <w:r>
        <w:rPr>
          <w:rFonts w:hint="eastAsia" w:hAnsi="Courier New" w:cs="Courier New"/>
          <w:b/>
          <w:kern w:val="0"/>
          <w:sz w:val="28"/>
          <w:szCs w:val="28"/>
          <w:lang w:val="en-US" w:eastAsia="zh-CN" w:bidi="ar"/>
        </w:rPr>
        <w:t>采购</w:t>
      </w:r>
      <w:r>
        <w:rPr>
          <w:rFonts w:hint="eastAsia" w:hAnsi="Courier New" w:cs="Courier New"/>
          <w:b/>
          <w:kern w:val="0"/>
          <w:sz w:val="28"/>
          <w:szCs w:val="28"/>
          <w:lang w:bidi="ar"/>
        </w:rPr>
        <w:t>人：</w:t>
      </w:r>
      <w:r>
        <w:rPr>
          <w:rFonts w:hint="eastAsia" w:hAnsi="Courier New" w:cs="Courier New"/>
          <w:b/>
          <w:kern w:val="0"/>
          <w:sz w:val="28"/>
          <w:szCs w:val="28"/>
          <w:lang w:val="en-US" w:eastAsia="zh-CN" w:bidi="ar"/>
        </w:rPr>
        <w:t xml:space="preserve">   </w:t>
      </w:r>
      <w:r>
        <w:rPr>
          <w:rFonts w:hint="eastAsia" w:hAnsi="Courier New" w:cs="Courier New"/>
          <w:b/>
          <w:kern w:val="0"/>
          <w:sz w:val="28"/>
          <w:szCs w:val="28"/>
          <w:u w:val="single"/>
          <w:lang w:val="en-US" w:eastAsia="zh-CN" w:bidi="ar"/>
        </w:rPr>
        <w:t xml:space="preserve"> </w:t>
      </w:r>
      <w:r>
        <w:rPr>
          <w:rFonts w:hint="eastAsia" w:hAnsi="Courier New" w:cs="Courier New"/>
          <w:b/>
          <w:kern w:val="0"/>
          <w:sz w:val="28"/>
          <w:szCs w:val="28"/>
          <w:u w:val="single"/>
          <w:lang w:bidi="ar"/>
        </w:rPr>
        <w:t xml:space="preserve">哈密市中心医院 </w:t>
      </w:r>
      <w:r>
        <w:rPr>
          <w:rFonts w:hint="eastAsia" w:hAnsi="Courier New" w:cs="Courier New"/>
          <w:b/>
          <w:kern w:val="0"/>
          <w:sz w:val="28"/>
          <w:szCs w:val="28"/>
          <w:u w:val="single"/>
          <w:lang w:val="en-US" w:eastAsia="zh-CN" w:bidi="ar"/>
        </w:rPr>
        <w:t xml:space="preserve"> </w:t>
      </w:r>
    </w:p>
    <w:p>
      <w:pPr>
        <w:spacing w:line="760" w:lineRule="exact"/>
        <w:ind w:firstLine="280" w:firstLineChars="100"/>
        <w:outlineLvl w:val="9"/>
        <w:rPr>
          <w:rFonts w:hint="eastAsia" w:hAnsi="Courier New" w:cs="Courier New"/>
          <w:b/>
          <w:kern w:val="0"/>
          <w:sz w:val="28"/>
          <w:szCs w:val="28"/>
        </w:rPr>
      </w:pPr>
      <w:r>
        <w:rPr>
          <w:rFonts w:hint="eastAsia" w:hAnsi="Courier New" w:cs="Courier New"/>
          <w:b/>
          <w:kern w:val="0"/>
          <w:sz w:val="28"/>
          <w:szCs w:val="28"/>
        </w:rPr>
        <w:t>联系人:</w:t>
      </w:r>
      <w:r>
        <w:rPr>
          <w:rFonts w:hint="eastAsia" w:hAnsi="Courier New" w:cs="Courier New"/>
          <w:b/>
          <w:kern w:val="0"/>
          <w:sz w:val="28"/>
          <w:szCs w:val="28"/>
          <w:lang w:val="en-US" w:eastAsia="zh-CN"/>
        </w:rPr>
        <w:t xml:space="preserve">    沈卓睿</w:t>
      </w:r>
    </w:p>
    <w:p>
      <w:pPr>
        <w:spacing w:line="760" w:lineRule="exact"/>
        <w:ind w:firstLine="280" w:firstLineChars="100"/>
        <w:outlineLvl w:val="9"/>
        <w:rPr>
          <w:rFonts w:hint="eastAsia" w:hAnsi="Courier New" w:cs="Courier New"/>
          <w:b/>
          <w:kern w:val="0"/>
          <w:sz w:val="28"/>
          <w:szCs w:val="28"/>
        </w:rPr>
      </w:pPr>
      <w:r>
        <w:rPr>
          <w:rFonts w:hint="eastAsia" w:hAnsi="Courier New" w:cs="Courier New"/>
          <w:b/>
          <w:kern w:val="0"/>
          <w:sz w:val="28"/>
          <w:szCs w:val="28"/>
        </w:rPr>
        <w:t>联系方式:</w:t>
      </w:r>
      <w:r>
        <w:rPr>
          <w:rFonts w:hint="eastAsia" w:hAnsi="Courier New" w:cs="Courier New"/>
          <w:b/>
          <w:kern w:val="0"/>
          <w:sz w:val="28"/>
          <w:szCs w:val="28"/>
          <w:lang w:val="en-US" w:eastAsia="zh-CN"/>
        </w:rPr>
        <w:t xml:space="preserve">  0902-2260204 </w:t>
      </w:r>
    </w:p>
    <w:p>
      <w:pPr>
        <w:spacing w:line="760" w:lineRule="exact"/>
        <w:ind w:firstLine="280" w:firstLineChars="100"/>
        <w:outlineLvl w:val="9"/>
        <w:rPr>
          <w:rFonts w:hint="eastAsia" w:hAnsi="Courier New" w:cs="Courier New"/>
          <w:b/>
          <w:kern w:val="0"/>
          <w:sz w:val="28"/>
          <w:szCs w:val="28"/>
        </w:rPr>
      </w:pPr>
    </w:p>
    <w:p>
      <w:pPr>
        <w:spacing w:line="760" w:lineRule="exact"/>
        <w:ind w:firstLine="280" w:firstLineChars="100"/>
        <w:outlineLvl w:val="9"/>
        <w:rPr>
          <w:rFonts w:hAnsi="Courier New" w:cs="Courier New"/>
          <w:b/>
          <w:kern w:val="0"/>
          <w:sz w:val="28"/>
          <w:szCs w:val="28"/>
          <w:u w:val="single"/>
        </w:rPr>
      </w:pPr>
      <w:r>
        <w:rPr>
          <w:rFonts w:hint="eastAsia" w:hAnsi="Courier New" w:cs="Courier New"/>
          <w:b/>
          <w:kern w:val="0"/>
          <w:sz w:val="28"/>
          <w:szCs w:val="28"/>
        </w:rPr>
        <w:t>招标代理机构：</w:t>
      </w:r>
      <w:r>
        <w:rPr>
          <w:rFonts w:hint="eastAsia" w:hAnsi="Courier New" w:cs="Courier New"/>
          <w:b/>
          <w:kern w:val="0"/>
          <w:sz w:val="28"/>
          <w:szCs w:val="28"/>
          <w:u w:val="single"/>
          <w:lang w:val="zh-CN"/>
        </w:rPr>
        <w:t>新疆金世信诚建设项目管理集团有限公司</w:t>
      </w:r>
      <w:r>
        <w:rPr>
          <w:rFonts w:hint="eastAsia" w:hAnsi="Courier New" w:cs="Courier New"/>
          <w:b/>
          <w:kern w:val="0"/>
          <w:sz w:val="28"/>
          <w:szCs w:val="28"/>
          <w:u w:val="single"/>
        </w:rPr>
        <w:t>（盖章）</w:t>
      </w:r>
    </w:p>
    <w:p>
      <w:pPr>
        <w:spacing w:line="760" w:lineRule="exact"/>
        <w:ind w:firstLine="280" w:firstLineChars="100"/>
        <w:outlineLvl w:val="9"/>
        <w:rPr>
          <w:rFonts w:hint="eastAsia" w:hAnsi="Courier New" w:cs="Courier New"/>
          <w:b/>
          <w:kern w:val="0"/>
          <w:sz w:val="28"/>
          <w:szCs w:val="28"/>
        </w:rPr>
      </w:pPr>
      <w:r>
        <w:rPr>
          <w:rFonts w:hint="eastAsia" w:hAnsi="Courier New" w:cs="Courier New"/>
          <w:b/>
          <w:kern w:val="0"/>
          <w:sz w:val="28"/>
          <w:szCs w:val="28"/>
        </w:rPr>
        <w:t>法定代表人：</w:t>
      </w:r>
      <w:r>
        <w:rPr>
          <w:rFonts w:hint="eastAsia" w:hAnsi="Courier New" w:cs="Courier New"/>
          <w:b/>
          <w:kern w:val="0"/>
          <w:sz w:val="28"/>
          <w:szCs w:val="28"/>
          <w:lang w:val="en-US" w:eastAsia="zh-CN"/>
        </w:rPr>
        <w:t xml:space="preserve"> </w:t>
      </w:r>
      <w:r>
        <w:rPr>
          <w:rFonts w:hint="eastAsia" w:hAnsi="Courier New" w:cs="Courier New"/>
          <w:b/>
          <w:kern w:val="0"/>
          <w:sz w:val="28"/>
          <w:szCs w:val="28"/>
          <w:u w:val="single"/>
        </w:rPr>
        <w:t xml:space="preserve">       夏礼鹏        </w:t>
      </w:r>
      <w:r>
        <w:rPr>
          <w:rFonts w:hint="eastAsia" w:hAnsi="Courier New" w:cs="Courier New"/>
          <w:b/>
          <w:kern w:val="0"/>
          <w:sz w:val="28"/>
          <w:szCs w:val="28"/>
        </w:rPr>
        <w:t>（盖章）</w:t>
      </w:r>
    </w:p>
    <w:p>
      <w:pPr>
        <w:spacing w:line="760" w:lineRule="exact"/>
        <w:ind w:firstLine="280" w:firstLineChars="100"/>
        <w:outlineLvl w:val="9"/>
        <w:rPr>
          <w:rFonts w:hint="eastAsia" w:hAnsi="Courier New" w:cs="Courier New"/>
          <w:b/>
          <w:kern w:val="0"/>
          <w:sz w:val="28"/>
          <w:szCs w:val="28"/>
          <w:u w:val="single"/>
          <w:lang w:val="en-US" w:eastAsia="zh-CN"/>
        </w:rPr>
      </w:pPr>
      <w:r>
        <w:rPr>
          <w:rFonts w:hint="eastAsia" w:hAnsi="Courier New" w:cs="Courier New"/>
          <w:b/>
          <w:kern w:val="0"/>
          <w:sz w:val="28"/>
          <w:szCs w:val="28"/>
        </w:rPr>
        <w:t>联系人：</w:t>
      </w:r>
      <w:r>
        <w:rPr>
          <w:rFonts w:hint="eastAsia" w:hAnsi="Courier New" w:cs="Courier New"/>
          <w:b/>
          <w:kern w:val="0"/>
          <w:sz w:val="28"/>
          <w:szCs w:val="28"/>
          <w:lang w:val="en-US" w:eastAsia="zh-CN"/>
        </w:rPr>
        <w:t xml:space="preserve">   </w:t>
      </w:r>
      <w:r>
        <w:rPr>
          <w:rFonts w:hint="eastAsia" w:hAnsi="Courier New" w:cs="Courier New"/>
          <w:b/>
          <w:kern w:val="0"/>
          <w:sz w:val="28"/>
          <w:szCs w:val="28"/>
          <w:u w:val="single"/>
        </w:rPr>
        <w:t xml:space="preserve">  </w:t>
      </w:r>
      <w:r>
        <w:rPr>
          <w:rFonts w:hint="eastAsia" w:hAnsi="Courier New" w:cs="Courier New"/>
          <w:b/>
          <w:kern w:val="0"/>
          <w:sz w:val="28"/>
          <w:szCs w:val="28"/>
          <w:u w:val="single"/>
          <w:lang w:val="en-US" w:eastAsia="zh-CN"/>
        </w:rPr>
        <w:t>寇雅娟</w:t>
      </w:r>
      <w:r>
        <w:rPr>
          <w:rFonts w:hint="eastAsia" w:hAnsi="Courier New" w:cs="Courier New"/>
          <w:b/>
          <w:kern w:val="0"/>
          <w:sz w:val="28"/>
          <w:szCs w:val="28"/>
          <w:u w:val="single"/>
        </w:rPr>
        <w:t xml:space="preserve">   </w:t>
      </w:r>
      <w:r>
        <w:rPr>
          <w:rFonts w:hint="eastAsia" w:hAnsi="Courier New" w:cs="Courier New"/>
          <w:b/>
          <w:kern w:val="0"/>
          <w:sz w:val="28"/>
          <w:szCs w:val="28"/>
        </w:rPr>
        <w:t xml:space="preserve">        电话：</w:t>
      </w:r>
      <w:r>
        <w:rPr>
          <w:rFonts w:hint="eastAsia" w:hAnsi="Courier New" w:cs="Courier New"/>
          <w:b/>
          <w:kern w:val="0"/>
          <w:sz w:val="28"/>
          <w:szCs w:val="28"/>
          <w:u w:val="single"/>
        </w:rPr>
        <w:t xml:space="preserve"> 1377918995</w:t>
      </w:r>
      <w:r>
        <w:rPr>
          <w:rFonts w:hint="eastAsia" w:hAnsi="Courier New" w:cs="Courier New"/>
          <w:b/>
          <w:kern w:val="0"/>
          <w:sz w:val="28"/>
          <w:szCs w:val="28"/>
          <w:u w:val="single"/>
          <w:lang w:val="en-US" w:eastAsia="zh-CN"/>
        </w:rPr>
        <w:t>7</w:t>
      </w:r>
    </w:p>
    <w:p>
      <w:pPr>
        <w:pStyle w:val="2"/>
        <w:outlineLvl w:val="9"/>
        <w:rPr>
          <w:rFonts w:hint="eastAsia" w:hAnsi="Courier New" w:cs="Courier New"/>
          <w:b/>
          <w:kern w:val="0"/>
          <w:sz w:val="28"/>
          <w:szCs w:val="28"/>
          <w:u w:val="single"/>
          <w:lang w:val="en-US" w:eastAsia="zh-CN"/>
        </w:rPr>
      </w:pPr>
    </w:p>
    <w:p>
      <w:pPr>
        <w:ind w:firstLine="3080" w:firstLineChars="1100"/>
        <w:jc w:val="both"/>
        <w:rPr>
          <w:rFonts w:hint="default"/>
          <w:lang w:val="en-US" w:eastAsia="zh-CN"/>
        </w:rPr>
        <w:sectPr>
          <w:pgSz w:w="11906" w:h="16838"/>
          <w:pgMar w:top="1440" w:right="1417" w:bottom="1440" w:left="1417" w:header="851" w:footer="992" w:gutter="0"/>
          <w:cols w:space="720" w:num="1"/>
          <w:docGrid w:type="linesAndChars" w:linePitch="286" w:charSpace="0"/>
        </w:sectPr>
      </w:pPr>
      <w:r>
        <w:rPr>
          <w:rFonts w:hint="eastAsia" w:ascii="宋体" w:hAnsi="宋体" w:eastAsia="宋体" w:cs="宋体"/>
          <w:color w:val="auto"/>
          <w:kern w:val="2"/>
          <w:sz w:val="28"/>
          <w:szCs w:val="28"/>
          <w:highlight w:val="none"/>
          <w:lang w:val="en-US" w:eastAsia="zh-CN" w:bidi="ar-SA"/>
        </w:rPr>
        <w:t>2023年0</w:t>
      </w:r>
      <w:r>
        <w:rPr>
          <w:rFonts w:hint="eastAsia" w:ascii="宋体" w:hAnsi="宋体" w:cs="宋体"/>
          <w:color w:val="auto"/>
          <w:kern w:val="2"/>
          <w:sz w:val="28"/>
          <w:szCs w:val="28"/>
          <w:highlight w:val="none"/>
          <w:lang w:val="en-US" w:eastAsia="zh-CN" w:bidi="ar-SA"/>
        </w:rPr>
        <w:t>5月</w:t>
      </w:r>
    </w:p>
    <w:p>
      <w:pPr>
        <w:pStyle w:val="25"/>
        <w:adjustRightInd w:val="0"/>
        <w:snapToGrid w:val="0"/>
        <w:jc w:val="center"/>
        <w:rPr>
          <w:rFonts w:hint="eastAsia" w:hAnsi="宋体" w:cs="宋体"/>
          <w:b/>
          <w:color w:val="auto"/>
          <w:sz w:val="36"/>
          <w:szCs w:val="24"/>
          <w:highlight w:val="none"/>
        </w:rPr>
      </w:pPr>
    </w:p>
    <w:p>
      <w:pPr>
        <w:pStyle w:val="25"/>
        <w:adjustRightInd w:val="0"/>
        <w:snapToGrid w:val="0"/>
        <w:jc w:val="center"/>
        <w:rPr>
          <w:rFonts w:hint="eastAsia" w:hAnsi="宋体" w:cs="宋体"/>
          <w:b/>
          <w:color w:val="auto"/>
          <w:sz w:val="36"/>
          <w:szCs w:val="24"/>
          <w:highlight w:val="none"/>
        </w:rPr>
      </w:pPr>
    </w:p>
    <w:p>
      <w:pPr>
        <w:pStyle w:val="25"/>
        <w:adjustRightInd w:val="0"/>
        <w:snapToGrid w:val="0"/>
        <w:jc w:val="center"/>
        <w:rPr>
          <w:rFonts w:hint="eastAsia" w:hAnsi="宋体" w:cs="宋体"/>
          <w:b/>
          <w:color w:val="auto"/>
          <w:sz w:val="36"/>
          <w:szCs w:val="24"/>
          <w:highlight w:val="none"/>
        </w:rPr>
      </w:pPr>
    </w:p>
    <w:p>
      <w:pPr>
        <w:pStyle w:val="25"/>
        <w:adjustRightInd w:val="0"/>
        <w:snapToGrid w:val="0"/>
        <w:jc w:val="center"/>
        <w:rPr>
          <w:rFonts w:hint="eastAsia" w:hAnsi="宋体" w:cs="宋体"/>
          <w:color w:val="auto"/>
          <w:sz w:val="22"/>
          <w:szCs w:val="22"/>
          <w:highlight w:val="none"/>
        </w:rPr>
      </w:pPr>
      <w:r>
        <w:rPr>
          <w:rFonts w:hint="eastAsia" w:hAnsi="宋体" w:cs="宋体"/>
          <w:b/>
          <w:color w:val="auto"/>
          <w:sz w:val="36"/>
          <w:szCs w:val="24"/>
          <w:highlight w:val="none"/>
        </w:rPr>
        <w:t>目  录</w:t>
      </w:r>
    </w:p>
    <w:p>
      <w:pPr>
        <w:spacing w:line="400" w:lineRule="exact"/>
        <w:jc w:val="left"/>
        <w:rPr>
          <w:rFonts w:hint="eastAsia"/>
          <w:color w:val="auto"/>
          <w:sz w:val="18"/>
          <w:szCs w:val="18"/>
          <w:highlight w:val="none"/>
        </w:rPr>
      </w:pPr>
      <w:bookmarkStart w:id="0" w:name="_Toc456291340"/>
      <w:bookmarkStart w:id="1" w:name="_Toc456291465"/>
      <w:bookmarkStart w:id="2" w:name="_Toc456291246"/>
      <w:bookmarkStart w:id="3" w:name="_Toc456291523"/>
      <w:bookmarkStart w:id="4" w:name="_Toc462487357"/>
      <w:bookmarkStart w:id="5" w:name="_Toc456291266"/>
    </w:p>
    <w:sdt>
      <w:sdtPr>
        <w:rPr>
          <w:rFonts w:ascii="宋体" w:hAnsi="宋体" w:eastAsia="宋体" w:cs="Times New Roman"/>
          <w:kern w:val="2"/>
          <w:sz w:val="21"/>
          <w:szCs w:val="22"/>
          <w:lang w:val="en-US" w:eastAsia="zh-CN" w:bidi="ar-SA"/>
        </w:rPr>
        <w:id w:val="147458026"/>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bookmarkStart w:id="6" w:name="_Toc529952596"/>
        </w:p>
        <w:p>
          <w:pPr>
            <w:pStyle w:val="31"/>
            <w:tabs>
              <w:tab w:val="right" w:leader="dot" w:pos="9071"/>
            </w:tabs>
            <w:spacing w:line="600" w:lineRule="auto"/>
            <w:rPr>
              <w:rFonts w:hint="eastAsia" w:ascii="宋体" w:hAnsi="宋体" w:eastAsia="宋体" w:cs="宋体"/>
            </w:rPr>
          </w:pP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_Toc27354 </w:instrText>
          </w:r>
          <w:r>
            <w:rPr>
              <w:rFonts w:hint="eastAsia" w:ascii="宋体" w:hAnsi="宋体" w:eastAsia="宋体" w:cs="宋体"/>
            </w:rPr>
            <w:fldChar w:fldCharType="separate"/>
          </w:r>
          <w:r>
            <w:rPr>
              <w:rFonts w:hint="eastAsia" w:ascii="宋体" w:hAnsi="宋体" w:eastAsia="宋体" w:cs="宋体"/>
              <w:szCs w:val="44"/>
              <w:highlight w:val="none"/>
              <w:lang w:val="en-US" w:eastAsia="zh-CN"/>
            </w:rPr>
            <w:t xml:space="preserve">第一章  </w:t>
          </w:r>
          <w:r>
            <w:rPr>
              <w:rFonts w:hint="eastAsia" w:ascii="宋体" w:hAnsi="宋体" w:eastAsia="宋体" w:cs="宋体"/>
              <w:szCs w:val="44"/>
              <w:highlight w:val="none"/>
            </w:rPr>
            <w:t>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_Toc27354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9071"/>
            </w:tabs>
            <w:spacing w:line="600" w:lineRule="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_Toc15011 </w:instrText>
          </w:r>
          <w:r>
            <w:rPr>
              <w:rFonts w:hint="eastAsia" w:ascii="宋体" w:hAnsi="宋体" w:eastAsia="宋体" w:cs="宋体"/>
            </w:rPr>
            <w:fldChar w:fldCharType="separate"/>
          </w:r>
          <w:r>
            <w:rPr>
              <w:rFonts w:hint="eastAsia" w:ascii="宋体" w:hAnsi="宋体" w:eastAsia="宋体" w:cs="宋体"/>
              <w:szCs w:val="44"/>
              <w:highlight w:val="none"/>
            </w:rPr>
            <w:t>第二章  磋商须知</w:t>
          </w:r>
          <w:r>
            <w:rPr>
              <w:rFonts w:hint="eastAsia" w:ascii="宋体" w:hAnsi="宋体" w:eastAsia="宋体" w:cs="宋体"/>
            </w:rPr>
            <w:tab/>
          </w:r>
          <w:r>
            <w:rPr>
              <w:rFonts w:hint="eastAsia" w:ascii="宋体" w:hAnsi="宋体" w:eastAsia="宋体" w:cs="宋体"/>
              <w:lang w:val="en-US" w:eastAsia="zh-CN"/>
            </w:rPr>
            <w:t>5</w:t>
          </w:r>
          <w:r>
            <w:rPr>
              <w:rFonts w:hint="eastAsia" w:ascii="宋体" w:hAnsi="宋体" w:eastAsia="宋体" w:cs="宋体"/>
            </w:rPr>
            <w:fldChar w:fldCharType="end"/>
          </w:r>
        </w:p>
        <w:p>
          <w:pPr>
            <w:pStyle w:val="31"/>
            <w:tabs>
              <w:tab w:val="right" w:leader="dot" w:pos="9071"/>
            </w:tabs>
            <w:spacing w:line="600" w:lineRule="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_Toc2999 </w:instrText>
          </w:r>
          <w:r>
            <w:rPr>
              <w:rFonts w:hint="eastAsia" w:ascii="宋体" w:hAnsi="宋体" w:eastAsia="宋体" w:cs="宋体"/>
            </w:rPr>
            <w:fldChar w:fldCharType="separate"/>
          </w:r>
          <w:r>
            <w:rPr>
              <w:rFonts w:hint="eastAsia" w:ascii="宋体" w:hAnsi="宋体" w:eastAsia="宋体" w:cs="宋体"/>
              <w:bCs/>
              <w:kern w:val="0"/>
              <w:szCs w:val="28"/>
            </w:rPr>
            <w:t xml:space="preserve">第三章 </w:t>
          </w:r>
          <w:r>
            <w:rPr>
              <w:rFonts w:hint="eastAsia" w:ascii="宋体" w:hAnsi="宋体" w:eastAsia="宋体" w:cs="宋体"/>
              <w:bCs/>
              <w:kern w:val="0"/>
              <w:szCs w:val="28"/>
              <w:highlight w:val="none"/>
              <w:lang w:val="en-US" w:eastAsia="zh-CN" w:bidi="ar-SA"/>
            </w:rPr>
            <w:t>采购需求</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3</w:t>
          </w:r>
        </w:p>
        <w:p>
          <w:pPr>
            <w:pStyle w:val="31"/>
            <w:tabs>
              <w:tab w:val="right" w:leader="dot" w:pos="9071"/>
            </w:tabs>
            <w:spacing w:line="600" w:lineRule="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_Toc18595 </w:instrText>
          </w:r>
          <w:r>
            <w:rPr>
              <w:rFonts w:hint="eastAsia" w:ascii="宋体" w:hAnsi="宋体" w:eastAsia="宋体" w:cs="宋体"/>
            </w:rPr>
            <w:fldChar w:fldCharType="separate"/>
          </w:r>
          <w:r>
            <w:rPr>
              <w:rFonts w:hint="eastAsia" w:ascii="宋体" w:hAnsi="宋体" w:eastAsia="宋体" w:cs="宋体"/>
              <w:bCs/>
              <w:szCs w:val="44"/>
            </w:rPr>
            <w:t xml:space="preserve">第四章 </w:t>
          </w:r>
          <w:r>
            <w:rPr>
              <w:rFonts w:hint="eastAsia" w:ascii="宋体" w:hAnsi="宋体" w:eastAsia="宋体" w:cs="宋体"/>
              <w:szCs w:val="44"/>
              <w:highlight w:val="none"/>
            </w:rPr>
            <w:t>评审方法（综合评分法）</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8</w:t>
          </w:r>
        </w:p>
        <w:p>
          <w:pPr>
            <w:pStyle w:val="31"/>
            <w:tabs>
              <w:tab w:val="right" w:leader="dot" w:pos="9071"/>
            </w:tabs>
            <w:spacing w:line="600" w:lineRule="auto"/>
            <w:rPr>
              <w:rFonts w:hint="eastAsia" w:eastAsia="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_Toc27929 </w:instrText>
          </w:r>
          <w:r>
            <w:rPr>
              <w:rFonts w:hint="eastAsia" w:ascii="宋体" w:hAnsi="宋体" w:eastAsia="宋体" w:cs="宋体"/>
            </w:rPr>
            <w:fldChar w:fldCharType="separate"/>
          </w:r>
          <w:r>
            <w:rPr>
              <w:rFonts w:hint="eastAsia" w:ascii="宋体" w:hAnsi="宋体" w:eastAsia="宋体" w:cs="宋体"/>
              <w:szCs w:val="44"/>
              <w:highlight w:val="none"/>
            </w:rPr>
            <w:t>第</w:t>
          </w:r>
          <w:r>
            <w:rPr>
              <w:rFonts w:hint="eastAsia" w:ascii="宋体" w:hAnsi="宋体" w:eastAsia="宋体" w:cs="宋体"/>
              <w:szCs w:val="44"/>
              <w:highlight w:val="none"/>
              <w:lang w:eastAsia="zh-CN"/>
            </w:rPr>
            <w:t>五</w:t>
          </w:r>
          <w:r>
            <w:rPr>
              <w:rFonts w:hint="eastAsia" w:ascii="宋体" w:hAnsi="宋体" w:eastAsia="宋体" w:cs="宋体"/>
              <w:szCs w:val="44"/>
              <w:highlight w:val="none"/>
            </w:rPr>
            <w:t>章  政府采购合同格式</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2</w:t>
          </w:r>
        </w:p>
        <w:p>
          <w:pPr>
            <w:pStyle w:val="31"/>
            <w:tabs>
              <w:tab w:val="right" w:leader="dot" w:pos="9071"/>
            </w:tabs>
            <w:spacing w:line="600" w:lineRule="auto"/>
            <w:rPr>
              <w:rFonts w:hint="eastAsia" w:eastAsia="仿宋_GB2312"/>
              <w:lang w:val="en-US" w:eastAsia="zh-CN"/>
            </w:rPr>
          </w:pPr>
          <w:r>
            <w:fldChar w:fldCharType="begin"/>
          </w:r>
          <w:r>
            <w:instrText xml:space="preserve"> HYPERLINK \l _Toc27384 </w:instrText>
          </w:r>
          <w:r>
            <w:fldChar w:fldCharType="separate"/>
          </w:r>
          <w:r>
            <w:rPr>
              <w:rFonts w:hint="eastAsia" w:ascii="宋体" w:hAnsi="宋体" w:eastAsia="宋体" w:cs="宋体"/>
              <w:szCs w:val="44"/>
              <w:highlight w:val="none"/>
            </w:rPr>
            <w:t>第</w:t>
          </w:r>
          <w:r>
            <w:rPr>
              <w:rFonts w:hint="eastAsia" w:ascii="宋体" w:hAnsi="宋体" w:eastAsia="宋体" w:cs="宋体"/>
              <w:szCs w:val="44"/>
              <w:highlight w:val="none"/>
              <w:lang w:eastAsia="zh-CN"/>
            </w:rPr>
            <w:t>六</w:t>
          </w:r>
          <w:r>
            <w:rPr>
              <w:rFonts w:hint="eastAsia" w:ascii="宋体" w:hAnsi="宋体" w:eastAsia="宋体" w:cs="宋体"/>
              <w:szCs w:val="44"/>
              <w:highlight w:val="none"/>
            </w:rPr>
            <w:t>章  响应文件格式</w:t>
          </w:r>
          <w:r>
            <w:tab/>
          </w:r>
          <w:r>
            <w:rPr>
              <w:rFonts w:hint="eastAsia"/>
              <w:lang w:val="en-US" w:eastAsia="zh-CN"/>
            </w:rPr>
            <w:t>5</w:t>
          </w:r>
          <w:r>
            <w:fldChar w:fldCharType="end"/>
          </w:r>
          <w:r>
            <w:rPr>
              <w:rFonts w:hint="eastAsia"/>
              <w:lang w:val="en-US" w:eastAsia="zh-CN"/>
            </w:rPr>
            <w:t>2</w:t>
          </w:r>
        </w:p>
        <w:p>
          <w:pPr>
            <w:spacing w:line="600" w:lineRule="auto"/>
          </w:pPr>
          <w:r>
            <w:fldChar w:fldCharType="end"/>
          </w:r>
        </w:p>
      </w:sdtContent>
    </w:sdt>
    <w:p>
      <w:pPr>
        <w:pStyle w:val="3"/>
        <w:rPr>
          <w:rFonts w:hint="eastAsia"/>
          <w:color w:val="auto"/>
          <w:sz w:val="44"/>
          <w:szCs w:val="44"/>
          <w:highlight w:val="none"/>
        </w:rPr>
      </w:pPr>
      <w:r>
        <w:rPr>
          <w:rFonts w:hint="eastAsia" w:ascii="宋体" w:hAnsi="宋体" w:cs="宋体"/>
          <w:color w:val="auto"/>
          <w:sz w:val="44"/>
          <w:szCs w:val="44"/>
          <w:highlight w:val="none"/>
        </w:rPr>
        <w:br w:type="page"/>
      </w:r>
      <w:bookmarkStart w:id="7" w:name="_Toc1794"/>
      <w:bookmarkStart w:id="8" w:name="_Toc27354"/>
      <w:bookmarkStart w:id="9" w:name="_Toc13197"/>
      <w:bookmarkStart w:id="10" w:name="_Toc18520"/>
      <w:bookmarkStart w:id="11" w:name="_Toc26681"/>
      <w:bookmarkStart w:id="12" w:name="_Toc32660"/>
      <w:bookmarkStart w:id="13" w:name="_Toc16984"/>
      <w:r>
        <w:rPr>
          <w:rFonts w:hint="eastAsia" w:ascii="宋体" w:hAnsi="宋体" w:cs="宋体"/>
          <w:color w:val="auto"/>
          <w:sz w:val="44"/>
          <w:szCs w:val="44"/>
          <w:highlight w:val="none"/>
          <w:lang w:val="en-US" w:eastAsia="zh-CN"/>
        </w:rPr>
        <w:t xml:space="preserve">第一章  </w:t>
      </w:r>
      <w:r>
        <w:rPr>
          <w:rFonts w:hint="eastAsia" w:ascii="宋体" w:hAnsi="宋体" w:cs="宋体"/>
          <w:color w:val="auto"/>
          <w:sz w:val="44"/>
          <w:szCs w:val="44"/>
          <w:highlight w:val="none"/>
        </w:rPr>
        <w:t>磋商</w:t>
      </w:r>
      <w:bookmarkEnd w:id="0"/>
      <w:bookmarkEnd w:id="1"/>
      <w:bookmarkEnd w:id="2"/>
      <w:bookmarkEnd w:id="3"/>
      <w:bookmarkEnd w:id="4"/>
      <w:bookmarkEnd w:id="5"/>
      <w:bookmarkEnd w:id="6"/>
      <w:r>
        <w:rPr>
          <w:rFonts w:hint="eastAsia" w:ascii="宋体" w:hAnsi="宋体" w:cs="宋体"/>
          <w:color w:val="auto"/>
          <w:sz w:val="44"/>
          <w:szCs w:val="44"/>
          <w:highlight w:val="none"/>
        </w:rPr>
        <w:t>公告</w:t>
      </w:r>
      <w:bookmarkEnd w:id="7"/>
      <w:bookmarkEnd w:id="8"/>
      <w:bookmarkEnd w:id="9"/>
      <w:bookmarkEnd w:id="10"/>
      <w:bookmarkEnd w:id="11"/>
      <w:bookmarkEnd w:id="12"/>
      <w:bookmarkEnd w:id="13"/>
      <w:bookmarkStart w:id="14" w:name="EBd1a6136fe5144227b12ab2e6f6004aca"/>
    </w:p>
    <w:tbl>
      <w:tblPr>
        <w:tblStyle w:val="42"/>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noWrap w:val="0"/>
            <w:vAlign w:val="top"/>
          </w:tcPr>
          <w:p>
            <w:pPr>
              <w:pStyle w:val="98"/>
              <w:widowControl/>
              <w:spacing w:line="40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项目概况</w:t>
            </w:r>
          </w:p>
          <w:p>
            <w:pPr>
              <w:pStyle w:val="98"/>
              <w:widowControl/>
              <w:spacing w:line="400" w:lineRule="exact"/>
              <w:ind w:firstLine="420" w:firstLineChars="200"/>
              <w:jc w:val="left"/>
              <w:rPr>
                <w:rFonts w:hint="eastAsia" w:ascii="宋体" w:hAnsi="宋体" w:cs="宋体"/>
                <w:b/>
                <w:bCs/>
                <w:color w:val="auto"/>
                <w:kern w:val="0"/>
                <w:szCs w:val="21"/>
                <w:highlight w:val="none"/>
              </w:rPr>
            </w:pPr>
            <w:r>
              <w:rPr>
                <w:rFonts w:hint="eastAsia" w:ascii="宋体" w:hAnsi="宋体" w:cs="宋体"/>
                <w:color w:val="auto"/>
                <w:kern w:val="0"/>
                <w:szCs w:val="21"/>
                <w:highlight w:val="none"/>
                <w:lang w:val="en-US" w:eastAsia="zh-CN"/>
              </w:rPr>
              <w:t>哈密市中心医院针对哈密市中心医院医保管理方面提供智能化服务项目</w:t>
            </w:r>
            <w:r>
              <w:rPr>
                <w:rFonts w:hint="eastAsia" w:ascii="宋体" w:hAnsi="宋体" w:cs="宋体"/>
                <w:color w:val="auto"/>
                <w:kern w:val="0"/>
                <w:szCs w:val="21"/>
                <w:highlight w:val="none"/>
              </w:rPr>
              <w:t>的潜在供应商应在新疆政府采购网政采云平台：http://www.ccgp-xinjiang.gov.cn/获取采购文件，并于2023年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日1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0（北京时间）前提交响应文件。</w:t>
            </w:r>
          </w:p>
        </w:tc>
      </w:tr>
    </w:tbl>
    <w:p>
      <w:pPr>
        <w:outlineLvl w:val="1"/>
        <w:rPr>
          <w:rFonts w:hint="eastAsia"/>
          <w:b/>
          <w:bCs/>
          <w:color w:val="auto"/>
          <w:sz w:val="28"/>
          <w:szCs w:val="28"/>
          <w:highlight w:val="none"/>
        </w:rPr>
      </w:pPr>
      <w:bookmarkStart w:id="15" w:name="_Toc10829"/>
      <w:bookmarkStart w:id="16" w:name="_Toc21455"/>
      <w:bookmarkStart w:id="17" w:name="_Toc6675"/>
      <w:bookmarkStart w:id="18" w:name="_Toc17953"/>
      <w:bookmarkStart w:id="19" w:name="_Toc23603"/>
      <w:bookmarkStart w:id="20" w:name="_Toc12937"/>
      <w:r>
        <w:rPr>
          <w:rFonts w:hint="eastAsia"/>
          <w:b/>
          <w:bCs/>
          <w:color w:val="auto"/>
          <w:sz w:val="28"/>
          <w:szCs w:val="28"/>
          <w:highlight w:val="none"/>
        </w:rPr>
        <w:t>一、项目基本情况：</w:t>
      </w:r>
      <w:bookmarkEnd w:id="15"/>
      <w:bookmarkEnd w:id="16"/>
      <w:bookmarkEnd w:id="17"/>
      <w:bookmarkEnd w:id="18"/>
      <w:bookmarkEnd w:id="19"/>
      <w:bookmarkEnd w:id="20"/>
    </w:p>
    <w:p>
      <w:pPr>
        <w:pStyle w:val="98"/>
        <w:widowControl/>
        <w:spacing w:line="4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项目编号：JSXC-2023-</w:t>
      </w:r>
      <w:r>
        <w:rPr>
          <w:rFonts w:hint="eastAsia" w:ascii="宋体" w:hAnsi="宋体" w:cs="宋体"/>
          <w:color w:val="auto"/>
          <w:kern w:val="0"/>
          <w:szCs w:val="21"/>
          <w:highlight w:val="none"/>
          <w:lang w:val="en-US" w:eastAsia="zh-CN"/>
        </w:rPr>
        <w:t>100</w:t>
      </w:r>
    </w:p>
    <w:p>
      <w:pPr>
        <w:pStyle w:val="98"/>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项目名称： </w:t>
      </w:r>
      <w:r>
        <w:rPr>
          <w:rFonts w:hint="eastAsia" w:ascii="宋体" w:hAnsi="宋体" w:cs="宋体"/>
          <w:color w:val="auto"/>
          <w:kern w:val="0"/>
          <w:szCs w:val="21"/>
          <w:highlight w:val="none"/>
          <w:lang w:val="en-US" w:eastAsia="zh-CN"/>
        </w:rPr>
        <w:t>哈密市中心医院针对哈密市中心医院医保管理方面提供智能化服务</w:t>
      </w:r>
    </w:p>
    <w:p>
      <w:pPr>
        <w:pStyle w:val="98"/>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采购方式：竞争性磋商</w:t>
      </w:r>
    </w:p>
    <w:p>
      <w:pPr>
        <w:pStyle w:val="98"/>
        <w:widowControl/>
        <w:spacing w:line="4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预算金额（元）：</w:t>
      </w:r>
      <w:r>
        <w:rPr>
          <w:rFonts w:hint="eastAsia" w:ascii="宋体" w:hAnsi="宋体" w:cs="宋体"/>
          <w:color w:val="auto"/>
          <w:kern w:val="0"/>
          <w:szCs w:val="21"/>
          <w:highlight w:val="none"/>
          <w:lang w:val="en-US" w:eastAsia="zh-CN"/>
        </w:rPr>
        <w:t>1300000.00</w:t>
      </w:r>
    </w:p>
    <w:p>
      <w:pPr>
        <w:pStyle w:val="98"/>
        <w:widowControl/>
        <w:spacing w:line="400" w:lineRule="exact"/>
        <w:ind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最高限价（元）：</w:t>
      </w:r>
      <w:r>
        <w:rPr>
          <w:rFonts w:hint="eastAsia" w:ascii="宋体" w:hAnsi="宋体" w:cs="宋体"/>
          <w:color w:val="auto"/>
          <w:kern w:val="0"/>
          <w:szCs w:val="21"/>
          <w:highlight w:val="none"/>
          <w:lang w:val="en-US" w:eastAsia="zh-CN"/>
        </w:rPr>
        <w:t>1300000.00</w:t>
      </w:r>
    </w:p>
    <w:p>
      <w:pPr>
        <w:pStyle w:val="98"/>
        <w:widowControl/>
        <w:spacing w:before="156" w:beforeLines="50"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r>
        <w:rPr>
          <w:rFonts w:hint="eastAsia" w:ascii="宋体" w:hAnsi="宋体" w:eastAsia="宋体" w:cs="宋体"/>
          <w:color w:val="auto"/>
          <w:sz w:val="21"/>
          <w:szCs w:val="21"/>
          <w:lang w:val="en-GB" w:eastAsia="zh-CN"/>
        </w:rPr>
        <w:t>医院医保精细化管理服务</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lang w:eastAsia="zh-CN"/>
        </w:rPr>
        <w:t>医院医保内部管控服务</w:t>
      </w:r>
      <w:r>
        <w:rPr>
          <w:rFonts w:hint="eastAsia" w:ascii="宋体" w:hAnsi="宋体" w:cs="宋体"/>
          <w:color w:val="auto"/>
          <w:kern w:val="0"/>
          <w:szCs w:val="21"/>
          <w:highlight w:val="none"/>
          <w:lang w:val="en-US" w:eastAsia="zh-CN"/>
        </w:rPr>
        <w:t>（详见第三章采购需求）</w:t>
      </w:r>
    </w:p>
    <w:p>
      <w:pPr>
        <w:pStyle w:val="98"/>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标项名称：</w:t>
      </w:r>
      <w:r>
        <w:rPr>
          <w:rFonts w:hint="eastAsia" w:ascii="宋体" w:hAnsi="宋体" w:cs="宋体"/>
          <w:color w:val="auto"/>
          <w:kern w:val="0"/>
          <w:szCs w:val="21"/>
          <w:highlight w:val="none"/>
          <w:lang w:val="en-US" w:eastAsia="zh-CN"/>
        </w:rPr>
        <w:t>哈密市中心医院针对哈密市中心医院医保管理方面提供智能化服务</w:t>
      </w:r>
    </w:p>
    <w:p>
      <w:pPr>
        <w:pStyle w:val="98"/>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预算金额（元）</w:t>
      </w:r>
      <w:r>
        <w:rPr>
          <w:rFonts w:hint="eastAsia" w:ascii="宋体" w:hAnsi="宋体" w:cs="宋体"/>
          <w:color w:val="auto"/>
          <w:kern w:val="0"/>
          <w:szCs w:val="21"/>
          <w:highlight w:val="none"/>
          <w:lang w:val="en-US" w:eastAsia="zh-CN"/>
        </w:rPr>
        <w:t>1300000.00</w:t>
      </w:r>
    </w:p>
    <w:p>
      <w:pPr>
        <w:pStyle w:val="98"/>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单位：</w:t>
      </w:r>
      <w:r>
        <w:rPr>
          <w:rFonts w:hint="eastAsia" w:ascii="宋体" w:hAnsi="宋体" w:cs="宋体"/>
          <w:color w:val="auto"/>
          <w:kern w:val="0"/>
          <w:szCs w:val="21"/>
          <w:highlight w:val="none"/>
          <w:lang w:val="en-US" w:eastAsia="zh-CN"/>
        </w:rPr>
        <w:t>批</w:t>
      </w:r>
    </w:p>
    <w:p>
      <w:pPr>
        <w:outlineLvl w:val="1"/>
        <w:rPr>
          <w:rFonts w:hint="eastAsia"/>
          <w:b/>
          <w:bCs/>
          <w:color w:val="auto"/>
          <w:sz w:val="28"/>
          <w:szCs w:val="28"/>
          <w:highlight w:val="none"/>
        </w:rPr>
      </w:pPr>
      <w:bookmarkStart w:id="21" w:name="_Toc24545"/>
      <w:bookmarkStart w:id="22" w:name="_Toc2187"/>
      <w:bookmarkStart w:id="23" w:name="_Toc8095"/>
      <w:bookmarkStart w:id="24" w:name="_Toc3501"/>
      <w:bookmarkStart w:id="25" w:name="_Toc27866"/>
      <w:bookmarkStart w:id="26" w:name="_Toc6800"/>
      <w:r>
        <w:rPr>
          <w:rFonts w:hint="eastAsia"/>
          <w:b/>
          <w:bCs/>
          <w:color w:val="auto"/>
          <w:sz w:val="28"/>
          <w:szCs w:val="28"/>
          <w:highlight w:val="none"/>
          <w:lang w:val="en-US" w:eastAsia="zh-CN"/>
        </w:rPr>
        <w:t>二</w:t>
      </w:r>
      <w:r>
        <w:rPr>
          <w:rFonts w:hint="eastAsia"/>
          <w:b/>
          <w:bCs/>
          <w:color w:val="auto"/>
          <w:sz w:val="28"/>
          <w:szCs w:val="28"/>
          <w:highlight w:val="none"/>
        </w:rPr>
        <w:t>、申请人的资格要求：</w:t>
      </w:r>
      <w:bookmarkEnd w:id="21"/>
      <w:bookmarkEnd w:id="22"/>
      <w:bookmarkEnd w:id="23"/>
      <w:bookmarkEnd w:id="24"/>
      <w:bookmarkEnd w:id="25"/>
      <w:bookmarkEnd w:id="26"/>
    </w:p>
    <w:p>
      <w:pPr>
        <w:pStyle w:val="98"/>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1、供应商资格要求：</w:t>
      </w:r>
    </w:p>
    <w:p>
      <w:pPr>
        <w:pStyle w:val="98"/>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具有独立承担民事责任能力</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；（提供合法有效的法人营业执照并需具备完成本项目的相关经营范围）；</w:t>
      </w:r>
    </w:p>
    <w:p>
      <w:pPr>
        <w:pStyle w:val="98"/>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具有良好的商业信誉和健全的财务会计制度；（提供2020、2021年度的经第三方审计单位出具有效的财务报告，成立不满足年限的提供成立至今的财务报告）；</w:t>
      </w:r>
    </w:p>
    <w:p>
      <w:pPr>
        <w:pStyle w:val="98"/>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具有履行合同所必需的设备和专业技术能力；（根据项目需求提供履行合同所必需的设备和专业技术能力的证明材料或加盖单位章的书面承诺函）；</w:t>
      </w:r>
    </w:p>
    <w:p>
      <w:pPr>
        <w:pStyle w:val="98"/>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）有依法缴纳税收和社会保障资金的良好记录；（提供参加本次政府采购活动前近半年内依法缴纳税收和社会保障资金的相关材料）；</w:t>
      </w:r>
    </w:p>
    <w:p>
      <w:pPr>
        <w:pStyle w:val="98"/>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（5）参加政府采购活动前三年内，在经营活动中没有重大违法记录；（提供参加本次政府采购活动前3年内在经营活动中没有重大违法记录的书面承诺函并加盖单位章）</w:t>
      </w:r>
    </w:p>
    <w:p>
      <w:pPr>
        <w:pStyle w:val="98"/>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 6） 法律、行政法规规定的其他条件。</w:t>
      </w:r>
    </w:p>
    <w:p>
      <w:pPr>
        <w:pStyle w:val="98"/>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2、落实政府采购政策需满足的资格要求：</w:t>
      </w:r>
      <w:r>
        <w:rPr>
          <w:rFonts w:hint="eastAsia" w:ascii="宋体" w:hAnsi="宋体" w:cs="宋体"/>
          <w:color w:val="auto"/>
          <w:kern w:val="0"/>
          <w:szCs w:val="21"/>
          <w:highlight w:val="none"/>
          <w:lang w:eastAsia="zh-CN"/>
        </w:rPr>
        <w:t>无</w:t>
      </w:r>
    </w:p>
    <w:p>
      <w:pPr>
        <w:pStyle w:val="98"/>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3、本项目的特定资格要求：</w:t>
      </w:r>
      <w:r>
        <w:rPr>
          <w:rFonts w:hint="eastAsia" w:ascii="宋体" w:hAnsi="宋体" w:cs="宋体"/>
          <w:color w:val="auto"/>
          <w:kern w:val="0"/>
          <w:szCs w:val="21"/>
          <w:highlight w:val="none"/>
          <w:lang w:val="en-US" w:eastAsia="zh-CN"/>
        </w:rPr>
        <w:t>无</w:t>
      </w:r>
    </w:p>
    <w:p>
      <w:pPr>
        <w:pStyle w:val="22"/>
        <w:numPr>
          <w:ilvl w:val="0"/>
          <w:numId w:val="0"/>
        </w:numPr>
        <w:rPr>
          <w:rFonts w:hint="eastAsia"/>
          <w:lang w:val="en-US" w:eastAsia="zh-CN"/>
        </w:rPr>
      </w:pPr>
    </w:p>
    <w:p>
      <w:pPr>
        <w:outlineLvl w:val="1"/>
        <w:rPr>
          <w:rFonts w:hint="eastAsia"/>
          <w:b/>
          <w:bCs/>
          <w:color w:val="auto"/>
          <w:sz w:val="28"/>
          <w:szCs w:val="28"/>
          <w:highlight w:val="none"/>
        </w:rPr>
      </w:pPr>
      <w:bookmarkStart w:id="27" w:name="_Toc2676"/>
      <w:bookmarkStart w:id="28" w:name="_Toc6805"/>
      <w:bookmarkStart w:id="29" w:name="_Toc9396"/>
      <w:bookmarkStart w:id="30" w:name="_Toc3581"/>
      <w:bookmarkStart w:id="31" w:name="_Toc11973"/>
      <w:bookmarkStart w:id="32" w:name="_Toc6329"/>
      <w:r>
        <w:rPr>
          <w:rFonts w:hint="eastAsia"/>
          <w:b/>
          <w:bCs/>
          <w:color w:val="auto"/>
          <w:sz w:val="28"/>
          <w:szCs w:val="28"/>
          <w:highlight w:val="none"/>
          <w:lang w:val="en-US" w:eastAsia="zh-CN"/>
        </w:rPr>
        <w:t>三</w:t>
      </w:r>
      <w:r>
        <w:rPr>
          <w:rFonts w:hint="eastAsia"/>
          <w:b/>
          <w:bCs/>
          <w:color w:val="auto"/>
          <w:sz w:val="28"/>
          <w:szCs w:val="28"/>
          <w:highlight w:val="none"/>
        </w:rPr>
        <w:t>、获取采购文件：</w:t>
      </w:r>
      <w:bookmarkEnd w:id="27"/>
      <w:bookmarkEnd w:id="28"/>
      <w:bookmarkEnd w:id="29"/>
      <w:bookmarkEnd w:id="30"/>
      <w:bookmarkEnd w:id="31"/>
      <w:bookmarkEnd w:id="32"/>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时间：202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31</w:t>
      </w:r>
      <w:r>
        <w:rPr>
          <w:rFonts w:hint="eastAsia" w:ascii="宋体" w:hAnsi="宋体" w:cs="宋体"/>
          <w:color w:val="auto"/>
          <w:kern w:val="0"/>
          <w:szCs w:val="21"/>
          <w:highlight w:val="none"/>
        </w:rPr>
        <w:t>日至2023年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日，每天上午</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:00至1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:00，下午1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0至</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59:50</w:t>
      </w:r>
    </w:p>
    <w:p>
      <w:pPr>
        <w:pStyle w:val="103"/>
        <w:widowControl/>
        <w:spacing w:line="40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地点：新疆政府采购网政采云平台：</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"http://www.ccgp-xinjiang.gov.cn/" </w:instrText>
      </w:r>
      <w:r>
        <w:rPr>
          <w:rFonts w:hint="eastAsia" w:ascii="宋体" w:hAnsi="宋体" w:cs="宋体"/>
          <w:color w:val="auto"/>
          <w:kern w:val="0"/>
          <w:szCs w:val="21"/>
          <w:highlight w:val="none"/>
        </w:rPr>
        <w:fldChar w:fldCharType="separate"/>
      </w:r>
      <w:r>
        <w:rPr>
          <w:rStyle w:val="48"/>
          <w:rFonts w:hint="eastAsia" w:ascii="宋体" w:hAnsi="宋体" w:cs="宋体"/>
          <w:color w:val="auto"/>
          <w:kern w:val="0"/>
          <w:szCs w:val="21"/>
          <w:highlight w:val="none"/>
        </w:rPr>
        <w:t>http://www.ccgp-xinjiang.gov.cn/</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获取</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方式：供应商登录政采云平台https://www.zcygov.cn/在线申请获取采购文件（进入“项目采购”应用，在获取采购文件菜单中选择项目，申请获取采购文件）</w:t>
      </w:r>
    </w:p>
    <w:p>
      <w:pPr>
        <w:pStyle w:val="103"/>
        <w:widowControl/>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售价（元）：0</w:t>
      </w:r>
    </w:p>
    <w:p>
      <w:pPr>
        <w:outlineLvl w:val="1"/>
        <w:rPr>
          <w:rFonts w:hint="eastAsia"/>
          <w:b/>
          <w:bCs/>
          <w:color w:val="auto"/>
          <w:sz w:val="28"/>
          <w:szCs w:val="28"/>
          <w:highlight w:val="none"/>
        </w:rPr>
      </w:pPr>
      <w:bookmarkStart w:id="33" w:name="_Toc25054"/>
      <w:bookmarkStart w:id="34" w:name="_Toc544"/>
      <w:bookmarkStart w:id="35" w:name="_Toc6581"/>
      <w:bookmarkStart w:id="36" w:name="_Toc25919"/>
      <w:bookmarkStart w:id="37" w:name="_Toc12919"/>
      <w:r>
        <w:rPr>
          <w:rFonts w:hint="eastAsia"/>
          <w:b/>
          <w:bCs/>
          <w:color w:val="auto"/>
          <w:sz w:val="28"/>
          <w:szCs w:val="28"/>
          <w:highlight w:val="none"/>
          <w:lang w:val="en-US" w:eastAsia="zh-CN"/>
        </w:rPr>
        <w:t>四</w:t>
      </w:r>
      <w:r>
        <w:rPr>
          <w:rFonts w:hint="eastAsia"/>
          <w:b/>
          <w:bCs/>
          <w:color w:val="auto"/>
          <w:sz w:val="28"/>
          <w:szCs w:val="28"/>
          <w:highlight w:val="none"/>
        </w:rPr>
        <w:t>、响应文件提交</w:t>
      </w:r>
      <w:bookmarkEnd w:id="33"/>
      <w:bookmarkEnd w:id="34"/>
      <w:bookmarkEnd w:id="35"/>
      <w:bookmarkEnd w:id="36"/>
      <w:bookmarkEnd w:id="37"/>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截止时间：2023年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日1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0（北京时间）</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地点：在政采云指定位置上传响应文件</w:t>
      </w:r>
    </w:p>
    <w:p>
      <w:pPr>
        <w:outlineLvl w:val="1"/>
        <w:rPr>
          <w:rFonts w:hint="eastAsia"/>
          <w:b/>
          <w:bCs/>
          <w:color w:val="auto"/>
          <w:sz w:val="28"/>
          <w:szCs w:val="28"/>
          <w:highlight w:val="none"/>
        </w:rPr>
      </w:pPr>
      <w:bookmarkStart w:id="38" w:name="_Toc12314"/>
      <w:bookmarkStart w:id="39" w:name="_Toc17209"/>
      <w:bookmarkStart w:id="40" w:name="_Toc18157"/>
      <w:bookmarkStart w:id="41" w:name="_Toc18043"/>
      <w:bookmarkStart w:id="42" w:name="_Toc28339"/>
      <w:bookmarkStart w:id="43" w:name="_Toc3684"/>
      <w:r>
        <w:rPr>
          <w:rFonts w:hint="eastAsia"/>
          <w:b/>
          <w:bCs/>
          <w:color w:val="auto"/>
          <w:sz w:val="28"/>
          <w:szCs w:val="28"/>
          <w:highlight w:val="none"/>
          <w:lang w:val="en-US" w:eastAsia="zh-CN"/>
        </w:rPr>
        <w:t>五</w:t>
      </w:r>
      <w:r>
        <w:rPr>
          <w:rFonts w:hint="eastAsia"/>
          <w:b/>
          <w:bCs/>
          <w:color w:val="auto"/>
          <w:sz w:val="28"/>
          <w:szCs w:val="28"/>
          <w:highlight w:val="none"/>
        </w:rPr>
        <w:t>、响应文件开启</w:t>
      </w:r>
      <w:bookmarkEnd w:id="38"/>
      <w:bookmarkEnd w:id="39"/>
      <w:bookmarkEnd w:id="40"/>
      <w:bookmarkEnd w:id="41"/>
      <w:bookmarkEnd w:id="42"/>
      <w:bookmarkEnd w:id="43"/>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开启时间：2023年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日1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0（北京时间）</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地点：供应商登陆政采云https://www.zcygov.cn/不见面开标大厅开标。</w:t>
      </w:r>
    </w:p>
    <w:p>
      <w:pPr>
        <w:outlineLvl w:val="1"/>
        <w:rPr>
          <w:rFonts w:hint="eastAsia"/>
          <w:b/>
          <w:bCs/>
          <w:color w:val="auto"/>
          <w:sz w:val="28"/>
          <w:szCs w:val="28"/>
          <w:highlight w:val="none"/>
        </w:rPr>
      </w:pPr>
      <w:bookmarkStart w:id="44" w:name="_Toc2211"/>
      <w:bookmarkStart w:id="45" w:name="_Toc13818"/>
      <w:bookmarkStart w:id="46" w:name="_Toc29766"/>
      <w:bookmarkStart w:id="47" w:name="_Toc22310"/>
      <w:bookmarkStart w:id="48" w:name="_Toc10617"/>
      <w:bookmarkStart w:id="49" w:name="_Toc23351"/>
      <w:r>
        <w:rPr>
          <w:rFonts w:hint="eastAsia"/>
          <w:b/>
          <w:bCs/>
          <w:color w:val="auto"/>
          <w:sz w:val="28"/>
          <w:szCs w:val="28"/>
          <w:highlight w:val="none"/>
          <w:lang w:val="en-US" w:eastAsia="zh-CN"/>
        </w:rPr>
        <w:t>六</w:t>
      </w:r>
      <w:r>
        <w:rPr>
          <w:rFonts w:hint="eastAsia"/>
          <w:b/>
          <w:bCs/>
          <w:color w:val="auto"/>
          <w:sz w:val="28"/>
          <w:szCs w:val="28"/>
          <w:highlight w:val="none"/>
        </w:rPr>
        <w:t>、公告期限</w:t>
      </w:r>
      <w:bookmarkEnd w:id="44"/>
      <w:bookmarkEnd w:id="45"/>
      <w:bookmarkEnd w:id="46"/>
      <w:bookmarkEnd w:id="47"/>
      <w:bookmarkEnd w:id="48"/>
      <w:bookmarkEnd w:id="49"/>
    </w:p>
    <w:p>
      <w:pPr>
        <w:pStyle w:val="103"/>
        <w:widowControl/>
        <w:spacing w:line="400" w:lineRule="exact"/>
        <w:ind w:firstLine="420" w:firstLineChars="200"/>
        <w:jc w:val="left"/>
        <w:rPr>
          <w:rFonts w:hint="eastAsia" w:ascii="宋体" w:hAnsi="宋体" w:cs="宋体"/>
          <w:color w:val="auto"/>
          <w:kern w:val="0"/>
          <w:szCs w:val="21"/>
          <w:highlight w:val="yellow"/>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w:t>
      </w:r>
    </w:p>
    <w:p>
      <w:pPr>
        <w:outlineLvl w:val="1"/>
        <w:rPr>
          <w:rFonts w:hint="eastAsia"/>
          <w:b/>
          <w:bCs/>
          <w:color w:val="auto"/>
          <w:sz w:val="28"/>
          <w:szCs w:val="28"/>
          <w:highlight w:val="none"/>
        </w:rPr>
      </w:pPr>
      <w:bookmarkStart w:id="50" w:name="_Toc16093"/>
      <w:bookmarkStart w:id="51" w:name="_Toc11678"/>
      <w:bookmarkStart w:id="52" w:name="_Toc17094"/>
      <w:bookmarkStart w:id="53" w:name="_Toc13151"/>
      <w:bookmarkStart w:id="54" w:name="_Toc16702"/>
      <w:bookmarkStart w:id="55" w:name="_Toc22616"/>
      <w:r>
        <w:rPr>
          <w:rFonts w:hint="eastAsia"/>
          <w:b/>
          <w:bCs/>
          <w:color w:val="auto"/>
          <w:sz w:val="28"/>
          <w:szCs w:val="28"/>
          <w:highlight w:val="none"/>
          <w:lang w:val="en-US" w:eastAsia="zh-CN"/>
        </w:rPr>
        <w:t>七</w:t>
      </w:r>
      <w:r>
        <w:rPr>
          <w:rFonts w:hint="eastAsia"/>
          <w:b/>
          <w:bCs/>
          <w:color w:val="auto"/>
          <w:sz w:val="28"/>
          <w:szCs w:val="28"/>
          <w:highlight w:val="none"/>
        </w:rPr>
        <w:t>、其他补充事宜</w:t>
      </w:r>
      <w:bookmarkEnd w:id="50"/>
      <w:bookmarkEnd w:id="51"/>
      <w:bookmarkEnd w:id="52"/>
      <w:bookmarkEnd w:id="53"/>
      <w:bookmarkEnd w:id="54"/>
      <w:bookmarkEnd w:id="55"/>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2.在投标文件递交截止时间前，供应商须随时关注本项目招标公告发布网站（</w:t>
      </w:r>
      <w:r>
        <w:rPr>
          <w:rFonts w:hint="eastAsia" w:ascii="宋体" w:hAnsi="宋体" w:cs="宋体"/>
          <w:color w:val="auto"/>
          <w:kern w:val="0"/>
          <w:szCs w:val="21"/>
          <w:highlight w:val="none"/>
          <w:lang w:eastAsia="zh-CN"/>
        </w:rPr>
        <w:t>新疆</w:t>
      </w:r>
      <w:r>
        <w:rPr>
          <w:rFonts w:hint="eastAsia" w:ascii="宋体" w:hAnsi="宋体" w:cs="宋体"/>
          <w:color w:val="auto"/>
          <w:kern w:val="0"/>
          <w:szCs w:val="21"/>
          <w:highlight w:val="none"/>
        </w:rPr>
        <w:t>政府采购网（http://www.ccgp-xinjiang.gov.cn/）上本项目的最新的变更公告、更正公告、澄清公告等相关信息，并对上述查看行为自行承担责任。对于未查看最新的变更公告、更正公告、澄清公告等相关信息，而造成的一切后果，由供应商自行承担。</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3.供应商须注意事项：</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本项目采用全流程不见面电子开评标，供应商需要使用CA加密设备，供应商可通过新疆数字证书认证中心官网（https://www.xjca.com.cn/）或下载“新疆政务通”APP自行进行申领。</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本项目实行网上投标，采用加密电子投标响应文件(供应商须使用CA加密设备通过政采云电子投标客户端制作投标响应文件)。若供应商参与投标，自行承担投标一切费用。</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各投标人在开标前应确保成为新疆政府采购网正式注册入库供应商，并完成CA数字证书申领。因未注册入库、未办理CA数字证书等原因造成无法投标或投标失败等后果由供应商自行承担。</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进行咨询。</w:t>
      </w:r>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outlineLvl w:val="1"/>
        <w:rPr>
          <w:rFonts w:hint="eastAsia"/>
          <w:b/>
          <w:bCs/>
          <w:color w:val="auto"/>
          <w:sz w:val="28"/>
          <w:szCs w:val="28"/>
          <w:highlight w:val="none"/>
        </w:rPr>
      </w:pPr>
      <w:bookmarkStart w:id="56" w:name="_Toc27577"/>
      <w:bookmarkStart w:id="57" w:name="_Toc13054"/>
      <w:bookmarkStart w:id="58" w:name="_Toc15576"/>
      <w:bookmarkStart w:id="59" w:name="_Toc29038"/>
      <w:bookmarkStart w:id="60" w:name="_Toc23568"/>
      <w:bookmarkStart w:id="61" w:name="_Toc3133"/>
      <w:r>
        <w:rPr>
          <w:rFonts w:hint="eastAsia"/>
          <w:b/>
          <w:bCs/>
          <w:color w:val="auto"/>
          <w:sz w:val="28"/>
          <w:szCs w:val="28"/>
          <w:highlight w:val="none"/>
          <w:lang w:val="en-US" w:eastAsia="zh-CN"/>
        </w:rPr>
        <w:t>八</w:t>
      </w:r>
      <w:r>
        <w:rPr>
          <w:rFonts w:hint="eastAsia"/>
          <w:b/>
          <w:bCs/>
          <w:color w:val="auto"/>
          <w:sz w:val="28"/>
          <w:szCs w:val="28"/>
          <w:highlight w:val="none"/>
        </w:rPr>
        <w:t>、凡对本次采购提出询问，请按以下方式联系</w:t>
      </w:r>
      <w:bookmarkEnd w:id="56"/>
      <w:bookmarkEnd w:id="57"/>
      <w:bookmarkEnd w:id="58"/>
      <w:bookmarkEnd w:id="59"/>
      <w:bookmarkEnd w:id="60"/>
      <w:bookmarkEnd w:id="61"/>
    </w:p>
    <w:p>
      <w:pPr>
        <w:pStyle w:val="103"/>
        <w:widowControl/>
        <w:spacing w:line="400" w:lineRule="exact"/>
        <w:ind w:firstLine="420" w:firstLineChars="200"/>
        <w:jc w:val="left"/>
        <w:rPr>
          <w:rFonts w:hint="eastAsia" w:ascii="宋体" w:hAnsi="宋体" w:cs="宋体"/>
          <w:color w:val="auto"/>
          <w:kern w:val="0"/>
          <w:szCs w:val="21"/>
          <w:highlight w:val="none"/>
        </w:rPr>
      </w:pPr>
      <w:bookmarkStart w:id="62" w:name="_Toc7185"/>
      <w:r>
        <w:rPr>
          <w:rFonts w:hint="eastAsia" w:ascii="宋体" w:hAnsi="宋体" w:cs="宋体"/>
          <w:color w:val="auto"/>
          <w:kern w:val="0"/>
          <w:szCs w:val="21"/>
          <w:highlight w:val="none"/>
        </w:rPr>
        <w:t>1、采购人信息：</w:t>
      </w:r>
      <w:bookmarkEnd w:id="62"/>
    </w:p>
    <w:p>
      <w:pPr>
        <w:pStyle w:val="103"/>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r>
        <w:rPr>
          <w:rFonts w:hint="eastAsia" w:cs="宋体"/>
          <w:szCs w:val="24"/>
          <w:lang w:bidi="ar"/>
        </w:rPr>
        <w:t>哈密市中心医院</w:t>
      </w:r>
    </w:p>
    <w:p>
      <w:pPr>
        <w:pStyle w:val="103"/>
        <w:widowControl/>
        <w:spacing w:line="400" w:lineRule="exact"/>
        <w:ind w:firstLine="420" w:firstLineChars="200"/>
        <w:jc w:val="left"/>
        <w:rPr>
          <w:rFonts w:hint="eastAsia" w:ascii="宋体" w:hAnsi="宋体" w:eastAsia="宋体" w:cs="宋体"/>
          <w:color w:val="auto"/>
          <w:kern w:val="0"/>
          <w:szCs w:val="21"/>
          <w:highlight w:val="yellow"/>
          <w:lang w:eastAsia="zh-CN"/>
        </w:rPr>
      </w:pPr>
      <w:r>
        <w:rPr>
          <w:rFonts w:hint="eastAsia" w:ascii="宋体" w:hAnsi="宋体" w:cs="宋体"/>
          <w:color w:val="auto"/>
          <w:kern w:val="0"/>
          <w:szCs w:val="21"/>
          <w:highlight w:val="none"/>
        </w:rPr>
        <w:t>地址：哈密市伊州区广场北路10号</w:t>
      </w:r>
    </w:p>
    <w:p>
      <w:pPr>
        <w:widowControl/>
        <w:spacing w:line="48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项目联系人：</w:t>
      </w:r>
      <w:r>
        <w:rPr>
          <w:rFonts w:hint="eastAsia" w:cs="宋体"/>
          <w:szCs w:val="24"/>
          <w:lang w:bidi="ar"/>
        </w:rPr>
        <w:t>沈卓睿</w:t>
      </w:r>
    </w:p>
    <w:p>
      <w:pPr>
        <w:pStyle w:val="103"/>
        <w:widowControl/>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联系方式：0902-2260204</w:t>
      </w:r>
    </w:p>
    <w:p>
      <w:pPr>
        <w:pStyle w:val="103"/>
        <w:widowControl/>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p>
    <w:p>
      <w:pPr>
        <w:pStyle w:val="103"/>
        <w:widowControl/>
        <w:spacing w:line="400" w:lineRule="exact"/>
        <w:ind w:firstLine="420" w:firstLineChars="200"/>
        <w:jc w:val="left"/>
        <w:rPr>
          <w:rFonts w:hint="eastAsia" w:ascii="宋体" w:hAnsi="宋体" w:cs="宋体"/>
          <w:color w:val="auto"/>
          <w:kern w:val="0"/>
          <w:szCs w:val="21"/>
          <w:highlight w:val="none"/>
        </w:rPr>
      </w:pPr>
      <w:bookmarkStart w:id="63" w:name="_Toc32125"/>
      <w:r>
        <w:rPr>
          <w:rFonts w:hint="eastAsia" w:ascii="宋体" w:hAnsi="宋体" w:cs="宋体"/>
          <w:color w:val="auto"/>
          <w:kern w:val="0"/>
          <w:szCs w:val="21"/>
          <w:highlight w:val="none"/>
        </w:rPr>
        <w:t>2、采购代理机构信息：</w:t>
      </w:r>
      <w:bookmarkEnd w:id="63"/>
    </w:p>
    <w:p>
      <w:pPr>
        <w:widowControl/>
        <w:spacing w:line="4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val="zh-CN"/>
        </w:rPr>
        <w:t>新疆金世信诚建设项目管理集团有限公司</w:t>
      </w:r>
    </w:p>
    <w:p>
      <w:pPr>
        <w:widowControl/>
        <w:numPr>
          <w:ilvl w:val="0"/>
          <w:numId w:val="0"/>
        </w:numPr>
        <w:spacing w:line="560" w:lineRule="exact"/>
        <w:ind w:left="420" w:leftChars="0"/>
        <w:jc w:val="left"/>
        <w:rPr>
          <w:rFonts w:hint="eastAsia" w:ascii="宋体" w:hAnsi="宋体" w:cs="宋体"/>
          <w:sz w:val="24"/>
          <w:szCs w:val="24"/>
        </w:rPr>
      </w:pPr>
      <w:r>
        <w:rPr>
          <w:rFonts w:hint="eastAsia" w:ascii="宋体" w:hAnsi="宋体" w:eastAsia="宋体" w:cs="宋体"/>
          <w:color w:val="auto"/>
          <w:kern w:val="0"/>
          <w:sz w:val="21"/>
          <w:szCs w:val="21"/>
          <w:highlight w:val="none"/>
          <w:lang w:val="en-US" w:eastAsia="zh-CN" w:bidi="ar-SA"/>
        </w:rPr>
        <w:t>地址：</w:t>
      </w:r>
      <w:r>
        <w:rPr>
          <w:rFonts w:hint="eastAsia" w:ascii="宋体" w:hAnsi="宋体" w:cs="宋体"/>
          <w:color w:val="auto"/>
          <w:kern w:val="0"/>
          <w:szCs w:val="21"/>
          <w:highlight w:val="none"/>
          <w:lang w:val="zh-CN"/>
        </w:rPr>
        <w:t>新疆哈密市伊州区广东工业园加工区（S303S省道西侧）岭南2号</w:t>
      </w:r>
      <w:r>
        <w:rPr>
          <w:rFonts w:hint="eastAsia" w:ascii="宋体" w:hAnsi="宋体" w:cs="宋体"/>
          <w:kern w:val="0"/>
          <w:sz w:val="24"/>
          <w:szCs w:val="24"/>
          <w:lang w:bidi="ar"/>
        </w:rPr>
        <w:t xml:space="preserve"> </w:t>
      </w:r>
    </w:p>
    <w:p>
      <w:pPr>
        <w:widowControl/>
        <w:spacing w:line="480" w:lineRule="exact"/>
        <w:ind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项目联系人：</w:t>
      </w:r>
      <w:r>
        <w:rPr>
          <w:rFonts w:hint="eastAsia" w:ascii="宋体" w:hAnsi="宋体" w:cs="宋体"/>
          <w:color w:val="auto"/>
          <w:kern w:val="0"/>
          <w:sz w:val="21"/>
          <w:szCs w:val="21"/>
          <w:highlight w:val="none"/>
          <w:lang w:val="en-US" w:eastAsia="zh-CN" w:bidi="ar-SA"/>
        </w:rPr>
        <w:t>寇雅娟</w:t>
      </w:r>
    </w:p>
    <w:p>
      <w:pPr>
        <w:widowControl/>
        <w:spacing w:line="480" w:lineRule="exact"/>
        <w:ind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联系方式：</w:t>
      </w:r>
      <w:bookmarkEnd w:id="14"/>
      <w:r>
        <w:rPr>
          <w:rFonts w:hint="eastAsia" w:ascii="宋体" w:hAnsi="宋体" w:cs="宋体"/>
          <w:color w:val="auto"/>
          <w:kern w:val="0"/>
          <w:sz w:val="21"/>
          <w:szCs w:val="21"/>
          <w:highlight w:val="none"/>
          <w:lang w:val="en-US" w:eastAsia="zh-CN" w:bidi="ar-SA"/>
        </w:rPr>
        <w:t>13779189957</w:t>
      </w:r>
    </w:p>
    <w:p>
      <w:pPr>
        <w:pStyle w:val="103"/>
        <w:widowControl/>
        <w:spacing w:line="400" w:lineRule="exact"/>
        <w:ind w:firstLine="420" w:firstLineChars="200"/>
        <w:jc w:val="left"/>
        <w:rPr>
          <w:rFonts w:hint="eastAsia" w:ascii="宋体" w:hAnsi="宋体" w:cs="宋体"/>
          <w:color w:val="auto"/>
          <w:kern w:val="0"/>
          <w:szCs w:val="21"/>
          <w:highlight w:val="none"/>
        </w:rPr>
      </w:pPr>
    </w:p>
    <w:p>
      <w:pPr>
        <w:pStyle w:val="3"/>
        <w:rPr>
          <w:rFonts w:hint="eastAsia"/>
          <w:color w:val="auto"/>
          <w:highlight w:val="none"/>
        </w:rPr>
      </w:pPr>
      <w:r>
        <w:rPr>
          <w:rFonts w:hint="eastAsia" w:ascii="宋体" w:hAnsi="宋体" w:cs="宋体"/>
          <w:color w:val="auto"/>
          <w:sz w:val="28"/>
          <w:szCs w:val="28"/>
          <w:highlight w:val="none"/>
        </w:rPr>
        <w:br w:type="page"/>
      </w:r>
      <w:bookmarkStart w:id="64" w:name="_Toc31087"/>
      <w:bookmarkStart w:id="65" w:name="_Toc3362"/>
      <w:bookmarkStart w:id="66" w:name="_Toc30014"/>
      <w:bookmarkStart w:id="67" w:name="_Toc30507"/>
      <w:bookmarkStart w:id="68" w:name="_Toc21886"/>
      <w:bookmarkStart w:id="69" w:name="_Toc529952597"/>
      <w:bookmarkStart w:id="70" w:name="_Toc28615"/>
      <w:bookmarkStart w:id="71" w:name="_Toc15011"/>
      <w:r>
        <w:rPr>
          <w:rFonts w:hint="eastAsia" w:ascii="宋体" w:hAnsi="宋体" w:cs="宋体"/>
          <w:color w:val="auto"/>
          <w:sz w:val="44"/>
          <w:szCs w:val="44"/>
          <w:highlight w:val="none"/>
        </w:rPr>
        <w:t>第二章  磋商须知</w:t>
      </w:r>
      <w:bookmarkEnd w:id="64"/>
      <w:bookmarkEnd w:id="65"/>
      <w:bookmarkEnd w:id="66"/>
      <w:bookmarkEnd w:id="67"/>
      <w:bookmarkEnd w:id="68"/>
      <w:bookmarkEnd w:id="69"/>
      <w:bookmarkEnd w:id="70"/>
      <w:bookmarkEnd w:id="71"/>
      <w:bookmarkStart w:id="72" w:name="EBd5da4144bf5b4dcfa561be372d70f824"/>
    </w:p>
    <w:p>
      <w:pPr>
        <w:pStyle w:val="99"/>
        <w:keepNext/>
        <w:keepLines/>
        <w:spacing w:line="400" w:lineRule="exact"/>
        <w:jc w:val="center"/>
        <w:rPr>
          <w:rFonts w:hint="eastAsia" w:ascii="宋体" w:hAnsi="宋体" w:cs="宋体"/>
          <w:color w:val="auto"/>
          <w:sz w:val="28"/>
          <w:szCs w:val="28"/>
          <w:highlight w:val="none"/>
        </w:rPr>
      </w:pPr>
      <w:bookmarkStart w:id="73" w:name="_Toc11256"/>
      <w:bookmarkStart w:id="74" w:name="_Toc6544"/>
      <w:bookmarkStart w:id="75" w:name="_Toc17069"/>
      <w:bookmarkStart w:id="76" w:name="_Toc1064"/>
      <w:bookmarkStart w:id="77" w:name="_Toc2597"/>
      <w:bookmarkStart w:id="78" w:name="_Toc1153"/>
      <w:bookmarkStart w:id="79" w:name="_Toc3508"/>
      <w:r>
        <w:rPr>
          <w:rFonts w:hint="eastAsia" w:ascii="宋体" w:hAnsi="宋体" w:cs="宋体"/>
          <w:color w:val="auto"/>
          <w:sz w:val="28"/>
          <w:szCs w:val="28"/>
          <w:highlight w:val="none"/>
        </w:rPr>
        <w:t>磋商须知前附表</w:t>
      </w:r>
      <w:bookmarkEnd w:id="73"/>
      <w:bookmarkEnd w:id="74"/>
      <w:bookmarkEnd w:id="75"/>
      <w:bookmarkEnd w:id="76"/>
      <w:bookmarkEnd w:id="77"/>
      <w:bookmarkEnd w:id="78"/>
      <w:bookmarkEnd w:id="79"/>
    </w:p>
    <w:tbl>
      <w:tblPr>
        <w:tblStyle w:val="42"/>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34"/>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334" w:type="dxa"/>
            <w:noWrap w:val="0"/>
            <w:vAlign w:val="center"/>
          </w:tcPr>
          <w:p>
            <w:pPr>
              <w:pStyle w:val="103"/>
              <w:wordWrap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6024" w:type="dxa"/>
            <w:noWrap w:val="0"/>
            <w:vAlign w:val="center"/>
          </w:tcPr>
          <w:p>
            <w:pPr>
              <w:pStyle w:val="103"/>
              <w:wordWrap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采购人</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cs="宋体"/>
                <w:szCs w:val="24"/>
                <w:lang w:bidi="ar"/>
              </w:rPr>
              <w:t>哈密市中心医院</w:t>
            </w:r>
          </w:p>
          <w:p>
            <w:pPr>
              <w:pStyle w:val="103"/>
              <w:wordWrap w:val="0"/>
              <w:spacing w:line="40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地址：</w:t>
            </w:r>
            <w:r>
              <w:rPr>
                <w:rFonts w:hint="eastAsia" w:ascii="宋体" w:hAnsi="宋体" w:cs="宋体"/>
                <w:color w:val="auto"/>
                <w:kern w:val="0"/>
                <w:szCs w:val="21"/>
                <w:highlight w:val="none"/>
              </w:rPr>
              <w:t>哈密市伊州区广场北路10号</w:t>
            </w:r>
          </w:p>
          <w:p>
            <w:pPr>
              <w:pStyle w:val="103"/>
              <w:wordWrap w:val="0"/>
              <w:spacing w:line="40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联 系 人：</w:t>
            </w:r>
            <w:r>
              <w:rPr>
                <w:rFonts w:hint="eastAsia" w:cs="宋体"/>
                <w:szCs w:val="24"/>
                <w:lang w:bidi="ar"/>
              </w:rPr>
              <w:t>沈卓睿</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eastAsia="zh-CN"/>
              </w:rPr>
              <w:t>联系电话：</w:t>
            </w:r>
            <w:r>
              <w:rPr>
                <w:rFonts w:hint="eastAsia" w:cs="宋体"/>
                <w:szCs w:val="24"/>
                <w:lang w:bidi="ar"/>
              </w:rPr>
              <w:t>0902-2260204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采购代理机构</w:t>
            </w:r>
          </w:p>
        </w:tc>
        <w:tc>
          <w:tcPr>
            <w:tcW w:w="6024" w:type="dxa"/>
            <w:noWrap w:val="0"/>
            <w:vAlign w:val="center"/>
          </w:tcPr>
          <w:p>
            <w:pPr>
              <w:pStyle w:val="103"/>
              <w:wordWrap w:val="0"/>
              <w:spacing w:line="400" w:lineRule="exact"/>
              <w:jc w:val="left"/>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eastAsia="zh-CN"/>
              </w:rPr>
              <w:t>名称：</w:t>
            </w:r>
            <w:r>
              <w:rPr>
                <w:rFonts w:hint="eastAsia" w:ascii="宋体" w:hAnsi="宋体" w:cs="宋体"/>
                <w:color w:val="auto"/>
                <w:kern w:val="0"/>
                <w:szCs w:val="21"/>
                <w:highlight w:val="none"/>
                <w:lang w:val="zh-CN" w:eastAsia="zh-CN"/>
              </w:rPr>
              <w:t>新疆金世信诚建设项目管理集团有限公司</w:t>
            </w:r>
          </w:p>
          <w:p>
            <w:pPr>
              <w:pStyle w:val="103"/>
              <w:wordWrap w:val="0"/>
              <w:spacing w:line="40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 xml:space="preserve">地址：新疆哈密市伊州区广东工业园加工区（S303S省道西侧）岭南2号 </w:t>
            </w:r>
          </w:p>
          <w:p>
            <w:pPr>
              <w:pStyle w:val="103"/>
              <w:wordWrap w:val="0"/>
              <w:spacing w:line="40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联系人：</w:t>
            </w:r>
            <w:r>
              <w:rPr>
                <w:rFonts w:hint="eastAsia" w:ascii="宋体" w:hAnsi="宋体" w:cs="宋体"/>
                <w:color w:val="auto"/>
                <w:kern w:val="0"/>
                <w:szCs w:val="21"/>
                <w:highlight w:val="none"/>
                <w:lang w:val="en-US" w:eastAsia="zh-CN"/>
              </w:rPr>
              <w:t>寇雅娟</w:t>
            </w:r>
          </w:p>
          <w:p>
            <w:pPr>
              <w:pStyle w:val="103"/>
              <w:wordWrap w:val="0"/>
              <w:spacing w:line="40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联系电话：</w:t>
            </w:r>
            <w:r>
              <w:rPr>
                <w:rFonts w:hint="eastAsia" w:ascii="宋体" w:hAnsi="宋体" w:cs="宋体"/>
                <w:color w:val="auto"/>
                <w:kern w:val="0"/>
                <w:szCs w:val="21"/>
                <w:highlight w:val="none"/>
                <w:lang w:val="en-US" w:eastAsia="zh-CN"/>
              </w:rPr>
              <w:t>13779189957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3</w:t>
            </w:r>
          </w:p>
        </w:tc>
        <w:tc>
          <w:tcPr>
            <w:tcW w:w="2334" w:type="dxa"/>
            <w:shd w:val="clear" w:color="auto" w:fill="auto"/>
            <w:noWrap w:val="0"/>
            <w:vAlign w:val="center"/>
          </w:tcPr>
          <w:p>
            <w:pPr>
              <w:pStyle w:val="100"/>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监管部门</w:t>
            </w:r>
          </w:p>
        </w:tc>
        <w:tc>
          <w:tcPr>
            <w:tcW w:w="6024" w:type="dxa"/>
            <w:shd w:val="clear" w:color="auto" w:fill="auto"/>
            <w:noWrap w:val="0"/>
            <w:vAlign w:val="center"/>
          </w:tcPr>
          <w:p>
            <w:pPr>
              <w:pStyle w:val="65"/>
              <w:wordWrap w:val="0"/>
              <w:spacing w:line="400" w:lineRule="exact"/>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名  称：</w:t>
            </w:r>
            <w:r>
              <w:rPr>
                <w:rFonts w:hint="eastAsia" w:ascii="宋体" w:hAnsi="宋体" w:cs="宋体"/>
                <w:color w:val="auto"/>
                <w:kern w:val="0"/>
                <w:sz w:val="21"/>
                <w:szCs w:val="21"/>
                <w:highlight w:val="none"/>
                <w:lang w:val="en-US" w:eastAsia="zh-CN" w:bidi="ar-SA"/>
              </w:rPr>
              <w:t>哈密市</w:t>
            </w:r>
            <w:r>
              <w:rPr>
                <w:rFonts w:hint="eastAsia" w:ascii="宋体" w:hAnsi="宋体" w:eastAsia="宋体" w:cs="宋体"/>
                <w:color w:val="auto"/>
                <w:kern w:val="0"/>
                <w:sz w:val="21"/>
                <w:szCs w:val="21"/>
                <w:highlight w:val="none"/>
                <w:lang w:val="en-US" w:eastAsia="zh-CN" w:bidi="ar-SA"/>
              </w:rPr>
              <w:t>财政局政府采购管理办公室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标项名称</w:t>
            </w:r>
          </w:p>
        </w:tc>
        <w:tc>
          <w:tcPr>
            <w:tcW w:w="6024" w:type="dxa"/>
            <w:noWrap w:val="0"/>
            <w:vAlign w:val="center"/>
          </w:tcPr>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哈密市中心医院针对哈密市中心医院医保管理方面提供智能化服务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5</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项目实施地点</w:t>
            </w:r>
          </w:p>
        </w:tc>
        <w:tc>
          <w:tcPr>
            <w:tcW w:w="6024" w:type="dxa"/>
            <w:noWrap w:val="0"/>
            <w:vAlign w:val="center"/>
          </w:tcPr>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6</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项目最高限价</w:t>
            </w:r>
          </w:p>
        </w:tc>
        <w:tc>
          <w:tcPr>
            <w:tcW w:w="6024" w:type="dxa"/>
            <w:noWrap w:val="0"/>
            <w:vAlign w:val="center"/>
          </w:tcPr>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金额：￥1</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00000元</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注：超过项目预算的报价，其响应文件无效。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7</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eastAsia="宋体" w:cs="宋体"/>
                <w:b/>
                <w:bCs/>
                <w:kern w:val="0"/>
                <w:sz w:val="24"/>
                <w:szCs w:val="24"/>
              </w:rPr>
              <w:t>实施或完工时间</w:t>
            </w:r>
          </w:p>
        </w:tc>
        <w:tc>
          <w:tcPr>
            <w:tcW w:w="6024" w:type="dxa"/>
            <w:noWrap w:val="0"/>
            <w:vAlign w:val="center"/>
          </w:tcPr>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本项目实施工期为合同签订后3个月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8</w:t>
            </w:r>
          </w:p>
        </w:tc>
        <w:tc>
          <w:tcPr>
            <w:tcW w:w="2334" w:type="dxa"/>
            <w:noWrap w:val="0"/>
            <w:vAlign w:val="center"/>
          </w:tcPr>
          <w:p>
            <w:pPr>
              <w:pStyle w:val="107"/>
              <w:wordWrap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付款方式</w:t>
            </w:r>
          </w:p>
        </w:tc>
        <w:tc>
          <w:tcPr>
            <w:tcW w:w="6024" w:type="dxa"/>
            <w:noWrap w:val="0"/>
            <w:vAlign w:val="center"/>
          </w:tcPr>
          <w:p>
            <w:pPr>
              <w:pStyle w:val="107"/>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合同签订后7个工作日内，乙方将中标金额的10%做为履约保证金，电汇给甲方账户，质保期24个月后且项目无质量问题后退还乙方。</w:t>
            </w:r>
          </w:p>
          <w:p>
            <w:pPr>
              <w:pStyle w:val="107"/>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合同签订后 7 个工作日内，采购方向供应商支付合同总价款的 40%；</w:t>
            </w:r>
          </w:p>
          <w:p>
            <w:pPr>
              <w:pStyle w:val="107"/>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项目正式上线经甲方签字确认后，采购方向供应商支付合同总价款的 30%；</w:t>
            </w:r>
          </w:p>
          <w:p>
            <w:pPr>
              <w:pStyle w:val="107"/>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项目验收后，采购方向供应商支付合同总价款的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9</w:t>
            </w:r>
          </w:p>
        </w:tc>
        <w:tc>
          <w:tcPr>
            <w:tcW w:w="2334" w:type="dxa"/>
            <w:noWrap w:val="0"/>
            <w:vAlign w:val="center"/>
          </w:tcPr>
          <w:p>
            <w:pPr>
              <w:pStyle w:val="103"/>
              <w:wordWrap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是否允许联合体投标</w:t>
            </w:r>
          </w:p>
        </w:tc>
        <w:tc>
          <w:tcPr>
            <w:tcW w:w="6024" w:type="dxa"/>
            <w:noWrap w:val="0"/>
            <w:vAlign w:val="center"/>
          </w:tcPr>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本次采购不接受联合体投标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10</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供应商的资格要求</w:t>
            </w:r>
          </w:p>
        </w:tc>
        <w:tc>
          <w:tcPr>
            <w:tcW w:w="6024" w:type="dxa"/>
            <w:noWrap w:val="0"/>
            <w:vAlign w:val="center"/>
          </w:tcPr>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1、供应商资格要求：</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（1）具有独立承担民事责任能力的；（提供合法有效的法人营业执照并需具备完成本项目的相关经营范围）；</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（2）具有良好的商业信誉和健全的财务会计制度；（提供2020、2021年度的经第三方审计单位出具有效的财务报告，成立不满足年限的提供成立至今的财务报告）；</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（3）具有履行合同所必需的设备和专业技术能力；（根据项目需求提供履行合同所必需的设备和专业技术能力的证明材料或加盖单位章的书面承诺函）；</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（4）有依法缴纳税收和社会保障资金的良好记录；（提供参加本次政府采购活动前近半年内依法缴纳税收和社会保障资金的相关材料）；</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（5）参加政府采购活动前三年内，在经营活动中没有重大违法记录；（提供参加本次政府采购活动前3年内在经营活动中没有重大违法记录的书面承诺函并加盖单位章）</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 6） 法律、行政法规规定的其他条件。</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2、落实政府采购政策需满足的资格要求：无</w:t>
            </w:r>
          </w:p>
          <w:p>
            <w:pPr>
              <w:pStyle w:val="103"/>
              <w:wordWrap w:val="0"/>
              <w:spacing w:line="400" w:lineRule="exact"/>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3、本项目的特定资格要求：</w:t>
            </w:r>
            <w:r>
              <w:rPr>
                <w:rFonts w:hint="eastAsia" w:ascii="宋体" w:hAnsi="宋体" w:cs="宋体"/>
                <w:color w:val="auto"/>
                <w:kern w:val="0"/>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11</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磋商保证金</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缴纳方式：支票、汇票、本票或者金融机构、担保机构出具的保函等非现金形式提交。</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磋商保证金金额：¥</w:t>
            </w:r>
            <w:r>
              <w:rPr>
                <w:rFonts w:hint="eastAsia" w:ascii="宋体" w:hAnsi="宋体" w:cs="宋体"/>
                <w:color w:val="auto"/>
                <w:szCs w:val="21"/>
                <w:highlight w:val="none"/>
                <w:lang w:val="en-US" w:eastAsia="zh-CN"/>
              </w:rPr>
              <w:t>26000.00</w:t>
            </w:r>
            <w:r>
              <w:rPr>
                <w:rFonts w:hint="eastAsia" w:ascii="宋体" w:hAnsi="宋体" w:cs="宋体"/>
                <w:color w:val="auto"/>
                <w:szCs w:val="21"/>
                <w:highlight w:val="none"/>
              </w:rPr>
              <w:t>元</w:t>
            </w:r>
          </w:p>
          <w:p>
            <w:pPr>
              <w:pStyle w:val="103"/>
              <w:wordWrap w:val="0"/>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以支票、汇票、本票等非现金形式提交保证金的做如下要求：磋商保证金指定收款账户信息：</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收款单位名称：</w:t>
            </w:r>
            <w:r>
              <w:rPr>
                <w:rFonts w:hint="eastAsia" w:ascii="宋体" w:hAnsi="宋体" w:cs="宋体"/>
                <w:color w:val="auto"/>
                <w:szCs w:val="21"/>
                <w:highlight w:val="none"/>
                <w:lang w:val="zh-CN"/>
              </w:rPr>
              <w:t>新疆金世信诚建设项目管理集团有限公司</w:t>
            </w:r>
          </w:p>
          <w:p>
            <w:pPr>
              <w:pStyle w:val="103"/>
              <w:wordWrap w:val="0"/>
              <w:spacing w:line="40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rPr>
              <w:t>账号：</w:t>
            </w:r>
            <w:r>
              <w:rPr>
                <w:rFonts w:hint="eastAsia" w:ascii="宋体" w:hAnsi="宋体" w:cs="宋体"/>
                <w:color w:val="auto"/>
                <w:szCs w:val="21"/>
                <w:highlight w:val="none"/>
                <w:lang w:val="zh-CN"/>
              </w:rPr>
              <w:t>908030100100113507</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开户行名称：</w:t>
            </w:r>
            <w:r>
              <w:rPr>
                <w:rFonts w:hint="eastAsia" w:ascii="宋体" w:hAnsi="宋体" w:cs="宋体"/>
                <w:color w:val="auto"/>
                <w:szCs w:val="21"/>
                <w:highlight w:val="none"/>
                <w:lang w:val="zh-CN"/>
              </w:rPr>
              <w:t>哈密市商业银行股份有限公司迎宾大道支行</w:t>
            </w:r>
            <w:r>
              <w:rPr>
                <w:rFonts w:hint="eastAsia" w:ascii="宋体" w:hAnsi="宋体" w:cs="宋体"/>
                <w:color w:val="auto"/>
                <w:szCs w:val="21"/>
                <w:highlight w:val="none"/>
              </w:rPr>
              <w:t xml:space="preserve"> </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到账截止时间：同响应文件递交截止时间</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投标供应商注意：</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磋商保证金必须在投标截止时间（磋商时间）前由供应商的对公银行基本账户缴纳至采购文件指定账户，供应商尽量在投标截止时间前的2-3个工作日之前完成保证金缴纳工作。供应商需自行评估因异地、跨行、公休日等因素造成的磋商保证金到账延迟风险，并承担相应责任。</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（2）磋商保证金的提交的时间以到账时间为准，如未在到账截止时间前到达指定账户，则视为其未按竞争性磋商文件要求提交磋商保证金，其投标无效。</w:t>
            </w:r>
          </w:p>
          <w:p>
            <w:pPr>
              <w:pStyle w:val="103"/>
              <w:wordWrap w:val="0"/>
              <w:spacing w:line="400" w:lineRule="exact"/>
              <w:jc w:val="left"/>
              <w:rPr>
                <w:rFonts w:hint="eastAsia" w:ascii="Times New Roman" w:hAnsi="Times New Roman" w:cs="宋体"/>
                <w:color w:val="auto"/>
                <w:szCs w:val="21"/>
                <w:highlight w:val="none"/>
              </w:rPr>
            </w:pPr>
            <w:r>
              <w:rPr>
                <w:rFonts w:hint="eastAsia" w:ascii="宋体" w:hAnsi="宋体" w:cs="宋体"/>
                <w:color w:val="auto"/>
                <w:szCs w:val="21"/>
                <w:highlight w:val="none"/>
              </w:rPr>
              <w:t>（3）供应商应在响应文件中的提供银行基本账户证明文件（开户许可证或银行出具的基本账户信息证明），以确保磋商小组在评审过程中能够直观的确认供应商的磋商保证金由基本账户</w:t>
            </w:r>
            <w:r>
              <w:rPr>
                <w:rFonts w:hint="eastAsia" w:ascii="Times New Roman" w:hAnsi="Times New Roman" w:cs="宋体"/>
                <w:color w:val="auto"/>
                <w:szCs w:val="21"/>
                <w:highlight w:val="none"/>
              </w:rPr>
              <w:t>缴纳。</w:t>
            </w:r>
          </w:p>
          <w:p>
            <w:pPr>
              <w:pStyle w:val="105"/>
              <w:wordWrap w:val="0"/>
              <w:spacing w:after="0" w:line="400" w:lineRule="exact"/>
              <w:jc w:val="left"/>
              <w:rPr>
                <w:rFonts w:hint="eastAsia" w:cs="宋体"/>
                <w:color w:val="auto"/>
                <w:kern w:val="2"/>
                <w:sz w:val="21"/>
                <w:szCs w:val="21"/>
                <w:highlight w:val="none"/>
                <w:lang w:val="en-US" w:eastAsia="zh-CN"/>
              </w:rPr>
            </w:pPr>
            <w:r>
              <w:rPr>
                <w:rFonts w:hint="eastAsia" w:cs="宋体"/>
                <w:color w:val="auto"/>
                <w:kern w:val="2"/>
                <w:sz w:val="21"/>
                <w:szCs w:val="21"/>
                <w:highlight w:val="none"/>
                <w:lang w:val="en-US" w:eastAsia="zh-CN"/>
              </w:rPr>
              <w:t>（4）在缴纳磋商保证金时，供应商必须一次性足额缴纳并备注采购包名称（或标项名称），否则由此造成的一切评审结果由供应商承担。</w:t>
            </w:r>
          </w:p>
          <w:p>
            <w:pPr>
              <w:pStyle w:val="194"/>
              <w:shd w:val="clear" w:color="auto"/>
              <w:spacing w:line="360" w:lineRule="exact"/>
              <w:ind w:firstLine="0" w:firstLineChars="0"/>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（5）</w:t>
            </w:r>
            <w:r>
              <w:rPr>
                <w:rFonts w:hint="default" w:ascii="Times New Roman" w:hAnsi="Times New Roman" w:eastAsia="宋体" w:cs="宋体"/>
                <w:color w:val="auto"/>
                <w:kern w:val="2"/>
                <w:sz w:val="21"/>
                <w:szCs w:val="21"/>
                <w:highlight w:val="none"/>
                <w:lang w:val="en-US" w:eastAsia="zh-CN" w:bidi="ar-SA"/>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pStyle w:val="194"/>
              <w:shd w:val="clear" w:color="auto"/>
              <w:spacing w:line="360" w:lineRule="exact"/>
              <w:ind w:firstLine="0" w:firstLineChars="0"/>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（6）</w:t>
            </w:r>
            <w:r>
              <w:rPr>
                <w:rFonts w:hint="eastAsia" w:ascii="Times New Roman" w:hAnsi="Times New Roman" w:eastAsia="宋体" w:cs="宋体"/>
                <w:b/>
                <w:bCs/>
                <w:color w:val="auto"/>
                <w:kern w:val="2"/>
                <w:sz w:val="21"/>
                <w:szCs w:val="21"/>
                <w:highlight w:val="none"/>
                <w:lang w:val="en-US" w:eastAsia="zh-CN" w:bidi="ar-SA"/>
              </w:rPr>
              <w:t>为确保投标保证金的及时退还，评标结束后投标企业需提供保证金汇款凭证、开户许可证复印件、收据并注明开户行行号、联系方式（加盖公司鲜红公章）送新疆金世信诚建设项目管理集团有限公司财务室。（注：废标项目投保证金在后续项目再次招标时银行系统不做统计，请投标企业及时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12</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响应文件有效期</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自首次递交响应文件截止时间起计算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13</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签字或盖章要求</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(1)磋商函及附录、供应商资格声明、</w:t>
            </w:r>
            <w:r>
              <w:rPr>
                <w:rFonts w:hint="eastAsia" w:ascii="宋体" w:hAnsi="宋体" w:cs="宋体"/>
                <w:color w:val="auto"/>
                <w:szCs w:val="21"/>
                <w:highlight w:val="none"/>
              </w:rPr>
              <w:t>法定代表人身份证明、授权书等应由</w:t>
            </w:r>
            <w:r>
              <w:rPr>
                <w:rFonts w:hint="eastAsia" w:ascii="宋体" w:hAnsi="宋体" w:cs="宋体"/>
                <w:bCs/>
                <w:color w:val="auto"/>
                <w:szCs w:val="21"/>
                <w:highlight w:val="none"/>
              </w:rPr>
              <w:t>法定代表人或其授权代表签字（或盖章），并加盖公章；</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(2)其他证明供应商资格的文件、证明材料和落款处需要签章的应为加盖单位公章的有效文件，样式可参照“响应文件格式”编制；</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(3)本款中未明确要求盖章或签字的，可不需盖章或签字。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14</w:t>
            </w:r>
          </w:p>
        </w:tc>
        <w:tc>
          <w:tcPr>
            <w:tcW w:w="2334" w:type="dxa"/>
            <w:noWrap w:val="0"/>
            <w:vAlign w:val="center"/>
          </w:tcPr>
          <w:p>
            <w:pPr>
              <w:pStyle w:val="100"/>
              <w:wordWrap w:val="0"/>
              <w:topLinePunct/>
              <w:adjustRightInd w:val="0"/>
              <w:snapToGrid w:val="0"/>
              <w:spacing w:line="400" w:lineRule="exact"/>
              <w:jc w:val="center"/>
              <w:rPr>
                <w:rFonts w:hint="eastAsia" w:ascii="宋体" w:hAnsi="宋体" w:cs="宋体"/>
                <w:b/>
                <w:bCs/>
                <w:color w:val="auto"/>
                <w:szCs w:val="21"/>
                <w:highlight w:val="none"/>
              </w:rPr>
            </w:pPr>
            <w:r>
              <w:rPr>
                <w:rFonts w:hint="eastAsia" w:ascii="Times New Roman" w:hAnsi="Times New Roman" w:cs="宋体"/>
                <w:b/>
                <w:bCs/>
                <w:color w:val="auto"/>
                <w:szCs w:val="21"/>
                <w:highlight w:val="none"/>
              </w:rPr>
              <w:t>响应文件递交截止时间</w:t>
            </w:r>
          </w:p>
        </w:tc>
        <w:tc>
          <w:tcPr>
            <w:tcW w:w="6024" w:type="dxa"/>
            <w:noWrap w:val="0"/>
            <w:vAlign w:val="center"/>
          </w:tcPr>
          <w:p>
            <w:pPr>
              <w:pStyle w:val="103"/>
              <w:wordWrap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2023年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日1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15</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磋商时间、地点等</w:t>
            </w:r>
          </w:p>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要求</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磋商时间：同响应文件递交截止时间</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磋商地点：政采云https://www.zcygov.cn/不见面开标大厅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16</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磋商小组的组成</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评审专家人数：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r>
              <w:rPr>
                <w:rFonts w:hint="eastAsia" w:ascii="宋体" w:hAnsi="宋体" w:eastAsia="宋体" w:cs="宋体"/>
                <w:color w:val="auto"/>
                <w:szCs w:val="21"/>
                <w:highlight w:val="none"/>
              </w:rPr>
              <w:t>其中采购人代表</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人及新疆政府采购网相关专业专家库</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17</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磋商轮数和</w:t>
            </w:r>
          </w:p>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最后（二轮）报价</w:t>
            </w:r>
          </w:p>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的其他要求</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w:t>
            </w:r>
            <w:r>
              <w:rPr>
                <w:rFonts w:hint="eastAsia" w:ascii="宋体" w:hAnsi="宋体" w:cs="宋体"/>
                <w:color w:val="auto"/>
                <w:szCs w:val="21"/>
                <w:highlight w:val="none"/>
                <w:lang w:val="zh-CN"/>
              </w:rPr>
              <w:t>磋商轮数:不少于两轮（</w:t>
            </w:r>
            <w:r>
              <w:rPr>
                <w:rFonts w:hint="eastAsia" w:ascii="宋体" w:hAnsi="宋体" w:cs="宋体"/>
                <w:color w:val="auto"/>
                <w:szCs w:val="21"/>
                <w:highlight w:val="none"/>
              </w:rPr>
              <w:t>包括两轮</w:t>
            </w:r>
            <w:r>
              <w:rPr>
                <w:rFonts w:hint="eastAsia" w:ascii="宋体" w:hAnsi="宋体" w:cs="宋体"/>
                <w:color w:val="auto"/>
                <w:szCs w:val="21"/>
                <w:highlight w:val="none"/>
                <w:lang w:val="zh-CN"/>
              </w:rPr>
              <w:t>）；</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.首轮报价</w:t>
            </w:r>
            <w:r>
              <w:rPr>
                <w:rFonts w:hint="eastAsia" w:ascii="宋体" w:hAnsi="宋体" w:cs="宋体"/>
                <w:color w:val="auto"/>
                <w:szCs w:val="21"/>
                <w:highlight w:val="none"/>
                <w:lang w:val="zh-CN"/>
              </w:rPr>
              <w:t>磋商结束后，供应商应按照磋商小组要求做最后报价（含修正的响应文件，如有）的，最后报价由</w:t>
            </w:r>
            <w:r>
              <w:rPr>
                <w:rFonts w:hint="eastAsia" w:ascii="宋体" w:hAnsi="宋体" w:cs="宋体"/>
                <w:color w:val="auto"/>
                <w:szCs w:val="21"/>
                <w:highlight w:val="none"/>
              </w:rPr>
              <w:t>各供应商在政采云平台对应位置填写完成后并签章，再提交；</w:t>
            </w:r>
          </w:p>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3</w:t>
            </w:r>
            <w:r>
              <w:rPr>
                <w:rFonts w:hint="eastAsia" w:ascii="宋体" w:hAnsi="宋体" w:cs="宋体"/>
                <w:color w:val="auto"/>
                <w:szCs w:val="21"/>
                <w:highlight w:val="none"/>
              </w:rPr>
              <w:t>.</w:t>
            </w:r>
            <w:r>
              <w:rPr>
                <w:rFonts w:hint="eastAsia" w:ascii="宋体" w:hAnsi="宋体" w:cs="宋体"/>
                <w:color w:val="auto"/>
                <w:szCs w:val="21"/>
                <w:highlight w:val="none"/>
                <w:lang w:val="zh-CN"/>
              </w:rPr>
              <w:t>最后报价</w:t>
            </w:r>
            <w:r>
              <w:rPr>
                <w:rFonts w:hint="eastAsia" w:ascii="宋体" w:hAnsi="宋体" w:cs="宋体"/>
                <w:color w:val="auto"/>
                <w:szCs w:val="21"/>
                <w:highlight w:val="none"/>
              </w:rPr>
              <w:t>为不公开报价，若各供应商未在规定时间（30分钟）内及时填报二轮报价或填报完二轮报价但未能成功签章提交的，二轮报价无效，最终报价则以首轮报价为准。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18</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推荐成交候选供应商的数量</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19</w:t>
            </w:r>
          </w:p>
        </w:tc>
        <w:tc>
          <w:tcPr>
            <w:tcW w:w="2334"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成交结果公示媒体及期限</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公示媒体：新疆政府采购网</w:t>
            </w:r>
          </w:p>
          <w:p>
            <w:pPr>
              <w:pStyle w:val="103"/>
              <w:wordWrap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20</w:t>
            </w:r>
          </w:p>
        </w:tc>
        <w:tc>
          <w:tcPr>
            <w:tcW w:w="2334" w:type="dxa"/>
            <w:noWrap w:val="0"/>
            <w:vAlign w:val="center"/>
          </w:tcPr>
          <w:p>
            <w:pPr>
              <w:pStyle w:val="60"/>
              <w:wordWrap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是否允许供应商将项目非主体、非关键性工作交由他人完成</w:t>
            </w:r>
          </w:p>
        </w:tc>
        <w:tc>
          <w:tcPr>
            <w:tcW w:w="6024" w:type="dxa"/>
            <w:noWrap w:val="0"/>
            <w:vAlign w:val="center"/>
          </w:tcPr>
          <w:p>
            <w:pPr>
              <w:pStyle w:val="60"/>
              <w:wordWrap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本次采购不允许供应商分包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21</w:t>
            </w:r>
          </w:p>
        </w:tc>
        <w:tc>
          <w:tcPr>
            <w:tcW w:w="2334" w:type="dxa"/>
            <w:noWrap w:val="0"/>
            <w:vAlign w:val="center"/>
          </w:tcPr>
          <w:p>
            <w:pPr>
              <w:pStyle w:val="103"/>
              <w:wordWrap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履约保证金</w:t>
            </w:r>
          </w:p>
        </w:tc>
        <w:tc>
          <w:tcPr>
            <w:tcW w:w="6024" w:type="dxa"/>
            <w:noWrap w:val="0"/>
            <w:vAlign w:val="center"/>
          </w:tcPr>
          <w:p>
            <w:pPr>
              <w:pStyle w:val="103"/>
              <w:wordWrap w:val="0"/>
              <w:spacing w:line="40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合同签订后7个工作日内，乙方将中标金额的10%做为履约保证金，电汇给甲方账户，质保期24个月后且项目无质量问题后退还乙方。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22</w:t>
            </w:r>
          </w:p>
        </w:tc>
        <w:tc>
          <w:tcPr>
            <w:tcW w:w="2334" w:type="dxa"/>
            <w:noWrap w:val="0"/>
            <w:vAlign w:val="center"/>
          </w:tcPr>
          <w:p>
            <w:pPr>
              <w:pStyle w:val="115"/>
              <w:wordWrap w:val="0"/>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中小微型企业</w:t>
            </w:r>
          </w:p>
          <w:p>
            <w:pPr>
              <w:pStyle w:val="115"/>
              <w:wordWrap w:val="0"/>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有关政策</w:t>
            </w:r>
          </w:p>
        </w:tc>
        <w:tc>
          <w:tcPr>
            <w:tcW w:w="6024" w:type="dxa"/>
            <w:noWrap w:val="0"/>
            <w:vAlign w:val="center"/>
          </w:tcPr>
          <w:p>
            <w:pPr>
              <w:pStyle w:val="115"/>
              <w:wordWrap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一、中小企业评审优惠内容及价格扣除幅度：</w:t>
            </w:r>
          </w:p>
          <w:p>
            <w:pPr>
              <w:pStyle w:val="115"/>
              <w:wordWrap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1、本项目小微企业价格扣除比例为 10% 。</w:t>
            </w:r>
          </w:p>
          <w:p>
            <w:pPr>
              <w:pStyle w:val="115"/>
              <w:wordWrap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2、中小企业评审优惠内容及价格扣除幅度，执行政策如下：</w:t>
            </w:r>
          </w:p>
          <w:p>
            <w:pPr>
              <w:pStyle w:val="115"/>
              <w:wordWrap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 根据工信部等部委发布的《关于印发中小企业划型标准 规定的通知》  (工信部联企业〔2011〕300 号) ，本次采购 项目所属行业为“第十二项软件和信息技术服务业” 。对 于符合本次采购项目所属行业条件的中小微企业应按照招 标文件格式要求提供《中小企业声明函》。</w:t>
            </w:r>
          </w:p>
          <w:p>
            <w:pPr>
              <w:pStyle w:val="115"/>
              <w:wordWrap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根据财政部发布的《政府采购促进中小企业发展管理办 法》(财库〔2020〕46 号)规定，对小微企业报价给予 10%-20% 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pPr>
              <w:pStyle w:val="115"/>
              <w:wordWrap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若所投标产品为进口产品的，不适用《政府采购促进中 小企业发展管理办法》。</w:t>
            </w:r>
          </w:p>
          <w:p>
            <w:pPr>
              <w:pStyle w:val="115"/>
              <w:wordWrap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 监狱企业、残疾人福利性单位，视同为小型和微型企业。 供应商若为监狱企业、残疾人福利性单位，须在投标文件 中提供《监狱企业声明函》、《残疾人福利性单位声明函》，否则将不给予价格扣除。供应商须对其声明的真实性负责，若与事实不符的，将依照《政府采购法》第七十七条第一 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23</w:t>
            </w:r>
          </w:p>
        </w:tc>
        <w:tc>
          <w:tcPr>
            <w:tcW w:w="2334" w:type="dxa"/>
            <w:noWrap w:val="0"/>
            <w:vAlign w:val="center"/>
          </w:tcPr>
          <w:p>
            <w:pPr>
              <w:pStyle w:val="115"/>
              <w:wordWrap w:val="0"/>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采购人认为应该</w:t>
            </w:r>
          </w:p>
          <w:p>
            <w:pPr>
              <w:pStyle w:val="115"/>
              <w:wordWrap w:val="0"/>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补充的其他内容</w:t>
            </w:r>
          </w:p>
        </w:tc>
        <w:tc>
          <w:tcPr>
            <w:tcW w:w="6024" w:type="dxa"/>
            <w:noWrap w:val="0"/>
            <w:vAlign w:val="center"/>
          </w:tcPr>
          <w:p>
            <w:pPr>
              <w:pStyle w:val="115"/>
              <w:wordWrap w:val="0"/>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1、在本项目开标时，请供应商代表使用制作上传电子响应文件的CA数字认证证书，登录“开标大厅”进入本包的开标页面出席本次开标会。</w:t>
            </w:r>
          </w:p>
          <w:p>
            <w:pPr>
              <w:pStyle w:val="115"/>
              <w:wordWrap w:val="0"/>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签字及盖章的相关补充说明：本次采购为电子招标电子投标，在本次供应商制作响应文件的过程中，法定代表人（或其委托代理人）的电子签名与其手写签名或者私章具有同等的法律效力，本次采购均予以认可。本次采购中遇到的供应商电子公章与供应商的公章具有同等的法律效力，本次招标予以认可。</w:t>
            </w:r>
          </w:p>
          <w:p>
            <w:pPr>
              <w:pStyle w:val="115"/>
              <w:wordWrap w:val="0"/>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3、本次采购中所述的证书、证件、证明材料等均指原件的扫描件。</w:t>
            </w:r>
          </w:p>
          <w:p>
            <w:pPr>
              <w:pStyle w:val="115"/>
              <w:wordWrap w:val="0"/>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4、本次采购中所称“重大违法记录”，是指供应商因违法经营受到刑事处罚或者责令停产停业、吊销许可证或者执照、较大数额罚款等行政处罚。所称“较大数额罚款”认定为200万元以上的罚款。</w:t>
            </w:r>
          </w:p>
          <w:p>
            <w:pPr>
              <w:pStyle w:val="115"/>
              <w:wordWrap w:val="0"/>
              <w:autoSpaceDE w:val="0"/>
              <w:autoSpaceDN w:val="0"/>
              <w:adjustRightInd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5、澄清、修改文件发出后（若有），供应商必须使用最新的澄清文件制作电子响应文件。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4</w:t>
            </w:r>
          </w:p>
        </w:tc>
        <w:tc>
          <w:tcPr>
            <w:tcW w:w="2334" w:type="dxa"/>
            <w:noWrap w:val="0"/>
            <w:vAlign w:val="center"/>
          </w:tcPr>
          <w:p>
            <w:pPr>
              <w:pStyle w:val="103"/>
              <w:wordWrap w:val="0"/>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招标代理服务费</w:t>
            </w:r>
          </w:p>
        </w:tc>
        <w:tc>
          <w:tcPr>
            <w:tcW w:w="6024" w:type="dxa"/>
            <w:noWrap w:val="0"/>
            <w:vAlign w:val="center"/>
          </w:tcPr>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
                <w:color w:val="auto"/>
                <w:kern w:val="1"/>
                <w:highlight w:val="none"/>
                <w:lang w:eastAsia="zh-CN"/>
              </w:rPr>
              <w:t>由采购人支付，</w:t>
            </w:r>
            <w:r>
              <w:rPr>
                <w:rFonts w:hint="eastAsia" w:ascii="宋体" w:hAnsi="宋体" w:cs="宋体"/>
                <w:b/>
                <w:color w:val="auto"/>
                <w:kern w:val="1"/>
                <w:highlight w:val="none"/>
              </w:rPr>
              <w:t>其计算标准和方法</w:t>
            </w:r>
            <w:r>
              <w:rPr>
                <w:rFonts w:hint="eastAsia" w:ascii="宋体" w:hAnsi="宋体" w:cs="宋体"/>
                <w:b/>
                <w:color w:val="auto"/>
                <w:kern w:val="1"/>
                <w:highlight w:val="none"/>
                <w:lang w:val="en-US" w:eastAsia="zh-CN"/>
              </w:rPr>
              <w:t>参照国家发改委[2011]534号文、[2015]299号文及[2002]1980号文件作为协商价格的基础收取</w:t>
            </w:r>
            <w:r>
              <w:rPr>
                <w:rFonts w:hint="eastAsia" w:ascii="宋体" w:hAnsi="宋体" w:cs="宋体"/>
                <w:b/>
                <w:color w:val="auto"/>
                <w:kern w:val="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03"/>
              <w:wordWrap w:val="0"/>
              <w:spacing w:line="400" w:lineRule="exact"/>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p>
        </w:tc>
        <w:tc>
          <w:tcPr>
            <w:tcW w:w="2334" w:type="dxa"/>
            <w:noWrap w:val="0"/>
            <w:vAlign w:val="center"/>
          </w:tcPr>
          <w:p>
            <w:pPr>
              <w:pStyle w:val="100"/>
              <w:wordWrap w:val="0"/>
              <w:topLinePunct/>
              <w:adjustRightInd w:val="0"/>
              <w:snapToGrid w:val="0"/>
              <w:spacing w:line="400" w:lineRule="exact"/>
              <w:jc w:val="center"/>
              <w:rPr>
                <w:rFonts w:hint="eastAsia" w:ascii="宋体" w:hAnsi="宋体" w:cs="宋体"/>
                <w:color w:val="auto"/>
                <w:szCs w:val="21"/>
                <w:highlight w:val="none"/>
              </w:rPr>
            </w:pPr>
            <w:r>
              <w:rPr>
                <w:rFonts w:hint="eastAsia" w:ascii="Times New Roman" w:hAnsi="Times New Roman" w:cs="宋体"/>
                <w:b/>
                <w:bCs/>
                <w:color w:val="auto"/>
                <w:szCs w:val="21"/>
                <w:highlight w:val="none"/>
              </w:rPr>
              <w:t>质疑接受说明</w:t>
            </w:r>
          </w:p>
        </w:tc>
        <w:tc>
          <w:tcPr>
            <w:tcW w:w="6024" w:type="dxa"/>
            <w:noWrap w:val="0"/>
            <w:vAlign w:val="center"/>
          </w:tcPr>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供应商应在获取采购文件或者采购文件公告期限届满之日起七个工作日内对采购文件的内容一次性提出质疑，超过时间的质疑将不予接受。</w:t>
            </w:r>
          </w:p>
          <w:p>
            <w:pPr>
              <w:pStyle w:val="103"/>
              <w:wordWrap w:val="0"/>
              <w:spacing w:line="40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联系人：</w:t>
            </w:r>
          </w:p>
          <w:p>
            <w:pPr>
              <w:pStyle w:val="103"/>
              <w:wordWrap w:val="0"/>
              <w:spacing w:line="400" w:lineRule="exact"/>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联系电话：</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提交方式：盖章书面提交联系人处同时Word版本同时拷贝。</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注：1.质疑函格式须按照《政府采购质疑和投诉办法》中华人民共和国财政部令第94号第十二条投标人提出质疑应当提交质疑函和必要的证明材料。质疑函应当包括下列内容（否则予以退回）：</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（一）投标人的姓名或者名称、地址、邮编、联系人及联系电话； </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（二）质疑项目的名称、编号； </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（三）具体、明确的质疑事项和与质疑事项相关的请求；</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（四）事实依据； </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（五）必要的法律依据； </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（六）提出质疑的日期。</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投标人为自然人的，应当由本人签字；投标人为法人或者其他组织的，应当由法定代表人、主要负责人，或者其授权代表签字或者盖章，并加盖公章。</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依据：《中华人民共和国政府采购法实施条例》第五十三条政府采购法第五十二条规定的投标人应知其权益受到损害之日，是指：（一）对可以质疑的招标文件提出质疑的，为收到招标文件之日或者招标文件公告期限届满之日；（二）对采购过程提出质疑的，为各采购程序环节结束之日；（三）对中标或者成交结果提出质疑的，为中标或者成交结果公告期限届满之日。</w:t>
            </w:r>
          </w:p>
          <w:p>
            <w:pPr>
              <w:pStyle w:val="103"/>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《政府采购质疑和投诉办法》第十条 投标人认为招标文件、采购过程、中标或者成交结果使自己的权益受到损害的，可以在知道或者应知其权益受到损害之日起7个工作日内，以书面形式向招标人、采购代理机构提出质疑。招标文件可以要求投标人在法定质疑期内一次性提出针对同一采购程序环节的质疑。第十一条提出质疑的投标人（以下简称质疑投标人）应当是参与所质疑项目采购活动的投标人。潜在投标人已依法获取其可质疑的招标文件的，可以对该文件提出质疑。对招标文件提出质疑的，应当在获取招标文件或者招标文件公告期限届满之日起7个工作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68"/>
              <w:wordWrap w:val="0"/>
              <w:topLinePunct/>
              <w:adjustRightInd w:val="0"/>
              <w:snapToGrid w:val="0"/>
              <w:spacing w:line="400" w:lineRule="exact"/>
              <w:ind w:firstLine="0" w:firstLineChars="0"/>
              <w:contextualSpacing/>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注意</w:t>
            </w:r>
          </w:p>
          <w:p>
            <w:pPr>
              <w:pStyle w:val="103"/>
              <w:wordWrap w:val="0"/>
              <w:spacing w:line="400" w:lineRule="exact"/>
              <w:jc w:val="center"/>
              <w:rPr>
                <w:rFonts w:hint="eastAsia" w:ascii="宋体" w:hAnsi="宋体" w:cs="宋体"/>
                <w:b/>
                <w:bCs/>
                <w:color w:val="auto"/>
                <w:szCs w:val="21"/>
                <w:highlight w:val="none"/>
              </w:rPr>
            </w:pPr>
            <w:r>
              <w:rPr>
                <w:rFonts w:hint="eastAsia" w:ascii="Times New Roman" w:hAnsi="Times New Roman" w:cs="宋体"/>
                <w:b/>
                <w:bCs/>
                <w:color w:val="auto"/>
                <w:szCs w:val="21"/>
                <w:highlight w:val="none"/>
              </w:rPr>
              <w:t>事项</w:t>
            </w:r>
          </w:p>
        </w:tc>
        <w:tc>
          <w:tcPr>
            <w:tcW w:w="8358" w:type="dxa"/>
            <w:gridSpan w:val="2"/>
            <w:noWrap w:val="0"/>
            <w:vAlign w:val="center"/>
          </w:tcPr>
          <w:p>
            <w:pPr>
              <w:pStyle w:val="100"/>
              <w:wordWrap w:val="0"/>
              <w:topLinePunct/>
              <w:adjustRightInd w:val="0"/>
              <w:snapToGrid w:val="0"/>
              <w:spacing w:line="400" w:lineRule="exact"/>
              <w:rPr>
                <w:rFonts w:hint="eastAsia" w:ascii="Times New Roman" w:hAnsi="Times New Roman" w:cs="仿宋"/>
                <w:color w:val="auto"/>
                <w:szCs w:val="21"/>
                <w:highlight w:val="none"/>
              </w:rPr>
            </w:pPr>
            <w:r>
              <w:rPr>
                <w:rFonts w:hint="eastAsia" w:ascii="Times New Roman" w:hAnsi="Times New Roman" w:cs="仿宋"/>
                <w:color w:val="auto"/>
                <w:szCs w:val="21"/>
                <w:highlight w:val="none"/>
              </w:rPr>
              <w:t>1、开标默认响应文件解密时长：30分钟，如因供应商自身原因导致在规定时间内无法正常解密的（如：浏览器故障、未安装相关驱动、网络故障、加密CA与解密CA不一致等），采购代理机构不予异常处理，视为其响应文件无效；</w:t>
            </w:r>
          </w:p>
          <w:p>
            <w:pPr>
              <w:pStyle w:val="103"/>
              <w:wordWrap w:val="0"/>
              <w:spacing w:line="400" w:lineRule="exact"/>
              <w:rPr>
                <w:rFonts w:hint="eastAsia" w:ascii="宋体" w:hAnsi="宋体" w:cs="宋体"/>
                <w:color w:val="auto"/>
                <w:szCs w:val="21"/>
                <w:highlight w:val="none"/>
              </w:rPr>
            </w:pPr>
            <w:r>
              <w:rPr>
                <w:rFonts w:hint="eastAsia" w:ascii="Times New Roman" w:hAnsi="Times New Roman" w:cs="仿宋"/>
                <w:color w:val="auto"/>
                <w:szCs w:val="21"/>
                <w:highlight w:val="none"/>
              </w:rPr>
              <w:t>2、无论何种原因，因供应商在响应文件中提供的相关扫描件（开标、评标相关数据和资料）模糊无法辨认的，一律视同其未提供。</w:t>
            </w:r>
          </w:p>
        </w:tc>
      </w:tr>
    </w:tbl>
    <w:p>
      <w:pPr>
        <w:pStyle w:val="103"/>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b/>
          <w:bCs/>
          <w:color w:val="auto"/>
          <w:kern w:val="0"/>
          <w:szCs w:val="21"/>
          <w:highlight w:val="none"/>
        </w:rPr>
        <w:t>除特殊说明外，本表内容与采购文件其它内容不一致的，以本表内容为准。</w:t>
      </w:r>
    </w:p>
    <w:p>
      <w:pPr>
        <w:pStyle w:val="99"/>
        <w:keepNext/>
        <w:keepLines/>
        <w:spacing w:line="240" w:lineRule="auto"/>
        <w:jc w:val="center"/>
        <w:rPr>
          <w:rStyle w:val="101"/>
          <w:rFonts w:hint="eastAsia" w:ascii="宋体" w:hAnsi="宋体" w:cs="宋体"/>
          <w:color w:val="auto"/>
          <w:sz w:val="28"/>
          <w:szCs w:val="36"/>
          <w:highlight w:val="none"/>
        </w:rPr>
      </w:pPr>
      <w:r>
        <w:rPr>
          <w:rFonts w:hint="eastAsia" w:ascii="宋体" w:hAnsi="宋体" w:cs="宋体"/>
          <w:color w:val="auto"/>
          <w:highlight w:val="none"/>
        </w:rPr>
        <w:br w:type="page"/>
      </w:r>
      <w:bookmarkStart w:id="80" w:name="_Toc29932"/>
      <w:bookmarkStart w:id="81" w:name="_Toc1789"/>
      <w:bookmarkStart w:id="82" w:name="_Toc20549"/>
      <w:bookmarkStart w:id="83" w:name="_Toc14958"/>
      <w:bookmarkStart w:id="84" w:name="_Toc12057"/>
      <w:bookmarkStart w:id="85" w:name="_Toc26078"/>
      <w:bookmarkStart w:id="86" w:name="_Toc15087"/>
      <w:r>
        <w:rPr>
          <w:rFonts w:hint="eastAsia" w:ascii="宋体" w:hAnsi="宋体" w:eastAsia="宋体" w:cs="宋体"/>
          <w:b/>
          <w:bCs/>
          <w:color w:val="auto"/>
          <w:kern w:val="0"/>
          <w:sz w:val="44"/>
          <w:szCs w:val="44"/>
          <w:highlight w:val="none"/>
          <w:lang w:val="en-US" w:eastAsia="zh-CN" w:bidi="ar-SA"/>
        </w:rPr>
        <w:t>磋商须知正文部分</w:t>
      </w:r>
      <w:bookmarkEnd w:id="80"/>
      <w:bookmarkEnd w:id="81"/>
      <w:bookmarkEnd w:id="82"/>
      <w:bookmarkEnd w:id="83"/>
      <w:bookmarkEnd w:id="84"/>
      <w:bookmarkEnd w:id="85"/>
      <w:bookmarkEnd w:id="86"/>
    </w:p>
    <w:p>
      <w:pPr>
        <w:pStyle w:val="99"/>
        <w:spacing w:line="400" w:lineRule="exact"/>
        <w:jc w:val="center"/>
        <w:rPr>
          <w:rFonts w:hint="eastAsia" w:ascii="宋体" w:hAnsi="宋体" w:cs="宋体"/>
          <w:color w:val="auto"/>
          <w:szCs w:val="24"/>
          <w:highlight w:val="none"/>
        </w:rPr>
      </w:pPr>
      <w:bookmarkStart w:id="87" w:name="_Toc31802"/>
      <w:bookmarkStart w:id="88" w:name="_Toc23301"/>
      <w:bookmarkStart w:id="89" w:name="_Toc4862"/>
      <w:bookmarkStart w:id="90" w:name="_Toc17508"/>
      <w:bookmarkStart w:id="91" w:name="_Toc25708"/>
      <w:bookmarkStart w:id="92" w:name="_Toc5724"/>
      <w:bookmarkStart w:id="93" w:name="_Toc29428"/>
      <w:r>
        <w:rPr>
          <w:rFonts w:hint="eastAsia" w:ascii="宋体" w:hAnsi="宋体" w:cs="宋体"/>
          <w:color w:val="auto"/>
          <w:szCs w:val="24"/>
          <w:highlight w:val="none"/>
        </w:rPr>
        <w:t>一、说明</w:t>
      </w:r>
      <w:bookmarkEnd w:id="87"/>
      <w:bookmarkEnd w:id="88"/>
      <w:bookmarkEnd w:id="89"/>
      <w:bookmarkEnd w:id="90"/>
      <w:bookmarkEnd w:id="91"/>
      <w:bookmarkEnd w:id="92"/>
      <w:bookmarkEnd w:id="93"/>
    </w:p>
    <w:p>
      <w:pPr>
        <w:pStyle w:val="103"/>
        <w:adjustRightInd w:val="0"/>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1.1 适用范围</w:t>
      </w:r>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1.1本磋商文件仅适用于本磋商公告中所叙述的采购项目。</w:t>
      </w:r>
    </w:p>
    <w:p>
      <w:pPr>
        <w:pStyle w:val="103"/>
        <w:adjustRightInd w:val="0"/>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1.2 项目概况</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1.2.1“采购人”是指：详见供应商须知前附表。</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1.2.2“采购代理机构”是指：详见供应商须知前附表。</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1.2.3“监管部门”是指：详见供应商须知前附表。</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1.2.4“供应商”是指：响应磋商文件要求并且符合磋商文件规定资格条件和参加竞争性磋商的法人、其他组织或者自然人。</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1.2.5“标项名称”是指：详见供应商须知前附表。</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1.2.6“项目实施地点”是指：详见供应商须知前附表。</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1.2.7“资金来源及落实情况”是指：详见供应商须知前附表。</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1.2.8“合同履行期限（工期）”是指：供应商为保障完成本次采购标项一直到验收前的计划工期，具体详见供应商须知前附表。</w:t>
      </w:r>
    </w:p>
    <w:p>
      <w:pPr>
        <w:pStyle w:val="103"/>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1.2.9本项目是否接受联合体投标及具体要求详见供应商须知前附表。</w:t>
      </w:r>
    </w:p>
    <w:p>
      <w:pPr>
        <w:pStyle w:val="103"/>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1.2.10供应商拟在成交后将成交项目的部分非主体、非关键性工作进行分包的，应符合供应商须知前附表规定的分包内容、分包金额和接受分包的第三人资质要求等限制性条件。</w:t>
      </w:r>
    </w:p>
    <w:p>
      <w:pPr>
        <w:pStyle w:val="103"/>
        <w:adjustRightInd w:val="0"/>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1.3 合格的供应商</w:t>
      </w:r>
    </w:p>
    <w:p>
      <w:pPr>
        <w:pStyle w:val="103"/>
        <w:adjustRightInd w:val="0"/>
        <w:snapToGrid w:val="0"/>
        <w:spacing w:line="40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1.3.1 供应商的资格要求见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w:t>
      </w:r>
    </w:p>
    <w:p>
      <w:pPr>
        <w:pStyle w:val="103"/>
        <w:spacing w:line="400" w:lineRule="exact"/>
        <w:ind w:firstLine="42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1.3.2凡为本采购项目提供整体设计、规范编制或者项目管理、监理、检测等服务的供应商，不得参加本次采购活动，若有则其响应文件无效。</w:t>
      </w:r>
    </w:p>
    <w:p>
      <w:pPr>
        <w:pStyle w:val="103"/>
        <w:spacing w:line="400" w:lineRule="exact"/>
        <w:ind w:firstLine="42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1.3.3一个供应商只能提交一个响应文件。如果不同供应商之间的单位负责人为同一人或者存在直接控股、管理关系的，则其响应文件无效。</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1.3.4供应商存在下列情形之一的，将被认定为串通报价行为并作无效处理：</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（1）不同供应商的响应文件错、漏之处一致或雷同，且不能合理解释的；</w:t>
      </w:r>
    </w:p>
    <w:p>
      <w:pPr>
        <w:pStyle w:val="103"/>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（3）有关法律、法规或规章规定的其他串通报价行为。</w:t>
      </w:r>
    </w:p>
    <w:p>
      <w:pPr>
        <w:pStyle w:val="103"/>
        <w:adjustRightInd w:val="0"/>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 xml:space="preserve">1.4 参与磋商的费用 </w:t>
      </w:r>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无论磋商的结果如何，供应商应自行承担所有与</w:t>
      </w:r>
      <w:r>
        <w:rPr>
          <w:rFonts w:hint="eastAsia" w:ascii="宋体" w:hAnsi="宋体" w:cs="宋体"/>
          <w:color w:val="auto"/>
          <w:kern w:val="0"/>
          <w:szCs w:val="21"/>
          <w:highlight w:val="none"/>
        </w:rPr>
        <w:t>磋商</w:t>
      </w:r>
      <w:r>
        <w:rPr>
          <w:rFonts w:hint="eastAsia" w:ascii="宋体" w:hAnsi="宋体" w:cs="宋体"/>
          <w:color w:val="auto"/>
          <w:kern w:val="0"/>
          <w:szCs w:val="21"/>
          <w:highlight w:val="none"/>
          <w:lang w:val="zh-CN"/>
        </w:rPr>
        <w:t>采购活动</w:t>
      </w:r>
      <w:r>
        <w:rPr>
          <w:rFonts w:hint="eastAsia" w:ascii="宋体" w:hAnsi="宋体" w:cs="宋体"/>
          <w:color w:val="auto"/>
          <w:szCs w:val="21"/>
          <w:highlight w:val="none"/>
        </w:rPr>
        <w:t>有关的全部费用。</w:t>
      </w:r>
    </w:p>
    <w:p>
      <w:pPr>
        <w:pStyle w:val="99"/>
        <w:spacing w:line="400" w:lineRule="exact"/>
        <w:jc w:val="center"/>
        <w:rPr>
          <w:rFonts w:hint="eastAsia" w:ascii="宋体" w:hAnsi="宋体" w:cs="宋体"/>
          <w:color w:val="auto"/>
          <w:szCs w:val="24"/>
          <w:highlight w:val="none"/>
        </w:rPr>
      </w:pPr>
      <w:bookmarkStart w:id="94" w:name="_Toc21885"/>
      <w:bookmarkStart w:id="95" w:name="_Toc23764"/>
      <w:bookmarkStart w:id="96" w:name="_Toc20992"/>
      <w:bookmarkStart w:id="97" w:name="_Toc11997"/>
      <w:bookmarkStart w:id="98" w:name="_Toc15600"/>
      <w:bookmarkStart w:id="99" w:name="_Toc9488"/>
      <w:bookmarkStart w:id="100" w:name="_Toc10647"/>
      <w:r>
        <w:rPr>
          <w:rFonts w:hint="eastAsia" w:ascii="宋体" w:hAnsi="宋体" w:cs="宋体"/>
          <w:color w:val="auto"/>
          <w:szCs w:val="24"/>
          <w:highlight w:val="none"/>
        </w:rPr>
        <w:t>二、磋商文件</w:t>
      </w:r>
      <w:bookmarkEnd w:id="94"/>
      <w:bookmarkEnd w:id="95"/>
      <w:bookmarkEnd w:id="96"/>
      <w:bookmarkEnd w:id="97"/>
      <w:bookmarkEnd w:id="98"/>
      <w:bookmarkEnd w:id="99"/>
      <w:bookmarkEnd w:id="100"/>
    </w:p>
    <w:p>
      <w:pPr>
        <w:pStyle w:val="103"/>
        <w:adjustRightInd w:val="0"/>
        <w:snapToGrid w:val="0"/>
        <w:spacing w:line="400" w:lineRule="exact"/>
        <w:rPr>
          <w:rFonts w:hint="eastAsia" w:ascii="宋体" w:hAnsi="宋体" w:cs="宋体"/>
          <w:b/>
          <w:bCs/>
          <w:color w:val="auto"/>
          <w:szCs w:val="21"/>
          <w:highlight w:val="none"/>
        </w:rPr>
      </w:pPr>
      <w:bookmarkStart w:id="101" w:name="_Toc21771"/>
      <w:bookmarkStart w:id="102" w:name="_Toc14082"/>
      <w:bookmarkStart w:id="103" w:name="_Toc3165"/>
      <w:r>
        <w:rPr>
          <w:rFonts w:hint="eastAsia" w:ascii="宋体" w:hAnsi="宋体" w:cs="宋体"/>
          <w:b/>
          <w:bCs/>
          <w:color w:val="auto"/>
          <w:szCs w:val="21"/>
          <w:highlight w:val="none"/>
        </w:rPr>
        <w:t>2.1 磋商文件的组成</w:t>
      </w:r>
      <w:bookmarkEnd w:id="101"/>
      <w:bookmarkEnd w:id="102"/>
      <w:bookmarkEnd w:id="103"/>
    </w:p>
    <w:p>
      <w:pPr>
        <w:pStyle w:val="103"/>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磋商公告</w:t>
      </w:r>
    </w:p>
    <w:p>
      <w:pPr>
        <w:pStyle w:val="103"/>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磋商须知</w:t>
      </w:r>
    </w:p>
    <w:p>
      <w:pPr>
        <w:pStyle w:val="103"/>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评审方法（综合评分法）</w:t>
      </w:r>
    </w:p>
    <w:p>
      <w:pPr>
        <w:pStyle w:val="103"/>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政府采购合同格式</w:t>
      </w:r>
    </w:p>
    <w:p>
      <w:pPr>
        <w:pStyle w:val="103"/>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响应文件格式</w:t>
      </w:r>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磋商方发出的所有修改、澄清通知</w:t>
      </w:r>
    </w:p>
    <w:p>
      <w:pPr>
        <w:pStyle w:val="103"/>
        <w:adjustRightInd w:val="0"/>
        <w:snapToGrid w:val="0"/>
        <w:spacing w:line="400" w:lineRule="exact"/>
        <w:rPr>
          <w:rFonts w:hint="eastAsia" w:ascii="宋体" w:hAnsi="宋体" w:cs="宋体"/>
          <w:b/>
          <w:bCs/>
          <w:color w:val="auto"/>
          <w:szCs w:val="21"/>
          <w:highlight w:val="none"/>
        </w:rPr>
      </w:pPr>
      <w:bookmarkStart w:id="104" w:name="_Toc20553"/>
      <w:bookmarkStart w:id="105" w:name="_Toc31861"/>
      <w:bookmarkStart w:id="106" w:name="_Toc9748"/>
      <w:r>
        <w:rPr>
          <w:rFonts w:hint="eastAsia" w:ascii="宋体" w:hAnsi="宋体" w:cs="宋体"/>
          <w:b/>
          <w:bCs/>
          <w:color w:val="auto"/>
          <w:szCs w:val="21"/>
          <w:highlight w:val="none"/>
        </w:rPr>
        <w:t>2.2 磋商文件的澄清</w:t>
      </w:r>
      <w:r>
        <w:rPr>
          <w:rFonts w:hint="eastAsia" w:ascii="宋体" w:hAnsi="宋体" w:cs="宋体"/>
          <w:b/>
          <w:color w:val="auto"/>
          <w:kern w:val="0"/>
          <w:szCs w:val="21"/>
          <w:highlight w:val="none"/>
          <w:lang w:val="zh-CN"/>
        </w:rPr>
        <w:t>或者</w:t>
      </w:r>
      <w:r>
        <w:rPr>
          <w:rFonts w:hint="eastAsia" w:ascii="宋体" w:hAnsi="宋体" w:cs="宋体"/>
          <w:b/>
          <w:bCs/>
          <w:color w:val="auto"/>
          <w:szCs w:val="21"/>
          <w:highlight w:val="none"/>
        </w:rPr>
        <w:t>修改</w:t>
      </w:r>
      <w:bookmarkEnd w:id="104"/>
      <w:bookmarkEnd w:id="105"/>
      <w:bookmarkEnd w:id="106"/>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zh-CN"/>
        </w:rPr>
        <w:t>供应商在收到</w:t>
      </w:r>
      <w:r>
        <w:rPr>
          <w:rFonts w:hint="eastAsia" w:ascii="宋体" w:hAnsi="宋体" w:cs="宋体"/>
          <w:color w:val="auto"/>
          <w:szCs w:val="21"/>
          <w:highlight w:val="none"/>
        </w:rPr>
        <w:t>磋商</w:t>
      </w:r>
      <w:r>
        <w:rPr>
          <w:rFonts w:hint="eastAsia" w:ascii="宋体" w:hAnsi="宋体" w:cs="宋体"/>
          <w:color w:val="auto"/>
          <w:szCs w:val="21"/>
          <w:highlight w:val="none"/>
          <w:lang w:val="zh-CN"/>
        </w:rPr>
        <w:t>文件后，若有疑问需要澄清，应于收到</w:t>
      </w:r>
      <w:r>
        <w:rPr>
          <w:rFonts w:hint="eastAsia" w:ascii="宋体" w:hAnsi="宋体" w:cs="宋体"/>
          <w:color w:val="auto"/>
          <w:szCs w:val="21"/>
          <w:highlight w:val="none"/>
        </w:rPr>
        <w:t>磋商</w:t>
      </w:r>
      <w:r>
        <w:rPr>
          <w:rFonts w:hint="eastAsia" w:ascii="宋体" w:hAnsi="宋体" w:cs="宋体"/>
          <w:color w:val="auto"/>
          <w:szCs w:val="21"/>
          <w:highlight w:val="none"/>
          <w:lang w:val="zh-CN"/>
        </w:rPr>
        <w:t>文件后两日内以书面形式（包括书面文字、传真、电子邮件等）向采购人或采购代理机构（以下统称采购机构）提出，采购机构将以书面形式予以解答，解答内容将送达所有参与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Cs w:val="21"/>
          <w:highlight w:val="none"/>
        </w:rPr>
        <w:t>磋商采购活动</w:t>
      </w:r>
      <w:r>
        <w:rPr>
          <w:rFonts w:hint="eastAsia" w:ascii="宋体" w:hAnsi="宋体" w:cs="宋体"/>
          <w:color w:val="auto"/>
          <w:szCs w:val="21"/>
          <w:highlight w:val="none"/>
          <w:lang w:val="zh-CN"/>
        </w:rPr>
        <w:t>的供应商。</w:t>
      </w:r>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更正公告的形式在</w:t>
      </w:r>
      <w:r>
        <w:rPr>
          <w:rFonts w:hint="eastAsia" w:ascii="宋体" w:hAnsi="宋体" w:cs="宋体"/>
          <w:color w:val="auto"/>
          <w:kern w:val="0"/>
          <w:szCs w:val="21"/>
          <w:highlight w:val="none"/>
        </w:rPr>
        <w:t>新疆政府采购网</w:t>
      </w:r>
      <w:r>
        <w:rPr>
          <w:rFonts w:hint="eastAsia" w:ascii="宋体" w:hAnsi="宋体" w:cs="宋体"/>
          <w:color w:val="auto"/>
          <w:szCs w:val="21"/>
          <w:highlight w:val="none"/>
        </w:rPr>
        <w:t>平台</w:t>
      </w:r>
      <w:r>
        <w:rPr>
          <w:rFonts w:hint="eastAsia" w:ascii="宋体" w:hAnsi="宋体" w:cs="宋体"/>
          <w:color w:val="auto"/>
          <w:kern w:val="0"/>
          <w:szCs w:val="21"/>
          <w:highlight w:val="none"/>
        </w:rPr>
        <w:t>（http://www.ccgp-xinjiang.gov.cn/）</w:t>
      </w:r>
      <w:r>
        <w:rPr>
          <w:rFonts w:hint="eastAsia" w:ascii="宋体" w:hAnsi="宋体" w:cs="宋体"/>
          <w:color w:val="auto"/>
          <w:szCs w:val="21"/>
          <w:highlight w:val="none"/>
        </w:rPr>
        <w:t>发布；不足5日的，采购人、采购代理机构应当顺延提交首次响应文件截止时间。因采购人、采购代理机构以更正公告的形式公开向所有供应商发布，供应商因及时关注本次采购标项的网站信息，否则因供应商未按更正公告的要求递交的响应文件无效（如有）。</w:t>
      </w:r>
    </w:p>
    <w:p>
      <w:pPr>
        <w:pStyle w:val="99"/>
        <w:spacing w:line="400" w:lineRule="exact"/>
        <w:jc w:val="center"/>
        <w:rPr>
          <w:rFonts w:hint="eastAsia" w:ascii="宋体" w:hAnsi="宋体" w:cs="宋体"/>
          <w:b/>
          <w:bCs/>
          <w:color w:val="auto"/>
          <w:szCs w:val="24"/>
          <w:highlight w:val="none"/>
        </w:rPr>
      </w:pPr>
      <w:bookmarkStart w:id="107" w:name="_Toc13510"/>
      <w:bookmarkStart w:id="108" w:name="_Toc9253"/>
      <w:bookmarkStart w:id="109" w:name="_Toc11968"/>
      <w:bookmarkStart w:id="110" w:name="_Toc24558"/>
      <w:bookmarkStart w:id="111" w:name="_Toc29250"/>
      <w:bookmarkStart w:id="112" w:name="_Toc27665"/>
      <w:bookmarkStart w:id="113" w:name="_Toc7889"/>
      <w:r>
        <w:rPr>
          <w:rFonts w:hint="eastAsia" w:ascii="宋体" w:hAnsi="宋体" w:cs="宋体"/>
          <w:b/>
          <w:bCs/>
          <w:color w:val="auto"/>
          <w:szCs w:val="24"/>
          <w:highlight w:val="none"/>
        </w:rPr>
        <w:t>三、响应文件</w:t>
      </w:r>
      <w:bookmarkEnd w:id="107"/>
      <w:bookmarkEnd w:id="108"/>
      <w:bookmarkEnd w:id="109"/>
      <w:bookmarkEnd w:id="110"/>
      <w:bookmarkEnd w:id="111"/>
      <w:bookmarkEnd w:id="112"/>
      <w:bookmarkEnd w:id="113"/>
    </w:p>
    <w:p>
      <w:pPr>
        <w:pStyle w:val="103"/>
        <w:adjustRightInd w:val="0"/>
        <w:snapToGrid w:val="0"/>
        <w:spacing w:line="400" w:lineRule="exact"/>
        <w:rPr>
          <w:rFonts w:hint="eastAsia" w:ascii="宋体" w:hAnsi="宋体" w:cs="宋体"/>
          <w:b/>
          <w:bCs/>
          <w:color w:val="auto"/>
          <w:szCs w:val="21"/>
          <w:highlight w:val="none"/>
        </w:rPr>
      </w:pPr>
      <w:bookmarkStart w:id="114" w:name="_Toc16757"/>
      <w:bookmarkStart w:id="115" w:name="_Toc1364"/>
      <w:bookmarkStart w:id="116" w:name="_Toc24006"/>
      <w:r>
        <w:rPr>
          <w:rFonts w:hint="eastAsia" w:ascii="宋体" w:hAnsi="宋体" w:cs="宋体"/>
          <w:b/>
          <w:bCs/>
          <w:color w:val="auto"/>
          <w:szCs w:val="21"/>
          <w:highlight w:val="none"/>
        </w:rPr>
        <w:t>3.1 一般要求</w:t>
      </w:r>
      <w:bookmarkEnd w:id="114"/>
      <w:bookmarkEnd w:id="115"/>
      <w:bookmarkEnd w:id="116"/>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3.1.1供应商应按本文件第七章“响应文件格式”的要求编制响应文件。</w:t>
      </w:r>
    </w:p>
    <w:p>
      <w:pPr>
        <w:pStyle w:val="103"/>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3.1.2计量单位应使用我国法定计量单位。</w:t>
      </w:r>
    </w:p>
    <w:p>
      <w:pPr>
        <w:pStyle w:val="10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3.1.3响应文件的语言：供应商提交的响应文件以及供应商与采购人就有关磋商的所有来往函电均应使用汉字（有数字的也可以使用阿拉伯数字）。供应商提交的支持文件或印刷的文献可以用另一种语言，但相应内容应附有中文翻译本，在解释响应文件的修改内容时以中文翻译本为准。</w:t>
      </w:r>
    </w:p>
    <w:p>
      <w:pPr>
        <w:pStyle w:val="103"/>
        <w:adjustRightInd w:val="0"/>
        <w:snapToGrid w:val="0"/>
        <w:spacing w:line="400" w:lineRule="exact"/>
        <w:rPr>
          <w:rFonts w:hint="eastAsia" w:ascii="宋体" w:hAnsi="宋体" w:cs="宋体"/>
          <w:b/>
          <w:bCs/>
          <w:color w:val="auto"/>
          <w:szCs w:val="21"/>
          <w:highlight w:val="none"/>
        </w:rPr>
      </w:pPr>
      <w:bookmarkStart w:id="117" w:name="_Toc17264"/>
      <w:bookmarkStart w:id="118" w:name="_Toc17410"/>
      <w:bookmarkStart w:id="119" w:name="_Toc26913"/>
      <w:r>
        <w:rPr>
          <w:rFonts w:hint="eastAsia" w:ascii="宋体" w:hAnsi="宋体" w:cs="宋体"/>
          <w:b/>
          <w:bCs/>
          <w:color w:val="auto"/>
          <w:szCs w:val="21"/>
          <w:highlight w:val="none"/>
        </w:rPr>
        <w:t xml:space="preserve">3.2 </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bookmarkEnd w:id="117"/>
      <w:bookmarkEnd w:id="118"/>
      <w:bookmarkEnd w:id="119"/>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bookmarkStart w:id="120" w:name="_Toc17449"/>
      <w:bookmarkStart w:id="121" w:name="_Toc509"/>
      <w:bookmarkStart w:id="122" w:name="_Toc32619"/>
      <w:r>
        <w:rPr>
          <w:rFonts w:hint="eastAsia" w:ascii="宋体" w:hAnsi="宋体" w:cs="宋体"/>
          <w:b w:val="0"/>
          <w:bCs w:val="0"/>
          <w:color w:val="auto"/>
          <w:szCs w:val="21"/>
          <w:highlight w:val="none"/>
        </w:rPr>
        <w:t>3.2.1 供应商编制的投标文件应包括但不少于下列内容：</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(1)商务文件内容 (详见第</w:t>
      </w:r>
      <w:r>
        <w:rPr>
          <w:rFonts w:hint="eastAsia" w:ascii="宋体" w:hAnsi="宋体" w:cs="宋体"/>
          <w:b w:val="0"/>
          <w:bCs w:val="0"/>
          <w:color w:val="auto"/>
          <w:szCs w:val="21"/>
          <w:highlight w:val="none"/>
          <w:lang w:eastAsia="zh-CN"/>
        </w:rPr>
        <w:t>五</w:t>
      </w:r>
      <w:r>
        <w:rPr>
          <w:rFonts w:hint="eastAsia" w:ascii="宋体" w:hAnsi="宋体" w:cs="宋体"/>
          <w:b w:val="0"/>
          <w:bCs w:val="0"/>
          <w:color w:val="auto"/>
          <w:szCs w:val="21"/>
          <w:highlight w:val="none"/>
        </w:rPr>
        <w:t>章商务文件组成)</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(2)技术文件内容 (详见第</w:t>
      </w:r>
      <w:r>
        <w:rPr>
          <w:rFonts w:hint="eastAsia" w:ascii="宋体" w:hAnsi="宋体" w:cs="宋体"/>
          <w:b w:val="0"/>
          <w:bCs w:val="0"/>
          <w:color w:val="auto"/>
          <w:szCs w:val="21"/>
          <w:highlight w:val="none"/>
          <w:lang w:eastAsia="zh-CN"/>
        </w:rPr>
        <w:t>五</w:t>
      </w:r>
      <w:r>
        <w:rPr>
          <w:rFonts w:hint="eastAsia" w:ascii="宋体" w:hAnsi="宋体" w:cs="宋体"/>
          <w:b w:val="0"/>
          <w:bCs w:val="0"/>
          <w:color w:val="auto"/>
          <w:szCs w:val="21"/>
          <w:highlight w:val="none"/>
        </w:rPr>
        <w:t>章技术文件组成)</w:t>
      </w:r>
    </w:p>
    <w:p>
      <w:pPr>
        <w:pStyle w:val="103"/>
        <w:adjustRightInd w:val="0"/>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3.3 报价要求</w:t>
      </w:r>
      <w:bookmarkEnd w:id="120"/>
      <w:bookmarkEnd w:id="121"/>
      <w:bookmarkEnd w:id="122"/>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.1 供应商所提供的货物和服务均以人民币报价。</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 xml:space="preserve">.2 </w:t>
      </w:r>
      <w:r>
        <w:rPr>
          <w:rFonts w:hint="eastAsia" w:ascii="宋体" w:hAnsi="宋体" w:cs="宋体"/>
          <w:b w:val="0"/>
          <w:bCs w:val="0"/>
          <w:color w:val="auto"/>
          <w:szCs w:val="21"/>
          <w:highlight w:val="none"/>
          <w:lang w:eastAsia="zh-CN"/>
        </w:rPr>
        <w:t>供应</w:t>
      </w:r>
      <w:r>
        <w:rPr>
          <w:rFonts w:hint="eastAsia" w:ascii="宋体" w:hAnsi="宋体" w:cs="宋体"/>
          <w:b w:val="0"/>
          <w:bCs w:val="0"/>
          <w:color w:val="auto"/>
          <w:szCs w:val="21"/>
          <w:highlight w:val="none"/>
        </w:rPr>
        <w:t>商应按照“第三章 采购需求”规定的货物、服务内容、 责任范围以及合同条款进行报价。并按《公开招标报价一览表》和《公 开招标报价明细表》确定的格式报出分项价格和总价。投标报价应为 优惠后的报价，任何报价上的优惠应体现在各分项报价中，国家规定 的各项税费不得优惠。投标报价中不得包含招标文件要求以外的内 容，否则，在评审时不予核减。投标报价中也不得缺漏招标文件所要 求的内容，否则，在评审时将被视为已包含在投标报价中。</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3.4.3《标报价明细表》填写时应响应下列要求：</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 对于报价免费的项目应标明“免费”；</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 所有根据合同或其它原因应由供应商支付的税款和其它应</w:t>
      </w:r>
    </w:p>
    <w:p>
      <w:pPr>
        <w:pStyle w:val="103"/>
        <w:adjustRightInd w:val="0"/>
        <w:snapToGrid w:val="0"/>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交纳的费用都要包括在供应商提交的投标总价中；</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 应包含货物运至最终目的地的运输、保险和伴随货物服务 的有关费用。</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3.4.</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 xml:space="preserve"> 每一种规格的货物、服务只允许有一个报价，否则将被视 为无效响应。</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3.4.</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供应商所报的总价在合同执行过程中是固定不变的，不得 以任何理由予以变更。</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3.4.</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供应商的最后投标报价超过项目采购预算的为无效报价。</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3.5 备选方案</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3.5.1 不接受备选方案。</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 联合体响应</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3.6.1 两个以上供应商可以组成一个联合体，以一个供应商的身份共同参与投标。</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3.6.2 采取联合体形式投标的，联合体各方均应当符合政府采购法第二十二条规定的条件。采购人根据采购项目的特殊要求规定供应商特定条件的，联合体各方中至少有一方符合招标文件规定的特定条件。</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3.6.3 联合体各方之间必须签订联合投标协议，明确约定联合体主体及各方承担的工作和相应的责任，其投标文件中必须提供联合投 标协议。</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3.6.4 以联合体形式参加政府采购活动的，联合体各方不得再单独参加或者与其他供应商另外组成联合体参加同一合同项下的政府 采购活动。</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3.6.5 采取联合体形式响应的，其投标文件必须由联合体所有成员或其各自正式书面授权的代表签署 (盖章) ，以便对所有成员作为 整体及作为个体均具有法律约束力。</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3.6.6 联合体成交的，联合体各方应当共同与采购人签订采购合 同。</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3.6.7联合体中有同类资质的供应商按照联合体分工承担相同工作的，应当按照资质等级较低的供应商确定资质等级。</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3.6.8 大中型企业、其他自然人、法人或者非法人组织与小型、 微型企业组成联合体共同参加投标，共同投标协议中应写明小型、微 型企业的协议合同金额占到共同投标协议投标总金额的比例。</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 供应商资格证明文件</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3.7.1供应商应提交证明其有资格参加采购和成交后有能力履行合同的文件，并作为其投标文件的一部分。</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3.7.2 资格证明文件必须真实可靠、不得伪造。</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3.7.3 供应商相关资格证明文件：</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 法人或者其他组织的营业执照等证明文件，自然人的身份证明；</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 财务状况报告，依法缴纳税收和社会保障资金的相关材料；</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 具备履行合同所必需的设备和专业技术能力的证明材料；</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 参加政府采购活动前 3 年内在经营活动中没有重大违法记录的书面声明；</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 具备法律、行政法规规定的其他条件的证明材料；</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 采购项目有特殊要求的，供应商还应当提供其符合特殊要 求的证明材料或者情况说明；</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 信用信息查询记录；</w:t>
      </w:r>
    </w:p>
    <w:p>
      <w:pPr>
        <w:pStyle w:val="103"/>
        <w:adjustRightInd w:val="0"/>
        <w:snapToGrid w:val="0"/>
        <w:spacing w:line="400" w:lineRule="exact"/>
        <w:ind w:firstLine="420" w:firstLineChars="200"/>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(8) 招标文件要求或供应商认为需提供的其它相关资格证明材</w:t>
      </w:r>
      <w:r>
        <w:rPr>
          <w:rFonts w:hint="eastAsia" w:ascii="宋体" w:hAnsi="宋体" w:cs="宋体"/>
          <w:b w:val="0"/>
          <w:bCs w:val="0"/>
          <w:color w:val="auto"/>
          <w:szCs w:val="21"/>
          <w:highlight w:val="none"/>
          <w:lang w:eastAsia="zh-CN"/>
        </w:rPr>
        <w:t>料。</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3.7.4 证明响应货物、服务的合格性和符合招标文件规定的文件。</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采取资格预审方式项目的供应商在递交投标文件时，其资格条件 与资格预审时发生变化的，提交变化后的资料。</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 投标保证金</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3.8.1 供应商应在投标文件递交截止时间之前，将所规定数额的 保证金以前附表中该项目所对应的保证金收取账号或缴纳方式(不接受现金缴纳) 。保证金缴纳时间以该项目所对应的保证金收取账号中 显示的到账时间为准。</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3.8.1.1 联合体投标的，可以由联合体中的一方或者共同提交投标保证金。以一方名义提交投标保证金的，对联合体各方均具有约束力。</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3.8.2供应商未按照招标文件要求提交投标保证金的，响应无效。</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3.8.3 未成交供应其保证金自中标通知书发出之日起 5 个工作日内，按照保证金的来款渠道原路退还至供应商缴纳保证金的企业银行账户内。如有质疑或投诉，政府采购代理机构将在质疑和投诉处理完 毕后5 个工作日内，按照保证金的来款渠道原路退还至供应商缴纳保证金的企业银行账户内。</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3.8.4 成交供应其保证金自采购合同签订之日起，并将合同报采 购代理机构后 5 个工作日内，按照保证金的来款渠道原路退还至供应 商缴纳保证金的企业银行账户内。</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为确保投标保证金的及时退还，评标结束后投标企业需提供保证 金汇款凭证、开户许可证复印件、收据并注明开户行行号、联系方式 (加盖公司鲜红公章) 送</w:t>
      </w:r>
      <w:r>
        <w:rPr>
          <w:rFonts w:hint="eastAsia" w:ascii="Times New Roman" w:hAnsi="Times New Roman" w:eastAsia="宋体" w:cs="宋体"/>
          <w:b/>
          <w:bCs/>
          <w:color w:val="auto"/>
          <w:kern w:val="2"/>
          <w:sz w:val="21"/>
          <w:szCs w:val="21"/>
          <w:highlight w:val="none"/>
          <w:lang w:val="en-US" w:eastAsia="zh-CN" w:bidi="ar-SA"/>
        </w:rPr>
        <w:t>送新疆金世信诚建设项目管理集团有限公司财务室。</w:t>
      </w:r>
      <w:r>
        <w:rPr>
          <w:rFonts w:hint="eastAsia" w:ascii="宋体" w:hAnsi="宋体" w:cs="宋体"/>
          <w:b w:val="0"/>
          <w:bCs w:val="0"/>
          <w:color w:val="auto"/>
          <w:szCs w:val="21"/>
          <w:highlight w:val="none"/>
        </w:rPr>
        <w:t xml:space="preserve"> (注：废标项目投保证金在后续项目再次招标时银行系统不做统计，请投标企业及时办理退款) 。</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3.8.5 有下列情形之一的，保证金将被没收：</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 供应商在投标文件中提供虚假资料的；</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 除因不可抗力或招标文件认可的情形以外，成交供应商不与采购人签订合同的；</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 供应商与采购人、其他供应商或者采购代理机构恶意串通的；</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 招标文件规定的其他情形。</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3.8.6 如开标时供应商对本单位响应保证金缴纳情况有疑义，供应商应在开标结束前向采购人提交书面申请核实保证金缴纳情况。由 银行或保险公司核实后出具书面材料予以答复。</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3.8.7 开标结束后，转账、电汇、网银形式缴纳的保证金由招标 代理或采购人统一办理成交供应商和未成交供应商的保证金退还事 宜。如本项目采购中遇质疑，投诉，复议等特殊情况，保证金退还时 间按相关规定执行。</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3.9. 投标的有效期</w:t>
      </w:r>
    </w:p>
    <w:p>
      <w:pPr>
        <w:pStyle w:val="103"/>
        <w:adjustRightInd w:val="0"/>
        <w:snapToGrid w:val="0"/>
        <w:spacing w:line="40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3.9.1 投标有效期详见供应商须知前附表。供应商投标文件中有 效期不足的将被视为无效文件。</w:t>
      </w:r>
    </w:p>
    <w:p>
      <w:pPr>
        <w:pStyle w:val="99"/>
        <w:spacing w:line="400" w:lineRule="exact"/>
        <w:jc w:val="center"/>
        <w:rPr>
          <w:rFonts w:hint="eastAsia" w:ascii="宋体" w:hAnsi="宋体" w:eastAsia="宋体" w:cs="宋体"/>
          <w:b/>
          <w:bCs/>
          <w:color w:val="auto"/>
          <w:sz w:val="21"/>
          <w:szCs w:val="21"/>
          <w:highlight w:val="none"/>
        </w:rPr>
      </w:pPr>
      <w:bookmarkStart w:id="123" w:name="_Toc21634"/>
      <w:bookmarkStart w:id="124" w:name="_Toc19973"/>
      <w:bookmarkStart w:id="125" w:name="_Toc4087"/>
      <w:bookmarkStart w:id="126" w:name="_Toc21782"/>
      <w:bookmarkStart w:id="127" w:name="_Toc14020"/>
      <w:bookmarkStart w:id="128" w:name="_Toc31717"/>
      <w:bookmarkStart w:id="129" w:name="_Toc14039"/>
      <w:r>
        <w:rPr>
          <w:rFonts w:hint="eastAsia" w:ascii="宋体" w:hAnsi="宋体" w:eastAsia="宋体" w:cs="宋体"/>
          <w:b/>
          <w:bCs/>
          <w:color w:val="auto"/>
          <w:sz w:val="21"/>
          <w:szCs w:val="21"/>
          <w:highlight w:val="none"/>
        </w:rPr>
        <w:t>四、响应文件的递交</w:t>
      </w:r>
      <w:bookmarkEnd w:id="123"/>
      <w:bookmarkEnd w:id="124"/>
      <w:bookmarkEnd w:id="125"/>
      <w:bookmarkEnd w:id="126"/>
      <w:bookmarkEnd w:id="127"/>
      <w:bookmarkEnd w:id="128"/>
      <w:bookmarkEnd w:id="129"/>
    </w:p>
    <w:p>
      <w:pPr>
        <w:pStyle w:val="103"/>
        <w:adjustRightInd w:val="0"/>
        <w:snapToGrid w:val="0"/>
        <w:spacing w:line="400" w:lineRule="exact"/>
        <w:rPr>
          <w:rFonts w:hint="eastAsia" w:ascii="宋体" w:hAnsi="宋体" w:eastAsia="宋体" w:cs="宋体"/>
          <w:b/>
          <w:bCs/>
          <w:color w:val="auto"/>
          <w:sz w:val="21"/>
          <w:szCs w:val="21"/>
          <w:highlight w:val="none"/>
        </w:rPr>
      </w:pPr>
      <w:bookmarkStart w:id="130" w:name="_Toc28214"/>
      <w:bookmarkStart w:id="131" w:name="_Toc12228"/>
      <w:bookmarkStart w:id="132" w:name="_Toc14225"/>
      <w:r>
        <w:rPr>
          <w:rFonts w:hint="eastAsia" w:ascii="宋体" w:hAnsi="宋体" w:eastAsia="宋体" w:cs="宋体"/>
          <w:b/>
          <w:bCs/>
          <w:color w:val="auto"/>
          <w:sz w:val="21"/>
          <w:szCs w:val="21"/>
          <w:highlight w:val="none"/>
        </w:rPr>
        <w:t xml:space="preserve">4.1 </w:t>
      </w:r>
      <w:r>
        <w:rPr>
          <w:rFonts w:hint="eastAsia" w:ascii="宋体" w:hAnsi="宋体" w:eastAsia="宋体" w:cs="宋体"/>
          <w:b/>
          <w:color w:val="auto"/>
          <w:sz w:val="21"/>
          <w:szCs w:val="21"/>
          <w:highlight w:val="none"/>
        </w:rPr>
        <w:t>响应文件</w:t>
      </w:r>
      <w:r>
        <w:rPr>
          <w:rFonts w:hint="eastAsia" w:ascii="宋体" w:hAnsi="宋体" w:eastAsia="宋体" w:cs="宋体"/>
          <w:b/>
          <w:bCs/>
          <w:color w:val="auto"/>
          <w:sz w:val="21"/>
          <w:szCs w:val="21"/>
          <w:highlight w:val="none"/>
        </w:rPr>
        <w:t>的密封和标记</w:t>
      </w:r>
      <w:bookmarkEnd w:id="130"/>
      <w:bookmarkEnd w:id="131"/>
      <w:bookmarkEnd w:id="132"/>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供应商应通过电子响应文件制作工具严格按采购文件要求制作响应文件，在递交响应文件截止时间前完成上传经过数字证书电子签章并加密的响应文件（加密和解密须用同一把数字证书）。供应商在递交响应文件截止时间前，可以对其所递交的响应文件进行修改并重新上传，但以递交响应文件截止时间前最后一次上传的响应文件为有效响应文件。</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递交响应文件截止时间以政采云平台显示的时间为准，逾期系统将自动关闭，未完成上传的响应文件视为逾期送达，将被拒绝。</w:t>
      </w:r>
    </w:p>
    <w:p>
      <w:pPr>
        <w:pStyle w:val="103"/>
        <w:adjustRightInd w:val="0"/>
        <w:snapToGrid w:val="0"/>
        <w:spacing w:line="400" w:lineRule="exact"/>
        <w:rPr>
          <w:rFonts w:hint="eastAsia" w:ascii="宋体" w:hAnsi="宋体" w:eastAsia="宋体" w:cs="宋体"/>
          <w:b/>
          <w:bCs/>
          <w:color w:val="auto"/>
          <w:sz w:val="21"/>
          <w:szCs w:val="21"/>
          <w:highlight w:val="none"/>
        </w:rPr>
      </w:pPr>
      <w:bookmarkStart w:id="133" w:name="_Toc24011"/>
      <w:bookmarkStart w:id="134" w:name="_Toc32016"/>
      <w:bookmarkStart w:id="135" w:name="_Toc30652"/>
      <w:r>
        <w:rPr>
          <w:rFonts w:hint="eastAsia" w:ascii="宋体" w:hAnsi="宋体" w:eastAsia="宋体" w:cs="宋体"/>
          <w:b/>
          <w:bCs/>
          <w:color w:val="auto"/>
          <w:sz w:val="21"/>
          <w:szCs w:val="21"/>
          <w:highlight w:val="none"/>
        </w:rPr>
        <w:t>4.2响应文件的递交</w:t>
      </w:r>
      <w:bookmarkEnd w:id="133"/>
      <w:bookmarkEnd w:id="134"/>
      <w:bookmarkEnd w:id="135"/>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供应商应在磋商文件规定的响应文件递交截止时间前将电子响应文件上传到指定兵团政府采购网业务平台的指定位置。未在响应文件递交截止时间前完成上传的电子响应文件视为逾期送达。逾期上传或未按规定方式上传的电子响应文件，采购人不予受理。</w:t>
      </w:r>
    </w:p>
    <w:p>
      <w:pPr>
        <w:pStyle w:val="103"/>
        <w:adjustRightInd w:val="0"/>
        <w:snapToGrid w:val="0"/>
        <w:spacing w:line="400" w:lineRule="exact"/>
        <w:rPr>
          <w:rFonts w:hint="eastAsia" w:ascii="宋体" w:hAnsi="宋体" w:eastAsia="宋体" w:cs="宋体"/>
          <w:b/>
          <w:bCs/>
          <w:color w:val="auto"/>
          <w:sz w:val="21"/>
          <w:szCs w:val="21"/>
          <w:highlight w:val="none"/>
        </w:rPr>
      </w:pPr>
      <w:bookmarkStart w:id="136" w:name="_Toc8284"/>
      <w:bookmarkStart w:id="137" w:name="_Toc32766"/>
      <w:bookmarkStart w:id="138" w:name="_Toc23487"/>
      <w:r>
        <w:rPr>
          <w:rFonts w:hint="eastAsia" w:ascii="宋体" w:hAnsi="宋体" w:eastAsia="宋体" w:cs="宋体"/>
          <w:b/>
          <w:bCs/>
          <w:color w:val="auto"/>
          <w:sz w:val="21"/>
          <w:szCs w:val="21"/>
          <w:highlight w:val="none"/>
        </w:rPr>
        <w:t>4.3响应文件的</w:t>
      </w:r>
      <w:r>
        <w:rPr>
          <w:rFonts w:hint="eastAsia" w:ascii="宋体" w:hAnsi="宋体" w:eastAsia="宋体" w:cs="宋体"/>
          <w:b/>
          <w:color w:val="auto"/>
          <w:kern w:val="0"/>
          <w:sz w:val="21"/>
          <w:szCs w:val="21"/>
          <w:highlight w:val="none"/>
          <w:lang w:val="zh-CN"/>
        </w:rPr>
        <w:t>补充、修改或者撤回</w:t>
      </w:r>
      <w:bookmarkEnd w:id="136"/>
      <w:bookmarkEnd w:id="137"/>
      <w:bookmarkEnd w:id="138"/>
    </w:p>
    <w:p>
      <w:pPr>
        <w:pStyle w:val="111"/>
        <w:adjustRightInd w:val="0"/>
        <w:snapToGrid w:val="0"/>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4.3.1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后，可以修改或撤回，但这种修改和撤回，必须在规定的</w:t>
      </w:r>
      <w:r>
        <w:rPr>
          <w:rFonts w:hint="eastAsia" w:ascii="宋体" w:hAnsi="宋体" w:eastAsia="宋体" w:cs="宋体"/>
          <w:color w:val="auto"/>
          <w:sz w:val="21"/>
          <w:szCs w:val="21"/>
          <w:highlight w:val="none"/>
          <w:lang w:eastAsia="zh-CN"/>
        </w:rPr>
        <w:t>递交响应文件截止时间</w:t>
      </w:r>
      <w:r>
        <w:rPr>
          <w:rFonts w:hint="eastAsia" w:ascii="宋体" w:hAnsi="宋体" w:eastAsia="宋体" w:cs="宋体"/>
          <w:color w:val="auto"/>
          <w:sz w:val="21"/>
          <w:szCs w:val="21"/>
          <w:highlight w:val="none"/>
        </w:rPr>
        <w:t>前。在</w:t>
      </w:r>
      <w:r>
        <w:rPr>
          <w:rFonts w:hint="eastAsia" w:ascii="宋体" w:hAnsi="宋体" w:eastAsia="宋体" w:cs="宋体"/>
          <w:color w:val="auto"/>
          <w:sz w:val="21"/>
          <w:szCs w:val="21"/>
          <w:highlight w:val="none"/>
          <w:lang w:eastAsia="zh-CN"/>
        </w:rPr>
        <w:t>递交响应文件截止时间</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不得要求修改或撤回其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在递交响应文件截止时间后，供应商不得对响应文件</w:t>
      </w:r>
      <w:r>
        <w:rPr>
          <w:rFonts w:hint="eastAsia" w:ascii="宋体" w:hAnsi="宋体" w:eastAsia="宋体" w:cs="宋体"/>
          <w:color w:val="auto"/>
          <w:sz w:val="21"/>
          <w:szCs w:val="21"/>
          <w:highlight w:val="none"/>
          <w:lang w:val="zh-CN"/>
        </w:rPr>
        <w:t>补充、修改或者撤回</w:t>
      </w:r>
      <w:r>
        <w:rPr>
          <w:rFonts w:hint="eastAsia" w:ascii="宋体" w:hAnsi="宋体" w:eastAsia="宋体" w:cs="宋体"/>
          <w:color w:val="auto"/>
          <w:sz w:val="21"/>
          <w:szCs w:val="21"/>
          <w:highlight w:val="none"/>
        </w:rPr>
        <w:t>。</w:t>
      </w:r>
    </w:p>
    <w:p>
      <w:pPr>
        <w:pStyle w:val="103"/>
        <w:adjustRightInd w:val="0"/>
        <w:snapToGrid w:val="0"/>
        <w:spacing w:line="400" w:lineRule="exact"/>
        <w:rPr>
          <w:rFonts w:hint="eastAsia" w:ascii="宋体" w:hAnsi="宋体" w:eastAsia="宋体" w:cs="宋体"/>
          <w:b/>
          <w:bCs/>
          <w:color w:val="auto"/>
          <w:sz w:val="21"/>
          <w:szCs w:val="21"/>
          <w:highlight w:val="none"/>
        </w:rPr>
      </w:pPr>
      <w:bookmarkStart w:id="139" w:name="_Toc25148"/>
      <w:bookmarkStart w:id="140" w:name="_Toc6288"/>
      <w:bookmarkStart w:id="141" w:name="_Toc24477"/>
      <w:r>
        <w:rPr>
          <w:rFonts w:hint="eastAsia" w:ascii="宋体" w:hAnsi="宋体" w:eastAsia="宋体" w:cs="宋体"/>
          <w:b/>
          <w:bCs/>
          <w:color w:val="auto"/>
          <w:sz w:val="21"/>
          <w:szCs w:val="21"/>
          <w:highlight w:val="none"/>
        </w:rPr>
        <w:t>4.4</w:t>
      </w:r>
      <w:bookmarkStart w:id="142" w:name="_Toc86917725"/>
      <w:r>
        <w:rPr>
          <w:rFonts w:hint="eastAsia" w:ascii="宋体" w:hAnsi="宋体" w:eastAsia="宋体" w:cs="宋体"/>
          <w:b/>
          <w:bCs/>
          <w:color w:val="auto"/>
          <w:sz w:val="21"/>
          <w:szCs w:val="21"/>
          <w:highlight w:val="none"/>
        </w:rPr>
        <w:t>磋商开启活动程序</w:t>
      </w:r>
      <w:bookmarkEnd w:id="139"/>
      <w:bookmarkEnd w:id="140"/>
      <w:bookmarkEnd w:id="141"/>
      <w:bookmarkEnd w:id="142"/>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4.4.1提交施工响应文件的供应商不足3家的，不予继续进行磋商开启活动。</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准备工作。供应商需在首次施工响应文件提交截止时间前登录“政府采购云平台”，通过“开标大厅”参与。登录政府采购云平台(www.zcygov.cn)—我的工作台—项目采购—开标评标—开标大厅[找到对应项目（包件）]。</w:t>
      </w:r>
    </w:p>
    <w:p>
      <w:pPr>
        <w:pStyle w:val="111"/>
        <w:adjustRightInd w:val="0"/>
        <w:snapToGrid w:val="0"/>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提示：供应商未按时登录不见面开标系统，错过解密时间的，由供应商自行承担不利后果。</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解密施工响应文件。等待采购人或采购代理机构开启解密后，供应商进行线上解密。除因采购人或采购代理机构开、评标室突然断电、断网、系统故障或其他不可抗力等因素，导致系统无法使用外，供应商在规定的解密时间内，未成功解密的施工响应文件将视为无效施工响应文件。</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4.4.4确认。解密时间截止或者所有供应商施工响应文件均完成解密后（以发生在先的时间为准），由“政府采购云平台”系统展示供应商名称、施工相应文件解密情况等内容。</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4.4.5供应商对过程和记录有疑义，以及认为采购人、采购代理机构相关工作人员有需要回避的情形的，及时向工作人员提出询问或者回避申请。采购人、采购代理机构对供应商提出的询问或者回避申请应当及时处理。</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4.4.6供应商电脑终端等硬件设备和软件系统配置：供应商电脑终端等硬件设备和软件系统配置应符合电子投标（含不见面开标大厅）供应商电脑终端配置要求并运行正常，供应商承担因未尽职责产生的不利后果。</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4.4.7政府采购云平台运行基本环境要求：电脑应安装并顺利运行64位win7以上操作系统，安装并顺利运行摄像头、耳麦等用于音视频交流的设备；谷歌浏览器；正确的CA及签章驱动等；能流畅访问互联网。</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4.4.8因采购代理机构突然断电、断网、系统故障或其他不可抗力等因素导致不见面开标系统无法正常运行的，磋商开启活动中止或延迟，待系统恢复正常后继续进行。</w:t>
      </w:r>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4.4.9磋商开启活动过程中，各方主体均应遵守互联网有关规定，不得发表与交易活动无关的言论。</w:t>
      </w:r>
    </w:p>
    <w:p>
      <w:pPr>
        <w:pStyle w:val="99"/>
        <w:spacing w:line="400" w:lineRule="exact"/>
        <w:jc w:val="center"/>
        <w:rPr>
          <w:rFonts w:hint="eastAsia" w:ascii="宋体" w:hAnsi="宋体" w:eastAsia="宋体" w:cs="宋体"/>
          <w:b/>
          <w:bCs/>
          <w:color w:val="auto"/>
          <w:sz w:val="21"/>
          <w:szCs w:val="21"/>
          <w:highlight w:val="none"/>
        </w:rPr>
      </w:pPr>
      <w:bookmarkStart w:id="143" w:name="_Toc5501"/>
      <w:bookmarkStart w:id="144" w:name="_Toc2755"/>
      <w:bookmarkStart w:id="145" w:name="_Toc16039"/>
      <w:bookmarkStart w:id="146" w:name="_Toc21874"/>
      <w:bookmarkStart w:id="147" w:name="_Toc11252"/>
      <w:bookmarkStart w:id="148" w:name="_Toc13285"/>
      <w:bookmarkStart w:id="149" w:name="_Toc19951"/>
      <w:r>
        <w:rPr>
          <w:rFonts w:hint="eastAsia" w:ascii="宋体" w:hAnsi="宋体" w:eastAsia="宋体" w:cs="宋体"/>
          <w:b/>
          <w:bCs/>
          <w:color w:val="auto"/>
          <w:sz w:val="21"/>
          <w:szCs w:val="21"/>
          <w:highlight w:val="none"/>
        </w:rPr>
        <w:t>五、磋商和评审</w:t>
      </w:r>
      <w:bookmarkEnd w:id="143"/>
      <w:bookmarkEnd w:id="144"/>
      <w:bookmarkEnd w:id="145"/>
      <w:bookmarkEnd w:id="146"/>
      <w:bookmarkEnd w:id="147"/>
      <w:bookmarkEnd w:id="148"/>
      <w:bookmarkEnd w:id="149"/>
    </w:p>
    <w:p>
      <w:pPr>
        <w:pStyle w:val="103"/>
        <w:adjustRightInd w:val="0"/>
        <w:snapToGrid w:val="0"/>
        <w:spacing w:line="400" w:lineRule="exact"/>
        <w:rPr>
          <w:rFonts w:hint="eastAsia" w:ascii="宋体" w:hAnsi="宋体" w:eastAsia="宋体" w:cs="宋体"/>
          <w:b/>
          <w:bCs/>
          <w:color w:val="auto"/>
          <w:sz w:val="21"/>
          <w:szCs w:val="21"/>
          <w:highlight w:val="none"/>
        </w:rPr>
      </w:pPr>
      <w:bookmarkStart w:id="150" w:name="_Toc12668"/>
      <w:bookmarkStart w:id="151" w:name="_Toc22537"/>
      <w:bookmarkStart w:id="152" w:name="_Toc19648"/>
      <w:r>
        <w:rPr>
          <w:rFonts w:hint="eastAsia" w:ascii="宋体" w:hAnsi="宋体" w:eastAsia="宋体" w:cs="宋体"/>
          <w:b/>
          <w:bCs/>
          <w:color w:val="auto"/>
          <w:sz w:val="21"/>
          <w:szCs w:val="21"/>
          <w:highlight w:val="none"/>
        </w:rPr>
        <w:t>5.1 响应文件开启</w:t>
      </w:r>
      <w:bookmarkEnd w:id="150"/>
      <w:bookmarkEnd w:id="151"/>
      <w:bookmarkEnd w:id="152"/>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5.1.1采购代理机构在</w:t>
      </w:r>
      <w:r>
        <w:rPr>
          <w:rFonts w:hint="eastAsia" w:ascii="宋体" w:hAnsi="宋体" w:eastAsia="宋体" w:cs="宋体"/>
          <w:b/>
          <w:color w:val="auto"/>
          <w:sz w:val="21"/>
          <w:szCs w:val="21"/>
          <w:highlight w:val="none"/>
        </w:rPr>
        <w:t>磋商须知前附表</w:t>
      </w:r>
      <w:r>
        <w:rPr>
          <w:rFonts w:hint="eastAsia" w:ascii="宋体" w:hAnsi="宋体" w:eastAsia="宋体" w:cs="宋体"/>
          <w:color w:val="auto"/>
          <w:sz w:val="21"/>
          <w:szCs w:val="21"/>
          <w:highlight w:val="none"/>
        </w:rPr>
        <w:t>规定的日期、时间和地点组织响应文件开启。</w:t>
      </w:r>
    </w:p>
    <w:p>
      <w:pPr>
        <w:pStyle w:val="103"/>
        <w:adjustRightInd w:val="0"/>
        <w:snapToGrid w:val="0"/>
        <w:spacing w:line="400" w:lineRule="exact"/>
        <w:rPr>
          <w:rFonts w:hint="eastAsia" w:ascii="宋体" w:hAnsi="宋体" w:eastAsia="宋体" w:cs="宋体"/>
          <w:b/>
          <w:bCs/>
          <w:color w:val="auto"/>
          <w:sz w:val="21"/>
          <w:szCs w:val="21"/>
          <w:highlight w:val="none"/>
        </w:rPr>
      </w:pPr>
      <w:bookmarkStart w:id="153" w:name="_Toc13859"/>
      <w:bookmarkStart w:id="154" w:name="_Toc24320"/>
      <w:bookmarkStart w:id="155" w:name="_Toc5544"/>
      <w:r>
        <w:rPr>
          <w:rFonts w:hint="eastAsia" w:ascii="宋体" w:hAnsi="宋体" w:eastAsia="宋体" w:cs="宋体"/>
          <w:b/>
          <w:bCs/>
          <w:color w:val="auto"/>
          <w:sz w:val="21"/>
          <w:szCs w:val="21"/>
          <w:highlight w:val="none"/>
        </w:rPr>
        <w:t>5.2 磋商小组</w:t>
      </w:r>
      <w:bookmarkEnd w:id="153"/>
      <w:bookmarkEnd w:id="154"/>
      <w:bookmarkEnd w:id="155"/>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磋商小组将根据采购项目的特点依法组建，磋商小组的组成见</w:t>
      </w:r>
      <w:r>
        <w:rPr>
          <w:rFonts w:hint="eastAsia" w:ascii="宋体" w:hAnsi="宋体" w:eastAsia="宋体" w:cs="宋体"/>
          <w:b/>
          <w:color w:val="auto"/>
          <w:sz w:val="21"/>
          <w:szCs w:val="21"/>
          <w:highlight w:val="none"/>
        </w:rPr>
        <w:t>磋商须知前附表</w:t>
      </w:r>
      <w:r>
        <w:rPr>
          <w:rFonts w:hint="eastAsia" w:ascii="宋体" w:hAnsi="宋体" w:eastAsia="宋体" w:cs="宋体"/>
          <w:color w:val="auto"/>
          <w:sz w:val="21"/>
          <w:szCs w:val="21"/>
          <w:highlight w:val="none"/>
        </w:rPr>
        <w:t>。</w:t>
      </w:r>
    </w:p>
    <w:p>
      <w:pPr>
        <w:pStyle w:val="103"/>
        <w:spacing w:line="400" w:lineRule="exact"/>
        <w:rPr>
          <w:rFonts w:hint="eastAsia" w:ascii="宋体" w:hAnsi="宋体" w:eastAsia="宋体" w:cs="宋体"/>
          <w:color w:val="auto"/>
          <w:sz w:val="21"/>
          <w:szCs w:val="21"/>
          <w:highlight w:val="none"/>
        </w:rPr>
      </w:pPr>
      <w:bookmarkStart w:id="156" w:name="_Toc30627"/>
      <w:bookmarkStart w:id="157" w:name="_Toc16092"/>
      <w:bookmarkStart w:id="158" w:name="_Toc11114"/>
      <w:r>
        <w:rPr>
          <w:rFonts w:hint="eastAsia" w:ascii="宋体" w:hAnsi="宋体" w:eastAsia="宋体" w:cs="宋体"/>
          <w:b/>
          <w:bCs/>
          <w:color w:val="auto"/>
          <w:sz w:val="21"/>
          <w:szCs w:val="21"/>
          <w:highlight w:val="none"/>
        </w:rPr>
        <w:t xml:space="preserve">5.3  </w:t>
      </w:r>
      <w:r>
        <w:rPr>
          <w:rFonts w:hint="eastAsia" w:ascii="宋体" w:hAnsi="宋体" w:eastAsia="宋体" w:cs="宋体"/>
          <w:b/>
          <w:color w:val="auto"/>
          <w:sz w:val="21"/>
          <w:szCs w:val="21"/>
          <w:highlight w:val="none"/>
        </w:rPr>
        <w:t>响应文件的初步评审与澄清</w:t>
      </w:r>
      <w:bookmarkEnd w:id="156"/>
      <w:bookmarkEnd w:id="157"/>
      <w:bookmarkEnd w:id="158"/>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响应文件的初步评审分为资格性检查和符合性检查。</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（1）资格性检查指依据法律、法规和磋商文件的规定，对响应文件资格证明等进行审查，以确定供应商是否具备报价资格。详细评审标准见“第三章 评审办法”。</w:t>
      </w:r>
    </w:p>
    <w:p>
      <w:pPr>
        <w:pStyle w:val="103"/>
        <w:spacing w:line="400" w:lineRule="exact"/>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eastAsia="宋体" w:cs="宋体"/>
          <w:color w:val="auto"/>
          <w:sz w:val="21"/>
          <w:szCs w:val="21"/>
          <w:highlight w:val="none"/>
        </w:rPr>
        <w:t>“第三章 评审办法”</w:t>
      </w:r>
      <w:r>
        <w:rPr>
          <w:rFonts w:hint="eastAsia" w:ascii="宋体" w:hAnsi="宋体" w:eastAsia="宋体" w:cs="宋体"/>
          <w:color w:val="auto"/>
          <w:spacing w:val="-2"/>
          <w:sz w:val="21"/>
          <w:szCs w:val="21"/>
          <w:highlight w:val="none"/>
        </w:rPr>
        <w:t>。</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5.3.1资格性检查</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（1）采购人或采购代理机构根据评审办法规定的评审因素和评审标准，对供应商的资格响应文件进行资格审查。资格审查不合格的供应商的响应文件无效。</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（2）采购人或采购代理机构在进行资格审查时，不得改变磋商文件中已载明的资格条件、标准和办法。</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（3）通过全部资格审查条件合格的供应商才能通过资格检查，其响应文件方可进入下一个符合性检查阶段。</w:t>
      </w:r>
    </w:p>
    <w:p>
      <w:pPr>
        <w:pStyle w:val="103"/>
        <w:spacing w:line="400" w:lineRule="exact"/>
        <w:ind w:firstLine="420" w:firstLineChars="200"/>
        <w:rPr>
          <w:rFonts w:hint="eastAsia" w:ascii="宋体" w:hAnsi="宋体" w:eastAsia="宋体" w:cs="宋体"/>
          <w:color w:val="auto"/>
          <w:sz w:val="21"/>
          <w:szCs w:val="21"/>
          <w:highlight w:val="none"/>
        </w:rPr>
      </w:pPr>
    </w:p>
    <w:tbl>
      <w:tblPr>
        <w:tblStyle w:val="195"/>
        <w:tblW w:w="9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5"/>
        <w:gridCol w:w="1846"/>
        <w:gridCol w:w="5153"/>
        <w:gridCol w:w="598"/>
        <w:gridCol w:w="6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55" w:type="dxa"/>
            <w:vMerge w:val="restart"/>
            <w:tcBorders>
              <w:bottom w:val="nil"/>
            </w:tcBorders>
            <w:vAlign w:val="top"/>
          </w:tcPr>
          <w:p>
            <w:pPr>
              <w:spacing w:line="336" w:lineRule="auto"/>
              <w:rPr>
                <w:rFonts w:ascii="Arial"/>
                <w:sz w:val="18"/>
                <w:szCs w:val="18"/>
                <w:highlight w:val="none"/>
              </w:rPr>
            </w:pPr>
          </w:p>
          <w:p>
            <w:pPr>
              <w:spacing w:before="66" w:line="228" w:lineRule="auto"/>
              <w:ind w:left="161"/>
              <w:rPr>
                <w:rFonts w:ascii="宋体" w:hAnsi="宋体" w:eastAsia="宋体" w:cs="宋体"/>
                <w:sz w:val="18"/>
                <w:szCs w:val="18"/>
                <w:highlight w:val="none"/>
              </w:rPr>
            </w:pPr>
            <w:r>
              <w:rPr>
                <w:rFonts w:ascii="宋体" w:hAnsi="宋体" w:eastAsia="宋体" w:cs="宋体"/>
                <w:spacing w:val="8"/>
                <w:sz w:val="18"/>
                <w:szCs w:val="18"/>
                <w:highlight w:val="none"/>
                <w14:textOutline w14:w="3795" w14:cap="sq" w14:cmpd="sng">
                  <w14:solidFill>
                    <w14:srgbClr w14:val="000000"/>
                  </w14:solidFill>
                  <w14:prstDash w14:val="solid"/>
                  <w14:bevel/>
                </w14:textOutline>
              </w:rPr>
              <w:t>评审因素</w:t>
            </w:r>
          </w:p>
        </w:tc>
        <w:tc>
          <w:tcPr>
            <w:tcW w:w="1846" w:type="dxa"/>
            <w:vMerge w:val="restart"/>
            <w:tcBorders>
              <w:bottom w:val="nil"/>
            </w:tcBorders>
            <w:vAlign w:val="top"/>
          </w:tcPr>
          <w:p>
            <w:pPr>
              <w:spacing w:line="337" w:lineRule="auto"/>
              <w:rPr>
                <w:rFonts w:ascii="Arial"/>
                <w:sz w:val="18"/>
                <w:szCs w:val="18"/>
                <w:highlight w:val="none"/>
              </w:rPr>
            </w:pPr>
          </w:p>
          <w:p>
            <w:pPr>
              <w:spacing w:before="65" w:line="228" w:lineRule="auto"/>
              <w:ind w:left="609"/>
              <w:rPr>
                <w:rFonts w:ascii="宋体" w:hAnsi="宋体" w:eastAsia="宋体" w:cs="宋体"/>
                <w:sz w:val="18"/>
                <w:szCs w:val="18"/>
                <w:highlight w:val="none"/>
              </w:rPr>
            </w:pPr>
            <w:r>
              <w:rPr>
                <w:rFonts w:ascii="宋体" w:hAnsi="宋体" w:eastAsia="宋体" w:cs="宋体"/>
                <w:spacing w:val="8"/>
                <w:sz w:val="18"/>
                <w:szCs w:val="18"/>
                <w:highlight w:val="none"/>
                <w14:textOutline w14:w="3795" w14:cap="sq" w14:cmpd="sng">
                  <w14:solidFill>
                    <w14:srgbClr w14:val="000000"/>
                  </w14:solidFill>
                  <w14:prstDash w14:val="solid"/>
                  <w14:bevel/>
                </w14:textOutline>
              </w:rPr>
              <w:t>评审点</w:t>
            </w:r>
          </w:p>
        </w:tc>
        <w:tc>
          <w:tcPr>
            <w:tcW w:w="5153" w:type="dxa"/>
            <w:vMerge w:val="restart"/>
            <w:tcBorders>
              <w:bottom w:val="nil"/>
            </w:tcBorders>
            <w:vAlign w:val="top"/>
          </w:tcPr>
          <w:p>
            <w:pPr>
              <w:spacing w:line="337" w:lineRule="auto"/>
              <w:rPr>
                <w:rFonts w:ascii="Arial"/>
                <w:sz w:val="18"/>
                <w:szCs w:val="18"/>
                <w:highlight w:val="none"/>
              </w:rPr>
            </w:pPr>
          </w:p>
          <w:p>
            <w:pPr>
              <w:spacing w:before="65" w:line="228" w:lineRule="auto"/>
              <w:ind w:left="2128"/>
              <w:rPr>
                <w:rFonts w:ascii="宋体" w:hAnsi="宋体" w:eastAsia="宋体" w:cs="宋体"/>
                <w:sz w:val="18"/>
                <w:szCs w:val="18"/>
                <w:highlight w:val="none"/>
              </w:rPr>
            </w:pPr>
            <w:r>
              <w:rPr>
                <w:rFonts w:ascii="宋体" w:hAnsi="宋体" w:eastAsia="宋体" w:cs="宋体"/>
                <w:spacing w:val="8"/>
                <w:sz w:val="18"/>
                <w:szCs w:val="18"/>
                <w:highlight w:val="none"/>
                <w14:textOutline w14:w="3795" w14:cap="sq" w14:cmpd="sng">
                  <w14:solidFill>
                    <w14:srgbClr w14:val="000000"/>
                  </w14:solidFill>
                  <w14:prstDash w14:val="solid"/>
                  <w14:bevel/>
                </w14:textOutline>
              </w:rPr>
              <w:t>评审标准</w:t>
            </w:r>
          </w:p>
        </w:tc>
        <w:tc>
          <w:tcPr>
            <w:tcW w:w="1268" w:type="dxa"/>
            <w:gridSpan w:val="2"/>
            <w:vAlign w:val="top"/>
          </w:tcPr>
          <w:p>
            <w:pPr>
              <w:spacing w:before="168" w:line="228" w:lineRule="auto"/>
              <w:ind w:left="248"/>
              <w:rPr>
                <w:rFonts w:ascii="宋体" w:hAnsi="宋体" w:eastAsia="宋体" w:cs="宋体"/>
                <w:sz w:val="18"/>
                <w:szCs w:val="18"/>
                <w:highlight w:val="none"/>
              </w:rPr>
            </w:pPr>
            <w:r>
              <w:rPr>
                <w:rFonts w:ascii="宋体" w:hAnsi="宋体" w:eastAsia="宋体" w:cs="宋体"/>
                <w:spacing w:val="9"/>
                <w:sz w:val="18"/>
                <w:szCs w:val="18"/>
                <w:highlight w:val="none"/>
                <w14:textOutline w14:w="3795" w14:cap="sq" w14:cmpd="sng">
                  <w14:solidFill>
                    <w14:srgbClr w14:val="000000"/>
                  </w14:solidFill>
                  <w14:prstDash w14:val="solid"/>
                  <w14:bevel/>
                </w14:textOutline>
              </w:rPr>
              <w:t>评审意</w:t>
            </w:r>
            <w:r>
              <w:rPr>
                <w:rFonts w:ascii="宋体" w:hAnsi="宋体" w:eastAsia="宋体" w:cs="宋体"/>
                <w:spacing w:val="8"/>
                <w:sz w:val="18"/>
                <w:szCs w:val="18"/>
                <w:highlight w:val="none"/>
                <w14:textOutline w14:w="3795" w14:cap="sq" w14:cmpd="sng">
                  <w14:solidFill>
                    <w14:srgbClr w14:val="000000"/>
                  </w14:solidFill>
                  <w14:prstDash w14:val="solid"/>
                  <w14:bevel/>
                </w14:textOutli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trPr>
        <w:tc>
          <w:tcPr>
            <w:tcW w:w="1155" w:type="dxa"/>
            <w:vMerge w:val="continue"/>
            <w:tcBorders>
              <w:top w:val="nil"/>
            </w:tcBorders>
            <w:vAlign w:val="top"/>
          </w:tcPr>
          <w:p>
            <w:pPr>
              <w:rPr>
                <w:rFonts w:ascii="Arial"/>
                <w:sz w:val="18"/>
                <w:szCs w:val="18"/>
                <w:highlight w:val="none"/>
              </w:rPr>
            </w:pPr>
          </w:p>
        </w:tc>
        <w:tc>
          <w:tcPr>
            <w:tcW w:w="1846" w:type="dxa"/>
            <w:vMerge w:val="continue"/>
            <w:tcBorders>
              <w:top w:val="nil"/>
            </w:tcBorders>
            <w:vAlign w:val="top"/>
          </w:tcPr>
          <w:p>
            <w:pPr>
              <w:rPr>
                <w:rFonts w:ascii="Arial"/>
                <w:sz w:val="18"/>
                <w:szCs w:val="18"/>
                <w:highlight w:val="none"/>
              </w:rPr>
            </w:pPr>
          </w:p>
        </w:tc>
        <w:tc>
          <w:tcPr>
            <w:tcW w:w="5153" w:type="dxa"/>
            <w:vMerge w:val="continue"/>
            <w:tcBorders>
              <w:top w:val="nil"/>
            </w:tcBorders>
            <w:vAlign w:val="top"/>
          </w:tcPr>
          <w:p>
            <w:pPr>
              <w:rPr>
                <w:rFonts w:ascii="Arial"/>
                <w:sz w:val="18"/>
                <w:szCs w:val="18"/>
                <w:highlight w:val="none"/>
              </w:rPr>
            </w:pPr>
          </w:p>
        </w:tc>
        <w:tc>
          <w:tcPr>
            <w:tcW w:w="598" w:type="dxa"/>
            <w:vAlign w:val="top"/>
          </w:tcPr>
          <w:p>
            <w:pPr>
              <w:spacing w:before="129" w:line="231" w:lineRule="auto"/>
              <w:ind w:left="235"/>
              <w:rPr>
                <w:rFonts w:ascii="宋体" w:hAnsi="宋体" w:eastAsia="宋体" w:cs="宋体"/>
                <w:sz w:val="18"/>
                <w:szCs w:val="18"/>
                <w:highlight w:val="none"/>
              </w:rPr>
            </w:pPr>
            <w:r>
              <w:rPr>
                <w:rFonts w:ascii="宋体" w:hAnsi="宋体" w:eastAsia="宋体" w:cs="宋体"/>
                <w:sz w:val="18"/>
                <w:szCs w:val="18"/>
                <w:highlight w:val="none"/>
                <w14:textOutline w14:w="3795" w14:cap="sq" w14:cmpd="sng">
                  <w14:solidFill>
                    <w14:srgbClr w14:val="000000"/>
                  </w14:solidFill>
                  <w14:prstDash w14:val="solid"/>
                  <w14:bevel/>
                </w14:textOutline>
              </w:rPr>
              <w:t>是</w:t>
            </w:r>
          </w:p>
        </w:tc>
        <w:tc>
          <w:tcPr>
            <w:tcW w:w="670" w:type="dxa"/>
            <w:vAlign w:val="top"/>
          </w:tcPr>
          <w:p>
            <w:pPr>
              <w:spacing w:before="129" w:line="228" w:lineRule="auto"/>
              <w:ind w:left="241"/>
              <w:rPr>
                <w:rFonts w:ascii="宋体" w:hAnsi="宋体" w:eastAsia="宋体" w:cs="宋体"/>
                <w:sz w:val="18"/>
                <w:szCs w:val="18"/>
                <w:highlight w:val="none"/>
              </w:rPr>
            </w:pPr>
            <w:r>
              <w:rPr>
                <w:rFonts w:ascii="宋体" w:hAnsi="宋体" w:eastAsia="宋体" w:cs="宋体"/>
                <w:sz w:val="18"/>
                <w:szCs w:val="18"/>
                <w:highlight w:val="none"/>
                <w14:textOutline w14:w="3795"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55" w:type="dxa"/>
            <w:vMerge w:val="restart"/>
            <w:tcBorders>
              <w:bottom w:val="nil"/>
            </w:tcBorders>
            <w:vAlign w:val="top"/>
          </w:tcPr>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7" w:lineRule="auto"/>
              <w:rPr>
                <w:rFonts w:ascii="Arial"/>
                <w:sz w:val="18"/>
                <w:szCs w:val="18"/>
                <w:highlight w:val="none"/>
              </w:rPr>
            </w:pPr>
          </w:p>
          <w:p>
            <w:pPr>
              <w:spacing w:line="248" w:lineRule="auto"/>
              <w:rPr>
                <w:rFonts w:ascii="Arial"/>
                <w:sz w:val="18"/>
                <w:szCs w:val="18"/>
                <w:highlight w:val="none"/>
              </w:rPr>
            </w:pPr>
          </w:p>
          <w:p>
            <w:pPr>
              <w:spacing w:line="248" w:lineRule="auto"/>
              <w:rPr>
                <w:rFonts w:ascii="Arial"/>
                <w:sz w:val="18"/>
                <w:szCs w:val="18"/>
                <w:highlight w:val="none"/>
              </w:rPr>
            </w:pPr>
          </w:p>
          <w:p>
            <w:pPr>
              <w:spacing w:before="65" w:line="226" w:lineRule="auto"/>
              <w:ind w:left="171"/>
              <w:rPr>
                <w:rFonts w:ascii="宋体" w:hAnsi="宋体" w:eastAsia="宋体" w:cs="宋体"/>
                <w:sz w:val="18"/>
                <w:szCs w:val="18"/>
                <w:highlight w:val="none"/>
              </w:rPr>
            </w:pPr>
            <w:r>
              <w:rPr>
                <w:rFonts w:ascii="宋体" w:hAnsi="宋体" w:eastAsia="宋体" w:cs="宋体"/>
                <w:spacing w:val="5"/>
                <w:sz w:val="18"/>
                <w:szCs w:val="18"/>
                <w:highlight w:val="none"/>
              </w:rPr>
              <w:t>资格检查</w:t>
            </w:r>
          </w:p>
        </w:tc>
        <w:tc>
          <w:tcPr>
            <w:tcW w:w="1846" w:type="dxa"/>
            <w:vAlign w:val="top"/>
          </w:tcPr>
          <w:p>
            <w:pPr>
              <w:spacing w:line="256" w:lineRule="auto"/>
              <w:rPr>
                <w:rFonts w:ascii="Arial"/>
                <w:sz w:val="18"/>
                <w:szCs w:val="18"/>
                <w:highlight w:val="none"/>
              </w:rPr>
            </w:pPr>
          </w:p>
          <w:p>
            <w:pPr>
              <w:spacing w:line="256"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line="257" w:lineRule="auto"/>
              <w:rPr>
                <w:rFonts w:ascii="Arial"/>
                <w:sz w:val="18"/>
                <w:szCs w:val="18"/>
                <w:highlight w:val="none"/>
              </w:rPr>
            </w:pPr>
          </w:p>
          <w:p>
            <w:pPr>
              <w:spacing w:before="72" w:line="312" w:lineRule="auto"/>
              <w:ind w:left="279" w:right="161" w:hanging="103"/>
              <w:rPr>
                <w:rFonts w:ascii="宋体" w:hAnsi="宋体" w:eastAsia="宋体" w:cs="宋体"/>
                <w:sz w:val="18"/>
                <w:szCs w:val="18"/>
                <w:highlight w:val="none"/>
              </w:rPr>
            </w:pPr>
            <w:r>
              <w:rPr>
                <w:rFonts w:ascii="宋体" w:hAnsi="宋体" w:eastAsia="宋体" w:cs="宋体"/>
                <w:spacing w:val="-7"/>
                <w:sz w:val="18"/>
                <w:szCs w:val="18"/>
                <w:highlight w:val="none"/>
              </w:rPr>
              <w:t>具</w:t>
            </w:r>
            <w:r>
              <w:rPr>
                <w:rFonts w:ascii="宋体" w:hAnsi="宋体" w:eastAsia="宋体" w:cs="宋体"/>
                <w:spacing w:val="-5"/>
                <w:sz w:val="18"/>
                <w:szCs w:val="18"/>
                <w:highlight w:val="none"/>
              </w:rPr>
              <w:t>有独立承担民</w:t>
            </w:r>
            <w:r>
              <w:rPr>
                <w:rFonts w:ascii="宋体" w:hAnsi="宋体" w:eastAsia="宋体" w:cs="宋体"/>
                <w:sz w:val="18"/>
                <w:szCs w:val="18"/>
                <w:highlight w:val="none"/>
              </w:rPr>
              <w:t xml:space="preserve"> </w:t>
            </w:r>
            <w:r>
              <w:rPr>
                <w:rFonts w:ascii="宋体" w:hAnsi="宋体" w:eastAsia="宋体" w:cs="宋体"/>
                <w:spacing w:val="-4"/>
                <w:sz w:val="18"/>
                <w:szCs w:val="18"/>
                <w:highlight w:val="none"/>
              </w:rPr>
              <w:t>事责任的能力</w:t>
            </w:r>
          </w:p>
        </w:tc>
        <w:tc>
          <w:tcPr>
            <w:tcW w:w="5153" w:type="dxa"/>
            <w:vAlign w:val="top"/>
          </w:tcPr>
          <w:p>
            <w:pPr>
              <w:spacing w:before="184" w:line="341" w:lineRule="auto"/>
              <w:ind w:left="78" w:right="73" w:firstLine="2"/>
              <w:rPr>
                <w:rFonts w:ascii="宋体" w:hAnsi="宋体" w:eastAsia="宋体" w:cs="宋体"/>
                <w:sz w:val="18"/>
                <w:szCs w:val="18"/>
                <w:highlight w:val="none"/>
              </w:rPr>
            </w:pPr>
            <w:r>
              <w:rPr>
                <w:rFonts w:ascii="宋体" w:hAnsi="宋体" w:eastAsia="宋体" w:cs="宋体"/>
                <w:spacing w:val="10"/>
                <w:sz w:val="18"/>
                <w:szCs w:val="18"/>
                <w:highlight w:val="none"/>
              </w:rPr>
              <w:t>符</w:t>
            </w:r>
            <w:r>
              <w:rPr>
                <w:rFonts w:ascii="宋体" w:hAnsi="宋体" w:eastAsia="宋体" w:cs="宋体"/>
                <w:spacing w:val="9"/>
                <w:sz w:val="18"/>
                <w:szCs w:val="18"/>
                <w:highlight w:val="none"/>
              </w:rPr>
              <w:t>合</w:t>
            </w:r>
            <w:r>
              <w:rPr>
                <w:rFonts w:ascii="宋体" w:hAnsi="宋体" w:eastAsia="宋体" w:cs="宋体"/>
                <w:spacing w:val="5"/>
                <w:sz w:val="18"/>
                <w:szCs w:val="18"/>
                <w:highlight w:val="none"/>
              </w:rPr>
              <w:t>《中华人民共和国政府采购法》第二十二条的规定</w:t>
            </w:r>
            <w:r>
              <w:rPr>
                <w:rFonts w:ascii="宋体" w:hAnsi="宋体" w:eastAsia="宋体" w:cs="宋体"/>
                <w:sz w:val="18"/>
                <w:szCs w:val="18"/>
                <w:highlight w:val="none"/>
              </w:rPr>
              <w:t xml:space="preserve"> </w:t>
            </w:r>
            <w:r>
              <w:rPr>
                <w:rFonts w:ascii="宋体" w:hAnsi="宋体" w:eastAsia="宋体" w:cs="宋体"/>
                <w:spacing w:val="9"/>
                <w:sz w:val="18"/>
                <w:szCs w:val="18"/>
                <w:highlight w:val="none"/>
              </w:rPr>
              <w:t>①具有独立承担民事责任的能力</w:t>
            </w:r>
            <w:r>
              <w:rPr>
                <w:rFonts w:ascii="宋体" w:hAnsi="宋体" w:eastAsia="宋体" w:cs="宋体"/>
                <w:spacing w:val="6"/>
                <w:sz w:val="18"/>
                <w:szCs w:val="18"/>
                <w:highlight w:val="none"/>
              </w:rPr>
              <w:t>；</w:t>
            </w:r>
            <w:r>
              <w:rPr>
                <w:rFonts w:ascii="宋体" w:hAnsi="宋体" w:eastAsia="宋体" w:cs="宋体"/>
                <w:spacing w:val="15"/>
                <w:sz w:val="18"/>
                <w:szCs w:val="18"/>
                <w:highlight w:val="none"/>
              </w:rPr>
              <w:t>②</w:t>
            </w:r>
            <w:r>
              <w:rPr>
                <w:rFonts w:ascii="宋体" w:hAnsi="宋体" w:eastAsia="宋体" w:cs="宋体"/>
                <w:spacing w:val="9"/>
                <w:sz w:val="18"/>
                <w:szCs w:val="18"/>
                <w:highlight w:val="none"/>
              </w:rPr>
              <w:t>具有良好的商业信誉和健全的财务会计制度 (提供</w:t>
            </w:r>
            <w:r>
              <w:rPr>
                <w:rFonts w:ascii="宋体" w:hAnsi="宋体" w:eastAsia="宋体" w:cs="宋体"/>
                <w:sz w:val="18"/>
                <w:szCs w:val="18"/>
                <w:highlight w:val="none"/>
              </w:rPr>
              <w:t xml:space="preserve"> </w:t>
            </w:r>
            <w:r>
              <w:rPr>
                <w:rFonts w:ascii="宋体" w:hAnsi="宋体" w:eastAsia="宋体" w:cs="宋体"/>
                <w:spacing w:val="2"/>
                <w:sz w:val="18"/>
                <w:szCs w:val="18"/>
                <w:highlight w:val="none"/>
              </w:rPr>
              <w:t>2</w:t>
            </w:r>
            <w:r>
              <w:rPr>
                <w:rFonts w:ascii="宋体" w:hAnsi="宋体" w:eastAsia="宋体" w:cs="宋体"/>
                <w:spacing w:val="1"/>
                <w:sz w:val="18"/>
                <w:szCs w:val="18"/>
                <w:highlight w:val="none"/>
              </w:rPr>
              <w:t>02</w:t>
            </w:r>
            <w:r>
              <w:rPr>
                <w:rFonts w:hint="eastAsia" w:ascii="宋体" w:hAnsi="宋体" w:cs="宋体"/>
                <w:spacing w:val="1"/>
                <w:sz w:val="18"/>
                <w:szCs w:val="18"/>
                <w:highlight w:val="none"/>
                <w:lang w:val="en-US" w:eastAsia="zh-CN"/>
              </w:rPr>
              <w:t>0</w:t>
            </w:r>
            <w:r>
              <w:rPr>
                <w:rFonts w:ascii="宋体" w:hAnsi="宋体" w:eastAsia="宋体" w:cs="宋体"/>
                <w:spacing w:val="1"/>
                <w:sz w:val="18"/>
                <w:szCs w:val="18"/>
                <w:highlight w:val="none"/>
              </w:rPr>
              <w:t xml:space="preserve"> 年或 202</w:t>
            </w:r>
            <w:r>
              <w:rPr>
                <w:rFonts w:hint="eastAsia" w:ascii="宋体" w:hAnsi="宋体" w:cs="宋体"/>
                <w:spacing w:val="1"/>
                <w:sz w:val="18"/>
                <w:szCs w:val="18"/>
                <w:highlight w:val="none"/>
                <w:lang w:val="en-US" w:eastAsia="zh-CN"/>
              </w:rPr>
              <w:t>1</w:t>
            </w:r>
            <w:r>
              <w:rPr>
                <w:rFonts w:ascii="宋体" w:hAnsi="宋体" w:eastAsia="宋体" w:cs="宋体"/>
                <w:spacing w:val="1"/>
                <w:sz w:val="18"/>
                <w:szCs w:val="18"/>
                <w:highlight w:val="none"/>
              </w:rPr>
              <w:t>年由第三方财务审计机构出具的财务审</w:t>
            </w:r>
            <w:r>
              <w:rPr>
                <w:rFonts w:ascii="宋体" w:hAnsi="宋体" w:eastAsia="宋体" w:cs="宋体"/>
                <w:sz w:val="18"/>
                <w:szCs w:val="18"/>
                <w:highlight w:val="none"/>
              </w:rPr>
              <w:t xml:space="preserve"> </w:t>
            </w:r>
            <w:r>
              <w:rPr>
                <w:rFonts w:ascii="宋体" w:hAnsi="宋体" w:eastAsia="宋体" w:cs="宋体"/>
                <w:spacing w:val="2"/>
                <w:sz w:val="18"/>
                <w:szCs w:val="18"/>
                <w:highlight w:val="none"/>
              </w:rPr>
              <w:t>计报告</w:t>
            </w:r>
            <w:r>
              <w:rPr>
                <w:rFonts w:ascii="宋体" w:hAnsi="宋体" w:eastAsia="宋体" w:cs="宋体"/>
                <w:spacing w:val="1"/>
                <w:sz w:val="18"/>
                <w:szCs w:val="18"/>
                <w:highlight w:val="none"/>
              </w:rPr>
              <w:t xml:space="preserve"> (2022 年 12 月份新成立的公司可不提供但需提</w:t>
            </w:r>
            <w:r>
              <w:rPr>
                <w:rFonts w:ascii="宋体" w:hAnsi="宋体" w:eastAsia="宋体" w:cs="宋体"/>
                <w:spacing w:val="12"/>
                <w:sz w:val="18"/>
                <w:szCs w:val="18"/>
                <w:highlight w:val="none"/>
              </w:rPr>
              <w:t>供</w:t>
            </w:r>
            <w:r>
              <w:rPr>
                <w:rFonts w:ascii="宋体" w:hAnsi="宋体" w:eastAsia="宋体" w:cs="宋体"/>
                <w:spacing w:val="8"/>
                <w:sz w:val="18"/>
                <w:szCs w:val="18"/>
                <w:highlight w:val="none"/>
              </w:rPr>
              <w:t>银行出具的近一个月的资信证明) ；) ；</w:t>
            </w:r>
            <w:r>
              <w:rPr>
                <w:rFonts w:ascii="宋体" w:hAnsi="宋体" w:eastAsia="宋体" w:cs="宋体"/>
                <w:spacing w:val="13"/>
                <w:sz w:val="18"/>
                <w:szCs w:val="18"/>
                <w:highlight w:val="none"/>
              </w:rPr>
              <w:t>③</w:t>
            </w:r>
            <w:r>
              <w:rPr>
                <w:rFonts w:ascii="宋体" w:hAnsi="宋体" w:eastAsia="宋体" w:cs="宋体"/>
                <w:spacing w:val="9"/>
                <w:sz w:val="18"/>
                <w:szCs w:val="18"/>
                <w:highlight w:val="none"/>
              </w:rPr>
              <w:t>具有履行合同所必需的设备和专业技术能力；</w:t>
            </w:r>
            <w:r>
              <w:rPr>
                <w:rFonts w:ascii="宋体" w:hAnsi="宋体" w:eastAsia="宋体" w:cs="宋体"/>
                <w:spacing w:val="12"/>
                <w:sz w:val="18"/>
                <w:szCs w:val="18"/>
                <w:highlight w:val="none"/>
              </w:rPr>
              <w:t>④</w:t>
            </w:r>
            <w:r>
              <w:rPr>
                <w:rFonts w:ascii="宋体" w:hAnsi="宋体" w:eastAsia="宋体" w:cs="宋体"/>
                <w:spacing w:val="9"/>
                <w:sz w:val="18"/>
                <w:szCs w:val="18"/>
                <w:highlight w:val="none"/>
              </w:rPr>
              <w:t>有依法缴纳税收(提供税务机关出具近三个月的完税</w:t>
            </w:r>
            <w:r>
              <w:rPr>
                <w:rFonts w:ascii="宋体" w:hAnsi="宋体" w:eastAsia="宋体" w:cs="宋体"/>
                <w:spacing w:val="1"/>
                <w:sz w:val="18"/>
                <w:szCs w:val="18"/>
                <w:highlight w:val="none"/>
              </w:rPr>
              <w:t>证明 (</w:t>
            </w:r>
            <w:r>
              <w:rPr>
                <w:rFonts w:ascii="宋体" w:hAnsi="宋体" w:eastAsia="宋体" w:cs="宋体"/>
                <w:sz w:val="18"/>
                <w:szCs w:val="18"/>
                <w:highlight w:val="none"/>
              </w:rPr>
              <w:t xml:space="preserve">2023 年 1 月份后成立的公司按实际发生提供) ) </w:t>
            </w:r>
            <w:r>
              <w:rPr>
                <w:rFonts w:ascii="宋体" w:hAnsi="宋体" w:eastAsia="宋体" w:cs="宋体"/>
                <w:spacing w:val="10"/>
                <w:sz w:val="18"/>
                <w:szCs w:val="18"/>
                <w:highlight w:val="none"/>
              </w:rPr>
              <w:t>和</w:t>
            </w:r>
            <w:r>
              <w:rPr>
                <w:rFonts w:ascii="宋体" w:hAnsi="宋体" w:eastAsia="宋体" w:cs="宋体"/>
                <w:spacing w:val="9"/>
                <w:sz w:val="18"/>
                <w:szCs w:val="18"/>
                <w:highlight w:val="none"/>
              </w:rPr>
              <w:t>社会保障资金的良好记录(提供本单位缴纳的近三个</w:t>
            </w:r>
            <w:r>
              <w:rPr>
                <w:rFonts w:ascii="宋体" w:hAnsi="宋体" w:eastAsia="宋体" w:cs="宋体"/>
                <w:spacing w:val="2"/>
                <w:sz w:val="18"/>
                <w:szCs w:val="18"/>
                <w:highlight w:val="none"/>
              </w:rPr>
              <w:t xml:space="preserve">月社保缴纳证明 (单位社保缴费凭证，2023 年 1 </w:t>
            </w:r>
            <w:r>
              <w:rPr>
                <w:rFonts w:ascii="宋体" w:hAnsi="宋体" w:eastAsia="宋体" w:cs="宋体"/>
                <w:spacing w:val="1"/>
                <w:sz w:val="18"/>
                <w:szCs w:val="18"/>
                <w:highlight w:val="none"/>
              </w:rPr>
              <w:t>月</w:t>
            </w:r>
            <w:r>
              <w:rPr>
                <w:rFonts w:ascii="宋体" w:hAnsi="宋体" w:eastAsia="宋体" w:cs="宋体"/>
                <w:sz w:val="18"/>
                <w:szCs w:val="18"/>
                <w:highlight w:val="none"/>
              </w:rPr>
              <w:t xml:space="preserve">份 </w:t>
            </w:r>
            <w:r>
              <w:rPr>
                <w:rFonts w:ascii="宋体" w:hAnsi="宋体" w:eastAsia="宋体" w:cs="宋体"/>
                <w:spacing w:val="12"/>
                <w:sz w:val="18"/>
                <w:szCs w:val="18"/>
                <w:highlight w:val="none"/>
              </w:rPr>
              <w:t>后</w:t>
            </w:r>
            <w:r>
              <w:rPr>
                <w:rFonts w:ascii="宋体" w:hAnsi="宋体" w:eastAsia="宋体" w:cs="宋体"/>
                <w:spacing w:val="7"/>
                <w:sz w:val="18"/>
                <w:szCs w:val="18"/>
                <w:highlight w:val="none"/>
              </w:rPr>
              <w:t>成立的公司按实际发生提供) ) ；</w:t>
            </w:r>
            <w:r>
              <w:rPr>
                <w:rFonts w:ascii="宋体" w:hAnsi="宋体" w:eastAsia="宋体" w:cs="宋体"/>
                <w:spacing w:val="10"/>
                <w:sz w:val="18"/>
                <w:szCs w:val="18"/>
                <w:highlight w:val="none"/>
              </w:rPr>
              <w:t>⑤参</w:t>
            </w:r>
            <w:r>
              <w:rPr>
                <w:rFonts w:ascii="宋体" w:hAnsi="宋体" w:eastAsia="宋体" w:cs="宋体"/>
                <w:spacing w:val="7"/>
                <w:sz w:val="18"/>
                <w:szCs w:val="18"/>
                <w:highlight w:val="none"/>
              </w:rPr>
              <w:t>加</w:t>
            </w:r>
            <w:r>
              <w:rPr>
                <w:rFonts w:ascii="宋体" w:hAnsi="宋体" w:eastAsia="宋体" w:cs="宋体"/>
                <w:spacing w:val="5"/>
                <w:sz w:val="18"/>
                <w:szCs w:val="18"/>
                <w:highlight w:val="none"/>
              </w:rPr>
              <w:t>政府采购活动前三年内，在经营活动中没有重大</w:t>
            </w:r>
            <w:r>
              <w:rPr>
                <w:rFonts w:ascii="宋体" w:hAnsi="宋体" w:eastAsia="宋体" w:cs="宋体"/>
                <w:spacing w:val="6"/>
                <w:sz w:val="18"/>
                <w:szCs w:val="18"/>
                <w:highlight w:val="none"/>
              </w:rPr>
              <w:t>违法记录</w:t>
            </w:r>
            <w:r>
              <w:rPr>
                <w:rFonts w:ascii="宋体" w:hAnsi="宋体" w:eastAsia="宋体" w:cs="宋体"/>
                <w:spacing w:val="5"/>
                <w:sz w:val="18"/>
                <w:szCs w:val="18"/>
                <w:highlight w:val="none"/>
              </w:rPr>
              <w:t>；</w:t>
            </w:r>
            <w:r>
              <w:rPr>
                <w:rFonts w:ascii="宋体" w:hAnsi="宋体" w:eastAsia="宋体" w:cs="宋体"/>
                <w:spacing w:val="14"/>
                <w:sz w:val="18"/>
                <w:szCs w:val="18"/>
                <w:highlight w:val="none"/>
              </w:rPr>
              <w:t>⑥</w:t>
            </w:r>
            <w:r>
              <w:rPr>
                <w:rFonts w:ascii="宋体" w:hAnsi="宋体" w:eastAsia="宋体" w:cs="宋体"/>
                <w:spacing w:val="9"/>
                <w:sz w:val="18"/>
                <w:szCs w:val="18"/>
                <w:highlight w:val="none"/>
              </w:rPr>
              <w:t>法律、行政法规规定的其他条件;</w:t>
            </w:r>
          </w:p>
        </w:tc>
        <w:tc>
          <w:tcPr>
            <w:tcW w:w="598" w:type="dxa"/>
            <w:vAlign w:val="top"/>
          </w:tcPr>
          <w:p>
            <w:pPr>
              <w:rPr>
                <w:rFonts w:ascii="Arial"/>
                <w:sz w:val="18"/>
                <w:szCs w:val="18"/>
                <w:highlight w:val="none"/>
              </w:rPr>
            </w:pPr>
          </w:p>
        </w:tc>
        <w:tc>
          <w:tcPr>
            <w:tcW w:w="670" w:type="dxa"/>
            <w:vAlign w:val="top"/>
          </w:tcPr>
          <w:p>
            <w:pPr>
              <w:rPr>
                <w:rFonts w:ascii="Arial"/>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55" w:type="dxa"/>
            <w:vMerge w:val="continue"/>
            <w:tcBorders>
              <w:top w:val="nil"/>
              <w:bottom w:val="nil"/>
            </w:tcBorders>
            <w:vAlign w:val="top"/>
          </w:tcPr>
          <w:p>
            <w:pPr>
              <w:rPr>
                <w:rFonts w:ascii="Arial"/>
                <w:sz w:val="18"/>
                <w:szCs w:val="18"/>
                <w:highlight w:val="none"/>
              </w:rPr>
            </w:pPr>
          </w:p>
        </w:tc>
        <w:tc>
          <w:tcPr>
            <w:tcW w:w="1846" w:type="dxa"/>
            <w:vAlign w:val="top"/>
          </w:tcPr>
          <w:p>
            <w:pPr>
              <w:spacing w:before="186" w:line="240" w:lineRule="auto"/>
              <w:ind w:left="510" w:right="84" w:hanging="422"/>
              <w:rPr>
                <w:rFonts w:ascii="宋体" w:hAnsi="宋体" w:eastAsia="宋体" w:cs="宋体"/>
                <w:sz w:val="18"/>
                <w:szCs w:val="18"/>
                <w:highlight w:val="none"/>
              </w:rPr>
            </w:pPr>
            <w:r>
              <w:rPr>
                <w:rFonts w:ascii="宋体" w:hAnsi="宋体" w:eastAsia="宋体" w:cs="宋体"/>
                <w:spacing w:val="11"/>
                <w:sz w:val="18"/>
                <w:szCs w:val="18"/>
                <w:highlight w:val="none"/>
              </w:rPr>
              <w:t>无</w:t>
            </w:r>
            <w:r>
              <w:rPr>
                <w:rFonts w:ascii="宋体" w:hAnsi="宋体" w:eastAsia="宋体" w:cs="宋体"/>
                <w:spacing w:val="8"/>
                <w:sz w:val="18"/>
                <w:szCs w:val="18"/>
                <w:highlight w:val="none"/>
              </w:rPr>
              <w:t>重大违法记录的</w:t>
            </w:r>
            <w:r>
              <w:rPr>
                <w:rFonts w:ascii="宋体" w:hAnsi="宋体" w:eastAsia="宋体" w:cs="宋体"/>
                <w:sz w:val="18"/>
                <w:szCs w:val="18"/>
                <w:highlight w:val="none"/>
              </w:rPr>
              <w:t xml:space="preserve"> </w:t>
            </w:r>
            <w:r>
              <w:rPr>
                <w:rFonts w:ascii="宋体" w:hAnsi="宋体" w:eastAsia="宋体" w:cs="宋体"/>
                <w:spacing w:val="7"/>
                <w:sz w:val="18"/>
                <w:szCs w:val="18"/>
                <w:highlight w:val="none"/>
              </w:rPr>
              <w:t>书</w:t>
            </w:r>
            <w:r>
              <w:rPr>
                <w:rFonts w:ascii="宋体" w:hAnsi="宋体" w:eastAsia="宋体" w:cs="宋体"/>
                <w:spacing w:val="6"/>
                <w:sz w:val="18"/>
                <w:szCs w:val="18"/>
                <w:highlight w:val="none"/>
              </w:rPr>
              <w:t>面声明</w:t>
            </w:r>
          </w:p>
        </w:tc>
        <w:tc>
          <w:tcPr>
            <w:tcW w:w="5153" w:type="dxa"/>
            <w:vAlign w:val="top"/>
          </w:tcPr>
          <w:p>
            <w:pPr>
              <w:spacing w:before="186" w:line="240" w:lineRule="auto"/>
              <w:ind w:left="82" w:right="183"/>
              <w:rPr>
                <w:rFonts w:ascii="宋体" w:hAnsi="宋体" w:eastAsia="宋体" w:cs="宋体"/>
                <w:sz w:val="18"/>
                <w:szCs w:val="18"/>
                <w:highlight w:val="none"/>
              </w:rPr>
            </w:pPr>
            <w:r>
              <w:rPr>
                <w:rFonts w:ascii="宋体" w:hAnsi="宋体" w:eastAsia="宋体" w:cs="宋体"/>
                <w:spacing w:val="18"/>
                <w:sz w:val="18"/>
                <w:szCs w:val="18"/>
                <w:highlight w:val="none"/>
              </w:rPr>
              <w:t>是</w:t>
            </w:r>
            <w:r>
              <w:rPr>
                <w:rFonts w:ascii="宋体" w:hAnsi="宋体" w:eastAsia="宋体" w:cs="宋体"/>
                <w:spacing w:val="10"/>
                <w:sz w:val="18"/>
                <w:szCs w:val="18"/>
                <w:highlight w:val="none"/>
              </w:rPr>
              <w:t>否</w:t>
            </w:r>
            <w:r>
              <w:rPr>
                <w:rFonts w:ascii="宋体" w:hAnsi="宋体" w:eastAsia="宋体" w:cs="宋体"/>
                <w:spacing w:val="9"/>
                <w:sz w:val="18"/>
                <w:szCs w:val="18"/>
                <w:highlight w:val="none"/>
              </w:rPr>
              <w:t>提供参加采购活动前三年内在经营活动中没有重</w:t>
            </w:r>
            <w:r>
              <w:rPr>
                <w:rFonts w:ascii="宋体" w:hAnsi="宋体" w:eastAsia="宋体" w:cs="宋体"/>
                <w:spacing w:val="15"/>
                <w:sz w:val="18"/>
                <w:szCs w:val="18"/>
                <w:highlight w:val="none"/>
              </w:rPr>
              <w:t>大</w:t>
            </w:r>
            <w:r>
              <w:rPr>
                <w:rFonts w:ascii="宋体" w:hAnsi="宋体" w:eastAsia="宋体" w:cs="宋体"/>
                <w:spacing w:val="8"/>
                <w:sz w:val="18"/>
                <w:szCs w:val="18"/>
                <w:highlight w:val="none"/>
              </w:rPr>
              <w:t>违法记录的书面声明</w:t>
            </w:r>
          </w:p>
        </w:tc>
        <w:tc>
          <w:tcPr>
            <w:tcW w:w="598" w:type="dxa"/>
            <w:vAlign w:val="top"/>
          </w:tcPr>
          <w:p>
            <w:pPr>
              <w:rPr>
                <w:rFonts w:ascii="Arial"/>
                <w:sz w:val="18"/>
                <w:szCs w:val="18"/>
                <w:highlight w:val="none"/>
              </w:rPr>
            </w:pPr>
          </w:p>
        </w:tc>
        <w:tc>
          <w:tcPr>
            <w:tcW w:w="670" w:type="dxa"/>
            <w:vAlign w:val="top"/>
          </w:tcPr>
          <w:p>
            <w:pPr>
              <w:rPr>
                <w:rFonts w:ascii="Arial"/>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55" w:type="dxa"/>
            <w:vMerge w:val="continue"/>
            <w:tcBorders>
              <w:top w:val="nil"/>
              <w:bottom w:val="nil"/>
            </w:tcBorders>
            <w:vAlign w:val="top"/>
          </w:tcPr>
          <w:p>
            <w:pPr>
              <w:rPr>
                <w:rFonts w:ascii="Arial"/>
                <w:sz w:val="18"/>
                <w:szCs w:val="18"/>
                <w:highlight w:val="none"/>
              </w:rPr>
            </w:pPr>
          </w:p>
        </w:tc>
        <w:tc>
          <w:tcPr>
            <w:tcW w:w="1846" w:type="dxa"/>
            <w:vAlign w:val="top"/>
          </w:tcPr>
          <w:p>
            <w:pPr>
              <w:spacing w:before="188" w:line="240" w:lineRule="auto"/>
              <w:ind w:left="192"/>
              <w:rPr>
                <w:rFonts w:ascii="宋体" w:hAnsi="宋体" w:eastAsia="宋体" w:cs="宋体"/>
                <w:sz w:val="18"/>
                <w:szCs w:val="18"/>
                <w:highlight w:val="none"/>
              </w:rPr>
            </w:pPr>
            <w:r>
              <w:rPr>
                <w:rFonts w:ascii="宋体" w:hAnsi="宋体" w:eastAsia="宋体" w:cs="宋体"/>
                <w:spacing w:val="12"/>
                <w:sz w:val="18"/>
                <w:szCs w:val="18"/>
                <w:highlight w:val="none"/>
              </w:rPr>
              <w:t>被</w:t>
            </w:r>
            <w:r>
              <w:rPr>
                <w:rFonts w:ascii="宋体" w:hAnsi="宋体" w:eastAsia="宋体" w:cs="宋体"/>
                <w:spacing w:val="8"/>
                <w:sz w:val="18"/>
                <w:szCs w:val="18"/>
                <w:highlight w:val="none"/>
              </w:rPr>
              <w:t>授权人身份证</w:t>
            </w:r>
          </w:p>
        </w:tc>
        <w:tc>
          <w:tcPr>
            <w:tcW w:w="5153" w:type="dxa"/>
            <w:vAlign w:val="top"/>
          </w:tcPr>
          <w:p>
            <w:pPr>
              <w:spacing w:before="189" w:line="240" w:lineRule="auto"/>
              <w:ind w:left="82"/>
              <w:rPr>
                <w:rFonts w:ascii="宋体" w:hAnsi="宋体" w:eastAsia="宋体" w:cs="宋体"/>
                <w:sz w:val="18"/>
                <w:szCs w:val="18"/>
                <w:highlight w:val="none"/>
              </w:rPr>
            </w:pPr>
            <w:r>
              <w:rPr>
                <w:rFonts w:ascii="宋体" w:hAnsi="宋体" w:eastAsia="宋体" w:cs="宋体"/>
                <w:spacing w:val="17"/>
                <w:sz w:val="18"/>
                <w:szCs w:val="18"/>
                <w:highlight w:val="none"/>
              </w:rPr>
              <w:t>是</w:t>
            </w:r>
            <w:r>
              <w:rPr>
                <w:rFonts w:ascii="宋体" w:hAnsi="宋体" w:eastAsia="宋体" w:cs="宋体"/>
                <w:spacing w:val="9"/>
                <w:sz w:val="18"/>
                <w:szCs w:val="18"/>
                <w:highlight w:val="none"/>
              </w:rPr>
              <w:t>否具备有效法定代表人或被授权人身份证扫描件</w:t>
            </w:r>
          </w:p>
        </w:tc>
        <w:tc>
          <w:tcPr>
            <w:tcW w:w="598" w:type="dxa"/>
            <w:vAlign w:val="top"/>
          </w:tcPr>
          <w:p>
            <w:pPr>
              <w:rPr>
                <w:rFonts w:ascii="Arial"/>
                <w:sz w:val="18"/>
                <w:szCs w:val="18"/>
                <w:highlight w:val="none"/>
              </w:rPr>
            </w:pPr>
          </w:p>
        </w:tc>
        <w:tc>
          <w:tcPr>
            <w:tcW w:w="670" w:type="dxa"/>
            <w:vAlign w:val="top"/>
          </w:tcPr>
          <w:p>
            <w:pPr>
              <w:rPr>
                <w:rFonts w:ascii="Arial"/>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155" w:type="dxa"/>
            <w:vMerge w:val="continue"/>
            <w:tcBorders>
              <w:top w:val="nil"/>
              <w:bottom w:val="nil"/>
            </w:tcBorders>
            <w:vAlign w:val="top"/>
          </w:tcPr>
          <w:p>
            <w:pPr>
              <w:rPr>
                <w:rFonts w:ascii="Arial"/>
                <w:sz w:val="18"/>
                <w:szCs w:val="18"/>
                <w:highlight w:val="none"/>
              </w:rPr>
            </w:pPr>
          </w:p>
        </w:tc>
        <w:tc>
          <w:tcPr>
            <w:tcW w:w="1846" w:type="dxa"/>
            <w:vAlign w:val="top"/>
          </w:tcPr>
          <w:p>
            <w:pPr>
              <w:spacing w:before="223" w:line="240" w:lineRule="auto"/>
              <w:ind w:left="404"/>
              <w:rPr>
                <w:rFonts w:ascii="宋体" w:hAnsi="宋体" w:eastAsia="宋体" w:cs="宋体"/>
                <w:sz w:val="18"/>
                <w:szCs w:val="18"/>
                <w:highlight w:val="none"/>
              </w:rPr>
            </w:pPr>
            <w:r>
              <w:rPr>
                <w:rFonts w:ascii="宋体" w:hAnsi="宋体" w:eastAsia="宋体" w:cs="宋体"/>
                <w:spacing w:val="10"/>
                <w:sz w:val="18"/>
                <w:szCs w:val="18"/>
                <w:highlight w:val="none"/>
              </w:rPr>
              <w:t>投</w:t>
            </w:r>
            <w:r>
              <w:rPr>
                <w:rFonts w:ascii="宋体" w:hAnsi="宋体" w:eastAsia="宋体" w:cs="宋体"/>
                <w:spacing w:val="7"/>
                <w:sz w:val="18"/>
                <w:szCs w:val="18"/>
                <w:highlight w:val="none"/>
              </w:rPr>
              <w:t>标保证金</w:t>
            </w:r>
          </w:p>
        </w:tc>
        <w:tc>
          <w:tcPr>
            <w:tcW w:w="5153" w:type="dxa"/>
            <w:vAlign w:val="top"/>
          </w:tcPr>
          <w:p>
            <w:pPr>
              <w:spacing w:before="223" w:line="240" w:lineRule="auto"/>
              <w:ind w:left="82"/>
              <w:rPr>
                <w:rFonts w:ascii="宋体" w:hAnsi="宋体" w:eastAsia="宋体" w:cs="宋体"/>
                <w:sz w:val="18"/>
                <w:szCs w:val="18"/>
                <w:highlight w:val="none"/>
              </w:rPr>
            </w:pPr>
            <w:r>
              <w:rPr>
                <w:rFonts w:ascii="宋体" w:hAnsi="宋体" w:eastAsia="宋体" w:cs="宋体"/>
                <w:spacing w:val="13"/>
                <w:sz w:val="18"/>
                <w:szCs w:val="18"/>
                <w:highlight w:val="none"/>
              </w:rPr>
              <w:t>是</w:t>
            </w:r>
            <w:r>
              <w:rPr>
                <w:rFonts w:ascii="宋体" w:hAnsi="宋体" w:eastAsia="宋体" w:cs="宋体"/>
                <w:spacing w:val="9"/>
                <w:sz w:val="18"/>
                <w:szCs w:val="18"/>
                <w:highlight w:val="none"/>
              </w:rPr>
              <w:t>否按照招标文件要求缴纳投标保证金</w:t>
            </w:r>
          </w:p>
        </w:tc>
        <w:tc>
          <w:tcPr>
            <w:tcW w:w="598" w:type="dxa"/>
            <w:vAlign w:val="top"/>
          </w:tcPr>
          <w:p>
            <w:pPr>
              <w:rPr>
                <w:rFonts w:ascii="Arial"/>
                <w:sz w:val="18"/>
                <w:szCs w:val="18"/>
                <w:highlight w:val="none"/>
              </w:rPr>
            </w:pPr>
          </w:p>
        </w:tc>
        <w:tc>
          <w:tcPr>
            <w:tcW w:w="670" w:type="dxa"/>
            <w:vAlign w:val="top"/>
          </w:tcPr>
          <w:p>
            <w:pPr>
              <w:rPr>
                <w:rFonts w:ascii="Arial"/>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155" w:type="dxa"/>
            <w:vMerge w:val="continue"/>
            <w:tcBorders>
              <w:top w:val="nil"/>
            </w:tcBorders>
            <w:vAlign w:val="top"/>
          </w:tcPr>
          <w:p>
            <w:pPr>
              <w:rPr>
                <w:rFonts w:ascii="Arial"/>
                <w:sz w:val="18"/>
                <w:szCs w:val="18"/>
                <w:highlight w:val="none"/>
              </w:rPr>
            </w:pPr>
          </w:p>
        </w:tc>
        <w:tc>
          <w:tcPr>
            <w:tcW w:w="1846" w:type="dxa"/>
            <w:vAlign w:val="top"/>
          </w:tcPr>
          <w:p>
            <w:pPr>
              <w:spacing w:line="240" w:lineRule="auto"/>
              <w:rPr>
                <w:rFonts w:ascii="Arial"/>
                <w:sz w:val="18"/>
                <w:szCs w:val="18"/>
                <w:highlight w:val="none"/>
              </w:rPr>
            </w:pPr>
          </w:p>
          <w:p>
            <w:pPr>
              <w:spacing w:line="240" w:lineRule="auto"/>
              <w:rPr>
                <w:rFonts w:ascii="Arial"/>
                <w:sz w:val="18"/>
                <w:szCs w:val="18"/>
                <w:highlight w:val="none"/>
              </w:rPr>
            </w:pPr>
          </w:p>
          <w:p>
            <w:pPr>
              <w:spacing w:before="65" w:line="240" w:lineRule="auto"/>
              <w:ind w:left="507"/>
              <w:rPr>
                <w:rFonts w:ascii="宋体" w:hAnsi="宋体" w:eastAsia="宋体" w:cs="宋体"/>
                <w:sz w:val="18"/>
                <w:szCs w:val="18"/>
                <w:highlight w:val="none"/>
              </w:rPr>
            </w:pPr>
            <w:r>
              <w:rPr>
                <w:rFonts w:ascii="宋体" w:hAnsi="宋体" w:eastAsia="宋体" w:cs="宋体"/>
                <w:spacing w:val="8"/>
                <w:sz w:val="18"/>
                <w:szCs w:val="18"/>
                <w:highlight w:val="none"/>
              </w:rPr>
              <w:t>信</w:t>
            </w:r>
            <w:r>
              <w:rPr>
                <w:rFonts w:ascii="宋体" w:hAnsi="宋体" w:eastAsia="宋体" w:cs="宋体"/>
                <w:spacing w:val="7"/>
                <w:sz w:val="18"/>
                <w:szCs w:val="18"/>
                <w:highlight w:val="none"/>
              </w:rPr>
              <w:t>用查询</w:t>
            </w:r>
          </w:p>
        </w:tc>
        <w:tc>
          <w:tcPr>
            <w:tcW w:w="5153" w:type="dxa"/>
            <w:vAlign w:val="top"/>
          </w:tcPr>
          <w:p>
            <w:pPr>
              <w:spacing w:before="188" w:line="240" w:lineRule="auto"/>
              <w:ind w:left="77" w:right="70" w:firstLine="5"/>
              <w:rPr>
                <w:rFonts w:ascii="宋体" w:hAnsi="宋体" w:eastAsia="宋体" w:cs="宋体"/>
                <w:sz w:val="18"/>
                <w:szCs w:val="18"/>
                <w:highlight w:val="none"/>
              </w:rPr>
            </w:pPr>
            <w:r>
              <w:rPr>
                <w:rFonts w:ascii="宋体" w:hAnsi="宋体" w:eastAsia="宋体" w:cs="宋体"/>
                <w:spacing w:val="5"/>
                <w:sz w:val="18"/>
                <w:szCs w:val="18"/>
                <w:highlight w:val="none"/>
              </w:rPr>
              <w:t>“信用中国”网站、中国政府采</w:t>
            </w:r>
            <w:r>
              <w:rPr>
                <w:rFonts w:ascii="宋体" w:hAnsi="宋体" w:eastAsia="宋体" w:cs="宋体"/>
                <w:spacing w:val="10"/>
                <w:sz w:val="18"/>
                <w:szCs w:val="18"/>
                <w:highlight w:val="none"/>
              </w:rPr>
              <w:t>购网站</w:t>
            </w:r>
            <w:r>
              <w:rPr>
                <w:rFonts w:ascii="宋体" w:hAnsi="宋体" w:eastAsia="宋体" w:cs="宋体"/>
                <w:spacing w:val="5"/>
                <w:sz w:val="18"/>
                <w:szCs w:val="18"/>
                <w:highlight w:val="none"/>
              </w:rPr>
              <w:t>网查询企业信用信息，且</w:t>
            </w:r>
            <w:r>
              <w:rPr>
                <w:rFonts w:ascii="宋体" w:hAnsi="宋体" w:eastAsia="宋体" w:cs="宋体"/>
                <w:spacing w:val="10"/>
                <w:sz w:val="18"/>
                <w:szCs w:val="18"/>
                <w:highlight w:val="none"/>
              </w:rPr>
              <w:t>未被</w:t>
            </w:r>
            <w:r>
              <w:rPr>
                <w:rFonts w:ascii="宋体" w:hAnsi="宋体" w:eastAsia="宋体" w:cs="宋体"/>
                <w:spacing w:val="7"/>
                <w:sz w:val="18"/>
                <w:szCs w:val="18"/>
                <w:highlight w:val="none"/>
              </w:rPr>
              <w:t>列</w:t>
            </w:r>
            <w:r>
              <w:rPr>
                <w:rFonts w:ascii="宋体" w:hAnsi="宋体" w:eastAsia="宋体" w:cs="宋体"/>
                <w:spacing w:val="5"/>
                <w:sz w:val="18"/>
                <w:szCs w:val="18"/>
                <w:highlight w:val="none"/>
              </w:rPr>
              <w:t>入“失信被执行人”、“重大税收违法案件当事</w:t>
            </w:r>
            <w:r>
              <w:rPr>
                <w:rFonts w:ascii="宋体" w:hAnsi="宋体" w:eastAsia="宋体" w:cs="宋体"/>
                <w:spacing w:val="8"/>
                <w:sz w:val="18"/>
                <w:szCs w:val="18"/>
                <w:highlight w:val="none"/>
              </w:rPr>
              <w:t>人</w:t>
            </w:r>
            <w:r>
              <w:rPr>
                <w:rFonts w:ascii="宋体" w:hAnsi="宋体" w:eastAsia="宋体" w:cs="宋体"/>
                <w:spacing w:val="7"/>
                <w:sz w:val="18"/>
                <w:szCs w:val="18"/>
                <w:highlight w:val="none"/>
              </w:rPr>
              <w:t>名单</w:t>
            </w:r>
          </w:p>
        </w:tc>
        <w:tc>
          <w:tcPr>
            <w:tcW w:w="598" w:type="dxa"/>
            <w:vAlign w:val="top"/>
          </w:tcPr>
          <w:p>
            <w:pPr>
              <w:rPr>
                <w:rFonts w:ascii="Arial"/>
                <w:sz w:val="18"/>
                <w:szCs w:val="18"/>
                <w:highlight w:val="none"/>
              </w:rPr>
            </w:pPr>
          </w:p>
        </w:tc>
        <w:tc>
          <w:tcPr>
            <w:tcW w:w="670" w:type="dxa"/>
            <w:vAlign w:val="top"/>
          </w:tcPr>
          <w:p>
            <w:pPr>
              <w:rPr>
                <w:rFonts w:ascii="Arial"/>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155" w:type="dxa"/>
            <w:tcBorders>
              <w:bottom w:val="nil"/>
            </w:tcBorders>
            <w:vAlign w:val="top"/>
          </w:tcPr>
          <w:p>
            <w:pPr>
              <w:rPr>
                <w:rFonts w:ascii="Arial"/>
                <w:sz w:val="21"/>
                <w:highlight w:val="none"/>
              </w:rPr>
            </w:pPr>
          </w:p>
        </w:tc>
        <w:tc>
          <w:tcPr>
            <w:tcW w:w="1846" w:type="dxa"/>
            <w:vAlign w:val="top"/>
          </w:tcPr>
          <w:p>
            <w:pPr>
              <w:spacing w:before="188" w:line="240" w:lineRule="auto"/>
              <w:ind w:left="77" w:right="70" w:firstLine="5"/>
              <w:rPr>
                <w:rFonts w:ascii="宋体" w:hAnsi="宋体" w:eastAsia="宋体" w:cs="宋体"/>
                <w:spacing w:val="5"/>
                <w:sz w:val="18"/>
                <w:szCs w:val="18"/>
                <w:highlight w:val="none"/>
              </w:rPr>
            </w:pPr>
            <w:r>
              <w:rPr>
                <w:rFonts w:ascii="宋体" w:hAnsi="宋体" w:eastAsia="宋体" w:cs="宋体"/>
                <w:spacing w:val="5"/>
                <w:sz w:val="18"/>
                <w:szCs w:val="18"/>
                <w:highlight w:val="none"/>
              </w:rPr>
              <w:t>不参与围标串标承 诺书</w:t>
            </w:r>
          </w:p>
        </w:tc>
        <w:tc>
          <w:tcPr>
            <w:tcW w:w="5153" w:type="dxa"/>
            <w:vAlign w:val="top"/>
          </w:tcPr>
          <w:p>
            <w:pPr>
              <w:spacing w:before="188" w:line="240" w:lineRule="auto"/>
              <w:ind w:left="77" w:right="70" w:firstLine="5"/>
              <w:rPr>
                <w:rFonts w:ascii="宋体" w:hAnsi="宋体" w:eastAsia="宋体" w:cs="宋体"/>
                <w:spacing w:val="5"/>
                <w:sz w:val="18"/>
                <w:szCs w:val="18"/>
                <w:highlight w:val="none"/>
              </w:rPr>
            </w:pPr>
            <w:r>
              <w:rPr>
                <w:rFonts w:ascii="宋体" w:hAnsi="宋体" w:eastAsia="宋体" w:cs="宋体"/>
                <w:spacing w:val="5"/>
                <w:sz w:val="18"/>
                <w:szCs w:val="18"/>
                <w:highlight w:val="none"/>
              </w:rPr>
              <w:t>是否附有不参与围标串标承诺书</w:t>
            </w:r>
          </w:p>
        </w:tc>
        <w:tc>
          <w:tcPr>
            <w:tcW w:w="598" w:type="dxa"/>
            <w:vAlign w:val="top"/>
          </w:tcPr>
          <w:p>
            <w:pPr>
              <w:rPr>
                <w:rFonts w:ascii="Arial"/>
                <w:sz w:val="21"/>
                <w:highlight w:val="none"/>
              </w:rPr>
            </w:pPr>
          </w:p>
        </w:tc>
        <w:tc>
          <w:tcPr>
            <w:tcW w:w="670"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55" w:type="dxa"/>
            <w:tcBorders>
              <w:top w:val="nil"/>
            </w:tcBorders>
            <w:vAlign w:val="top"/>
          </w:tcPr>
          <w:p>
            <w:pPr>
              <w:rPr>
                <w:rFonts w:ascii="Arial"/>
                <w:sz w:val="21"/>
                <w:highlight w:val="none"/>
              </w:rPr>
            </w:pPr>
          </w:p>
        </w:tc>
        <w:tc>
          <w:tcPr>
            <w:tcW w:w="1846" w:type="dxa"/>
            <w:shd w:val="clear" w:color="auto" w:fill="auto"/>
            <w:vAlign w:val="top"/>
          </w:tcPr>
          <w:p>
            <w:pPr>
              <w:spacing w:before="188" w:line="240" w:lineRule="auto"/>
              <w:ind w:right="70"/>
              <w:rPr>
                <w:rFonts w:ascii="宋体" w:hAnsi="宋体" w:eastAsia="宋体" w:cs="宋体"/>
                <w:spacing w:val="5"/>
                <w:sz w:val="18"/>
                <w:szCs w:val="18"/>
                <w:highlight w:val="none"/>
              </w:rPr>
            </w:pPr>
          </w:p>
          <w:p>
            <w:pPr>
              <w:spacing w:before="188" w:line="240" w:lineRule="auto"/>
              <w:ind w:left="77" w:right="70" w:firstLine="5"/>
              <w:rPr>
                <w:rFonts w:ascii="宋体" w:hAnsi="宋体" w:eastAsia="宋体" w:cs="宋体"/>
                <w:spacing w:val="5"/>
                <w:sz w:val="18"/>
                <w:szCs w:val="18"/>
                <w:highlight w:val="none"/>
              </w:rPr>
            </w:pPr>
            <w:r>
              <w:rPr>
                <w:rFonts w:ascii="宋体" w:hAnsi="宋体" w:eastAsia="宋体" w:cs="宋体"/>
                <w:spacing w:val="5"/>
                <w:sz w:val="18"/>
                <w:szCs w:val="18"/>
                <w:highlight w:val="none"/>
              </w:rPr>
              <w:t>供应商为中小企业</w:t>
            </w:r>
          </w:p>
        </w:tc>
        <w:tc>
          <w:tcPr>
            <w:tcW w:w="5153" w:type="dxa"/>
            <w:shd w:val="clear" w:color="auto" w:fill="auto"/>
            <w:vAlign w:val="top"/>
          </w:tcPr>
          <w:p>
            <w:pPr>
              <w:spacing w:before="188" w:line="240" w:lineRule="auto"/>
              <w:ind w:right="70"/>
              <w:rPr>
                <w:rFonts w:ascii="宋体" w:hAnsi="宋体" w:eastAsia="宋体" w:cs="宋体"/>
                <w:spacing w:val="5"/>
                <w:sz w:val="18"/>
                <w:szCs w:val="18"/>
                <w:highlight w:val="none"/>
              </w:rPr>
            </w:pPr>
          </w:p>
          <w:p>
            <w:pPr>
              <w:spacing w:before="188" w:line="240" w:lineRule="auto"/>
              <w:ind w:left="77" w:right="70" w:firstLine="5"/>
              <w:rPr>
                <w:rFonts w:hint="eastAsia" w:ascii="宋体" w:hAnsi="宋体" w:eastAsia="宋体" w:cs="宋体"/>
                <w:spacing w:val="5"/>
                <w:sz w:val="18"/>
                <w:szCs w:val="18"/>
                <w:highlight w:val="none"/>
                <w:lang w:val="en-US" w:eastAsia="zh-CN"/>
              </w:rPr>
            </w:pPr>
            <w:r>
              <w:rPr>
                <w:rFonts w:hint="eastAsia" w:ascii="宋体" w:hAnsi="宋体" w:cs="宋体"/>
                <w:spacing w:val="5"/>
                <w:sz w:val="18"/>
                <w:szCs w:val="18"/>
                <w:highlight w:val="none"/>
                <w:lang w:val="en-US" w:eastAsia="zh-CN"/>
              </w:rPr>
              <w:t>提供中小企业声明函</w:t>
            </w:r>
          </w:p>
        </w:tc>
        <w:tc>
          <w:tcPr>
            <w:tcW w:w="598" w:type="dxa"/>
            <w:vAlign w:val="top"/>
          </w:tcPr>
          <w:p>
            <w:pPr>
              <w:rPr>
                <w:rFonts w:ascii="Arial"/>
                <w:sz w:val="21"/>
                <w:highlight w:val="none"/>
              </w:rPr>
            </w:pPr>
          </w:p>
        </w:tc>
        <w:tc>
          <w:tcPr>
            <w:tcW w:w="670"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9422" w:type="dxa"/>
            <w:gridSpan w:val="5"/>
            <w:vAlign w:val="top"/>
          </w:tcPr>
          <w:p>
            <w:pPr>
              <w:spacing w:before="252" w:line="229" w:lineRule="auto"/>
              <w:ind w:left="85"/>
              <w:rPr>
                <w:rFonts w:ascii="宋体" w:hAnsi="宋体" w:eastAsia="宋体" w:cs="宋体"/>
                <w:sz w:val="20"/>
                <w:szCs w:val="20"/>
                <w:highlight w:val="none"/>
              </w:rPr>
            </w:pPr>
            <w:r>
              <w:rPr>
                <w:rFonts w:ascii="宋体" w:hAnsi="宋体" w:eastAsia="宋体" w:cs="宋体"/>
                <w:spacing w:val="3"/>
                <w:sz w:val="20"/>
                <w:szCs w:val="20"/>
                <w:highlight w:val="none"/>
                <w14:textOutline w14:w="3795" w14:cap="sq" w14:cmpd="sng">
                  <w14:solidFill>
                    <w14:srgbClr w14:val="000000"/>
                  </w14:solidFill>
                  <w14:prstDash w14:val="solid"/>
                  <w14:bevel/>
                </w14:textOutline>
              </w:rPr>
              <w:t>备注：</w:t>
            </w:r>
          </w:p>
          <w:p>
            <w:pPr>
              <w:spacing w:before="24" w:line="251" w:lineRule="auto"/>
              <w:ind w:left="85" w:right="75" w:firstLine="12"/>
              <w:rPr>
                <w:rFonts w:ascii="宋体" w:hAnsi="宋体" w:eastAsia="宋体" w:cs="宋体"/>
                <w:sz w:val="20"/>
                <w:szCs w:val="20"/>
                <w:highlight w:val="none"/>
              </w:rPr>
            </w:pPr>
            <w:r>
              <w:rPr>
                <w:rFonts w:ascii="宋体" w:hAnsi="宋体" w:eastAsia="宋体" w:cs="宋体"/>
                <w:spacing w:val="10"/>
                <w:sz w:val="20"/>
                <w:szCs w:val="20"/>
                <w:highlight w:val="none"/>
                <w14:textOutline w14:w="3795" w14:cap="sq" w14:cmpd="sng">
                  <w14:solidFill>
                    <w14:srgbClr w14:val="000000"/>
                  </w14:solidFill>
                  <w14:prstDash w14:val="solid"/>
                  <w14:bevel/>
                </w14:textOutline>
              </w:rPr>
              <w:t>1.开标结束后，招标代理机构按照上述审查内容对各供应商的投标文件进行资格审查。未通过资格</w:t>
            </w:r>
            <w:r>
              <w:rPr>
                <w:rFonts w:ascii="宋体" w:hAnsi="宋体" w:eastAsia="宋体" w:cs="宋体"/>
                <w:spacing w:val="2"/>
                <w:sz w:val="20"/>
                <w:szCs w:val="20"/>
                <w:highlight w:val="none"/>
                <w14:textOutline w14:w="3795" w14:cap="sq" w14:cmpd="sng">
                  <w14:solidFill>
                    <w14:srgbClr w14:val="000000"/>
                  </w14:solidFill>
                  <w14:prstDash w14:val="solid"/>
                  <w14:bevel/>
                </w14:textOutline>
              </w:rPr>
              <w:t>审</w:t>
            </w:r>
            <w:r>
              <w:rPr>
                <w:rFonts w:ascii="宋体" w:hAnsi="宋体" w:eastAsia="宋体" w:cs="宋体"/>
                <w:sz w:val="20"/>
                <w:szCs w:val="20"/>
                <w:highlight w:val="none"/>
              </w:rPr>
              <w:t xml:space="preserve"> </w:t>
            </w:r>
            <w:r>
              <w:rPr>
                <w:rFonts w:ascii="宋体" w:hAnsi="宋体" w:eastAsia="宋体" w:cs="宋体"/>
                <w:spacing w:val="10"/>
                <w:sz w:val="20"/>
                <w:szCs w:val="20"/>
                <w:highlight w:val="none"/>
                <w14:textOutline w14:w="3795" w14:cap="sq" w14:cmpd="sng">
                  <w14:solidFill>
                    <w14:srgbClr w14:val="000000"/>
                  </w14:solidFill>
                  <w14:prstDash w14:val="solid"/>
                  <w14:bevel/>
                </w14:textOutline>
              </w:rPr>
              <w:t>查</w:t>
            </w:r>
            <w:r>
              <w:rPr>
                <w:rFonts w:ascii="宋体" w:hAnsi="宋体" w:eastAsia="宋体" w:cs="宋体"/>
                <w:spacing w:val="9"/>
                <w:sz w:val="20"/>
                <w:szCs w:val="20"/>
                <w:highlight w:val="none"/>
                <w14:textOutline w14:w="3795" w14:cap="sq" w14:cmpd="sng">
                  <w14:solidFill>
                    <w14:srgbClr w14:val="000000"/>
                  </w14:solidFill>
                  <w14:prstDash w14:val="solid"/>
                  <w14:bevel/>
                </w14:textOutline>
              </w:rPr>
              <w:t>的供应商，不进入评标阶段。</w:t>
            </w:r>
          </w:p>
          <w:p>
            <w:pPr>
              <w:spacing w:line="270" w:lineRule="exact"/>
              <w:ind w:left="85"/>
              <w:rPr>
                <w:rFonts w:ascii="宋体" w:hAnsi="宋体" w:eastAsia="宋体" w:cs="宋体"/>
                <w:sz w:val="20"/>
                <w:szCs w:val="20"/>
                <w:highlight w:val="none"/>
              </w:rPr>
            </w:pPr>
            <w:r>
              <w:rPr>
                <w:rFonts w:ascii="宋体" w:hAnsi="宋体" w:eastAsia="宋体" w:cs="宋体"/>
                <w:spacing w:val="9"/>
                <w:position w:val="1"/>
                <w:sz w:val="20"/>
                <w:szCs w:val="20"/>
                <w:highlight w:val="none"/>
                <w14:textOutline w14:w="3795" w14:cap="sq" w14:cmpd="sng">
                  <w14:solidFill>
                    <w14:srgbClr w14:val="000000"/>
                  </w14:solidFill>
                  <w14:prstDash w14:val="solid"/>
                  <w14:bevel/>
                </w14:textOutline>
              </w:rPr>
              <w:t>2.合格供应商不足三家的，不进行评标</w:t>
            </w:r>
            <w:r>
              <w:rPr>
                <w:rFonts w:ascii="宋体" w:hAnsi="宋体" w:eastAsia="宋体" w:cs="宋体"/>
                <w:spacing w:val="8"/>
                <w:position w:val="1"/>
                <w:sz w:val="20"/>
                <w:szCs w:val="20"/>
                <w:highlight w:val="none"/>
                <w14:textOutline w14:w="3795" w14:cap="sq" w14:cmpd="sng">
                  <w14:solidFill>
                    <w14:srgbClr w14:val="000000"/>
                  </w14:solidFill>
                  <w14:prstDash w14:val="solid"/>
                  <w14:bevel/>
                </w14:textOutline>
              </w:rPr>
              <w:t>。</w:t>
            </w:r>
          </w:p>
        </w:tc>
      </w:tr>
    </w:tbl>
    <w:p>
      <w:pPr>
        <w:pStyle w:val="103"/>
        <w:spacing w:line="400" w:lineRule="exact"/>
        <w:ind w:firstLine="420" w:firstLineChars="200"/>
        <w:rPr>
          <w:rFonts w:hint="eastAsia" w:ascii="宋体" w:hAnsi="宋体" w:eastAsia="宋体" w:cs="宋体"/>
          <w:color w:val="auto"/>
          <w:sz w:val="21"/>
          <w:szCs w:val="21"/>
          <w:highlight w:val="none"/>
        </w:rPr>
      </w:pP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5.3.2符合性检查</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（1）磋商小组根据评审办法规定的评审因素和评审标准，对供应商的响应文件进行符合性评审。符合性检查不合格的供应商的响应文件作无效文件处理。</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（2）磋商小组在进行符合性检查时，不得改变磋商文件中已载明的标准和办法。</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（3）磋商小组在评审中必要时可让供应商就有关问题进行查询核实，或要求供应商在采购平台上限时做出书面澄清，查询及澄清结果将作为审查的依据。</w:t>
      </w: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（4）通过全部通过符合性检查条件的供应商才能通过符合性检查，其响应文件方可进入下一个阶段。</w:t>
      </w:r>
    </w:p>
    <w:tbl>
      <w:tblPr>
        <w:tblStyle w:val="195"/>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1794"/>
        <w:gridCol w:w="5196"/>
        <w:gridCol w:w="677"/>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2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228" w:lineRule="auto"/>
              <w:ind w:left="160"/>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p>
            <w:pPr>
              <w:spacing w:before="65" w:line="228" w:lineRule="auto"/>
              <w:ind w:left="161"/>
              <w:rPr>
                <w:rFonts w:ascii="宋体" w:hAnsi="宋体" w:eastAsia="宋体" w:cs="宋体"/>
                <w:sz w:val="20"/>
                <w:szCs w:val="20"/>
              </w:rPr>
            </w:pPr>
            <w:r>
              <w:rPr>
                <w:rFonts w:ascii="宋体" w:hAnsi="宋体" w:eastAsia="宋体" w:cs="宋体"/>
                <w:spacing w:val="4"/>
                <w:sz w:val="20"/>
                <w:szCs w:val="20"/>
              </w:rPr>
              <w:t>性</w:t>
            </w:r>
            <w:r>
              <w:rPr>
                <w:rFonts w:ascii="宋体" w:hAnsi="宋体" w:eastAsia="宋体" w:cs="宋体"/>
                <w:spacing w:val="3"/>
                <w:sz w:val="20"/>
                <w:szCs w:val="20"/>
              </w:rPr>
              <w:t>审</w:t>
            </w:r>
          </w:p>
          <w:p>
            <w:pPr>
              <w:spacing w:before="64" w:line="235" w:lineRule="auto"/>
              <w:ind w:left="267"/>
              <w:rPr>
                <w:rFonts w:ascii="宋体" w:hAnsi="宋体" w:eastAsia="宋体" w:cs="宋体"/>
                <w:sz w:val="20"/>
                <w:szCs w:val="20"/>
              </w:rPr>
            </w:pPr>
            <w:r>
              <w:rPr>
                <w:rFonts w:ascii="宋体" w:hAnsi="宋体" w:eastAsia="宋体" w:cs="宋体"/>
                <w:sz w:val="20"/>
                <w:szCs w:val="20"/>
              </w:rPr>
              <w:t>查</w:t>
            </w:r>
          </w:p>
        </w:tc>
        <w:tc>
          <w:tcPr>
            <w:tcW w:w="179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before="65" w:line="228" w:lineRule="auto"/>
              <w:ind w:left="58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评分点</w:t>
            </w:r>
          </w:p>
        </w:tc>
        <w:tc>
          <w:tcPr>
            <w:tcW w:w="5196"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before="65" w:line="228" w:lineRule="auto"/>
              <w:ind w:left="218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评分标</w:t>
            </w:r>
            <w:r>
              <w:rPr>
                <w:rFonts w:ascii="宋体" w:hAnsi="宋体" w:eastAsia="宋体" w:cs="宋体"/>
                <w:spacing w:val="8"/>
                <w:sz w:val="20"/>
                <w:szCs w:val="20"/>
                <w14:textOutline w14:w="3795" w14:cap="sq" w14:cmpd="sng">
                  <w14:solidFill>
                    <w14:srgbClr w14:val="000000"/>
                  </w14:solidFill>
                  <w14:prstDash w14:val="solid"/>
                  <w14:bevel/>
                </w14:textOutline>
              </w:rPr>
              <w:t>准</w:t>
            </w:r>
          </w:p>
        </w:tc>
        <w:tc>
          <w:tcPr>
            <w:tcW w:w="1361" w:type="dxa"/>
            <w:gridSpan w:val="2"/>
            <w:vAlign w:val="top"/>
          </w:tcPr>
          <w:p>
            <w:pPr>
              <w:spacing w:before="238" w:line="228" w:lineRule="auto"/>
              <w:ind w:left="263"/>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评审意</w:t>
            </w:r>
            <w:r>
              <w:rPr>
                <w:rFonts w:ascii="宋体" w:hAnsi="宋体" w:eastAsia="宋体" w:cs="宋体"/>
                <w:spacing w:val="8"/>
                <w:sz w:val="20"/>
                <w:szCs w:val="20"/>
                <w14:textOutline w14:w="3795" w14:cap="sq" w14:cmpd="sng">
                  <w14:solidFill>
                    <w14:srgbClr w14:val="000000"/>
                  </w14:solidFill>
                  <w14:prstDash w14:val="solid"/>
                  <w14:bevel/>
                </w14:textOutli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26" w:type="dxa"/>
            <w:vMerge w:val="continue"/>
            <w:tcBorders>
              <w:top w:val="nil"/>
              <w:bottom w:val="nil"/>
            </w:tcBorders>
            <w:vAlign w:val="top"/>
          </w:tcPr>
          <w:p>
            <w:pPr>
              <w:rPr>
                <w:rFonts w:ascii="Arial"/>
                <w:sz w:val="21"/>
              </w:rPr>
            </w:pPr>
          </w:p>
        </w:tc>
        <w:tc>
          <w:tcPr>
            <w:tcW w:w="1794" w:type="dxa"/>
            <w:vMerge w:val="continue"/>
            <w:tcBorders>
              <w:top w:val="nil"/>
            </w:tcBorders>
            <w:vAlign w:val="top"/>
          </w:tcPr>
          <w:p>
            <w:pPr>
              <w:rPr>
                <w:rFonts w:ascii="Arial"/>
                <w:sz w:val="21"/>
              </w:rPr>
            </w:pPr>
          </w:p>
        </w:tc>
        <w:tc>
          <w:tcPr>
            <w:tcW w:w="5196" w:type="dxa"/>
            <w:vMerge w:val="continue"/>
            <w:tcBorders>
              <w:top w:val="nil"/>
            </w:tcBorders>
            <w:vAlign w:val="top"/>
          </w:tcPr>
          <w:p>
            <w:pPr>
              <w:rPr>
                <w:rFonts w:ascii="Arial"/>
                <w:sz w:val="21"/>
              </w:rPr>
            </w:pPr>
          </w:p>
        </w:tc>
        <w:tc>
          <w:tcPr>
            <w:tcW w:w="677" w:type="dxa"/>
            <w:vAlign w:val="top"/>
          </w:tcPr>
          <w:p>
            <w:pPr>
              <w:spacing w:before="212" w:line="231" w:lineRule="auto"/>
              <w:ind w:left="244"/>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是</w:t>
            </w:r>
          </w:p>
        </w:tc>
        <w:tc>
          <w:tcPr>
            <w:tcW w:w="684" w:type="dxa"/>
            <w:vAlign w:val="top"/>
          </w:tcPr>
          <w:p>
            <w:pPr>
              <w:spacing w:before="213" w:line="228" w:lineRule="auto"/>
              <w:ind w:left="249"/>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6" w:type="dxa"/>
            <w:vMerge w:val="continue"/>
            <w:tcBorders>
              <w:top w:val="nil"/>
              <w:bottom w:val="nil"/>
            </w:tcBorders>
            <w:vAlign w:val="top"/>
          </w:tcPr>
          <w:p>
            <w:pPr>
              <w:rPr>
                <w:rFonts w:ascii="Arial"/>
                <w:sz w:val="21"/>
              </w:rPr>
            </w:pPr>
          </w:p>
        </w:tc>
        <w:tc>
          <w:tcPr>
            <w:tcW w:w="1794" w:type="dxa"/>
            <w:vAlign w:val="top"/>
          </w:tcPr>
          <w:p>
            <w:pPr>
              <w:spacing w:before="244" w:line="227" w:lineRule="auto"/>
              <w:ind w:left="376"/>
              <w:rPr>
                <w:rFonts w:ascii="宋体" w:hAnsi="宋体" w:eastAsia="宋体" w:cs="宋体"/>
                <w:sz w:val="20"/>
                <w:szCs w:val="20"/>
              </w:rPr>
            </w:pPr>
            <w:r>
              <w:rPr>
                <w:rFonts w:ascii="宋体" w:hAnsi="宋体" w:eastAsia="宋体" w:cs="宋体"/>
                <w:spacing w:val="8"/>
                <w:sz w:val="20"/>
                <w:szCs w:val="20"/>
              </w:rPr>
              <w:t>供应商名称</w:t>
            </w:r>
          </w:p>
        </w:tc>
        <w:tc>
          <w:tcPr>
            <w:tcW w:w="5196" w:type="dxa"/>
            <w:vAlign w:val="top"/>
          </w:tcPr>
          <w:p>
            <w:pPr>
              <w:spacing w:before="244" w:line="228" w:lineRule="auto"/>
              <w:ind w:left="84"/>
              <w:rPr>
                <w:rFonts w:ascii="宋体" w:hAnsi="宋体" w:eastAsia="宋体" w:cs="宋体"/>
                <w:sz w:val="20"/>
                <w:szCs w:val="20"/>
              </w:rPr>
            </w:pPr>
            <w:r>
              <w:rPr>
                <w:rFonts w:ascii="宋体" w:hAnsi="宋体" w:eastAsia="宋体" w:cs="宋体"/>
                <w:spacing w:val="8"/>
                <w:sz w:val="20"/>
                <w:szCs w:val="20"/>
              </w:rPr>
              <w:t>与营业执照一致</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26" w:type="dxa"/>
            <w:vMerge w:val="continue"/>
            <w:tcBorders>
              <w:top w:val="nil"/>
              <w:bottom w:val="nil"/>
            </w:tcBorders>
            <w:vAlign w:val="top"/>
          </w:tcPr>
          <w:p>
            <w:pPr>
              <w:rPr>
                <w:rFonts w:ascii="Arial"/>
                <w:sz w:val="21"/>
              </w:rPr>
            </w:pPr>
          </w:p>
        </w:tc>
        <w:tc>
          <w:tcPr>
            <w:tcW w:w="1794" w:type="dxa"/>
            <w:vAlign w:val="top"/>
          </w:tcPr>
          <w:p>
            <w:pPr>
              <w:spacing w:before="214" w:line="228" w:lineRule="auto"/>
              <w:ind w:left="273"/>
              <w:rPr>
                <w:rFonts w:ascii="宋体" w:hAnsi="宋体" w:eastAsia="宋体" w:cs="宋体"/>
                <w:sz w:val="20"/>
                <w:szCs w:val="20"/>
              </w:rPr>
            </w:pPr>
            <w:r>
              <w:rPr>
                <w:rFonts w:ascii="宋体" w:hAnsi="宋体" w:eastAsia="宋体" w:cs="宋体"/>
                <w:spacing w:val="8"/>
                <w:sz w:val="20"/>
                <w:szCs w:val="20"/>
              </w:rPr>
              <w:t>投标文件签</w:t>
            </w:r>
            <w:r>
              <w:rPr>
                <w:rFonts w:ascii="宋体" w:hAnsi="宋体" w:eastAsia="宋体" w:cs="宋体"/>
                <w:spacing w:val="7"/>
                <w:sz w:val="20"/>
                <w:szCs w:val="20"/>
              </w:rPr>
              <w:t>署</w:t>
            </w:r>
          </w:p>
        </w:tc>
        <w:tc>
          <w:tcPr>
            <w:tcW w:w="5196" w:type="dxa"/>
            <w:vAlign w:val="top"/>
          </w:tcPr>
          <w:p>
            <w:pPr>
              <w:spacing w:before="214" w:line="227" w:lineRule="auto"/>
              <w:ind w:left="82"/>
              <w:rPr>
                <w:rFonts w:ascii="宋体" w:hAnsi="宋体" w:eastAsia="宋体" w:cs="宋体"/>
                <w:sz w:val="20"/>
                <w:szCs w:val="20"/>
              </w:rPr>
            </w:pPr>
            <w:r>
              <w:rPr>
                <w:rFonts w:ascii="宋体" w:hAnsi="宋体" w:eastAsia="宋体" w:cs="宋体"/>
                <w:spacing w:val="12"/>
                <w:sz w:val="20"/>
                <w:szCs w:val="20"/>
              </w:rPr>
              <w:t>投</w:t>
            </w:r>
            <w:r>
              <w:rPr>
                <w:rFonts w:ascii="宋体" w:hAnsi="宋体" w:eastAsia="宋体" w:cs="宋体"/>
                <w:spacing w:val="9"/>
                <w:sz w:val="20"/>
                <w:szCs w:val="20"/>
              </w:rPr>
              <w:t>标文件的签章符合招标文件的规定</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6" w:type="dxa"/>
            <w:vMerge w:val="continue"/>
            <w:tcBorders>
              <w:top w:val="nil"/>
              <w:bottom w:val="nil"/>
            </w:tcBorders>
            <w:vAlign w:val="top"/>
          </w:tcPr>
          <w:p>
            <w:pPr>
              <w:rPr>
                <w:rFonts w:ascii="Arial"/>
                <w:sz w:val="21"/>
              </w:rPr>
            </w:pPr>
          </w:p>
        </w:tc>
        <w:tc>
          <w:tcPr>
            <w:tcW w:w="1794" w:type="dxa"/>
            <w:vAlign w:val="top"/>
          </w:tcPr>
          <w:p>
            <w:pPr>
              <w:spacing w:before="284" w:line="228" w:lineRule="auto"/>
              <w:ind w:left="165"/>
              <w:rPr>
                <w:rFonts w:ascii="宋体" w:hAnsi="宋体" w:eastAsia="宋体" w:cs="宋体"/>
                <w:sz w:val="20"/>
                <w:szCs w:val="20"/>
              </w:rPr>
            </w:pPr>
            <w:r>
              <w:rPr>
                <w:rFonts w:ascii="宋体" w:hAnsi="宋体" w:eastAsia="宋体" w:cs="宋体"/>
                <w:spacing w:val="11"/>
                <w:sz w:val="20"/>
                <w:szCs w:val="20"/>
              </w:rPr>
              <w:t>递</w:t>
            </w:r>
            <w:r>
              <w:rPr>
                <w:rFonts w:ascii="宋体" w:hAnsi="宋体" w:eastAsia="宋体" w:cs="宋体"/>
                <w:spacing w:val="8"/>
                <w:sz w:val="20"/>
                <w:szCs w:val="20"/>
              </w:rPr>
              <w:t>交的投标文件</w:t>
            </w:r>
          </w:p>
        </w:tc>
        <w:tc>
          <w:tcPr>
            <w:tcW w:w="5196" w:type="dxa"/>
            <w:vAlign w:val="top"/>
          </w:tcPr>
          <w:p>
            <w:pPr>
              <w:spacing w:before="127" w:line="300" w:lineRule="auto"/>
              <w:ind w:left="83" w:right="81" w:hanging="4"/>
              <w:rPr>
                <w:rFonts w:ascii="宋体" w:hAnsi="宋体" w:eastAsia="宋体" w:cs="宋体"/>
                <w:sz w:val="20"/>
                <w:szCs w:val="20"/>
              </w:rPr>
            </w:pPr>
            <w:r>
              <w:rPr>
                <w:rFonts w:ascii="宋体" w:hAnsi="宋体" w:eastAsia="宋体" w:cs="宋体"/>
                <w:spacing w:val="18"/>
                <w:sz w:val="20"/>
                <w:szCs w:val="20"/>
              </w:rPr>
              <w:t>供</w:t>
            </w:r>
            <w:r>
              <w:rPr>
                <w:rFonts w:ascii="宋体" w:hAnsi="宋体" w:eastAsia="宋体" w:cs="宋体"/>
                <w:spacing w:val="13"/>
                <w:sz w:val="20"/>
                <w:szCs w:val="20"/>
              </w:rPr>
              <w:t>应</w:t>
            </w:r>
            <w:r>
              <w:rPr>
                <w:rFonts w:ascii="宋体" w:hAnsi="宋体" w:eastAsia="宋体" w:cs="宋体"/>
                <w:spacing w:val="9"/>
                <w:sz w:val="20"/>
                <w:szCs w:val="20"/>
              </w:rPr>
              <w:t>商递交的投标文件按照招标文件要求提供，且满足</w:t>
            </w:r>
            <w:r>
              <w:rPr>
                <w:rFonts w:ascii="宋体" w:hAnsi="宋体" w:eastAsia="宋体" w:cs="宋体"/>
                <w:spacing w:val="16"/>
                <w:sz w:val="20"/>
                <w:szCs w:val="20"/>
              </w:rPr>
              <w:t>正</w:t>
            </w:r>
            <w:r>
              <w:rPr>
                <w:rFonts w:ascii="宋体" w:hAnsi="宋体" w:eastAsia="宋体" w:cs="宋体"/>
                <w:spacing w:val="8"/>
                <w:sz w:val="20"/>
                <w:szCs w:val="20"/>
              </w:rPr>
              <w:t>常开标、评标使用功能</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26" w:type="dxa"/>
            <w:vMerge w:val="continue"/>
            <w:tcBorders>
              <w:top w:val="nil"/>
              <w:bottom w:val="nil"/>
            </w:tcBorders>
            <w:vAlign w:val="top"/>
          </w:tcPr>
          <w:p>
            <w:pPr>
              <w:rPr>
                <w:rFonts w:ascii="Arial"/>
                <w:sz w:val="21"/>
              </w:rPr>
            </w:pPr>
          </w:p>
        </w:tc>
        <w:tc>
          <w:tcPr>
            <w:tcW w:w="1794" w:type="dxa"/>
            <w:vAlign w:val="top"/>
          </w:tcPr>
          <w:p>
            <w:pPr>
              <w:spacing w:before="284" w:line="226" w:lineRule="auto"/>
              <w:ind w:left="484"/>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6"/>
                <w:sz w:val="20"/>
                <w:szCs w:val="20"/>
              </w:rPr>
              <w:t>标报价</w:t>
            </w:r>
          </w:p>
        </w:tc>
        <w:tc>
          <w:tcPr>
            <w:tcW w:w="5196" w:type="dxa"/>
            <w:vAlign w:val="top"/>
          </w:tcPr>
          <w:p>
            <w:pPr>
              <w:spacing w:before="127" w:line="300" w:lineRule="auto"/>
              <w:ind w:left="80" w:right="81" w:firstLine="1"/>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0"/>
                <w:sz w:val="20"/>
                <w:szCs w:val="20"/>
              </w:rPr>
              <w:t>标</w:t>
            </w:r>
            <w:r>
              <w:rPr>
                <w:rFonts w:ascii="宋体" w:hAnsi="宋体" w:eastAsia="宋体" w:cs="宋体"/>
                <w:spacing w:val="9"/>
                <w:sz w:val="20"/>
                <w:szCs w:val="20"/>
              </w:rPr>
              <w:t>文件针对同一种服务未出现了两个或两个以上的报</w:t>
            </w:r>
            <w:r>
              <w:rPr>
                <w:rFonts w:ascii="宋体" w:hAnsi="宋体" w:eastAsia="宋体" w:cs="宋体"/>
                <w:sz w:val="20"/>
                <w:szCs w:val="20"/>
              </w:rPr>
              <w:t xml:space="preserve"> </w:t>
            </w:r>
            <w:r>
              <w:rPr>
                <w:rFonts w:ascii="宋体" w:hAnsi="宋体" w:eastAsia="宋体" w:cs="宋体"/>
                <w:spacing w:val="17"/>
                <w:sz w:val="20"/>
                <w:szCs w:val="20"/>
              </w:rPr>
              <w:t>价</w:t>
            </w:r>
            <w:r>
              <w:rPr>
                <w:rFonts w:ascii="宋体" w:hAnsi="宋体" w:eastAsia="宋体" w:cs="宋体"/>
                <w:spacing w:val="9"/>
                <w:sz w:val="20"/>
                <w:szCs w:val="20"/>
              </w:rPr>
              <w:t>；投标报价未超过项目采购预算或最高限价</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26" w:type="dxa"/>
            <w:vMerge w:val="continue"/>
            <w:tcBorders>
              <w:top w:val="nil"/>
              <w:bottom w:val="nil"/>
            </w:tcBorders>
            <w:vAlign w:val="top"/>
          </w:tcPr>
          <w:p>
            <w:pPr>
              <w:rPr>
                <w:rFonts w:ascii="Arial"/>
                <w:sz w:val="21"/>
              </w:rPr>
            </w:pPr>
          </w:p>
        </w:tc>
        <w:tc>
          <w:tcPr>
            <w:tcW w:w="1794" w:type="dxa"/>
            <w:vAlign w:val="top"/>
          </w:tcPr>
          <w:p>
            <w:pPr>
              <w:spacing w:before="216" w:line="228" w:lineRule="auto"/>
              <w:ind w:left="481"/>
              <w:rPr>
                <w:rFonts w:ascii="宋体" w:hAnsi="宋体" w:eastAsia="宋体" w:cs="宋体"/>
                <w:sz w:val="20"/>
                <w:szCs w:val="20"/>
              </w:rPr>
            </w:pPr>
            <w:r>
              <w:rPr>
                <w:rFonts w:ascii="宋体" w:hAnsi="宋体" w:eastAsia="宋体" w:cs="宋体"/>
                <w:spacing w:val="8"/>
                <w:sz w:val="20"/>
                <w:szCs w:val="20"/>
              </w:rPr>
              <w:t>服</w:t>
            </w:r>
            <w:r>
              <w:rPr>
                <w:rFonts w:ascii="宋体" w:hAnsi="宋体" w:eastAsia="宋体" w:cs="宋体"/>
                <w:spacing w:val="7"/>
                <w:sz w:val="20"/>
                <w:szCs w:val="20"/>
              </w:rPr>
              <w:t>务范围</w:t>
            </w:r>
          </w:p>
        </w:tc>
        <w:tc>
          <w:tcPr>
            <w:tcW w:w="5196" w:type="dxa"/>
            <w:vAlign w:val="top"/>
          </w:tcPr>
          <w:p>
            <w:pPr>
              <w:spacing w:before="216" w:line="227" w:lineRule="auto"/>
              <w:ind w:left="82"/>
              <w:rPr>
                <w:rFonts w:ascii="宋体" w:hAnsi="宋体" w:eastAsia="宋体" w:cs="宋体"/>
                <w:sz w:val="20"/>
                <w:szCs w:val="20"/>
              </w:rPr>
            </w:pPr>
            <w:r>
              <w:rPr>
                <w:rFonts w:ascii="宋体" w:hAnsi="宋体" w:eastAsia="宋体" w:cs="宋体"/>
                <w:spacing w:val="16"/>
                <w:sz w:val="20"/>
                <w:szCs w:val="20"/>
              </w:rPr>
              <w:t>投</w:t>
            </w:r>
            <w:r>
              <w:rPr>
                <w:rFonts w:ascii="宋体" w:hAnsi="宋体" w:eastAsia="宋体" w:cs="宋体"/>
                <w:spacing w:val="9"/>
                <w:sz w:val="20"/>
                <w:szCs w:val="20"/>
              </w:rPr>
              <w:t>标文件载明的服务范围符合招标文件的要求</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26" w:type="dxa"/>
            <w:vMerge w:val="continue"/>
            <w:tcBorders>
              <w:top w:val="nil"/>
              <w:bottom w:val="nil"/>
            </w:tcBorders>
            <w:vAlign w:val="top"/>
          </w:tcPr>
          <w:p>
            <w:pPr>
              <w:rPr>
                <w:rFonts w:ascii="Arial"/>
                <w:sz w:val="21"/>
              </w:rPr>
            </w:pPr>
          </w:p>
        </w:tc>
        <w:tc>
          <w:tcPr>
            <w:tcW w:w="1794" w:type="dxa"/>
            <w:vAlign w:val="top"/>
          </w:tcPr>
          <w:p>
            <w:pPr>
              <w:spacing w:before="216" w:line="228" w:lineRule="auto"/>
              <w:ind w:left="481"/>
              <w:rPr>
                <w:rFonts w:ascii="宋体" w:hAnsi="宋体" w:eastAsia="宋体" w:cs="宋体"/>
                <w:sz w:val="20"/>
                <w:szCs w:val="20"/>
              </w:rPr>
            </w:pPr>
            <w:r>
              <w:rPr>
                <w:rFonts w:ascii="宋体" w:hAnsi="宋体" w:eastAsia="宋体" w:cs="宋体"/>
                <w:spacing w:val="8"/>
                <w:sz w:val="20"/>
                <w:szCs w:val="20"/>
              </w:rPr>
              <w:t>服</w:t>
            </w:r>
            <w:r>
              <w:rPr>
                <w:rFonts w:ascii="宋体" w:hAnsi="宋体" w:eastAsia="宋体" w:cs="宋体"/>
                <w:spacing w:val="7"/>
                <w:sz w:val="20"/>
                <w:szCs w:val="20"/>
              </w:rPr>
              <w:t>务期限</w:t>
            </w:r>
          </w:p>
        </w:tc>
        <w:tc>
          <w:tcPr>
            <w:tcW w:w="5196" w:type="dxa"/>
            <w:vAlign w:val="top"/>
          </w:tcPr>
          <w:p>
            <w:pPr>
              <w:spacing w:before="217" w:line="227" w:lineRule="auto"/>
              <w:ind w:left="82"/>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1"/>
                <w:sz w:val="20"/>
                <w:szCs w:val="20"/>
              </w:rPr>
              <w:t>标</w:t>
            </w:r>
            <w:r>
              <w:rPr>
                <w:rFonts w:ascii="宋体" w:hAnsi="宋体" w:eastAsia="宋体" w:cs="宋体"/>
                <w:spacing w:val="9"/>
                <w:sz w:val="20"/>
                <w:szCs w:val="20"/>
              </w:rPr>
              <w:t>文件载明的服务期限未超过招标文件规定的期限</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26" w:type="dxa"/>
            <w:vMerge w:val="continue"/>
            <w:tcBorders>
              <w:top w:val="nil"/>
              <w:bottom w:val="nil"/>
            </w:tcBorders>
            <w:vAlign w:val="top"/>
          </w:tcPr>
          <w:p>
            <w:pPr>
              <w:rPr>
                <w:rFonts w:ascii="Arial"/>
                <w:sz w:val="21"/>
              </w:rPr>
            </w:pPr>
          </w:p>
        </w:tc>
        <w:tc>
          <w:tcPr>
            <w:tcW w:w="1794" w:type="dxa"/>
            <w:vAlign w:val="top"/>
          </w:tcPr>
          <w:p>
            <w:pPr>
              <w:spacing w:before="216" w:line="228" w:lineRule="auto"/>
              <w:ind w:left="378"/>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标有效期</w:t>
            </w:r>
          </w:p>
        </w:tc>
        <w:tc>
          <w:tcPr>
            <w:tcW w:w="5196" w:type="dxa"/>
            <w:vAlign w:val="top"/>
          </w:tcPr>
          <w:p>
            <w:pPr>
              <w:spacing w:before="216" w:line="227" w:lineRule="auto"/>
              <w:ind w:left="82"/>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9"/>
                <w:sz w:val="20"/>
                <w:szCs w:val="20"/>
              </w:rPr>
              <w:t>标文件载明的投标有效期未超过招标文件规定</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26" w:type="dxa"/>
            <w:vMerge w:val="continue"/>
            <w:tcBorders>
              <w:top w:val="nil"/>
            </w:tcBorders>
            <w:vAlign w:val="top"/>
          </w:tcPr>
          <w:p>
            <w:pPr>
              <w:rPr>
                <w:rFonts w:ascii="Arial"/>
                <w:sz w:val="21"/>
              </w:rPr>
            </w:pPr>
          </w:p>
        </w:tc>
        <w:tc>
          <w:tcPr>
            <w:tcW w:w="1794" w:type="dxa"/>
            <w:vAlign w:val="top"/>
          </w:tcPr>
          <w:p>
            <w:pPr>
              <w:spacing w:before="296" w:line="224" w:lineRule="auto"/>
              <w:ind w:left="165"/>
              <w:rPr>
                <w:rFonts w:ascii="宋体" w:hAnsi="宋体" w:eastAsia="宋体" w:cs="宋体"/>
                <w:sz w:val="20"/>
                <w:szCs w:val="20"/>
              </w:rPr>
            </w:pPr>
            <w:r>
              <w:rPr>
                <w:rFonts w:ascii="宋体" w:hAnsi="宋体" w:eastAsia="宋体" w:cs="宋体"/>
                <w:spacing w:val="11"/>
                <w:sz w:val="20"/>
                <w:szCs w:val="20"/>
              </w:rPr>
              <w:t>其</w:t>
            </w:r>
            <w:r>
              <w:rPr>
                <w:rFonts w:ascii="宋体" w:hAnsi="宋体" w:eastAsia="宋体" w:cs="宋体"/>
                <w:spacing w:val="8"/>
                <w:sz w:val="20"/>
                <w:szCs w:val="20"/>
              </w:rPr>
              <w:t>他实质性要求</w:t>
            </w:r>
          </w:p>
        </w:tc>
        <w:tc>
          <w:tcPr>
            <w:tcW w:w="5196" w:type="dxa"/>
            <w:vAlign w:val="top"/>
          </w:tcPr>
          <w:p>
            <w:pPr>
              <w:spacing w:before="296" w:line="224" w:lineRule="auto"/>
              <w:ind w:left="79"/>
              <w:rPr>
                <w:rFonts w:ascii="宋体" w:hAnsi="宋体" w:eastAsia="宋体" w:cs="宋体"/>
                <w:sz w:val="20"/>
                <w:szCs w:val="20"/>
              </w:rPr>
            </w:pPr>
            <w:r>
              <w:rPr>
                <w:rFonts w:ascii="宋体" w:hAnsi="宋体" w:eastAsia="宋体" w:cs="宋体"/>
                <w:spacing w:val="12"/>
                <w:sz w:val="20"/>
                <w:szCs w:val="20"/>
              </w:rPr>
              <w:t>满</w:t>
            </w:r>
            <w:r>
              <w:rPr>
                <w:rFonts w:ascii="宋体" w:hAnsi="宋体" w:eastAsia="宋体" w:cs="宋体"/>
                <w:spacing w:val="9"/>
                <w:sz w:val="20"/>
                <w:szCs w:val="20"/>
              </w:rPr>
              <w:t>足招标文件的其他实质性要求</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26" w:type="dxa"/>
            <w:vAlign w:val="top"/>
          </w:tcPr>
          <w:p>
            <w:pPr>
              <w:rPr>
                <w:rFonts w:ascii="Arial"/>
                <w:sz w:val="21"/>
              </w:rPr>
            </w:pPr>
          </w:p>
        </w:tc>
        <w:tc>
          <w:tcPr>
            <w:tcW w:w="1794" w:type="dxa"/>
            <w:vAlign w:val="top"/>
          </w:tcPr>
          <w:p>
            <w:pPr>
              <w:spacing w:before="287" w:line="225" w:lineRule="auto"/>
              <w:ind w:left="271"/>
              <w:rPr>
                <w:rFonts w:ascii="宋体" w:hAnsi="宋体" w:eastAsia="宋体" w:cs="宋体"/>
                <w:sz w:val="20"/>
                <w:szCs w:val="20"/>
              </w:rPr>
            </w:pPr>
            <w:r>
              <w:rPr>
                <w:rFonts w:ascii="宋体" w:hAnsi="宋体" w:eastAsia="宋体" w:cs="宋体"/>
                <w:spacing w:val="8"/>
                <w:sz w:val="20"/>
                <w:szCs w:val="20"/>
              </w:rPr>
              <w:t>其他无效情形</w:t>
            </w:r>
          </w:p>
        </w:tc>
        <w:tc>
          <w:tcPr>
            <w:tcW w:w="5196" w:type="dxa"/>
            <w:vAlign w:val="top"/>
          </w:tcPr>
          <w:p>
            <w:pPr>
              <w:spacing w:before="130" w:line="300" w:lineRule="auto"/>
              <w:ind w:left="80" w:right="81" w:firstLine="1"/>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0"/>
                <w:sz w:val="20"/>
                <w:szCs w:val="20"/>
              </w:rPr>
              <w:t>标</w:t>
            </w:r>
            <w:r>
              <w:rPr>
                <w:rFonts w:ascii="宋体" w:hAnsi="宋体" w:eastAsia="宋体" w:cs="宋体"/>
                <w:spacing w:val="9"/>
                <w:sz w:val="20"/>
                <w:szCs w:val="20"/>
              </w:rPr>
              <w:t>文件未附有采购人不能接受的附加条件及法律、法</w:t>
            </w:r>
            <w:r>
              <w:rPr>
                <w:rFonts w:ascii="宋体" w:hAnsi="宋体" w:eastAsia="宋体" w:cs="宋体"/>
                <w:spacing w:val="13"/>
                <w:sz w:val="20"/>
                <w:szCs w:val="20"/>
              </w:rPr>
              <w:t>规</w:t>
            </w:r>
            <w:r>
              <w:rPr>
                <w:rFonts w:ascii="宋体" w:hAnsi="宋体" w:eastAsia="宋体" w:cs="宋体"/>
                <w:spacing w:val="9"/>
                <w:sz w:val="20"/>
                <w:szCs w:val="20"/>
              </w:rPr>
              <w:t>和招标文件规定的其他无效情形</w:t>
            </w:r>
          </w:p>
        </w:tc>
        <w:tc>
          <w:tcPr>
            <w:tcW w:w="677"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077" w:type="dxa"/>
            <w:gridSpan w:val="5"/>
            <w:vAlign w:val="top"/>
          </w:tcPr>
          <w:p>
            <w:pPr>
              <w:spacing w:before="240" w:line="229" w:lineRule="auto"/>
              <w:ind w:left="84"/>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备注：未通过符合性审查的供应商不进入详细评审阶段</w:t>
            </w:r>
            <w:r>
              <w:rPr>
                <w:rFonts w:ascii="宋体" w:hAnsi="宋体" w:eastAsia="宋体" w:cs="宋体"/>
                <w:spacing w:val="6"/>
                <w:sz w:val="20"/>
                <w:szCs w:val="20"/>
                <w14:textOutline w14:w="3795" w14:cap="sq" w14:cmpd="sng">
                  <w14:solidFill>
                    <w14:srgbClr w14:val="000000"/>
                  </w14:solidFill>
                  <w14:prstDash w14:val="solid"/>
                  <w14:bevel/>
                </w14:textOutline>
              </w:rPr>
              <w:t>。</w:t>
            </w:r>
          </w:p>
        </w:tc>
      </w:tr>
    </w:tbl>
    <w:p>
      <w:pPr>
        <w:pStyle w:val="103"/>
        <w:spacing w:line="400" w:lineRule="exact"/>
        <w:ind w:firstLine="420" w:firstLineChars="200"/>
        <w:rPr>
          <w:rFonts w:hint="eastAsia" w:ascii="宋体" w:hAnsi="宋体" w:eastAsia="宋体" w:cs="宋体"/>
          <w:color w:val="auto"/>
          <w:sz w:val="21"/>
          <w:szCs w:val="21"/>
          <w:highlight w:val="none"/>
        </w:rPr>
      </w:pPr>
    </w:p>
    <w:p>
      <w:pPr>
        <w:pStyle w:val="10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响应文件的澄清</w:t>
      </w:r>
    </w:p>
    <w:p>
      <w:pPr>
        <w:pStyle w:val="103"/>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lang w:val="zh-CN"/>
        </w:rPr>
        <w:t>磋商小组在对响应文件的有效性、完整性和对磋商文件的响应程度进行审查时，可以要求供应商对响应文件中含义不明</w:t>
      </w:r>
      <w:r>
        <w:rPr>
          <w:rFonts w:hint="eastAsia" w:ascii="宋体" w:hAnsi="宋体" w:eastAsia="宋体" w:cs="宋体"/>
          <w:bCs/>
          <w:color w:val="auto"/>
          <w:sz w:val="21"/>
          <w:szCs w:val="21"/>
          <w:highlight w:val="none"/>
        </w:rPr>
        <w:t>确</w:t>
      </w:r>
      <w:r>
        <w:rPr>
          <w:rFonts w:hint="eastAsia" w:ascii="宋体" w:hAnsi="宋体" w:eastAsia="宋体" w:cs="宋体"/>
          <w:color w:val="auto"/>
          <w:kern w:val="0"/>
          <w:sz w:val="21"/>
          <w:szCs w:val="21"/>
          <w:highlight w:val="none"/>
          <w:lang w:val="zh-CN"/>
        </w:rPr>
        <w:t>、同类问题表述不一致或者有明显文字和计算错误的内容等作出必要的澄清、说明或者纠正。该要求</w:t>
      </w:r>
      <w:r>
        <w:rPr>
          <w:rFonts w:hint="eastAsia" w:ascii="宋体" w:hAnsi="宋体" w:eastAsia="宋体" w:cs="宋体"/>
          <w:color w:val="auto"/>
          <w:sz w:val="21"/>
          <w:szCs w:val="21"/>
          <w:highlight w:val="none"/>
        </w:rPr>
        <w:t>应当以</w:t>
      </w:r>
      <w:r>
        <w:rPr>
          <w:rFonts w:hint="eastAsia" w:ascii="宋体" w:hAnsi="宋体" w:eastAsia="宋体" w:cs="宋体"/>
          <w:color w:val="auto"/>
          <w:kern w:val="0"/>
          <w:sz w:val="21"/>
          <w:szCs w:val="21"/>
          <w:highlight w:val="none"/>
          <w:lang w:val="zh-CN"/>
        </w:rPr>
        <w:t>书面形式作出。供应商的澄清、说明或者补正应当采用书面形式，由其</w:t>
      </w:r>
      <w:r>
        <w:rPr>
          <w:rFonts w:hint="eastAsia" w:ascii="宋体" w:hAnsi="宋体" w:eastAsia="宋体" w:cs="宋体"/>
          <w:color w:val="auto"/>
          <w:sz w:val="21"/>
          <w:szCs w:val="21"/>
          <w:highlight w:val="none"/>
        </w:rPr>
        <w:t>法定代表人或其授权代表</w:t>
      </w:r>
      <w:r>
        <w:rPr>
          <w:rFonts w:hint="eastAsia" w:ascii="宋体" w:hAnsi="宋体" w:eastAsia="宋体" w:cs="宋体"/>
          <w:bCs/>
          <w:color w:val="auto"/>
          <w:sz w:val="21"/>
          <w:szCs w:val="21"/>
          <w:highlight w:val="none"/>
        </w:rPr>
        <w:t>签字</w:t>
      </w:r>
      <w:r>
        <w:rPr>
          <w:rFonts w:hint="eastAsia" w:ascii="宋体" w:hAnsi="宋体" w:eastAsia="宋体" w:cs="宋体"/>
          <w:color w:val="auto"/>
          <w:kern w:val="0"/>
          <w:sz w:val="21"/>
          <w:szCs w:val="21"/>
          <w:highlight w:val="none"/>
          <w:lang w:val="zh-CN"/>
        </w:rPr>
        <w:t>。供应商的澄清、说明或者更正不得超出磋商文件的范围或者改变响应文件的实质性内容。</w:t>
      </w:r>
    </w:p>
    <w:p>
      <w:pPr>
        <w:pStyle w:val="103"/>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kern w:val="0"/>
          <w:sz w:val="21"/>
          <w:szCs w:val="21"/>
          <w:highlight w:val="none"/>
          <w:lang w:val="zh-CN"/>
        </w:rPr>
        <w:t>计算</w:t>
      </w:r>
      <w:r>
        <w:rPr>
          <w:rFonts w:hint="eastAsia" w:ascii="宋体" w:hAnsi="宋体" w:eastAsia="宋体" w:cs="宋体"/>
          <w:color w:val="auto"/>
          <w:sz w:val="21"/>
          <w:szCs w:val="21"/>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103"/>
        <w:tabs>
          <w:tab w:val="left" w:pos="0"/>
        </w:tabs>
        <w:adjustRightInd w:val="0"/>
        <w:snapToGrid w:val="0"/>
        <w:spacing w:line="400" w:lineRule="exact"/>
        <w:rPr>
          <w:rFonts w:hint="eastAsia" w:ascii="宋体" w:hAnsi="宋体" w:eastAsia="宋体" w:cs="宋体"/>
          <w:bCs/>
          <w:color w:val="auto"/>
          <w:sz w:val="21"/>
          <w:szCs w:val="21"/>
          <w:highlight w:val="none"/>
        </w:rPr>
      </w:pPr>
      <w:bookmarkStart w:id="159" w:name="_Toc8155"/>
      <w:bookmarkStart w:id="160" w:name="_Toc21343"/>
      <w:bookmarkStart w:id="161" w:name="_Toc12755"/>
      <w:r>
        <w:rPr>
          <w:rFonts w:hint="eastAsia" w:ascii="宋体" w:hAnsi="宋体" w:eastAsia="宋体" w:cs="宋体"/>
          <w:b/>
          <w:bCs/>
          <w:color w:val="auto"/>
          <w:sz w:val="21"/>
          <w:szCs w:val="21"/>
          <w:highlight w:val="none"/>
        </w:rPr>
        <w:t>5.4 磋商、最后报价</w:t>
      </w:r>
      <w:bookmarkEnd w:id="159"/>
      <w:bookmarkEnd w:id="160"/>
      <w:bookmarkEnd w:id="161"/>
    </w:p>
    <w:p>
      <w:pPr>
        <w:pStyle w:val="103"/>
        <w:tabs>
          <w:tab w:val="left" w:pos="0"/>
        </w:tabs>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5.4.1</w:t>
      </w:r>
      <w:r>
        <w:rPr>
          <w:rFonts w:hint="eastAsia" w:ascii="宋体" w:hAnsi="宋体" w:eastAsia="宋体" w:cs="宋体"/>
          <w:color w:val="auto"/>
          <w:kern w:val="0"/>
          <w:sz w:val="21"/>
          <w:szCs w:val="21"/>
          <w:highlight w:val="none"/>
          <w:lang w:val="zh-CN"/>
        </w:rPr>
        <w:t>磋商小组所有成员按以下两种情况和程序集中与单一供应商分别进行磋商。并给予所有参加</w:t>
      </w:r>
      <w:r>
        <w:rPr>
          <w:rFonts w:hint="eastAsia" w:ascii="宋体" w:hAnsi="宋体" w:eastAsia="宋体" w:cs="宋体"/>
          <w:bCs/>
          <w:color w:val="auto"/>
          <w:sz w:val="21"/>
          <w:szCs w:val="21"/>
          <w:highlight w:val="none"/>
        </w:rPr>
        <w:t>磋商</w:t>
      </w:r>
      <w:r>
        <w:rPr>
          <w:rFonts w:hint="eastAsia" w:ascii="宋体" w:hAnsi="宋体" w:eastAsia="宋体" w:cs="宋体"/>
          <w:color w:val="auto"/>
          <w:kern w:val="0"/>
          <w:sz w:val="21"/>
          <w:szCs w:val="21"/>
          <w:highlight w:val="none"/>
          <w:lang w:val="zh-CN"/>
        </w:rPr>
        <w:t>的供应商相同的磋商机会。</w:t>
      </w:r>
    </w:p>
    <w:p>
      <w:pPr>
        <w:pStyle w:val="103"/>
        <w:tabs>
          <w:tab w:val="left" w:pos="0"/>
        </w:tabs>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（1）第一种情况</w:t>
      </w:r>
    </w:p>
    <w:p>
      <w:pPr>
        <w:pStyle w:val="103"/>
        <w:tabs>
          <w:tab w:val="left" w:pos="0"/>
        </w:tabs>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eastAsia="宋体" w:cs="宋体"/>
          <w:snapToGrid w:val="0"/>
          <w:color w:val="auto"/>
          <w:kern w:val="0"/>
          <w:sz w:val="21"/>
          <w:szCs w:val="21"/>
          <w:highlight w:val="none"/>
        </w:rPr>
        <w:t>提交最后报价的供应商不得少于3家。</w:t>
      </w:r>
    </w:p>
    <w:p>
      <w:pPr>
        <w:pStyle w:val="103"/>
        <w:tabs>
          <w:tab w:val="left" w:pos="0"/>
        </w:tabs>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（2）第二种情况</w:t>
      </w:r>
    </w:p>
    <w:p>
      <w:pPr>
        <w:pStyle w:val="103"/>
        <w:tabs>
          <w:tab w:val="left" w:pos="0"/>
        </w:tabs>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snapToGrid w:val="0"/>
          <w:color w:val="auto"/>
          <w:kern w:val="0"/>
          <w:sz w:val="21"/>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1"/>
          <w:szCs w:val="21"/>
          <w:highlight w:val="none"/>
        </w:rPr>
        <w:t>最后报价是供应商响应文件的有效组成部分。</w:t>
      </w:r>
    </w:p>
    <w:p>
      <w:pPr>
        <w:pStyle w:val="103"/>
        <w:tabs>
          <w:tab w:val="left" w:pos="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5.4.2</w:t>
      </w:r>
      <w:r>
        <w:rPr>
          <w:rFonts w:hint="eastAsia" w:ascii="宋体" w:hAnsi="宋体" w:eastAsia="宋体" w:cs="宋体"/>
          <w:color w:val="auto"/>
          <w:sz w:val="21"/>
          <w:szCs w:val="21"/>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103"/>
        <w:tabs>
          <w:tab w:val="left" w:pos="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5.4.3已提交响应文件的供应商，在提交最后报价之前，可以根据磋商情况退出磋商。采购机构将退还退出磋商的供应商的磋商保证金。</w:t>
      </w:r>
    </w:p>
    <w:p>
      <w:pPr>
        <w:pStyle w:val="103"/>
        <w:tabs>
          <w:tab w:val="left" w:pos="0"/>
        </w:tabs>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5.4.4磋商轮数和最后</w:t>
      </w:r>
      <w:r>
        <w:rPr>
          <w:rFonts w:hint="eastAsia" w:ascii="宋体" w:hAnsi="宋体" w:eastAsia="宋体" w:cs="宋体"/>
          <w:color w:val="auto"/>
          <w:sz w:val="21"/>
          <w:szCs w:val="21"/>
          <w:highlight w:val="none"/>
        </w:rPr>
        <w:t>报价的要求</w:t>
      </w:r>
      <w:r>
        <w:rPr>
          <w:rFonts w:hint="eastAsia" w:ascii="宋体" w:hAnsi="宋体" w:eastAsia="宋体" w:cs="宋体"/>
          <w:color w:val="auto"/>
          <w:sz w:val="21"/>
          <w:szCs w:val="21"/>
          <w:highlight w:val="none"/>
          <w:lang w:val="zh-CN"/>
        </w:rPr>
        <w:t>见</w:t>
      </w:r>
      <w:r>
        <w:rPr>
          <w:rFonts w:hint="eastAsia" w:ascii="宋体" w:hAnsi="宋体" w:eastAsia="宋体" w:cs="宋体"/>
          <w:b/>
          <w:color w:val="auto"/>
          <w:sz w:val="21"/>
          <w:szCs w:val="21"/>
          <w:highlight w:val="none"/>
          <w:lang w:val="zh-CN"/>
        </w:rPr>
        <w:t>磋商须知前附表。</w:t>
      </w:r>
    </w:p>
    <w:p>
      <w:pPr>
        <w:pStyle w:val="103"/>
        <w:tabs>
          <w:tab w:val="left" w:pos="0"/>
        </w:tabs>
        <w:adjustRightInd w:val="0"/>
        <w:snapToGrid w:val="0"/>
        <w:spacing w:line="400" w:lineRule="exact"/>
        <w:rPr>
          <w:rFonts w:hint="eastAsia" w:ascii="宋体" w:hAnsi="宋体" w:eastAsia="宋体" w:cs="宋体"/>
          <w:b/>
          <w:bCs/>
          <w:color w:val="auto"/>
          <w:sz w:val="21"/>
          <w:szCs w:val="21"/>
          <w:highlight w:val="none"/>
        </w:rPr>
      </w:pPr>
      <w:bookmarkStart w:id="162" w:name="_Toc20927"/>
      <w:bookmarkStart w:id="163" w:name="_Toc8361"/>
      <w:bookmarkStart w:id="164" w:name="_Toc23564"/>
      <w:r>
        <w:rPr>
          <w:rFonts w:hint="eastAsia" w:ascii="宋体" w:hAnsi="宋体" w:eastAsia="宋体" w:cs="宋体"/>
          <w:b/>
          <w:bCs/>
          <w:color w:val="auto"/>
          <w:sz w:val="21"/>
          <w:szCs w:val="21"/>
          <w:highlight w:val="none"/>
        </w:rPr>
        <w:t>5.5综合评审</w:t>
      </w:r>
      <w:bookmarkEnd w:id="162"/>
      <w:bookmarkEnd w:id="163"/>
      <w:bookmarkEnd w:id="164"/>
    </w:p>
    <w:p>
      <w:pPr>
        <w:pStyle w:val="103"/>
        <w:tabs>
          <w:tab w:val="left" w:pos="0"/>
        </w:tabs>
        <w:adjustRightInd w:val="0"/>
        <w:snapToGrid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5.5.1</w:t>
      </w:r>
      <w:r>
        <w:rPr>
          <w:rFonts w:hint="eastAsia" w:ascii="宋体" w:hAnsi="宋体" w:eastAsia="宋体" w:cs="宋体"/>
          <w:bCs/>
          <w:color w:val="auto"/>
          <w:sz w:val="21"/>
          <w:szCs w:val="21"/>
          <w:highlight w:val="none"/>
        </w:rPr>
        <w:t>评审方法</w:t>
      </w:r>
      <w:r>
        <w:rPr>
          <w:rFonts w:hint="eastAsia" w:ascii="宋体" w:hAnsi="宋体" w:eastAsia="宋体" w:cs="宋体"/>
          <w:color w:val="auto"/>
          <w:sz w:val="21"/>
          <w:szCs w:val="21"/>
          <w:highlight w:val="none"/>
        </w:rPr>
        <w:t>：综合评分法，是指响应文件满足磋商文件全部实质性要求且按评审因素的量化指标评审得分最高的供应商为成交候选供应商的评审方法。</w:t>
      </w:r>
    </w:p>
    <w:p>
      <w:pPr>
        <w:pStyle w:val="103"/>
        <w:tabs>
          <w:tab w:val="left" w:pos="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5.5.2磋商小组依据磋商文件及供应商的响应文件</w:t>
      </w:r>
      <w:r>
        <w:rPr>
          <w:rFonts w:hint="eastAsia" w:ascii="宋体" w:hAnsi="宋体" w:eastAsia="宋体" w:cs="宋体"/>
          <w:color w:val="auto"/>
          <w:sz w:val="21"/>
          <w:szCs w:val="21"/>
          <w:highlight w:val="none"/>
        </w:rPr>
        <w:t>和</w:t>
      </w:r>
      <w:r>
        <w:rPr>
          <w:rFonts w:hint="eastAsia" w:ascii="宋体" w:hAnsi="宋体" w:eastAsia="宋体" w:cs="宋体"/>
          <w:color w:val="auto"/>
          <w:kern w:val="0"/>
          <w:sz w:val="21"/>
          <w:szCs w:val="21"/>
          <w:highlight w:val="none"/>
          <w:lang w:val="zh-CN"/>
        </w:rPr>
        <w:t>最后报价</w:t>
      </w:r>
      <w:r>
        <w:rPr>
          <w:rFonts w:hint="eastAsia" w:ascii="宋体" w:hAnsi="宋体" w:eastAsia="宋体" w:cs="宋体"/>
          <w:bCs/>
          <w:color w:val="auto"/>
          <w:sz w:val="21"/>
          <w:szCs w:val="21"/>
          <w:highlight w:val="none"/>
        </w:rPr>
        <w:t>，对响应文件的商务和技术部分进行进一步的比较和评价，详细</w:t>
      </w:r>
      <w:r>
        <w:rPr>
          <w:rFonts w:hint="eastAsia" w:ascii="宋体" w:hAnsi="宋体" w:eastAsia="宋体" w:cs="宋体"/>
          <w:color w:val="auto"/>
          <w:sz w:val="21"/>
          <w:szCs w:val="21"/>
          <w:highlight w:val="none"/>
        </w:rPr>
        <w:t>评审标准见“</w:t>
      </w:r>
      <w:r>
        <w:rPr>
          <w:rFonts w:hint="eastAsia" w:ascii="宋体" w:hAnsi="宋体" w:eastAsia="宋体" w:cs="宋体"/>
          <w:b/>
          <w:bCs/>
          <w:color w:val="auto"/>
          <w:sz w:val="21"/>
          <w:szCs w:val="21"/>
          <w:highlight w:val="none"/>
        </w:rPr>
        <w:t>第三章 评审方法 综合评分细则表</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w:t>
      </w:r>
    </w:p>
    <w:p>
      <w:pPr>
        <w:pStyle w:val="103"/>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103"/>
        <w:tabs>
          <w:tab w:val="left" w:pos="0"/>
        </w:tabs>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103"/>
        <w:tabs>
          <w:tab w:val="left" w:pos="0"/>
        </w:tabs>
        <w:adjustRightInd w:val="0"/>
        <w:snapToGrid w:val="0"/>
        <w:spacing w:line="400" w:lineRule="exact"/>
        <w:rPr>
          <w:rFonts w:hint="eastAsia" w:ascii="宋体" w:hAnsi="宋体" w:eastAsia="宋体" w:cs="宋体"/>
          <w:b/>
          <w:bCs/>
          <w:color w:val="auto"/>
          <w:sz w:val="21"/>
          <w:szCs w:val="21"/>
          <w:highlight w:val="none"/>
        </w:rPr>
      </w:pPr>
      <w:bookmarkStart w:id="165" w:name="_Toc23128"/>
      <w:bookmarkStart w:id="166" w:name="_Toc5233"/>
      <w:bookmarkStart w:id="167" w:name="_Toc17930"/>
      <w:r>
        <w:rPr>
          <w:rFonts w:hint="eastAsia" w:ascii="宋体" w:hAnsi="宋体" w:eastAsia="宋体" w:cs="宋体"/>
          <w:b/>
          <w:bCs/>
          <w:color w:val="auto"/>
          <w:sz w:val="21"/>
          <w:szCs w:val="21"/>
          <w:highlight w:val="none"/>
        </w:rPr>
        <w:t>5.6成交原则</w:t>
      </w:r>
      <w:bookmarkEnd w:id="165"/>
      <w:bookmarkEnd w:id="166"/>
      <w:bookmarkEnd w:id="167"/>
    </w:p>
    <w:p>
      <w:pPr>
        <w:pStyle w:val="103"/>
        <w:tabs>
          <w:tab w:val="left" w:pos="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对经比较和评价符合磋商文件要求的供应商，按照综合评审得分由高到低顺序推荐</w:t>
      </w:r>
      <w:r>
        <w:rPr>
          <w:rFonts w:hint="eastAsia" w:ascii="宋体" w:hAnsi="宋体" w:eastAsia="宋体" w:cs="宋体"/>
          <w:b/>
          <w:bCs/>
          <w:color w:val="auto"/>
          <w:sz w:val="21"/>
          <w:szCs w:val="21"/>
          <w:highlight w:val="none"/>
        </w:rPr>
        <w:t>磋商须知前附表</w:t>
      </w:r>
      <w:r>
        <w:rPr>
          <w:rFonts w:hint="eastAsia" w:ascii="宋体" w:hAnsi="宋体" w:eastAsia="宋体" w:cs="宋体"/>
          <w:bCs/>
          <w:color w:val="auto"/>
          <w:sz w:val="21"/>
          <w:szCs w:val="21"/>
          <w:highlight w:val="none"/>
        </w:rPr>
        <w:t>规定数量的成交候选</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并确定排名第一的</w:t>
      </w:r>
      <w:r>
        <w:rPr>
          <w:rFonts w:hint="eastAsia" w:ascii="宋体" w:hAnsi="宋体" w:eastAsia="宋体" w:cs="宋体"/>
          <w:color w:val="auto"/>
          <w:kern w:val="0"/>
          <w:sz w:val="21"/>
          <w:szCs w:val="21"/>
          <w:highlight w:val="none"/>
          <w:lang w:val="zh-CN"/>
        </w:rPr>
        <w:t>成交候选</w:t>
      </w:r>
      <w:r>
        <w:rPr>
          <w:rFonts w:hint="eastAsia" w:ascii="宋体" w:hAnsi="宋体" w:eastAsia="宋体" w:cs="宋体"/>
          <w:bCs/>
          <w:color w:val="auto"/>
          <w:sz w:val="21"/>
          <w:szCs w:val="21"/>
          <w:highlight w:val="none"/>
        </w:rPr>
        <w:t>供应商为成交供应商</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lang w:val="zh-CN"/>
        </w:rPr>
        <w:t>如报价</w:t>
      </w:r>
      <w:r>
        <w:rPr>
          <w:rFonts w:hint="eastAsia" w:ascii="宋体" w:hAnsi="宋体" w:eastAsia="宋体" w:cs="宋体"/>
          <w:color w:val="auto"/>
          <w:sz w:val="21"/>
          <w:szCs w:val="21"/>
          <w:highlight w:val="none"/>
        </w:rPr>
        <w:t>相同，由磋商小组按技术指标、实力等综合因素优劣排列。</w:t>
      </w:r>
    </w:p>
    <w:p>
      <w:pPr>
        <w:pStyle w:val="111"/>
        <w:adjustRightInd w:val="0"/>
        <w:snapToGrid w:val="0"/>
        <w:spacing w:line="400" w:lineRule="exact"/>
        <w:ind w:left="602" w:hanging="632" w:hangingChars="300"/>
        <w:rPr>
          <w:rFonts w:hint="eastAsia" w:ascii="宋体" w:hAnsi="宋体" w:eastAsia="宋体" w:cs="宋体"/>
          <w:b/>
          <w:color w:val="auto"/>
          <w:sz w:val="21"/>
          <w:szCs w:val="21"/>
          <w:highlight w:val="none"/>
        </w:rPr>
      </w:pPr>
      <w:bookmarkStart w:id="168" w:name="_Toc25082"/>
      <w:bookmarkStart w:id="169" w:name="_Toc20237"/>
      <w:bookmarkStart w:id="170" w:name="_Toc14273"/>
      <w:r>
        <w:rPr>
          <w:rFonts w:hint="eastAsia" w:ascii="宋体" w:hAnsi="宋体" w:eastAsia="宋体" w:cs="宋体"/>
          <w:b/>
          <w:color w:val="auto"/>
          <w:sz w:val="21"/>
          <w:szCs w:val="21"/>
          <w:highlight w:val="none"/>
        </w:rPr>
        <w:t>5.7 磋商的特殊情形</w:t>
      </w:r>
      <w:bookmarkEnd w:id="168"/>
      <w:bookmarkEnd w:id="169"/>
      <w:bookmarkEnd w:id="170"/>
    </w:p>
    <w:p>
      <w:pPr>
        <w:pStyle w:val="103"/>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5.7.1递交响应文件的供应商不足三家的，不开启响应文件，除采购任务取消外。</w:t>
      </w:r>
    </w:p>
    <w:p>
      <w:pPr>
        <w:pStyle w:val="103"/>
        <w:adjustRightInd w:val="0"/>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5.7.2对磋商文件作出实质性响应的供应商不足三家，应按财政部的相关法律法规的相关规定执行。</w:t>
      </w:r>
    </w:p>
    <w:p>
      <w:pPr>
        <w:pStyle w:val="103"/>
        <w:spacing w:line="400" w:lineRule="exact"/>
        <w:rPr>
          <w:rFonts w:hint="eastAsia" w:ascii="宋体" w:hAnsi="宋体" w:eastAsia="宋体" w:cs="宋体"/>
          <w:color w:val="auto"/>
          <w:sz w:val="21"/>
          <w:szCs w:val="21"/>
          <w:highlight w:val="none"/>
        </w:rPr>
      </w:pPr>
      <w:bookmarkStart w:id="171" w:name="_Toc14432"/>
      <w:bookmarkStart w:id="172" w:name="_Toc21319"/>
      <w:bookmarkStart w:id="173" w:name="_Toc8101"/>
      <w:r>
        <w:rPr>
          <w:rFonts w:hint="eastAsia" w:ascii="宋体" w:hAnsi="宋体" w:eastAsia="宋体" w:cs="宋体"/>
          <w:b/>
          <w:color w:val="auto"/>
          <w:sz w:val="21"/>
          <w:szCs w:val="21"/>
          <w:highlight w:val="none"/>
        </w:rPr>
        <w:t>5.8采用不见面磋商方式的其他说明</w:t>
      </w:r>
      <w:bookmarkEnd w:id="171"/>
      <w:bookmarkEnd w:id="172"/>
      <w:bookmarkEnd w:id="173"/>
    </w:p>
    <w:p>
      <w:pPr>
        <w:pStyle w:val="111"/>
        <w:adjustRightInd w:val="0"/>
        <w:snapToGrid w:val="0"/>
        <w:spacing w:line="400" w:lineRule="exact"/>
        <w:ind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或采购代理机构</w:t>
      </w:r>
      <w:r>
        <w:rPr>
          <w:rFonts w:hint="eastAsia" w:ascii="宋体" w:hAnsi="宋体" w:eastAsia="宋体" w:cs="宋体"/>
          <w:color w:val="auto"/>
          <w:sz w:val="21"/>
          <w:szCs w:val="21"/>
          <w:highlight w:val="none"/>
        </w:rPr>
        <w:t>在本章规定的</w:t>
      </w:r>
      <w:r>
        <w:rPr>
          <w:rFonts w:hint="eastAsia" w:ascii="宋体" w:hAnsi="宋体" w:eastAsia="宋体" w:cs="宋体"/>
          <w:color w:val="auto"/>
          <w:sz w:val="21"/>
          <w:szCs w:val="21"/>
          <w:highlight w:val="none"/>
          <w:lang w:eastAsia="zh-CN"/>
        </w:rPr>
        <w:t>递交响应文件截止时间</w:t>
      </w:r>
      <w:r>
        <w:rPr>
          <w:rFonts w:hint="eastAsia" w:ascii="宋体" w:hAnsi="宋体" w:eastAsia="宋体" w:cs="宋体"/>
          <w:color w:val="auto"/>
          <w:sz w:val="21"/>
          <w:szCs w:val="21"/>
          <w:highlight w:val="none"/>
        </w:rPr>
        <w:t>（开标时间）和磋商须知前附表规定的地点开标。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的法定代表人或其委托代理人无需到达开标现场，仅需在任意地点通过政采云不见面开标系统，使用CA密钥完成远程解密、提疑澄清、开标唱标、结果公布等交互环节。</w:t>
      </w:r>
    </w:p>
    <w:p>
      <w:pPr>
        <w:pStyle w:val="111"/>
        <w:adjustRightInd w:val="0"/>
        <w:snapToGrid w:val="0"/>
        <w:spacing w:line="400" w:lineRule="exact"/>
        <w:ind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法定代表人或法定代表人授权委托人参与远程交互，中途不得更换，在废标、澄清、提疑、传送文件等特殊情况下需要交互时，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一端参与交互的人员将均被视为是法定代表人或其委托代理人，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不得以不承认交互人员的资格或身份等为借口推脱，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自行承担随意更换人员所导致的一切后果。</w:t>
      </w:r>
    </w:p>
    <w:p>
      <w:pPr>
        <w:pStyle w:val="99"/>
        <w:spacing w:line="400" w:lineRule="exact"/>
        <w:jc w:val="center"/>
        <w:rPr>
          <w:rFonts w:hint="eastAsia" w:ascii="宋体" w:hAnsi="宋体" w:eastAsia="宋体" w:cs="宋体"/>
          <w:b/>
          <w:bCs/>
          <w:color w:val="auto"/>
          <w:sz w:val="21"/>
          <w:szCs w:val="21"/>
          <w:highlight w:val="none"/>
        </w:rPr>
      </w:pPr>
      <w:bookmarkStart w:id="174" w:name="_Toc28546"/>
      <w:bookmarkStart w:id="175" w:name="_Toc1487"/>
      <w:bookmarkStart w:id="176" w:name="_Toc23479"/>
      <w:bookmarkStart w:id="177" w:name="_Toc20769"/>
      <w:bookmarkStart w:id="178" w:name="_Toc26205"/>
      <w:bookmarkStart w:id="179" w:name="_Toc13595"/>
      <w:bookmarkStart w:id="180" w:name="_Toc3397"/>
      <w:r>
        <w:rPr>
          <w:rFonts w:hint="eastAsia" w:ascii="宋体" w:hAnsi="宋体" w:eastAsia="宋体" w:cs="宋体"/>
          <w:b/>
          <w:bCs/>
          <w:color w:val="auto"/>
          <w:sz w:val="21"/>
          <w:szCs w:val="21"/>
          <w:highlight w:val="none"/>
        </w:rPr>
        <w:t>六、成交结果及合同授予</w:t>
      </w:r>
      <w:bookmarkEnd w:id="174"/>
      <w:bookmarkEnd w:id="175"/>
      <w:bookmarkEnd w:id="176"/>
      <w:bookmarkEnd w:id="177"/>
      <w:bookmarkEnd w:id="178"/>
      <w:bookmarkEnd w:id="179"/>
      <w:bookmarkEnd w:id="180"/>
    </w:p>
    <w:p>
      <w:pPr>
        <w:pStyle w:val="103"/>
        <w:adjustRightInd w:val="0"/>
        <w:snapToGrid w:val="0"/>
        <w:spacing w:line="400" w:lineRule="exact"/>
        <w:rPr>
          <w:rFonts w:hint="eastAsia" w:ascii="宋体" w:hAnsi="宋体" w:eastAsia="宋体" w:cs="宋体"/>
          <w:b/>
          <w:bCs/>
          <w:color w:val="auto"/>
          <w:sz w:val="21"/>
          <w:szCs w:val="21"/>
          <w:highlight w:val="none"/>
        </w:rPr>
      </w:pPr>
      <w:bookmarkStart w:id="181" w:name="_Toc24672"/>
      <w:bookmarkStart w:id="182" w:name="_Toc26215"/>
      <w:bookmarkStart w:id="183" w:name="_Toc4312"/>
      <w:r>
        <w:rPr>
          <w:rFonts w:hint="eastAsia" w:ascii="宋体" w:hAnsi="宋体" w:eastAsia="宋体" w:cs="宋体"/>
          <w:b/>
          <w:bCs/>
          <w:color w:val="auto"/>
          <w:sz w:val="21"/>
          <w:szCs w:val="21"/>
          <w:highlight w:val="none"/>
        </w:rPr>
        <w:t>6.1成交结果</w:t>
      </w:r>
      <w:bookmarkEnd w:id="181"/>
      <w:bookmarkEnd w:id="182"/>
      <w:bookmarkEnd w:id="183"/>
    </w:p>
    <w:p>
      <w:pPr>
        <w:pStyle w:val="111"/>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磋商结束后，成交结果信息将在</w:t>
      </w:r>
      <w:r>
        <w:rPr>
          <w:rFonts w:hint="eastAsia" w:ascii="宋体" w:hAnsi="宋体" w:eastAsia="宋体" w:cs="宋体"/>
          <w:b/>
          <w:color w:val="auto"/>
          <w:sz w:val="21"/>
          <w:szCs w:val="21"/>
          <w:highlight w:val="none"/>
        </w:rPr>
        <w:t>磋商须知前附表</w:t>
      </w:r>
      <w:r>
        <w:rPr>
          <w:rFonts w:hint="eastAsia" w:ascii="宋体" w:hAnsi="宋体" w:eastAsia="宋体" w:cs="宋体"/>
          <w:color w:val="auto"/>
          <w:sz w:val="21"/>
          <w:szCs w:val="21"/>
          <w:highlight w:val="none"/>
        </w:rPr>
        <w:t>规定的媒体上公布。</w:t>
      </w:r>
      <w:r>
        <w:rPr>
          <w:rFonts w:hint="eastAsia" w:ascii="宋体" w:hAnsi="宋体" w:eastAsia="宋体" w:cs="宋体"/>
          <w:color w:val="auto"/>
          <w:sz w:val="21"/>
          <w:szCs w:val="21"/>
          <w:highlight w:val="none"/>
          <w:lang w:val="zh-CN"/>
        </w:rPr>
        <w:t>同时向成交供应商发出成交通知书，该通知书将是合同的组成部分。</w:t>
      </w:r>
    </w:p>
    <w:p>
      <w:pPr>
        <w:pStyle w:val="103"/>
        <w:adjustRightInd w:val="0"/>
        <w:snapToGrid w:val="0"/>
        <w:spacing w:line="400" w:lineRule="exact"/>
        <w:rPr>
          <w:rFonts w:hint="eastAsia" w:ascii="宋体" w:hAnsi="宋体" w:eastAsia="宋体" w:cs="宋体"/>
          <w:b/>
          <w:bCs/>
          <w:color w:val="auto"/>
          <w:sz w:val="21"/>
          <w:szCs w:val="21"/>
          <w:highlight w:val="none"/>
        </w:rPr>
      </w:pPr>
      <w:bookmarkStart w:id="184" w:name="_Toc24060"/>
      <w:bookmarkStart w:id="185" w:name="_Toc17269"/>
      <w:bookmarkStart w:id="186" w:name="_Toc29761"/>
      <w:r>
        <w:rPr>
          <w:rFonts w:hint="eastAsia" w:ascii="宋体" w:hAnsi="宋体" w:eastAsia="宋体" w:cs="宋体"/>
          <w:b/>
          <w:bCs/>
          <w:color w:val="auto"/>
          <w:sz w:val="21"/>
          <w:szCs w:val="21"/>
          <w:highlight w:val="none"/>
        </w:rPr>
        <w:t>6.2签订合同</w:t>
      </w:r>
      <w:bookmarkEnd w:id="184"/>
      <w:bookmarkEnd w:id="185"/>
      <w:bookmarkEnd w:id="186"/>
    </w:p>
    <w:p>
      <w:pPr>
        <w:pStyle w:val="103"/>
        <w:autoSpaceDE w:val="0"/>
        <w:autoSpaceDN w:val="0"/>
        <w:adjustRightInd w:val="0"/>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6.2.1 成交供应商应按成交通知书规定的时间、地点与采购人签订书面合同。</w:t>
      </w:r>
    </w:p>
    <w:p>
      <w:pPr>
        <w:pStyle w:val="103"/>
        <w:autoSpaceDE w:val="0"/>
        <w:autoSpaceDN w:val="0"/>
        <w:adjustRightInd w:val="0"/>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6.2.2 </w:t>
      </w:r>
      <w:r>
        <w:rPr>
          <w:rFonts w:hint="eastAsia" w:ascii="宋体" w:hAnsi="宋体" w:eastAsia="宋体" w:cs="宋体"/>
          <w:color w:val="auto"/>
          <w:sz w:val="21"/>
          <w:szCs w:val="21"/>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103"/>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99"/>
        <w:spacing w:line="400" w:lineRule="exact"/>
        <w:jc w:val="center"/>
        <w:rPr>
          <w:rFonts w:hint="eastAsia" w:ascii="宋体" w:hAnsi="宋体" w:eastAsia="宋体" w:cs="宋体"/>
          <w:b/>
          <w:bCs/>
          <w:color w:val="auto"/>
          <w:sz w:val="21"/>
          <w:szCs w:val="21"/>
          <w:highlight w:val="none"/>
        </w:rPr>
      </w:pPr>
      <w:bookmarkStart w:id="187" w:name="_Toc24528"/>
      <w:bookmarkStart w:id="188" w:name="_Toc23288"/>
      <w:bookmarkStart w:id="189" w:name="_Toc24738"/>
      <w:bookmarkStart w:id="190" w:name="_Toc29812"/>
      <w:bookmarkStart w:id="191" w:name="_Toc32267"/>
      <w:bookmarkStart w:id="192" w:name="_Toc15799"/>
      <w:bookmarkStart w:id="193" w:name="_Toc23781"/>
      <w:r>
        <w:rPr>
          <w:rFonts w:hint="eastAsia" w:ascii="宋体" w:hAnsi="宋体" w:eastAsia="宋体" w:cs="宋体"/>
          <w:b/>
          <w:bCs/>
          <w:color w:val="auto"/>
          <w:sz w:val="21"/>
          <w:szCs w:val="21"/>
          <w:highlight w:val="none"/>
        </w:rPr>
        <w:t>七、质疑与投诉</w:t>
      </w:r>
      <w:bookmarkEnd w:id="187"/>
      <w:bookmarkEnd w:id="188"/>
      <w:bookmarkEnd w:id="189"/>
      <w:bookmarkEnd w:id="190"/>
      <w:bookmarkEnd w:id="191"/>
      <w:bookmarkEnd w:id="192"/>
      <w:bookmarkEnd w:id="193"/>
    </w:p>
    <w:p>
      <w:pPr>
        <w:pStyle w:val="103"/>
        <w:adjustRightInd w:val="0"/>
        <w:snapToGrid w:val="0"/>
        <w:spacing w:line="400" w:lineRule="exact"/>
        <w:ind w:firstLine="422" w:firstLineChars="200"/>
        <w:jc w:val="left"/>
        <w:rPr>
          <w:rFonts w:hint="eastAsia" w:ascii="宋体" w:hAnsi="宋体" w:eastAsia="宋体" w:cs="宋体"/>
          <w:b/>
          <w:bCs/>
          <w:color w:val="auto"/>
          <w:sz w:val="21"/>
          <w:szCs w:val="21"/>
          <w:highlight w:val="none"/>
        </w:rPr>
      </w:pPr>
      <w:bookmarkStart w:id="194" w:name="_Toc293738998"/>
      <w:r>
        <w:rPr>
          <w:rFonts w:hint="eastAsia" w:ascii="宋体" w:hAnsi="宋体" w:eastAsia="宋体" w:cs="宋体"/>
          <w:b/>
          <w:bCs/>
          <w:color w:val="auto"/>
          <w:sz w:val="21"/>
          <w:szCs w:val="21"/>
          <w:highlight w:val="none"/>
        </w:rPr>
        <w:t>7</w:t>
      </w:r>
      <w:bookmarkEnd w:id="194"/>
      <w:r>
        <w:rPr>
          <w:rFonts w:hint="eastAsia" w:ascii="宋体" w:hAnsi="宋体" w:eastAsia="宋体" w:cs="宋体"/>
          <w:b/>
          <w:bCs/>
          <w:color w:val="auto"/>
          <w:sz w:val="21"/>
          <w:szCs w:val="21"/>
          <w:highlight w:val="none"/>
        </w:rPr>
        <w:t>.1质疑</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7.1.1供应商提出质疑应当符合以下条件：</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如果供应商对此次采购活动有疑问，可依据《中华人民共和国政府采购法》、《政府采购质疑和投诉办法》等相关规定，以书面形式向采购人或代理机构提出质疑。质疑书应当包括下列主要内容：</w:t>
      </w:r>
    </w:p>
    <w:p>
      <w:pPr>
        <w:pStyle w:val="103"/>
        <w:numPr>
          <w:ilvl w:val="0"/>
          <w:numId w:val="3"/>
        </w:num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质疑人的名称、地址、邮编、联系人及联系电话；</w:t>
      </w:r>
    </w:p>
    <w:p>
      <w:pPr>
        <w:pStyle w:val="103"/>
        <w:numPr>
          <w:ilvl w:val="0"/>
          <w:numId w:val="3"/>
        </w:num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质疑项目的名称、编号；</w:t>
      </w:r>
    </w:p>
    <w:p>
      <w:pPr>
        <w:pStyle w:val="103"/>
        <w:numPr>
          <w:ilvl w:val="0"/>
          <w:numId w:val="3"/>
        </w:num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具体、明确的质疑事项和与质疑事项相关的请求；</w:t>
      </w:r>
    </w:p>
    <w:p>
      <w:pPr>
        <w:pStyle w:val="103"/>
        <w:numPr>
          <w:ilvl w:val="0"/>
          <w:numId w:val="3"/>
        </w:num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pPr>
        <w:pStyle w:val="103"/>
        <w:numPr>
          <w:ilvl w:val="0"/>
          <w:numId w:val="3"/>
        </w:num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必要的法律依据；</w:t>
      </w:r>
    </w:p>
    <w:p>
      <w:pPr>
        <w:pStyle w:val="103"/>
        <w:numPr>
          <w:ilvl w:val="0"/>
          <w:numId w:val="3"/>
        </w:num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质疑人法人签章和单位公章；</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（7）以联合体形式参与资格预审的，则必须联合体各方共同签署、盖章；</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（8）提起质疑的日期。</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特注：未按上述程序规定的必备内容进行质疑的，采购人或采购代理机构不予受理。</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质疑人为自然人的，应当由本人签字并附有效身份证明；质疑人为法人或者其他组织的，应当由法定代表人、主要负责人或者其授权代表签字或盖章，并加盖公章，同时一并提交营业执照和法定代表人或者主要负责人有效身份证明。无法提供证件原件的，应当提供真实有效的复印件，并签字或者盖章。</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7.1.4被质疑人应当在收到质疑函后7个工作日内作出答复，并以书面形式通知质疑人和其他有关供应商，答复内容仅限于供应商所质疑的内容，不得涉及国家秘密和商业秘密。</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7.1.5质疑答复应当包括下列内容：</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（1）质疑供应商的姓名或者名称；</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（2）收到质疑函的日期、质疑项目名称及编号：</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（3）质疑事项、质疑答复的具体内容、事实依据和法律依据；</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（4）告知质疑供应商依法投诉的权利；</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（5）质疑答复人名称：</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（6）答复质疑的日期。</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质疑答复的内容不得涉及商业秘密。</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7.1.6采购人、采购代理机构认为供应商质疑不成立，或者成立但未对中标、成交结果构成影响的，继续开展采购活动；认为供应商质疑成立且影响或者可能影响中标、成交结果的，按照下列情况处理：</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（1）对采购文件提出的质疑，依法通过澄清或者修改可以继续开展采购活动的，澄清或者修改采购文件后继续开展采购活动；否则应当修改采购文件后重新开展采购活动。</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质疑答复导致中标、成交结果改变的，采购人或者采购代理机构应当将有关情况书面报告本级财政部门。</w:t>
      </w:r>
    </w:p>
    <w:p>
      <w:pPr>
        <w:pStyle w:val="103"/>
        <w:adjustRightInd w:val="0"/>
        <w:snapToGrid w:val="0"/>
        <w:spacing w:line="400" w:lineRule="exact"/>
        <w:ind w:firstLine="422" w:firstLineChars="200"/>
        <w:jc w:val="left"/>
        <w:rPr>
          <w:rFonts w:hint="eastAsia" w:ascii="宋体" w:hAnsi="宋体" w:eastAsia="宋体" w:cs="宋体"/>
          <w:b/>
          <w:bCs/>
          <w:color w:val="auto"/>
          <w:sz w:val="21"/>
          <w:szCs w:val="21"/>
          <w:highlight w:val="none"/>
        </w:rPr>
      </w:pPr>
      <w:bookmarkStart w:id="195" w:name="_Toc9365"/>
      <w:bookmarkEnd w:id="195"/>
      <w:bookmarkStart w:id="196" w:name="_Toc450546725"/>
      <w:bookmarkEnd w:id="196"/>
      <w:bookmarkStart w:id="197" w:name="_Toc456336161"/>
      <w:bookmarkEnd w:id="197"/>
      <w:bookmarkStart w:id="198" w:name="_Toc483174929"/>
      <w:r>
        <w:rPr>
          <w:rFonts w:hint="eastAsia" w:ascii="宋体" w:hAnsi="宋体" w:eastAsia="宋体" w:cs="宋体"/>
          <w:b/>
          <w:bCs/>
          <w:color w:val="auto"/>
          <w:sz w:val="21"/>
          <w:szCs w:val="21"/>
          <w:highlight w:val="none"/>
        </w:rPr>
        <w:t>7</w:t>
      </w:r>
      <w:bookmarkEnd w:id="198"/>
      <w:r>
        <w:rPr>
          <w:rFonts w:hint="eastAsia" w:ascii="宋体" w:hAnsi="宋体" w:eastAsia="宋体" w:cs="宋体"/>
          <w:b/>
          <w:bCs/>
          <w:color w:val="auto"/>
          <w:sz w:val="21"/>
          <w:szCs w:val="21"/>
          <w:highlight w:val="none"/>
        </w:rPr>
        <w:t>.2投诉</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7.2.1质疑人如对被质疑人的质疑回复不满意或未在规定时间内做出答复的，可以在答复期满后15个工作日内向本项目管辖内的政府采购监督部门提起投诉。</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7.2.2投诉人投诉时，应当提交投诉书和必要的证明材料，并按照被投诉采购人、采购代理机构（以下简称被投诉人）和与投诉事项有关的供应商数量提供投诉书的副本。</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7.2.3投诉人提起投诉应符合以下条件：</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(1)投诉人应是参与本项目的供应商；</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(2)提出投诉前已依法进行质疑；</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(3)投诉书内容符合中华人民共和国财政部94号令《政府采购质疑和投诉办法》的规定；</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(4)在投诉有效期限内提起投诉；</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(5)同一投诉事项未经财政部门投诉处理；</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(6)相关法律、法规和省级以上人民政府财政部门规定的其他条件。</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7.2.4供应商投诉时，应当当面提交投诉书，投诉书应当包括下列主要内容：</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（1）投诉人和被投诉人的姓名或者名称、通讯地址、邮编、联系人及联系电话；</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（2）质疑和质疑答复情况说明及相关证明材料；</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（3）具体、明确的投诉事项和与投诉事项相关的投诉请求</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（4）事实根据；</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（5）法律依据；</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（6）提起投诉的日期。</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投诉人为自然人的，应当由本人签字。投诉人为法人或者其他组织的，应当由法定代表人、主要负责人或者其授权代表签字或盖章，并加盖单位公章。</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7.2.5投诉人可以授权代理人办理投诉事务。代理人办理投诉事务时，除提交投诉书外，还应当向监督部门提交投诉人的授权委托书，授权委托书应当载明委托代理的具体权限和事项。</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7.2.6投诉人投诉的事项不得超出已质疑事项的范围，但基于质疑答复内容提出的投诉事项除外；投诉人的投诉不符合上述规定提起的投诉，政府采购监督部门不予受理。</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7.3投诉处理：财政部门收到投诉书后，应当在5个工作日内进行审查处理。</w:t>
      </w:r>
    </w:p>
    <w:p>
      <w:pPr>
        <w:pStyle w:val="99"/>
        <w:spacing w:line="400" w:lineRule="exact"/>
        <w:jc w:val="center"/>
        <w:rPr>
          <w:rFonts w:hint="eastAsia" w:ascii="宋体" w:hAnsi="宋体" w:eastAsia="宋体" w:cs="宋体"/>
          <w:b/>
          <w:bCs/>
          <w:color w:val="auto"/>
          <w:sz w:val="21"/>
          <w:szCs w:val="21"/>
          <w:highlight w:val="none"/>
        </w:rPr>
      </w:pPr>
      <w:bookmarkStart w:id="199" w:name="_Toc13384"/>
      <w:bookmarkStart w:id="200" w:name="_Toc13103"/>
      <w:bookmarkStart w:id="201" w:name="_Toc25796"/>
      <w:bookmarkStart w:id="202" w:name="_Toc22227"/>
      <w:bookmarkStart w:id="203" w:name="_Toc4749"/>
      <w:bookmarkStart w:id="204" w:name="_Toc12729"/>
      <w:bookmarkStart w:id="205" w:name="_Toc11558"/>
      <w:r>
        <w:rPr>
          <w:rFonts w:hint="eastAsia" w:ascii="宋体" w:hAnsi="宋体" w:eastAsia="宋体" w:cs="宋体"/>
          <w:b/>
          <w:bCs/>
          <w:color w:val="auto"/>
          <w:sz w:val="21"/>
          <w:szCs w:val="21"/>
          <w:highlight w:val="none"/>
        </w:rPr>
        <w:t>八、项目验收</w:t>
      </w:r>
      <w:bookmarkEnd w:id="199"/>
      <w:bookmarkEnd w:id="200"/>
      <w:bookmarkEnd w:id="201"/>
      <w:bookmarkEnd w:id="202"/>
      <w:bookmarkEnd w:id="203"/>
      <w:bookmarkEnd w:id="204"/>
      <w:bookmarkEnd w:id="205"/>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8.1采购单位按照政府采购合同规定的技术、服务、安全标准对供应商履约情况进行验收，并出具验收书。验收书包括每一项技术、服务、安全标准的履约情况。</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8.2验收标准:磋商文件、响应文件、政府采购合同规定的标准。</w:t>
      </w:r>
    </w:p>
    <w:p>
      <w:pPr>
        <w:pStyle w:val="99"/>
        <w:spacing w:line="400" w:lineRule="exact"/>
        <w:jc w:val="center"/>
        <w:rPr>
          <w:rFonts w:hint="eastAsia" w:ascii="宋体" w:hAnsi="宋体" w:eastAsia="宋体" w:cs="宋体"/>
          <w:b/>
          <w:bCs/>
          <w:color w:val="auto"/>
          <w:sz w:val="21"/>
          <w:szCs w:val="21"/>
          <w:highlight w:val="none"/>
        </w:rPr>
      </w:pPr>
      <w:bookmarkStart w:id="206" w:name="_Toc6671"/>
      <w:bookmarkEnd w:id="206"/>
      <w:bookmarkStart w:id="207" w:name="_Toc28499"/>
      <w:bookmarkEnd w:id="207"/>
      <w:bookmarkStart w:id="208" w:name="_Toc293736018"/>
      <w:bookmarkEnd w:id="208"/>
      <w:bookmarkStart w:id="209" w:name="_Toc446599318"/>
      <w:bookmarkEnd w:id="209"/>
      <w:bookmarkStart w:id="210" w:name="_Toc293738999"/>
      <w:bookmarkEnd w:id="210"/>
      <w:bookmarkStart w:id="211" w:name="_Toc293736061"/>
      <w:bookmarkEnd w:id="211"/>
      <w:bookmarkStart w:id="212" w:name="_Toc27357"/>
      <w:bookmarkStart w:id="213" w:name="_Toc2870"/>
      <w:bookmarkStart w:id="214" w:name="_Toc31046"/>
      <w:bookmarkStart w:id="215" w:name="_Toc2397"/>
      <w:bookmarkStart w:id="216" w:name="_Toc28744"/>
      <w:bookmarkStart w:id="217" w:name="_Toc14200"/>
      <w:bookmarkStart w:id="218" w:name="_Toc6607"/>
      <w:r>
        <w:rPr>
          <w:rFonts w:hint="eastAsia" w:ascii="宋体" w:hAnsi="宋体" w:eastAsia="宋体" w:cs="宋体"/>
          <w:b/>
          <w:bCs/>
          <w:color w:val="auto"/>
          <w:sz w:val="21"/>
          <w:szCs w:val="21"/>
          <w:highlight w:val="none"/>
        </w:rPr>
        <w:t>九、适用法律</w:t>
      </w:r>
      <w:bookmarkEnd w:id="212"/>
      <w:bookmarkEnd w:id="213"/>
      <w:bookmarkEnd w:id="214"/>
      <w:bookmarkEnd w:id="215"/>
      <w:bookmarkEnd w:id="216"/>
      <w:bookmarkEnd w:id="217"/>
      <w:bookmarkEnd w:id="218"/>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9.1招标采购单位和供应商的一切采购活动均适用于《政府采购法》、《政府采购实施条例》、《政府采购竞争性磋商采购方式管理办法》等相关规定。</w:t>
      </w:r>
    </w:p>
    <w:p>
      <w:pPr>
        <w:pStyle w:val="99"/>
        <w:spacing w:line="400" w:lineRule="exact"/>
        <w:jc w:val="center"/>
        <w:rPr>
          <w:rFonts w:hint="eastAsia" w:ascii="宋体" w:hAnsi="宋体" w:eastAsia="宋体" w:cs="宋体"/>
          <w:b/>
          <w:bCs/>
          <w:color w:val="auto"/>
          <w:sz w:val="21"/>
          <w:szCs w:val="21"/>
          <w:highlight w:val="none"/>
        </w:rPr>
      </w:pPr>
      <w:bookmarkStart w:id="219" w:name="_Toc26356"/>
      <w:bookmarkEnd w:id="219"/>
      <w:bookmarkStart w:id="220" w:name="_Toc437611460"/>
      <w:bookmarkEnd w:id="220"/>
      <w:bookmarkStart w:id="221" w:name="_Toc446599319"/>
      <w:bookmarkEnd w:id="221"/>
      <w:bookmarkStart w:id="222" w:name="_Toc21968"/>
      <w:bookmarkEnd w:id="222"/>
      <w:bookmarkStart w:id="223" w:name="_Toc278891599"/>
      <w:bookmarkEnd w:id="223"/>
      <w:bookmarkStart w:id="224" w:name="_Toc272247702"/>
      <w:bookmarkEnd w:id="224"/>
      <w:bookmarkStart w:id="225" w:name="_Toc8808"/>
      <w:bookmarkStart w:id="226" w:name="_Toc14912"/>
      <w:bookmarkStart w:id="227" w:name="_Toc22853"/>
      <w:bookmarkStart w:id="228" w:name="_Toc8918"/>
      <w:bookmarkStart w:id="229" w:name="_Toc28098"/>
      <w:bookmarkStart w:id="230" w:name="_Toc12977"/>
      <w:bookmarkStart w:id="231" w:name="_Toc30790"/>
      <w:r>
        <w:rPr>
          <w:rFonts w:hint="eastAsia" w:ascii="宋体" w:hAnsi="宋体" w:eastAsia="宋体" w:cs="宋体"/>
          <w:b/>
          <w:bCs/>
          <w:color w:val="auto"/>
          <w:sz w:val="21"/>
          <w:szCs w:val="21"/>
          <w:highlight w:val="none"/>
        </w:rPr>
        <w:t>十、磋商文件的解释权</w:t>
      </w:r>
      <w:bookmarkEnd w:id="225"/>
      <w:bookmarkEnd w:id="226"/>
      <w:bookmarkEnd w:id="227"/>
      <w:bookmarkEnd w:id="228"/>
      <w:bookmarkEnd w:id="229"/>
      <w:bookmarkEnd w:id="230"/>
      <w:bookmarkEnd w:id="231"/>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10.1本项目磋商文件的最终解释权为采购单位所有。</w:t>
      </w:r>
    </w:p>
    <w:p>
      <w:pPr>
        <w:pStyle w:val="99"/>
        <w:spacing w:line="400" w:lineRule="exact"/>
        <w:jc w:val="center"/>
        <w:rPr>
          <w:rFonts w:hint="eastAsia" w:ascii="宋体" w:hAnsi="宋体" w:eastAsia="宋体" w:cs="宋体"/>
          <w:b/>
          <w:bCs/>
          <w:color w:val="auto"/>
          <w:sz w:val="21"/>
          <w:szCs w:val="21"/>
          <w:highlight w:val="none"/>
        </w:rPr>
      </w:pPr>
      <w:bookmarkStart w:id="232" w:name="_Toc21207"/>
      <w:bookmarkEnd w:id="232"/>
      <w:bookmarkStart w:id="233" w:name="_Toc437611461"/>
      <w:bookmarkEnd w:id="233"/>
      <w:bookmarkStart w:id="234" w:name="_Toc446599320"/>
      <w:bookmarkEnd w:id="234"/>
      <w:bookmarkStart w:id="235" w:name="_Toc15447"/>
      <w:bookmarkEnd w:id="235"/>
      <w:bookmarkStart w:id="236" w:name="_Toc4505"/>
      <w:bookmarkStart w:id="237" w:name="_Toc8106"/>
      <w:bookmarkStart w:id="238" w:name="_Toc31339"/>
      <w:bookmarkStart w:id="239" w:name="_Toc14992"/>
      <w:bookmarkStart w:id="240" w:name="_Toc27554"/>
      <w:bookmarkStart w:id="241" w:name="_Toc31022"/>
      <w:bookmarkStart w:id="242" w:name="_Toc13649"/>
      <w:r>
        <w:rPr>
          <w:rFonts w:hint="eastAsia" w:ascii="宋体" w:hAnsi="宋体" w:eastAsia="宋体" w:cs="宋体"/>
          <w:b/>
          <w:bCs/>
          <w:color w:val="auto"/>
          <w:sz w:val="21"/>
          <w:szCs w:val="21"/>
          <w:highlight w:val="none"/>
        </w:rPr>
        <w:t>十一、其他注意事项</w:t>
      </w:r>
      <w:bookmarkEnd w:id="236"/>
      <w:bookmarkEnd w:id="237"/>
      <w:bookmarkEnd w:id="238"/>
      <w:bookmarkEnd w:id="239"/>
      <w:bookmarkEnd w:id="240"/>
      <w:bookmarkEnd w:id="241"/>
      <w:bookmarkEnd w:id="242"/>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11.1单位负责人为同一人或者存在直接控股、管理关系的不同供应商，不得参加同一合同项下的政府采购活动。</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11.2供应商为采购项目提供整体设计、规范编制或者项目管理、监理、检测等服务的供应商，不得再参加该采购项目的其他采购活动。</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11.3政府采购法第二十二条第一款第五项所称重大违法记录，是指供应商因违法经营受到刑事处罚或者责令停产停业、吊销许可证或者执照、较大数额罚款等行政处罚。</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11.5供应商在参加政府采购活动前3年内因违法经营被禁止在一定期限内参加政府采购活动，期限届满的，可以参加政府采购活动。</w:t>
      </w:r>
      <w:bookmarkEnd w:id="72"/>
    </w:p>
    <w:p>
      <w:pPr>
        <w:pStyle w:val="103"/>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11.6采购人补充的其他事宜详见供应商须知前附表。</w:t>
      </w:r>
    </w:p>
    <w:p>
      <w:pPr>
        <w:pStyle w:val="3"/>
        <w:numPr>
          <w:ilvl w:val="0"/>
          <w:numId w:val="4"/>
        </w:numPr>
        <w:shd w:val="clear"/>
        <w:rPr>
          <w:rFonts w:hint="eastAsia" w:ascii="宋体" w:hAnsi="宋体" w:cs="宋体"/>
          <w:b/>
          <w:bCs/>
          <w:color w:val="auto"/>
          <w:kern w:val="0"/>
          <w:sz w:val="28"/>
          <w:szCs w:val="28"/>
          <w:highlight w:val="none"/>
        </w:rPr>
      </w:pPr>
      <w:r>
        <w:rPr>
          <w:rFonts w:hint="eastAsia" w:ascii="宋体" w:hAnsi="宋体" w:cs="宋体"/>
          <w:color w:val="auto"/>
          <w:szCs w:val="21"/>
          <w:highlight w:val="none"/>
        </w:rPr>
        <w:br w:type="page"/>
      </w:r>
      <w:bookmarkStart w:id="243" w:name="_Toc32062"/>
      <w:bookmarkStart w:id="244" w:name="_Toc26787"/>
      <w:bookmarkStart w:id="245" w:name="_Toc10729"/>
      <w:bookmarkStart w:id="246" w:name="_Toc529952598"/>
      <w:bookmarkStart w:id="247" w:name="_Toc19160"/>
      <w:bookmarkStart w:id="248" w:name="_Toc6055"/>
      <w:bookmarkStart w:id="249" w:name="_Toc26520"/>
      <w:r>
        <w:rPr>
          <w:rFonts w:hint="eastAsia" w:ascii="宋体" w:hAnsi="宋体" w:cs="宋体"/>
          <w:color w:val="auto"/>
          <w:sz w:val="44"/>
          <w:szCs w:val="44"/>
          <w:highlight w:val="none"/>
        </w:rPr>
        <w:t xml:space="preserve">  </w:t>
      </w:r>
      <w:bookmarkStart w:id="250" w:name="_Toc129613859"/>
      <w:bookmarkStart w:id="251" w:name="_Toc134624452"/>
      <w:r>
        <w:rPr>
          <w:rFonts w:hint="eastAsia" w:ascii="Times New Roman" w:hAnsi="Times New Roman" w:eastAsia="宋体" w:cs="Times New Roman"/>
          <w:b/>
          <w:bCs/>
          <w:kern w:val="2"/>
          <w:sz w:val="30"/>
          <w:szCs w:val="30"/>
          <w:highlight w:val="none"/>
          <w:lang w:val="en-US" w:eastAsia="zh-CN" w:bidi="ar-SA"/>
        </w:rPr>
        <w:t>技术服务资料要求</w:t>
      </w:r>
    </w:p>
    <w:p>
      <w:pPr>
        <w:shd w:val="clear"/>
        <w:rPr>
          <w:rFonts w:hint="eastAsia"/>
          <w:highlight w:val="none"/>
        </w:rPr>
      </w:pPr>
    </w:p>
    <w:bookmarkEnd w:id="250"/>
    <w:bookmarkEnd w:id="251"/>
    <w:p>
      <w:pPr>
        <w:pStyle w:val="4"/>
        <w:shd w:val="clear"/>
        <w:tabs>
          <w:tab w:val="left" w:pos="0"/>
        </w:tabs>
        <w:jc w:val="both"/>
        <w:rPr>
          <w:b/>
          <w:bCs/>
          <w:sz w:val="21"/>
          <w:szCs w:val="21"/>
          <w:highlight w:val="none"/>
        </w:rPr>
      </w:pPr>
      <w:bookmarkStart w:id="252" w:name="_Toc134624448"/>
      <w:r>
        <w:rPr>
          <w:rFonts w:hint="eastAsia"/>
          <w:b/>
          <w:bCs/>
          <w:sz w:val="21"/>
          <w:szCs w:val="21"/>
          <w:highlight w:val="none"/>
          <w:lang w:val="en-US" w:eastAsia="zh-CN"/>
        </w:rPr>
        <w:t>一、建设</w:t>
      </w:r>
      <w:r>
        <w:rPr>
          <w:b/>
          <w:bCs/>
          <w:sz w:val="21"/>
          <w:szCs w:val="21"/>
          <w:highlight w:val="none"/>
        </w:rPr>
        <w:t>背景</w:t>
      </w:r>
      <w:bookmarkEnd w:id="252"/>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贯彻落实《国家“十四五”全民医保规划政策与目标》《国家DRG/DIP支付方式改革三年行动计划》及哈密市年度区域点数法总额预算和按病种分值付费办法的要求。大力推进大数据应用，推行以按病种付费为主的多元复合式医保支付方式改革，是建立管用高效的医疗机构支付机制的重要路径。支付方式改革的难点是探索发现合理的医疗服务成本，形成医疗服务资源配置标准，需医疗机构建立医疗服务的“度量衡”体系，较为客观的拟合成本、计算分值、结算付费，形成对医保支付方式改革的重要技术支撑。</w:t>
      </w:r>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同时随着医疗服务监控的深入开展，国家政策层面陆续出台严格控制医保基金违规率的增长,对医保基金监管更加严格,因此医疗机构与医疗保险基金管理机构的矛盾持续凸显，传统的医疗机构医疗服务监控受限于医保办的工作人员数量少、监管工作繁杂等客观条件只能单纯依靠人工审查，这种模式已经逐渐无法满足定点机构医疗服务监控监管的新要求，因此医疗机构前端自查、自主监管，从源头控制违规基金的增长尤为重要，利用信息化智能审核、监管等手段提高医疗机构自身的监管能力、服务能力和服务水平。因此医疗机构需要建立符合支付改革和医保监管要求的相关机制，提升医疗机构的信息化水平，保证医疗机构的整体运行。</w:t>
      </w:r>
    </w:p>
    <w:p>
      <w:pPr>
        <w:pStyle w:val="4"/>
        <w:tabs>
          <w:tab w:val="left" w:pos="0"/>
        </w:tabs>
        <w:jc w:val="both"/>
        <w:outlineLvl w:val="9"/>
        <w:rPr>
          <w:sz w:val="21"/>
          <w:szCs w:val="21"/>
        </w:rPr>
      </w:pPr>
      <w:bookmarkStart w:id="253" w:name="_Toc134624450"/>
    </w:p>
    <w:p>
      <w:pPr>
        <w:pStyle w:val="4"/>
        <w:tabs>
          <w:tab w:val="left" w:pos="0"/>
        </w:tabs>
        <w:jc w:val="both"/>
        <w:rPr>
          <w:b/>
          <w:bCs/>
          <w:sz w:val="21"/>
          <w:szCs w:val="21"/>
        </w:rPr>
      </w:pPr>
      <w:r>
        <w:rPr>
          <w:rFonts w:hint="eastAsia"/>
          <w:b/>
          <w:bCs/>
          <w:sz w:val="21"/>
          <w:szCs w:val="21"/>
          <w:lang w:val="en-US" w:eastAsia="zh-CN"/>
        </w:rPr>
        <w:t>二、</w:t>
      </w:r>
      <w:r>
        <w:rPr>
          <w:b/>
          <w:bCs/>
          <w:sz w:val="21"/>
          <w:szCs w:val="21"/>
        </w:rPr>
        <w:t>建设目标</w:t>
      </w:r>
      <w:bookmarkEnd w:id="253"/>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bookmarkStart w:id="254" w:name="_Toc134624451"/>
      <w:r>
        <w:rPr>
          <w:rFonts w:hint="eastAsia" w:ascii="宋体" w:hAnsi="宋体" w:eastAsia="宋体" w:cs="宋体"/>
          <w:sz w:val="21"/>
          <w:szCs w:val="21"/>
          <w:highlight w:val="none"/>
          <w:lang w:val="en-US" w:eastAsia="zh-CN"/>
        </w:rPr>
        <w:t>随着医改的深入推进，医保监管力度加强，医保支付制度改革推进，药品耗材加成取消，医疗价格调整等因素影响，医院经营环境正发生着深刻的变革。以往粗放型的外延式发展已展现出不可持续的态势。综合支付方式则通过组别定位及付费标准建立了统一的标准体系及资源配置模式，增进了管理的透明度与公平性，使政府、医保、医院各方在统一标准框架下建立沟通渠道，以有效合作取代相互博弈。医疗机构需要利用信息化手段加强基本医疗保险医疗服务监控和管理工作，需认真贯彻落实上级文件精神及有关规定，强化医保管理工作，规范医保医疗行为，更好地为参保病人服务。</w:t>
      </w:r>
    </w:p>
    <w:bookmarkEnd w:id="254"/>
    <w:p>
      <w:pPr>
        <w:pStyle w:val="2"/>
        <w:tabs>
          <w:tab w:val="left" w:pos="1440"/>
        </w:tabs>
        <w:rPr>
          <w:rFonts w:hint="default"/>
          <w:sz w:val="21"/>
          <w:szCs w:val="21"/>
          <w:highlight w:val="none"/>
          <w:lang w:val="en-US" w:eastAsia="zh-CN"/>
        </w:rPr>
      </w:pPr>
      <w:r>
        <w:rPr>
          <w:rFonts w:hint="eastAsia" w:ascii="宋体" w:hAnsi="宋体" w:cs="宋体"/>
          <w:b/>
          <w:bCs/>
          <w:sz w:val="21"/>
          <w:szCs w:val="21"/>
          <w:highlight w:val="none"/>
          <w:lang w:val="en-US" w:eastAsia="zh-CN"/>
        </w:rPr>
        <w:t>三、技术需求</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3.1</w:t>
      </w:r>
      <w:r>
        <w:rPr>
          <w:rFonts w:hint="eastAsia" w:ascii="宋体" w:hAnsi="宋体" w:eastAsia="宋体" w:cs="宋体"/>
          <w:b/>
          <w:bCs/>
          <w:sz w:val="21"/>
          <w:szCs w:val="21"/>
          <w:highlight w:val="none"/>
        </w:rPr>
        <w:t>建设原则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3.1.1顶层设计，统筹联动</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中共中央国务院关于深化医疗保障制度改革的意见》明确了我国医保制度改革发展的目标方向和路径。提出“建立管用高效的医保支付机制”“要持续推进医保支付方式改革。大力推进大数据应用，推动以按病种付费为主的多元复合式医保支付方式改革”。坚持“尽力而为，量力而行，实事求是确定保障范围和标准”“坚持系统集成、协同高效，增强医保、医疗、医药联动改革的系统性、整体性、协调性，保障群众获得高质量、有效率、能负担的医药服务”。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3.1.2数据驱动，标准先行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以医院全人群、全样本的大数据为基础，真实还原病种的医疗行为与疾病特征，围绕国家DIP目录库标准建立医院的实施路径，结合医院实际，推动医保支付制度改革。</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3.1.3尊重客观，科学测算</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利用大数据方法精确拟合成本，结合各地经济发展水平、医保筹资能力以及医院的功能与定位，科学测算统筹地区分值点值，科学确定与之匹配的调节机制，确保医保支付科学合理。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3.1.4公开透明，全程监管。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建立政府、医保、医院各方统一的价值尺度，践行统一数据标准体系下医保支付方式与智能监管的一体化，稳步推进从事后审核向事中拦截和事前提醒延伸，形成基于大数据病种分值的异常费用发现机制与过程控制机制，创建“公平、公正、公开”的监管与支付生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3.1.5供需平衡，多方共赢。</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建立医疗保障科学管理机制，引导资源的合理配置、提升资源利用效率；促进医院精细管理，以“结余留用，合理超支分担”激发医院控制成本的内生动力，提供适宜的服务、控制医疗费用不合理增长，提高医保资金的利用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3.2</w:t>
      </w:r>
      <w:r>
        <w:rPr>
          <w:rFonts w:hint="eastAsia" w:ascii="宋体" w:hAnsi="宋体" w:eastAsia="宋体" w:cs="宋体"/>
          <w:b/>
          <w:bCs/>
          <w:sz w:val="21"/>
          <w:szCs w:val="21"/>
          <w:highlight w:val="none"/>
        </w:rPr>
        <w:t>建设</w:t>
      </w:r>
      <w:r>
        <w:rPr>
          <w:rFonts w:hint="eastAsia" w:ascii="宋体" w:hAnsi="宋体" w:eastAsia="宋体" w:cs="宋体"/>
          <w:b/>
          <w:bCs/>
          <w:sz w:val="21"/>
          <w:szCs w:val="21"/>
          <w:highlight w:val="none"/>
          <w:lang w:val="en-US" w:eastAsia="zh-CN"/>
        </w:rPr>
        <w:t>依据</w:t>
      </w:r>
      <w:bookmarkStart w:id="255" w:name="_Hlk29477062"/>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系统建设依据的文件包括但不限于：</w:t>
      </w:r>
    </w:p>
    <w:bookmarkEnd w:id="255"/>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①《国家“十四五”全民医保规划政策与目标》</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②《国家DRG/DIP支付方式改革三年行动计划》</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③《哈密市医保局关于按病种（DIP）分值付费实际付费有关事项的通知》</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④国家医保版《医疗保障疾病诊断分类及代码（ICD-10 医保 V1.0 版）》和《医疗保障手术操作分类与编码（ICD-9-CM3 医保 V1.0 版）》及中医病症诊断代码统一使用《医疗保障中医病症分类与代码》（中医病症分类 与代码医保V1.0），日间手术病种代码统一使用《医保日间手术病种分类与代码》。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⑤医保结算清单管理及质量控制符合《医保结算清单填写规范》</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⑥病案管理及质量控制符合《病历书写基本规范》《医疗机构病历管理规范》《住院病案首页数据填写质量规范（暂行）》和《住院病案首页数据质量管理与控制指标（2016 版）》</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⑦医疗收费信息数据指标填报口径应与财政部、国家卫生健康委员会、国家医疗保障局统一的“医疗住院收费票据” 。</w:t>
      </w:r>
    </w:p>
    <w:p>
      <w:pPr>
        <w:pStyle w:val="98"/>
        <w:jc w:val="left"/>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3.3服务内容</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US" w:eastAsia="zh-CN"/>
        </w:rPr>
        <w:t xml:space="preserve">3.3.1 </w:t>
      </w:r>
      <w:r>
        <w:rPr>
          <w:rFonts w:hint="eastAsia" w:ascii="宋体" w:hAnsi="宋体" w:eastAsia="宋体" w:cs="宋体"/>
          <w:color w:val="auto"/>
          <w:sz w:val="21"/>
          <w:szCs w:val="21"/>
          <w:highlight w:val="none"/>
          <w:lang w:val="en-GB" w:eastAsia="zh-CN"/>
        </w:rPr>
        <w:t>医院医保精细化管理服务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整体设计方案需具有完整的服务体系，合理的数据模型，成熟的产品和解决方案，要考虑到未来需求的变化，功能应用包括如下：</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3.3.1.1 </w:t>
      </w:r>
      <w:r>
        <w:rPr>
          <w:rFonts w:hint="eastAsia" w:ascii="宋体" w:hAnsi="宋体" w:eastAsia="宋体" w:cs="宋体"/>
          <w:color w:val="auto"/>
          <w:sz w:val="21"/>
          <w:szCs w:val="21"/>
          <w:highlight w:val="none"/>
          <w:lang w:eastAsia="zh-CN"/>
        </w:rPr>
        <w:t>首页</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提供展示用户重点关注的指标数据提供图形化（柱状图，饼状图，图表）直观展示，包含事前年度违规趋势图、事后年度违规趋势图、事前违规规则分布、事后违规规则分布、医疗费用各月情况等指标。支持用户以拖拽形式按需配置展示指标。</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3.3.1.2 </w:t>
      </w:r>
      <w:r>
        <w:rPr>
          <w:rFonts w:hint="eastAsia" w:ascii="宋体" w:hAnsi="宋体" w:eastAsia="宋体" w:cs="宋体"/>
          <w:color w:val="auto"/>
          <w:sz w:val="21"/>
          <w:szCs w:val="21"/>
          <w:highlight w:val="none"/>
          <w:lang w:eastAsia="zh-CN"/>
        </w:rPr>
        <w:t>DIP首页</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3.3.1.2.1 </w:t>
      </w:r>
      <w:r>
        <w:rPr>
          <w:rFonts w:hint="eastAsia" w:ascii="宋体" w:hAnsi="宋体" w:eastAsia="宋体" w:cs="宋体"/>
          <w:color w:val="auto"/>
          <w:sz w:val="21"/>
          <w:szCs w:val="21"/>
          <w:highlight w:val="none"/>
          <w:lang w:eastAsia="zh-CN"/>
        </w:rPr>
        <w:t>DIP院长首页</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支持院长查看全院DIP运行情况，展示各项重点关注指标数据：宏观监测指标、重点监测指标变化、重点科室监测、DIP下科室盈亏情况、异常病例监测。</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3.3.1.2.2 </w:t>
      </w:r>
      <w:r>
        <w:rPr>
          <w:rFonts w:hint="eastAsia" w:ascii="宋体" w:hAnsi="宋体" w:eastAsia="宋体" w:cs="宋体"/>
          <w:color w:val="auto"/>
          <w:sz w:val="21"/>
          <w:szCs w:val="21"/>
          <w:lang w:eastAsia="zh-CN"/>
        </w:rPr>
        <w:t>DIP科室首页</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支持科主任查看科室DIP运行情况，展示各项重点指标数据：宏观监测指标、季度预计盈亏、月度预计盈亏、病组/费用结构分析。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3.3.1.3 </w:t>
      </w:r>
      <w:r>
        <w:rPr>
          <w:rFonts w:hint="eastAsia" w:ascii="宋体" w:hAnsi="宋体" w:eastAsia="宋体" w:cs="宋体"/>
          <w:color w:val="auto"/>
          <w:sz w:val="21"/>
          <w:szCs w:val="21"/>
          <w:lang w:eastAsia="zh-CN"/>
        </w:rPr>
        <w:t>病例数据质控</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3.3.1.3.1</w:t>
      </w:r>
      <w:r>
        <w:rPr>
          <w:rFonts w:hint="eastAsia" w:ascii="宋体" w:hAnsi="宋体" w:eastAsia="宋体" w:cs="宋体"/>
          <w:color w:val="auto"/>
          <w:sz w:val="21"/>
          <w:szCs w:val="21"/>
          <w:lang w:eastAsia="zh-CN"/>
        </w:rPr>
        <w:t>病例数据质控概览</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提供病案首页/结算清单质控指标数据的展示，各错误字段分布情况以及问题趋势数。</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3.3.1.4 </w:t>
      </w:r>
      <w:r>
        <w:rPr>
          <w:rFonts w:hint="eastAsia" w:ascii="宋体" w:hAnsi="宋体" w:eastAsia="宋体" w:cs="宋体"/>
          <w:color w:val="auto"/>
          <w:sz w:val="21"/>
          <w:szCs w:val="21"/>
          <w:lang w:eastAsia="zh-CN"/>
        </w:rPr>
        <w:t>病案首页校验</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3.3.1.4.1</w:t>
      </w:r>
      <w:r>
        <w:rPr>
          <w:rFonts w:hint="eastAsia" w:ascii="宋体" w:hAnsi="宋体" w:eastAsia="宋体" w:cs="宋体"/>
          <w:color w:val="auto"/>
          <w:sz w:val="21"/>
          <w:szCs w:val="21"/>
          <w:lang w:eastAsia="zh-CN"/>
        </w:rPr>
        <w:t>病案首页查询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提供院区里病案首页信息及详情的查询。</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3.3.1.4.2 </w:t>
      </w:r>
      <w:r>
        <w:rPr>
          <w:rFonts w:hint="eastAsia" w:ascii="宋体" w:hAnsi="宋体" w:eastAsia="宋体" w:cs="宋体"/>
          <w:color w:val="auto"/>
          <w:sz w:val="21"/>
          <w:szCs w:val="21"/>
          <w:lang w:eastAsia="zh-CN"/>
        </w:rPr>
        <w:t>校验规则配置</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▲提供病案首页校验规则的配置。</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3.3.1.4.3 </w:t>
      </w:r>
      <w:r>
        <w:rPr>
          <w:rFonts w:hint="eastAsia" w:ascii="宋体" w:hAnsi="宋体" w:eastAsia="宋体" w:cs="宋体"/>
          <w:color w:val="auto"/>
          <w:sz w:val="21"/>
          <w:szCs w:val="21"/>
          <w:lang w:val="en-GB" w:eastAsia="zh-CN"/>
        </w:rPr>
        <w:t>病案首页校验</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▲提供手动校验执行的功能，可选择校验范围，形成校验结果统计。</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3.3.1.4.4 </w:t>
      </w:r>
      <w:r>
        <w:rPr>
          <w:rFonts w:hint="eastAsia" w:ascii="宋体" w:hAnsi="宋体" w:eastAsia="宋体" w:cs="宋体"/>
          <w:color w:val="auto"/>
          <w:sz w:val="21"/>
          <w:szCs w:val="21"/>
          <w:lang w:val="en-GB" w:eastAsia="zh-CN"/>
        </w:rPr>
        <w:t>校验结果查询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提供病案首页质控过的数据统计，包含数据量、完整率、正确率、每一个结算ID的问题数。</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3.3.1.4.5 </w:t>
      </w:r>
      <w:r>
        <w:rPr>
          <w:rFonts w:hint="eastAsia" w:ascii="宋体" w:hAnsi="宋体" w:eastAsia="宋体" w:cs="宋体"/>
          <w:color w:val="auto"/>
          <w:sz w:val="21"/>
          <w:szCs w:val="21"/>
          <w:lang w:val="en-GB" w:eastAsia="zh-CN"/>
        </w:rPr>
        <w:t>病案质量统计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提供病案首页事前质控的统计结果，包含质控数量、问题数、提醒次数趋势。</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3.3.1.5 </w:t>
      </w:r>
      <w:r>
        <w:rPr>
          <w:rFonts w:hint="eastAsia" w:ascii="宋体" w:hAnsi="宋体" w:eastAsia="宋体" w:cs="宋体"/>
          <w:color w:val="auto"/>
          <w:sz w:val="21"/>
          <w:szCs w:val="21"/>
          <w:lang w:val="en-GB" w:eastAsia="zh-CN"/>
        </w:rPr>
        <w:t>结算清单校验</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3.3.1.5.1</w:t>
      </w:r>
      <w:r>
        <w:rPr>
          <w:rFonts w:hint="eastAsia" w:ascii="宋体" w:hAnsi="宋体" w:eastAsia="宋体" w:cs="宋体"/>
          <w:color w:val="auto"/>
          <w:sz w:val="21"/>
          <w:szCs w:val="21"/>
          <w:lang w:val="en-GB" w:eastAsia="zh-CN"/>
        </w:rPr>
        <w:t>结算清单查询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提供结算清单信息及详情查询。</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3.3.1.5.2 </w:t>
      </w:r>
      <w:r>
        <w:rPr>
          <w:rFonts w:hint="eastAsia" w:ascii="宋体" w:hAnsi="宋体" w:eastAsia="宋体" w:cs="宋体"/>
          <w:color w:val="auto"/>
          <w:sz w:val="21"/>
          <w:szCs w:val="21"/>
          <w:lang w:val="en-GB" w:eastAsia="zh-CN"/>
        </w:rPr>
        <w:t>质量校验规则配置</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提供结算清单校验规则的配置。</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3.3.1.5.3 </w:t>
      </w:r>
      <w:r>
        <w:rPr>
          <w:rFonts w:hint="eastAsia" w:ascii="宋体" w:hAnsi="宋体" w:eastAsia="宋体" w:cs="宋体"/>
          <w:color w:val="auto"/>
          <w:sz w:val="21"/>
          <w:szCs w:val="21"/>
          <w:lang w:val="en-GB" w:eastAsia="zh-CN"/>
        </w:rPr>
        <w:t>结算清单质量分析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提供手动校验执行的功能，可选择校验范围，形成校验结果统计。</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3.3.1.5.4 </w:t>
      </w:r>
      <w:r>
        <w:rPr>
          <w:rFonts w:hint="eastAsia" w:ascii="宋体" w:hAnsi="宋体" w:eastAsia="宋体" w:cs="宋体"/>
          <w:color w:val="auto"/>
          <w:sz w:val="21"/>
          <w:szCs w:val="21"/>
          <w:lang w:val="en-GB" w:eastAsia="zh-CN"/>
        </w:rPr>
        <w:t>校验结果查询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提供结算清单质控过的数据统计，包含数据量、完整率、正确率、每一个结算ID的问题数。</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3.3.1.5.5 </w:t>
      </w:r>
      <w:r>
        <w:rPr>
          <w:rFonts w:hint="eastAsia" w:ascii="宋体" w:hAnsi="宋体" w:eastAsia="宋体" w:cs="宋体"/>
          <w:color w:val="auto"/>
          <w:sz w:val="21"/>
          <w:szCs w:val="21"/>
          <w:lang w:val="en-GB" w:eastAsia="zh-CN"/>
        </w:rPr>
        <w:t>结算清单质量统计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提供结算清单事前质控的统计结果，包含质控数量、问题数、提醒次数趋势。</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3.3.1.5.6 </w:t>
      </w:r>
      <w:r>
        <w:rPr>
          <w:rFonts w:hint="eastAsia" w:ascii="宋体" w:hAnsi="宋体" w:eastAsia="宋体" w:cs="宋体"/>
          <w:color w:val="auto"/>
          <w:sz w:val="21"/>
          <w:szCs w:val="21"/>
          <w:lang w:val="en-GB" w:eastAsia="zh-CN"/>
        </w:rPr>
        <w:t>结算清单提交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提供结算清单的抽取，结算清单编辑 结算清单提交的功能。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3.3.1.5.7 </w:t>
      </w:r>
      <w:r>
        <w:rPr>
          <w:rFonts w:hint="eastAsia" w:ascii="宋体" w:hAnsi="宋体" w:eastAsia="宋体" w:cs="宋体"/>
          <w:color w:val="auto"/>
          <w:sz w:val="21"/>
          <w:szCs w:val="21"/>
          <w:lang w:val="en-GB" w:eastAsia="zh-CN"/>
        </w:rPr>
        <w:t>结算清单审核上传</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提供对提交过来的结算进行审核 上传审核通过的结算清单给医保，医保返回相关金额费用信息，形成完整的结算清单。</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3.3.1.6 </w:t>
      </w:r>
      <w:r>
        <w:rPr>
          <w:rFonts w:hint="eastAsia" w:ascii="宋体" w:hAnsi="宋体" w:eastAsia="宋体" w:cs="宋体"/>
          <w:color w:val="auto"/>
          <w:sz w:val="21"/>
          <w:szCs w:val="21"/>
          <w:lang w:eastAsia="zh-CN"/>
        </w:rPr>
        <w:t>DIP病例分组</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3.3.1.6.1 </w:t>
      </w:r>
      <w:r>
        <w:rPr>
          <w:rFonts w:hint="eastAsia" w:ascii="宋体" w:hAnsi="宋体" w:eastAsia="宋体" w:cs="宋体"/>
          <w:color w:val="auto"/>
          <w:sz w:val="21"/>
          <w:szCs w:val="21"/>
          <w:lang w:eastAsia="zh-CN"/>
        </w:rPr>
        <w:t>病例分组概览</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▲提供病案首页/结算清单入组指标数据的展示，总体入组趋势，入组与未入组数，以及未入组原因分布情况。</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3.3.1.7 </w:t>
      </w:r>
      <w:r>
        <w:rPr>
          <w:rFonts w:hint="eastAsia" w:ascii="宋体" w:hAnsi="宋体" w:eastAsia="宋体" w:cs="宋体"/>
          <w:color w:val="auto"/>
          <w:sz w:val="21"/>
          <w:szCs w:val="21"/>
          <w:lang w:val="en-GB" w:eastAsia="zh-CN"/>
        </w:rPr>
        <w:t>在院分组</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3.3.1.7.1 </w:t>
      </w:r>
      <w:r>
        <w:rPr>
          <w:rFonts w:hint="eastAsia" w:ascii="宋体" w:hAnsi="宋体" w:eastAsia="宋体" w:cs="宋体"/>
          <w:color w:val="auto"/>
          <w:sz w:val="21"/>
          <w:szCs w:val="21"/>
          <w:lang w:val="en-GB" w:eastAsia="zh-CN"/>
        </w:rPr>
        <w:t>DIP在院分组</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▲提供在院病人的诊断、手术信息的展示，对在院病例进行DIP分组。</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3.3.1.8 </w:t>
      </w:r>
      <w:r>
        <w:rPr>
          <w:rFonts w:hint="eastAsia" w:ascii="宋体" w:hAnsi="宋体" w:eastAsia="宋体" w:cs="宋体"/>
          <w:color w:val="auto"/>
          <w:sz w:val="21"/>
          <w:szCs w:val="21"/>
          <w:lang w:val="en-GB" w:eastAsia="zh-CN"/>
        </w:rPr>
        <w:t>DIP分组管理（病案首页、结算清单）</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3.3.1.8.1 </w:t>
      </w:r>
      <w:r>
        <w:rPr>
          <w:rFonts w:hint="eastAsia" w:ascii="宋体" w:hAnsi="宋体" w:eastAsia="宋体" w:cs="宋体"/>
          <w:color w:val="auto"/>
          <w:sz w:val="21"/>
          <w:szCs w:val="21"/>
          <w:lang w:val="en-GB" w:eastAsia="zh-CN"/>
        </w:rPr>
        <w:t>分组方案配置</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提供DIP分组方案配置，对增量病案首页/结算清单进行DIP分组。</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3.3.1.8.2 </w:t>
      </w:r>
      <w:r>
        <w:rPr>
          <w:rFonts w:hint="eastAsia" w:ascii="宋体" w:hAnsi="宋体" w:eastAsia="宋体" w:cs="宋体"/>
          <w:color w:val="auto"/>
          <w:sz w:val="21"/>
          <w:szCs w:val="21"/>
          <w:lang w:val="en-GB" w:eastAsia="zh-CN"/>
        </w:rPr>
        <w:t>DIP入组预测</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▲提供了解填写诊断、手术的DIP入组情况。</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3.3.1.8.3 </w:t>
      </w:r>
      <w:r>
        <w:rPr>
          <w:rFonts w:hint="eastAsia" w:ascii="宋体" w:hAnsi="宋体" w:eastAsia="宋体" w:cs="宋体"/>
          <w:color w:val="auto"/>
          <w:sz w:val="21"/>
          <w:szCs w:val="21"/>
          <w:lang w:val="en-GB" w:eastAsia="zh-CN"/>
        </w:rPr>
        <w:t>CHS-DIP分组</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▲提供给实施人员、医院医保办手工触发DIP分组。</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3.3.1.8.4 </w:t>
      </w:r>
      <w:r>
        <w:rPr>
          <w:rFonts w:hint="eastAsia" w:ascii="宋体" w:hAnsi="宋体" w:eastAsia="宋体" w:cs="宋体"/>
          <w:color w:val="auto"/>
          <w:sz w:val="21"/>
          <w:szCs w:val="21"/>
          <w:lang w:val="en-GB" w:eastAsia="zh-CN"/>
        </w:rPr>
        <w:t>入组情况查询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▲提供每天增量病案首页/结算清单数据的查询，展示入组结果情况。</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3.3.1.9 </w:t>
      </w:r>
      <w:r>
        <w:rPr>
          <w:rFonts w:hint="eastAsia" w:ascii="宋体" w:hAnsi="宋体" w:eastAsia="宋体" w:cs="宋体"/>
          <w:color w:val="auto"/>
          <w:sz w:val="21"/>
          <w:szCs w:val="21"/>
          <w:lang w:eastAsia="zh-CN"/>
        </w:rPr>
        <w:t>DIP费用分析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3.3.1.10 </w:t>
      </w:r>
      <w:r>
        <w:rPr>
          <w:rFonts w:hint="eastAsia" w:ascii="宋体" w:hAnsi="宋体" w:eastAsia="宋体" w:cs="宋体"/>
          <w:color w:val="auto"/>
          <w:sz w:val="21"/>
          <w:szCs w:val="21"/>
          <w:lang w:val="en-GB" w:eastAsia="zh-CN"/>
        </w:rPr>
        <w:t>DIP综合分析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▲提供全院、科室进行不同颗粒度下的费用指标及费用相关指标进行精细化监测及不同角度的分析。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3.3.1.10.1 </w:t>
      </w:r>
      <w:r>
        <w:rPr>
          <w:rFonts w:hint="eastAsia" w:ascii="宋体" w:hAnsi="宋体" w:eastAsia="宋体" w:cs="宋体"/>
          <w:color w:val="auto"/>
          <w:sz w:val="21"/>
          <w:szCs w:val="21"/>
          <w:lang w:val="en-GB" w:eastAsia="zh-CN"/>
        </w:rPr>
        <w:t>DIP盈亏分析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▲提供付费病种盈亏预测分析，支持查询月度盈亏金额结果、科室和病种的排名/占比情况。</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3.3.1.10.2 </w:t>
      </w:r>
      <w:r>
        <w:rPr>
          <w:rFonts w:hint="eastAsia" w:ascii="宋体" w:hAnsi="宋体" w:eastAsia="宋体" w:cs="宋体"/>
          <w:color w:val="auto"/>
          <w:sz w:val="21"/>
          <w:szCs w:val="21"/>
          <w:lang w:val="en-GB" w:eastAsia="zh-CN"/>
        </w:rPr>
        <w:t>DIP科室统计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提供对科室的DIP数据指标的统计，不同的科室之间进行指标对比分析。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3.3.1.10.3 </w:t>
      </w:r>
      <w:r>
        <w:rPr>
          <w:rFonts w:hint="eastAsia" w:ascii="宋体" w:hAnsi="宋体" w:eastAsia="宋体" w:cs="宋体"/>
          <w:color w:val="auto"/>
          <w:sz w:val="21"/>
          <w:szCs w:val="21"/>
          <w:lang w:val="en-GB" w:eastAsia="zh-CN"/>
        </w:rPr>
        <w:t>DIP医生统计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提供对医生的DIP数据指标进行的统计，不同的医生之间可进行指标对比分析。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3.3.1.10.4 </w:t>
      </w:r>
      <w:r>
        <w:rPr>
          <w:rFonts w:hint="eastAsia" w:ascii="宋体" w:hAnsi="宋体" w:eastAsia="宋体" w:cs="宋体"/>
          <w:color w:val="auto"/>
          <w:sz w:val="21"/>
          <w:szCs w:val="21"/>
          <w:lang w:val="en-GB" w:eastAsia="zh-CN"/>
        </w:rPr>
        <w:t>DIP医疗组统计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▲提供对科室下医疗组的DIP数据指标的统计，不同的医疗组之间可进行指标对比分析。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3.3.1.11 </w:t>
      </w:r>
      <w:r>
        <w:rPr>
          <w:rFonts w:hint="eastAsia" w:ascii="宋体" w:hAnsi="宋体" w:eastAsia="宋体" w:cs="宋体"/>
          <w:color w:val="auto"/>
          <w:sz w:val="21"/>
          <w:szCs w:val="21"/>
          <w:lang w:val="en-GB" w:eastAsia="zh-CN"/>
        </w:rPr>
        <w:t>DIP指标管理</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3.3.1.11.1 </w:t>
      </w:r>
      <w:r>
        <w:rPr>
          <w:rFonts w:hint="eastAsia" w:ascii="宋体" w:hAnsi="宋体" w:eastAsia="宋体" w:cs="宋体"/>
          <w:color w:val="auto"/>
          <w:sz w:val="21"/>
          <w:szCs w:val="21"/>
          <w:lang w:val="en-GB" w:eastAsia="zh-CN"/>
        </w:rPr>
        <w:t>数据质量分析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提供病案首页/结算清单数据质量分析，纠察分析病案数据/清单，核查医疗数据准确性，实现对病案数据/清单数据编码准确率等内容进行分析。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3.3.1.11.2 </w:t>
      </w:r>
      <w:r>
        <w:rPr>
          <w:rFonts w:hint="eastAsia" w:ascii="宋体" w:hAnsi="宋体" w:eastAsia="宋体" w:cs="宋体"/>
          <w:color w:val="auto"/>
          <w:sz w:val="21"/>
          <w:szCs w:val="21"/>
          <w:lang w:val="en-GB" w:eastAsia="zh-CN"/>
        </w:rPr>
        <w:t>医疗服务能力</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▲提供DIP组数、病组分值、三四级手术级别等指标分析，对比不同科室之间的业务里、疾病覆盖范围、诊疗技术难度。</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3.3.1.11.3 </w:t>
      </w:r>
      <w:r>
        <w:rPr>
          <w:rFonts w:hint="eastAsia" w:ascii="宋体" w:hAnsi="宋体" w:eastAsia="宋体" w:cs="宋体"/>
          <w:color w:val="auto"/>
          <w:sz w:val="21"/>
          <w:szCs w:val="21"/>
          <w:lang w:val="en-GB" w:eastAsia="zh-CN"/>
        </w:rPr>
        <w:t>医疗服务质量</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▲提供住院患者超长住院风险、低标入院风险、医疗安全等指标，对不同科室医疗服务质量进行科学的评价。</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3.3.1.11.4 </w:t>
      </w:r>
      <w:r>
        <w:rPr>
          <w:rFonts w:hint="eastAsia" w:ascii="宋体" w:hAnsi="宋体" w:eastAsia="宋体" w:cs="宋体"/>
          <w:color w:val="auto"/>
          <w:sz w:val="21"/>
          <w:szCs w:val="21"/>
          <w:lang w:val="en-GB" w:eastAsia="zh-CN"/>
        </w:rPr>
        <w:t>医疗费用控制</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提供全院、科室的角度进行费用结构分析，重点监测在DIP支付方式改革下的费用类型占比分析，找出不合理费用，定位问题。</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3.3.1.12 </w:t>
      </w:r>
      <w:r>
        <w:rPr>
          <w:rFonts w:hint="eastAsia" w:ascii="宋体" w:hAnsi="宋体" w:eastAsia="宋体" w:cs="宋体"/>
          <w:color w:val="auto"/>
          <w:sz w:val="21"/>
          <w:szCs w:val="21"/>
          <w:lang w:eastAsia="zh-CN"/>
        </w:rPr>
        <w:t>基础数据管理</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3.3.1.12.1 </w:t>
      </w:r>
      <w:r>
        <w:rPr>
          <w:rFonts w:hint="eastAsia" w:ascii="宋体" w:hAnsi="宋体" w:eastAsia="宋体" w:cs="宋体"/>
          <w:color w:val="auto"/>
          <w:sz w:val="21"/>
          <w:szCs w:val="21"/>
          <w:lang w:val="en-GB" w:eastAsia="zh-CN"/>
        </w:rPr>
        <w:t>支付数据管理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疾病目录维护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提供维护疾病目录，以及展示、编辑目录下的疾病信息或者新增疾病信息。</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手术目录维护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提供维护手术目录，以及展示、编辑目录下的手术信息或者新增手术信息。</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权重点数维护(DIP)</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可查看编辑权重点数版本，维护版本下的DIP组信息、标准费用、标准住院天数。</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3.3.1.12.2 </w:t>
      </w:r>
      <w:r>
        <w:rPr>
          <w:rFonts w:hint="eastAsia" w:ascii="宋体" w:hAnsi="宋体" w:eastAsia="宋体" w:cs="宋体"/>
          <w:color w:val="auto"/>
          <w:sz w:val="21"/>
          <w:szCs w:val="21"/>
          <w:lang w:val="en-GB" w:eastAsia="zh-CN"/>
        </w:rPr>
        <w:t>公用数据管理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数据字典</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提供系统涉及的数据字典信息查询。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任务管理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系统可以定制高频次执行任务及任务配置，灵活使用。</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计划任务结果管理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可对已执行的计划任务结果进行查询、明细查看与删除操作。</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药品说明书查询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提供按名称查询药品，支持浏览药品名称、成分、适应症、用法用量等说明书详情。</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医保政策管理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提供医保政策文档的上传维护，包含文件名称、发文字号、发布日期、发布机构、查看权限等信息。支持pdf政策文件上传。</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医保政策查询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提供医保政策文件查询，支持文件内容浏览，下载。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US" w:eastAsia="zh-CN"/>
        </w:rPr>
        <w:t xml:space="preserve">3.3.1.12.3 </w:t>
      </w:r>
      <w:r>
        <w:rPr>
          <w:rFonts w:hint="eastAsia" w:ascii="宋体" w:hAnsi="宋体" w:eastAsia="宋体" w:cs="宋体"/>
          <w:color w:val="auto"/>
          <w:sz w:val="21"/>
          <w:szCs w:val="21"/>
          <w:lang w:val="en-GB" w:eastAsia="zh-CN"/>
        </w:rPr>
        <w:t>其他数据管理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医生信息维护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提供医生所在的科室或者医疗组层级关系维护功能。</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医院组织架构管理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提供医院组织架构信息维护功能，包括院区、上级科室、科室、医疗组的层级关系。</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医疗组维护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提供所添加医疗组信息维护功能。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 </w:t>
      </w:r>
      <w:r>
        <w:rPr>
          <w:rFonts w:hint="eastAsia" w:ascii="宋体" w:hAnsi="宋体" w:eastAsia="宋体" w:cs="宋体"/>
          <w:color w:val="auto"/>
          <w:sz w:val="21"/>
          <w:szCs w:val="21"/>
          <w:lang w:eastAsia="zh-CN"/>
        </w:rPr>
        <w:t>医院医保内部管控服务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整体设计方案需具有完整的服务体系，合理的数据模型，成熟的产品和解决方案，要考虑到未来需求的变化，功能应用包括如下：</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3.3.2.1</w:t>
      </w:r>
      <w:r>
        <w:rPr>
          <w:rFonts w:hint="eastAsia" w:ascii="宋体" w:hAnsi="宋体" w:eastAsia="宋体" w:cs="宋体"/>
          <w:color w:val="auto"/>
          <w:sz w:val="21"/>
          <w:szCs w:val="21"/>
          <w:lang w:eastAsia="zh-CN"/>
        </w:rPr>
        <w:t>首页</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展示用户重点关注的指标数据提供图形化（柱状图、饼状图、图表）直观展示，包含事前年度违规趋势图、事后年度违规趋势图、事前违规规则分布、事后违规规则分布、医疗费用各月情况等指标。支持用户以拖拽形式按需配置展示指标。</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 </w:t>
      </w:r>
      <w:r>
        <w:rPr>
          <w:rFonts w:hint="eastAsia" w:ascii="宋体" w:hAnsi="宋体" w:eastAsia="宋体" w:cs="宋体"/>
          <w:color w:val="auto"/>
          <w:sz w:val="21"/>
          <w:szCs w:val="21"/>
          <w:lang w:eastAsia="zh-CN"/>
        </w:rPr>
        <w:t>医院费用监管</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3.3.2.2.1 </w:t>
      </w:r>
      <w:r>
        <w:rPr>
          <w:rFonts w:hint="eastAsia" w:ascii="宋体" w:hAnsi="宋体" w:eastAsia="宋体" w:cs="宋体"/>
          <w:color w:val="auto"/>
          <w:sz w:val="21"/>
          <w:szCs w:val="21"/>
          <w:lang w:eastAsia="zh-CN"/>
        </w:rPr>
        <w:t>医院费用监管概览</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提供在院审核监管、在院科室违规、在院医生违规、在院违规规则分布、事后审核监管、事后科室违规、事后医生违规、事后违规规则分布等指标概览。</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3.3.2.2.2 </w:t>
      </w:r>
      <w:r>
        <w:rPr>
          <w:rFonts w:hint="eastAsia" w:ascii="宋体" w:hAnsi="宋体" w:eastAsia="宋体" w:cs="宋体"/>
          <w:color w:val="auto"/>
          <w:sz w:val="21"/>
          <w:szCs w:val="21"/>
          <w:lang w:eastAsia="zh-CN"/>
        </w:rPr>
        <w:t>事前预警</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▲在医生开具处方或医嘱时，通过系统集成的方式，对于违规行为给予实时的违规预警提醒。</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在护士接收医嘱，执行医嘱/记录费用项目时，通过系统集成的方式，对于发现的违规行为给予实时的预警提醒。</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在手术室录入补填收费项目时，通过系统集成的方式，对于发现的违规行为给予实时的预警提醒。</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3.3.2.2.3 </w:t>
      </w:r>
      <w:r>
        <w:rPr>
          <w:rFonts w:hint="eastAsia" w:ascii="宋体" w:hAnsi="宋体" w:eastAsia="宋体" w:cs="宋体"/>
          <w:color w:val="auto"/>
          <w:sz w:val="21"/>
          <w:szCs w:val="21"/>
          <w:lang w:eastAsia="zh-CN"/>
        </w:rPr>
        <w:t>事中监控</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在院全院监控管理</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按科室、医生、规则汇总住院病人违规的监控分析，每日增量同步当天数据进行分析，次日展示违规结果。展示在院病例的疑似违规数据，支持将高度可疑的违规数据下发至责任医生，并对医生反馈的信息进行审核。</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在院科室监控管理</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提供按科室、医生、规则汇总分析住院病人违规问题，每日增量同步当天数据进行分析，次日展示违规结果。科室质控人员对系统基于在院数据检出的疑似违规进行审核，将违规数据下发给相关医生。</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在院主治医生监控</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为主治医生提供在院违规数据浏览，主治医生可对医保办或科室质控人员下发的违规数据进行反馈，提交反馈内容，支持上传图片或word，pdf等类型的附件文件。</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在院开单医生监控</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为开单医生提供在院违规数据浏览，开单医生可对下发给自己的违规数据进行反馈，提交反馈内容，支持上传图片或word，pdf等类型的附件文件。</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在院记账人监控</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为收费明细中没有开单医生只有补记费记账人员提供在院违规数据浏览，记账人员可对下发给自己的违规数据进行反馈，提交反馈内容，支持上传图片或word，pdf等类型的附件文件。</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在院历史疑点查询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提供在院历次违规流水的数据展示，并展示违规反馈处理结果。</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出科提醒</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在护士出科处理时，通过系统集成的方式，对患者全部数据进行分析，对违规行为给予实时的违规预警提醒。</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3.3.2.2.4 </w:t>
      </w:r>
      <w:r>
        <w:rPr>
          <w:rFonts w:hint="eastAsia" w:ascii="宋体" w:hAnsi="宋体" w:eastAsia="宋体" w:cs="宋体"/>
          <w:color w:val="auto"/>
          <w:sz w:val="21"/>
          <w:szCs w:val="21"/>
          <w:lang w:eastAsia="zh-CN"/>
        </w:rPr>
        <w:t>事后审核</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事后全院审核管理</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提供按科室-医生-规则维度汇总已结算病人的疑似违规数据，医保办管理人员对系统检出的疑似违规数据，将违规数据下发给相关医生，支持医保办管理员对申诉内容进行审核。</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事后科室审核管理</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提供按科室-医生-规则维度汇总已结算病人的疑似违规数据，科室质控人员对系统基于在院数据检出的疑似违规进行审核，将违规数据下发给相关医生。</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事后主治医生申诉</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为主治医生提供已结算病人违规数据浏览，主治医生可对医保办或科室质控人员下发的违规数据进行反馈，提交反馈内容，支持上传图片或word，pdf等类型的附件文件。</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事后开单医生申诉</w:t>
      </w:r>
      <w:r>
        <w:rPr>
          <w:rFonts w:hint="eastAsia" w:ascii="宋体" w:hAnsi="宋体" w:eastAsia="宋体" w:cs="宋体"/>
          <w:color w:val="auto"/>
          <w:sz w:val="21"/>
          <w:szCs w:val="21"/>
          <w:lang w:val="en-GB" w:eastAsia="zh-CN"/>
        </w:rPr>
        <w:tab/>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为开单医生提供已结算病人违规数据浏览，开单医生可对医保办或科室质控人员下发的违规数据进行反馈，提交反馈内容，支持上传图片或word，pdf等类型的附件文件。</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事后记账人申诉</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GB" w:eastAsia="zh-CN"/>
        </w:rPr>
        <w:t>为提供收费明细中没有开单医生只有补记费记账人员提供已结算病人违规数据浏览，记账人可对医保办或科室质控人员下发的违规数据进行反馈，提交反馈内容，支持上传图片或word，pdf等类型的附件文件。</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3.3.2.2.5 </w:t>
      </w:r>
      <w:r>
        <w:rPr>
          <w:rFonts w:hint="eastAsia" w:ascii="宋体" w:hAnsi="宋体" w:eastAsia="宋体" w:cs="宋体"/>
          <w:color w:val="auto"/>
          <w:sz w:val="21"/>
          <w:szCs w:val="21"/>
          <w:lang w:eastAsia="zh-CN"/>
        </w:rPr>
        <w:t>医保申诉管理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医保违规疑点</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支持通过系统集成/EXECL导入等方式，获取省医保信息平台医保初审（机审）、复核的违规疑点数据，支持将违规疑点下发科室医生。</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医生违规申诉</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提供省医保信息平台下发的违规数据浏览，支持有异议的违规单据进行申诉。支持上传图片或word，pdf等类型的附件文件。</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院内申诉复核</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提供医保办人员对医生的申诉信息进行复核，支持通过系统集成方式将复核通过的申诉提交给省医保信息平台；复核不通过的申诉，退回至医生。</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申诉上传记录查询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支持查询从医院上传到省医保信息平台申诉记录。</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3.3.2.2.6 </w:t>
      </w:r>
      <w:r>
        <w:rPr>
          <w:rFonts w:hint="eastAsia" w:ascii="宋体" w:hAnsi="宋体" w:eastAsia="宋体" w:cs="宋体"/>
          <w:color w:val="auto"/>
          <w:sz w:val="21"/>
          <w:szCs w:val="21"/>
          <w:lang w:eastAsia="zh-CN"/>
        </w:rPr>
        <w:t>科室违规排名</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提供按科室违规排名分析，包含科室名称、违规次数、涉及金额、综合得分、同比、环比等排名信息。</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3.3.2.2.7 </w:t>
      </w:r>
      <w:r>
        <w:rPr>
          <w:rFonts w:hint="eastAsia" w:ascii="宋体" w:hAnsi="宋体" w:eastAsia="宋体" w:cs="宋体"/>
          <w:color w:val="auto"/>
          <w:sz w:val="21"/>
          <w:szCs w:val="21"/>
          <w:lang w:eastAsia="zh-CN"/>
        </w:rPr>
        <w:t>医生违规排名</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提供医生违规排名分析，包含医生姓名、科室名称、违规次数、涉及金额、综合得分、同比，环比等排名信息。</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3.3.2.2.8 </w:t>
      </w:r>
      <w:r>
        <w:rPr>
          <w:rFonts w:hint="eastAsia" w:ascii="宋体" w:hAnsi="宋体" w:eastAsia="宋体" w:cs="宋体"/>
          <w:color w:val="auto"/>
          <w:sz w:val="21"/>
          <w:szCs w:val="21"/>
          <w:lang w:eastAsia="zh-CN"/>
        </w:rPr>
        <w:t>事前提醒统计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提供以图表方式汇总院区事前预警的各类统计信息，提醒趋势、提醒规则分布、提醒科室排名并可查看违规详情并可查看违规详情。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3.3.2.2.9 </w:t>
      </w:r>
      <w:r>
        <w:rPr>
          <w:rFonts w:hint="eastAsia" w:ascii="宋体" w:hAnsi="宋体" w:eastAsia="宋体" w:cs="宋体"/>
          <w:color w:val="auto"/>
          <w:sz w:val="21"/>
          <w:szCs w:val="21"/>
          <w:lang w:eastAsia="zh-CN"/>
        </w:rPr>
        <w:t>事中提醒统计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提供以图表方式汇总院区事中预警的各类统计信息，提醒趋势、提醒规则分布、提醒科室排名并可查看违规详情并可查看违规详情。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3.3.2.2.10 </w:t>
      </w:r>
      <w:r>
        <w:rPr>
          <w:rFonts w:hint="eastAsia" w:ascii="宋体" w:hAnsi="宋体" w:eastAsia="宋体" w:cs="宋体"/>
          <w:color w:val="auto"/>
          <w:sz w:val="21"/>
          <w:szCs w:val="21"/>
          <w:lang w:eastAsia="zh-CN"/>
        </w:rPr>
        <w:t>事后违规统计</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提供以图表方式汇总院区事后违规的各类统计信息，提醒趋势、提醒规则分布、提醒科室排名并可查看违规详情并可查看违规详情。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3.3.2.2.11 </w:t>
      </w:r>
      <w:r>
        <w:rPr>
          <w:rFonts w:hint="eastAsia" w:ascii="宋体" w:hAnsi="宋体" w:eastAsia="宋体" w:cs="宋体"/>
          <w:color w:val="auto"/>
          <w:sz w:val="21"/>
          <w:szCs w:val="21"/>
          <w:lang w:eastAsia="zh-CN"/>
        </w:rPr>
        <w:t>违规统计分析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提供全院、科室、规则维度下总费用收入与违规涉及金额的统计分析。可查看不同类型的规则类型的占比数量与各违规等级的涉及金额。</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3.3.2.3</w:t>
      </w:r>
      <w:r>
        <w:rPr>
          <w:rFonts w:hint="eastAsia" w:ascii="宋体" w:hAnsi="宋体" w:eastAsia="宋体" w:cs="宋体"/>
          <w:color w:val="auto"/>
          <w:sz w:val="21"/>
          <w:szCs w:val="21"/>
          <w:lang w:eastAsia="zh-CN"/>
        </w:rPr>
        <w:t>医院运行分析</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3.3.2.3.1 </w:t>
      </w:r>
      <w:r>
        <w:rPr>
          <w:rFonts w:hint="eastAsia" w:ascii="宋体" w:hAnsi="宋体" w:eastAsia="宋体" w:cs="宋体"/>
          <w:color w:val="auto"/>
          <w:sz w:val="21"/>
          <w:szCs w:val="21"/>
          <w:lang w:eastAsia="zh-CN"/>
        </w:rPr>
        <w:t>医保费用分析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提供医院医保费用情况分析，包含医保总费用、结算总人次、均次药费、均次医保费用。支持按科室查询明细。</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3.3.2.3.2 </w:t>
      </w:r>
      <w:r>
        <w:rPr>
          <w:rFonts w:hint="eastAsia" w:ascii="宋体" w:hAnsi="宋体" w:eastAsia="宋体" w:cs="宋体"/>
          <w:color w:val="auto"/>
          <w:sz w:val="21"/>
          <w:szCs w:val="21"/>
          <w:lang w:eastAsia="zh-CN"/>
        </w:rPr>
        <w:t>整体费用分析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提供全院结算人次、总费用、统筹支出、平均住院天数的指标展示。支持按科室查询明细。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支持以图形化方式按月展示医疗费用各月情况，次均住院床日和结算人次分布，支持按科室查询明细。</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3.3.2.3.3 </w:t>
      </w:r>
      <w:r>
        <w:rPr>
          <w:rFonts w:hint="eastAsia" w:ascii="宋体" w:hAnsi="宋体" w:eastAsia="宋体" w:cs="宋体"/>
          <w:color w:val="auto"/>
          <w:sz w:val="21"/>
          <w:szCs w:val="21"/>
          <w:lang w:eastAsia="zh-CN"/>
        </w:rPr>
        <w:t>药品使用分析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提供药品的使用统计，支持向下钻取药品科室使用详情。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3.3.2.3.4 </w:t>
      </w:r>
      <w:r>
        <w:rPr>
          <w:rFonts w:hint="eastAsia" w:ascii="宋体" w:hAnsi="宋体" w:eastAsia="宋体" w:cs="宋体"/>
          <w:color w:val="auto"/>
          <w:sz w:val="21"/>
          <w:szCs w:val="21"/>
          <w:lang w:eastAsia="zh-CN"/>
        </w:rPr>
        <w:t>诊疗项目分析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提供诊疗项目的使用统计，支持向下钻取诊疗项目使用详情。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3.3.2.3.5 </w:t>
      </w:r>
      <w:r>
        <w:rPr>
          <w:rFonts w:hint="eastAsia" w:ascii="宋体" w:hAnsi="宋体" w:eastAsia="宋体" w:cs="宋体"/>
          <w:color w:val="auto"/>
          <w:sz w:val="21"/>
          <w:szCs w:val="21"/>
          <w:lang w:eastAsia="zh-CN"/>
        </w:rPr>
        <w:t>疾病情况分析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提供从疾病名称汇总角度统计，支持向下钻取科室详情。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3.3.2.3.6 </w:t>
      </w:r>
      <w:r>
        <w:rPr>
          <w:rFonts w:hint="eastAsia" w:ascii="宋体" w:hAnsi="宋体" w:eastAsia="宋体" w:cs="宋体"/>
          <w:color w:val="auto"/>
          <w:sz w:val="21"/>
          <w:szCs w:val="21"/>
          <w:lang w:eastAsia="zh-CN"/>
        </w:rPr>
        <w:t>耗材使用分析</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提供耗材的使用统计，支持向下钻取耗材科室使用详情。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3.3.2.3.7 </w:t>
      </w:r>
      <w:r>
        <w:rPr>
          <w:rFonts w:hint="eastAsia" w:ascii="宋体" w:hAnsi="宋体" w:eastAsia="宋体" w:cs="宋体"/>
          <w:color w:val="auto"/>
          <w:sz w:val="21"/>
          <w:szCs w:val="21"/>
          <w:lang w:eastAsia="zh-CN"/>
        </w:rPr>
        <w:t>医保运行监控</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▲支持大屏展示医院端事前、在院、事后的指标统计与监测。</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3.3.2.4 </w:t>
      </w:r>
      <w:r>
        <w:rPr>
          <w:rFonts w:hint="eastAsia" w:ascii="宋体" w:hAnsi="宋体" w:eastAsia="宋体" w:cs="宋体"/>
          <w:color w:val="auto"/>
          <w:sz w:val="21"/>
          <w:szCs w:val="21"/>
          <w:lang w:eastAsia="zh-CN"/>
        </w:rPr>
        <w:t>基础数据管理</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3.3.2.4.1 </w:t>
      </w:r>
      <w:r>
        <w:rPr>
          <w:rFonts w:hint="eastAsia" w:ascii="宋体" w:hAnsi="宋体" w:eastAsia="宋体" w:cs="宋体"/>
          <w:color w:val="auto"/>
          <w:sz w:val="21"/>
          <w:szCs w:val="21"/>
          <w:lang w:eastAsia="zh-CN"/>
        </w:rPr>
        <w:t>审核数据管理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反馈申诉类型设置</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提供在院监控、事后审核中反馈类型的自定义配置。</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疾病诊断维护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配置特别关注疾病诊断。在事后相关界面上会突出显示此疾病。</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3.3.2.4.2 </w:t>
      </w:r>
      <w:r>
        <w:rPr>
          <w:rFonts w:hint="eastAsia" w:ascii="宋体" w:hAnsi="宋体" w:eastAsia="宋体" w:cs="宋体"/>
          <w:color w:val="auto"/>
          <w:sz w:val="21"/>
          <w:szCs w:val="21"/>
          <w:lang w:eastAsia="zh-CN"/>
        </w:rPr>
        <w:t>公用数据管理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数据字典</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支持系统涉及的数据字典信息查询。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任务管理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系统可以定制高频次执行任务及任务配置，灵活使用。</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计划任务结果管理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可对已执行的计划任务结果进行查询、明细查看与删除操作。</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b/>
          <w:bCs/>
          <w:color w:val="auto"/>
          <w:sz w:val="21"/>
          <w:szCs w:val="21"/>
          <w:lang w:val="en-GB" w:eastAsia="zh-CN"/>
        </w:rPr>
        <w:t>药品说明书查询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提供按名称查询药品，支持浏览药品名称、成分、适应症、用法用量等说明书详情。</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医保政策管理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提供医保政策文档的上传维护，包含文件名称、发文字号、发布日期、发布机构、查看权限等信息。支持pdf政策文件上传。</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医保政策查询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提供医保政策文件查询，支持文件内容浏览，下载。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3.3.2.4.3 </w:t>
      </w:r>
      <w:r>
        <w:rPr>
          <w:rFonts w:hint="eastAsia" w:ascii="宋体" w:hAnsi="宋体" w:eastAsia="宋体" w:cs="宋体"/>
          <w:color w:val="auto"/>
          <w:sz w:val="21"/>
          <w:szCs w:val="21"/>
          <w:lang w:eastAsia="zh-CN"/>
        </w:rPr>
        <w:t>其他数据管理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医生信息维护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提供医生所在的科室或者医疗组层级关系维护功能。</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医院组织架构管理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提供医院组织架构维护信息，包括院区、上级科室、科室、医疗组的层级关系。</w:t>
      </w:r>
    </w:p>
    <w:p>
      <w:pPr>
        <w:pStyle w:val="98"/>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宋体" w:hAnsi="宋体" w:eastAsia="宋体" w:cs="宋体"/>
          <w:b/>
          <w:bCs/>
          <w:color w:val="auto"/>
          <w:sz w:val="21"/>
          <w:szCs w:val="21"/>
          <w:lang w:val="en-GB" w:eastAsia="zh-CN"/>
        </w:rPr>
      </w:pPr>
      <w:r>
        <w:rPr>
          <w:rFonts w:hint="eastAsia" w:ascii="宋体" w:hAnsi="宋体" w:eastAsia="宋体" w:cs="宋体"/>
          <w:b/>
          <w:bCs/>
          <w:color w:val="auto"/>
          <w:sz w:val="21"/>
          <w:szCs w:val="21"/>
          <w:lang w:val="en-GB" w:eastAsia="zh-CN"/>
        </w:rPr>
        <w:t>医疗组维护</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提供所添加医疗组信息维护功能。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3.3.2.5 </w:t>
      </w:r>
      <w:r>
        <w:rPr>
          <w:rFonts w:hint="eastAsia" w:ascii="宋体" w:hAnsi="宋体" w:eastAsia="宋体" w:cs="宋体"/>
          <w:color w:val="auto"/>
          <w:sz w:val="21"/>
          <w:szCs w:val="21"/>
          <w:lang w:eastAsia="zh-CN"/>
        </w:rPr>
        <w:t>风控中心</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3.3.2.5.1 </w:t>
      </w:r>
      <w:r>
        <w:rPr>
          <w:rFonts w:hint="eastAsia" w:ascii="宋体" w:hAnsi="宋体" w:eastAsia="宋体" w:cs="宋体"/>
          <w:color w:val="auto"/>
          <w:sz w:val="21"/>
          <w:szCs w:val="21"/>
          <w:lang w:eastAsia="zh-CN"/>
        </w:rPr>
        <w:t>风控-规则管理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支持配置风控中心的规则：启停、优先级、权重系统等，对规则参数进行管理。</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3.3.2.5.2 </w:t>
      </w:r>
      <w:r>
        <w:rPr>
          <w:rFonts w:hint="eastAsia" w:ascii="宋体" w:hAnsi="宋体" w:eastAsia="宋体" w:cs="宋体"/>
          <w:color w:val="auto"/>
          <w:sz w:val="21"/>
          <w:szCs w:val="21"/>
          <w:lang w:eastAsia="zh-CN"/>
        </w:rPr>
        <w:t>规则查询</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提供风控中心所有的规则查询功能。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3.3.2.5.3 </w:t>
      </w:r>
      <w:r>
        <w:rPr>
          <w:rFonts w:hint="eastAsia" w:ascii="宋体" w:hAnsi="宋体" w:eastAsia="宋体" w:cs="宋体"/>
          <w:color w:val="auto"/>
          <w:sz w:val="21"/>
          <w:szCs w:val="21"/>
          <w:lang w:eastAsia="zh-CN"/>
        </w:rPr>
        <w:t>规则配置</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提供配置风控中心规则的各类参数【数据范围、数据分组、阈值、违规输出和知识5块内容】功能。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3.3.2.6 </w:t>
      </w:r>
      <w:r>
        <w:rPr>
          <w:rFonts w:hint="eastAsia" w:ascii="宋体" w:hAnsi="宋体" w:eastAsia="宋体" w:cs="宋体"/>
          <w:color w:val="auto"/>
          <w:sz w:val="21"/>
          <w:szCs w:val="21"/>
          <w:lang w:eastAsia="zh-CN"/>
        </w:rPr>
        <w:t>系统管理</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3.3.2.6.1 </w:t>
      </w:r>
      <w:r>
        <w:rPr>
          <w:rFonts w:hint="eastAsia" w:ascii="宋体" w:hAnsi="宋体" w:eastAsia="宋体" w:cs="宋体"/>
          <w:color w:val="auto"/>
          <w:sz w:val="21"/>
          <w:szCs w:val="21"/>
          <w:lang w:eastAsia="zh-CN"/>
        </w:rPr>
        <w:t>科室管理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提供科室维护界面，利用树形结构灵活处理医院的组织架构。</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3.3.2.6.2 </w:t>
      </w:r>
      <w:r>
        <w:rPr>
          <w:rFonts w:hint="eastAsia" w:ascii="宋体" w:hAnsi="宋体" w:eastAsia="宋体" w:cs="宋体"/>
          <w:color w:val="auto"/>
          <w:sz w:val="21"/>
          <w:szCs w:val="21"/>
          <w:lang w:eastAsia="zh-CN"/>
        </w:rPr>
        <w:t>组织机构管理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提供管理单体医院的组织机构信息功能。</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3.3.2.6.3 </w:t>
      </w:r>
      <w:r>
        <w:rPr>
          <w:rFonts w:hint="eastAsia" w:ascii="宋体" w:hAnsi="宋体" w:eastAsia="宋体" w:cs="宋体"/>
          <w:color w:val="auto"/>
          <w:sz w:val="21"/>
          <w:szCs w:val="21"/>
          <w:lang w:eastAsia="zh-CN"/>
        </w:rPr>
        <w:t>用户管理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提供系统使用用户维护，支持用户角色分配。</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3.3.2.6.4 </w:t>
      </w:r>
      <w:r>
        <w:rPr>
          <w:rFonts w:hint="eastAsia" w:ascii="宋体" w:hAnsi="宋体" w:eastAsia="宋体" w:cs="宋体"/>
          <w:color w:val="auto"/>
          <w:sz w:val="21"/>
          <w:szCs w:val="21"/>
          <w:lang w:eastAsia="zh-CN"/>
        </w:rPr>
        <w:t>角色管理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提供用户角色维护，支持将系统使用模块分配给用户角色。</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3.3.2.6.5 </w:t>
      </w:r>
      <w:r>
        <w:rPr>
          <w:rFonts w:hint="eastAsia" w:ascii="宋体" w:hAnsi="宋体" w:eastAsia="宋体" w:cs="宋体"/>
          <w:color w:val="auto"/>
          <w:sz w:val="21"/>
          <w:szCs w:val="21"/>
          <w:lang w:eastAsia="zh-CN"/>
        </w:rPr>
        <w:t>模块管理</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提供系统功能模块维护，包含模块名称，模块编码，模块路径等信息。</w:t>
      </w:r>
    </w:p>
    <w:p>
      <w:pPr>
        <w:pStyle w:val="98"/>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3.3.2.6.6 </w:t>
      </w:r>
      <w:r>
        <w:rPr>
          <w:rFonts w:hint="eastAsia" w:ascii="宋体" w:hAnsi="宋体" w:eastAsia="宋体" w:cs="宋体"/>
          <w:color w:val="auto"/>
          <w:sz w:val="21"/>
          <w:szCs w:val="21"/>
          <w:lang w:eastAsia="zh-CN"/>
        </w:rPr>
        <w:t>系统日志</w:t>
      </w:r>
    </w:p>
    <w:p>
      <w:pPr>
        <w:pStyle w:val="9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bCs/>
          <w:sz w:val="21"/>
          <w:szCs w:val="21"/>
          <w:highlight w:val="white"/>
          <w:lang w:val="en-US" w:eastAsia="zh-CN"/>
        </w:rPr>
      </w:pPr>
      <w:r>
        <w:rPr>
          <w:rFonts w:hint="eastAsia" w:ascii="宋体" w:hAnsi="宋体" w:eastAsia="宋体" w:cs="宋体"/>
          <w:color w:val="auto"/>
          <w:sz w:val="21"/>
          <w:szCs w:val="21"/>
          <w:lang w:val="en-GB" w:eastAsia="zh-CN"/>
        </w:rPr>
        <w:t>提供用户操作行为浏览。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四、服务需求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项目服务进度要求：要求中标人根据项目建设单位的实际情况，科学合理的定出实施服务的时间表；对项目实施的各个阶段做出详细的计划；对项目实施的进度计划及控制中各阶段中投标人所要做的工作及保障措施做出详细安排。</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接口服务要求：完成与院内业务系统对接，项目实施过程中，与医院HIS系统及其它业务系统发生对接时，产生的工作和相关厂商接口费用由中标商承担。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五、服务要求</w:t>
      </w:r>
      <w:r>
        <w:rPr>
          <w:rFonts w:hint="eastAsia" w:ascii="宋体" w:hAnsi="宋体" w:eastAsia="宋体" w:cs="宋体"/>
          <w:sz w:val="21"/>
          <w:szCs w:val="21"/>
          <w:highlight w:val="none"/>
          <w:lang w:val="en-US" w:eastAsia="zh-CN"/>
        </w:rPr>
        <w:t>：</w:t>
      </w:r>
    </w:p>
    <w:p>
      <w:pPr>
        <w:pStyle w:val="87"/>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460" w:lineRule="exact"/>
        <w:ind w:firstLineChars="0"/>
        <w:textAlignment w:val="auto"/>
        <w:outlineLvl w:val="2"/>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在投标报价：</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本服务项目预算为130万元，投标人投标报价超过预算的为无效投标。投标报价包含完成采购项目的技术服务所有费用。</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2.实施或完工时间：</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本项目实施工期3个月。</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投标人成交结果经公示无异议后，合同签订 7日内实施人员进场服务实施，2个月内完成服务上线试运行，6个月内完成合同内服务验收；免费服务期24个月，自验收合格之日期，在此期间免费给予软件更新、版本升级、运维等服务。免费维护期到期后，服务费</w:t>
      </w:r>
      <w:r>
        <w:rPr>
          <w:rFonts w:hint="eastAsia" w:ascii="宋体" w:hAnsi="宋体" w:cs="宋体"/>
          <w:b w:val="0"/>
          <w:bCs w:val="0"/>
          <w:sz w:val="21"/>
          <w:szCs w:val="21"/>
          <w:highlight w:val="none"/>
          <w:lang w:val="en-US" w:eastAsia="zh-CN"/>
        </w:rPr>
        <w:t>不超过</w:t>
      </w:r>
      <w:r>
        <w:rPr>
          <w:rFonts w:hint="eastAsia" w:ascii="宋体" w:hAnsi="宋体" w:eastAsia="宋体" w:cs="宋体"/>
          <w:b w:val="0"/>
          <w:bCs w:val="0"/>
          <w:sz w:val="21"/>
          <w:szCs w:val="21"/>
          <w:highlight w:val="none"/>
          <w:lang w:val="en-US" w:eastAsia="zh-CN"/>
        </w:rPr>
        <w:t>中标金额的5%收取。</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3.项目实施地点：采购人指定地点。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4.付款方式：</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合同签订后7个工作日内，乙方将中标金额的10%做为履约保证金，电汇给甲方账户，质保期24个月后且项目无质量问题后退还乙方。</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合同签订后 7 个工作日内，采购方向供应商支付合同总价款的 40%；</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项目正式上线经甲方签字确认后，采购方向供应商支付合同总价款的 30%；</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项目验收后，采购方向供应商支付合同总价款的 30%。</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5.项目验收要求:项目交付后由采购人根据合同、招标文件、投标文件组织验收。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6.售后服务基本要求：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在合同签订后，中标人需根据医院具体问题提供以下几种形式的技术服务：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（1）培训服务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项目试运行期间，中标人负责为医院免费培训 1-2 名系统维护人员，通过培训，使维护人员能熟练规范的进行操作，对一般故障能进行处理和日常维护。</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（2）电话咨询服务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免费提供每周 7 X 24 小时电话支持服务，解答医院在服务过程中遇到的问题，及时提出解决问题的建议和方法。</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（3）远程在线技术支持服务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中在服务期内采购人如遇到电话咨询无法解决的问题，中标人须在8小时内安排专家进行远程支持，远程支持无法解决的问题，2天内提供现场服务。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7.团队人员配置要求: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white"/>
          <w:lang w:val="en-US" w:eastAsia="zh-CN"/>
        </w:rPr>
      </w:pPr>
      <w:r>
        <w:rPr>
          <w:rFonts w:hint="eastAsia" w:ascii="宋体" w:hAnsi="宋体" w:eastAsia="宋体" w:cs="宋体"/>
          <w:b w:val="0"/>
          <w:bCs w:val="0"/>
          <w:sz w:val="21"/>
          <w:szCs w:val="21"/>
          <w:highlight w:val="none"/>
          <w:lang w:val="en-US" w:eastAsia="zh-CN"/>
        </w:rPr>
        <w:t>中标人公司部署服务期间需保证派至少1名项目经理和3名技术服务人员负责服务方案的对接、推进、医院相关科室或者工作人员的解释沟通工作。在服务期1年内，至少安排1名驻场工程师给予现场服务。</w:t>
      </w:r>
    </w:p>
    <w:p/>
    <w:p/>
    <w:p>
      <w:pPr>
        <w:rPr>
          <w:rStyle w:val="52"/>
          <w:rFonts w:hint="eastAsia" w:ascii="宋体" w:hAnsi="宋体" w:cs="宋体"/>
          <w:b/>
          <w:bCs/>
          <w:color w:val="auto"/>
          <w:sz w:val="44"/>
          <w:szCs w:val="44"/>
          <w:highlight w:val="none"/>
        </w:rPr>
      </w:pPr>
    </w:p>
    <w:p>
      <w:pPr>
        <w:rPr>
          <w:rStyle w:val="52"/>
          <w:rFonts w:hint="eastAsia" w:ascii="宋体" w:hAnsi="宋体" w:cs="宋体"/>
          <w:b/>
          <w:bCs/>
          <w:color w:val="auto"/>
          <w:sz w:val="44"/>
          <w:szCs w:val="44"/>
          <w:highlight w:val="none"/>
        </w:rPr>
      </w:pPr>
      <w:r>
        <w:rPr>
          <w:rFonts w:hint="eastAsia"/>
          <w:color w:val="auto"/>
          <w:sz w:val="44"/>
          <w:szCs w:val="44"/>
          <w:highlight w:val="none"/>
        </w:rPr>
        <w:br w:type="page"/>
      </w:r>
    </w:p>
    <w:p>
      <w:pPr>
        <w:pStyle w:val="3"/>
        <w:numPr>
          <w:ilvl w:val="0"/>
          <w:numId w:val="4"/>
        </w:numPr>
        <w:rPr>
          <w:rStyle w:val="52"/>
          <w:rFonts w:hint="eastAsia" w:ascii="宋体" w:hAnsi="宋体" w:cs="宋体"/>
          <w:b/>
          <w:bCs/>
          <w:color w:val="auto"/>
          <w:sz w:val="36"/>
          <w:szCs w:val="36"/>
          <w:highlight w:val="none"/>
        </w:rPr>
      </w:pPr>
      <w:bookmarkStart w:id="256" w:name="_Toc18595"/>
      <w:r>
        <w:rPr>
          <w:rFonts w:hint="eastAsia"/>
          <w:color w:val="auto"/>
          <w:sz w:val="36"/>
          <w:szCs w:val="36"/>
          <w:highlight w:val="none"/>
        </w:rPr>
        <w:t>评审方法（综合评分法）</w:t>
      </w:r>
      <w:bookmarkEnd w:id="243"/>
      <w:bookmarkEnd w:id="244"/>
      <w:bookmarkEnd w:id="245"/>
      <w:bookmarkEnd w:id="246"/>
      <w:bookmarkEnd w:id="247"/>
      <w:bookmarkEnd w:id="248"/>
      <w:bookmarkEnd w:id="249"/>
      <w:bookmarkEnd w:id="256"/>
    </w:p>
    <w:p>
      <w:pPr>
        <w:tabs>
          <w:tab w:val="left" w:pos="420"/>
          <w:tab w:val="left" w:pos="7560"/>
          <w:tab w:val="left" w:pos="7740"/>
          <w:tab w:val="left" w:pos="7920"/>
        </w:tabs>
        <w:adjustRightInd w:val="0"/>
        <w:snapToGrid w:val="0"/>
        <w:spacing w:line="400" w:lineRule="exact"/>
        <w:jc w:val="left"/>
        <w:outlineLvl w:val="1"/>
        <w:rPr>
          <w:rFonts w:hint="eastAsia" w:ascii="宋体" w:hAnsi="宋体"/>
          <w:b/>
          <w:color w:val="auto"/>
          <w:szCs w:val="21"/>
          <w:highlight w:val="none"/>
        </w:rPr>
      </w:pPr>
      <w:bookmarkStart w:id="257" w:name="_Toc2300"/>
      <w:bookmarkStart w:id="258" w:name="_Toc13775"/>
      <w:bookmarkStart w:id="259" w:name="_Toc14328"/>
      <w:bookmarkStart w:id="260" w:name="_Toc26942"/>
      <w:bookmarkStart w:id="261" w:name="_Toc10873"/>
      <w:bookmarkStart w:id="262" w:name="_Toc7581"/>
      <w:r>
        <w:rPr>
          <w:rFonts w:hint="eastAsia" w:ascii="宋体" w:hAnsi="宋体"/>
          <w:b/>
          <w:color w:val="auto"/>
          <w:szCs w:val="21"/>
          <w:highlight w:val="none"/>
        </w:rPr>
        <w:t>一、综合评分</w:t>
      </w:r>
      <w:bookmarkEnd w:id="257"/>
      <w:bookmarkEnd w:id="258"/>
      <w:bookmarkEnd w:id="259"/>
      <w:bookmarkEnd w:id="260"/>
      <w:bookmarkEnd w:id="261"/>
      <w:bookmarkEnd w:id="262"/>
    </w:p>
    <w:p>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1.经磋商确定最终采购需求和提交最后报价的供应商后，由磋商小组采用综合评分法对提交最后报价的供应商的响应文件和最后报价进行综合评分。</w:t>
      </w:r>
    </w:p>
    <w:p>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综合评分法，是指响应文件满足磋商文件全部实质性要求且按评审因素的量化指标评审得分最高的供应商为成交候选供应商的评审方法。</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2.评审时，磋商小组各成员应当独立对每个有效响应的文件进行评价、打分，然后汇总每个供应商每项评分因素的得分。</w:t>
      </w:r>
    </w:p>
    <w:p>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3.符合《政府采购竞争性磋商采购方式管理暂行办法》（财库</w:t>
      </w:r>
      <w:r>
        <w:rPr>
          <w:rFonts w:hint="eastAsia" w:ascii="宋体" w:hAnsi="宋体" w:cs="宋体"/>
          <w:color w:val="auto"/>
          <w:szCs w:val="21"/>
          <w:highlight w:val="none"/>
        </w:rPr>
        <w:t>〔2014〕</w:t>
      </w:r>
      <w:r>
        <w:rPr>
          <w:rFonts w:hint="eastAsia" w:ascii="宋体" w:hAnsi="宋体"/>
          <w:color w:val="auto"/>
          <w:szCs w:val="21"/>
          <w:highlight w:val="none"/>
        </w:rPr>
        <w:t>214号）中第三条第三项的规定和执行统一价格标准的项目，其价格不列为评分因素。有特殊情况需要在上述规定范围外设定价格分权重的，应当经本级人民政府财政部门审核同意。</w:t>
      </w:r>
    </w:p>
    <w:p>
      <w:pPr>
        <w:tabs>
          <w:tab w:val="left" w:pos="420"/>
          <w:tab w:val="left" w:pos="7560"/>
          <w:tab w:val="left" w:pos="7740"/>
          <w:tab w:val="left" w:pos="7920"/>
        </w:tabs>
        <w:adjustRightInd w:val="0"/>
        <w:snapToGrid w:val="0"/>
        <w:spacing w:line="400" w:lineRule="exact"/>
        <w:jc w:val="left"/>
        <w:outlineLvl w:val="1"/>
        <w:rPr>
          <w:rFonts w:hint="eastAsia" w:ascii="宋体" w:hAnsi="宋体"/>
          <w:b/>
          <w:color w:val="auto"/>
          <w:szCs w:val="21"/>
          <w:highlight w:val="none"/>
        </w:rPr>
      </w:pPr>
      <w:bookmarkStart w:id="263" w:name="_Toc522"/>
      <w:bookmarkStart w:id="264" w:name="_Toc20109"/>
      <w:bookmarkStart w:id="265" w:name="_Toc17866"/>
      <w:bookmarkStart w:id="266" w:name="_Toc3546"/>
      <w:bookmarkStart w:id="267" w:name="_Toc22969"/>
      <w:bookmarkStart w:id="268" w:name="_Toc21572"/>
      <w:r>
        <w:rPr>
          <w:rFonts w:hint="eastAsia" w:ascii="宋体" w:hAnsi="宋体"/>
          <w:b/>
          <w:color w:val="auto"/>
          <w:szCs w:val="21"/>
          <w:highlight w:val="none"/>
        </w:rPr>
        <w:t>二、推荐成交供应商</w:t>
      </w:r>
      <w:bookmarkEnd w:id="263"/>
      <w:bookmarkEnd w:id="264"/>
      <w:bookmarkEnd w:id="265"/>
      <w:bookmarkEnd w:id="266"/>
      <w:bookmarkEnd w:id="267"/>
      <w:bookmarkEnd w:id="268"/>
    </w:p>
    <w:p>
      <w:pPr>
        <w:widowControl/>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1.磋商小组应当根据综合评分情况，按照评审得分由高到低顺序</w:t>
      </w:r>
      <w:r>
        <w:rPr>
          <w:rFonts w:hint="eastAsia" w:ascii="宋体" w:hAnsi="宋体"/>
          <w:b/>
          <w:color w:val="auto"/>
          <w:szCs w:val="21"/>
          <w:highlight w:val="none"/>
        </w:rPr>
        <w:t>推荐3名成交候选供应商</w:t>
      </w:r>
      <w:r>
        <w:rPr>
          <w:rFonts w:hint="eastAsia" w:ascii="宋体" w:hAnsi="宋体"/>
          <w:bCs/>
          <w:color w:val="auto"/>
          <w:szCs w:val="21"/>
          <w:highlight w:val="none"/>
        </w:rPr>
        <w:t>，并编写评审报告。符合《政府采购竞争性磋商采购方式管理暂行办法》</w:t>
      </w:r>
      <w:r>
        <w:rPr>
          <w:rFonts w:hint="eastAsia" w:ascii="宋体" w:hAnsi="宋体"/>
          <w:color w:val="auto"/>
          <w:szCs w:val="21"/>
          <w:highlight w:val="none"/>
        </w:rPr>
        <w:t>（财库</w:t>
      </w:r>
      <w:r>
        <w:rPr>
          <w:rFonts w:hint="eastAsia" w:ascii="宋体" w:hAnsi="宋体" w:cs="宋体"/>
          <w:color w:val="auto"/>
          <w:szCs w:val="21"/>
          <w:highlight w:val="none"/>
        </w:rPr>
        <w:t>〔2014〕</w:t>
      </w:r>
      <w:r>
        <w:rPr>
          <w:rFonts w:hint="eastAsia" w:ascii="宋体" w:hAnsi="宋体"/>
          <w:color w:val="auto"/>
          <w:szCs w:val="21"/>
          <w:highlight w:val="none"/>
        </w:rPr>
        <w:t>214号）</w:t>
      </w:r>
      <w:r>
        <w:rPr>
          <w:rFonts w:hint="eastAsia" w:ascii="宋体" w:hAnsi="宋体"/>
          <w:bCs/>
          <w:color w:val="auto"/>
          <w:szCs w:val="21"/>
          <w:highlight w:val="none"/>
        </w:rPr>
        <w:t>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2.评分计算方法解释</w:t>
      </w:r>
    </w:p>
    <w:p>
      <w:pPr>
        <w:widowControl/>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（1）供应商的评审得分是指所有磋商小组成员对其评分的算术平均值。</w:t>
      </w:r>
    </w:p>
    <w:p>
      <w:pPr>
        <w:spacing w:line="400" w:lineRule="exact"/>
        <w:jc w:val="left"/>
        <w:rPr>
          <w:rFonts w:hint="eastAsia"/>
          <w:b/>
          <w:bCs/>
          <w:color w:val="auto"/>
          <w:szCs w:val="21"/>
          <w:highlight w:val="none"/>
        </w:rPr>
      </w:pPr>
      <w:r>
        <w:rPr>
          <w:rFonts w:hint="eastAsia" w:ascii="宋体" w:hAnsi="宋体"/>
          <w:bCs/>
          <w:color w:val="auto"/>
          <w:szCs w:val="21"/>
          <w:highlight w:val="none"/>
        </w:rPr>
        <w:t>（2）计算过程中，算术平均值保留2位小数（百分比亦取2位小数），第三位小数四舍五入。</w:t>
      </w:r>
    </w:p>
    <w:p>
      <w:pPr>
        <w:widowControl/>
        <w:adjustRightInd w:val="0"/>
        <w:snapToGrid w:val="0"/>
        <w:spacing w:line="400" w:lineRule="exact"/>
        <w:jc w:val="left"/>
        <w:outlineLvl w:val="1"/>
        <w:rPr>
          <w:rFonts w:hint="eastAsia" w:ascii="宋体" w:hAnsi="宋体"/>
          <w:b/>
          <w:bCs/>
          <w:color w:val="auto"/>
          <w:szCs w:val="21"/>
          <w:highlight w:val="none"/>
        </w:rPr>
      </w:pPr>
      <w:bookmarkStart w:id="269" w:name="_Toc479"/>
      <w:bookmarkStart w:id="270" w:name="_Toc10101"/>
      <w:bookmarkStart w:id="271" w:name="_Toc16850"/>
      <w:bookmarkStart w:id="272" w:name="_Toc19192"/>
      <w:bookmarkStart w:id="273" w:name="_Toc8398"/>
      <w:bookmarkStart w:id="274" w:name="_Toc30147"/>
      <w:r>
        <w:rPr>
          <w:rFonts w:hint="eastAsia" w:ascii="宋体" w:hAnsi="宋体"/>
          <w:b/>
          <w:bCs/>
          <w:color w:val="auto"/>
          <w:szCs w:val="21"/>
          <w:highlight w:val="none"/>
        </w:rPr>
        <w:t>三、确定成交供应商</w:t>
      </w:r>
      <w:bookmarkEnd w:id="269"/>
      <w:bookmarkEnd w:id="270"/>
      <w:bookmarkEnd w:id="271"/>
      <w:bookmarkEnd w:id="272"/>
      <w:bookmarkEnd w:id="273"/>
      <w:bookmarkEnd w:id="274"/>
    </w:p>
    <w:p>
      <w:pPr>
        <w:widowControl/>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1.采购代理机构应当在评审结束后2个工作日内将评审报告送采购人确认。</w:t>
      </w:r>
    </w:p>
    <w:p>
      <w:pPr>
        <w:widowControl/>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、评标委员会应当执行连续评标的原则完成全部评标工作。只有发生不可抗力导 致评标工作无法继续时，评标活动方可暂停。发生评标暂停情况时，评标委员会应当封 存全部投标文件和评标记录，待不可抗力的影响结束且具备继续评标的条件时，由原评 标委员会继续评标。</w:t>
      </w:r>
    </w:p>
    <w:p>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、除非发生下列情况之一，评标委员会成员不得在评标中途更换：(1)因不可抗拒 的客观原因，不能到场或需在评标中途退出评标活动； (2)根据法律法规规定，某个或 某几个评标委员会成员需要回避。退出评标的评标委员会成员，其已完成的评标行为无效。根据本招标文件规定的评标委员会成员产生方式另行确定替代者进行评标。</w:t>
      </w:r>
    </w:p>
    <w:p>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、在任何评标环节中，需评标委员会就某项评审结论做出表决的， 由评标委员会 全体成员按照少数服从多数的原则，以记名投票方式表决。</w:t>
      </w:r>
    </w:p>
    <w:p>
      <w:pPr>
        <w:pStyle w:val="103"/>
        <w:spacing w:line="400" w:lineRule="exact"/>
        <w:jc w:val="left"/>
        <w:rPr>
          <w:rFonts w:hint="eastAsia" w:ascii="宋体" w:hAnsi="宋体" w:cs="宋体"/>
          <w:color w:val="auto"/>
          <w:szCs w:val="21"/>
          <w:highlight w:val="none"/>
        </w:rPr>
      </w:pPr>
    </w:p>
    <w:p>
      <w:pPr>
        <w:pStyle w:val="103"/>
        <w:spacing w:line="400" w:lineRule="exact"/>
        <w:jc w:val="left"/>
        <w:outlineLvl w:val="9"/>
        <w:rPr>
          <w:rFonts w:hint="eastAsia"/>
          <w:color w:val="auto"/>
          <w:highlight w:val="none"/>
        </w:rPr>
      </w:pPr>
      <w:r>
        <w:rPr>
          <w:rFonts w:hint="eastAsia" w:ascii="宋体" w:hAnsi="宋体" w:cs="宋体"/>
          <w:color w:val="auto"/>
          <w:szCs w:val="21"/>
          <w:highlight w:val="none"/>
        </w:rPr>
        <w:br w:type="page"/>
      </w:r>
    </w:p>
    <w:p>
      <w:pPr>
        <w:autoSpaceDE w:val="0"/>
        <w:autoSpaceDN w:val="0"/>
        <w:adjustRightInd w:val="0"/>
        <w:spacing w:line="440" w:lineRule="exact"/>
        <w:jc w:val="center"/>
        <w:rPr>
          <w:b/>
          <w:bCs/>
          <w:color w:val="auto"/>
          <w:sz w:val="24"/>
        </w:rPr>
      </w:pPr>
      <w:bookmarkStart w:id="275" w:name="_Toc29375"/>
      <w:bookmarkStart w:id="276" w:name="_Toc529952599"/>
      <w:bookmarkStart w:id="277" w:name="_Toc27929"/>
      <w:bookmarkStart w:id="278" w:name="_Toc7066"/>
      <w:bookmarkStart w:id="279" w:name="_Toc14252"/>
      <w:bookmarkStart w:id="280" w:name="_Toc14735"/>
      <w:bookmarkStart w:id="281" w:name="_Toc30881"/>
      <w:bookmarkStart w:id="282" w:name="_Toc29392"/>
      <w:r>
        <w:rPr>
          <w:rFonts w:hint="eastAsia" w:cs="宋体"/>
          <w:b/>
          <w:bCs/>
          <w:color w:val="auto"/>
          <w:sz w:val="24"/>
          <w:lang w:val="zh-CN"/>
        </w:rPr>
        <w:t>技术</w:t>
      </w:r>
      <w:r>
        <w:rPr>
          <w:rFonts w:hint="eastAsia" w:cs="宋体"/>
          <w:b/>
          <w:bCs/>
          <w:color w:val="auto"/>
          <w:sz w:val="24"/>
          <w:lang w:val="en-US" w:eastAsia="zh-CN"/>
        </w:rPr>
        <w:t>部分</w:t>
      </w:r>
      <w:r>
        <w:rPr>
          <w:rFonts w:hint="eastAsia" w:cs="宋体"/>
          <w:b/>
          <w:bCs/>
          <w:color w:val="auto"/>
          <w:sz w:val="24"/>
          <w:lang w:val="zh-CN"/>
        </w:rPr>
        <w:t>详细评审</w:t>
      </w:r>
    </w:p>
    <w:p>
      <w:pPr>
        <w:spacing w:line="440" w:lineRule="exact"/>
        <w:rPr>
          <w:rFonts w:hint="eastAsia"/>
          <w:color w:val="auto"/>
          <w:sz w:val="24"/>
        </w:rPr>
      </w:pPr>
      <w:r>
        <w:rPr>
          <w:rFonts w:hint="eastAsia"/>
          <w:color w:val="auto"/>
          <w:sz w:val="24"/>
        </w:rPr>
        <w:t>评标委员会只对通过上述评审的技术</w:t>
      </w:r>
      <w:r>
        <w:rPr>
          <w:rFonts w:hint="eastAsia"/>
          <w:color w:val="auto"/>
          <w:sz w:val="24"/>
          <w:lang w:val="en-US" w:eastAsia="zh-CN"/>
        </w:rPr>
        <w:t>部分</w:t>
      </w:r>
      <w:r>
        <w:rPr>
          <w:rFonts w:hint="eastAsia"/>
          <w:color w:val="auto"/>
          <w:sz w:val="24"/>
        </w:rPr>
        <w:t>按照《技术</w:t>
      </w:r>
      <w:r>
        <w:rPr>
          <w:rFonts w:hint="eastAsia"/>
          <w:color w:val="auto"/>
          <w:sz w:val="24"/>
          <w:lang w:val="en-US" w:eastAsia="zh-CN"/>
        </w:rPr>
        <w:t>部分</w:t>
      </w:r>
      <w:r>
        <w:rPr>
          <w:rFonts w:hint="eastAsia"/>
          <w:color w:val="auto"/>
          <w:sz w:val="24"/>
        </w:rPr>
        <w:t>评审标准》进行详细审。</w:t>
      </w:r>
    </w:p>
    <w:p>
      <w:pPr>
        <w:autoSpaceDE w:val="0"/>
        <w:autoSpaceDN w:val="0"/>
        <w:adjustRightInd w:val="0"/>
        <w:jc w:val="center"/>
        <w:rPr>
          <w:rFonts w:hint="eastAsia" w:cs="宋体"/>
          <w:b/>
          <w:bCs/>
          <w:color w:val="auto"/>
          <w:sz w:val="24"/>
          <w:lang w:val="zh-CN"/>
        </w:rPr>
      </w:pPr>
    </w:p>
    <w:p>
      <w:pPr>
        <w:autoSpaceDE w:val="0"/>
        <w:autoSpaceDN w:val="0"/>
        <w:adjustRightInd w:val="0"/>
        <w:jc w:val="center"/>
        <w:rPr>
          <w:rFonts w:hint="eastAsia" w:cs="宋体"/>
          <w:b/>
          <w:bCs/>
          <w:color w:val="auto"/>
          <w:sz w:val="24"/>
          <w:lang w:val="zh-CN"/>
        </w:rPr>
      </w:pPr>
      <w:r>
        <w:rPr>
          <w:rFonts w:hint="eastAsia" w:cs="宋体"/>
          <w:b/>
          <w:bCs/>
          <w:color w:val="auto"/>
          <w:sz w:val="24"/>
          <w:lang w:val="zh-CN"/>
        </w:rPr>
        <w:t>技术</w:t>
      </w:r>
      <w:r>
        <w:rPr>
          <w:rFonts w:hint="eastAsia" w:cs="宋体"/>
          <w:b/>
          <w:bCs/>
          <w:color w:val="auto"/>
          <w:sz w:val="24"/>
          <w:lang w:val="en-US" w:eastAsia="zh-CN"/>
        </w:rPr>
        <w:t>部分</w:t>
      </w:r>
      <w:r>
        <w:rPr>
          <w:rFonts w:hint="eastAsia" w:cs="宋体"/>
          <w:b/>
          <w:bCs/>
          <w:color w:val="auto"/>
          <w:sz w:val="24"/>
          <w:lang w:val="zh-CN"/>
        </w:rPr>
        <w:t>评审标准</w:t>
      </w:r>
    </w:p>
    <w:p>
      <w:pPr>
        <w:pStyle w:val="2"/>
        <w:rPr>
          <w:lang w:val="zh-CN"/>
        </w:rPr>
      </w:pPr>
    </w:p>
    <w:tbl>
      <w:tblPr>
        <w:tblStyle w:val="42"/>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945"/>
        <w:gridCol w:w="735"/>
        <w:gridCol w:w="5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025"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评分因素</w:t>
            </w:r>
          </w:p>
        </w:tc>
        <w:tc>
          <w:tcPr>
            <w:tcW w:w="73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589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技术部分（</w:t>
            </w:r>
            <w:r>
              <w:rPr>
                <w:rFonts w:hint="eastAsia" w:ascii="宋体" w:hAnsi="宋体" w:cs="宋体"/>
                <w:i w:val="0"/>
                <w:color w:val="000000"/>
                <w:kern w:val="0"/>
                <w:sz w:val="21"/>
                <w:szCs w:val="21"/>
                <w:u w:val="none"/>
                <w:lang w:val="en-US" w:eastAsia="zh-CN" w:bidi="ar"/>
              </w:rPr>
              <w:t>56</w:t>
            </w:r>
            <w:r>
              <w:rPr>
                <w:rFonts w:hint="eastAsia" w:ascii="宋体" w:hAnsi="宋体" w:eastAsia="宋体" w:cs="宋体"/>
                <w:i w:val="0"/>
                <w:color w:val="000000"/>
                <w:kern w:val="0"/>
                <w:sz w:val="21"/>
                <w:szCs w:val="21"/>
                <w:u w:val="none"/>
                <w:lang w:val="en-US" w:eastAsia="zh-CN" w:bidi="ar"/>
              </w:rPr>
              <w:t>分）</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需求理解</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w:t>
            </w:r>
          </w:p>
        </w:tc>
        <w:tc>
          <w:tcPr>
            <w:tcW w:w="5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投标人对现有DIP支付方式改革的政策、现状、分组、分值测算和服务要求等内容的理解程度。</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方案全面完整、内容言简意赅</w:t>
            </w:r>
            <w:r>
              <w:rPr>
                <w:rFonts w:hint="eastAsia" w:ascii="宋体" w:hAnsi="宋体" w:eastAsia="宋体" w:cs="宋体"/>
                <w:i w:val="0"/>
                <w:color w:val="000000"/>
                <w:kern w:val="0"/>
                <w:sz w:val="21"/>
                <w:szCs w:val="21"/>
                <w:highlight w:val="none"/>
                <w:u w:val="none"/>
                <w:lang w:val="en-US" w:eastAsia="zh-CN" w:bidi="ar"/>
              </w:rPr>
              <w:t>得5分；</w:t>
            </w:r>
            <w:r>
              <w:rPr>
                <w:rFonts w:hint="eastAsia" w:ascii="宋体" w:hAnsi="宋体" w:eastAsia="宋体" w:cs="宋体"/>
                <w:i w:val="0"/>
                <w:color w:val="000000"/>
                <w:kern w:val="0"/>
                <w:sz w:val="21"/>
                <w:szCs w:val="21"/>
                <w:u w:val="none"/>
                <w:lang w:val="en-US" w:eastAsia="zh-CN" w:bidi="ar"/>
              </w:rPr>
              <w:t>方案较为完整、内容简明扼要得4-3分；方案基本完整、内容相形见绌得2-1分；方案欠缺内容较多或者未提供此项内容不得分。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vMerge w:val="restart"/>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技术方案</w:t>
            </w:r>
          </w:p>
        </w:tc>
        <w:tc>
          <w:tcPr>
            <w:tcW w:w="735" w:type="dxa"/>
            <w:vMerge w:val="restart"/>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35</w:t>
            </w:r>
          </w:p>
        </w:tc>
        <w:tc>
          <w:tcPr>
            <w:tcW w:w="5895" w:type="dxa"/>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总体设计方案：</w:t>
            </w:r>
            <w:r>
              <w:rPr>
                <w:rFonts w:hint="eastAsia" w:ascii="宋体" w:hAnsi="宋体" w:eastAsia="宋体" w:cs="宋体"/>
                <w:i w:val="0"/>
                <w:color w:val="auto"/>
                <w:kern w:val="0"/>
                <w:sz w:val="21"/>
                <w:szCs w:val="21"/>
                <w:highlight w:val="none"/>
                <w:u w:val="none"/>
                <w:lang w:val="en-US" w:eastAsia="zh-CN" w:bidi="ar"/>
              </w:rPr>
              <w:t>投标人能够根据采购需求，提供总体设计，应至少涵盖但不限于系统应用架构、系统逻辑架构、系统数据架构。方案科学、合理，表述准确清晰、可操作性强的，得</w:t>
            </w:r>
            <w:r>
              <w:rPr>
                <w:rFonts w:hint="eastAsia" w:ascii="宋体" w:hAnsi="宋体" w:cs="宋体"/>
                <w:i w:val="0"/>
                <w:color w:val="auto"/>
                <w:kern w:val="0"/>
                <w:sz w:val="21"/>
                <w:szCs w:val="21"/>
                <w:highlight w:val="none"/>
                <w:u w:val="none"/>
                <w:lang w:val="en-US" w:eastAsia="zh-CN" w:bidi="ar"/>
              </w:rPr>
              <w:t>8</w:t>
            </w:r>
            <w:r>
              <w:rPr>
                <w:rFonts w:hint="eastAsia" w:ascii="宋体" w:hAnsi="宋体" w:eastAsia="宋体" w:cs="宋体"/>
                <w:i w:val="0"/>
                <w:color w:val="auto"/>
                <w:kern w:val="0"/>
                <w:sz w:val="21"/>
                <w:szCs w:val="21"/>
                <w:highlight w:val="none"/>
                <w:u w:val="none"/>
                <w:lang w:val="en-US" w:eastAsia="zh-CN" w:bidi="ar"/>
              </w:rPr>
              <w:t>分；方案内容相对完整，能够针对本采购项目内容要求而细化制定、基本合理，针对性不强的，得</w:t>
            </w:r>
            <w:r>
              <w:rPr>
                <w:rFonts w:hint="eastAsia" w:ascii="宋体" w:hAnsi="宋体" w:cs="宋体"/>
                <w:i w:val="0"/>
                <w:color w:val="auto"/>
                <w:kern w:val="0"/>
                <w:sz w:val="21"/>
                <w:szCs w:val="21"/>
                <w:highlight w:val="none"/>
                <w:u w:val="none"/>
                <w:lang w:val="en-US" w:eastAsia="zh-CN" w:bidi="ar"/>
              </w:rPr>
              <w:t>5-7</w:t>
            </w:r>
            <w:r>
              <w:rPr>
                <w:rFonts w:hint="eastAsia" w:ascii="宋体" w:hAnsi="宋体" w:eastAsia="宋体" w:cs="宋体"/>
                <w:i w:val="0"/>
                <w:color w:val="auto"/>
                <w:kern w:val="0"/>
                <w:sz w:val="21"/>
                <w:szCs w:val="21"/>
                <w:highlight w:val="none"/>
                <w:u w:val="none"/>
                <w:lang w:val="en-US" w:eastAsia="zh-CN" w:bidi="ar"/>
              </w:rPr>
              <w:t>分；方案没能针对本采购项目内容要求而细化制定，方案内容简单，</w:t>
            </w:r>
            <w:r>
              <w:rPr>
                <w:rFonts w:hint="eastAsia" w:ascii="宋体" w:hAnsi="宋体" w:cs="宋体"/>
                <w:i w:val="0"/>
                <w:color w:val="auto"/>
                <w:kern w:val="0"/>
                <w:sz w:val="21"/>
                <w:szCs w:val="21"/>
                <w:highlight w:val="none"/>
                <w:u w:val="none"/>
                <w:lang w:val="en-US" w:eastAsia="zh-CN" w:bidi="ar"/>
              </w:rPr>
              <w:t>未完全达到采购人需求</w:t>
            </w:r>
            <w:r>
              <w:rPr>
                <w:rFonts w:hint="eastAsia" w:ascii="宋体" w:hAnsi="宋体" w:eastAsia="宋体" w:cs="宋体"/>
                <w:i w:val="0"/>
                <w:color w:val="auto"/>
                <w:kern w:val="0"/>
                <w:sz w:val="21"/>
                <w:szCs w:val="21"/>
                <w:highlight w:val="none"/>
                <w:u w:val="none"/>
                <w:lang w:val="en-US" w:eastAsia="zh-CN" w:bidi="ar"/>
              </w:rPr>
              <w:t>的，得1</w:t>
            </w:r>
            <w:r>
              <w:rPr>
                <w:rFonts w:hint="eastAsia" w:ascii="宋体" w:hAnsi="宋体" w:cs="宋体"/>
                <w:i w:val="0"/>
                <w:color w:val="auto"/>
                <w:kern w:val="0"/>
                <w:sz w:val="21"/>
                <w:szCs w:val="21"/>
                <w:highlight w:val="none"/>
                <w:u w:val="none"/>
                <w:lang w:val="en-US" w:eastAsia="zh-CN" w:bidi="ar"/>
              </w:rPr>
              <w:t>-4</w:t>
            </w:r>
            <w:r>
              <w:rPr>
                <w:rFonts w:hint="eastAsia" w:ascii="宋体" w:hAnsi="宋体" w:eastAsia="宋体" w:cs="宋体"/>
                <w:i w:val="0"/>
                <w:color w:val="auto"/>
                <w:kern w:val="0"/>
                <w:sz w:val="21"/>
                <w:szCs w:val="21"/>
                <w:highlight w:val="none"/>
                <w:u w:val="none"/>
                <w:lang w:val="en-US" w:eastAsia="zh-CN" w:bidi="ar"/>
              </w:rPr>
              <w:t>分；未提供方案不得分。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95"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功能设计方案：</w:t>
            </w:r>
            <w:r>
              <w:rPr>
                <w:rFonts w:hint="default" w:ascii="宋体" w:hAnsi="宋体" w:eastAsia="宋体" w:cs="宋体"/>
                <w:i w:val="0"/>
                <w:color w:val="auto"/>
                <w:kern w:val="0"/>
                <w:sz w:val="21"/>
                <w:szCs w:val="21"/>
                <w:highlight w:val="none"/>
                <w:u w:val="none"/>
                <w:lang w:val="en-US" w:eastAsia="zh-CN" w:bidi="ar"/>
              </w:rPr>
              <w:t>参数响应须按照具体技术需求，提供相应证明材料并加盖公章的扫描件。投标人所投产品的技术参数完全满足或优于招标文件技术参数要求的得</w:t>
            </w: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0</w:t>
            </w:r>
            <w:r>
              <w:rPr>
                <w:rFonts w:hint="default" w:ascii="宋体" w:hAnsi="宋体" w:eastAsia="宋体" w:cs="宋体"/>
                <w:i w:val="0"/>
                <w:color w:val="auto"/>
                <w:kern w:val="0"/>
                <w:sz w:val="21"/>
                <w:szCs w:val="21"/>
                <w:highlight w:val="none"/>
                <w:u w:val="none"/>
                <w:lang w:val="en-US" w:eastAsia="zh-CN" w:bidi="ar"/>
              </w:rPr>
              <w:t>分。带</w:t>
            </w:r>
            <w:r>
              <w:rPr>
                <w:rFonts w:hint="eastAsia" w:ascii="宋体" w:hAnsi="宋体" w:eastAsia="宋体" w:cs="宋体"/>
                <w:i w:val="0"/>
                <w:color w:val="auto"/>
                <w:kern w:val="0"/>
                <w:sz w:val="21"/>
                <w:szCs w:val="21"/>
                <w:highlight w:val="none"/>
                <w:u w:val="none"/>
                <w:lang w:val="en-GB" w:eastAsia="zh-CN" w:bidi="ar"/>
              </w:rPr>
              <w:t>▲</w:t>
            </w:r>
            <w:r>
              <w:rPr>
                <w:rFonts w:hint="default" w:ascii="宋体" w:hAnsi="宋体" w:eastAsia="宋体" w:cs="宋体"/>
                <w:i w:val="0"/>
                <w:color w:val="auto"/>
                <w:kern w:val="0"/>
                <w:sz w:val="21"/>
                <w:szCs w:val="21"/>
                <w:highlight w:val="none"/>
                <w:u w:val="none"/>
                <w:lang w:val="en-US" w:eastAsia="zh-CN" w:bidi="ar"/>
              </w:rPr>
              <w:t>项参数（非否决项）每有1项负偏离的扣除</w:t>
            </w:r>
            <w:r>
              <w:rPr>
                <w:rFonts w:hint="eastAsia" w:ascii="宋体" w:hAnsi="宋体" w:eastAsia="宋体" w:cs="宋体"/>
                <w:i w:val="0"/>
                <w:color w:val="auto"/>
                <w:kern w:val="0"/>
                <w:sz w:val="21"/>
                <w:szCs w:val="21"/>
                <w:highlight w:val="none"/>
                <w:u w:val="none"/>
                <w:lang w:val="en-US" w:eastAsia="zh-CN" w:bidi="ar"/>
              </w:rPr>
              <w:t>0.5</w:t>
            </w:r>
            <w:r>
              <w:rPr>
                <w:rFonts w:hint="default" w:ascii="宋体" w:hAnsi="宋体" w:eastAsia="宋体" w:cs="宋体"/>
                <w:i w:val="0"/>
                <w:color w:val="auto"/>
                <w:kern w:val="0"/>
                <w:sz w:val="21"/>
                <w:szCs w:val="21"/>
                <w:highlight w:val="none"/>
                <w:u w:val="none"/>
                <w:lang w:val="en-US" w:eastAsia="zh-CN" w:bidi="ar"/>
              </w:rPr>
              <w:t>分，扣至0分为止；未带</w:t>
            </w:r>
            <w:r>
              <w:rPr>
                <w:rFonts w:hint="eastAsia" w:ascii="宋体" w:hAnsi="宋体" w:eastAsia="宋体" w:cs="宋体"/>
                <w:i w:val="0"/>
                <w:color w:val="auto"/>
                <w:kern w:val="0"/>
                <w:sz w:val="21"/>
                <w:szCs w:val="21"/>
                <w:highlight w:val="none"/>
                <w:u w:val="none"/>
                <w:lang w:val="en-GB" w:eastAsia="zh-CN" w:bidi="ar"/>
              </w:rPr>
              <w:t>▲</w:t>
            </w:r>
            <w:r>
              <w:rPr>
                <w:rFonts w:hint="default" w:ascii="宋体" w:hAnsi="宋体" w:eastAsia="宋体" w:cs="宋体"/>
                <w:i w:val="0"/>
                <w:color w:val="auto"/>
                <w:kern w:val="0"/>
                <w:sz w:val="21"/>
                <w:szCs w:val="21"/>
                <w:highlight w:val="none"/>
                <w:u w:val="none"/>
                <w:lang w:val="en-US" w:eastAsia="zh-CN" w:bidi="ar"/>
              </w:rPr>
              <w:t>项的参数每有1项负偏离的扣0.</w:t>
            </w:r>
            <w:r>
              <w:rPr>
                <w:rFonts w:hint="eastAsia" w:ascii="宋体" w:hAnsi="宋体" w:eastAsia="宋体" w:cs="宋体"/>
                <w:i w:val="0"/>
                <w:color w:val="auto"/>
                <w:kern w:val="0"/>
                <w:sz w:val="21"/>
                <w:szCs w:val="21"/>
                <w:highlight w:val="none"/>
                <w:u w:val="none"/>
                <w:lang w:val="en-US" w:eastAsia="zh-CN" w:bidi="ar"/>
              </w:rPr>
              <w:t>1</w:t>
            </w:r>
            <w:r>
              <w:rPr>
                <w:rFonts w:hint="default" w:ascii="宋体" w:hAnsi="宋体" w:eastAsia="宋体" w:cs="宋体"/>
                <w:i w:val="0"/>
                <w:color w:val="auto"/>
                <w:kern w:val="0"/>
                <w:sz w:val="21"/>
                <w:szCs w:val="21"/>
                <w:highlight w:val="none"/>
                <w:u w:val="none"/>
                <w:lang w:val="en-US" w:eastAsia="zh-CN" w:bidi="ar"/>
              </w:rPr>
              <w:t>分，两项合计扣至0分为止，满分1</w:t>
            </w:r>
            <w:r>
              <w:rPr>
                <w:rFonts w:hint="eastAsia" w:ascii="宋体" w:hAnsi="宋体" w:cs="宋体"/>
                <w:i w:val="0"/>
                <w:color w:val="auto"/>
                <w:kern w:val="0"/>
                <w:sz w:val="21"/>
                <w:szCs w:val="21"/>
                <w:highlight w:val="none"/>
                <w:u w:val="none"/>
                <w:lang w:val="en-US" w:eastAsia="zh-CN" w:bidi="ar"/>
              </w:rPr>
              <w:t>0</w:t>
            </w:r>
            <w:r>
              <w:rPr>
                <w:rFonts w:hint="default" w:ascii="宋体" w:hAnsi="宋体" w:eastAsia="宋体" w:cs="宋体"/>
                <w:i w:val="0"/>
                <w:color w:val="auto"/>
                <w:kern w:val="0"/>
                <w:sz w:val="21"/>
                <w:szCs w:val="21"/>
                <w:highlight w:val="none"/>
                <w:u w:val="none"/>
                <w:lang w:val="en-US" w:eastAsia="zh-CN" w:bidi="ar"/>
              </w:rPr>
              <w:t>分（注：参数要求的技术证明材料必须提供并在技术偏离表中说明具体的页码，否则视为负偏离；所有参数响应以官方彩页、系统截图、技术参数确认函、测试报告等为据）。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vMerge w:val="continue"/>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5" w:type="dxa"/>
            <w:vMerge w:val="continue"/>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安全设计方案：</w:t>
            </w:r>
            <w:r>
              <w:rPr>
                <w:rFonts w:hint="eastAsia" w:ascii="宋体" w:hAnsi="宋体" w:eastAsia="宋体" w:cs="宋体"/>
                <w:i w:val="0"/>
                <w:color w:val="auto"/>
                <w:kern w:val="0"/>
                <w:sz w:val="21"/>
                <w:szCs w:val="21"/>
                <w:highlight w:val="none"/>
                <w:u w:val="none"/>
                <w:lang w:val="en-US" w:eastAsia="zh-CN" w:bidi="ar"/>
              </w:rPr>
              <w:t>根据供应商提供安全保密方案进行评分，方案围绕工作流程、制度，档案的控制，文件原件及档案信息的安全及保密等方面进行阐述。方案内容是否详细、全面、切实可行。方案科学、合理，表述准确清晰、可操作性强的，得</w:t>
            </w:r>
            <w:r>
              <w:rPr>
                <w:rFonts w:hint="eastAsia" w:ascii="宋体" w:hAnsi="宋体" w:cs="宋体"/>
                <w:i w:val="0"/>
                <w:color w:val="auto"/>
                <w:kern w:val="0"/>
                <w:sz w:val="21"/>
                <w:szCs w:val="21"/>
                <w:highlight w:val="none"/>
                <w:u w:val="none"/>
                <w:lang w:val="en-US" w:eastAsia="zh-CN" w:bidi="ar"/>
              </w:rPr>
              <w:t>8</w:t>
            </w:r>
            <w:r>
              <w:rPr>
                <w:rFonts w:hint="eastAsia" w:ascii="宋体" w:hAnsi="宋体" w:eastAsia="宋体" w:cs="宋体"/>
                <w:i w:val="0"/>
                <w:color w:val="auto"/>
                <w:kern w:val="0"/>
                <w:sz w:val="21"/>
                <w:szCs w:val="21"/>
                <w:highlight w:val="none"/>
                <w:u w:val="none"/>
                <w:lang w:val="en-US" w:eastAsia="zh-CN" w:bidi="ar"/>
              </w:rPr>
              <w:t>分；方案内容相对完整，能够针对本采购项目内容要求而细化制定、基本合理，针对性不强的，得</w:t>
            </w:r>
            <w:r>
              <w:rPr>
                <w:rFonts w:hint="eastAsia" w:ascii="宋体" w:hAnsi="宋体" w:cs="宋体"/>
                <w:i w:val="0"/>
                <w:color w:val="auto"/>
                <w:kern w:val="0"/>
                <w:sz w:val="21"/>
                <w:szCs w:val="21"/>
                <w:highlight w:val="none"/>
                <w:u w:val="none"/>
                <w:lang w:val="en-US" w:eastAsia="zh-CN" w:bidi="ar"/>
              </w:rPr>
              <w:t>6-8</w:t>
            </w:r>
            <w:r>
              <w:rPr>
                <w:rFonts w:hint="eastAsia" w:ascii="宋体" w:hAnsi="宋体" w:eastAsia="宋体" w:cs="宋体"/>
                <w:i w:val="0"/>
                <w:color w:val="auto"/>
                <w:kern w:val="0"/>
                <w:sz w:val="21"/>
                <w:szCs w:val="21"/>
                <w:highlight w:val="none"/>
                <w:u w:val="none"/>
                <w:lang w:val="en-US" w:eastAsia="zh-CN" w:bidi="ar"/>
              </w:rPr>
              <w:t>分；方案没能针对本采购项目内容要求而细化制定，方案内容简单，</w:t>
            </w:r>
            <w:r>
              <w:rPr>
                <w:rFonts w:hint="eastAsia" w:ascii="宋体" w:hAnsi="宋体" w:cs="宋体"/>
                <w:i w:val="0"/>
                <w:color w:val="auto"/>
                <w:kern w:val="0"/>
                <w:sz w:val="21"/>
                <w:szCs w:val="21"/>
                <w:highlight w:val="none"/>
                <w:u w:val="none"/>
                <w:lang w:val="en-US" w:eastAsia="zh-CN" w:bidi="ar"/>
              </w:rPr>
              <w:t>不能全面清洗阐述方案</w:t>
            </w:r>
            <w:r>
              <w:rPr>
                <w:rFonts w:hint="eastAsia" w:ascii="宋体" w:hAnsi="宋体" w:eastAsia="宋体" w:cs="宋体"/>
                <w:i w:val="0"/>
                <w:color w:val="auto"/>
                <w:kern w:val="0"/>
                <w:sz w:val="21"/>
                <w:szCs w:val="21"/>
                <w:highlight w:val="none"/>
                <w:u w:val="none"/>
                <w:lang w:val="en-US" w:eastAsia="zh-CN" w:bidi="ar"/>
              </w:rPr>
              <w:t>的，得</w:t>
            </w:r>
            <w:r>
              <w:rPr>
                <w:rFonts w:hint="eastAsia" w:ascii="宋体" w:hAnsi="宋体" w:cs="宋体"/>
                <w:i w:val="0"/>
                <w:color w:val="auto"/>
                <w:kern w:val="0"/>
                <w:sz w:val="21"/>
                <w:szCs w:val="21"/>
                <w:highlight w:val="none"/>
                <w:u w:val="none"/>
                <w:lang w:val="en-US" w:eastAsia="zh-CN" w:bidi="ar"/>
              </w:rPr>
              <w:t>1-5</w:t>
            </w:r>
            <w:r>
              <w:rPr>
                <w:rFonts w:hint="eastAsia" w:ascii="宋体" w:hAnsi="宋体" w:eastAsia="宋体" w:cs="宋体"/>
                <w:i w:val="0"/>
                <w:color w:val="auto"/>
                <w:kern w:val="0"/>
                <w:sz w:val="21"/>
                <w:szCs w:val="21"/>
                <w:highlight w:val="none"/>
                <w:u w:val="none"/>
                <w:lang w:val="en-US" w:eastAsia="zh-CN" w:bidi="ar"/>
              </w:rPr>
              <w:t>分；未提供方案不得分。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项目管理方案：</w:t>
            </w:r>
            <w:r>
              <w:rPr>
                <w:rFonts w:hint="eastAsia" w:ascii="宋体" w:hAnsi="宋体" w:eastAsia="宋体" w:cs="宋体"/>
                <w:i w:val="0"/>
                <w:color w:val="auto"/>
                <w:kern w:val="0"/>
                <w:sz w:val="21"/>
                <w:szCs w:val="21"/>
                <w:highlight w:val="none"/>
                <w:u w:val="none"/>
                <w:lang w:val="en-US" w:eastAsia="zh-CN" w:bidi="ar"/>
              </w:rPr>
              <w:t>投标人能够根据采购需求，提供项目管理方案，应至少涵盖但不限于项目管理、项目实施、项目建设资源配置、进度控制、质量保障管理、风险管理。方案科学、合理，表述准确清晰、可操作性强的，得</w:t>
            </w:r>
            <w:r>
              <w:rPr>
                <w:rFonts w:hint="eastAsia" w:ascii="宋体" w:hAnsi="宋体" w:cs="宋体"/>
                <w:i w:val="0"/>
                <w:color w:val="auto"/>
                <w:kern w:val="0"/>
                <w:sz w:val="21"/>
                <w:szCs w:val="21"/>
                <w:highlight w:val="none"/>
                <w:u w:val="none"/>
                <w:lang w:val="en-US" w:eastAsia="zh-CN" w:bidi="ar"/>
              </w:rPr>
              <w:t>9</w:t>
            </w:r>
            <w:r>
              <w:rPr>
                <w:rFonts w:hint="eastAsia" w:ascii="宋体" w:hAnsi="宋体" w:eastAsia="宋体" w:cs="宋体"/>
                <w:i w:val="0"/>
                <w:color w:val="auto"/>
                <w:kern w:val="0"/>
                <w:sz w:val="21"/>
                <w:szCs w:val="21"/>
                <w:highlight w:val="none"/>
                <w:u w:val="none"/>
                <w:lang w:val="en-US" w:eastAsia="zh-CN" w:bidi="ar"/>
              </w:rPr>
              <w:t>分；方案内容相对完整，能够针对本采购项目内容要求而细化制定、基本合理，针对性不强的，得</w:t>
            </w:r>
            <w:r>
              <w:rPr>
                <w:rFonts w:hint="eastAsia" w:ascii="宋体" w:hAnsi="宋体" w:cs="宋体"/>
                <w:i w:val="0"/>
                <w:color w:val="auto"/>
                <w:kern w:val="0"/>
                <w:sz w:val="21"/>
                <w:szCs w:val="21"/>
                <w:highlight w:val="none"/>
                <w:u w:val="none"/>
                <w:lang w:val="en-US" w:eastAsia="zh-CN" w:bidi="ar"/>
              </w:rPr>
              <w:t>6-9</w:t>
            </w:r>
            <w:r>
              <w:rPr>
                <w:rFonts w:hint="eastAsia" w:ascii="宋体" w:hAnsi="宋体" w:eastAsia="宋体" w:cs="宋体"/>
                <w:i w:val="0"/>
                <w:color w:val="auto"/>
                <w:kern w:val="0"/>
                <w:sz w:val="21"/>
                <w:szCs w:val="21"/>
                <w:highlight w:val="none"/>
                <w:u w:val="none"/>
                <w:lang w:val="en-US" w:eastAsia="zh-CN" w:bidi="ar"/>
              </w:rPr>
              <w:t>分；方案没能针对本采购项目内容要求而细化制定，方案内容简单，</w:t>
            </w:r>
            <w:r>
              <w:rPr>
                <w:rFonts w:hint="eastAsia" w:ascii="宋体" w:hAnsi="宋体" w:cs="宋体"/>
                <w:i w:val="0"/>
                <w:color w:val="auto"/>
                <w:kern w:val="0"/>
                <w:sz w:val="21"/>
                <w:szCs w:val="21"/>
                <w:highlight w:val="none"/>
                <w:u w:val="none"/>
                <w:lang w:val="en-US" w:eastAsia="zh-CN" w:bidi="ar"/>
              </w:rPr>
              <w:t>未全面清晰涵盖采购需求所需内容</w:t>
            </w:r>
            <w:r>
              <w:rPr>
                <w:rFonts w:hint="eastAsia" w:ascii="宋体" w:hAnsi="宋体" w:eastAsia="宋体" w:cs="宋体"/>
                <w:i w:val="0"/>
                <w:color w:val="auto"/>
                <w:kern w:val="0"/>
                <w:sz w:val="21"/>
                <w:szCs w:val="21"/>
                <w:highlight w:val="none"/>
                <w:u w:val="none"/>
                <w:lang w:val="en-US" w:eastAsia="zh-CN" w:bidi="ar"/>
              </w:rPr>
              <w:t>的，得</w:t>
            </w:r>
            <w:r>
              <w:rPr>
                <w:rFonts w:hint="eastAsia" w:ascii="宋体" w:hAnsi="宋体" w:cs="宋体"/>
                <w:i w:val="0"/>
                <w:color w:val="auto"/>
                <w:kern w:val="0"/>
                <w:sz w:val="21"/>
                <w:szCs w:val="21"/>
                <w:highlight w:val="none"/>
                <w:u w:val="none"/>
                <w:lang w:val="en-US" w:eastAsia="zh-CN" w:bidi="ar"/>
              </w:rPr>
              <w:t>1-5</w:t>
            </w:r>
            <w:r>
              <w:rPr>
                <w:rFonts w:hint="eastAsia" w:ascii="宋体" w:hAnsi="宋体" w:eastAsia="宋体" w:cs="宋体"/>
                <w:i w:val="0"/>
                <w:color w:val="auto"/>
                <w:kern w:val="0"/>
                <w:sz w:val="21"/>
                <w:szCs w:val="21"/>
                <w:highlight w:val="none"/>
                <w:u w:val="none"/>
                <w:lang w:val="en-US" w:eastAsia="zh-CN" w:bidi="ar"/>
              </w:rPr>
              <w:t>分；未提供方案不得分。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培训服务</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w:t>
            </w:r>
          </w:p>
        </w:tc>
        <w:tc>
          <w:tcPr>
            <w:tcW w:w="5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人能够根据采购需求，提供项目培训方案，应至少涵盖但不限于培训组织架构、培训对象和内容、培训方式、培训流程、培训日程安排。方案全面准确提供项目培训方案，应至少涵盖但不限于培训组织架构、培训对象和内容、培训方式、培训流程、培训日程安排得</w:t>
            </w: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highlight w:val="none"/>
                <w:u w:val="none"/>
                <w:lang w:val="en-US" w:eastAsia="zh-CN" w:bidi="ar"/>
              </w:rPr>
              <w:t>5</w:t>
            </w:r>
            <w:r>
              <w:rPr>
                <w:rFonts w:hint="eastAsia" w:ascii="宋体" w:hAnsi="宋体" w:eastAsia="宋体" w:cs="宋体"/>
                <w:i w:val="0"/>
                <w:color w:val="000000"/>
                <w:kern w:val="0"/>
                <w:sz w:val="21"/>
                <w:szCs w:val="21"/>
                <w:highlight w:val="none"/>
                <w:u w:val="none"/>
                <w:lang w:val="en-US" w:eastAsia="zh-CN" w:bidi="ar"/>
              </w:rPr>
              <w:t>分，方案</w:t>
            </w:r>
            <w:r>
              <w:rPr>
                <w:rFonts w:hint="eastAsia" w:ascii="宋体" w:hAnsi="宋体" w:cs="宋体"/>
                <w:i w:val="0"/>
                <w:color w:val="000000"/>
                <w:kern w:val="0"/>
                <w:sz w:val="21"/>
                <w:szCs w:val="21"/>
                <w:u w:val="none"/>
                <w:lang w:val="en-US" w:eastAsia="zh-CN" w:bidi="ar"/>
              </w:rPr>
              <w:t>未准确清晰</w:t>
            </w:r>
            <w:r>
              <w:rPr>
                <w:rFonts w:hint="eastAsia" w:ascii="宋体" w:hAnsi="宋体" w:eastAsia="宋体" w:cs="宋体"/>
                <w:i w:val="0"/>
                <w:color w:val="000000"/>
                <w:kern w:val="0"/>
                <w:sz w:val="21"/>
                <w:szCs w:val="21"/>
                <w:u w:val="none"/>
                <w:lang w:val="en-US" w:eastAsia="zh-CN" w:bidi="ar"/>
              </w:rPr>
              <w:t>提供项目培训方案，应至少涵盖但不限于培训组织架构、培训对象和内容、培训方式、培训流程、培训日程安排的得</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分，方案描述较差或不提供的不得分。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实施服务</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实施服务体系完备、技术支持保障措施得力，能对本项目按要求投入足够的技术力量，保证按照项目要求按时完成各项工作, 人员配置科学、合理、实用、全面；内容包括但不限于人员岗位安排、联系方式等。</w:t>
            </w:r>
          </w:p>
          <w:p>
            <w:pPr>
              <w:pStyle w:val="2"/>
              <w:rPr>
                <w:rFonts w:hint="eastAsia"/>
              </w:rPr>
            </w:pPr>
            <w:r>
              <w:rPr>
                <w:rFonts w:hint="eastAsia" w:ascii="Calibri" w:hAnsi="Calibri" w:eastAsia="宋体" w:cs="Times New Roman"/>
                <w:b w:val="0"/>
                <w:bCs w:val="0"/>
                <w:kern w:val="2"/>
                <w:sz w:val="21"/>
                <w:szCs w:val="22"/>
                <w:lang w:val="en-US" w:eastAsia="zh-CN" w:bidi="ar-SA"/>
              </w:rPr>
              <w:t>方案全面准确得3-5分，方案描述未完全达到要求的得1-2分，方案描述较差或不提供的不得分。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售后服务</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6</w:t>
            </w:r>
          </w:p>
        </w:tc>
        <w:tc>
          <w:tcPr>
            <w:tcW w:w="5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投标人能够根据采购需求，提供售后服务方案，应至少涵盖但不限于售后服务流程、售后服务内容、响应时间、售后服务质量监督、技术支持服务。本评分项满分</w:t>
            </w:r>
            <w:r>
              <w:rPr>
                <w:rFonts w:hint="eastAsia" w:ascii="宋体" w:hAnsi="宋体" w:cs="宋体"/>
                <w:i w:val="0"/>
                <w:color w:val="000000"/>
                <w:kern w:val="0"/>
                <w:sz w:val="21"/>
                <w:szCs w:val="21"/>
                <w:highlight w:val="none"/>
                <w:u w:val="none"/>
                <w:lang w:val="en-US" w:eastAsia="zh-CN" w:bidi="ar"/>
              </w:rPr>
              <w:t>6</w:t>
            </w:r>
            <w:r>
              <w:rPr>
                <w:rFonts w:hint="eastAsia" w:ascii="宋体" w:hAnsi="宋体" w:eastAsia="宋体" w:cs="宋体"/>
                <w:i w:val="0"/>
                <w:color w:val="000000"/>
                <w:kern w:val="0"/>
                <w:sz w:val="21"/>
                <w:szCs w:val="21"/>
                <w:highlight w:val="none"/>
                <w:u w:val="none"/>
                <w:lang w:val="en-US" w:eastAsia="zh-CN" w:bidi="ar"/>
              </w:rPr>
              <w:t>分，任何一项缺漏均不得分。</w:t>
            </w:r>
          </w:p>
        </w:tc>
      </w:tr>
    </w:tbl>
    <w:p>
      <w:pPr>
        <w:autoSpaceDE w:val="0"/>
        <w:autoSpaceDN w:val="0"/>
        <w:adjustRightInd w:val="0"/>
        <w:spacing w:line="440" w:lineRule="exact"/>
        <w:ind w:firstLine="420"/>
        <w:rPr>
          <w:rFonts w:hint="default" w:eastAsia="宋体" w:cs="宋体"/>
          <w:color w:val="auto"/>
          <w:sz w:val="24"/>
          <w:lang w:val="en-US" w:eastAsia="zh-CN"/>
        </w:rPr>
      </w:pPr>
    </w:p>
    <w:p>
      <w:pPr>
        <w:rPr>
          <w:rFonts w:hint="eastAsia"/>
          <w:lang w:val="en-US" w:eastAsia="zh-CN"/>
        </w:rPr>
      </w:pPr>
    </w:p>
    <w:p>
      <w:pPr>
        <w:spacing w:before="29"/>
        <w:ind w:right="0"/>
        <w:jc w:val="center"/>
        <w:rPr>
          <w:rFonts w:hint="eastAsia" w:ascii="宋体" w:hAnsi="宋体" w:eastAsia="宋体" w:cs="宋体"/>
          <w:b/>
          <w:color w:val="auto"/>
          <w:sz w:val="30"/>
        </w:rPr>
      </w:pPr>
      <w:r>
        <w:rPr>
          <w:rFonts w:hint="eastAsia" w:ascii="宋体" w:hAnsi="宋体" w:eastAsia="宋体" w:cs="宋体"/>
          <w:b/>
          <w:color w:val="auto"/>
          <w:sz w:val="30"/>
          <w:lang w:val="en-US" w:eastAsia="zh-CN"/>
        </w:rPr>
        <w:t>商务标</w:t>
      </w:r>
      <w:r>
        <w:rPr>
          <w:rFonts w:hint="eastAsia" w:ascii="宋体" w:hAnsi="宋体" w:eastAsia="宋体" w:cs="宋体"/>
          <w:b/>
          <w:color w:val="auto"/>
          <w:sz w:val="30"/>
        </w:rPr>
        <w:t>评分细则</w:t>
      </w:r>
    </w:p>
    <w:p>
      <w:pPr>
        <w:pStyle w:val="2"/>
        <w:rPr>
          <w:rFonts w:hint="eastAsia"/>
        </w:rPr>
      </w:pPr>
    </w:p>
    <w:tbl>
      <w:tblPr>
        <w:tblStyle w:val="42"/>
        <w:tblW w:w="8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080"/>
        <w:gridCol w:w="886"/>
        <w:gridCol w:w="5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21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评分因素</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56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9" w:hRule="atLeast"/>
        </w:trPr>
        <w:tc>
          <w:tcPr>
            <w:tcW w:w="108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商务部分（</w:t>
            </w:r>
            <w:r>
              <w:rPr>
                <w:rFonts w:hint="eastAsia" w:ascii="宋体" w:hAnsi="宋体" w:cs="宋体"/>
                <w:i w:val="0"/>
                <w:color w:val="000000"/>
                <w:kern w:val="0"/>
                <w:sz w:val="21"/>
                <w:szCs w:val="21"/>
                <w:highlight w:val="none"/>
                <w:u w:val="none"/>
                <w:lang w:val="en-US" w:eastAsia="zh-CN" w:bidi="ar"/>
              </w:rPr>
              <w:t>24</w:t>
            </w:r>
            <w:bookmarkStart w:id="313" w:name="_GoBack"/>
            <w:bookmarkEnd w:id="313"/>
            <w:r>
              <w:rPr>
                <w:rFonts w:hint="eastAsia" w:ascii="宋体" w:hAnsi="宋体" w:eastAsia="宋体" w:cs="宋体"/>
                <w:i w:val="0"/>
                <w:color w:val="000000"/>
                <w:kern w:val="0"/>
                <w:sz w:val="21"/>
                <w:szCs w:val="21"/>
                <w:highlight w:val="none"/>
                <w:u w:val="none"/>
                <w:lang w:val="en-US" w:eastAsia="zh-CN" w:bidi="ar"/>
              </w:rPr>
              <w:t>分）</w:t>
            </w:r>
          </w:p>
        </w:tc>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业绩证明</w:t>
            </w:r>
          </w:p>
        </w:tc>
        <w:tc>
          <w:tcPr>
            <w:tcW w:w="886"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2</w:t>
            </w:r>
            <w:r>
              <w:rPr>
                <w:rFonts w:hint="eastAsia" w:ascii="宋体" w:hAnsi="宋体" w:cs="宋体"/>
                <w:i w:val="0"/>
                <w:color w:val="000000"/>
                <w:kern w:val="0"/>
                <w:sz w:val="21"/>
                <w:szCs w:val="21"/>
                <w:highlight w:val="none"/>
                <w:u w:val="none"/>
                <w:lang w:val="en-US" w:eastAsia="zh-CN" w:bidi="ar"/>
              </w:rPr>
              <w:t>4</w:t>
            </w:r>
          </w:p>
        </w:tc>
        <w:tc>
          <w:tcPr>
            <w:tcW w:w="56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000000"/>
                <w:sz w:val="21"/>
                <w:szCs w:val="21"/>
                <w:u w:val="none"/>
                <w:lang w:val="en-US" w:eastAsia="zh-CN"/>
              </w:rPr>
              <w:t>根据投标人自2019年1月1日以来承接过同类合同业绩（同类业绩</w:t>
            </w:r>
            <w:r>
              <w:rPr>
                <w:rFonts w:hint="eastAsia" w:ascii="宋体" w:hAnsi="宋体" w:eastAsia="宋体" w:cs="宋体"/>
                <w:i w:val="0"/>
                <w:color w:val="auto"/>
                <w:sz w:val="21"/>
                <w:szCs w:val="21"/>
                <w:u w:val="none"/>
                <w:lang w:val="en-US" w:eastAsia="zh-CN"/>
              </w:rPr>
              <w:t>指合同内容中包含DIP、医保智能审核、医保智能监管、医保预警分析的相关内容）的情况进行评分，每个业绩得2分，满分2</w:t>
            </w:r>
            <w:r>
              <w:rPr>
                <w:rFonts w:hint="eastAsia" w:ascii="宋体" w:hAnsi="宋体" w:cs="宋体"/>
                <w:i w:val="0"/>
                <w:color w:val="auto"/>
                <w:sz w:val="21"/>
                <w:szCs w:val="21"/>
                <w:u w:val="none"/>
                <w:lang w:val="en-US" w:eastAsia="zh-CN"/>
              </w:rPr>
              <w:t>4</w:t>
            </w:r>
            <w:r>
              <w:rPr>
                <w:rFonts w:hint="eastAsia" w:ascii="宋体" w:hAnsi="宋体" w:eastAsia="宋体" w:cs="宋体"/>
                <w:i w:val="0"/>
                <w:color w:val="auto"/>
                <w:sz w:val="21"/>
                <w:szCs w:val="21"/>
                <w:u w:val="none"/>
                <w:lang w:val="en-US" w:eastAsia="zh-CN"/>
              </w:rPr>
              <w:t>分。</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注：投标文件需提供相关完整合同内容复印件加盖投标人公章，未提供或提供的资料不符合要求的则不得分。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9" w:hRule="atLeast"/>
        </w:trPr>
        <w:tc>
          <w:tcPr>
            <w:tcW w:w="108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ascii="宋体" w:hAnsi="宋体" w:eastAsia="宋体" w:cs="宋体"/>
                <w:spacing w:val="-2"/>
                <w:sz w:val="22"/>
                <w:szCs w:val="22"/>
              </w:rPr>
              <w:t>服务团队</w:t>
            </w:r>
            <w:r>
              <w:rPr>
                <w:rFonts w:hint="eastAsia" w:ascii="宋体" w:hAnsi="宋体" w:eastAsia="宋体" w:cs="宋体"/>
                <w:spacing w:val="-2"/>
                <w:sz w:val="22"/>
                <w:szCs w:val="22"/>
                <w:lang w:eastAsia="zh-CN"/>
              </w:rPr>
              <w:t>（</w:t>
            </w:r>
            <w:r>
              <w:rPr>
                <w:rFonts w:hint="eastAsia" w:ascii="宋体" w:hAnsi="宋体" w:eastAsia="宋体" w:cs="宋体"/>
                <w:spacing w:val="-2"/>
                <w:sz w:val="22"/>
                <w:szCs w:val="22"/>
                <w:lang w:val="en-US" w:eastAsia="zh-CN"/>
              </w:rPr>
              <w:t>1</w:t>
            </w:r>
            <w:r>
              <w:rPr>
                <w:rFonts w:hint="eastAsia" w:ascii="宋体" w:hAnsi="宋体" w:cs="宋体"/>
                <w:spacing w:val="-2"/>
                <w:sz w:val="22"/>
                <w:szCs w:val="22"/>
                <w:lang w:val="en-US" w:eastAsia="zh-CN"/>
              </w:rPr>
              <w:t>0</w:t>
            </w:r>
            <w:r>
              <w:rPr>
                <w:rFonts w:hint="eastAsia" w:ascii="宋体" w:hAnsi="宋体" w:eastAsia="宋体" w:cs="宋体"/>
                <w:spacing w:val="-2"/>
                <w:sz w:val="22"/>
                <w:szCs w:val="22"/>
                <w:lang w:eastAsia="zh-CN"/>
              </w:rPr>
              <w:t>）</w:t>
            </w:r>
          </w:p>
        </w:tc>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人员</w:t>
            </w:r>
          </w:p>
        </w:tc>
        <w:tc>
          <w:tcPr>
            <w:tcW w:w="886"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10</w:t>
            </w:r>
          </w:p>
        </w:tc>
        <w:tc>
          <w:tcPr>
            <w:tcW w:w="56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r>
              <w:rPr>
                <w:rFonts w:hint="eastAsia" w:ascii="宋体" w:hAnsi="宋体" w:cs="宋体"/>
                <w:i w:val="0"/>
                <w:color w:val="000000"/>
                <w:sz w:val="21"/>
                <w:szCs w:val="21"/>
                <w:u w:val="none"/>
                <w:lang w:val="en-US" w:eastAsia="zh-CN"/>
              </w:rPr>
              <w:t>1</w:t>
            </w:r>
            <w:r>
              <w:rPr>
                <w:rFonts w:hint="eastAsia" w:ascii="宋体" w:hAnsi="宋体" w:eastAsia="宋体" w:cs="宋体"/>
                <w:i w:val="0"/>
                <w:color w:val="000000"/>
                <w:sz w:val="21"/>
                <w:szCs w:val="21"/>
                <w:u w:val="none"/>
                <w:lang w:val="en-US" w:eastAsia="zh-CN"/>
              </w:rPr>
              <w:t>驻场服务项目人员提供5人以上得5分；</w:t>
            </w:r>
            <w:r>
              <w:rPr>
                <w:rFonts w:hint="eastAsia" w:ascii="宋体" w:hAnsi="宋体" w:cs="宋体"/>
                <w:i w:val="0"/>
                <w:color w:val="000000"/>
                <w:sz w:val="21"/>
                <w:szCs w:val="21"/>
                <w:u w:val="none"/>
                <w:lang w:val="en-US" w:eastAsia="zh-CN"/>
              </w:rPr>
              <w:t>1.</w:t>
            </w:r>
            <w:r>
              <w:rPr>
                <w:rFonts w:hint="eastAsia" w:ascii="宋体" w:hAnsi="宋体" w:eastAsia="宋体" w:cs="宋体"/>
                <w:i w:val="0"/>
                <w:color w:val="000000"/>
                <w:sz w:val="21"/>
                <w:szCs w:val="21"/>
                <w:u w:val="none"/>
                <w:lang w:val="en-US" w:eastAsia="zh-CN"/>
              </w:rPr>
              <w:t>2.驻场实施项目人员提供4人得3分；</w:t>
            </w:r>
            <w:r>
              <w:rPr>
                <w:rFonts w:hint="eastAsia" w:ascii="宋体" w:hAnsi="宋体" w:cs="宋体"/>
                <w:i w:val="0"/>
                <w:color w:val="000000"/>
                <w:sz w:val="21"/>
                <w:szCs w:val="21"/>
                <w:u w:val="none"/>
                <w:lang w:val="en-US" w:eastAsia="zh-CN"/>
              </w:rPr>
              <w:t>1.</w:t>
            </w:r>
            <w:r>
              <w:rPr>
                <w:rFonts w:hint="eastAsia" w:ascii="宋体" w:hAnsi="宋体" w:eastAsia="宋体" w:cs="宋体"/>
                <w:i w:val="0"/>
                <w:color w:val="000000"/>
                <w:sz w:val="21"/>
                <w:szCs w:val="21"/>
                <w:u w:val="none"/>
                <w:lang w:val="en-US" w:eastAsia="zh-CN"/>
              </w:rPr>
              <w:t>3.驻场实施项目人员提供3人得1分；</w:t>
            </w:r>
            <w:r>
              <w:rPr>
                <w:rFonts w:hint="eastAsia" w:ascii="宋体" w:hAnsi="宋体" w:cs="宋体"/>
                <w:i w:val="0"/>
                <w:color w:val="000000"/>
                <w:sz w:val="21"/>
                <w:szCs w:val="21"/>
                <w:u w:val="none"/>
                <w:lang w:val="en-US" w:eastAsia="zh-CN"/>
              </w:rPr>
              <w:t>1.</w:t>
            </w:r>
            <w:r>
              <w:rPr>
                <w:rFonts w:hint="eastAsia" w:ascii="宋体" w:hAnsi="宋体" w:eastAsia="宋体" w:cs="宋体"/>
                <w:i w:val="0"/>
                <w:color w:val="000000"/>
                <w:sz w:val="21"/>
                <w:szCs w:val="21"/>
                <w:u w:val="none"/>
                <w:lang w:val="en-US" w:eastAsia="zh-CN"/>
              </w:rPr>
              <w:t>4.驻场实施项目人员提供3人以下不得分。</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2.驻场服务项目人员具备系统规划与管理师（高级）证书或信息系统项目管理师（高级）证书(由人力资源和社会保障部及工业和信息化部颁发)的，每提供1名得1分，最多得2分。</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3.驻场服务项目人员具有高级软件工程师或高级系统架构设计师互联网架构开发(由人力资源和社会保障部及工业和信息化部颁发)的，每提供1名得1分，最多得2分。</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4</w:t>
            </w:r>
            <w:r>
              <w:rPr>
                <w:rFonts w:hint="eastAsia" w:ascii="宋体" w:hAnsi="宋体" w:eastAsia="宋体" w:cs="宋体"/>
                <w:i w:val="0"/>
                <w:color w:val="000000"/>
                <w:sz w:val="21"/>
                <w:szCs w:val="21"/>
                <w:u w:val="none"/>
                <w:lang w:val="en-US" w:eastAsia="zh-CN"/>
              </w:rPr>
              <w:t xml:space="preserve">.驻场服务项目具有临床医师初级及以上职称的，每提供1名得1分，最多得1分。 </w:t>
            </w:r>
          </w:p>
        </w:tc>
      </w:tr>
    </w:tbl>
    <w:p>
      <w:pPr>
        <w:pStyle w:val="20"/>
        <w:spacing w:before="6"/>
        <w:rPr>
          <w:rFonts w:hint="eastAsia" w:ascii="宋体" w:hAnsi="宋体" w:eastAsia="宋体" w:cs="宋体"/>
          <w:b/>
          <w:color w:val="auto"/>
          <w:sz w:val="9"/>
        </w:rPr>
      </w:pPr>
    </w:p>
    <w:p>
      <w:pPr>
        <w:pStyle w:val="3"/>
        <w:rPr>
          <w:rFonts w:hint="eastAsia" w:ascii="宋体" w:hAnsi="宋体" w:cs="宋体"/>
          <w:color w:val="auto"/>
          <w:sz w:val="28"/>
          <w:szCs w:val="28"/>
          <w:highlight w:val="none"/>
        </w:rPr>
      </w:pPr>
    </w:p>
    <w:p>
      <w:pPr>
        <w:autoSpaceDE w:val="0"/>
        <w:autoSpaceDN w:val="0"/>
        <w:adjustRightInd w:val="0"/>
        <w:jc w:val="center"/>
        <w:rPr>
          <w:rFonts w:hint="eastAsia" w:cs="宋体"/>
          <w:b/>
          <w:bCs/>
          <w:color w:val="auto"/>
          <w:sz w:val="24"/>
          <w:lang w:val="zh-CN"/>
        </w:rPr>
      </w:pPr>
    </w:p>
    <w:p>
      <w:pPr>
        <w:autoSpaceDE w:val="0"/>
        <w:autoSpaceDN w:val="0"/>
        <w:adjustRightInd w:val="0"/>
        <w:jc w:val="center"/>
        <w:rPr>
          <w:rFonts w:hint="eastAsia" w:cs="宋体"/>
          <w:b/>
          <w:bCs/>
          <w:color w:val="auto"/>
          <w:sz w:val="24"/>
          <w:lang w:val="zh-CN"/>
        </w:rPr>
      </w:pPr>
    </w:p>
    <w:p>
      <w:pPr>
        <w:autoSpaceDE w:val="0"/>
        <w:autoSpaceDN w:val="0"/>
        <w:adjustRightInd w:val="0"/>
        <w:jc w:val="center"/>
        <w:rPr>
          <w:rFonts w:hint="eastAsia" w:cs="宋体"/>
          <w:b/>
          <w:bCs/>
          <w:color w:val="auto"/>
          <w:sz w:val="24"/>
          <w:lang w:val="zh-CN"/>
        </w:rPr>
      </w:pPr>
    </w:p>
    <w:p>
      <w:pPr>
        <w:autoSpaceDE w:val="0"/>
        <w:autoSpaceDN w:val="0"/>
        <w:adjustRightInd w:val="0"/>
        <w:jc w:val="center"/>
        <w:rPr>
          <w:rFonts w:hint="eastAsia" w:cs="宋体"/>
          <w:b/>
          <w:bCs/>
          <w:color w:val="auto"/>
          <w:sz w:val="24"/>
          <w:lang w:val="zh-CN"/>
        </w:rPr>
      </w:pPr>
    </w:p>
    <w:p>
      <w:pPr>
        <w:autoSpaceDE w:val="0"/>
        <w:autoSpaceDN w:val="0"/>
        <w:adjustRightInd w:val="0"/>
        <w:jc w:val="center"/>
        <w:rPr>
          <w:rFonts w:hint="eastAsia" w:cs="宋体"/>
          <w:b/>
          <w:bCs/>
          <w:color w:val="auto"/>
          <w:sz w:val="24"/>
          <w:lang w:val="zh-CN"/>
        </w:rPr>
      </w:pPr>
    </w:p>
    <w:p>
      <w:pPr>
        <w:pStyle w:val="2"/>
        <w:rPr>
          <w:rFonts w:hint="eastAsia" w:cs="宋体"/>
          <w:b/>
          <w:bCs/>
          <w:color w:val="auto"/>
          <w:sz w:val="24"/>
          <w:lang w:val="zh-CN"/>
        </w:rPr>
      </w:pPr>
    </w:p>
    <w:p>
      <w:pPr>
        <w:rPr>
          <w:rFonts w:hint="eastAsia" w:cs="宋体"/>
          <w:b/>
          <w:bCs/>
          <w:color w:val="auto"/>
          <w:sz w:val="24"/>
          <w:lang w:val="zh-CN"/>
        </w:rPr>
      </w:pPr>
    </w:p>
    <w:p>
      <w:pPr>
        <w:pStyle w:val="2"/>
        <w:rPr>
          <w:rFonts w:hint="eastAsia"/>
          <w:lang w:val="zh-CN"/>
        </w:rPr>
      </w:pPr>
    </w:p>
    <w:p>
      <w:pPr>
        <w:autoSpaceDE w:val="0"/>
        <w:autoSpaceDN w:val="0"/>
        <w:adjustRightInd w:val="0"/>
        <w:jc w:val="center"/>
        <w:rPr>
          <w:rFonts w:hint="eastAsia" w:cs="宋体"/>
          <w:b/>
          <w:bCs/>
          <w:color w:val="auto"/>
          <w:sz w:val="24"/>
          <w:lang w:val="zh-CN"/>
        </w:rPr>
      </w:pPr>
    </w:p>
    <w:p>
      <w:pPr>
        <w:autoSpaceDE w:val="0"/>
        <w:autoSpaceDN w:val="0"/>
        <w:adjustRightInd w:val="0"/>
        <w:jc w:val="center"/>
        <w:rPr>
          <w:rFonts w:hint="eastAsia" w:cs="宋体"/>
          <w:b/>
          <w:bCs/>
          <w:color w:val="auto"/>
          <w:sz w:val="24"/>
          <w:lang w:val="zh-CN"/>
        </w:rPr>
      </w:pPr>
    </w:p>
    <w:p>
      <w:pPr>
        <w:autoSpaceDE w:val="0"/>
        <w:autoSpaceDN w:val="0"/>
        <w:adjustRightInd w:val="0"/>
        <w:jc w:val="center"/>
        <w:rPr>
          <w:rFonts w:hint="eastAsia" w:cs="宋体"/>
          <w:b/>
          <w:bCs/>
          <w:color w:val="auto"/>
          <w:sz w:val="24"/>
          <w:lang w:val="zh-CN"/>
        </w:rPr>
      </w:pPr>
      <w:r>
        <w:rPr>
          <w:rFonts w:hint="eastAsia" w:cs="宋体"/>
          <w:b/>
          <w:bCs/>
          <w:color w:val="auto"/>
          <w:sz w:val="24"/>
          <w:lang w:val="zh-CN"/>
        </w:rPr>
        <w:t>经济标评审标准</w:t>
      </w:r>
    </w:p>
    <w:p>
      <w:pPr>
        <w:autoSpaceDE w:val="0"/>
        <w:autoSpaceDN w:val="0"/>
        <w:adjustRightInd w:val="0"/>
        <w:spacing w:line="400" w:lineRule="exact"/>
        <w:ind w:firstLine="420"/>
        <w:rPr>
          <w:rFonts w:hint="eastAsia" w:cs="宋体"/>
          <w:color w:val="auto"/>
          <w:sz w:val="24"/>
          <w:lang w:val="zh-CN"/>
        </w:rPr>
      </w:pPr>
    </w:p>
    <w:tbl>
      <w:tblPr>
        <w:tblStyle w:val="42"/>
        <w:tblW w:w="8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946"/>
        <w:gridCol w:w="885"/>
        <w:gridCol w:w="5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20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评分因素</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7"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价格部分（10分）</w:t>
            </w:r>
          </w:p>
        </w:tc>
        <w:tc>
          <w:tcPr>
            <w:tcW w:w="9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投标报价</w:t>
            </w:r>
          </w:p>
        </w:tc>
        <w:tc>
          <w:tcPr>
            <w:tcW w:w="8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价格满分为10分。</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评标基准价：各投标人的投标价a经评审后，以经评审后的各有效投标人投标价的最低值A作为评标基准价。</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评标基准价得分为满分。</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各投标人得分：</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p>
          <w:p>
            <w:pPr>
              <w:keepNext w:val="0"/>
              <w:keepLines w:val="0"/>
              <w:widowControl/>
              <w:suppressLineNumbers w:val="0"/>
              <w:jc w:val="left"/>
              <w:textAlignment w:val="center"/>
              <w:rPr>
                <w:rFonts w:hint="eastAsia"/>
              </w:rPr>
            </w:pPr>
            <w:r>
              <w:rPr>
                <w:rFonts w:hint="eastAsia" w:ascii="宋体" w:hAnsi="宋体" w:eastAsia="宋体" w:cs="宋体"/>
                <w:i w:val="0"/>
                <w:color w:val="000000"/>
                <w:sz w:val="21"/>
                <w:szCs w:val="21"/>
                <w:u w:val="none"/>
                <w:lang w:val="en-US" w:eastAsia="zh-CN"/>
              </w:rPr>
              <w:t>（评标基准价A/投标价a）x10，即（A/a）*10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3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sz w:val="21"/>
                <w:szCs w:val="21"/>
                <w:u w:val="none"/>
                <w:lang w:val="en-US" w:eastAsia="zh-CN"/>
              </w:rPr>
              <w:t>投标人最终报价中的最低报价或者某些分项报价明显低于其他通过符合性审查投标人的报价，有可能影响产品质量或者不能诚信履约的，磋商小组应当要求其在评标现场合理的时间内提供书面说明，必要时提交相关证明材料；投标人不能证明其报价合理性的，评标委员会应当将其作为无效投标处理。</w:t>
            </w:r>
          </w:p>
        </w:tc>
      </w:tr>
    </w:tbl>
    <w:p>
      <w:pPr>
        <w:pStyle w:val="3"/>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pStyle w:val="3"/>
        <w:rPr>
          <w:rFonts w:hint="eastAsia" w:ascii="宋体" w:hAnsi="宋体" w:cs="宋体"/>
          <w:color w:val="auto"/>
          <w:sz w:val="28"/>
          <w:szCs w:val="28"/>
          <w:highlight w:val="none"/>
        </w:rPr>
      </w:pPr>
    </w:p>
    <w:p>
      <w:pPr>
        <w:pStyle w:val="3"/>
        <w:rPr>
          <w:rFonts w:hint="eastAsia" w:ascii="宋体" w:hAnsi="宋体" w:cs="宋体"/>
          <w:color w:val="auto"/>
          <w:sz w:val="28"/>
          <w:szCs w:val="28"/>
          <w:highlight w:val="none"/>
        </w:rPr>
      </w:pPr>
    </w:p>
    <w:p>
      <w:pPr>
        <w:pStyle w:val="3"/>
        <w:rPr>
          <w:rFonts w:hint="eastAsia" w:ascii="宋体" w:hAnsi="宋体" w:cs="宋体"/>
          <w:color w:val="auto"/>
          <w:sz w:val="44"/>
          <w:szCs w:val="44"/>
          <w:highlight w:val="none"/>
        </w:rPr>
      </w:pPr>
      <w:r>
        <w:rPr>
          <w:rFonts w:hint="eastAsia" w:ascii="宋体" w:hAnsi="宋体" w:cs="宋体"/>
          <w:color w:val="auto"/>
          <w:sz w:val="44"/>
          <w:szCs w:val="44"/>
          <w:highlight w:val="none"/>
        </w:rPr>
        <w:t>第</w:t>
      </w:r>
      <w:r>
        <w:rPr>
          <w:rFonts w:hint="eastAsia" w:ascii="宋体" w:hAnsi="宋体" w:cs="宋体"/>
          <w:color w:val="auto"/>
          <w:sz w:val="44"/>
          <w:szCs w:val="44"/>
          <w:highlight w:val="none"/>
          <w:lang w:eastAsia="zh-CN"/>
        </w:rPr>
        <w:t>五</w:t>
      </w:r>
      <w:r>
        <w:rPr>
          <w:rFonts w:hint="eastAsia" w:ascii="宋体" w:hAnsi="宋体" w:cs="宋体"/>
          <w:color w:val="auto"/>
          <w:sz w:val="44"/>
          <w:szCs w:val="44"/>
          <w:highlight w:val="none"/>
        </w:rPr>
        <w:t>章  政府采购合同格式</w:t>
      </w:r>
      <w:bookmarkEnd w:id="275"/>
      <w:bookmarkEnd w:id="276"/>
      <w:bookmarkEnd w:id="277"/>
      <w:bookmarkEnd w:id="278"/>
      <w:bookmarkEnd w:id="279"/>
      <w:bookmarkEnd w:id="280"/>
      <w:bookmarkEnd w:id="281"/>
      <w:bookmarkEnd w:id="282"/>
    </w:p>
    <w:p>
      <w:pPr>
        <w:rPr>
          <w:rFonts w:hint="eastAsia"/>
          <w:color w:val="auto"/>
          <w:highlight w:val="none"/>
        </w:rPr>
      </w:pPr>
      <w:bookmarkStart w:id="283" w:name="EB0241872a782746df84ab771927209b83"/>
    </w:p>
    <w:bookmarkEnd w:id="283"/>
    <w:p>
      <w:pPr>
        <w:pStyle w:val="65"/>
        <w:rPr>
          <w:rFonts w:ascii="宋体" w:hAnsi="宋体"/>
          <w:b/>
          <w:color w:val="auto"/>
          <w:sz w:val="24"/>
          <w:highlight w:val="none"/>
        </w:rPr>
      </w:pPr>
    </w:p>
    <w:p>
      <w:pPr>
        <w:pStyle w:val="65"/>
        <w:jc w:val="center"/>
        <w:rPr>
          <w:rFonts w:hint="eastAsia" w:eastAsia="黑体"/>
          <w:b/>
          <w:color w:val="auto"/>
          <w:sz w:val="52"/>
          <w:szCs w:val="52"/>
          <w:highlight w:val="none"/>
        </w:rPr>
      </w:pPr>
    </w:p>
    <w:p>
      <w:pPr>
        <w:pStyle w:val="3"/>
        <w:rPr>
          <w:rFonts w:hint="eastAsia" w:ascii="宋体" w:hAnsi="宋体" w:eastAsia="宋体" w:cs="宋体"/>
          <w:color w:val="auto"/>
          <w:sz w:val="44"/>
          <w:szCs w:val="44"/>
          <w:highlight w:val="none"/>
        </w:rPr>
      </w:pPr>
      <w:bookmarkStart w:id="284" w:name="_Toc14832"/>
      <w:bookmarkStart w:id="285" w:name="_Toc2395"/>
      <w:bookmarkStart w:id="286" w:name="_Toc27384"/>
      <w:bookmarkStart w:id="287" w:name="_Toc1022"/>
      <w:bookmarkStart w:id="288" w:name="_Toc529952600"/>
      <w:bookmarkStart w:id="289" w:name="_Toc13468"/>
      <w:bookmarkStart w:id="290" w:name="_Toc5731"/>
      <w:bookmarkStart w:id="291" w:name="_Toc20522"/>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rPr>
          <w:rFonts w:hint="eastAsia" w:ascii="宋体" w:hAnsi="宋体" w:eastAsia="宋体" w:cs="宋体"/>
          <w:color w:val="auto"/>
          <w:sz w:val="44"/>
          <w:szCs w:val="44"/>
          <w:highlight w:val="none"/>
        </w:rPr>
      </w:pPr>
    </w:p>
    <w:p>
      <w:pPr>
        <w:pStyle w:val="3"/>
        <w:jc w:val="both"/>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pStyle w:val="2"/>
        <w:rPr>
          <w:rFonts w:hint="eastAsia"/>
        </w:rPr>
      </w:pPr>
    </w:p>
    <w:p>
      <w:pPr>
        <w:pStyle w:val="3"/>
        <w:ind w:firstLine="1325" w:firstLineChars="3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第</w:t>
      </w:r>
      <w:r>
        <w:rPr>
          <w:rFonts w:hint="eastAsia" w:ascii="宋体" w:hAnsi="宋体" w:eastAsia="宋体" w:cs="宋体"/>
          <w:color w:val="auto"/>
          <w:sz w:val="44"/>
          <w:szCs w:val="44"/>
          <w:highlight w:val="none"/>
          <w:lang w:eastAsia="zh-CN"/>
        </w:rPr>
        <w:t>六</w:t>
      </w:r>
      <w:r>
        <w:rPr>
          <w:rFonts w:hint="eastAsia" w:ascii="宋体" w:hAnsi="宋体" w:eastAsia="宋体" w:cs="宋体"/>
          <w:color w:val="auto"/>
          <w:sz w:val="44"/>
          <w:szCs w:val="44"/>
          <w:highlight w:val="none"/>
        </w:rPr>
        <w:t>章  响应文件格式</w:t>
      </w:r>
      <w:bookmarkEnd w:id="284"/>
      <w:bookmarkEnd w:id="285"/>
      <w:bookmarkEnd w:id="286"/>
      <w:bookmarkEnd w:id="287"/>
      <w:bookmarkEnd w:id="288"/>
      <w:bookmarkEnd w:id="289"/>
      <w:bookmarkEnd w:id="290"/>
      <w:bookmarkEnd w:id="291"/>
    </w:p>
    <w:p>
      <w:pPr>
        <w:pStyle w:val="115"/>
        <w:spacing w:line="400" w:lineRule="exact"/>
        <w:ind w:firstLine="420" w:firstLineChars="200"/>
        <w:jc w:val="left"/>
        <w:rPr>
          <w:rFonts w:hint="eastAsia" w:ascii="宋体" w:hAnsi="宋体" w:eastAsia="宋体" w:cs="宋体"/>
          <w:color w:val="auto"/>
          <w:szCs w:val="21"/>
          <w:highlight w:val="none"/>
        </w:rPr>
      </w:pPr>
      <w:bookmarkStart w:id="292" w:name="EBa7aace56499c438eba0da8955ee091e8"/>
    </w:p>
    <w:p>
      <w:pPr>
        <w:spacing w:before="133" w:line="193" w:lineRule="auto"/>
        <w:ind w:left="29"/>
        <w:rPr>
          <w:rFonts w:ascii="微软雅黑" w:hAnsi="微软雅黑" w:eastAsia="微软雅黑" w:cs="微软雅黑"/>
          <w:sz w:val="31"/>
          <w:szCs w:val="31"/>
        </w:rPr>
      </w:pPr>
      <w:r>
        <w:rPr>
          <w:rFonts w:ascii="微软雅黑" w:hAnsi="微软雅黑" w:eastAsia="微软雅黑" w:cs="微软雅黑"/>
          <w:spacing w:val="-4"/>
          <w:sz w:val="31"/>
          <w:szCs w:val="31"/>
          <w14:textOutline w14:w="5793" w14:cap="sq" w14:cmpd="sng">
            <w14:solidFill>
              <w14:srgbClr w14:val="000000"/>
            </w14:solidFill>
            <w14:prstDash w14:val="solid"/>
            <w14:bevel/>
          </w14:textOutline>
        </w:rPr>
        <w:t>一</w:t>
      </w:r>
      <w:r>
        <w:rPr>
          <w:rFonts w:ascii="微软雅黑" w:hAnsi="微软雅黑" w:eastAsia="微软雅黑" w:cs="微软雅黑"/>
          <w:spacing w:val="-4"/>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、投标文件封面</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220" w:lineRule="auto"/>
        <w:ind w:left="3345"/>
        <w:rPr>
          <w:rFonts w:ascii="宋体" w:hAnsi="宋体" w:eastAsia="宋体" w:cs="宋体"/>
          <w:sz w:val="28"/>
          <w:szCs w:val="28"/>
        </w:rPr>
      </w:pPr>
      <w:r>
        <w:rPr>
          <w:rFonts w:ascii="宋体" w:hAnsi="宋体" w:eastAsia="宋体" w:cs="宋体"/>
          <w:spacing w:val="22"/>
          <w:sz w:val="28"/>
          <w:szCs w:val="28"/>
        </w:rPr>
        <w:t>(</w:t>
      </w:r>
      <w:r>
        <w:rPr>
          <w:rFonts w:ascii="宋体" w:hAnsi="宋体" w:eastAsia="宋体" w:cs="宋体"/>
          <w:spacing w:val="20"/>
          <w:sz w:val="28"/>
          <w:szCs w:val="28"/>
        </w:rPr>
        <w:t>项目名称)</w:t>
      </w: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91" w:line="220" w:lineRule="auto"/>
        <w:ind w:left="3390"/>
        <w:rPr>
          <w:rFonts w:ascii="宋体" w:hAnsi="宋体" w:eastAsia="宋体" w:cs="宋体"/>
          <w:sz w:val="28"/>
          <w:szCs w:val="28"/>
        </w:rPr>
      </w:pPr>
      <w:r>
        <w:rPr>
          <w:rFonts w:ascii="宋体" w:hAnsi="宋体" w:eastAsia="宋体" w:cs="宋体"/>
          <w:spacing w:val="22"/>
          <w:sz w:val="28"/>
          <w:szCs w:val="28"/>
        </w:rPr>
        <w:t>(</w:t>
      </w:r>
      <w:r>
        <w:rPr>
          <w:rFonts w:ascii="宋体" w:hAnsi="宋体" w:eastAsia="宋体" w:cs="宋体"/>
          <w:spacing w:val="20"/>
          <w:sz w:val="28"/>
          <w:szCs w:val="28"/>
        </w:rPr>
        <w:t>项目编号)</w:t>
      </w: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231" w:line="222" w:lineRule="auto"/>
        <w:ind w:left="2758"/>
        <w:rPr>
          <w:rFonts w:ascii="宋体" w:hAnsi="宋体" w:eastAsia="宋体" w:cs="宋体"/>
          <w:sz w:val="71"/>
          <w:szCs w:val="71"/>
        </w:rPr>
      </w:pPr>
      <w:r>
        <w:rPr>
          <w:rFonts w:ascii="宋体" w:hAnsi="宋体" w:eastAsia="宋体" w:cs="宋体"/>
          <w:spacing w:val="3"/>
          <w:sz w:val="71"/>
          <w:szCs w:val="71"/>
          <w14:textOutline w14:w="13075" w14:cap="sq" w14:cmpd="sng">
            <w14:solidFill>
              <w14:srgbClr w14:val="000000"/>
            </w14:solidFill>
            <w14:prstDash w14:val="solid"/>
            <w14:bevel/>
          </w14:textOutline>
        </w:rPr>
        <w:t>投标文件</w:t>
      </w:r>
    </w:p>
    <w:p>
      <w:pPr>
        <w:spacing w:before="264" w:line="225" w:lineRule="auto"/>
        <w:ind w:left="3112"/>
        <w:outlineLvl w:val="1"/>
        <w:rPr>
          <w:rFonts w:ascii="宋体" w:hAnsi="宋体" w:eastAsia="宋体" w:cs="宋体"/>
          <w:sz w:val="35"/>
          <w:szCs w:val="35"/>
        </w:rPr>
      </w:pPr>
      <w:r>
        <w:rPr>
          <w:rFonts w:ascii="宋体" w:hAnsi="宋体" w:eastAsia="宋体" w:cs="宋体"/>
          <w:spacing w:val="36"/>
          <w:sz w:val="35"/>
          <w:szCs w:val="35"/>
          <w14:textOutline w14:w="6537" w14:cap="sq" w14:cmpd="sng">
            <w14:solidFill>
              <w14:srgbClr w14:val="000000"/>
            </w14:solidFill>
            <w14:prstDash w14:val="solid"/>
            <w14:bevel/>
          </w14:textOutline>
        </w:rPr>
        <w:t>(</w:t>
      </w:r>
      <w:r>
        <w:rPr>
          <w:rFonts w:ascii="宋体" w:hAnsi="宋体" w:eastAsia="宋体" w:cs="宋体"/>
          <w:spacing w:val="33"/>
          <w:sz w:val="35"/>
          <w:szCs w:val="35"/>
          <w14:textOutline w14:w="6537" w14:cap="sq" w14:cmpd="sng">
            <w14:solidFill>
              <w14:srgbClr w14:val="000000"/>
            </w14:solidFill>
            <w14:prstDash w14:val="solid"/>
            <w14:bevel/>
          </w14:textOutline>
        </w:rPr>
        <w:t>公开招标)</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2" w:line="219" w:lineRule="auto"/>
        <w:ind w:left="2497"/>
        <w:rPr>
          <w:rFonts w:ascii="宋体" w:hAnsi="宋体" w:eastAsia="宋体" w:cs="宋体"/>
          <w:sz w:val="28"/>
          <w:szCs w:val="28"/>
        </w:rPr>
      </w:pPr>
      <w:r>
        <w:rPr>
          <w:rFonts w:ascii="宋体" w:hAnsi="宋体" w:eastAsia="宋体" w:cs="宋体"/>
          <w:spacing w:val="-20"/>
          <w:sz w:val="28"/>
          <w:szCs w:val="28"/>
        </w:rPr>
        <w:t>供</w:t>
      </w:r>
      <w:r>
        <w:rPr>
          <w:rFonts w:ascii="宋体" w:hAnsi="宋体" w:eastAsia="宋体" w:cs="宋体"/>
          <w:spacing w:val="-10"/>
          <w:sz w:val="28"/>
          <w:szCs w:val="28"/>
        </w:rPr>
        <w:t>应商名称：  (电子签章)</w:t>
      </w:r>
    </w:p>
    <w:p>
      <w:pPr>
        <w:spacing w:line="355" w:lineRule="auto"/>
        <w:rPr>
          <w:rFonts w:ascii="Arial"/>
          <w:sz w:val="21"/>
        </w:rPr>
      </w:pPr>
    </w:p>
    <w:p>
      <w:pPr>
        <w:spacing w:before="92" w:line="219" w:lineRule="auto"/>
        <w:ind w:left="2498"/>
        <w:rPr>
          <w:rFonts w:ascii="宋体" w:hAnsi="宋体" w:eastAsia="宋体" w:cs="宋体"/>
          <w:sz w:val="28"/>
          <w:szCs w:val="28"/>
        </w:rPr>
      </w:pPr>
      <w:r>
        <w:rPr>
          <w:rFonts w:ascii="宋体" w:hAnsi="宋体" w:eastAsia="宋体" w:cs="宋体"/>
          <w:spacing w:val="-20"/>
          <w:sz w:val="28"/>
          <w:szCs w:val="28"/>
        </w:rPr>
        <w:t>法</w:t>
      </w:r>
      <w:r>
        <w:rPr>
          <w:rFonts w:ascii="宋体" w:hAnsi="宋体" w:eastAsia="宋体" w:cs="宋体"/>
          <w:spacing w:val="-11"/>
          <w:sz w:val="28"/>
          <w:szCs w:val="28"/>
        </w:rPr>
        <w:t>定</w:t>
      </w:r>
      <w:r>
        <w:rPr>
          <w:rFonts w:ascii="宋体" w:hAnsi="宋体" w:eastAsia="宋体" w:cs="宋体"/>
          <w:spacing w:val="-10"/>
          <w:sz w:val="28"/>
          <w:szCs w:val="28"/>
        </w:rPr>
        <w:t>代表人：  (电子签名)</w:t>
      </w:r>
    </w:p>
    <w:p>
      <w:pPr>
        <w:spacing w:line="360" w:lineRule="auto"/>
        <w:rPr>
          <w:rFonts w:ascii="Arial"/>
          <w:sz w:val="21"/>
        </w:rPr>
      </w:pPr>
    </w:p>
    <w:p>
      <w:pPr>
        <w:spacing w:before="91" w:line="220" w:lineRule="auto"/>
        <w:ind w:left="3106"/>
        <w:rPr>
          <w:rFonts w:ascii="宋体" w:hAnsi="宋体" w:eastAsia="宋体" w:cs="宋体"/>
          <w:sz w:val="28"/>
          <w:szCs w:val="28"/>
        </w:rPr>
      </w:pPr>
      <w:r>
        <w:rPr>
          <w:rFonts w:ascii="宋体" w:hAnsi="宋体" w:eastAsia="宋体" w:cs="宋体"/>
          <w:spacing w:val="-6"/>
          <w:sz w:val="28"/>
          <w:szCs w:val="28"/>
        </w:rPr>
        <w:t>日期 (年/月/日</w:t>
      </w:r>
      <w:r>
        <w:rPr>
          <w:rFonts w:ascii="宋体" w:hAnsi="宋体" w:eastAsia="宋体" w:cs="宋体"/>
          <w:spacing w:val="-5"/>
          <w:sz w:val="28"/>
          <w:szCs w:val="28"/>
        </w:rPr>
        <w:t>)</w:t>
      </w:r>
    </w:p>
    <w:p>
      <w:pPr>
        <w:pStyle w:val="115"/>
        <w:spacing w:line="400" w:lineRule="exact"/>
        <w:ind w:firstLine="420" w:firstLineChars="200"/>
        <w:jc w:val="left"/>
        <w:rPr>
          <w:rFonts w:hint="eastAsia" w:ascii="宋体" w:hAnsi="宋体" w:eastAsia="宋体" w:cs="宋体"/>
          <w:color w:val="auto"/>
          <w:szCs w:val="21"/>
          <w:highlight w:val="none"/>
        </w:rPr>
      </w:pPr>
    </w:p>
    <w:bookmarkEnd w:id="292"/>
    <w:p>
      <w:pPr>
        <w:rPr>
          <w:rFonts w:hint="eastAsia" w:ascii="宋体" w:hAnsi="宋体" w:eastAsia="宋体" w:cs="宋体"/>
          <w:color w:val="auto"/>
          <w:sz w:val="24"/>
          <w:highlight w:val="none"/>
        </w:rPr>
      </w:pPr>
      <w:bookmarkStart w:id="293" w:name="EB494e10445b284177a9350c3e96722e55"/>
    </w:p>
    <w:p>
      <w:pPr>
        <w:pStyle w:val="61"/>
        <w:spacing w:line="360" w:lineRule="auto"/>
        <w:rPr>
          <w:rFonts w:hint="eastAsia" w:ascii="宋体" w:hAnsi="宋体" w:eastAsia="宋体" w:cs="宋体"/>
          <w:color w:val="auto"/>
          <w:sz w:val="24"/>
          <w:highlight w:val="none"/>
        </w:rPr>
      </w:pPr>
    </w:p>
    <w:bookmarkEnd w:id="293"/>
    <w:p>
      <w:pPr>
        <w:spacing w:before="75" w:line="230" w:lineRule="auto"/>
        <w:ind w:left="3981"/>
        <w:rPr>
          <w:rFonts w:ascii="宋体" w:hAnsi="宋体" w:eastAsia="宋体" w:cs="宋体"/>
          <w:sz w:val="23"/>
          <w:szCs w:val="23"/>
        </w:rPr>
      </w:pPr>
      <w:r>
        <w:rPr>
          <w:rFonts w:ascii="宋体" w:hAnsi="宋体" w:eastAsia="宋体" w:cs="宋体"/>
          <w:spacing w:val="-19"/>
          <w:sz w:val="23"/>
          <w:szCs w:val="23"/>
        </w:rPr>
        <w:t>目</w:t>
      </w:r>
      <w:r>
        <w:rPr>
          <w:rFonts w:hint="eastAsia" w:ascii="宋体" w:hAnsi="宋体" w:eastAsia="宋体" w:cs="宋体"/>
          <w:spacing w:val="-19"/>
          <w:sz w:val="23"/>
          <w:szCs w:val="23"/>
          <w:lang w:val="en-US" w:eastAsia="zh-CN"/>
        </w:rPr>
        <w:t xml:space="preserve">  </w:t>
      </w:r>
      <w:r>
        <w:rPr>
          <w:rFonts w:ascii="宋体" w:hAnsi="宋体" w:eastAsia="宋体" w:cs="宋体"/>
          <w:spacing w:val="-17"/>
          <w:sz w:val="23"/>
          <w:szCs w:val="23"/>
        </w:rPr>
        <w:t>录</w:t>
      </w:r>
    </w:p>
    <w:p>
      <w:pPr>
        <w:spacing w:line="252" w:lineRule="auto"/>
        <w:rPr>
          <w:rFonts w:ascii="Arial"/>
          <w:sz w:val="21"/>
        </w:rPr>
      </w:pPr>
    </w:p>
    <w:p>
      <w:pPr>
        <w:spacing w:before="74" w:line="394" w:lineRule="exact"/>
        <w:ind w:left="24"/>
        <w:outlineLvl w:val="1"/>
        <w:rPr>
          <w:rFonts w:ascii="宋体" w:hAnsi="宋体" w:eastAsia="宋体" w:cs="宋体"/>
          <w:sz w:val="23"/>
          <w:szCs w:val="23"/>
        </w:rPr>
      </w:pPr>
      <w:r>
        <w:rPr>
          <w:rFonts w:ascii="宋体" w:hAnsi="宋体" w:eastAsia="宋体" w:cs="宋体"/>
          <w:spacing w:val="10"/>
          <w:position w:val="2"/>
          <w:sz w:val="23"/>
          <w:szCs w:val="23"/>
        </w:rPr>
        <w:t>一</w:t>
      </w:r>
      <w:r>
        <w:rPr>
          <w:rFonts w:ascii="宋体" w:hAnsi="宋体" w:eastAsia="宋体" w:cs="宋体"/>
          <w:spacing w:val="8"/>
          <w:position w:val="2"/>
          <w:sz w:val="23"/>
          <w:szCs w:val="23"/>
        </w:rPr>
        <w:t>、投标文件封面</w:t>
      </w:r>
    </w:p>
    <w:p>
      <w:pPr>
        <w:spacing w:before="225" w:line="314" w:lineRule="exact"/>
        <w:ind w:left="24"/>
        <w:rPr>
          <w:rFonts w:ascii="宋体" w:hAnsi="宋体" w:eastAsia="宋体" w:cs="宋体"/>
          <w:sz w:val="23"/>
          <w:szCs w:val="23"/>
        </w:rPr>
      </w:pPr>
      <w:r>
        <w:rPr>
          <w:rFonts w:ascii="宋体" w:hAnsi="宋体" w:eastAsia="宋体" w:cs="宋体"/>
          <w:spacing w:val="12"/>
          <w:position w:val="1"/>
          <w:sz w:val="23"/>
          <w:szCs w:val="23"/>
        </w:rPr>
        <w:t>二</w:t>
      </w:r>
      <w:r>
        <w:rPr>
          <w:rFonts w:ascii="宋体" w:hAnsi="宋体" w:eastAsia="宋体" w:cs="宋体"/>
          <w:spacing w:val="8"/>
          <w:position w:val="1"/>
          <w:sz w:val="23"/>
          <w:szCs w:val="23"/>
        </w:rPr>
        <w:t>、☆资格审查材料</w:t>
      </w:r>
    </w:p>
    <w:p>
      <w:pPr>
        <w:spacing w:before="303" w:line="227" w:lineRule="auto"/>
        <w:ind w:left="63"/>
        <w:rPr>
          <w:rFonts w:ascii="宋体" w:hAnsi="宋体" w:eastAsia="宋体" w:cs="宋体"/>
          <w:sz w:val="23"/>
          <w:szCs w:val="23"/>
        </w:rPr>
      </w:pPr>
      <w:r>
        <w:rPr>
          <w:rFonts w:ascii="宋体" w:hAnsi="宋体" w:eastAsia="宋体" w:cs="宋体"/>
          <w:spacing w:val="8"/>
          <w:sz w:val="23"/>
          <w:szCs w:val="23"/>
        </w:rPr>
        <w:t>(一) 符合《中华人民共和国政府采购法》第二十二条规定的证明文</w:t>
      </w:r>
      <w:r>
        <w:rPr>
          <w:rFonts w:ascii="宋体" w:hAnsi="宋体" w:eastAsia="宋体" w:cs="宋体"/>
          <w:spacing w:val="5"/>
          <w:sz w:val="23"/>
          <w:szCs w:val="23"/>
        </w:rPr>
        <w:t>件</w:t>
      </w:r>
    </w:p>
    <w:p>
      <w:pPr>
        <w:spacing w:line="254" w:lineRule="auto"/>
        <w:rPr>
          <w:rFonts w:ascii="Arial"/>
          <w:sz w:val="21"/>
        </w:rPr>
      </w:pPr>
    </w:p>
    <w:p>
      <w:pPr>
        <w:spacing w:before="75" w:line="224" w:lineRule="auto"/>
        <w:ind w:left="63"/>
        <w:rPr>
          <w:rFonts w:ascii="宋体" w:hAnsi="宋体" w:eastAsia="宋体" w:cs="宋体"/>
          <w:sz w:val="23"/>
          <w:szCs w:val="23"/>
        </w:rPr>
      </w:pPr>
      <w:r>
        <w:rPr>
          <w:rFonts w:ascii="宋体" w:hAnsi="宋体" w:eastAsia="宋体" w:cs="宋体"/>
          <w:spacing w:val="7"/>
          <w:sz w:val="23"/>
          <w:szCs w:val="23"/>
        </w:rPr>
        <w:t>(二) 法定代表人 (或负责人) 资格证明书及授权委托</w:t>
      </w:r>
      <w:r>
        <w:rPr>
          <w:rFonts w:ascii="宋体" w:hAnsi="宋体" w:eastAsia="宋体" w:cs="宋体"/>
          <w:spacing w:val="4"/>
          <w:sz w:val="23"/>
          <w:szCs w:val="23"/>
        </w:rPr>
        <w:t>书</w:t>
      </w:r>
    </w:p>
    <w:p>
      <w:pPr>
        <w:spacing w:line="261" w:lineRule="auto"/>
        <w:rPr>
          <w:rFonts w:ascii="Arial"/>
          <w:sz w:val="21"/>
        </w:rPr>
      </w:pPr>
    </w:p>
    <w:p>
      <w:pPr>
        <w:spacing w:before="75" w:line="227" w:lineRule="auto"/>
        <w:ind w:left="63"/>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5"/>
          <w:sz w:val="23"/>
          <w:szCs w:val="23"/>
        </w:rPr>
        <w:t>三) 不参与围标串标承诺书</w:t>
      </w:r>
    </w:p>
    <w:p>
      <w:pPr>
        <w:spacing w:line="258" w:lineRule="auto"/>
        <w:rPr>
          <w:rFonts w:ascii="Arial"/>
          <w:sz w:val="21"/>
        </w:rPr>
      </w:pPr>
    </w:p>
    <w:p>
      <w:pPr>
        <w:spacing w:before="74" w:line="228" w:lineRule="auto"/>
        <w:ind w:left="63"/>
        <w:rPr>
          <w:rFonts w:ascii="宋体" w:hAnsi="宋体" w:eastAsia="宋体" w:cs="宋体"/>
          <w:sz w:val="23"/>
          <w:szCs w:val="23"/>
        </w:rPr>
      </w:pPr>
      <w:r>
        <w:rPr>
          <w:rFonts w:ascii="宋体" w:hAnsi="宋体" w:eastAsia="宋体" w:cs="宋体"/>
          <w:spacing w:val="4"/>
          <w:sz w:val="23"/>
          <w:szCs w:val="23"/>
        </w:rPr>
        <w:t>(四</w:t>
      </w:r>
      <w:r>
        <w:rPr>
          <w:rFonts w:ascii="宋体" w:hAnsi="宋体" w:eastAsia="宋体" w:cs="宋体"/>
          <w:spacing w:val="3"/>
          <w:sz w:val="23"/>
          <w:szCs w:val="23"/>
        </w:rPr>
        <w:t>)</w:t>
      </w:r>
      <w:r>
        <w:rPr>
          <w:rFonts w:ascii="宋体" w:hAnsi="宋体" w:eastAsia="宋体" w:cs="宋体"/>
          <w:spacing w:val="2"/>
          <w:sz w:val="23"/>
          <w:szCs w:val="23"/>
        </w:rPr>
        <w:t xml:space="preserve"> 投标保证金</w:t>
      </w:r>
    </w:p>
    <w:p>
      <w:pPr>
        <w:spacing w:line="257" w:lineRule="auto"/>
        <w:rPr>
          <w:rFonts w:ascii="Arial"/>
          <w:sz w:val="21"/>
        </w:rPr>
      </w:pPr>
    </w:p>
    <w:p>
      <w:pPr>
        <w:spacing w:before="76" w:line="249" w:lineRule="auto"/>
        <w:ind w:left="24" w:right="42" w:firstLine="38"/>
        <w:rPr>
          <w:rFonts w:ascii="宋体" w:hAnsi="宋体" w:eastAsia="宋体" w:cs="宋体"/>
          <w:sz w:val="23"/>
          <w:szCs w:val="23"/>
        </w:rPr>
      </w:pPr>
      <w:r>
        <w:rPr>
          <w:rFonts w:ascii="宋体" w:hAnsi="宋体" w:eastAsia="宋体" w:cs="宋体"/>
          <w:spacing w:val="10"/>
          <w:sz w:val="23"/>
          <w:szCs w:val="23"/>
        </w:rPr>
        <w:t xml:space="preserve">(五) </w:t>
      </w:r>
      <w:r>
        <w:rPr>
          <w:rFonts w:ascii="宋体" w:hAnsi="宋体" w:eastAsia="宋体" w:cs="宋体"/>
          <w:spacing w:val="8"/>
          <w:sz w:val="23"/>
          <w:szCs w:val="23"/>
        </w:rPr>
        <w:t xml:space="preserve"> </w:t>
      </w:r>
      <w:r>
        <w:rPr>
          <w:rFonts w:ascii="宋体" w:hAnsi="宋体" w:eastAsia="宋体" w:cs="宋体"/>
          <w:spacing w:val="5"/>
          <w:sz w:val="23"/>
          <w:szCs w:val="23"/>
        </w:rPr>
        <w:t>“信用中国”网站 (</w:t>
      </w:r>
      <w:r>
        <w:rPr>
          <w:rFonts w:ascii="宋体" w:hAnsi="宋体" w:eastAsia="宋体" w:cs="宋体"/>
          <w:sz w:val="23"/>
          <w:szCs w:val="23"/>
        </w:rPr>
        <w:t>www</w:t>
      </w:r>
      <w:r>
        <w:rPr>
          <w:rFonts w:ascii="宋体" w:hAnsi="宋体" w:eastAsia="宋体" w:cs="宋体"/>
          <w:spacing w:val="5"/>
          <w:sz w:val="23"/>
          <w:szCs w:val="23"/>
        </w:rPr>
        <w:t>.</w:t>
      </w:r>
      <w:r>
        <w:rPr>
          <w:rFonts w:ascii="宋体" w:hAnsi="宋体" w:eastAsia="宋体" w:cs="宋体"/>
          <w:sz w:val="23"/>
          <w:szCs w:val="23"/>
        </w:rPr>
        <w:t>creditchina</w:t>
      </w:r>
      <w:r>
        <w:rPr>
          <w:rFonts w:ascii="宋体" w:hAnsi="宋体" w:eastAsia="宋体" w:cs="宋体"/>
          <w:spacing w:val="5"/>
          <w:sz w:val="23"/>
          <w:szCs w:val="23"/>
        </w:rPr>
        <w:t>.</w:t>
      </w:r>
      <w:r>
        <w:rPr>
          <w:rFonts w:ascii="宋体" w:hAnsi="宋体" w:eastAsia="宋体" w:cs="宋体"/>
          <w:sz w:val="23"/>
          <w:szCs w:val="23"/>
        </w:rPr>
        <w:t>gov</w:t>
      </w:r>
      <w:r>
        <w:rPr>
          <w:rFonts w:ascii="宋体" w:hAnsi="宋体" w:eastAsia="宋体" w:cs="宋体"/>
          <w:spacing w:val="5"/>
          <w:sz w:val="23"/>
          <w:szCs w:val="23"/>
        </w:rPr>
        <w:t>.</w:t>
      </w:r>
      <w:r>
        <w:rPr>
          <w:rFonts w:ascii="宋体" w:hAnsi="宋体" w:eastAsia="宋体" w:cs="宋体"/>
          <w:sz w:val="23"/>
          <w:szCs w:val="23"/>
        </w:rPr>
        <w:t>cn</w:t>
      </w:r>
      <w:r>
        <w:rPr>
          <w:rFonts w:ascii="宋体" w:hAnsi="宋体" w:eastAsia="宋体" w:cs="宋体"/>
          <w:spacing w:val="5"/>
          <w:sz w:val="23"/>
          <w:szCs w:val="23"/>
        </w:rPr>
        <w:t>) 查询企业信用信息截图或</w:t>
      </w:r>
      <w:r>
        <w:rPr>
          <w:rFonts w:ascii="宋体" w:hAnsi="宋体" w:eastAsia="宋体" w:cs="宋体"/>
          <w:sz w:val="23"/>
          <w:szCs w:val="23"/>
        </w:rPr>
        <w:t xml:space="preserve"> </w:t>
      </w:r>
      <w:r>
        <w:rPr>
          <w:rFonts w:ascii="宋体" w:hAnsi="宋体" w:eastAsia="宋体" w:cs="宋体"/>
          <w:spacing w:val="11"/>
          <w:sz w:val="23"/>
          <w:szCs w:val="23"/>
        </w:rPr>
        <w:t>打</w:t>
      </w:r>
      <w:r>
        <w:rPr>
          <w:rFonts w:ascii="宋体" w:hAnsi="宋体" w:eastAsia="宋体" w:cs="宋体"/>
          <w:spacing w:val="7"/>
          <w:sz w:val="23"/>
          <w:szCs w:val="23"/>
        </w:rPr>
        <w:t>印的扫描件</w:t>
      </w:r>
    </w:p>
    <w:p>
      <w:pPr>
        <w:spacing w:line="257" w:lineRule="auto"/>
        <w:rPr>
          <w:rFonts w:ascii="Arial"/>
          <w:sz w:val="21"/>
        </w:rPr>
      </w:pPr>
    </w:p>
    <w:p>
      <w:pPr>
        <w:spacing w:before="75" w:line="304" w:lineRule="exact"/>
        <w:ind w:left="21"/>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、商务文件</w:t>
      </w:r>
    </w:p>
    <w:p>
      <w:pPr>
        <w:spacing w:before="312" w:line="228" w:lineRule="auto"/>
        <w:ind w:left="32"/>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5"/>
          <w:sz w:val="23"/>
          <w:szCs w:val="23"/>
        </w:rPr>
        <w:t xml:space="preserve"> 一) ☆投标函</w:t>
      </w:r>
    </w:p>
    <w:p>
      <w:pPr>
        <w:spacing w:line="254" w:lineRule="auto"/>
        <w:rPr>
          <w:rFonts w:ascii="Arial"/>
          <w:sz w:val="21"/>
        </w:rPr>
      </w:pPr>
    </w:p>
    <w:p>
      <w:pPr>
        <w:spacing w:before="75" w:line="228" w:lineRule="auto"/>
        <w:ind w:left="3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8"/>
          <w:sz w:val="23"/>
          <w:szCs w:val="23"/>
        </w:rPr>
        <w:t>二) ☆开标一览表</w:t>
      </w:r>
    </w:p>
    <w:p>
      <w:pPr>
        <w:spacing w:line="256" w:lineRule="auto"/>
        <w:rPr>
          <w:rFonts w:ascii="Arial"/>
          <w:sz w:val="21"/>
        </w:rPr>
      </w:pPr>
    </w:p>
    <w:p>
      <w:pPr>
        <w:spacing w:before="75" w:line="226" w:lineRule="auto"/>
        <w:ind w:left="32"/>
        <w:rPr>
          <w:rFonts w:ascii="宋体" w:hAnsi="宋体" w:eastAsia="宋体" w:cs="宋体"/>
          <w:sz w:val="23"/>
          <w:szCs w:val="23"/>
        </w:rPr>
      </w:pPr>
      <w:r>
        <w:rPr>
          <w:rFonts w:ascii="宋体" w:hAnsi="宋体" w:eastAsia="宋体" w:cs="宋体"/>
          <w:spacing w:val="17"/>
          <w:sz w:val="23"/>
          <w:szCs w:val="23"/>
        </w:rPr>
        <w:t>(三) ☆投标报价明细表</w:t>
      </w:r>
    </w:p>
    <w:p>
      <w:pPr>
        <w:spacing w:line="260" w:lineRule="auto"/>
        <w:rPr>
          <w:rFonts w:ascii="Arial"/>
          <w:sz w:val="21"/>
        </w:rPr>
      </w:pPr>
    </w:p>
    <w:p>
      <w:pPr>
        <w:spacing w:before="76" w:line="227" w:lineRule="auto"/>
        <w:ind w:left="3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8"/>
          <w:sz w:val="23"/>
          <w:szCs w:val="23"/>
        </w:rPr>
        <w:t>四) ☆服务承诺书</w:t>
      </w:r>
    </w:p>
    <w:p>
      <w:pPr>
        <w:spacing w:line="256" w:lineRule="auto"/>
        <w:rPr>
          <w:rFonts w:ascii="Arial"/>
          <w:sz w:val="21"/>
        </w:rPr>
      </w:pPr>
    </w:p>
    <w:p>
      <w:pPr>
        <w:spacing w:before="75" w:line="227" w:lineRule="auto"/>
        <w:ind w:left="3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五) 商务条款偏离说明表</w:t>
      </w:r>
    </w:p>
    <w:p>
      <w:pPr>
        <w:spacing w:line="257" w:lineRule="auto"/>
        <w:rPr>
          <w:rFonts w:ascii="Arial"/>
          <w:sz w:val="21"/>
        </w:rPr>
      </w:pPr>
    </w:p>
    <w:p>
      <w:pPr>
        <w:spacing w:before="75" w:line="227" w:lineRule="auto"/>
        <w:ind w:left="3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六) 产品技术规格偏离表</w:t>
      </w:r>
    </w:p>
    <w:p>
      <w:pPr>
        <w:spacing w:line="257" w:lineRule="auto"/>
        <w:rPr>
          <w:rFonts w:ascii="Arial"/>
          <w:sz w:val="21"/>
        </w:rPr>
      </w:pPr>
    </w:p>
    <w:p>
      <w:pPr>
        <w:spacing w:before="76" w:line="224" w:lineRule="auto"/>
        <w:ind w:left="32"/>
        <w:rPr>
          <w:rFonts w:ascii="宋体" w:hAnsi="宋体" w:eastAsia="宋体" w:cs="宋体"/>
          <w:sz w:val="23"/>
          <w:szCs w:val="23"/>
        </w:rPr>
      </w:pPr>
      <w:r>
        <w:rPr>
          <w:rFonts w:ascii="宋体" w:hAnsi="宋体" w:eastAsia="宋体" w:cs="宋体"/>
          <w:spacing w:val="2"/>
          <w:sz w:val="23"/>
          <w:szCs w:val="23"/>
        </w:rPr>
        <w:t xml:space="preserve">(七) 近三年 (2019 </w:t>
      </w:r>
      <w:r>
        <w:rPr>
          <w:rFonts w:ascii="宋体" w:hAnsi="宋体" w:eastAsia="宋体" w:cs="宋体"/>
          <w:spacing w:val="1"/>
          <w:sz w:val="23"/>
          <w:szCs w:val="23"/>
        </w:rPr>
        <w:t>年 01 月 01 日至今) 类似项目业绩</w:t>
      </w:r>
    </w:p>
    <w:p>
      <w:pPr>
        <w:spacing w:line="260" w:lineRule="auto"/>
        <w:rPr>
          <w:rFonts w:ascii="Arial"/>
          <w:sz w:val="21"/>
        </w:rPr>
      </w:pPr>
    </w:p>
    <w:p>
      <w:pPr>
        <w:spacing w:before="75" w:line="227" w:lineRule="auto"/>
        <w:ind w:left="3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八) 拟投入人员列表</w:t>
      </w:r>
    </w:p>
    <w:p>
      <w:pPr>
        <w:spacing w:line="258" w:lineRule="auto"/>
        <w:rPr>
          <w:rFonts w:ascii="Arial"/>
          <w:sz w:val="21"/>
        </w:rPr>
      </w:pPr>
    </w:p>
    <w:p>
      <w:pPr>
        <w:spacing w:before="75" w:line="227" w:lineRule="auto"/>
        <w:ind w:left="3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九) 中小微企业、残疾人福利性单位、监狱企业声明函 (如有)</w:t>
      </w:r>
    </w:p>
    <w:p>
      <w:pPr>
        <w:spacing w:line="257" w:lineRule="auto"/>
        <w:rPr>
          <w:rFonts w:ascii="Arial"/>
          <w:sz w:val="21"/>
        </w:rPr>
      </w:pPr>
    </w:p>
    <w:p>
      <w:pPr>
        <w:spacing w:before="75" w:line="225" w:lineRule="auto"/>
        <w:ind w:left="32"/>
        <w:rPr>
          <w:rFonts w:ascii="宋体" w:hAnsi="宋体" w:eastAsia="宋体" w:cs="宋体"/>
          <w:sz w:val="23"/>
          <w:szCs w:val="23"/>
        </w:rPr>
      </w:pPr>
      <w:r>
        <w:rPr>
          <w:rFonts w:ascii="宋体" w:hAnsi="宋体" w:eastAsia="宋体" w:cs="宋体"/>
          <w:spacing w:val="15"/>
          <w:sz w:val="23"/>
          <w:szCs w:val="23"/>
        </w:rPr>
        <w:t>(十) 供应商认为需要提供其他资</w:t>
      </w:r>
      <w:r>
        <w:rPr>
          <w:rFonts w:ascii="宋体" w:hAnsi="宋体" w:eastAsia="宋体" w:cs="宋体"/>
          <w:spacing w:val="14"/>
          <w:sz w:val="23"/>
          <w:szCs w:val="23"/>
        </w:rPr>
        <w:t>料</w:t>
      </w:r>
    </w:p>
    <w:p>
      <w:pPr>
        <w:spacing w:line="260" w:lineRule="auto"/>
        <w:rPr>
          <w:rFonts w:ascii="Arial"/>
          <w:sz w:val="21"/>
        </w:rPr>
      </w:pPr>
    </w:p>
    <w:p>
      <w:pPr>
        <w:spacing w:before="75" w:line="230" w:lineRule="auto"/>
        <w:ind w:left="43"/>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、技术文件</w:t>
      </w:r>
    </w:p>
    <w:p>
      <w:pPr>
        <w:spacing w:line="254" w:lineRule="auto"/>
        <w:rPr>
          <w:rFonts w:ascii="Arial"/>
          <w:sz w:val="21"/>
        </w:rPr>
      </w:pPr>
    </w:p>
    <w:p>
      <w:pPr>
        <w:spacing w:before="75" w:line="237" w:lineRule="auto"/>
        <w:ind w:left="24"/>
        <w:sectPr>
          <w:headerReference r:id="rId3" w:type="default"/>
          <w:footerReference r:id="rId4" w:type="default"/>
          <w:pgSz w:w="11906" w:h="16839"/>
          <w:pgMar w:top="1117" w:right="1785" w:bottom="1335" w:left="1785" w:header="1108" w:footer="1172" w:gutter="0"/>
          <w:pgNumType w:fmt="decimal"/>
          <w:cols w:space="720" w:num="1"/>
        </w:sectPr>
      </w:pPr>
      <w:r>
        <w:rPr>
          <w:rFonts w:ascii="宋体" w:hAnsi="宋体" w:eastAsia="宋体" w:cs="宋体"/>
          <w:spacing w:val="11"/>
          <w:sz w:val="23"/>
          <w:szCs w:val="23"/>
        </w:rPr>
        <w:t>五</w:t>
      </w:r>
      <w:r>
        <w:rPr>
          <w:rFonts w:ascii="宋体" w:hAnsi="宋体" w:eastAsia="宋体" w:cs="宋体"/>
          <w:spacing w:val="7"/>
          <w:sz w:val="23"/>
          <w:szCs w:val="23"/>
        </w:rPr>
        <w:t>、其他材料</w:t>
      </w:r>
    </w:p>
    <w:p>
      <w:pPr>
        <w:spacing w:before="133" w:line="193" w:lineRule="auto"/>
        <w:ind w:left="29"/>
        <w:outlineLvl w:val="2"/>
        <w:rPr>
          <w:rFonts w:ascii="微软雅黑" w:hAnsi="微软雅黑" w:eastAsia="微软雅黑" w:cs="微软雅黑"/>
          <w:sz w:val="31"/>
          <w:szCs w:val="31"/>
        </w:rPr>
      </w:pPr>
      <w:bookmarkStart w:id="294" w:name="_bookmark15"/>
      <w:bookmarkEnd w:id="294"/>
      <w:bookmarkStart w:id="295" w:name="_bookmark16"/>
      <w:bookmarkEnd w:id="295"/>
      <w:r>
        <w:rPr>
          <w:rFonts w:ascii="微软雅黑" w:hAnsi="微软雅黑" w:eastAsia="微软雅黑" w:cs="微软雅黑"/>
          <w:spacing w:val="-4"/>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4"/>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、资格审查材料</w:t>
      </w:r>
    </w:p>
    <w:p>
      <w:pPr>
        <w:spacing w:line="297" w:lineRule="auto"/>
        <w:rPr>
          <w:rFonts w:ascii="Arial"/>
          <w:sz w:val="21"/>
        </w:rPr>
      </w:pPr>
    </w:p>
    <w:p>
      <w:pPr>
        <w:spacing w:before="75" w:line="393" w:lineRule="auto"/>
        <w:ind w:left="22" w:right="27" w:firstLine="479"/>
        <w:rPr>
          <w:rFonts w:ascii="宋体" w:hAnsi="宋体" w:eastAsia="宋体" w:cs="宋体"/>
          <w:spacing w:val="6"/>
          <w:sz w:val="23"/>
          <w:szCs w:val="23"/>
        </w:rPr>
      </w:pPr>
      <w:bookmarkStart w:id="296" w:name="_bookmark17"/>
      <w:bookmarkEnd w:id="296"/>
      <w:r>
        <w:rPr>
          <w:rFonts w:ascii="宋体" w:hAnsi="宋体" w:eastAsia="宋体" w:cs="宋体"/>
          <w:spacing w:val="6"/>
          <w:sz w:val="23"/>
          <w:szCs w:val="23"/>
        </w:rPr>
        <w:t>( 一)  符合《中华人民共和国政府采购法》第二十二条规定 的证明文件</w:t>
      </w:r>
    </w:p>
    <w:p>
      <w:pPr>
        <w:spacing w:before="75" w:line="389" w:lineRule="auto"/>
        <w:ind w:left="22" w:firstLine="478"/>
        <w:rPr>
          <w:rFonts w:hint="eastAsia" w:ascii="宋体" w:hAnsi="宋体" w:eastAsia="宋体" w:cs="宋体"/>
          <w:spacing w:val="3"/>
          <w:sz w:val="23"/>
          <w:szCs w:val="23"/>
        </w:rPr>
      </w:pPr>
      <w:r>
        <w:rPr>
          <w:rFonts w:hint="eastAsia" w:ascii="宋体" w:hAnsi="宋体" w:eastAsia="宋体" w:cs="宋体"/>
          <w:spacing w:val="3"/>
          <w:sz w:val="23"/>
          <w:szCs w:val="23"/>
          <w:lang w:val="en-US" w:eastAsia="zh-CN"/>
        </w:rPr>
        <w:t>（1</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具有独立承担民事责任能力</w:t>
      </w:r>
      <w:r>
        <w:rPr>
          <w:rFonts w:hint="eastAsia" w:ascii="宋体" w:hAnsi="宋体" w:eastAsia="宋体" w:cs="宋体"/>
          <w:spacing w:val="3"/>
          <w:sz w:val="23"/>
          <w:szCs w:val="23"/>
          <w:lang w:val="en-US" w:eastAsia="zh-CN"/>
        </w:rPr>
        <w:t>的</w:t>
      </w:r>
      <w:r>
        <w:rPr>
          <w:rFonts w:hint="eastAsia" w:ascii="宋体" w:hAnsi="宋体" w:eastAsia="宋体" w:cs="宋体"/>
          <w:spacing w:val="3"/>
          <w:sz w:val="23"/>
          <w:szCs w:val="23"/>
        </w:rPr>
        <w:t>；（提供合法有效的法人营业执照并需具备完成本项目的相关经营范围）；</w:t>
      </w:r>
    </w:p>
    <w:p>
      <w:pPr>
        <w:spacing w:before="75" w:line="389" w:lineRule="auto"/>
        <w:ind w:left="22" w:firstLine="478"/>
        <w:rPr>
          <w:rFonts w:hint="eastAsia" w:ascii="宋体" w:hAnsi="宋体" w:eastAsia="宋体" w:cs="宋体"/>
          <w:spacing w:val="3"/>
          <w:sz w:val="23"/>
          <w:szCs w:val="23"/>
        </w:rPr>
      </w:pPr>
      <w:r>
        <w:rPr>
          <w:rFonts w:hint="eastAsia" w:ascii="宋体" w:hAnsi="宋体" w:eastAsia="宋体" w:cs="宋体"/>
          <w:spacing w:val="3"/>
          <w:sz w:val="23"/>
          <w:szCs w:val="23"/>
          <w:lang w:val="en-US" w:eastAsia="zh-CN"/>
        </w:rPr>
        <w:t>（2</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具有良好的商业信誉和健全的财务会计制度；（提供2020、2021年度的经第三方审计单位出具有效的财务报告，成立不满足年限的提供成立至今的财务报告）；</w:t>
      </w:r>
    </w:p>
    <w:p>
      <w:pPr>
        <w:spacing w:before="75" w:line="389" w:lineRule="auto"/>
        <w:ind w:left="22" w:firstLine="478"/>
        <w:rPr>
          <w:rFonts w:hint="eastAsia" w:ascii="宋体" w:hAnsi="宋体" w:eastAsia="宋体" w:cs="宋体"/>
          <w:spacing w:val="3"/>
          <w:sz w:val="23"/>
          <w:szCs w:val="23"/>
        </w:rPr>
      </w:pPr>
      <w:r>
        <w:rPr>
          <w:rFonts w:hint="eastAsia" w:ascii="宋体" w:hAnsi="宋体" w:eastAsia="宋体" w:cs="宋体"/>
          <w:spacing w:val="3"/>
          <w:sz w:val="23"/>
          <w:szCs w:val="23"/>
          <w:lang w:val="en-US" w:eastAsia="zh-CN"/>
        </w:rPr>
        <w:t>（3</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具有履行合同所必需的设备和专业技术能力；（根据项目需求提供履行合同所必需的设备和专业技术能力的证明材料或加盖单位章的书面承诺函）；</w:t>
      </w:r>
    </w:p>
    <w:p>
      <w:pPr>
        <w:spacing w:before="75" w:line="389" w:lineRule="auto"/>
        <w:ind w:left="22" w:firstLine="478"/>
        <w:rPr>
          <w:rFonts w:hint="eastAsia"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（4</w:t>
      </w:r>
      <w:r>
        <w:rPr>
          <w:rFonts w:hint="eastAsia" w:ascii="宋体" w:hAnsi="宋体" w:eastAsia="宋体" w:cs="宋体"/>
          <w:spacing w:val="3"/>
          <w:sz w:val="23"/>
          <w:szCs w:val="23"/>
          <w:lang w:eastAsia="zh-CN"/>
        </w:rPr>
        <w:t>）有依法缴纳税收和社会保障资金的良好记录；（提供参加本次政府采购活动前近半年内依法缴纳税收和社会保障资金的相关材料）；</w:t>
      </w:r>
    </w:p>
    <w:p>
      <w:pPr>
        <w:spacing w:before="75" w:line="389" w:lineRule="auto"/>
        <w:ind w:left="22" w:firstLine="478"/>
        <w:rPr>
          <w:rFonts w:hint="eastAsia"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（5）参加政府采购活动前三年内，在经营活动中没有重大违法记录；（提供参加本次政府采购活动前3年内在经营活动中没有重大违法记录的书面承诺函并加盖单位章）</w:t>
      </w:r>
    </w:p>
    <w:p>
      <w:pPr>
        <w:spacing w:before="75" w:line="389" w:lineRule="auto"/>
        <w:ind w:left="22" w:firstLine="478"/>
        <w:rPr>
          <w:rFonts w:hint="eastAsia"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 xml:space="preserve"> （ 6） 法律、行政法规规定的其他条件。</w:t>
      </w:r>
    </w:p>
    <w:p>
      <w:pPr>
        <w:sectPr>
          <w:headerReference r:id="rId5" w:type="default"/>
          <w:footerReference r:id="rId6" w:type="default"/>
          <w:pgSz w:w="11906" w:h="16839"/>
          <w:pgMar w:top="1117" w:right="1769" w:bottom="1333" w:left="1785" w:header="1108" w:footer="1172" w:gutter="0"/>
          <w:pgNumType w:fmt="decimal"/>
          <w:cols w:space="720" w:num="1"/>
        </w:sectPr>
      </w:pPr>
    </w:p>
    <w:p>
      <w:pPr>
        <w:spacing w:line="424" w:lineRule="auto"/>
        <w:rPr>
          <w:rFonts w:ascii="Arial"/>
          <w:sz w:val="21"/>
        </w:rPr>
      </w:pPr>
    </w:p>
    <w:p>
      <w:pPr>
        <w:spacing w:before="74" w:line="225" w:lineRule="auto"/>
        <w:ind w:left="1530"/>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具</w:t>
      </w:r>
      <w:r>
        <w:rPr>
          <w:rFonts w:ascii="宋体" w:hAnsi="宋体" w:eastAsia="宋体" w:cs="宋体"/>
          <w:spacing w:val="10"/>
          <w:sz w:val="23"/>
          <w:szCs w:val="23"/>
          <w14:textOutline w14:w="4358" w14:cap="sq" w14:cmpd="sng">
            <w14:solidFill>
              <w14:srgbClr w14:val="000000"/>
            </w14:solidFill>
            <w14:prstDash w14:val="solid"/>
            <w14:bevel/>
          </w14:textOutline>
        </w:rPr>
        <w:t>备履行合同所必需的设备和专业技术能力声明函</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227" w:lineRule="auto"/>
        <w:ind w:left="63"/>
        <w:rPr>
          <w:rFonts w:ascii="宋体" w:hAnsi="宋体" w:eastAsia="宋体" w:cs="宋体"/>
          <w:sz w:val="23"/>
          <w:szCs w:val="23"/>
        </w:rPr>
      </w:pPr>
      <w:r>
        <mc:AlternateContent>
          <mc:Choice Requires="wps">
            <w:drawing>
              <wp:anchor distT="0" distB="0" distL="114300" distR="114300" simplePos="0" relativeHeight="251677696" behindDoc="0" locked="0" layoutInCell="1" allowOverlap="1">
                <wp:simplePos x="0" y="0"/>
                <wp:positionH relativeFrom="column">
                  <wp:posOffset>6985</wp:posOffset>
                </wp:positionH>
                <wp:positionV relativeFrom="paragraph">
                  <wp:posOffset>192405</wp:posOffset>
                </wp:positionV>
                <wp:extent cx="1371600" cy="8255"/>
                <wp:effectExtent l="0" t="0" r="0" b="0"/>
                <wp:wrapNone/>
                <wp:docPr id="28" name="矩形 28"/>
                <wp:cNvGraphicFramePr/>
                <a:graphic xmlns:a="http://schemas.openxmlformats.org/drawingml/2006/main">
                  <a:graphicData uri="http://schemas.microsoft.com/office/word/2010/wordprocessingShape">
                    <wps:wsp>
                      <wps:cNvSpPr/>
                      <wps:spPr>
                        <a:xfrm>
                          <a:off x="0" y="0"/>
                          <a:ext cx="1371600" cy="82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55pt;margin-top:15.15pt;height:0.65pt;width:108pt;z-index:251677696;mso-width-relative:page;mso-height-relative:page;" fillcolor="#000000" filled="t" stroked="f" coordsize="21600,21600" o:gfxdata="UEsDBAoAAAAAAIdO4kAAAAAAAAAAAAAAAAAEAAAAZHJzL1BLAwQUAAAACACHTuJAM2ESA9QAAAAH&#10;AQAADwAAAGRycy9kb3ducmV2LnhtbE2Oy07DMBBF90j8gzVI7KidFPoIcSoViSUSLSzozomHJGo8&#10;Drb7gK9nWJXlfejeU67ObhBHDLH3pCGbKBBIjbc9tRre357vFiBiMmTN4Ak1fGOEVXV9VZrC+hNt&#10;8LhNreARioXR0KU0FlLGpkNn4sSPSJx9+uBMYhlaaYM58bgbZK7UTDrTEz90ZsSnDpv99uA0rJeL&#10;9dfrPb38bOod7j7q/UMelNa3N5l6BJHwnC5l+MNndKiYqfYHslEMrDMuapiqKQiO82zORs1GNgNZ&#10;lfI/f/ULUEsDBBQAAAAIAIdO4kAO4l4hrgEAAF8DAAAOAAAAZHJzL2Uyb0RvYy54bWytU0uO1DAQ&#10;3SNxB8t72kmjGUZRp2dBa9ggGGngAG7HSSz5pyp3p/s0SOw4BMdBXIOyE3pg2MyCLJz6+VW9V8nm&#10;9uQsO2pAE3zL61XFmfYqdMYPLf/86e7VDWeYpO+kDV63/KyR325fvthMsdHrMAbbaWAE4rGZYsvH&#10;lGIjBKpRO4mrELWnZB/AyUQuDKIDORG6s2JdVddiCtBFCEojUnQ3J/mCCM8BDH1vlN4FdXDapxkV&#10;tJWJKOFoIvJtmbbvtUof+x51YrblxDSVk5qQvc+n2G5kM4CMo1HLCPI5Izzh5KTx1PQCtZNJsgOY&#10;f6CcURAw9GmlghMzkaIIsairJ9o8jDLqwoWkxngRHf8frPpwvAdmupavae9eOtr4zy/ffnz/yihA&#10;6kwRGyp6iPeweEhmpnrqweU3kWCnouj5oqg+JaYoWL9+U19XJLai3M366ipDise7ETC908GxbLQc&#10;aF9FRnl8j2ku/V2SW2Gwprsz1hYHhv1bC+wo827Ls6D/VWZ9LvYhX5sRc0RkXjOTbO1DdyYdDhHM&#10;MNIgdUHKGdK9TLx8I3mxf/oF6fG/2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2ESA9QAAAAH&#10;AQAADwAAAAAAAAABACAAAAAiAAAAZHJzL2Rvd25yZXYueG1sUEsBAhQAFAAAAAgAh07iQA7iXiGu&#10;AQAAXwMAAA4AAAAAAAAAAQAgAAAAIwEAAGRycy9lMm9Eb2MueG1sUEsFBgAAAAAGAAYAWQEAAEMF&#10;AAAAAA==&#10;">
                <v:fill on="t" focussize="0,0"/>
                <v:stroke on="f"/>
                <v:imagedata o:title=""/>
                <o:lock v:ext="edit" aspectratio="f"/>
              </v:rect>
            </w:pict>
          </mc:Fallback>
        </mc:AlternateContent>
      </w:r>
      <w:r>
        <w:rPr>
          <w:rFonts w:ascii="宋体" w:hAnsi="宋体" w:eastAsia="宋体" w:cs="宋体"/>
          <w:spacing w:val="3"/>
          <w:sz w:val="23"/>
          <w:szCs w:val="23"/>
        </w:rPr>
        <w:t xml:space="preserve">(采购人名称)      </w:t>
      </w:r>
      <w:r>
        <w:rPr>
          <w:rFonts w:ascii="宋体" w:hAnsi="宋体" w:eastAsia="宋体" w:cs="宋体"/>
          <w:sz w:val="23"/>
          <w:szCs w:val="23"/>
        </w:rPr>
        <w:t>：</w:t>
      </w:r>
    </w:p>
    <w:p>
      <w:pPr>
        <w:spacing w:line="306" w:lineRule="auto"/>
        <w:rPr>
          <w:rFonts w:ascii="Arial"/>
          <w:sz w:val="21"/>
        </w:rPr>
      </w:pPr>
    </w:p>
    <w:p>
      <w:pPr>
        <w:spacing w:line="306" w:lineRule="auto"/>
        <w:rPr>
          <w:rFonts w:ascii="Arial"/>
          <w:sz w:val="21"/>
        </w:rPr>
      </w:pPr>
    </w:p>
    <w:p>
      <w:pPr>
        <w:spacing w:line="306" w:lineRule="auto"/>
        <w:rPr>
          <w:rFonts w:ascii="Arial"/>
          <w:sz w:val="21"/>
        </w:rPr>
      </w:pPr>
    </w:p>
    <w:p>
      <w:pPr>
        <w:spacing w:before="75" w:line="389" w:lineRule="auto"/>
        <w:ind w:left="22" w:firstLine="478"/>
        <w:rPr>
          <w:rFonts w:ascii="宋体" w:hAnsi="宋体" w:eastAsia="宋体" w:cs="宋体"/>
          <w:sz w:val="23"/>
          <w:szCs w:val="23"/>
        </w:rPr>
      </w:pPr>
      <w:r>
        <w:rPr>
          <w:rFonts w:ascii="宋体" w:hAnsi="宋体" w:eastAsia="宋体" w:cs="宋体"/>
          <w:spacing w:val="3"/>
          <w:sz w:val="23"/>
          <w:szCs w:val="23"/>
        </w:rPr>
        <w:t>对于贵单位的</w:t>
      </w:r>
      <w:r>
        <w:rPr>
          <w:rFonts w:ascii="宋体" w:hAnsi="宋体" w:eastAsia="宋体" w:cs="宋体"/>
          <w:spacing w:val="3"/>
          <w:sz w:val="23"/>
          <w:szCs w:val="23"/>
          <w:u w:val="single" w:color="auto"/>
        </w:rPr>
        <w:t xml:space="preserve">       (项目名称)       </w:t>
      </w:r>
      <w:r>
        <w:rPr>
          <w:rFonts w:ascii="宋体" w:hAnsi="宋体" w:eastAsia="宋体" w:cs="宋体"/>
          <w:spacing w:val="3"/>
          <w:sz w:val="23"/>
          <w:szCs w:val="23"/>
        </w:rPr>
        <w:t xml:space="preserve"> 采购项目，我公司承诺具备</w:t>
      </w:r>
      <w:r>
        <w:rPr>
          <w:rFonts w:ascii="宋体" w:hAnsi="宋体" w:eastAsia="宋体" w:cs="宋体"/>
          <w:sz w:val="23"/>
          <w:szCs w:val="23"/>
        </w:rPr>
        <w:t xml:space="preserve">履行合 </w:t>
      </w:r>
      <w:r>
        <w:rPr>
          <w:rFonts w:ascii="宋体" w:hAnsi="宋体" w:eastAsia="宋体" w:cs="宋体"/>
          <w:spacing w:val="12"/>
          <w:sz w:val="23"/>
          <w:szCs w:val="23"/>
        </w:rPr>
        <w:t>同</w:t>
      </w:r>
      <w:r>
        <w:rPr>
          <w:rFonts w:ascii="宋体" w:hAnsi="宋体" w:eastAsia="宋体" w:cs="宋体"/>
          <w:spacing w:val="7"/>
          <w:sz w:val="23"/>
          <w:szCs w:val="23"/>
        </w:rPr>
        <w:t>所必需的设备和专业技术能力。如我单位成交，在项目实施工程中发现声明不</w:t>
      </w:r>
      <w:r>
        <w:rPr>
          <w:rFonts w:ascii="宋体" w:hAnsi="宋体" w:eastAsia="宋体" w:cs="宋体"/>
          <w:sz w:val="23"/>
          <w:szCs w:val="23"/>
        </w:rPr>
        <w:t xml:space="preserve"> </w:t>
      </w:r>
      <w:r>
        <w:rPr>
          <w:rFonts w:ascii="宋体" w:hAnsi="宋体" w:eastAsia="宋体" w:cs="宋体"/>
          <w:spacing w:val="6"/>
          <w:sz w:val="23"/>
          <w:szCs w:val="23"/>
        </w:rPr>
        <w:t>实，我单位愿</w:t>
      </w:r>
      <w:r>
        <w:rPr>
          <w:rFonts w:ascii="宋体" w:hAnsi="宋体" w:eastAsia="宋体" w:cs="宋体"/>
          <w:spacing w:val="3"/>
          <w:sz w:val="23"/>
          <w:szCs w:val="23"/>
        </w:rPr>
        <w:t>意放弃本次项目的成交资格，并按照《中华人民共和国政府采购法》</w:t>
      </w:r>
      <w:r>
        <w:rPr>
          <w:rFonts w:ascii="宋体" w:hAnsi="宋体" w:eastAsia="宋体" w:cs="宋体"/>
          <w:sz w:val="23"/>
          <w:szCs w:val="23"/>
        </w:rPr>
        <w:t xml:space="preserve"> </w:t>
      </w:r>
      <w:r>
        <w:rPr>
          <w:rFonts w:ascii="宋体" w:hAnsi="宋体" w:eastAsia="宋体" w:cs="宋体"/>
          <w:spacing w:val="9"/>
          <w:sz w:val="23"/>
          <w:szCs w:val="23"/>
        </w:rPr>
        <w:t>有关提供虚假材料的规定，接受处罚</w:t>
      </w:r>
      <w:r>
        <w:rPr>
          <w:rFonts w:ascii="宋体" w:hAnsi="宋体" w:eastAsia="宋体" w:cs="宋体"/>
          <w:spacing w:val="5"/>
          <w:sz w:val="23"/>
          <w:szCs w:val="23"/>
        </w:rPr>
        <w:t>。</w:t>
      </w:r>
    </w:p>
    <w:p>
      <w:pPr>
        <w:spacing w:before="140" w:line="227" w:lineRule="auto"/>
        <w:ind w:left="501"/>
        <w:rPr>
          <w:rFonts w:ascii="宋体" w:hAnsi="宋体" w:eastAsia="宋体" w:cs="宋体"/>
          <w:sz w:val="23"/>
          <w:szCs w:val="23"/>
        </w:rPr>
      </w:pPr>
      <w:r>
        <w:rPr>
          <w:rFonts w:ascii="宋体" w:hAnsi="宋体" w:eastAsia="宋体" w:cs="宋体"/>
          <w:spacing w:val="6"/>
          <w:sz w:val="23"/>
          <w:szCs w:val="23"/>
        </w:rPr>
        <w:t>特此声明！</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5" w:line="227" w:lineRule="auto"/>
        <w:ind w:left="433"/>
        <w:rPr>
          <w:rFonts w:ascii="宋体" w:hAnsi="宋体" w:eastAsia="宋体" w:cs="宋体"/>
          <w:sz w:val="23"/>
          <w:szCs w:val="23"/>
        </w:rPr>
      </w:pPr>
      <w:r>
        <w:rPr>
          <w:rFonts w:ascii="宋体" w:hAnsi="宋体" w:eastAsia="宋体" w:cs="宋体"/>
          <w:spacing w:val="-3"/>
          <w:sz w:val="23"/>
          <w:szCs w:val="23"/>
        </w:rPr>
        <w:t>供应商：  (电子公章</w:t>
      </w:r>
      <w:r>
        <w:rPr>
          <w:rFonts w:ascii="宋体" w:hAnsi="宋体" w:eastAsia="宋体" w:cs="宋体"/>
          <w:spacing w:val="-2"/>
          <w:sz w:val="23"/>
          <w:szCs w:val="23"/>
        </w:rPr>
        <w:t>)</w:t>
      </w:r>
    </w:p>
    <w:p>
      <w:pPr>
        <w:spacing w:line="241" w:lineRule="auto"/>
        <w:rPr>
          <w:rFonts w:ascii="Arial"/>
          <w:sz w:val="21"/>
        </w:rPr>
      </w:pPr>
    </w:p>
    <w:p>
      <w:pPr>
        <w:spacing w:before="74" w:line="224" w:lineRule="auto"/>
        <w:ind w:left="434"/>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6"/>
          <w:sz w:val="23"/>
          <w:szCs w:val="23"/>
        </w:rPr>
        <w:t>人</w:t>
      </w:r>
      <w:r>
        <w:rPr>
          <w:rFonts w:ascii="宋体" w:hAnsi="宋体" w:eastAsia="宋体" w:cs="宋体"/>
          <w:spacing w:val="4"/>
          <w:sz w:val="23"/>
          <w:szCs w:val="23"/>
        </w:rPr>
        <w:t>或负责人或其委托代理人：  (签字或加盖人名章)</w:t>
      </w:r>
    </w:p>
    <w:p>
      <w:pPr>
        <w:spacing w:line="245" w:lineRule="auto"/>
        <w:rPr>
          <w:rFonts w:ascii="Arial"/>
          <w:sz w:val="21"/>
        </w:rPr>
      </w:pPr>
    </w:p>
    <w:p>
      <w:pPr>
        <w:spacing w:before="75" w:line="228" w:lineRule="auto"/>
        <w:ind w:left="475"/>
        <w:rPr>
          <w:rFonts w:ascii="宋体" w:hAnsi="宋体" w:eastAsia="宋体" w:cs="宋体"/>
          <w:sz w:val="23"/>
          <w:szCs w:val="23"/>
        </w:rPr>
      </w:pPr>
      <w:r>
        <w:rPr>
          <w:rFonts w:ascii="宋体" w:hAnsi="宋体" w:eastAsia="宋体" w:cs="宋体"/>
          <w:spacing w:val="-5"/>
          <w:sz w:val="23"/>
          <w:szCs w:val="23"/>
        </w:rPr>
        <w:t>日</w:t>
      </w:r>
      <w:r>
        <w:rPr>
          <w:rFonts w:ascii="宋体" w:hAnsi="宋体" w:eastAsia="宋体" w:cs="宋体"/>
          <w:spacing w:val="-4"/>
          <w:sz w:val="23"/>
          <w:szCs w:val="23"/>
        </w:rPr>
        <w:t xml:space="preserve">  期：</w:t>
      </w:r>
    </w:p>
    <w:p>
      <w:pPr>
        <w:sectPr>
          <w:headerReference r:id="rId7" w:type="default"/>
          <w:footerReference r:id="rId8" w:type="default"/>
          <w:pgSz w:w="11906" w:h="16839"/>
          <w:pgMar w:top="1117" w:right="1691" w:bottom="1335" w:left="1785" w:header="1108" w:footer="1172" w:gutter="0"/>
          <w:pgNumType w:fmt="decimal"/>
          <w:cols w:space="720" w:num="1"/>
        </w:sectPr>
      </w:pPr>
    </w:p>
    <w:p>
      <w:pPr>
        <w:spacing w:line="401" w:lineRule="auto"/>
        <w:rPr>
          <w:rFonts w:ascii="Arial"/>
          <w:sz w:val="21"/>
        </w:rPr>
      </w:pPr>
    </w:p>
    <w:p>
      <w:pPr>
        <w:spacing w:before="74" w:line="225" w:lineRule="auto"/>
        <w:ind w:left="1530"/>
        <w:rPr>
          <w:rFonts w:ascii="宋体" w:hAnsi="宋体" w:eastAsia="宋体" w:cs="宋体"/>
          <w:spacing w:val="10"/>
          <w:sz w:val="23"/>
          <w:szCs w:val="23"/>
          <w14:textOutline w14:w="4358" w14:cap="sq" w14:cmpd="sng">
            <w14:solidFill>
              <w14:srgbClr w14:val="000000"/>
            </w14:solidFill>
            <w14:prstDash w14:val="solid"/>
            <w14:bevel/>
          </w14:textOutline>
        </w:rPr>
      </w:pPr>
      <w:r>
        <w:rPr>
          <w:rFonts w:ascii="宋体" w:hAnsi="宋体" w:eastAsia="宋体" w:cs="宋体"/>
          <w:spacing w:val="10"/>
          <w:sz w:val="23"/>
          <w:szCs w:val="23"/>
          <w14:textOutline w14:w="4358" w14:cap="sq" w14:cmpd="sng">
            <w14:solidFill>
              <w14:srgbClr w14:val="000000"/>
            </w14:solidFill>
            <w14:prstDash w14:val="solid"/>
            <w14:bevel/>
          </w14:textOutline>
        </w:rPr>
        <w:t>近三年内在经营活动中没有重大违法记录的书面声明</w:t>
      </w:r>
    </w:p>
    <w:p>
      <w:pPr>
        <w:spacing w:before="74" w:line="225" w:lineRule="auto"/>
        <w:ind w:left="1530"/>
        <w:rPr>
          <w:rFonts w:ascii="宋体" w:hAnsi="宋体" w:eastAsia="宋体" w:cs="宋体"/>
          <w:spacing w:val="10"/>
          <w:sz w:val="23"/>
          <w:szCs w:val="23"/>
          <w14:textOutline w14:w="4358" w14:cap="sq" w14:cmpd="sng">
            <w14:solidFill>
              <w14:srgbClr w14:val="000000"/>
            </w14:solidFill>
            <w14:prstDash w14:val="solid"/>
            <w14:bevel/>
          </w14:textOutline>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tabs>
          <w:tab w:val="left" w:pos="507"/>
        </w:tabs>
        <w:spacing w:before="75" w:line="227" w:lineRule="auto"/>
        <w:ind w:left="1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7"/>
          <w:sz w:val="23"/>
          <w:szCs w:val="23"/>
          <w:u w:val="single" w:color="auto"/>
        </w:rPr>
        <w:t>(</w:t>
      </w:r>
      <w:r>
        <w:rPr>
          <w:rFonts w:ascii="宋体" w:hAnsi="宋体" w:eastAsia="宋体" w:cs="宋体"/>
          <w:spacing w:val="4"/>
          <w:sz w:val="23"/>
          <w:szCs w:val="23"/>
          <w:u w:val="single" w:color="auto"/>
        </w:rPr>
        <w:t xml:space="preserve">采购人)   </w:t>
      </w:r>
      <w:r>
        <w:rPr>
          <w:rFonts w:ascii="宋体" w:hAnsi="宋体" w:eastAsia="宋体" w:cs="宋体"/>
          <w:spacing w:val="4"/>
          <w:sz w:val="23"/>
          <w:szCs w:val="23"/>
        </w:rPr>
        <w:t>：</w:t>
      </w:r>
    </w:p>
    <w:p>
      <w:pPr>
        <w:spacing w:line="278" w:lineRule="auto"/>
        <w:rPr>
          <w:rFonts w:ascii="Arial"/>
          <w:sz w:val="21"/>
        </w:rPr>
      </w:pPr>
    </w:p>
    <w:p>
      <w:pPr>
        <w:spacing w:before="75" w:line="388" w:lineRule="auto"/>
        <w:ind w:left="21" w:firstLine="479"/>
        <w:rPr>
          <w:rFonts w:ascii="宋体" w:hAnsi="宋体" w:eastAsia="宋体" w:cs="宋体"/>
          <w:sz w:val="23"/>
          <w:szCs w:val="23"/>
        </w:rPr>
      </w:pPr>
      <w:r>
        <w:rPr>
          <w:rFonts w:ascii="宋体" w:hAnsi="宋体" w:eastAsia="宋体" w:cs="宋体"/>
          <w:spacing w:val="8"/>
          <w:sz w:val="23"/>
          <w:szCs w:val="23"/>
        </w:rPr>
        <w:t>在</w:t>
      </w:r>
      <w:r>
        <w:rPr>
          <w:rFonts w:ascii="宋体" w:hAnsi="宋体" w:eastAsia="宋体" w:cs="宋体"/>
          <w:spacing w:val="7"/>
          <w:sz w:val="23"/>
          <w:szCs w:val="23"/>
        </w:rPr>
        <w:t>本项目投标文件递交截止时间前，我公司郑重承诺在参加本项目政府采购</w:t>
      </w:r>
      <w:r>
        <w:rPr>
          <w:rFonts w:ascii="宋体" w:hAnsi="宋体" w:eastAsia="宋体" w:cs="宋体"/>
          <w:sz w:val="23"/>
          <w:szCs w:val="23"/>
        </w:rPr>
        <w:t xml:space="preserve"> </w:t>
      </w:r>
      <w:r>
        <w:rPr>
          <w:rFonts w:ascii="宋体" w:hAnsi="宋体" w:eastAsia="宋体" w:cs="宋体"/>
          <w:spacing w:val="8"/>
          <w:sz w:val="23"/>
          <w:szCs w:val="23"/>
        </w:rPr>
        <w:t>活动前</w:t>
      </w:r>
      <w:r>
        <w:rPr>
          <w:rFonts w:ascii="宋体" w:hAnsi="宋体" w:eastAsia="宋体" w:cs="宋体"/>
          <w:spacing w:val="5"/>
          <w:sz w:val="23"/>
          <w:szCs w:val="23"/>
        </w:rPr>
        <w:t>三</w:t>
      </w:r>
      <w:r>
        <w:rPr>
          <w:rFonts w:ascii="宋体" w:hAnsi="宋体" w:eastAsia="宋体" w:cs="宋体"/>
          <w:spacing w:val="4"/>
          <w:sz w:val="23"/>
          <w:szCs w:val="23"/>
        </w:rPr>
        <w:t>年内，在经营活动中无重大违法记录。公司未受到刑事处罚或责令停业、</w:t>
      </w:r>
      <w:r>
        <w:rPr>
          <w:rFonts w:ascii="宋体" w:hAnsi="宋体" w:eastAsia="宋体" w:cs="宋体"/>
          <w:sz w:val="23"/>
          <w:szCs w:val="23"/>
        </w:rPr>
        <w:t xml:space="preserve"> </w:t>
      </w:r>
      <w:r>
        <w:rPr>
          <w:rFonts w:ascii="宋体" w:hAnsi="宋体" w:eastAsia="宋体" w:cs="宋体"/>
          <w:spacing w:val="6"/>
          <w:sz w:val="23"/>
          <w:szCs w:val="23"/>
        </w:rPr>
        <w:t>吊销许可</w:t>
      </w:r>
      <w:r>
        <w:rPr>
          <w:rFonts w:ascii="宋体" w:hAnsi="宋体" w:eastAsia="宋体" w:cs="宋体"/>
          <w:spacing w:val="4"/>
          <w:sz w:val="23"/>
          <w:szCs w:val="23"/>
        </w:rPr>
        <w:t>证</w:t>
      </w:r>
      <w:r>
        <w:rPr>
          <w:rFonts w:ascii="宋体" w:hAnsi="宋体" w:eastAsia="宋体" w:cs="宋体"/>
          <w:spacing w:val="3"/>
          <w:sz w:val="23"/>
          <w:szCs w:val="23"/>
        </w:rPr>
        <w:t xml:space="preserve"> (或执照) 、较大数额罚款 (较大数额罚款”认定为 200 万元以上的</w:t>
      </w:r>
      <w:r>
        <w:rPr>
          <w:rFonts w:ascii="宋体" w:hAnsi="宋体" w:eastAsia="宋体" w:cs="宋体"/>
          <w:sz w:val="23"/>
          <w:szCs w:val="23"/>
        </w:rPr>
        <w:t xml:space="preserve"> </w:t>
      </w:r>
      <w:r>
        <w:rPr>
          <w:rFonts w:ascii="宋体" w:hAnsi="宋体" w:eastAsia="宋体" w:cs="宋体"/>
          <w:spacing w:val="13"/>
          <w:sz w:val="23"/>
          <w:szCs w:val="23"/>
        </w:rPr>
        <w:t>罚款，法律、行政法规以及国务院有关部门明确规定相关领域“较大数额罚款”</w:t>
      </w:r>
      <w:r>
        <w:rPr>
          <w:rFonts w:ascii="宋体" w:hAnsi="宋体" w:eastAsia="宋体" w:cs="宋体"/>
          <w:sz w:val="23"/>
          <w:szCs w:val="23"/>
        </w:rPr>
        <w:t xml:space="preserve"> </w:t>
      </w:r>
      <w:r>
        <w:rPr>
          <w:rFonts w:ascii="宋体" w:hAnsi="宋体" w:eastAsia="宋体" w:cs="宋体"/>
          <w:spacing w:val="6"/>
          <w:sz w:val="23"/>
          <w:szCs w:val="23"/>
        </w:rPr>
        <w:t>标准高于 2</w:t>
      </w:r>
      <w:r>
        <w:rPr>
          <w:rFonts w:ascii="宋体" w:hAnsi="宋体" w:eastAsia="宋体" w:cs="宋体"/>
          <w:spacing w:val="4"/>
          <w:sz w:val="23"/>
          <w:szCs w:val="23"/>
        </w:rPr>
        <w:t>0</w:t>
      </w:r>
      <w:r>
        <w:rPr>
          <w:rFonts w:ascii="宋体" w:hAnsi="宋体" w:eastAsia="宋体" w:cs="宋体"/>
          <w:spacing w:val="3"/>
          <w:sz w:val="23"/>
          <w:szCs w:val="23"/>
        </w:rPr>
        <w:t>0 万元的，从其规定。) 等行政处罚；未处于财产被接管、冻结、破</w:t>
      </w:r>
      <w:r>
        <w:rPr>
          <w:rFonts w:ascii="宋体" w:hAnsi="宋体" w:eastAsia="宋体" w:cs="宋体"/>
          <w:sz w:val="23"/>
          <w:szCs w:val="23"/>
        </w:rPr>
        <w:t xml:space="preserve"> </w:t>
      </w:r>
      <w:r>
        <w:rPr>
          <w:rFonts w:ascii="宋体" w:hAnsi="宋体" w:eastAsia="宋体" w:cs="宋体"/>
          <w:spacing w:val="5"/>
          <w:sz w:val="23"/>
          <w:szCs w:val="23"/>
        </w:rPr>
        <w:t>产状况。</w:t>
      </w:r>
    </w:p>
    <w:p>
      <w:pPr>
        <w:spacing w:before="142" w:line="392" w:lineRule="auto"/>
        <w:ind w:left="19" w:right="203" w:firstLine="485"/>
        <w:rPr>
          <w:rFonts w:ascii="宋体" w:hAnsi="宋体" w:eastAsia="宋体" w:cs="宋体"/>
          <w:sz w:val="23"/>
          <w:szCs w:val="23"/>
        </w:rPr>
      </w:pPr>
      <w:r>
        <w:rPr>
          <w:rFonts w:ascii="宋体" w:hAnsi="宋体" w:eastAsia="宋体" w:cs="宋体"/>
          <w:spacing w:val="7"/>
          <w:sz w:val="23"/>
          <w:szCs w:val="23"/>
        </w:rPr>
        <w:t>如发现我单位提供的声明函不实时，我公司愿意承担一切法律责任并认可</w:t>
      </w:r>
      <w:r>
        <w:rPr>
          <w:rFonts w:ascii="宋体" w:hAnsi="宋体" w:eastAsia="宋体" w:cs="宋体"/>
          <w:spacing w:val="3"/>
          <w:sz w:val="23"/>
          <w:szCs w:val="23"/>
        </w:rPr>
        <w:t>采</w:t>
      </w:r>
      <w:r>
        <w:rPr>
          <w:rFonts w:ascii="宋体" w:hAnsi="宋体" w:eastAsia="宋体" w:cs="宋体"/>
          <w:sz w:val="23"/>
          <w:szCs w:val="23"/>
        </w:rPr>
        <w:t xml:space="preserve"> </w:t>
      </w:r>
      <w:r>
        <w:rPr>
          <w:rFonts w:ascii="宋体" w:hAnsi="宋体" w:eastAsia="宋体" w:cs="宋体"/>
          <w:spacing w:val="18"/>
          <w:sz w:val="23"/>
          <w:szCs w:val="23"/>
        </w:rPr>
        <w:t>购</w:t>
      </w:r>
      <w:r>
        <w:rPr>
          <w:rFonts w:ascii="宋体" w:hAnsi="宋体" w:eastAsia="宋体" w:cs="宋体"/>
          <w:spacing w:val="10"/>
          <w:sz w:val="23"/>
          <w:szCs w:val="23"/>
        </w:rPr>
        <w:t>人</w:t>
      </w:r>
      <w:r>
        <w:rPr>
          <w:rFonts w:ascii="宋体" w:hAnsi="宋体" w:eastAsia="宋体" w:cs="宋体"/>
          <w:spacing w:val="9"/>
          <w:sz w:val="23"/>
          <w:szCs w:val="23"/>
        </w:rPr>
        <w:t>或采购代理机构作出的取消成交资格、罚没保证金等决定。</w:t>
      </w:r>
    </w:p>
    <w:p>
      <w:pPr>
        <w:spacing w:before="143" w:line="227" w:lineRule="auto"/>
        <w:ind w:left="501"/>
        <w:rPr>
          <w:rFonts w:ascii="宋体" w:hAnsi="宋体" w:eastAsia="宋体" w:cs="宋体"/>
          <w:sz w:val="23"/>
          <w:szCs w:val="23"/>
        </w:rPr>
      </w:pPr>
      <w:r>
        <w:rPr>
          <w:rFonts w:ascii="宋体" w:hAnsi="宋体" w:eastAsia="宋体" w:cs="宋体"/>
          <w:spacing w:val="6"/>
          <w:sz w:val="23"/>
          <w:szCs w:val="23"/>
        </w:rPr>
        <w:t>特此声明！</w:t>
      </w: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75" w:line="227" w:lineRule="auto"/>
        <w:ind w:left="433"/>
        <w:rPr>
          <w:rFonts w:ascii="宋体" w:hAnsi="宋体" w:eastAsia="宋体" w:cs="宋体"/>
          <w:sz w:val="23"/>
          <w:szCs w:val="23"/>
        </w:rPr>
      </w:pPr>
      <w:r>
        <w:rPr>
          <w:rFonts w:ascii="宋体" w:hAnsi="宋体" w:eastAsia="宋体" w:cs="宋体"/>
          <w:spacing w:val="-3"/>
          <w:sz w:val="23"/>
          <w:szCs w:val="23"/>
        </w:rPr>
        <w:t>供应商：  (电子公章</w:t>
      </w:r>
      <w:r>
        <w:rPr>
          <w:rFonts w:ascii="宋体" w:hAnsi="宋体" w:eastAsia="宋体" w:cs="宋体"/>
          <w:spacing w:val="-2"/>
          <w:sz w:val="23"/>
          <w:szCs w:val="23"/>
        </w:rPr>
        <w:t>)</w:t>
      </w:r>
    </w:p>
    <w:p>
      <w:pPr>
        <w:spacing w:line="241" w:lineRule="auto"/>
        <w:rPr>
          <w:rFonts w:ascii="Arial"/>
          <w:sz w:val="21"/>
        </w:rPr>
      </w:pPr>
    </w:p>
    <w:p>
      <w:pPr>
        <w:spacing w:before="75" w:line="224" w:lineRule="auto"/>
        <w:ind w:left="434"/>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6"/>
          <w:sz w:val="23"/>
          <w:szCs w:val="23"/>
        </w:rPr>
        <w:t>人</w:t>
      </w:r>
      <w:r>
        <w:rPr>
          <w:rFonts w:ascii="宋体" w:hAnsi="宋体" w:eastAsia="宋体" w:cs="宋体"/>
          <w:spacing w:val="4"/>
          <w:sz w:val="23"/>
          <w:szCs w:val="23"/>
        </w:rPr>
        <w:t>或负责人或其委托代理人：  (签字或加盖人名章)</w:t>
      </w:r>
    </w:p>
    <w:p>
      <w:pPr>
        <w:spacing w:line="245" w:lineRule="auto"/>
        <w:rPr>
          <w:rFonts w:ascii="Arial"/>
          <w:sz w:val="21"/>
        </w:rPr>
      </w:pPr>
    </w:p>
    <w:p>
      <w:pPr>
        <w:spacing w:before="74" w:line="228" w:lineRule="auto"/>
        <w:ind w:left="475"/>
        <w:rPr>
          <w:rFonts w:ascii="宋体" w:hAnsi="宋体" w:eastAsia="宋体" w:cs="宋体"/>
          <w:sz w:val="23"/>
          <w:szCs w:val="23"/>
        </w:rPr>
      </w:pPr>
      <w:r>
        <w:rPr>
          <w:rFonts w:ascii="宋体" w:hAnsi="宋体" w:eastAsia="宋体" w:cs="宋体"/>
          <w:spacing w:val="-5"/>
          <w:sz w:val="23"/>
          <w:szCs w:val="23"/>
        </w:rPr>
        <w:t>日</w:t>
      </w:r>
      <w:r>
        <w:rPr>
          <w:rFonts w:ascii="宋体" w:hAnsi="宋体" w:eastAsia="宋体" w:cs="宋体"/>
          <w:spacing w:val="-4"/>
          <w:sz w:val="23"/>
          <w:szCs w:val="23"/>
        </w:rPr>
        <w:t xml:space="preserve">  期：</w:t>
      </w:r>
    </w:p>
    <w:p>
      <w:pPr>
        <w:sectPr>
          <w:headerReference r:id="rId9" w:type="default"/>
          <w:footerReference r:id="rId10" w:type="default"/>
          <w:pgSz w:w="11906" w:h="16839"/>
          <w:pgMar w:top="1117" w:right="1593" w:bottom="1335" w:left="1785" w:header="1108" w:footer="1172" w:gutter="0"/>
          <w:pgNumType w:fmt="decimal"/>
          <w:cols w:space="720" w:num="1"/>
        </w:sectPr>
      </w:pPr>
    </w:p>
    <w:p>
      <w:pPr>
        <w:spacing w:line="263" w:lineRule="auto"/>
        <w:rPr>
          <w:rFonts w:ascii="Arial"/>
          <w:sz w:val="21"/>
        </w:rPr>
      </w:pPr>
    </w:p>
    <w:p>
      <w:pPr>
        <w:spacing w:before="74" w:line="408" w:lineRule="auto"/>
        <w:ind w:left="26" w:right="11" w:firstLine="478"/>
        <w:rPr>
          <w:rFonts w:ascii="宋体" w:hAnsi="宋体" w:eastAsia="宋体" w:cs="宋体"/>
          <w:b/>
          <w:bCs/>
          <w:spacing w:val="7"/>
          <w:sz w:val="23"/>
          <w:szCs w:val="23"/>
        </w:rPr>
      </w:pPr>
      <w:bookmarkStart w:id="297" w:name="_bookmark18"/>
      <w:bookmarkEnd w:id="297"/>
      <w:r>
        <w:rPr>
          <w:rFonts w:ascii="宋体" w:hAnsi="宋体" w:eastAsia="宋体" w:cs="宋体"/>
          <w:b/>
          <w:bCs/>
          <w:spacing w:val="7"/>
          <w:sz w:val="23"/>
          <w:szCs w:val="23"/>
        </w:rPr>
        <w:tab/>
      </w:r>
      <w:r>
        <w:rPr>
          <w:rFonts w:ascii="宋体" w:hAnsi="宋体" w:eastAsia="宋体" w:cs="宋体"/>
          <w:b/>
          <w:bCs/>
          <w:spacing w:val="7"/>
          <w:sz w:val="23"/>
          <w:szCs w:val="23"/>
        </w:rPr>
        <w:t>(二)  ☆法定代表人身份证明及授权委托书</w:t>
      </w:r>
    </w:p>
    <w:p>
      <w:pPr>
        <w:spacing w:line="333" w:lineRule="auto"/>
        <w:rPr>
          <w:rFonts w:ascii="Arial"/>
          <w:sz w:val="21"/>
        </w:rPr>
      </w:pPr>
    </w:p>
    <w:p>
      <w:pPr>
        <w:spacing w:before="75" w:line="226" w:lineRule="auto"/>
        <w:ind w:left="2856"/>
        <w:rPr>
          <w:rFonts w:ascii="宋体" w:hAnsi="宋体" w:eastAsia="宋体" w:cs="宋体"/>
          <w:sz w:val="23"/>
          <w:szCs w:val="23"/>
        </w:rPr>
      </w:pPr>
      <w:r>
        <w:rPr>
          <w:rFonts w:ascii="宋体" w:hAnsi="宋体" w:eastAsia="宋体" w:cs="宋体"/>
          <w:spacing w:val="9"/>
          <w:sz w:val="23"/>
          <w:szCs w:val="23"/>
        </w:rPr>
        <w:t>法定代表人资格证明文件</w:t>
      </w:r>
    </w:p>
    <w:p>
      <w:pPr>
        <w:spacing w:line="301" w:lineRule="auto"/>
        <w:rPr>
          <w:rFonts w:ascii="Arial"/>
          <w:sz w:val="21"/>
        </w:rPr>
      </w:pPr>
    </w:p>
    <w:p>
      <w:pPr>
        <w:tabs>
          <w:tab w:val="left" w:pos="146"/>
        </w:tabs>
        <w:spacing w:before="75" w:line="226" w:lineRule="auto"/>
        <w:ind w:left="1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6"/>
          <w:sz w:val="23"/>
          <w:szCs w:val="23"/>
          <w:u w:val="single" w:color="auto"/>
        </w:rPr>
        <w:t xml:space="preserve">(代理机构名称) </w:t>
      </w:r>
      <w:r>
        <w:rPr>
          <w:rFonts w:ascii="宋体" w:hAnsi="宋体" w:eastAsia="宋体" w:cs="宋体"/>
          <w:spacing w:val="6"/>
          <w:sz w:val="23"/>
          <w:szCs w:val="23"/>
        </w:rPr>
        <w:t>：</w:t>
      </w:r>
    </w:p>
    <w:p>
      <w:pPr>
        <w:spacing w:line="301" w:lineRule="auto"/>
        <w:rPr>
          <w:rFonts w:ascii="Arial"/>
          <w:sz w:val="21"/>
        </w:rPr>
      </w:pPr>
    </w:p>
    <w:p>
      <w:pPr>
        <w:spacing w:before="74" w:line="408" w:lineRule="auto"/>
        <w:ind w:left="26" w:right="11" w:firstLine="478"/>
        <w:rPr>
          <w:rFonts w:ascii="宋体" w:hAnsi="宋体" w:eastAsia="宋体" w:cs="宋体"/>
          <w:sz w:val="23"/>
          <w:szCs w:val="23"/>
        </w:rPr>
      </w:pPr>
      <w:r>
        <w:rPr>
          <w:rFonts w:ascii="宋体" w:hAnsi="宋体" w:eastAsia="宋体" w:cs="宋体"/>
          <w:spacing w:val="7"/>
          <w:sz w:val="23"/>
          <w:szCs w:val="23"/>
        </w:rPr>
        <w:t>兹有同志为公司法定代表人，代表我公司办理一</w:t>
      </w:r>
      <w:r>
        <w:rPr>
          <w:rFonts w:ascii="宋体" w:hAnsi="宋体" w:eastAsia="宋体" w:cs="宋体"/>
          <w:b w:val="0"/>
          <w:bCs w:val="0"/>
          <w:spacing w:val="7"/>
          <w:sz w:val="23"/>
          <w:szCs w:val="23"/>
        </w:rPr>
        <w:t>切社会公务事</w:t>
      </w:r>
      <w:r>
        <w:rPr>
          <w:rFonts w:ascii="宋体" w:hAnsi="宋体" w:eastAsia="宋体" w:cs="宋体"/>
          <w:spacing w:val="7"/>
          <w:sz w:val="23"/>
          <w:szCs w:val="23"/>
        </w:rPr>
        <w:t>宜，具有法</w:t>
      </w:r>
      <w:r>
        <w:rPr>
          <w:rFonts w:ascii="宋体" w:hAnsi="宋体" w:eastAsia="宋体" w:cs="宋体"/>
          <w:spacing w:val="3"/>
          <w:sz w:val="23"/>
          <w:szCs w:val="23"/>
        </w:rPr>
        <w:t>律</w:t>
      </w:r>
      <w:r>
        <w:rPr>
          <w:rFonts w:ascii="宋体" w:hAnsi="宋体" w:eastAsia="宋体" w:cs="宋体"/>
          <w:sz w:val="23"/>
          <w:szCs w:val="23"/>
        </w:rPr>
        <w:t xml:space="preserve"> </w:t>
      </w:r>
      <w:r>
        <w:rPr>
          <w:rFonts w:ascii="宋体" w:hAnsi="宋体" w:eastAsia="宋体" w:cs="宋体"/>
          <w:spacing w:val="2"/>
          <w:sz w:val="23"/>
          <w:szCs w:val="23"/>
        </w:rPr>
        <w:t>效</w:t>
      </w:r>
      <w:r>
        <w:rPr>
          <w:rFonts w:ascii="宋体" w:hAnsi="宋体" w:eastAsia="宋体" w:cs="宋体"/>
          <w:spacing w:val="1"/>
          <w:sz w:val="23"/>
          <w:szCs w:val="23"/>
        </w:rPr>
        <w:t>力。</w:t>
      </w:r>
    </w:p>
    <w:p>
      <w:pPr>
        <w:spacing w:before="143" w:line="226" w:lineRule="auto"/>
        <w:ind w:left="519"/>
        <w:rPr>
          <w:rFonts w:ascii="宋体" w:hAnsi="宋体" w:eastAsia="宋体" w:cs="宋体"/>
          <w:sz w:val="23"/>
          <w:szCs w:val="23"/>
        </w:rPr>
      </w:pPr>
      <w:r>
        <w:rPr>
          <w:rFonts w:ascii="宋体" w:hAnsi="宋体" w:eastAsia="宋体" w:cs="宋体"/>
          <w:spacing w:val="11"/>
          <w:sz w:val="23"/>
          <w:szCs w:val="23"/>
        </w:rPr>
        <w:t>附</w:t>
      </w:r>
      <w:r>
        <w:rPr>
          <w:rFonts w:ascii="宋体" w:hAnsi="宋体" w:eastAsia="宋体" w:cs="宋体"/>
          <w:spacing w:val="6"/>
          <w:sz w:val="23"/>
          <w:szCs w:val="23"/>
        </w:rPr>
        <w:t>法定代表人基本情况：</w:t>
      </w:r>
    </w:p>
    <w:p>
      <w:pPr>
        <w:spacing w:line="301" w:lineRule="auto"/>
        <w:rPr>
          <w:rFonts w:ascii="Arial"/>
          <w:sz w:val="21"/>
        </w:rPr>
      </w:pPr>
    </w:p>
    <w:p>
      <w:pPr>
        <w:spacing w:before="76" w:line="227" w:lineRule="auto"/>
        <w:ind w:left="501"/>
        <w:rPr>
          <w:rFonts w:ascii="宋体" w:hAnsi="宋体" w:eastAsia="宋体" w:cs="宋体"/>
          <w:sz w:val="23"/>
          <w:szCs w:val="23"/>
        </w:rPr>
      </w:pPr>
      <w:r>
        <w:rPr>
          <w:rFonts w:ascii="宋体" w:hAnsi="宋体" w:eastAsia="宋体" w:cs="宋体"/>
          <w:spacing w:val="-15"/>
          <w:sz w:val="23"/>
          <w:szCs w:val="23"/>
        </w:rPr>
        <w:t>姓</w:t>
      </w:r>
      <w:r>
        <w:rPr>
          <w:rFonts w:ascii="宋体" w:hAnsi="宋体" w:eastAsia="宋体" w:cs="宋体"/>
          <w:spacing w:val="-10"/>
          <w:sz w:val="23"/>
          <w:szCs w:val="23"/>
        </w:rPr>
        <w:t>名：   性别：   年龄：   职务：</w:t>
      </w:r>
    </w:p>
    <w:p>
      <w:pPr>
        <w:spacing w:line="301" w:lineRule="auto"/>
        <w:rPr>
          <w:rFonts w:ascii="Arial"/>
          <w:sz w:val="21"/>
        </w:rPr>
      </w:pPr>
    </w:p>
    <w:p>
      <w:pPr>
        <w:spacing w:before="74" w:line="660" w:lineRule="exact"/>
        <w:ind w:left="507"/>
        <w:rPr>
          <w:rFonts w:ascii="宋体" w:hAnsi="宋体" w:eastAsia="宋体" w:cs="宋体"/>
          <w:sz w:val="23"/>
          <w:szCs w:val="23"/>
        </w:rPr>
      </w:pPr>
      <w:r>
        <w:rPr>
          <w:rFonts w:ascii="宋体" w:hAnsi="宋体" w:eastAsia="宋体" w:cs="宋体"/>
          <w:spacing w:val="9"/>
          <w:position w:val="33"/>
          <w:sz w:val="23"/>
          <w:szCs w:val="23"/>
        </w:rPr>
        <w:t>身</w:t>
      </w:r>
      <w:r>
        <w:rPr>
          <w:rFonts w:ascii="宋体" w:hAnsi="宋体" w:eastAsia="宋体" w:cs="宋体"/>
          <w:spacing w:val="5"/>
          <w:position w:val="33"/>
          <w:sz w:val="23"/>
          <w:szCs w:val="23"/>
        </w:rPr>
        <w:t>份证号码：</w:t>
      </w:r>
    </w:p>
    <w:p>
      <w:pPr>
        <w:spacing w:before="1" w:line="231" w:lineRule="auto"/>
        <w:ind w:left="501"/>
        <w:rPr>
          <w:rFonts w:ascii="宋体" w:hAnsi="宋体" w:eastAsia="宋体" w:cs="宋体"/>
          <w:sz w:val="23"/>
          <w:szCs w:val="23"/>
        </w:rPr>
      </w:pPr>
      <w:r>
        <w:rPr>
          <w:rFonts w:ascii="宋体" w:hAnsi="宋体" w:eastAsia="宋体" w:cs="宋体"/>
          <w:spacing w:val="6"/>
          <w:sz w:val="23"/>
          <w:szCs w:val="23"/>
        </w:rPr>
        <w:t>通讯地址：</w:t>
      </w:r>
    </w:p>
    <w:p>
      <w:pPr>
        <w:spacing w:line="294" w:lineRule="auto"/>
        <w:rPr>
          <w:rFonts w:ascii="Arial"/>
          <w:sz w:val="21"/>
        </w:rPr>
      </w:pPr>
    </w:p>
    <w:p>
      <w:pPr>
        <w:spacing w:before="76" w:line="229" w:lineRule="auto"/>
        <w:ind w:left="529"/>
        <w:rPr>
          <w:rFonts w:ascii="宋体" w:hAnsi="宋体" w:eastAsia="宋体" w:cs="宋体"/>
          <w:sz w:val="23"/>
          <w:szCs w:val="23"/>
        </w:rPr>
      </w:pPr>
      <w:r>
        <w:rPr>
          <w:rFonts w:ascii="宋体" w:hAnsi="宋体" w:eastAsia="宋体" w:cs="宋体"/>
          <w:spacing w:val="1"/>
          <w:sz w:val="23"/>
          <w:szCs w:val="23"/>
        </w:rPr>
        <w:t>电话</w:t>
      </w:r>
      <w:r>
        <w:rPr>
          <w:rFonts w:ascii="宋体" w:hAnsi="宋体" w:eastAsia="宋体" w:cs="宋体"/>
          <w:sz w:val="23"/>
          <w:szCs w:val="23"/>
        </w:rPr>
        <w:t>号码：</w:t>
      </w:r>
    </w:p>
    <w:p>
      <w:pPr>
        <w:spacing w:line="298" w:lineRule="auto"/>
        <w:rPr>
          <w:rFonts w:ascii="Arial"/>
          <w:sz w:val="21"/>
        </w:rPr>
      </w:pPr>
    </w:p>
    <w:p>
      <w:pPr>
        <w:spacing w:before="75" w:line="227" w:lineRule="auto"/>
        <w:ind w:left="518"/>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p>
      <w:pPr>
        <w:spacing w:line="183" w:lineRule="exact"/>
      </w:pPr>
    </w:p>
    <w:tbl>
      <w:tblPr>
        <w:tblStyle w:val="195"/>
        <w:tblW w:w="6808" w:type="dxa"/>
        <w:tblInd w:w="128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0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7" w:hRule="atLeast"/>
        </w:trPr>
        <w:tc>
          <w:tcPr>
            <w:tcW w:w="6808"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5" w:line="226" w:lineRule="auto"/>
              <w:ind w:left="1012"/>
              <w:rPr>
                <w:rFonts w:ascii="宋体" w:hAnsi="宋体" w:eastAsia="宋体" w:cs="宋体"/>
                <w:sz w:val="23"/>
                <w:szCs w:val="23"/>
              </w:rPr>
            </w:pPr>
            <w:r>
              <w:rPr>
                <w:rFonts w:ascii="宋体" w:hAnsi="宋体" w:eastAsia="宋体" w:cs="宋体"/>
                <w:spacing w:val="18"/>
                <w:sz w:val="23"/>
                <w:szCs w:val="23"/>
              </w:rPr>
              <w:t>法</w:t>
            </w:r>
            <w:r>
              <w:rPr>
                <w:rFonts w:ascii="宋体" w:hAnsi="宋体" w:eastAsia="宋体" w:cs="宋体"/>
                <w:spacing w:val="9"/>
                <w:sz w:val="23"/>
                <w:szCs w:val="23"/>
              </w:rPr>
              <w:t>定代表人《二代居民身份证》正反面扫描件</w:t>
            </w:r>
          </w:p>
        </w:tc>
      </w:tr>
    </w:tbl>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5" w:line="660" w:lineRule="exact"/>
        <w:ind w:left="769"/>
        <w:rPr>
          <w:rFonts w:ascii="宋体" w:hAnsi="宋体" w:eastAsia="宋体" w:cs="宋体"/>
          <w:sz w:val="23"/>
          <w:szCs w:val="23"/>
        </w:rPr>
      </w:pPr>
      <w:r>
        <w:rPr>
          <w:rFonts w:ascii="宋体" w:hAnsi="宋体" w:eastAsia="宋体" w:cs="宋体"/>
          <w:spacing w:val="10"/>
          <w:position w:val="33"/>
          <w:sz w:val="23"/>
          <w:szCs w:val="23"/>
        </w:rPr>
        <w:t>供</w:t>
      </w:r>
      <w:r>
        <w:rPr>
          <w:rFonts w:ascii="宋体" w:hAnsi="宋体" w:eastAsia="宋体" w:cs="宋体"/>
          <w:spacing w:val="7"/>
          <w:position w:val="33"/>
          <w:sz w:val="23"/>
          <w:szCs w:val="23"/>
        </w:rPr>
        <w:t>应商名称 (电子签章) ：</w:t>
      </w:r>
    </w:p>
    <w:p>
      <w:pPr>
        <w:spacing w:before="1" w:line="225" w:lineRule="auto"/>
        <w:ind w:left="742"/>
        <w:rPr>
          <w:rFonts w:ascii="宋体" w:hAnsi="宋体" w:eastAsia="宋体" w:cs="宋体"/>
          <w:sz w:val="23"/>
          <w:szCs w:val="23"/>
        </w:rPr>
      </w:pPr>
      <w:r>
        <w:rPr>
          <w:rFonts w:ascii="宋体" w:hAnsi="宋体" w:eastAsia="宋体" w:cs="宋体"/>
          <w:spacing w:val="7"/>
          <w:sz w:val="23"/>
          <w:szCs w:val="23"/>
        </w:rPr>
        <w:t>法定代表人 (电子签名)  ：</w:t>
      </w:r>
    </w:p>
    <w:p>
      <w:pPr>
        <w:spacing w:line="302" w:lineRule="auto"/>
        <w:rPr>
          <w:rFonts w:ascii="Arial"/>
          <w:sz w:val="21"/>
        </w:rPr>
      </w:pPr>
    </w:p>
    <w:p>
      <w:pPr>
        <w:spacing w:before="75" w:line="227" w:lineRule="auto"/>
        <w:ind w:left="782"/>
        <w:rPr>
          <w:rFonts w:ascii="宋体" w:hAnsi="宋体" w:eastAsia="宋体" w:cs="宋体"/>
          <w:sz w:val="23"/>
          <w:szCs w:val="23"/>
        </w:rPr>
      </w:pPr>
      <w:r>
        <w:rPr>
          <w:rFonts w:ascii="宋体" w:hAnsi="宋体" w:eastAsia="宋体" w:cs="宋体"/>
          <w:spacing w:val="-5"/>
          <w:sz w:val="23"/>
          <w:szCs w:val="23"/>
        </w:rPr>
        <w:t>日期：  年 月 日</w:t>
      </w:r>
    </w:p>
    <w:p>
      <w:pPr>
        <w:sectPr>
          <w:headerReference r:id="rId11" w:type="default"/>
          <w:footerReference r:id="rId12" w:type="default"/>
          <w:pgSz w:w="11906" w:h="16839"/>
          <w:pgMar w:top="400" w:right="1785" w:bottom="1333" w:left="1785" w:header="0" w:footer="1172" w:gutter="0"/>
          <w:pgNumType w:fmt="decimal"/>
          <w:cols w:space="720" w:num="1"/>
        </w:sectPr>
      </w:pPr>
    </w:p>
    <w:p>
      <w:pPr>
        <w:spacing w:line="265" w:lineRule="auto"/>
        <w:rPr>
          <w:rFonts w:ascii="Arial"/>
          <w:sz w:val="21"/>
        </w:rPr>
      </w:pPr>
    </w:p>
    <w:p>
      <w:pPr>
        <w:spacing w:before="75" w:line="226" w:lineRule="auto"/>
        <w:ind w:left="3793"/>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8"/>
          <w:sz w:val="23"/>
          <w:szCs w:val="23"/>
        </w:rPr>
        <w:t>定代表人授权书</w:t>
      </w:r>
    </w:p>
    <w:p>
      <w:pPr>
        <w:spacing w:line="301" w:lineRule="auto"/>
        <w:rPr>
          <w:rFonts w:ascii="Arial"/>
          <w:sz w:val="21"/>
        </w:rPr>
      </w:pPr>
    </w:p>
    <w:p>
      <w:pPr>
        <w:tabs>
          <w:tab w:val="left" w:pos="484"/>
        </w:tabs>
        <w:spacing w:before="75" w:line="226" w:lineRule="auto"/>
        <w:ind w:left="348"/>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7"/>
          <w:sz w:val="23"/>
          <w:szCs w:val="23"/>
          <w:u w:val="single" w:color="auto"/>
        </w:rPr>
        <w:t>(</w:t>
      </w:r>
      <w:r>
        <w:rPr>
          <w:rFonts w:ascii="宋体" w:hAnsi="宋体" w:eastAsia="宋体" w:cs="宋体"/>
          <w:spacing w:val="6"/>
          <w:sz w:val="23"/>
          <w:szCs w:val="23"/>
          <w:u w:val="single" w:color="auto"/>
        </w:rPr>
        <w:t xml:space="preserve">代理机构名称) </w:t>
      </w:r>
      <w:r>
        <w:rPr>
          <w:rFonts w:ascii="宋体" w:hAnsi="宋体" w:eastAsia="宋体" w:cs="宋体"/>
          <w:spacing w:val="6"/>
          <w:sz w:val="23"/>
          <w:szCs w:val="23"/>
        </w:rPr>
        <w:t>：</w:t>
      </w:r>
    </w:p>
    <w:p>
      <w:pPr>
        <w:spacing w:line="303" w:lineRule="auto"/>
        <w:rPr>
          <w:rFonts w:ascii="Arial"/>
          <w:sz w:val="21"/>
        </w:rPr>
      </w:pPr>
    </w:p>
    <w:p>
      <w:pPr>
        <w:spacing w:before="74" w:line="406" w:lineRule="auto"/>
        <w:ind w:left="357" w:right="11" w:firstLine="484"/>
        <w:rPr>
          <w:rFonts w:ascii="宋体" w:hAnsi="宋体" w:eastAsia="宋体" w:cs="宋体"/>
          <w:sz w:val="23"/>
          <w:szCs w:val="23"/>
        </w:rPr>
      </w:pPr>
      <w:r>
        <w:rPr>
          <w:rFonts w:ascii="宋体" w:hAnsi="宋体" w:eastAsia="宋体" w:cs="宋体"/>
          <w:spacing w:val="6"/>
          <w:sz w:val="23"/>
          <w:szCs w:val="23"/>
        </w:rPr>
        <w:t>兹授权    同志为我公司参加贵单位组织的编号为</w:t>
      </w:r>
      <w:r>
        <w:rPr>
          <w:rFonts w:ascii="宋体" w:hAnsi="宋体" w:eastAsia="宋体" w:cs="宋体"/>
          <w:spacing w:val="6"/>
          <w:sz w:val="23"/>
          <w:szCs w:val="23"/>
          <w:u w:val="single" w:color="auto"/>
        </w:rPr>
        <w:t>(项目编号)</w:t>
      </w:r>
      <w:r>
        <w:rPr>
          <w:rFonts w:ascii="宋体" w:hAnsi="宋体" w:eastAsia="宋体" w:cs="宋体"/>
          <w:spacing w:val="6"/>
          <w:sz w:val="23"/>
          <w:szCs w:val="23"/>
        </w:rPr>
        <w:t>的</w:t>
      </w:r>
      <w:r>
        <w:rPr>
          <w:rFonts w:ascii="宋体" w:hAnsi="宋体" w:eastAsia="宋体" w:cs="宋体"/>
          <w:spacing w:val="6"/>
          <w:sz w:val="23"/>
          <w:szCs w:val="23"/>
          <w:u w:val="single" w:color="auto"/>
        </w:rPr>
        <w:t xml:space="preserve">( 项 目 </w:t>
      </w:r>
      <w:r>
        <w:rPr>
          <w:rFonts w:ascii="宋体" w:hAnsi="宋体" w:eastAsia="宋体" w:cs="宋体"/>
          <w:spacing w:val="5"/>
          <w:sz w:val="23"/>
          <w:szCs w:val="23"/>
          <w:u w:val="single" w:color="auto"/>
        </w:rPr>
        <w:t>名</w:t>
      </w:r>
      <w:r>
        <w:rPr>
          <w:rFonts w:ascii="宋体" w:hAnsi="宋体" w:eastAsia="宋体" w:cs="宋体"/>
          <w:sz w:val="23"/>
          <w:szCs w:val="23"/>
        </w:rPr>
        <w:t xml:space="preserve"> </w:t>
      </w:r>
      <w:r>
        <w:rPr>
          <w:rFonts w:ascii="宋体" w:hAnsi="宋体" w:eastAsia="宋体" w:cs="宋体"/>
          <w:spacing w:val="7"/>
          <w:sz w:val="23"/>
          <w:szCs w:val="23"/>
          <w:u w:val="single" w:color="auto"/>
        </w:rPr>
        <w:t xml:space="preserve">称) </w:t>
      </w:r>
      <w:r>
        <w:rPr>
          <w:rFonts w:ascii="宋体" w:hAnsi="宋体" w:eastAsia="宋体" w:cs="宋体"/>
          <w:spacing w:val="7"/>
          <w:sz w:val="23"/>
          <w:szCs w:val="23"/>
        </w:rPr>
        <w:t>采购活动的投标代表人，全权代表我公司处理在该项目采购活动中的一切事</w:t>
      </w:r>
      <w:r>
        <w:rPr>
          <w:rFonts w:ascii="宋体" w:hAnsi="宋体" w:eastAsia="宋体" w:cs="宋体"/>
          <w:sz w:val="23"/>
          <w:szCs w:val="23"/>
        </w:rPr>
        <w:t xml:space="preserve"> </w:t>
      </w:r>
      <w:r>
        <w:rPr>
          <w:rFonts w:ascii="宋体" w:hAnsi="宋体" w:eastAsia="宋体" w:cs="宋体"/>
          <w:spacing w:val="14"/>
          <w:sz w:val="23"/>
          <w:szCs w:val="23"/>
        </w:rPr>
        <w:t>宜</w:t>
      </w:r>
      <w:r>
        <w:rPr>
          <w:rFonts w:ascii="宋体" w:hAnsi="宋体" w:eastAsia="宋体" w:cs="宋体"/>
          <w:spacing w:val="10"/>
          <w:sz w:val="23"/>
          <w:szCs w:val="23"/>
        </w:rPr>
        <w:t>。</w:t>
      </w:r>
      <w:r>
        <w:rPr>
          <w:rFonts w:ascii="宋体" w:hAnsi="宋体" w:eastAsia="宋体" w:cs="宋体"/>
          <w:spacing w:val="7"/>
          <w:sz w:val="23"/>
          <w:szCs w:val="23"/>
        </w:rPr>
        <w:t>代理期限从  年 月  日起至  年  月  日止。</w:t>
      </w:r>
    </w:p>
    <w:p>
      <w:pPr>
        <w:rPr>
          <w:rFonts w:ascii="Arial"/>
          <w:sz w:val="21"/>
        </w:rPr>
      </w:pPr>
    </w:p>
    <w:p>
      <w:pPr>
        <w:spacing w:line="241" w:lineRule="auto"/>
        <w:rPr>
          <w:rFonts w:ascii="Arial"/>
          <w:sz w:val="21"/>
        </w:rPr>
      </w:pPr>
    </w:p>
    <w:p>
      <w:pPr>
        <w:spacing w:line="241" w:lineRule="auto"/>
        <w:rPr>
          <w:rFonts w:ascii="Arial"/>
          <w:sz w:val="21"/>
        </w:rPr>
      </w:pPr>
    </w:p>
    <w:p>
      <w:pPr>
        <w:spacing w:before="75" w:line="227" w:lineRule="auto"/>
        <w:ind w:left="358"/>
        <w:rPr>
          <w:rFonts w:ascii="宋体" w:hAnsi="宋体" w:eastAsia="宋体" w:cs="宋体"/>
          <w:sz w:val="23"/>
          <w:szCs w:val="23"/>
        </w:rPr>
      </w:pPr>
      <w:r>
        <w:rPr>
          <w:rFonts w:ascii="宋体" w:hAnsi="宋体" w:eastAsia="宋体" w:cs="宋体"/>
          <w:spacing w:val="7"/>
          <w:sz w:val="23"/>
          <w:szCs w:val="23"/>
        </w:rPr>
        <w:t xml:space="preserve">供应商 (电子签章) </w:t>
      </w:r>
      <w:r>
        <w:rPr>
          <w:rFonts w:ascii="宋体" w:hAnsi="宋体" w:eastAsia="宋体" w:cs="宋体"/>
          <w:spacing w:val="4"/>
          <w:sz w:val="23"/>
          <w:szCs w:val="23"/>
        </w:rPr>
        <w:t>：</w:t>
      </w:r>
    </w:p>
    <w:p>
      <w:pPr>
        <w:spacing w:line="301" w:lineRule="auto"/>
        <w:rPr>
          <w:rFonts w:ascii="Arial"/>
          <w:sz w:val="21"/>
        </w:rPr>
      </w:pPr>
    </w:p>
    <w:p>
      <w:pPr>
        <w:spacing w:before="75" w:line="660" w:lineRule="exact"/>
        <w:ind w:left="359"/>
        <w:rPr>
          <w:rFonts w:ascii="宋体" w:hAnsi="宋体" w:eastAsia="宋体" w:cs="宋体"/>
          <w:sz w:val="23"/>
          <w:szCs w:val="23"/>
        </w:rPr>
      </w:pPr>
      <w:r>
        <w:rPr>
          <w:rFonts w:ascii="宋体" w:hAnsi="宋体" w:eastAsia="宋体" w:cs="宋体"/>
          <w:spacing w:val="9"/>
          <w:position w:val="33"/>
          <w:sz w:val="23"/>
          <w:szCs w:val="23"/>
        </w:rPr>
        <w:t>法</w:t>
      </w:r>
      <w:r>
        <w:rPr>
          <w:rFonts w:ascii="宋体" w:hAnsi="宋体" w:eastAsia="宋体" w:cs="宋体"/>
          <w:spacing w:val="7"/>
          <w:position w:val="33"/>
          <w:sz w:val="23"/>
          <w:szCs w:val="23"/>
        </w:rPr>
        <w:t>定代表人 (电子签名) ：</w:t>
      </w:r>
    </w:p>
    <w:p>
      <w:pPr>
        <w:spacing w:line="227" w:lineRule="auto"/>
        <w:ind w:left="358"/>
        <w:rPr>
          <w:rFonts w:ascii="宋体" w:hAnsi="宋体" w:eastAsia="宋体" w:cs="宋体"/>
          <w:sz w:val="23"/>
          <w:szCs w:val="23"/>
        </w:rPr>
      </w:pPr>
      <w:r>
        <w:rPr>
          <w:rFonts w:ascii="宋体" w:hAnsi="宋体" w:eastAsia="宋体" w:cs="宋体"/>
          <w:spacing w:val="2"/>
          <w:sz w:val="23"/>
          <w:szCs w:val="23"/>
        </w:rPr>
        <w:t xml:space="preserve">签发日期：   年  </w:t>
      </w:r>
      <w:r>
        <w:rPr>
          <w:rFonts w:ascii="宋体" w:hAnsi="宋体" w:eastAsia="宋体" w:cs="宋体"/>
          <w:spacing w:val="1"/>
          <w:sz w:val="23"/>
          <w:szCs w:val="23"/>
        </w:rPr>
        <w:t>月  日</w:t>
      </w:r>
    </w:p>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75" w:line="227" w:lineRule="auto"/>
        <w:ind w:left="371"/>
        <w:rPr>
          <w:rFonts w:ascii="宋体" w:hAnsi="宋体" w:eastAsia="宋体" w:cs="宋体"/>
          <w:sz w:val="23"/>
          <w:szCs w:val="23"/>
        </w:rPr>
      </w:pPr>
      <w:r>
        <w:rPr>
          <w:rFonts w:ascii="宋体" w:hAnsi="宋体" w:eastAsia="宋体" w:cs="宋体"/>
          <w:spacing w:val="13"/>
          <w:sz w:val="23"/>
          <w:szCs w:val="23"/>
        </w:rPr>
        <w:t>需</w:t>
      </w:r>
      <w:r>
        <w:rPr>
          <w:rFonts w:ascii="宋体" w:hAnsi="宋体" w:eastAsia="宋体" w:cs="宋体"/>
          <w:spacing w:val="7"/>
          <w:sz w:val="23"/>
          <w:szCs w:val="23"/>
        </w:rPr>
        <w:t>附被授权人身份证扫描件：</w:t>
      </w:r>
    </w:p>
    <w:p>
      <w:pPr>
        <w:spacing w:line="141" w:lineRule="exact"/>
      </w:pPr>
    </w:p>
    <w:tbl>
      <w:tblPr>
        <w:tblStyle w:val="195"/>
        <w:tblW w:w="7624"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62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795" w:hRule="atLeast"/>
        </w:trPr>
        <w:tc>
          <w:tcPr>
            <w:tcW w:w="7624" w:type="dxa"/>
            <w:vAlign w:val="top"/>
          </w:tcPr>
          <w:p>
            <w:pPr>
              <w:spacing w:before="272" w:line="227" w:lineRule="auto"/>
              <w:ind w:left="1531"/>
              <w:outlineLvl w:val="2"/>
              <w:rPr>
                <w:rFonts w:ascii="宋体" w:hAnsi="宋体" w:eastAsia="宋体" w:cs="宋体"/>
                <w:sz w:val="23"/>
                <w:szCs w:val="23"/>
              </w:rPr>
            </w:pPr>
            <w:bookmarkStart w:id="298" w:name="_bookmark19"/>
            <w:bookmarkEnd w:id="298"/>
            <w:r>
              <w:rPr>
                <w:rFonts w:ascii="宋体" w:hAnsi="宋体" w:eastAsia="宋体" w:cs="宋体"/>
                <w:spacing w:val="18"/>
                <w:sz w:val="23"/>
                <w:szCs w:val="23"/>
              </w:rPr>
              <w:t>被</w:t>
            </w:r>
            <w:r>
              <w:rPr>
                <w:rFonts w:ascii="宋体" w:hAnsi="宋体" w:eastAsia="宋体" w:cs="宋体"/>
                <w:spacing w:val="9"/>
                <w:sz w:val="23"/>
                <w:szCs w:val="23"/>
              </w:rPr>
              <w:t>授权人《二代居民身份证》正反面扫描件</w:t>
            </w:r>
          </w:p>
        </w:tc>
      </w:tr>
    </w:tbl>
    <w:p>
      <w:pPr>
        <w:rPr>
          <w:rFonts w:ascii="Arial"/>
          <w:sz w:val="21"/>
        </w:rPr>
      </w:pPr>
    </w:p>
    <w:p>
      <w:pPr>
        <w:sectPr>
          <w:headerReference r:id="rId13" w:type="default"/>
          <w:footerReference r:id="rId14" w:type="default"/>
          <w:pgSz w:w="11906" w:h="16839"/>
          <w:pgMar w:top="1117" w:right="1785" w:bottom="1333" w:left="1448" w:header="1108" w:footer="1172" w:gutter="0"/>
          <w:pgNumType w:fmt="decimal"/>
          <w:cols w:space="720" w:num="1"/>
        </w:sectPr>
      </w:pPr>
    </w:p>
    <w:p>
      <w:pPr>
        <w:spacing w:line="299" w:lineRule="auto"/>
        <w:rPr>
          <w:rFonts w:ascii="Arial"/>
          <w:sz w:val="21"/>
        </w:rPr>
      </w:pPr>
    </w:p>
    <w:p>
      <w:pPr>
        <w:spacing w:before="75" w:line="364" w:lineRule="auto"/>
        <w:ind w:left="66" w:right="11" w:firstLine="435"/>
        <w:rPr>
          <w:rFonts w:ascii="宋体" w:hAnsi="宋体" w:eastAsia="宋体" w:cs="宋体"/>
          <w:b/>
          <w:bCs/>
          <w:spacing w:val="2"/>
          <w:sz w:val="23"/>
          <w:szCs w:val="23"/>
        </w:rPr>
      </w:pPr>
      <w:r>
        <w:rPr>
          <w:rFonts w:ascii="宋体" w:hAnsi="宋体" w:eastAsia="宋体" w:cs="宋体"/>
          <w:b/>
          <w:bCs/>
          <w:spacing w:val="2"/>
          <w:sz w:val="23"/>
          <w:szCs w:val="23"/>
        </w:rPr>
        <w:tab/>
      </w:r>
      <w:r>
        <w:rPr>
          <w:rFonts w:ascii="宋体" w:hAnsi="宋体" w:eastAsia="宋体" w:cs="宋体"/>
          <w:b/>
          <w:bCs/>
          <w:spacing w:val="2"/>
          <w:sz w:val="23"/>
          <w:szCs w:val="23"/>
        </w:rPr>
        <w:t>(三)  不参与围标串标承诺书</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91" w:line="219" w:lineRule="auto"/>
        <w:ind w:left="277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不参与围标</w:t>
      </w:r>
      <w:r>
        <w:rPr>
          <w:rFonts w:ascii="宋体" w:hAnsi="宋体" w:eastAsia="宋体" w:cs="宋体"/>
          <w:sz w:val="28"/>
          <w:szCs w:val="28"/>
          <w14:textOutline w14:w="5103" w14:cap="sq" w14:cmpd="sng">
            <w14:solidFill>
              <w14:srgbClr w14:val="000000"/>
            </w14:solidFill>
            <w14:prstDash w14:val="solid"/>
            <w14:bevel/>
          </w14:textOutline>
        </w:rPr>
        <w:t>串标承诺书</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75" w:line="364" w:lineRule="auto"/>
        <w:ind w:left="66" w:right="11" w:firstLine="435"/>
        <w:rPr>
          <w:rFonts w:ascii="宋体" w:hAnsi="宋体" w:eastAsia="宋体" w:cs="宋体"/>
          <w:sz w:val="23"/>
          <w:szCs w:val="23"/>
        </w:rPr>
      </w:pPr>
      <w:r>
        <w:rPr>
          <w:rFonts w:ascii="宋体" w:hAnsi="宋体" w:eastAsia="宋体" w:cs="宋体"/>
          <w:spacing w:val="4"/>
          <w:sz w:val="23"/>
          <w:szCs w:val="23"/>
        </w:rPr>
        <w:t>本人作为 (单位名称</w:t>
      </w:r>
      <w:r>
        <w:rPr>
          <w:rFonts w:ascii="宋体" w:hAnsi="宋体" w:eastAsia="宋体" w:cs="宋体"/>
          <w:spacing w:val="4"/>
          <w:sz w:val="23"/>
          <w:szCs w:val="23"/>
          <w:u w:val="single" w:color="auto"/>
        </w:rPr>
        <w:t>)</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的法人，清楚知晓我公司本项</w:t>
      </w:r>
      <w:r>
        <w:rPr>
          <w:rFonts w:ascii="宋体" w:hAnsi="宋体" w:eastAsia="宋体" w:cs="宋体"/>
          <w:sz w:val="23"/>
          <w:szCs w:val="23"/>
        </w:rPr>
        <w:t xml:space="preserve"> </w:t>
      </w:r>
      <w:r>
        <w:rPr>
          <w:rFonts w:ascii="宋体" w:hAnsi="宋体" w:eastAsia="宋体" w:cs="宋体"/>
          <w:spacing w:val="6"/>
          <w:sz w:val="23"/>
          <w:szCs w:val="23"/>
        </w:rPr>
        <w:t>目投标活动，对以下事项作出承诺</w:t>
      </w:r>
      <w:r>
        <w:rPr>
          <w:rFonts w:ascii="宋体" w:hAnsi="宋体" w:eastAsia="宋体" w:cs="宋体"/>
          <w:spacing w:val="4"/>
          <w:sz w:val="23"/>
          <w:szCs w:val="23"/>
        </w:rPr>
        <w:t>：</w:t>
      </w:r>
    </w:p>
    <w:p>
      <w:pPr>
        <w:spacing w:before="135" w:line="362" w:lineRule="auto"/>
        <w:ind w:left="23" w:right="11" w:firstLine="480"/>
        <w:rPr>
          <w:rFonts w:ascii="宋体" w:hAnsi="宋体" w:eastAsia="宋体" w:cs="宋体"/>
          <w:sz w:val="23"/>
          <w:szCs w:val="23"/>
        </w:rPr>
      </w:pPr>
      <w:r>
        <w:rPr>
          <w:rFonts w:ascii="宋体" w:hAnsi="宋体" w:eastAsia="宋体" w:cs="宋体"/>
          <w:spacing w:val="7"/>
          <w:sz w:val="23"/>
          <w:szCs w:val="23"/>
        </w:rPr>
        <w:t>一、我单位遵循公开、公平、公正、诚实守信的原则，依法依规参与本项</w:t>
      </w:r>
      <w:r>
        <w:rPr>
          <w:rFonts w:ascii="宋体" w:hAnsi="宋体" w:eastAsia="宋体" w:cs="宋体"/>
          <w:spacing w:val="3"/>
          <w:sz w:val="23"/>
          <w:szCs w:val="23"/>
        </w:rPr>
        <w:t>目</w:t>
      </w:r>
      <w:r>
        <w:rPr>
          <w:rFonts w:ascii="宋体" w:hAnsi="宋体" w:eastAsia="宋体" w:cs="宋体"/>
          <w:sz w:val="23"/>
          <w:szCs w:val="23"/>
        </w:rPr>
        <w:t xml:space="preserve"> </w:t>
      </w:r>
      <w:r>
        <w:rPr>
          <w:rFonts w:ascii="宋体" w:hAnsi="宋体" w:eastAsia="宋体" w:cs="宋体"/>
          <w:spacing w:val="3"/>
          <w:sz w:val="23"/>
          <w:szCs w:val="23"/>
        </w:rPr>
        <w:t>竞</w:t>
      </w:r>
      <w:r>
        <w:rPr>
          <w:rFonts w:ascii="宋体" w:hAnsi="宋体" w:eastAsia="宋体" w:cs="宋体"/>
          <w:spacing w:val="2"/>
          <w:sz w:val="23"/>
          <w:szCs w:val="23"/>
        </w:rPr>
        <w:t>标。</w:t>
      </w:r>
    </w:p>
    <w:p>
      <w:pPr>
        <w:spacing w:before="136" w:line="314" w:lineRule="exact"/>
        <w:ind w:left="504"/>
        <w:rPr>
          <w:rFonts w:ascii="宋体" w:hAnsi="宋体" w:eastAsia="宋体" w:cs="宋体"/>
          <w:sz w:val="23"/>
          <w:szCs w:val="23"/>
        </w:rPr>
      </w:pPr>
      <w:r>
        <w:rPr>
          <w:rFonts w:ascii="宋体" w:hAnsi="宋体" w:eastAsia="宋体" w:cs="宋体"/>
          <w:spacing w:val="9"/>
          <w:position w:val="1"/>
          <w:sz w:val="23"/>
          <w:szCs w:val="23"/>
        </w:rPr>
        <w:t>二、我单位在本项目投标活动中，未参与围标串标</w:t>
      </w:r>
      <w:r>
        <w:rPr>
          <w:rFonts w:ascii="宋体" w:hAnsi="宋体" w:eastAsia="宋体" w:cs="宋体"/>
          <w:spacing w:val="8"/>
          <w:position w:val="1"/>
          <w:sz w:val="23"/>
          <w:szCs w:val="23"/>
        </w:rPr>
        <w:t>。</w:t>
      </w:r>
    </w:p>
    <w:p>
      <w:pPr>
        <w:spacing w:before="285" w:line="227" w:lineRule="auto"/>
        <w:ind w:left="501"/>
        <w:rPr>
          <w:rFonts w:ascii="宋体" w:hAnsi="宋体" w:eastAsia="宋体" w:cs="宋体"/>
          <w:sz w:val="23"/>
          <w:szCs w:val="23"/>
        </w:rPr>
      </w:pPr>
      <w:r>
        <w:rPr>
          <w:rFonts w:ascii="宋体" w:hAnsi="宋体" w:eastAsia="宋体" w:cs="宋体"/>
          <w:spacing w:val="12"/>
          <w:sz w:val="23"/>
          <w:szCs w:val="23"/>
        </w:rPr>
        <w:t>三、我</w:t>
      </w:r>
      <w:r>
        <w:rPr>
          <w:rFonts w:ascii="宋体" w:hAnsi="宋体" w:eastAsia="宋体" w:cs="宋体"/>
          <w:spacing w:val="10"/>
          <w:sz w:val="23"/>
          <w:szCs w:val="23"/>
        </w:rPr>
        <w:t>单</w:t>
      </w:r>
      <w:r>
        <w:rPr>
          <w:rFonts w:ascii="宋体" w:hAnsi="宋体" w:eastAsia="宋体" w:cs="宋体"/>
          <w:spacing w:val="6"/>
          <w:sz w:val="23"/>
          <w:szCs w:val="23"/>
        </w:rPr>
        <w:t>位如被查实在本项目招标投标 (采购) 活动中存在围标串标的，递</w:t>
      </w:r>
    </w:p>
    <w:p>
      <w:pPr>
        <w:spacing w:before="158" w:line="362" w:lineRule="auto"/>
        <w:ind w:left="22" w:right="11" w:firstLine="3"/>
        <w:rPr>
          <w:rFonts w:ascii="宋体" w:hAnsi="宋体" w:eastAsia="宋体" w:cs="宋体"/>
          <w:sz w:val="23"/>
          <w:szCs w:val="23"/>
        </w:rPr>
      </w:pPr>
      <w:r>
        <w:rPr>
          <w:rFonts w:ascii="宋体" w:hAnsi="宋体" w:eastAsia="宋体" w:cs="宋体"/>
          <w:spacing w:val="9"/>
          <w:sz w:val="23"/>
          <w:szCs w:val="23"/>
        </w:rPr>
        <w:t>交</w:t>
      </w:r>
      <w:r>
        <w:rPr>
          <w:rFonts w:ascii="宋体" w:hAnsi="宋体" w:eastAsia="宋体" w:cs="宋体"/>
          <w:spacing w:val="7"/>
          <w:sz w:val="23"/>
          <w:szCs w:val="23"/>
        </w:rPr>
        <w:t>投标文件行为作为实施串通投标违法行为的关键环节，本人承担直接责任人员</w:t>
      </w:r>
      <w:r>
        <w:rPr>
          <w:rFonts w:ascii="宋体" w:hAnsi="宋体" w:eastAsia="宋体" w:cs="宋体"/>
          <w:sz w:val="23"/>
          <w:szCs w:val="23"/>
        </w:rPr>
        <w:t xml:space="preserve"> </w:t>
      </w:r>
      <w:r>
        <w:rPr>
          <w:rFonts w:ascii="宋体" w:hAnsi="宋体" w:eastAsia="宋体" w:cs="宋体"/>
          <w:spacing w:val="9"/>
          <w:sz w:val="23"/>
          <w:szCs w:val="23"/>
        </w:rPr>
        <w:t>法律责任，接受相应行政处罚和失信惩戒</w:t>
      </w:r>
      <w:r>
        <w:rPr>
          <w:rFonts w:ascii="宋体" w:hAnsi="宋体" w:eastAsia="宋体" w:cs="宋体"/>
          <w:spacing w:val="7"/>
          <w:sz w:val="23"/>
          <w:szCs w:val="23"/>
        </w:rPr>
        <w:t>。</w:t>
      </w:r>
    </w:p>
    <w:p>
      <w:pPr>
        <w:spacing w:line="329" w:lineRule="auto"/>
        <w:rPr>
          <w:rFonts w:ascii="Arial"/>
          <w:sz w:val="21"/>
        </w:rPr>
      </w:pPr>
    </w:p>
    <w:p>
      <w:pPr>
        <w:spacing w:line="330" w:lineRule="auto"/>
        <w:rPr>
          <w:rFonts w:ascii="Arial"/>
          <w:sz w:val="21"/>
        </w:rPr>
      </w:pPr>
    </w:p>
    <w:p>
      <w:pPr>
        <w:spacing w:before="75" w:line="600" w:lineRule="exact"/>
        <w:ind w:left="24"/>
        <w:rPr>
          <w:rFonts w:ascii="宋体" w:hAnsi="宋体" w:eastAsia="宋体" w:cs="宋体"/>
          <w:sz w:val="23"/>
          <w:szCs w:val="23"/>
        </w:rPr>
      </w:pPr>
      <w:r>
        <w:rPr>
          <w:rFonts w:ascii="宋体" w:hAnsi="宋体" w:eastAsia="宋体" w:cs="宋体"/>
          <w:spacing w:val="6"/>
          <w:position w:val="28"/>
          <w:sz w:val="23"/>
          <w:szCs w:val="23"/>
        </w:rPr>
        <w:t>项</w:t>
      </w:r>
      <w:r>
        <w:rPr>
          <w:rFonts w:ascii="宋体" w:hAnsi="宋体" w:eastAsia="宋体" w:cs="宋体"/>
          <w:spacing w:val="5"/>
          <w:position w:val="28"/>
          <w:sz w:val="23"/>
          <w:szCs w:val="23"/>
        </w:rPr>
        <w:t>目名称：</w:t>
      </w:r>
    </w:p>
    <w:p>
      <w:pPr>
        <w:spacing w:before="1" w:line="227" w:lineRule="auto"/>
        <w:ind w:left="2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5" w:line="227" w:lineRule="auto"/>
        <w:ind w:left="21"/>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9"/>
          <w:sz w:val="23"/>
          <w:szCs w:val="23"/>
        </w:rPr>
        <w:t>应</w:t>
      </w:r>
      <w:r>
        <w:rPr>
          <w:rFonts w:ascii="宋体" w:hAnsi="宋体" w:eastAsia="宋体" w:cs="宋体"/>
          <w:spacing w:val="7"/>
          <w:sz w:val="23"/>
          <w:szCs w:val="23"/>
        </w:rPr>
        <w:t>商单位名称 (电子公章) ：</w:t>
      </w:r>
    </w:p>
    <w:p>
      <w:pPr>
        <w:spacing w:line="241" w:lineRule="auto"/>
        <w:rPr>
          <w:rFonts w:ascii="Arial"/>
          <w:sz w:val="21"/>
        </w:rPr>
      </w:pPr>
    </w:p>
    <w:p>
      <w:pPr>
        <w:spacing w:before="76" w:line="224" w:lineRule="auto"/>
        <w:ind w:left="21"/>
        <w:rPr>
          <w:rFonts w:ascii="宋体" w:hAnsi="宋体" w:eastAsia="宋体" w:cs="宋体"/>
          <w:sz w:val="23"/>
          <w:szCs w:val="23"/>
        </w:rPr>
      </w:pPr>
      <w:r>
        <w:rPr>
          <w:rFonts w:ascii="宋体" w:hAnsi="宋体" w:eastAsia="宋体" w:cs="宋体"/>
          <w:spacing w:val="16"/>
          <w:sz w:val="23"/>
          <w:szCs w:val="23"/>
        </w:rPr>
        <w:t>供</w:t>
      </w:r>
      <w:r>
        <w:rPr>
          <w:rFonts w:ascii="宋体" w:hAnsi="宋体" w:eastAsia="宋体" w:cs="宋体"/>
          <w:spacing w:val="9"/>
          <w:sz w:val="23"/>
          <w:szCs w:val="23"/>
        </w:rPr>
        <w:t>应</w:t>
      </w:r>
      <w:r>
        <w:rPr>
          <w:rFonts w:ascii="宋体" w:hAnsi="宋体" w:eastAsia="宋体" w:cs="宋体"/>
          <w:spacing w:val="8"/>
          <w:sz w:val="23"/>
          <w:szCs w:val="23"/>
        </w:rPr>
        <w:t>商法定代表人或负责人 (电子签名或签章) ：</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75" w:line="227" w:lineRule="auto"/>
        <w:ind w:left="4342"/>
        <w:rPr>
          <w:rFonts w:ascii="宋体" w:hAnsi="宋体" w:eastAsia="宋体" w:cs="宋体"/>
          <w:sz w:val="23"/>
          <w:szCs w:val="23"/>
        </w:rPr>
      </w:pPr>
      <w:r>
        <w:rPr>
          <w:rFonts w:ascii="宋体" w:hAnsi="宋体" w:eastAsia="宋体" w:cs="宋体"/>
          <w:spacing w:val="10"/>
          <w:sz w:val="23"/>
          <w:szCs w:val="23"/>
        </w:rPr>
        <w:t>年   月   日</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5" w:line="227" w:lineRule="auto"/>
        <w:ind w:left="2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说</w:t>
      </w:r>
      <w:r>
        <w:rPr>
          <w:rFonts w:ascii="宋体" w:hAnsi="宋体" w:eastAsia="宋体" w:cs="宋体"/>
          <w:spacing w:val="10"/>
          <w:sz w:val="23"/>
          <w:szCs w:val="23"/>
          <w14:textOutline w14:w="4358" w14:cap="sq" w14:cmpd="sng">
            <w14:solidFill>
              <w14:srgbClr w14:val="000000"/>
            </w14:solidFill>
            <w14:prstDash w14:val="solid"/>
            <w14:bevel/>
          </w14:textOutline>
        </w:rPr>
        <w:t>明：如为联合体，须附联合体各方的不参与围标串标承诺书。</w:t>
      </w:r>
    </w:p>
    <w:p>
      <w:pPr>
        <w:sectPr>
          <w:headerReference r:id="rId15" w:type="default"/>
          <w:footerReference r:id="rId16" w:type="default"/>
          <w:pgSz w:w="11906" w:h="16839"/>
          <w:pgMar w:top="1117" w:right="1785" w:bottom="1335" w:left="1785" w:header="1108" w:footer="1172" w:gutter="0"/>
          <w:pgNumType w:fmt="decimal"/>
          <w:cols w:space="720" w:num="1"/>
        </w:sectPr>
      </w:pPr>
    </w:p>
    <w:p>
      <w:pPr>
        <w:spacing w:line="299" w:lineRule="auto"/>
        <w:rPr>
          <w:rFonts w:ascii="Arial"/>
          <w:sz w:val="21"/>
        </w:rPr>
      </w:pPr>
    </w:p>
    <w:p>
      <w:pPr>
        <w:spacing w:before="75" w:line="364" w:lineRule="auto"/>
        <w:ind w:left="66" w:right="11" w:firstLine="435"/>
        <w:rPr>
          <w:rFonts w:ascii="宋体" w:hAnsi="宋体" w:eastAsia="宋体" w:cs="宋体"/>
          <w:b/>
          <w:bCs/>
          <w:spacing w:val="2"/>
          <w:sz w:val="23"/>
          <w:szCs w:val="23"/>
        </w:rPr>
      </w:pPr>
      <w:bookmarkStart w:id="299" w:name="_bookmark20"/>
      <w:bookmarkEnd w:id="299"/>
      <w:r>
        <w:rPr>
          <w:rFonts w:ascii="宋体" w:hAnsi="宋体" w:eastAsia="宋体" w:cs="宋体"/>
          <w:b/>
          <w:bCs/>
          <w:spacing w:val="2"/>
          <w:sz w:val="23"/>
          <w:szCs w:val="23"/>
        </w:rPr>
        <w:tab/>
      </w:r>
      <w:r>
        <w:rPr>
          <w:rFonts w:ascii="宋体" w:hAnsi="宋体" w:eastAsia="宋体" w:cs="宋体"/>
          <w:b/>
          <w:bCs/>
          <w:spacing w:val="2"/>
          <w:sz w:val="23"/>
          <w:szCs w:val="23"/>
        </w:rPr>
        <w:t>(四)  投标保证金</w:t>
      </w:r>
    </w:p>
    <w:p>
      <w:pPr>
        <w:spacing w:before="295" w:line="226" w:lineRule="auto"/>
        <w:ind w:left="622"/>
        <w:rPr>
          <w:rFonts w:hint="eastAsia" w:ascii="宋体" w:hAnsi="宋体" w:eastAsia="宋体" w:cs="宋体"/>
          <w:sz w:val="23"/>
          <w:szCs w:val="23"/>
          <w:lang w:eastAsia="zh-CN"/>
        </w:rPr>
      </w:pPr>
      <w:r>
        <w:rPr>
          <w:rFonts w:ascii="宋体" w:hAnsi="宋体" w:eastAsia="宋体" w:cs="宋体"/>
          <w:spacing w:val="14"/>
          <w:sz w:val="23"/>
          <w:szCs w:val="23"/>
        </w:rPr>
        <w:t>提</w:t>
      </w:r>
      <w:r>
        <w:rPr>
          <w:rFonts w:ascii="宋体" w:hAnsi="宋体" w:eastAsia="宋体" w:cs="宋体"/>
          <w:spacing w:val="9"/>
          <w:sz w:val="23"/>
          <w:szCs w:val="23"/>
        </w:rPr>
        <w:t>供被采购代理机构认可的缴纳凭证</w:t>
      </w:r>
      <w:r>
        <w:rPr>
          <w:rFonts w:hint="eastAsia" w:ascii="宋体" w:hAnsi="宋体" w:eastAsia="宋体" w:cs="宋体"/>
          <w:spacing w:val="9"/>
          <w:sz w:val="23"/>
          <w:szCs w:val="23"/>
          <w:lang w:eastAsia="zh-CN"/>
        </w:rPr>
        <w:t>（银行打款成功凭证或代理机构出具的说款收据）</w:t>
      </w:r>
    </w:p>
    <w:p>
      <w:pPr>
        <w:sectPr>
          <w:footerReference r:id="rId17" w:type="default"/>
          <w:pgSz w:w="11906" w:h="16839"/>
          <w:pgMar w:top="1117" w:right="1785" w:bottom="1333" w:left="1785" w:header="1108" w:footer="1172" w:gutter="0"/>
          <w:pgNumType w:fmt="decimal"/>
          <w:cols w:space="720" w:num="1"/>
        </w:sectPr>
      </w:pPr>
    </w:p>
    <w:p>
      <w:pPr>
        <w:spacing w:line="299" w:lineRule="auto"/>
        <w:rPr>
          <w:rFonts w:ascii="Arial"/>
          <w:sz w:val="21"/>
        </w:rPr>
      </w:pPr>
    </w:p>
    <w:p>
      <w:pPr>
        <w:spacing w:before="75" w:line="364" w:lineRule="auto"/>
        <w:ind w:left="66" w:right="11" w:firstLine="435"/>
        <w:rPr>
          <w:rFonts w:ascii="宋体" w:hAnsi="宋体" w:eastAsia="宋体" w:cs="宋体"/>
          <w:b/>
          <w:bCs/>
          <w:spacing w:val="2"/>
          <w:sz w:val="23"/>
          <w:szCs w:val="23"/>
        </w:rPr>
      </w:pPr>
      <w:bookmarkStart w:id="300" w:name="_bookmark21"/>
      <w:bookmarkEnd w:id="300"/>
      <w:r>
        <w:rPr>
          <w:rFonts w:ascii="宋体" w:hAnsi="宋体" w:eastAsia="宋体" w:cs="宋体"/>
          <w:b/>
          <w:bCs/>
          <w:spacing w:val="2"/>
          <w:sz w:val="23"/>
          <w:szCs w:val="23"/>
        </w:rPr>
        <w:tab/>
      </w:r>
      <w:r>
        <w:rPr>
          <w:rFonts w:ascii="宋体" w:hAnsi="宋体" w:eastAsia="宋体" w:cs="宋体"/>
          <w:b/>
          <w:bCs/>
          <w:spacing w:val="2"/>
          <w:sz w:val="23"/>
          <w:szCs w:val="23"/>
        </w:rPr>
        <w:t>(五)  信用中国</w:t>
      </w:r>
    </w:p>
    <w:p>
      <w:pPr>
        <w:spacing w:before="261" w:line="227" w:lineRule="auto"/>
        <w:ind w:left="336"/>
        <w:rPr>
          <w:rFonts w:ascii="宋体" w:hAnsi="宋体" w:eastAsia="宋体" w:cs="宋体"/>
          <w:sz w:val="23"/>
          <w:szCs w:val="23"/>
        </w:rPr>
      </w:pPr>
      <w:r>
        <w:rPr>
          <w:rFonts w:ascii="宋体" w:hAnsi="宋体" w:eastAsia="宋体" w:cs="宋体"/>
          <w:spacing w:val="12"/>
          <w:sz w:val="23"/>
          <w:szCs w:val="23"/>
        </w:rPr>
        <w:t>此处附“信用中国”网站 (</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creditchina</w:t>
      </w:r>
      <w:r>
        <w:rPr>
          <w:rFonts w:ascii="宋体" w:hAnsi="宋体" w:eastAsia="宋体" w:cs="宋体"/>
          <w:spacing w:val="12"/>
          <w:sz w:val="23"/>
          <w:szCs w:val="23"/>
        </w:rPr>
        <w:t>.</w:t>
      </w:r>
      <w:r>
        <w:rPr>
          <w:rFonts w:ascii="宋体" w:hAnsi="宋体" w:eastAsia="宋体" w:cs="宋体"/>
          <w:sz w:val="23"/>
          <w:szCs w:val="23"/>
        </w:rPr>
        <w:t>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 、中国政府采购</w:t>
      </w:r>
      <w:r>
        <w:rPr>
          <w:rFonts w:ascii="宋体" w:hAnsi="宋体" w:eastAsia="宋体" w:cs="宋体"/>
          <w:spacing w:val="9"/>
          <w:sz w:val="23"/>
          <w:szCs w:val="23"/>
        </w:rPr>
        <w:t>网</w:t>
      </w:r>
    </w:p>
    <w:p>
      <w:pPr>
        <w:spacing w:before="160" w:line="485" w:lineRule="auto"/>
        <w:ind w:left="586" w:right="588" w:firstLine="300"/>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z w:val="23"/>
          <w:szCs w:val="23"/>
        </w:rPr>
        <w:t>www</w:t>
      </w:r>
      <w:r>
        <w:rPr>
          <w:rFonts w:ascii="宋体" w:hAnsi="宋体" w:eastAsia="宋体" w:cs="宋体"/>
          <w:spacing w:val="15"/>
          <w:sz w:val="23"/>
          <w:szCs w:val="23"/>
        </w:rPr>
        <w:t>.</w:t>
      </w:r>
      <w:r>
        <w:rPr>
          <w:rFonts w:ascii="宋体" w:hAnsi="宋体" w:eastAsia="宋体" w:cs="宋体"/>
          <w:sz w:val="23"/>
          <w:szCs w:val="23"/>
        </w:rPr>
        <w:t>ccgp</w:t>
      </w:r>
      <w:r>
        <w:rPr>
          <w:rFonts w:ascii="宋体" w:hAnsi="宋体" w:eastAsia="宋体" w:cs="宋体"/>
          <w:spacing w:val="15"/>
          <w:sz w:val="23"/>
          <w:szCs w:val="23"/>
        </w:rPr>
        <w:t>.</w:t>
      </w:r>
      <w:r>
        <w:rPr>
          <w:rFonts w:ascii="宋体" w:hAnsi="宋体" w:eastAsia="宋体" w:cs="宋体"/>
          <w:sz w:val="23"/>
          <w:szCs w:val="23"/>
        </w:rPr>
        <w:t>gov</w:t>
      </w:r>
      <w:r>
        <w:rPr>
          <w:rFonts w:ascii="宋体" w:hAnsi="宋体" w:eastAsia="宋体" w:cs="宋体"/>
          <w:spacing w:val="15"/>
          <w:sz w:val="23"/>
          <w:szCs w:val="23"/>
        </w:rPr>
        <w:t>.</w:t>
      </w:r>
      <w:r>
        <w:rPr>
          <w:rFonts w:ascii="宋体" w:hAnsi="宋体" w:eastAsia="宋体" w:cs="宋体"/>
          <w:sz w:val="23"/>
          <w:szCs w:val="23"/>
        </w:rPr>
        <w:t>cn</w:t>
      </w:r>
      <w:r>
        <w:rPr>
          <w:rFonts w:ascii="宋体" w:hAnsi="宋体" w:eastAsia="宋体" w:cs="宋体"/>
          <w:spacing w:val="15"/>
          <w:sz w:val="23"/>
          <w:szCs w:val="23"/>
        </w:rPr>
        <w:t>) 查询企业信用信息截图或打印件的扫描件</w:t>
      </w:r>
      <w:r>
        <w:rPr>
          <w:rFonts w:ascii="宋体" w:hAnsi="宋体" w:eastAsia="宋体" w:cs="宋体"/>
          <w:sz w:val="23"/>
          <w:szCs w:val="23"/>
        </w:rPr>
        <w:t xml:space="preserve">  </w:t>
      </w:r>
      <w:r>
        <w:rPr>
          <w:rFonts w:ascii="宋体" w:hAnsi="宋体" w:eastAsia="宋体" w:cs="宋体"/>
          <w:spacing w:val="24"/>
          <w:sz w:val="23"/>
          <w:szCs w:val="23"/>
        </w:rPr>
        <w:t>(</w:t>
      </w:r>
      <w:r>
        <w:rPr>
          <w:rFonts w:ascii="宋体" w:hAnsi="宋体" w:eastAsia="宋体" w:cs="宋体"/>
          <w:spacing w:val="13"/>
          <w:sz w:val="23"/>
          <w:szCs w:val="23"/>
        </w:rPr>
        <w:t>查</w:t>
      </w:r>
      <w:r>
        <w:rPr>
          <w:rFonts w:ascii="宋体" w:hAnsi="宋体" w:eastAsia="宋体" w:cs="宋体"/>
          <w:spacing w:val="12"/>
          <w:sz w:val="23"/>
          <w:szCs w:val="23"/>
        </w:rPr>
        <w:t>询时间：须自招标文件发布之日起至投标文件递交截止时间内)</w:t>
      </w:r>
    </w:p>
    <w:p>
      <w:pPr>
        <w:spacing w:line="256" w:lineRule="auto"/>
        <w:rPr>
          <w:rFonts w:ascii="Arial"/>
          <w:sz w:val="21"/>
        </w:rPr>
      </w:pPr>
    </w:p>
    <w:p>
      <w:pPr>
        <w:spacing w:before="160" w:line="485" w:lineRule="auto"/>
        <w:ind w:left="586" w:right="588" w:firstLine="300"/>
        <w:rPr>
          <w:rFonts w:ascii="宋体" w:hAnsi="宋体" w:eastAsia="宋体" w:cs="宋体"/>
          <w:spacing w:val="12"/>
          <w:sz w:val="23"/>
          <w:szCs w:val="23"/>
        </w:rPr>
      </w:pPr>
    </w:p>
    <w:p>
      <w:pPr>
        <w:spacing w:before="160" w:line="485" w:lineRule="auto"/>
        <w:ind w:left="586" w:right="588" w:firstLine="300"/>
        <w:rPr>
          <w:rFonts w:ascii="宋体" w:hAnsi="宋体" w:eastAsia="宋体" w:cs="宋体"/>
          <w:spacing w:val="12"/>
          <w:sz w:val="23"/>
          <w:szCs w:val="23"/>
        </w:rPr>
      </w:pPr>
      <w:r>
        <w:rPr>
          <w:rFonts w:ascii="宋体" w:hAnsi="宋体" w:eastAsia="宋体" w:cs="宋体"/>
          <w:spacing w:val="12"/>
          <w:sz w:val="23"/>
          <w:szCs w:val="23"/>
        </w:rPr>
        <w:t>说明：</w:t>
      </w:r>
    </w:p>
    <w:p>
      <w:pPr>
        <w:spacing w:before="160" w:line="485" w:lineRule="auto"/>
        <w:ind w:left="586" w:right="588" w:firstLine="300"/>
        <w:rPr>
          <w:rFonts w:ascii="宋体" w:hAnsi="宋体" w:eastAsia="宋体" w:cs="宋体"/>
          <w:spacing w:val="12"/>
          <w:sz w:val="23"/>
          <w:szCs w:val="23"/>
        </w:rPr>
      </w:pPr>
    </w:p>
    <w:p>
      <w:pPr>
        <w:spacing w:before="160" w:line="485" w:lineRule="auto"/>
        <w:ind w:left="586" w:right="588" w:firstLine="300"/>
        <w:rPr>
          <w:rFonts w:ascii="宋体" w:hAnsi="宋体" w:eastAsia="宋体" w:cs="宋体"/>
          <w:spacing w:val="12"/>
          <w:sz w:val="23"/>
          <w:szCs w:val="23"/>
        </w:rPr>
      </w:pPr>
      <w:r>
        <w:rPr>
          <w:rFonts w:ascii="宋体" w:hAnsi="宋体" w:eastAsia="宋体" w:cs="宋体"/>
          <w:spacing w:val="12"/>
          <w:sz w:val="23"/>
          <w:szCs w:val="23"/>
        </w:rPr>
        <w:t>1、如网站查询信息中失信记录已失效，供应商需提供相关证明资料，否则 其资格审查不合格。</w:t>
      </w:r>
    </w:p>
    <w:p>
      <w:pPr>
        <w:spacing w:before="160" w:line="485" w:lineRule="auto"/>
        <w:ind w:left="586" w:right="588" w:firstLine="300"/>
        <w:rPr>
          <w:rFonts w:ascii="宋体" w:hAnsi="宋体" w:eastAsia="宋体" w:cs="宋体"/>
          <w:spacing w:val="12"/>
          <w:sz w:val="23"/>
          <w:szCs w:val="23"/>
        </w:rPr>
      </w:pPr>
      <w:r>
        <w:rPr>
          <w:rFonts w:ascii="宋体" w:hAnsi="宋体" w:eastAsia="宋体" w:cs="宋体"/>
          <w:spacing w:val="12"/>
          <w:sz w:val="23"/>
          <w:szCs w:val="23"/>
        </w:rPr>
        <w:t>2、如为联合体，须附联合体各方的信用证明材料。</w:t>
      </w:r>
    </w:p>
    <w:p>
      <w:pPr>
        <w:sectPr>
          <w:footerReference r:id="rId18" w:type="default"/>
          <w:pgSz w:w="11906" w:h="16839"/>
          <w:pgMar w:top="1117" w:right="1785" w:bottom="1335" w:left="1785" w:header="1108" w:footer="1172" w:gutter="0"/>
          <w:pgNumType w:fmt="decimal"/>
          <w:cols w:space="720" w:num="1"/>
        </w:sectPr>
      </w:pPr>
    </w:p>
    <w:p>
      <w:pPr>
        <w:spacing w:line="401" w:lineRule="auto"/>
        <w:rPr>
          <w:rFonts w:ascii="Arial"/>
          <w:sz w:val="21"/>
        </w:rPr>
      </w:pPr>
    </w:p>
    <w:p>
      <w:pPr>
        <w:spacing w:before="91" w:line="237" w:lineRule="auto"/>
        <w:ind w:left="22"/>
        <w:rPr>
          <w:rFonts w:ascii="宋体" w:hAnsi="宋体" w:eastAsia="宋体" w:cs="宋体"/>
          <w:sz w:val="28"/>
          <w:szCs w:val="28"/>
        </w:rPr>
      </w:pPr>
      <w:bookmarkStart w:id="301" w:name="_bookmark22"/>
      <w:bookmarkEnd w:id="301"/>
      <w:r>
        <w:rPr>
          <w:rFonts w:ascii="宋体" w:hAnsi="宋体" w:eastAsia="宋体" w:cs="宋体"/>
          <w:spacing w:val="-1"/>
          <w:sz w:val="28"/>
          <w:szCs w:val="28"/>
          <w14:textOutline w14:w="5103" w14:cap="sq" w14:cmpd="sng">
            <w14:solidFill>
              <w14:srgbClr w14:val="000000"/>
            </w14:solidFill>
            <w14:prstDash w14:val="solid"/>
            <w14:bevel/>
          </w14:textOutline>
        </w:rPr>
        <w:t>三、商务</w:t>
      </w:r>
      <w:r>
        <w:rPr>
          <w:rFonts w:ascii="宋体" w:hAnsi="宋体" w:eastAsia="宋体" w:cs="宋体"/>
          <w:sz w:val="28"/>
          <w:szCs w:val="28"/>
          <w14:textOutline w14:w="5103" w14:cap="sq" w14:cmpd="sng">
            <w14:solidFill>
              <w14:srgbClr w14:val="000000"/>
            </w14:solidFill>
            <w14:prstDash w14:val="solid"/>
            <w14:bevel/>
          </w14:textOutline>
        </w:rPr>
        <w:t>文件</w:t>
      </w:r>
    </w:p>
    <w:p>
      <w:pPr>
        <w:spacing w:before="75" w:line="364" w:lineRule="auto"/>
        <w:ind w:left="66" w:right="11" w:firstLine="435"/>
        <w:jc w:val="center"/>
        <w:rPr>
          <w:rFonts w:ascii="宋体" w:hAnsi="宋体" w:eastAsia="宋体" w:cs="宋体"/>
          <w:b/>
          <w:bCs/>
          <w:spacing w:val="2"/>
          <w:sz w:val="23"/>
          <w:szCs w:val="23"/>
        </w:rPr>
      </w:pPr>
      <w:bookmarkStart w:id="302" w:name="_bookmark23"/>
      <w:bookmarkEnd w:id="302"/>
      <w:r>
        <w:rPr>
          <w:rFonts w:ascii="宋体" w:hAnsi="宋体" w:eastAsia="宋体" w:cs="宋体"/>
          <w:b/>
          <w:bCs/>
          <w:spacing w:val="2"/>
          <w:sz w:val="23"/>
          <w:szCs w:val="23"/>
        </w:rPr>
        <w:t>( 一 )  ☆投标函</w:t>
      </w:r>
    </w:p>
    <w:p>
      <w:pPr>
        <w:spacing w:line="255" w:lineRule="auto"/>
        <w:rPr>
          <w:rFonts w:ascii="Arial"/>
          <w:sz w:val="21"/>
        </w:rPr>
      </w:pPr>
    </w:p>
    <w:p>
      <w:pPr>
        <w:spacing w:before="74" w:line="242" w:lineRule="auto"/>
        <w:ind w:left="41"/>
        <w:rPr>
          <w:rFonts w:ascii="宋体" w:hAnsi="宋体" w:eastAsia="宋体" w:cs="宋体"/>
          <w:sz w:val="23"/>
          <w:szCs w:val="23"/>
        </w:rPr>
      </w:pPr>
      <w:r>
        <w:rPr>
          <w:rFonts w:ascii="宋体" w:hAnsi="宋体" w:eastAsia="宋体" w:cs="宋体"/>
          <w:sz w:val="23"/>
          <w:szCs w:val="23"/>
        </w:rPr>
        <w:t>：</w:t>
      </w:r>
    </w:p>
    <w:p>
      <w:pPr>
        <w:spacing w:line="250" w:lineRule="auto"/>
        <w:rPr>
          <w:rFonts w:ascii="Arial"/>
          <w:sz w:val="21"/>
        </w:rPr>
      </w:pPr>
    </w:p>
    <w:p>
      <w:pPr>
        <w:spacing w:before="75" w:line="382" w:lineRule="auto"/>
        <w:ind w:left="22" w:firstLine="161"/>
        <w:rPr>
          <w:rFonts w:ascii="宋体" w:hAnsi="宋体" w:eastAsia="宋体" w:cs="宋体"/>
          <w:sz w:val="23"/>
          <w:szCs w:val="23"/>
        </w:rPr>
      </w:pPr>
      <w:r>
        <w:rPr>
          <w:rFonts w:ascii="宋体" w:hAnsi="宋体" w:eastAsia="宋体" w:cs="宋体"/>
          <w:spacing w:val="16"/>
          <w:sz w:val="23"/>
          <w:szCs w:val="23"/>
        </w:rPr>
        <w:t>(供</w:t>
      </w:r>
      <w:r>
        <w:rPr>
          <w:rFonts w:ascii="宋体" w:hAnsi="宋体" w:eastAsia="宋体" w:cs="宋体"/>
          <w:spacing w:val="15"/>
          <w:sz w:val="23"/>
          <w:szCs w:val="23"/>
        </w:rPr>
        <w:t>应</w:t>
      </w:r>
      <w:r>
        <w:rPr>
          <w:rFonts w:ascii="宋体" w:hAnsi="宋体" w:eastAsia="宋体" w:cs="宋体"/>
          <w:spacing w:val="8"/>
          <w:sz w:val="23"/>
          <w:szCs w:val="23"/>
        </w:rPr>
        <w:t>商名称)授权(供应商授权代理人姓名)(职务、职称)为我方代表，参加贵</w:t>
      </w:r>
      <w:r>
        <w:rPr>
          <w:rFonts w:ascii="宋体" w:hAnsi="宋体" w:eastAsia="宋体" w:cs="宋体"/>
          <w:sz w:val="23"/>
          <w:szCs w:val="23"/>
        </w:rPr>
        <w:t xml:space="preserve"> </w:t>
      </w:r>
      <w:r>
        <w:rPr>
          <w:rFonts w:ascii="宋体" w:hAnsi="宋体" w:eastAsia="宋体" w:cs="宋体"/>
          <w:spacing w:val="6"/>
          <w:sz w:val="23"/>
          <w:szCs w:val="23"/>
        </w:rPr>
        <w:t>方组织的 (项目名称、项目编号、包号)招标的有关活动，并对此项目进行投标</w:t>
      </w:r>
      <w:r>
        <w:rPr>
          <w:rFonts w:ascii="宋体" w:hAnsi="宋体" w:eastAsia="宋体" w:cs="宋体"/>
          <w:sz w:val="23"/>
          <w:szCs w:val="23"/>
        </w:rPr>
        <w:t xml:space="preserve">。 </w:t>
      </w:r>
      <w:r>
        <w:rPr>
          <w:rFonts w:ascii="宋体" w:hAnsi="宋体" w:eastAsia="宋体" w:cs="宋体"/>
          <w:spacing w:val="3"/>
          <w:sz w:val="23"/>
          <w:szCs w:val="23"/>
        </w:rPr>
        <w:t>为此：</w:t>
      </w:r>
    </w:p>
    <w:p>
      <w:pPr>
        <w:spacing w:before="135" w:line="383" w:lineRule="auto"/>
        <w:ind w:left="21" w:right="80" w:firstLine="497"/>
        <w:rPr>
          <w:rFonts w:ascii="宋体" w:hAnsi="宋体" w:eastAsia="宋体" w:cs="宋体"/>
          <w:sz w:val="23"/>
          <w:szCs w:val="23"/>
        </w:rPr>
      </w:pPr>
      <w:r>
        <w:rPr>
          <w:rFonts w:ascii="宋体" w:hAnsi="宋体" w:eastAsia="宋体" w:cs="宋体"/>
          <w:spacing w:val="10"/>
          <w:sz w:val="23"/>
          <w:szCs w:val="23"/>
        </w:rPr>
        <w:t>1、我方同意在本项目招标文件中规定的投标有效期内遵守本投标文件中</w:t>
      </w:r>
      <w:r>
        <w:rPr>
          <w:rFonts w:ascii="宋体" w:hAnsi="宋体" w:eastAsia="宋体" w:cs="宋体"/>
          <w:spacing w:val="9"/>
          <w:sz w:val="23"/>
          <w:szCs w:val="23"/>
        </w:rPr>
        <w:t>的</w:t>
      </w:r>
      <w:r>
        <w:rPr>
          <w:rFonts w:ascii="宋体" w:hAnsi="宋体" w:eastAsia="宋体" w:cs="宋体"/>
          <w:sz w:val="23"/>
          <w:szCs w:val="23"/>
        </w:rPr>
        <w:t xml:space="preserve"> </w:t>
      </w:r>
      <w:r>
        <w:rPr>
          <w:rFonts w:ascii="宋体" w:hAnsi="宋体" w:eastAsia="宋体" w:cs="宋体"/>
          <w:spacing w:val="9"/>
          <w:sz w:val="23"/>
          <w:szCs w:val="23"/>
        </w:rPr>
        <w:t>承诺且在此期限期满之前均具有约束力</w:t>
      </w:r>
      <w:r>
        <w:rPr>
          <w:rFonts w:ascii="宋体" w:hAnsi="宋体" w:eastAsia="宋体" w:cs="宋体"/>
          <w:spacing w:val="7"/>
          <w:sz w:val="23"/>
          <w:szCs w:val="23"/>
        </w:rPr>
        <w:t>。</w:t>
      </w:r>
    </w:p>
    <w:p>
      <w:pPr>
        <w:spacing w:before="143" w:line="383" w:lineRule="auto"/>
        <w:ind w:left="19" w:right="80" w:firstLine="484"/>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我方承诺已经具备《中华人民共和国政府采购法》中规定的参加政府采</w:t>
      </w:r>
      <w:r>
        <w:rPr>
          <w:rFonts w:ascii="宋体" w:hAnsi="宋体" w:eastAsia="宋体" w:cs="宋体"/>
          <w:sz w:val="23"/>
          <w:szCs w:val="23"/>
        </w:rPr>
        <w:t xml:space="preserve"> </w:t>
      </w:r>
      <w:r>
        <w:rPr>
          <w:rFonts w:ascii="宋体" w:hAnsi="宋体" w:eastAsia="宋体" w:cs="宋体"/>
          <w:spacing w:val="9"/>
          <w:sz w:val="23"/>
          <w:szCs w:val="23"/>
        </w:rPr>
        <w:t>购活动的供应商应当具备的条件</w:t>
      </w:r>
      <w:r>
        <w:rPr>
          <w:rFonts w:ascii="宋体" w:hAnsi="宋体" w:eastAsia="宋体" w:cs="宋体"/>
          <w:spacing w:val="6"/>
          <w:sz w:val="23"/>
          <w:szCs w:val="23"/>
        </w:rPr>
        <w:t>：</w:t>
      </w:r>
    </w:p>
    <w:p>
      <w:pPr>
        <w:spacing w:before="143" w:line="224" w:lineRule="auto"/>
        <w:ind w:left="518"/>
        <w:rPr>
          <w:rFonts w:ascii="宋体" w:hAnsi="宋体" w:eastAsia="宋体" w:cs="宋体"/>
          <w:sz w:val="23"/>
          <w:szCs w:val="23"/>
        </w:rPr>
      </w:pPr>
      <w:r>
        <w:rPr>
          <w:rFonts w:ascii="宋体" w:hAnsi="宋体" w:eastAsia="宋体" w:cs="宋体"/>
          <w:spacing w:val="7"/>
          <w:sz w:val="23"/>
          <w:szCs w:val="23"/>
        </w:rPr>
        <w:t>1) 具有独立承担民事责任的能力</w:t>
      </w:r>
      <w:r>
        <w:rPr>
          <w:rFonts w:ascii="宋体" w:hAnsi="宋体" w:eastAsia="宋体" w:cs="宋体"/>
          <w:spacing w:val="5"/>
          <w:sz w:val="23"/>
          <w:szCs w:val="23"/>
        </w:rPr>
        <w:t>；</w:t>
      </w:r>
    </w:p>
    <w:p>
      <w:pPr>
        <w:spacing w:line="270" w:lineRule="auto"/>
        <w:rPr>
          <w:rFonts w:ascii="Arial"/>
          <w:sz w:val="21"/>
        </w:rPr>
      </w:pPr>
    </w:p>
    <w:p>
      <w:pPr>
        <w:spacing w:before="75" w:line="224" w:lineRule="auto"/>
        <w:ind w:left="50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 具有良好的商业信誉和健全的财务会计制度；</w:t>
      </w:r>
    </w:p>
    <w:p>
      <w:pPr>
        <w:spacing w:line="273" w:lineRule="auto"/>
        <w:rPr>
          <w:rFonts w:ascii="Arial"/>
          <w:sz w:val="21"/>
        </w:rPr>
      </w:pPr>
    </w:p>
    <w:p>
      <w:pPr>
        <w:spacing w:before="75" w:line="225" w:lineRule="auto"/>
        <w:ind w:left="505"/>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 具有履行合同所必需的设备和专业技术能力；</w:t>
      </w:r>
    </w:p>
    <w:p>
      <w:pPr>
        <w:spacing w:line="271" w:lineRule="auto"/>
        <w:rPr>
          <w:rFonts w:ascii="Arial"/>
          <w:sz w:val="21"/>
        </w:rPr>
      </w:pPr>
    </w:p>
    <w:p>
      <w:pPr>
        <w:spacing w:before="76" w:line="224" w:lineRule="auto"/>
        <w:ind w:left="500"/>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2"/>
          <w:sz w:val="23"/>
          <w:szCs w:val="23"/>
        </w:rPr>
        <w:t>)</w:t>
      </w:r>
      <w:r>
        <w:rPr>
          <w:rFonts w:ascii="宋体" w:hAnsi="宋体" w:eastAsia="宋体" w:cs="宋体"/>
          <w:spacing w:val="8"/>
          <w:sz w:val="23"/>
          <w:szCs w:val="23"/>
        </w:rPr>
        <w:t xml:space="preserve"> 有依法缴纳税收和社会保障资金的良好记录；</w:t>
      </w:r>
    </w:p>
    <w:p>
      <w:pPr>
        <w:spacing w:line="270" w:lineRule="auto"/>
        <w:rPr>
          <w:rFonts w:ascii="Arial"/>
          <w:sz w:val="21"/>
        </w:rPr>
      </w:pPr>
    </w:p>
    <w:p>
      <w:pPr>
        <w:spacing w:before="75" w:line="227" w:lineRule="auto"/>
        <w:ind w:left="505"/>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14"/>
          <w:sz w:val="23"/>
          <w:szCs w:val="23"/>
        </w:rPr>
        <w:t xml:space="preserve"> </w:t>
      </w:r>
      <w:r>
        <w:rPr>
          <w:rFonts w:ascii="宋体" w:hAnsi="宋体" w:eastAsia="宋体" w:cs="宋体"/>
          <w:spacing w:val="8"/>
          <w:sz w:val="23"/>
          <w:szCs w:val="23"/>
        </w:rPr>
        <w:t>参加此项采购活动前三年内，在经营活动中没有重大违法记录；</w:t>
      </w:r>
    </w:p>
    <w:p>
      <w:pPr>
        <w:spacing w:line="270" w:lineRule="auto"/>
        <w:rPr>
          <w:rFonts w:ascii="Arial"/>
          <w:sz w:val="21"/>
        </w:rPr>
      </w:pPr>
    </w:p>
    <w:p>
      <w:pPr>
        <w:spacing w:before="75" w:line="227" w:lineRule="auto"/>
        <w:ind w:left="502"/>
        <w:rPr>
          <w:rFonts w:ascii="宋体" w:hAnsi="宋体" w:eastAsia="宋体" w:cs="宋体"/>
          <w:sz w:val="23"/>
          <w:szCs w:val="23"/>
        </w:rPr>
      </w:pPr>
      <w:r>
        <w:rPr>
          <w:rFonts w:ascii="宋体" w:hAnsi="宋体" w:eastAsia="宋体" w:cs="宋体"/>
          <w:spacing w:val="8"/>
          <w:sz w:val="23"/>
          <w:szCs w:val="23"/>
        </w:rPr>
        <w:t>6) 法律、行政法规规定的其他条件</w:t>
      </w:r>
      <w:r>
        <w:rPr>
          <w:rFonts w:ascii="宋体" w:hAnsi="宋体" w:eastAsia="宋体" w:cs="宋体"/>
          <w:spacing w:val="7"/>
          <w:sz w:val="23"/>
          <w:szCs w:val="23"/>
        </w:rPr>
        <w:t>。</w:t>
      </w:r>
    </w:p>
    <w:p>
      <w:pPr>
        <w:spacing w:line="269" w:lineRule="auto"/>
        <w:rPr>
          <w:rFonts w:ascii="Arial"/>
          <w:sz w:val="21"/>
        </w:rPr>
      </w:pPr>
    </w:p>
    <w:p>
      <w:pPr>
        <w:spacing w:before="75" w:line="309" w:lineRule="exact"/>
        <w:ind w:left="505"/>
        <w:rPr>
          <w:rFonts w:ascii="宋体" w:hAnsi="宋体" w:eastAsia="宋体" w:cs="宋体"/>
          <w:sz w:val="23"/>
          <w:szCs w:val="23"/>
        </w:rPr>
      </w:pPr>
      <w:r>
        <w:rPr>
          <w:rFonts w:ascii="宋体" w:hAnsi="宋体" w:eastAsia="宋体" w:cs="宋体"/>
          <w:spacing w:val="20"/>
          <w:position w:val="1"/>
          <w:sz w:val="23"/>
          <w:szCs w:val="23"/>
        </w:rPr>
        <w:t>3</w:t>
      </w:r>
      <w:r>
        <w:rPr>
          <w:rFonts w:ascii="宋体" w:hAnsi="宋体" w:eastAsia="宋体" w:cs="宋体"/>
          <w:spacing w:val="11"/>
          <w:position w:val="1"/>
          <w:sz w:val="23"/>
          <w:szCs w:val="23"/>
        </w:rPr>
        <w:t>、</w:t>
      </w:r>
      <w:r>
        <w:rPr>
          <w:rFonts w:ascii="宋体" w:hAnsi="宋体" w:eastAsia="宋体" w:cs="宋体"/>
          <w:spacing w:val="10"/>
          <w:position w:val="1"/>
          <w:sz w:val="23"/>
          <w:szCs w:val="23"/>
        </w:rPr>
        <w:t>提供供应商须知规定的全部投标文件，包括在新疆政采云平台上传加密</w:t>
      </w:r>
    </w:p>
    <w:p>
      <w:pPr>
        <w:spacing w:before="160" w:line="227" w:lineRule="auto"/>
        <w:ind w:left="49"/>
        <w:rPr>
          <w:rFonts w:ascii="宋体" w:hAnsi="宋体" w:eastAsia="宋体" w:cs="宋体"/>
          <w:sz w:val="23"/>
          <w:szCs w:val="23"/>
        </w:rPr>
      </w:pPr>
      <w:r>
        <w:rPr>
          <w:rFonts w:ascii="宋体" w:hAnsi="宋体" w:eastAsia="宋体" w:cs="宋体"/>
          <w:spacing w:val="4"/>
          <w:sz w:val="23"/>
          <w:szCs w:val="23"/>
        </w:rPr>
        <w:t>电</w:t>
      </w:r>
      <w:r>
        <w:rPr>
          <w:rFonts w:ascii="宋体" w:hAnsi="宋体" w:eastAsia="宋体" w:cs="宋体"/>
          <w:spacing w:val="3"/>
          <w:sz w:val="23"/>
          <w:szCs w:val="23"/>
        </w:rPr>
        <w:t>子投标文件。</w:t>
      </w:r>
    </w:p>
    <w:p>
      <w:pPr>
        <w:spacing w:line="265" w:lineRule="auto"/>
        <w:rPr>
          <w:rFonts w:ascii="Arial"/>
          <w:sz w:val="21"/>
        </w:rPr>
      </w:pPr>
    </w:p>
    <w:p>
      <w:pPr>
        <w:spacing w:before="75" w:line="385" w:lineRule="auto"/>
        <w:ind w:left="20" w:right="80" w:firstLine="480"/>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7"/>
          <w:sz w:val="23"/>
          <w:szCs w:val="23"/>
        </w:rPr>
        <w:t>、</w:t>
      </w:r>
      <w:r>
        <w:rPr>
          <w:rFonts w:ascii="宋体" w:hAnsi="宋体" w:eastAsia="宋体" w:cs="宋体"/>
          <w:spacing w:val="10"/>
          <w:sz w:val="23"/>
          <w:szCs w:val="23"/>
        </w:rPr>
        <w:t>按招标文件要求提供和交付的货物及相关服务的投标报价详见开标一览</w:t>
      </w:r>
      <w:r>
        <w:rPr>
          <w:rFonts w:ascii="宋体" w:hAnsi="宋体" w:eastAsia="宋体" w:cs="宋体"/>
          <w:sz w:val="23"/>
          <w:szCs w:val="23"/>
        </w:rPr>
        <w:t xml:space="preserve"> </w:t>
      </w:r>
      <w:r>
        <w:rPr>
          <w:rFonts w:ascii="宋体" w:hAnsi="宋体" w:eastAsia="宋体" w:cs="宋体"/>
          <w:spacing w:val="1"/>
          <w:sz w:val="23"/>
          <w:szCs w:val="23"/>
        </w:rPr>
        <w:t>表</w:t>
      </w:r>
      <w:r>
        <w:rPr>
          <w:rFonts w:ascii="宋体" w:hAnsi="宋体" w:eastAsia="宋体" w:cs="宋体"/>
          <w:sz w:val="23"/>
          <w:szCs w:val="23"/>
        </w:rPr>
        <w:t>。</w:t>
      </w:r>
    </w:p>
    <w:p>
      <w:pPr>
        <w:spacing w:before="139" w:line="308" w:lineRule="exact"/>
        <w:ind w:left="505"/>
        <w:rPr>
          <w:rFonts w:ascii="宋体" w:hAnsi="宋体" w:eastAsia="宋体" w:cs="宋体"/>
          <w:sz w:val="23"/>
          <w:szCs w:val="23"/>
        </w:rPr>
      </w:pPr>
      <w:r>
        <w:rPr>
          <w:rFonts w:ascii="宋体" w:hAnsi="宋体" w:eastAsia="宋体" w:cs="宋体"/>
          <w:spacing w:val="11"/>
          <w:position w:val="1"/>
          <w:sz w:val="23"/>
          <w:szCs w:val="23"/>
        </w:rPr>
        <w:t>5</w:t>
      </w:r>
      <w:r>
        <w:rPr>
          <w:rFonts w:ascii="宋体" w:hAnsi="宋体" w:eastAsia="宋体" w:cs="宋体"/>
          <w:spacing w:val="9"/>
          <w:position w:val="1"/>
          <w:sz w:val="23"/>
          <w:szCs w:val="23"/>
        </w:rPr>
        <w:t>、保证忠实地执行双方所签订的合同，并承担合同规定的责任和义务。</w:t>
      </w:r>
    </w:p>
    <w:p>
      <w:pPr>
        <w:spacing w:line="244" w:lineRule="auto"/>
        <w:rPr>
          <w:rFonts w:ascii="Arial"/>
          <w:sz w:val="21"/>
        </w:rPr>
      </w:pPr>
    </w:p>
    <w:p>
      <w:pPr>
        <w:spacing w:before="75" w:line="384" w:lineRule="auto"/>
        <w:ind w:left="47" w:right="18" w:firstLine="455"/>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w:t>
      </w:r>
      <w:r>
        <w:rPr>
          <w:rFonts w:ascii="宋体" w:hAnsi="宋体" w:eastAsia="宋体" w:cs="宋体"/>
          <w:spacing w:val="5"/>
          <w:sz w:val="23"/>
          <w:szCs w:val="23"/>
        </w:rPr>
        <w:t>我方承诺完全满足和响应招标文件中的各项技术和服务要求，若有偏差，</w:t>
      </w:r>
      <w:r>
        <w:rPr>
          <w:rFonts w:ascii="宋体" w:hAnsi="宋体" w:eastAsia="宋体" w:cs="宋体"/>
          <w:sz w:val="23"/>
          <w:szCs w:val="23"/>
        </w:rPr>
        <w:t xml:space="preserve"> </w:t>
      </w:r>
      <w:r>
        <w:rPr>
          <w:rFonts w:ascii="宋体" w:hAnsi="宋体" w:eastAsia="宋体" w:cs="宋体"/>
          <w:spacing w:val="14"/>
          <w:sz w:val="23"/>
          <w:szCs w:val="23"/>
        </w:rPr>
        <w:t>已</w:t>
      </w:r>
      <w:r>
        <w:rPr>
          <w:rFonts w:ascii="宋体" w:hAnsi="宋体" w:eastAsia="宋体" w:cs="宋体"/>
          <w:spacing w:val="11"/>
          <w:sz w:val="23"/>
          <w:szCs w:val="23"/>
        </w:rPr>
        <w:t>在</w:t>
      </w:r>
      <w:r>
        <w:rPr>
          <w:rFonts w:ascii="宋体" w:hAnsi="宋体" w:eastAsia="宋体" w:cs="宋体"/>
          <w:spacing w:val="7"/>
          <w:sz w:val="23"/>
          <w:szCs w:val="23"/>
        </w:rPr>
        <w:t>投标文件偏离表中予以明确特别说明。</w:t>
      </w:r>
    </w:p>
    <w:p>
      <w:pPr>
        <w:spacing w:before="138" w:line="308" w:lineRule="exact"/>
        <w:ind w:left="506"/>
        <w:rPr>
          <w:rFonts w:ascii="宋体" w:hAnsi="宋体" w:eastAsia="宋体" w:cs="宋体"/>
          <w:sz w:val="23"/>
          <w:szCs w:val="23"/>
        </w:rPr>
      </w:pPr>
      <w:r>
        <w:rPr>
          <w:rFonts w:ascii="宋体" w:hAnsi="宋体" w:eastAsia="宋体" w:cs="宋体"/>
          <w:spacing w:val="9"/>
          <w:position w:val="1"/>
          <w:sz w:val="23"/>
          <w:szCs w:val="23"/>
        </w:rPr>
        <w:t>7、我方承诺：完全理解投标报价若超过项目预算时，投标将被拒绝。</w:t>
      </w:r>
    </w:p>
    <w:p>
      <w:pPr>
        <w:sectPr>
          <w:headerReference r:id="rId19" w:type="default"/>
          <w:footerReference r:id="rId20" w:type="default"/>
          <w:pgSz w:w="11906" w:h="16839"/>
          <w:pgMar w:top="1117" w:right="1716" w:bottom="1335" w:left="1785" w:header="1108" w:footer="1172" w:gutter="0"/>
          <w:pgNumType w:fmt="decimal"/>
          <w:cols w:space="720" w:num="1"/>
        </w:sectPr>
      </w:pPr>
    </w:p>
    <w:p>
      <w:pPr>
        <w:spacing w:line="359" w:lineRule="auto"/>
        <w:rPr>
          <w:rFonts w:ascii="Arial"/>
          <w:sz w:val="21"/>
        </w:rPr>
      </w:pPr>
    </w:p>
    <w:p>
      <w:pPr>
        <w:spacing w:before="75" w:line="384" w:lineRule="auto"/>
        <w:ind w:left="22" w:right="61" w:firstLine="479"/>
        <w:rPr>
          <w:rFonts w:ascii="宋体" w:hAnsi="宋体" w:eastAsia="宋体" w:cs="宋体"/>
          <w:sz w:val="23"/>
          <w:szCs w:val="23"/>
        </w:rPr>
      </w:pPr>
      <w:r>
        <w:rPr>
          <w:rFonts w:ascii="宋体" w:hAnsi="宋体" w:eastAsia="宋体" w:cs="宋体"/>
          <w:spacing w:val="20"/>
          <w:sz w:val="23"/>
          <w:szCs w:val="23"/>
        </w:rPr>
        <w:t>8</w:t>
      </w:r>
      <w:r>
        <w:rPr>
          <w:rFonts w:ascii="宋体" w:hAnsi="宋体" w:eastAsia="宋体" w:cs="宋体"/>
          <w:spacing w:val="15"/>
          <w:sz w:val="23"/>
          <w:szCs w:val="23"/>
        </w:rPr>
        <w:t>、</w:t>
      </w:r>
      <w:r>
        <w:rPr>
          <w:rFonts w:ascii="宋体" w:hAnsi="宋体" w:eastAsia="宋体" w:cs="宋体"/>
          <w:spacing w:val="10"/>
          <w:sz w:val="23"/>
          <w:szCs w:val="23"/>
        </w:rPr>
        <w:t>我方承诺：与在本项目中设计编制技术规格的机构及其附属机构无任何</w:t>
      </w:r>
      <w:r>
        <w:rPr>
          <w:rFonts w:ascii="宋体" w:hAnsi="宋体" w:eastAsia="宋体" w:cs="宋体"/>
          <w:sz w:val="23"/>
          <w:szCs w:val="23"/>
        </w:rPr>
        <w:t xml:space="preserve"> </w:t>
      </w:r>
      <w:r>
        <w:rPr>
          <w:rFonts w:ascii="宋体" w:hAnsi="宋体" w:eastAsia="宋体" w:cs="宋体"/>
          <w:spacing w:val="10"/>
          <w:sz w:val="23"/>
          <w:szCs w:val="23"/>
        </w:rPr>
        <w:t>直</w:t>
      </w:r>
      <w:r>
        <w:rPr>
          <w:rFonts w:ascii="宋体" w:hAnsi="宋体" w:eastAsia="宋体" w:cs="宋体"/>
          <w:spacing w:val="8"/>
          <w:sz w:val="23"/>
          <w:szCs w:val="23"/>
        </w:rPr>
        <w:t>接隶属关系和利益关联。</w:t>
      </w:r>
    </w:p>
    <w:p>
      <w:pPr>
        <w:spacing w:before="140" w:line="384" w:lineRule="auto"/>
        <w:ind w:left="22" w:right="61" w:firstLine="480"/>
        <w:rPr>
          <w:rFonts w:ascii="宋体" w:hAnsi="宋体" w:eastAsia="宋体" w:cs="宋体"/>
          <w:sz w:val="23"/>
          <w:szCs w:val="23"/>
        </w:rPr>
      </w:pPr>
      <w:r>
        <w:rPr>
          <w:rFonts w:ascii="宋体" w:hAnsi="宋体" w:eastAsia="宋体" w:cs="宋体"/>
          <w:spacing w:val="20"/>
          <w:sz w:val="23"/>
          <w:szCs w:val="23"/>
        </w:rPr>
        <w:t>9</w:t>
      </w:r>
      <w:r>
        <w:rPr>
          <w:rFonts w:ascii="宋体" w:hAnsi="宋体" w:eastAsia="宋体" w:cs="宋体"/>
          <w:spacing w:val="15"/>
          <w:sz w:val="23"/>
          <w:szCs w:val="23"/>
        </w:rPr>
        <w:t>、</w:t>
      </w:r>
      <w:r>
        <w:rPr>
          <w:rFonts w:ascii="宋体" w:hAnsi="宋体" w:eastAsia="宋体" w:cs="宋体"/>
          <w:spacing w:val="10"/>
          <w:sz w:val="23"/>
          <w:szCs w:val="23"/>
        </w:rPr>
        <w:t>如果在开标后规定的投标有效期内撤回投标，我方的投标保证金可被贵</w:t>
      </w:r>
      <w:r>
        <w:rPr>
          <w:rFonts w:ascii="宋体" w:hAnsi="宋体" w:eastAsia="宋体" w:cs="宋体"/>
          <w:sz w:val="23"/>
          <w:szCs w:val="23"/>
        </w:rPr>
        <w:t xml:space="preserve"> </w:t>
      </w:r>
      <w:r>
        <w:rPr>
          <w:rFonts w:ascii="宋体" w:hAnsi="宋体" w:eastAsia="宋体" w:cs="宋体"/>
          <w:spacing w:val="5"/>
          <w:sz w:val="23"/>
          <w:szCs w:val="23"/>
        </w:rPr>
        <w:t>方没收</w:t>
      </w:r>
      <w:r>
        <w:rPr>
          <w:rFonts w:ascii="宋体" w:hAnsi="宋体" w:eastAsia="宋体" w:cs="宋体"/>
          <w:spacing w:val="4"/>
          <w:sz w:val="23"/>
          <w:szCs w:val="23"/>
        </w:rPr>
        <w:t>。</w:t>
      </w:r>
    </w:p>
    <w:p>
      <w:pPr>
        <w:spacing w:before="140" w:line="308" w:lineRule="exact"/>
        <w:ind w:left="51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4"/>
          <w:position w:val="1"/>
          <w:sz w:val="23"/>
          <w:szCs w:val="23"/>
        </w:rPr>
        <w:t>0</w:t>
      </w:r>
      <w:r>
        <w:rPr>
          <w:rFonts w:ascii="宋体" w:hAnsi="宋体" w:eastAsia="宋体" w:cs="宋体"/>
          <w:spacing w:val="8"/>
          <w:position w:val="1"/>
          <w:sz w:val="23"/>
          <w:szCs w:val="23"/>
        </w:rPr>
        <w:t>、我方完全理解贵方不一定接受最低价的投标或收到的任何投标。</w:t>
      </w:r>
    </w:p>
    <w:p>
      <w:pPr>
        <w:spacing w:line="243" w:lineRule="auto"/>
        <w:rPr>
          <w:rFonts w:ascii="Arial"/>
          <w:sz w:val="21"/>
        </w:rPr>
      </w:pPr>
    </w:p>
    <w:p>
      <w:pPr>
        <w:spacing w:before="75" w:line="379" w:lineRule="auto"/>
        <w:ind w:left="19" w:right="12" w:firstLine="49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1</w:t>
      </w:r>
      <w:r>
        <w:rPr>
          <w:rFonts w:ascii="宋体" w:hAnsi="宋体" w:eastAsia="宋体" w:cs="宋体"/>
          <w:spacing w:val="6"/>
          <w:sz w:val="23"/>
          <w:szCs w:val="23"/>
        </w:rPr>
        <w:t>、我方承诺：投标文件所提供的一切资料及新疆政府采购网政采云平台申</w:t>
      </w:r>
      <w:r>
        <w:rPr>
          <w:rFonts w:ascii="宋体" w:hAnsi="宋体" w:eastAsia="宋体" w:cs="宋体"/>
          <w:sz w:val="23"/>
          <w:szCs w:val="23"/>
        </w:rPr>
        <w:t xml:space="preserve"> </w:t>
      </w:r>
      <w:r>
        <w:rPr>
          <w:rFonts w:ascii="宋体" w:hAnsi="宋体" w:eastAsia="宋体" w:cs="宋体"/>
          <w:spacing w:val="14"/>
          <w:sz w:val="23"/>
          <w:szCs w:val="23"/>
        </w:rPr>
        <w:t>报</w:t>
      </w:r>
      <w:r>
        <w:rPr>
          <w:rFonts w:ascii="宋体" w:hAnsi="宋体" w:eastAsia="宋体" w:cs="宋体"/>
          <w:spacing w:val="8"/>
          <w:sz w:val="23"/>
          <w:szCs w:val="23"/>
        </w:rPr>
        <w:t>资</w:t>
      </w:r>
      <w:r>
        <w:rPr>
          <w:rFonts w:ascii="宋体" w:hAnsi="宋体" w:eastAsia="宋体" w:cs="宋体"/>
          <w:spacing w:val="7"/>
          <w:sz w:val="23"/>
          <w:szCs w:val="23"/>
        </w:rPr>
        <w:t>料均真实、及时、有效。由于我方提供资料不实而造成的责任和后果由我方</w:t>
      </w:r>
      <w:r>
        <w:rPr>
          <w:rFonts w:ascii="宋体" w:hAnsi="宋体" w:eastAsia="宋体" w:cs="宋体"/>
          <w:sz w:val="23"/>
          <w:szCs w:val="23"/>
        </w:rPr>
        <w:t xml:space="preserve"> </w:t>
      </w:r>
      <w:r>
        <w:rPr>
          <w:rFonts w:ascii="宋体" w:hAnsi="宋体" w:eastAsia="宋体" w:cs="宋体"/>
          <w:spacing w:val="16"/>
          <w:sz w:val="23"/>
          <w:szCs w:val="23"/>
        </w:rPr>
        <w:t>承担</w:t>
      </w:r>
      <w:r>
        <w:rPr>
          <w:rFonts w:ascii="宋体" w:hAnsi="宋体" w:eastAsia="宋体" w:cs="宋体"/>
          <w:spacing w:val="14"/>
          <w:sz w:val="23"/>
          <w:szCs w:val="23"/>
        </w:rPr>
        <w:t>。</w:t>
      </w:r>
      <w:r>
        <w:rPr>
          <w:rFonts w:ascii="宋体" w:hAnsi="宋体" w:eastAsia="宋体" w:cs="宋体"/>
          <w:spacing w:val="8"/>
          <w:sz w:val="23"/>
          <w:szCs w:val="23"/>
        </w:rPr>
        <w:t>我方同意按照贵方提出的要求，向贵方提供任何与本项投标有关的数据、</w:t>
      </w:r>
      <w:r>
        <w:rPr>
          <w:rFonts w:ascii="宋体" w:hAnsi="宋体" w:eastAsia="宋体" w:cs="宋体"/>
          <w:sz w:val="23"/>
          <w:szCs w:val="23"/>
        </w:rPr>
        <w:t xml:space="preserve"> </w:t>
      </w:r>
      <w:r>
        <w:rPr>
          <w:rFonts w:ascii="宋体" w:hAnsi="宋体" w:eastAsia="宋体" w:cs="宋体"/>
          <w:spacing w:val="16"/>
          <w:sz w:val="23"/>
          <w:szCs w:val="23"/>
        </w:rPr>
        <w:t>情况</w:t>
      </w:r>
      <w:r>
        <w:rPr>
          <w:rFonts w:ascii="宋体" w:hAnsi="宋体" w:eastAsia="宋体" w:cs="宋体"/>
          <w:spacing w:val="14"/>
          <w:sz w:val="23"/>
          <w:szCs w:val="23"/>
        </w:rPr>
        <w:t>和</w:t>
      </w:r>
      <w:r>
        <w:rPr>
          <w:rFonts w:ascii="宋体" w:hAnsi="宋体" w:eastAsia="宋体" w:cs="宋体"/>
          <w:spacing w:val="8"/>
          <w:sz w:val="23"/>
          <w:szCs w:val="23"/>
        </w:rPr>
        <w:t>技术资料。若贵方需要，我方愿意提供我方作出的一切承诺的证明材料。</w:t>
      </w:r>
    </w:p>
    <w:p>
      <w:pPr>
        <w:spacing w:before="142" w:line="383" w:lineRule="auto"/>
        <w:ind w:left="21" w:right="61" w:firstLine="497"/>
        <w:rPr>
          <w:rFonts w:ascii="宋体" w:hAnsi="宋体" w:eastAsia="宋体" w:cs="宋体"/>
          <w:sz w:val="23"/>
          <w:szCs w:val="23"/>
        </w:rPr>
      </w:pPr>
      <w:r>
        <w:rPr>
          <w:rFonts w:ascii="宋体" w:hAnsi="宋体" w:eastAsia="宋体" w:cs="宋体"/>
          <w:spacing w:val="6"/>
          <w:sz w:val="23"/>
          <w:szCs w:val="23"/>
        </w:rPr>
        <w:t>12、我方已详细审核全部投标文件，包括投标文件修改书 (如有的话) 、</w:t>
      </w:r>
      <w:r>
        <w:rPr>
          <w:rFonts w:ascii="宋体" w:hAnsi="宋体" w:eastAsia="宋体" w:cs="宋体"/>
          <w:spacing w:val="4"/>
          <w:sz w:val="23"/>
          <w:szCs w:val="23"/>
        </w:rPr>
        <w:t>参</w:t>
      </w:r>
      <w:r>
        <w:rPr>
          <w:rFonts w:ascii="宋体" w:hAnsi="宋体" w:eastAsia="宋体" w:cs="宋体"/>
          <w:sz w:val="23"/>
          <w:szCs w:val="23"/>
        </w:rPr>
        <w:t xml:space="preserve"> </w:t>
      </w:r>
      <w:r>
        <w:rPr>
          <w:rFonts w:ascii="宋体" w:hAnsi="宋体" w:eastAsia="宋体" w:cs="宋体"/>
          <w:spacing w:val="16"/>
          <w:sz w:val="23"/>
          <w:szCs w:val="23"/>
        </w:rPr>
        <w:t>考</w:t>
      </w:r>
      <w:r>
        <w:rPr>
          <w:rFonts w:ascii="宋体" w:hAnsi="宋体" w:eastAsia="宋体" w:cs="宋体"/>
          <w:spacing w:val="8"/>
          <w:sz w:val="23"/>
          <w:szCs w:val="23"/>
        </w:rPr>
        <w:t>资料及有关附件，确认无误。</w:t>
      </w:r>
    </w:p>
    <w:p>
      <w:pPr>
        <w:spacing w:before="142" w:line="382" w:lineRule="auto"/>
        <w:ind w:left="20" w:firstLine="498"/>
        <w:rPr>
          <w:rFonts w:ascii="宋体" w:hAnsi="宋体" w:eastAsia="宋体" w:cs="宋体"/>
          <w:sz w:val="23"/>
          <w:szCs w:val="23"/>
        </w:rPr>
      </w:pPr>
      <w:r>
        <w:rPr>
          <w:rFonts w:ascii="宋体" w:hAnsi="宋体" w:eastAsia="宋体" w:cs="宋体"/>
          <w:spacing w:val="2"/>
          <w:sz w:val="23"/>
          <w:szCs w:val="23"/>
        </w:rPr>
        <w:t>13、我方承诺：采购</w:t>
      </w:r>
      <w:r>
        <w:rPr>
          <w:rFonts w:ascii="宋体" w:hAnsi="宋体" w:eastAsia="宋体" w:cs="宋体"/>
          <w:spacing w:val="1"/>
          <w:sz w:val="23"/>
          <w:szCs w:val="23"/>
        </w:rPr>
        <w:t>人若需追加采购本项目招标文件所列货物及相关服务的，</w:t>
      </w:r>
      <w:r>
        <w:rPr>
          <w:rFonts w:ascii="宋体" w:hAnsi="宋体" w:eastAsia="宋体" w:cs="宋体"/>
          <w:sz w:val="23"/>
          <w:szCs w:val="23"/>
        </w:rPr>
        <w:t xml:space="preserve"> </w:t>
      </w:r>
      <w:r>
        <w:rPr>
          <w:rFonts w:ascii="宋体" w:hAnsi="宋体" w:eastAsia="宋体" w:cs="宋体"/>
          <w:spacing w:val="18"/>
          <w:sz w:val="23"/>
          <w:szCs w:val="23"/>
        </w:rPr>
        <w:t>在</w:t>
      </w:r>
      <w:r>
        <w:rPr>
          <w:rFonts w:ascii="宋体" w:hAnsi="宋体" w:eastAsia="宋体" w:cs="宋体"/>
          <w:spacing w:val="15"/>
          <w:sz w:val="23"/>
          <w:szCs w:val="23"/>
        </w:rPr>
        <w:t>不</w:t>
      </w:r>
      <w:r>
        <w:rPr>
          <w:rFonts w:ascii="宋体" w:hAnsi="宋体" w:eastAsia="宋体" w:cs="宋体"/>
          <w:spacing w:val="9"/>
          <w:sz w:val="23"/>
          <w:szCs w:val="23"/>
        </w:rPr>
        <w:t>改变合同其他实质性条款的前提下，按相同或更优惠的折扣率保证供货。</w:t>
      </w:r>
    </w:p>
    <w:p>
      <w:pPr>
        <w:spacing w:before="141" w:line="383" w:lineRule="auto"/>
        <w:ind w:left="23" w:right="61" w:firstLine="49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4</w:t>
      </w:r>
      <w:r>
        <w:rPr>
          <w:rFonts w:ascii="宋体" w:hAnsi="宋体" w:eastAsia="宋体" w:cs="宋体"/>
          <w:spacing w:val="6"/>
          <w:sz w:val="23"/>
          <w:szCs w:val="23"/>
        </w:rPr>
        <w:t>、我方承诺：如所报货物属国家强制认证产品的，均已通过认证且在有效</w:t>
      </w:r>
      <w:r>
        <w:rPr>
          <w:rFonts w:ascii="宋体" w:hAnsi="宋体" w:eastAsia="宋体" w:cs="宋体"/>
          <w:sz w:val="23"/>
          <w:szCs w:val="23"/>
        </w:rPr>
        <w:t xml:space="preserve"> </w:t>
      </w:r>
      <w:r>
        <w:rPr>
          <w:rFonts w:ascii="宋体" w:hAnsi="宋体" w:eastAsia="宋体" w:cs="宋体"/>
          <w:spacing w:val="4"/>
          <w:sz w:val="23"/>
          <w:szCs w:val="23"/>
        </w:rPr>
        <w:t>期内，否则， 由此产生的一切法律责任由我方承担</w:t>
      </w:r>
      <w:r>
        <w:rPr>
          <w:rFonts w:ascii="宋体" w:hAnsi="宋体" w:eastAsia="宋体" w:cs="宋体"/>
          <w:sz w:val="23"/>
          <w:szCs w:val="23"/>
        </w:rPr>
        <w:t>。</w:t>
      </w:r>
    </w:p>
    <w:p>
      <w:pPr>
        <w:spacing w:before="143" w:line="384" w:lineRule="auto"/>
        <w:ind w:left="20" w:right="61"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5</w:t>
      </w:r>
      <w:r>
        <w:rPr>
          <w:rFonts w:ascii="宋体" w:hAnsi="宋体" w:eastAsia="宋体" w:cs="宋体"/>
          <w:spacing w:val="6"/>
          <w:sz w:val="23"/>
          <w:szCs w:val="23"/>
        </w:rPr>
        <w:t>、我方承诺：接受招标文件中的全部条款且无任何异议，保证遵守招标文</w:t>
      </w:r>
      <w:r>
        <w:rPr>
          <w:rFonts w:ascii="宋体" w:hAnsi="宋体" w:eastAsia="宋体" w:cs="宋体"/>
          <w:sz w:val="23"/>
          <w:szCs w:val="23"/>
        </w:rPr>
        <w:t xml:space="preserve"> </w:t>
      </w:r>
      <w:r>
        <w:rPr>
          <w:rFonts w:ascii="宋体" w:hAnsi="宋体" w:eastAsia="宋体" w:cs="宋体"/>
          <w:spacing w:val="7"/>
          <w:sz w:val="23"/>
          <w:szCs w:val="23"/>
        </w:rPr>
        <w:t>件</w:t>
      </w:r>
      <w:r>
        <w:rPr>
          <w:rFonts w:ascii="宋体" w:hAnsi="宋体" w:eastAsia="宋体" w:cs="宋体"/>
          <w:spacing w:val="6"/>
          <w:sz w:val="23"/>
          <w:szCs w:val="23"/>
        </w:rPr>
        <w:t>的规定。</w:t>
      </w:r>
    </w:p>
    <w:p>
      <w:pPr>
        <w:spacing w:before="143" w:line="378" w:lineRule="auto"/>
        <w:ind w:left="22" w:right="61" w:firstLine="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6</w:t>
      </w:r>
      <w:r>
        <w:rPr>
          <w:rFonts w:ascii="宋体" w:hAnsi="宋体" w:eastAsia="宋体" w:cs="宋体"/>
          <w:spacing w:val="6"/>
          <w:sz w:val="23"/>
          <w:szCs w:val="23"/>
        </w:rPr>
        <w:t>、我方将严格遵守《中华人民共和国政府采购法》的有关规定，若有下列</w:t>
      </w:r>
      <w:r>
        <w:rPr>
          <w:rFonts w:ascii="宋体" w:hAnsi="宋体" w:eastAsia="宋体" w:cs="宋体"/>
          <w:sz w:val="23"/>
          <w:szCs w:val="23"/>
        </w:rPr>
        <w:t xml:space="preserve"> </w:t>
      </w:r>
      <w:r>
        <w:rPr>
          <w:rFonts w:ascii="宋体" w:hAnsi="宋体" w:eastAsia="宋体" w:cs="宋体"/>
          <w:spacing w:val="12"/>
          <w:sz w:val="23"/>
          <w:szCs w:val="23"/>
        </w:rPr>
        <w:t>情</w:t>
      </w:r>
      <w:r>
        <w:rPr>
          <w:rFonts w:ascii="宋体" w:hAnsi="宋体" w:eastAsia="宋体" w:cs="宋体"/>
          <w:spacing w:val="7"/>
          <w:sz w:val="23"/>
          <w:szCs w:val="23"/>
        </w:rPr>
        <w:t>形之一的，将被处以采购金额千分之五以上千分之十以下的罚款，列入不良行</w:t>
      </w:r>
      <w:r>
        <w:rPr>
          <w:rFonts w:ascii="宋体" w:hAnsi="宋体" w:eastAsia="宋体" w:cs="宋体"/>
          <w:sz w:val="23"/>
          <w:szCs w:val="23"/>
        </w:rPr>
        <w:t xml:space="preserve"> </w:t>
      </w:r>
      <w:r>
        <w:rPr>
          <w:rFonts w:ascii="宋体" w:hAnsi="宋体" w:eastAsia="宋体" w:cs="宋体"/>
          <w:spacing w:val="12"/>
          <w:sz w:val="23"/>
          <w:szCs w:val="23"/>
        </w:rPr>
        <w:t>为</w:t>
      </w:r>
      <w:r>
        <w:rPr>
          <w:rFonts w:ascii="宋体" w:hAnsi="宋体" w:eastAsia="宋体" w:cs="宋体"/>
          <w:spacing w:val="7"/>
          <w:sz w:val="23"/>
          <w:szCs w:val="23"/>
        </w:rPr>
        <w:t>记录名单，在一至三年内禁止参加政府采购活动；有违法所得的，并处没收违</w:t>
      </w:r>
      <w:r>
        <w:rPr>
          <w:rFonts w:ascii="宋体" w:hAnsi="宋体" w:eastAsia="宋体" w:cs="宋体"/>
          <w:sz w:val="23"/>
          <w:szCs w:val="23"/>
        </w:rPr>
        <w:t xml:space="preserve"> </w:t>
      </w:r>
      <w:r>
        <w:rPr>
          <w:rFonts w:ascii="宋体" w:hAnsi="宋体" w:eastAsia="宋体" w:cs="宋体"/>
          <w:spacing w:val="12"/>
          <w:sz w:val="23"/>
          <w:szCs w:val="23"/>
        </w:rPr>
        <w:t>法</w:t>
      </w:r>
      <w:r>
        <w:rPr>
          <w:rFonts w:ascii="宋体" w:hAnsi="宋体" w:eastAsia="宋体" w:cs="宋体"/>
          <w:spacing w:val="7"/>
          <w:sz w:val="23"/>
          <w:szCs w:val="23"/>
        </w:rPr>
        <w:t>所得；情节严重的，由工商行政管理机关吊销营业执照；构成犯罪的，依法追</w:t>
      </w:r>
      <w:r>
        <w:rPr>
          <w:rFonts w:ascii="宋体" w:hAnsi="宋体" w:eastAsia="宋体" w:cs="宋体"/>
          <w:sz w:val="23"/>
          <w:szCs w:val="23"/>
        </w:rPr>
        <w:t xml:space="preserve"> </w:t>
      </w:r>
      <w:r>
        <w:rPr>
          <w:rFonts w:ascii="宋体" w:hAnsi="宋体" w:eastAsia="宋体" w:cs="宋体"/>
          <w:spacing w:val="9"/>
          <w:sz w:val="23"/>
          <w:szCs w:val="23"/>
        </w:rPr>
        <w:t>究</w:t>
      </w:r>
      <w:r>
        <w:rPr>
          <w:rFonts w:ascii="宋体" w:hAnsi="宋体" w:eastAsia="宋体" w:cs="宋体"/>
          <w:spacing w:val="6"/>
          <w:sz w:val="23"/>
          <w:szCs w:val="23"/>
        </w:rPr>
        <w:t>刑事责任：</w:t>
      </w:r>
    </w:p>
    <w:p>
      <w:pPr>
        <w:spacing w:before="141" w:line="227" w:lineRule="auto"/>
        <w:ind w:left="51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 提供虚假材料谋取中标、成交的；</w:t>
      </w:r>
    </w:p>
    <w:p>
      <w:pPr>
        <w:spacing w:line="269" w:lineRule="auto"/>
        <w:rPr>
          <w:rFonts w:ascii="Arial"/>
          <w:sz w:val="21"/>
        </w:rPr>
      </w:pPr>
    </w:p>
    <w:p>
      <w:pPr>
        <w:spacing w:before="75" w:line="227" w:lineRule="auto"/>
        <w:ind w:left="50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 采取不正当手段诋毁、排挤其他供应商的；</w:t>
      </w:r>
    </w:p>
    <w:p>
      <w:pPr>
        <w:spacing w:line="269" w:lineRule="auto"/>
        <w:rPr>
          <w:rFonts w:ascii="Arial"/>
          <w:sz w:val="21"/>
        </w:rPr>
      </w:pPr>
    </w:p>
    <w:p>
      <w:pPr>
        <w:spacing w:before="75" w:line="227" w:lineRule="auto"/>
        <w:ind w:left="50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 xml:space="preserve"> </w:t>
      </w:r>
      <w:r>
        <w:rPr>
          <w:rFonts w:ascii="宋体" w:hAnsi="宋体" w:eastAsia="宋体" w:cs="宋体"/>
          <w:spacing w:val="8"/>
          <w:sz w:val="23"/>
          <w:szCs w:val="23"/>
        </w:rPr>
        <w:t>与采购人、其他供应商或者采购代理机构工作人员恶意串通的；</w:t>
      </w:r>
    </w:p>
    <w:p>
      <w:pPr>
        <w:sectPr>
          <w:headerReference r:id="rId21" w:type="default"/>
          <w:footerReference r:id="rId22" w:type="default"/>
          <w:pgSz w:w="11906" w:h="16839"/>
          <w:pgMar w:top="1117" w:right="1735" w:bottom="1335" w:left="1785" w:header="1108" w:footer="1172" w:gutter="0"/>
          <w:pgNumType w:fmt="decimal"/>
          <w:cols w:space="720" w:num="1"/>
        </w:sectPr>
      </w:pPr>
    </w:p>
    <w:p>
      <w:pPr>
        <w:spacing w:before="75" w:line="227" w:lineRule="auto"/>
        <w:ind w:left="500"/>
        <w:rPr>
          <w:rFonts w:ascii="宋体" w:hAnsi="宋体" w:eastAsia="宋体" w:cs="宋体"/>
          <w:sz w:val="23"/>
          <w:szCs w:val="23"/>
        </w:rPr>
      </w:pPr>
      <w:r>
        <w:rPr>
          <w:rFonts w:ascii="宋体" w:hAnsi="宋体" w:eastAsia="宋体" w:cs="宋体"/>
          <w:spacing w:val="9"/>
          <w:sz w:val="23"/>
          <w:szCs w:val="23"/>
        </w:rPr>
        <w:t>4) 向采购人、采购代理机构工作人员行贿或者提供其他不正当利益的</w:t>
      </w:r>
      <w:r>
        <w:rPr>
          <w:rFonts w:ascii="宋体" w:hAnsi="宋体" w:eastAsia="宋体" w:cs="宋体"/>
          <w:spacing w:val="8"/>
          <w:sz w:val="23"/>
          <w:szCs w:val="23"/>
        </w:rPr>
        <w:t>；</w:t>
      </w:r>
    </w:p>
    <w:p>
      <w:pPr>
        <w:spacing w:line="269" w:lineRule="auto"/>
        <w:rPr>
          <w:rFonts w:ascii="Arial"/>
          <w:sz w:val="21"/>
        </w:rPr>
      </w:pPr>
    </w:p>
    <w:p>
      <w:pPr>
        <w:spacing w:before="75" w:line="227" w:lineRule="auto"/>
        <w:ind w:left="505"/>
        <w:rPr>
          <w:rFonts w:ascii="宋体" w:hAnsi="宋体" w:eastAsia="宋体" w:cs="宋体"/>
          <w:sz w:val="23"/>
          <w:szCs w:val="23"/>
        </w:rPr>
      </w:pPr>
      <w:r>
        <w:rPr>
          <w:rFonts w:ascii="宋体" w:hAnsi="宋体" w:eastAsia="宋体" w:cs="宋体"/>
          <w:spacing w:val="10"/>
          <w:sz w:val="23"/>
          <w:szCs w:val="23"/>
        </w:rPr>
        <w:t>5</w:t>
      </w:r>
      <w:r>
        <w:rPr>
          <w:rFonts w:ascii="宋体" w:hAnsi="宋体" w:eastAsia="宋体" w:cs="宋体"/>
          <w:spacing w:val="8"/>
          <w:sz w:val="23"/>
          <w:szCs w:val="23"/>
        </w:rPr>
        <w:t>) 在采购过程中与采购人进行协商谈判的；</w:t>
      </w:r>
    </w:p>
    <w:p>
      <w:pPr>
        <w:spacing w:line="269" w:lineRule="auto"/>
        <w:rPr>
          <w:rFonts w:ascii="Arial"/>
          <w:sz w:val="21"/>
        </w:rPr>
      </w:pPr>
    </w:p>
    <w:p>
      <w:pPr>
        <w:spacing w:before="75" w:line="227" w:lineRule="auto"/>
        <w:ind w:left="502"/>
        <w:rPr>
          <w:rFonts w:ascii="宋体" w:hAnsi="宋体" w:eastAsia="宋体" w:cs="宋体"/>
          <w:sz w:val="23"/>
          <w:szCs w:val="23"/>
        </w:rPr>
      </w:pPr>
      <w:r>
        <w:rPr>
          <w:rFonts w:ascii="宋体" w:hAnsi="宋体" w:eastAsia="宋体" w:cs="宋体"/>
          <w:spacing w:val="15"/>
          <w:sz w:val="23"/>
          <w:szCs w:val="23"/>
        </w:rPr>
        <w:t>6</w:t>
      </w:r>
      <w:r>
        <w:rPr>
          <w:rFonts w:ascii="宋体" w:hAnsi="宋体" w:eastAsia="宋体" w:cs="宋体"/>
          <w:spacing w:val="8"/>
          <w:sz w:val="23"/>
          <w:szCs w:val="23"/>
        </w:rPr>
        <w:t>) 拒绝有关部门监督检查或提供虚假情况的。</w:t>
      </w:r>
    </w:p>
    <w:p>
      <w:pPr>
        <w:spacing w:line="248" w:lineRule="auto"/>
        <w:rPr>
          <w:rFonts w:ascii="Arial"/>
          <w:sz w:val="21"/>
        </w:rPr>
      </w:pPr>
    </w:p>
    <w:p>
      <w:pPr>
        <w:spacing w:before="72" w:line="189" w:lineRule="auto"/>
        <w:ind w:left="475"/>
        <w:rPr>
          <w:rFonts w:ascii="宋体" w:hAnsi="宋体" w:eastAsia="宋体" w:cs="宋体"/>
          <w:sz w:val="22"/>
          <w:szCs w:val="22"/>
        </w:rPr>
      </w:pPr>
      <w:r>
        <w:rPr>
          <w:rFonts w:ascii="宋体" w:hAnsi="宋体" w:eastAsia="宋体" w:cs="宋体"/>
          <w:spacing w:val="-9"/>
          <w:sz w:val="22"/>
          <w:szCs w:val="22"/>
        </w:rPr>
        <w:t>1</w:t>
      </w:r>
      <w:r>
        <w:rPr>
          <w:rFonts w:ascii="宋体" w:hAnsi="宋体" w:eastAsia="宋体" w:cs="宋体"/>
          <w:spacing w:val="-8"/>
          <w:sz w:val="22"/>
          <w:szCs w:val="22"/>
        </w:rPr>
        <w:t>7、</w:t>
      </w:r>
    </w:p>
    <w:p>
      <w:pPr>
        <w:spacing w:before="293" w:line="227" w:lineRule="auto"/>
        <w:ind w:left="505"/>
        <w:rPr>
          <w:rFonts w:ascii="宋体" w:hAnsi="宋体" w:eastAsia="宋体" w:cs="宋体"/>
          <w:sz w:val="23"/>
          <w:szCs w:val="23"/>
        </w:rPr>
      </w:pPr>
      <w:r>
        <w:rPr>
          <w:rFonts w:ascii="宋体" w:hAnsi="宋体" w:eastAsia="宋体" w:cs="宋体"/>
          <w:spacing w:val="15"/>
          <w:sz w:val="23"/>
          <w:szCs w:val="23"/>
        </w:rPr>
        <w:t>与</w:t>
      </w:r>
      <w:r>
        <w:rPr>
          <w:rFonts w:ascii="宋体" w:hAnsi="宋体" w:eastAsia="宋体" w:cs="宋体"/>
          <w:spacing w:val="8"/>
          <w:sz w:val="23"/>
          <w:szCs w:val="23"/>
        </w:rPr>
        <w:t>本投标有关的一切往来通讯请寄：</w:t>
      </w:r>
    </w:p>
    <w:p>
      <w:pPr>
        <w:spacing w:line="269" w:lineRule="auto"/>
        <w:rPr>
          <w:rFonts w:ascii="Arial"/>
          <w:sz w:val="21"/>
        </w:rPr>
      </w:pPr>
    </w:p>
    <w:p>
      <w:pPr>
        <w:spacing w:before="75" w:line="504" w:lineRule="auto"/>
        <w:ind w:left="518" w:right="882" w:hanging="17"/>
        <w:rPr>
          <w:rFonts w:ascii="宋体" w:hAnsi="宋体" w:eastAsia="宋体" w:cs="宋体"/>
          <w:sz w:val="23"/>
          <w:szCs w:val="23"/>
        </w:rPr>
      </w:pPr>
      <w:r>
        <w:rPr>
          <w:rFonts w:ascii="宋体" w:hAnsi="宋体" w:eastAsia="宋体" w:cs="宋体"/>
          <w:spacing w:val="10"/>
          <w:sz w:val="23"/>
          <w:szCs w:val="23"/>
        </w:rPr>
        <w:t>地</w:t>
      </w:r>
      <w:r>
        <w:rPr>
          <w:rFonts w:ascii="宋体" w:hAnsi="宋体" w:eastAsia="宋体" w:cs="宋体"/>
          <w:spacing w:val="5"/>
          <w:sz w:val="23"/>
          <w:szCs w:val="23"/>
        </w:rPr>
        <w:t>址：____________________________________________________</w:t>
      </w:r>
      <w:r>
        <w:rPr>
          <w:rFonts w:ascii="宋体" w:hAnsi="宋体" w:eastAsia="宋体" w:cs="宋体"/>
          <w:sz w:val="23"/>
          <w:szCs w:val="23"/>
        </w:rPr>
        <w:t xml:space="preserve"> </w:t>
      </w:r>
      <w:r>
        <w:rPr>
          <w:rFonts w:ascii="宋体" w:hAnsi="宋体" w:eastAsia="宋体" w:cs="宋体"/>
          <w:spacing w:val="6"/>
          <w:sz w:val="23"/>
          <w:szCs w:val="23"/>
        </w:rPr>
        <w:t>邮</w:t>
      </w:r>
      <w:r>
        <w:rPr>
          <w:rFonts w:ascii="宋体" w:hAnsi="宋体" w:eastAsia="宋体" w:cs="宋体"/>
          <w:spacing w:val="4"/>
          <w:sz w:val="23"/>
          <w:szCs w:val="23"/>
        </w:rPr>
        <w:t>编：____________</w:t>
      </w:r>
    </w:p>
    <w:p>
      <w:pPr>
        <w:spacing w:line="629" w:lineRule="exact"/>
        <w:ind w:left="529"/>
        <w:rPr>
          <w:rFonts w:ascii="宋体" w:hAnsi="宋体" w:eastAsia="宋体" w:cs="宋体"/>
          <w:sz w:val="23"/>
          <w:szCs w:val="23"/>
        </w:rPr>
      </w:pPr>
      <w:r>
        <w:rPr>
          <w:rFonts w:ascii="宋体" w:hAnsi="宋体" w:eastAsia="宋体" w:cs="宋体"/>
          <w:spacing w:val="6"/>
          <w:position w:val="30"/>
          <w:sz w:val="23"/>
          <w:szCs w:val="23"/>
        </w:rPr>
        <w:t>电话</w:t>
      </w:r>
      <w:r>
        <w:rPr>
          <w:rFonts w:ascii="宋体" w:hAnsi="宋体" w:eastAsia="宋体" w:cs="宋体"/>
          <w:spacing w:val="4"/>
          <w:position w:val="30"/>
          <w:sz w:val="23"/>
          <w:szCs w:val="23"/>
        </w:rPr>
        <w:t>：</w:t>
      </w:r>
      <w:r>
        <w:rPr>
          <w:rFonts w:ascii="宋体" w:hAnsi="宋体" w:eastAsia="宋体" w:cs="宋体"/>
          <w:spacing w:val="3"/>
          <w:position w:val="30"/>
          <w:sz w:val="23"/>
          <w:szCs w:val="23"/>
        </w:rPr>
        <w:t>____________</w:t>
      </w:r>
    </w:p>
    <w:p>
      <w:pPr>
        <w:spacing w:before="1" w:line="223" w:lineRule="auto"/>
        <w:ind w:left="499"/>
        <w:rPr>
          <w:rFonts w:ascii="宋体" w:hAnsi="宋体" w:eastAsia="宋体" w:cs="宋体"/>
          <w:sz w:val="23"/>
          <w:szCs w:val="23"/>
        </w:rPr>
      </w:pPr>
      <w:r>
        <w:rPr>
          <w:rFonts w:ascii="宋体" w:hAnsi="宋体" w:eastAsia="宋体" w:cs="宋体"/>
          <w:spacing w:val="10"/>
          <w:sz w:val="23"/>
          <w:szCs w:val="23"/>
        </w:rPr>
        <w:t>传</w:t>
      </w:r>
      <w:r>
        <w:rPr>
          <w:rFonts w:ascii="宋体" w:hAnsi="宋体" w:eastAsia="宋体" w:cs="宋体"/>
          <w:spacing w:val="7"/>
          <w:sz w:val="23"/>
          <w:szCs w:val="23"/>
        </w:rPr>
        <w:t>真</w:t>
      </w:r>
      <w:r>
        <w:rPr>
          <w:rFonts w:ascii="宋体" w:hAnsi="宋体" w:eastAsia="宋体" w:cs="宋体"/>
          <w:spacing w:val="5"/>
          <w:sz w:val="23"/>
          <w:szCs w:val="23"/>
        </w:rPr>
        <w:t>：____________</w:t>
      </w:r>
    </w:p>
    <w:p>
      <w:pPr>
        <w:spacing w:line="271" w:lineRule="auto"/>
        <w:rPr>
          <w:rFonts w:ascii="Arial"/>
          <w:sz w:val="21"/>
        </w:rPr>
      </w:pPr>
    </w:p>
    <w:p>
      <w:pPr>
        <w:spacing w:before="74" w:line="226" w:lineRule="auto"/>
        <w:ind w:left="501"/>
        <w:rPr>
          <w:rFonts w:ascii="宋体" w:hAnsi="宋体" w:eastAsia="宋体" w:cs="宋体"/>
          <w:sz w:val="23"/>
          <w:szCs w:val="23"/>
        </w:rPr>
      </w:pPr>
      <w:r>
        <w:rPr>
          <w:rFonts w:ascii="宋体" w:hAnsi="宋体" w:eastAsia="宋体" w:cs="宋体"/>
          <w:spacing w:val="10"/>
          <w:sz w:val="23"/>
          <w:szCs w:val="23"/>
        </w:rPr>
        <w:t>供应商法定代表人或授权代理人联系电话，</w:t>
      </w:r>
      <w:r>
        <w:rPr>
          <w:rFonts w:ascii="宋体" w:hAnsi="宋体" w:eastAsia="宋体" w:cs="宋体"/>
          <w:sz w:val="23"/>
          <w:szCs w:val="23"/>
        </w:rPr>
        <w:t>e</w:t>
      </w:r>
      <w:r>
        <w:rPr>
          <w:rFonts w:ascii="宋体" w:hAnsi="宋体" w:eastAsia="宋体" w:cs="宋体"/>
          <w:spacing w:val="10"/>
          <w:sz w:val="23"/>
          <w:szCs w:val="23"/>
        </w:rPr>
        <w:t>-</w:t>
      </w:r>
      <w:r>
        <w:rPr>
          <w:rFonts w:ascii="宋体" w:hAnsi="宋体" w:eastAsia="宋体" w:cs="宋体"/>
          <w:sz w:val="23"/>
          <w:szCs w:val="23"/>
        </w:rPr>
        <w:t>mail</w:t>
      </w:r>
      <w:r>
        <w:rPr>
          <w:rFonts w:ascii="宋体" w:hAnsi="宋体" w:eastAsia="宋体" w:cs="宋体"/>
          <w:spacing w:val="10"/>
          <w:sz w:val="23"/>
          <w:szCs w:val="23"/>
        </w:rPr>
        <w:t>：</w:t>
      </w:r>
    </w:p>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74" w:line="226" w:lineRule="auto"/>
        <w:ind w:left="501"/>
        <w:rPr>
          <w:rFonts w:ascii="宋体" w:hAnsi="宋体" w:eastAsia="宋体" w:cs="宋体"/>
          <w:spacing w:val="10"/>
          <w:sz w:val="23"/>
          <w:szCs w:val="23"/>
        </w:rPr>
      </w:pPr>
      <w:r>
        <w:rPr>
          <w:rFonts w:ascii="宋体" w:hAnsi="宋体" w:eastAsia="宋体" w:cs="宋体"/>
          <w:spacing w:val="10"/>
          <w:sz w:val="23"/>
          <w:szCs w:val="23"/>
        </w:rPr>
        <w:t>供应商法定代表人电子签名：</w:t>
      </w:r>
    </w:p>
    <w:p>
      <w:pPr>
        <w:spacing w:before="74" w:line="226" w:lineRule="auto"/>
        <w:ind w:left="501"/>
        <w:rPr>
          <w:rFonts w:ascii="宋体" w:hAnsi="宋体" w:eastAsia="宋体" w:cs="宋体"/>
          <w:spacing w:val="10"/>
          <w:sz w:val="23"/>
          <w:szCs w:val="23"/>
        </w:rPr>
      </w:pPr>
      <w:r>
        <w:rPr>
          <w:rFonts w:ascii="宋体" w:hAnsi="宋体" w:eastAsia="宋体" w:cs="宋体"/>
          <w:spacing w:val="10"/>
          <w:sz w:val="23"/>
          <w:szCs w:val="23"/>
        </w:rPr>
        <w:t>供应商名称 (电子签章) ：</w:t>
      </w:r>
    </w:p>
    <w:p>
      <w:pPr>
        <w:spacing w:before="74" w:line="226" w:lineRule="auto"/>
        <w:ind w:left="501"/>
        <w:rPr>
          <w:rFonts w:ascii="宋体" w:hAnsi="宋体" w:eastAsia="宋体" w:cs="宋体"/>
          <w:spacing w:val="10"/>
          <w:sz w:val="23"/>
          <w:szCs w:val="23"/>
        </w:rPr>
      </w:pPr>
    </w:p>
    <w:p>
      <w:pPr>
        <w:spacing w:before="74" w:line="226" w:lineRule="auto"/>
        <w:ind w:left="501"/>
        <w:rPr>
          <w:rFonts w:ascii="宋体" w:hAnsi="宋体" w:eastAsia="宋体" w:cs="宋体"/>
          <w:spacing w:val="10"/>
          <w:sz w:val="23"/>
          <w:szCs w:val="23"/>
        </w:rPr>
      </w:pPr>
      <w:r>
        <w:rPr>
          <w:rFonts w:ascii="宋体" w:hAnsi="宋体" w:eastAsia="宋体" w:cs="宋体"/>
          <w:spacing w:val="10"/>
          <w:sz w:val="23"/>
          <w:szCs w:val="23"/>
        </w:rPr>
        <w:t>日  期：</w:t>
      </w:r>
    </w:p>
    <w:p>
      <w:pPr>
        <w:spacing w:before="74" w:line="226" w:lineRule="auto"/>
        <w:ind w:left="501"/>
        <w:rPr>
          <w:rFonts w:ascii="宋体" w:hAnsi="宋体" w:eastAsia="宋体" w:cs="宋体"/>
          <w:spacing w:val="10"/>
          <w:sz w:val="23"/>
          <w:szCs w:val="23"/>
        </w:rPr>
      </w:pPr>
    </w:p>
    <w:p>
      <w:pPr>
        <w:spacing w:before="74" w:line="226" w:lineRule="auto"/>
        <w:ind w:left="501"/>
        <w:rPr>
          <w:rFonts w:ascii="宋体" w:hAnsi="宋体" w:eastAsia="宋体" w:cs="宋体"/>
          <w:spacing w:val="10"/>
          <w:sz w:val="23"/>
          <w:szCs w:val="23"/>
        </w:rPr>
      </w:pPr>
    </w:p>
    <w:p>
      <w:pPr>
        <w:spacing w:before="74" w:line="226" w:lineRule="auto"/>
        <w:ind w:left="501"/>
        <w:rPr>
          <w:rFonts w:ascii="宋体" w:hAnsi="宋体" w:eastAsia="宋体" w:cs="宋体"/>
          <w:spacing w:val="10"/>
          <w:sz w:val="23"/>
          <w:szCs w:val="23"/>
        </w:rPr>
      </w:pPr>
    </w:p>
    <w:p>
      <w:pPr>
        <w:spacing w:before="74" w:line="226" w:lineRule="auto"/>
        <w:ind w:left="501"/>
        <w:rPr>
          <w:rFonts w:ascii="宋体" w:hAnsi="宋体" w:eastAsia="宋体" w:cs="宋体"/>
          <w:spacing w:val="10"/>
          <w:sz w:val="23"/>
          <w:szCs w:val="23"/>
        </w:rPr>
      </w:pPr>
      <w:r>
        <w:rPr>
          <w:rFonts w:ascii="宋体" w:hAnsi="宋体" w:eastAsia="宋体" w:cs="宋体"/>
          <w:spacing w:val="10"/>
          <w:sz w:val="23"/>
          <w:szCs w:val="23"/>
        </w:rPr>
        <w:t>说明：除可填报项目外，对本投标函的任何修改将被视为非实质性响应投标，从而导致该投标被拒绝。</w:t>
      </w:r>
    </w:p>
    <w:p>
      <w:pPr>
        <w:sectPr>
          <w:headerReference r:id="rId23" w:type="default"/>
          <w:footerReference r:id="rId24" w:type="default"/>
          <w:pgSz w:w="11906" w:h="16839"/>
          <w:pgMar w:top="1117" w:right="1785" w:bottom="1335" w:left="1785" w:header="1108" w:footer="1172" w:gutter="0"/>
          <w:pgNumType w:fmt="decimal"/>
          <w:cols w:space="720" w:num="1"/>
        </w:sectPr>
      </w:pPr>
    </w:p>
    <w:p>
      <w:pPr>
        <w:tabs>
          <w:tab w:val="left" w:pos="3015"/>
        </w:tabs>
        <w:spacing w:before="133" w:line="745" w:lineRule="exact"/>
        <w:ind w:left="2860"/>
        <w:rPr>
          <w:rFonts w:ascii="微软雅黑" w:hAnsi="微软雅黑" w:eastAsia="微软雅黑" w:cs="微软雅黑"/>
          <w:sz w:val="31"/>
          <w:szCs w:val="31"/>
        </w:rPr>
      </w:pPr>
      <w:bookmarkStart w:id="303" w:name="_bookmark24"/>
      <w:bookmarkEnd w:id="303"/>
      <w:r>
        <w:rPr>
          <w:rFonts w:ascii="微软雅黑" w:hAnsi="微软雅黑" w:eastAsia="微软雅黑" w:cs="微软雅黑"/>
          <w:b/>
          <w:bCs/>
          <w:position w:val="33"/>
          <w:sz w:val="31"/>
          <w:szCs w:val="31"/>
        </w:rPr>
        <w:tab/>
      </w:r>
      <w:r>
        <w:rPr>
          <w:rFonts w:ascii="微软雅黑" w:hAnsi="微软雅黑" w:eastAsia="微软雅黑" w:cs="微软雅黑"/>
          <w:spacing w:val="19"/>
          <w:position w:val="33"/>
          <w:sz w:val="31"/>
          <w:szCs w:val="31"/>
          <w14:textOutline w14:w="5793" w14:cap="sq" w14:cmpd="sng">
            <w14:solidFill>
              <w14:srgbClr w14:val="000000"/>
            </w14:solidFill>
            <w14:prstDash w14:val="solid"/>
            <w14:bevel/>
          </w14:textOutline>
        </w:rPr>
        <w:t>(</w:t>
      </w:r>
      <w:r>
        <w:rPr>
          <w:rFonts w:ascii="微软雅黑" w:hAnsi="微软雅黑" w:eastAsia="微软雅黑" w:cs="微软雅黑"/>
          <w:spacing w:val="17"/>
          <w:position w:val="33"/>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17"/>
          <w:position w:val="33"/>
          <w:sz w:val="31"/>
          <w:szCs w:val="31"/>
        </w:rPr>
        <w:t xml:space="preserve">  </w:t>
      </w:r>
      <w:r>
        <w:rPr>
          <w:rFonts w:ascii="微软雅黑" w:hAnsi="微软雅黑" w:eastAsia="微软雅黑" w:cs="微软雅黑"/>
          <w:spacing w:val="17"/>
          <w:position w:val="33"/>
          <w:sz w:val="31"/>
          <w:szCs w:val="31"/>
          <w14:textOutline w14:w="5793" w14:cap="sq" w14:cmpd="sng">
            <w14:solidFill>
              <w14:srgbClr w14:val="000000"/>
            </w14:solidFill>
            <w14:prstDash w14:val="solid"/>
            <w14:bevel/>
          </w14:textOutline>
        </w:rPr>
        <w:t>☆开标一览表</w:t>
      </w:r>
    </w:p>
    <w:p>
      <w:pPr>
        <w:spacing w:line="228" w:lineRule="auto"/>
        <w:ind w:left="391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开标一览</w:t>
      </w:r>
      <w:r>
        <w:rPr>
          <w:rFonts w:ascii="宋体" w:hAnsi="宋体" w:eastAsia="宋体" w:cs="宋体"/>
          <w:spacing w:val="8"/>
          <w:sz w:val="23"/>
          <w:szCs w:val="23"/>
          <w14:textOutline w14:w="4358" w14:cap="sq" w14:cmpd="sng">
            <w14:solidFill>
              <w14:srgbClr w14:val="000000"/>
            </w14:solidFill>
            <w14:prstDash w14:val="solid"/>
            <w14:bevel/>
          </w14:textOutline>
        </w:rPr>
        <w:t>表</w:t>
      </w:r>
    </w:p>
    <w:p>
      <w:pPr>
        <w:spacing w:line="268" w:lineRule="auto"/>
        <w:rPr>
          <w:rFonts w:ascii="Arial"/>
          <w:sz w:val="21"/>
        </w:rPr>
      </w:pPr>
    </w:p>
    <w:p>
      <w:pPr>
        <w:spacing w:before="75" w:line="626" w:lineRule="exact"/>
        <w:ind w:left="126"/>
        <w:rPr>
          <w:rFonts w:ascii="宋体" w:hAnsi="宋体" w:eastAsia="宋体" w:cs="宋体"/>
          <w:sz w:val="23"/>
          <w:szCs w:val="23"/>
        </w:rPr>
      </w:pPr>
      <w:r>
        <w:rPr>
          <w:rFonts w:ascii="宋体" w:hAnsi="宋体" w:eastAsia="宋体" w:cs="宋体"/>
          <w:spacing w:val="6"/>
          <w:position w:val="30"/>
          <w:sz w:val="23"/>
          <w:szCs w:val="23"/>
        </w:rPr>
        <w:t>项</w:t>
      </w:r>
      <w:r>
        <w:rPr>
          <w:rFonts w:ascii="宋体" w:hAnsi="宋体" w:eastAsia="宋体" w:cs="宋体"/>
          <w:spacing w:val="5"/>
          <w:position w:val="30"/>
          <w:sz w:val="23"/>
          <w:szCs w:val="23"/>
        </w:rPr>
        <w:t>目编号：</w:t>
      </w:r>
    </w:p>
    <w:p>
      <w:pPr>
        <w:spacing w:line="227" w:lineRule="auto"/>
        <w:ind w:left="126"/>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230" w:lineRule="exact"/>
      </w:pPr>
    </w:p>
    <w:tbl>
      <w:tblPr>
        <w:tblStyle w:val="19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7"/>
        <w:gridCol w:w="62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237" w:type="dxa"/>
            <w:vAlign w:val="top"/>
          </w:tcPr>
          <w:p>
            <w:pPr>
              <w:spacing w:before="119" w:line="228" w:lineRule="auto"/>
              <w:ind w:left="886"/>
              <w:rPr>
                <w:rFonts w:ascii="宋体" w:hAnsi="宋体" w:eastAsia="宋体" w:cs="宋体"/>
                <w:sz w:val="23"/>
                <w:szCs w:val="23"/>
              </w:rPr>
            </w:pPr>
            <w:r>
              <w:rPr>
                <w:rFonts w:ascii="宋体" w:hAnsi="宋体" w:eastAsia="宋体" w:cs="宋体"/>
                <w:spacing w:val="5"/>
                <w:sz w:val="23"/>
                <w:szCs w:val="23"/>
              </w:rPr>
              <w:t>标</w:t>
            </w:r>
            <w:r>
              <w:rPr>
                <w:rFonts w:ascii="宋体" w:hAnsi="宋体" w:eastAsia="宋体" w:cs="宋体"/>
                <w:spacing w:val="4"/>
                <w:sz w:val="23"/>
                <w:szCs w:val="23"/>
              </w:rPr>
              <w:t>题</w:t>
            </w:r>
          </w:p>
        </w:tc>
        <w:tc>
          <w:tcPr>
            <w:tcW w:w="6295" w:type="dxa"/>
            <w:vAlign w:val="top"/>
          </w:tcPr>
          <w:p>
            <w:pPr>
              <w:spacing w:before="119" w:line="227" w:lineRule="auto"/>
              <w:ind w:left="2942"/>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2237" w:type="dxa"/>
            <w:vAlign w:val="top"/>
          </w:tcPr>
          <w:p>
            <w:pPr>
              <w:spacing w:line="450" w:lineRule="auto"/>
              <w:rPr>
                <w:rFonts w:ascii="Arial"/>
                <w:sz w:val="21"/>
              </w:rPr>
            </w:pPr>
          </w:p>
          <w:p>
            <w:pPr>
              <w:spacing w:before="75" w:line="226" w:lineRule="auto"/>
              <w:ind w:left="648"/>
              <w:rPr>
                <w:rFonts w:ascii="宋体" w:hAnsi="宋体" w:eastAsia="宋体" w:cs="宋体"/>
                <w:sz w:val="23"/>
                <w:szCs w:val="23"/>
              </w:rPr>
            </w:pPr>
            <w:r>
              <w:rPr>
                <w:rFonts w:ascii="宋体" w:hAnsi="宋体" w:eastAsia="宋体" w:cs="宋体"/>
                <w:spacing w:val="7"/>
                <w:sz w:val="23"/>
                <w:szCs w:val="23"/>
              </w:rPr>
              <w:t>投标总</w:t>
            </w:r>
            <w:r>
              <w:rPr>
                <w:rFonts w:ascii="宋体" w:hAnsi="宋体" w:eastAsia="宋体" w:cs="宋体"/>
                <w:spacing w:val="6"/>
                <w:sz w:val="23"/>
                <w:szCs w:val="23"/>
              </w:rPr>
              <w:t>价</w:t>
            </w:r>
          </w:p>
        </w:tc>
        <w:tc>
          <w:tcPr>
            <w:tcW w:w="6295" w:type="dxa"/>
            <w:vAlign w:val="top"/>
          </w:tcPr>
          <w:p>
            <w:pPr>
              <w:spacing w:before="216" w:line="627" w:lineRule="exact"/>
              <w:ind w:left="117"/>
              <w:rPr>
                <w:rFonts w:ascii="宋体" w:hAnsi="宋体" w:eastAsia="宋体" w:cs="宋体"/>
                <w:sz w:val="23"/>
                <w:szCs w:val="23"/>
              </w:rPr>
            </w:pPr>
            <w:r>
              <w:rPr>
                <w:rFonts w:ascii="宋体" w:hAnsi="宋体" w:eastAsia="宋体" w:cs="宋体"/>
                <w:spacing w:val="7"/>
                <w:position w:val="30"/>
                <w:sz w:val="23"/>
                <w:szCs w:val="23"/>
              </w:rPr>
              <w:t xml:space="preserve">人民币：元整 (大写) </w:t>
            </w:r>
            <w:r>
              <w:rPr>
                <w:rFonts w:ascii="宋体" w:hAnsi="宋体" w:eastAsia="宋体" w:cs="宋体"/>
                <w:spacing w:val="5"/>
                <w:position w:val="30"/>
                <w:sz w:val="23"/>
                <w:szCs w:val="23"/>
              </w:rPr>
              <w:t>；</w:t>
            </w:r>
          </w:p>
          <w:p>
            <w:pPr>
              <w:spacing w:line="229" w:lineRule="auto"/>
              <w:ind w:left="1209"/>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6"/>
                <w:sz w:val="23"/>
                <w:szCs w:val="23"/>
              </w:rPr>
              <w:t xml:space="preserve"> ：元 (小写)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2237" w:type="dxa"/>
            <w:vAlign w:val="top"/>
          </w:tcPr>
          <w:p>
            <w:pPr>
              <w:spacing w:before="225" w:line="227" w:lineRule="auto"/>
              <w:ind w:left="647"/>
              <w:rPr>
                <w:rFonts w:ascii="宋体" w:hAnsi="宋体" w:eastAsia="宋体" w:cs="宋体"/>
                <w:sz w:val="23"/>
                <w:szCs w:val="23"/>
              </w:rPr>
            </w:pPr>
            <w:r>
              <w:rPr>
                <w:rFonts w:ascii="宋体" w:hAnsi="宋体" w:eastAsia="宋体" w:cs="宋体"/>
                <w:spacing w:val="7"/>
                <w:sz w:val="23"/>
                <w:szCs w:val="23"/>
              </w:rPr>
              <w:t>完工期限</w:t>
            </w:r>
          </w:p>
        </w:tc>
        <w:tc>
          <w:tcPr>
            <w:tcW w:w="62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237" w:type="dxa"/>
            <w:vAlign w:val="top"/>
          </w:tcPr>
          <w:p>
            <w:pPr>
              <w:spacing w:before="226" w:line="228" w:lineRule="auto"/>
              <w:ind w:left="646"/>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保期限</w:t>
            </w:r>
          </w:p>
        </w:tc>
        <w:tc>
          <w:tcPr>
            <w:tcW w:w="6295" w:type="dxa"/>
            <w:vAlign w:val="top"/>
          </w:tcPr>
          <w:p>
            <w:pPr>
              <w:rPr>
                <w:rFonts w:ascii="Arial"/>
                <w:sz w:val="21"/>
              </w:rPr>
            </w:pPr>
          </w:p>
        </w:tc>
      </w:tr>
    </w:tbl>
    <w:p>
      <w:pPr>
        <w:spacing w:line="332" w:lineRule="auto"/>
        <w:rPr>
          <w:rFonts w:ascii="Arial"/>
          <w:sz w:val="21"/>
        </w:rPr>
      </w:pPr>
    </w:p>
    <w:p>
      <w:pPr>
        <w:spacing w:line="332" w:lineRule="auto"/>
        <w:rPr>
          <w:rFonts w:ascii="Arial"/>
          <w:sz w:val="21"/>
        </w:rPr>
      </w:pPr>
    </w:p>
    <w:p>
      <w:pPr>
        <w:spacing w:before="75" w:line="384" w:lineRule="auto"/>
        <w:ind w:left="494" w:right="113" w:hanging="369"/>
        <w:rPr>
          <w:rFonts w:ascii="宋体" w:hAnsi="宋体" w:eastAsia="宋体" w:cs="宋体"/>
          <w:sz w:val="23"/>
          <w:szCs w:val="23"/>
        </w:rPr>
      </w:pPr>
      <w:r>
        <w:rPr>
          <w:rFonts w:ascii="宋体" w:hAnsi="宋体" w:eastAsia="宋体" w:cs="宋体"/>
          <w:spacing w:val="20"/>
          <w:sz w:val="23"/>
          <w:szCs w:val="23"/>
        </w:rPr>
        <w:t>说</w:t>
      </w:r>
      <w:r>
        <w:rPr>
          <w:rFonts w:ascii="宋体" w:hAnsi="宋体" w:eastAsia="宋体" w:cs="宋体"/>
          <w:spacing w:val="13"/>
          <w:sz w:val="23"/>
          <w:szCs w:val="23"/>
        </w:rPr>
        <w:t>明</w:t>
      </w:r>
      <w:r>
        <w:rPr>
          <w:rFonts w:ascii="宋体" w:hAnsi="宋体" w:eastAsia="宋体" w:cs="宋体"/>
          <w:spacing w:val="10"/>
          <w:sz w:val="23"/>
          <w:szCs w:val="23"/>
        </w:rPr>
        <w:t>：1、供应商严格按照规定的格式填写。投标总价为优惠后报价，并作为评</w:t>
      </w:r>
      <w:r>
        <w:rPr>
          <w:rFonts w:ascii="宋体" w:hAnsi="宋体" w:eastAsia="宋体" w:cs="宋体"/>
          <w:sz w:val="23"/>
          <w:szCs w:val="23"/>
        </w:rPr>
        <w:t xml:space="preserve"> </w:t>
      </w:r>
      <w:r>
        <w:rPr>
          <w:rFonts w:ascii="宋体" w:hAnsi="宋体" w:eastAsia="宋体" w:cs="宋体"/>
          <w:spacing w:val="6"/>
          <w:sz w:val="23"/>
          <w:szCs w:val="23"/>
        </w:rPr>
        <w:t>审及定标的依据。</w:t>
      </w:r>
    </w:p>
    <w:p>
      <w:pPr>
        <w:spacing w:before="138" w:line="310" w:lineRule="exact"/>
        <w:ind w:left="860"/>
        <w:rPr>
          <w:rFonts w:ascii="宋体" w:hAnsi="宋体" w:eastAsia="宋体" w:cs="宋体"/>
          <w:sz w:val="23"/>
          <w:szCs w:val="23"/>
        </w:rPr>
      </w:pPr>
      <w:r>
        <w:rPr>
          <w:rFonts w:ascii="宋体" w:hAnsi="宋体" w:eastAsia="宋体" w:cs="宋体"/>
          <w:spacing w:val="10"/>
          <w:position w:val="1"/>
          <w:sz w:val="23"/>
          <w:szCs w:val="23"/>
        </w:rPr>
        <w:t>2、任何有选择或有条件的投标总价或表中填写多个报价，均将导致投</w:t>
      </w:r>
      <w:r>
        <w:rPr>
          <w:rFonts w:ascii="宋体" w:hAnsi="宋体" w:eastAsia="宋体" w:cs="宋体"/>
          <w:spacing w:val="7"/>
          <w:position w:val="1"/>
          <w:sz w:val="23"/>
          <w:szCs w:val="23"/>
        </w:rPr>
        <w:t>标</w:t>
      </w:r>
    </w:p>
    <w:p>
      <w:pPr>
        <w:spacing w:before="159" w:line="227" w:lineRule="auto"/>
        <w:ind w:left="497"/>
        <w:outlineLvl w:val="2"/>
        <w:rPr>
          <w:rFonts w:ascii="宋体" w:hAnsi="宋体" w:eastAsia="宋体" w:cs="宋体"/>
          <w:sz w:val="23"/>
          <w:szCs w:val="23"/>
        </w:rPr>
      </w:pPr>
      <w:r>
        <w:rPr>
          <w:rFonts w:ascii="宋体" w:hAnsi="宋体" w:eastAsia="宋体" w:cs="宋体"/>
          <w:spacing w:val="5"/>
          <w:sz w:val="23"/>
          <w:szCs w:val="23"/>
        </w:rPr>
        <w:t>被拒绝。</w:t>
      </w:r>
    </w:p>
    <w:p>
      <w:pPr>
        <w:sectPr>
          <w:headerReference r:id="rId25" w:type="default"/>
          <w:footerReference r:id="rId26" w:type="default"/>
          <w:pgSz w:w="11906" w:h="16839"/>
          <w:pgMar w:top="400" w:right="1684" w:bottom="1335" w:left="1684" w:header="0" w:footer="1172" w:gutter="0"/>
          <w:pgNumType w:fmt="decimal"/>
          <w:cols w:space="720" w:num="1"/>
        </w:sectPr>
      </w:pPr>
    </w:p>
    <w:p>
      <w:pPr>
        <w:spacing w:line="163" w:lineRule="exact"/>
      </w:pPr>
    </w:p>
    <w:p>
      <w:pPr>
        <w:sectPr>
          <w:footerReference r:id="rId27" w:type="default"/>
          <w:pgSz w:w="11906" w:h="16839"/>
          <w:pgMar w:top="400" w:right="1716" w:bottom="1335" w:left="1785" w:header="0" w:footer="1172" w:gutter="0"/>
          <w:pgNumType w:fmt="decimal"/>
          <w:cols w:equalWidth="0" w:num="1">
            <w:col w:w="8404"/>
          </w:cols>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72" w:line="185" w:lineRule="auto"/>
        <w:ind w:left="23"/>
        <w:rPr>
          <w:rFonts w:ascii="宋体" w:hAnsi="宋体" w:eastAsia="宋体" w:cs="宋体"/>
          <w:sz w:val="22"/>
          <w:szCs w:val="22"/>
        </w:rPr>
      </w:pPr>
      <w:r>
        <w:rPr>
          <w:rFonts w:ascii="宋体" w:hAnsi="宋体" w:eastAsia="宋体" w:cs="宋体"/>
          <w:spacing w:val="-2"/>
          <w:sz w:val="22"/>
          <w:szCs w:val="22"/>
        </w:rPr>
        <w:t>项目编号</w:t>
      </w:r>
      <w:r>
        <w:rPr>
          <w:rFonts w:ascii="宋体" w:hAnsi="宋体" w:eastAsia="宋体" w:cs="宋体"/>
          <w:spacing w:val="-1"/>
          <w:sz w:val="22"/>
          <w:szCs w:val="22"/>
        </w:rPr>
        <w:t>、包号：</w:t>
      </w:r>
    </w:p>
    <w:p>
      <w:pPr>
        <w:spacing w:line="14" w:lineRule="auto"/>
        <w:rPr>
          <w:rFonts w:ascii="Arial"/>
          <w:sz w:val="2"/>
        </w:rPr>
      </w:pPr>
      <w:r>
        <w:rPr>
          <w:rFonts w:ascii="Arial" w:hAnsi="Arial" w:eastAsia="Arial" w:cs="Arial"/>
          <w:sz w:val="2"/>
          <w:szCs w:val="2"/>
        </w:rPr>
        <w:br w:type="column"/>
      </w:r>
    </w:p>
    <w:p>
      <w:pPr>
        <w:tabs>
          <w:tab w:val="left" w:pos="148"/>
        </w:tabs>
        <w:spacing w:before="63" w:line="191" w:lineRule="auto"/>
        <w:rPr>
          <w:rFonts w:ascii="微软雅黑" w:hAnsi="微软雅黑" w:eastAsia="微软雅黑" w:cs="微软雅黑"/>
          <w:sz w:val="30"/>
          <w:szCs w:val="30"/>
        </w:rPr>
      </w:pPr>
      <w:bookmarkStart w:id="304" w:name="_bookmark25"/>
      <w:bookmarkEnd w:id="304"/>
      <w:r>
        <w:rPr>
          <w:rFonts w:ascii="微软雅黑" w:hAnsi="微软雅黑" w:eastAsia="微软雅黑" w:cs="微软雅黑"/>
          <w:b/>
          <w:bCs/>
          <w:sz w:val="30"/>
          <w:szCs w:val="30"/>
        </w:rPr>
        <w:tab/>
      </w:r>
      <w:r>
        <w:rPr>
          <w:rFonts w:ascii="微软雅黑" w:hAnsi="微软雅黑" w:eastAsia="微软雅黑" w:cs="微软雅黑"/>
          <w:spacing w:val="13"/>
          <w:sz w:val="30"/>
          <w:szCs w:val="30"/>
          <w14:textOutline w14:w="5536" w14:cap="sq" w14:cmpd="sng">
            <w14:solidFill>
              <w14:srgbClr w14:val="000000"/>
            </w14:solidFill>
            <w14:prstDash w14:val="solid"/>
            <w14:bevel/>
          </w14:textOutline>
        </w:rPr>
        <w:t>(三)</w:t>
      </w:r>
      <w:r>
        <w:rPr>
          <w:rFonts w:ascii="微软雅黑" w:hAnsi="微软雅黑" w:eastAsia="微软雅黑" w:cs="微软雅黑"/>
          <w:spacing w:val="13"/>
          <w:sz w:val="30"/>
          <w:szCs w:val="30"/>
        </w:rPr>
        <w:t xml:space="preserve">  </w:t>
      </w:r>
      <w:r>
        <w:rPr>
          <w:rFonts w:ascii="微软雅黑" w:hAnsi="微软雅黑" w:eastAsia="微软雅黑" w:cs="微软雅黑"/>
          <w:spacing w:val="13"/>
          <w:sz w:val="30"/>
          <w:szCs w:val="30"/>
          <w14:textOutline w14:w="5536" w14:cap="sq" w14:cmpd="sng">
            <w14:solidFill>
              <w14:srgbClr w14:val="000000"/>
            </w14:solidFill>
            <w14:prstDash w14:val="solid"/>
            <w14:bevel/>
          </w14:textOutline>
        </w:rPr>
        <w:t>☆投标报价明细</w:t>
      </w:r>
      <w:r>
        <w:rPr>
          <w:rFonts w:ascii="微软雅黑" w:hAnsi="微软雅黑" w:eastAsia="微软雅黑" w:cs="微软雅黑"/>
          <w:spacing w:val="10"/>
          <w:sz w:val="30"/>
          <w:szCs w:val="30"/>
          <w14:textOutline w14:w="5536" w14:cap="sq" w14:cmpd="sng">
            <w14:solidFill>
              <w14:srgbClr w14:val="000000"/>
            </w14:solidFill>
            <w14:prstDash w14:val="solid"/>
            <w14:bevel/>
          </w14:textOutline>
        </w:rPr>
        <w:t>表</w:t>
      </w:r>
    </w:p>
    <w:p>
      <w:pPr>
        <w:spacing w:line="270" w:lineRule="auto"/>
        <w:rPr>
          <w:rFonts w:ascii="Arial"/>
          <w:sz w:val="21"/>
        </w:rPr>
      </w:pPr>
    </w:p>
    <w:p>
      <w:pPr>
        <w:spacing w:before="72" w:line="185" w:lineRule="auto"/>
        <w:ind w:left="1388"/>
        <w:rPr>
          <w:rFonts w:ascii="宋体" w:hAnsi="宋体" w:eastAsia="宋体" w:cs="宋体"/>
          <w:sz w:val="22"/>
          <w:szCs w:val="22"/>
        </w:rPr>
      </w:pPr>
      <w:r>
        <w:rPr>
          <w:rFonts w:ascii="宋体" w:hAnsi="宋体" w:eastAsia="宋体" w:cs="宋体"/>
          <w:sz w:val="22"/>
          <w:szCs w:val="22"/>
        </w:rPr>
        <w:t>价格单位：元</w:t>
      </w:r>
    </w:p>
    <w:p>
      <w:pPr>
        <w:sectPr>
          <w:type w:val="continuous"/>
          <w:pgSz w:w="11906" w:h="16839"/>
          <w:pgMar w:top="400" w:right="1716" w:bottom="1335" w:left="1785" w:header="0" w:footer="1172" w:gutter="0"/>
          <w:pgNumType w:fmt="decimal"/>
          <w:cols w:equalWidth="0" w:num="2">
            <w:col w:w="2493" w:space="100"/>
            <w:col w:w="5811"/>
          </w:cols>
        </w:sectPr>
      </w:pPr>
    </w:p>
    <w:p/>
    <w:p>
      <w:pPr>
        <w:spacing w:line="18" w:lineRule="auto"/>
        <w:rPr>
          <w:rFonts w:ascii="Arial"/>
          <w:sz w:val="2"/>
        </w:rPr>
      </w:pPr>
    </w:p>
    <w:tbl>
      <w:tblPr>
        <w:tblStyle w:val="195"/>
        <w:tblW w:w="7908"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083"/>
        <w:gridCol w:w="1547"/>
        <w:gridCol w:w="1054"/>
        <w:gridCol w:w="1375"/>
        <w:gridCol w:w="1163"/>
        <w:gridCol w:w="9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23" w:type="dxa"/>
            <w:vAlign w:val="top"/>
          </w:tcPr>
          <w:p>
            <w:pPr>
              <w:spacing w:before="133" w:line="229" w:lineRule="auto"/>
              <w:ind w:left="12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083" w:type="dxa"/>
            <w:vAlign w:val="top"/>
          </w:tcPr>
          <w:p>
            <w:pPr>
              <w:spacing w:before="133" w:line="230" w:lineRule="auto"/>
              <w:ind w:left="309"/>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1547" w:type="dxa"/>
            <w:vAlign w:val="top"/>
          </w:tcPr>
          <w:p>
            <w:pPr>
              <w:spacing w:before="134" w:line="227" w:lineRule="auto"/>
              <w:ind w:left="567"/>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c>
          <w:tcPr>
            <w:tcW w:w="1054" w:type="dxa"/>
            <w:vAlign w:val="top"/>
          </w:tcPr>
          <w:p>
            <w:pPr>
              <w:spacing w:before="134" w:line="227" w:lineRule="auto"/>
              <w:ind w:left="294"/>
              <w:rPr>
                <w:rFonts w:ascii="宋体" w:hAnsi="宋体" w:eastAsia="宋体" w:cs="宋体"/>
                <w:sz w:val="23"/>
                <w:szCs w:val="23"/>
              </w:rPr>
            </w:pPr>
            <w:r>
              <w:rPr>
                <w:rFonts w:ascii="宋体" w:hAnsi="宋体" w:eastAsia="宋体" w:cs="宋体"/>
                <w:spacing w:val="4"/>
                <w:sz w:val="23"/>
                <w:szCs w:val="23"/>
              </w:rPr>
              <w:t>数量</w:t>
            </w:r>
          </w:p>
        </w:tc>
        <w:tc>
          <w:tcPr>
            <w:tcW w:w="1375" w:type="dxa"/>
            <w:vAlign w:val="top"/>
          </w:tcPr>
          <w:p>
            <w:pPr>
              <w:spacing w:before="133" w:line="228" w:lineRule="auto"/>
              <w:ind w:left="457"/>
              <w:rPr>
                <w:rFonts w:ascii="宋体" w:hAnsi="宋体" w:eastAsia="宋体" w:cs="宋体"/>
                <w:sz w:val="23"/>
                <w:szCs w:val="23"/>
              </w:rPr>
            </w:pPr>
            <w:r>
              <w:rPr>
                <w:rFonts w:ascii="宋体" w:hAnsi="宋体" w:eastAsia="宋体" w:cs="宋体"/>
                <w:spacing w:val="4"/>
                <w:sz w:val="23"/>
                <w:szCs w:val="23"/>
              </w:rPr>
              <w:t>单位</w:t>
            </w:r>
          </w:p>
        </w:tc>
        <w:tc>
          <w:tcPr>
            <w:tcW w:w="1163" w:type="dxa"/>
            <w:vAlign w:val="top"/>
          </w:tcPr>
          <w:p>
            <w:pPr>
              <w:spacing w:before="133" w:line="226" w:lineRule="auto"/>
              <w:ind w:left="352"/>
              <w:rPr>
                <w:rFonts w:ascii="宋体" w:hAnsi="宋体" w:eastAsia="宋体" w:cs="宋体"/>
                <w:sz w:val="23"/>
                <w:szCs w:val="23"/>
              </w:rPr>
            </w:pPr>
            <w:r>
              <w:rPr>
                <w:rFonts w:ascii="宋体" w:hAnsi="宋体" w:eastAsia="宋体" w:cs="宋体"/>
                <w:spacing w:val="4"/>
                <w:sz w:val="23"/>
                <w:szCs w:val="23"/>
              </w:rPr>
              <w:t>单价</w:t>
            </w:r>
          </w:p>
        </w:tc>
        <w:tc>
          <w:tcPr>
            <w:tcW w:w="963" w:type="dxa"/>
            <w:vAlign w:val="top"/>
          </w:tcPr>
          <w:p>
            <w:pPr>
              <w:spacing w:before="133" w:line="229" w:lineRule="auto"/>
              <w:ind w:left="254"/>
              <w:rPr>
                <w:rFonts w:ascii="宋体" w:hAnsi="宋体" w:eastAsia="宋体" w:cs="宋体"/>
                <w:sz w:val="23"/>
                <w:szCs w:val="23"/>
              </w:rPr>
            </w:pPr>
            <w:r>
              <w:rPr>
                <w:rFonts w:ascii="宋体" w:hAnsi="宋体" w:eastAsia="宋体" w:cs="宋体"/>
                <w:spacing w:val="2"/>
                <w:sz w:val="23"/>
                <w:szCs w:val="23"/>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vAlign w:val="top"/>
          </w:tcPr>
          <w:p>
            <w:pPr>
              <w:spacing w:before="154" w:line="192" w:lineRule="auto"/>
              <w:ind w:left="135"/>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1</w:t>
            </w:r>
          </w:p>
        </w:tc>
        <w:tc>
          <w:tcPr>
            <w:tcW w:w="1083" w:type="dxa"/>
            <w:vAlign w:val="top"/>
          </w:tcPr>
          <w:p>
            <w:pPr>
              <w:rPr>
                <w:rFonts w:ascii="Arial"/>
                <w:sz w:val="21"/>
              </w:rPr>
            </w:pPr>
          </w:p>
        </w:tc>
        <w:tc>
          <w:tcPr>
            <w:tcW w:w="1547" w:type="dxa"/>
            <w:vAlign w:val="top"/>
          </w:tcPr>
          <w:p>
            <w:pPr>
              <w:rPr>
                <w:rFonts w:ascii="Arial"/>
                <w:sz w:val="21"/>
              </w:rPr>
            </w:pPr>
          </w:p>
        </w:tc>
        <w:tc>
          <w:tcPr>
            <w:tcW w:w="1054" w:type="dxa"/>
            <w:vAlign w:val="top"/>
          </w:tcPr>
          <w:p>
            <w:pPr>
              <w:rPr>
                <w:rFonts w:ascii="Arial"/>
                <w:sz w:val="21"/>
              </w:rPr>
            </w:pPr>
          </w:p>
        </w:tc>
        <w:tc>
          <w:tcPr>
            <w:tcW w:w="1375" w:type="dxa"/>
            <w:vAlign w:val="top"/>
          </w:tcPr>
          <w:p>
            <w:pPr>
              <w:rPr>
                <w:rFonts w:ascii="Arial"/>
                <w:sz w:val="21"/>
              </w:rPr>
            </w:pPr>
          </w:p>
        </w:tc>
        <w:tc>
          <w:tcPr>
            <w:tcW w:w="1163" w:type="dxa"/>
            <w:vAlign w:val="top"/>
          </w:tcPr>
          <w:p>
            <w:pPr>
              <w:rPr>
                <w:rFonts w:ascii="Arial"/>
                <w:sz w:val="21"/>
              </w:rPr>
            </w:pPr>
          </w:p>
        </w:tc>
        <w:tc>
          <w:tcPr>
            <w:tcW w:w="9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3" w:type="dxa"/>
            <w:vAlign w:val="top"/>
          </w:tcPr>
          <w:p>
            <w:pPr>
              <w:spacing w:before="152" w:line="192" w:lineRule="auto"/>
              <w:ind w:left="12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2</w:t>
            </w:r>
          </w:p>
        </w:tc>
        <w:tc>
          <w:tcPr>
            <w:tcW w:w="1083" w:type="dxa"/>
            <w:vAlign w:val="top"/>
          </w:tcPr>
          <w:p>
            <w:pPr>
              <w:rPr>
                <w:rFonts w:ascii="Arial"/>
                <w:sz w:val="21"/>
              </w:rPr>
            </w:pPr>
          </w:p>
        </w:tc>
        <w:tc>
          <w:tcPr>
            <w:tcW w:w="1547" w:type="dxa"/>
            <w:vAlign w:val="top"/>
          </w:tcPr>
          <w:p>
            <w:pPr>
              <w:rPr>
                <w:rFonts w:ascii="Arial"/>
                <w:sz w:val="21"/>
              </w:rPr>
            </w:pPr>
          </w:p>
        </w:tc>
        <w:tc>
          <w:tcPr>
            <w:tcW w:w="1054" w:type="dxa"/>
            <w:vAlign w:val="top"/>
          </w:tcPr>
          <w:p>
            <w:pPr>
              <w:rPr>
                <w:rFonts w:ascii="Arial"/>
                <w:sz w:val="21"/>
              </w:rPr>
            </w:pPr>
          </w:p>
        </w:tc>
        <w:tc>
          <w:tcPr>
            <w:tcW w:w="1375" w:type="dxa"/>
            <w:vAlign w:val="top"/>
          </w:tcPr>
          <w:p>
            <w:pPr>
              <w:rPr>
                <w:rFonts w:ascii="Arial"/>
                <w:sz w:val="21"/>
              </w:rPr>
            </w:pPr>
          </w:p>
        </w:tc>
        <w:tc>
          <w:tcPr>
            <w:tcW w:w="1163" w:type="dxa"/>
            <w:vAlign w:val="top"/>
          </w:tcPr>
          <w:p>
            <w:pPr>
              <w:rPr>
                <w:rFonts w:ascii="Arial"/>
                <w:sz w:val="21"/>
              </w:rPr>
            </w:pPr>
          </w:p>
        </w:tc>
        <w:tc>
          <w:tcPr>
            <w:tcW w:w="9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vAlign w:val="top"/>
          </w:tcPr>
          <w:p>
            <w:pPr>
              <w:spacing w:before="154" w:line="190" w:lineRule="auto"/>
              <w:ind w:left="122"/>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3</w:t>
            </w:r>
          </w:p>
        </w:tc>
        <w:tc>
          <w:tcPr>
            <w:tcW w:w="1083" w:type="dxa"/>
            <w:vAlign w:val="top"/>
          </w:tcPr>
          <w:p>
            <w:pPr>
              <w:rPr>
                <w:rFonts w:ascii="Arial"/>
                <w:sz w:val="21"/>
              </w:rPr>
            </w:pPr>
          </w:p>
        </w:tc>
        <w:tc>
          <w:tcPr>
            <w:tcW w:w="1547" w:type="dxa"/>
            <w:vAlign w:val="top"/>
          </w:tcPr>
          <w:p>
            <w:pPr>
              <w:rPr>
                <w:rFonts w:ascii="Arial"/>
                <w:sz w:val="21"/>
              </w:rPr>
            </w:pPr>
          </w:p>
        </w:tc>
        <w:tc>
          <w:tcPr>
            <w:tcW w:w="1054" w:type="dxa"/>
            <w:vAlign w:val="top"/>
          </w:tcPr>
          <w:p>
            <w:pPr>
              <w:rPr>
                <w:rFonts w:ascii="Arial"/>
                <w:sz w:val="21"/>
              </w:rPr>
            </w:pPr>
          </w:p>
        </w:tc>
        <w:tc>
          <w:tcPr>
            <w:tcW w:w="1375" w:type="dxa"/>
            <w:vAlign w:val="top"/>
          </w:tcPr>
          <w:p>
            <w:pPr>
              <w:rPr>
                <w:rFonts w:ascii="Arial"/>
                <w:sz w:val="21"/>
              </w:rPr>
            </w:pPr>
          </w:p>
        </w:tc>
        <w:tc>
          <w:tcPr>
            <w:tcW w:w="1163" w:type="dxa"/>
            <w:vAlign w:val="top"/>
          </w:tcPr>
          <w:p>
            <w:pPr>
              <w:rPr>
                <w:rFonts w:ascii="Arial"/>
                <w:sz w:val="21"/>
              </w:rPr>
            </w:pPr>
          </w:p>
        </w:tc>
        <w:tc>
          <w:tcPr>
            <w:tcW w:w="9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vAlign w:val="top"/>
          </w:tcPr>
          <w:p>
            <w:pPr>
              <w:spacing w:before="153" w:line="192" w:lineRule="auto"/>
              <w:ind w:left="116"/>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4</w:t>
            </w:r>
          </w:p>
        </w:tc>
        <w:tc>
          <w:tcPr>
            <w:tcW w:w="1083" w:type="dxa"/>
            <w:vAlign w:val="top"/>
          </w:tcPr>
          <w:p>
            <w:pPr>
              <w:rPr>
                <w:rFonts w:ascii="Arial"/>
                <w:sz w:val="21"/>
              </w:rPr>
            </w:pPr>
          </w:p>
        </w:tc>
        <w:tc>
          <w:tcPr>
            <w:tcW w:w="1547" w:type="dxa"/>
            <w:vAlign w:val="top"/>
          </w:tcPr>
          <w:p>
            <w:pPr>
              <w:rPr>
                <w:rFonts w:ascii="Arial"/>
                <w:sz w:val="21"/>
              </w:rPr>
            </w:pPr>
          </w:p>
        </w:tc>
        <w:tc>
          <w:tcPr>
            <w:tcW w:w="1054" w:type="dxa"/>
            <w:vAlign w:val="top"/>
          </w:tcPr>
          <w:p>
            <w:pPr>
              <w:rPr>
                <w:rFonts w:ascii="Arial"/>
                <w:sz w:val="21"/>
              </w:rPr>
            </w:pPr>
          </w:p>
        </w:tc>
        <w:tc>
          <w:tcPr>
            <w:tcW w:w="1375" w:type="dxa"/>
            <w:vAlign w:val="top"/>
          </w:tcPr>
          <w:p>
            <w:pPr>
              <w:rPr>
                <w:rFonts w:ascii="Arial"/>
                <w:sz w:val="21"/>
              </w:rPr>
            </w:pPr>
          </w:p>
        </w:tc>
        <w:tc>
          <w:tcPr>
            <w:tcW w:w="1163" w:type="dxa"/>
            <w:vAlign w:val="top"/>
          </w:tcPr>
          <w:p>
            <w:pPr>
              <w:rPr>
                <w:rFonts w:ascii="Arial"/>
                <w:sz w:val="21"/>
              </w:rPr>
            </w:pPr>
          </w:p>
        </w:tc>
        <w:tc>
          <w:tcPr>
            <w:tcW w:w="9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vAlign w:val="top"/>
          </w:tcPr>
          <w:p>
            <w:pPr>
              <w:spacing w:before="156" w:line="189" w:lineRule="auto"/>
              <w:ind w:left="122"/>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5</w:t>
            </w:r>
          </w:p>
        </w:tc>
        <w:tc>
          <w:tcPr>
            <w:tcW w:w="1083" w:type="dxa"/>
            <w:vAlign w:val="top"/>
          </w:tcPr>
          <w:p>
            <w:pPr>
              <w:rPr>
                <w:rFonts w:ascii="Arial"/>
                <w:sz w:val="21"/>
              </w:rPr>
            </w:pPr>
          </w:p>
        </w:tc>
        <w:tc>
          <w:tcPr>
            <w:tcW w:w="1547" w:type="dxa"/>
            <w:vAlign w:val="top"/>
          </w:tcPr>
          <w:p>
            <w:pPr>
              <w:rPr>
                <w:rFonts w:ascii="Arial"/>
                <w:sz w:val="21"/>
              </w:rPr>
            </w:pPr>
          </w:p>
        </w:tc>
        <w:tc>
          <w:tcPr>
            <w:tcW w:w="1054" w:type="dxa"/>
            <w:vAlign w:val="top"/>
          </w:tcPr>
          <w:p>
            <w:pPr>
              <w:rPr>
                <w:rFonts w:ascii="Arial"/>
                <w:sz w:val="21"/>
              </w:rPr>
            </w:pPr>
          </w:p>
        </w:tc>
        <w:tc>
          <w:tcPr>
            <w:tcW w:w="1375" w:type="dxa"/>
            <w:vAlign w:val="top"/>
          </w:tcPr>
          <w:p>
            <w:pPr>
              <w:rPr>
                <w:rFonts w:ascii="Arial"/>
                <w:sz w:val="21"/>
              </w:rPr>
            </w:pPr>
          </w:p>
        </w:tc>
        <w:tc>
          <w:tcPr>
            <w:tcW w:w="1163" w:type="dxa"/>
            <w:vAlign w:val="top"/>
          </w:tcPr>
          <w:p>
            <w:pPr>
              <w:rPr>
                <w:rFonts w:ascii="Arial"/>
                <w:sz w:val="21"/>
              </w:rPr>
            </w:pPr>
          </w:p>
        </w:tc>
        <w:tc>
          <w:tcPr>
            <w:tcW w:w="9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3" w:type="dxa"/>
            <w:vAlign w:val="top"/>
          </w:tcPr>
          <w:p>
            <w:pPr>
              <w:spacing w:before="117" w:line="370" w:lineRule="exact"/>
              <w:ind w:left="132"/>
              <w:rPr>
                <w:rFonts w:ascii="宋体" w:hAnsi="宋体" w:eastAsia="宋体" w:cs="宋体"/>
                <w:sz w:val="23"/>
                <w:szCs w:val="23"/>
              </w:rPr>
            </w:pPr>
            <w:r>
              <w:rPr>
                <w:rFonts w:ascii="宋体" w:hAnsi="宋体" w:eastAsia="宋体" w:cs="宋体"/>
                <w:position w:val="3"/>
                <w:sz w:val="23"/>
                <w:szCs w:val="23"/>
                <w14:textOutline w14:w="4358" w14:cap="sq" w14:cmpd="sng">
                  <w14:solidFill>
                    <w14:srgbClr w14:val="000000"/>
                  </w14:solidFill>
                  <w14:prstDash w14:val="solid"/>
                  <w14:bevel/>
                </w14:textOutline>
              </w:rPr>
              <w:t>…</w:t>
            </w:r>
          </w:p>
        </w:tc>
        <w:tc>
          <w:tcPr>
            <w:tcW w:w="1083" w:type="dxa"/>
            <w:vAlign w:val="top"/>
          </w:tcPr>
          <w:p>
            <w:pPr>
              <w:rPr>
                <w:rFonts w:ascii="Arial"/>
                <w:sz w:val="21"/>
              </w:rPr>
            </w:pPr>
          </w:p>
        </w:tc>
        <w:tc>
          <w:tcPr>
            <w:tcW w:w="1547" w:type="dxa"/>
            <w:vAlign w:val="top"/>
          </w:tcPr>
          <w:p>
            <w:pPr>
              <w:rPr>
                <w:rFonts w:ascii="Arial"/>
                <w:sz w:val="21"/>
              </w:rPr>
            </w:pPr>
          </w:p>
        </w:tc>
        <w:tc>
          <w:tcPr>
            <w:tcW w:w="1054" w:type="dxa"/>
            <w:vAlign w:val="top"/>
          </w:tcPr>
          <w:p>
            <w:pPr>
              <w:rPr>
                <w:rFonts w:ascii="Arial"/>
                <w:sz w:val="21"/>
              </w:rPr>
            </w:pPr>
          </w:p>
        </w:tc>
        <w:tc>
          <w:tcPr>
            <w:tcW w:w="1375" w:type="dxa"/>
            <w:vAlign w:val="top"/>
          </w:tcPr>
          <w:p>
            <w:pPr>
              <w:rPr>
                <w:rFonts w:ascii="Arial"/>
                <w:sz w:val="21"/>
              </w:rPr>
            </w:pPr>
          </w:p>
        </w:tc>
        <w:tc>
          <w:tcPr>
            <w:tcW w:w="1163" w:type="dxa"/>
            <w:vAlign w:val="top"/>
          </w:tcPr>
          <w:p>
            <w:pPr>
              <w:rPr>
                <w:rFonts w:ascii="Arial"/>
                <w:sz w:val="21"/>
              </w:rPr>
            </w:pPr>
          </w:p>
        </w:tc>
        <w:tc>
          <w:tcPr>
            <w:tcW w:w="9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06" w:type="dxa"/>
            <w:gridSpan w:val="2"/>
            <w:vAlign w:val="top"/>
          </w:tcPr>
          <w:p>
            <w:pPr>
              <w:spacing w:before="118" w:line="229" w:lineRule="auto"/>
              <w:ind w:left="124"/>
              <w:rPr>
                <w:rFonts w:ascii="宋体" w:hAnsi="宋体" w:eastAsia="宋体" w:cs="宋体"/>
                <w:sz w:val="23"/>
                <w:szCs w:val="23"/>
              </w:rPr>
            </w:pPr>
            <w:r>
              <w:rPr>
                <w:rFonts w:ascii="宋体" w:hAnsi="宋体" w:eastAsia="宋体" w:cs="宋体"/>
                <w:spacing w:val="2"/>
                <w:sz w:val="23"/>
                <w:szCs w:val="23"/>
              </w:rPr>
              <w:t>总计</w:t>
            </w:r>
          </w:p>
        </w:tc>
        <w:tc>
          <w:tcPr>
            <w:tcW w:w="6102"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1" w:hRule="atLeast"/>
        </w:trPr>
        <w:tc>
          <w:tcPr>
            <w:tcW w:w="1806" w:type="dxa"/>
            <w:gridSpan w:val="2"/>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6" w:lineRule="auto"/>
              <w:ind w:left="432"/>
              <w:rPr>
                <w:rFonts w:ascii="宋体" w:hAnsi="宋体" w:eastAsia="宋体" w:cs="宋体"/>
                <w:sz w:val="23"/>
                <w:szCs w:val="23"/>
              </w:rPr>
            </w:pPr>
            <w:r>
              <w:rPr>
                <w:rFonts w:ascii="宋体" w:hAnsi="宋体" w:eastAsia="宋体" w:cs="宋体"/>
                <w:spacing w:val="7"/>
                <w:sz w:val="23"/>
                <w:szCs w:val="23"/>
              </w:rPr>
              <w:t>投标总</w:t>
            </w:r>
            <w:r>
              <w:rPr>
                <w:rFonts w:ascii="宋体" w:hAnsi="宋体" w:eastAsia="宋体" w:cs="宋体"/>
                <w:spacing w:val="6"/>
                <w:sz w:val="23"/>
                <w:szCs w:val="23"/>
              </w:rPr>
              <w:t>价</w:t>
            </w:r>
          </w:p>
        </w:tc>
        <w:tc>
          <w:tcPr>
            <w:tcW w:w="6102" w:type="dxa"/>
            <w:gridSpan w:val="5"/>
            <w:vAlign w:val="top"/>
          </w:tcPr>
          <w:p>
            <w:pPr>
              <w:spacing w:line="333" w:lineRule="auto"/>
              <w:rPr>
                <w:rFonts w:ascii="Arial"/>
                <w:sz w:val="21"/>
              </w:rPr>
            </w:pPr>
          </w:p>
          <w:p>
            <w:pPr>
              <w:spacing w:line="333" w:lineRule="auto"/>
              <w:rPr>
                <w:rFonts w:ascii="Arial"/>
                <w:sz w:val="21"/>
              </w:rPr>
            </w:pPr>
          </w:p>
          <w:p>
            <w:pPr>
              <w:spacing w:before="74" w:line="227" w:lineRule="auto"/>
              <w:ind w:left="116"/>
              <w:rPr>
                <w:rFonts w:ascii="宋体" w:hAnsi="宋体" w:eastAsia="宋体" w:cs="宋体"/>
                <w:sz w:val="23"/>
                <w:szCs w:val="23"/>
              </w:rPr>
            </w:pPr>
            <w:r>
              <w:rPr>
                <w:rFonts w:ascii="宋体" w:hAnsi="宋体" w:eastAsia="宋体" w:cs="宋体"/>
                <w:spacing w:val="7"/>
                <w:sz w:val="23"/>
                <w:szCs w:val="23"/>
              </w:rPr>
              <w:t xml:space="preserve">人民币：元整 (大写) </w:t>
            </w:r>
            <w:r>
              <w:rPr>
                <w:rFonts w:ascii="宋体" w:hAnsi="宋体" w:eastAsia="宋体" w:cs="宋体"/>
                <w:spacing w:val="5"/>
                <w:sz w:val="23"/>
                <w:szCs w:val="23"/>
              </w:rPr>
              <w:t>；</w:t>
            </w: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before="75" w:line="242" w:lineRule="auto"/>
              <w:ind w:left="120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1"/>
                <w:sz w:val="23"/>
                <w:szCs w:val="23"/>
              </w:rPr>
              <w:t xml:space="preserve"> ：元。</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75" w:line="227" w:lineRule="auto"/>
              <w:ind w:left="3475"/>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8"/>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806" w:type="dxa"/>
            <w:gridSpan w:val="2"/>
            <w:vAlign w:val="top"/>
          </w:tcPr>
          <w:p>
            <w:pPr>
              <w:spacing w:before="120" w:line="229" w:lineRule="auto"/>
              <w:ind w:left="672"/>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6102" w:type="dxa"/>
            <w:gridSpan w:val="5"/>
            <w:vAlign w:val="top"/>
          </w:tcPr>
          <w:p>
            <w:pPr>
              <w:rPr>
                <w:rFonts w:ascii="Arial"/>
                <w:sz w:val="21"/>
              </w:rPr>
            </w:pPr>
          </w:p>
        </w:tc>
      </w:tr>
    </w:tbl>
    <w:p>
      <w:pPr>
        <w:spacing w:before="114" w:line="227" w:lineRule="auto"/>
        <w:ind w:left="23"/>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line="269" w:lineRule="auto"/>
        <w:rPr>
          <w:rFonts w:ascii="Arial"/>
          <w:sz w:val="21"/>
        </w:rPr>
      </w:pPr>
    </w:p>
    <w:p>
      <w:pPr>
        <w:spacing w:before="74" w:line="311" w:lineRule="exact"/>
        <w:ind w:left="758"/>
        <w:rPr>
          <w:rFonts w:ascii="宋体" w:hAnsi="宋体" w:eastAsia="宋体" w:cs="宋体"/>
          <w:sz w:val="23"/>
          <w:szCs w:val="23"/>
        </w:rPr>
      </w:pPr>
      <w:r>
        <w:rPr>
          <w:rFonts w:ascii="宋体" w:hAnsi="宋体" w:eastAsia="宋体" w:cs="宋体"/>
          <w:spacing w:val="-2"/>
          <w:position w:val="1"/>
          <w:sz w:val="23"/>
          <w:szCs w:val="23"/>
        </w:rPr>
        <w:t>1、报价分析表中的“投标总价”应等于“开标一览表”中的</w:t>
      </w:r>
      <w:r>
        <w:rPr>
          <w:rFonts w:ascii="宋体" w:hAnsi="宋体" w:eastAsia="宋体" w:cs="宋体"/>
          <w:spacing w:val="-1"/>
          <w:position w:val="1"/>
          <w:sz w:val="23"/>
          <w:szCs w:val="23"/>
        </w:rPr>
        <w:t>“投标总价”。</w:t>
      </w:r>
    </w:p>
    <w:p>
      <w:pPr>
        <w:spacing w:line="242" w:lineRule="auto"/>
        <w:rPr>
          <w:rFonts w:ascii="Arial"/>
          <w:sz w:val="21"/>
        </w:rPr>
      </w:pPr>
    </w:p>
    <w:p>
      <w:pPr>
        <w:spacing w:before="75" w:line="310" w:lineRule="exact"/>
        <w:ind w:left="743"/>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8"/>
          <w:position w:val="1"/>
          <w:sz w:val="23"/>
          <w:szCs w:val="23"/>
        </w:rPr>
        <w:t>、报价项目填报不下的，可自行扩展。</w:t>
      </w:r>
    </w:p>
    <w:p>
      <w:pPr>
        <w:rPr>
          <w:rFonts w:ascii="Arial"/>
          <w:sz w:val="21"/>
        </w:rPr>
      </w:pPr>
    </w:p>
    <w:p>
      <w:pPr>
        <w:spacing w:before="75" w:line="192" w:lineRule="auto"/>
        <w:ind w:left="745"/>
        <w:outlineLvl w:val="2"/>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8"/>
          <w:sz w:val="23"/>
          <w:szCs w:val="23"/>
        </w:rPr>
        <w:t>、对于报价免费的项目应标明“免费”；</w:t>
      </w:r>
    </w:p>
    <w:p>
      <w:pPr>
        <w:sectPr>
          <w:type w:val="continuous"/>
          <w:pgSz w:w="11906" w:h="16839"/>
          <w:pgMar w:top="400" w:right="1716" w:bottom="1335" w:left="1785" w:header="0" w:footer="1172" w:gutter="0"/>
          <w:pgNumType w:fmt="decimal"/>
          <w:cols w:equalWidth="0" w:num="1">
            <w:col w:w="8404"/>
          </w:cols>
        </w:sectPr>
      </w:pPr>
    </w:p>
    <w:p>
      <w:pPr>
        <w:spacing w:line="342" w:lineRule="auto"/>
        <w:rPr>
          <w:rFonts w:ascii="Arial"/>
          <w:sz w:val="21"/>
        </w:rPr>
      </w:pPr>
    </w:p>
    <w:p>
      <w:pPr>
        <w:tabs>
          <w:tab w:val="left" w:pos="203"/>
        </w:tabs>
        <w:spacing w:before="133" w:line="186" w:lineRule="auto"/>
        <w:ind w:left="49"/>
        <w:outlineLvl w:val="2"/>
        <w:rPr>
          <w:rFonts w:ascii="微软雅黑" w:hAnsi="微软雅黑" w:eastAsia="微软雅黑" w:cs="微软雅黑"/>
          <w:sz w:val="31"/>
          <w:szCs w:val="31"/>
        </w:rPr>
      </w:pPr>
      <w:bookmarkStart w:id="305" w:name="_bookmark26"/>
      <w:bookmarkEnd w:id="305"/>
      <w:r>
        <w:rPr>
          <w:rFonts w:ascii="微软雅黑" w:hAnsi="微软雅黑" w:eastAsia="微软雅黑" w:cs="微软雅黑"/>
          <w:b/>
          <w:bCs/>
          <w:sz w:val="31"/>
          <w:szCs w:val="31"/>
        </w:rPr>
        <w:tab/>
      </w:r>
      <w:r>
        <w:rPr>
          <w:rFonts w:ascii="微软雅黑" w:hAnsi="微软雅黑" w:eastAsia="微软雅黑" w:cs="微软雅黑"/>
          <w:spacing w:val="18"/>
          <w:sz w:val="31"/>
          <w:szCs w:val="31"/>
          <w14:textOutline w14:w="5793" w14:cap="sq" w14:cmpd="sng">
            <w14:solidFill>
              <w14:srgbClr w14:val="000000"/>
            </w14:solidFill>
            <w14:prstDash w14:val="solid"/>
            <w14:bevel/>
          </w14:textOutline>
        </w:rPr>
        <w:t>(</w:t>
      </w:r>
      <w:r>
        <w:rPr>
          <w:rFonts w:ascii="微软雅黑" w:hAnsi="微软雅黑" w:eastAsia="微软雅黑" w:cs="微软雅黑"/>
          <w:spacing w:val="17"/>
          <w:sz w:val="31"/>
          <w:szCs w:val="31"/>
          <w14:textOutline w14:w="5793" w14:cap="sq" w14:cmpd="sng">
            <w14:solidFill>
              <w14:srgbClr w14:val="000000"/>
            </w14:solidFill>
            <w14:prstDash w14:val="solid"/>
            <w14:bevel/>
          </w14:textOutline>
        </w:rPr>
        <w:t>四)</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5793" w14:cap="sq" w14:cmpd="sng">
            <w14:solidFill>
              <w14:srgbClr w14:val="000000"/>
            </w14:solidFill>
            <w14:prstDash w14:val="solid"/>
            <w14:bevel/>
          </w14:textOutline>
        </w:rPr>
        <w:t>☆服务承诺书</w:t>
      </w:r>
    </w:p>
    <w:p>
      <w:pPr>
        <w:spacing w:line="255" w:lineRule="auto"/>
        <w:rPr>
          <w:rFonts w:ascii="Arial"/>
          <w:sz w:val="21"/>
        </w:rPr>
      </w:pPr>
    </w:p>
    <w:p>
      <w:pPr>
        <w:spacing w:before="75" w:line="227" w:lineRule="auto"/>
        <w:ind w:left="263"/>
        <w:rPr>
          <w:rFonts w:ascii="宋体" w:hAnsi="宋体" w:eastAsia="宋体" w:cs="宋体"/>
          <w:sz w:val="23"/>
          <w:szCs w:val="23"/>
        </w:rPr>
      </w:pPr>
      <w:r>
        <w:rPr>
          <w:rFonts w:ascii="宋体" w:hAnsi="宋体" w:eastAsia="宋体" w:cs="宋体"/>
          <w:spacing w:val="16"/>
          <w:sz w:val="23"/>
          <w:szCs w:val="23"/>
        </w:rPr>
        <w:t>说</w:t>
      </w:r>
      <w:r>
        <w:rPr>
          <w:rFonts w:ascii="宋体" w:hAnsi="宋体" w:eastAsia="宋体" w:cs="宋体"/>
          <w:spacing w:val="13"/>
          <w:sz w:val="23"/>
          <w:szCs w:val="23"/>
        </w:rPr>
        <w:t>明</w:t>
      </w:r>
      <w:r>
        <w:rPr>
          <w:rFonts w:ascii="宋体" w:hAnsi="宋体" w:eastAsia="宋体" w:cs="宋体"/>
          <w:spacing w:val="8"/>
          <w:sz w:val="23"/>
          <w:szCs w:val="23"/>
        </w:rPr>
        <w:t>：此处上传服务承诺书，格式自拟；</w:t>
      </w:r>
    </w:p>
    <w:p>
      <w:pPr>
        <w:sectPr>
          <w:headerReference r:id="rId28" w:type="default"/>
          <w:footerReference r:id="rId29" w:type="default"/>
          <w:pgSz w:w="11906" w:h="16839"/>
          <w:pgMar w:top="1117" w:right="1785" w:bottom="1335" w:left="1785" w:header="1108" w:footer="1172" w:gutter="0"/>
          <w:pgNumType w:fmt="decimal"/>
          <w:cols w:space="720" w:num="1"/>
        </w:sectPr>
      </w:pPr>
    </w:p>
    <w:p>
      <w:pPr>
        <w:spacing w:line="263" w:lineRule="auto"/>
        <w:rPr>
          <w:rFonts w:ascii="Arial"/>
          <w:sz w:val="21"/>
        </w:rPr>
      </w:pPr>
    </w:p>
    <w:p>
      <w:pPr>
        <w:tabs>
          <w:tab w:val="left" w:pos="2533"/>
        </w:tabs>
        <w:spacing w:before="133" w:line="186" w:lineRule="auto"/>
        <w:ind w:left="2378"/>
        <w:rPr>
          <w:rFonts w:ascii="微软雅黑" w:hAnsi="微软雅黑" w:eastAsia="微软雅黑" w:cs="微软雅黑"/>
          <w:sz w:val="31"/>
          <w:szCs w:val="31"/>
        </w:rPr>
      </w:pPr>
      <w:bookmarkStart w:id="306" w:name="_bookmark27"/>
      <w:bookmarkEnd w:id="306"/>
      <w:r>
        <w:rPr>
          <w:rFonts w:ascii="微软雅黑" w:hAnsi="微软雅黑" w:eastAsia="微软雅黑" w:cs="微软雅黑"/>
          <w:b/>
          <w:bCs/>
          <w:sz w:val="31"/>
          <w:szCs w:val="31"/>
        </w:rPr>
        <w:tab/>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(五)</w:t>
      </w:r>
      <w:r>
        <w:rPr>
          <w:rFonts w:ascii="微软雅黑" w:hAnsi="微软雅黑" w:eastAsia="微软雅黑" w:cs="微软雅黑"/>
          <w:spacing w:val="12"/>
          <w:sz w:val="31"/>
          <w:szCs w:val="31"/>
        </w:rPr>
        <w:t xml:space="preserve">  </w:t>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商务条款偏离说明表</w:t>
      </w:r>
    </w:p>
    <w:p>
      <w:pPr>
        <w:spacing w:line="216" w:lineRule="exact"/>
      </w:pPr>
    </w:p>
    <w:tbl>
      <w:tblPr>
        <w:tblStyle w:val="195"/>
        <w:tblW w:w="8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3123"/>
        <w:gridCol w:w="2110"/>
        <w:gridCol w:w="1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425" w:type="dxa"/>
            <w:vAlign w:val="top"/>
          </w:tcPr>
          <w:p>
            <w:pPr>
              <w:spacing w:before="54" w:line="229" w:lineRule="auto"/>
              <w:ind w:left="116"/>
              <w:outlineLvl w:val="2"/>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123" w:type="dxa"/>
            <w:vAlign w:val="top"/>
          </w:tcPr>
          <w:p>
            <w:pPr>
              <w:spacing w:before="54" w:line="228" w:lineRule="auto"/>
              <w:ind w:left="114"/>
              <w:outlineLvl w:val="2"/>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7"/>
                <w:sz w:val="23"/>
                <w:szCs w:val="23"/>
              </w:rPr>
              <w:t>标要求</w:t>
            </w:r>
          </w:p>
        </w:tc>
        <w:tc>
          <w:tcPr>
            <w:tcW w:w="2110" w:type="dxa"/>
            <w:vAlign w:val="top"/>
          </w:tcPr>
          <w:p>
            <w:pPr>
              <w:spacing w:before="54" w:line="228" w:lineRule="auto"/>
              <w:ind w:left="118"/>
              <w:outlineLvl w:val="2"/>
              <w:rPr>
                <w:rFonts w:ascii="宋体" w:hAnsi="宋体" w:eastAsia="宋体" w:cs="宋体"/>
                <w:sz w:val="23"/>
                <w:szCs w:val="23"/>
              </w:rPr>
            </w:pPr>
            <w:r>
              <w:rPr>
                <w:rFonts w:ascii="宋体" w:hAnsi="宋体" w:eastAsia="宋体" w:cs="宋体"/>
                <w:spacing w:val="7"/>
                <w:sz w:val="23"/>
                <w:szCs w:val="23"/>
              </w:rPr>
              <w:t>投标响</w:t>
            </w:r>
            <w:r>
              <w:rPr>
                <w:rFonts w:ascii="宋体" w:hAnsi="宋体" w:eastAsia="宋体" w:cs="宋体"/>
                <w:spacing w:val="6"/>
                <w:sz w:val="23"/>
                <w:szCs w:val="23"/>
              </w:rPr>
              <w:t>应</w:t>
            </w:r>
          </w:p>
        </w:tc>
        <w:tc>
          <w:tcPr>
            <w:tcW w:w="1660" w:type="dxa"/>
            <w:vAlign w:val="top"/>
          </w:tcPr>
          <w:p>
            <w:pPr>
              <w:spacing w:before="55" w:line="227" w:lineRule="auto"/>
              <w:ind w:left="117"/>
              <w:outlineLvl w:val="2"/>
              <w:rPr>
                <w:rFonts w:ascii="宋体" w:hAnsi="宋体" w:eastAsia="宋体" w:cs="宋体"/>
                <w:sz w:val="23"/>
                <w:szCs w:val="23"/>
              </w:rPr>
            </w:pPr>
            <w:r>
              <w:rPr>
                <w:rFonts w:ascii="宋体" w:hAnsi="宋体" w:eastAsia="宋体" w:cs="宋体"/>
                <w:spacing w:val="9"/>
                <w:sz w:val="23"/>
                <w:szCs w:val="23"/>
              </w:rPr>
              <w:t>偏</w:t>
            </w:r>
            <w:r>
              <w:rPr>
                <w:rFonts w:ascii="宋体" w:hAnsi="宋体" w:eastAsia="宋体" w:cs="宋体"/>
                <w:spacing w:val="7"/>
                <w:sz w:val="23"/>
                <w:szCs w:val="23"/>
              </w:rPr>
              <w:t>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vAlign w:val="top"/>
          </w:tcPr>
          <w:p>
            <w:pPr>
              <w:rPr>
                <w:rFonts w:ascii="Arial"/>
                <w:sz w:val="21"/>
              </w:rPr>
            </w:pPr>
          </w:p>
        </w:tc>
        <w:tc>
          <w:tcPr>
            <w:tcW w:w="3123" w:type="dxa"/>
            <w:vAlign w:val="top"/>
          </w:tcPr>
          <w:p>
            <w:pPr>
              <w:rPr>
                <w:rFonts w:ascii="Arial"/>
                <w:sz w:val="21"/>
              </w:rPr>
            </w:pPr>
          </w:p>
        </w:tc>
        <w:tc>
          <w:tcPr>
            <w:tcW w:w="2110" w:type="dxa"/>
            <w:vAlign w:val="top"/>
          </w:tcPr>
          <w:p>
            <w:pPr>
              <w:rPr>
                <w:rFonts w:ascii="Arial"/>
                <w:sz w:val="21"/>
              </w:rPr>
            </w:pPr>
          </w:p>
        </w:tc>
        <w:tc>
          <w:tcPr>
            <w:tcW w:w="1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vAlign w:val="top"/>
          </w:tcPr>
          <w:p>
            <w:pPr>
              <w:rPr>
                <w:rFonts w:ascii="Arial"/>
                <w:sz w:val="21"/>
              </w:rPr>
            </w:pPr>
          </w:p>
        </w:tc>
        <w:tc>
          <w:tcPr>
            <w:tcW w:w="3123" w:type="dxa"/>
            <w:vAlign w:val="top"/>
          </w:tcPr>
          <w:p>
            <w:pPr>
              <w:rPr>
                <w:rFonts w:ascii="Arial"/>
                <w:sz w:val="21"/>
              </w:rPr>
            </w:pPr>
          </w:p>
        </w:tc>
        <w:tc>
          <w:tcPr>
            <w:tcW w:w="2110" w:type="dxa"/>
            <w:vAlign w:val="top"/>
          </w:tcPr>
          <w:p>
            <w:pPr>
              <w:rPr>
                <w:rFonts w:ascii="Arial"/>
                <w:sz w:val="21"/>
              </w:rPr>
            </w:pPr>
          </w:p>
        </w:tc>
        <w:tc>
          <w:tcPr>
            <w:tcW w:w="1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8" w:hRule="atLeast"/>
        </w:trPr>
        <w:tc>
          <w:tcPr>
            <w:tcW w:w="1425" w:type="dxa"/>
            <w:vAlign w:val="top"/>
          </w:tcPr>
          <w:p>
            <w:pPr>
              <w:rPr>
                <w:rFonts w:ascii="Arial"/>
                <w:sz w:val="21"/>
              </w:rPr>
            </w:pPr>
          </w:p>
        </w:tc>
        <w:tc>
          <w:tcPr>
            <w:tcW w:w="3123" w:type="dxa"/>
            <w:vAlign w:val="top"/>
          </w:tcPr>
          <w:p>
            <w:pPr>
              <w:rPr>
                <w:rFonts w:ascii="Arial"/>
                <w:sz w:val="21"/>
              </w:rPr>
            </w:pPr>
          </w:p>
        </w:tc>
        <w:tc>
          <w:tcPr>
            <w:tcW w:w="2110" w:type="dxa"/>
            <w:vAlign w:val="top"/>
          </w:tcPr>
          <w:p>
            <w:pPr>
              <w:rPr>
                <w:rFonts w:ascii="Arial"/>
                <w:sz w:val="21"/>
              </w:rPr>
            </w:pPr>
          </w:p>
        </w:tc>
        <w:tc>
          <w:tcPr>
            <w:tcW w:w="1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425" w:type="dxa"/>
            <w:vAlign w:val="top"/>
          </w:tcPr>
          <w:p>
            <w:pPr>
              <w:rPr>
                <w:rFonts w:ascii="Arial"/>
                <w:sz w:val="21"/>
              </w:rPr>
            </w:pPr>
          </w:p>
        </w:tc>
        <w:tc>
          <w:tcPr>
            <w:tcW w:w="3123" w:type="dxa"/>
            <w:vAlign w:val="top"/>
          </w:tcPr>
          <w:p>
            <w:pPr>
              <w:rPr>
                <w:rFonts w:ascii="Arial"/>
                <w:sz w:val="21"/>
              </w:rPr>
            </w:pPr>
          </w:p>
        </w:tc>
        <w:tc>
          <w:tcPr>
            <w:tcW w:w="2110" w:type="dxa"/>
            <w:vAlign w:val="top"/>
          </w:tcPr>
          <w:p>
            <w:pPr>
              <w:rPr>
                <w:rFonts w:ascii="Arial"/>
                <w:sz w:val="21"/>
              </w:rPr>
            </w:pPr>
          </w:p>
        </w:tc>
        <w:tc>
          <w:tcPr>
            <w:tcW w:w="1660" w:type="dxa"/>
            <w:vAlign w:val="top"/>
          </w:tcPr>
          <w:p>
            <w:pPr>
              <w:rPr>
                <w:rFonts w:ascii="Arial"/>
                <w:sz w:val="21"/>
              </w:rPr>
            </w:pPr>
          </w:p>
        </w:tc>
      </w:tr>
    </w:tbl>
    <w:p>
      <w:pPr>
        <w:spacing w:before="49" w:line="227" w:lineRule="auto"/>
        <w:ind w:left="125"/>
        <w:outlineLvl w:val="2"/>
        <w:rPr>
          <w:rFonts w:ascii="宋体" w:hAnsi="宋体" w:eastAsia="宋体" w:cs="宋体"/>
          <w:sz w:val="23"/>
          <w:szCs w:val="23"/>
        </w:rPr>
      </w:pPr>
      <w:r>
        <w:rPr>
          <w:rFonts w:ascii="宋体" w:hAnsi="宋体" w:eastAsia="宋体" w:cs="宋体"/>
          <w:spacing w:val="10"/>
          <w:sz w:val="23"/>
          <w:szCs w:val="23"/>
        </w:rPr>
        <w:t>说</w:t>
      </w:r>
      <w:r>
        <w:rPr>
          <w:rFonts w:ascii="宋体" w:hAnsi="宋体" w:eastAsia="宋体" w:cs="宋体"/>
          <w:spacing w:val="9"/>
          <w:sz w:val="23"/>
          <w:szCs w:val="23"/>
        </w:rPr>
        <w:t>明：填报不下的，可自行扩展</w:t>
      </w:r>
    </w:p>
    <w:p>
      <w:pPr>
        <w:sectPr>
          <w:headerReference r:id="rId30" w:type="default"/>
          <w:footerReference r:id="rId31" w:type="default"/>
          <w:pgSz w:w="11906" w:h="16839"/>
          <w:pgMar w:top="400" w:right="1785" w:bottom="1335" w:left="1684" w:header="0" w:footer="1172" w:gutter="0"/>
          <w:pgNumType w:fmt="decimal"/>
          <w:cols w:space="720" w:num="1"/>
        </w:sect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tabs>
          <w:tab w:val="left" w:pos="2211"/>
        </w:tabs>
        <w:spacing w:before="133" w:line="186" w:lineRule="auto"/>
        <w:ind w:left="2056"/>
        <w:rPr>
          <w:rFonts w:ascii="微软雅黑" w:hAnsi="微软雅黑" w:eastAsia="微软雅黑" w:cs="微软雅黑"/>
          <w:sz w:val="31"/>
          <w:szCs w:val="31"/>
        </w:rPr>
      </w:pPr>
      <w:bookmarkStart w:id="307" w:name="_bookmark28"/>
      <w:bookmarkEnd w:id="307"/>
      <w:r>
        <w:rPr>
          <w:rFonts w:ascii="微软雅黑" w:hAnsi="微软雅黑" w:eastAsia="微软雅黑" w:cs="微软雅黑"/>
          <w:b/>
          <w:bCs/>
          <w:sz w:val="31"/>
          <w:szCs w:val="31"/>
        </w:rPr>
        <w:tab/>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(六)</w:t>
      </w:r>
      <w:r>
        <w:rPr>
          <w:rFonts w:ascii="微软雅黑" w:hAnsi="微软雅黑" w:eastAsia="微软雅黑" w:cs="微软雅黑"/>
          <w:spacing w:val="12"/>
          <w:sz w:val="31"/>
          <w:szCs w:val="31"/>
        </w:rPr>
        <w:t xml:space="preserve">  </w:t>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产品技术规格偏离说明表</w:t>
      </w:r>
    </w:p>
    <w:p>
      <w:pPr>
        <w:spacing w:line="216" w:lineRule="exact"/>
      </w:pPr>
    </w:p>
    <w:tbl>
      <w:tblPr>
        <w:tblStyle w:val="195"/>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1420"/>
        <w:gridCol w:w="2158"/>
        <w:gridCol w:w="1919"/>
        <w:gridCol w:w="1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425" w:type="dxa"/>
            <w:vAlign w:val="top"/>
          </w:tcPr>
          <w:p>
            <w:pPr>
              <w:spacing w:before="63" w:line="222" w:lineRule="auto"/>
              <w:ind w:left="116"/>
              <w:rPr>
                <w:rFonts w:ascii="宋体" w:hAnsi="宋体" w:eastAsia="宋体" w:cs="宋体"/>
                <w:sz w:val="22"/>
                <w:szCs w:val="22"/>
              </w:rPr>
            </w:pPr>
            <w:r>
              <w:rPr>
                <w:rFonts w:ascii="宋体" w:hAnsi="宋体" w:eastAsia="宋体" w:cs="宋体"/>
                <w:spacing w:val="-3"/>
                <w:sz w:val="22"/>
                <w:szCs w:val="22"/>
              </w:rPr>
              <w:t>序号</w:t>
            </w:r>
          </w:p>
        </w:tc>
        <w:tc>
          <w:tcPr>
            <w:tcW w:w="1420" w:type="dxa"/>
            <w:vAlign w:val="top"/>
          </w:tcPr>
          <w:p>
            <w:pPr>
              <w:spacing w:before="64" w:line="222" w:lineRule="auto"/>
              <w:ind w:left="115"/>
              <w:rPr>
                <w:rFonts w:ascii="宋体" w:hAnsi="宋体" w:eastAsia="宋体" w:cs="宋体"/>
                <w:sz w:val="22"/>
                <w:szCs w:val="22"/>
              </w:rPr>
            </w:pPr>
            <w:r>
              <w:rPr>
                <w:rFonts w:ascii="宋体" w:hAnsi="宋体" w:eastAsia="宋体" w:cs="宋体"/>
                <w:spacing w:val="-6"/>
                <w:sz w:val="22"/>
                <w:szCs w:val="22"/>
              </w:rPr>
              <w:t>名</w:t>
            </w:r>
            <w:r>
              <w:rPr>
                <w:rFonts w:ascii="宋体" w:hAnsi="宋体" w:eastAsia="宋体" w:cs="宋体"/>
                <w:spacing w:val="-4"/>
                <w:sz w:val="22"/>
                <w:szCs w:val="22"/>
              </w:rPr>
              <w:t>称</w:t>
            </w:r>
          </w:p>
        </w:tc>
        <w:tc>
          <w:tcPr>
            <w:tcW w:w="2158" w:type="dxa"/>
            <w:vAlign w:val="top"/>
          </w:tcPr>
          <w:p>
            <w:pPr>
              <w:spacing w:before="63" w:line="221" w:lineRule="auto"/>
              <w:ind w:left="114"/>
              <w:rPr>
                <w:rFonts w:ascii="宋体" w:hAnsi="宋体" w:eastAsia="宋体" w:cs="宋体"/>
                <w:sz w:val="22"/>
                <w:szCs w:val="22"/>
              </w:rPr>
            </w:pPr>
            <w:r>
              <w:rPr>
                <w:rFonts w:ascii="宋体" w:hAnsi="宋体" w:eastAsia="宋体" w:cs="宋体"/>
                <w:spacing w:val="-3"/>
                <w:sz w:val="22"/>
                <w:szCs w:val="22"/>
              </w:rPr>
              <w:t>招</w:t>
            </w:r>
            <w:r>
              <w:rPr>
                <w:rFonts w:ascii="宋体" w:hAnsi="宋体" w:eastAsia="宋体" w:cs="宋体"/>
                <w:spacing w:val="-2"/>
                <w:sz w:val="22"/>
                <w:szCs w:val="22"/>
              </w:rPr>
              <w:t>标要求</w:t>
            </w:r>
          </w:p>
        </w:tc>
        <w:tc>
          <w:tcPr>
            <w:tcW w:w="1919" w:type="dxa"/>
            <w:vAlign w:val="top"/>
          </w:tcPr>
          <w:p>
            <w:pPr>
              <w:spacing w:before="63" w:line="221" w:lineRule="auto"/>
              <w:ind w:left="118"/>
              <w:rPr>
                <w:rFonts w:ascii="宋体" w:hAnsi="宋体" w:eastAsia="宋体" w:cs="宋体"/>
                <w:sz w:val="22"/>
                <w:szCs w:val="22"/>
              </w:rPr>
            </w:pPr>
            <w:r>
              <w:rPr>
                <w:rFonts w:ascii="宋体" w:hAnsi="宋体" w:eastAsia="宋体" w:cs="宋体"/>
                <w:spacing w:val="-4"/>
                <w:sz w:val="22"/>
                <w:szCs w:val="22"/>
              </w:rPr>
              <w:t>投</w:t>
            </w:r>
            <w:r>
              <w:rPr>
                <w:rFonts w:ascii="宋体" w:hAnsi="宋体" w:eastAsia="宋体" w:cs="宋体"/>
                <w:spacing w:val="-3"/>
                <w:sz w:val="22"/>
                <w:szCs w:val="22"/>
              </w:rPr>
              <w:t>标</w:t>
            </w:r>
            <w:r>
              <w:rPr>
                <w:rFonts w:ascii="宋体" w:hAnsi="宋体" w:eastAsia="宋体" w:cs="宋体"/>
                <w:spacing w:val="-2"/>
                <w:sz w:val="22"/>
                <w:szCs w:val="22"/>
              </w:rPr>
              <w:t>响应</w:t>
            </w:r>
          </w:p>
        </w:tc>
        <w:tc>
          <w:tcPr>
            <w:tcW w:w="1504" w:type="dxa"/>
            <w:vAlign w:val="top"/>
          </w:tcPr>
          <w:p>
            <w:pPr>
              <w:spacing w:before="63" w:line="220" w:lineRule="auto"/>
              <w:ind w:left="116"/>
              <w:rPr>
                <w:rFonts w:ascii="宋体" w:hAnsi="宋体" w:eastAsia="宋体" w:cs="宋体"/>
                <w:sz w:val="22"/>
                <w:szCs w:val="22"/>
              </w:rPr>
            </w:pPr>
            <w:r>
              <w:rPr>
                <w:rFonts w:ascii="宋体" w:hAnsi="宋体" w:eastAsia="宋体" w:cs="宋体"/>
                <w:spacing w:val="-2"/>
                <w:sz w:val="22"/>
                <w:szCs w:val="22"/>
              </w:rPr>
              <w:t>偏离情况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vAlign w:val="top"/>
          </w:tcPr>
          <w:p>
            <w:pPr>
              <w:rPr>
                <w:rFonts w:ascii="Arial"/>
                <w:sz w:val="21"/>
              </w:rPr>
            </w:pPr>
          </w:p>
        </w:tc>
        <w:tc>
          <w:tcPr>
            <w:tcW w:w="1420" w:type="dxa"/>
            <w:vAlign w:val="top"/>
          </w:tcPr>
          <w:p>
            <w:pPr>
              <w:rPr>
                <w:rFonts w:ascii="Arial"/>
                <w:sz w:val="21"/>
              </w:rPr>
            </w:pPr>
          </w:p>
        </w:tc>
        <w:tc>
          <w:tcPr>
            <w:tcW w:w="2158" w:type="dxa"/>
            <w:vAlign w:val="top"/>
          </w:tcPr>
          <w:p>
            <w:pPr>
              <w:rPr>
                <w:rFonts w:ascii="Arial"/>
                <w:sz w:val="21"/>
              </w:rPr>
            </w:pPr>
          </w:p>
        </w:tc>
        <w:tc>
          <w:tcPr>
            <w:tcW w:w="1919" w:type="dxa"/>
            <w:vAlign w:val="top"/>
          </w:tcPr>
          <w:p>
            <w:pPr>
              <w:rPr>
                <w:rFonts w:ascii="Arial"/>
                <w:sz w:val="21"/>
              </w:rPr>
            </w:pPr>
          </w:p>
        </w:tc>
        <w:tc>
          <w:tcPr>
            <w:tcW w:w="15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vAlign w:val="top"/>
          </w:tcPr>
          <w:p>
            <w:pPr>
              <w:rPr>
                <w:rFonts w:ascii="Arial"/>
                <w:sz w:val="21"/>
              </w:rPr>
            </w:pPr>
          </w:p>
        </w:tc>
        <w:tc>
          <w:tcPr>
            <w:tcW w:w="1420" w:type="dxa"/>
            <w:vAlign w:val="top"/>
          </w:tcPr>
          <w:p>
            <w:pPr>
              <w:rPr>
                <w:rFonts w:ascii="Arial"/>
                <w:sz w:val="21"/>
              </w:rPr>
            </w:pPr>
          </w:p>
        </w:tc>
        <w:tc>
          <w:tcPr>
            <w:tcW w:w="2158" w:type="dxa"/>
            <w:vAlign w:val="top"/>
          </w:tcPr>
          <w:p>
            <w:pPr>
              <w:rPr>
                <w:rFonts w:ascii="Arial"/>
                <w:sz w:val="21"/>
              </w:rPr>
            </w:pPr>
          </w:p>
        </w:tc>
        <w:tc>
          <w:tcPr>
            <w:tcW w:w="1919" w:type="dxa"/>
            <w:vAlign w:val="top"/>
          </w:tcPr>
          <w:p>
            <w:pPr>
              <w:rPr>
                <w:rFonts w:ascii="Arial"/>
                <w:sz w:val="21"/>
              </w:rPr>
            </w:pPr>
          </w:p>
        </w:tc>
        <w:tc>
          <w:tcPr>
            <w:tcW w:w="15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vAlign w:val="top"/>
          </w:tcPr>
          <w:p>
            <w:pPr>
              <w:rPr>
                <w:rFonts w:ascii="Arial"/>
                <w:sz w:val="21"/>
              </w:rPr>
            </w:pPr>
          </w:p>
        </w:tc>
        <w:tc>
          <w:tcPr>
            <w:tcW w:w="1420" w:type="dxa"/>
            <w:vAlign w:val="top"/>
          </w:tcPr>
          <w:p>
            <w:pPr>
              <w:rPr>
                <w:rFonts w:ascii="Arial"/>
                <w:sz w:val="21"/>
              </w:rPr>
            </w:pPr>
          </w:p>
        </w:tc>
        <w:tc>
          <w:tcPr>
            <w:tcW w:w="2158" w:type="dxa"/>
            <w:vAlign w:val="top"/>
          </w:tcPr>
          <w:p>
            <w:pPr>
              <w:rPr>
                <w:rFonts w:ascii="Arial"/>
                <w:sz w:val="21"/>
              </w:rPr>
            </w:pPr>
          </w:p>
        </w:tc>
        <w:tc>
          <w:tcPr>
            <w:tcW w:w="1919" w:type="dxa"/>
            <w:vAlign w:val="top"/>
          </w:tcPr>
          <w:p>
            <w:pPr>
              <w:rPr>
                <w:rFonts w:ascii="Arial"/>
                <w:sz w:val="21"/>
              </w:rPr>
            </w:pPr>
          </w:p>
        </w:tc>
        <w:tc>
          <w:tcPr>
            <w:tcW w:w="15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425" w:type="dxa"/>
            <w:vAlign w:val="top"/>
          </w:tcPr>
          <w:p>
            <w:pPr>
              <w:rPr>
                <w:rFonts w:ascii="Arial"/>
                <w:sz w:val="21"/>
              </w:rPr>
            </w:pPr>
          </w:p>
        </w:tc>
        <w:tc>
          <w:tcPr>
            <w:tcW w:w="1420" w:type="dxa"/>
            <w:vAlign w:val="top"/>
          </w:tcPr>
          <w:p>
            <w:pPr>
              <w:rPr>
                <w:rFonts w:ascii="Arial"/>
                <w:sz w:val="21"/>
              </w:rPr>
            </w:pPr>
          </w:p>
        </w:tc>
        <w:tc>
          <w:tcPr>
            <w:tcW w:w="2158" w:type="dxa"/>
            <w:vAlign w:val="top"/>
          </w:tcPr>
          <w:p>
            <w:pPr>
              <w:rPr>
                <w:rFonts w:ascii="Arial"/>
                <w:sz w:val="21"/>
              </w:rPr>
            </w:pPr>
          </w:p>
        </w:tc>
        <w:tc>
          <w:tcPr>
            <w:tcW w:w="1919" w:type="dxa"/>
            <w:vAlign w:val="top"/>
          </w:tcPr>
          <w:p>
            <w:pPr>
              <w:rPr>
                <w:rFonts w:ascii="Arial"/>
                <w:sz w:val="21"/>
              </w:rPr>
            </w:pPr>
          </w:p>
        </w:tc>
        <w:tc>
          <w:tcPr>
            <w:tcW w:w="1504" w:type="dxa"/>
            <w:vAlign w:val="top"/>
          </w:tcPr>
          <w:p>
            <w:pPr>
              <w:rPr>
                <w:rFonts w:ascii="Arial"/>
                <w:sz w:val="21"/>
              </w:rPr>
            </w:pPr>
          </w:p>
        </w:tc>
      </w:tr>
    </w:tbl>
    <w:p>
      <w:pPr>
        <w:spacing w:before="49" w:line="227" w:lineRule="auto"/>
        <w:ind w:left="125"/>
        <w:outlineLvl w:val="2"/>
        <w:rPr>
          <w:rFonts w:ascii="宋体" w:hAnsi="宋体" w:eastAsia="宋体" w:cs="宋体"/>
          <w:sz w:val="23"/>
          <w:szCs w:val="23"/>
        </w:rPr>
      </w:pPr>
      <w:r>
        <w:rPr>
          <w:rFonts w:ascii="宋体" w:hAnsi="宋体" w:eastAsia="宋体" w:cs="宋体"/>
          <w:spacing w:val="15"/>
          <w:sz w:val="23"/>
          <w:szCs w:val="23"/>
        </w:rPr>
        <w:t>说</w:t>
      </w:r>
      <w:r>
        <w:rPr>
          <w:rFonts w:ascii="宋体" w:hAnsi="宋体" w:eastAsia="宋体" w:cs="宋体"/>
          <w:spacing w:val="9"/>
          <w:sz w:val="23"/>
          <w:szCs w:val="23"/>
        </w:rPr>
        <w:t>明：如实填写，填报不下的，可自行扩展</w:t>
      </w:r>
    </w:p>
    <w:p>
      <w:pPr>
        <w:sectPr>
          <w:footerReference r:id="rId32" w:type="default"/>
          <w:pgSz w:w="11906" w:h="16839"/>
          <w:pgMar w:top="400" w:right="1785" w:bottom="1335" w:left="1684" w:header="0" w:footer="1172" w:gutter="0"/>
          <w:pgNumType w:fmt="decimal"/>
          <w:cols w:space="720" w:num="1"/>
        </w:sect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tabs>
          <w:tab w:val="left" w:pos="679"/>
        </w:tabs>
        <w:spacing w:before="133" w:line="186" w:lineRule="auto"/>
        <w:ind w:left="524"/>
        <w:rPr>
          <w:rFonts w:ascii="微软雅黑" w:hAnsi="微软雅黑" w:eastAsia="微软雅黑" w:cs="微软雅黑"/>
          <w:sz w:val="31"/>
          <w:szCs w:val="31"/>
        </w:rPr>
      </w:pPr>
      <w:bookmarkStart w:id="308" w:name="_bookmark29"/>
      <w:bookmarkEnd w:id="308"/>
      <w:r>
        <w:rPr>
          <w:rFonts w:ascii="微软雅黑" w:hAnsi="微软雅黑" w:eastAsia="微软雅黑" w:cs="微软雅黑"/>
          <w:b/>
          <w:bCs/>
          <w:sz w:val="31"/>
          <w:szCs w:val="31"/>
        </w:rPr>
        <w:tab/>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(七)</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近三年</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(2019</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年</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01</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月</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01</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日至今)</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3" w14:cap="sq" w14:cmpd="sng">
            <w14:solidFill>
              <w14:srgbClr w14:val="000000"/>
            </w14:solidFill>
            <w14:prstDash w14:val="solid"/>
            <w14:bevel/>
          </w14:textOutline>
        </w:rPr>
        <w:t>类似项</w:t>
      </w:r>
      <w:r>
        <w:rPr>
          <w:rFonts w:ascii="微软雅黑" w:hAnsi="微软雅黑" w:eastAsia="微软雅黑" w:cs="微软雅黑"/>
          <w:sz w:val="31"/>
          <w:szCs w:val="31"/>
          <w14:textOutline w14:w="5793" w14:cap="sq" w14:cmpd="sng">
            <w14:solidFill>
              <w14:srgbClr w14:val="000000"/>
            </w14:solidFill>
            <w14:prstDash w14:val="solid"/>
            <w14:bevel/>
          </w14:textOutline>
        </w:rPr>
        <w:t>目业绩</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91" w:line="217" w:lineRule="auto"/>
        <w:ind w:left="3247"/>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近三年类似项目业绩表</w:t>
      </w:r>
    </w:p>
    <w:p>
      <w:pPr>
        <w:spacing w:line="159" w:lineRule="exact"/>
      </w:pPr>
    </w:p>
    <w:tbl>
      <w:tblPr>
        <w:tblStyle w:val="195"/>
        <w:tblW w:w="92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1"/>
        <w:gridCol w:w="3072"/>
        <w:gridCol w:w="1310"/>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91" w:type="dxa"/>
            <w:tcBorders>
              <w:top w:val="single" w:color="000000" w:sz="2" w:space="0"/>
              <w:bottom w:val="single" w:color="000000" w:sz="2" w:space="0"/>
            </w:tcBorders>
            <w:vAlign w:val="top"/>
          </w:tcPr>
          <w:p>
            <w:pPr>
              <w:spacing w:before="112" w:line="228" w:lineRule="auto"/>
              <w:ind w:left="771"/>
              <w:rPr>
                <w:rFonts w:ascii="宋体" w:hAnsi="宋体" w:eastAsia="宋体" w:cs="宋体"/>
                <w:sz w:val="23"/>
                <w:szCs w:val="23"/>
              </w:rPr>
            </w:pPr>
            <w:r>
              <w:rPr>
                <w:rFonts w:ascii="宋体" w:hAnsi="宋体" w:eastAsia="宋体" w:cs="宋体"/>
                <w:spacing w:val="7"/>
                <w:sz w:val="23"/>
                <w:szCs w:val="23"/>
              </w:rPr>
              <w:t>用户名称</w:t>
            </w:r>
          </w:p>
        </w:tc>
        <w:tc>
          <w:tcPr>
            <w:tcW w:w="3072" w:type="dxa"/>
            <w:tcBorders>
              <w:top w:val="single" w:color="000000" w:sz="2" w:space="0"/>
              <w:bottom w:val="single" w:color="000000" w:sz="2" w:space="0"/>
            </w:tcBorders>
            <w:vAlign w:val="top"/>
          </w:tcPr>
          <w:p>
            <w:pPr>
              <w:spacing w:before="111" w:line="230" w:lineRule="auto"/>
              <w:ind w:left="1060"/>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1310" w:type="dxa"/>
            <w:tcBorders>
              <w:top w:val="single" w:color="000000" w:sz="2" w:space="0"/>
              <w:bottom w:val="single" w:color="000000" w:sz="2" w:space="0"/>
            </w:tcBorders>
            <w:vAlign w:val="top"/>
          </w:tcPr>
          <w:p>
            <w:pPr>
              <w:spacing w:before="112" w:line="227" w:lineRule="auto"/>
              <w:ind w:left="181"/>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务期限</w:t>
            </w:r>
          </w:p>
        </w:tc>
        <w:tc>
          <w:tcPr>
            <w:tcW w:w="2401" w:type="dxa"/>
            <w:tcBorders>
              <w:top w:val="single" w:color="000000" w:sz="2" w:space="0"/>
              <w:bottom w:val="single" w:color="000000" w:sz="2" w:space="0"/>
            </w:tcBorders>
            <w:vAlign w:val="top"/>
          </w:tcPr>
          <w:p>
            <w:pPr>
              <w:spacing w:before="111" w:line="229" w:lineRule="auto"/>
              <w:ind w:left="967"/>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491" w:type="dxa"/>
            <w:tcBorders>
              <w:top w:val="single" w:color="000000" w:sz="2" w:space="0"/>
              <w:bottom w:val="single" w:color="000000" w:sz="2" w:space="0"/>
            </w:tcBorders>
            <w:vAlign w:val="top"/>
          </w:tcPr>
          <w:p>
            <w:pPr>
              <w:rPr>
                <w:rFonts w:ascii="Arial"/>
                <w:sz w:val="21"/>
              </w:rPr>
            </w:pPr>
          </w:p>
        </w:tc>
        <w:tc>
          <w:tcPr>
            <w:tcW w:w="3072" w:type="dxa"/>
            <w:tcBorders>
              <w:top w:val="single" w:color="000000" w:sz="2" w:space="0"/>
              <w:bottom w:val="single" w:color="000000" w:sz="2" w:space="0"/>
            </w:tcBorders>
            <w:vAlign w:val="top"/>
          </w:tcPr>
          <w:p>
            <w:pPr>
              <w:rPr>
                <w:rFonts w:ascii="Arial"/>
                <w:sz w:val="21"/>
              </w:rPr>
            </w:pPr>
          </w:p>
        </w:tc>
        <w:tc>
          <w:tcPr>
            <w:tcW w:w="1310" w:type="dxa"/>
            <w:tcBorders>
              <w:top w:val="single" w:color="000000" w:sz="2" w:space="0"/>
              <w:bottom w:val="single" w:color="000000" w:sz="2" w:space="0"/>
            </w:tcBorders>
            <w:vAlign w:val="top"/>
          </w:tcPr>
          <w:p>
            <w:pPr>
              <w:rPr>
                <w:rFonts w:ascii="Arial"/>
                <w:sz w:val="21"/>
              </w:rPr>
            </w:pPr>
          </w:p>
        </w:tc>
        <w:tc>
          <w:tcPr>
            <w:tcW w:w="2401" w:type="dxa"/>
            <w:tcBorders>
              <w:top w:val="single" w:color="000000" w:sz="2" w:space="0"/>
              <w:bottom w:val="single" w:color="000000" w:sz="2" w:space="0"/>
            </w:tcBorders>
            <w:vAlign w:val="top"/>
          </w:tcPr>
          <w:p>
            <w:pPr>
              <w:rPr>
                <w:rFonts w:ascii="Arial"/>
                <w:sz w:val="21"/>
              </w:rPr>
            </w:pPr>
          </w:p>
        </w:tc>
      </w:tr>
    </w:tbl>
    <w:p>
      <w:pPr>
        <w:spacing w:before="76" w:line="227" w:lineRule="auto"/>
        <w:ind w:left="940"/>
        <w:rPr>
          <w:rFonts w:ascii="宋体" w:hAnsi="宋体" w:eastAsia="宋体" w:cs="宋体"/>
          <w:spacing w:val="7"/>
          <w:sz w:val="21"/>
          <w:szCs w:val="21"/>
        </w:rPr>
      </w:pPr>
      <w:r>
        <w:rPr>
          <w:rFonts w:ascii="宋体" w:hAnsi="宋体" w:eastAsia="宋体" w:cs="宋体"/>
          <w:spacing w:val="7"/>
          <w:sz w:val="21"/>
          <w:szCs w:val="21"/>
        </w:rPr>
        <w:t>备注：每项业绩须附证明资料如成交通知书或合同复印件加盖电子公章，如 提供证明材料为合同，须提供业绩合同主要页 (含：首页、服务内容信息页、合 同金额页、签字盖章页) ，时间以合同签订日期为准，合同签订方必须是投标人 自身，存在控股、管理关系投标人之间签订的合同无效) ，未提供证明材料的评 审时不予计分。</w:t>
      </w:r>
    </w:p>
    <w:p>
      <w:pPr>
        <w:spacing w:line="351" w:lineRule="auto"/>
        <w:rPr>
          <w:rFonts w:ascii="Arial"/>
          <w:sz w:val="21"/>
        </w:rPr>
      </w:pPr>
    </w:p>
    <w:p>
      <w:pPr>
        <w:spacing w:line="352" w:lineRule="auto"/>
        <w:rPr>
          <w:rFonts w:ascii="Arial"/>
          <w:sz w:val="21"/>
        </w:rPr>
      </w:pPr>
    </w:p>
    <w:p>
      <w:pPr>
        <w:spacing w:before="76" w:line="227" w:lineRule="auto"/>
        <w:ind w:left="940"/>
        <w:rPr>
          <w:rFonts w:ascii="宋体" w:hAnsi="宋体" w:eastAsia="宋体" w:cs="宋体"/>
          <w:sz w:val="23"/>
          <w:szCs w:val="23"/>
        </w:rPr>
      </w:pPr>
      <w:r>
        <w:rPr>
          <w:rFonts w:ascii="宋体" w:hAnsi="宋体" w:eastAsia="宋体" w:cs="宋体"/>
          <w:spacing w:val="7"/>
          <w:sz w:val="23"/>
          <w:szCs w:val="23"/>
        </w:rPr>
        <w:t xml:space="preserve">供应商 (电子公章) </w:t>
      </w:r>
      <w:r>
        <w:rPr>
          <w:rFonts w:ascii="宋体" w:hAnsi="宋体" w:eastAsia="宋体" w:cs="宋体"/>
          <w:spacing w:val="4"/>
          <w:sz w:val="23"/>
          <w:szCs w:val="23"/>
        </w:rPr>
        <w:t>：</w:t>
      </w:r>
    </w:p>
    <w:p>
      <w:pPr>
        <w:spacing w:line="253" w:lineRule="auto"/>
        <w:rPr>
          <w:rFonts w:ascii="Arial"/>
          <w:sz w:val="21"/>
        </w:rPr>
      </w:pPr>
    </w:p>
    <w:p>
      <w:pPr>
        <w:spacing w:before="75" w:line="648" w:lineRule="exact"/>
        <w:ind w:left="941"/>
        <w:rPr>
          <w:rFonts w:ascii="宋体" w:hAnsi="宋体" w:eastAsia="宋体" w:cs="宋体"/>
          <w:sz w:val="23"/>
          <w:szCs w:val="23"/>
        </w:rPr>
      </w:pPr>
      <w:r>
        <w:rPr>
          <w:rFonts w:ascii="宋体" w:hAnsi="宋体" w:eastAsia="宋体" w:cs="宋体"/>
          <w:spacing w:val="16"/>
          <w:position w:val="32"/>
          <w:sz w:val="23"/>
          <w:szCs w:val="23"/>
        </w:rPr>
        <w:t>法</w:t>
      </w:r>
      <w:r>
        <w:rPr>
          <w:rFonts w:ascii="宋体" w:hAnsi="宋体" w:eastAsia="宋体" w:cs="宋体"/>
          <w:spacing w:val="14"/>
          <w:position w:val="32"/>
          <w:sz w:val="23"/>
          <w:szCs w:val="23"/>
        </w:rPr>
        <w:t>定</w:t>
      </w:r>
      <w:r>
        <w:rPr>
          <w:rFonts w:ascii="宋体" w:hAnsi="宋体" w:eastAsia="宋体" w:cs="宋体"/>
          <w:spacing w:val="8"/>
          <w:position w:val="32"/>
          <w:sz w:val="23"/>
          <w:szCs w:val="23"/>
        </w:rPr>
        <w:t>代表人或负责人或授权代理人 (电子签字或签章) ：</w:t>
      </w:r>
    </w:p>
    <w:p>
      <w:pPr>
        <w:spacing w:before="1" w:line="227" w:lineRule="auto"/>
        <w:ind w:left="981"/>
        <w:rPr>
          <w:rFonts w:ascii="宋体" w:hAnsi="宋体" w:eastAsia="宋体" w:cs="宋体"/>
          <w:sz w:val="23"/>
          <w:szCs w:val="23"/>
        </w:rPr>
      </w:pPr>
      <w:r>
        <w:rPr>
          <w:rFonts w:ascii="宋体" w:hAnsi="宋体" w:eastAsia="宋体" w:cs="宋体"/>
          <w:spacing w:val="-2"/>
          <w:sz w:val="23"/>
          <w:szCs w:val="23"/>
        </w:rPr>
        <w:t xml:space="preserve">日期：    年  </w:t>
      </w:r>
      <w:r>
        <w:rPr>
          <w:rFonts w:ascii="宋体" w:hAnsi="宋体" w:eastAsia="宋体" w:cs="宋体"/>
          <w:spacing w:val="-1"/>
          <w:sz w:val="23"/>
          <w:szCs w:val="23"/>
        </w:rPr>
        <w:t>月   日</w:t>
      </w:r>
    </w:p>
    <w:p>
      <w:pPr>
        <w:sectPr>
          <w:footerReference r:id="rId33" w:type="default"/>
          <w:pgSz w:w="11906" w:h="16839"/>
          <w:pgMar w:top="400" w:right="1310" w:bottom="1335" w:left="1310" w:header="0" w:footer="1172" w:gutter="0"/>
          <w:pgNumType w:fmt="decimal"/>
          <w:cols w:space="720" w:num="1"/>
        </w:sect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tabs>
          <w:tab w:val="left" w:pos="2693"/>
        </w:tabs>
        <w:spacing w:before="133" w:line="186" w:lineRule="auto"/>
        <w:ind w:left="2539"/>
        <w:outlineLvl w:val="2"/>
        <w:rPr>
          <w:rFonts w:ascii="微软雅黑" w:hAnsi="微软雅黑" w:eastAsia="微软雅黑" w:cs="微软雅黑"/>
          <w:sz w:val="31"/>
          <w:szCs w:val="31"/>
        </w:rPr>
      </w:pPr>
      <w:bookmarkStart w:id="309" w:name="_bookmark30"/>
      <w:bookmarkEnd w:id="309"/>
      <w:r>
        <w:rPr>
          <w:rFonts w:ascii="微软雅黑" w:hAnsi="微软雅黑" w:eastAsia="微软雅黑" w:cs="微软雅黑"/>
          <w:b/>
          <w:bCs/>
          <w:sz w:val="31"/>
          <w:szCs w:val="31"/>
        </w:rPr>
        <w:tab/>
      </w:r>
      <w:r>
        <w:rPr>
          <w:rFonts w:ascii="微软雅黑" w:hAnsi="微软雅黑" w:eastAsia="微软雅黑" w:cs="微软雅黑"/>
          <w:spacing w:val="15"/>
          <w:sz w:val="31"/>
          <w:szCs w:val="31"/>
          <w14:textOutline w14:w="5793" w14:cap="sq" w14:cmpd="sng">
            <w14:solidFill>
              <w14:srgbClr w14:val="000000"/>
            </w14:solidFill>
            <w14:prstDash w14:val="solid"/>
            <w14:bevel/>
          </w14:textOutline>
        </w:rPr>
        <w:t>(</w:t>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八)</w:t>
      </w:r>
      <w:r>
        <w:rPr>
          <w:rFonts w:ascii="微软雅黑" w:hAnsi="微软雅黑" w:eastAsia="微软雅黑" w:cs="微软雅黑"/>
          <w:spacing w:val="12"/>
          <w:sz w:val="31"/>
          <w:szCs w:val="31"/>
        </w:rPr>
        <w:t xml:space="preserve">  </w:t>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项目投入人员列表</w:t>
      </w:r>
    </w:p>
    <w:p>
      <w:pPr>
        <w:spacing w:before="151" w:line="227" w:lineRule="auto"/>
        <w:ind w:left="2873"/>
        <w:rPr>
          <w:rFonts w:ascii="宋体" w:hAnsi="宋体" w:eastAsia="宋体" w:cs="宋体"/>
          <w:spacing w:val="11"/>
          <w:sz w:val="23"/>
          <w:szCs w:val="23"/>
          <w14:textOutline w14:w="4358" w14:cap="sq" w14:cmpd="sng">
            <w14:solidFill>
              <w14:srgbClr w14:val="000000"/>
            </w14:solidFill>
            <w14:prstDash w14:val="solid"/>
            <w14:bevel/>
          </w14:textOutline>
        </w:rPr>
      </w:pPr>
      <w:r>
        <w:rPr>
          <w:rFonts w:ascii="宋体" w:hAnsi="宋体" w:eastAsia="宋体" w:cs="宋体"/>
          <w:spacing w:val="11"/>
          <w:sz w:val="23"/>
          <w:szCs w:val="23"/>
          <w14:textOutline w14:w="4358" w14:cap="sq" w14:cmpd="sng">
            <w14:solidFill>
              <w14:srgbClr w14:val="000000"/>
            </w14:solidFill>
            <w14:prstDash w14:val="solid"/>
            <w14:bevel/>
          </w14:textOutline>
        </w:rPr>
        <w:t>拟投入本项目的服务人员一览表</w:t>
      </w:r>
    </w:p>
    <w:p/>
    <w:p/>
    <w:p/>
    <w:p>
      <w:pPr>
        <w:spacing w:line="31" w:lineRule="exact"/>
      </w:pPr>
    </w:p>
    <w:tbl>
      <w:tblPr>
        <w:tblStyle w:val="195"/>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8"/>
        <w:gridCol w:w="1077"/>
        <w:gridCol w:w="1417"/>
        <w:gridCol w:w="1274"/>
        <w:gridCol w:w="1274"/>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2" w:hRule="atLeast"/>
        </w:trPr>
        <w:tc>
          <w:tcPr>
            <w:tcW w:w="2578" w:type="dxa"/>
            <w:vAlign w:val="top"/>
          </w:tcPr>
          <w:p>
            <w:pPr>
              <w:spacing w:line="250" w:lineRule="auto"/>
              <w:rPr>
                <w:rFonts w:ascii="Arial"/>
                <w:sz w:val="21"/>
              </w:rPr>
            </w:pPr>
          </w:p>
          <w:p>
            <w:pPr>
              <w:spacing w:before="74" w:line="224" w:lineRule="auto"/>
              <w:ind w:left="598"/>
              <w:rPr>
                <w:rFonts w:ascii="宋体" w:hAnsi="宋体" w:eastAsia="宋体" w:cs="宋体"/>
                <w:sz w:val="23"/>
                <w:szCs w:val="23"/>
              </w:rPr>
            </w:pPr>
            <w:r>
              <w:rPr>
                <w:rFonts w:ascii="宋体" w:hAnsi="宋体" w:eastAsia="宋体" w:cs="宋体"/>
                <w:spacing w:val="8"/>
                <w:sz w:val="23"/>
                <w:szCs w:val="23"/>
              </w:rPr>
              <w:t>职</w:t>
            </w:r>
            <w:r>
              <w:rPr>
                <w:rFonts w:ascii="宋体" w:hAnsi="宋体" w:eastAsia="宋体" w:cs="宋体"/>
                <w:spacing w:val="7"/>
                <w:sz w:val="23"/>
                <w:szCs w:val="23"/>
              </w:rPr>
              <w:t>责分工</w:t>
            </w:r>
          </w:p>
        </w:tc>
        <w:tc>
          <w:tcPr>
            <w:tcW w:w="1077" w:type="dxa"/>
            <w:vAlign w:val="top"/>
          </w:tcPr>
          <w:p>
            <w:pPr>
              <w:spacing w:line="249" w:lineRule="auto"/>
              <w:rPr>
                <w:rFonts w:ascii="Arial"/>
                <w:sz w:val="21"/>
              </w:rPr>
            </w:pPr>
          </w:p>
          <w:p>
            <w:pPr>
              <w:spacing w:before="75" w:line="227" w:lineRule="auto"/>
              <w:ind w:left="114"/>
              <w:rPr>
                <w:rFonts w:ascii="宋体" w:hAnsi="宋体" w:eastAsia="宋体" w:cs="宋体"/>
                <w:sz w:val="23"/>
                <w:szCs w:val="23"/>
              </w:rPr>
            </w:pPr>
            <w:r>
              <w:rPr>
                <w:rFonts w:ascii="宋体" w:hAnsi="宋体" w:eastAsia="宋体" w:cs="宋体"/>
                <w:spacing w:val="5"/>
                <w:sz w:val="23"/>
                <w:szCs w:val="23"/>
              </w:rPr>
              <w:t>姓名</w:t>
            </w:r>
          </w:p>
        </w:tc>
        <w:tc>
          <w:tcPr>
            <w:tcW w:w="1417" w:type="dxa"/>
            <w:vAlign w:val="top"/>
          </w:tcPr>
          <w:p>
            <w:pPr>
              <w:spacing w:line="249" w:lineRule="auto"/>
              <w:rPr>
                <w:rFonts w:ascii="Arial"/>
                <w:sz w:val="21"/>
              </w:rPr>
            </w:pPr>
          </w:p>
          <w:p>
            <w:pPr>
              <w:spacing w:before="74" w:line="227" w:lineRule="auto"/>
              <w:ind w:left="11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1274" w:type="dxa"/>
            <w:vAlign w:val="top"/>
          </w:tcPr>
          <w:p>
            <w:pPr>
              <w:spacing w:line="249" w:lineRule="auto"/>
              <w:rPr>
                <w:rFonts w:ascii="Arial"/>
                <w:sz w:val="21"/>
              </w:rPr>
            </w:pPr>
          </w:p>
          <w:p>
            <w:pPr>
              <w:spacing w:before="75" w:line="228" w:lineRule="auto"/>
              <w:ind w:left="117"/>
              <w:rPr>
                <w:rFonts w:ascii="宋体" w:hAnsi="宋体" w:eastAsia="宋体" w:cs="宋体"/>
                <w:sz w:val="23"/>
                <w:szCs w:val="23"/>
              </w:rPr>
            </w:pPr>
            <w:r>
              <w:rPr>
                <w:rFonts w:ascii="宋体" w:hAnsi="宋体" w:eastAsia="宋体" w:cs="宋体"/>
                <w:spacing w:val="7"/>
                <w:sz w:val="23"/>
                <w:szCs w:val="23"/>
              </w:rPr>
              <w:t>从业时</w:t>
            </w:r>
            <w:r>
              <w:rPr>
                <w:rFonts w:ascii="宋体" w:hAnsi="宋体" w:eastAsia="宋体" w:cs="宋体"/>
                <w:spacing w:val="6"/>
                <w:sz w:val="23"/>
                <w:szCs w:val="23"/>
              </w:rPr>
              <w:t>间</w:t>
            </w:r>
          </w:p>
        </w:tc>
        <w:tc>
          <w:tcPr>
            <w:tcW w:w="1274" w:type="dxa"/>
            <w:vAlign w:val="top"/>
          </w:tcPr>
          <w:p>
            <w:pPr>
              <w:spacing w:line="249" w:lineRule="auto"/>
              <w:rPr>
                <w:rFonts w:ascii="Arial"/>
                <w:sz w:val="21"/>
              </w:rPr>
            </w:pPr>
          </w:p>
          <w:p>
            <w:pPr>
              <w:spacing w:before="75" w:line="228" w:lineRule="auto"/>
              <w:ind w:left="141"/>
              <w:rPr>
                <w:rFonts w:ascii="宋体" w:hAnsi="宋体" w:eastAsia="宋体" w:cs="宋体"/>
                <w:sz w:val="23"/>
                <w:szCs w:val="23"/>
              </w:rPr>
            </w:pPr>
            <w:r>
              <w:rPr>
                <w:rFonts w:ascii="宋体" w:hAnsi="宋体" w:eastAsia="宋体" w:cs="宋体"/>
                <w:spacing w:val="-9"/>
                <w:sz w:val="23"/>
                <w:szCs w:val="23"/>
              </w:rPr>
              <w:t>岗</w:t>
            </w:r>
            <w:r>
              <w:rPr>
                <w:rFonts w:ascii="宋体" w:hAnsi="宋体" w:eastAsia="宋体" w:cs="宋体"/>
                <w:spacing w:val="-7"/>
                <w:sz w:val="23"/>
                <w:szCs w:val="23"/>
              </w:rPr>
              <w:t>位</w:t>
            </w:r>
          </w:p>
        </w:tc>
        <w:tc>
          <w:tcPr>
            <w:tcW w:w="1705" w:type="dxa"/>
            <w:vAlign w:val="top"/>
          </w:tcPr>
          <w:p>
            <w:pPr>
              <w:spacing w:line="249" w:lineRule="auto"/>
              <w:rPr>
                <w:rFonts w:ascii="Arial"/>
                <w:sz w:val="21"/>
              </w:rPr>
            </w:pPr>
          </w:p>
          <w:p>
            <w:pPr>
              <w:spacing w:before="75" w:line="229" w:lineRule="auto"/>
              <w:ind w:left="600"/>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78" w:type="dxa"/>
            <w:vAlign w:val="top"/>
          </w:tcPr>
          <w:p>
            <w:pPr>
              <w:spacing w:before="306" w:line="205" w:lineRule="auto"/>
              <w:ind w:left="601"/>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目负责人</w:t>
            </w: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7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4" w:line="228" w:lineRule="auto"/>
              <w:ind w:left="120"/>
              <w:rPr>
                <w:rFonts w:ascii="宋体" w:hAnsi="宋体" w:eastAsia="宋体" w:cs="宋体"/>
                <w:sz w:val="23"/>
                <w:szCs w:val="23"/>
              </w:rPr>
            </w:pPr>
            <w:r>
              <w:rPr>
                <w:rFonts w:ascii="宋体" w:hAnsi="宋体" w:eastAsia="宋体" w:cs="宋体"/>
                <w:spacing w:val="7"/>
                <w:sz w:val="23"/>
                <w:szCs w:val="23"/>
              </w:rPr>
              <w:t>投入人</w:t>
            </w:r>
            <w:r>
              <w:rPr>
                <w:rFonts w:ascii="宋体" w:hAnsi="宋体" w:eastAsia="宋体" w:cs="宋体"/>
                <w:spacing w:val="6"/>
                <w:sz w:val="23"/>
                <w:szCs w:val="23"/>
              </w:rPr>
              <w:t>员</w:t>
            </w: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78" w:type="dxa"/>
            <w:vMerge w:val="continue"/>
            <w:tcBorders>
              <w:top w:val="nil"/>
              <w:bottom w:val="nil"/>
            </w:tcBorders>
            <w:vAlign w:val="top"/>
          </w:tcPr>
          <w:p>
            <w:pPr>
              <w:rPr>
                <w:rFonts w:ascii="Arial"/>
                <w:sz w:val="21"/>
              </w:rPr>
            </w:pP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578" w:type="dxa"/>
            <w:vMerge w:val="continue"/>
            <w:tcBorders>
              <w:top w:val="nil"/>
              <w:bottom w:val="nil"/>
            </w:tcBorders>
            <w:vAlign w:val="top"/>
          </w:tcPr>
          <w:p>
            <w:pPr>
              <w:rPr>
                <w:rFonts w:ascii="Arial"/>
                <w:sz w:val="21"/>
              </w:rPr>
            </w:pP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578" w:type="dxa"/>
            <w:vMerge w:val="continue"/>
            <w:tcBorders>
              <w:top w:val="nil"/>
              <w:bottom w:val="nil"/>
            </w:tcBorders>
            <w:vAlign w:val="top"/>
          </w:tcPr>
          <w:p>
            <w:pPr>
              <w:rPr>
                <w:rFonts w:ascii="Arial"/>
                <w:sz w:val="21"/>
              </w:rPr>
            </w:pP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78" w:type="dxa"/>
            <w:vMerge w:val="continue"/>
            <w:tcBorders>
              <w:top w:val="nil"/>
              <w:bottom w:val="nil"/>
            </w:tcBorders>
            <w:vAlign w:val="top"/>
          </w:tcPr>
          <w:p>
            <w:pPr>
              <w:rPr>
                <w:rFonts w:ascii="Arial"/>
                <w:sz w:val="21"/>
              </w:rPr>
            </w:pP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578" w:type="dxa"/>
            <w:vMerge w:val="continue"/>
            <w:tcBorders>
              <w:top w:val="nil"/>
              <w:bottom w:val="nil"/>
            </w:tcBorders>
            <w:vAlign w:val="top"/>
          </w:tcPr>
          <w:p>
            <w:pPr>
              <w:rPr>
                <w:rFonts w:ascii="Arial"/>
                <w:sz w:val="21"/>
              </w:rPr>
            </w:pP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578" w:type="dxa"/>
            <w:vMerge w:val="continue"/>
            <w:tcBorders>
              <w:top w:val="nil"/>
              <w:bottom w:val="nil"/>
            </w:tcBorders>
            <w:vAlign w:val="top"/>
          </w:tcPr>
          <w:p>
            <w:pPr>
              <w:rPr>
                <w:rFonts w:ascii="Arial"/>
                <w:sz w:val="21"/>
              </w:rPr>
            </w:pP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578" w:type="dxa"/>
            <w:vMerge w:val="continue"/>
            <w:tcBorders>
              <w:top w:val="nil"/>
            </w:tcBorders>
            <w:vAlign w:val="top"/>
          </w:tcPr>
          <w:p>
            <w:pPr>
              <w:rPr>
                <w:rFonts w:ascii="Arial"/>
                <w:sz w:val="21"/>
              </w:rPr>
            </w:pPr>
          </w:p>
        </w:tc>
        <w:tc>
          <w:tcPr>
            <w:tcW w:w="1077" w:type="dxa"/>
            <w:vAlign w:val="top"/>
          </w:tcPr>
          <w:p>
            <w:pPr>
              <w:rPr>
                <w:rFonts w:ascii="Arial"/>
                <w:sz w:val="21"/>
              </w:rPr>
            </w:pPr>
          </w:p>
        </w:tc>
        <w:tc>
          <w:tcPr>
            <w:tcW w:w="1417"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705" w:type="dxa"/>
            <w:vAlign w:val="top"/>
          </w:tcPr>
          <w:p>
            <w:pPr>
              <w:rPr>
                <w:rFonts w:ascii="Arial"/>
                <w:sz w:val="21"/>
              </w:rPr>
            </w:pPr>
          </w:p>
        </w:tc>
      </w:tr>
    </w:tbl>
    <w:p>
      <w:pPr>
        <w:spacing w:before="305" w:line="225" w:lineRule="auto"/>
        <w:ind w:left="621"/>
        <w:rPr>
          <w:rFonts w:ascii="宋体" w:hAnsi="宋体" w:eastAsia="宋体" w:cs="宋体"/>
          <w:sz w:val="23"/>
          <w:szCs w:val="23"/>
        </w:rPr>
      </w:pPr>
      <w:r>
        <w:rPr>
          <w:rFonts w:ascii="宋体" w:hAnsi="宋体" w:eastAsia="宋体" w:cs="宋体"/>
          <w:spacing w:val="8"/>
          <w:sz w:val="23"/>
          <w:szCs w:val="23"/>
        </w:rPr>
        <w:t>附</w:t>
      </w:r>
      <w:r>
        <w:rPr>
          <w:rFonts w:ascii="宋体" w:hAnsi="宋体" w:eastAsia="宋体" w:cs="宋体"/>
          <w:spacing w:val="7"/>
          <w:sz w:val="23"/>
          <w:szCs w:val="23"/>
        </w:rPr>
        <w:t>身份证明或其他材料</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6" w:line="227" w:lineRule="auto"/>
        <w:ind w:left="602"/>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6"/>
          <w:sz w:val="23"/>
          <w:szCs w:val="23"/>
        </w:rPr>
        <w:t>应商名称：</w:t>
      </w:r>
    </w:p>
    <w:p>
      <w:pPr>
        <w:spacing w:line="439" w:lineRule="auto"/>
        <w:rPr>
          <w:rFonts w:ascii="Arial"/>
          <w:sz w:val="21"/>
        </w:rPr>
      </w:pPr>
    </w:p>
    <w:p>
      <w:pPr>
        <w:spacing w:before="74" w:line="224" w:lineRule="auto"/>
        <w:ind w:left="603"/>
        <w:rPr>
          <w:rFonts w:ascii="宋体" w:hAnsi="宋体" w:eastAsia="宋体" w:cs="宋体"/>
          <w:sz w:val="23"/>
          <w:szCs w:val="23"/>
        </w:rPr>
      </w:pPr>
      <w:r>
        <w:rPr>
          <w:rFonts w:ascii="宋体" w:hAnsi="宋体" w:eastAsia="宋体" w:cs="宋体"/>
          <w:spacing w:val="16"/>
          <w:sz w:val="23"/>
          <w:szCs w:val="23"/>
        </w:rPr>
        <w:t>法</w:t>
      </w:r>
      <w:r>
        <w:rPr>
          <w:rFonts w:ascii="宋体" w:hAnsi="宋体" w:eastAsia="宋体" w:cs="宋体"/>
          <w:spacing w:val="9"/>
          <w:sz w:val="23"/>
          <w:szCs w:val="23"/>
        </w:rPr>
        <w:t>定</w:t>
      </w:r>
      <w:r>
        <w:rPr>
          <w:rFonts w:ascii="宋体" w:hAnsi="宋体" w:eastAsia="宋体" w:cs="宋体"/>
          <w:spacing w:val="8"/>
          <w:sz w:val="23"/>
          <w:szCs w:val="23"/>
        </w:rPr>
        <w:t>代表人或其委托代理人(签字或盖章)：</w:t>
      </w:r>
    </w:p>
    <w:p>
      <w:pPr>
        <w:spacing w:line="445" w:lineRule="auto"/>
        <w:rPr>
          <w:rFonts w:ascii="Arial"/>
          <w:sz w:val="21"/>
        </w:rPr>
      </w:pPr>
    </w:p>
    <w:p>
      <w:pPr>
        <w:spacing w:before="76" w:line="227" w:lineRule="auto"/>
        <w:ind w:left="644"/>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 ：        年      月     日</w:t>
      </w:r>
    </w:p>
    <w:p>
      <w:pPr>
        <w:sectPr>
          <w:footerReference r:id="rId34" w:type="default"/>
          <w:pgSz w:w="11906" w:h="16839"/>
          <w:pgMar w:top="400" w:right="891" w:bottom="1335" w:left="1684" w:header="0" w:footer="1172" w:gutter="0"/>
          <w:pgNumType w:fmt="decimal"/>
          <w:cols w:space="720" w:num="1"/>
        </w:sectPr>
      </w:pPr>
    </w:p>
    <w:p>
      <w:pPr>
        <w:shd w:val="clear"/>
        <w:tabs>
          <w:tab w:val="left" w:pos="203"/>
        </w:tabs>
        <w:spacing w:before="133" w:line="216" w:lineRule="auto"/>
        <w:ind w:right="82"/>
        <w:rPr>
          <w:rFonts w:ascii="微软雅黑" w:hAnsi="微软雅黑" w:eastAsia="微软雅黑" w:cs="微软雅黑"/>
          <w:sz w:val="31"/>
          <w:szCs w:val="31"/>
          <w:highlight w:val="none"/>
        </w:rPr>
      </w:pPr>
      <w:bookmarkStart w:id="310" w:name="_bookmark31"/>
      <w:bookmarkEnd w:id="310"/>
      <w:r>
        <w:rPr>
          <w:rFonts w:ascii="微软雅黑" w:hAnsi="微软雅黑" w:eastAsia="微软雅黑" w:cs="微软雅黑"/>
          <w:b/>
          <w:bCs/>
          <w:sz w:val="31"/>
          <w:szCs w:val="31"/>
          <w:highlight w:val="none"/>
        </w:rPr>
        <w:tab/>
      </w:r>
      <w:r>
        <w:rPr>
          <w:rFonts w:ascii="微软雅黑" w:hAnsi="微软雅黑" w:eastAsia="微软雅黑" w:cs="微软雅黑"/>
          <w:spacing w:val="14"/>
          <w:sz w:val="31"/>
          <w:szCs w:val="31"/>
          <w:highlight w:val="none"/>
          <w14:textOutline w14:w="5793" w14:cap="sq" w14:cmpd="sng">
            <w14:solidFill>
              <w14:srgbClr w14:val="000000"/>
            </w14:solidFill>
            <w14:prstDash w14:val="solid"/>
            <w14:bevel/>
          </w14:textOutline>
        </w:rPr>
        <w:t>(九)</w:t>
      </w:r>
      <w:r>
        <w:rPr>
          <w:rFonts w:ascii="微软雅黑" w:hAnsi="微软雅黑" w:eastAsia="微软雅黑" w:cs="微软雅黑"/>
          <w:spacing w:val="14"/>
          <w:sz w:val="31"/>
          <w:szCs w:val="31"/>
          <w:highlight w:val="none"/>
        </w:rPr>
        <w:t xml:space="preserve">  </w:t>
      </w:r>
      <w:r>
        <w:rPr>
          <w:rFonts w:ascii="微软雅黑" w:hAnsi="微软雅黑" w:eastAsia="微软雅黑" w:cs="微软雅黑"/>
          <w:spacing w:val="14"/>
          <w:sz w:val="31"/>
          <w:szCs w:val="31"/>
          <w:highlight w:val="none"/>
          <w14:textOutline w14:w="5793" w14:cap="sq" w14:cmpd="sng">
            <w14:solidFill>
              <w14:srgbClr w14:val="000000"/>
            </w14:solidFill>
            <w14:prstDash w14:val="solid"/>
            <w14:bevel/>
          </w14:textOutline>
        </w:rPr>
        <w:t>中小微企业声明函及其他资料(如中小微企业需提</w:t>
      </w:r>
      <w:r>
        <w:rPr>
          <w:rFonts w:ascii="微软雅黑" w:hAnsi="微软雅黑" w:eastAsia="微软雅黑" w:cs="微软雅黑"/>
          <w:spacing w:val="8"/>
          <w:sz w:val="31"/>
          <w:szCs w:val="31"/>
          <w:highlight w:val="none"/>
          <w14:textOutline w14:w="5793" w14:cap="sq" w14:cmpd="sng">
            <w14:solidFill>
              <w14:srgbClr w14:val="000000"/>
            </w14:solidFill>
            <w14:prstDash w14:val="solid"/>
            <w14:bevel/>
          </w14:textOutline>
        </w:rPr>
        <w:t>供</w:t>
      </w:r>
      <w:r>
        <w:rPr>
          <w:rFonts w:ascii="微软雅黑" w:hAnsi="微软雅黑" w:eastAsia="微软雅黑" w:cs="微软雅黑"/>
          <w:sz w:val="31"/>
          <w:szCs w:val="31"/>
          <w:highlight w:val="none"/>
        </w:rPr>
        <w:t xml:space="preserve"> </w:t>
      </w:r>
      <w:r>
        <w:rPr>
          <w:rFonts w:ascii="微软雅黑" w:hAnsi="微软雅黑" w:eastAsia="微软雅黑" w:cs="微软雅黑"/>
          <w:spacing w:val="-1"/>
          <w:sz w:val="31"/>
          <w:szCs w:val="31"/>
          <w:highlight w:val="none"/>
          <w14:textOutline w14:w="5793" w14:cap="sq" w14:cmpd="sng">
            <w14:solidFill>
              <w14:srgbClr w14:val="000000"/>
            </w14:solidFill>
            <w14:prstDash w14:val="solid"/>
            <w14:bevel/>
          </w14:textOutline>
        </w:rPr>
        <w:t>下列资料，如为大型企</w:t>
      </w:r>
      <w:r>
        <w:rPr>
          <w:rFonts w:ascii="微软雅黑" w:hAnsi="微软雅黑" w:eastAsia="微软雅黑" w:cs="微软雅黑"/>
          <w:sz w:val="31"/>
          <w:szCs w:val="31"/>
          <w:highlight w:val="none"/>
          <w14:textOutline w14:w="5793" w14:cap="sq" w14:cmpd="sng">
            <w14:solidFill>
              <w14:srgbClr w14:val="000000"/>
            </w14:solidFill>
            <w14:prstDash w14:val="solid"/>
            <w14:bevel/>
          </w14:textOutline>
        </w:rPr>
        <w:t>业可不提供)</w:t>
      </w:r>
      <w:r>
        <w:rPr>
          <w:rFonts w:ascii="微软雅黑" w:hAnsi="微软雅黑" w:eastAsia="微软雅黑" w:cs="微软雅黑"/>
          <w:spacing w:val="14"/>
          <w:sz w:val="31"/>
          <w:szCs w:val="31"/>
          <w:highlight w:val="none"/>
        </w:rPr>
        <w:t xml:space="preserve"> </w:t>
      </w:r>
    </w:p>
    <w:p>
      <w:pPr>
        <w:shd w:val="clear"/>
        <w:spacing w:before="151" w:line="227" w:lineRule="auto"/>
        <w:ind w:left="2873"/>
        <w:rPr>
          <w:rFonts w:ascii="宋体" w:hAnsi="宋体" w:eastAsia="宋体" w:cs="宋体"/>
          <w:sz w:val="23"/>
          <w:szCs w:val="23"/>
          <w:highlight w:val="none"/>
        </w:rPr>
      </w:pPr>
      <w:r>
        <w:rPr>
          <w:rFonts w:ascii="宋体" w:hAnsi="宋体" w:eastAsia="宋体" w:cs="宋体"/>
          <w:spacing w:val="11"/>
          <w:sz w:val="23"/>
          <w:szCs w:val="23"/>
          <w:highlight w:val="none"/>
          <w14:textOutline w14:w="4358" w14:cap="sq" w14:cmpd="sng">
            <w14:solidFill>
              <w14:srgbClr w14:val="000000"/>
            </w14:solidFill>
            <w14:prstDash w14:val="solid"/>
            <w14:bevel/>
          </w14:textOutline>
        </w:rPr>
        <w:t>中</w:t>
      </w:r>
      <w:r>
        <w:rPr>
          <w:rFonts w:ascii="宋体" w:hAnsi="宋体" w:eastAsia="宋体" w:cs="宋体"/>
          <w:spacing w:val="6"/>
          <w:sz w:val="23"/>
          <w:szCs w:val="23"/>
          <w:highlight w:val="none"/>
          <w14:textOutline w14:w="4358" w14:cap="sq" w14:cmpd="sng">
            <w14:solidFill>
              <w14:srgbClr w14:val="000000"/>
            </w14:solidFill>
            <w14:prstDash w14:val="solid"/>
            <w14:bevel/>
          </w14:textOutline>
        </w:rPr>
        <w:t>小企业声明函</w:t>
      </w:r>
      <w:r>
        <w:rPr>
          <w:rFonts w:ascii="宋体" w:hAnsi="宋体" w:eastAsia="宋体" w:cs="宋体"/>
          <w:spacing w:val="6"/>
          <w:sz w:val="23"/>
          <w:szCs w:val="23"/>
          <w:highlight w:val="none"/>
        </w:rPr>
        <w:t xml:space="preserve"> </w:t>
      </w:r>
    </w:p>
    <w:p>
      <w:pPr>
        <w:shd w:val="clear"/>
        <w:spacing w:line="269" w:lineRule="auto"/>
        <w:rPr>
          <w:rFonts w:ascii="Arial"/>
          <w:sz w:val="21"/>
          <w:highlight w:val="none"/>
        </w:rPr>
      </w:pPr>
    </w:p>
    <w:p>
      <w:pPr>
        <w:shd w:val="clear"/>
        <w:tabs>
          <w:tab w:val="left" w:pos="146"/>
        </w:tabs>
        <w:spacing w:before="75" w:line="389" w:lineRule="auto"/>
        <w:ind w:left="22" w:right="5" w:firstLine="480"/>
        <w:rPr>
          <w:rFonts w:ascii="宋体" w:hAnsi="宋体" w:eastAsia="宋体" w:cs="宋体"/>
          <w:sz w:val="23"/>
          <w:szCs w:val="23"/>
          <w:highlight w:val="none"/>
        </w:rPr>
      </w:pPr>
      <w:r>
        <w:rPr>
          <w:rFonts w:ascii="宋体" w:hAnsi="宋体" w:eastAsia="宋体" w:cs="宋体"/>
          <w:spacing w:val="16"/>
          <w:sz w:val="23"/>
          <w:szCs w:val="23"/>
          <w:highlight w:val="none"/>
        </w:rPr>
        <w:t>本公司</w:t>
      </w:r>
      <w:r>
        <w:rPr>
          <w:rFonts w:ascii="宋体" w:hAnsi="宋体" w:eastAsia="宋体" w:cs="宋体"/>
          <w:spacing w:val="9"/>
          <w:sz w:val="23"/>
          <w:szCs w:val="23"/>
          <w:highlight w:val="none"/>
        </w:rPr>
        <w:t xml:space="preserve"> </w:t>
      </w:r>
      <w:r>
        <w:rPr>
          <w:rFonts w:ascii="宋体" w:hAnsi="宋体" w:eastAsia="宋体" w:cs="宋体"/>
          <w:spacing w:val="8"/>
          <w:sz w:val="23"/>
          <w:szCs w:val="23"/>
          <w:highlight w:val="none"/>
        </w:rPr>
        <w:t>(联合体) 郑重声明，根据《政府采购促进中小企业发展管理办法》</w:t>
      </w:r>
      <w:r>
        <w:rPr>
          <w:rFonts w:ascii="宋体" w:hAnsi="宋体" w:eastAsia="宋体" w:cs="宋体"/>
          <w:sz w:val="23"/>
          <w:szCs w:val="23"/>
          <w:highlight w:val="none"/>
        </w:rPr>
        <w:t xml:space="preserve"> </w:t>
      </w:r>
      <w:r>
        <w:rPr>
          <w:rFonts w:ascii="宋体" w:hAnsi="宋体" w:eastAsia="宋体" w:cs="宋体"/>
          <w:sz w:val="23"/>
          <w:szCs w:val="23"/>
          <w:highlight w:val="none"/>
        </w:rPr>
        <w:tab/>
      </w:r>
      <w:r>
        <w:rPr>
          <w:rFonts w:ascii="宋体" w:hAnsi="宋体" w:eastAsia="宋体" w:cs="宋体"/>
          <w:spacing w:val="4"/>
          <w:sz w:val="23"/>
          <w:szCs w:val="23"/>
          <w:highlight w:val="none"/>
        </w:rPr>
        <w:t>(财库[2020]46 号</w:t>
      </w:r>
      <w:r>
        <w:rPr>
          <w:rFonts w:ascii="宋体" w:hAnsi="宋体" w:eastAsia="宋体" w:cs="宋体"/>
          <w:spacing w:val="3"/>
          <w:sz w:val="23"/>
          <w:szCs w:val="23"/>
          <w:highlight w:val="none"/>
        </w:rPr>
        <w:t>)</w:t>
      </w:r>
      <w:r>
        <w:rPr>
          <w:rFonts w:ascii="宋体" w:hAnsi="宋体" w:eastAsia="宋体" w:cs="宋体"/>
          <w:spacing w:val="2"/>
          <w:sz w:val="23"/>
          <w:szCs w:val="23"/>
          <w:highlight w:val="none"/>
        </w:rPr>
        <w:t>的规定，本公司(联合体)参加</w:t>
      </w:r>
      <w:r>
        <w:rPr>
          <w:rFonts w:ascii="宋体" w:hAnsi="宋体" w:eastAsia="宋体" w:cs="宋体"/>
          <w:spacing w:val="2"/>
          <w:sz w:val="23"/>
          <w:szCs w:val="23"/>
          <w:highlight w:val="none"/>
          <w:u w:val="single" w:color="auto"/>
        </w:rPr>
        <w:t xml:space="preserve">  (单位名称)  </w:t>
      </w:r>
      <w:r>
        <w:rPr>
          <w:rFonts w:ascii="宋体" w:hAnsi="宋体" w:eastAsia="宋体" w:cs="宋体"/>
          <w:spacing w:val="2"/>
          <w:sz w:val="23"/>
          <w:szCs w:val="23"/>
          <w:highlight w:val="none"/>
        </w:rPr>
        <w:t xml:space="preserve"> 的</w:t>
      </w:r>
      <w:r>
        <w:rPr>
          <w:rFonts w:ascii="宋体" w:hAnsi="宋体" w:eastAsia="宋体" w:cs="宋体"/>
          <w:spacing w:val="2"/>
          <w:sz w:val="23"/>
          <w:szCs w:val="23"/>
          <w:highlight w:val="none"/>
          <w:u w:val="single" w:color="auto"/>
        </w:rPr>
        <w:t xml:space="preserve">      ( 项</w:t>
      </w:r>
      <w:r>
        <w:rPr>
          <w:rFonts w:ascii="宋体" w:hAnsi="宋体" w:eastAsia="宋体" w:cs="宋体"/>
          <w:sz w:val="23"/>
          <w:szCs w:val="23"/>
          <w:highlight w:val="none"/>
        </w:rPr>
        <w:t xml:space="preserve"> </w:t>
      </w:r>
      <w:r>
        <w:rPr>
          <w:rFonts w:ascii="宋体" w:hAnsi="宋体" w:eastAsia="宋体" w:cs="宋体"/>
          <w:spacing w:val="10"/>
          <w:sz w:val="23"/>
          <w:szCs w:val="23"/>
          <w:highlight w:val="none"/>
          <w:u w:val="single" w:color="auto"/>
        </w:rPr>
        <w:t xml:space="preserve">目名称) </w:t>
      </w:r>
      <w:r>
        <w:rPr>
          <w:rFonts w:ascii="宋体" w:hAnsi="宋体" w:eastAsia="宋体" w:cs="宋体"/>
          <w:spacing w:val="9"/>
          <w:sz w:val="23"/>
          <w:szCs w:val="23"/>
          <w:highlight w:val="none"/>
          <w:u w:val="single" w:color="auto"/>
        </w:rPr>
        <w:t xml:space="preserve"> </w:t>
      </w:r>
      <w:r>
        <w:rPr>
          <w:rFonts w:ascii="宋体" w:hAnsi="宋体" w:eastAsia="宋体" w:cs="宋体"/>
          <w:spacing w:val="5"/>
          <w:sz w:val="23"/>
          <w:szCs w:val="23"/>
          <w:highlight w:val="none"/>
        </w:rPr>
        <w:t xml:space="preserve"> 采购活动，全部由符合要求的中小企业承接。相关企业的 (含联</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合</w:t>
      </w:r>
      <w:r>
        <w:rPr>
          <w:rFonts w:ascii="宋体" w:hAnsi="宋体" w:eastAsia="宋体" w:cs="宋体"/>
          <w:spacing w:val="9"/>
          <w:sz w:val="23"/>
          <w:szCs w:val="23"/>
          <w:highlight w:val="none"/>
        </w:rPr>
        <w:t>体中的中小企业、签订分包意向协议的中小企业) 的具体情况如下：</w:t>
      </w:r>
    </w:p>
    <w:p>
      <w:pPr>
        <w:shd w:val="clear"/>
        <w:spacing w:before="144" w:line="391" w:lineRule="auto"/>
        <w:ind w:left="20" w:firstLine="498"/>
        <w:rPr>
          <w:rFonts w:ascii="宋体" w:hAnsi="宋体" w:eastAsia="宋体" w:cs="宋体"/>
          <w:sz w:val="23"/>
          <w:szCs w:val="23"/>
          <w:highlight w:val="none"/>
        </w:rPr>
      </w:pPr>
      <w:r>
        <w:rPr>
          <w:rFonts w:ascii="宋体" w:hAnsi="宋体" w:eastAsia="宋体" w:cs="宋体"/>
          <w:spacing w:val="4"/>
          <w:sz w:val="23"/>
          <w:szCs w:val="23"/>
          <w:highlight w:val="none"/>
        </w:rPr>
        <w:t xml:space="preserve">1、  </w:t>
      </w:r>
      <w:r>
        <w:rPr>
          <w:rFonts w:ascii="宋体" w:hAnsi="宋体" w:eastAsia="宋体" w:cs="宋体"/>
          <w:spacing w:val="4"/>
          <w:sz w:val="23"/>
          <w:szCs w:val="23"/>
          <w:highlight w:val="none"/>
          <w:u w:val="single" w:color="auto"/>
        </w:rPr>
        <w:t xml:space="preserve">    (</w:t>
      </w:r>
      <w:r>
        <w:rPr>
          <w:rFonts w:ascii="宋体" w:hAnsi="宋体" w:eastAsia="宋体" w:cs="宋体"/>
          <w:spacing w:val="3"/>
          <w:sz w:val="23"/>
          <w:szCs w:val="23"/>
          <w:highlight w:val="none"/>
          <w:u w:val="single" w:color="auto"/>
        </w:rPr>
        <w:t>标</w:t>
      </w:r>
      <w:r>
        <w:rPr>
          <w:rFonts w:ascii="宋体" w:hAnsi="宋体" w:eastAsia="宋体" w:cs="宋体"/>
          <w:spacing w:val="2"/>
          <w:sz w:val="23"/>
          <w:szCs w:val="23"/>
          <w:highlight w:val="none"/>
          <w:u w:val="single" w:color="auto"/>
        </w:rPr>
        <w:t xml:space="preserve">的名称)  </w:t>
      </w:r>
      <w:r>
        <w:rPr>
          <w:rFonts w:ascii="宋体" w:hAnsi="宋体" w:eastAsia="宋体" w:cs="宋体"/>
          <w:spacing w:val="2"/>
          <w:sz w:val="23"/>
          <w:szCs w:val="23"/>
          <w:highlight w:val="none"/>
        </w:rPr>
        <w:t>，属于采购文件中明确的所属行业；承接企业为</w:t>
      </w:r>
      <w:r>
        <w:rPr>
          <w:rFonts w:ascii="宋体" w:hAnsi="宋体" w:eastAsia="宋体" w:cs="宋体"/>
          <w:spacing w:val="2"/>
          <w:sz w:val="23"/>
          <w:szCs w:val="23"/>
          <w:highlight w:val="none"/>
          <w:u w:val="single" w:color="auto"/>
        </w:rPr>
        <w:t xml:space="preserve"> (企</w:t>
      </w:r>
      <w:r>
        <w:rPr>
          <w:rFonts w:ascii="宋体" w:hAnsi="宋体" w:eastAsia="宋体" w:cs="宋体"/>
          <w:sz w:val="23"/>
          <w:szCs w:val="23"/>
          <w:highlight w:val="none"/>
        </w:rPr>
        <w:t xml:space="preserve"> </w:t>
      </w:r>
      <w:r>
        <w:rPr>
          <w:rFonts w:ascii="宋体" w:hAnsi="宋体" w:eastAsia="宋体" w:cs="宋体"/>
          <w:spacing w:val="10"/>
          <w:sz w:val="23"/>
          <w:szCs w:val="23"/>
          <w:highlight w:val="none"/>
          <w:u w:val="single" w:color="auto"/>
        </w:rPr>
        <w:t xml:space="preserve">业名称) </w:t>
      </w:r>
      <w:r>
        <w:rPr>
          <w:rFonts w:ascii="宋体" w:hAnsi="宋体" w:eastAsia="宋体" w:cs="宋体"/>
          <w:spacing w:val="7"/>
          <w:sz w:val="23"/>
          <w:szCs w:val="23"/>
          <w:highlight w:val="none"/>
        </w:rPr>
        <w:t>，</w:t>
      </w:r>
      <w:r>
        <w:rPr>
          <w:rFonts w:ascii="宋体" w:hAnsi="宋体" w:eastAsia="宋体" w:cs="宋体"/>
          <w:spacing w:val="5"/>
          <w:sz w:val="23"/>
          <w:szCs w:val="23"/>
          <w:highlight w:val="none"/>
        </w:rPr>
        <w:t>从业人员人，营业收入为万元，资产总额为万元，属于</w:t>
      </w:r>
      <w:r>
        <w:rPr>
          <w:rFonts w:ascii="宋体" w:hAnsi="宋体" w:eastAsia="宋体" w:cs="宋体"/>
          <w:spacing w:val="5"/>
          <w:sz w:val="23"/>
          <w:szCs w:val="23"/>
          <w:highlight w:val="none"/>
          <w:u w:val="single" w:color="auto"/>
        </w:rPr>
        <w:t xml:space="preserve">  (中型企业、</w:t>
      </w:r>
      <w:r>
        <w:rPr>
          <w:rFonts w:ascii="宋体" w:hAnsi="宋体" w:eastAsia="宋体" w:cs="宋体"/>
          <w:sz w:val="23"/>
          <w:szCs w:val="23"/>
          <w:highlight w:val="none"/>
        </w:rPr>
        <w:t xml:space="preserve"> </w:t>
      </w:r>
      <w:r>
        <w:rPr>
          <w:rFonts w:ascii="宋体" w:hAnsi="宋体" w:eastAsia="宋体" w:cs="宋体"/>
          <w:spacing w:val="11"/>
          <w:sz w:val="23"/>
          <w:szCs w:val="23"/>
          <w:highlight w:val="none"/>
          <w:u w:val="single" w:color="auto"/>
        </w:rPr>
        <w:t>小</w:t>
      </w:r>
      <w:r>
        <w:rPr>
          <w:rFonts w:ascii="宋体" w:hAnsi="宋体" w:eastAsia="宋体" w:cs="宋体"/>
          <w:spacing w:val="10"/>
          <w:sz w:val="23"/>
          <w:szCs w:val="23"/>
          <w:highlight w:val="none"/>
          <w:u w:val="single" w:color="auto"/>
        </w:rPr>
        <w:t>型企业、微型企业) ；</w:t>
      </w:r>
    </w:p>
    <w:p>
      <w:pPr>
        <w:shd w:val="clear"/>
        <w:spacing w:before="139" w:line="391" w:lineRule="auto"/>
        <w:ind w:left="20" w:firstLine="483"/>
        <w:rPr>
          <w:rFonts w:ascii="宋体" w:hAnsi="宋体" w:eastAsia="宋体" w:cs="宋体"/>
          <w:sz w:val="23"/>
          <w:szCs w:val="23"/>
          <w:highlight w:val="none"/>
        </w:rPr>
      </w:pPr>
      <w:r>
        <w:rPr>
          <w:rFonts w:ascii="宋体" w:hAnsi="宋体" w:eastAsia="宋体" w:cs="宋体"/>
          <w:spacing w:val="3"/>
          <w:sz w:val="23"/>
          <w:szCs w:val="23"/>
          <w:highlight w:val="none"/>
        </w:rPr>
        <w:t xml:space="preserve">2、  </w:t>
      </w:r>
      <w:r>
        <w:rPr>
          <w:rFonts w:ascii="宋体" w:hAnsi="宋体" w:eastAsia="宋体" w:cs="宋体"/>
          <w:spacing w:val="3"/>
          <w:sz w:val="23"/>
          <w:szCs w:val="23"/>
          <w:highlight w:val="none"/>
          <w:u w:val="single" w:color="auto"/>
        </w:rPr>
        <w:t xml:space="preserve">    (标的名称)  </w:t>
      </w:r>
      <w:r>
        <w:rPr>
          <w:rFonts w:ascii="宋体" w:hAnsi="宋体" w:eastAsia="宋体" w:cs="宋体"/>
          <w:spacing w:val="3"/>
          <w:sz w:val="23"/>
          <w:szCs w:val="23"/>
          <w:highlight w:val="none"/>
        </w:rPr>
        <w:t>，属于采购文件中明确的所属行业；承接企业为</w:t>
      </w:r>
      <w:r>
        <w:rPr>
          <w:rFonts w:ascii="宋体" w:hAnsi="宋体" w:eastAsia="宋体" w:cs="宋体"/>
          <w:spacing w:val="2"/>
          <w:sz w:val="23"/>
          <w:szCs w:val="23"/>
          <w:highlight w:val="none"/>
          <w:u w:val="single" w:color="auto"/>
        </w:rPr>
        <w:t xml:space="preserve"> </w:t>
      </w:r>
      <w:r>
        <w:rPr>
          <w:rFonts w:ascii="宋体" w:hAnsi="宋体" w:eastAsia="宋体" w:cs="宋体"/>
          <w:sz w:val="23"/>
          <w:szCs w:val="23"/>
          <w:highlight w:val="none"/>
          <w:u w:val="single" w:color="auto"/>
        </w:rPr>
        <w:t>(企</w:t>
      </w:r>
      <w:r>
        <w:rPr>
          <w:rFonts w:ascii="宋体" w:hAnsi="宋体" w:eastAsia="宋体" w:cs="宋体"/>
          <w:sz w:val="23"/>
          <w:szCs w:val="23"/>
          <w:highlight w:val="none"/>
        </w:rPr>
        <w:t xml:space="preserve"> </w:t>
      </w:r>
      <w:r>
        <w:rPr>
          <w:rFonts w:ascii="宋体" w:hAnsi="宋体" w:eastAsia="宋体" w:cs="宋体"/>
          <w:spacing w:val="10"/>
          <w:sz w:val="23"/>
          <w:szCs w:val="23"/>
          <w:highlight w:val="none"/>
          <w:u w:val="single" w:color="auto"/>
        </w:rPr>
        <w:t xml:space="preserve">业名称) </w:t>
      </w:r>
      <w:r>
        <w:rPr>
          <w:rFonts w:ascii="宋体" w:hAnsi="宋体" w:eastAsia="宋体" w:cs="宋体"/>
          <w:spacing w:val="7"/>
          <w:sz w:val="23"/>
          <w:szCs w:val="23"/>
          <w:highlight w:val="none"/>
        </w:rPr>
        <w:t>，</w:t>
      </w:r>
      <w:r>
        <w:rPr>
          <w:rFonts w:ascii="宋体" w:hAnsi="宋体" w:eastAsia="宋体" w:cs="宋体"/>
          <w:spacing w:val="5"/>
          <w:sz w:val="23"/>
          <w:szCs w:val="23"/>
          <w:highlight w:val="none"/>
        </w:rPr>
        <w:t>从业人员人，营业收入为万元，资产总额为万元，属于</w:t>
      </w:r>
      <w:r>
        <w:rPr>
          <w:rFonts w:ascii="宋体" w:hAnsi="宋体" w:eastAsia="宋体" w:cs="宋体"/>
          <w:spacing w:val="5"/>
          <w:sz w:val="23"/>
          <w:szCs w:val="23"/>
          <w:highlight w:val="none"/>
          <w:u w:val="single" w:color="auto"/>
        </w:rPr>
        <w:t xml:space="preserve">  (中型企业、</w:t>
      </w:r>
      <w:r>
        <w:rPr>
          <w:rFonts w:ascii="宋体" w:hAnsi="宋体" w:eastAsia="宋体" w:cs="宋体"/>
          <w:sz w:val="23"/>
          <w:szCs w:val="23"/>
          <w:highlight w:val="none"/>
        </w:rPr>
        <w:t xml:space="preserve"> </w:t>
      </w:r>
      <w:r>
        <w:rPr>
          <w:rFonts w:ascii="宋体" w:hAnsi="宋体" w:eastAsia="宋体" w:cs="宋体"/>
          <w:spacing w:val="11"/>
          <w:sz w:val="23"/>
          <w:szCs w:val="23"/>
          <w:highlight w:val="none"/>
          <w:u w:val="single" w:color="auto"/>
        </w:rPr>
        <w:t>小</w:t>
      </w:r>
      <w:r>
        <w:rPr>
          <w:rFonts w:ascii="宋体" w:hAnsi="宋体" w:eastAsia="宋体" w:cs="宋体"/>
          <w:spacing w:val="10"/>
          <w:sz w:val="23"/>
          <w:szCs w:val="23"/>
          <w:highlight w:val="none"/>
          <w:u w:val="single" w:color="auto"/>
        </w:rPr>
        <w:t>型企业、微型企业) ；</w:t>
      </w:r>
    </w:p>
    <w:p>
      <w:pPr>
        <w:shd w:val="clear"/>
        <w:spacing w:before="7" w:line="370" w:lineRule="exact"/>
        <w:ind w:left="559"/>
        <w:rPr>
          <w:rFonts w:ascii="宋体" w:hAnsi="宋体" w:eastAsia="宋体" w:cs="宋体"/>
          <w:sz w:val="23"/>
          <w:szCs w:val="23"/>
          <w:highlight w:val="none"/>
        </w:rPr>
      </w:pPr>
      <w:r>
        <w:rPr>
          <w:rFonts w:ascii="宋体" w:hAnsi="宋体" w:eastAsia="宋体" w:cs="宋体"/>
          <w:spacing w:val="-23"/>
          <w:position w:val="3"/>
          <w:sz w:val="23"/>
          <w:szCs w:val="23"/>
          <w:highlight w:val="none"/>
        </w:rPr>
        <w:t>…</w:t>
      </w:r>
      <w:r>
        <w:rPr>
          <w:rFonts w:ascii="宋体" w:hAnsi="宋体" w:eastAsia="宋体" w:cs="宋体"/>
          <w:spacing w:val="-21"/>
          <w:position w:val="3"/>
          <w:sz w:val="23"/>
          <w:szCs w:val="23"/>
          <w:highlight w:val="none"/>
        </w:rPr>
        <w:t xml:space="preserve"> …</w:t>
      </w:r>
    </w:p>
    <w:p>
      <w:pPr>
        <w:shd w:val="clear"/>
        <w:spacing w:before="255" w:line="392" w:lineRule="auto"/>
        <w:ind w:left="24" w:right="80" w:firstLine="503"/>
        <w:rPr>
          <w:rFonts w:ascii="宋体" w:hAnsi="宋体" w:eastAsia="宋体" w:cs="宋体"/>
          <w:sz w:val="23"/>
          <w:szCs w:val="23"/>
          <w:highlight w:val="none"/>
        </w:rPr>
      </w:pPr>
      <w:r>
        <w:rPr>
          <w:rFonts w:ascii="宋体" w:hAnsi="宋体" w:eastAsia="宋体" w:cs="宋体"/>
          <w:spacing w:val="12"/>
          <w:sz w:val="23"/>
          <w:szCs w:val="23"/>
          <w:highlight w:val="none"/>
        </w:rPr>
        <w:t>以</w:t>
      </w:r>
      <w:r>
        <w:rPr>
          <w:rFonts w:ascii="宋体" w:hAnsi="宋体" w:eastAsia="宋体" w:cs="宋体"/>
          <w:spacing w:val="6"/>
          <w:sz w:val="23"/>
          <w:szCs w:val="23"/>
          <w:highlight w:val="none"/>
        </w:rPr>
        <w:t>上企业，不属于大企业的分支机构，不存在控股股东为大企业的情形，也</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不</w:t>
      </w:r>
      <w:r>
        <w:rPr>
          <w:rFonts w:ascii="宋体" w:hAnsi="宋体" w:eastAsia="宋体" w:cs="宋体"/>
          <w:spacing w:val="14"/>
          <w:sz w:val="23"/>
          <w:szCs w:val="23"/>
          <w:highlight w:val="none"/>
        </w:rPr>
        <w:t>存</w:t>
      </w:r>
      <w:r>
        <w:rPr>
          <w:rFonts w:ascii="宋体" w:hAnsi="宋体" w:eastAsia="宋体" w:cs="宋体"/>
          <w:spacing w:val="8"/>
          <w:sz w:val="23"/>
          <w:szCs w:val="23"/>
          <w:highlight w:val="none"/>
        </w:rPr>
        <w:t>在与大企业的负责人为同一人的情形。</w:t>
      </w:r>
    </w:p>
    <w:p>
      <w:pPr>
        <w:shd w:val="clear"/>
        <w:spacing w:before="145" w:line="224" w:lineRule="auto"/>
        <w:ind w:left="502"/>
        <w:rPr>
          <w:rFonts w:ascii="宋体" w:hAnsi="宋体" w:eastAsia="宋体" w:cs="宋体"/>
          <w:sz w:val="23"/>
          <w:szCs w:val="23"/>
          <w:highlight w:val="none"/>
        </w:rPr>
      </w:pPr>
      <w:r>
        <w:rPr>
          <w:rFonts w:ascii="宋体" w:hAnsi="宋体" w:eastAsia="宋体" w:cs="宋体"/>
          <w:spacing w:val="18"/>
          <w:sz w:val="23"/>
          <w:szCs w:val="23"/>
          <w:highlight w:val="none"/>
        </w:rPr>
        <w:t>本</w:t>
      </w:r>
      <w:r>
        <w:rPr>
          <w:rFonts w:ascii="宋体" w:hAnsi="宋体" w:eastAsia="宋体" w:cs="宋体"/>
          <w:spacing w:val="9"/>
          <w:sz w:val="23"/>
          <w:szCs w:val="23"/>
          <w:highlight w:val="none"/>
        </w:rPr>
        <w:t>企业对上述声明的真实性负责。如有虚假，将依法承担相应责任。</w:t>
      </w:r>
    </w:p>
    <w:p>
      <w:pPr>
        <w:shd w:val="clear"/>
        <w:spacing w:line="299" w:lineRule="auto"/>
        <w:rPr>
          <w:rFonts w:ascii="Arial"/>
          <w:sz w:val="21"/>
          <w:highlight w:val="none"/>
        </w:rPr>
      </w:pPr>
    </w:p>
    <w:p>
      <w:pPr>
        <w:shd w:val="clear"/>
        <w:spacing w:before="75" w:line="227" w:lineRule="auto"/>
        <w:ind w:left="4581"/>
        <w:rPr>
          <w:rFonts w:ascii="宋体" w:hAnsi="宋体" w:eastAsia="宋体" w:cs="宋体"/>
          <w:sz w:val="23"/>
          <w:szCs w:val="23"/>
          <w:highlight w:val="none"/>
        </w:rPr>
      </w:pPr>
      <w:r>
        <w:rPr>
          <w:rFonts w:ascii="宋体" w:hAnsi="宋体" w:eastAsia="宋体" w:cs="宋体"/>
          <w:spacing w:val="10"/>
          <w:sz w:val="23"/>
          <w:szCs w:val="23"/>
          <w:highlight w:val="none"/>
        </w:rPr>
        <w:t>供</w:t>
      </w:r>
      <w:r>
        <w:rPr>
          <w:rFonts w:ascii="宋体" w:hAnsi="宋体" w:eastAsia="宋体" w:cs="宋体"/>
          <w:spacing w:val="6"/>
          <w:sz w:val="23"/>
          <w:szCs w:val="23"/>
          <w:highlight w:val="none"/>
        </w:rPr>
        <w:t>应商名称：</w:t>
      </w:r>
      <w:r>
        <w:rPr>
          <w:rFonts w:ascii="宋体" w:hAnsi="宋体" w:eastAsia="宋体" w:cs="宋体"/>
          <w:spacing w:val="6"/>
          <w:sz w:val="23"/>
          <w:szCs w:val="23"/>
          <w:highlight w:val="none"/>
          <w:u w:val="single" w:color="auto"/>
        </w:rPr>
        <w:t xml:space="preserve">        (电子签章)</w:t>
      </w:r>
      <w:r>
        <w:rPr>
          <w:rFonts w:ascii="宋体" w:hAnsi="宋体" w:eastAsia="宋体" w:cs="宋体"/>
          <w:sz w:val="23"/>
          <w:szCs w:val="23"/>
          <w:highlight w:val="none"/>
          <w:u w:val="single" w:color="auto"/>
        </w:rPr>
        <w:t xml:space="preserve"> </w:t>
      </w:r>
    </w:p>
    <w:p>
      <w:pPr>
        <w:shd w:val="clear"/>
        <w:spacing w:before="203" w:line="227" w:lineRule="auto"/>
        <w:ind w:left="2956"/>
        <w:rPr>
          <w:rFonts w:ascii="宋体" w:hAnsi="宋体" w:eastAsia="宋体" w:cs="宋体"/>
          <w:sz w:val="23"/>
          <w:szCs w:val="23"/>
          <w:highlight w:val="none"/>
        </w:rPr>
      </w:pPr>
      <w:r>
        <w:rPr>
          <w:rFonts w:ascii="宋体" w:hAnsi="宋体" w:eastAsia="宋体" w:cs="宋体"/>
          <w:spacing w:val="-4"/>
          <w:sz w:val="23"/>
          <w:szCs w:val="23"/>
          <w:highlight w:val="none"/>
        </w:rPr>
        <w:t xml:space="preserve">日期： </w:t>
      </w:r>
      <w:r>
        <w:rPr>
          <w:rFonts w:ascii="宋体" w:hAnsi="宋体" w:eastAsia="宋体" w:cs="宋体"/>
          <w:spacing w:val="-3"/>
          <w:sz w:val="23"/>
          <w:szCs w:val="23"/>
          <w:highlight w:val="none"/>
        </w:rPr>
        <w:t xml:space="preserve"> </w:t>
      </w:r>
      <w:r>
        <w:rPr>
          <w:rFonts w:ascii="宋体" w:hAnsi="宋体" w:eastAsia="宋体" w:cs="宋体"/>
          <w:spacing w:val="-2"/>
          <w:sz w:val="23"/>
          <w:szCs w:val="23"/>
          <w:highlight w:val="none"/>
        </w:rPr>
        <w:t xml:space="preserve"> 年  月  日</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5" w:line="227" w:lineRule="auto"/>
        <w:ind w:left="23"/>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line="244" w:lineRule="auto"/>
        <w:rPr>
          <w:rFonts w:ascii="Arial"/>
          <w:sz w:val="21"/>
        </w:rPr>
      </w:pPr>
    </w:p>
    <w:p>
      <w:pPr>
        <w:spacing w:before="75" w:line="289" w:lineRule="auto"/>
        <w:ind w:left="21" w:right="80" w:firstLine="17"/>
        <w:rPr>
          <w:rFonts w:ascii="宋体" w:hAnsi="宋体" w:eastAsia="宋体" w:cs="宋体"/>
          <w:sz w:val="23"/>
          <w:szCs w:val="23"/>
        </w:rPr>
      </w:pPr>
      <w:r>
        <w:rPr>
          <w:rFonts w:ascii="宋体" w:hAnsi="宋体" w:eastAsia="宋体" w:cs="宋体"/>
          <w:spacing w:val="10"/>
          <w:sz w:val="23"/>
          <w:szCs w:val="23"/>
        </w:rPr>
        <w:t>1、从业人员、营业收入、资产总额填报上一年度数据，无上一年度数据的新</w:t>
      </w:r>
      <w:r>
        <w:rPr>
          <w:rFonts w:ascii="宋体" w:hAnsi="宋体" w:eastAsia="宋体" w:cs="宋体"/>
          <w:spacing w:val="8"/>
          <w:sz w:val="23"/>
          <w:szCs w:val="23"/>
        </w:rPr>
        <w:t>成</w:t>
      </w:r>
      <w:r>
        <w:rPr>
          <w:rFonts w:ascii="宋体" w:hAnsi="宋体" w:eastAsia="宋体" w:cs="宋体"/>
          <w:sz w:val="23"/>
          <w:szCs w:val="23"/>
        </w:rPr>
        <w:t xml:space="preserve"> </w:t>
      </w:r>
      <w:r>
        <w:rPr>
          <w:rFonts w:ascii="宋体" w:hAnsi="宋体" w:eastAsia="宋体" w:cs="宋体"/>
          <w:spacing w:val="11"/>
          <w:sz w:val="23"/>
          <w:szCs w:val="23"/>
        </w:rPr>
        <w:t>立</w:t>
      </w:r>
      <w:r>
        <w:rPr>
          <w:rFonts w:ascii="宋体" w:hAnsi="宋体" w:eastAsia="宋体" w:cs="宋体"/>
          <w:spacing w:val="7"/>
          <w:sz w:val="23"/>
          <w:szCs w:val="23"/>
        </w:rPr>
        <w:t>企业可不填报。</w:t>
      </w:r>
    </w:p>
    <w:p>
      <w:pPr>
        <w:spacing w:line="243" w:lineRule="auto"/>
        <w:rPr>
          <w:rFonts w:ascii="Arial"/>
          <w:sz w:val="21"/>
        </w:rPr>
      </w:pPr>
    </w:p>
    <w:p>
      <w:pPr>
        <w:spacing w:before="75" w:line="290" w:lineRule="auto"/>
        <w:ind w:left="20" w:right="111" w:firstLine="3"/>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7"/>
          <w:sz w:val="23"/>
          <w:szCs w:val="23"/>
        </w:rPr>
        <w:t>、</w:t>
      </w:r>
      <w:r>
        <w:rPr>
          <w:rFonts w:ascii="宋体" w:hAnsi="宋体" w:eastAsia="宋体" w:cs="宋体"/>
          <w:spacing w:val="9"/>
          <w:sz w:val="23"/>
          <w:szCs w:val="23"/>
        </w:rPr>
        <w:t>若为全部服务均有监狱企业或残疾人企业提供，须提供监狱企业或残疾人企</w:t>
      </w:r>
      <w:r>
        <w:rPr>
          <w:rFonts w:ascii="宋体" w:hAnsi="宋体" w:eastAsia="宋体" w:cs="宋体"/>
          <w:sz w:val="23"/>
          <w:szCs w:val="23"/>
        </w:rPr>
        <w:t xml:space="preserve"> </w:t>
      </w:r>
      <w:r>
        <w:rPr>
          <w:rFonts w:ascii="宋体" w:hAnsi="宋体" w:eastAsia="宋体" w:cs="宋体"/>
          <w:spacing w:val="11"/>
          <w:sz w:val="23"/>
          <w:szCs w:val="23"/>
        </w:rPr>
        <w:t>业</w:t>
      </w:r>
      <w:r>
        <w:rPr>
          <w:rFonts w:ascii="宋体" w:hAnsi="宋体" w:eastAsia="宋体" w:cs="宋体"/>
          <w:spacing w:val="7"/>
          <w:sz w:val="23"/>
          <w:szCs w:val="23"/>
        </w:rPr>
        <w:t>声明函 (格式自拟)</w:t>
      </w:r>
    </w:p>
    <w:p>
      <w:pPr>
        <w:spacing w:before="219" w:line="308" w:lineRule="exact"/>
        <w:ind w:left="25"/>
        <w:outlineLvl w:val="2"/>
        <w:rPr>
          <w:rFonts w:ascii="宋体" w:hAnsi="宋体" w:eastAsia="宋体" w:cs="宋体"/>
          <w:sz w:val="23"/>
          <w:szCs w:val="23"/>
        </w:rPr>
      </w:pPr>
      <w:r>
        <w:rPr>
          <w:rFonts w:ascii="宋体" w:hAnsi="宋体" w:eastAsia="宋体" w:cs="宋体"/>
          <w:spacing w:val="9"/>
          <w:sz w:val="23"/>
          <w:szCs w:val="23"/>
        </w:rPr>
        <w:t>3、成交的供应商的《中小微企业声明函》将作为成交结果公告一并公示。</w:t>
      </w:r>
    </w:p>
    <w:p>
      <w:pPr>
        <w:sectPr>
          <w:headerReference r:id="rId35" w:type="default"/>
          <w:footerReference r:id="rId36" w:type="default"/>
          <w:pgSz w:w="11906" w:h="16839"/>
          <w:pgMar w:top="1117" w:right="1716" w:bottom="1335" w:left="1785" w:header="1108" w:footer="1172" w:gutter="0"/>
          <w:pgNumType w:fmt="decimal"/>
          <w:cols w:space="720" w:num="1"/>
        </w:sectPr>
      </w:pPr>
    </w:p>
    <w:p>
      <w:pPr>
        <w:spacing w:line="342" w:lineRule="auto"/>
        <w:rPr>
          <w:rFonts w:ascii="Arial"/>
          <w:sz w:val="21"/>
        </w:rPr>
      </w:pPr>
    </w:p>
    <w:p>
      <w:pPr>
        <w:tabs>
          <w:tab w:val="left" w:pos="203"/>
        </w:tabs>
        <w:spacing w:before="133" w:line="186" w:lineRule="auto"/>
        <w:ind w:left="49"/>
        <w:outlineLvl w:val="1"/>
        <w:rPr>
          <w:rFonts w:ascii="微软雅黑" w:hAnsi="微软雅黑" w:eastAsia="微软雅黑" w:cs="微软雅黑"/>
          <w:sz w:val="31"/>
          <w:szCs w:val="31"/>
        </w:rPr>
      </w:pPr>
      <w:bookmarkStart w:id="311" w:name="_bookmark32"/>
      <w:bookmarkEnd w:id="311"/>
      <w:r>
        <w:rPr>
          <w:rFonts w:ascii="微软雅黑" w:hAnsi="微软雅黑" w:eastAsia="微软雅黑" w:cs="微软雅黑"/>
          <w:b/>
          <w:bCs/>
          <w:sz w:val="31"/>
          <w:szCs w:val="31"/>
        </w:rPr>
        <w:tab/>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(十)</w:t>
      </w:r>
      <w:r>
        <w:rPr>
          <w:rFonts w:ascii="微软雅黑" w:hAnsi="微软雅黑" w:eastAsia="微软雅黑" w:cs="微软雅黑"/>
          <w:spacing w:val="12"/>
          <w:sz w:val="31"/>
          <w:szCs w:val="31"/>
        </w:rPr>
        <w:t xml:space="preserve">  </w:t>
      </w:r>
      <w:r>
        <w:rPr>
          <w:rFonts w:ascii="微软雅黑" w:hAnsi="微软雅黑" w:eastAsia="微软雅黑" w:cs="微软雅黑"/>
          <w:spacing w:val="12"/>
          <w:sz w:val="31"/>
          <w:szCs w:val="31"/>
          <w14:textOutline w14:w="5793" w14:cap="sq" w14:cmpd="sng">
            <w14:solidFill>
              <w14:srgbClr w14:val="000000"/>
            </w14:solidFill>
            <w14:prstDash w14:val="solid"/>
            <w14:bevel/>
          </w14:textOutline>
        </w:rPr>
        <w:t>供应商认为需要提供其他资</w:t>
      </w:r>
      <w:r>
        <w:rPr>
          <w:rFonts w:ascii="微软雅黑" w:hAnsi="微软雅黑" w:eastAsia="微软雅黑" w:cs="微软雅黑"/>
          <w:spacing w:val="8"/>
          <w:sz w:val="31"/>
          <w:szCs w:val="31"/>
          <w14:textOutline w14:w="5793" w14:cap="sq" w14:cmpd="sng">
            <w14:solidFill>
              <w14:srgbClr w14:val="000000"/>
            </w14:solidFill>
            <w14:prstDash w14:val="solid"/>
            <w14:bevel/>
          </w14:textOutline>
        </w:rPr>
        <w:t>料</w:t>
      </w:r>
    </w:p>
    <w:p>
      <w:pPr>
        <w:sectPr>
          <w:headerReference r:id="rId37" w:type="default"/>
          <w:footerReference r:id="rId38" w:type="default"/>
          <w:pgSz w:w="11906" w:h="16839"/>
          <w:pgMar w:top="1117" w:right="1785" w:bottom="1335" w:left="1785" w:header="1108" w:footer="1172" w:gutter="0"/>
          <w:pgNumType w:fmt="decimal"/>
          <w:cols w:space="720" w:num="1"/>
        </w:sectPr>
      </w:pPr>
    </w:p>
    <w:p>
      <w:pPr>
        <w:spacing w:line="341" w:lineRule="auto"/>
        <w:rPr>
          <w:rFonts w:ascii="Arial"/>
          <w:sz w:val="21"/>
        </w:rPr>
      </w:pPr>
    </w:p>
    <w:p>
      <w:pPr>
        <w:spacing w:before="133" w:line="193" w:lineRule="auto"/>
        <w:ind w:left="42"/>
        <w:rPr>
          <w:rFonts w:ascii="微软雅黑" w:hAnsi="微软雅黑" w:eastAsia="微软雅黑" w:cs="微软雅黑"/>
          <w:sz w:val="31"/>
          <w:szCs w:val="31"/>
        </w:rPr>
      </w:pPr>
      <w:bookmarkStart w:id="312" w:name="_bookmark33"/>
      <w:bookmarkEnd w:id="312"/>
      <w:r>
        <w:rPr>
          <w:rFonts w:ascii="微软雅黑" w:hAnsi="微软雅黑" w:eastAsia="微软雅黑" w:cs="微软雅黑"/>
          <w:spacing w:val="-11"/>
          <w:sz w:val="31"/>
          <w:szCs w:val="31"/>
          <w14:textOutline w14:w="5793" w14:cap="sq" w14:cmpd="sng">
            <w14:solidFill>
              <w14:srgbClr w14:val="000000"/>
            </w14:solidFill>
            <w14:prstDash w14:val="solid"/>
            <w14:bevel/>
          </w14:textOutline>
        </w:rPr>
        <w:t>四</w:t>
      </w:r>
      <w:r>
        <w:rPr>
          <w:rFonts w:ascii="微软雅黑" w:hAnsi="微软雅黑" w:eastAsia="微软雅黑" w:cs="微软雅黑"/>
          <w:spacing w:val="-8"/>
          <w:sz w:val="31"/>
          <w:szCs w:val="31"/>
        </w:rPr>
        <w:t xml:space="preserve"> </w:t>
      </w:r>
      <w:r>
        <w:rPr>
          <w:rFonts w:ascii="微软雅黑" w:hAnsi="微软雅黑" w:eastAsia="微软雅黑" w:cs="微软雅黑"/>
          <w:spacing w:val="-8"/>
          <w:sz w:val="31"/>
          <w:szCs w:val="31"/>
          <w14:textOutline w14:w="5793" w14:cap="sq" w14:cmpd="sng">
            <w14:solidFill>
              <w14:srgbClr w14:val="000000"/>
            </w14:solidFill>
            <w14:prstDash w14:val="solid"/>
            <w14:bevel/>
          </w14:textOutline>
        </w:rPr>
        <w:t>、技术文件</w:t>
      </w:r>
    </w:p>
    <w:p>
      <w:pPr>
        <w:spacing w:line="254" w:lineRule="auto"/>
        <w:rPr>
          <w:rFonts w:ascii="Arial"/>
          <w:sz w:val="21"/>
        </w:rPr>
      </w:pPr>
    </w:p>
    <w:p>
      <w:pPr>
        <w:spacing w:before="101" w:line="225" w:lineRule="auto"/>
        <w:ind w:left="2895"/>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技</w:t>
      </w:r>
      <w:r>
        <w:rPr>
          <w:rFonts w:ascii="宋体" w:hAnsi="宋体" w:eastAsia="宋体" w:cs="宋体"/>
          <w:spacing w:val="9"/>
          <w:sz w:val="31"/>
          <w:szCs w:val="31"/>
          <w14:textOutline w14:w="5793" w14:cap="sq" w14:cmpd="sng">
            <w14:solidFill>
              <w14:srgbClr w14:val="000000"/>
            </w14:solidFill>
            <w14:prstDash w14:val="solid"/>
            <w14:bevel/>
          </w14:textOutline>
        </w:rPr>
        <w:t>术文件编写提纲</w:t>
      </w:r>
    </w:p>
    <w:p>
      <w:pPr>
        <w:spacing w:line="290" w:lineRule="auto"/>
        <w:rPr>
          <w:rFonts w:ascii="Arial"/>
          <w:sz w:val="21"/>
        </w:rPr>
      </w:pPr>
    </w:p>
    <w:p>
      <w:pPr>
        <w:tabs>
          <w:tab w:val="left" w:pos="582"/>
        </w:tabs>
        <w:spacing w:before="75" w:line="626" w:lineRule="exact"/>
        <w:ind w:left="490"/>
        <w:rPr>
          <w:rFonts w:ascii="宋体" w:hAnsi="宋体" w:eastAsia="宋体" w:cs="宋体"/>
          <w:sz w:val="23"/>
          <w:szCs w:val="23"/>
        </w:rPr>
      </w:pPr>
      <w:r>
        <w:rPr>
          <w:rFonts w:ascii="宋体" w:hAnsi="宋体" w:eastAsia="宋体" w:cs="宋体"/>
          <w:position w:val="30"/>
          <w:sz w:val="19"/>
          <w:szCs w:val="19"/>
        </w:rPr>
        <w:tab/>
      </w:r>
      <w:r>
        <w:rPr>
          <w:rFonts w:ascii="宋体" w:hAnsi="宋体" w:eastAsia="宋体" w:cs="宋体"/>
          <w:spacing w:val="6"/>
          <w:position w:val="30"/>
          <w:sz w:val="19"/>
          <w:szCs w:val="19"/>
        </w:rPr>
        <w:t xml:space="preserve">1   </w:t>
      </w:r>
      <w:r>
        <w:rPr>
          <w:rFonts w:ascii="宋体" w:hAnsi="宋体" w:eastAsia="宋体" w:cs="宋体"/>
          <w:spacing w:val="6"/>
          <w:position w:val="30"/>
          <w:sz w:val="23"/>
          <w:szCs w:val="23"/>
        </w:rPr>
        <w:t>项目概况 (前言)</w:t>
      </w:r>
    </w:p>
    <w:p>
      <w:pPr>
        <w:spacing w:line="227" w:lineRule="auto"/>
        <w:ind w:left="571"/>
        <w:rPr>
          <w:rFonts w:ascii="宋体" w:hAnsi="宋体" w:eastAsia="宋体" w:cs="宋体"/>
          <w:sz w:val="23"/>
          <w:szCs w:val="23"/>
        </w:rPr>
      </w:pPr>
      <w:r>
        <w:rPr>
          <w:rFonts w:ascii="宋体" w:hAnsi="宋体" w:eastAsia="宋体" w:cs="宋体"/>
          <w:spacing w:val="11"/>
          <w:sz w:val="19"/>
          <w:szCs w:val="19"/>
        </w:rPr>
        <w:t>2</w:t>
      </w:r>
      <w:r>
        <w:rPr>
          <w:rFonts w:ascii="宋体" w:hAnsi="宋体" w:eastAsia="宋体" w:cs="宋体"/>
          <w:spacing w:val="7"/>
          <w:sz w:val="19"/>
          <w:szCs w:val="19"/>
        </w:rPr>
        <w:t xml:space="preserve">   </w:t>
      </w:r>
      <w:r>
        <w:rPr>
          <w:rFonts w:ascii="宋体" w:hAnsi="宋体" w:eastAsia="宋体" w:cs="宋体"/>
          <w:spacing w:val="7"/>
          <w:sz w:val="23"/>
          <w:szCs w:val="23"/>
        </w:rPr>
        <w:t>技术方案</w:t>
      </w:r>
    </w:p>
    <w:p>
      <w:pPr>
        <w:spacing w:line="269" w:lineRule="auto"/>
        <w:rPr>
          <w:rFonts w:ascii="Arial"/>
          <w:sz w:val="21"/>
        </w:rPr>
      </w:pPr>
    </w:p>
    <w:p>
      <w:pPr>
        <w:spacing w:before="75" w:line="227" w:lineRule="auto"/>
        <w:ind w:left="573"/>
        <w:rPr>
          <w:rFonts w:ascii="宋体" w:hAnsi="宋体" w:eastAsia="宋体" w:cs="宋体"/>
          <w:sz w:val="23"/>
          <w:szCs w:val="23"/>
        </w:rPr>
      </w:pPr>
      <w:r>
        <w:rPr>
          <w:rFonts w:ascii="宋体" w:hAnsi="宋体" w:eastAsia="宋体" w:cs="宋体"/>
          <w:spacing w:val="12"/>
          <w:sz w:val="19"/>
          <w:szCs w:val="19"/>
        </w:rPr>
        <w:t>3</w:t>
      </w:r>
      <w:r>
        <w:rPr>
          <w:rFonts w:ascii="宋体" w:hAnsi="宋体" w:eastAsia="宋体" w:cs="宋体"/>
          <w:spacing w:val="8"/>
          <w:sz w:val="19"/>
          <w:szCs w:val="19"/>
        </w:rPr>
        <w:t xml:space="preserve">   </w:t>
      </w:r>
      <w:r>
        <w:rPr>
          <w:rFonts w:ascii="宋体" w:hAnsi="宋体" w:eastAsia="宋体" w:cs="宋体"/>
          <w:spacing w:val="8"/>
          <w:sz w:val="23"/>
          <w:szCs w:val="23"/>
        </w:rPr>
        <w:t>组织管理和质量保障</w:t>
      </w:r>
    </w:p>
    <w:p>
      <w:pPr>
        <w:spacing w:line="269" w:lineRule="auto"/>
        <w:rPr>
          <w:rFonts w:ascii="Arial"/>
          <w:sz w:val="21"/>
        </w:rPr>
      </w:pPr>
    </w:p>
    <w:p>
      <w:pPr>
        <w:spacing w:before="75" w:line="626" w:lineRule="exact"/>
        <w:ind w:left="568"/>
        <w:rPr>
          <w:rFonts w:ascii="宋体" w:hAnsi="宋体" w:eastAsia="宋体" w:cs="宋体"/>
          <w:sz w:val="23"/>
          <w:szCs w:val="23"/>
        </w:rPr>
      </w:pPr>
      <w:r>
        <w:rPr>
          <w:rFonts w:ascii="宋体" w:hAnsi="宋体" w:eastAsia="宋体" w:cs="宋体"/>
          <w:spacing w:val="9"/>
          <w:position w:val="30"/>
          <w:sz w:val="19"/>
          <w:szCs w:val="19"/>
        </w:rPr>
        <w:t xml:space="preserve">4   </w:t>
      </w:r>
      <w:r>
        <w:rPr>
          <w:rFonts w:ascii="宋体" w:hAnsi="宋体" w:eastAsia="宋体" w:cs="宋体"/>
          <w:spacing w:val="9"/>
          <w:position w:val="30"/>
          <w:sz w:val="23"/>
          <w:szCs w:val="23"/>
        </w:rPr>
        <w:t>项目任务分工和项目进度管理</w:t>
      </w:r>
    </w:p>
    <w:p>
      <w:pPr>
        <w:tabs>
          <w:tab w:val="left" w:pos="572"/>
        </w:tabs>
        <w:spacing w:line="225" w:lineRule="auto"/>
        <w:ind w:left="490"/>
        <w:rPr>
          <w:rFonts w:ascii="宋体" w:hAnsi="宋体" w:eastAsia="宋体" w:cs="宋体"/>
          <w:sz w:val="23"/>
          <w:szCs w:val="23"/>
        </w:rPr>
      </w:pPr>
      <w:r>
        <w:rPr>
          <w:rFonts w:ascii="宋体" w:hAnsi="宋体" w:eastAsia="宋体" w:cs="宋体"/>
          <w:sz w:val="19"/>
          <w:szCs w:val="19"/>
        </w:rPr>
        <w:tab/>
      </w:r>
      <w:r>
        <w:rPr>
          <w:rFonts w:ascii="宋体" w:hAnsi="宋体" w:eastAsia="宋体" w:cs="宋体"/>
          <w:spacing w:val="7"/>
          <w:sz w:val="19"/>
          <w:szCs w:val="19"/>
        </w:rPr>
        <w:t xml:space="preserve">5   </w:t>
      </w:r>
      <w:r>
        <w:rPr>
          <w:rFonts w:ascii="宋体" w:hAnsi="宋体" w:eastAsia="宋体" w:cs="宋体"/>
          <w:spacing w:val="7"/>
          <w:sz w:val="23"/>
          <w:szCs w:val="23"/>
        </w:rPr>
        <w:t>其它...</w:t>
      </w:r>
      <w:r>
        <w:rPr>
          <w:rFonts w:ascii="宋体" w:hAnsi="宋体" w:eastAsia="宋体" w:cs="宋体"/>
          <w:spacing w:val="6"/>
          <w:sz w:val="23"/>
          <w:szCs w:val="23"/>
        </w:rPr>
        <w:t>.</w:t>
      </w:r>
    </w:p>
    <w:p>
      <w:pPr>
        <w:rPr>
          <w:rFonts w:hint="eastAsia" w:ascii="宋体" w:hAnsi="宋体" w:eastAsia="宋体" w:cs="宋体"/>
          <w:color w:val="auto"/>
          <w:sz w:val="20"/>
          <w:highlight w:val="none"/>
        </w:rPr>
      </w:pPr>
    </w:p>
    <w:p>
      <w:pPr>
        <w:rPr>
          <w:rFonts w:ascii="宋体" w:hAnsi="宋体" w:cs="宋体"/>
          <w:color w:val="auto"/>
          <w:highlight w:val="none"/>
        </w:rPr>
      </w:pPr>
    </w:p>
    <w:sectPr>
      <w:footerReference r:id="rId39" w:type="default"/>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宋体;SimSun">
    <w:altName w:val="宋体"/>
    <w:panose1 w:val="00000000000000000000"/>
    <w:charset w:val="86"/>
    <w:family w:val="roma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7"/>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6"/>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6"/>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6"/>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60"/>
      <w:rPr>
        <w:rFonts w:ascii="Calibri" w:hAnsi="Calibri" w:eastAsia="Calibri" w:cs="Calibri"/>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6"/>
      <w:rPr>
        <w:rFonts w:ascii="Calibri" w:hAnsi="Calibri" w:eastAsia="Calibri" w:cs="Calibri"/>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29895" cy="25336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429895" cy="253365"/>
                      </a:xfrm>
                      <a:prstGeom prst="rect">
                        <a:avLst/>
                      </a:prstGeom>
                      <a:noFill/>
                      <a:ln>
                        <a:noFill/>
                      </a:ln>
                    </wps:spPr>
                    <wps:txbx>
                      <w:txbxContent>
                        <w:p>
                          <w:pPr>
                            <w:pStyle w:val="29"/>
                          </w:pPr>
                          <w:r>
                            <w:fldChar w:fldCharType="begin"/>
                          </w:r>
                          <w:r>
                            <w:instrText xml:space="preserve"> PAGE  \* MERGEFORMAT </w:instrText>
                          </w:r>
                          <w:r>
                            <w:fldChar w:fldCharType="separate"/>
                          </w:r>
                          <w:r>
                            <w:t>140</w:t>
                          </w:r>
                          <w:r>
                            <w:fldChar w:fldCharType="end"/>
                          </w:r>
                        </w:p>
                      </w:txbxContent>
                    </wps:txbx>
                    <wps:bodyPr wrap="square" lIns="0" tIns="0" rIns="0" bIns="0" upright="0"/>
                  </wps:wsp>
                </a:graphicData>
              </a:graphic>
            </wp:anchor>
          </w:drawing>
        </mc:Choice>
        <mc:Fallback>
          <w:pict>
            <v:shape id="文本框 10" o:spid="_x0000_s1026" o:spt="202" type="#_x0000_t202" style="position:absolute;left:0pt;margin-top:0pt;height:19.95pt;width:33.85pt;mso-position-horizontal:center;mso-position-horizontal-relative:margin;z-index:251659264;mso-width-relative:page;mso-height-relative:page;" filled="f" stroked="f" coordsize="21600,21600" o:gfxdata="UEsDBAoAAAAAAIdO4kAAAAAAAAAAAAAAAAAEAAAAZHJzL1BLAwQUAAAACACHTuJA1LhOLNQAAAAD&#10;AQAADwAAAGRycy9kb3ducmV2LnhtbE2PzU7DMBCE70i8g7VI3KhdkFISsqkQghMSIg0Hjk68TazG&#10;6xC7P7w9hgu9rDSa0cy35frkRnGgOVjPCMuFAkHceWO5R/hoXm7uQYSo2ejRMyF8U4B1dXlR6sL4&#10;I9d02MRepBIOhUYYYpwKKUM3kNNh4Sfi5G397HRMcu6lmfUxlbtR3iqVSactp4VBT/Q0ULfb7B3C&#10;4yfXz/brrX2vt7Vtmlzxa7ZDvL5aqgcQkU7xPwy/+AkdqsTU+j2bIEaE9Ej8u8nLVisQLcJdnoOs&#10;SnnOXv0AUEsDBBQAAAAIAIdO4kDxY8clxAEAAIADAAAOAAAAZHJzL2Uyb0RvYy54bWytU0tuGzEM&#10;3RfIHQTt6/GnDpKBxwEKI0WBoi2Q5ACyRuMRoF9I2TO+QHuDrrrpvufyOULJvzbZZJGNhiI5j3yP&#10;1Oymt4ZtFKD2ruKjwZAz5aSvtVtV/OH+9v0VZxiFq4XxTlV8q5DfzC/ezbpQqrFvvakVMAJxWHah&#10;4m2MoSwKlK2yAgc+KEfBxoMVka6wKmoQHaFbU4yHw8ui81AH8FIhknexD/IDIrwG0DeNlmrh5doq&#10;F/eooIyIRAlbHZDPc7dNo2T81jSoIjMVJ6Yxn1SE7GU6i/lMlCsQodXy0IJ4TQvPOFmhHRU9QS1E&#10;FGwN+gWU1RI8+iYOpLfFnkhWhFiMhs+0uWtFUJkLSY3hJDq+Haz8uvkOTNcVn3DmhKWB73793P3+&#10;u/vzg42yPl3AktLuAiXG/qPvaWuSbsmP5Ey0+wZs+hIhRnFSd3tSV/WRSXJ+GF9fXU85kxQaTyeT&#10;y2lCKc4/B8D4SXnLklFxoOFlTcXmC8Z96jEl1XL+VhuTB2jcfw7CTJ7i3GGyYr/sD20vfb0lNh3N&#10;veL4uBagODOfHQmbluRowNFYHo11AL1q8xalhhIsDSazOCxRmvy/95x1fjjz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S4TizUAAAAAwEAAA8AAAAAAAAAAQAgAAAAIgAAAGRycy9kb3ducmV2Lnht&#10;bFBLAQIUABQAAAAIAIdO4kDxY8clxAEAAIADAAAOAAAAAAAAAAEAIAAAACMBAABkcnMvZTJvRG9j&#10;LnhtbFBLBQYAAAAABgAGAFkBAABZBQAAAAA=&#10;">
              <v:fill on="f" focussize="0,0"/>
              <v:stroke on="f"/>
              <v:imagedata o:title=""/>
              <o:lock v:ext="edit" aspectratio="f"/>
              <v:textbox inset="0mm,0mm,0mm,0mm">
                <w:txbxContent>
                  <w:p>
                    <w:pPr>
                      <w:pStyle w:val="29"/>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27"/>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color w:val="auto"/>
        <w14:textFill>
          <w14:noFill/>
        </w14:textFil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00"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573CD"/>
    <w:multiLevelType w:val="singleLevel"/>
    <w:tmpl w:val="B9F573CD"/>
    <w:lvl w:ilvl="0" w:tentative="0">
      <w:start w:val="1"/>
      <w:numFmt w:val="decimal"/>
      <w:suff w:val="nothing"/>
      <w:lvlText w:val="（%1）"/>
      <w:lvlJc w:val="left"/>
    </w:lvl>
  </w:abstractNum>
  <w:abstractNum w:abstractNumId="1">
    <w:nsid w:val="0000000A"/>
    <w:multiLevelType w:val="multilevel"/>
    <w:tmpl w:val="0000000A"/>
    <w:lvl w:ilvl="0" w:tentative="0">
      <w:start w:val="0"/>
      <w:numFmt w:val="bullet"/>
      <w:pStyle w:val="73"/>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B"/>
    <w:multiLevelType w:val="multilevel"/>
    <w:tmpl w:val="0000000B"/>
    <w:lvl w:ilvl="0" w:tentative="0">
      <w:start w:val="1"/>
      <w:numFmt w:val="decimal"/>
      <w:lvlText w:val="%1、"/>
      <w:lvlJc w:val="left"/>
      <w:pPr>
        <w:tabs>
          <w:tab w:val="left" w:pos="840"/>
        </w:tabs>
        <w:ind w:left="840" w:hanging="360"/>
      </w:pPr>
      <w:rPr>
        <w:rFonts w:hint="eastAsia"/>
      </w:rPr>
    </w:lvl>
    <w:lvl w:ilvl="1" w:tentative="0">
      <w:start w:val="1"/>
      <w:numFmt w:val="japaneseCounting"/>
      <w:pStyle w:val="82"/>
      <w:lvlText w:val="第%2章"/>
      <w:lvlJc w:val="left"/>
      <w:pPr>
        <w:tabs>
          <w:tab w:val="left" w:pos="2175"/>
        </w:tabs>
        <w:ind w:left="2175" w:hanging="1275"/>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4C7E386C"/>
    <w:multiLevelType w:val="multilevel"/>
    <w:tmpl w:val="4C7E386C"/>
    <w:lvl w:ilvl="0" w:tentative="0">
      <w:start w:val="1"/>
      <w:numFmt w:val="decimal"/>
      <w:lvlText w:val="%1."/>
      <w:lvlJc w:val="left"/>
      <w:pPr>
        <w:ind w:left="947" w:hanging="420"/>
      </w:p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abstractNum w:abstractNumId="4">
    <w:nsid w:val="7DDD502A"/>
    <w:multiLevelType w:val="singleLevel"/>
    <w:tmpl w:val="7DDD502A"/>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GQwYmEyODBiYTNlOGNlYzhkZjdkMjkwNjRiMWQifQ=="/>
  </w:docVars>
  <w:rsids>
    <w:rsidRoot w:val="00172A27"/>
    <w:rsid w:val="00014110"/>
    <w:rsid w:val="0003070A"/>
    <w:rsid w:val="00032BD1"/>
    <w:rsid w:val="00052281"/>
    <w:rsid w:val="0006053C"/>
    <w:rsid w:val="00061DBB"/>
    <w:rsid w:val="00084F1F"/>
    <w:rsid w:val="000D6D58"/>
    <w:rsid w:val="000E0818"/>
    <w:rsid w:val="001239B7"/>
    <w:rsid w:val="00126F18"/>
    <w:rsid w:val="00146F8F"/>
    <w:rsid w:val="00183928"/>
    <w:rsid w:val="00191481"/>
    <w:rsid w:val="001A16CB"/>
    <w:rsid w:val="001A16DB"/>
    <w:rsid w:val="001B52E5"/>
    <w:rsid w:val="001B53C0"/>
    <w:rsid w:val="001C3E3F"/>
    <w:rsid w:val="001D2ACF"/>
    <w:rsid w:val="002B7A89"/>
    <w:rsid w:val="00302550"/>
    <w:rsid w:val="003531FB"/>
    <w:rsid w:val="00363345"/>
    <w:rsid w:val="003D5986"/>
    <w:rsid w:val="003E6B6E"/>
    <w:rsid w:val="003F22D0"/>
    <w:rsid w:val="00434DA3"/>
    <w:rsid w:val="00442834"/>
    <w:rsid w:val="004824BF"/>
    <w:rsid w:val="00493017"/>
    <w:rsid w:val="004A55D6"/>
    <w:rsid w:val="004C71A6"/>
    <w:rsid w:val="005330B3"/>
    <w:rsid w:val="005360E5"/>
    <w:rsid w:val="00585792"/>
    <w:rsid w:val="005A4BBA"/>
    <w:rsid w:val="005E378E"/>
    <w:rsid w:val="005E5ACC"/>
    <w:rsid w:val="00620267"/>
    <w:rsid w:val="006206F2"/>
    <w:rsid w:val="00621CB1"/>
    <w:rsid w:val="0062311B"/>
    <w:rsid w:val="0063701E"/>
    <w:rsid w:val="00666095"/>
    <w:rsid w:val="006C46F8"/>
    <w:rsid w:val="006D7870"/>
    <w:rsid w:val="006E4C1F"/>
    <w:rsid w:val="006E5D78"/>
    <w:rsid w:val="006E765B"/>
    <w:rsid w:val="00701051"/>
    <w:rsid w:val="0071790A"/>
    <w:rsid w:val="00723A5F"/>
    <w:rsid w:val="00727C6F"/>
    <w:rsid w:val="00736B88"/>
    <w:rsid w:val="00744891"/>
    <w:rsid w:val="007846AC"/>
    <w:rsid w:val="00792062"/>
    <w:rsid w:val="0079588B"/>
    <w:rsid w:val="007B4B98"/>
    <w:rsid w:val="008703F7"/>
    <w:rsid w:val="00873E1B"/>
    <w:rsid w:val="00884D12"/>
    <w:rsid w:val="008A2B49"/>
    <w:rsid w:val="008B1CFF"/>
    <w:rsid w:val="008B4A78"/>
    <w:rsid w:val="008C008A"/>
    <w:rsid w:val="008C46EA"/>
    <w:rsid w:val="008D28A6"/>
    <w:rsid w:val="008D7172"/>
    <w:rsid w:val="00903887"/>
    <w:rsid w:val="00953D87"/>
    <w:rsid w:val="00970A98"/>
    <w:rsid w:val="0098287E"/>
    <w:rsid w:val="009841AD"/>
    <w:rsid w:val="00986C02"/>
    <w:rsid w:val="009D2705"/>
    <w:rsid w:val="009E3424"/>
    <w:rsid w:val="009E6572"/>
    <w:rsid w:val="009F3776"/>
    <w:rsid w:val="00A60D6A"/>
    <w:rsid w:val="00A63D9F"/>
    <w:rsid w:val="00A9425C"/>
    <w:rsid w:val="00AA341C"/>
    <w:rsid w:val="00AC2431"/>
    <w:rsid w:val="00AD5811"/>
    <w:rsid w:val="00AE6185"/>
    <w:rsid w:val="00AE6F71"/>
    <w:rsid w:val="00B05E28"/>
    <w:rsid w:val="00B141E4"/>
    <w:rsid w:val="00B22B3A"/>
    <w:rsid w:val="00B75542"/>
    <w:rsid w:val="00B96CFC"/>
    <w:rsid w:val="00BA2CE0"/>
    <w:rsid w:val="00BC2A5C"/>
    <w:rsid w:val="00BE79D3"/>
    <w:rsid w:val="00C26E1B"/>
    <w:rsid w:val="00C47E12"/>
    <w:rsid w:val="00C651D3"/>
    <w:rsid w:val="00C766C8"/>
    <w:rsid w:val="00CB35BD"/>
    <w:rsid w:val="00CC3232"/>
    <w:rsid w:val="00CD7941"/>
    <w:rsid w:val="00CE510F"/>
    <w:rsid w:val="00CE785A"/>
    <w:rsid w:val="00CF2778"/>
    <w:rsid w:val="00CF7A71"/>
    <w:rsid w:val="00D64BEC"/>
    <w:rsid w:val="00DE252F"/>
    <w:rsid w:val="00E04105"/>
    <w:rsid w:val="00E11124"/>
    <w:rsid w:val="00E232FD"/>
    <w:rsid w:val="00E43BB4"/>
    <w:rsid w:val="00E542B4"/>
    <w:rsid w:val="00E87BB3"/>
    <w:rsid w:val="00EA26FD"/>
    <w:rsid w:val="00EA3033"/>
    <w:rsid w:val="00EA5DFE"/>
    <w:rsid w:val="00EB1385"/>
    <w:rsid w:val="00ED5B3A"/>
    <w:rsid w:val="00EF6ACD"/>
    <w:rsid w:val="00F04777"/>
    <w:rsid w:val="00F15B0B"/>
    <w:rsid w:val="00F16A11"/>
    <w:rsid w:val="00F73583"/>
    <w:rsid w:val="00F80AB2"/>
    <w:rsid w:val="00FA4E97"/>
    <w:rsid w:val="0116632C"/>
    <w:rsid w:val="012B0A26"/>
    <w:rsid w:val="01607B73"/>
    <w:rsid w:val="01AD6780"/>
    <w:rsid w:val="01CA216C"/>
    <w:rsid w:val="02094A0C"/>
    <w:rsid w:val="021416AA"/>
    <w:rsid w:val="023735DC"/>
    <w:rsid w:val="025B1C6E"/>
    <w:rsid w:val="02B60ECC"/>
    <w:rsid w:val="03004097"/>
    <w:rsid w:val="03377456"/>
    <w:rsid w:val="03F7796E"/>
    <w:rsid w:val="044E4A95"/>
    <w:rsid w:val="049579EA"/>
    <w:rsid w:val="04B13983"/>
    <w:rsid w:val="056A253A"/>
    <w:rsid w:val="056C0EA3"/>
    <w:rsid w:val="05D67EB1"/>
    <w:rsid w:val="061C6A51"/>
    <w:rsid w:val="06370904"/>
    <w:rsid w:val="06855936"/>
    <w:rsid w:val="068B143D"/>
    <w:rsid w:val="06BE214A"/>
    <w:rsid w:val="06F1154D"/>
    <w:rsid w:val="06F32C93"/>
    <w:rsid w:val="07111024"/>
    <w:rsid w:val="078732A0"/>
    <w:rsid w:val="07C028C0"/>
    <w:rsid w:val="07D9526B"/>
    <w:rsid w:val="08681565"/>
    <w:rsid w:val="087150EF"/>
    <w:rsid w:val="08D17636"/>
    <w:rsid w:val="08E46C76"/>
    <w:rsid w:val="092A7555"/>
    <w:rsid w:val="0951043B"/>
    <w:rsid w:val="09A80A95"/>
    <w:rsid w:val="09A82372"/>
    <w:rsid w:val="09CB2C99"/>
    <w:rsid w:val="09CF4697"/>
    <w:rsid w:val="0ABF3556"/>
    <w:rsid w:val="0AC511CC"/>
    <w:rsid w:val="0ADF0A36"/>
    <w:rsid w:val="0B122FAD"/>
    <w:rsid w:val="0B3D7D41"/>
    <w:rsid w:val="0B3F248B"/>
    <w:rsid w:val="0B78014A"/>
    <w:rsid w:val="0BB73F33"/>
    <w:rsid w:val="0BCF0769"/>
    <w:rsid w:val="0C7C1A0D"/>
    <w:rsid w:val="0CA946B2"/>
    <w:rsid w:val="0D770FDF"/>
    <w:rsid w:val="0DA61473"/>
    <w:rsid w:val="0DD14300"/>
    <w:rsid w:val="0E9427BA"/>
    <w:rsid w:val="0EAC155A"/>
    <w:rsid w:val="0EBE5A95"/>
    <w:rsid w:val="0EC3257B"/>
    <w:rsid w:val="0ED5669B"/>
    <w:rsid w:val="0EF07E75"/>
    <w:rsid w:val="0F254928"/>
    <w:rsid w:val="0F781459"/>
    <w:rsid w:val="0F7C4199"/>
    <w:rsid w:val="0FE34089"/>
    <w:rsid w:val="0FE6363B"/>
    <w:rsid w:val="1078486F"/>
    <w:rsid w:val="108607B0"/>
    <w:rsid w:val="114E2C82"/>
    <w:rsid w:val="11984038"/>
    <w:rsid w:val="11C8679C"/>
    <w:rsid w:val="122B5358"/>
    <w:rsid w:val="12563495"/>
    <w:rsid w:val="125F7E5B"/>
    <w:rsid w:val="12F031E6"/>
    <w:rsid w:val="1309266F"/>
    <w:rsid w:val="131F4953"/>
    <w:rsid w:val="13452F18"/>
    <w:rsid w:val="13470943"/>
    <w:rsid w:val="134F1EC5"/>
    <w:rsid w:val="135C3ADA"/>
    <w:rsid w:val="136C6BDF"/>
    <w:rsid w:val="13767449"/>
    <w:rsid w:val="13856597"/>
    <w:rsid w:val="13C93D3D"/>
    <w:rsid w:val="141C53B4"/>
    <w:rsid w:val="1430173D"/>
    <w:rsid w:val="14D57955"/>
    <w:rsid w:val="14EF79CA"/>
    <w:rsid w:val="15295F6E"/>
    <w:rsid w:val="153F4774"/>
    <w:rsid w:val="15742C37"/>
    <w:rsid w:val="15904518"/>
    <w:rsid w:val="15E13B0C"/>
    <w:rsid w:val="164B7B13"/>
    <w:rsid w:val="166641A6"/>
    <w:rsid w:val="172F4A58"/>
    <w:rsid w:val="17915D32"/>
    <w:rsid w:val="17A83E26"/>
    <w:rsid w:val="17C0108A"/>
    <w:rsid w:val="17C37F6A"/>
    <w:rsid w:val="1802033E"/>
    <w:rsid w:val="187C6779"/>
    <w:rsid w:val="189C2D9E"/>
    <w:rsid w:val="19384F24"/>
    <w:rsid w:val="19E57F98"/>
    <w:rsid w:val="19EA5B6C"/>
    <w:rsid w:val="1A5C0094"/>
    <w:rsid w:val="1AB242F0"/>
    <w:rsid w:val="1BE00CD9"/>
    <w:rsid w:val="1BE55518"/>
    <w:rsid w:val="1BED4FB9"/>
    <w:rsid w:val="1C0103C2"/>
    <w:rsid w:val="1C130318"/>
    <w:rsid w:val="1C275FB0"/>
    <w:rsid w:val="1C3E2EBE"/>
    <w:rsid w:val="1C8C768E"/>
    <w:rsid w:val="1CED4B7E"/>
    <w:rsid w:val="1D372D62"/>
    <w:rsid w:val="1D6D1065"/>
    <w:rsid w:val="1D8C56EA"/>
    <w:rsid w:val="1E2456E7"/>
    <w:rsid w:val="1E4A0652"/>
    <w:rsid w:val="1E6317CD"/>
    <w:rsid w:val="1E8337E6"/>
    <w:rsid w:val="1EC443C4"/>
    <w:rsid w:val="1F566C90"/>
    <w:rsid w:val="1F8B2AE2"/>
    <w:rsid w:val="1FB37603"/>
    <w:rsid w:val="1FDC5112"/>
    <w:rsid w:val="201B7252"/>
    <w:rsid w:val="206611A7"/>
    <w:rsid w:val="20855AC7"/>
    <w:rsid w:val="20D51DFD"/>
    <w:rsid w:val="20FA5363"/>
    <w:rsid w:val="2176747D"/>
    <w:rsid w:val="217811F2"/>
    <w:rsid w:val="21C3432A"/>
    <w:rsid w:val="21F323A8"/>
    <w:rsid w:val="22261A6F"/>
    <w:rsid w:val="22271FE3"/>
    <w:rsid w:val="22390E28"/>
    <w:rsid w:val="22C13641"/>
    <w:rsid w:val="22C934CD"/>
    <w:rsid w:val="22D56F29"/>
    <w:rsid w:val="2310636A"/>
    <w:rsid w:val="233D1208"/>
    <w:rsid w:val="235203DD"/>
    <w:rsid w:val="23E96B81"/>
    <w:rsid w:val="24407457"/>
    <w:rsid w:val="247120CE"/>
    <w:rsid w:val="24737701"/>
    <w:rsid w:val="24CD2D93"/>
    <w:rsid w:val="252B2450"/>
    <w:rsid w:val="256C5B4F"/>
    <w:rsid w:val="25880F65"/>
    <w:rsid w:val="259D0452"/>
    <w:rsid w:val="25C61A5A"/>
    <w:rsid w:val="25E913B2"/>
    <w:rsid w:val="25F533FB"/>
    <w:rsid w:val="2674607E"/>
    <w:rsid w:val="26822E97"/>
    <w:rsid w:val="26BB3E01"/>
    <w:rsid w:val="26CC1D62"/>
    <w:rsid w:val="27264A20"/>
    <w:rsid w:val="27381396"/>
    <w:rsid w:val="27807A8F"/>
    <w:rsid w:val="27B32ADE"/>
    <w:rsid w:val="28737710"/>
    <w:rsid w:val="287A61B3"/>
    <w:rsid w:val="288045EB"/>
    <w:rsid w:val="28A55DDE"/>
    <w:rsid w:val="28C853F8"/>
    <w:rsid w:val="28F84955"/>
    <w:rsid w:val="292839D1"/>
    <w:rsid w:val="299248C5"/>
    <w:rsid w:val="29F64FEB"/>
    <w:rsid w:val="2A186200"/>
    <w:rsid w:val="2A547A87"/>
    <w:rsid w:val="2A943C47"/>
    <w:rsid w:val="2A9D5CAF"/>
    <w:rsid w:val="2AEB63EC"/>
    <w:rsid w:val="2B167A93"/>
    <w:rsid w:val="2B5C2006"/>
    <w:rsid w:val="2B5E2EC2"/>
    <w:rsid w:val="2B675740"/>
    <w:rsid w:val="2B6E673E"/>
    <w:rsid w:val="2C0276D9"/>
    <w:rsid w:val="2C313D68"/>
    <w:rsid w:val="2C8333FD"/>
    <w:rsid w:val="2C844FB0"/>
    <w:rsid w:val="2D2F3A31"/>
    <w:rsid w:val="2D5D0473"/>
    <w:rsid w:val="2D6616CD"/>
    <w:rsid w:val="2E25064B"/>
    <w:rsid w:val="2E28266D"/>
    <w:rsid w:val="2E3A585E"/>
    <w:rsid w:val="2E5621B6"/>
    <w:rsid w:val="2EE44195"/>
    <w:rsid w:val="2EFB6A10"/>
    <w:rsid w:val="2F185DD3"/>
    <w:rsid w:val="2F5A5360"/>
    <w:rsid w:val="2F925762"/>
    <w:rsid w:val="2F9F4DEB"/>
    <w:rsid w:val="309A3E0B"/>
    <w:rsid w:val="309C6C63"/>
    <w:rsid w:val="3131380F"/>
    <w:rsid w:val="31313DB2"/>
    <w:rsid w:val="316421EF"/>
    <w:rsid w:val="31FC59F9"/>
    <w:rsid w:val="324F491E"/>
    <w:rsid w:val="32704DB5"/>
    <w:rsid w:val="33327CC3"/>
    <w:rsid w:val="336B7B60"/>
    <w:rsid w:val="338F4036"/>
    <w:rsid w:val="339544B5"/>
    <w:rsid w:val="33B975E5"/>
    <w:rsid w:val="33D40484"/>
    <w:rsid w:val="33D73BEB"/>
    <w:rsid w:val="34420E40"/>
    <w:rsid w:val="344F1198"/>
    <w:rsid w:val="34786D07"/>
    <w:rsid w:val="349B294A"/>
    <w:rsid w:val="34C313FD"/>
    <w:rsid w:val="34D011F8"/>
    <w:rsid w:val="359876FA"/>
    <w:rsid w:val="35A3138F"/>
    <w:rsid w:val="35DD04AF"/>
    <w:rsid w:val="367304D7"/>
    <w:rsid w:val="36B744D6"/>
    <w:rsid w:val="36CE6426"/>
    <w:rsid w:val="36DE4B21"/>
    <w:rsid w:val="37327C01"/>
    <w:rsid w:val="37810437"/>
    <w:rsid w:val="37B40FDD"/>
    <w:rsid w:val="37D07470"/>
    <w:rsid w:val="383345BA"/>
    <w:rsid w:val="3841654D"/>
    <w:rsid w:val="38835182"/>
    <w:rsid w:val="38994951"/>
    <w:rsid w:val="38AF0FBB"/>
    <w:rsid w:val="394C1523"/>
    <w:rsid w:val="3951732F"/>
    <w:rsid w:val="395A78BE"/>
    <w:rsid w:val="39881BEB"/>
    <w:rsid w:val="39C22D00"/>
    <w:rsid w:val="3A2943DA"/>
    <w:rsid w:val="3A8A0A4F"/>
    <w:rsid w:val="3A9309B5"/>
    <w:rsid w:val="3A9A5BCE"/>
    <w:rsid w:val="3AF547F2"/>
    <w:rsid w:val="3B0B69F7"/>
    <w:rsid w:val="3B4B0437"/>
    <w:rsid w:val="3B6B25E9"/>
    <w:rsid w:val="3B8C0126"/>
    <w:rsid w:val="3B97148F"/>
    <w:rsid w:val="3CAB16A6"/>
    <w:rsid w:val="3CF257A2"/>
    <w:rsid w:val="3CFB15F6"/>
    <w:rsid w:val="3D141FC0"/>
    <w:rsid w:val="3D9002E7"/>
    <w:rsid w:val="3DA90C0B"/>
    <w:rsid w:val="3DBC70F3"/>
    <w:rsid w:val="3E064CF6"/>
    <w:rsid w:val="3E464D0B"/>
    <w:rsid w:val="3E9941DD"/>
    <w:rsid w:val="3ECC2AE2"/>
    <w:rsid w:val="3EE63296"/>
    <w:rsid w:val="3EF534F6"/>
    <w:rsid w:val="3F096B46"/>
    <w:rsid w:val="3F0C5E1F"/>
    <w:rsid w:val="3F2A4218"/>
    <w:rsid w:val="3F46126B"/>
    <w:rsid w:val="3F710F55"/>
    <w:rsid w:val="3F7728BF"/>
    <w:rsid w:val="3FAE0DAD"/>
    <w:rsid w:val="3FF70C85"/>
    <w:rsid w:val="40620FBF"/>
    <w:rsid w:val="4084755A"/>
    <w:rsid w:val="40C96E70"/>
    <w:rsid w:val="41231068"/>
    <w:rsid w:val="413F0051"/>
    <w:rsid w:val="41567751"/>
    <w:rsid w:val="415844E6"/>
    <w:rsid w:val="42006B3E"/>
    <w:rsid w:val="4205110F"/>
    <w:rsid w:val="421426BC"/>
    <w:rsid w:val="421E558D"/>
    <w:rsid w:val="425B5FFB"/>
    <w:rsid w:val="42621688"/>
    <w:rsid w:val="42D501AC"/>
    <w:rsid w:val="4382545B"/>
    <w:rsid w:val="43857BD9"/>
    <w:rsid w:val="440257A2"/>
    <w:rsid w:val="441E6182"/>
    <w:rsid w:val="44393C06"/>
    <w:rsid w:val="44493F49"/>
    <w:rsid w:val="447C5D74"/>
    <w:rsid w:val="44906989"/>
    <w:rsid w:val="44CA41FC"/>
    <w:rsid w:val="44DD1A6D"/>
    <w:rsid w:val="45D14967"/>
    <w:rsid w:val="45EC5712"/>
    <w:rsid w:val="462E3FB2"/>
    <w:rsid w:val="470345B1"/>
    <w:rsid w:val="47147AF2"/>
    <w:rsid w:val="47754ADA"/>
    <w:rsid w:val="47777D87"/>
    <w:rsid w:val="47CB1C9D"/>
    <w:rsid w:val="485D44DF"/>
    <w:rsid w:val="486027E0"/>
    <w:rsid w:val="48731E9A"/>
    <w:rsid w:val="4882013D"/>
    <w:rsid w:val="48C870EF"/>
    <w:rsid w:val="49082ED9"/>
    <w:rsid w:val="49123150"/>
    <w:rsid w:val="491D4671"/>
    <w:rsid w:val="492B486B"/>
    <w:rsid w:val="49615330"/>
    <w:rsid w:val="4967349F"/>
    <w:rsid w:val="498605E3"/>
    <w:rsid w:val="498A06A3"/>
    <w:rsid w:val="49E17CA8"/>
    <w:rsid w:val="49EA264D"/>
    <w:rsid w:val="4AB21C6E"/>
    <w:rsid w:val="4AD27FCC"/>
    <w:rsid w:val="4ADE12C9"/>
    <w:rsid w:val="4AE61DDE"/>
    <w:rsid w:val="4B163BC8"/>
    <w:rsid w:val="4B334995"/>
    <w:rsid w:val="4C3A309F"/>
    <w:rsid w:val="4C6E016F"/>
    <w:rsid w:val="4C895E09"/>
    <w:rsid w:val="4C8B2E70"/>
    <w:rsid w:val="4CB201AD"/>
    <w:rsid w:val="4D294EE7"/>
    <w:rsid w:val="4D5404C2"/>
    <w:rsid w:val="4DE109F7"/>
    <w:rsid w:val="4E8A32AD"/>
    <w:rsid w:val="4FB1313C"/>
    <w:rsid w:val="50205733"/>
    <w:rsid w:val="5044363C"/>
    <w:rsid w:val="510B175E"/>
    <w:rsid w:val="510F4A55"/>
    <w:rsid w:val="5112357D"/>
    <w:rsid w:val="511C1AA8"/>
    <w:rsid w:val="518256F7"/>
    <w:rsid w:val="51E46C29"/>
    <w:rsid w:val="529B0D44"/>
    <w:rsid w:val="52B235B5"/>
    <w:rsid w:val="52C8734A"/>
    <w:rsid w:val="530201D0"/>
    <w:rsid w:val="53033543"/>
    <w:rsid w:val="532D1E5C"/>
    <w:rsid w:val="533C6E77"/>
    <w:rsid w:val="53737CFB"/>
    <w:rsid w:val="54644386"/>
    <w:rsid w:val="546C0863"/>
    <w:rsid w:val="54FE436F"/>
    <w:rsid w:val="551D4D4B"/>
    <w:rsid w:val="552025EB"/>
    <w:rsid w:val="55451AC0"/>
    <w:rsid w:val="55567222"/>
    <w:rsid w:val="56142401"/>
    <w:rsid w:val="56436F7F"/>
    <w:rsid w:val="56596E28"/>
    <w:rsid w:val="57120E18"/>
    <w:rsid w:val="5779118A"/>
    <w:rsid w:val="577B1A46"/>
    <w:rsid w:val="57B84D0F"/>
    <w:rsid w:val="57C65C84"/>
    <w:rsid w:val="57D967D1"/>
    <w:rsid w:val="57F60C00"/>
    <w:rsid w:val="58887793"/>
    <w:rsid w:val="58A41024"/>
    <w:rsid w:val="58D90AF1"/>
    <w:rsid w:val="58DB2E8B"/>
    <w:rsid w:val="58E17BE2"/>
    <w:rsid w:val="590B59FE"/>
    <w:rsid w:val="5917740C"/>
    <w:rsid w:val="593C54F2"/>
    <w:rsid w:val="594B0A76"/>
    <w:rsid w:val="5A7F7B1D"/>
    <w:rsid w:val="5B052CFD"/>
    <w:rsid w:val="5B0A02B8"/>
    <w:rsid w:val="5B8E63EB"/>
    <w:rsid w:val="5BAE481A"/>
    <w:rsid w:val="5BF14D0E"/>
    <w:rsid w:val="5C171F4C"/>
    <w:rsid w:val="5CB25528"/>
    <w:rsid w:val="5CD758F1"/>
    <w:rsid w:val="5CDA32B5"/>
    <w:rsid w:val="5D3E4715"/>
    <w:rsid w:val="5D511698"/>
    <w:rsid w:val="5D5C103F"/>
    <w:rsid w:val="5DC14B15"/>
    <w:rsid w:val="5EEB6608"/>
    <w:rsid w:val="5EFE7832"/>
    <w:rsid w:val="600022F1"/>
    <w:rsid w:val="60074C4A"/>
    <w:rsid w:val="60800832"/>
    <w:rsid w:val="608E5E7D"/>
    <w:rsid w:val="609E7D46"/>
    <w:rsid w:val="60BA413E"/>
    <w:rsid w:val="60D010F1"/>
    <w:rsid w:val="61864B30"/>
    <w:rsid w:val="61AF3E33"/>
    <w:rsid w:val="61C51BF9"/>
    <w:rsid w:val="61D8764A"/>
    <w:rsid w:val="622A1BF8"/>
    <w:rsid w:val="62B0386D"/>
    <w:rsid w:val="62BA16C3"/>
    <w:rsid w:val="62BC6936"/>
    <w:rsid w:val="62C31409"/>
    <w:rsid w:val="62F732EB"/>
    <w:rsid w:val="633E3572"/>
    <w:rsid w:val="637F0E2B"/>
    <w:rsid w:val="639D7865"/>
    <w:rsid w:val="63B84AF5"/>
    <w:rsid w:val="63C47925"/>
    <w:rsid w:val="63E142E0"/>
    <w:rsid w:val="63F006F8"/>
    <w:rsid w:val="63FF67B2"/>
    <w:rsid w:val="64275CDC"/>
    <w:rsid w:val="64386574"/>
    <w:rsid w:val="645D3324"/>
    <w:rsid w:val="64624AEE"/>
    <w:rsid w:val="646B2031"/>
    <w:rsid w:val="64EF70F2"/>
    <w:rsid w:val="65555CBC"/>
    <w:rsid w:val="655D4DE9"/>
    <w:rsid w:val="659F7D1B"/>
    <w:rsid w:val="65B44D86"/>
    <w:rsid w:val="661F25C1"/>
    <w:rsid w:val="6669330D"/>
    <w:rsid w:val="66744482"/>
    <w:rsid w:val="667F1724"/>
    <w:rsid w:val="670835B7"/>
    <w:rsid w:val="67723B0C"/>
    <w:rsid w:val="678555E7"/>
    <w:rsid w:val="67AD2268"/>
    <w:rsid w:val="67C20BD9"/>
    <w:rsid w:val="67D66117"/>
    <w:rsid w:val="685C344E"/>
    <w:rsid w:val="687C7462"/>
    <w:rsid w:val="692E400E"/>
    <w:rsid w:val="69A7607F"/>
    <w:rsid w:val="69B27C84"/>
    <w:rsid w:val="69D176BB"/>
    <w:rsid w:val="6A147B7D"/>
    <w:rsid w:val="6A727C9B"/>
    <w:rsid w:val="6AEE41CC"/>
    <w:rsid w:val="6B5363A7"/>
    <w:rsid w:val="6BD05EB9"/>
    <w:rsid w:val="6C070190"/>
    <w:rsid w:val="6C257568"/>
    <w:rsid w:val="6C940854"/>
    <w:rsid w:val="6CA630C4"/>
    <w:rsid w:val="6CE571E0"/>
    <w:rsid w:val="6CF42E11"/>
    <w:rsid w:val="6D120310"/>
    <w:rsid w:val="6D525453"/>
    <w:rsid w:val="6D76230B"/>
    <w:rsid w:val="6DC40FB3"/>
    <w:rsid w:val="6E362B68"/>
    <w:rsid w:val="6E4A24E5"/>
    <w:rsid w:val="6E4A700A"/>
    <w:rsid w:val="6F737D85"/>
    <w:rsid w:val="6F9C134D"/>
    <w:rsid w:val="70864CF1"/>
    <w:rsid w:val="70A4247A"/>
    <w:rsid w:val="712A3088"/>
    <w:rsid w:val="712C0729"/>
    <w:rsid w:val="71897361"/>
    <w:rsid w:val="71B648A4"/>
    <w:rsid w:val="72195ECD"/>
    <w:rsid w:val="72227D09"/>
    <w:rsid w:val="723A316A"/>
    <w:rsid w:val="726F391B"/>
    <w:rsid w:val="728F4A1D"/>
    <w:rsid w:val="72BB5B36"/>
    <w:rsid w:val="72BE3825"/>
    <w:rsid w:val="72F1092F"/>
    <w:rsid w:val="73862EEB"/>
    <w:rsid w:val="742054C9"/>
    <w:rsid w:val="747D07C4"/>
    <w:rsid w:val="749D3D37"/>
    <w:rsid w:val="74BE5AEC"/>
    <w:rsid w:val="74F556AA"/>
    <w:rsid w:val="75043C3D"/>
    <w:rsid w:val="752823AF"/>
    <w:rsid w:val="76746047"/>
    <w:rsid w:val="76AB720F"/>
    <w:rsid w:val="76D53B6A"/>
    <w:rsid w:val="76E838D5"/>
    <w:rsid w:val="772A5A4E"/>
    <w:rsid w:val="7754640E"/>
    <w:rsid w:val="777234E1"/>
    <w:rsid w:val="78084D85"/>
    <w:rsid w:val="78324CE1"/>
    <w:rsid w:val="789F0D67"/>
    <w:rsid w:val="78A905C6"/>
    <w:rsid w:val="78BC3DC4"/>
    <w:rsid w:val="79464DDF"/>
    <w:rsid w:val="796754D2"/>
    <w:rsid w:val="79CE1C4E"/>
    <w:rsid w:val="79F36688"/>
    <w:rsid w:val="7A1C3CCA"/>
    <w:rsid w:val="7ABE07EB"/>
    <w:rsid w:val="7AC60F65"/>
    <w:rsid w:val="7AEC7452"/>
    <w:rsid w:val="7AF76EA7"/>
    <w:rsid w:val="7B934E7E"/>
    <w:rsid w:val="7BBB4D2B"/>
    <w:rsid w:val="7C89428D"/>
    <w:rsid w:val="7CBC0B75"/>
    <w:rsid w:val="7CC5735A"/>
    <w:rsid w:val="7D5B3AC9"/>
    <w:rsid w:val="7D831878"/>
    <w:rsid w:val="7D9F2E1C"/>
    <w:rsid w:val="7DB30F95"/>
    <w:rsid w:val="7DB62068"/>
    <w:rsid w:val="7E4F4A9F"/>
    <w:rsid w:val="7F0E6CFD"/>
    <w:rsid w:val="7F180BAA"/>
    <w:rsid w:val="7F28012A"/>
    <w:rsid w:val="7FF955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2"/>
    <w:qFormat/>
    <w:uiPriority w:val="0"/>
    <w:pPr>
      <w:keepNext/>
      <w:jc w:val="center"/>
      <w:outlineLvl w:val="0"/>
    </w:pPr>
    <w:rPr>
      <w:rFonts w:ascii="Times New Roman" w:hAnsi="Times New Roman"/>
      <w:b/>
      <w:bCs/>
      <w:kern w:val="0"/>
      <w:sz w:val="24"/>
      <w:szCs w:val="20"/>
    </w:rPr>
  </w:style>
  <w:style w:type="paragraph" w:styleId="4">
    <w:name w:val="heading 2"/>
    <w:basedOn w:val="1"/>
    <w:next w:val="1"/>
    <w:link w:val="53"/>
    <w:qFormat/>
    <w:uiPriority w:val="0"/>
    <w:pPr>
      <w:keepNext/>
      <w:keepLines/>
      <w:spacing w:line="360" w:lineRule="auto"/>
      <w:outlineLvl w:val="1"/>
    </w:pPr>
    <w:rPr>
      <w:rFonts w:ascii="Arial" w:hAnsi="Arial"/>
      <w:kern w:val="0"/>
      <w:sz w:val="24"/>
      <w:szCs w:val="32"/>
    </w:rPr>
  </w:style>
  <w:style w:type="paragraph" w:styleId="5">
    <w:name w:val="heading 3"/>
    <w:basedOn w:val="4"/>
    <w:next w:val="1"/>
    <w:link w:val="54"/>
    <w:qFormat/>
    <w:uiPriority w:val="0"/>
    <w:pPr>
      <w:keepNext/>
      <w:keepLines/>
      <w:spacing w:before="260" w:beforeLines="0" w:after="260" w:afterLines="0" w:line="413" w:lineRule="auto"/>
      <w:outlineLvl w:val="2"/>
    </w:pPr>
    <w:rPr>
      <w:rFonts w:ascii="Times New Roman" w:hAnsi="Times New Roman"/>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pacing w:before="280" w:beforeLines="0" w:after="290" w:afterLines="0" w:line="376" w:lineRule="atLeast"/>
      <w:jc w:val="left"/>
      <w:textAlignment w:val="baseline"/>
      <w:outlineLvl w:val="4"/>
    </w:pPr>
    <w:rPr>
      <w:b/>
      <w:bCs/>
      <w:kern w:val="0"/>
      <w:sz w:val="28"/>
      <w:szCs w:val="28"/>
    </w:rPr>
  </w:style>
  <w:style w:type="paragraph" w:styleId="2">
    <w:name w:val="heading 6"/>
    <w:basedOn w:val="1"/>
    <w:next w:val="1"/>
    <w:qFormat/>
    <w:uiPriority w:val="0"/>
    <w:pPr>
      <w:keepNext/>
      <w:keepLines/>
      <w:adjustRightInd w:val="0"/>
      <w:spacing w:before="240" w:beforeLines="0" w:after="64" w:afterLines="0" w:line="320" w:lineRule="atLeast"/>
      <w:jc w:val="left"/>
      <w:textAlignment w:val="baseline"/>
      <w:outlineLvl w:val="5"/>
    </w:pPr>
    <w:rPr>
      <w:rFonts w:ascii="Arial" w:hAnsi="Arial" w:eastAsia="黑体"/>
      <w:b/>
      <w:bCs/>
      <w:kern w:val="0"/>
      <w:sz w:val="24"/>
    </w:rPr>
  </w:style>
  <w:style w:type="paragraph" w:styleId="8">
    <w:name w:val="heading 7"/>
    <w:basedOn w:val="1"/>
    <w:next w:val="1"/>
    <w:qFormat/>
    <w:uiPriority w:val="0"/>
    <w:pPr>
      <w:keepNext/>
      <w:keepLines/>
      <w:adjustRightInd w:val="0"/>
      <w:spacing w:before="240" w:beforeLines="0" w:after="64" w:afterLines="0" w:line="320" w:lineRule="atLeast"/>
      <w:jc w:val="left"/>
      <w:textAlignment w:val="baseline"/>
      <w:outlineLvl w:val="6"/>
    </w:pPr>
    <w:rPr>
      <w:b/>
      <w:bCs/>
      <w:kern w:val="0"/>
      <w:sz w:val="24"/>
    </w:rPr>
  </w:style>
  <w:style w:type="paragraph" w:styleId="9">
    <w:name w:val="heading 8"/>
    <w:basedOn w:val="1"/>
    <w:next w:val="1"/>
    <w:qFormat/>
    <w:uiPriority w:val="0"/>
    <w:pPr>
      <w:keepNext/>
      <w:keepLines/>
      <w:adjustRightInd w:val="0"/>
      <w:spacing w:before="240" w:beforeLines="0" w:after="64" w:afterLines="0" w:line="320" w:lineRule="atLeast"/>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adjustRightInd w:val="0"/>
      <w:spacing w:before="240" w:beforeLines="0" w:after="64" w:afterLines="0" w:line="320" w:lineRule="atLeast"/>
      <w:jc w:val="left"/>
      <w:textAlignment w:val="baseline"/>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semiHidden/>
    <w:qFormat/>
    <w:uiPriority w:val="0"/>
    <w:pPr>
      <w:ind w:left="420" w:leftChars="200"/>
    </w:pPr>
    <w:rPr>
      <w:szCs w:val="20"/>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qFormat/>
    <w:uiPriority w:val="0"/>
    <w:pPr>
      <w:shd w:val="clear" w:color="auto" w:fill="000080"/>
    </w:pPr>
  </w:style>
  <w:style w:type="paragraph" w:styleId="14">
    <w:name w:val="toa heading"/>
    <w:basedOn w:val="15"/>
    <w:next w:val="1"/>
    <w:qFormat/>
    <w:uiPriority w:val="0"/>
    <w:pPr>
      <w:spacing w:before="120"/>
    </w:pPr>
    <w:rPr>
      <w:rFonts w:ascii="Arial" w:hAnsi="Arial"/>
      <w:sz w:val="24"/>
    </w:rPr>
  </w:style>
  <w:style w:type="paragraph" w:customStyle="1" w:styleId="15">
    <w:name w:val="正文_1_1"/>
    <w:basedOn w:val="16"/>
    <w:qFormat/>
    <w:uiPriority w:val="0"/>
    <w:pPr>
      <w:widowControl w:val="0"/>
      <w:jc w:val="both"/>
    </w:pPr>
    <w:rPr>
      <w:kern w:val="2"/>
      <w:sz w:val="21"/>
      <w:szCs w:val="22"/>
      <w:lang w:val="en-US" w:eastAsia="zh-CN" w:bidi="ar-SA"/>
    </w:rPr>
  </w:style>
  <w:style w:type="paragraph" w:customStyle="1" w:styleId="16">
    <w:name w:val="正文_5"/>
    <w:qFormat/>
    <w:uiPriority w:val="0"/>
    <w:pPr>
      <w:widowControl w:val="0"/>
      <w:jc w:val="both"/>
    </w:pPr>
    <w:rPr>
      <w:rFonts w:ascii="Calibri" w:hAnsi="Calibri" w:eastAsia="宋体" w:cs="Times New Roman"/>
      <w:kern w:val="2"/>
      <w:sz w:val="21"/>
      <w:szCs w:val="22"/>
      <w:lang w:val="en-US" w:eastAsia="zh-CN" w:bidi="ar-SA"/>
    </w:rPr>
  </w:style>
  <w:style w:type="paragraph" w:styleId="17">
    <w:name w:val="annotation text"/>
    <w:basedOn w:val="1"/>
    <w:link w:val="55"/>
    <w:qFormat/>
    <w:uiPriority w:val="0"/>
    <w:pPr>
      <w:jc w:val="left"/>
    </w:pPr>
    <w:rPr>
      <w:rFonts w:ascii="Times New Roman" w:hAnsi="Times New Roman"/>
      <w:szCs w:val="24"/>
    </w:rPr>
  </w:style>
  <w:style w:type="paragraph" w:styleId="18">
    <w:name w:val="Salutation"/>
    <w:basedOn w:val="1"/>
    <w:next w:val="1"/>
    <w:qFormat/>
    <w:uiPriority w:val="0"/>
    <w:rPr>
      <w:rFonts w:ascii="仿宋_GB2312" w:eastAsia="仿宋_GB2312"/>
      <w:sz w:val="24"/>
    </w:rPr>
  </w:style>
  <w:style w:type="paragraph" w:styleId="19">
    <w:name w:val="Body Text 3"/>
    <w:basedOn w:val="1"/>
    <w:link w:val="56"/>
    <w:qFormat/>
    <w:uiPriority w:val="0"/>
    <w:pPr>
      <w:spacing w:after="120"/>
    </w:pPr>
    <w:rPr>
      <w:rFonts w:ascii="Times New Roman" w:hAnsi="Times New Roman"/>
      <w:sz w:val="16"/>
      <w:szCs w:val="16"/>
    </w:rPr>
  </w:style>
  <w:style w:type="paragraph" w:styleId="20">
    <w:name w:val="Body Text"/>
    <w:basedOn w:val="1"/>
    <w:next w:val="1"/>
    <w:link w:val="51"/>
    <w:qFormat/>
    <w:uiPriority w:val="0"/>
    <w:pPr>
      <w:spacing w:after="120" w:afterLines="0"/>
    </w:pPr>
    <w:rPr>
      <w:rFonts w:ascii="Times New Roman" w:hAnsi="Times New Roman"/>
      <w:szCs w:val="24"/>
    </w:rPr>
  </w:style>
  <w:style w:type="paragraph" w:styleId="21">
    <w:name w:val="Body Text Indent"/>
    <w:basedOn w:val="1"/>
    <w:next w:val="22"/>
    <w:qFormat/>
    <w:uiPriority w:val="0"/>
    <w:pPr>
      <w:spacing w:after="120" w:afterLines="0"/>
      <w:ind w:left="420" w:leftChars="200"/>
    </w:pPr>
  </w:style>
  <w:style w:type="paragraph" w:styleId="22">
    <w:name w:val="envelope return"/>
    <w:basedOn w:val="1"/>
    <w:qFormat/>
    <w:uiPriority w:val="0"/>
    <w:pPr>
      <w:snapToGrid w:val="0"/>
    </w:pPr>
    <w:rPr>
      <w:rFonts w:ascii="Arial" w:hAnsi="Arial"/>
    </w:rPr>
  </w:style>
  <w:style w:type="paragraph" w:styleId="23">
    <w:name w:val="Block Text"/>
    <w:basedOn w:val="1"/>
    <w:qFormat/>
    <w:uiPriority w:val="0"/>
    <w:pPr>
      <w:ind w:left="1171" w:right="91" w:hanging="1080"/>
    </w:pPr>
    <w:rPr>
      <w:rFonts w:eastAsia="楷体_GB2312"/>
      <w:szCs w:val="20"/>
    </w:rPr>
  </w:style>
  <w:style w:type="paragraph" w:styleId="24">
    <w:name w:val="toc 3"/>
    <w:basedOn w:val="1"/>
    <w:next w:val="1"/>
    <w:qFormat/>
    <w:uiPriority w:val="0"/>
    <w:pPr>
      <w:ind w:left="840" w:leftChars="400"/>
    </w:pPr>
  </w:style>
  <w:style w:type="paragraph" w:styleId="25">
    <w:name w:val="Plain Text"/>
    <w:basedOn w:val="1"/>
    <w:link w:val="57"/>
    <w:qFormat/>
    <w:uiPriority w:val="0"/>
    <w:rPr>
      <w:rFonts w:ascii="宋体" w:hAnsi="Courier New"/>
      <w:szCs w:val="21"/>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afterLines="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56" w:beforeLines="50"/>
    </w:pPr>
    <w:rPr>
      <w:rFonts w:ascii="仿宋_GB2312" w:eastAsia="仿宋_GB2312"/>
      <w:sz w:val="24"/>
    </w:rPr>
  </w:style>
  <w:style w:type="paragraph" w:styleId="32">
    <w:name w:val="toc 4"/>
    <w:basedOn w:val="1"/>
    <w:next w:val="1"/>
    <w:unhideWhenUsed/>
    <w:qFormat/>
    <w:uiPriority w:val="39"/>
    <w:pPr>
      <w:spacing w:line="240" w:lineRule="auto"/>
      <w:ind w:left="1260" w:leftChars="600" w:firstLine="0" w:firstLineChars="0"/>
    </w:pPr>
    <w:rPr>
      <w:rFonts w:ascii="等线" w:eastAsia="等线"/>
      <w:sz w:val="21"/>
    </w:rPr>
  </w:style>
  <w:style w:type="paragraph" w:styleId="33">
    <w:name w:val="Body Text Indent 3"/>
    <w:basedOn w:val="1"/>
    <w:qFormat/>
    <w:uiPriority w:val="0"/>
    <w:pPr>
      <w:spacing w:after="120" w:afterLines="0"/>
      <w:ind w:left="420" w:leftChars="200"/>
    </w:pPr>
    <w:rPr>
      <w:sz w:val="16"/>
      <w:szCs w:val="16"/>
    </w:rPr>
  </w:style>
  <w:style w:type="paragraph" w:styleId="34">
    <w:name w:val="toc 2"/>
    <w:basedOn w:val="1"/>
    <w:next w:val="1"/>
    <w:qFormat/>
    <w:uiPriority w:val="0"/>
    <w:pPr>
      <w:ind w:left="420" w:leftChars="200"/>
    </w:pPr>
  </w:style>
  <w:style w:type="paragraph" w:styleId="35">
    <w:name w:val="Body Text 2"/>
    <w:basedOn w:val="1"/>
    <w:qFormat/>
    <w:uiPriority w:val="0"/>
    <w:pPr>
      <w:spacing w:after="120" w:afterLines="0" w:line="480" w:lineRule="auto"/>
    </w:p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next w:val="1"/>
    <w:link w:val="58"/>
    <w:qFormat/>
    <w:uiPriority w:val="0"/>
    <w:pPr>
      <w:spacing w:line="360" w:lineRule="auto"/>
      <w:jc w:val="center"/>
      <w:outlineLvl w:val="0"/>
    </w:pPr>
    <w:rPr>
      <w:rFonts w:ascii="Cambria" w:hAnsi="Cambria"/>
      <w:b/>
      <w:bCs/>
      <w:sz w:val="36"/>
      <w:szCs w:val="32"/>
    </w:rPr>
  </w:style>
  <w:style w:type="paragraph" w:styleId="40">
    <w:name w:val="annotation subject"/>
    <w:basedOn w:val="17"/>
    <w:next w:val="17"/>
    <w:qFormat/>
    <w:uiPriority w:val="0"/>
    <w:rPr>
      <w:b/>
      <w:bCs/>
    </w:rPr>
  </w:style>
  <w:style w:type="paragraph" w:styleId="41">
    <w:name w:val="Body Text First Indent 2"/>
    <w:basedOn w:val="21"/>
    <w:qFormat/>
    <w:uiPriority w:val="0"/>
    <w:pPr>
      <w:spacing w:after="120"/>
      <w:ind w:left="420" w:leftChars="200" w:firstLine="420" w:firstLineChars="200"/>
    </w:pPr>
    <w:rPr>
      <w:rFonts w:ascii="Times New Roman" w:eastAsia="宋体"/>
      <w:sz w:val="21"/>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color w:val="666666"/>
      <w:u w:val="non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styleId="50">
    <w:name w:val="HTML Sample"/>
    <w:qFormat/>
    <w:uiPriority w:val="0"/>
    <w:rPr>
      <w:rFonts w:ascii="Courier New" w:hAnsi="Courier New"/>
    </w:rPr>
  </w:style>
  <w:style w:type="character" w:customStyle="1" w:styleId="51">
    <w:name w:val="正文文本 Char"/>
    <w:link w:val="20"/>
    <w:qFormat/>
    <w:uiPriority w:val="0"/>
    <w:rPr>
      <w:kern w:val="2"/>
      <w:sz w:val="21"/>
      <w:szCs w:val="24"/>
    </w:rPr>
  </w:style>
  <w:style w:type="character" w:customStyle="1" w:styleId="52">
    <w:name w:val="标题 1 Char"/>
    <w:link w:val="3"/>
    <w:qFormat/>
    <w:uiPriority w:val="0"/>
    <w:rPr>
      <w:b/>
      <w:bCs/>
      <w:sz w:val="24"/>
      <w:szCs w:val="20"/>
    </w:rPr>
  </w:style>
  <w:style w:type="character" w:customStyle="1" w:styleId="53">
    <w:name w:val="标题 2 Char"/>
    <w:link w:val="4"/>
    <w:qFormat/>
    <w:uiPriority w:val="0"/>
    <w:rPr>
      <w:rFonts w:ascii="Arial" w:hAnsi="Arial"/>
      <w:b/>
      <w:bCs/>
      <w:sz w:val="24"/>
      <w:szCs w:val="32"/>
    </w:rPr>
  </w:style>
  <w:style w:type="character" w:customStyle="1" w:styleId="54">
    <w:name w:val="标题 3 Char"/>
    <w:link w:val="5"/>
    <w:qFormat/>
    <w:uiPriority w:val="0"/>
    <w:rPr>
      <w:rFonts w:eastAsia="宋体"/>
      <w:b/>
      <w:bCs/>
      <w:kern w:val="2"/>
      <w:sz w:val="32"/>
      <w:szCs w:val="32"/>
      <w:lang w:val="en-US" w:eastAsia="zh-CN" w:bidi="ar-SA"/>
    </w:rPr>
  </w:style>
  <w:style w:type="character" w:customStyle="1" w:styleId="55">
    <w:name w:val="批注文字 Char"/>
    <w:link w:val="17"/>
    <w:qFormat/>
    <w:uiPriority w:val="0"/>
    <w:rPr>
      <w:kern w:val="2"/>
      <w:sz w:val="21"/>
      <w:szCs w:val="24"/>
    </w:rPr>
  </w:style>
  <w:style w:type="character" w:customStyle="1" w:styleId="56">
    <w:name w:val="正文文本 3 Char"/>
    <w:link w:val="19"/>
    <w:qFormat/>
    <w:uiPriority w:val="0"/>
    <w:rPr>
      <w:kern w:val="2"/>
      <w:sz w:val="16"/>
      <w:szCs w:val="16"/>
    </w:rPr>
  </w:style>
  <w:style w:type="character" w:customStyle="1" w:styleId="57">
    <w:name w:val="纯文本 Char"/>
    <w:link w:val="25"/>
    <w:qFormat/>
    <w:uiPriority w:val="0"/>
    <w:rPr>
      <w:rFonts w:ascii="宋体" w:hAnsi="Courier New" w:cs="Courier New"/>
      <w:kern w:val="2"/>
      <w:sz w:val="21"/>
      <w:szCs w:val="21"/>
    </w:rPr>
  </w:style>
  <w:style w:type="character" w:customStyle="1" w:styleId="58">
    <w:name w:val="标题 Char"/>
    <w:link w:val="39"/>
    <w:qFormat/>
    <w:uiPriority w:val="0"/>
    <w:rPr>
      <w:rFonts w:ascii="Cambria" w:hAnsi="Cambria" w:eastAsia="宋体"/>
      <w:b/>
      <w:bCs/>
      <w:kern w:val="2"/>
      <w:sz w:val="36"/>
      <w:szCs w:val="32"/>
      <w:lang w:val="en-US" w:eastAsia="zh-CN" w:bidi="ar-SA"/>
    </w:rPr>
  </w:style>
  <w:style w:type="paragraph" w:customStyle="1" w:styleId="59">
    <w:name w:val="Normal_0"/>
    <w:qFormat/>
    <w:uiPriority w:val="0"/>
    <w:rPr>
      <w:rFonts w:ascii="黑体" w:hAnsi="黑体" w:eastAsia="黑体" w:cs="Times New Roman"/>
      <w:b/>
      <w:sz w:val="32"/>
      <w:szCs w:val="24"/>
      <w:lang w:bidi="ar-SA"/>
    </w:rPr>
  </w:style>
  <w:style w:type="paragraph" w:customStyle="1" w:styleId="60">
    <w:name w:val="正文_2"/>
    <w:basedOn w:val="61"/>
    <w:next w:val="63"/>
    <w:qFormat/>
    <w:uiPriority w:val="0"/>
    <w:pPr>
      <w:widowControl w:val="0"/>
      <w:jc w:val="both"/>
    </w:pPr>
    <w:rPr>
      <w:kern w:val="2"/>
      <w:sz w:val="21"/>
      <w:szCs w:val="24"/>
      <w:lang w:val="en-US" w:eastAsia="zh-CN" w:bidi="ar-SA"/>
    </w:rPr>
  </w:style>
  <w:style w:type="paragraph" w:customStyle="1" w:styleId="61">
    <w:name w:val="正文_4"/>
    <w:basedOn w:val="16"/>
    <w:next w:val="62"/>
    <w:qFormat/>
    <w:uiPriority w:val="0"/>
    <w:pPr>
      <w:widowControl w:val="0"/>
      <w:jc w:val="both"/>
    </w:pPr>
    <w:rPr>
      <w:rFonts w:ascii="Calibri" w:hAnsi="Calibri"/>
      <w:kern w:val="2"/>
      <w:sz w:val="21"/>
      <w:szCs w:val="22"/>
      <w:lang w:val="en-US" w:eastAsia="zh-CN" w:bidi="ar-SA"/>
    </w:rPr>
  </w:style>
  <w:style w:type="paragraph" w:customStyle="1" w:styleId="62">
    <w:name w:val="正文首行缩进_0"/>
    <w:basedOn w:val="63"/>
    <w:unhideWhenUsed/>
    <w:qFormat/>
    <w:uiPriority w:val="99"/>
    <w:pPr>
      <w:ind w:firstLine="420" w:firstLineChars="100"/>
    </w:pPr>
    <w:rPr>
      <w:szCs w:val="22"/>
    </w:rPr>
  </w:style>
  <w:style w:type="paragraph" w:customStyle="1" w:styleId="63">
    <w:name w:val="正文文本_1"/>
    <w:basedOn w:val="64"/>
    <w:unhideWhenUsed/>
    <w:qFormat/>
    <w:uiPriority w:val="0"/>
    <w:pPr>
      <w:spacing w:after="120"/>
    </w:pPr>
    <w:rPr>
      <w:rFonts w:ascii="Calibri" w:hAnsi="Calibri" w:eastAsia="宋体" w:cs="Times New Roman"/>
    </w:rPr>
  </w:style>
  <w:style w:type="paragraph" w:customStyle="1" w:styleId="6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1_0"/>
    <w:basedOn w:val="15"/>
    <w:next w:val="14"/>
    <w:qFormat/>
    <w:uiPriority w:val="0"/>
    <w:pPr>
      <w:widowControl w:val="0"/>
      <w:jc w:val="both"/>
    </w:pPr>
    <w:rPr>
      <w:rFonts w:ascii="Calibri" w:hAnsi="Calibri"/>
      <w:kern w:val="2"/>
      <w:sz w:val="21"/>
      <w:szCs w:val="22"/>
      <w:lang w:val="en-US" w:eastAsia="zh-CN" w:bidi="ar-SA"/>
    </w:rPr>
  </w:style>
  <w:style w:type="character" w:customStyle="1" w:styleId="66">
    <w:name w:val="标题 2 Char Char"/>
    <w:qFormat/>
    <w:uiPriority w:val="0"/>
    <w:rPr>
      <w:rFonts w:ascii="Arial" w:hAnsi="Arial" w:eastAsia="黑体" w:cs="Times New Roman"/>
      <w:b/>
      <w:bCs/>
      <w:kern w:val="2"/>
      <w:sz w:val="32"/>
      <w:szCs w:val="32"/>
      <w:lang w:val="en-US" w:eastAsia="zh-CN" w:bidi="ar-SA"/>
    </w:rPr>
  </w:style>
  <w:style w:type="character" w:customStyle="1" w:styleId="67">
    <w:name w:val="txt7"/>
    <w:qFormat/>
    <w:uiPriority w:val="0"/>
  </w:style>
  <w:style w:type="character" w:customStyle="1" w:styleId="68">
    <w:name w:val="p0 Char"/>
    <w:link w:val="69"/>
    <w:qFormat/>
    <w:uiPriority w:val="0"/>
    <w:rPr>
      <w:rFonts w:eastAsia="宋体"/>
      <w:sz w:val="21"/>
      <w:szCs w:val="21"/>
      <w:lang w:val="en-US" w:eastAsia="zh-CN" w:bidi="ar-SA"/>
    </w:rPr>
  </w:style>
  <w:style w:type="paragraph" w:customStyle="1" w:styleId="69">
    <w:name w:val="p0"/>
    <w:basedOn w:val="1"/>
    <w:link w:val="68"/>
    <w:qFormat/>
    <w:uiPriority w:val="0"/>
    <w:pPr>
      <w:widowControl/>
    </w:pPr>
    <w:rPr>
      <w:rFonts w:ascii="Times New Roman" w:hAnsi="Times New Roman"/>
      <w:kern w:val="0"/>
      <w:szCs w:val="21"/>
    </w:rPr>
  </w:style>
  <w:style w:type="character" w:customStyle="1" w:styleId="70">
    <w:name w:val="apple-converted-space"/>
    <w:qFormat/>
    <w:uiPriority w:val="0"/>
  </w:style>
  <w:style w:type="paragraph" w:customStyle="1" w:styleId="71">
    <w:name w:val="xl25"/>
    <w:basedOn w:val="1"/>
    <w:qFormat/>
    <w:uiPriority w:val="0"/>
    <w:pPr>
      <w:widowControl/>
      <w:pBdr>
        <w:left w:val="single" w:color="auto" w:sz="4" w:space="0"/>
        <w:bottom w:val="single" w:color="auto" w:sz="4" w:space="0"/>
        <w:right w:val="double" w:color="auto" w:sz="6"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72">
    <w:name w:val="Char Char1 Char Char Char Char Char1 Char Char Char Char"/>
    <w:basedOn w:val="13"/>
    <w:qFormat/>
    <w:uiPriority w:val="0"/>
    <w:rPr>
      <w:rFonts w:ascii="Tahoma" w:hAnsi="Tahoma"/>
    </w:rPr>
  </w:style>
  <w:style w:type="paragraph" w:customStyle="1" w:styleId="73">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7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76">
    <w:name w:val=" Char Char Char"/>
    <w:basedOn w:val="1"/>
    <w:qFormat/>
    <w:uiPriority w:val="0"/>
    <w:rPr>
      <w:rFonts w:ascii="宋体" w:hAnsi="宋体"/>
      <w:b/>
      <w:sz w:val="28"/>
      <w:szCs w:val="28"/>
    </w:rPr>
  </w:style>
  <w:style w:type="paragraph" w:customStyle="1" w:styleId="77">
    <w:name w:val="Normal_1"/>
    <w:qFormat/>
    <w:uiPriority w:val="0"/>
    <w:rPr>
      <w:rFonts w:ascii="黑体" w:hAnsi="黑体" w:eastAsia="黑体" w:cs="Times New Roman"/>
      <w:b/>
      <w:sz w:val="32"/>
      <w:szCs w:val="24"/>
      <w:lang w:val="en-US" w:eastAsia="zh-CN" w:bidi="ar-SA"/>
    </w:rPr>
  </w:style>
  <w:style w:type="paragraph" w:customStyle="1" w:styleId="78">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79">
    <w:name w:val="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8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beforeLines="0"/>
      <w:ind w:left="840" w:hanging="420"/>
      <w:jc w:val="left"/>
      <w:textAlignment w:val="baseline"/>
      <w:outlineLvl w:val="1"/>
    </w:pPr>
    <w:rPr>
      <w:rFonts w:ascii="宋体" w:hAnsi="宋体"/>
      <w:b/>
      <w:bCs/>
      <w:color w:val="000000"/>
      <w:kern w:val="0"/>
      <w:szCs w:val="20"/>
    </w:rPr>
  </w:style>
  <w:style w:type="paragraph" w:customStyle="1" w:styleId="81">
    <w:name w:val="p16"/>
    <w:basedOn w:val="1"/>
    <w:qFormat/>
    <w:uiPriority w:val="0"/>
    <w:pPr>
      <w:widowControl/>
      <w:jc w:val="left"/>
    </w:pPr>
    <w:rPr>
      <w:kern w:val="0"/>
      <w:szCs w:val="21"/>
    </w:rPr>
  </w:style>
  <w:style w:type="paragraph" w:customStyle="1" w:styleId="82">
    <w:name w:val="样式 标题 2 + 宋体 五号 行距: 单倍行距"/>
    <w:basedOn w:val="4"/>
    <w:qFormat/>
    <w:uiPriority w:val="0"/>
    <w:pPr>
      <w:numPr>
        <w:ilvl w:val="1"/>
        <w:numId w:val="2"/>
      </w:numPr>
      <w:adjustRightInd w:val="0"/>
      <w:spacing w:before="260" w:beforeLines="0" w:after="260" w:afterLines="0" w:line="240" w:lineRule="auto"/>
      <w:jc w:val="left"/>
      <w:textAlignment w:val="baseline"/>
    </w:pPr>
    <w:rPr>
      <w:rFonts w:ascii="宋体" w:hAnsi="宋体"/>
      <w:kern w:val="0"/>
      <w:sz w:val="21"/>
      <w:szCs w:val="20"/>
    </w:rPr>
  </w:style>
  <w:style w:type="paragraph" w:customStyle="1" w:styleId="83">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84">
    <w:name w:val="Char"/>
    <w:basedOn w:val="1"/>
    <w:qFormat/>
    <w:uiPriority w:val="0"/>
    <w:pPr>
      <w:tabs>
        <w:tab w:val="left" w:pos="360"/>
      </w:tabs>
      <w:ind w:left="360" w:hanging="360" w:hangingChars="200"/>
    </w:pPr>
    <w:rPr>
      <w:sz w:val="24"/>
    </w:rPr>
  </w:style>
  <w:style w:type="paragraph" w:customStyle="1" w:styleId="8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86">
    <w:name w:val="Char1"/>
    <w:basedOn w:val="1"/>
    <w:qFormat/>
    <w:uiPriority w:val="0"/>
    <w:pPr>
      <w:widowControl/>
      <w:spacing w:after="160" w:afterLines="0" w:line="240" w:lineRule="exact"/>
      <w:jc w:val="left"/>
    </w:pPr>
    <w:rPr>
      <w:rFonts w:ascii="Verdana" w:hAnsi="Verdana"/>
      <w:kern w:val="0"/>
      <w:sz w:val="20"/>
      <w:szCs w:val="20"/>
      <w:lang w:eastAsia="en-US"/>
    </w:rPr>
  </w:style>
  <w:style w:type="paragraph" w:styleId="87">
    <w:name w:val="List Paragraph"/>
    <w:basedOn w:val="1"/>
    <w:qFormat/>
    <w:uiPriority w:val="34"/>
    <w:pPr>
      <w:ind w:firstLine="420" w:firstLineChars="200"/>
    </w:pPr>
    <w:rPr>
      <w:rFonts w:ascii="Calibri" w:hAnsi="Calibri"/>
      <w:szCs w:val="22"/>
    </w:rPr>
  </w:style>
  <w:style w:type="paragraph" w:customStyle="1" w:styleId="88">
    <w:name w:val="Char1 Char Char Char 字元 Char Char 字元 Char 字元 Char1 Char Char Char"/>
    <w:basedOn w:val="1"/>
    <w:qFormat/>
    <w:uiPriority w:val="0"/>
    <w:rPr>
      <w:szCs w:val="20"/>
    </w:rPr>
  </w:style>
  <w:style w:type="paragraph" w:customStyle="1" w:styleId="89">
    <w:name w:val="样式 标题 2 + Times New Roman 四号 非加粗 段前: 5 磅 段后: 0 磅 行距: 固定值 20..."/>
    <w:basedOn w:val="4"/>
    <w:qFormat/>
    <w:uiPriority w:val="0"/>
    <w:pPr>
      <w:spacing w:before="100" w:beforeLines="0" w:line="400" w:lineRule="exact"/>
    </w:pPr>
    <w:rPr>
      <w:rFonts w:ascii="Times New Roman" w:hAnsi="Times New Roman" w:eastAsia="黑体"/>
      <w:sz w:val="28"/>
      <w:szCs w:val="20"/>
    </w:rPr>
  </w:style>
  <w:style w:type="paragraph" w:customStyle="1" w:styleId="90">
    <w:name w:val="表格内容"/>
    <w:basedOn w:val="20"/>
    <w:qFormat/>
    <w:uiPriority w:val="0"/>
    <w:pPr>
      <w:suppressLineNumbers/>
      <w:suppressAutoHyphens/>
      <w:jc w:val="left"/>
    </w:pPr>
    <w:rPr>
      <w:rFonts w:cs="Tahoma"/>
      <w:kern w:val="0"/>
      <w:sz w:val="24"/>
    </w:rPr>
  </w:style>
  <w:style w:type="paragraph" w:customStyle="1" w:styleId="91">
    <w:name w:val="1"/>
    <w:basedOn w:val="1"/>
    <w:qFormat/>
    <w:uiPriority w:val="0"/>
    <w:pPr>
      <w:spacing w:after="156" w:afterLines="50" w:line="360" w:lineRule="auto"/>
    </w:pPr>
    <w:rPr>
      <w:rFonts w:ascii="宋体" w:hAnsi="宋体"/>
      <w:b/>
      <w:sz w:val="30"/>
      <w:szCs w:val="21"/>
    </w:rPr>
  </w:style>
  <w:style w:type="paragraph" w:customStyle="1" w:styleId="92">
    <w:name w:val="标题 1 +"/>
    <w:basedOn w:val="3"/>
    <w:next w:val="1"/>
    <w:qFormat/>
    <w:uiPriority w:val="0"/>
    <w:pPr>
      <w:keepLines/>
      <w:spacing w:line="600" w:lineRule="auto"/>
    </w:pPr>
    <w:rPr>
      <w:rFonts w:eastAsia="黑体"/>
      <w:kern w:val="0"/>
      <w:sz w:val="32"/>
      <w:szCs w:val="32"/>
    </w:rPr>
  </w:style>
  <w:style w:type="paragraph" w:customStyle="1" w:styleId="9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4">
    <w:name w:val="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95">
    <w:name w:val="Char Char1 Char Char Char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96">
    <w:name w:val="xl31"/>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styleId="97">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9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标题 2_0"/>
    <w:basedOn w:val="61"/>
    <w:next w:val="100"/>
    <w:link w:val="101"/>
    <w:qFormat/>
    <w:uiPriority w:val="0"/>
    <w:pPr>
      <w:spacing w:line="360" w:lineRule="auto"/>
      <w:outlineLvl w:val="1"/>
    </w:pPr>
    <w:rPr>
      <w:rFonts w:ascii="Arial" w:hAnsi="Arial"/>
      <w:kern w:val="0"/>
      <w:sz w:val="24"/>
      <w:szCs w:val="32"/>
    </w:rPr>
  </w:style>
  <w:style w:type="paragraph" w:customStyle="1" w:styleId="100">
    <w:name w:val="正文_2_0"/>
    <w:basedOn w:val="60"/>
    <w:qFormat/>
    <w:uiPriority w:val="0"/>
    <w:pPr>
      <w:widowControl w:val="0"/>
      <w:jc w:val="both"/>
    </w:pPr>
    <w:rPr>
      <w:kern w:val="2"/>
      <w:sz w:val="21"/>
      <w:szCs w:val="24"/>
      <w:lang w:val="en-US" w:eastAsia="zh-CN" w:bidi="ar-SA"/>
    </w:rPr>
  </w:style>
  <w:style w:type="character" w:customStyle="1" w:styleId="101">
    <w:name w:val="标题 2 Char_0"/>
    <w:link w:val="99"/>
    <w:qFormat/>
    <w:uiPriority w:val="0"/>
    <w:rPr>
      <w:rFonts w:ascii="Arial" w:hAnsi="Arial" w:eastAsia="宋体" w:cs="Times New Roman"/>
      <w:sz w:val="24"/>
      <w:szCs w:val="32"/>
    </w:rPr>
  </w:style>
  <w:style w:type="paragraph" w:customStyle="1" w:styleId="102">
    <w:name w:val="标题 3_0"/>
    <w:basedOn w:val="103"/>
    <w:next w:val="103"/>
    <w:link w:val="104"/>
    <w:unhideWhenUsed/>
    <w:qFormat/>
    <w:uiPriority w:val="9"/>
    <w:pPr>
      <w:keepNext/>
      <w:keepLines/>
      <w:spacing w:before="260" w:after="260" w:line="416" w:lineRule="auto"/>
      <w:outlineLvl w:val="2"/>
    </w:pPr>
    <w:rPr>
      <w:rFonts w:ascii="Times New Roman" w:hAnsi="Times New Roman"/>
      <w:b/>
      <w:bCs/>
      <w:kern w:val="0"/>
      <w:sz w:val="32"/>
      <w:szCs w:val="32"/>
    </w:rPr>
  </w:style>
  <w:style w:type="paragraph" w:customStyle="1" w:styleId="103">
    <w:name w:val="正文_1"/>
    <w:basedOn w:val="60"/>
    <w:qFormat/>
    <w:uiPriority w:val="0"/>
    <w:pPr>
      <w:widowControl w:val="0"/>
      <w:jc w:val="both"/>
    </w:pPr>
    <w:rPr>
      <w:kern w:val="2"/>
      <w:sz w:val="21"/>
      <w:szCs w:val="24"/>
      <w:lang w:val="en-US" w:eastAsia="zh-CN" w:bidi="ar-SA"/>
    </w:rPr>
  </w:style>
  <w:style w:type="character" w:customStyle="1" w:styleId="104">
    <w:name w:val="标题 3 Char_0"/>
    <w:link w:val="102"/>
    <w:semiHidden/>
    <w:qFormat/>
    <w:uiPriority w:val="9"/>
    <w:rPr>
      <w:rFonts w:ascii="Times New Roman" w:hAnsi="Times New Roman" w:eastAsia="宋体" w:cs="Times New Roman"/>
      <w:b/>
      <w:bCs/>
      <w:sz w:val="32"/>
      <w:szCs w:val="32"/>
    </w:rPr>
  </w:style>
  <w:style w:type="paragraph" w:customStyle="1" w:styleId="105">
    <w:name w:val="正文文本_0"/>
    <w:basedOn w:val="100"/>
    <w:link w:val="106"/>
    <w:qFormat/>
    <w:uiPriority w:val="0"/>
    <w:pPr>
      <w:spacing w:after="120"/>
    </w:pPr>
    <w:rPr>
      <w:rFonts w:ascii="Times New Roman" w:hAnsi="Times New Roman"/>
      <w:kern w:val="0"/>
      <w:sz w:val="20"/>
    </w:rPr>
  </w:style>
  <w:style w:type="character" w:customStyle="1" w:styleId="106">
    <w:name w:val="正文文本 Char_0"/>
    <w:link w:val="105"/>
    <w:qFormat/>
    <w:uiPriority w:val="0"/>
    <w:rPr>
      <w:szCs w:val="24"/>
    </w:rPr>
  </w:style>
  <w:style w:type="paragraph" w:customStyle="1" w:styleId="107">
    <w:name w:val="正文_1_0_0"/>
    <w:basedOn w:val="15"/>
    <w:qFormat/>
    <w:uiPriority w:val="0"/>
    <w:pPr>
      <w:widowControl w:val="0"/>
      <w:jc w:val="both"/>
    </w:pPr>
    <w:rPr>
      <w:kern w:val="2"/>
      <w:sz w:val="21"/>
      <w:szCs w:val="22"/>
      <w:lang w:val="en-US" w:eastAsia="zh-CN" w:bidi="ar-SA"/>
    </w:rPr>
  </w:style>
  <w:style w:type="paragraph" w:customStyle="1" w:styleId="108">
    <w:name w:val="列出段落_0"/>
    <w:basedOn w:val="103"/>
    <w:qFormat/>
    <w:uiPriority w:val="34"/>
    <w:pPr>
      <w:ind w:firstLine="420" w:firstLineChars="200"/>
    </w:pPr>
    <w:rPr>
      <w:rFonts w:ascii="Calibri" w:hAnsi="Calibri"/>
      <w:szCs w:val="22"/>
    </w:rPr>
  </w:style>
  <w:style w:type="paragraph" w:customStyle="1" w:styleId="109">
    <w:name w:val="正文文本缩进_0"/>
    <w:basedOn w:val="103"/>
    <w:link w:val="110"/>
    <w:qFormat/>
    <w:uiPriority w:val="0"/>
    <w:pPr>
      <w:spacing w:after="120"/>
      <w:ind w:left="420" w:leftChars="200"/>
    </w:pPr>
    <w:rPr>
      <w:rFonts w:ascii="Times New Roman" w:hAnsi="Times New Roman"/>
      <w:kern w:val="0"/>
      <w:sz w:val="20"/>
    </w:rPr>
  </w:style>
  <w:style w:type="character" w:customStyle="1" w:styleId="110">
    <w:name w:val="正文文本缩进 Char"/>
    <w:link w:val="109"/>
    <w:qFormat/>
    <w:uiPriority w:val="0"/>
    <w:rPr>
      <w:rFonts w:ascii="Times New Roman" w:hAnsi="Times New Roman" w:eastAsia="宋体" w:cs="Times New Roman"/>
      <w:szCs w:val="24"/>
    </w:rPr>
  </w:style>
  <w:style w:type="paragraph" w:customStyle="1" w:styleId="111">
    <w:name w:val="纯文本_0"/>
    <w:basedOn w:val="103"/>
    <w:link w:val="112"/>
    <w:qFormat/>
    <w:uiPriority w:val="0"/>
    <w:rPr>
      <w:rFonts w:ascii="宋体" w:hAnsi="Courier New"/>
      <w:kern w:val="0"/>
      <w:sz w:val="20"/>
      <w:szCs w:val="21"/>
    </w:rPr>
  </w:style>
  <w:style w:type="character" w:customStyle="1" w:styleId="112">
    <w:name w:val="纯文本 Char_0"/>
    <w:link w:val="111"/>
    <w:qFormat/>
    <w:uiPriority w:val="0"/>
    <w:rPr>
      <w:rFonts w:ascii="宋体" w:hAnsi="Courier New" w:cs="Courier New"/>
      <w:szCs w:val="21"/>
    </w:rPr>
  </w:style>
  <w:style w:type="paragraph" w:customStyle="1" w:styleId="113">
    <w:name w:val="标题 2_1"/>
    <w:basedOn w:val="114"/>
    <w:next w:val="115"/>
    <w:link w:val="117"/>
    <w:unhideWhenUsed/>
    <w:qFormat/>
    <w:uiPriority w:val="0"/>
    <w:pPr>
      <w:spacing w:line="360" w:lineRule="auto"/>
      <w:outlineLvl w:val="1"/>
    </w:pPr>
    <w:rPr>
      <w:rFonts w:ascii="Arial" w:hAnsi="Arial"/>
      <w:b w:val="0"/>
      <w:bCs w:val="0"/>
      <w:sz w:val="24"/>
    </w:rPr>
  </w:style>
  <w:style w:type="paragraph" w:customStyle="1" w:styleId="114">
    <w:name w:val="标题 3_1"/>
    <w:basedOn w:val="115"/>
    <w:next w:val="115"/>
    <w:link w:val="116"/>
    <w:unhideWhenUsed/>
    <w:qFormat/>
    <w:uiPriority w:val="9"/>
    <w:pPr>
      <w:keepNext/>
      <w:keepLines/>
      <w:spacing w:before="260" w:after="260" w:line="416" w:lineRule="auto"/>
      <w:outlineLvl w:val="2"/>
    </w:pPr>
    <w:rPr>
      <w:rFonts w:ascii="Times New Roman" w:hAnsi="Times New Roman"/>
      <w:b/>
      <w:bCs/>
      <w:sz w:val="32"/>
      <w:szCs w:val="32"/>
    </w:rPr>
  </w:style>
  <w:style w:type="paragraph" w:customStyle="1" w:styleId="11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6">
    <w:name w:val="标题 3 Char_1"/>
    <w:link w:val="114"/>
    <w:semiHidden/>
    <w:qFormat/>
    <w:uiPriority w:val="9"/>
    <w:rPr>
      <w:b/>
      <w:bCs/>
      <w:kern w:val="2"/>
      <w:sz w:val="32"/>
      <w:szCs w:val="32"/>
    </w:rPr>
  </w:style>
  <w:style w:type="character" w:customStyle="1" w:styleId="117">
    <w:name w:val="标题 2 Char_1"/>
    <w:link w:val="113"/>
    <w:semiHidden/>
    <w:qFormat/>
    <w:uiPriority w:val="0"/>
    <w:rPr>
      <w:rFonts w:ascii="Arial" w:hAnsi="Arial"/>
      <w:kern w:val="2"/>
      <w:sz w:val="24"/>
      <w:szCs w:val="32"/>
    </w:rPr>
  </w:style>
  <w:style w:type="paragraph" w:customStyle="1" w:styleId="118">
    <w:name w:val="Normal"/>
    <w:qFormat/>
    <w:uiPriority w:val="0"/>
    <w:rPr>
      <w:rFonts w:ascii="Times New Roman" w:hAnsi="Times New Roman" w:eastAsia="Times New Roman" w:cs="Times New Roman"/>
      <w:sz w:val="24"/>
      <w:szCs w:val="24"/>
      <w:lang w:bidi="ar-SA"/>
    </w:rPr>
  </w:style>
  <w:style w:type="paragraph" w:customStyle="1" w:styleId="119">
    <w:name w:val="Normal_1_0"/>
    <w:qFormat/>
    <w:uiPriority w:val="0"/>
    <w:rPr>
      <w:rFonts w:ascii="黑体" w:hAnsi="黑体" w:eastAsia="黑体" w:cs="Times New Roman"/>
      <w:b/>
      <w:sz w:val="32"/>
      <w:szCs w:val="24"/>
      <w:lang w:bidi="ar-SA"/>
    </w:rPr>
  </w:style>
  <w:style w:type="paragraph" w:customStyle="1" w:styleId="120">
    <w:name w:val="标题 3_2"/>
    <w:basedOn w:val="16"/>
    <w:next w:val="16"/>
    <w:link w:val="121"/>
    <w:unhideWhenUsed/>
    <w:qFormat/>
    <w:uiPriority w:val="9"/>
    <w:pPr>
      <w:keepNext/>
      <w:keepLines/>
      <w:spacing w:before="260" w:after="260" w:line="416" w:lineRule="auto"/>
      <w:outlineLvl w:val="2"/>
    </w:pPr>
    <w:rPr>
      <w:rFonts w:ascii="Times New Roman" w:hAnsi="Times New Roman"/>
      <w:b/>
      <w:bCs/>
      <w:sz w:val="32"/>
      <w:szCs w:val="32"/>
    </w:rPr>
  </w:style>
  <w:style w:type="character" w:customStyle="1" w:styleId="121">
    <w:name w:val="标题 3 Char_2"/>
    <w:link w:val="120"/>
    <w:semiHidden/>
    <w:qFormat/>
    <w:uiPriority w:val="9"/>
    <w:rPr>
      <w:b/>
      <w:bCs/>
      <w:kern w:val="2"/>
      <w:sz w:val="32"/>
      <w:szCs w:val="32"/>
    </w:rPr>
  </w:style>
  <w:style w:type="paragraph" w:customStyle="1" w:styleId="122">
    <w:name w:val="Normal_2"/>
    <w:qFormat/>
    <w:uiPriority w:val="0"/>
    <w:rPr>
      <w:rFonts w:ascii="黑体" w:hAnsi="黑体" w:eastAsia="黑体" w:cs="Times New Roman"/>
      <w:b/>
      <w:sz w:val="32"/>
      <w:szCs w:val="24"/>
      <w:lang w:bidi="ar-SA"/>
    </w:rPr>
  </w:style>
  <w:style w:type="character" w:customStyle="1" w:styleId="123">
    <w:name w:val="标题 3 Char_0_0"/>
    <w:link w:val="124"/>
    <w:semiHidden/>
    <w:qFormat/>
    <w:uiPriority w:val="0"/>
    <w:rPr>
      <w:rFonts w:ascii="Calibri" w:hAnsi="Calibri" w:eastAsia="宋体"/>
      <w:b/>
      <w:bCs/>
      <w:kern w:val="2"/>
      <w:sz w:val="32"/>
      <w:szCs w:val="32"/>
    </w:rPr>
  </w:style>
  <w:style w:type="paragraph" w:customStyle="1" w:styleId="124">
    <w:name w:val="标题 3_0_0"/>
    <w:basedOn w:val="125"/>
    <w:next w:val="125"/>
    <w:link w:val="123"/>
    <w:unhideWhenUsed/>
    <w:qFormat/>
    <w:uiPriority w:val="0"/>
    <w:pPr>
      <w:keepNext/>
      <w:keepLines/>
      <w:spacing w:before="260" w:after="260" w:line="416" w:lineRule="auto"/>
      <w:outlineLvl w:val="2"/>
    </w:pPr>
    <w:rPr>
      <w:b/>
      <w:bCs/>
      <w:sz w:val="32"/>
      <w:szCs w:val="32"/>
    </w:rPr>
  </w:style>
  <w:style w:type="paragraph" w:customStyle="1" w:styleId="1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纯文本_1"/>
    <w:basedOn w:val="125"/>
    <w:link w:val="127"/>
    <w:unhideWhenUsed/>
    <w:qFormat/>
    <w:uiPriority w:val="0"/>
    <w:rPr>
      <w:rFonts w:ascii="宋体" w:hAnsi="Courier New"/>
      <w:szCs w:val="21"/>
    </w:rPr>
  </w:style>
  <w:style w:type="character" w:customStyle="1" w:styleId="127">
    <w:name w:val="纯文本 Char_1"/>
    <w:link w:val="126"/>
    <w:qFormat/>
    <w:uiPriority w:val="0"/>
    <w:rPr>
      <w:rFonts w:ascii="宋体" w:hAnsi="Courier New" w:cs="Courier New"/>
      <w:kern w:val="2"/>
      <w:sz w:val="21"/>
      <w:szCs w:val="21"/>
    </w:rPr>
  </w:style>
  <w:style w:type="paragraph" w:customStyle="1" w:styleId="128">
    <w:name w:val="Normal_3"/>
    <w:qFormat/>
    <w:uiPriority w:val="0"/>
    <w:rPr>
      <w:rFonts w:ascii="黑体" w:hAnsi="黑体" w:eastAsia="黑体" w:cs="Times New Roman"/>
      <w:b/>
      <w:sz w:val="32"/>
      <w:szCs w:val="24"/>
      <w:lang w:bidi="ar-SA"/>
    </w:rPr>
  </w:style>
  <w:style w:type="paragraph" w:customStyle="1" w:styleId="129">
    <w:name w:val="Normal_4"/>
    <w:qFormat/>
    <w:uiPriority w:val="0"/>
    <w:rPr>
      <w:rFonts w:ascii="黑体" w:hAnsi="黑体" w:eastAsia="黑体" w:cs="Times New Roman"/>
      <w:b/>
      <w:sz w:val="32"/>
      <w:szCs w:val="24"/>
      <w:lang w:bidi="ar-SA"/>
    </w:rPr>
  </w:style>
  <w:style w:type="paragraph" w:customStyle="1" w:styleId="130">
    <w:name w:val="标题 3_1_0"/>
    <w:basedOn w:val="131"/>
    <w:next w:val="131"/>
    <w:link w:val="133"/>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31">
    <w:name w:val="正文_3_0"/>
    <w:basedOn w:val="132"/>
    <w:qFormat/>
    <w:uiPriority w:val="0"/>
    <w:pPr>
      <w:widowControl w:val="0"/>
      <w:jc w:val="both"/>
    </w:pPr>
    <w:rPr>
      <w:rFonts w:ascii="Calibri" w:hAnsi="Calibri"/>
      <w:kern w:val="2"/>
      <w:sz w:val="21"/>
      <w:szCs w:val="22"/>
      <w:lang w:val="en-US" w:eastAsia="zh-CN" w:bidi="ar-SA"/>
    </w:rPr>
  </w:style>
  <w:style w:type="paragraph" w:customStyle="1" w:styleId="132">
    <w:name w:val="正文_4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3">
    <w:name w:val="标题 3 Char_1_0"/>
    <w:link w:val="130"/>
    <w:semiHidden/>
    <w:qFormat/>
    <w:uiPriority w:val="0"/>
    <w:rPr>
      <w:b/>
      <w:bCs/>
      <w:kern w:val="2"/>
      <w:sz w:val="32"/>
      <w:szCs w:val="32"/>
    </w:rPr>
  </w:style>
  <w:style w:type="paragraph" w:customStyle="1" w:styleId="134">
    <w:name w:val="Normal_5"/>
    <w:qFormat/>
    <w:uiPriority w:val="0"/>
    <w:rPr>
      <w:rFonts w:ascii="黑体" w:hAnsi="黑体" w:eastAsia="黑体" w:cs="Times New Roman"/>
      <w:b/>
      <w:sz w:val="32"/>
      <w:szCs w:val="24"/>
      <w:lang w:bidi="ar-SA"/>
    </w:rPr>
  </w:style>
  <w:style w:type="paragraph" w:customStyle="1" w:styleId="135">
    <w:name w:val="Normal_6"/>
    <w:qFormat/>
    <w:uiPriority w:val="0"/>
    <w:rPr>
      <w:rFonts w:ascii="黑体" w:hAnsi="黑体" w:eastAsia="黑体" w:cs="Times New Roman"/>
      <w:b/>
      <w:sz w:val="32"/>
      <w:szCs w:val="24"/>
      <w:lang w:bidi="ar-SA"/>
    </w:rPr>
  </w:style>
  <w:style w:type="paragraph" w:customStyle="1" w:styleId="136">
    <w:name w:val="Normal_7"/>
    <w:qFormat/>
    <w:uiPriority w:val="0"/>
    <w:pPr>
      <w:widowControl w:val="0"/>
      <w:jc w:val="both"/>
    </w:pPr>
    <w:rPr>
      <w:rFonts w:ascii="Times New Roman" w:hAnsi="Times New Roman" w:eastAsia="宋体" w:cs="Times New Roman"/>
      <w:kern w:val="2"/>
      <w:sz w:val="21"/>
      <w:szCs w:val="24"/>
      <w:lang w:bidi="ar-SA"/>
    </w:rPr>
  </w:style>
  <w:style w:type="paragraph" w:customStyle="1" w:styleId="137">
    <w:name w:val="Normal_8"/>
    <w:qFormat/>
    <w:uiPriority w:val="0"/>
    <w:rPr>
      <w:rFonts w:ascii="黑体" w:hAnsi="黑体" w:eastAsia="黑体" w:cs="Times New Roman"/>
      <w:b/>
      <w:sz w:val="32"/>
      <w:szCs w:val="24"/>
      <w:lang w:bidi="ar-SA"/>
    </w:rPr>
  </w:style>
  <w:style w:type="paragraph" w:customStyle="1" w:styleId="138">
    <w:name w:val="标题 3_2_0"/>
    <w:basedOn w:val="139"/>
    <w:next w:val="139"/>
    <w:link w:val="140"/>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39">
    <w:name w:val="正文_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0">
    <w:name w:val="标题 3 Char_2_0"/>
    <w:link w:val="138"/>
    <w:semiHidden/>
    <w:qFormat/>
    <w:uiPriority w:val="0"/>
    <w:rPr>
      <w:b/>
      <w:bCs/>
      <w:kern w:val="2"/>
      <w:sz w:val="32"/>
      <w:szCs w:val="32"/>
    </w:rPr>
  </w:style>
  <w:style w:type="paragraph" w:customStyle="1" w:styleId="141">
    <w:name w:val="Normal_9"/>
    <w:qFormat/>
    <w:uiPriority w:val="0"/>
    <w:rPr>
      <w:rFonts w:ascii="黑体" w:hAnsi="黑体" w:eastAsia="黑体" w:cs="Times New Roman"/>
      <w:b/>
      <w:sz w:val="32"/>
      <w:szCs w:val="24"/>
      <w:lang w:bidi="ar-SA"/>
    </w:rPr>
  </w:style>
  <w:style w:type="paragraph" w:customStyle="1" w:styleId="14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0"/>
    <w:qFormat/>
    <w:uiPriority w:val="0"/>
    <w:rPr>
      <w:rFonts w:ascii="黑体" w:hAnsi="黑体" w:eastAsia="黑体" w:cs="Times New Roman"/>
      <w:b/>
      <w:sz w:val="32"/>
      <w:szCs w:val="24"/>
      <w:lang w:bidi="ar-SA"/>
    </w:rPr>
  </w:style>
  <w:style w:type="character" w:customStyle="1" w:styleId="144">
    <w:name w:val="标题 3 Char_3"/>
    <w:link w:val="145"/>
    <w:semiHidden/>
    <w:qFormat/>
    <w:uiPriority w:val="0"/>
    <w:rPr>
      <w:rFonts w:ascii="Calibri" w:hAnsi="Calibri" w:eastAsia="宋体"/>
      <w:b/>
      <w:bCs/>
      <w:kern w:val="2"/>
      <w:sz w:val="32"/>
      <w:szCs w:val="32"/>
    </w:rPr>
  </w:style>
  <w:style w:type="paragraph" w:customStyle="1" w:styleId="145">
    <w:name w:val="标题 3_3"/>
    <w:basedOn w:val="146"/>
    <w:next w:val="146"/>
    <w:link w:val="144"/>
    <w:unhideWhenUsed/>
    <w:qFormat/>
    <w:uiPriority w:val="0"/>
    <w:pPr>
      <w:keepNext/>
      <w:keepLines/>
      <w:spacing w:before="260" w:after="260" w:line="412" w:lineRule="auto"/>
      <w:outlineLvl w:val="2"/>
    </w:pPr>
    <w:rPr>
      <w:b/>
      <w:bCs/>
      <w:sz w:val="32"/>
      <w:szCs w:val="32"/>
    </w:rPr>
  </w:style>
  <w:style w:type="paragraph" w:customStyle="1" w:styleId="1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Normal_11"/>
    <w:qFormat/>
    <w:uiPriority w:val="0"/>
    <w:rPr>
      <w:rFonts w:ascii="黑体" w:hAnsi="黑体" w:eastAsia="黑体" w:cs="Times New Roman"/>
      <w:b/>
      <w:sz w:val="32"/>
      <w:szCs w:val="24"/>
      <w:lang w:bidi="ar-SA"/>
    </w:rPr>
  </w:style>
  <w:style w:type="paragraph" w:customStyle="1" w:styleId="148">
    <w:name w:val="Normal_12"/>
    <w:qFormat/>
    <w:uiPriority w:val="0"/>
    <w:rPr>
      <w:rFonts w:ascii="黑体" w:hAnsi="黑体" w:eastAsia="黑体" w:cs="Times New Roman"/>
      <w:b/>
      <w:sz w:val="32"/>
      <w:szCs w:val="24"/>
      <w:lang w:bidi="ar-SA"/>
    </w:rPr>
  </w:style>
  <w:style w:type="paragraph" w:customStyle="1" w:styleId="149">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Normal_13"/>
    <w:qFormat/>
    <w:uiPriority w:val="0"/>
    <w:rPr>
      <w:rFonts w:ascii="黑体" w:hAnsi="黑体" w:eastAsia="黑体" w:cs="Times New Roman"/>
      <w:b/>
      <w:sz w:val="32"/>
      <w:szCs w:val="24"/>
      <w:lang w:bidi="ar-SA"/>
    </w:rPr>
  </w:style>
  <w:style w:type="paragraph" w:customStyle="1" w:styleId="151">
    <w:name w:val="标题 3_4"/>
    <w:basedOn w:val="152"/>
    <w:next w:val="152"/>
    <w:link w:val="153"/>
    <w:unhideWhenUsed/>
    <w:qFormat/>
    <w:uiPriority w:val="0"/>
    <w:pPr>
      <w:keepNext/>
      <w:keepLines/>
      <w:spacing w:before="260" w:after="260" w:line="412" w:lineRule="auto"/>
      <w:outlineLvl w:val="2"/>
    </w:pPr>
    <w:rPr>
      <w:rFonts w:ascii="Times New Roman" w:hAnsi="Times New Roman"/>
      <w:b/>
      <w:bCs/>
      <w:sz w:val="32"/>
      <w:szCs w:val="32"/>
    </w:rPr>
  </w:style>
  <w:style w:type="paragraph" w:customStyle="1" w:styleId="152">
    <w:name w:val="正文_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3">
    <w:name w:val="标题 3 Char_4"/>
    <w:link w:val="151"/>
    <w:semiHidden/>
    <w:qFormat/>
    <w:uiPriority w:val="0"/>
    <w:rPr>
      <w:b/>
      <w:bCs/>
      <w:kern w:val="2"/>
      <w:sz w:val="32"/>
      <w:szCs w:val="32"/>
    </w:rPr>
  </w:style>
  <w:style w:type="paragraph" w:customStyle="1" w:styleId="154">
    <w:name w:val="纯文本_0_0"/>
    <w:basedOn w:val="152"/>
    <w:link w:val="155"/>
    <w:unhideWhenUsed/>
    <w:qFormat/>
    <w:uiPriority w:val="0"/>
    <w:rPr>
      <w:rFonts w:ascii="宋体" w:hAnsi="Courier New"/>
      <w:szCs w:val="21"/>
    </w:rPr>
  </w:style>
  <w:style w:type="character" w:customStyle="1" w:styleId="155">
    <w:name w:val="纯文本 Char_0_0"/>
    <w:link w:val="154"/>
    <w:semiHidden/>
    <w:qFormat/>
    <w:uiPriority w:val="0"/>
    <w:rPr>
      <w:rFonts w:ascii="宋体" w:hAnsi="Courier New" w:cs="Courier New"/>
      <w:kern w:val="2"/>
      <w:sz w:val="21"/>
      <w:szCs w:val="21"/>
    </w:rPr>
  </w:style>
  <w:style w:type="paragraph" w:customStyle="1" w:styleId="156">
    <w:name w:val="Normal_14"/>
    <w:qFormat/>
    <w:uiPriority w:val="0"/>
    <w:rPr>
      <w:rFonts w:ascii="黑体" w:hAnsi="黑体" w:eastAsia="黑体" w:cs="Times New Roman"/>
      <w:b/>
      <w:sz w:val="32"/>
      <w:szCs w:val="24"/>
      <w:lang w:bidi="ar-SA"/>
    </w:rPr>
  </w:style>
  <w:style w:type="paragraph" w:customStyle="1" w:styleId="157">
    <w:name w:val="标题 3_5"/>
    <w:basedOn w:val="158"/>
    <w:next w:val="158"/>
    <w:link w:val="159"/>
    <w:unhideWhenUsed/>
    <w:qFormat/>
    <w:uiPriority w:val="0"/>
    <w:pPr>
      <w:keepNext/>
      <w:keepLines/>
      <w:spacing w:before="260" w:after="260" w:line="412" w:lineRule="auto"/>
      <w:outlineLvl w:val="2"/>
    </w:pPr>
    <w:rPr>
      <w:rFonts w:ascii="Times New Roman" w:hAnsi="Times New Roman"/>
      <w:b/>
      <w:bCs/>
      <w:sz w:val="32"/>
      <w:szCs w:val="32"/>
    </w:rPr>
  </w:style>
  <w:style w:type="paragraph" w:customStyle="1" w:styleId="158">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标题 3 Char_5"/>
    <w:link w:val="157"/>
    <w:semiHidden/>
    <w:qFormat/>
    <w:uiPriority w:val="0"/>
    <w:rPr>
      <w:b/>
      <w:bCs/>
      <w:kern w:val="2"/>
      <w:sz w:val="32"/>
      <w:szCs w:val="32"/>
    </w:rPr>
  </w:style>
  <w:style w:type="paragraph" w:customStyle="1" w:styleId="160">
    <w:name w:val="Normal_15"/>
    <w:qFormat/>
    <w:uiPriority w:val="0"/>
    <w:rPr>
      <w:rFonts w:ascii="黑体" w:hAnsi="黑体" w:eastAsia="黑体" w:cs="Times New Roman"/>
      <w:b/>
      <w:sz w:val="32"/>
      <w:szCs w:val="24"/>
      <w:lang w:bidi="ar-SA"/>
    </w:rPr>
  </w:style>
  <w:style w:type="character" w:customStyle="1" w:styleId="161">
    <w:name w:val="标题 3 Char_6"/>
    <w:link w:val="162"/>
    <w:semiHidden/>
    <w:qFormat/>
    <w:uiPriority w:val="0"/>
    <w:rPr>
      <w:rFonts w:ascii="Calibri" w:hAnsi="Calibri" w:eastAsia="宋体"/>
      <w:b/>
      <w:bCs/>
      <w:kern w:val="2"/>
      <w:sz w:val="32"/>
      <w:szCs w:val="32"/>
    </w:rPr>
  </w:style>
  <w:style w:type="paragraph" w:customStyle="1" w:styleId="162">
    <w:name w:val="标题 3_6"/>
    <w:basedOn w:val="163"/>
    <w:next w:val="163"/>
    <w:link w:val="161"/>
    <w:unhideWhenUsed/>
    <w:qFormat/>
    <w:uiPriority w:val="0"/>
    <w:pPr>
      <w:keepNext/>
      <w:keepLines/>
      <w:spacing w:before="260" w:after="260" w:line="412" w:lineRule="auto"/>
      <w:outlineLvl w:val="2"/>
    </w:pPr>
    <w:rPr>
      <w:b/>
      <w:bCs/>
      <w:sz w:val="32"/>
      <w:szCs w:val="32"/>
    </w:rPr>
  </w:style>
  <w:style w:type="paragraph" w:customStyle="1" w:styleId="163">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16"/>
    <w:qFormat/>
    <w:uiPriority w:val="0"/>
    <w:rPr>
      <w:rFonts w:ascii="Times New Roman" w:hAnsi="Times New Roman" w:eastAsia="Times New Roman" w:cs="Times New Roman"/>
      <w:sz w:val="24"/>
      <w:szCs w:val="24"/>
      <w:lang w:bidi="ar-SA"/>
    </w:rPr>
  </w:style>
  <w:style w:type="paragraph" w:customStyle="1" w:styleId="165">
    <w:name w:val="正文_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正文_1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68">
    <w:name w:val="正文缩进_0"/>
    <w:basedOn w:val="100"/>
    <w:semiHidden/>
    <w:qFormat/>
    <w:uiPriority w:val="0"/>
    <w:pPr>
      <w:ind w:firstLine="420" w:firstLineChars="200"/>
    </w:pPr>
  </w:style>
  <w:style w:type="character" w:customStyle="1" w:styleId="169">
    <w:name w:val="NormalCharacter"/>
    <w:qFormat/>
    <w:uiPriority w:val="0"/>
    <w:rPr>
      <w:rFonts w:ascii="Calibri" w:hAnsi="Calibri"/>
      <w:kern w:val="2"/>
      <w:sz w:val="21"/>
      <w:szCs w:val="22"/>
      <w:lang w:val="en-US" w:eastAsia="zh-CN" w:bidi="ar-SA"/>
    </w:rPr>
  </w:style>
  <w:style w:type="paragraph" w:customStyle="1" w:styleId="170">
    <w:name w:val="正文_0_3"/>
    <w:basedOn w:val="61"/>
    <w:qFormat/>
    <w:uiPriority w:val="0"/>
    <w:rPr>
      <w:rFonts w:ascii="Calibri" w:hAnsi="Calibri" w:cs="宋体"/>
      <w:szCs w:val="21"/>
    </w:rPr>
  </w:style>
  <w:style w:type="paragraph" w:customStyle="1" w:styleId="17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正文_3_0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73">
    <w:name w:val="Table Paragraph"/>
    <w:basedOn w:val="65"/>
    <w:qFormat/>
    <w:uiPriority w:val="1"/>
    <w:pPr>
      <w:autoSpaceDE w:val="0"/>
      <w:autoSpaceDN w:val="0"/>
      <w:jc w:val="left"/>
    </w:pPr>
    <w:rPr>
      <w:rFonts w:ascii="宋体" w:hAnsi="宋体" w:cs="宋体"/>
      <w:kern w:val="0"/>
      <w:sz w:val="22"/>
      <w:lang w:val="zh-CN" w:bidi="zh-CN"/>
    </w:rPr>
  </w:style>
  <w:style w:type="paragraph" w:customStyle="1" w:styleId="17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75">
    <w:name w:val="Style1"/>
    <w:basedOn w:val="12"/>
    <w:qFormat/>
    <w:uiPriority w:val="99"/>
    <w:pPr>
      <w:tabs>
        <w:tab w:val="left" w:pos="-720"/>
      </w:tabs>
      <w:spacing w:after="120"/>
    </w:pPr>
    <w:rPr>
      <w:spacing w:val="-3"/>
      <w:sz w:val="24"/>
      <w:szCs w:val="20"/>
      <w:lang w:val="en-AU" w:eastAsia="en-US"/>
    </w:rPr>
  </w:style>
  <w:style w:type="paragraph" w:customStyle="1" w:styleId="176">
    <w:name w:val="正文_4_0_0_0"/>
    <w:basedOn w:val="177"/>
    <w:qFormat/>
    <w:uiPriority w:val="0"/>
    <w:rPr>
      <w:rFonts w:ascii="Calibri" w:hAnsi="Calibri" w:eastAsia="宋体" w:cs="Calibri"/>
      <w:szCs w:val="21"/>
    </w:rPr>
  </w:style>
  <w:style w:type="paragraph" w:customStyle="1" w:styleId="177">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Heading 5"/>
    <w:basedOn w:val="176"/>
    <w:qFormat/>
    <w:uiPriority w:val="0"/>
    <w:pPr>
      <w:spacing w:before="26" w:after="100" w:afterAutospacing="1"/>
      <w:ind w:left="157"/>
      <w:jc w:val="left"/>
      <w:outlineLvl w:val="5"/>
    </w:pPr>
    <w:rPr>
      <w:rFonts w:ascii="宋体" w:hAnsi="宋体" w:eastAsia="宋体" w:cs="宋体"/>
      <w:b/>
      <w:bCs/>
      <w:kern w:val="0"/>
      <w:sz w:val="24"/>
      <w:szCs w:val="24"/>
    </w:rPr>
  </w:style>
  <w:style w:type="paragraph" w:customStyle="1" w:styleId="179">
    <w:name w:val="Heading 7"/>
    <w:basedOn w:val="176"/>
    <w:qFormat/>
    <w:uiPriority w:val="0"/>
    <w:pPr>
      <w:spacing w:before="35" w:after="100" w:afterAutospacing="1"/>
      <w:ind w:left="157"/>
      <w:jc w:val="left"/>
      <w:outlineLvl w:val="7"/>
    </w:pPr>
    <w:rPr>
      <w:rFonts w:ascii="宋体" w:hAnsi="宋体" w:eastAsia="宋体" w:cs="宋体"/>
      <w:b/>
      <w:bCs/>
      <w:kern w:val="0"/>
    </w:rPr>
  </w:style>
  <w:style w:type="character" w:customStyle="1" w:styleId="180">
    <w:name w:val="red"/>
    <w:basedOn w:val="44"/>
    <w:qFormat/>
    <w:uiPriority w:val="0"/>
    <w:rPr>
      <w:color w:val="E13636"/>
      <w:sz w:val="27"/>
      <w:szCs w:val="27"/>
    </w:rPr>
  </w:style>
  <w:style w:type="character" w:customStyle="1" w:styleId="181">
    <w:name w:val="blue"/>
    <w:basedOn w:val="44"/>
    <w:qFormat/>
    <w:uiPriority w:val="0"/>
    <w:rPr>
      <w:color w:val="5096D4"/>
      <w:sz w:val="24"/>
      <w:szCs w:val="24"/>
    </w:rPr>
  </w:style>
  <w:style w:type="paragraph" w:customStyle="1" w:styleId="182">
    <w:name w:val="UserStyle_15"/>
    <w:qFormat/>
    <w:uiPriority w:val="0"/>
    <w:pPr>
      <w:textAlignment w:val="baseline"/>
    </w:pPr>
    <w:rPr>
      <w:rFonts w:ascii="Times New Roman" w:hAnsi="Times New Roman" w:eastAsia="Times New Roman" w:cs="Times New Roman"/>
      <w:sz w:val="24"/>
      <w:szCs w:val="24"/>
      <w:lang w:val="en-US" w:eastAsia="zh-CN" w:bidi="ar-SA"/>
    </w:rPr>
  </w:style>
  <w:style w:type="paragraph" w:customStyle="1" w:styleId="183">
    <w:name w:val="UserStyle_20"/>
    <w:qFormat/>
    <w:uiPriority w:val="0"/>
    <w:pPr>
      <w:textAlignment w:val="baseline"/>
    </w:pPr>
    <w:rPr>
      <w:rFonts w:ascii="黑体" w:hAnsi="黑体" w:eastAsia="黑体" w:cs="Times New Roman"/>
      <w:b/>
      <w:sz w:val="32"/>
      <w:szCs w:val="24"/>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_2_0_0"/>
    <w:basedOn w:val="132"/>
    <w:qFormat/>
    <w:uiPriority w:val="0"/>
    <w:pPr>
      <w:widowControl w:val="0"/>
      <w:jc w:val="both"/>
    </w:pPr>
    <w:rPr>
      <w:kern w:val="2"/>
      <w:sz w:val="21"/>
      <w:szCs w:val="22"/>
      <w:lang w:val="en-US" w:eastAsia="zh-CN" w:bidi="ar-SA"/>
    </w:rPr>
  </w:style>
  <w:style w:type="paragraph" w:customStyle="1" w:styleId="186">
    <w:name w:val="Normal_18"/>
    <w:qFormat/>
    <w:uiPriority w:val="0"/>
    <w:rPr>
      <w:rFonts w:ascii="黑体" w:hAnsi="黑体" w:eastAsia="黑体" w:cs="Times New Roman"/>
      <w:b/>
      <w:sz w:val="32"/>
      <w:szCs w:val="24"/>
      <w:lang w:val="en-US" w:eastAsia="zh-CN" w:bidi="ar-SA"/>
    </w:rPr>
  </w:style>
  <w:style w:type="paragraph" w:customStyle="1" w:styleId="18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WPSOffice手动目录 1"/>
    <w:qFormat/>
    <w:uiPriority w:val="0"/>
    <w:rPr>
      <w:rFonts w:ascii="Times New Roman" w:hAnsi="Times New Roman" w:eastAsia="宋体" w:cs="Times New Roman"/>
      <w:lang w:val="en-US" w:eastAsia="zh-CN" w:bidi="ar-SA"/>
    </w:rPr>
  </w:style>
  <w:style w:type="paragraph" w:customStyle="1" w:styleId="189">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0">
    <w:name w:val="WPSOffice手动目录 3"/>
    <w:qFormat/>
    <w:uiPriority w:val="0"/>
    <w:pPr>
      <w:ind w:leftChars="400"/>
    </w:pPr>
    <w:rPr>
      <w:rFonts w:ascii="Times New Roman" w:hAnsi="Times New Roman" w:eastAsia="宋体" w:cs="Times New Roman"/>
      <w:lang w:val="en-US" w:eastAsia="zh-CN" w:bidi="ar-SA"/>
    </w:rPr>
  </w:style>
  <w:style w:type="paragraph" w:customStyle="1" w:styleId="191">
    <w:name w:val="Normal_0_0_0"/>
    <w:basedOn w:val="1"/>
    <w:next w:val="1"/>
    <w:qFormat/>
    <w:uiPriority w:val="0"/>
    <w:rPr>
      <w:rFonts w:eastAsia="Times New Roman"/>
      <w:kern w:val="0"/>
      <w:sz w:val="20"/>
      <w:szCs w:val="20"/>
    </w:rPr>
  </w:style>
  <w:style w:type="paragraph" w:customStyle="1" w:styleId="192">
    <w:name w:val="UserStyle_0"/>
    <w:basedOn w:val="193"/>
    <w:qFormat/>
    <w:uiPriority w:val="0"/>
    <w:pPr>
      <w:suppressAutoHyphens/>
      <w:ind w:firstLine="525"/>
      <w:jc w:val="both"/>
      <w:textAlignment w:val="baseline"/>
    </w:pPr>
    <w:rPr>
      <w:rFonts w:ascii="Calibri" w:hAnsi="Calibri" w:eastAsia="宋体;SimSun"/>
      <w:spacing w:val="20"/>
      <w:kern w:val="2"/>
      <w:sz w:val="21"/>
      <w:szCs w:val="20"/>
      <w:lang w:val="en-US" w:eastAsia="zh-CN" w:bidi="ar-SA"/>
    </w:rPr>
  </w:style>
  <w:style w:type="paragraph" w:customStyle="1" w:styleId="193">
    <w:name w:val="UserStyle_1"/>
    <w:next w:val="192"/>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paragraph" w:customStyle="1" w:styleId="194">
    <w:name w:val="正文缩进2格"/>
    <w:basedOn w:val="1"/>
    <w:qFormat/>
    <w:uiPriority w:val="0"/>
    <w:pPr>
      <w:spacing w:line="600" w:lineRule="exact"/>
      <w:ind w:firstLine="639" w:firstLineChars="206"/>
    </w:pPr>
    <w:rPr>
      <w:rFonts w:ascii="??_GB2312" w:hAnsi="宋体" w:eastAsia="Times New Roman"/>
      <w:kern w:val="0"/>
      <w:sz w:val="31"/>
      <w:szCs w:val="20"/>
    </w:rPr>
  </w:style>
  <w:style w:type="table" w:customStyle="1" w:styleId="195">
    <w:name w:val="Table Normal"/>
    <w:semiHidden/>
    <w:unhideWhenUsed/>
    <w:qFormat/>
    <w:uiPriority w:val="0"/>
    <w:tblPr>
      <w:tblCellMar>
        <w:top w:w="0" w:type="dxa"/>
        <w:left w:w="0" w:type="dxa"/>
        <w:bottom w:w="0" w:type="dxa"/>
        <w:right w:w="0" w:type="dxa"/>
      </w:tblCellMar>
    </w:tblPr>
  </w:style>
  <w:style w:type="paragraph" w:customStyle="1" w:styleId="196">
    <w:name w:val="TOC Heading"/>
    <w:basedOn w:val="3"/>
    <w:next w:val="1"/>
    <w:unhideWhenUsed/>
    <w:qFormat/>
    <w:uiPriority w:val="39"/>
    <w:pPr>
      <w:pageBreakBefore w:val="0"/>
      <w:widowControl w:val="0"/>
      <w:numPr>
        <w:ilvl w:val="0"/>
        <w:numId w:val="0"/>
      </w:numPr>
      <w:spacing w:before="340" w:beforeLines="0" w:after="330" w:afterLines="0" w:line="578" w:lineRule="auto"/>
      <w:ind w:firstLine="200" w:firstLineChars="200"/>
      <w:jc w:val="both"/>
      <w:outlineLvl w:val="9"/>
    </w:pPr>
    <w:rPr>
      <w:rFonts w:ascii="仿宋_GB2312" w:hAnsi="等线" w:eastAsia="宋体"/>
      <w:sz w:val="44"/>
    </w:rPr>
  </w:style>
  <w:style w:type="paragraph" w:customStyle="1" w:styleId="197">
    <w:name w:val="缩进正文"/>
    <w:basedOn w:val="1"/>
    <w:qFormat/>
    <w:uiPriority w:val="0"/>
    <w:pPr>
      <w:ind w:firstLine="200"/>
    </w:pPr>
    <w:rPr>
      <w:rFonts w:asciiTheme="minorHAnsi" w:hAnsiTheme="minorHAnsi" w:eastAsiaTheme="minorEastAsia" w:cstheme="minorBidi"/>
      <w:szCs w:val="22"/>
    </w:rPr>
  </w:style>
  <w:style w:type="paragraph" w:customStyle="1" w:styleId="198">
    <w:name w:val="ZJ表格"/>
    <w:basedOn w:val="1"/>
    <w:qFormat/>
    <w:uiPriority w:val="0"/>
    <w:pPr>
      <w:spacing w:line="276" w:lineRule="auto"/>
      <w:ind w:firstLine="0" w:firstLineChars="0"/>
      <w:jc w:val="center"/>
    </w:pPr>
    <w:rPr>
      <w:rFonts w:cs="仿宋" w:asciiTheme="minorEastAsia" w:hAnsiTheme="minorEastAsia" w:eastAsiaTheme="minorEastAsia"/>
    </w:rPr>
  </w:style>
  <w:style w:type="paragraph" w:customStyle="1" w:styleId="199">
    <w:name w:val="正文_1_2"/>
    <w:qFormat/>
    <w:uiPriority w:val="0"/>
    <w:pPr>
      <w:widowControl w:val="0"/>
      <w:spacing w:after="160" w:line="259" w:lineRule="auto"/>
      <w:jc w:val="both"/>
    </w:pPr>
    <w:rPr>
      <w:rFonts w:ascii="Times New Roman" w:hAnsi="Times New Roman" w:eastAsia="宋体" w:cs="Times New Roman"/>
      <w:sz w:val="22"/>
      <w:szCs w:val="22"/>
      <w:lang w:val="en-US" w:eastAsia="zh-CN" w:bidi="ar-SA"/>
    </w:rPr>
  </w:style>
  <w:style w:type="paragraph" w:customStyle="1" w:styleId="200">
    <w:name w:val="正文缩进_2"/>
    <w:basedOn w:val="16"/>
    <w:unhideWhenUsed/>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header" Target="header15.xml"/><Relationship Id="rId36" Type="http://schemas.openxmlformats.org/officeDocument/2006/relationships/footer" Target="footer20.xml"/><Relationship Id="rId35" Type="http://schemas.openxmlformats.org/officeDocument/2006/relationships/header" Target="header14.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70</Pages>
  <Words>32711</Words>
  <Characters>34989</Characters>
  <Lines>768</Lines>
  <Paragraphs>216</Paragraphs>
  <TotalTime>21</TotalTime>
  <ScaleCrop>false</ScaleCrop>
  <LinksUpToDate>false</LinksUpToDate>
  <CharactersWithSpaces>35861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2022-12-27T08:35:00Z</dcterms:created>
  <dc:creator>Lenovo User</dc:creator>
  <cp:lastModifiedBy>Struggle.</cp:lastModifiedBy>
  <cp:lastPrinted>2022-06-20T15:24:00Z</cp:lastPrinted>
  <dcterms:modified xsi:type="dcterms:W3CDTF">2023-05-30T10:07:03Z</dcterms:modified>
  <dc:title>竞争性谈判采购公告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2CB561579F51407190E6BBB82F013890_13</vt:lpwstr>
  </property>
</Properties>
</file>